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607CAD">
        <w:trPr>
          <w:trHeight w:val="709"/>
        </w:trPr>
        <w:tc>
          <w:tcPr>
            <w:tcW w:w="976" w:type="dxa"/>
            <w:tcBorders>
              <w:bottom w:val="single" w:sz="12" w:space="0" w:color="auto"/>
            </w:tcBorders>
          </w:tcPr>
          <w:p w:rsidR="00607CAD" w:rsidRDefault="00323D73">
            <w:pPr>
              <w:suppressLineNumbers/>
              <w:suppressAutoHyphens/>
              <w:kinsoku w:val="0"/>
              <w:overflowPunct w:val="0"/>
              <w:autoSpaceDE w:val="0"/>
              <w:autoSpaceDN w:val="0"/>
              <w:adjustRightInd w:val="0"/>
              <w:snapToGrid w:val="0"/>
              <w:rPr>
                <w:rFonts w:eastAsia="Times New Roman"/>
                <w:kern w:val="22"/>
                <w:lang w:val="es-ES"/>
              </w:rPr>
            </w:pPr>
            <w:r>
              <w:rPr>
                <w:rFonts w:eastAsia="Times New Roman"/>
                <w:noProof/>
                <w:snapToGrid/>
                <w:kern w:val="22"/>
                <w:lang w:val="es-UY" w:eastAsia="es-UY"/>
              </w:rPr>
              <w:drawing>
                <wp:inline distT="0" distB="0" distL="0" distR="0">
                  <wp:extent cx="425450" cy="361315"/>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25450" cy="361315"/>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607CAD" w:rsidRDefault="00323D73">
            <w:pPr>
              <w:suppressLineNumbers/>
              <w:suppressAutoHyphens/>
              <w:kinsoku w:val="0"/>
              <w:overflowPunct w:val="0"/>
              <w:autoSpaceDE w:val="0"/>
              <w:autoSpaceDN w:val="0"/>
              <w:adjustRightInd w:val="0"/>
              <w:snapToGrid w:val="0"/>
              <w:rPr>
                <w:rFonts w:eastAsia="Times New Roman"/>
                <w:kern w:val="22"/>
                <w:lang w:val="es-ES"/>
              </w:rPr>
            </w:pPr>
            <w:r>
              <w:rPr>
                <w:rFonts w:eastAsia="Times New Roman"/>
                <w:noProof/>
                <w:snapToGrid/>
                <w:kern w:val="22"/>
                <w:lang w:val="es-UY" w:eastAsia="es-UY"/>
              </w:rPr>
              <w:drawing>
                <wp:inline distT="0" distB="0" distL="0" distR="0">
                  <wp:extent cx="340360" cy="393700"/>
                  <wp:effectExtent l="19050" t="0" r="254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4036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607CAD" w:rsidRDefault="00607CAD">
            <w:pPr>
              <w:suppressLineNumbers/>
              <w:suppressAutoHyphens/>
              <w:kinsoku w:val="0"/>
              <w:overflowPunct w:val="0"/>
              <w:autoSpaceDE w:val="0"/>
              <w:autoSpaceDN w:val="0"/>
              <w:adjustRightInd w:val="0"/>
              <w:snapToGrid w:val="0"/>
              <w:jc w:val="right"/>
              <w:rPr>
                <w:rFonts w:ascii="Arial" w:eastAsia="Times New Roman" w:hAnsi="Arial"/>
                <w:b/>
                <w:kern w:val="22"/>
                <w:sz w:val="32"/>
                <w:lang w:val="es-ES"/>
              </w:rPr>
            </w:pPr>
            <w:r>
              <w:rPr>
                <w:rFonts w:ascii="Arial" w:eastAsia="Times New Roman" w:hAnsi="Arial"/>
                <w:b/>
                <w:noProof/>
                <w:kern w:val="22"/>
                <w:sz w:val="32"/>
                <w:lang w:val="es-ES"/>
              </w:rPr>
              <w:t>CBD</w:t>
            </w:r>
          </w:p>
        </w:tc>
      </w:tr>
      <w:tr w:rsidR="00607CAD">
        <w:tc>
          <w:tcPr>
            <w:tcW w:w="6117" w:type="dxa"/>
            <w:gridSpan w:val="2"/>
            <w:tcBorders>
              <w:top w:val="single" w:sz="12" w:space="0" w:color="auto"/>
              <w:bottom w:val="single" w:sz="36" w:space="0" w:color="auto"/>
            </w:tcBorders>
            <w:vAlign w:val="center"/>
          </w:tcPr>
          <w:p w:rsidR="00607CAD" w:rsidRDefault="00323D73">
            <w:pPr>
              <w:suppressLineNumbers/>
              <w:suppressAutoHyphens/>
              <w:kinsoku w:val="0"/>
              <w:overflowPunct w:val="0"/>
              <w:autoSpaceDE w:val="0"/>
              <w:autoSpaceDN w:val="0"/>
              <w:adjustRightInd w:val="0"/>
              <w:snapToGrid w:val="0"/>
              <w:rPr>
                <w:rFonts w:eastAsia="Times New Roman"/>
                <w:kern w:val="22"/>
                <w:lang w:val="es-ES"/>
              </w:rPr>
            </w:pPr>
            <w:r>
              <w:rPr>
                <w:rFonts w:eastAsia="Times New Roman"/>
                <w:noProof/>
                <w:snapToGrid/>
                <w:kern w:val="22"/>
                <w:lang w:val="es-UY" w:eastAsia="es-UY"/>
              </w:rPr>
              <w:drawing>
                <wp:inline distT="0" distB="0" distL="0" distR="0">
                  <wp:extent cx="2902585" cy="1073785"/>
                  <wp:effectExtent l="19050" t="0" r="0" b="0"/>
                  <wp:docPr id="3"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2585" cy="107378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607CAD" w:rsidRDefault="00607CAD">
            <w:pPr>
              <w:suppressLineNumbers/>
              <w:suppressAutoHyphens/>
              <w:kinsoku w:val="0"/>
              <w:overflowPunct w:val="0"/>
              <w:autoSpaceDE w:val="0"/>
              <w:autoSpaceDN w:val="0"/>
              <w:adjustRightInd w:val="0"/>
              <w:snapToGrid w:val="0"/>
              <w:ind w:left="1215"/>
              <w:rPr>
                <w:rFonts w:eastAsia="Times New Roman"/>
                <w:kern w:val="22"/>
                <w:lang w:val="es-ES"/>
              </w:rPr>
            </w:pPr>
            <w:r>
              <w:rPr>
                <w:rFonts w:eastAsia="Times New Roman"/>
                <w:noProof/>
                <w:kern w:val="22"/>
                <w:lang w:val="es-ES"/>
              </w:rPr>
              <w:t>Distr.</w:t>
            </w:r>
          </w:p>
          <w:p w:rsidR="00607CAD" w:rsidRDefault="00607CAD">
            <w:pPr>
              <w:suppressLineNumbers/>
              <w:suppressAutoHyphens/>
              <w:kinsoku w:val="0"/>
              <w:overflowPunct w:val="0"/>
              <w:autoSpaceDE w:val="0"/>
              <w:autoSpaceDN w:val="0"/>
              <w:adjustRightInd w:val="0"/>
              <w:snapToGrid w:val="0"/>
              <w:ind w:left="1215"/>
              <w:rPr>
                <w:rFonts w:eastAsia="Times New Roman"/>
                <w:kern w:val="22"/>
                <w:lang w:val="es-ES"/>
              </w:rPr>
            </w:pPr>
            <w:r>
              <w:rPr>
                <w:rFonts w:eastAsia="Times New Roman"/>
                <w:caps/>
                <w:noProof/>
                <w:kern w:val="22"/>
                <w:lang w:val="es-ES"/>
              </w:rPr>
              <w:t>GENERAL</w:t>
            </w:r>
          </w:p>
          <w:p w:rsidR="00607CAD" w:rsidRDefault="00607CAD">
            <w:pPr>
              <w:suppressLineNumbers/>
              <w:suppressAutoHyphens/>
              <w:kinsoku w:val="0"/>
              <w:overflowPunct w:val="0"/>
              <w:autoSpaceDE w:val="0"/>
              <w:autoSpaceDN w:val="0"/>
              <w:adjustRightInd w:val="0"/>
              <w:snapToGrid w:val="0"/>
              <w:ind w:left="1215"/>
              <w:rPr>
                <w:rFonts w:eastAsia="Times New Roman"/>
                <w:kern w:val="22"/>
                <w:lang w:val="es-ES"/>
              </w:rPr>
            </w:pPr>
          </w:p>
          <w:p w:rsidR="00607CAD" w:rsidRDefault="00607CAD">
            <w:pPr>
              <w:suppressLineNumbers/>
              <w:suppressAutoHyphens/>
              <w:kinsoku w:val="0"/>
              <w:overflowPunct w:val="0"/>
              <w:autoSpaceDE w:val="0"/>
              <w:autoSpaceDN w:val="0"/>
              <w:adjustRightInd w:val="0"/>
              <w:snapToGrid w:val="0"/>
              <w:ind w:left="1215"/>
              <w:rPr>
                <w:rFonts w:eastAsia="Times New Roman"/>
                <w:kern w:val="22"/>
                <w:lang w:val="es-ES"/>
              </w:rPr>
            </w:pPr>
            <w:r>
              <w:rPr>
                <w:rFonts w:eastAsia="Times New Roman"/>
                <w:noProof/>
                <w:kern w:val="22"/>
                <w:lang w:val="es-ES"/>
              </w:rPr>
              <w:t>CBD/SBI/2/4/Add.2</w:t>
            </w:r>
          </w:p>
          <w:p w:rsidR="00607CAD" w:rsidRDefault="00607CAD">
            <w:pPr>
              <w:suppressLineNumbers/>
              <w:suppressAutoHyphens/>
              <w:kinsoku w:val="0"/>
              <w:overflowPunct w:val="0"/>
              <w:autoSpaceDE w:val="0"/>
              <w:autoSpaceDN w:val="0"/>
              <w:adjustRightInd w:val="0"/>
              <w:snapToGrid w:val="0"/>
              <w:ind w:left="1215"/>
              <w:rPr>
                <w:rFonts w:eastAsia="Times New Roman"/>
                <w:kern w:val="22"/>
                <w:lang w:val="es-ES"/>
              </w:rPr>
            </w:pPr>
            <w:r>
              <w:rPr>
                <w:rFonts w:eastAsia="Times New Roman"/>
                <w:noProof/>
                <w:kern w:val="22"/>
                <w:lang w:val="es-ES"/>
              </w:rPr>
              <w:t>20 de mayo de 2018</w:t>
            </w:r>
          </w:p>
          <w:p w:rsidR="00607CAD" w:rsidRDefault="00607CAD">
            <w:pPr>
              <w:suppressLineNumbers/>
              <w:suppressAutoHyphens/>
              <w:kinsoku w:val="0"/>
              <w:overflowPunct w:val="0"/>
              <w:autoSpaceDE w:val="0"/>
              <w:autoSpaceDN w:val="0"/>
              <w:adjustRightInd w:val="0"/>
              <w:snapToGrid w:val="0"/>
              <w:ind w:left="1215"/>
              <w:rPr>
                <w:rFonts w:eastAsia="Times New Roman"/>
                <w:kern w:val="22"/>
                <w:lang w:val="es-ES"/>
              </w:rPr>
            </w:pPr>
          </w:p>
          <w:p w:rsidR="00607CAD" w:rsidRDefault="00607CAD">
            <w:pPr>
              <w:suppressLineNumbers/>
              <w:suppressAutoHyphens/>
              <w:kinsoku w:val="0"/>
              <w:overflowPunct w:val="0"/>
              <w:autoSpaceDE w:val="0"/>
              <w:autoSpaceDN w:val="0"/>
              <w:adjustRightInd w:val="0"/>
              <w:snapToGrid w:val="0"/>
              <w:ind w:left="1215"/>
              <w:rPr>
                <w:rFonts w:eastAsia="Times New Roman"/>
                <w:kern w:val="22"/>
                <w:lang w:val="es-ES"/>
              </w:rPr>
            </w:pPr>
            <w:r>
              <w:rPr>
                <w:rFonts w:eastAsia="Times New Roman"/>
                <w:noProof/>
                <w:kern w:val="22"/>
                <w:lang w:val="es-ES"/>
              </w:rPr>
              <w:t>ESPAÑOL</w:t>
            </w:r>
          </w:p>
          <w:p w:rsidR="00607CAD" w:rsidRDefault="00607CAD">
            <w:pPr>
              <w:suppressLineNumbers/>
              <w:suppressAutoHyphens/>
              <w:kinsoku w:val="0"/>
              <w:overflowPunct w:val="0"/>
              <w:autoSpaceDE w:val="0"/>
              <w:autoSpaceDN w:val="0"/>
              <w:adjustRightInd w:val="0"/>
              <w:snapToGrid w:val="0"/>
              <w:ind w:left="1215"/>
              <w:rPr>
                <w:rFonts w:eastAsia="Times New Roman"/>
                <w:kern w:val="22"/>
                <w:lang w:val="es-ES"/>
              </w:rPr>
            </w:pPr>
            <w:r>
              <w:rPr>
                <w:rFonts w:eastAsia="Times New Roman"/>
                <w:noProof/>
                <w:kern w:val="22"/>
                <w:lang w:val="es-ES"/>
              </w:rPr>
              <w:t>ORIGINAL:</w:t>
            </w:r>
            <w:r>
              <w:rPr>
                <w:rFonts w:eastAsia="Times New Roman"/>
                <w:kern w:val="22"/>
                <w:lang w:val="es-ES"/>
              </w:rPr>
              <w:t xml:space="preserve"> </w:t>
            </w:r>
            <w:r>
              <w:rPr>
                <w:rFonts w:eastAsia="Times New Roman"/>
                <w:noProof/>
                <w:kern w:val="22"/>
                <w:lang w:val="es-ES"/>
              </w:rPr>
              <w:t>INGLÉS</w:t>
            </w:r>
          </w:p>
          <w:p w:rsidR="00607CAD" w:rsidRDefault="00607CAD">
            <w:pPr>
              <w:suppressLineNumbers/>
              <w:suppressAutoHyphens/>
              <w:kinsoku w:val="0"/>
              <w:overflowPunct w:val="0"/>
              <w:autoSpaceDE w:val="0"/>
              <w:autoSpaceDN w:val="0"/>
              <w:adjustRightInd w:val="0"/>
              <w:snapToGrid w:val="0"/>
              <w:rPr>
                <w:rFonts w:eastAsia="Times New Roman"/>
                <w:kern w:val="22"/>
                <w:lang w:val="es-ES"/>
              </w:rPr>
            </w:pPr>
          </w:p>
        </w:tc>
      </w:tr>
    </w:tbl>
    <w:p w:rsidR="00607CAD" w:rsidRDefault="00607CAD">
      <w:pPr>
        <w:pStyle w:val="meetingname"/>
        <w:ind w:left="284" w:right="4398" w:hanging="284"/>
        <w:rPr>
          <w:rFonts w:eastAsia="Times New Roman"/>
          <w:kern w:val="22"/>
          <w:szCs w:val="24"/>
          <w:lang w:val="es-ES"/>
        </w:rPr>
      </w:pPr>
      <w:bookmarkStart w:id="0" w:name="Meeting"/>
      <w:r>
        <w:rPr>
          <w:rFonts w:eastAsia="Times New Roman"/>
          <w:noProof/>
          <w:kern w:val="22"/>
          <w:szCs w:val="24"/>
          <w:lang w:val="es-ES"/>
        </w:rPr>
        <w:t>ÓRGANO SUBSIDIARIO SOBRE LA APLICACIÓN</w:t>
      </w:r>
      <w:bookmarkEnd w:id="0"/>
    </w:p>
    <w:p w:rsidR="00607CAD" w:rsidRDefault="00607CAD">
      <w:pPr>
        <w:ind w:left="284" w:hanging="284"/>
        <w:jc w:val="left"/>
        <w:rPr>
          <w:rFonts w:eastAsia="Times New Roman"/>
          <w:kern w:val="22"/>
          <w:lang w:val="es-ES"/>
        </w:rPr>
      </w:pPr>
      <w:r>
        <w:rPr>
          <w:rFonts w:eastAsia="Times New Roman"/>
          <w:noProof/>
          <w:kern w:val="22"/>
          <w:lang w:val="es-ES"/>
        </w:rPr>
        <w:t>Segunda reunión</w:t>
      </w:r>
    </w:p>
    <w:p w:rsidR="00607CAD" w:rsidRDefault="00607CAD">
      <w:pPr>
        <w:suppressLineNumbers/>
        <w:suppressAutoHyphens/>
        <w:kinsoku w:val="0"/>
        <w:overflowPunct w:val="0"/>
        <w:autoSpaceDE w:val="0"/>
        <w:autoSpaceDN w:val="0"/>
        <w:adjustRightInd w:val="0"/>
        <w:snapToGrid w:val="0"/>
        <w:ind w:left="142" w:right="3124"/>
        <w:jc w:val="left"/>
        <w:rPr>
          <w:rFonts w:eastAsia="Times New Roman"/>
          <w:kern w:val="22"/>
          <w:lang w:val="es-ES"/>
        </w:rPr>
      </w:pPr>
      <w:r>
        <w:rPr>
          <w:rFonts w:eastAsia="Times New Roman"/>
          <w:noProof/>
          <w:kern w:val="22"/>
          <w:lang w:val="es-ES"/>
        </w:rPr>
        <w:t>Montreal (Canadá)</w:t>
      </w:r>
      <w:r w:rsidR="00624A92">
        <w:rPr>
          <w:rFonts w:eastAsia="Times New Roman"/>
          <w:noProof/>
          <w:kern w:val="22"/>
          <w:lang w:val="es-ES"/>
        </w:rPr>
        <w:t>,</w:t>
      </w:r>
      <w:r>
        <w:rPr>
          <w:rFonts w:eastAsia="Times New Roman"/>
          <w:noProof/>
          <w:kern w:val="22"/>
          <w:lang w:val="es-ES"/>
        </w:rPr>
        <w:t xml:space="preserve"> 9 a 13 de julio de 2018</w:t>
      </w:r>
    </w:p>
    <w:p w:rsidR="00607CAD" w:rsidRDefault="00607CAD">
      <w:pPr>
        <w:suppressLineNumbers/>
        <w:suppressAutoHyphens/>
        <w:kinsoku w:val="0"/>
        <w:overflowPunct w:val="0"/>
        <w:autoSpaceDE w:val="0"/>
        <w:autoSpaceDN w:val="0"/>
        <w:adjustRightInd w:val="0"/>
        <w:snapToGrid w:val="0"/>
        <w:ind w:left="142"/>
        <w:rPr>
          <w:rFonts w:eastAsia="Times New Roman"/>
          <w:kern w:val="22"/>
          <w:lang w:val="es-ES"/>
        </w:rPr>
      </w:pPr>
      <w:r>
        <w:rPr>
          <w:rFonts w:eastAsia="Times New Roman"/>
          <w:noProof/>
          <w:kern w:val="22"/>
          <w:lang w:val="es-ES"/>
        </w:rPr>
        <w:t>Tema 8 del programa provisional</w:t>
      </w:r>
      <w:r>
        <w:rPr>
          <w:rFonts w:eastAsia="Times New Roman"/>
          <w:noProof/>
          <w:kern w:val="22"/>
          <w:vertAlign w:val="superscript"/>
          <w:lang w:val="es-ES"/>
        </w:rPr>
        <w:footnoteReference w:customMarkFollows="1" w:id="1"/>
        <w:t>*</w:t>
      </w:r>
    </w:p>
    <w:p w:rsidR="00607CAD" w:rsidRDefault="00607CAD">
      <w:pPr>
        <w:suppressLineNumbers/>
        <w:suppressAutoHyphens/>
        <w:kinsoku w:val="0"/>
        <w:overflowPunct w:val="0"/>
        <w:autoSpaceDE w:val="0"/>
        <w:autoSpaceDN w:val="0"/>
        <w:adjustRightInd w:val="0"/>
        <w:snapToGrid w:val="0"/>
        <w:spacing w:before="120" w:after="120"/>
        <w:jc w:val="center"/>
        <w:rPr>
          <w:rStyle w:val="Heading1Char"/>
          <w:rFonts w:ascii="Times New Roman Bold" w:eastAsia="Times New Roman" w:hAnsi="Times New Roman Bold"/>
          <w:kern w:val="22"/>
          <w:lang w:val="es-ES"/>
        </w:rPr>
      </w:pPr>
      <w:r>
        <w:rPr>
          <w:rStyle w:val="Heading1Char"/>
          <w:rFonts w:ascii="Times New Roman Bold" w:eastAsia="Times New Roman" w:hAnsi="Times New Roman Bold"/>
          <w:noProof/>
          <w:kern w:val="22"/>
          <w:lang w:val="es-ES"/>
        </w:rPr>
        <w:t>Orientaciones para que las empresas informen sobre sus medidas relacionadas con la diversidad biológica</w:t>
      </w:r>
    </w:p>
    <w:p w:rsidR="00607CAD" w:rsidRDefault="00607CAD">
      <w:pPr>
        <w:suppressLineNumbers/>
        <w:suppressAutoHyphens/>
        <w:kinsoku w:val="0"/>
        <w:overflowPunct w:val="0"/>
        <w:autoSpaceDE w:val="0"/>
        <w:autoSpaceDN w:val="0"/>
        <w:adjustRightInd w:val="0"/>
        <w:snapToGrid w:val="0"/>
        <w:spacing w:before="120" w:after="120"/>
        <w:jc w:val="center"/>
        <w:rPr>
          <w:rFonts w:eastAsia="Times New Roman"/>
          <w:i/>
          <w:color w:val="000000"/>
          <w:kern w:val="22"/>
          <w:lang w:val="es-ES"/>
        </w:rPr>
      </w:pPr>
      <w:r>
        <w:rPr>
          <w:rFonts w:eastAsia="Times New Roman"/>
          <w:i/>
          <w:noProof/>
          <w:color w:val="000000"/>
          <w:kern w:val="22"/>
          <w:lang w:val="es-ES"/>
        </w:rPr>
        <w:t>Nota de la Secretaria Ejecutiva</w:t>
      </w:r>
      <w:r>
        <w:rPr>
          <w:rStyle w:val="FootnoteReference"/>
          <w:rFonts w:eastAsia="Times New Roman"/>
          <w:i/>
          <w:noProof/>
          <w:color w:val="000000"/>
          <w:kern w:val="22"/>
          <w:lang w:val="es-ES"/>
        </w:rPr>
        <w:footnoteReference w:customMarkFollows="1" w:id="2"/>
        <w:t>**</w:t>
      </w:r>
    </w:p>
    <w:p w:rsidR="00607CAD" w:rsidRDefault="00607CAD">
      <w:pPr>
        <w:pStyle w:val="Heading1"/>
        <w:suppressLineNumbers/>
        <w:tabs>
          <w:tab w:val="clear" w:pos="720"/>
        </w:tabs>
        <w:suppressAutoHyphens/>
        <w:kinsoku w:val="0"/>
        <w:overflowPunct w:val="0"/>
        <w:autoSpaceDE w:val="0"/>
        <w:autoSpaceDN w:val="0"/>
        <w:adjustRightInd w:val="0"/>
        <w:snapToGrid w:val="0"/>
        <w:spacing w:before="120"/>
        <w:rPr>
          <w:rFonts w:eastAsia="Times New Roman"/>
          <w:kern w:val="22"/>
          <w:lang w:val="es-ES"/>
        </w:rPr>
      </w:pPr>
      <w:r>
        <w:rPr>
          <w:rFonts w:eastAsia="Times New Roman"/>
          <w:noProof/>
          <w:kern w:val="22"/>
          <w:lang w:val="es-ES"/>
        </w:rPr>
        <w:t>IntroducCiÓn</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ascii="Batang" w:eastAsia="Batang" w:cs="Times New Roman"/>
          <w:bCs w:val="0"/>
          <w:color w:val="000000"/>
          <w:szCs w:val="24"/>
          <w:lang w:val="es-ES"/>
        </w:rPr>
      </w:pPr>
      <w:r>
        <w:rPr>
          <w:rFonts w:cs="Times New Roman"/>
          <w:bCs w:val="0"/>
          <w:kern w:val="22"/>
          <w:szCs w:val="24"/>
          <w:lang w:val="es-ES"/>
        </w:rPr>
        <w:t xml:space="preserve">En </w:t>
      </w:r>
      <w:r w:rsidR="00624A92">
        <w:rPr>
          <w:rFonts w:cs="Times New Roman"/>
          <w:bCs w:val="0"/>
          <w:kern w:val="22"/>
          <w:szCs w:val="24"/>
          <w:lang w:val="es-ES"/>
        </w:rPr>
        <w:t>la</w:t>
      </w:r>
      <w:r>
        <w:rPr>
          <w:rFonts w:cs="Times New Roman"/>
          <w:bCs w:val="0"/>
          <w:kern w:val="22"/>
          <w:szCs w:val="24"/>
          <w:lang w:val="es-ES"/>
        </w:rPr>
        <w:t xml:space="preserve"> decisión</w:t>
      </w:r>
      <w:r>
        <w:rPr>
          <w:rFonts w:cs="Times New Roman"/>
          <w:bCs w:val="0"/>
          <w:color w:val="000000"/>
          <w:kern w:val="22"/>
          <w:szCs w:val="24"/>
          <w:lang w:val="es-ES"/>
        </w:rPr>
        <w:t xml:space="preserve"> </w:t>
      </w:r>
      <w:hyperlink r:id="rId11" w:history="1">
        <w:r>
          <w:rPr>
            <w:rStyle w:val="Hyperlink"/>
            <w:bCs w:val="0"/>
            <w:kern w:val="22"/>
            <w:sz w:val="22"/>
            <w:szCs w:val="24"/>
            <w:lang w:val="es-ES"/>
          </w:rPr>
          <w:t>XIII/3</w:t>
        </w:r>
      </w:hyperlink>
      <w:r>
        <w:rPr>
          <w:rFonts w:cs="Times New Roman"/>
          <w:bCs w:val="0"/>
          <w:color w:val="000000"/>
          <w:kern w:val="22"/>
          <w:szCs w:val="24"/>
          <w:lang w:val="es-ES"/>
        </w:rPr>
        <w:t xml:space="preserve"> </w:t>
      </w:r>
      <w:r>
        <w:rPr>
          <w:rFonts w:cs="Times New Roman"/>
          <w:bCs w:val="0"/>
          <w:kern w:val="22"/>
          <w:szCs w:val="24"/>
          <w:lang w:val="es-ES"/>
        </w:rPr>
        <w:t>sobre medidas estratégicas para intensificar la implementación del Plan Estratégico para la Diversidad Biológica 2011-2020 e impulsar el logro de las Metas de Aichi para la Diversidad Biológica, incluido con respecto a la integración y la incorporación de la diversidad biológica en todos los sectores, la Conferencia de las Partes pidió al Secretario Ejecutivo que continuara trabajando sobre la tipología de acciones para la presentación de informes sobre medidas relacionadas con los negocios con miras a someter un proyecto de orientaciones a la consideración del Órgano Subsidiario sobre la Aplicación en su segunda reunión (párr. 108).</w:t>
      </w:r>
    </w:p>
    <w:p w:rsidR="00607CAD" w:rsidRDefault="00F45747"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ascii="Batang" w:eastAsia="Batang" w:cs="Times New Roman"/>
          <w:bCs w:val="0"/>
          <w:color w:val="000000"/>
          <w:szCs w:val="24"/>
          <w:lang w:val="es-ES"/>
        </w:rPr>
      </w:pPr>
      <w:bookmarkStart w:id="1" w:name="_Ref507413875"/>
      <w:bookmarkStart w:id="2" w:name="_Hlt515457376"/>
      <w:bookmarkStart w:id="3" w:name="_Hlt515457377"/>
      <w:bookmarkStart w:id="4" w:name="_Hlt515462343"/>
      <w:bookmarkStart w:id="5" w:name="_Hlt515462344"/>
      <w:r>
        <w:rPr>
          <w:rFonts w:cs="Times New Roman"/>
          <w:bCs w:val="0"/>
          <w:color w:val="000000"/>
          <w:kern w:val="22"/>
          <w:szCs w:val="24"/>
          <w:lang w:val="es-ES"/>
        </w:rPr>
        <w:t>El presente documento se publica en respuesta a es</w:t>
      </w:r>
      <w:r w:rsidR="00607CAD">
        <w:rPr>
          <w:rFonts w:cs="Times New Roman"/>
          <w:bCs w:val="0"/>
          <w:color w:val="000000"/>
          <w:kern w:val="22"/>
          <w:szCs w:val="24"/>
          <w:lang w:val="es-ES"/>
        </w:rPr>
        <w:t>e pedido</w:t>
      </w:r>
      <w:r>
        <w:rPr>
          <w:rFonts w:cs="Times New Roman"/>
          <w:bCs w:val="0"/>
          <w:color w:val="000000"/>
          <w:kern w:val="22"/>
          <w:szCs w:val="24"/>
          <w:lang w:val="es-ES"/>
        </w:rPr>
        <w:t>.</w:t>
      </w:r>
      <w:r w:rsidR="00607CAD">
        <w:rPr>
          <w:rFonts w:cs="Times New Roman"/>
          <w:bCs w:val="0"/>
          <w:color w:val="000000"/>
          <w:kern w:val="22"/>
          <w:szCs w:val="24"/>
          <w:lang w:val="es-ES"/>
        </w:rPr>
        <w:t xml:space="preserve"> </w:t>
      </w:r>
      <w:r>
        <w:rPr>
          <w:rFonts w:cs="Times New Roman"/>
          <w:bCs w:val="0"/>
          <w:kern w:val="22"/>
          <w:szCs w:val="24"/>
          <w:lang w:val="es-ES"/>
        </w:rPr>
        <w:t>A</w:t>
      </w:r>
      <w:r w:rsidR="00607CAD">
        <w:rPr>
          <w:rFonts w:cs="Times New Roman"/>
          <w:bCs w:val="0"/>
          <w:kern w:val="22"/>
          <w:szCs w:val="24"/>
          <w:lang w:val="es-ES"/>
        </w:rPr>
        <w:t xml:space="preserve">mplía el trabajo anterior </w:t>
      </w:r>
      <w:r>
        <w:rPr>
          <w:rFonts w:cs="Times New Roman"/>
          <w:bCs w:val="0"/>
          <w:kern w:val="22"/>
          <w:szCs w:val="24"/>
          <w:lang w:val="es-ES"/>
        </w:rPr>
        <w:t>de elaboración de</w:t>
      </w:r>
      <w:r w:rsidR="00607CAD">
        <w:rPr>
          <w:rFonts w:cs="Times New Roman"/>
          <w:bCs w:val="0"/>
          <w:kern w:val="22"/>
          <w:szCs w:val="24"/>
          <w:lang w:val="es-ES"/>
        </w:rPr>
        <w:t xml:space="preserve"> una tipología de acciones conforme a la decisión </w:t>
      </w:r>
      <w:hyperlink r:id="rId12" w:history="1">
        <w:r w:rsidR="00607CAD">
          <w:rPr>
            <w:rStyle w:val="Hyperlink"/>
            <w:bCs w:val="0"/>
            <w:kern w:val="22"/>
            <w:sz w:val="22"/>
            <w:szCs w:val="24"/>
            <w:lang w:val="es-ES"/>
          </w:rPr>
          <w:t>XII/10</w:t>
        </w:r>
      </w:hyperlink>
      <w:r w:rsidR="00607CAD">
        <w:rPr>
          <w:rFonts w:cs="Times New Roman"/>
          <w:bCs w:val="0"/>
          <w:kern w:val="22"/>
          <w:szCs w:val="24"/>
          <w:lang w:val="es-ES"/>
        </w:rPr>
        <w:t xml:space="preserve">, párr. 3 b), </w:t>
      </w:r>
      <w:r>
        <w:rPr>
          <w:rFonts w:cs="Times New Roman"/>
          <w:bCs w:val="0"/>
          <w:kern w:val="22"/>
          <w:szCs w:val="24"/>
          <w:lang w:val="es-ES"/>
        </w:rPr>
        <w:t xml:space="preserve">que se </w:t>
      </w:r>
      <w:r w:rsidR="00607CAD">
        <w:rPr>
          <w:rFonts w:cs="Times New Roman"/>
          <w:bCs w:val="0"/>
          <w:kern w:val="22"/>
          <w:szCs w:val="24"/>
          <w:lang w:val="es-ES"/>
        </w:rPr>
        <w:t>distribu</w:t>
      </w:r>
      <w:r>
        <w:rPr>
          <w:rFonts w:cs="Times New Roman"/>
          <w:bCs w:val="0"/>
          <w:kern w:val="22"/>
          <w:szCs w:val="24"/>
          <w:lang w:val="es-ES"/>
        </w:rPr>
        <w:t xml:space="preserve">yó </w:t>
      </w:r>
      <w:r w:rsidR="00607CAD">
        <w:rPr>
          <w:rFonts w:cs="Times New Roman"/>
          <w:bCs w:val="0"/>
          <w:kern w:val="22"/>
          <w:szCs w:val="24"/>
          <w:lang w:val="es-ES"/>
        </w:rPr>
        <w:t xml:space="preserve">con motivo de la primera reunión del Órgano Subsidiario sobre la Aplicación (véase el documento </w:t>
      </w:r>
      <w:hyperlink r:id="rId13" w:history="1">
        <w:r w:rsidR="00607CAD">
          <w:rPr>
            <w:rStyle w:val="Hyperlink"/>
            <w:bCs w:val="0"/>
            <w:sz w:val="22"/>
            <w:szCs w:val="24"/>
            <w:lang w:val="es-ES"/>
          </w:rPr>
          <w:t>SBI/1/INF/12</w:t>
        </w:r>
      </w:hyperlink>
      <w:r w:rsidR="00607CAD">
        <w:rPr>
          <w:rFonts w:cs="Times New Roman"/>
          <w:bCs w:val="0"/>
          <w:kern w:val="22"/>
          <w:szCs w:val="24"/>
          <w:lang w:val="es-ES"/>
        </w:rPr>
        <w:t>). En su 13ª reunión la Conferencia de las Partes invitó a las Partes a fomentar el uso de esta tipología de acciones e invitó al sector empresarial a emplear la tipología de acciones al notificar las medidas relacionadas con la diversidad biológica, incluido en sus cadenas de suministro (decisión XIII/3, párrs. 94-95).</w:t>
      </w:r>
    </w:p>
    <w:bookmarkEnd w:id="1"/>
    <w:bookmarkEnd w:id="2"/>
    <w:bookmarkEnd w:id="3"/>
    <w:bookmarkEnd w:id="4"/>
    <w:bookmarkEnd w:id="5"/>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ascii="Batang" w:eastAsia="Batang" w:cs="Times New Roman"/>
          <w:bCs w:val="0"/>
          <w:color w:val="000000"/>
          <w:szCs w:val="24"/>
          <w:lang w:val="es-ES"/>
        </w:rPr>
      </w:pPr>
      <w:r>
        <w:rPr>
          <w:rFonts w:cs="Times New Roman"/>
          <w:bCs w:val="0"/>
          <w:kern w:val="22"/>
          <w:szCs w:val="24"/>
          <w:lang w:val="es-ES"/>
        </w:rPr>
        <w:t xml:space="preserve">En </w:t>
      </w:r>
      <w:r w:rsidR="00624A92">
        <w:rPr>
          <w:rFonts w:cs="Times New Roman"/>
          <w:bCs w:val="0"/>
          <w:kern w:val="22"/>
          <w:szCs w:val="24"/>
          <w:lang w:val="es-ES"/>
        </w:rPr>
        <w:t>la</w:t>
      </w:r>
      <w:r>
        <w:rPr>
          <w:rFonts w:cs="Times New Roman"/>
          <w:bCs w:val="0"/>
          <w:kern w:val="22"/>
          <w:szCs w:val="24"/>
          <w:lang w:val="es-ES"/>
        </w:rPr>
        <w:t xml:space="preserve"> decisión XIII/3, la Conferencia de las Partes también pidió al Secretario Ejecutivo que recabara opiniones a través de la Alianza Mundial de Negocios y Biodiversidad, así como de asociados pertinentes, sobre formas de armonizar el suministro de datos e información acerca de cuestiones relacionadas con la diversidad biológica, con miras a aumentar la coherencia de los datos y la información dentro de los diversos sectores empresariales y entre ellos (párr. 106). Dado que el trabajo sobre la tipología también está dirigido a mejorar la coherencia y comparabilidad de los datos y la información, y con miras a evitar la duplicación del trabajo, se tomó en cuenta esta consideración en el trabajo sobre la tipología</w:t>
      </w:r>
      <w:r>
        <w:rPr>
          <w:rStyle w:val="FootnoteReference"/>
          <w:bCs w:val="0"/>
          <w:kern w:val="22"/>
          <w:szCs w:val="24"/>
          <w:lang w:val="es-ES"/>
        </w:rPr>
        <w:footnoteReference w:id="3"/>
      </w:r>
      <w:r>
        <w:rPr>
          <w:rFonts w:cs="Times New Roman"/>
          <w:bCs w:val="0"/>
          <w:kern w:val="22"/>
          <w:szCs w:val="24"/>
          <w:lang w:val="es-ES"/>
        </w:rPr>
        <w:t>.</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ascii="Batang" w:eastAsia="Batang" w:cs="Times New Roman"/>
          <w:bCs w:val="0"/>
          <w:color w:val="000000"/>
          <w:szCs w:val="24"/>
          <w:lang w:val="es-ES"/>
        </w:rPr>
      </w:pPr>
      <w:r>
        <w:rPr>
          <w:rFonts w:cs="Times New Roman"/>
          <w:bCs w:val="0"/>
          <w:kern w:val="22"/>
          <w:szCs w:val="24"/>
          <w:lang w:val="es-ES"/>
        </w:rPr>
        <w:t xml:space="preserve">En la sección I de la presente nota se brinda información sobre el enfoque general adoptado para el trabajo solicitado y los pasos específicos que se tomaron. En la sección II se </w:t>
      </w:r>
      <w:r w:rsidR="00C76313">
        <w:rPr>
          <w:rFonts w:cs="Times New Roman"/>
          <w:bCs w:val="0"/>
          <w:kern w:val="22"/>
          <w:szCs w:val="24"/>
          <w:lang w:val="es-ES"/>
        </w:rPr>
        <w:t>presenta</w:t>
      </w:r>
      <w:r>
        <w:rPr>
          <w:rFonts w:cs="Times New Roman"/>
          <w:bCs w:val="0"/>
          <w:kern w:val="22"/>
          <w:szCs w:val="24"/>
          <w:lang w:val="es-ES"/>
        </w:rPr>
        <w:t xml:space="preserve"> una versión revisada </w:t>
      </w:r>
      <w:r>
        <w:rPr>
          <w:rFonts w:cs="Times New Roman"/>
          <w:bCs w:val="0"/>
          <w:kern w:val="22"/>
          <w:szCs w:val="24"/>
          <w:lang w:val="es-ES"/>
        </w:rPr>
        <w:lastRenderedPageBreak/>
        <w:t>de la tipología de acciones y otros resultados pertinentes de la investigación que se llevó a cabo para elaborar la versión revisada de la tipología, así como el proyecto de orientaci</w:t>
      </w:r>
      <w:r w:rsidR="00F22788">
        <w:rPr>
          <w:rFonts w:cs="Times New Roman"/>
          <w:bCs w:val="0"/>
          <w:kern w:val="22"/>
          <w:szCs w:val="24"/>
          <w:lang w:val="es-ES"/>
        </w:rPr>
        <w:t>o</w:t>
      </w:r>
      <w:r>
        <w:rPr>
          <w:rFonts w:cs="Times New Roman"/>
          <w:bCs w:val="0"/>
          <w:kern w:val="22"/>
          <w:szCs w:val="24"/>
          <w:lang w:val="es-ES"/>
        </w:rPr>
        <w:t>n</w:t>
      </w:r>
      <w:r w:rsidR="00F22788">
        <w:rPr>
          <w:rFonts w:cs="Times New Roman"/>
          <w:bCs w:val="0"/>
          <w:kern w:val="22"/>
          <w:szCs w:val="24"/>
          <w:lang w:val="es-ES"/>
        </w:rPr>
        <w:t>es</w:t>
      </w:r>
      <w:r>
        <w:rPr>
          <w:rFonts w:cs="Times New Roman"/>
          <w:bCs w:val="0"/>
          <w:kern w:val="22"/>
          <w:szCs w:val="24"/>
          <w:lang w:val="es-ES"/>
        </w:rPr>
        <w:t xml:space="preserve"> para la aplicación de la tipología. En la sección III se </w:t>
      </w:r>
      <w:r w:rsidR="003B3486">
        <w:rPr>
          <w:rFonts w:cs="Times New Roman"/>
          <w:bCs w:val="0"/>
          <w:kern w:val="22"/>
          <w:szCs w:val="24"/>
          <w:lang w:val="es-ES"/>
        </w:rPr>
        <w:t>exponen</w:t>
      </w:r>
      <w:r>
        <w:rPr>
          <w:rFonts w:cs="Times New Roman"/>
          <w:bCs w:val="0"/>
          <w:kern w:val="22"/>
          <w:szCs w:val="24"/>
          <w:lang w:val="es-ES"/>
        </w:rPr>
        <w:t xml:space="preserve"> posibles conclusiones para que </w:t>
      </w:r>
      <w:r w:rsidR="003B3486">
        <w:rPr>
          <w:rFonts w:cs="Times New Roman"/>
          <w:bCs w:val="0"/>
          <w:kern w:val="22"/>
          <w:szCs w:val="24"/>
          <w:lang w:val="es-ES"/>
        </w:rPr>
        <w:t>teng</w:t>
      </w:r>
      <w:r>
        <w:rPr>
          <w:rFonts w:cs="Times New Roman"/>
          <w:bCs w:val="0"/>
          <w:kern w:val="22"/>
          <w:szCs w:val="24"/>
          <w:lang w:val="es-ES"/>
        </w:rPr>
        <w:t>a</w:t>
      </w:r>
      <w:r w:rsidR="00945294">
        <w:rPr>
          <w:rFonts w:cs="Times New Roman"/>
          <w:bCs w:val="0"/>
          <w:kern w:val="22"/>
          <w:szCs w:val="24"/>
          <w:lang w:val="es-ES"/>
        </w:rPr>
        <w:t xml:space="preserve"> e</w:t>
      </w:r>
      <w:r>
        <w:rPr>
          <w:rFonts w:cs="Times New Roman"/>
          <w:bCs w:val="0"/>
          <w:kern w:val="22"/>
          <w:szCs w:val="24"/>
          <w:lang w:val="es-ES"/>
        </w:rPr>
        <w:t xml:space="preserve">n </w:t>
      </w:r>
      <w:r w:rsidR="00945294">
        <w:rPr>
          <w:rFonts w:cs="Times New Roman"/>
          <w:bCs w:val="0"/>
          <w:kern w:val="22"/>
          <w:szCs w:val="24"/>
          <w:lang w:val="es-ES"/>
        </w:rPr>
        <w:t>cuenta el Órgano Subsidiario</w:t>
      </w:r>
      <w:r>
        <w:rPr>
          <w:rFonts w:cs="Times New Roman"/>
          <w:bCs w:val="0"/>
          <w:kern w:val="22"/>
          <w:szCs w:val="24"/>
          <w:lang w:val="es-ES"/>
        </w:rPr>
        <w:t xml:space="preserve"> como base para la formulación de recomendaciones para consideración de la Conferencia de las Partes en su 14ª reunión.</w:t>
      </w:r>
    </w:p>
    <w:p w:rsidR="00607CAD" w:rsidRDefault="00607CAD">
      <w:pPr>
        <w:pStyle w:val="Heading1"/>
        <w:suppressLineNumbers/>
        <w:tabs>
          <w:tab w:val="clear" w:pos="720"/>
          <w:tab w:val="left" w:pos="360"/>
        </w:tabs>
        <w:suppressAutoHyphens/>
        <w:kinsoku w:val="0"/>
        <w:overflowPunct w:val="0"/>
        <w:autoSpaceDE w:val="0"/>
        <w:autoSpaceDN w:val="0"/>
        <w:adjustRightInd w:val="0"/>
        <w:snapToGrid w:val="0"/>
        <w:spacing w:before="120"/>
        <w:rPr>
          <w:rFonts w:eastAsia="Times New Roman"/>
          <w:lang w:val="es-ES"/>
        </w:rPr>
      </w:pPr>
      <w:r>
        <w:rPr>
          <w:rFonts w:eastAsia="Times New Roman"/>
          <w:kern w:val="22"/>
          <w:lang w:val="es-ES"/>
        </w:rPr>
        <w:t>I.</w:t>
      </w:r>
      <w:r>
        <w:rPr>
          <w:rFonts w:eastAsia="Times New Roman"/>
          <w:kern w:val="22"/>
          <w:lang w:val="es-ES"/>
        </w:rPr>
        <w:tab/>
        <w:t>ENFOQUE Y PROCESO DE INVESTIGACIÓN</w:t>
      </w:r>
    </w:p>
    <w:p w:rsidR="00607CAD" w:rsidRDefault="00607CAD" w:rsidP="00F45747">
      <w:pPr>
        <w:pStyle w:val="Para1"/>
        <w:numPr>
          <w:ilvl w:val="0"/>
          <w:numId w:val="28"/>
        </w:numPr>
        <w:tabs>
          <w:tab w:val="clear" w:pos="0"/>
        </w:tabs>
        <w:ind w:left="0" w:firstLine="0"/>
        <w:rPr>
          <w:rFonts w:ascii="Batang" w:eastAsia="Batang"/>
          <w:color w:val="000000"/>
          <w:lang w:val="es-ES"/>
        </w:rPr>
      </w:pPr>
      <w:r>
        <w:rPr>
          <w:kern w:val="22"/>
          <w:lang w:val="es-ES"/>
        </w:rPr>
        <w:t>E</w:t>
      </w:r>
      <w:r w:rsidR="00DB35A8">
        <w:rPr>
          <w:kern w:val="22"/>
          <w:lang w:val="es-ES"/>
        </w:rPr>
        <w:t>n e</w:t>
      </w:r>
      <w:r>
        <w:rPr>
          <w:kern w:val="22"/>
          <w:lang w:val="es-ES"/>
        </w:rPr>
        <w:t xml:space="preserve">l trabajo anterior </w:t>
      </w:r>
      <w:r w:rsidR="00DB35A8">
        <w:rPr>
          <w:kern w:val="22"/>
          <w:lang w:val="es-ES"/>
        </w:rPr>
        <w:t>de elaboración de</w:t>
      </w:r>
      <w:r>
        <w:rPr>
          <w:kern w:val="22"/>
          <w:lang w:val="es-ES"/>
        </w:rPr>
        <w:t xml:space="preserve"> la tipología, realizado para la primera reunión del Órgano Subsidiario sobre la Aplicación, </w:t>
      </w:r>
      <w:r w:rsidR="00DB35A8">
        <w:rPr>
          <w:kern w:val="22"/>
          <w:lang w:val="es-ES"/>
        </w:rPr>
        <w:t xml:space="preserve">se </w:t>
      </w:r>
      <w:r w:rsidR="00624A92">
        <w:rPr>
          <w:kern w:val="22"/>
          <w:lang w:val="es-ES"/>
        </w:rPr>
        <w:t>co</w:t>
      </w:r>
      <w:r w:rsidR="00D824D3">
        <w:rPr>
          <w:kern w:val="22"/>
          <w:lang w:val="es-ES"/>
        </w:rPr>
        <w:t>n</w:t>
      </w:r>
      <w:r w:rsidR="00624A92">
        <w:rPr>
          <w:kern w:val="22"/>
          <w:lang w:val="es-ES"/>
        </w:rPr>
        <w:t>ceptualiz</w:t>
      </w:r>
      <w:r w:rsidR="00D824D3">
        <w:rPr>
          <w:kern w:val="22"/>
          <w:lang w:val="es-ES"/>
        </w:rPr>
        <w:t>ó</w:t>
      </w:r>
      <w:r>
        <w:rPr>
          <w:kern w:val="22"/>
          <w:lang w:val="es-ES"/>
        </w:rPr>
        <w:t xml:space="preserve"> </w:t>
      </w:r>
      <w:r w:rsidR="00D824D3">
        <w:rPr>
          <w:kern w:val="22"/>
          <w:lang w:val="es-ES"/>
        </w:rPr>
        <w:t>a l</w:t>
      </w:r>
      <w:r>
        <w:rPr>
          <w:kern w:val="22"/>
          <w:lang w:val="es-ES"/>
        </w:rPr>
        <w:t xml:space="preserve">a tipología como una categorización o clasificación de acciones referidas a la presentación de informes. Por consiguiente, se identificaron categorías de acciones pertinentes para la diversidad biológica sobre las que las empresas podrían informar, y se agruparon esas categorías en “temas” centrales. También se identificaron elementos básicos que </w:t>
      </w:r>
      <w:r w:rsidR="00DA33E5">
        <w:rPr>
          <w:kern w:val="22"/>
          <w:lang w:val="es-ES"/>
        </w:rPr>
        <w:t>debían</w:t>
      </w:r>
      <w:r>
        <w:rPr>
          <w:kern w:val="22"/>
          <w:lang w:val="es-ES"/>
        </w:rPr>
        <w:t xml:space="preserve"> considerarse en cada tema</w:t>
      </w:r>
      <w:r>
        <w:rPr>
          <w:rStyle w:val="FootnoteReference"/>
          <w:bCs w:val="0"/>
          <w:kern w:val="22"/>
          <w:szCs w:val="24"/>
          <w:lang w:val="es-ES"/>
        </w:rPr>
        <w:footnoteReference w:id="4"/>
      </w:r>
      <w:r>
        <w:rPr>
          <w:kern w:val="22"/>
          <w:lang w:val="es-ES"/>
        </w:rPr>
        <w:t xml:space="preserve">, con miras </w:t>
      </w:r>
      <w:r w:rsidR="00DA33E5">
        <w:rPr>
          <w:kern w:val="22"/>
          <w:lang w:val="es-ES"/>
        </w:rPr>
        <w:t xml:space="preserve">a </w:t>
      </w:r>
      <w:r>
        <w:rPr>
          <w:kern w:val="22"/>
          <w:lang w:val="es-ES"/>
        </w:rPr>
        <w:t>apoyar a las empresas en la recolección de los datos necesarios para informar en forma precisa y concisa sobre sus efectos en la diversidad biológica y sobre sus actividades relacionadas con la diversidad biológica.</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Esta tipología inicial se elaboró sobre la base de un examen de mecanismos existentes de presentación de informes, así como </w:t>
      </w:r>
      <w:r w:rsidR="00602E58">
        <w:rPr>
          <w:rFonts w:eastAsia="Times New Roman" w:cs="Times New Roman"/>
          <w:bCs w:val="0"/>
          <w:kern w:val="22"/>
          <w:szCs w:val="24"/>
          <w:lang w:val="es-ES"/>
        </w:rPr>
        <w:t xml:space="preserve">de </w:t>
      </w:r>
      <w:r>
        <w:rPr>
          <w:rFonts w:eastAsia="Times New Roman" w:cs="Times New Roman"/>
          <w:bCs w:val="0"/>
          <w:kern w:val="22"/>
          <w:szCs w:val="24"/>
          <w:lang w:val="es-ES"/>
        </w:rPr>
        <w:t xml:space="preserve">requisitos nacionales de presentación de informes. Con miras a poner a prueba y revisar la tipología inicial de acciones, y para medir el alcance y los tipos de presentaciones de informes que realizan las empresas </w:t>
      </w:r>
      <w:r w:rsidR="00602E58">
        <w:rPr>
          <w:rFonts w:eastAsia="Times New Roman" w:cs="Times New Roman"/>
          <w:bCs w:val="0"/>
          <w:kern w:val="22"/>
          <w:szCs w:val="24"/>
          <w:lang w:val="es-ES"/>
        </w:rPr>
        <w:t>en</w:t>
      </w:r>
      <w:r>
        <w:rPr>
          <w:rFonts w:eastAsia="Times New Roman" w:cs="Times New Roman"/>
          <w:bCs w:val="0"/>
          <w:kern w:val="22"/>
          <w:szCs w:val="24"/>
          <w:lang w:val="es-ES"/>
        </w:rPr>
        <w:t xml:space="preserve"> relación </w:t>
      </w:r>
      <w:r w:rsidR="00602E58">
        <w:rPr>
          <w:rFonts w:eastAsia="Times New Roman" w:cs="Times New Roman"/>
          <w:bCs w:val="0"/>
          <w:kern w:val="22"/>
          <w:szCs w:val="24"/>
          <w:lang w:val="es-ES"/>
        </w:rPr>
        <w:t>con</w:t>
      </w:r>
      <w:r>
        <w:rPr>
          <w:rFonts w:eastAsia="Times New Roman" w:cs="Times New Roman"/>
          <w:bCs w:val="0"/>
          <w:kern w:val="22"/>
          <w:szCs w:val="24"/>
          <w:lang w:val="es-ES"/>
        </w:rPr>
        <w:t xml:space="preserve"> la diversidad biológica, se examinó una muestra de informes de sostenibilidad de 100 empresas de diversos sectores y regiones, utilizando para ello principalmente la base de datos de la Iniciativa Mundial de Presentación de Informes (Global Reporting Initiative o GRI)</w:t>
      </w:r>
      <w:r>
        <w:rPr>
          <w:rStyle w:val="FootnoteReference"/>
          <w:rFonts w:eastAsia="Times New Roman"/>
          <w:bCs w:val="0"/>
          <w:kern w:val="22"/>
          <w:szCs w:val="24"/>
          <w:lang w:val="es-ES"/>
        </w:rPr>
        <w:footnoteReference w:id="5"/>
      </w:r>
      <w:r>
        <w:rPr>
          <w:rFonts w:eastAsia="Times New Roman" w:cs="Times New Roman"/>
          <w:bCs w:val="0"/>
          <w:kern w:val="22"/>
          <w:szCs w:val="24"/>
          <w:lang w:val="es-ES"/>
        </w:rPr>
        <w:t>. La muestra comprendió las siguientes empresas: a) algunas de las empresas con mayores ingresos de nueve sectores; b) empresas grandes que representan sectores considerados particularmente importantes para la integración de la diversidad biológica, como son los sectores de energía y minería, de infraestructura y manufactura y de procesamiento; c) integrantes de la Alianza Mundial de Negocios y Biodiversidad; y d)</w:t>
      </w:r>
      <w:r w:rsidR="00656E05">
        <w:rPr>
          <w:rFonts w:eastAsia="Times New Roman" w:cs="Times New Roman"/>
          <w:bCs w:val="0"/>
          <w:kern w:val="22"/>
          <w:szCs w:val="24"/>
          <w:lang w:val="es-ES"/>
        </w:rPr>
        <w:t> </w:t>
      </w:r>
      <w:r w:rsidR="00A310A4">
        <w:rPr>
          <w:rFonts w:eastAsia="Times New Roman" w:cs="Times New Roman"/>
          <w:bCs w:val="0"/>
          <w:kern w:val="22"/>
          <w:szCs w:val="24"/>
          <w:lang w:val="es-ES"/>
        </w:rPr>
        <w:t xml:space="preserve">una </w:t>
      </w:r>
      <w:r>
        <w:rPr>
          <w:rFonts w:eastAsia="Times New Roman" w:cs="Times New Roman"/>
          <w:bCs w:val="0"/>
          <w:kern w:val="22"/>
          <w:szCs w:val="24"/>
          <w:lang w:val="es-ES"/>
        </w:rPr>
        <w:t>selecci</w:t>
      </w:r>
      <w:r w:rsidR="00A310A4">
        <w:rPr>
          <w:rFonts w:eastAsia="Times New Roman" w:cs="Times New Roman"/>
          <w:bCs w:val="0"/>
          <w:kern w:val="22"/>
          <w:szCs w:val="24"/>
          <w:lang w:val="es-ES"/>
        </w:rPr>
        <w:t>ó</w:t>
      </w:r>
      <w:r>
        <w:rPr>
          <w:rFonts w:eastAsia="Times New Roman" w:cs="Times New Roman"/>
          <w:bCs w:val="0"/>
          <w:kern w:val="22"/>
          <w:szCs w:val="24"/>
          <w:lang w:val="es-ES"/>
        </w:rPr>
        <w:t>n</w:t>
      </w:r>
      <w:r w:rsidR="00A310A4">
        <w:rPr>
          <w:rFonts w:eastAsia="Times New Roman" w:cs="Times New Roman"/>
          <w:bCs w:val="0"/>
          <w:kern w:val="22"/>
          <w:szCs w:val="24"/>
          <w:lang w:val="es-ES"/>
        </w:rPr>
        <w:t xml:space="preserve"> </w:t>
      </w:r>
      <w:r>
        <w:rPr>
          <w:rFonts w:eastAsia="Times New Roman" w:cs="Times New Roman"/>
          <w:bCs w:val="0"/>
          <w:kern w:val="22"/>
          <w:szCs w:val="24"/>
          <w:lang w:val="es-ES"/>
        </w:rPr>
        <w:t>d</w:t>
      </w:r>
      <w:r w:rsidR="00A310A4">
        <w:rPr>
          <w:rFonts w:eastAsia="Times New Roman" w:cs="Times New Roman"/>
          <w:bCs w:val="0"/>
          <w:kern w:val="22"/>
          <w:szCs w:val="24"/>
          <w:lang w:val="es-ES"/>
        </w:rPr>
        <w:t>e</w:t>
      </w:r>
      <w:r>
        <w:rPr>
          <w:rFonts w:eastAsia="Times New Roman" w:cs="Times New Roman"/>
          <w:bCs w:val="0"/>
          <w:kern w:val="22"/>
          <w:szCs w:val="24"/>
          <w:lang w:val="es-ES"/>
        </w:rPr>
        <w:t xml:space="preserve"> </w:t>
      </w:r>
      <w:r w:rsidR="00A310A4">
        <w:rPr>
          <w:rFonts w:eastAsia="Times New Roman" w:cs="Times New Roman"/>
          <w:bCs w:val="0"/>
          <w:kern w:val="22"/>
          <w:szCs w:val="24"/>
          <w:lang w:val="es-ES"/>
        </w:rPr>
        <w:t>empresas con</w:t>
      </w:r>
      <w:r>
        <w:rPr>
          <w:rFonts w:eastAsia="Times New Roman" w:cs="Times New Roman"/>
          <w:bCs w:val="0"/>
          <w:kern w:val="22"/>
          <w:szCs w:val="24"/>
          <w:lang w:val="es-ES"/>
        </w:rPr>
        <w:t xml:space="preserve"> alta probabilidad de presentar informes en materia de diversidad biológica.</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Como primer paso fundamental, se analizaron los informes para determinar si las empresas consideraban a la diversidad biológica, o conceptos relacionados, como un tema material y si su </w:t>
      </w:r>
      <w:r w:rsidR="00425434">
        <w:rPr>
          <w:rFonts w:eastAsia="Times New Roman" w:cs="Times New Roman"/>
          <w:bCs w:val="0"/>
          <w:kern w:val="22"/>
          <w:szCs w:val="24"/>
          <w:lang w:val="es-ES"/>
        </w:rPr>
        <w:t xml:space="preserve">grado de </w:t>
      </w:r>
      <w:r>
        <w:rPr>
          <w:rFonts w:eastAsia="Times New Roman" w:cs="Times New Roman"/>
          <w:bCs w:val="0"/>
          <w:kern w:val="22"/>
          <w:szCs w:val="24"/>
          <w:lang w:val="es-ES"/>
        </w:rPr>
        <w:t>materialidad se calificaba, y cómo, en la matriz de materialidad u otro marco similar de la empresa</w:t>
      </w:r>
      <w:r>
        <w:rPr>
          <w:rStyle w:val="FootnoteReference"/>
          <w:rFonts w:eastAsia="Times New Roman"/>
          <w:bCs w:val="0"/>
          <w:kern w:val="22"/>
          <w:szCs w:val="24"/>
          <w:lang w:val="es-ES"/>
        </w:rPr>
        <w:footnoteReference w:id="6"/>
      </w:r>
      <w:r>
        <w:rPr>
          <w:rFonts w:eastAsia="Times New Roman" w:cs="Times New Roman"/>
          <w:bCs w:val="0"/>
          <w:kern w:val="22"/>
          <w:szCs w:val="24"/>
          <w:lang w:val="es-ES"/>
        </w:rPr>
        <w:t>. A tales efectos, además del término “diversidad biológica” o “biodiversidad”, se busc</w:t>
      </w:r>
      <w:r w:rsidR="00425434">
        <w:rPr>
          <w:rFonts w:eastAsia="Times New Roman" w:cs="Times New Roman"/>
          <w:bCs w:val="0"/>
          <w:kern w:val="22"/>
          <w:szCs w:val="24"/>
          <w:lang w:val="es-ES"/>
        </w:rPr>
        <w:t>aron</w:t>
      </w:r>
      <w:r>
        <w:rPr>
          <w:rFonts w:eastAsia="Times New Roman" w:cs="Times New Roman"/>
          <w:bCs w:val="0"/>
          <w:kern w:val="22"/>
          <w:szCs w:val="24"/>
          <w:lang w:val="es-ES"/>
        </w:rPr>
        <w:t xml:space="preserve"> otros términos pertinentes</w:t>
      </w:r>
      <w:r w:rsidR="00425434" w:rsidRPr="00425434">
        <w:rPr>
          <w:rFonts w:eastAsia="Times New Roman" w:cs="Times New Roman"/>
          <w:bCs w:val="0"/>
          <w:kern w:val="22"/>
          <w:szCs w:val="24"/>
          <w:lang w:val="es-ES"/>
        </w:rPr>
        <w:t xml:space="preserve"> </w:t>
      </w:r>
      <w:r w:rsidR="00425434">
        <w:rPr>
          <w:rFonts w:eastAsia="Times New Roman" w:cs="Times New Roman"/>
          <w:bCs w:val="0"/>
          <w:kern w:val="22"/>
          <w:szCs w:val="24"/>
          <w:lang w:val="es-ES"/>
        </w:rPr>
        <w:t>en los informes</w:t>
      </w:r>
      <w:r>
        <w:rPr>
          <w:rFonts w:eastAsia="Times New Roman" w:cs="Times New Roman"/>
          <w:bCs w:val="0"/>
          <w:kern w:val="22"/>
          <w:szCs w:val="24"/>
          <w:lang w:val="es-ES"/>
        </w:rPr>
        <w:t>, como, por ejemplo, “ecosistemas”, “servicios de los ecosistemas”, “capital natural”, “recursos naturales” y “materias primas”. Los resultados de este análisis se exponen en la nota informativa correspondiente a este tema del programa.</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kern w:val="22"/>
          <w:szCs w:val="24"/>
          <w:lang w:val="es-ES"/>
        </w:rPr>
      </w:pPr>
      <w:bookmarkStart w:id="10" w:name="_Ref512347620"/>
      <w:r>
        <w:rPr>
          <w:rFonts w:eastAsia="Times New Roman" w:cs="Times New Roman"/>
          <w:bCs w:val="0"/>
          <w:kern w:val="22"/>
          <w:szCs w:val="24"/>
          <w:lang w:val="es-ES"/>
        </w:rPr>
        <w:t xml:space="preserve">Al observarse que </w:t>
      </w:r>
      <w:r w:rsidR="00A310A4">
        <w:rPr>
          <w:rFonts w:eastAsia="Times New Roman" w:cs="Times New Roman"/>
          <w:bCs w:val="0"/>
          <w:kern w:val="22"/>
          <w:szCs w:val="24"/>
          <w:lang w:val="es-ES"/>
        </w:rPr>
        <w:t>existe</w:t>
      </w:r>
      <w:r>
        <w:rPr>
          <w:rFonts w:eastAsia="Times New Roman" w:cs="Times New Roman"/>
          <w:bCs w:val="0"/>
          <w:kern w:val="22"/>
          <w:szCs w:val="24"/>
          <w:lang w:val="es-ES"/>
        </w:rPr>
        <w:t xml:space="preserve"> un fenómeno de “fatiga” </w:t>
      </w:r>
      <w:r w:rsidR="00A310A4">
        <w:rPr>
          <w:rFonts w:eastAsia="Times New Roman" w:cs="Times New Roman"/>
          <w:bCs w:val="0"/>
          <w:kern w:val="22"/>
          <w:szCs w:val="24"/>
          <w:lang w:val="es-ES"/>
        </w:rPr>
        <w:t>de</w:t>
      </w:r>
      <w:r>
        <w:rPr>
          <w:rFonts w:eastAsia="Times New Roman" w:cs="Times New Roman"/>
          <w:bCs w:val="0"/>
          <w:kern w:val="22"/>
          <w:szCs w:val="24"/>
          <w:lang w:val="es-ES"/>
        </w:rPr>
        <w:t xml:space="preserve"> presentación de informes, </w:t>
      </w:r>
      <w:r w:rsidR="00A310A4">
        <w:rPr>
          <w:rFonts w:eastAsia="Times New Roman" w:cs="Times New Roman"/>
          <w:bCs w:val="0"/>
          <w:kern w:val="22"/>
          <w:szCs w:val="24"/>
          <w:lang w:val="es-ES"/>
        </w:rPr>
        <w:t>dado que</w:t>
      </w:r>
      <w:r>
        <w:rPr>
          <w:rFonts w:eastAsia="Times New Roman" w:cs="Times New Roman"/>
          <w:bCs w:val="0"/>
          <w:kern w:val="22"/>
          <w:szCs w:val="24"/>
          <w:lang w:val="es-ES"/>
        </w:rPr>
        <w:t xml:space="preserve"> las empresas deben presentar informes conforme a diversos requisitos legales, así como </w:t>
      </w:r>
      <w:r w:rsidR="00A310A4">
        <w:rPr>
          <w:rFonts w:eastAsia="Times New Roman" w:cs="Times New Roman"/>
          <w:bCs w:val="0"/>
          <w:kern w:val="22"/>
          <w:szCs w:val="24"/>
          <w:lang w:val="es-ES"/>
        </w:rPr>
        <w:t xml:space="preserve">en respuesta a </w:t>
      </w:r>
      <w:r>
        <w:rPr>
          <w:rFonts w:eastAsia="Times New Roman" w:cs="Times New Roman"/>
          <w:bCs w:val="0"/>
          <w:kern w:val="22"/>
          <w:szCs w:val="24"/>
          <w:lang w:val="es-ES"/>
        </w:rPr>
        <w:t>iniciativas de carácter voluntario, en función de distintos impactos y con distintos indicadores para medir cada uno de esos impactos, se consideró que una tipología más simplificada podría resultar más útil para las Partes y las empresas.</w:t>
      </w:r>
    </w:p>
    <w:bookmarkEnd w:id="10"/>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lastRenderedPageBreak/>
        <w:t>Con miras a determinar qué elementos podrían incluirse en una versión revisada de la tipología para la presentación de informes relacionados con la diversidad biológica, además de analizar informes de distintas empresas, se examinaron importantes herramientas de medición y directrices de presentación de informes existentes que son emplead</w:t>
      </w:r>
      <w:r w:rsidR="000B6B41">
        <w:rPr>
          <w:rFonts w:eastAsia="Times New Roman" w:cs="Times New Roman"/>
          <w:bCs w:val="0"/>
          <w:kern w:val="22"/>
          <w:szCs w:val="24"/>
          <w:lang w:val="es-ES"/>
        </w:rPr>
        <w:t>a</w:t>
      </w:r>
      <w:r>
        <w:rPr>
          <w:rFonts w:eastAsia="Times New Roman" w:cs="Times New Roman"/>
          <w:bCs w:val="0"/>
          <w:kern w:val="22"/>
          <w:szCs w:val="24"/>
          <w:lang w:val="es-ES"/>
        </w:rPr>
        <w:t>s normalmente por las empresas. A continuación se describen brevemente las herramientas y directrices que se examinaron en esta etapa de la investigación:</w:t>
      </w:r>
    </w:p>
    <w:p w:rsidR="00607CAD" w:rsidRDefault="00607CAD">
      <w:pPr>
        <w:pStyle w:val="Para1"/>
        <w:numPr>
          <w:ilvl w:val="1"/>
          <w:numId w:val="16"/>
        </w:numPr>
        <w:suppressLineNumbers/>
        <w:tabs>
          <w:tab w:val="clear" w:pos="1800"/>
        </w:tabs>
        <w:suppressAutoHyphens/>
        <w:kinsoku w:val="0"/>
        <w:overflowPunct w:val="0"/>
        <w:autoSpaceDE w:val="0"/>
        <w:autoSpaceDN w:val="0"/>
        <w:adjustRightInd w:val="0"/>
        <w:snapToGrid w:val="0"/>
        <w:spacing w:before="0"/>
        <w:ind w:left="0" w:firstLine="720"/>
        <w:rPr>
          <w:rFonts w:eastAsia="Times New Roman" w:cs="Times New Roman"/>
          <w:bCs w:val="0"/>
          <w:szCs w:val="24"/>
          <w:lang w:val="es-ES"/>
        </w:rPr>
      </w:pPr>
      <w:r>
        <w:rPr>
          <w:rFonts w:eastAsia="Times New Roman" w:cs="Times New Roman"/>
          <w:bCs w:val="0"/>
          <w:i/>
          <w:kern w:val="22"/>
          <w:szCs w:val="24"/>
          <w:lang w:val="es-ES"/>
        </w:rPr>
        <w:t xml:space="preserve">Carbon Disclosure Project </w:t>
      </w:r>
      <w:r>
        <w:rPr>
          <w:rFonts w:eastAsia="Times New Roman" w:cs="Times New Roman"/>
          <w:bCs w:val="0"/>
          <w:kern w:val="22"/>
          <w:szCs w:val="24"/>
          <w:lang w:val="es-ES"/>
        </w:rPr>
        <w:t>(</w:t>
      </w:r>
      <w:r>
        <w:rPr>
          <w:rFonts w:eastAsia="Times New Roman" w:cs="Times New Roman"/>
          <w:bCs w:val="0"/>
          <w:i/>
          <w:kern w:val="22"/>
          <w:szCs w:val="24"/>
          <w:lang w:val="es-ES"/>
        </w:rPr>
        <w:t>CDP)</w:t>
      </w:r>
      <w:r>
        <w:rPr>
          <w:rFonts w:eastAsia="Times New Roman" w:cs="Times New Roman"/>
          <w:bCs w:val="0"/>
          <w:kern w:val="22"/>
          <w:szCs w:val="24"/>
          <w:lang w:val="es-ES"/>
        </w:rPr>
        <w:t xml:space="preserve"> – El Proyecto de Divulgación de Emisiones de Carbono se centra en la presentación de información sobre emisiones de gases de efecto invernadero y sobre recursos hídricos y silvicultura. Con el respaldo de más de 800 inversores institucionales, el CDP recaba información mediante cuestionarios anuales enviados en nombre de dichos inversores institucionales. En 2017, respondieron más de 5.600 empresas. Si bien está pensado principalmente para la comunidad financiera, es una herramienta de medición importante</w:t>
      </w:r>
      <w:r>
        <w:rPr>
          <w:rStyle w:val="FootnoteReference"/>
          <w:rFonts w:eastAsia="Times New Roman"/>
          <w:bCs w:val="0"/>
          <w:kern w:val="22"/>
          <w:szCs w:val="24"/>
          <w:lang w:val="es-ES"/>
        </w:rPr>
        <w:footnoteReference w:id="7"/>
      </w:r>
      <w:r>
        <w:rPr>
          <w:rFonts w:eastAsia="Times New Roman" w:cs="Times New Roman"/>
          <w:bCs w:val="0"/>
          <w:kern w:val="22"/>
          <w:szCs w:val="24"/>
          <w:lang w:val="es-ES"/>
        </w:rPr>
        <w:t>;</w:t>
      </w:r>
    </w:p>
    <w:p w:rsidR="00607CAD" w:rsidRDefault="00607CAD">
      <w:pPr>
        <w:pStyle w:val="Para1"/>
        <w:numPr>
          <w:ilvl w:val="1"/>
          <w:numId w:val="16"/>
        </w:numPr>
        <w:suppressLineNumbers/>
        <w:tabs>
          <w:tab w:val="clear" w:pos="1800"/>
        </w:tabs>
        <w:suppressAutoHyphens/>
        <w:kinsoku w:val="0"/>
        <w:overflowPunct w:val="0"/>
        <w:autoSpaceDE w:val="0"/>
        <w:autoSpaceDN w:val="0"/>
        <w:adjustRightInd w:val="0"/>
        <w:snapToGrid w:val="0"/>
        <w:spacing w:before="0"/>
        <w:ind w:left="0" w:firstLine="720"/>
        <w:rPr>
          <w:rFonts w:eastAsia="Times New Roman" w:cs="Times New Roman"/>
          <w:bCs w:val="0"/>
          <w:szCs w:val="24"/>
          <w:lang w:val="es-ES"/>
        </w:rPr>
      </w:pPr>
      <w:r>
        <w:rPr>
          <w:rFonts w:eastAsia="Times New Roman" w:cs="Times New Roman"/>
          <w:bCs w:val="0"/>
          <w:i/>
          <w:kern w:val="22"/>
          <w:szCs w:val="24"/>
          <w:lang w:val="es-ES"/>
        </w:rPr>
        <w:t>Climate Disclosure Standards Board (CDSB)</w:t>
      </w:r>
      <w:r>
        <w:rPr>
          <w:rFonts w:eastAsia="Times New Roman" w:cs="Times New Roman"/>
          <w:bCs w:val="0"/>
          <w:kern w:val="22"/>
          <w:szCs w:val="24"/>
          <w:lang w:val="es-ES"/>
        </w:rPr>
        <w:t xml:space="preserve"> – La Junta de Estándares de Divulgación Climática es una asociación de </w:t>
      </w:r>
      <w:r w:rsidR="000B6B41">
        <w:rPr>
          <w:rFonts w:eastAsia="Times New Roman" w:cs="Times New Roman"/>
          <w:bCs w:val="0"/>
          <w:kern w:val="22"/>
          <w:szCs w:val="24"/>
          <w:lang w:val="es-ES"/>
        </w:rPr>
        <w:t xml:space="preserve">empresas y </w:t>
      </w:r>
      <w:r>
        <w:rPr>
          <w:rFonts w:eastAsia="Times New Roman" w:cs="Times New Roman"/>
          <w:bCs w:val="0"/>
          <w:kern w:val="22"/>
          <w:szCs w:val="24"/>
          <w:lang w:val="es-ES"/>
        </w:rPr>
        <w:t xml:space="preserve">organizaciones </w:t>
      </w:r>
      <w:r w:rsidR="000B6B41">
        <w:rPr>
          <w:rFonts w:eastAsia="Times New Roman" w:cs="Times New Roman"/>
          <w:bCs w:val="0"/>
          <w:kern w:val="22"/>
          <w:szCs w:val="24"/>
          <w:lang w:val="es-ES"/>
        </w:rPr>
        <w:t>ambientales dedicada</w:t>
      </w:r>
      <w:r>
        <w:rPr>
          <w:rFonts w:eastAsia="Times New Roman" w:cs="Times New Roman"/>
          <w:bCs w:val="0"/>
          <w:kern w:val="22"/>
          <w:szCs w:val="24"/>
          <w:lang w:val="es-ES"/>
        </w:rPr>
        <w:t xml:space="preserve"> a promover y armonizar la presentación de informes empresariales para equiparar el capital natural con el capital financiero. Proporciona un marco para la presentación de información ambiental</w:t>
      </w:r>
      <w:r>
        <w:rPr>
          <w:rStyle w:val="FootnoteReference"/>
          <w:rFonts w:eastAsia="Times New Roman"/>
          <w:bCs w:val="0"/>
          <w:kern w:val="22"/>
          <w:szCs w:val="24"/>
          <w:lang w:val="es-ES"/>
        </w:rPr>
        <w:footnoteReference w:id="8"/>
      </w:r>
      <w:r>
        <w:rPr>
          <w:rFonts w:eastAsia="Times New Roman" w:cs="Times New Roman"/>
          <w:bCs w:val="0"/>
          <w:kern w:val="22"/>
          <w:szCs w:val="24"/>
          <w:lang w:val="es-ES"/>
        </w:rPr>
        <w:t>;</w:t>
      </w:r>
    </w:p>
    <w:p w:rsidR="00607CAD" w:rsidRDefault="00607CAD">
      <w:pPr>
        <w:pStyle w:val="Para1"/>
        <w:numPr>
          <w:ilvl w:val="1"/>
          <w:numId w:val="16"/>
        </w:numPr>
        <w:suppressLineNumbers/>
        <w:tabs>
          <w:tab w:val="clear" w:pos="1800"/>
        </w:tabs>
        <w:suppressAutoHyphens/>
        <w:kinsoku w:val="0"/>
        <w:overflowPunct w:val="0"/>
        <w:autoSpaceDE w:val="0"/>
        <w:autoSpaceDN w:val="0"/>
        <w:adjustRightInd w:val="0"/>
        <w:snapToGrid w:val="0"/>
        <w:spacing w:before="0"/>
        <w:ind w:left="0" w:firstLine="720"/>
        <w:rPr>
          <w:rFonts w:eastAsia="Times New Roman" w:cs="Times New Roman"/>
          <w:bCs w:val="0"/>
          <w:szCs w:val="24"/>
          <w:lang w:val="es-ES"/>
        </w:rPr>
      </w:pPr>
      <w:bookmarkStart w:id="11" w:name="_Ref515837303"/>
      <w:r>
        <w:rPr>
          <w:rFonts w:eastAsia="Times New Roman" w:cs="Times New Roman"/>
          <w:bCs w:val="0"/>
          <w:i/>
          <w:kern w:val="22"/>
          <w:szCs w:val="24"/>
          <w:lang w:val="es-ES"/>
        </w:rPr>
        <w:t xml:space="preserve">Global Reporting Initiative (GRI) </w:t>
      </w:r>
      <w:r>
        <w:rPr>
          <w:rFonts w:eastAsia="Times New Roman" w:cs="Times New Roman"/>
          <w:bCs w:val="0"/>
          <w:kern w:val="22"/>
          <w:szCs w:val="24"/>
          <w:lang w:val="es-ES"/>
        </w:rPr>
        <w:t xml:space="preserve">– La Iniciativa Mundial de Presentación de Informes es una organización internacional independiente de fijación de estándares que ayuda a empresas, Gobiernos y otras organizaciones a entender y comunicar sus impactos en cuestiones como el cambio climático, los derechos humanos y la corrupción. La GRI elabora estándares (anteriormente directrices) utilizados por miles de empresas y organismos públicos de más de 100 países para sus presentaciones de informes. Se han registrado más de 46.000 informes en la Base de </w:t>
      </w:r>
      <w:r w:rsidR="00425434">
        <w:rPr>
          <w:rFonts w:eastAsia="Times New Roman" w:cs="Times New Roman"/>
          <w:bCs w:val="0"/>
          <w:kern w:val="22"/>
          <w:szCs w:val="24"/>
          <w:lang w:val="es-ES"/>
        </w:rPr>
        <w:t xml:space="preserve">Datos de </w:t>
      </w:r>
      <w:r>
        <w:rPr>
          <w:rFonts w:eastAsia="Times New Roman" w:cs="Times New Roman"/>
          <w:bCs w:val="0"/>
          <w:kern w:val="22"/>
          <w:szCs w:val="24"/>
          <w:lang w:val="es-ES"/>
        </w:rPr>
        <w:t>Sostenibilidad de la GRI y c</w:t>
      </w:r>
      <w:r w:rsidR="00DE0E9C">
        <w:rPr>
          <w:rFonts w:eastAsia="Times New Roman" w:cs="Times New Roman"/>
          <w:bCs w:val="0"/>
          <w:kern w:val="22"/>
          <w:szCs w:val="24"/>
          <w:lang w:val="es-ES"/>
        </w:rPr>
        <w:t>erc</w:t>
      </w:r>
      <w:r>
        <w:rPr>
          <w:rFonts w:eastAsia="Times New Roman" w:cs="Times New Roman"/>
          <w:bCs w:val="0"/>
          <w:kern w:val="22"/>
          <w:szCs w:val="24"/>
          <w:lang w:val="es-ES"/>
        </w:rPr>
        <w:t>a</w:t>
      </w:r>
      <w:r w:rsidR="00DE0E9C">
        <w:rPr>
          <w:rFonts w:eastAsia="Times New Roman" w:cs="Times New Roman"/>
          <w:bCs w:val="0"/>
          <w:kern w:val="22"/>
          <w:szCs w:val="24"/>
          <w:lang w:val="es-ES"/>
        </w:rPr>
        <w:t xml:space="preserve"> de</w:t>
      </w:r>
      <w:r>
        <w:rPr>
          <w:rFonts w:eastAsia="Times New Roman" w:cs="Times New Roman"/>
          <w:bCs w:val="0"/>
          <w:kern w:val="22"/>
          <w:szCs w:val="24"/>
          <w:lang w:val="es-ES"/>
        </w:rPr>
        <w:t xml:space="preserve"> 60 países y regiones hacen referencia a la GRI en sus políticas. La GRI fue reconocida como el estándar oficial de presentación de informes del Pacto Mundial de las Naciones Unidas, lo cual significa que es el marco de presentación de informes por defecto de sus 9.000 empresas asociadas. De las 250 compañías más grandes del mundo</w:t>
      </w:r>
      <w:r w:rsidR="00DE0E9C">
        <w:rPr>
          <w:rFonts w:eastAsia="Times New Roman" w:cs="Times New Roman"/>
          <w:bCs w:val="0"/>
          <w:kern w:val="22"/>
          <w:szCs w:val="24"/>
          <w:lang w:val="es-ES"/>
        </w:rPr>
        <w:t>, el 93% informa</w:t>
      </w:r>
      <w:r>
        <w:rPr>
          <w:rFonts w:eastAsia="Times New Roman" w:cs="Times New Roman"/>
          <w:bCs w:val="0"/>
          <w:kern w:val="22"/>
          <w:szCs w:val="24"/>
          <w:lang w:val="es-ES"/>
        </w:rPr>
        <w:t xml:space="preserve"> sobre su desempeño en materia de sostenibi</w:t>
      </w:r>
      <w:r w:rsidR="00DE0E9C">
        <w:rPr>
          <w:rFonts w:eastAsia="Times New Roman" w:cs="Times New Roman"/>
          <w:bCs w:val="0"/>
          <w:kern w:val="22"/>
          <w:szCs w:val="24"/>
          <w:lang w:val="es-ES"/>
        </w:rPr>
        <w:t>lidad, y el 75% de estas emplea</w:t>
      </w:r>
      <w:r>
        <w:rPr>
          <w:rFonts w:eastAsia="Times New Roman" w:cs="Times New Roman"/>
          <w:bCs w:val="0"/>
          <w:kern w:val="22"/>
          <w:szCs w:val="24"/>
          <w:lang w:val="es-ES"/>
        </w:rPr>
        <w:t xml:space="preserve"> las directrices de la GRI para hacerlo</w:t>
      </w:r>
      <w:r>
        <w:rPr>
          <w:rStyle w:val="FootnoteReference"/>
          <w:rFonts w:eastAsia="Times New Roman"/>
          <w:bCs w:val="0"/>
          <w:kern w:val="22"/>
          <w:szCs w:val="24"/>
          <w:lang w:val="es-ES"/>
        </w:rPr>
        <w:footnoteReference w:id="9"/>
      </w:r>
      <w:r>
        <w:rPr>
          <w:rFonts w:eastAsia="Times New Roman" w:cs="Times New Roman"/>
          <w:bCs w:val="0"/>
          <w:kern w:val="22"/>
          <w:szCs w:val="24"/>
          <w:lang w:val="es-ES"/>
        </w:rPr>
        <w:t>. Los estándares de la GRI incluyen cuatro “contenidos” referidos a diversidad biológica y el enfoque de gestión para la diversidad biológica aplicando el estándar GRI 103 de enfoque de gestión</w:t>
      </w:r>
      <w:r>
        <w:rPr>
          <w:rStyle w:val="FootnoteReference"/>
          <w:rFonts w:eastAsia="Times New Roman"/>
          <w:bCs w:val="0"/>
          <w:kern w:val="22"/>
          <w:szCs w:val="24"/>
          <w:lang w:val="es-ES"/>
        </w:rPr>
        <w:footnoteReference w:id="10"/>
      </w:r>
      <w:r>
        <w:rPr>
          <w:rFonts w:eastAsia="Times New Roman" w:cs="Times New Roman"/>
          <w:bCs w:val="0"/>
          <w:kern w:val="22"/>
          <w:szCs w:val="24"/>
          <w:lang w:val="es-ES"/>
        </w:rPr>
        <w:t xml:space="preserve"> así como otros indicadores que son pertinentes para la diversidad biológica;</w:t>
      </w:r>
      <w:bookmarkEnd w:id="11"/>
    </w:p>
    <w:p w:rsidR="00607CAD" w:rsidRDefault="00607CAD">
      <w:pPr>
        <w:pStyle w:val="Para1"/>
        <w:numPr>
          <w:ilvl w:val="1"/>
          <w:numId w:val="16"/>
        </w:numPr>
        <w:suppressLineNumbers/>
        <w:tabs>
          <w:tab w:val="clear" w:pos="1800"/>
        </w:tabs>
        <w:suppressAutoHyphens/>
        <w:kinsoku w:val="0"/>
        <w:overflowPunct w:val="0"/>
        <w:autoSpaceDE w:val="0"/>
        <w:autoSpaceDN w:val="0"/>
        <w:adjustRightInd w:val="0"/>
        <w:snapToGrid w:val="0"/>
        <w:spacing w:before="0"/>
        <w:ind w:left="0" w:firstLine="720"/>
        <w:rPr>
          <w:rFonts w:eastAsia="Times New Roman" w:cs="Times New Roman"/>
          <w:bCs w:val="0"/>
          <w:szCs w:val="24"/>
          <w:lang w:val="es-ES"/>
        </w:rPr>
      </w:pPr>
      <w:r>
        <w:rPr>
          <w:rFonts w:eastAsia="Times New Roman" w:cs="Times New Roman"/>
          <w:bCs w:val="0"/>
          <w:i/>
          <w:kern w:val="22"/>
          <w:szCs w:val="24"/>
          <w:lang w:val="es-ES"/>
        </w:rPr>
        <w:t>International Integrated Reporting Council (IIRC)</w:t>
      </w:r>
      <w:r>
        <w:rPr>
          <w:rFonts w:eastAsia="Times New Roman" w:cs="Times New Roman"/>
          <w:bCs w:val="0"/>
          <w:kern w:val="22"/>
          <w:szCs w:val="24"/>
          <w:lang w:val="es-ES"/>
        </w:rPr>
        <w:t xml:space="preserve"> – El </w:t>
      </w:r>
      <w:r w:rsidRPr="00DE0E9C">
        <w:rPr>
          <w:rFonts w:eastAsia="Times New Roman" w:cs="Times New Roman"/>
          <w:bCs w:val="0"/>
          <w:kern w:val="22"/>
          <w:szCs w:val="24"/>
          <w:lang w:val="es-ES"/>
        </w:rPr>
        <w:t>Consejo Internacional de Informes Integrados</w:t>
      </w:r>
      <w:r>
        <w:rPr>
          <w:rFonts w:eastAsia="Times New Roman" w:cs="Times New Roman"/>
          <w:bCs w:val="0"/>
          <w:i/>
          <w:kern w:val="22"/>
          <w:szCs w:val="24"/>
          <w:lang w:val="es-ES"/>
        </w:rPr>
        <w:t xml:space="preserve"> </w:t>
      </w:r>
      <w:r>
        <w:rPr>
          <w:rFonts w:eastAsia="Times New Roman" w:cs="Times New Roman"/>
          <w:bCs w:val="0"/>
          <w:kern w:val="22"/>
          <w:szCs w:val="24"/>
          <w:lang w:val="es-ES"/>
        </w:rPr>
        <w:t>creó un Marco de Elaboración de Informes Integrados que incluye la diversidad biológica y la salud de los ecosistemas. Dado que es un marco general para</w:t>
      </w:r>
      <w:r w:rsidR="0032708D">
        <w:rPr>
          <w:rFonts w:eastAsia="Times New Roman" w:cs="Times New Roman"/>
          <w:bCs w:val="0"/>
          <w:kern w:val="22"/>
          <w:szCs w:val="24"/>
          <w:lang w:val="es-ES"/>
        </w:rPr>
        <w:t xml:space="preserve"> la </w:t>
      </w:r>
      <w:r>
        <w:rPr>
          <w:rFonts w:eastAsia="Times New Roman" w:cs="Times New Roman"/>
          <w:bCs w:val="0"/>
          <w:kern w:val="22"/>
          <w:szCs w:val="24"/>
          <w:lang w:val="es-ES"/>
        </w:rPr>
        <w:t>integra</w:t>
      </w:r>
      <w:r w:rsidR="0032708D">
        <w:rPr>
          <w:rFonts w:eastAsia="Times New Roman" w:cs="Times New Roman"/>
          <w:bCs w:val="0"/>
          <w:kern w:val="22"/>
          <w:szCs w:val="24"/>
          <w:lang w:val="es-ES"/>
        </w:rPr>
        <w:t>ción de</w:t>
      </w:r>
      <w:r>
        <w:rPr>
          <w:rFonts w:eastAsia="Times New Roman" w:cs="Times New Roman"/>
          <w:bCs w:val="0"/>
          <w:kern w:val="22"/>
          <w:szCs w:val="24"/>
          <w:lang w:val="es-ES"/>
        </w:rPr>
        <w:t xml:space="preserve"> </w:t>
      </w:r>
      <w:r w:rsidR="00A61277">
        <w:rPr>
          <w:rFonts w:eastAsia="Times New Roman" w:cs="Times New Roman"/>
          <w:bCs w:val="0"/>
          <w:kern w:val="22"/>
          <w:szCs w:val="24"/>
          <w:lang w:val="es-ES"/>
        </w:rPr>
        <w:t>la</w:t>
      </w:r>
      <w:r>
        <w:rPr>
          <w:rFonts w:eastAsia="Times New Roman" w:cs="Times New Roman"/>
          <w:bCs w:val="0"/>
          <w:kern w:val="22"/>
          <w:szCs w:val="24"/>
          <w:lang w:val="es-ES"/>
        </w:rPr>
        <w:t xml:space="preserve"> reflexión y </w:t>
      </w:r>
      <w:r w:rsidR="00A61277">
        <w:rPr>
          <w:rFonts w:eastAsia="Times New Roman" w:cs="Times New Roman"/>
          <w:bCs w:val="0"/>
          <w:kern w:val="22"/>
          <w:szCs w:val="24"/>
          <w:lang w:val="es-ES"/>
        </w:rPr>
        <w:t>la</w:t>
      </w:r>
      <w:r>
        <w:rPr>
          <w:rFonts w:eastAsia="Times New Roman" w:cs="Times New Roman"/>
          <w:bCs w:val="0"/>
          <w:kern w:val="22"/>
          <w:szCs w:val="24"/>
          <w:lang w:val="es-ES"/>
        </w:rPr>
        <w:t xml:space="preserve"> toma de decisiones, no incluye </w:t>
      </w:r>
      <w:r w:rsidR="00A61277">
        <w:rPr>
          <w:rFonts w:eastAsia="Times New Roman" w:cs="Times New Roman"/>
          <w:bCs w:val="0"/>
          <w:kern w:val="22"/>
          <w:szCs w:val="24"/>
          <w:lang w:val="es-ES"/>
        </w:rPr>
        <w:t>sistemas de medición ni</w:t>
      </w:r>
      <w:r>
        <w:rPr>
          <w:rFonts w:eastAsia="Times New Roman" w:cs="Times New Roman"/>
          <w:bCs w:val="0"/>
          <w:kern w:val="22"/>
          <w:szCs w:val="24"/>
          <w:lang w:val="es-ES"/>
        </w:rPr>
        <w:t xml:space="preserve"> indicadores específicos</w:t>
      </w:r>
      <w:r>
        <w:rPr>
          <w:rStyle w:val="FootnoteReference"/>
          <w:rFonts w:eastAsia="Times New Roman"/>
          <w:bCs w:val="0"/>
          <w:kern w:val="22"/>
          <w:szCs w:val="24"/>
          <w:lang w:val="es-ES"/>
        </w:rPr>
        <w:footnoteReference w:id="11"/>
      </w:r>
      <w:r>
        <w:rPr>
          <w:rFonts w:eastAsia="Times New Roman" w:cs="Times New Roman"/>
          <w:bCs w:val="0"/>
          <w:kern w:val="22"/>
          <w:szCs w:val="24"/>
          <w:lang w:val="es-ES"/>
        </w:rPr>
        <w:t>;</w:t>
      </w:r>
    </w:p>
    <w:p w:rsidR="00607CAD" w:rsidRDefault="00607CAD">
      <w:pPr>
        <w:pStyle w:val="Para1"/>
        <w:numPr>
          <w:ilvl w:val="1"/>
          <w:numId w:val="16"/>
        </w:numPr>
        <w:suppressLineNumbers/>
        <w:tabs>
          <w:tab w:val="clear" w:pos="1800"/>
        </w:tabs>
        <w:suppressAutoHyphens/>
        <w:kinsoku w:val="0"/>
        <w:overflowPunct w:val="0"/>
        <w:autoSpaceDE w:val="0"/>
        <w:autoSpaceDN w:val="0"/>
        <w:adjustRightInd w:val="0"/>
        <w:snapToGrid w:val="0"/>
        <w:spacing w:before="0"/>
        <w:ind w:left="0" w:firstLine="720"/>
        <w:rPr>
          <w:rFonts w:eastAsia="Times New Roman" w:cs="Times New Roman"/>
          <w:bCs w:val="0"/>
          <w:szCs w:val="24"/>
          <w:lang w:val="es-ES"/>
        </w:rPr>
      </w:pPr>
      <w:r w:rsidRPr="0062644E">
        <w:rPr>
          <w:rFonts w:eastAsia="Times New Roman" w:cs="Times New Roman"/>
          <w:bCs w:val="0"/>
          <w:i/>
          <w:kern w:val="22"/>
          <w:szCs w:val="24"/>
          <w:lang w:val="en-US"/>
        </w:rPr>
        <w:t xml:space="preserve">Sustainability Accounting Standards Board </w:t>
      </w:r>
      <w:r w:rsidR="00A61277" w:rsidRPr="0062644E">
        <w:rPr>
          <w:rFonts w:eastAsia="Times New Roman" w:cs="Times New Roman"/>
          <w:bCs w:val="0"/>
          <w:i/>
          <w:kern w:val="22"/>
          <w:szCs w:val="24"/>
          <w:lang w:val="en-US"/>
        </w:rPr>
        <w:t>(</w:t>
      </w:r>
      <w:r w:rsidRPr="0062644E">
        <w:rPr>
          <w:rFonts w:eastAsia="Times New Roman" w:cs="Times New Roman"/>
          <w:bCs w:val="0"/>
          <w:i/>
          <w:kern w:val="22"/>
          <w:szCs w:val="24"/>
          <w:lang w:val="en-US"/>
        </w:rPr>
        <w:t>SASB</w:t>
      </w:r>
      <w:r>
        <w:rPr>
          <w:rFonts w:eastAsia="Times New Roman" w:cs="Times New Roman"/>
          <w:bCs w:val="0"/>
          <w:i/>
          <w:kern w:val="22"/>
          <w:szCs w:val="24"/>
          <w:lang w:val="es-ES"/>
        </w:rPr>
        <w:t>)</w:t>
      </w:r>
      <w:r>
        <w:rPr>
          <w:rFonts w:eastAsia="Times New Roman" w:cs="Times New Roman"/>
          <w:bCs w:val="0"/>
          <w:kern w:val="22"/>
          <w:szCs w:val="24"/>
          <w:lang w:val="es-ES"/>
        </w:rPr>
        <w:t xml:space="preserve"> </w:t>
      </w:r>
      <w:r w:rsidR="00A61277">
        <w:rPr>
          <w:rFonts w:eastAsia="Times New Roman" w:cs="Times New Roman"/>
          <w:bCs w:val="0"/>
          <w:kern w:val="22"/>
          <w:szCs w:val="24"/>
          <w:lang w:val="es-ES"/>
        </w:rPr>
        <w:t xml:space="preserve">– La Junta de Estándares de Contabilidad de la Sostenibilidad </w:t>
      </w:r>
      <w:r>
        <w:rPr>
          <w:rFonts w:eastAsia="Times New Roman" w:cs="Times New Roman"/>
          <w:bCs w:val="0"/>
          <w:kern w:val="22"/>
          <w:szCs w:val="24"/>
          <w:lang w:val="es-ES"/>
        </w:rPr>
        <w:t xml:space="preserve">proporciona estándares de contabilidad en materia de sostenibilidad para empresas con sede en los Estados Unidos, para la divulgación de información material de sostenibilidad en sus presentaciones ante la Comisión de Valores y Bolsa. Los estándares de la SASB identifican temas de sostenibilidad y mediciones contables relacionadas a nivel de industria que </w:t>
      </w:r>
      <w:r w:rsidR="0032708D">
        <w:rPr>
          <w:rFonts w:eastAsia="Times New Roman" w:cs="Times New Roman"/>
          <w:bCs w:val="0"/>
          <w:kern w:val="22"/>
          <w:szCs w:val="24"/>
          <w:lang w:val="es-ES"/>
        </w:rPr>
        <w:t>pu</w:t>
      </w:r>
      <w:r>
        <w:rPr>
          <w:rFonts w:eastAsia="Times New Roman" w:cs="Times New Roman"/>
          <w:bCs w:val="0"/>
          <w:kern w:val="22"/>
          <w:szCs w:val="24"/>
          <w:lang w:val="es-ES"/>
        </w:rPr>
        <w:t>e</w:t>
      </w:r>
      <w:r w:rsidR="0032708D">
        <w:rPr>
          <w:rFonts w:eastAsia="Times New Roman" w:cs="Times New Roman"/>
          <w:bCs w:val="0"/>
          <w:kern w:val="22"/>
          <w:szCs w:val="24"/>
          <w:lang w:val="es-ES"/>
        </w:rPr>
        <w:t>den</w:t>
      </w:r>
      <w:r>
        <w:rPr>
          <w:rFonts w:eastAsia="Times New Roman" w:cs="Times New Roman"/>
          <w:bCs w:val="0"/>
          <w:kern w:val="22"/>
          <w:szCs w:val="24"/>
          <w:lang w:val="es-ES"/>
        </w:rPr>
        <w:t xml:space="preserve"> probable</w:t>
      </w:r>
      <w:r w:rsidR="0032708D">
        <w:rPr>
          <w:rFonts w:eastAsia="Times New Roman" w:cs="Times New Roman"/>
          <w:bCs w:val="0"/>
          <w:kern w:val="22"/>
          <w:szCs w:val="24"/>
          <w:lang w:val="es-ES"/>
        </w:rPr>
        <w:t>m</w:t>
      </w:r>
      <w:r>
        <w:rPr>
          <w:rFonts w:eastAsia="Times New Roman" w:cs="Times New Roman"/>
          <w:bCs w:val="0"/>
          <w:kern w:val="22"/>
          <w:szCs w:val="24"/>
          <w:lang w:val="es-ES"/>
        </w:rPr>
        <w:t>e</w:t>
      </w:r>
      <w:r w:rsidR="0032708D">
        <w:rPr>
          <w:rFonts w:eastAsia="Times New Roman" w:cs="Times New Roman"/>
          <w:bCs w:val="0"/>
          <w:kern w:val="22"/>
          <w:szCs w:val="24"/>
          <w:lang w:val="es-ES"/>
        </w:rPr>
        <w:t>nte</w:t>
      </w:r>
      <w:r>
        <w:rPr>
          <w:rFonts w:eastAsia="Times New Roman" w:cs="Times New Roman"/>
          <w:bCs w:val="0"/>
          <w:kern w:val="22"/>
          <w:szCs w:val="24"/>
          <w:lang w:val="es-ES"/>
        </w:rPr>
        <w:t xml:space="preserve"> constitu</w:t>
      </w:r>
      <w:r w:rsidR="0032708D">
        <w:rPr>
          <w:rFonts w:eastAsia="Times New Roman" w:cs="Times New Roman"/>
          <w:bCs w:val="0"/>
          <w:kern w:val="22"/>
          <w:szCs w:val="24"/>
          <w:lang w:val="es-ES"/>
        </w:rPr>
        <w:t>ir</w:t>
      </w:r>
      <w:r>
        <w:rPr>
          <w:rFonts w:eastAsia="Times New Roman" w:cs="Times New Roman"/>
          <w:bCs w:val="0"/>
          <w:kern w:val="22"/>
          <w:szCs w:val="24"/>
          <w:lang w:val="es-ES"/>
        </w:rPr>
        <w:t xml:space="preserve"> información material para las empresas de esa industria. La SASB está desarrollando estándares provisionales para más de 80 industrias en 10 sectores</w:t>
      </w:r>
      <w:r>
        <w:rPr>
          <w:rStyle w:val="FootnoteReference"/>
          <w:rFonts w:eastAsia="Times New Roman"/>
          <w:bCs w:val="0"/>
          <w:kern w:val="22"/>
          <w:szCs w:val="24"/>
          <w:lang w:val="es-ES"/>
        </w:rPr>
        <w:footnoteReference w:id="12"/>
      </w:r>
      <w:r>
        <w:rPr>
          <w:rFonts w:eastAsia="Times New Roman" w:cs="Times New Roman"/>
          <w:bCs w:val="0"/>
          <w:kern w:val="22"/>
          <w:szCs w:val="24"/>
          <w:lang w:val="es-ES"/>
        </w:rPr>
        <w:t>.</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Además de </w:t>
      </w:r>
      <w:r w:rsidR="0032708D">
        <w:rPr>
          <w:rFonts w:eastAsia="Times New Roman" w:cs="Times New Roman"/>
          <w:bCs w:val="0"/>
          <w:kern w:val="22"/>
          <w:szCs w:val="24"/>
          <w:lang w:val="es-ES"/>
        </w:rPr>
        <w:t>est</w:t>
      </w:r>
      <w:r>
        <w:rPr>
          <w:rFonts w:eastAsia="Times New Roman" w:cs="Times New Roman"/>
          <w:bCs w:val="0"/>
          <w:kern w:val="22"/>
          <w:szCs w:val="24"/>
          <w:lang w:val="es-ES"/>
        </w:rPr>
        <w:t xml:space="preserve">as herramientas </w:t>
      </w:r>
      <w:r w:rsidR="0032708D">
        <w:rPr>
          <w:rFonts w:eastAsia="Times New Roman" w:cs="Times New Roman"/>
          <w:bCs w:val="0"/>
          <w:kern w:val="22"/>
          <w:szCs w:val="24"/>
          <w:lang w:val="es-ES"/>
        </w:rPr>
        <w:t>glob</w:t>
      </w:r>
      <w:r>
        <w:rPr>
          <w:rFonts w:eastAsia="Times New Roman" w:cs="Times New Roman"/>
          <w:bCs w:val="0"/>
          <w:kern w:val="22"/>
          <w:szCs w:val="24"/>
          <w:lang w:val="es-ES"/>
        </w:rPr>
        <w:t xml:space="preserve">ales de presentación de informes, </w:t>
      </w:r>
      <w:r w:rsidR="00BF2777">
        <w:rPr>
          <w:rFonts w:eastAsia="Times New Roman" w:cs="Times New Roman"/>
          <w:bCs w:val="0"/>
          <w:kern w:val="22"/>
          <w:szCs w:val="24"/>
          <w:lang w:val="es-ES"/>
        </w:rPr>
        <w:t>hay</w:t>
      </w:r>
      <w:r>
        <w:rPr>
          <w:rFonts w:eastAsia="Times New Roman" w:cs="Times New Roman"/>
          <w:bCs w:val="0"/>
          <w:kern w:val="22"/>
          <w:szCs w:val="24"/>
          <w:lang w:val="es-ES"/>
        </w:rPr>
        <w:t xml:space="preserve"> una serie de iniciativas dirigidas específicamente a la diversidad biológica. Cinco miembros de la Alianza Mundial de Negocios y Biodiversidad establecieron mecanismos para que sus miembros asuman compromisos relacionados con la </w:t>
      </w:r>
      <w:r>
        <w:rPr>
          <w:rFonts w:eastAsia="Times New Roman" w:cs="Times New Roman"/>
          <w:bCs w:val="0"/>
          <w:kern w:val="22"/>
          <w:szCs w:val="24"/>
          <w:lang w:val="es-ES"/>
        </w:rPr>
        <w:lastRenderedPageBreak/>
        <w:t xml:space="preserve">diversidad biológica. Estos compromisos se suelen denominar declaraciones y sus miembros empresariales deben informar conforme a </w:t>
      </w:r>
      <w:r w:rsidR="00E80E97">
        <w:rPr>
          <w:rFonts w:eastAsia="Times New Roman" w:cs="Times New Roman"/>
          <w:bCs w:val="0"/>
          <w:kern w:val="22"/>
          <w:szCs w:val="24"/>
          <w:lang w:val="es-ES"/>
        </w:rPr>
        <w:t>esas</w:t>
      </w:r>
      <w:r>
        <w:rPr>
          <w:rFonts w:eastAsia="Times New Roman" w:cs="Times New Roman"/>
          <w:bCs w:val="0"/>
          <w:kern w:val="22"/>
          <w:szCs w:val="24"/>
          <w:lang w:val="es-ES"/>
        </w:rPr>
        <w:t xml:space="preserve"> declaraciones. Las asociaciones alemana e india actualmente exigen a todos los signatarios de sus respectivos compromisos que presenten un informe cada dos años, </w:t>
      </w:r>
      <w:r w:rsidR="00E80E97">
        <w:rPr>
          <w:rFonts w:eastAsia="Times New Roman" w:cs="Times New Roman"/>
          <w:bCs w:val="0"/>
          <w:kern w:val="22"/>
          <w:szCs w:val="24"/>
          <w:lang w:val="es-ES"/>
        </w:rPr>
        <w:t>mientras que</w:t>
      </w:r>
      <w:r>
        <w:rPr>
          <w:rFonts w:eastAsia="Times New Roman" w:cs="Times New Roman"/>
          <w:bCs w:val="0"/>
          <w:kern w:val="22"/>
          <w:szCs w:val="24"/>
          <w:lang w:val="es-ES"/>
        </w:rPr>
        <w:t xml:space="preserve"> la asociación española exige que lo hagan cada tres años. El Compromiso de Negocios y Biodiversidad en el marco del Convenio, </w:t>
      </w:r>
      <w:r w:rsidR="00E80E97">
        <w:rPr>
          <w:rFonts w:eastAsia="Times New Roman" w:cs="Times New Roman"/>
          <w:bCs w:val="0"/>
          <w:kern w:val="22"/>
          <w:szCs w:val="24"/>
          <w:lang w:val="es-ES"/>
        </w:rPr>
        <w:t>presentado</w:t>
      </w:r>
      <w:r>
        <w:rPr>
          <w:rFonts w:eastAsia="Times New Roman" w:cs="Times New Roman"/>
          <w:bCs w:val="0"/>
          <w:kern w:val="22"/>
          <w:szCs w:val="24"/>
          <w:lang w:val="es-ES"/>
        </w:rPr>
        <w:t xml:space="preserve"> en el Foro Mundial sobre el Sector Empresarial y la Biodiversidad de 2016, cuenta actualmente con más de 130 signatarios. Se compone de nueve elementos, incluido un requisito de brindar actualizaciones sobre la aplicación del compromiso. Se</w:t>
      </w:r>
      <w:r w:rsidR="00863286">
        <w:rPr>
          <w:rFonts w:eastAsia="Times New Roman" w:cs="Times New Roman"/>
          <w:bCs w:val="0"/>
          <w:kern w:val="22"/>
          <w:szCs w:val="24"/>
          <w:lang w:val="es-ES"/>
        </w:rPr>
        <w:t xml:space="preserve"> prevé la</w:t>
      </w:r>
      <w:r>
        <w:rPr>
          <w:rFonts w:eastAsia="Times New Roman" w:cs="Times New Roman"/>
          <w:bCs w:val="0"/>
          <w:kern w:val="22"/>
          <w:szCs w:val="24"/>
          <w:lang w:val="es-ES"/>
        </w:rPr>
        <w:t xml:space="preserve"> </w:t>
      </w:r>
      <w:r w:rsidR="00E80E97">
        <w:rPr>
          <w:rFonts w:eastAsia="Times New Roman" w:cs="Times New Roman"/>
          <w:bCs w:val="0"/>
          <w:kern w:val="22"/>
          <w:szCs w:val="24"/>
          <w:lang w:val="es-ES"/>
        </w:rPr>
        <w:t>in</w:t>
      </w:r>
      <w:r w:rsidR="00863286">
        <w:rPr>
          <w:rFonts w:eastAsia="Times New Roman" w:cs="Times New Roman"/>
          <w:bCs w:val="0"/>
          <w:kern w:val="22"/>
          <w:szCs w:val="24"/>
          <w:lang w:val="es-ES"/>
        </w:rPr>
        <w:t>clusión de</w:t>
      </w:r>
      <w:r>
        <w:rPr>
          <w:rFonts w:eastAsia="Times New Roman" w:cs="Times New Roman"/>
          <w:bCs w:val="0"/>
          <w:kern w:val="22"/>
          <w:szCs w:val="24"/>
          <w:lang w:val="es-ES"/>
        </w:rPr>
        <w:t xml:space="preserve"> un mecanismo en el sitio web del Convenio para acceder a esos informes. En el documento de información que acompaña a la presente nota se brinda información adicional sobre el enfoque.</w:t>
      </w:r>
    </w:p>
    <w:p w:rsidR="00607CAD" w:rsidRPr="00D66BC9"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vanish/>
          <w:spacing w:val="-2"/>
          <w:szCs w:val="24"/>
          <w:lang w:val="es-ES"/>
        </w:rPr>
      </w:pPr>
      <w:r w:rsidRPr="00D66BC9">
        <w:rPr>
          <w:rFonts w:eastAsia="Times New Roman" w:cs="Times New Roman"/>
          <w:bCs w:val="0"/>
          <w:spacing w:val="-2"/>
          <w:kern w:val="22"/>
          <w:szCs w:val="24"/>
          <w:lang w:val="es-ES"/>
        </w:rPr>
        <w:t xml:space="preserve">Si bien no es una herramienta para la presentación de informes, cabe destacar la labor reciente de la Coalición de Capital Natural </w:t>
      </w:r>
      <w:r w:rsidR="00E80E97" w:rsidRPr="00D66BC9">
        <w:rPr>
          <w:rFonts w:eastAsia="Times New Roman" w:cs="Times New Roman"/>
          <w:bCs w:val="0"/>
          <w:spacing w:val="-2"/>
          <w:kern w:val="22"/>
          <w:szCs w:val="24"/>
          <w:lang w:val="es-ES"/>
        </w:rPr>
        <w:t>co</w:t>
      </w:r>
      <w:r w:rsidRPr="00D66BC9">
        <w:rPr>
          <w:rFonts w:eastAsia="Times New Roman" w:cs="Times New Roman"/>
          <w:bCs w:val="0"/>
          <w:spacing w:val="-2"/>
          <w:kern w:val="22"/>
          <w:szCs w:val="24"/>
          <w:lang w:val="es-ES"/>
        </w:rPr>
        <w:t>n la elaboración del Protocolo de Capital Natural, que es un marco diseñado para ayudar a generar información confiable y práctica para los gerentes de empresas, proporcionando un enfoque estandarizado para identificar, medir y valuar los impactos de las empresas en el capital natural y los servicios de los ecosistemas</w:t>
      </w:r>
      <w:r w:rsidR="00E80E97" w:rsidRPr="00D66BC9">
        <w:rPr>
          <w:rFonts w:eastAsia="Times New Roman" w:cs="Times New Roman"/>
          <w:bCs w:val="0"/>
          <w:spacing w:val="-2"/>
          <w:kern w:val="22"/>
          <w:szCs w:val="24"/>
          <w:lang w:val="es-ES"/>
        </w:rPr>
        <w:t xml:space="preserve"> y sus dependencias de ellos</w:t>
      </w:r>
      <w:r w:rsidRPr="00D66BC9">
        <w:rPr>
          <w:rFonts w:eastAsia="Times New Roman" w:cs="Times New Roman"/>
          <w:bCs w:val="0"/>
          <w:spacing w:val="-2"/>
          <w:kern w:val="22"/>
          <w:szCs w:val="24"/>
          <w:lang w:val="es-ES"/>
        </w:rPr>
        <w:t xml:space="preserve">, con el fin de brindar insumos para la toma de decisiones de gestión interna y mejorarla. El protocolo </w:t>
      </w:r>
      <w:r w:rsidR="00863286" w:rsidRPr="00D66BC9">
        <w:rPr>
          <w:rFonts w:eastAsia="Times New Roman" w:cs="Times New Roman"/>
          <w:bCs w:val="0"/>
          <w:spacing w:val="-2"/>
          <w:kern w:val="22"/>
          <w:szCs w:val="24"/>
          <w:lang w:val="es-ES"/>
        </w:rPr>
        <w:t>brinda</w:t>
      </w:r>
      <w:r w:rsidR="00E80E97" w:rsidRPr="00D66BC9">
        <w:rPr>
          <w:rFonts w:eastAsia="Times New Roman" w:cs="Times New Roman"/>
          <w:bCs w:val="0"/>
          <w:spacing w:val="-2"/>
          <w:kern w:val="22"/>
          <w:szCs w:val="24"/>
          <w:lang w:val="es-ES"/>
        </w:rPr>
        <w:t xml:space="preserve"> </w:t>
      </w:r>
      <w:r w:rsidR="00863286" w:rsidRPr="00D66BC9">
        <w:rPr>
          <w:rFonts w:eastAsia="Times New Roman" w:cs="Times New Roman"/>
          <w:bCs w:val="0"/>
          <w:spacing w:val="-2"/>
          <w:kern w:val="22"/>
          <w:szCs w:val="24"/>
          <w:lang w:val="es-ES"/>
        </w:rPr>
        <w:t>amplia</w:t>
      </w:r>
      <w:r w:rsidRPr="00D66BC9">
        <w:rPr>
          <w:rFonts w:eastAsia="Times New Roman" w:cs="Times New Roman"/>
          <w:bCs w:val="0"/>
          <w:spacing w:val="-2"/>
          <w:kern w:val="22"/>
          <w:szCs w:val="24"/>
          <w:lang w:val="es-ES"/>
        </w:rPr>
        <w:t xml:space="preserve"> flexib</w:t>
      </w:r>
      <w:r w:rsidR="00E80E97" w:rsidRPr="00D66BC9">
        <w:rPr>
          <w:rFonts w:eastAsia="Times New Roman" w:cs="Times New Roman"/>
          <w:bCs w:val="0"/>
          <w:spacing w:val="-2"/>
          <w:kern w:val="22"/>
          <w:szCs w:val="24"/>
          <w:lang w:val="es-ES"/>
        </w:rPr>
        <w:t>i</w:t>
      </w:r>
      <w:r w:rsidRPr="00D66BC9">
        <w:rPr>
          <w:rFonts w:eastAsia="Times New Roman" w:cs="Times New Roman"/>
          <w:bCs w:val="0"/>
          <w:spacing w:val="-2"/>
          <w:kern w:val="22"/>
          <w:szCs w:val="24"/>
          <w:lang w:val="es-ES"/>
        </w:rPr>
        <w:t>l</w:t>
      </w:r>
      <w:r w:rsidR="00E80E97" w:rsidRPr="00D66BC9">
        <w:rPr>
          <w:rFonts w:eastAsia="Times New Roman" w:cs="Times New Roman"/>
          <w:bCs w:val="0"/>
          <w:spacing w:val="-2"/>
          <w:kern w:val="22"/>
          <w:szCs w:val="24"/>
          <w:lang w:val="es-ES"/>
        </w:rPr>
        <w:t>idad en</w:t>
      </w:r>
      <w:r w:rsidRPr="00D66BC9">
        <w:rPr>
          <w:rFonts w:eastAsia="Times New Roman" w:cs="Times New Roman"/>
          <w:bCs w:val="0"/>
          <w:spacing w:val="-2"/>
          <w:kern w:val="22"/>
          <w:szCs w:val="24"/>
          <w:lang w:val="es-ES"/>
        </w:rPr>
        <w:t xml:space="preserve"> la elección de enfoques de medición y valuación, según las circunstancias y condiciones de cada empresa. Por consiguiente, no produce necesariamente resultados comparables entre distintas empresas o aplicaciones. Actualmente no brinda orientaciones específicas en materia de ecosistemas y diversidad biológica. No obstante, hay varios proyectos en marcha que están dirigidos, entre otras cosas, a fortalece</w:t>
      </w:r>
      <w:r w:rsidR="00863286" w:rsidRPr="00D66BC9">
        <w:rPr>
          <w:rFonts w:eastAsia="Times New Roman" w:cs="Times New Roman"/>
          <w:bCs w:val="0"/>
          <w:spacing w:val="-2"/>
          <w:kern w:val="22"/>
          <w:szCs w:val="24"/>
          <w:lang w:val="es-ES"/>
        </w:rPr>
        <w:t>r</w:t>
      </w:r>
      <w:r w:rsidRPr="00D66BC9">
        <w:rPr>
          <w:rFonts w:eastAsia="Times New Roman" w:cs="Times New Roman"/>
          <w:bCs w:val="0"/>
          <w:spacing w:val="-2"/>
          <w:kern w:val="22"/>
          <w:szCs w:val="24"/>
          <w:lang w:val="es-ES"/>
        </w:rPr>
        <w:t xml:space="preserve"> el papel de la diversidad biológica en el concepto de capital natural, y uno de los resultados concretos de esta labor podría ser un “suplemento de biodiversidad” </w:t>
      </w:r>
      <w:r w:rsidR="00863286" w:rsidRPr="00D66BC9">
        <w:rPr>
          <w:rFonts w:eastAsia="Times New Roman" w:cs="Times New Roman"/>
          <w:bCs w:val="0"/>
          <w:spacing w:val="-2"/>
          <w:kern w:val="22"/>
          <w:szCs w:val="24"/>
          <w:lang w:val="es-ES"/>
        </w:rPr>
        <w:t>par</w:t>
      </w:r>
      <w:r w:rsidRPr="00D66BC9">
        <w:rPr>
          <w:rFonts w:eastAsia="Times New Roman" w:cs="Times New Roman"/>
          <w:bCs w:val="0"/>
          <w:spacing w:val="-2"/>
          <w:kern w:val="22"/>
          <w:szCs w:val="24"/>
          <w:lang w:val="es-ES"/>
        </w:rPr>
        <w:t>a</w:t>
      </w:r>
      <w:r w:rsidR="00863286" w:rsidRPr="00D66BC9">
        <w:rPr>
          <w:rFonts w:eastAsia="Times New Roman" w:cs="Times New Roman"/>
          <w:bCs w:val="0"/>
          <w:spacing w:val="-2"/>
          <w:kern w:val="22"/>
          <w:szCs w:val="24"/>
          <w:lang w:val="es-ES"/>
        </w:rPr>
        <w:t xml:space="preserve"> e</w:t>
      </w:r>
      <w:r w:rsidRPr="00D66BC9">
        <w:rPr>
          <w:rFonts w:eastAsia="Times New Roman" w:cs="Times New Roman"/>
          <w:bCs w:val="0"/>
          <w:spacing w:val="-2"/>
          <w:kern w:val="22"/>
          <w:szCs w:val="24"/>
          <w:lang w:val="es-ES"/>
        </w:rPr>
        <w:t xml:space="preserve">l Protocolo de Capital Natural. </w:t>
      </w:r>
    </w:p>
    <w:p w:rsidR="00607CAD" w:rsidRPr="00D66BC9"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pacing w:val="-2"/>
          <w:szCs w:val="24"/>
          <w:lang w:val="es-ES"/>
        </w:rPr>
      </w:pPr>
      <w:r w:rsidRPr="00D66BC9">
        <w:rPr>
          <w:rFonts w:eastAsia="Times New Roman" w:cs="Times New Roman"/>
          <w:bCs w:val="0"/>
          <w:spacing w:val="-2"/>
          <w:kern w:val="22"/>
          <w:szCs w:val="24"/>
          <w:lang w:val="es-ES"/>
        </w:rPr>
        <w:t>Se estableció un grupo de trabajo con el cometido de trabajar sobre el papel de la diversidad biológica en el concepto de capital natural</w:t>
      </w:r>
      <w:r w:rsidRPr="00D66BC9">
        <w:rPr>
          <w:rStyle w:val="FootnoteReference"/>
          <w:rFonts w:eastAsia="Times New Roman"/>
          <w:bCs w:val="0"/>
          <w:spacing w:val="-2"/>
          <w:kern w:val="22"/>
          <w:szCs w:val="24"/>
          <w:lang w:val="es-ES"/>
        </w:rPr>
        <w:footnoteReference w:id="13"/>
      </w:r>
      <w:r w:rsidRPr="00D66BC9">
        <w:rPr>
          <w:rFonts w:eastAsia="Times New Roman" w:cs="Times New Roman"/>
          <w:bCs w:val="0"/>
          <w:spacing w:val="-2"/>
          <w:kern w:val="22"/>
          <w:szCs w:val="24"/>
          <w:lang w:val="es-ES"/>
        </w:rPr>
        <w:t>.</w:t>
      </w:r>
    </w:p>
    <w:p w:rsidR="00607CAD" w:rsidRDefault="00607CAD">
      <w:pPr>
        <w:pStyle w:val="Heading1"/>
        <w:suppressLineNumbers/>
        <w:tabs>
          <w:tab w:val="clear" w:pos="720"/>
          <w:tab w:val="left" w:pos="360"/>
        </w:tabs>
        <w:suppressAutoHyphens/>
        <w:kinsoku w:val="0"/>
        <w:overflowPunct w:val="0"/>
        <w:autoSpaceDE w:val="0"/>
        <w:autoSpaceDN w:val="0"/>
        <w:adjustRightInd w:val="0"/>
        <w:snapToGrid w:val="0"/>
        <w:spacing w:before="120"/>
        <w:rPr>
          <w:rFonts w:eastAsia="Times New Roman"/>
          <w:lang w:val="es-ES"/>
        </w:rPr>
      </w:pPr>
      <w:r>
        <w:rPr>
          <w:rFonts w:eastAsia="Times New Roman"/>
          <w:kern w:val="22"/>
          <w:lang w:val="es-ES"/>
        </w:rPr>
        <w:t>II.</w:t>
      </w:r>
      <w:r>
        <w:rPr>
          <w:rFonts w:eastAsia="Times New Roman"/>
          <w:kern w:val="22"/>
          <w:lang w:val="es-ES"/>
        </w:rPr>
        <w:tab/>
        <w:t>RESULTADOS de la investigación</w:t>
      </w:r>
    </w:p>
    <w:p w:rsidR="00607CAD" w:rsidRDefault="00607CAD" w:rsidP="00423E8A">
      <w:pPr>
        <w:pStyle w:val="Para1"/>
        <w:numPr>
          <w:ilvl w:val="0"/>
          <w:numId w:val="27"/>
        </w:numPr>
        <w:tabs>
          <w:tab w:val="clear" w:pos="0"/>
        </w:tabs>
        <w:ind w:left="0" w:firstLine="0"/>
        <w:rPr>
          <w:lang w:val="es-ES"/>
        </w:rPr>
      </w:pPr>
      <w:r>
        <w:rPr>
          <w:kern w:val="22"/>
          <w:lang w:val="es-ES"/>
        </w:rPr>
        <w:t>Sobre la base del enfoque descrito en la sección anterior, se preparó una versión revisada y más simplificada de la tipología. Además, para facilitar su aplicación se elabor</w:t>
      </w:r>
      <w:r w:rsidR="00F3717C">
        <w:rPr>
          <w:kern w:val="22"/>
          <w:lang w:val="es-ES"/>
        </w:rPr>
        <w:t>aron</w:t>
      </w:r>
      <w:r>
        <w:rPr>
          <w:kern w:val="22"/>
          <w:lang w:val="es-ES"/>
        </w:rPr>
        <w:t xml:space="preserve"> orientaci</w:t>
      </w:r>
      <w:r w:rsidR="00F3717C">
        <w:rPr>
          <w:kern w:val="22"/>
          <w:lang w:val="es-ES"/>
        </w:rPr>
        <w:t>o</w:t>
      </w:r>
      <w:r>
        <w:rPr>
          <w:kern w:val="22"/>
          <w:lang w:val="es-ES"/>
        </w:rPr>
        <w:t>n</w:t>
      </w:r>
      <w:r w:rsidR="00F3717C">
        <w:rPr>
          <w:kern w:val="22"/>
          <w:lang w:val="es-ES"/>
        </w:rPr>
        <w:t>es</w:t>
      </w:r>
      <w:r>
        <w:rPr>
          <w:kern w:val="22"/>
          <w:lang w:val="es-ES"/>
        </w:rPr>
        <w:t xml:space="preserve"> en forma de ejemplos de buenas prácticas. Al mismo tiempo, la investigación también arrojó una serie de elementos que, considerados en su conjunto, indican la necesidad de centrar la labor futura en esta área en una serie de prioridades estratégicas relacionadas con factores que constituyen condiciones previas para una presentación eficaz de informes, teniendo en cuenta que la divulgación y la presentación de informes es el último paso del proceso que deben llevar a cabo las empresas para determinar sus impactos en la diversidad biológica y sus dependencias de ella.</w:t>
      </w:r>
    </w:p>
    <w:p w:rsidR="00607CAD" w:rsidRDefault="00607CAD">
      <w:pPr>
        <w:pStyle w:val="Heading2"/>
        <w:suppressLineNumbers/>
        <w:tabs>
          <w:tab w:val="clear" w:pos="720"/>
          <w:tab w:val="left" w:pos="360"/>
        </w:tabs>
        <w:suppressAutoHyphens/>
        <w:kinsoku w:val="0"/>
        <w:overflowPunct w:val="0"/>
        <w:autoSpaceDE w:val="0"/>
        <w:autoSpaceDN w:val="0"/>
        <w:adjustRightInd w:val="0"/>
        <w:snapToGrid w:val="0"/>
        <w:rPr>
          <w:rFonts w:eastAsia="Times New Roman"/>
          <w:bCs w:val="0"/>
          <w:i/>
          <w:iCs w:val="0"/>
          <w:lang w:val="es-ES"/>
        </w:rPr>
      </w:pPr>
      <w:r>
        <w:rPr>
          <w:rFonts w:eastAsia="Times New Roman"/>
          <w:bCs w:val="0"/>
          <w:i/>
          <w:iCs w:val="0"/>
          <w:kern w:val="22"/>
          <w:lang w:val="es-ES"/>
        </w:rPr>
        <w:t>A.</w:t>
      </w:r>
      <w:r>
        <w:rPr>
          <w:rFonts w:eastAsia="Times New Roman"/>
          <w:bCs w:val="0"/>
          <w:i/>
          <w:iCs w:val="0"/>
          <w:kern w:val="22"/>
          <w:lang w:val="es-ES"/>
        </w:rPr>
        <w:tab/>
        <w:t>La diversidad biológica en la presentación de informes</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La diversidad biológica no suele abordarse o incluirse explícitamente en los informes de sostenibilidad, </w:t>
      </w:r>
      <w:r w:rsidR="00863286">
        <w:rPr>
          <w:rFonts w:eastAsia="Times New Roman" w:cs="Times New Roman"/>
          <w:bCs w:val="0"/>
          <w:kern w:val="22"/>
          <w:szCs w:val="24"/>
          <w:lang w:val="es-ES"/>
        </w:rPr>
        <w:t>e</w:t>
      </w:r>
      <w:r>
        <w:rPr>
          <w:rFonts w:eastAsia="Times New Roman" w:cs="Times New Roman"/>
          <w:bCs w:val="0"/>
          <w:kern w:val="22"/>
          <w:szCs w:val="24"/>
          <w:lang w:val="es-ES"/>
        </w:rPr>
        <w:t xml:space="preserve"> incluso en los casos en </w:t>
      </w:r>
      <w:r w:rsidR="00863286">
        <w:rPr>
          <w:rFonts w:eastAsia="Times New Roman" w:cs="Times New Roman"/>
          <w:bCs w:val="0"/>
          <w:kern w:val="22"/>
          <w:szCs w:val="24"/>
          <w:lang w:val="es-ES"/>
        </w:rPr>
        <w:t xml:space="preserve">sí </w:t>
      </w:r>
      <w:r>
        <w:rPr>
          <w:rFonts w:eastAsia="Times New Roman" w:cs="Times New Roman"/>
          <w:bCs w:val="0"/>
          <w:kern w:val="22"/>
          <w:szCs w:val="24"/>
          <w:lang w:val="es-ES"/>
        </w:rPr>
        <w:t xml:space="preserve">se aborda parece haber una falta de coherencia y </w:t>
      </w:r>
      <w:r w:rsidR="009F3D74">
        <w:rPr>
          <w:rFonts w:eastAsia="Times New Roman" w:cs="Times New Roman"/>
          <w:bCs w:val="0"/>
          <w:kern w:val="22"/>
          <w:szCs w:val="24"/>
          <w:lang w:val="es-ES"/>
        </w:rPr>
        <w:t>uniformidad</w:t>
      </w:r>
      <w:r>
        <w:rPr>
          <w:rFonts w:eastAsia="Times New Roman" w:cs="Times New Roman"/>
          <w:bCs w:val="0"/>
          <w:kern w:val="22"/>
          <w:szCs w:val="24"/>
          <w:lang w:val="es-ES"/>
        </w:rPr>
        <w:t xml:space="preserve"> entre los distintos informes. Esto puede deberse, entre otras cosas, a la complejidad asociada al término y las consiguientes concepciones equivocadas sobre la pertinencia de la diversidad biológica para una empresa. Parecería haber una falta de comprensión general de los vínculos potenciales entre diversidad biológica y riesgos y oportunidades empresariales.</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En particular, en la evaluación de la diversidad biológica como un tema material, si bien 40 de 100 empresas la identifican como un tema material, solo 15 la califican como tema material “alto”. Comparada con otros temas, se la califica como de pertinencia relativamente baja para las empresas y los interesados directos externos. Por ejemplo, una empresa que es </w:t>
      </w:r>
      <w:r w:rsidR="00863286">
        <w:rPr>
          <w:rFonts w:eastAsia="Times New Roman" w:cs="Times New Roman"/>
          <w:bCs w:val="0"/>
          <w:kern w:val="22"/>
          <w:szCs w:val="24"/>
          <w:lang w:val="es-ES"/>
        </w:rPr>
        <w:t xml:space="preserve">en general </w:t>
      </w:r>
      <w:r>
        <w:rPr>
          <w:rFonts w:eastAsia="Times New Roman" w:cs="Times New Roman"/>
          <w:bCs w:val="0"/>
          <w:kern w:val="22"/>
          <w:szCs w:val="24"/>
          <w:lang w:val="es-ES"/>
        </w:rPr>
        <w:t xml:space="preserve">líder en la integración de la sostenibilidad en toda su estrategia y actividad empresarial, no se refiere a la diversidad biológica como un tema material, pero incluye una declaración sobre </w:t>
      </w:r>
      <w:r w:rsidR="00451680">
        <w:rPr>
          <w:rFonts w:eastAsia="Times New Roman" w:cs="Times New Roman"/>
          <w:bCs w:val="0"/>
          <w:kern w:val="22"/>
          <w:szCs w:val="24"/>
          <w:lang w:val="es-ES"/>
        </w:rPr>
        <w:t>por qué es</w:t>
      </w:r>
      <w:r>
        <w:rPr>
          <w:rFonts w:eastAsia="Times New Roman" w:cs="Times New Roman"/>
          <w:bCs w:val="0"/>
          <w:kern w:val="22"/>
          <w:szCs w:val="24"/>
          <w:lang w:val="es-ES"/>
        </w:rPr>
        <w:t xml:space="preserve"> importan</w:t>
      </w:r>
      <w:r w:rsidR="00451680">
        <w:rPr>
          <w:rFonts w:eastAsia="Times New Roman" w:cs="Times New Roman"/>
          <w:bCs w:val="0"/>
          <w:kern w:val="22"/>
          <w:szCs w:val="24"/>
          <w:lang w:val="es-ES"/>
        </w:rPr>
        <w:t>t</w:t>
      </w:r>
      <w:r>
        <w:rPr>
          <w:rFonts w:eastAsia="Times New Roman" w:cs="Times New Roman"/>
          <w:bCs w:val="0"/>
          <w:kern w:val="22"/>
          <w:szCs w:val="24"/>
          <w:lang w:val="es-ES"/>
        </w:rPr>
        <w:t>e la diversidad biológica</w:t>
      </w:r>
      <w:r w:rsidR="00451680">
        <w:rPr>
          <w:rFonts w:eastAsia="Times New Roman" w:cs="Times New Roman"/>
          <w:bCs w:val="0"/>
          <w:kern w:val="22"/>
          <w:szCs w:val="24"/>
          <w:lang w:val="es-ES"/>
        </w:rPr>
        <w:t>,</w:t>
      </w:r>
      <w:r>
        <w:rPr>
          <w:rFonts w:eastAsia="Times New Roman" w:cs="Times New Roman"/>
          <w:bCs w:val="0"/>
          <w:kern w:val="22"/>
          <w:szCs w:val="24"/>
          <w:lang w:val="es-ES"/>
        </w:rPr>
        <w:t xml:space="preserve"> </w:t>
      </w:r>
      <w:r w:rsidR="00451680">
        <w:rPr>
          <w:rFonts w:eastAsia="Times New Roman" w:cs="Times New Roman"/>
          <w:bCs w:val="0"/>
          <w:kern w:val="22"/>
          <w:szCs w:val="24"/>
          <w:lang w:val="es-ES"/>
        </w:rPr>
        <w:t>además de</w:t>
      </w:r>
      <w:r>
        <w:rPr>
          <w:rFonts w:eastAsia="Times New Roman" w:cs="Times New Roman"/>
          <w:bCs w:val="0"/>
          <w:kern w:val="22"/>
          <w:szCs w:val="24"/>
          <w:lang w:val="es-ES"/>
        </w:rPr>
        <w:t xml:space="preserve"> varias políticas y compromisos relacionados; por otra parte, califica a la deforestación, el abastecimiento agrícola y el agua como temas materiales. Del mismo modo, algunas empresas no hablan de diversidad biológica pero sí de “ecosistemas naturales” o simplemente de “ecosistemas”. En muchos casos parecería que no hay conciencia del papel que cumple la diversidad biológica como sustento del funcionamiento de los </w:t>
      </w:r>
      <w:r>
        <w:rPr>
          <w:rFonts w:eastAsia="Times New Roman" w:cs="Times New Roman"/>
          <w:bCs w:val="0"/>
          <w:kern w:val="22"/>
          <w:szCs w:val="24"/>
          <w:lang w:val="es-ES"/>
        </w:rPr>
        <w:lastRenderedPageBreak/>
        <w:t xml:space="preserve">ecosistemas y la provisión de servicios de los ecosistemas. La consiguiente falta de coherencia en los términos utilizados impide una comparación eficaz </w:t>
      </w:r>
      <w:r w:rsidR="00863286">
        <w:rPr>
          <w:rFonts w:eastAsia="Times New Roman" w:cs="Times New Roman"/>
          <w:bCs w:val="0"/>
          <w:kern w:val="22"/>
          <w:szCs w:val="24"/>
          <w:lang w:val="es-ES"/>
        </w:rPr>
        <w:t xml:space="preserve">entre </w:t>
      </w:r>
      <w:r>
        <w:rPr>
          <w:rFonts w:eastAsia="Times New Roman" w:cs="Times New Roman"/>
          <w:bCs w:val="0"/>
          <w:kern w:val="22"/>
          <w:szCs w:val="24"/>
          <w:lang w:val="es-ES"/>
        </w:rPr>
        <w:t xml:space="preserve">datos </w:t>
      </w:r>
      <w:r w:rsidR="00863286">
        <w:rPr>
          <w:rFonts w:eastAsia="Times New Roman" w:cs="Times New Roman"/>
          <w:bCs w:val="0"/>
          <w:kern w:val="22"/>
          <w:szCs w:val="24"/>
          <w:lang w:val="es-ES"/>
        </w:rPr>
        <w:t xml:space="preserve">de </w:t>
      </w:r>
      <w:r>
        <w:rPr>
          <w:rFonts w:eastAsia="Times New Roman" w:cs="Times New Roman"/>
          <w:bCs w:val="0"/>
          <w:kern w:val="22"/>
          <w:szCs w:val="24"/>
          <w:lang w:val="es-ES"/>
        </w:rPr>
        <w:t>distintas empresas y su posterior utilización en la formulación de recomendaciones de políticas relacionadas.</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Otro problema es que los impactos y las dependencias de las empresas con respecto a la diversidad biológica varían de empresa a empresa y de sector a sector, lo cual dificulta las comparaciones. A diferencia, por ejemplo, de las emisiones de gases de efecto invernadero, </w:t>
      </w:r>
      <w:r w:rsidR="00D66BC9">
        <w:rPr>
          <w:rFonts w:eastAsia="Times New Roman" w:cs="Times New Roman"/>
          <w:bCs w:val="0"/>
          <w:kern w:val="22"/>
          <w:szCs w:val="24"/>
          <w:lang w:val="es-ES"/>
        </w:rPr>
        <w:t>la diversidad biológica</w:t>
      </w:r>
      <w:r w:rsidR="00D66BC9" w:rsidRPr="00451680">
        <w:rPr>
          <w:rFonts w:eastAsia="Times New Roman" w:cs="Times New Roman"/>
          <w:bCs w:val="0"/>
          <w:kern w:val="22"/>
          <w:szCs w:val="24"/>
          <w:lang w:val="es-ES"/>
        </w:rPr>
        <w:t xml:space="preserve"> </w:t>
      </w:r>
      <w:r w:rsidR="00D66BC9">
        <w:rPr>
          <w:rFonts w:eastAsia="Times New Roman" w:cs="Times New Roman"/>
          <w:bCs w:val="0"/>
          <w:kern w:val="22"/>
          <w:szCs w:val="24"/>
          <w:lang w:val="es-ES"/>
        </w:rPr>
        <w:t xml:space="preserve">como concepto </w:t>
      </w:r>
      <w:r>
        <w:rPr>
          <w:rFonts w:eastAsia="Times New Roman" w:cs="Times New Roman"/>
          <w:bCs w:val="0"/>
          <w:kern w:val="22"/>
          <w:szCs w:val="24"/>
          <w:lang w:val="es-ES"/>
        </w:rPr>
        <w:t xml:space="preserve">es difícil </w:t>
      </w:r>
      <w:r w:rsidR="00D66BC9">
        <w:rPr>
          <w:rFonts w:eastAsia="Times New Roman" w:cs="Times New Roman"/>
          <w:bCs w:val="0"/>
          <w:kern w:val="22"/>
          <w:szCs w:val="24"/>
          <w:lang w:val="es-ES"/>
        </w:rPr>
        <w:t xml:space="preserve">de </w:t>
      </w:r>
      <w:r>
        <w:rPr>
          <w:rFonts w:eastAsia="Times New Roman" w:cs="Times New Roman"/>
          <w:bCs w:val="0"/>
          <w:kern w:val="22"/>
          <w:szCs w:val="24"/>
          <w:lang w:val="es-ES"/>
        </w:rPr>
        <w:t>medir claramente. La investigación revela que las empresas miden e informan sobre la utilización de la tierra y la utilización del agua, refiriéndose así a importantes impulsores de la pérdida de diversidad biológica; sin embargo, no identifican el vínculo potencialmente importante con la diversidad biológica.</w:t>
      </w:r>
    </w:p>
    <w:p w:rsidR="00607CAD" w:rsidRDefault="00607CAD">
      <w:pPr>
        <w:pStyle w:val="Heading2"/>
        <w:suppressLineNumbers/>
        <w:tabs>
          <w:tab w:val="clear" w:pos="720"/>
          <w:tab w:val="left" w:pos="360"/>
        </w:tabs>
        <w:suppressAutoHyphens/>
        <w:kinsoku w:val="0"/>
        <w:overflowPunct w:val="0"/>
        <w:autoSpaceDE w:val="0"/>
        <w:autoSpaceDN w:val="0"/>
        <w:adjustRightInd w:val="0"/>
        <w:snapToGrid w:val="0"/>
        <w:rPr>
          <w:rFonts w:eastAsia="Times New Roman"/>
          <w:bCs w:val="0"/>
          <w:iCs w:val="0"/>
          <w:lang w:val="es-ES"/>
        </w:rPr>
      </w:pPr>
      <w:r>
        <w:rPr>
          <w:rFonts w:eastAsia="Times New Roman"/>
          <w:bCs w:val="0"/>
          <w:iCs w:val="0"/>
          <w:kern w:val="22"/>
          <w:lang w:val="es-ES"/>
        </w:rPr>
        <w:t>B.</w:t>
      </w:r>
      <w:r>
        <w:rPr>
          <w:rFonts w:eastAsia="Times New Roman"/>
          <w:bCs w:val="0"/>
          <w:iCs w:val="0"/>
          <w:kern w:val="22"/>
          <w:lang w:val="es-ES"/>
        </w:rPr>
        <w:tab/>
        <w:t>Tendencias en la presentación de informes</w:t>
      </w:r>
    </w:p>
    <w:p w:rsidR="00607CAD" w:rsidRDefault="00607CAD">
      <w:pPr>
        <w:pStyle w:val="Heading3"/>
        <w:suppressLineNumbers/>
        <w:tabs>
          <w:tab w:val="clear" w:pos="567"/>
          <w:tab w:val="left" w:pos="360"/>
        </w:tabs>
        <w:suppressAutoHyphens/>
        <w:kinsoku w:val="0"/>
        <w:overflowPunct w:val="0"/>
        <w:autoSpaceDE w:val="0"/>
        <w:autoSpaceDN w:val="0"/>
        <w:adjustRightInd w:val="0"/>
        <w:snapToGrid w:val="0"/>
        <w:rPr>
          <w:rFonts w:eastAsia="Times New Roman"/>
          <w:iCs w:val="0"/>
          <w:kern w:val="22"/>
          <w:lang w:val="es-ES"/>
        </w:rPr>
      </w:pPr>
      <w:r>
        <w:rPr>
          <w:rFonts w:eastAsia="Times New Roman"/>
          <w:iCs w:val="0"/>
          <w:kern w:val="22"/>
          <w:lang w:val="es-ES"/>
        </w:rPr>
        <w:t>1.</w:t>
      </w:r>
      <w:r>
        <w:rPr>
          <w:rFonts w:eastAsia="Times New Roman"/>
          <w:iCs w:val="0"/>
          <w:kern w:val="22"/>
          <w:lang w:val="es-ES"/>
        </w:rPr>
        <w:tab/>
        <w:t>Armonización de marcos de presentación de informes</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Los mecanismos existentes de presentación de informes, como los que se indican en la sección anterior, no están generalmente armonizados y, por consiguiente, no es fácil comparar los informes. No todos se refieren a la diversidad biológica</w:t>
      </w:r>
      <w:r w:rsidR="00D66BC9">
        <w:rPr>
          <w:rFonts w:eastAsia="Times New Roman" w:cs="Times New Roman"/>
          <w:bCs w:val="0"/>
          <w:kern w:val="22"/>
          <w:szCs w:val="24"/>
          <w:lang w:val="es-ES"/>
        </w:rPr>
        <w:t>; además,</w:t>
      </w:r>
      <w:r>
        <w:rPr>
          <w:rFonts w:eastAsia="Times New Roman" w:cs="Times New Roman"/>
          <w:bCs w:val="0"/>
          <w:kern w:val="22"/>
          <w:szCs w:val="24"/>
          <w:lang w:val="es-ES"/>
        </w:rPr>
        <w:t xml:space="preserve"> tienen distintos públicos objetivo: por ejemplo, la SASB es para empresas con sede en los Estados Unidos, y los datos recabados por el CDP están dirigidos a inversores. Esta falta de armonización es una característica predominante en todos los aspectos de la presentación de informes de sostenibilidad, no solo en lo que tiene que ver con la diversidad biológica.</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Vinculado a esto, la fatiga de presentación de informes parecería ser una dificultad importante. Dados los diversos marcos y canales asociados de presentación de informes, hay una falta de claridad en cuanto a qué y a quién informar y una necesidad de armonizar y elaborar mediciones estándar compartidas. Por ejemplo, la Caja de Herramientas de Capital Natural</w:t>
      </w:r>
      <w:r>
        <w:rPr>
          <w:rStyle w:val="FootnoteReference"/>
          <w:rFonts w:eastAsia="Times New Roman"/>
          <w:bCs w:val="0"/>
          <w:kern w:val="22"/>
          <w:szCs w:val="24"/>
          <w:lang w:val="es-ES"/>
        </w:rPr>
        <w:footnoteReference w:id="14"/>
      </w:r>
      <w:r>
        <w:rPr>
          <w:rFonts w:eastAsia="Times New Roman" w:cs="Times New Roman"/>
          <w:bCs w:val="0"/>
          <w:kern w:val="22"/>
          <w:szCs w:val="24"/>
          <w:lang w:val="es-ES"/>
        </w:rPr>
        <w:t xml:space="preserve"> y el Intercambio de Presentación de Informes del Consejo Empresarial Mundial para el Desarrollo Sostenible</w:t>
      </w:r>
      <w:r>
        <w:rPr>
          <w:rStyle w:val="FootnoteReference"/>
          <w:rFonts w:eastAsia="Times New Roman"/>
          <w:bCs w:val="0"/>
          <w:kern w:val="22"/>
          <w:szCs w:val="24"/>
          <w:lang w:val="es-ES"/>
        </w:rPr>
        <w:footnoteReference w:id="15"/>
      </w:r>
      <w:r>
        <w:rPr>
          <w:rFonts w:eastAsia="Times New Roman" w:cs="Times New Roman"/>
          <w:bCs w:val="0"/>
          <w:kern w:val="22"/>
          <w:szCs w:val="24"/>
          <w:lang w:val="es-ES"/>
        </w:rPr>
        <w:t xml:space="preserve"> </w:t>
      </w:r>
      <w:r w:rsidR="00451680">
        <w:rPr>
          <w:rFonts w:eastAsia="Times New Roman" w:cs="Times New Roman"/>
          <w:bCs w:val="0"/>
          <w:kern w:val="22"/>
          <w:szCs w:val="24"/>
          <w:lang w:val="es-ES"/>
        </w:rPr>
        <w:t>enumeran</w:t>
      </w:r>
      <w:r>
        <w:rPr>
          <w:rFonts w:eastAsia="Times New Roman" w:cs="Times New Roman"/>
          <w:bCs w:val="0"/>
          <w:kern w:val="22"/>
          <w:szCs w:val="24"/>
          <w:lang w:val="es-ES"/>
        </w:rPr>
        <w:t xml:space="preserve"> más de 40 herramientas de medición disponibles en lo que respecta únicamente a la diversidad biológica</w:t>
      </w:r>
      <w:r w:rsidR="00451680">
        <w:rPr>
          <w:rFonts w:eastAsia="Times New Roman" w:cs="Times New Roman"/>
          <w:bCs w:val="0"/>
          <w:kern w:val="22"/>
          <w:szCs w:val="24"/>
          <w:lang w:val="es-ES"/>
        </w:rPr>
        <w:t xml:space="preserve"> y los ecosistemas</w:t>
      </w:r>
      <w:r>
        <w:rPr>
          <w:rFonts w:eastAsia="Times New Roman" w:cs="Times New Roman"/>
          <w:bCs w:val="0"/>
          <w:kern w:val="22"/>
          <w:szCs w:val="24"/>
          <w:lang w:val="es-ES"/>
        </w:rPr>
        <w:t xml:space="preserve">. </w:t>
      </w:r>
      <w:r w:rsidR="002124C4">
        <w:rPr>
          <w:rFonts w:eastAsia="Times New Roman" w:cs="Times New Roman"/>
          <w:bCs w:val="0"/>
          <w:kern w:val="22"/>
          <w:szCs w:val="24"/>
          <w:lang w:val="es-ES"/>
        </w:rPr>
        <w:t>S</w:t>
      </w:r>
      <w:r>
        <w:rPr>
          <w:rFonts w:eastAsia="Times New Roman" w:cs="Times New Roman"/>
          <w:bCs w:val="0"/>
          <w:kern w:val="22"/>
          <w:szCs w:val="24"/>
          <w:lang w:val="es-ES"/>
        </w:rPr>
        <w:t xml:space="preserve">e están introduciendo más esquemas: según un </w:t>
      </w:r>
      <w:r w:rsidR="002124C4">
        <w:rPr>
          <w:rFonts w:eastAsia="Times New Roman" w:cs="Times New Roman"/>
          <w:bCs w:val="0"/>
          <w:kern w:val="22"/>
          <w:szCs w:val="24"/>
          <w:lang w:val="es-ES"/>
        </w:rPr>
        <w:t xml:space="preserve">informe </w:t>
      </w:r>
      <w:r>
        <w:rPr>
          <w:rFonts w:eastAsia="Times New Roman" w:cs="Times New Roman"/>
          <w:bCs w:val="0"/>
          <w:kern w:val="22"/>
          <w:szCs w:val="24"/>
          <w:lang w:val="es-ES"/>
        </w:rPr>
        <w:t xml:space="preserve">reciente </w:t>
      </w:r>
      <w:r w:rsidR="002124C4">
        <w:rPr>
          <w:rFonts w:eastAsia="Times New Roman" w:cs="Times New Roman"/>
          <w:bCs w:val="0"/>
          <w:kern w:val="22"/>
          <w:szCs w:val="24"/>
          <w:lang w:val="es-ES"/>
        </w:rPr>
        <w:t xml:space="preserve">elaborado </w:t>
      </w:r>
      <w:r>
        <w:rPr>
          <w:rFonts w:eastAsia="Times New Roman" w:cs="Times New Roman"/>
          <w:bCs w:val="0"/>
          <w:kern w:val="22"/>
          <w:szCs w:val="24"/>
          <w:lang w:val="es-ES"/>
        </w:rPr>
        <w:t>conjunt</w:t>
      </w:r>
      <w:r w:rsidR="002124C4">
        <w:rPr>
          <w:rFonts w:eastAsia="Times New Roman" w:cs="Times New Roman"/>
          <w:bCs w:val="0"/>
          <w:kern w:val="22"/>
          <w:szCs w:val="24"/>
          <w:lang w:val="es-ES"/>
        </w:rPr>
        <w:t>amente por</w:t>
      </w:r>
      <w:r>
        <w:rPr>
          <w:rFonts w:eastAsia="Times New Roman" w:cs="Times New Roman"/>
          <w:bCs w:val="0"/>
          <w:kern w:val="22"/>
          <w:szCs w:val="24"/>
          <w:lang w:val="es-ES"/>
        </w:rPr>
        <w:t xml:space="preserve"> KPMG, la GRI, el Programa de las Naciones Unidas para el Medio Ambiente (PNUMA) y el Centro para la Gobernanza Empresarial en África</w:t>
      </w:r>
      <w:r>
        <w:rPr>
          <w:rStyle w:val="FootnoteReference"/>
          <w:rFonts w:eastAsia="Times New Roman"/>
          <w:bCs w:val="0"/>
          <w:kern w:val="22"/>
          <w:szCs w:val="24"/>
          <w:lang w:val="es-ES"/>
        </w:rPr>
        <w:footnoteReference w:id="16"/>
      </w:r>
      <w:r>
        <w:rPr>
          <w:rFonts w:eastAsia="Times New Roman" w:cs="Times New Roman"/>
          <w:bCs w:val="0"/>
          <w:kern w:val="22"/>
          <w:szCs w:val="24"/>
          <w:lang w:val="es-ES"/>
        </w:rPr>
        <w:t xml:space="preserve">, en 2016 </w:t>
      </w:r>
      <w:r w:rsidR="002124C4">
        <w:rPr>
          <w:rFonts w:eastAsia="Times New Roman" w:cs="Times New Roman"/>
          <w:bCs w:val="0"/>
          <w:kern w:val="22"/>
          <w:szCs w:val="24"/>
          <w:lang w:val="es-ES"/>
        </w:rPr>
        <w:t xml:space="preserve">a nivel mundial </w:t>
      </w:r>
      <w:r>
        <w:rPr>
          <w:rFonts w:eastAsia="Times New Roman" w:cs="Times New Roman"/>
          <w:bCs w:val="0"/>
          <w:kern w:val="22"/>
          <w:szCs w:val="24"/>
          <w:lang w:val="es-ES"/>
        </w:rPr>
        <w:t xml:space="preserve">había cerca de 400 instrumentos de presentación de informes en 64 países, lo cual representaba un incremento con respecto a 2013 cuando </w:t>
      </w:r>
      <w:r w:rsidR="002124C4">
        <w:rPr>
          <w:rFonts w:eastAsia="Times New Roman" w:cs="Times New Roman"/>
          <w:bCs w:val="0"/>
          <w:kern w:val="22"/>
          <w:szCs w:val="24"/>
          <w:lang w:val="es-ES"/>
        </w:rPr>
        <w:t>hab</w:t>
      </w:r>
      <w:r>
        <w:rPr>
          <w:rFonts w:eastAsia="Times New Roman" w:cs="Times New Roman"/>
          <w:bCs w:val="0"/>
          <w:kern w:val="22"/>
          <w:szCs w:val="24"/>
          <w:lang w:val="es-ES"/>
        </w:rPr>
        <w:t>ía 180 instrumentos en 44 países. Si bien muchos requisitos nuevos de presentación de informes surgen de reglamentaciones gubernamentales, las orientaciones que se asocian típicamente con tales reglamentaciones podrían también ayudar a atender la necesidad de armonización, como es el caso, por ejemplo, de la reciente directiva de la Unión Europea sobre presentación de informes no financieros.</w:t>
      </w:r>
    </w:p>
    <w:p w:rsidR="00607CAD" w:rsidRPr="00D66BC9"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pacing w:val="-2"/>
          <w:szCs w:val="24"/>
          <w:lang w:val="es-ES"/>
        </w:rPr>
      </w:pPr>
      <w:r w:rsidRPr="00D66BC9">
        <w:rPr>
          <w:rFonts w:eastAsia="Times New Roman" w:cs="Times New Roman"/>
          <w:bCs w:val="0"/>
          <w:spacing w:val="-2"/>
          <w:kern w:val="22"/>
          <w:szCs w:val="24"/>
          <w:lang w:val="es-ES"/>
        </w:rPr>
        <w:t xml:space="preserve">Los mercados bursátiles también están jugando un papel cada vez mayor en la divulgación de información sobre diversidad biológica. Once bolsas incorporan información relacionada con la diversidad biológica en sus normas de presentación de informes ambientales, sociales y de gobernanza. Otras 23 bolsas se han comprometido a introducir orientaciones para la presentación de informes ambientales, sociales y de gobernanza, pero aún no se sabe </w:t>
      </w:r>
      <w:r w:rsidR="00FC2C95" w:rsidRPr="00D66BC9">
        <w:rPr>
          <w:rFonts w:eastAsia="Times New Roman" w:cs="Times New Roman"/>
          <w:bCs w:val="0"/>
          <w:spacing w:val="-2"/>
          <w:kern w:val="22"/>
          <w:szCs w:val="24"/>
          <w:lang w:val="es-ES"/>
        </w:rPr>
        <w:t>cuáles</w:t>
      </w:r>
      <w:r w:rsidRPr="00D66BC9">
        <w:rPr>
          <w:rFonts w:eastAsia="Times New Roman" w:cs="Times New Roman"/>
          <w:bCs w:val="0"/>
          <w:spacing w:val="-2"/>
          <w:kern w:val="22"/>
          <w:szCs w:val="24"/>
          <w:lang w:val="es-ES"/>
        </w:rPr>
        <w:t xml:space="preserve"> incluirán requisitos relacionados con la diversidad biológica.</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Recientemente se creó el Diálogo para la Presentación de Informes Empresariales (Corporate Reporting Dialogue) en respuesta a llamados del mercado </w:t>
      </w:r>
      <w:r w:rsidR="00D66BC9">
        <w:rPr>
          <w:rFonts w:eastAsia="Times New Roman" w:cs="Times New Roman"/>
          <w:bCs w:val="0"/>
          <w:kern w:val="22"/>
          <w:szCs w:val="24"/>
          <w:lang w:val="es-ES"/>
        </w:rPr>
        <w:t>par</w:t>
      </w:r>
      <w:r>
        <w:rPr>
          <w:rFonts w:eastAsia="Times New Roman" w:cs="Times New Roman"/>
          <w:bCs w:val="0"/>
          <w:kern w:val="22"/>
          <w:szCs w:val="24"/>
          <w:lang w:val="es-ES"/>
        </w:rPr>
        <w:t xml:space="preserve">a lograr una mayor coherencia y </w:t>
      </w:r>
      <w:r w:rsidR="009F3D74">
        <w:rPr>
          <w:rFonts w:eastAsia="Times New Roman" w:cs="Times New Roman"/>
          <w:bCs w:val="0"/>
          <w:kern w:val="22"/>
          <w:szCs w:val="24"/>
          <w:lang w:val="es-ES"/>
        </w:rPr>
        <w:t>uniformidad</w:t>
      </w:r>
      <w:r>
        <w:rPr>
          <w:rFonts w:eastAsia="Times New Roman" w:cs="Times New Roman"/>
          <w:bCs w:val="0"/>
          <w:kern w:val="22"/>
          <w:szCs w:val="24"/>
          <w:lang w:val="es-ES"/>
        </w:rPr>
        <w:t xml:space="preserve"> entre los distintos estándares, marcos y esquemas de presentación de informes. Esto podría contribuir a brindar </w:t>
      </w:r>
      <w:r w:rsidR="00D66BC9">
        <w:rPr>
          <w:rFonts w:eastAsia="Times New Roman" w:cs="Times New Roman"/>
          <w:bCs w:val="0"/>
          <w:kern w:val="22"/>
          <w:szCs w:val="24"/>
          <w:lang w:val="es-ES"/>
        </w:rPr>
        <w:t xml:space="preserve">a las empresas </w:t>
      </w:r>
      <w:r>
        <w:rPr>
          <w:rFonts w:eastAsia="Times New Roman" w:cs="Times New Roman"/>
          <w:bCs w:val="0"/>
          <w:kern w:val="22"/>
          <w:szCs w:val="24"/>
          <w:lang w:val="es-ES"/>
        </w:rPr>
        <w:t xml:space="preserve">mayor claridad </w:t>
      </w:r>
      <w:r w:rsidR="00FC2C95">
        <w:rPr>
          <w:rFonts w:eastAsia="Times New Roman" w:cs="Times New Roman"/>
          <w:bCs w:val="0"/>
          <w:kern w:val="22"/>
          <w:szCs w:val="24"/>
          <w:lang w:val="es-ES"/>
        </w:rPr>
        <w:t>en el futuro</w:t>
      </w:r>
      <w:r>
        <w:rPr>
          <w:rStyle w:val="FootnoteReference"/>
          <w:rFonts w:eastAsia="Times New Roman"/>
          <w:bCs w:val="0"/>
          <w:kern w:val="22"/>
          <w:szCs w:val="24"/>
          <w:lang w:val="es-ES"/>
        </w:rPr>
        <w:footnoteReference w:id="17"/>
      </w:r>
      <w:r>
        <w:rPr>
          <w:rFonts w:eastAsia="Times New Roman" w:cs="Times New Roman"/>
          <w:bCs w:val="0"/>
          <w:kern w:val="22"/>
          <w:szCs w:val="24"/>
          <w:lang w:val="es-ES"/>
        </w:rPr>
        <w:t>.</w:t>
      </w:r>
    </w:p>
    <w:p w:rsidR="00607CAD" w:rsidRDefault="00607CAD">
      <w:pPr>
        <w:pStyle w:val="Heading3"/>
        <w:numPr>
          <w:ilvl w:val="0"/>
          <w:numId w:val="16"/>
        </w:numPr>
        <w:suppressLineNumbers/>
        <w:suppressAutoHyphens/>
        <w:kinsoku w:val="0"/>
        <w:overflowPunct w:val="0"/>
        <w:autoSpaceDE w:val="0"/>
        <w:autoSpaceDN w:val="0"/>
        <w:adjustRightInd w:val="0"/>
        <w:snapToGrid w:val="0"/>
        <w:rPr>
          <w:rFonts w:eastAsia="Times New Roman"/>
          <w:iCs w:val="0"/>
          <w:kern w:val="22"/>
          <w:lang w:val="es-ES"/>
        </w:rPr>
      </w:pPr>
      <w:r>
        <w:rPr>
          <w:rFonts w:eastAsia="Times New Roman"/>
          <w:iCs w:val="0"/>
          <w:kern w:val="22"/>
          <w:lang w:val="es-ES"/>
        </w:rPr>
        <w:lastRenderedPageBreak/>
        <w:t>Referencia a los Objetivos de Desarrollo Sostenible en la presentación de informes</w:t>
      </w:r>
    </w:p>
    <w:p w:rsidR="00607CAD" w:rsidRPr="00D66BC9"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pacing w:val="-2"/>
          <w:szCs w:val="24"/>
          <w:lang w:val="es-ES"/>
        </w:rPr>
      </w:pPr>
      <w:r w:rsidRPr="00D66BC9">
        <w:rPr>
          <w:rFonts w:eastAsia="Times New Roman" w:cs="Times New Roman"/>
          <w:bCs w:val="0"/>
          <w:spacing w:val="-2"/>
          <w:kern w:val="22"/>
          <w:szCs w:val="24"/>
          <w:lang w:val="es-ES"/>
        </w:rPr>
        <w:t>Otra tendencia importante es la creciente referencia que se hace en los informes de sostenibilidad de las empresas a la Agenda 2030 para el Desarrollo Sostenible</w:t>
      </w:r>
      <w:r w:rsidRPr="00D66BC9">
        <w:rPr>
          <w:rStyle w:val="FootnoteReference"/>
          <w:rFonts w:eastAsia="Times New Roman"/>
          <w:bCs w:val="0"/>
          <w:spacing w:val="-2"/>
          <w:kern w:val="22"/>
          <w:szCs w:val="24"/>
          <w:lang w:val="es-ES"/>
        </w:rPr>
        <w:footnoteReference w:id="18"/>
      </w:r>
      <w:r w:rsidRPr="00D66BC9">
        <w:rPr>
          <w:rFonts w:eastAsia="Times New Roman" w:cs="Times New Roman"/>
          <w:bCs w:val="0"/>
          <w:spacing w:val="-2"/>
          <w:kern w:val="22"/>
          <w:szCs w:val="24"/>
          <w:lang w:val="es-ES"/>
        </w:rPr>
        <w:t xml:space="preserve"> y los Objetivos de Desarrollo Sostenible. Muchas empresas están usando los Objetivos de Desarrollo Sostenible como herramienta de planificación estratégica y los inversores toman el compromiso con los Objetivos como un criterio para medir el riesgo. Según una encuesta de KPMG, muchas empresas ya vinculan sus actividades de responsabilidad empresarial con los Objetivos de Desarrollo Sostenible. Este es el caso, por ejemplo, del 43% de las 250 empresas más grandes en términos de ingresos</w:t>
      </w:r>
      <w:r w:rsidRPr="00D66BC9">
        <w:rPr>
          <w:rStyle w:val="FootnoteReference"/>
          <w:rFonts w:eastAsia="Times New Roman"/>
          <w:bCs w:val="0"/>
          <w:spacing w:val="-2"/>
          <w:kern w:val="22"/>
          <w:szCs w:val="24"/>
          <w:lang w:val="es-ES"/>
        </w:rPr>
        <w:footnoteReference w:id="19"/>
      </w:r>
      <w:r w:rsidRPr="00D66BC9">
        <w:rPr>
          <w:rFonts w:eastAsia="Times New Roman" w:cs="Times New Roman"/>
          <w:bCs w:val="0"/>
          <w:spacing w:val="-2"/>
          <w:kern w:val="22"/>
          <w:szCs w:val="24"/>
          <w:lang w:val="es-ES"/>
        </w:rPr>
        <w:t>. Esta tendencia surgió rápidamente y estaría indicando que los Objetivos de Desarrollo Sostenible tendrán una importancia y pertinencia cada vez mayor en la responsabilidad empresarial en general. No obstante, análogamente a lo que se indicó con respecto a la materialidad, es probable que las empresas estén informando sobre aquellos Objetivos que son directamente pertinentes a sus actividades empresariales. Un estudio reciente de PricewaterhouseCoopers encontró que el Objetivo 14 (Vida submarina) y el Objetivo 15 (Vida de ecosistemas terrestres) están entre los Objetivos sobre los que menos se informa en los Países Bajos</w:t>
      </w:r>
      <w:r w:rsidRPr="00D66BC9">
        <w:rPr>
          <w:rStyle w:val="FootnoteReference"/>
          <w:rFonts w:eastAsia="Times New Roman"/>
          <w:bCs w:val="0"/>
          <w:spacing w:val="-2"/>
          <w:kern w:val="22"/>
          <w:szCs w:val="24"/>
          <w:lang w:val="es-ES"/>
        </w:rPr>
        <w:footnoteReference w:id="20"/>
      </w:r>
      <w:r w:rsidRPr="00D66BC9">
        <w:rPr>
          <w:rFonts w:eastAsia="Times New Roman" w:cs="Times New Roman"/>
          <w:bCs w:val="0"/>
          <w:spacing w:val="-2"/>
          <w:kern w:val="22"/>
          <w:szCs w:val="24"/>
          <w:lang w:val="es-ES"/>
        </w:rPr>
        <w:t xml:space="preserve">. En su estudio (en revisión), Addison </w:t>
      </w:r>
      <w:r w:rsidRPr="00D66BC9">
        <w:rPr>
          <w:rFonts w:eastAsia="Times New Roman" w:cs="Times New Roman"/>
          <w:bCs w:val="0"/>
          <w:i/>
          <w:spacing w:val="-2"/>
          <w:kern w:val="22"/>
          <w:szCs w:val="24"/>
          <w:lang w:val="es-ES"/>
        </w:rPr>
        <w:t xml:space="preserve">et </w:t>
      </w:r>
      <w:r w:rsidR="00E07A30" w:rsidRPr="00D66BC9">
        <w:rPr>
          <w:rFonts w:eastAsia="Times New Roman" w:cs="Times New Roman"/>
          <w:bCs w:val="0"/>
          <w:i/>
          <w:spacing w:val="-2"/>
          <w:kern w:val="22"/>
          <w:szCs w:val="24"/>
          <w:lang w:val="es-ES"/>
        </w:rPr>
        <w:t>al</w:t>
      </w:r>
      <w:r w:rsidR="00567CC9">
        <w:rPr>
          <w:rFonts w:eastAsia="Times New Roman" w:cs="Times New Roman"/>
          <w:bCs w:val="0"/>
          <w:i/>
          <w:spacing w:val="-2"/>
          <w:kern w:val="22"/>
          <w:szCs w:val="24"/>
          <w:lang w:val="es-ES"/>
        </w:rPr>
        <w:t>.</w:t>
      </w:r>
      <w:r w:rsidR="00E07A30" w:rsidRPr="00D66BC9">
        <w:rPr>
          <w:rFonts w:eastAsia="Times New Roman" w:cs="Times New Roman"/>
          <w:bCs w:val="0"/>
          <w:spacing w:val="-2"/>
          <w:kern w:val="22"/>
          <w:szCs w:val="24"/>
          <w:lang w:val="es-ES"/>
        </w:rPr>
        <w:t xml:space="preserve"> </w:t>
      </w:r>
      <w:r w:rsidRPr="00D66BC9">
        <w:rPr>
          <w:rFonts w:eastAsia="Times New Roman" w:cs="Times New Roman"/>
          <w:bCs w:val="0"/>
          <w:spacing w:val="-2"/>
          <w:kern w:val="22"/>
          <w:szCs w:val="24"/>
          <w:lang w:val="es-ES"/>
        </w:rPr>
        <w:t>encontraron que 49 de las 100 primeras empresas de la lista Global Fortune 500 (las Fortune 100) menci</w:t>
      </w:r>
      <w:r w:rsidR="00E07A30" w:rsidRPr="00D66BC9">
        <w:rPr>
          <w:rFonts w:eastAsia="Times New Roman" w:cs="Times New Roman"/>
          <w:bCs w:val="0"/>
          <w:spacing w:val="-2"/>
          <w:kern w:val="22"/>
          <w:szCs w:val="24"/>
          <w:lang w:val="es-ES"/>
        </w:rPr>
        <w:t>o</w:t>
      </w:r>
      <w:r w:rsidRPr="00D66BC9">
        <w:rPr>
          <w:rFonts w:eastAsia="Times New Roman" w:cs="Times New Roman"/>
          <w:bCs w:val="0"/>
          <w:spacing w:val="-2"/>
          <w:kern w:val="22"/>
          <w:szCs w:val="24"/>
          <w:lang w:val="es-ES"/>
        </w:rPr>
        <w:t>n</w:t>
      </w:r>
      <w:r w:rsidR="00E07A30" w:rsidRPr="00D66BC9">
        <w:rPr>
          <w:rFonts w:eastAsia="Times New Roman" w:cs="Times New Roman"/>
          <w:bCs w:val="0"/>
          <w:spacing w:val="-2"/>
          <w:kern w:val="22"/>
          <w:szCs w:val="24"/>
          <w:lang w:val="es-ES"/>
        </w:rPr>
        <w:t>an a</w:t>
      </w:r>
      <w:r w:rsidRPr="00D66BC9">
        <w:rPr>
          <w:rFonts w:eastAsia="Times New Roman" w:cs="Times New Roman"/>
          <w:bCs w:val="0"/>
          <w:spacing w:val="-2"/>
          <w:kern w:val="22"/>
          <w:szCs w:val="24"/>
          <w:lang w:val="es-ES"/>
        </w:rPr>
        <w:t xml:space="preserve"> la diversidad biológica en sus informes de sostenibilidad. En 2016, 24 de esas empresas comenzaron a enmarcar sus compromisos de diversidad biológica en </w:t>
      </w:r>
      <w:r w:rsidR="00E07A30" w:rsidRPr="00D66BC9">
        <w:rPr>
          <w:rFonts w:eastAsia="Times New Roman" w:cs="Times New Roman"/>
          <w:bCs w:val="0"/>
          <w:spacing w:val="-2"/>
          <w:kern w:val="22"/>
          <w:szCs w:val="24"/>
          <w:lang w:val="es-ES"/>
        </w:rPr>
        <w:t xml:space="preserve">relación con </w:t>
      </w:r>
      <w:r w:rsidRPr="00D66BC9">
        <w:rPr>
          <w:rFonts w:eastAsia="Times New Roman" w:cs="Times New Roman"/>
          <w:bCs w:val="0"/>
          <w:spacing w:val="-2"/>
          <w:kern w:val="22"/>
          <w:szCs w:val="24"/>
          <w:lang w:val="es-ES"/>
        </w:rPr>
        <w:t>los Objetivos de Desarrollo Sostenible, lo que contrasta con el número de empresas que reconoc</w:t>
      </w:r>
      <w:r w:rsidR="00E07A30" w:rsidRPr="00D66BC9">
        <w:rPr>
          <w:rFonts w:eastAsia="Times New Roman" w:cs="Times New Roman"/>
          <w:bCs w:val="0"/>
          <w:spacing w:val="-2"/>
          <w:kern w:val="22"/>
          <w:szCs w:val="24"/>
          <w:lang w:val="es-ES"/>
        </w:rPr>
        <w:t>i</w:t>
      </w:r>
      <w:r w:rsidRPr="00D66BC9">
        <w:rPr>
          <w:rFonts w:eastAsia="Times New Roman" w:cs="Times New Roman"/>
          <w:bCs w:val="0"/>
          <w:spacing w:val="-2"/>
          <w:kern w:val="22"/>
          <w:szCs w:val="24"/>
          <w:lang w:val="es-ES"/>
        </w:rPr>
        <w:t>e</w:t>
      </w:r>
      <w:r w:rsidR="00E07A30" w:rsidRPr="00D66BC9">
        <w:rPr>
          <w:rFonts w:eastAsia="Times New Roman" w:cs="Times New Roman"/>
          <w:bCs w:val="0"/>
          <w:spacing w:val="-2"/>
          <w:kern w:val="22"/>
          <w:szCs w:val="24"/>
          <w:lang w:val="es-ES"/>
        </w:rPr>
        <w:t>ro</w:t>
      </w:r>
      <w:r w:rsidRPr="00D66BC9">
        <w:rPr>
          <w:rFonts w:eastAsia="Times New Roman" w:cs="Times New Roman"/>
          <w:bCs w:val="0"/>
          <w:spacing w:val="-2"/>
          <w:kern w:val="22"/>
          <w:szCs w:val="24"/>
          <w:lang w:val="es-ES"/>
        </w:rPr>
        <w:t>n al Convenio sobre la Diversidad Biológica (el Convenio o las Metas de Aichi para la Diversidad Biológica)</w:t>
      </w:r>
      <w:r w:rsidR="00E07A30" w:rsidRPr="00D66BC9">
        <w:rPr>
          <w:rFonts w:eastAsia="Times New Roman" w:cs="Times New Roman"/>
          <w:bCs w:val="0"/>
          <w:spacing w:val="-2"/>
          <w:kern w:val="22"/>
          <w:szCs w:val="24"/>
          <w:lang w:val="es-ES"/>
        </w:rPr>
        <w:t>,</w:t>
      </w:r>
      <w:r w:rsidRPr="00D66BC9">
        <w:rPr>
          <w:rFonts w:eastAsia="Times New Roman" w:cs="Times New Roman"/>
          <w:bCs w:val="0"/>
          <w:spacing w:val="-2"/>
          <w:kern w:val="22"/>
          <w:szCs w:val="24"/>
          <w:lang w:val="es-ES"/>
        </w:rPr>
        <w:t xml:space="preserve"> que </w:t>
      </w:r>
      <w:r w:rsidR="00D66BC9" w:rsidRPr="00D66BC9">
        <w:rPr>
          <w:rFonts w:eastAsia="Times New Roman" w:cs="Times New Roman"/>
          <w:bCs w:val="0"/>
          <w:spacing w:val="-2"/>
          <w:kern w:val="22"/>
          <w:szCs w:val="24"/>
          <w:lang w:val="es-ES"/>
        </w:rPr>
        <w:t>fuer</w:t>
      </w:r>
      <w:r w:rsidRPr="00D66BC9">
        <w:rPr>
          <w:rFonts w:eastAsia="Times New Roman" w:cs="Times New Roman"/>
          <w:bCs w:val="0"/>
          <w:spacing w:val="-2"/>
          <w:kern w:val="22"/>
          <w:szCs w:val="24"/>
          <w:lang w:val="es-ES"/>
        </w:rPr>
        <w:t>on solo seis.</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bookmarkStart w:id="12" w:name="_Ref515274810"/>
      <w:r>
        <w:rPr>
          <w:rFonts w:eastAsia="Times New Roman" w:cs="Times New Roman"/>
          <w:bCs w:val="0"/>
          <w:kern w:val="22"/>
          <w:szCs w:val="24"/>
          <w:lang w:val="es-ES"/>
        </w:rPr>
        <w:t xml:space="preserve">En este contexto, la Global Reporting Initiative y el Pacto Mundial de las Naciones Unidas publicaron recientemente un informe titulado </w:t>
      </w:r>
      <w:r>
        <w:rPr>
          <w:rFonts w:eastAsia="Times New Roman" w:cs="Times New Roman"/>
          <w:bCs w:val="0"/>
          <w:i/>
          <w:kern w:val="22"/>
          <w:szCs w:val="24"/>
          <w:lang w:val="es-ES"/>
        </w:rPr>
        <w:t>Business Reporting on the SDGs – an Analysis of the Goals and Targets</w:t>
      </w:r>
      <w:r>
        <w:rPr>
          <w:rFonts w:eastAsia="Times New Roman" w:cs="Times New Roman"/>
          <w:bCs w:val="0"/>
          <w:kern w:val="22"/>
          <w:szCs w:val="24"/>
          <w:lang w:val="es-ES"/>
        </w:rPr>
        <w:t xml:space="preserve"> (Presentación de informes empresariales sobre los ODS: Análisis de los Objetivos y las Metas), donde se proponen medidas pertinentes que pueden adoptar las empresas para promover el logro de las metas</w:t>
      </w:r>
      <w:r>
        <w:rPr>
          <w:rStyle w:val="FootnoteReference"/>
          <w:rFonts w:eastAsia="Times New Roman"/>
          <w:bCs w:val="0"/>
          <w:kern w:val="22"/>
          <w:szCs w:val="24"/>
          <w:lang w:val="es-ES"/>
        </w:rPr>
        <w:footnoteReference w:id="21"/>
      </w:r>
      <w:r>
        <w:rPr>
          <w:rFonts w:eastAsia="Times New Roman" w:cs="Times New Roman"/>
          <w:bCs w:val="0"/>
          <w:kern w:val="22"/>
          <w:szCs w:val="24"/>
          <w:lang w:val="es-ES"/>
        </w:rPr>
        <w:t>. En el marco de este proyecto, en julio de 2018 se publicará una guía práctica en la que se propondrá un enfoque de principios para la presentación de informes sobre los Objetivos de Desarrollo Sostenible basado en los Estándares GRI y los Diez Principios del Pacto Mundial de las Naciones Unidas. El Consejo Internacional de Informes Integrados también publicó un informe sobre los Objetivos de Desarrollo Sostenible y la presentación de informes integrados</w:t>
      </w:r>
      <w:r>
        <w:rPr>
          <w:rStyle w:val="FootnoteReference"/>
          <w:rFonts w:eastAsia="Times New Roman"/>
          <w:bCs w:val="0"/>
          <w:kern w:val="22"/>
          <w:szCs w:val="24"/>
          <w:lang w:val="es-ES"/>
        </w:rPr>
        <w:footnoteReference w:id="22"/>
      </w:r>
      <w:r>
        <w:rPr>
          <w:rFonts w:eastAsia="Times New Roman" w:cs="Times New Roman"/>
          <w:bCs w:val="0"/>
          <w:kern w:val="22"/>
          <w:szCs w:val="24"/>
          <w:lang w:val="es-ES"/>
        </w:rPr>
        <w:t>.</w:t>
      </w:r>
    </w:p>
    <w:bookmarkEnd w:id="12"/>
    <w:p w:rsidR="00607CAD" w:rsidRDefault="00607CAD">
      <w:pPr>
        <w:pStyle w:val="Heading3"/>
        <w:numPr>
          <w:ilvl w:val="0"/>
          <w:numId w:val="16"/>
        </w:numPr>
        <w:suppressLineNumbers/>
        <w:suppressAutoHyphens/>
        <w:kinsoku w:val="0"/>
        <w:overflowPunct w:val="0"/>
        <w:autoSpaceDE w:val="0"/>
        <w:autoSpaceDN w:val="0"/>
        <w:adjustRightInd w:val="0"/>
        <w:snapToGrid w:val="0"/>
        <w:rPr>
          <w:rFonts w:eastAsia="Times New Roman"/>
          <w:iCs w:val="0"/>
          <w:kern w:val="22"/>
          <w:lang w:val="es-ES"/>
        </w:rPr>
      </w:pPr>
      <w:r>
        <w:rPr>
          <w:rFonts w:eastAsia="Times New Roman"/>
          <w:iCs w:val="0"/>
          <w:kern w:val="22"/>
          <w:lang w:val="es-ES"/>
        </w:rPr>
        <w:t>Trabajo sobre indicadores de diversidad biológica</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spacing w:before="0" w:after="0"/>
        <w:ind w:left="0" w:firstLine="0"/>
        <w:rPr>
          <w:rFonts w:eastAsia="Times New Roman" w:cs="Times New Roman"/>
          <w:bCs w:val="0"/>
          <w:szCs w:val="24"/>
          <w:lang w:val="es-ES"/>
        </w:rPr>
      </w:pPr>
      <w:r>
        <w:rPr>
          <w:rFonts w:eastAsia="Times New Roman" w:cs="Times New Roman"/>
          <w:bCs w:val="0"/>
          <w:kern w:val="22"/>
          <w:szCs w:val="24"/>
          <w:lang w:val="es-ES"/>
        </w:rPr>
        <w:t xml:space="preserve">Varios grupos y empresas privadas están trabajando actualmente </w:t>
      </w:r>
      <w:r w:rsidR="00E07A30">
        <w:rPr>
          <w:rFonts w:eastAsia="Times New Roman" w:cs="Times New Roman"/>
          <w:bCs w:val="0"/>
          <w:kern w:val="22"/>
          <w:szCs w:val="24"/>
          <w:lang w:val="es-ES"/>
        </w:rPr>
        <w:t xml:space="preserve">en el </w:t>
      </w:r>
      <w:r>
        <w:rPr>
          <w:rFonts w:eastAsia="Times New Roman" w:cs="Times New Roman"/>
          <w:bCs w:val="0"/>
          <w:kern w:val="22"/>
          <w:szCs w:val="24"/>
          <w:lang w:val="es-ES"/>
        </w:rPr>
        <w:t>aborda</w:t>
      </w:r>
      <w:r w:rsidR="00E07A30">
        <w:rPr>
          <w:rFonts w:eastAsia="Times New Roman" w:cs="Times New Roman"/>
          <w:bCs w:val="0"/>
          <w:kern w:val="22"/>
          <w:szCs w:val="24"/>
          <w:lang w:val="es-ES"/>
        </w:rPr>
        <w:t xml:space="preserve">je </w:t>
      </w:r>
      <w:r>
        <w:rPr>
          <w:rFonts w:eastAsia="Times New Roman" w:cs="Times New Roman"/>
          <w:bCs w:val="0"/>
          <w:kern w:val="22"/>
          <w:szCs w:val="24"/>
          <w:lang w:val="es-ES"/>
        </w:rPr>
        <w:t>d</w:t>
      </w:r>
      <w:r w:rsidR="00E07A30">
        <w:rPr>
          <w:rFonts w:eastAsia="Times New Roman" w:cs="Times New Roman"/>
          <w:bCs w:val="0"/>
          <w:kern w:val="22"/>
          <w:szCs w:val="24"/>
          <w:lang w:val="es-ES"/>
        </w:rPr>
        <w:t>e</w:t>
      </w:r>
      <w:r>
        <w:rPr>
          <w:rFonts w:eastAsia="Times New Roman" w:cs="Times New Roman"/>
          <w:bCs w:val="0"/>
          <w:kern w:val="22"/>
          <w:szCs w:val="24"/>
          <w:lang w:val="es-ES"/>
        </w:rPr>
        <w:t xml:space="preserve"> distintas aplicaciones de indicadores de diversidad biológica para empresas. Las aplicaciones varían según la escala de evaluación y el público objetivo. Una de las organizaciones que trabaja en esto es el Cambridge Institute for Sustainability Leadership, que junto a asociados, está desarrollando un sistema de medición de</w:t>
      </w:r>
      <w:r w:rsidR="00E07A30">
        <w:rPr>
          <w:rFonts w:eastAsia="Times New Roman" w:cs="Times New Roman"/>
          <w:bCs w:val="0"/>
          <w:kern w:val="22"/>
          <w:szCs w:val="24"/>
          <w:lang w:val="es-ES"/>
        </w:rPr>
        <w:t xml:space="preserve"> la</w:t>
      </w:r>
      <w:r>
        <w:rPr>
          <w:rFonts w:eastAsia="Times New Roman" w:cs="Times New Roman"/>
          <w:bCs w:val="0"/>
          <w:kern w:val="22"/>
          <w:szCs w:val="24"/>
          <w:lang w:val="es-ES"/>
        </w:rPr>
        <w:t xml:space="preserve"> diversidad biológica. Como está creciendo la a</w:t>
      </w:r>
      <w:r w:rsidR="00E07A30">
        <w:rPr>
          <w:rFonts w:eastAsia="Times New Roman" w:cs="Times New Roman"/>
          <w:bCs w:val="0"/>
          <w:kern w:val="22"/>
          <w:szCs w:val="24"/>
          <w:lang w:val="es-ES"/>
        </w:rPr>
        <w:t>do</w:t>
      </w:r>
      <w:r>
        <w:rPr>
          <w:rFonts w:eastAsia="Times New Roman" w:cs="Times New Roman"/>
          <w:bCs w:val="0"/>
          <w:kern w:val="22"/>
          <w:szCs w:val="24"/>
          <w:lang w:val="es-ES"/>
        </w:rPr>
        <w:t>pción general de medidas y enfoques, la idea es tener un sistema de medición que sea simple y basado en el contexto, que pueda apoyar la toma de decisiones y demostrar un impacto positivo. El sistema de medición propuesto se basa en el impacto que tiene una empresa en la calidad y cantidad de diversidad biológica, recursos terrestres y recursos hídricos. Este trabajo se está aplicando en forma experimental con empresas. Aunque aún no está probado, podría incorporarse potencialmente en marcos existentes de presentación de informes, en particular en el marco de la GRI, y podría proporcionar la base para evaluaciones más fuertes de materialidad relacionadas con la diversidad biológica</w:t>
      </w:r>
      <w:r>
        <w:rPr>
          <w:rStyle w:val="FootnoteReference"/>
          <w:rFonts w:eastAsia="Times New Roman"/>
          <w:bCs w:val="0"/>
          <w:kern w:val="22"/>
          <w:szCs w:val="24"/>
          <w:lang w:val="es-ES"/>
        </w:rPr>
        <w:footnoteReference w:id="23"/>
      </w:r>
      <w:r>
        <w:rPr>
          <w:rFonts w:eastAsia="Times New Roman" w:cs="Times New Roman"/>
          <w:bCs w:val="0"/>
          <w:kern w:val="22"/>
          <w:szCs w:val="24"/>
          <w:lang w:val="es-ES"/>
        </w:rPr>
        <w:t>.</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Hay otras iniciativas en curso, por ejemplo: el trabajo que está llevando a cabo I-CARE para elaborar un sistema de medición que cuantifique el impacto de un producto en la diversidad biológica </w:t>
      </w:r>
      <w:r>
        <w:rPr>
          <w:rFonts w:eastAsia="Times New Roman" w:cs="Times New Roman"/>
          <w:bCs w:val="0"/>
          <w:kern w:val="22"/>
          <w:szCs w:val="24"/>
          <w:lang w:val="es-ES"/>
        </w:rPr>
        <w:lastRenderedPageBreak/>
        <w:t>durante todo su ciclo vital; el trabajo de CDC-Biodiversité para desarrollar una metodología de huella de diversidad biológica denominada Puntaje de Biodiversidad Mundial (Global Biodiversity Score, o GBS)</w:t>
      </w:r>
      <w:r>
        <w:rPr>
          <w:rStyle w:val="FootnoteReference"/>
          <w:rFonts w:eastAsia="Times New Roman"/>
          <w:bCs w:val="0"/>
          <w:kern w:val="22"/>
          <w:szCs w:val="24"/>
          <w:lang w:val="es-ES"/>
        </w:rPr>
        <w:footnoteReference w:id="24"/>
      </w:r>
      <w:r>
        <w:rPr>
          <w:rFonts w:eastAsia="Times New Roman" w:cs="Times New Roman"/>
          <w:bCs w:val="0"/>
          <w:kern w:val="22"/>
          <w:szCs w:val="24"/>
          <w:lang w:val="es-ES"/>
        </w:rPr>
        <w:t>; el trabajo del Instituto LIFE en Brasil</w:t>
      </w:r>
      <w:r>
        <w:rPr>
          <w:rStyle w:val="FootnoteReference"/>
          <w:rFonts w:eastAsia="Times New Roman"/>
          <w:bCs w:val="0"/>
          <w:kern w:val="22"/>
          <w:szCs w:val="24"/>
          <w:lang w:val="es-ES"/>
        </w:rPr>
        <w:footnoteReference w:id="25"/>
      </w:r>
      <w:r>
        <w:rPr>
          <w:rFonts w:eastAsia="Times New Roman" w:cs="Times New Roman"/>
          <w:bCs w:val="0"/>
          <w:kern w:val="22"/>
          <w:szCs w:val="24"/>
          <w:lang w:val="es-ES"/>
        </w:rPr>
        <w:t>; y mucha</w:t>
      </w:r>
      <w:r w:rsidR="00E07A30">
        <w:rPr>
          <w:rFonts w:eastAsia="Times New Roman" w:cs="Times New Roman"/>
          <w:bCs w:val="0"/>
          <w:kern w:val="22"/>
          <w:szCs w:val="24"/>
          <w:lang w:val="es-ES"/>
        </w:rPr>
        <w:t>s</w:t>
      </w:r>
      <w:r>
        <w:rPr>
          <w:rFonts w:eastAsia="Times New Roman" w:cs="Times New Roman"/>
          <w:bCs w:val="0"/>
          <w:kern w:val="22"/>
          <w:szCs w:val="24"/>
          <w:lang w:val="es-ES"/>
        </w:rPr>
        <w:t xml:space="preserve"> iniciativas más. En 2016, la Asociación de la Industria Petrolera Internacional para la Conservación del Medio Ambiente (IPIECA) publicó </w:t>
      </w:r>
      <w:r>
        <w:rPr>
          <w:rFonts w:eastAsia="Times New Roman" w:cs="Times New Roman"/>
          <w:bCs w:val="0"/>
          <w:i/>
          <w:kern w:val="22"/>
          <w:szCs w:val="24"/>
          <w:lang w:val="es-ES"/>
        </w:rPr>
        <w:t>Biodiversity and Ecosystem Services Fundamentals: Guidance Document for the Oil and Gas Industry</w:t>
      </w:r>
      <w:r>
        <w:rPr>
          <w:rFonts w:eastAsia="Times New Roman" w:cs="Times New Roman"/>
          <w:bCs w:val="0"/>
          <w:kern w:val="22"/>
          <w:szCs w:val="24"/>
          <w:lang w:val="es-ES"/>
        </w:rPr>
        <w:t xml:space="preserve"> (Conceptos básicos de la diversidad biológica y los servicios de los ecosistemas: Documento de orientación para la industria del gas y el petróleo)</w:t>
      </w:r>
      <w:r>
        <w:rPr>
          <w:rStyle w:val="FootnoteReference"/>
          <w:rFonts w:eastAsia="Times New Roman"/>
          <w:bCs w:val="0"/>
          <w:kern w:val="22"/>
          <w:szCs w:val="24"/>
          <w:lang w:val="es-ES"/>
        </w:rPr>
        <w:footnoteReference w:id="26"/>
      </w:r>
      <w:r>
        <w:rPr>
          <w:rFonts w:eastAsia="Times New Roman" w:cs="Times New Roman"/>
          <w:bCs w:val="0"/>
          <w:kern w:val="22"/>
          <w:szCs w:val="24"/>
          <w:lang w:val="es-ES"/>
        </w:rPr>
        <w:t>. ASN Bank de Holanda también está elaborando un sistema de medición cuantitativa para estimar y valuar el impacto de sus inversiones en la diversidad biológica</w:t>
      </w:r>
      <w:r w:rsidR="002137DA" w:rsidRPr="002137DA">
        <w:rPr>
          <w:rFonts w:eastAsia="Times New Roman" w:cs="Times New Roman"/>
          <w:bCs w:val="0"/>
          <w:kern w:val="22"/>
          <w:szCs w:val="24"/>
          <w:lang w:val="es-ES"/>
        </w:rPr>
        <w:t xml:space="preserve"> </w:t>
      </w:r>
      <w:r w:rsidR="002137DA">
        <w:rPr>
          <w:rFonts w:eastAsia="Times New Roman" w:cs="Times New Roman"/>
          <w:bCs w:val="0"/>
          <w:kern w:val="22"/>
          <w:szCs w:val="24"/>
          <w:lang w:val="es-ES"/>
        </w:rPr>
        <w:t>y sus dependencias de ella</w:t>
      </w:r>
      <w:r>
        <w:rPr>
          <w:rFonts w:eastAsia="Times New Roman" w:cs="Times New Roman"/>
          <w:bCs w:val="0"/>
          <w:kern w:val="22"/>
          <w:szCs w:val="24"/>
          <w:lang w:val="es-ES"/>
        </w:rPr>
        <w:t xml:space="preserve">. La Plataforma de Negocios y Biodiversidad de la Unión Europea está preparando una reseña y evaluación crítica de las diversas actividades en curso dirigidas a desarrollar sistemas de medición de </w:t>
      </w:r>
      <w:r w:rsidR="002137DA">
        <w:rPr>
          <w:rFonts w:eastAsia="Times New Roman" w:cs="Times New Roman"/>
          <w:bCs w:val="0"/>
          <w:kern w:val="22"/>
          <w:szCs w:val="24"/>
          <w:lang w:val="es-ES"/>
        </w:rPr>
        <w:t xml:space="preserve">la </w:t>
      </w:r>
      <w:r>
        <w:rPr>
          <w:rFonts w:eastAsia="Times New Roman" w:cs="Times New Roman"/>
          <w:bCs w:val="0"/>
          <w:kern w:val="22"/>
          <w:szCs w:val="24"/>
          <w:lang w:val="es-ES"/>
        </w:rPr>
        <w:t>diversidad biológica para empresas y entidades financieras, incluidas las mencionadas en la presente nota</w:t>
      </w:r>
      <w:r>
        <w:rPr>
          <w:rStyle w:val="FootnoteReference"/>
          <w:rFonts w:eastAsia="Times New Roman"/>
          <w:bCs w:val="0"/>
          <w:kern w:val="22"/>
          <w:szCs w:val="24"/>
          <w:lang w:val="es-ES"/>
        </w:rPr>
        <w:footnoteReference w:id="27"/>
      </w:r>
      <w:r>
        <w:rPr>
          <w:rFonts w:eastAsia="Times New Roman" w:cs="Times New Roman"/>
          <w:bCs w:val="0"/>
          <w:kern w:val="22"/>
          <w:szCs w:val="24"/>
          <w:lang w:val="es-ES"/>
        </w:rPr>
        <w:t>. También existen iniciativas a nivel de industrias y sectores específicos.</w:t>
      </w:r>
    </w:p>
    <w:p w:rsidR="00607CAD" w:rsidRDefault="00607CAD" w:rsidP="00F45747">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Asimismo, </w:t>
      </w:r>
      <w:r w:rsidR="00941E6E">
        <w:rPr>
          <w:rFonts w:eastAsia="Times New Roman" w:cs="Times New Roman"/>
          <w:bCs w:val="0"/>
          <w:kern w:val="22"/>
          <w:szCs w:val="24"/>
          <w:lang w:val="es-ES"/>
        </w:rPr>
        <w:t>se está trabaj</w:t>
      </w:r>
      <w:r w:rsidR="008F4B02">
        <w:rPr>
          <w:rFonts w:eastAsia="Times New Roman" w:cs="Times New Roman"/>
          <w:bCs w:val="0"/>
          <w:kern w:val="22"/>
          <w:szCs w:val="24"/>
          <w:lang w:val="es-ES"/>
        </w:rPr>
        <w:t>and</w:t>
      </w:r>
      <w:r w:rsidR="00941E6E">
        <w:rPr>
          <w:rFonts w:eastAsia="Times New Roman" w:cs="Times New Roman"/>
          <w:bCs w:val="0"/>
          <w:kern w:val="22"/>
          <w:szCs w:val="24"/>
          <w:lang w:val="es-ES"/>
        </w:rPr>
        <w:t xml:space="preserve">o en este sentido </w:t>
      </w:r>
      <w:r>
        <w:rPr>
          <w:rFonts w:eastAsia="Times New Roman" w:cs="Times New Roman"/>
          <w:bCs w:val="0"/>
          <w:kern w:val="22"/>
          <w:szCs w:val="24"/>
          <w:lang w:val="es-ES"/>
        </w:rPr>
        <w:t>en el contexto de la contabilidad de los ecosistemas y podría ser útil vincular las iniciativas antes mencionadas con las experiencias adquiridas y los trabajos recientes realizados en este contexto. Con la última revisión del Sistema de Contabilidad Ambiental y Económica (SCAE) y la emisión del Módulo Experimental de Contabilidad de los Ecosistemas del SCAE</w:t>
      </w:r>
      <w:r>
        <w:rPr>
          <w:rStyle w:val="FootnoteReference"/>
          <w:rFonts w:eastAsia="Times New Roman"/>
          <w:bCs w:val="0"/>
          <w:kern w:val="22"/>
          <w:szCs w:val="24"/>
          <w:lang w:val="es-ES"/>
        </w:rPr>
        <w:footnoteReference w:id="28"/>
      </w:r>
      <w:r>
        <w:rPr>
          <w:rFonts w:eastAsia="Times New Roman" w:cs="Times New Roman"/>
          <w:bCs w:val="0"/>
          <w:kern w:val="22"/>
          <w:szCs w:val="24"/>
          <w:lang w:val="es-ES"/>
        </w:rPr>
        <w:t>, en los últimos años se avanzó conceptualmente, tanto a nivel mundial como de países, sobre la mejor forma de captar el papel de la diversidad biológica en un contexto de contabilidad de los ecosistemas</w:t>
      </w:r>
      <w:r>
        <w:rPr>
          <w:rStyle w:val="FootnoteReference"/>
          <w:rFonts w:eastAsia="Times New Roman"/>
          <w:bCs w:val="0"/>
          <w:kern w:val="22"/>
          <w:szCs w:val="24"/>
          <w:lang w:val="es-ES"/>
        </w:rPr>
        <w:footnoteReference w:id="29"/>
      </w:r>
      <w:r>
        <w:rPr>
          <w:rFonts w:eastAsia="Times New Roman" w:cs="Times New Roman"/>
          <w:bCs w:val="0"/>
          <w:kern w:val="22"/>
          <w:szCs w:val="24"/>
          <w:lang w:val="es-ES"/>
        </w:rPr>
        <w:t>. Está creciendo el impulso para lograr una mayor armonización de las metodologías pertinentes desarrolladas en el ámbito del SCAE con marcos de contabilidad a nivel empresarial. Un proyecto de tres años iniciado recientemente dirigido a apoyar la contabilidad de los ecosistemas en el Brasil, China, la India, México y Sudáfrica, ejecutado por la División de Estadística de las Naciones Unidas y el PNUMA (incluido su Centro Mundial de Vigilancia de la Conservación), con financiación de la Unión Europea y la Secretaría del Convenio como socio afiliado</w:t>
      </w:r>
      <w:r>
        <w:rPr>
          <w:rStyle w:val="FootnoteReference"/>
          <w:rFonts w:eastAsia="Times New Roman"/>
          <w:bCs w:val="0"/>
          <w:kern w:val="22"/>
          <w:szCs w:val="24"/>
          <w:lang w:val="es-ES"/>
        </w:rPr>
        <w:footnoteReference w:id="30"/>
      </w:r>
      <w:r>
        <w:rPr>
          <w:rFonts w:eastAsia="Times New Roman" w:cs="Times New Roman"/>
          <w:bCs w:val="0"/>
          <w:kern w:val="22"/>
          <w:szCs w:val="24"/>
          <w:lang w:val="es-ES"/>
        </w:rPr>
        <w:t xml:space="preserve">, incluirá también una línea </w:t>
      </w:r>
      <w:r w:rsidR="00941E6E">
        <w:rPr>
          <w:rFonts w:eastAsia="Times New Roman" w:cs="Times New Roman"/>
          <w:bCs w:val="0"/>
          <w:kern w:val="22"/>
          <w:szCs w:val="24"/>
          <w:lang w:val="es-ES"/>
        </w:rPr>
        <w:t>glob</w:t>
      </w:r>
      <w:r>
        <w:rPr>
          <w:rFonts w:eastAsia="Times New Roman" w:cs="Times New Roman"/>
          <w:bCs w:val="0"/>
          <w:kern w:val="22"/>
          <w:szCs w:val="24"/>
          <w:lang w:val="es-ES"/>
        </w:rPr>
        <w:t>al de trabajo sobre armonización de la contabilidad de los ecosistemas del SCAE con marcos de contabilidad a nivel empresarial.</w:t>
      </w:r>
    </w:p>
    <w:p w:rsidR="00607CAD" w:rsidRDefault="00607CAD">
      <w:pPr>
        <w:pStyle w:val="Heading2"/>
        <w:suppressLineNumbers/>
        <w:tabs>
          <w:tab w:val="clear" w:pos="720"/>
          <w:tab w:val="left" w:pos="360"/>
        </w:tabs>
        <w:suppressAutoHyphens/>
        <w:kinsoku w:val="0"/>
        <w:overflowPunct w:val="0"/>
        <w:autoSpaceDE w:val="0"/>
        <w:autoSpaceDN w:val="0"/>
        <w:adjustRightInd w:val="0"/>
        <w:snapToGrid w:val="0"/>
        <w:rPr>
          <w:rFonts w:eastAsia="Times New Roman"/>
          <w:bCs w:val="0"/>
          <w:iCs w:val="0"/>
          <w:lang w:val="es-ES"/>
        </w:rPr>
      </w:pPr>
      <w:r>
        <w:rPr>
          <w:rFonts w:eastAsia="Times New Roman"/>
          <w:bCs w:val="0"/>
          <w:iCs w:val="0"/>
          <w:kern w:val="22"/>
          <w:lang w:val="es-ES"/>
        </w:rPr>
        <w:t>C.</w:t>
      </w:r>
      <w:r>
        <w:rPr>
          <w:rFonts w:eastAsia="Times New Roman"/>
          <w:bCs w:val="0"/>
          <w:iCs w:val="0"/>
          <w:kern w:val="22"/>
          <w:lang w:val="es-ES"/>
        </w:rPr>
        <w:tab/>
        <w:t>Resultados de las consultas</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cs="Times New Roman"/>
          <w:bCs w:val="0"/>
          <w:szCs w:val="24"/>
          <w:lang w:val="es-ES"/>
        </w:rPr>
      </w:pPr>
      <w:bookmarkStart w:id="15" w:name="_Ref515223405"/>
      <w:r>
        <w:rPr>
          <w:rFonts w:cs="Times New Roman"/>
          <w:bCs w:val="0"/>
          <w:kern w:val="22"/>
          <w:szCs w:val="24"/>
          <w:lang w:val="es-ES"/>
        </w:rPr>
        <w:t>Un</w:t>
      </w:r>
      <w:r w:rsidR="00EF096A">
        <w:rPr>
          <w:rFonts w:cs="Times New Roman"/>
          <w:bCs w:val="0"/>
          <w:kern w:val="22"/>
          <w:szCs w:val="24"/>
          <w:lang w:val="es-ES"/>
        </w:rPr>
        <w:t>a</w:t>
      </w:r>
      <w:r>
        <w:rPr>
          <w:rFonts w:cs="Times New Roman"/>
          <w:bCs w:val="0"/>
          <w:kern w:val="22"/>
          <w:szCs w:val="24"/>
          <w:lang w:val="es-ES"/>
        </w:rPr>
        <w:t xml:space="preserve"> proyecto inicial de</w:t>
      </w:r>
      <w:r w:rsidR="00EF096A">
        <w:rPr>
          <w:rFonts w:cs="Times New Roman"/>
          <w:bCs w:val="0"/>
          <w:kern w:val="22"/>
          <w:szCs w:val="24"/>
          <w:lang w:val="es-ES"/>
        </w:rPr>
        <w:t>l</w:t>
      </w:r>
      <w:r>
        <w:rPr>
          <w:rFonts w:cs="Times New Roman"/>
          <w:bCs w:val="0"/>
          <w:kern w:val="22"/>
          <w:szCs w:val="24"/>
          <w:lang w:val="es-ES"/>
        </w:rPr>
        <w:t xml:space="preserve"> enfoque </w:t>
      </w:r>
      <w:r w:rsidR="00EF096A">
        <w:rPr>
          <w:rFonts w:cs="Times New Roman"/>
          <w:bCs w:val="0"/>
          <w:kern w:val="22"/>
          <w:szCs w:val="24"/>
          <w:lang w:val="es-ES"/>
        </w:rPr>
        <w:t xml:space="preserve">propuesto </w:t>
      </w:r>
      <w:r>
        <w:rPr>
          <w:rFonts w:cs="Times New Roman"/>
          <w:bCs w:val="0"/>
          <w:kern w:val="22"/>
          <w:szCs w:val="24"/>
          <w:lang w:val="es-ES"/>
        </w:rPr>
        <w:t>se presentó y trató en la séptima reunión de la Alianza Mundial de Negocios y Biodiversidad, organizada por el integrante francés de la Alianza Mundial y celebrada en París los días 23 y 24 de noviembre de 2017</w:t>
      </w:r>
      <w:r>
        <w:rPr>
          <w:rStyle w:val="FootnoteReference"/>
          <w:bCs w:val="0"/>
          <w:kern w:val="22"/>
          <w:szCs w:val="24"/>
          <w:lang w:val="es-ES"/>
        </w:rPr>
        <w:footnoteReference w:id="31"/>
      </w:r>
      <w:r>
        <w:rPr>
          <w:rFonts w:cs="Times New Roman"/>
          <w:bCs w:val="0"/>
          <w:kern w:val="22"/>
          <w:szCs w:val="24"/>
          <w:lang w:val="es-ES"/>
        </w:rPr>
        <w:t xml:space="preserve">, y en una reunión informal en enero de 2018 con representantes de la Alianza Mundial y de la Global Reporting Initiative, Reporting 3.0, la Asociación de Contadores de los Países Bajos (NBA), la Coalición de Capital Natural (NCC) y el </w:t>
      </w:r>
      <w:r>
        <w:rPr>
          <w:rFonts w:cs="Times New Roman"/>
          <w:bCs w:val="0"/>
          <w:szCs w:val="24"/>
          <w:lang w:val="es-ES"/>
        </w:rPr>
        <w:t>Consejo Internacional de Informes Integrados</w:t>
      </w:r>
      <w:r>
        <w:rPr>
          <w:rFonts w:cs="Times New Roman"/>
          <w:bCs w:val="0"/>
          <w:kern w:val="22"/>
          <w:szCs w:val="24"/>
          <w:lang w:val="es-ES"/>
        </w:rPr>
        <w:t>. También se distribuyó una versión preliminar del presente documento entre las organizaciones asociadas de la Alianza Mundial y otros asociados pertinentes.</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bookmarkStart w:id="16" w:name="_Ref515836658"/>
      <w:bookmarkEnd w:id="15"/>
      <w:r>
        <w:rPr>
          <w:rFonts w:eastAsia="Times New Roman" w:cs="Times New Roman"/>
          <w:bCs w:val="0"/>
          <w:kern w:val="22"/>
          <w:szCs w:val="24"/>
          <w:lang w:val="es-ES"/>
        </w:rPr>
        <w:t xml:space="preserve">Un proyecto de tipología revisada y las conclusiones de la investigación antes expuestas se trataron con asociaciones de biodiversidad y el sector empresarial así como con otros asociados pertinentes. Si bien los asociados consideraron que la propuesta de tipología revisada era un paso útil para lograr una mayor comparabilidad entre las metodologías de presentación de informes y, a la larga, una mayor coherencia y </w:t>
      </w:r>
      <w:r w:rsidR="009F3D74">
        <w:rPr>
          <w:rFonts w:eastAsia="Times New Roman" w:cs="Times New Roman"/>
          <w:bCs w:val="0"/>
          <w:kern w:val="22"/>
          <w:szCs w:val="24"/>
          <w:lang w:val="es-ES"/>
        </w:rPr>
        <w:t>uniformidad</w:t>
      </w:r>
      <w:r>
        <w:rPr>
          <w:rFonts w:eastAsia="Times New Roman" w:cs="Times New Roman"/>
          <w:bCs w:val="0"/>
          <w:kern w:val="22"/>
          <w:szCs w:val="24"/>
          <w:lang w:val="es-ES"/>
        </w:rPr>
        <w:t xml:space="preserve"> en la presentación de informes empresariales relacionados con la diversidad bi</w:t>
      </w:r>
      <w:r w:rsidR="00EF096A">
        <w:rPr>
          <w:rFonts w:eastAsia="Times New Roman" w:cs="Times New Roman"/>
          <w:bCs w:val="0"/>
          <w:kern w:val="22"/>
          <w:szCs w:val="24"/>
          <w:lang w:val="es-ES"/>
        </w:rPr>
        <w:t xml:space="preserve">ológica, </w:t>
      </w:r>
      <w:r w:rsidR="00EF096A">
        <w:rPr>
          <w:rFonts w:eastAsia="Times New Roman" w:cs="Times New Roman"/>
          <w:bCs w:val="0"/>
          <w:kern w:val="22"/>
          <w:szCs w:val="24"/>
          <w:lang w:val="es-ES"/>
        </w:rPr>
        <w:lastRenderedPageBreak/>
        <w:t>también se observó que para poder seguir avanzando</w:t>
      </w:r>
      <w:r>
        <w:rPr>
          <w:rFonts w:eastAsia="Times New Roman" w:cs="Times New Roman"/>
          <w:bCs w:val="0"/>
          <w:kern w:val="22"/>
          <w:szCs w:val="24"/>
          <w:lang w:val="es-ES"/>
        </w:rPr>
        <w:t xml:space="preserve"> era necesario centrarse más en varias prioridades estratégicas, a saber: a) mejorar la comprensión conceptual de las empresas; b) establecer metas u objetivos específicos para empresas; c) metodologías de medición y sistemas de medición; y d) fortalecer las asociaciones mundiales y sectoriales con organizaciones e iniciativas pertinentes. A continuación se desarrolla más a fondo cada uno de estos puntos:</w:t>
      </w:r>
      <w:bookmarkEnd w:id="16"/>
    </w:p>
    <w:p w:rsidR="00607CAD" w:rsidRDefault="00607CAD">
      <w:pPr>
        <w:pStyle w:val="para2a"/>
        <w:numPr>
          <w:ilvl w:val="0"/>
          <w:numId w:val="17"/>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szCs w:val="24"/>
          <w:lang w:val="es-ES"/>
        </w:rPr>
      </w:pPr>
      <w:r>
        <w:rPr>
          <w:rFonts w:eastAsia="Times New Roman" w:cs="Times New Roman"/>
          <w:i/>
          <w:kern w:val="22"/>
          <w:szCs w:val="24"/>
          <w:lang w:val="es-ES"/>
        </w:rPr>
        <w:t>Mejorar la comprensión.</w:t>
      </w:r>
      <w:r>
        <w:rPr>
          <w:rFonts w:eastAsia="Times New Roman" w:cs="Times New Roman"/>
          <w:kern w:val="22"/>
          <w:szCs w:val="24"/>
          <w:lang w:val="es-ES"/>
        </w:rPr>
        <w:t xml:space="preserve"> Los asociados confirmaron que la mayoría de las empresas no perciben a la diversidad biológica como algo que les afecta directamente. Es necesario promover una mayor comprensión sobre el papel que cumple la diversidad biológica como sustento de la provisión de servicios y beneficios de los ecosistemas que son vitales para las actividades empresariales y los modelos de negocio, y esa comprensión debe colocarse en el centro de las discusiones empresariales;</w:t>
      </w:r>
    </w:p>
    <w:p w:rsidR="00607CAD" w:rsidRDefault="00607CAD">
      <w:pPr>
        <w:pStyle w:val="para2a"/>
        <w:numPr>
          <w:ilvl w:val="0"/>
          <w:numId w:val="17"/>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szCs w:val="24"/>
          <w:lang w:val="es-ES"/>
        </w:rPr>
      </w:pPr>
      <w:r>
        <w:rPr>
          <w:rFonts w:eastAsia="Times New Roman" w:cs="Times New Roman"/>
          <w:i/>
          <w:kern w:val="22"/>
          <w:szCs w:val="24"/>
          <w:lang w:val="es-ES"/>
        </w:rPr>
        <w:t>Necesidad de metas y objetivos claros que sirvan como insumo para desarrollar indicadores sólidos</w:t>
      </w:r>
      <w:r>
        <w:rPr>
          <w:rFonts w:eastAsia="Times New Roman" w:cs="Times New Roman"/>
          <w:kern w:val="22"/>
          <w:szCs w:val="24"/>
          <w:lang w:val="es-ES"/>
        </w:rPr>
        <w:t>. Como se señala en la</w:t>
      </w:r>
      <w:r w:rsidR="00C73D35">
        <w:rPr>
          <w:rFonts w:eastAsia="Times New Roman" w:cs="Times New Roman"/>
          <w:kern w:val="22"/>
          <w:szCs w:val="24"/>
          <w:lang w:val="es-ES"/>
        </w:rPr>
        <w:t>s</w:t>
      </w:r>
      <w:r>
        <w:rPr>
          <w:rFonts w:eastAsia="Times New Roman" w:cs="Times New Roman"/>
          <w:kern w:val="22"/>
          <w:szCs w:val="24"/>
          <w:lang w:val="es-ES"/>
        </w:rPr>
        <w:t xml:space="preserve"> orientaci</w:t>
      </w:r>
      <w:r w:rsidR="00C73D35">
        <w:rPr>
          <w:rFonts w:eastAsia="Times New Roman" w:cs="Times New Roman"/>
          <w:kern w:val="22"/>
          <w:szCs w:val="24"/>
          <w:lang w:val="es-ES"/>
        </w:rPr>
        <w:t>o</w:t>
      </w:r>
      <w:r>
        <w:rPr>
          <w:rFonts w:eastAsia="Times New Roman" w:cs="Times New Roman"/>
          <w:kern w:val="22"/>
          <w:szCs w:val="24"/>
          <w:lang w:val="es-ES"/>
        </w:rPr>
        <w:t>n</w:t>
      </w:r>
      <w:r w:rsidR="00C73D35">
        <w:rPr>
          <w:rFonts w:eastAsia="Times New Roman" w:cs="Times New Roman"/>
          <w:kern w:val="22"/>
          <w:szCs w:val="24"/>
          <w:lang w:val="es-ES"/>
        </w:rPr>
        <w:t>es</w:t>
      </w:r>
      <w:r>
        <w:rPr>
          <w:rFonts w:eastAsia="Times New Roman" w:cs="Times New Roman"/>
          <w:kern w:val="22"/>
          <w:szCs w:val="24"/>
          <w:lang w:val="es-ES"/>
        </w:rPr>
        <w:t xml:space="preserve"> de la Alianza sobre Indicadores de Biodiversidad, </w:t>
      </w:r>
      <w:r w:rsidR="00941E6E">
        <w:rPr>
          <w:rFonts w:eastAsia="Times New Roman" w:cs="Times New Roman"/>
          <w:kern w:val="22"/>
          <w:szCs w:val="24"/>
          <w:lang w:val="es-ES"/>
        </w:rPr>
        <w:t xml:space="preserve">a </w:t>
      </w:r>
      <w:r>
        <w:rPr>
          <w:rFonts w:eastAsia="Times New Roman" w:cs="Times New Roman"/>
          <w:kern w:val="22"/>
          <w:szCs w:val="24"/>
          <w:lang w:val="es-ES"/>
        </w:rPr>
        <w:t xml:space="preserve">las empresas </w:t>
      </w:r>
      <w:r w:rsidR="00941E6E">
        <w:rPr>
          <w:rFonts w:eastAsia="Times New Roman" w:cs="Times New Roman"/>
          <w:kern w:val="22"/>
          <w:szCs w:val="24"/>
          <w:lang w:val="es-ES"/>
        </w:rPr>
        <w:t>l</w:t>
      </w:r>
      <w:r>
        <w:rPr>
          <w:rFonts w:eastAsia="Times New Roman" w:cs="Times New Roman"/>
          <w:kern w:val="22"/>
          <w:szCs w:val="24"/>
          <w:lang w:val="es-ES"/>
        </w:rPr>
        <w:t>e</w:t>
      </w:r>
      <w:r w:rsidR="00941E6E">
        <w:rPr>
          <w:rFonts w:eastAsia="Times New Roman" w:cs="Times New Roman"/>
          <w:kern w:val="22"/>
          <w:szCs w:val="24"/>
          <w:lang w:val="es-ES"/>
        </w:rPr>
        <w:t>s</w:t>
      </w:r>
      <w:r>
        <w:rPr>
          <w:rFonts w:eastAsia="Times New Roman" w:cs="Times New Roman"/>
          <w:kern w:val="22"/>
          <w:szCs w:val="24"/>
          <w:lang w:val="es-ES"/>
        </w:rPr>
        <w:t xml:space="preserve"> </w:t>
      </w:r>
      <w:r w:rsidR="00941E6E">
        <w:rPr>
          <w:rFonts w:eastAsia="Times New Roman" w:cs="Times New Roman"/>
          <w:kern w:val="22"/>
          <w:szCs w:val="24"/>
          <w:lang w:val="es-ES"/>
        </w:rPr>
        <w:t>s</w:t>
      </w:r>
      <w:r>
        <w:rPr>
          <w:rFonts w:eastAsia="Times New Roman" w:cs="Times New Roman"/>
          <w:kern w:val="22"/>
          <w:szCs w:val="24"/>
          <w:lang w:val="es-ES"/>
        </w:rPr>
        <w:t>e</w:t>
      </w:r>
      <w:r w:rsidR="00941E6E">
        <w:rPr>
          <w:rFonts w:eastAsia="Times New Roman" w:cs="Times New Roman"/>
          <w:kern w:val="22"/>
          <w:szCs w:val="24"/>
          <w:lang w:val="es-ES"/>
        </w:rPr>
        <w:t>rv</w:t>
      </w:r>
      <w:r>
        <w:rPr>
          <w:rFonts w:eastAsia="Times New Roman" w:cs="Times New Roman"/>
          <w:kern w:val="22"/>
          <w:szCs w:val="24"/>
          <w:lang w:val="es-ES"/>
        </w:rPr>
        <w:t>iría</w:t>
      </w:r>
      <w:r w:rsidR="00941E6E">
        <w:rPr>
          <w:rFonts w:eastAsia="Times New Roman" w:cs="Times New Roman"/>
          <w:kern w:val="22"/>
          <w:szCs w:val="24"/>
          <w:lang w:val="es-ES"/>
        </w:rPr>
        <w:t xml:space="preserve"> </w:t>
      </w:r>
      <w:r w:rsidR="008F4B02">
        <w:rPr>
          <w:rFonts w:eastAsia="Times New Roman" w:cs="Times New Roman"/>
          <w:kern w:val="22"/>
          <w:szCs w:val="24"/>
          <w:lang w:val="es-ES"/>
        </w:rPr>
        <w:t>que</w:t>
      </w:r>
      <w:r>
        <w:rPr>
          <w:rFonts w:eastAsia="Times New Roman" w:cs="Times New Roman"/>
          <w:kern w:val="22"/>
          <w:szCs w:val="24"/>
          <w:lang w:val="es-ES"/>
        </w:rPr>
        <w:t xml:space="preserve"> las expectativas </w:t>
      </w:r>
      <w:r w:rsidR="008F4B02">
        <w:rPr>
          <w:rFonts w:eastAsia="Times New Roman" w:cs="Times New Roman"/>
          <w:kern w:val="22"/>
          <w:szCs w:val="24"/>
          <w:lang w:val="es-ES"/>
        </w:rPr>
        <w:t xml:space="preserve">estuvieran </w:t>
      </w:r>
      <w:r>
        <w:rPr>
          <w:rFonts w:eastAsia="Times New Roman" w:cs="Times New Roman"/>
          <w:kern w:val="22"/>
          <w:szCs w:val="24"/>
          <w:lang w:val="es-ES"/>
        </w:rPr>
        <w:t xml:space="preserve">expresadas claramente en metas y objetivos específicos, que alimentarían entonces un uso más coherente y sólido de los indicadores de diversidad biológica. El Convenio también podría aprovechar el proceso de elaboración de la estrategia de diversidad biológica para después de 2020 como medio para identificar tales metas y sistemas de medición para el sector </w:t>
      </w:r>
      <w:r w:rsidR="00C73D35">
        <w:rPr>
          <w:rFonts w:eastAsia="Times New Roman" w:cs="Times New Roman"/>
          <w:kern w:val="22"/>
          <w:szCs w:val="24"/>
          <w:lang w:val="es-ES"/>
        </w:rPr>
        <w:t xml:space="preserve">tanto </w:t>
      </w:r>
      <w:r>
        <w:rPr>
          <w:rFonts w:eastAsia="Times New Roman" w:cs="Times New Roman"/>
          <w:kern w:val="22"/>
          <w:szCs w:val="24"/>
          <w:lang w:val="es-ES"/>
        </w:rPr>
        <w:t>público como privado</w:t>
      </w:r>
      <w:r>
        <w:rPr>
          <w:rStyle w:val="FootnoteReference"/>
          <w:rFonts w:eastAsia="Times New Roman"/>
          <w:kern w:val="22"/>
          <w:szCs w:val="24"/>
          <w:lang w:val="es-ES"/>
        </w:rPr>
        <w:footnoteReference w:id="32"/>
      </w:r>
      <w:r>
        <w:rPr>
          <w:rFonts w:eastAsia="Times New Roman" w:cs="Times New Roman"/>
          <w:kern w:val="22"/>
          <w:szCs w:val="24"/>
          <w:lang w:val="es-ES"/>
        </w:rPr>
        <w:t>;</w:t>
      </w:r>
    </w:p>
    <w:p w:rsidR="00607CAD" w:rsidRDefault="00607CAD">
      <w:pPr>
        <w:pStyle w:val="para2a"/>
        <w:numPr>
          <w:ilvl w:val="0"/>
          <w:numId w:val="17"/>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szCs w:val="24"/>
          <w:lang w:val="es-ES"/>
        </w:rPr>
      </w:pPr>
      <w:r>
        <w:rPr>
          <w:rFonts w:eastAsia="Times New Roman" w:cs="Times New Roman"/>
          <w:i/>
          <w:kern w:val="22"/>
          <w:szCs w:val="24"/>
          <w:lang w:val="es-ES"/>
        </w:rPr>
        <w:t xml:space="preserve">Metodologías o sistemas de medición. </w:t>
      </w:r>
      <w:r>
        <w:rPr>
          <w:rFonts w:eastAsia="Times New Roman" w:cs="Times New Roman"/>
          <w:kern w:val="22"/>
          <w:szCs w:val="24"/>
          <w:lang w:val="es-ES"/>
        </w:rPr>
        <w:t xml:space="preserve">En conexión con el punto anterior, se identificó la necesidad de centrarse más en seguir desarrollando metodologías o sistemas de medición acordados para medir los impactos en la diversidad biológica y las dependencias de la diversidad biológica, en particular, con respecto al papel </w:t>
      </w:r>
      <w:r w:rsidR="00567CC9">
        <w:rPr>
          <w:rFonts w:eastAsia="Times New Roman" w:cs="Times New Roman"/>
          <w:kern w:val="22"/>
          <w:szCs w:val="24"/>
          <w:lang w:val="es-ES"/>
        </w:rPr>
        <w:t>crucial</w:t>
      </w:r>
      <w:r>
        <w:rPr>
          <w:rFonts w:eastAsia="Times New Roman" w:cs="Times New Roman"/>
          <w:kern w:val="22"/>
          <w:szCs w:val="24"/>
          <w:lang w:val="es-ES"/>
        </w:rPr>
        <w:t xml:space="preserve"> que cumple la diversidad biológica como sustento del funcionamiento de los ecosistemas y de la provisión de servicios y beneficios de los ecosistemas que son vitales para las actividades empresariales y los modelos de negocio. A la luz de decisiones anteriores de la Conferencia de las Partes, como la decisión XIII/3, párrafo 87, estas metodologías o sistemas de medición deben tomar en cuenta las diversas conceptualizaciones de los valores de la diversidad biológica, que se detallan en la decisión X/3, párrafo 9 b) ii)</w:t>
      </w:r>
      <w:r>
        <w:rPr>
          <w:rStyle w:val="FootnoteReference"/>
          <w:rFonts w:eastAsia="Times New Roman"/>
          <w:kern w:val="22"/>
          <w:szCs w:val="24"/>
          <w:lang w:val="es-ES"/>
        </w:rPr>
        <w:footnoteReference w:id="33"/>
      </w:r>
      <w:r>
        <w:rPr>
          <w:rFonts w:eastAsia="Times New Roman" w:cs="Times New Roman"/>
          <w:kern w:val="22"/>
          <w:szCs w:val="24"/>
          <w:lang w:val="es-ES"/>
        </w:rPr>
        <w:t>;</w:t>
      </w:r>
    </w:p>
    <w:p w:rsidR="00607CAD" w:rsidRDefault="00607CAD">
      <w:pPr>
        <w:pStyle w:val="para2a"/>
        <w:numPr>
          <w:ilvl w:val="0"/>
          <w:numId w:val="17"/>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szCs w:val="24"/>
          <w:lang w:val="es-ES"/>
        </w:rPr>
      </w:pPr>
      <w:r>
        <w:rPr>
          <w:rFonts w:eastAsia="Times New Roman" w:cs="Times New Roman"/>
          <w:i/>
          <w:kern w:val="22"/>
          <w:szCs w:val="24"/>
          <w:lang w:val="es-ES"/>
        </w:rPr>
        <w:t>Fortalecimiento de asociaciones.</w:t>
      </w:r>
      <w:r>
        <w:rPr>
          <w:rFonts w:eastAsia="Times New Roman" w:cs="Times New Roman"/>
          <w:kern w:val="22"/>
          <w:szCs w:val="24"/>
          <w:lang w:val="es-ES"/>
        </w:rPr>
        <w:t xml:space="preserve"> En este contexto, los asociados vieron la utilidad de compartir experiencias que están resultando eficaces para las empresas, por ejemplo, las experiencias adquiridas en la aplicación del Protocolo de Capital Natural y otras herramientas pertinentes, y de alentar o apoyar a asociados colaboradores en el trabajo adicional que necesiten llevar a cabo en materia de metodologías o sistemas de medición, incluido sobre la interfaz entre la contabilidad del SCAE y la contabilidad empresarial. A nivel mundial esto podría incluir asociados como el PNUMA y su Centro Mundial de Vigilancia de la Conservación, el Pacto Mundial de las Naciones Unidas, la División de Estadística de las N</w:t>
      </w:r>
      <w:r w:rsidR="00863286">
        <w:rPr>
          <w:rFonts w:eastAsia="Times New Roman" w:cs="Times New Roman"/>
          <w:kern w:val="22"/>
          <w:szCs w:val="24"/>
          <w:lang w:val="es-ES"/>
        </w:rPr>
        <w:t>aciones Unidas, la Coalición de</w:t>
      </w:r>
      <w:r>
        <w:rPr>
          <w:rFonts w:eastAsia="Times New Roman" w:cs="Times New Roman"/>
          <w:kern w:val="22"/>
          <w:szCs w:val="24"/>
          <w:lang w:val="es-ES"/>
        </w:rPr>
        <w:t xml:space="preserve"> Capital Natural y su grupo de trabajo sobre diversidad biológica, el trabajo antes señalado de</w:t>
      </w:r>
      <w:r w:rsidR="008F4B02">
        <w:rPr>
          <w:rFonts w:eastAsia="Times New Roman" w:cs="Times New Roman"/>
          <w:kern w:val="22"/>
          <w:szCs w:val="24"/>
          <w:lang w:val="es-ES"/>
        </w:rPr>
        <w:t>l</w:t>
      </w:r>
      <w:r>
        <w:rPr>
          <w:rFonts w:eastAsia="Times New Roman" w:cs="Times New Roman"/>
          <w:kern w:val="22"/>
          <w:szCs w:val="24"/>
          <w:lang w:val="es-ES"/>
        </w:rPr>
        <w:t xml:space="preserve"> Cambridge Institute for Sustainability Leadership, la Global Reporting Initiative y otros asociados. Por otra parte, las asociaciones empresariales sectoriales, en particular de aquellos sectores asociados con mayores impactos y dependencias, podrían ser socios importantes en el desarrollo de indicadores y </w:t>
      </w:r>
      <w:r w:rsidR="00C73D35">
        <w:rPr>
          <w:rFonts w:eastAsia="Times New Roman" w:cs="Times New Roman"/>
          <w:kern w:val="22"/>
          <w:szCs w:val="24"/>
          <w:lang w:val="es-ES"/>
        </w:rPr>
        <w:t>sistema</w:t>
      </w:r>
      <w:r>
        <w:rPr>
          <w:rFonts w:eastAsia="Times New Roman" w:cs="Times New Roman"/>
          <w:kern w:val="22"/>
          <w:szCs w:val="24"/>
          <w:lang w:val="es-ES"/>
        </w:rPr>
        <w:t xml:space="preserve">s </w:t>
      </w:r>
      <w:r w:rsidR="00C73D35">
        <w:rPr>
          <w:rFonts w:eastAsia="Times New Roman" w:cs="Times New Roman"/>
          <w:kern w:val="22"/>
          <w:szCs w:val="24"/>
          <w:lang w:val="es-ES"/>
        </w:rPr>
        <w:t xml:space="preserve">de medición </w:t>
      </w:r>
      <w:r>
        <w:rPr>
          <w:rFonts w:eastAsia="Times New Roman" w:cs="Times New Roman"/>
          <w:kern w:val="22"/>
          <w:szCs w:val="24"/>
          <w:lang w:val="es-ES"/>
        </w:rPr>
        <w:t>pertinentes para sectores específicos. Este trabajo podría aprovechar el cúmulo considerable de experiencia adquirida en el marco del Convenio en el desarrollo de indicadores pertinentes, como, por ejemplo, la labor de la Alianza sobre Indicadores de Biodiversidad antes descrita.</w:t>
      </w:r>
    </w:p>
    <w:p w:rsidR="00607CAD" w:rsidRDefault="00607CAD">
      <w:pPr>
        <w:pStyle w:val="Heading2"/>
        <w:suppressLineNumbers/>
        <w:tabs>
          <w:tab w:val="clear" w:pos="720"/>
          <w:tab w:val="left" w:pos="360"/>
        </w:tabs>
        <w:suppressAutoHyphens/>
        <w:kinsoku w:val="0"/>
        <w:overflowPunct w:val="0"/>
        <w:autoSpaceDE w:val="0"/>
        <w:autoSpaceDN w:val="0"/>
        <w:adjustRightInd w:val="0"/>
        <w:snapToGrid w:val="0"/>
        <w:rPr>
          <w:rFonts w:eastAsia="Times New Roman"/>
          <w:bCs w:val="0"/>
          <w:iCs w:val="0"/>
          <w:lang w:val="es-ES"/>
        </w:rPr>
      </w:pPr>
      <w:r>
        <w:rPr>
          <w:rFonts w:eastAsia="Times New Roman"/>
          <w:bCs w:val="0"/>
          <w:iCs w:val="0"/>
          <w:kern w:val="22"/>
          <w:lang w:val="es-ES"/>
        </w:rPr>
        <w:t>D.</w:t>
      </w:r>
      <w:r>
        <w:rPr>
          <w:rFonts w:eastAsia="Times New Roman"/>
          <w:bCs w:val="0"/>
          <w:iCs w:val="0"/>
          <w:kern w:val="22"/>
          <w:lang w:val="es-ES"/>
        </w:rPr>
        <w:tab/>
        <w:t>Versión revisada de la tipología de acciones</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Como se indicó anteriormente, sobre la base de la investigación y las consultas, se simplificó la tipología de acciones. Se redujeron las categorías a tres temas principales: a) compromiso; b) participación; y c) medición. Para cada uno de estos temas de la tipología, se determinaron varios tópicos comunes con el </w:t>
      </w:r>
      <w:r>
        <w:rPr>
          <w:rFonts w:eastAsia="Times New Roman" w:cs="Times New Roman"/>
          <w:bCs w:val="0"/>
          <w:kern w:val="22"/>
          <w:szCs w:val="24"/>
          <w:lang w:val="es-ES"/>
        </w:rPr>
        <w:lastRenderedPageBreak/>
        <w:t>fin de facilitar la identificación de buenas prácticas para la presentación de informes en cada tema. La versión revisada de la tipología se presenta en el anexo I.</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Con el fin de brindar a las empresas más orientaciones prácticas y concretas sobre cómo aplicar la metodología revisada, se rec</w:t>
      </w:r>
      <w:r w:rsidR="008F4B02">
        <w:rPr>
          <w:rFonts w:eastAsia="Times New Roman" w:cs="Times New Roman"/>
          <w:bCs w:val="0"/>
          <w:kern w:val="22"/>
          <w:szCs w:val="24"/>
          <w:lang w:val="es-ES"/>
        </w:rPr>
        <w:t>ab</w:t>
      </w:r>
      <w:r>
        <w:rPr>
          <w:rFonts w:eastAsia="Times New Roman" w:cs="Times New Roman"/>
          <w:bCs w:val="0"/>
          <w:kern w:val="22"/>
          <w:szCs w:val="24"/>
          <w:lang w:val="es-ES"/>
        </w:rPr>
        <w:t xml:space="preserve">ó información adicional de empresas específicas buscando ejemplos de buenas prácticas que correspondieran a los temas y tópicos </w:t>
      </w:r>
      <w:r w:rsidR="00C73D35">
        <w:rPr>
          <w:rFonts w:eastAsia="Times New Roman" w:cs="Times New Roman"/>
          <w:bCs w:val="0"/>
          <w:kern w:val="22"/>
          <w:szCs w:val="24"/>
          <w:lang w:val="es-ES"/>
        </w:rPr>
        <w:t>asociad</w:t>
      </w:r>
      <w:r>
        <w:rPr>
          <w:rFonts w:eastAsia="Times New Roman" w:cs="Times New Roman"/>
          <w:bCs w:val="0"/>
          <w:kern w:val="22"/>
          <w:szCs w:val="24"/>
          <w:lang w:val="es-ES"/>
        </w:rPr>
        <w:t xml:space="preserve">os de la tipología y por lo tanto sirvieran de orientación y pudieran emularse. Así, en el tema “compromiso” un ejemplo de buenas prácticas </w:t>
      </w:r>
      <w:r w:rsidR="00C73D35">
        <w:rPr>
          <w:rFonts w:eastAsia="Times New Roman" w:cs="Times New Roman"/>
          <w:bCs w:val="0"/>
          <w:kern w:val="22"/>
          <w:szCs w:val="24"/>
          <w:lang w:val="es-ES"/>
        </w:rPr>
        <w:t>sería</w:t>
      </w:r>
      <w:r>
        <w:rPr>
          <w:rFonts w:eastAsia="Times New Roman" w:cs="Times New Roman"/>
          <w:bCs w:val="0"/>
          <w:kern w:val="22"/>
          <w:szCs w:val="24"/>
          <w:lang w:val="es-ES"/>
        </w:rPr>
        <w:t xml:space="preserve"> una política de diversidad biológica que enuncia los compromisos de la empresa. En el tema “participación” podría hacerse referencia a apoyo para proyectos de conservación para la diversidad biológica que se vea afectada por las acciones de la</w:t>
      </w:r>
      <w:r w:rsidR="00C73D35">
        <w:rPr>
          <w:rFonts w:eastAsia="Times New Roman" w:cs="Times New Roman"/>
          <w:bCs w:val="0"/>
          <w:kern w:val="22"/>
          <w:szCs w:val="24"/>
          <w:lang w:val="es-ES"/>
        </w:rPr>
        <w:t xml:space="preserve"> empresa. En el tema “medición”</w:t>
      </w:r>
      <w:r>
        <w:rPr>
          <w:rFonts w:eastAsia="Times New Roman" w:cs="Times New Roman"/>
          <w:bCs w:val="0"/>
          <w:kern w:val="22"/>
          <w:szCs w:val="24"/>
          <w:lang w:val="es-ES"/>
        </w:rPr>
        <w:t xml:space="preserve"> podría hacerse referencia, por ejemplo, al uso de la Herramienta Integrada para la Evaluación de la Biodiversidad (IBAT)</w:t>
      </w:r>
      <w:r>
        <w:rPr>
          <w:rStyle w:val="FootnoteReference"/>
          <w:rFonts w:eastAsia="Times New Roman"/>
          <w:bCs w:val="0"/>
          <w:color w:val="000000"/>
          <w:kern w:val="22"/>
          <w:szCs w:val="24"/>
          <w:lang w:val="es-ES"/>
        </w:rPr>
        <w:footnoteReference w:id="34"/>
      </w:r>
      <w:r>
        <w:rPr>
          <w:rFonts w:eastAsia="Times New Roman" w:cs="Times New Roman"/>
          <w:bCs w:val="0"/>
          <w:color w:val="000000"/>
          <w:kern w:val="22"/>
          <w:szCs w:val="24"/>
          <w:lang w:val="es-ES"/>
        </w:rPr>
        <w:t>.</w:t>
      </w:r>
      <w:r>
        <w:rPr>
          <w:rFonts w:eastAsia="Times New Roman" w:cs="Times New Roman"/>
          <w:bCs w:val="0"/>
          <w:kern w:val="22"/>
          <w:szCs w:val="24"/>
          <w:lang w:val="es-ES"/>
        </w:rPr>
        <w:t xml:space="preserve"> Esta recopilación de casos de buenas prácticas de empresas se brinda en el anexo II.</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Por último, como ya se señaló, la divulgación y presentación de informes es el último paso en el proceso de identificación de las empresas de sus impactos</w:t>
      </w:r>
      <w:r w:rsidR="00C73D35">
        <w:rPr>
          <w:rFonts w:eastAsia="Times New Roman" w:cs="Times New Roman"/>
          <w:bCs w:val="0"/>
          <w:kern w:val="22"/>
          <w:szCs w:val="24"/>
          <w:lang w:val="es-ES"/>
        </w:rPr>
        <w:t xml:space="preserve"> en</w:t>
      </w:r>
      <w:r>
        <w:rPr>
          <w:rFonts w:eastAsia="Times New Roman" w:cs="Times New Roman"/>
          <w:bCs w:val="0"/>
          <w:kern w:val="22"/>
          <w:szCs w:val="24"/>
          <w:lang w:val="es-ES"/>
        </w:rPr>
        <w:t xml:space="preserve"> la diversidad biológica</w:t>
      </w:r>
      <w:r w:rsidR="00C73D35" w:rsidRPr="00C73D35">
        <w:rPr>
          <w:rFonts w:eastAsia="Times New Roman" w:cs="Times New Roman"/>
          <w:bCs w:val="0"/>
          <w:kern w:val="22"/>
          <w:szCs w:val="24"/>
          <w:lang w:val="es-ES"/>
        </w:rPr>
        <w:t xml:space="preserve"> </w:t>
      </w:r>
      <w:r w:rsidR="00C73D35">
        <w:rPr>
          <w:rFonts w:eastAsia="Times New Roman" w:cs="Times New Roman"/>
          <w:bCs w:val="0"/>
          <w:kern w:val="22"/>
          <w:szCs w:val="24"/>
          <w:lang w:val="es-ES"/>
        </w:rPr>
        <w:t>y sus dependencias de ella</w:t>
      </w:r>
      <w:r>
        <w:rPr>
          <w:rFonts w:eastAsia="Times New Roman" w:cs="Times New Roman"/>
          <w:bCs w:val="0"/>
          <w:kern w:val="22"/>
          <w:szCs w:val="24"/>
          <w:lang w:val="es-ES"/>
        </w:rPr>
        <w:t>. Como se explicó en el párrafo</w:t>
      </w:r>
      <w:r w:rsidR="00C67A5C">
        <w:rPr>
          <w:rFonts w:eastAsia="Times New Roman" w:cs="Times New Roman"/>
          <w:bCs w:val="0"/>
          <w:kern w:val="22"/>
          <w:szCs w:val="24"/>
          <w:lang w:val="es-ES"/>
        </w:rPr>
        <w:t xml:space="preserve"> </w:t>
      </w:r>
      <w:r w:rsidR="00C67A5C">
        <w:rPr>
          <w:rFonts w:eastAsia="Times New Roman" w:cs="Times New Roman"/>
          <w:bCs w:val="0"/>
          <w:kern w:val="22"/>
          <w:szCs w:val="24"/>
          <w:lang w:val="es-ES"/>
        </w:rPr>
        <w:fldChar w:fldCharType="begin"/>
      </w:r>
      <w:r w:rsidR="00C67A5C">
        <w:rPr>
          <w:rFonts w:eastAsia="Times New Roman" w:cs="Times New Roman"/>
          <w:bCs w:val="0"/>
          <w:kern w:val="22"/>
          <w:szCs w:val="24"/>
          <w:lang w:val="es-ES"/>
        </w:rPr>
        <w:instrText xml:space="preserve"> REF _Ref515836658 \r \h </w:instrText>
      </w:r>
      <w:r w:rsidR="00C67A5C">
        <w:rPr>
          <w:rFonts w:eastAsia="Times New Roman" w:cs="Times New Roman"/>
          <w:bCs w:val="0"/>
          <w:kern w:val="22"/>
          <w:szCs w:val="24"/>
          <w:lang w:val="es-ES"/>
        </w:rPr>
      </w:r>
      <w:r w:rsidR="00C67A5C">
        <w:rPr>
          <w:rFonts w:eastAsia="Times New Roman" w:cs="Times New Roman"/>
          <w:bCs w:val="0"/>
          <w:kern w:val="22"/>
          <w:szCs w:val="24"/>
          <w:lang w:val="es-ES"/>
        </w:rPr>
        <w:fldChar w:fldCharType="separate"/>
      </w:r>
      <w:r w:rsidR="00C67A5C">
        <w:rPr>
          <w:rFonts w:eastAsia="Times New Roman" w:cs="Times New Roman"/>
          <w:bCs w:val="0"/>
          <w:kern w:val="22"/>
          <w:szCs w:val="24"/>
          <w:lang w:val="es-ES"/>
        </w:rPr>
        <w:t>2</w:t>
      </w:r>
      <w:r w:rsidR="00C67A5C">
        <w:rPr>
          <w:rFonts w:eastAsia="Times New Roman" w:cs="Times New Roman"/>
          <w:bCs w:val="0"/>
          <w:kern w:val="22"/>
          <w:szCs w:val="24"/>
          <w:lang w:val="es-ES"/>
        </w:rPr>
        <w:t>6</w:t>
      </w:r>
      <w:r w:rsidR="00C67A5C">
        <w:rPr>
          <w:rFonts w:eastAsia="Times New Roman" w:cs="Times New Roman"/>
          <w:bCs w:val="0"/>
          <w:kern w:val="22"/>
          <w:szCs w:val="24"/>
          <w:lang w:val="es-ES"/>
        </w:rPr>
        <w:fldChar w:fldCharType="end"/>
      </w:r>
      <w:r>
        <w:rPr>
          <w:rFonts w:eastAsia="Times New Roman" w:cs="Times New Roman"/>
          <w:bCs w:val="0"/>
          <w:kern w:val="22"/>
          <w:szCs w:val="24"/>
          <w:lang w:val="es-ES"/>
        </w:rPr>
        <w:t xml:space="preserve">, para lograr una mayor coherencia y </w:t>
      </w:r>
      <w:r w:rsidR="009F3D74">
        <w:rPr>
          <w:rFonts w:eastAsia="Times New Roman" w:cs="Times New Roman"/>
          <w:bCs w:val="0"/>
          <w:kern w:val="22"/>
          <w:szCs w:val="24"/>
          <w:lang w:val="es-ES"/>
        </w:rPr>
        <w:t>uniformidad</w:t>
      </w:r>
      <w:r>
        <w:rPr>
          <w:rFonts w:eastAsia="Times New Roman" w:cs="Times New Roman"/>
          <w:bCs w:val="0"/>
          <w:kern w:val="22"/>
          <w:szCs w:val="24"/>
          <w:lang w:val="es-ES"/>
        </w:rPr>
        <w:t xml:space="preserve"> en la presentación de informes de las empresas hay que lograr una mayor coherencia y </w:t>
      </w:r>
      <w:r w:rsidR="009F3D74">
        <w:rPr>
          <w:rFonts w:eastAsia="Times New Roman" w:cs="Times New Roman"/>
          <w:bCs w:val="0"/>
          <w:kern w:val="22"/>
          <w:szCs w:val="24"/>
          <w:lang w:val="es-ES"/>
        </w:rPr>
        <w:t>uniformidad</w:t>
      </w:r>
      <w:r>
        <w:rPr>
          <w:rFonts w:eastAsia="Times New Roman" w:cs="Times New Roman"/>
          <w:bCs w:val="0"/>
          <w:kern w:val="22"/>
          <w:szCs w:val="24"/>
          <w:lang w:val="es-ES"/>
        </w:rPr>
        <w:t xml:space="preserve"> en la aplicación de metodologías y sistemas de medición de los impactos </w:t>
      </w:r>
      <w:r w:rsidR="00675B3B">
        <w:rPr>
          <w:rFonts w:eastAsia="Times New Roman" w:cs="Times New Roman"/>
          <w:bCs w:val="0"/>
          <w:kern w:val="22"/>
          <w:szCs w:val="24"/>
          <w:lang w:val="es-ES"/>
        </w:rPr>
        <w:t xml:space="preserve">de las empresas en </w:t>
      </w:r>
      <w:r>
        <w:rPr>
          <w:rFonts w:eastAsia="Times New Roman" w:cs="Times New Roman"/>
          <w:bCs w:val="0"/>
          <w:kern w:val="22"/>
          <w:szCs w:val="24"/>
          <w:lang w:val="es-ES"/>
        </w:rPr>
        <w:t>la diversidad biológica</w:t>
      </w:r>
      <w:r w:rsidR="00675B3B">
        <w:rPr>
          <w:rFonts w:eastAsia="Times New Roman" w:cs="Times New Roman"/>
          <w:bCs w:val="0"/>
          <w:kern w:val="22"/>
          <w:szCs w:val="24"/>
          <w:lang w:val="es-ES"/>
        </w:rPr>
        <w:t xml:space="preserve"> y sus dependencias de ella</w:t>
      </w:r>
      <w:r>
        <w:rPr>
          <w:rFonts w:eastAsia="Times New Roman" w:cs="Times New Roman"/>
          <w:bCs w:val="0"/>
          <w:kern w:val="22"/>
          <w:szCs w:val="24"/>
          <w:lang w:val="es-ES"/>
        </w:rPr>
        <w:t>. A la luz de estas consideraciones, la tipología de acciones para la presentación de informes en materia de diversidad b</w:t>
      </w:r>
      <w:r w:rsidR="00675B3B">
        <w:rPr>
          <w:rFonts w:eastAsia="Times New Roman" w:cs="Times New Roman"/>
          <w:bCs w:val="0"/>
          <w:kern w:val="22"/>
          <w:szCs w:val="24"/>
          <w:lang w:val="es-ES"/>
        </w:rPr>
        <w:t xml:space="preserve">iológica y las orientaciones </w:t>
      </w:r>
      <w:r>
        <w:rPr>
          <w:rFonts w:eastAsia="Times New Roman" w:cs="Times New Roman"/>
          <w:bCs w:val="0"/>
          <w:kern w:val="22"/>
          <w:szCs w:val="24"/>
          <w:lang w:val="es-ES"/>
        </w:rPr>
        <w:t>a</w:t>
      </w:r>
      <w:r w:rsidR="00675B3B">
        <w:rPr>
          <w:rFonts w:eastAsia="Times New Roman" w:cs="Times New Roman"/>
          <w:bCs w:val="0"/>
          <w:kern w:val="22"/>
          <w:szCs w:val="24"/>
          <w:lang w:val="es-ES"/>
        </w:rPr>
        <w:t>so</w:t>
      </w:r>
      <w:r>
        <w:rPr>
          <w:rFonts w:eastAsia="Times New Roman" w:cs="Times New Roman"/>
          <w:bCs w:val="0"/>
          <w:kern w:val="22"/>
          <w:szCs w:val="24"/>
          <w:lang w:val="es-ES"/>
        </w:rPr>
        <w:t xml:space="preserve">ciadas podrían ser vistas como un paso intermedio para aumentar </w:t>
      </w:r>
      <w:r w:rsidR="00675B3B">
        <w:rPr>
          <w:rFonts w:eastAsia="Times New Roman" w:cs="Times New Roman"/>
          <w:bCs w:val="0"/>
          <w:kern w:val="22"/>
          <w:szCs w:val="24"/>
          <w:lang w:val="es-ES"/>
        </w:rPr>
        <w:t xml:space="preserve">en el corto plazo </w:t>
      </w:r>
      <w:r>
        <w:rPr>
          <w:rFonts w:eastAsia="Times New Roman" w:cs="Times New Roman"/>
          <w:bCs w:val="0"/>
          <w:kern w:val="22"/>
          <w:szCs w:val="24"/>
          <w:lang w:val="es-ES"/>
        </w:rPr>
        <w:t xml:space="preserve">la comparabilidad en </w:t>
      </w:r>
      <w:r w:rsidR="00675B3B">
        <w:rPr>
          <w:rFonts w:eastAsia="Times New Roman" w:cs="Times New Roman"/>
          <w:bCs w:val="0"/>
          <w:kern w:val="22"/>
          <w:szCs w:val="24"/>
          <w:lang w:val="es-ES"/>
        </w:rPr>
        <w:t xml:space="preserve">los </w:t>
      </w:r>
      <w:r>
        <w:rPr>
          <w:rFonts w:eastAsia="Times New Roman" w:cs="Times New Roman"/>
          <w:bCs w:val="0"/>
          <w:kern w:val="22"/>
          <w:szCs w:val="24"/>
          <w:lang w:val="es-ES"/>
        </w:rPr>
        <w:t xml:space="preserve">informes </w:t>
      </w:r>
      <w:r w:rsidR="00675B3B">
        <w:rPr>
          <w:rFonts w:eastAsia="Times New Roman" w:cs="Times New Roman"/>
          <w:bCs w:val="0"/>
          <w:kern w:val="22"/>
          <w:szCs w:val="24"/>
          <w:lang w:val="es-ES"/>
        </w:rPr>
        <w:t xml:space="preserve">presentados por las empresas </w:t>
      </w:r>
      <w:r>
        <w:rPr>
          <w:rFonts w:eastAsia="Times New Roman" w:cs="Times New Roman"/>
          <w:bCs w:val="0"/>
          <w:kern w:val="22"/>
          <w:szCs w:val="24"/>
          <w:lang w:val="es-ES"/>
        </w:rPr>
        <w:t xml:space="preserve">en materia de diversidad biológica, para brindar orientaciones sobre cómo podría ser la presentación de informes </w:t>
      </w:r>
      <w:r w:rsidR="00675B3B">
        <w:rPr>
          <w:rFonts w:eastAsia="Times New Roman" w:cs="Times New Roman"/>
          <w:bCs w:val="0"/>
          <w:kern w:val="22"/>
          <w:szCs w:val="24"/>
          <w:lang w:val="es-ES"/>
        </w:rPr>
        <w:t xml:space="preserve">de las empresas </w:t>
      </w:r>
      <w:r>
        <w:rPr>
          <w:rFonts w:eastAsia="Times New Roman" w:cs="Times New Roman"/>
          <w:bCs w:val="0"/>
          <w:kern w:val="22"/>
          <w:szCs w:val="24"/>
          <w:lang w:val="es-ES"/>
        </w:rPr>
        <w:t xml:space="preserve">sobre </w:t>
      </w:r>
      <w:r w:rsidR="00675B3B">
        <w:rPr>
          <w:rFonts w:eastAsia="Times New Roman" w:cs="Times New Roman"/>
          <w:bCs w:val="0"/>
          <w:kern w:val="22"/>
          <w:szCs w:val="24"/>
          <w:lang w:val="es-ES"/>
        </w:rPr>
        <w:t>su</w:t>
      </w:r>
      <w:r>
        <w:rPr>
          <w:rFonts w:eastAsia="Times New Roman" w:cs="Times New Roman"/>
          <w:bCs w:val="0"/>
          <w:kern w:val="22"/>
          <w:szCs w:val="24"/>
          <w:lang w:val="es-ES"/>
        </w:rPr>
        <w:t xml:space="preserve">s impactos </w:t>
      </w:r>
      <w:r w:rsidR="00675B3B">
        <w:rPr>
          <w:rFonts w:eastAsia="Times New Roman" w:cs="Times New Roman"/>
          <w:bCs w:val="0"/>
          <w:kern w:val="22"/>
          <w:szCs w:val="24"/>
          <w:lang w:val="es-ES"/>
        </w:rPr>
        <w:t xml:space="preserve">en la diversidad biológica </w:t>
      </w:r>
      <w:r>
        <w:rPr>
          <w:rFonts w:eastAsia="Times New Roman" w:cs="Times New Roman"/>
          <w:bCs w:val="0"/>
          <w:kern w:val="22"/>
          <w:szCs w:val="24"/>
          <w:lang w:val="es-ES"/>
        </w:rPr>
        <w:t xml:space="preserve">y </w:t>
      </w:r>
      <w:r w:rsidR="00675B3B">
        <w:rPr>
          <w:rFonts w:eastAsia="Times New Roman" w:cs="Times New Roman"/>
          <w:bCs w:val="0"/>
          <w:kern w:val="22"/>
          <w:szCs w:val="24"/>
          <w:lang w:val="es-ES"/>
        </w:rPr>
        <w:t>su</w:t>
      </w:r>
      <w:r>
        <w:rPr>
          <w:rFonts w:eastAsia="Times New Roman" w:cs="Times New Roman"/>
          <w:bCs w:val="0"/>
          <w:kern w:val="22"/>
          <w:szCs w:val="24"/>
          <w:lang w:val="es-ES"/>
        </w:rPr>
        <w:t xml:space="preserve">s dependencias </w:t>
      </w:r>
      <w:r w:rsidR="00675B3B">
        <w:rPr>
          <w:rFonts w:eastAsia="Times New Roman" w:cs="Times New Roman"/>
          <w:bCs w:val="0"/>
          <w:kern w:val="22"/>
          <w:szCs w:val="24"/>
          <w:lang w:val="es-ES"/>
        </w:rPr>
        <w:t xml:space="preserve">de la diversidad biológica, </w:t>
      </w:r>
      <w:r>
        <w:rPr>
          <w:rFonts w:eastAsia="Times New Roman" w:cs="Times New Roman"/>
          <w:bCs w:val="0"/>
          <w:kern w:val="22"/>
          <w:szCs w:val="24"/>
          <w:lang w:val="es-ES"/>
        </w:rPr>
        <w:t xml:space="preserve">y alentar así a las empresas y </w:t>
      </w:r>
      <w:r w:rsidR="00675B3B">
        <w:rPr>
          <w:rFonts w:eastAsia="Times New Roman" w:cs="Times New Roman"/>
          <w:bCs w:val="0"/>
          <w:kern w:val="22"/>
          <w:szCs w:val="24"/>
          <w:lang w:val="es-ES"/>
        </w:rPr>
        <w:t xml:space="preserve">a </w:t>
      </w:r>
      <w:r>
        <w:rPr>
          <w:rFonts w:eastAsia="Times New Roman" w:cs="Times New Roman"/>
          <w:bCs w:val="0"/>
          <w:kern w:val="22"/>
          <w:szCs w:val="24"/>
          <w:lang w:val="es-ES"/>
        </w:rPr>
        <w:t xml:space="preserve">otros interesados directos a que fortalezcan la presentación </w:t>
      </w:r>
      <w:r w:rsidR="00675B3B">
        <w:rPr>
          <w:rFonts w:eastAsia="Times New Roman" w:cs="Times New Roman"/>
          <w:bCs w:val="0"/>
          <w:kern w:val="22"/>
          <w:szCs w:val="24"/>
          <w:lang w:val="es-ES"/>
        </w:rPr>
        <w:t xml:space="preserve">empresarial </w:t>
      </w:r>
      <w:r>
        <w:rPr>
          <w:rFonts w:eastAsia="Times New Roman" w:cs="Times New Roman"/>
          <w:bCs w:val="0"/>
          <w:kern w:val="22"/>
          <w:szCs w:val="24"/>
          <w:lang w:val="es-ES"/>
        </w:rPr>
        <w:t>de informes relacionados con la diversidad biológica. La aplicación de la tipología precisaría ser complementada con la adopción de medidas respecto a las prioridades estratégicas antes identificadas.</w:t>
      </w:r>
    </w:p>
    <w:p w:rsidR="00607CAD" w:rsidRDefault="00607CAD">
      <w:pPr>
        <w:pStyle w:val="Heading1"/>
        <w:suppressLineNumbers/>
        <w:tabs>
          <w:tab w:val="clear" w:pos="720"/>
          <w:tab w:val="left" w:pos="360"/>
        </w:tabs>
        <w:suppressAutoHyphens/>
        <w:kinsoku w:val="0"/>
        <w:overflowPunct w:val="0"/>
        <w:autoSpaceDE w:val="0"/>
        <w:autoSpaceDN w:val="0"/>
        <w:adjustRightInd w:val="0"/>
        <w:snapToGrid w:val="0"/>
        <w:spacing w:before="120"/>
        <w:rPr>
          <w:rFonts w:eastAsia="Times New Roman"/>
          <w:lang w:val="es-ES"/>
        </w:rPr>
      </w:pPr>
      <w:r>
        <w:rPr>
          <w:rFonts w:eastAsia="Times New Roman"/>
          <w:kern w:val="22"/>
          <w:lang w:val="es-ES"/>
        </w:rPr>
        <w:t>III.</w:t>
      </w:r>
      <w:r>
        <w:rPr>
          <w:rFonts w:eastAsia="Times New Roman"/>
          <w:kern w:val="22"/>
          <w:lang w:val="es-ES"/>
        </w:rPr>
        <w:tab/>
        <w:t>Conclusiones</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54"/>
        <w:rPr>
          <w:rFonts w:eastAsia="Times New Roman" w:cs="Times New Roman"/>
          <w:bCs w:val="0"/>
          <w:szCs w:val="24"/>
          <w:lang w:val="es-ES"/>
        </w:rPr>
      </w:pPr>
      <w:r>
        <w:rPr>
          <w:rFonts w:eastAsia="Times New Roman" w:cs="Times New Roman"/>
          <w:bCs w:val="0"/>
          <w:kern w:val="22"/>
          <w:szCs w:val="24"/>
          <w:lang w:val="es-ES"/>
        </w:rPr>
        <w:t xml:space="preserve">Teniendo en cuenta lo antedicho, el Órgano Subsidiario sobre la Aplicación podría estimar oportuno considerar las conclusiones que se exponen a continuación como posible base para formular su recomendación, incluido un proyecto de decisión, para someter a consideración </w:t>
      </w:r>
      <w:r w:rsidR="00675B3B">
        <w:rPr>
          <w:rFonts w:eastAsia="Times New Roman" w:cs="Times New Roman"/>
          <w:bCs w:val="0"/>
          <w:kern w:val="22"/>
          <w:szCs w:val="24"/>
          <w:lang w:val="es-ES"/>
        </w:rPr>
        <w:t>de</w:t>
      </w:r>
      <w:r>
        <w:rPr>
          <w:rFonts w:eastAsia="Times New Roman" w:cs="Times New Roman"/>
          <w:bCs w:val="0"/>
          <w:kern w:val="22"/>
          <w:szCs w:val="24"/>
          <w:lang w:val="es-ES"/>
        </w:rPr>
        <w:t xml:space="preserve"> la Conferencia de las Partes en su 14ª reunión. En el proyecto de recomendación que se propone en el documento CBD/SBI/2/4 se incluye vocabulario pertinente.</w:t>
      </w:r>
    </w:p>
    <w:p w:rsidR="00607CAD" w:rsidRDefault="00607CAD">
      <w:pPr>
        <w:pStyle w:val="Heading2"/>
        <w:suppressLineNumbers/>
        <w:tabs>
          <w:tab w:val="clear" w:pos="720"/>
          <w:tab w:val="left" w:pos="360"/>
        </w:tabs>
        <w:suppressAutoHyphens/>
        <w:kinsoku w:val="0"/>
        <w:overflowPunct w:val="0"/>
        <w:autoSpaceDE w:val="0"/>
        <w:autoSpaceDN w:val="0"/>
        <w:adjustRightInd w:val="0"/>
        <w:snapToGrid w:val="0"/>
        <w:rPr>
          <w:rFonts w:eastAsia="Times New Roman"/>
          <w:bCs w:val="0"/>
          <w:iCs w:val="0"/>
          <w:lang w:val="es-ES"/>
        </w:rPr>
      </w:pPr>
      <w:r>
        <w:rPr>
          <w:rFonts w:eastAsia="Times New Roman"/>
          <w:bCs w:val="0"/>
          <w:iCs w:val="0"/>
          <w:kern w:val="22"/>
          <w:lang w:val="es-ES"/>
        </w:rPr>
        <w:t>A.</w:t>
      </w:r>
      <w:r>
        <w:rPr>
          <w:rFonts w:eastAsia="Times New Roman"/>
          <w:bCs w:val="0"/>
          <w:iCs w:val="0"/>
          <w:kern w:val="22"/>
          <w:lang w:val="es-ES"/>
        </w:rPr>
        <w:tab/>
        <w:t xml:space="preserve">Orientaciones para la presentación de informes </w:t>
      </w:r>
      <w:r w:rsidR="00675B3B">
        <w:rPr>
          <w:rFonts w:eastAsia="Times New Roman"/>
          <w:bCs w:val="0"/>
          <w:iCs w:val="0"/>
          <w:kern w:val="22"/>
          <w:lang w:val="es-ES"/>
        </w:rPr>
        <w:t xml:space="preserve">empresariales </w:t>
      </w:r>
      <w:r>
        <w:rPr>
          <w:rFonts w:eastAsia="Times New Roman"/>
          <w:bCs w:val="0"/>
          <w:iCs w:val="0"/>
          <w:kern w:val="22"/>
          <w:lang w:val="es-ES"/>
        </w:rPr>
        <w:t>relacionados con la diversidad biológica</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El Órgano Subsidiario podría estimar oportuno recomendar que se tome nota de la versión revisada de la tipología de acciones empresariales relacionadas con la diversidad biológica, expuesta en el anexo I de la presente nota, como herramienta provisoria útil para alentar y aumentar la presentación de informes sobre diversidad biológica y para aumentar la comparabilidad entre la presentación de informes de las empresas en materia de diversidad biológica y como paso hacia una mayor coherencia y </w:t>
      </w:r>
      <w:r w:rsidR="009F3D74">
        <w:rPr>
          <w:rFonts w:eastAsia="Times New Roman" w:cs="Times New Roman"/>
          <w:bCs w:val="0"/>
          <w:kern w:val="22"/>
          <w:szCs w:val="24"/>
          <w:lang w:val="es-ES"/>
        </w:rPr>
        <w:t>uniformidad</w:t>
      </w:r>
      <w:r>
        <w:rPr>
          <w:rFonts w:eastAsia="Times New Roman" w:cs="Times New Roman"/>
          <w:bCs w:val="0"/>
          <w:kern w:val="22"/>
          <w:szCs w:val="24"/>
          <w:lang w:val="es-ES"/>
        </w:rPr>
        <w:t xml:space="preserve"> en la presentación de informes empresariales relacionados con la diversidad biológica. A tales efectos, se podría invitar a empresas, Partes y otros Gobiernos y organizaciones e iniciativas pertinentes a hacer uso de la versión revisada de la tipología de acciones.</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El Órgano Subsidiario podría estimar oportuno también recomendar que se tome nota de los ejemplos de buenas prácticas que se brindan en el anexo II de la presente nota, como orientaciones indicativas para empresas, Partes y otros Gobiernos, así como otros interesados directos, sobre los </w:t>
      </w:r>
      <w:r w:rsidR="001D1CFD">
        <w:rPr>
          <w:rFonts w:eastAsia="Times New Roman" w:cs="Times New Roman"/>
          <w:bCs w:val="0"/>
          <w:kern w:val="22"/>
          <w:szCs w:val="24"/>
          <w:lang w:val="es-ES"/>
        </w:rPr>
        <w:t xml:space="preserve">principales </w:t>
      </w:r>
      <w:r>
        <w:rPr>
          <w:rFonts w:eastAsia="Times New Roman" w:cs="Times New Roman"/>
          <w:bCs w:val="0"/>
          <w:kern w:val="22"/>
          <w:szCs w:val="24"/>
          <w:lang w:val="es-ES"/>
        </w:rPr>
        <w:t xml:space="preserve">tópicos que podrían abordarse en la presentación de informes empresariales relacionados con la diversidad biológica. Se podría invitar a empresas, Partes y otros Gobiernos, así como organizaciones e </w:t>
      </w:r>
      <w:r>
        <w:rPr>
          <w:rFonts w:eastAsia="Times New Roman" w:cs="Times New Roman"/>
          <w:bCs w:val="0"/>
          <w:kern w:val="22"/>
          <w:szCs w:val="24"/>
          <w:lang w:val="es-ES"/>
        </w:rPr>
        <w:lastRenderedPageBreak/>
        <w:t>iniciativas pertinentes, a hacer uso de los ejemplos de buenas prácticas al informar sobre sus actividades pertinentes.</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spacing w:before="0" w:after="0"/>
        <w:ind w:left="0" w:firstLine="0"/>
        <w:rPr>
          <w:rFonts w:eastAsia="Times New Roman" w:cs="Times New Roman"/>
          <w:bCs w:val="0"/>
          <w:szCs w:val="24"/>
          <w:lang w:val="es-ES"/>
        </w:rPr>
      </w:pPr>
      <w:bookmarkStart w:id="17" w:name="_Ref515279487"/>
      <w:r>
        <w:rPr>
          <w:rFonts w:eastAsia="Times New Roman" w:cs="Times New Roman"/>
          <w:bCs w:val="0"/>
          <w:kern w:val="22"/>
          <w:szCs w:val="24"/>
          <w:lang w:val="es-ES"/>
        </w:rPr>
        <w:t xml:space="preserve">El Órgano Subsidiario podría asimismo estimar oportuno señalar el importante papel de los estándares de presentación de informes de </w:t>
      </w:r>
      <w:r w:rsidR="001D1CFD">
        <w:rPr>
          <w:rFonts w:eastAsia="Times New Roman" w:cs="Times New Roman"/>
          <w:bCs w:val="0"/>
          <w:kern w:val="22"/>
          <w:szCs w:val="24"/>
          <w:lang w:val="es-ES"/>
        </w:rPr>
        <w:t xml:space="preserve">la </w:t>
      </w:r>
      <w:r>
        <w:rPr>
          <w:rFonts w:eastAsia="Times New Roman" w:cs="Times New Roman"/>
          <w:bCs w:val="0"/>
          <w:kern w:val="22"/>
          <w:szCs w:val="24"/>
          <w:lang w:val="es-ES"/>
        </w:rPr>
        <w:t>Global Reporting Initiative, descri</w:t>
      </w:r>
      <w:r w:rsidR="0062644E">
        <w:rPr>
          <w:rFonts w:eastAsia="Times New Roman" w:cs="Times New Roman"/>
          <w:bCs w:val="0"/>
          <w:kern w:val="22"/>
          <w:szCs w:val="24"/>
          <w:lang w:val="es-ES"/>
        </w:rPr>
        <w:t xml:space="preserve">tos </w:t>
      </w:r>
      <w:r>
        <w:rPr>
          <w:rFonts w:eastAsia="Times New Roman" w:cs="Times New Roman"/>
          <w:bCs w:val="0"/>
          <w:kern w:val="22"/>
          <w:szCs w:val="24"/>
          <w:lang w:val="es-ES"/>
        </w:rPr>
        <w:t>en el párrafo</w:t>
      </w:r>
      <w:r w:rsidR="0062644E">
        <w:rPr>
          <w:rFonts w:eastAsia="Times New Roman" w:cs="Times New Roman"/>
          <w:bCs w:val="0"/>
          <w:kern w:val="22"/>
          <w:szCs w:val="24"/>
          <w:lang w:val="es-ES"/>
        </w:rPr>
        <w:t> </w:t>
      </w:r>
      <w:r w:rsidR="0062644E">
        <w:rPr>
          <w:rFonts w:eastAsia="Times New Roman" w:cs="Times New Roman"/>
          <w:bCs w:val="0"/>
          <w:kern w:val="22"/>
          <w:szCs w:val="24"/>
          <w:lang w:val="es-ES"/>
        </w:rPr>
        <w:fldChar w:fldCharType="begin"/>
      </w:r>
      <w:r w:rsidR="0062644E">
        <w:rPr>
          <w:rFonts w:eastAsia="Times New Roman" w:cs="Times New Roman"/>
          <w:bCs w:val="0"/>
          <w:kern w:val="22"/>
          <w:szCs w:val="24"/>
          <w:lang w:val="es-ES"/>
        </w:rPr>
        <w:instrText xml:space="preserve"> REF _Ref515837303 \r \h </w:instrText>
      </w:r>
      <w:r w:rsidR="0062644E">
        <w:rPr>
          <w:rFonts w:eastAsia="Times New Roman" w:cs="Times New Roman"/>
          <w:bCs w:val="0"/>
          <w:kern w:val="22"/>
          <w:szCs w:val="24"/>
          <w:lang w:val="es-ES"/>
        </w:rPr>
      </w:r>
      <w:r w:rsidR="0062644E">
        <w:rPr>
          <w:rFonts w:eastAsia="Times New Roman" w:cs="Times New Roman"/>
          <w:bCs w:val="0"/>
          <w:kern w:val="22"/>
          <w:szCs w:val="24"/>
          <w:lang w:val="es-ES"/>
        </w:rPr>
        <w:fldChar w:fldCharType="separate"/>
      </w:r>
      <w:r w:rsidR="0062644E">
        <w:rPr>
          <w:rFonts w:eastAsia="Times New Roman" w:cs="Times New Roman"/>
          <w:bCs w:val="0"/>
          <w:kern w:val="22"/>
          <w:szCs w:val="24"/>
          <w:lang w:val="es-ES"/>
        </w:rPr>
        <w:t>9 c)</w:t>
      </w:r>
      <w:r w:rsidR="0062644E">
        <w:rPr>
          <w:rFonts w:eastAsia="Times New Roman" w:cs="Times New Roman"/>
          <w:bCs w:val="0"/>
          <w:kern w:val="22"/>
          <w:szCs w:val="24"/>
          <w:lang w:val="es-ES"/>
        </w:rPr>
        <w:fldChar w:fldCharType="end"/>
      </w:r>
      <w:r>
        <w:rPr>
          <w:rFonts w:eastAsia="Times New Roman" w:cs="Times New Roman"/>
          <w:bCs w:val="0"/>
          <w:kern w:val="22"/>
          <w:szCs w:val="24"/>
          <w:lang w:val="es-ES"/>
        </w:rPr>
        <w:t xml:space="preserve">, y podría por tanto estimar oportuno recomendar que se aliente a las empresas a usar directrices existentes de presentación de informes, como el estándar sobre diversidad </w:t>
      </w:r>
      <w:r w:rsidR="0062644E">
        <w:rPr>
          <w:rFonts w:eastAsia="Times New Roman" w:cs="Times New Roman"/>
          <w:bCs w:val="0"/>
          <w:kern w:val="22"/>
          <w:szCs w:val="24"/>
          <w:lang w:val="es-ES"/>
        </w:rPr>
        <w:t xml:space="preserve">biológica </w:t>
      </w:r>
      <w:r>
        <w:rPr>
          <w:rFonts w:eastAsia="Times New Roman" w:cs="Times New Roman"/>
          <w:bCs w:val="0"/>
          <w:kern w:val="22"/>
          <w:szCs w:val="24"/>
          <w:lang w:val="es-ES"/>
        </w:rPr>
        <w:t xml:space="preserve">de la GRI, </w:t>
      </w:r>
      <w:r>
        <w:rPr>
          <w:rFonts w:eastAsia="Times New Roman" w:cs="Times New Roman"/>
          <w:bCs w:val="0"/>
          <w:i/>
          <w:kern w:val="22"/>
          <w:szCs w:val="24"/>
          <w:lang w:val="es-ES"/>
        </w:rPr>
        <w:t>GRI 304: Biodiversidad 2016</w:t>
      </w:r>
      <w:r>
        <w:rPr>
          <w:rStyle w:val="FootnoteReference"/>
          <w:rFonts w:eastAsia="Times New Roman"/>
          <w:bCs w:val="0"/>
          <w:kern w:val="22"/>
          <w:szCs w:val="24"/>
          <w:lang w:val="es-ES"/>
        </w:rPr>
        <w:footnoteReference w:id="35"/>
      </w:r>
      <w:r>
        <w:rPr>
          <w:rFonts w:eastAsia="Times New Roman" w:cs="Times New Roman"/>
          <w:bCs w:val="0"/>
          <w:kern w:val="22"/>
          <w:szCs w:val="24"/>
          <w:lang w:val="es-ES"/>
        </w:rPr>
        <w:t>, según proceda.</w:t>
      </w:r>
    </w:p>
    <w:bookmarkEnd w:id="17"/>
    <w:p w:rsidR="00607CAD" w:rsidRDefault="00607CAD">
      <w:pPr>
        <w:pStyle w:val="Para1"/>
        <w:numPr>
          <w:ilvl w:val="0"/>
          <w:numId w:val="0"/>
        </w:numPr>
        <w:suppressLineNumbers/>
        <w:suppressAutoHyphens/>
        <w:kinsoku w:val="0"/>
        <w:overflowPunct w:val="0"/>
        <w:autoSpaceDE w:val="0"/>
        <w:autoSpaceDN w:val="0"/>
        <w:adjustRightInd w:val="0"/>
        <w:snapToGrid w:val="0"/>
        <w:spacing w:before="0" w:after="0"/>
        <w:rPr>
          <w:rFonts w:eastAsia="Times New Roman" w:cs="Times New Roman"/>
          <w:bCs w:val="0"/>
          <w:szCs w:val="24"/>
          <w:lang w:val="es-ES"/>
        </w:rPr>
      </w:pPr>
    </w:p>
    <w:p w:rsidR="00607CAD" w:rsidRDefault="00607CAD">
      <w:pPr>
        <w:pStyle w:val="Para1"/>
        <w:numPr>
          <w:ilvl w:val="0"/>
          <w:numId w:val="0"/>
        </w:numPr>
        <w:suppressLineNumbers/>
        <w:suppressAutoHyphens/>
        <w:kinsoku w:val="0"/>
        <w:overflowPunct w:val="0"/>
        <w:autoSpaceDE w:val="0"/>
        <w:autoSpaceDN w:val="0"/>
        <w:adjustRightInd w:val="0"/>
        <w:snapToGrid w:val="0"/>
        <w:jc w:val="center"/>
        <w:rPr>
          <w:rFonts w:eastAsia="Times New Roman" w:cs="Times New Roman"/>
          <w:b/>
          <w:bCs w:val="0"/>
          <w:szCs w:val="24"/>
          <w:lang w:val="es-ES"/>
        </w:rPr>
      </w:pPr>
      <w:r>
        <w:rPr>
          <w:rFonts w:eastAsia="Times New Roman" w:cs="Times New Roman"/>
          <w:b/>
          <w:bCs w:val="0"/>
          <w:kern w:val="22"/>
          <w:szCs w:val="24"/>
          <w:lang w:val="es-ES"/>
        </w:rPr>
        <w:t>B.</w:t>
      </w:r>
      <w:r>
        <w:rPr>
          <w:rFonts w:eastAsia="Times New Roman" w:cs="Times New Roman"/>
          <w:b/>
          <w:bCs w:val="0"/>
          <w:kern w:val="22"/>
          <w:szCs w:val="24"/>
          <w:lang w:val="es-ES"/>
        </w:rPr>
        <w:tab/>
        <w:t>Medidas estratégicas para que las empresas avancen en materia de diversidad biológica</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El Órgano Subsidiario podría estimar oportuno señalar que la divulgación y presentación de informes es el último paso en el proceso de identificación por las empresas de sus impactos en la diversidad biológica</w:t>
      </w:r>
      <w:r w:rsidR="00AA0C89" w:rsidRPr="00AA0C89">
        <w:rPr>
          <w:rFonts w:eastAsia="Times New Roman" w:cs="Times New Roman"/>
          <w:bCs w:val="0"/>
          <w:kern w:val="22"/>
          <w:szCs w:val="24"/>
          <w:lang w:val="es-ES"/>
        </w:rPr>
        <w:t xml:space="preserve"> </w:t>
      </w:r>
      <w:r w:rsidR="00AA0C89">
        <w:rPr>
          <w:rFonts w:eastAsia="Times New Roman" w:cs="Times New Roman"/>
          <w:bCs w:val="0"/>
          <w:kern w:val="22"/>
          <w:szCs w:val="24"/>
          <w:lang w:val="es-ES"/>
        </w:rPr>
        <w:t xml:space="preserve">y </w:t>
      </w:r>
      <w:r w:rsidR="007458B8">
        <w:rPr>
          <w:rFonts w:eastAsia="Times New Roman" w:cs="Times New Roman"/>
          <w:bCs w:val="0"/>
          <w:kern w:val="22"/>
          <w:szCs w:val="24"/>
          <w:lang w:val="es-ES"/>
        </w:rPr>
        <w:t xml:space="preserve">sus </w:t>
      </w:r>
      <w:r w:rsidR="00AA0C89">
        <w:rPr>
          <w:rFonts w:eastAsia="Times New Roman" w:cs="Times New Roman"/>
          <w:bCs w:val="0"/>
          <w:kern w:val="22"/>
          <w:szCs w:val="24"/>
          <w:lang w:val="es-ES"/>
        </w:rPr>
        <w:t>dependencias de la diversidad biológica</w:t>
      </w:r>
      <w:r>
        <w:rPr>
          <w:rFonts w:eastAsia="Times New Roman" w:cs="Times New Roman"/>
          <w:bCs w:val="0"/>
          <w:kern w:val="22"/>
          <w:szCs w:val="24"/>
          <w:lang w:val="es-ES"/>
        </w:rPr>
        <w:t xml:space="preserve">. Para aumentar la coherencia y </w:t>
      </w:r>
      <w:r w:rsidR="009F3D74">
        <w:rPr>
          <w:rFonts w:eastAsia="Times New Roman" w:cs="Times New Roman"/>
          <w:bCs w:val="0"/>
          <w:kern w:val="22"/>
          <w:szCs w:val="24"/>
          <w:lang w:val="es-ES"/>
        </w:rPr>
        <w:t>uniformidad</w:t>
      </w:r>
      <w:r>
        <w:rPr>
          <w:rFonts w:eastAsia="Times New Roman" w:cs="Times New Roman"/>
          <w:bCs w:val="0"/>
          <w:kern w:val="22"/>
          <w:szCs w:val="24"/>
          <w:lang w:val="es-ES"/>
        </w:rPr>
        <w:t xml:space="preserve"> en la presentación de informes empresariales relacionados con la diversidad biológica es necesario adoptar medidas estratégicas para lograr que las empresas entiendan mejor el papel de la diversidad biológica y para desarrollar y mejorar las metodologías y sistemas de medición para </w:t>
      </w:r>
      <w:r w:rsidR="007458B8">
        <w:rPr>
          <w:rFonts w:eastAsia="Times New Roman" w:cs="Times New Roman"/>
          <w:bCs w:val="0"/>
          <w:kern w:val="22"/>
          <w:szCs w:val="24"/>
          <w:lang w:val="es-ES"/>
        </w:rPr>
        <w:t>medir su</w:t>
      </w:r>
      <w:r>
        <w:rPr>
          <w:rFonts w:eastAsia="Times New Roman" w:cs="Times New Roman"/>
          <w:bCs w:val="0"/>
          <w:kern w:val="22"/>
          <w:szCs w:val="24"/>
          <w:lang w:val="es-ES"/>
        </w:rPr>
        <w:t xml:space="preserve">s impactos </w:t>
      </w:r>
      <w:r w:rsidR="007458B8">
        <w:rPr>
          <w:rFonts w:eastAsia="Times New Roman" w:cs="Times New Roman"/>
          <w:bCs w:val="0"/>
          <w:kern w:val="22"/>
          <w:szCs w:val="24"/>
          <w:lang w:val="es-ES"/>
        </w:rPr>
        <w:t xml:space="preserve">en </w:t>
      </w:r>
      <w:r>
        <w:rPr>
          <w:rFonts w:eastAsia="Times New Roman" w:cs="Times New Roman"/>
          <w:bCs w:val="0"/>
          <w:kern w:val="22"/>
          <w:szCs w:val="24"/>
          <w:lang w:val="es-ES"/>
        </w:rPr>
        <w:t>la diversidad biológica</w:t>
      </w:r>
      <w:r w:rsidR="007458B8" w:rsidRPr="007458B8">
        <w:rPr>
          <w:rFonts w:eastAsia="Times New Roman" w:cs="Times New Roman"/>
          <w:bCs w:val="0"/>
          <w:kern w:val="22"/>
          <w:szCs w:val="24"/>
          <w:lang w:val="es-ES"/>
        </w:rPr>
        <w:t xml:space="preserve"> </w:t>
      </w:r>
      <w:r w:rsidR="007458B8">
        <w:rPr>
          <w:rFonts w:eastAsia="Times New Roman" w:cs="Times New Roman"/>
          <w:bCs w:val="0"/>
          <w:kern w:val="22"/>
          <w:szCs w:val="24"/>
          <w:lang w:val="es-ES"/>
        </w:rPr>
        <w:t>y sus dependencias de ella</w:t>
      </w:r>
      <w:r>
        <w:rPr>
          <w:rFonts w:eastAsia="Times New Roman" w:cs="Times New Roman"/>
          <w:bCs w:val="0"/>
          <w:kern w:val="22"/>
          <w:szCs w:val="24"/>
          <w:lang w:val="es-ES"/>
        </w:rPr>
        <w:t xml:space="preserve">, con miras a proporcionar información confiable, creíble y práctica a gerentes empresariales </w:t>
      </w:r>
      <w:r w:rsidR="007458B8">
        <w:rPr>
          <w:rFonts w:eastAsia="Times New Roman" w:cs="Times New Roman"/>
          <w:bCs w:val="0"/>
          <w:kern w:val="22"/>
          <w:szCs w:val="24"/>
          <w:lang w:val="es-ES"/>
        </w:rPr>
        <w:t>para</w:t>
      </w:r>
      <w:r>
        <w:rPr>
          <w:rFonts w:eastAsia="Times New Roman" w:cs="Times New Roman"/>
          <w:bCs w:val="0"/>
          <w:kern w:val="22"/>
          <w:szCs w:val="24"/>
          <w:lang w:val="es-ES"/>
        </w:rPr>
        <w:t xml:space="preserve"> mejorar la toma de decisiones. Por consiguiente, el Órgano Subsidiario podría estimar oportuno sugerir que se fortalezcan las asociaciones mundiales y sectoriales, así como el intercambio de información y la colaboración entre organizaciones e iniciativas pertinentes.</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bookmarkStart w:id="20" w:name="_Ref515838432"/>
      <w:r>
        <w:rPr>
          <w:rFonts w:eastAsia="Times New Roman" w:cs="Times New Roman"/>
          <w:bCs w:val="0"/>
          <w:kern w:val="22"/>
          <w:szCs w:val="24"/>
          <w:lang w:val="es-ES"/>
        </w:rPr>
        <w:t>En particular, el Órgano Subsidiario podría estimar oportuno recomendar que se reconozca el trabajo pertinente existente de iniciativas y organizaciones asociadas, tales como el Programa de las Naciones Unidas para el Medio Ambiente, el Pacto Mundial de las Naciones Unidas, la División de Estadística de las Naciones Unidas, la Unión Internacional para la Conservación de la Naturaleza (UICN), e</w:t>
      </w:r>
      <w:r>
        <w:rPr>
          <w:rFonts w:eastAsia="Times New Roman" w:cs="Times New Roman"/>
          <w:bCs w:val="0"/>
          <w:szCs w:val="24"/>
          <w:lang w:val="es-ES"/>
        </w:rPr>
        <w:t xml:space="preserve">l Consejo Internacional de Informes Integrados, </w:t>
      </w:r>
      <w:r w:rsidR="004652C0">
        <w:rPr>
          <w:rFonts w:eastAsia="Times New Roman" w:cs="Times New Roman"/>
          <w:bCs w:val="0"/>
          <w:szCs w:val="24"/>
          <w:lang w:val="es-ES"/>
        </w:rPr>
        <w:t xml:space="preserve">el </w:t>
      </w:r>
      <w:r>
        <w:rPr>
          <w:rFonts w:eastAsia="Times New Roman" w:cs="Times New Roman"/>
          <w:bCs w:val="0"/>
          <w:kern w:val="22"/>
          <w:szCs w:val="24"/>
          <w:lang w:val="es-ES"/>
        </w:rPr>
        <w:t>Cambridge Institute for Sustainability L</w:t>
      </w:r>
      <w:r w:rsidR="00863286">
        <w:rPr>
          <w:rFonts w:eastAsia="Times New Roman" w:cs="Times New Roman"/>
          <w:bCs w:val="0"/>
          <w:kern w:val="22"/>
          <w:szCs w:val="24"/>
          <w:lang w:val="es-ES"/>
        </w:rPr>
        <w:t>eadership, la Coalición de</w:t>
      </w:r>
      <w:r>
        <w:rPr>
          <w:rFonts w:eastAsia="Times New Roman" w:cs="Times New Roman"/>
          <w:bCs w:val="0"/>
          <w:kern w:val="22"/>
          <w:szCs w:val="24"/>
          <w:lang w:val="es-ES"/>
        </w:rPr>
        <w:t xml:space="preserve"> Capital Natural y su grupo de trabajo sobre diversidad biológica y la Global Reporting Initiative, así como otros asociados, incluidas asociaciones empresariales sectoriales. Se podría invitarlos a profundizar su labor y aumentar el intercambio de información y colaboración mutua, en particular con respecto a:</w:t>
      </w:r>
      <w:bookmarkEnd w:id="20"/>
    </w:p>
    <w:p w:rsidR="00607CAD" w:rsidRDefault="005F2EAA">
      <w:pPr>
        <w:pStyle w:val="para2a"/>
        <w:numPr>
          <w:ilvl w:val="0"/>
          <w:numId w:val="25"/>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kern w:val="22"/>
          <w:szCs w:val="24"/>
          <w:lang w:val="es-ES"/>
        </w:rPr>
      </w:pPr>
      <w:r>
        <w:rPr>
          <w:rFonts w:eastAsia="Times New Roman" w:cs="Times New Roman"/>
          <w:kern w:val="22"/>
          <w:szCs w:val="24"/>
          <w:lang w:val="es-ES"/>
        </w:rPr>
        <w:t>c</w:t>
      </w:r>
      <w:r w:rsidR="00607CAD">
        <w:rPr>
          <w:rFonts w:eastAsia="Times New Roman" w:cs="Times New Roman"/>
          <w:kern w:val="22"/>
          <w:szCs w:val="24"/>
          <w:lang w:val="es-ES"/>
        </w:rPr>
        <w:t xml:space="preserve">ompartir experiencias y buenas prácticas, y desarrollar herramientas de orientación a tales efectos, sobre la forma de promover una mayor comprensión conceptual por las empresas de sus dependencias </w:t>
      </w:r>
      <w:r>
        <w:rPr>
          <w:rFonts w:eastAsia="Times New Roman" w:cs="Times New Roman"/>
          <w:kern w:val="22"/>
          <w:szCs w:val="24"/>
          <w:lang w:val="es-ES"/>
        </w:rPr>
        <w:t>de</w:t>
      </w:r>
      <w:r w:rsidR="00607CAD">
        <w:rPr>
          <w:rFonts w:eastAsia="Times New Roman" w:cs="Times New Roman"/>
          <w:kern w:val="22"/>
          <w:szCs w:val="24"/>
          <w:lang w:val="es-ES"/>
        </w:rPr>
        <w:t xml:space="preserve"> la diversidad biológica, el sustento del funcionamiento de los ecosistemas y la provisión de servicios y beneficios de los ecosistemas que son vitales para las actividades empresariales y los modelos de negocios, toma</w:t>
      </w:r>
      <w:r>
        <w:rPr>
          <w:rFonts w:eastAsia="Times New Roman" w:cs="Times New Roman"/>
          <w:kern w:val="22"/>
          <w:szCs w:val="24"/>
          <w:lang w:val="es-ES"/>
        </w:rPr>
        <w:t>ndo</w:t>
      </w:r>
      <w:r w:rsidR="00607CAD">
        <w:rPr>
          <w:rFonts w:eastAsia="Times New Roman" w:cs="Times New Roman"/>
          <w:kern w:val="22"/>
          <w:szCs w:val="24"/>
          <w:lang w:val="es-ES"/>
        </w:rPr>
        <w:t xml:space="preserve"> en cuenta las diversas conceptualizaciones de los valores de la diversidad biológica, con miras a brindar insumos para evaluaciones de materialidad y promover la identificación de la diversidad biológica como un tema de materialidad alta;</w:t>
      </w:r>
    </w:p>
    <w:p w:rsidR="00607CAD" w:rsidRDefault="005F2EAA">
      <w:pPr>
        <w:pStyle w:val="para2a"/>
        <w:numPr>
          <w:ilvl w:val="0"/>
          <w:numId w:val="25"/>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kern w:val="22"/>
          <w:szCs w:val="24"/>
          <w:lang w:val="es-ES"/>
        </w:rPr>
      </w:pPr>
      <w:r>
        <w:rPr>
          <w:rFonts w:eastAsia="Times New Roman" w:cs="Times New Roman"/>
          <w:kern w:val="22"/>
          <w:szCs w:val="24"/>
          <w:lang w:val="es-ES"/>
        </w:rPr>
        <w:t>p</w:t>
      </w:r>
      <w:r w:rsidR="00607CAD">
        <w:rPr>
          <w:rFonts w:eastAsia="Times New Roman" w:cs="Times New Roman"/>
          <w:kern w:val="22"/>
          <w:szCs w:val="24"/>
          <w:lang w:val="es-ES"/>
        </w:rPr>
        <w:t xml:space="preserve">romover el intercambio de información y la colaboración para seguir desarrollando metodologías o sistemas de medición, </w:t>
      </w:r>
      <w:r w:rsidR="00B33B7C">
        <w:rPr>
          <w:rFonts w:eastAsia="Times New Roman" w:cs="Times New Roman"/>
          <w:kern w:val="22"/>
          <w:szCs w:val="24"/>
          <w:lang w:val="es-ES"/>
        </w:rPr>
        <w:t xml:space="preserve">tales </w:t>
      </w:r>
      <w:r w:rsidR="00607CAD">
        <w:rPr>
          <w:rFonts w:eastAsia="Times New Roman" w:cs="Times New Roman"/>
          <w:kern w:val="22"/>
          <w:szCs w:val="24"/>
          <w:lang w:val="es-ES"/>
        </w:rPr>
        <w:t xml:space="preserve">como el trabajo de elaboración de un sistema de medición de la diversidad biológica, emprendido por </w:t>
      </w:r>
      <w:r w:rsidR="004652C0">
        <w:rPr>
          <w:rFonts w:eastAsia="Times New Roman" w:cs="Times New Roman"/>
          <w:kern w:val="22"/>
          <w:szCs w:val="24"/>
          <w:lang w:val="es-ES"/>
        </w:rPr>
        <w:t xml:space="preserve">el </w:t>
      </w:r>
      <w:r w:rsidR="00607CAD">
        <w:rPr>
          <w:rFonts w:eastAsia="Times New Roman" w:cs="Times New Roman"/>
          <w:kern w:val="22"/>
          <w:szCs w:val="24"/>
          <w:lang w:val="es-ES"/>
        </w:rPr>
        <w:t>Cambridge Institute for Sustainability Leadership y asociados, para medir los impactos en la diversidad biológica y las dependencias de la diversidad biológica como sustento del funcionamiento de los ecosistemas y la provisión de servicios y beneficios que son vitales para las actividades empresariales y los modelos de negocios, así como para el bienestar humano en general;</w:t>
      </w:r>
    </w:p>
    <w:p w:rsidR="00607CAD" w:rsidRDefault="005F2EAA">
      <w:pPr>
        <w:pStyle w:val="para2a"/>
        <w:numPr>
          <w:ilvl w:val="0"/>
          <w:numId w:val="25"/>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kern w:val="22"/>
          <w:szCs w:val="24"/>
          <w:lang w:val="es-ES"/>
        </w:rPr>
      </w:pPr>
      <w:r>
        <w:rPr>
          <w:rFonts w:eastAsia="Times New Roman" w:cs="Times New Roman"/>
          <w:kern w:val="22"/>
          <w:szCs w:val="24"/>
          <w:lang w:val="es-ES"/>
        </w:rPr>
        <w:t>d</w:t>
      </w:r>
      <w:r w:rsidR="00607CAD">
        <w:rPr>
          <w:rFonts w:eastAsia="Times New Roman" w:cs="Times New Roman"/>
          <w:kern w:val="22"/>
          <w:szCs w:val="24"/>
          <w:lang w:val="es-ES"/>
        </w:rPr>
        <w:t>esarrollar lo antedicho y tomar en cuenta el estudio mencionado sobre presentación de informes empresariales y los Objetivos de Desarrollo Sostenible</w:t>
      </w:r>
      <w:fldSimple w:instr=" NOTEREF _Ref515274810 \h  \* MERGEFORMAT ">
        <w:r w:rsidR="00607CAD">
          <w:rPr>
            <w:rFonts w:eastAsia="Times New Roman" w:cs="Times New Roman"/>
            <w:kern w:val="22"/>
            <w:szCs w:val="24"/>
            <w:vertAlign w:val="superscript"/>
            <w:lang w:val="es-ES"/>
          </w:rPr>
          <w:t>19</w:t>
        </w:r>
      </w:fldSimple>
      <w:r w:rsidR="00607CAD">
        <w:rPr>
          <w:rFonts w:eastAsia="Times New Roman" w:cs="Times New Roman"/>
          <w:kern w:val="22"/>
          <w:szCs w:val="24"/>
          <w:lang w:val="es-ES"/>
        </w:rPr>
        <w:t>, considerando la elaboración de orientaciones específicas sobre cómo fortalecer los componentes de ecosistema y diversidad biológica en la presentación de informes empresariales teniendo en cuenta la Agenda 2030 para el Desarrollo Sostenible y sus Objetivos de Desarrollo Sostenible;</w:t>
      </w:r>
    </w:p>
    <w:p w:rsidR="00607CAD" w:rsidRDefault="005F2EAA">
      <w:pPr>
        <w:pStyle w:val="para2a"/>
        <w:numPr>
          <w:ilvl w:val="0"/>
          <w:numId w:val="25"/>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kern w:val="22"/>
          <w:szCs w:val="24"/>
          <w:lang w:val="es-ES"/>
        </w:rPr>
      </w:pPr>
      <w:r>
        <w:rPr>
          <w:rFonts w:eastAsia="Times New Roman" w:cs="Times New Roman"/>
          <w:kern w:val="22"/>
          <w:szCs w:val="24"/>
          <w:lang w:val="es-ES"/>
        </w:rPr>
        <w:lastRenderedPageBreak/>
        <w:t>c</w:t>
      </w:r>
      <w:r w:rsidR="00607CAD">
        <w:rPr>
          <w:rFonts w:eastAsia="Times New Roman" w:cs="Times New Roman"/>
          <w:kern w:val="22"/>
          <w:szCs w:val="24"/>
          <w:lang w:val="es-ES"/>
        </w:rPr>
        <w:t xml:space="preserve">onsiderar la elaboración o </w:t>
      </w:r>
      <w:r w:rsidR="00B33B7C">
        <w:rPr>
          <w:rFonts w:eastAsia="Times New Roman" w:cs="Times New Roman"/>
          <w:kern w:val="22"/>
          <w:szCs w:val="24"/>
          <w:lang w:val="es-ES"/>
        </w:rPr>
        <w:t xml:space="preserve">el </w:t>
      </w:r>
      <w:r w:rsidR="00607CAD">
        <w:rPr>
          <w:rFonts w:eastAsia="Times New Roman" w:cs="Times New Roman"/>
          <w:kern w:val="22"/>
          <w:szCs w:val="24"/>
          <w:lang w:val="es-ES"/>
        </w:rPr>
        <w:t>fortalecimiento de indicadores y sistemas de medición para sectores específicos, en particular para aquellos sectores asocia</w:t>
      </w:r>
      <w:r w:rsidR="00B33B7C">
        <w:rPr>
          <w:rFonts w:eastAsia="Times New Roman" w:cs="Times New Roman"/>
          <w:kern w:val="22"/>
          <w:szCs w:val="24"/>
          <w:lang w:val="es-ES"/>
        </w:rPr>
        <w:t>dos</w:t>
      </w:r>
      <w:r w:rsidR="00607CAD">
        <w:rPr>
          <w:rFonts w:eastAsia="Times New Roman" w:cs="Times New Roman"/>
          <w:kern w:val="22"/>
          <w:szCs w:val="24"/>
          <w:lang w:val="es-ES"/>
        </w:rPr>
        <w:t xml:space="preserve"> con niveles altos de impactos en la diversidad biológica y dependencias de la diversidad biológica;</w:t>
      </w:r>
    </w:p>
    <w:p w:rsidR="00607CAD" w:rsidRDefault="005F2EAA">
      <w:pPr>
        <w:pStyle w:val="para2a"/>
        <w:numPr>
          <w:ilvl w:val="0"/>
          <w:numId w:val="25"/>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kern w:val="22"/>
          <w:szCs w:val="24"/>
          <w:lang w:val="es-ES"/>
        </w:rPr>
      </w:pPr>
      <w:r>
        <w:rPr>
          <w:rFonts w:eastAsia="Times New Roman" w:cs="Times New Roman"/>
          <w:kern w:val="22"/>
          <w:szCs w:val="24"/>
          <w:lang w:val="es-ES"/>
        </w:rPr>
        <w:t>c</w:t>
      </w:r>
      <w:r w:rsidR="00607CAD">
        <w:rPr>
          <w:rFonts w:eastAsia="Times New Roman" w:cs="Times New Roman"/>
          <w:kern w:val="22"/>
          <w:szCs w:val="24"/>
          <w:lang w:val="es-ES"/>
        </w:rPr>
        <w:t>ontribuir a los esfuerzos por fortalecer las conexiones entre la labor realizada en materia de contabilidad de los ecosistemas en el marco del Sistema de Contabilidad Ambiental y Económica de las Naciones Unidas (SCAE) y marcos de contabilidad de ecosistemas y diversidad biológica a nivel empresarial;</w:t>
      </w:r>
    </w:p>
    <w:p w:rsidR="00607CAD" w:rsidRDefault="005F2EAA">
      <w:pPr>
        <w:pStyle w:val="para2a"/>
        <w:numPr>
          <w:ilvl w:val="0"/>
          <w:numId w:val="25"/>
        </w:numPr>
        <w:suppressLineNumbers/>
        <w:tabs>
          <w:tab w:val="clear" w:pos="1080"/>
        </w:tabs>
        <w:suppressAutoHyphens/>
        <w:kinsoku w:val="0"/>
        <w:overflowPunct w:val="0"/>
        <w:autoSpaceDE w:val="0"/>
        <w:autoSpaceDN w:val="0"/>
        <w:adjustRightInd w:val="0"/>
        <w:snapToGrid w:val="0"/>
        <w:ind w:left="0" w:firstLine="720"/>
        <w:rPr>
          <w:rFonts w:eastAsia="Times New Roman" w:cs="Times New Roman"/>
          <w:kern w:val="22"/>
          <w:szCs w:val="24"/>
          <w:lang w:val="es-ES"/>
        </w:rPr>
      </w:pPr>
      <w:r>
        <w:rPr>
          <w:rFonts w:eastAsia="Times New Roman" w:cs="Times New Roman"/>
          <w:kern w:val="22"/>
          <w:szCs w:val="24"/>
          <w:lang w:val="es-ES"/>
        </w:rPr>
        <w:t>c</w:t>
      </w:r>
      <w:r w:rsidR="00607CAD">
        <w:rPr>
          <w:rFonts w:eastAsia="Times New Roman" w:cs="Times New Roman"/>
          <w:kern w:val="22"/>
          <w:szCs w:val="24"/>
          <w:lang w:val="es-ES"/>
        </w:rPr>
        <w:t>onsiderar la incorporación de resultados acordados de esta labor como elementos complementarios en directrices pertinentes de presentación de informes y orientaciones a</w:t>
      </w:r>
      <w:r w:rsidR="00B33B7C">
        <w:rPr>
          <w:rFonts w:eastAsia="Times New Roman" w:cs="Times New Roman"/>
          <w:kern w:val="22"/>
          <w:szCs w:val="24"/>
          <w:lang w:val="es-ES"/>
        </w:rPr>
        <w:t>s</w:t>
      </w:r>
      <w:r w:rsidR="00607CAD">
        <w:rPr>
          <w:rFonts w:eastAsia="Times New Roman" w:cs="Times New Roman"/>
          <w:kern w:val="22"/>
          <w:szCs w:val="24"/>
          <w:lang w:val="es-ES"/>
        </w:rPr>
        <w:t>o</w:t>
      </w:r>
      <w:r w:rsidR="00B33B7C">
        <w:rPr>
          <w:rFonts w:eastAsia="Times New Roman" w:cs="Times New Roman"/>
          <w:kern w:val="22"/>
          <w:szCs w:val="24"/>
          <w:lang w:val="es-ES"/>
        </w:rPr>
        <w:t>ci</w:t>
      </w:r>
      <w:r w:rsidR="00607CAD">
        <w:rPr>
          <w:rFonts w:eastAsia="Times New Roman" w:cs="Times New Roman"/>
          <w:kern w:val="22"/>
          <w:szCs w:val="24"/>
          <w:lang w:val="es-ES"/>
        </w:rPr>
        <w:t>adas, tales como los Estándares GRI, tomando en cuenta el trabajo existente en el marco de la Alianza sobre Indicadores de Biodiversidad.</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kern w:val="22"/>
          <w:szCs w:val="24"/>
          <w:lang w:val="es-ES"/>
        </w:rPr>
      </w:pPr>
      <w:r>
        <w:rPr>
          <w:rFonts w:eastAsia="Times New Roman" w:cs="Times New Roman"/>
          <w:bCs w:val="0"/>
          <w:kern w:val="22"/>
          <w:szCs w:val="24"/>
          <w:lang w:val="es-ES"/>
        </w:rPr>
        <w:t xml:space="preserve">El Órgano Subsidiario podría estimar oportuno recomendar que se invite a las Partes y otros Gobiernos en condiciones de hacerlo a brindar apoyo financiero para el trabajo descrito en el párrafo </w:t>
      </w:r>
      <w:r w:rsidR="00B33B7C">
        <w:rPr>
          <w:rFonts w:eastAsia="Times New Roman" w:cs="Times New Roman"/>
          <w:bCs w:val="0"/>
          <w:kern w:val="22"/>
          <w:szCs w:val="24"/>
          <w:lang w:val="es-ES"/>
        </w:rPr>
        <w:fldChar w:fldCharType="begin"/>
      </w:r>
      <w:r w:rsidR="00B33B7C">
        <w:rPr>
          <w:rFonts w:eastAsia="Times New Roman" w:cs="Times New Roman"/>
          <w:bCs w:val="0"/>
          <w:kern w:val="22"/>
          <w:szCs w:val="24"/>
          <w:lang w:val="es-ES"/>
        </w:rPr>
        <w:instrText xml:space="preserve"> REF _Ref515838432 \r \h </w:instrText>
      </w:r>
      <w:r w:rsidR="00B33B7C">
        <w:rPr>
          <w:rFonts w:eastAsia="Times New Roman" w:cs="Times New Roman"/>
          <w:bCs w:val="0"/>
          <w:kern w:val="22"/>
          <w:szCs w:val="24"/>
          <w:lang w:val="es-ES"/>
        </w:rPr>
      </w:r>
      <w:r w:rsidR="00B33B7C">
        <w:rPr>
          <w:rFonts w:eastAsia="Times New Roman" w:cs="Times New Roman"/>
          <w:bCs w:val="0"/>
          <w:kern w:val="22"/>
          <w:szCs w:val="24"/>
          <w:lang w:val="es-ES"/>
        </w:rPr>
        <w:fldChar w:fldCharType="separate"/>
      </w:r>
      <w:r w:rsidR="00B33B7C">
        <w:rPr>
          <w:rFonts w:eastAsia="Times New Roman" w:cs="Times New Roman"/>
          <w:bCs w:val="0"/>
          <w:kern w:val="22"/>
          <w:szCs w:val="24"/>
          <w:lang w:val="es-ES"/>
        </w:rPr>
        <w:t>3</w:t>
      </w:r>
      <w:r w:rsidR="00B33B7C">
        <w:rPr>
          <w:rFonts w:eastAsia="Times New Roman" w:cs="Times New Roman"/>
          <w:bCs w:val="0"/>
          <w:kern w:val="22"/>
          <w:szCs w:val="24"/>
          <w:lang w:val="es-ES"/>
        </w:rPr>
        <w:t>5</w:t>
      </w:r>
      <w:r w:rsidR="00B33B7C">
        <w:rPr>
          <w:rFonts w:eastAsia="Times New Roman" w:cs="Times New Roman"/>
          <w:bCs w:val="0"/>
          <w:kern w:val="22"/>
          <w:szCs w:val="24"/>
          <w:lang w:val="es-ES"/>
        </w:rPr>
        <w:fldChar w:fldCharType="end"/>
      </w:r>
      <w:r w:rsidR="00B33B7C">
        <w:rPr>
          <w:rFonts w:eastAsia="Times New Roman" w:cs="Times New Roman"/>
          <w:bCs w:val="0"/>
          <w:kern w:val="22"/>
          <w:szCs w:val="24"/>
          <w:lang w:val="es-ES"/>
        </w:rPr>
        <w:t xml:space="preserve"> </w:t>
      </w:r>
      <w:r>
        <w:rPr>
          <w:rFonts w:eastAsia="Times New Roman" w:cs="Times New Roman"/>
          <w:bCs w:val="0"/>
          <w:kern w:val="22"/>
          <w:szCs w:val="24"/>
          <w:lang w:val="es-ES"/>
        </w:rPr>
        <w:t>y que se pida a la Secretaria Ejecutiva que apoye y facilite dicho trabajo, con sujeción a la disponibilidad de recursos.</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kern w:val="22"/>
          <w:szCs w:val="24"/>
          <w:lang w:val="es-ES"/>
        </w:rPr>
      </w:pPr>
      <w:r>
        <w:rPr>
          <w:rFonts w:eastAsia="Times New Roman" w:cs="Times New Roman"/>
          <w:bCs w:val="0"/>
          <w:kern w:val="22"/>
          <w:szCs w:val="24"/>
          <w:lang w:val="es-ES"/>
        </w:rPr>
        <w:t>El Órgano Subsidiario podría también estimar oportuno recomendar que se invite a las Partes, otros Gobiernos y organizaciones e iniciativas pertinentes a que, sobre la base del trabajo descrito, fortalezcan los componentes de ecosistema y diversidad biológica en las orientaciones existentes para la presentación de informes empresariales en cuestiones no financieras.</w:t>
      </w:r>
    </w:p>
    <w:p w:rsidR="00607CAD" w:rsidRDefault="00607CAD" w:rsidP="004A68EB">
      <w:pPr>
        <w:pStyle w:val="Para1"/>
        <w:numPr>
          <w:ilvl w:val="0"/>
          <w:numId w:val="28"/>
        </w:numPr>
        <w:suppressLineNumbers/>
        <w:tabs>
          <w:tab w:val="clear" w:pos="0"/>
        </w:tabs>
        <w:suppressAutoHyphens/>
        <w:kinsoku w:val="0"/>
        <w:overflowPunct w:val="0"/>
        <w:autoSpaceDE w:val="0"/>
        <w:autoSpaceDN w:val="0"/>
        <w:adjustRightInd w:val="0"/>
        <w:snapToGrid w:val="0"/>
        <w:ind w:left="0" w:firstLine="0"/>
        <w:rPr>
          <w:rFonts w:eastAsia="Times New Roman" w:cs="Times New Roman"/>
          <w:bCs w:val="0"/>
          <w:szCs w:val="24"/>
          <w:lang w:val="es-ES"/>
        </w:rPr>
      </w:pPr>
      <w:r>
        <w:rPr>
          <w:rFonts w:eastAsia="Times New Roman" w:cs="Times New Roman"/>
          <w:bCs w:val="0"/>
          <w:kern w:val="22"/>
          <w:szCs w:val="24"/>
          <w:lang w:val="es-ES"/>
        </w:rPr>
        <w:t xml:space="preserve">El Órgano Subsidiario podría estimar oportuno además recomendar que se invite a las iniciativas y organizaciones asociadas antes mencionadas a que presenten información a la Secretaria Ejecutiva sobre los avances logrados, las lecciones aprendidas y los obstáculos encontrados en esta labor, así como los posibles modos y medios de superar tales obstáculos, incluido como posibles medidas en forma de metas y sistemas de medición para el sector privado que puedan incluirse en el marco mundial de </w:t>
      </w:r>
      <w:r w:rsidR="008D2BB1">
        <w:rPr>
          <w:rFonts w:eastAsia="Times New Roman" w:cs="Times New Roman"/>
          <w:bCs w:val="0"/>
          <w:kern w:val="22"/>
          <w:szCs w:val="24"/>
          <w:lang w:val="es-ES"/>
        </w:rPr>
        <w:t xml:space="preserve">la </w:t>
      </w:r>
      <w:r>
        <w:rPr>
          <w:rFonts w:eastAsia="Times New Roman" w:cs="Times New Roman"/>
          <w:bCs w:val="0"/>
          <w:kern w:val="22"/>
          <w:szCs w:val="24"/>
          <w:lang w:val="es-ES"/>
        </w:rPr>
        <w:t>diversidad biológica p</w:t>
      </w:r>
      <w:r w:rsidR="008D2BB1">
        <w:rPr>
          <w:rFonts w:eastAsia="Times New Roman" w:cs="Times New Roman"/>
          <w:bCs w:val="0"/>
          <w:kern w:val="22"/>
          <w:szCs w:val="24"/>
          <w:lang w:val="es-ES"/>
        </w:rPr>
        <w:t>osterio</w:t>
      </w:r>
      <w:r>
        <w:rPr>
          <w:rFonts w:eastAsia="Times New Roman" w:cs="Times New Roman"/>
          <w:bCs w:val="0"/>
          <w:kern w:val="22"/>
          <w:szCs w:val="24"/>
          <w:lang w:val="es-ES"/>
        </w:rPr>
        <w:t>r</w:t>
      </w:r>
      <w:r w:rsidR="008D2BB1">
        <w:rPr>
          <w:rFonts w:eastAsia="Times New Roman" w:cs="Times New Roman"/>
          <w:bCs w:val="0"/>
          <w:kern w:val="22"/>
          <w:szCs w:val="24"/>
          <w:lang w:val="es-ES"/>
        </w:rPr>
        <w:t xml:space="preserve"> </w:t>
      </w:r>
      <w:r>
        <w:rPr>
          <w:rFonts w:eastAsia="Times New Roman" w:cs="Times New Roman"/>
          <w:bCs w:val="0"/>
          <w:kern w:val="22"/>
          <w:szCs w:val="24"/>
          <w:lang w:val="es-ES"/>
        </w:rPr>
        <w:t>a 2020. El Órgano Subsidiario podría asimismo estimar oportuno recomendar que se fortalezca la participación directa del sector empresarial en el logro de los tres objetivos del Convenio en el próximo decenio. Se podría pedir a la Secretaria Ejecutiva que recopile y analice la información que se presente y que, en consulta con la Alianza Mundial de Negocios y Biodiversidad, prepare un informe de los progresos para consideración del Órgano Subsidiario sobre la Aplicación en su tercera reunión.</w:t>
      </w:r>
    </w:p>
    <w:p w:rsidR="00607CAD" w:rsidRDefault="00607CAD">
      <w:pPr>
        <w:pStyle w:val="Para1"/>
        <w:numPr>
          <w:ilvl w:val="0"/>
          <w:numId w:val="0"/>
        </w:numPr>
        <w:suppressLineNumbers/>
        <w:suppressAutoHyphens/>
        <w:kinsoku w:val="0"/>
        <w:overflowPunct w:val="0"/>
        <w:autoSpaceDE w:val="0"/>
        <w:autoSpaceDN w:val="0"/>
        <w:adjustRightInd w:val="0"/>
        <w:snapToGrid w:val="0"/>
        <w:spacing w:before="0"/>
        <w:jc w:val="center"/>
        <w:rPr>
          <w:rFonts w:eastAsia="Times New Roman" w:cs="Times New Roman"/>
          <w:bCs w:val="0"/>
          <w:i/>
          <w:kern w:val="22"/>
          <w:szCs w:val="24"/>
          <w:lang w:val="es-ES"/>
        </w:rPr>
      </w:pPr>
      <w:r>
        <w:rPr>
          <w:rFonts w:eastAsia="Times New Roman" w:cs="Times New Roman"/>
          <w:bCs w:val="0"/>
          <w:kern w:val="22"/>
          <w:szCs w:val="24"/>
          <w:lang w:val="es-ES"/>
        </w:rPr>
        <w:br w:type="page"/>
      </w:r>
      <w:r>
        <w:rPr>
          <w:rFonts w:eastAsia="Times New Roman" w:cs="Times New Roman"/>
          <w:bCs w:val="0"/>
          <w:i/>
          <w:kern w:val="22"/>
          <w:szCs w:val="24"/>
          <w:lang w:val="es-ES"/>
        </w:rPr>
        <w:lastRenderedPageBreak/>
        <w:t>Anexo I</w:t>
      </w:r>
    </w:p>
    <w:p w:rsidR="00607CAD" w:rsidRDefault="00607CAD">
      <w:pPr>
        <w:pStyle w:val="Heading1"/>
        <w:suppressLineNumbers/>
        <w:tabs>
          <w:tab w:val="clear" w:pos="720"/>
        </w:tabs>
        <w:suppressAutoHyphens/>
        <w:kinsoku w:val="0"/>
        <w:overflowPunct w:val="0"/>
        <w:autoSpaceDE w:val="0"/>
        <w:autoSpaceDN w:val="0"/>
        <w:adjustRightInd w:val="0"/>
        <w:snapToGrid w:val="0"/>
        <w:spacing w:before="120"/>
        <w:rPr>
          <w:rFonts w:eastAsia="Times New Roman"/>
          <w:kern w:val="22"/>
          <w:lang w:val="es-ES"/>
        </w:rPr>
      </w:pPr>
      <w:r>
        <w:rPr>
          <w:rFonts w:eastAsia="Times New Roman"/>
          <w:kern w:val="22"/>
          <w:lang w:val="es-ES"/>
        </w:rPr>
        <w:t>Versión revisada de la tipología de acciones PARA LA PRESENTACIÓN DE INFORMES SOBRE DIVERSIDAD BIOLÓGICA</w:t>
      </w:r>
    </w:p>
    <w:p w:rsidR="00607CAD" w:rsidRDefault="00607CAD">
      <w:pPr>
        <w:suppressLineNumbers/>
        <w:suppressAutoHyphens/>
        <w:kinsoku w:val="0"/>
        <w:overflowPunct w:val="0"/>
        <w:autoSpaceDE w:val="0"/>
        <w:autoSpaceDN w:val="0"/>
        <w:adjustRightInd w:val="0"/>
        <w:snapToGrid w:val="0"/>
        <w:jc w:val="left"/>
        <w:rPr>
          <w:rFonts w:eastAsia="Times New Roman"/>
          <w:kern w:val="22"/>
          <w:lang w:val="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0"/>
        <w:gridCol w:w="5016"/>
        <w:gridCol w:w="2544"/>
        <w:gridCol w:w="1191"/>
      </w:tblGrid>
      <w:tr w:rsidR="00607CAD" w:rsidTr="002E422E">
        <w:trPr>
          <w:trHeight w:val="440"/>
          <w:jc w:val="center"/>
        </w:trPr>
        <w:tc>
          <w:tcPr>
            <w:tcW w:w="1450" w:type="dxa"/>
            <w:vAlign w:val="center"/>
          </w:tcPr>
          <w:p w:rsidR="00607CAD" w:rsidRDefault="00607CAD" w:rsidP="002E422E">
            <w:pPr>
              <w:suppressLineNumbers/>
              <w:suppressAutoHyphens/>
              <w:kinsoku w:val="0"/>
              <w:overflowPunct w:val="0"/>
              <w:autoSpaceDE w:val="0"/>
              <w:autoSpaceDN w:val="0"/>
              <w:adjustRightInd w:val="0"/>
              <w:snapToGrid w:val="0"/>
              <w:jc w:val="center"/>
              <w:rPr>
                <w:rFonts w:eastAsia="Times New Roman"/>
                <w:i/>
                <w:kern w:val="22"/>
                <w:lang w:val="es-ES"/>
              </w:rPr>
            </w:pPr>
            <w:r>
              <w:rPr>
                <w:rFonts w:eastAsia="Times New Roman"/>
                <w:i/>
                <w:kern w:val="22"/>
                <w:lang w:val="es-ES"/>
              </w:rPr>
              <w:t>Tema</w:t>
            </w:r>
          </w:p>
        </w:tc>
        <w:tc>
          <w:tcPr>
            <w:tcW w:w="5016" w:type="dxa"/>
            <w:tcMar>
              <w:left w:w="28" w:type="dxa"/>
              <w:right w:w="28" w:type="dxa"/>
            </w:tcMar>
            <w:vAlign w:val="center"/>
          </w:tcPr>
          <w:p w:rsidR="00607CAD" w:rsidRDefault="00607CAD" w:rsidP="002E422E">
            <w:pPr>
              <w:suppressLineNumbers/>
              <w:suppressAutoHyphens/>
              <w:kinsoku w:val="0"/>
              <w:overflowPunct w:val="0"/>
              <w:autoSpaceDE w:val="0"/>
              <w:autoSpaceDN w:val="0"/>
              <w:adjustRightInd w:val="0"/>
              <w:snapToGrid w:val="0"/>
              <w:jc w:val="center"/>
              <w:rPr>
                <w:rFonts w:eastAsia="Times New Roman"/>
                <w:i/>
                <w:kern w:val="22"/>
                <w:lang w:val="es-ES"/>
              </w:rPr>
            </w:pPr>
            <w:r>
              <w:rPr>
                <w:rFonts w:eastAsia="Times New Roman"/>
                <w:i/>
                <w:kern w:val="22"/>
                <w:lang w:val="es-ES"/>
              </w:rPr>
              <w:t>Tópicos principales</w:t>
            </w:r>
          </w:p>
          <w:p w:rsidR="00607CAD" w:rsidRPr="008D2BB1" w:rsidRDefault="00607CAD" w:rsidP="002E422E">
            <w:pPr>
              <w:suppressLineNumbers/>
              <w:suppressAutoHyphens/>
              <w:kinsoku w:val="0"/>
              <w:overflowPunct w:val="0"/>
              <w:autoSpaceDE w:val="0"/>
              <w:autoSpaceDN w:val="0"/>
              <w:adjustRightInd w:val="0"/>
              <w:snapToGrid w:val="0"/>
              <w:jc w:val="center"/>
              <w:rPr>
                <w:rFonts w:ascii="Times New Roman Italic" w:eastAsia="Times New Roman" w:hAnsi="Times New Roman Italic"/>
                <w:spacing w:val="-4"/>
              </w:rPr>
            </w:pPr>
            <w:r w:rsidRPr="008D2BB1">
              <w:rPr>
                <w:rFonts w:ascii="Times New Roman Italic" w:eastAsia="Times New Roman" w:hAnsi="Times New Roman Italic"/>
                <w:i/>
                <w:spacing w:val="-4"/>
                <w:kern w:val="22"/>
                <w:lang w:val="es-ES"/>
              </w:rPr>
              <w:t>(véanse los ejemplos de buenas prácticas en el anexo II)</w:t>
            </w:r>
          </w:p>
        </w:tc>
        <w:tc>
          <w:tcPr>
            <w:tcW w:w="2544" w:type="dxa"/>
            <w:tcMar>
              <w:top w:w="43" w:type="dxa"/>
              <w:left w:w="28" w:type="dxa"/>
              <w:bottom w:w="43" w:type="dxa"/>
              <w:right w:w="28" w:type="dxa"/>
            </w:tcMar>
            <w:vAlign w:val="center"/>
          </w:tcPr>
          <w:p w:rsidR="00607CAD" w:rsidRDefault="00607CAD" w:rsidP="002E422E">
            <w:pPr>
              <w:suppressLineNumbers/>
              <w:suppressAutoHyphens/>
              <w:kinsoku w:val="0"/>
              <w:overflowPunct w:val="0"/>
              <w:autoSpaceDE w:val="0"/>
              <w:autoSpaceDN w:val="0"/>
              <w:adjustRightInd w:val="0"/>
              <w:snapToGrid w:val="0"/>
              <w:jc w:val="center"/>
              <w:rPr>
                <w:rFonts w:eastAsia="Times New Roman"/>
              </w:rPr>
            </w:pPr>
            <w:r>
              <w:rPr>
                <w:rFonts w:eastAsia="Times New Roman"/>
                <w:i/>
                <w:kern w:val="22"/>
                <w:lang w:val="es-ES"/>
              </w:rPr>
              <w:t>Metas de Aichi</w:t>
            </w:r>
          </w:p>
        </w:tc>
        <w:tc>
          <w:tcPr>
            <w:tcW w:w="1191" w:type="dxa"/>
            <w:tcMar>
              <w:top w:w="43" w:type="dxa"/>
              <w:left w:w="57" w:type="dxa"/>
              <w:bottom w:w="43" w:type="dxa"/>
              <w:right w:w="57" w:type="dxa"/>
            </w:tcMar>
            <w:vAlign w:val="center"/>
          </w:tcPr>
          <w:p w:rsidR="00607CAD" w:rsidRDefault="00607CAD" w:rsidP="002E422E">
            <w:pPr>
              <w:suppressLineNumbers/>
              <w:suppressAutoHyphens/>
              <w:kinsoku w:val="0"/>
              <w:overflowPunct w:val="0"/>
              <w:autoSpaceDE w:val="0"/>
              <w:autoSpaceDN w:val="0"/>
              <w:adjustRightInd w:val="0"/>
              <w:snapToGrid w:val="0"/>
              <w:jc w:val="center"/>
              <w:rPr>
                <w:rFonts w:eastAsia="Times New Roman"/>
              </w:rPr>
            </w:pPr>
            <w:r w:rsidRPr="004A68EB">
              <w:rPr>
                <w:rFonts w:ascii="Times New Roman Italic" w:eastAsia="Times New Roman" w:hAnsi="Times New Roman Italic"/>
                <w:i/>
                <w:spacing w:val="-4"/>
                <w:kern w:val="22"/>
                <w:lang w:val="es-ES"/>
              </w:rPr>
              <w:t>Indicadores</w:t>
            </w:r>
            <w:r>
              <w:rPr>
                <w:rFonts w:eastAsia="Times New Roman"/>
                <w:i/>
                <w:kern w:val="22"/>
                <w:lang w:val="es-ES"/>
              </w:rPr>
              <w:t xml:space="preserve"> GRI</w:t>
            </w:r>
          </w:p>
        </w:tc>
      </w:tr>
      <w:tr w:rsidR="00607CAD" w:rsidTr="008D2BB1">
        <w:trPr>
          <w:jc w:val="center"/>
        </w:trPr>
        <w:tc>
          <w:tcPr>
            <w:tcW w:w="1450"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center"/>
              <w:rPr>
                <w:rFonts w:eastAsia="Times New Roman"/>
              </w:rPr>
            </w:pPr>
            <w:r>
              <w:rPr>
                <w:rFonts w:eastAsia="Times New Roman"/>
                <w:kern w:val="22"/>
                <w:lang w:val="es-ES"/>
              </w:rPr>
              <w:t>Compromiso</w:t>
            </w:r>
          </w:p>
        </w:tc>
        <w:tc>
          <w:tcPr>
            <w:tcW w:w="5016" w:type="dxa"/>
            <w:tcMar>
              <w:top w:w="43" w:type="dxa"/>
              <w:left w:w="115" w:type="dxa"/>
              <w:bottom w:w="43" w:type="dxa"/>
              <w:right w:w="115" w:type="dxa"/>
            </w:tcMar>
          </w:tcPr>
          <w:p w:rsidR="00607CAD" w:rsidRPr="008D2BB1" w:rsidRDefault="00607CAD" w:rsidP="00423E8A">
            <w:pPr>
              <w:numPr>
                <w:ilvl w:val="0"/>
                <w:numId w:val="12"/>
              </w:numPr>
              <w:suppressLineNumbers/>
              <w:suppressAutoHyphens/>
              <w:kinsoku w:val="0"/>
              <w:overflowPunct w:val="0"/>
              <w:autoSpaceDE w:val="0"/>
              <w:autoSpaceDN w:val="0"/>
              <w:adjustRightInd w:val="0"/>
              <w:snapToGrid w:val="0"/>
              <w:ind w:left="245" w:hanging="245"/>
              <w:jc w:val="left"/>
              <w:rPr>
                <w:rFonts w:eastAsia="Times New Roman"/>
                <w:spacing w:val="-2"/>
                <w:kern w:val="22"/>
                <w:lang w:val="es-ES"/>
              </w:rPr>
            </w:pPr>
            <w:r w:rsidRPr="008D2BB1">
              <w:rPr>
                <w:rFonts w:eastAsia="Times New Roman"/>
                <w:spacing w:val="-2"/>
                <w:kern w:val="22"/>
                <w:lang w:val="es-ES"/>
              </w:rPr>
              <w:t>La diversidad biológica aparece como tema material</w:t>
            </w:r>
          </w:p>
          <w:p w:rsidR="00607CAD" w:rsidRDefault="00607CAD" w:rsidP="00423E8A">
            <w:pPr>
              <w:numPr>
                <w:ilvl w:val="0"/>
                <w:numId w:val="12"/>
              </w:numPr>
              <w:suppressLineNumbers/>
              <w:suppressAutoHyphens/>
              <w:kinsoku w:val="0"/>
              <w:overflowPunct w:val="0"/>
              <w:autoSpaceDE w:val="0"/>
              <w:autoSpaceDN w:val="0"/>
              <w:adjustRightInd w:val="0"/>
              <w:snapToGrid w:val="0"/>
              <w:ind w:left="245" w:hanging="245"/>
              <w:jc w:val="left"/>
              <w:rPr>
                <w:rFonts w:eastAsia="Times New Roman"/>
                <w:kern w:val="22"/>
                <w:lang w:val="es-ES"/>
              </w:rPr>
            </w:pPr>
            <w:r>
              <w:rPr>
                <w:rFonts w:eastAsia="Times New Roman"/>
                <w:kern w:val="22"/>
                <w:lang w:val="es-ES"/>
              </w:rPr>
              <w:t>Existencia de una declaración de política de diversidad biológica</w:t>
            </w:r>
          </w:p>
          <w:p w:rsidR="00607CAD" w:rsidRDefault="00607CAD" w:rsidP="00423E8A">
            <w:pPr>
              <w:numPr>
                <w:ilvl w:val="0"/>
                <w:numId w:val="12"/>
              </w:numPr>
              <w:suppressLineNumbers/>
              <w:suppressAutoHyphens/>
              <w:kinsoku w:val="0"/>
              <w:overflowPunct w:val="0"/>
              <w:autoSpaceDE w:val="0"/>
              <w:autoSpaceDN w:val="0"/>
              <w:adjustRightInd w:val="0"/>
              <w:snapToGrid w:val="0"/>
              <w:ind w:left="245" w:hanging="245"/>
              <w:jc w:val="left"/>
              <w:rPr>
                <w:rFonts w:eastAsia="Times New Roman"/>
                <w:kern w:val="22"/>
                <w:lang w:val="es-ES"/>
              </w:rPr>
            </w:pPr>
            <w:r>
              <w:rPr>
                <w:rFonts w:eastAsia="Times New Roman"/>
                <w:kern w:val="22"/>
                <w:lang w:val="es-ES"/>
              </w:rPr>
              <w:t>Se informa sobre enfoque de gestión para la diversidad biológica</w:t>
            </w:r>
          </w:p>
          <w:p w:rsidR="00607CAD" w:rsidRDefault="00607CAD" w:rsidP="00423E8A">
            <w:pPr>
              <w:numPr>
                <w:ilvl w:val="0"/>
                <w:numId w:val="12"/>
              </w:numPr>
              <w:suppressLineNumbers/>
              <w:suppressAutoHyphens/>
              <w:kinsoku w:val="0"/>
              <w:overflowPunct w:val="0"/>
              <w:autoSpaceDE w:val="0"/>
              <w:autoSpaceDN w:val="0"/>
              <w:adjustRightInd w:val="0"/>
              <w:snapToGrid w:val="0"/>
              <w:ind w:left="245" w:hanging="245"/>
              <w:jc w:val="left"/>
              <w:rPr>
                <w:rFonts w:eastAsia="Times New Roman"/>
              </w:rPr>
            </w:pPr>
            <w:r>
              <w:rPr>
                <w:rFonts w:eastAsia="Times New Roman"/>
                <w:kern w:val="22"/>
                <w:lang w:val="es-ES"/>
              </w:rPr>
              <w:t>Los informes incluyen una carta del gerente general en la que se refiere específicamente a la diversidad biológica</w:t>
            </w:r>
          </w:p>
        </w:tc>
        <w:tc>
          <w:tcPr>
            <w:tcW w:w="2544" w:type="dxa"/>
            <w:tcMar>
              <w:top w:w="43" w:type="dxa"/>
              <w:left w:w="57" w:type="dxa"/>
              <w:bottom w:w="43" w:type="dxa"/>
              <w:right w:w="28" w:type="dxa"/>
            </w:tcMa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color w:val="000000"/>
                <w:kern w:val="22"/>
                <w:lang w:val="es-ES"/>
              </w:rPr>
              <w:t>Objetivo estratégico “A”</w:t>
            </w:r>
            <w:r>
              <w:rPr>
                <w:rFonts w:eastAsia="Times New Roman"/>
                <w:color w:val="000000"/>
                <w:kern w:val="22"/>
                <w:vertAlign w:val="superscript"/>
                <w:lang w:val="es-ES"/>
              </w:rPr>
              <w:footnoteReference w:id="36"/>
            </w:r>
            <w:r>
              <w:rPr>
                <w:rFonts w:eastAsia="Times New Roman"/>
                <w:color w:val="000000"/>
                <w:kern w:val="22"/>
                <w:lang w:val="es-ES"/>
              </w:rPr>
              <w:t xml:space="preserve"> y Objetivo estratégico “E”</w:t>
            </w:r>
          </w:p>
          <w:p w:rsidR="00607CAD" w:rsidRDefault="00607CAD">
            <w:pPr>
              <w:suppressLineNumbers/>
              <w:suppressAutoHyphens/>
              <w:kinsoku w:val="0"/>
              <w:overflowPunct w:val="0"/>
              <w:autoSpaceDE w:val="0"/>
              <w:autoSpaceDN w:val="0"/>
              <w:adjustRightInd w:val="0"/>
              <w:snapToGrid w:val="0"/>
              <w:jc w:val="left"/>
              <w:rPr>
                <w:rFonts w:eastAsia="Times New Roman"/>
                <w:kern w:val="22"/>
                <w:lang w:val="es-ES"/>
              </w:rPr>
            </w:pPr>
          </w:p>
        </w:tc>
        <w:tc>
          <w:tcPr>
            <w:tcW w:w="1191" w:type="dxa"/>
            <w:tcMar>
              <w:top w:w="43" w:type="dxa"/>
              <w:left w:w="113" w:type="dxa"/>
              <w:bottom w:w="43" w:type="dxa"/>
              <w:right w:w="113" w:type="dxa"/>
            </w:tcMa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kern w:val="22"/>
                <w:lang w:val="es-ES"/>
              </w:rPr>
              <w:t>Contenido de Gestión GRI 103</w:t>
            </w:r>
          </w:p>
        </w:tc>
      </w:tr>
      <w:tr w:rsidR="00607CAD" w:rsidTr="008D2BB1">
        <w:trPr>
          <w:jc w:val="center"/>
        </w:trPr>
        <w:tc>
          <w:tcPr>
            <w:tcW w:w="1450"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center"/>
              <w:rPr>
                <w:rFonts w:eastAsia="Times New Roman"/>
              </w:rPr>
            </w:pPr>
            <w:r>
              <w:rPr>
                <w:rFonts w:eastAsia="Times New Roman"/>
                <w:kern w:val="22"/>
                <w:lang w:val="es-ES"/>
              </w:rPr>
              <w:t>Participación</w:t>
            </w:r>
          </w:p>
        </w:tc>
        <w:tc>
          <w:tcPr>
            <w:tcW w:w="5016" w:type="dxa"/>
            <w:tcMar>
              <w:top w:w="43" w:type="dxa"/>
              <w:left w:w="115" w:type="dxa"/>
              <w:bottom w:w="43" w:type="dxa"/>
              <w:right w:w="115" w:type="dxa"/>
            </w:tcMar>
          </w:tcPr>
          <w:p w:rsidR="00607CAD" w:rsidRDefault="00607CAD" w:rsidP="00423E8A">
            <w:pPr>
              <w:numPr>
                <w:ilvl w:val="0"/>
                <w:numId w:val="15"/>
              </w:numPr>
              <w:suppressLineNumbers/>
              <w:suppressAutoHyphens/>
              <w:kinsoku w:val="0"/>
              <w:overflowPunct w:val="0"/>
              <w:autoSpaceDE w:val="0"/>
              <w:autoSpaceDN w:val="0"/>
              <w:adjustRightInd w:val="0"/>
              <w:snapToGrid w:val="0"/>
              <w:ind w:left="245" w:hanging="245"/>
              <w:jc w:val="left"/>
              <w:rPr>
                <w:rFonts w:eastAsia="Times New Roman"/>
                <w:kern w:val="22"/>
                <w:lang w:val="es-ES"/>
              </w:rPr>
            </w:pPr>
            <w:r>
              <w:rPr>
                <w:rFonts w:eastAsia="Times New Roman"/>
                <w:kern w:val="22"/>
                <w:lang w:val="es-ES"/>
              </w:rPr>
              <w:t>Acción tomada para abordar los impactos en la diversidad biológica y los riesgos y oportunidades</w:t>
            </w:r>
            <w:r w:rsidR="008D2BB1">
              <w:rPr>
                <w:rFonts w:eastAsia="Times New Roman"/>
                <w:kern w:val="22"/>
                <w:lang w:val="es-ES"/>
              </w:rPr>
              <w:t xml:space="preserve"> para la diversidad biológica</w:t>
            </w:r>
          </w:p>
          <w:p w:rsidR="00607CAD" w:rsidRDefault="00607CAD" w:rsidP="00423E8A">
            <w:pPr>
              <w:numPr>
                <w:ilvl w:val="0"/>
                <w:numId w:val="10"/>
              </w:numPr>
              <w:suppressLineNumbers/>
              <w:suppressAutoHyphens/>
              <w:kinsoku w:val="0"/>
              <w:overflowPunct w:val="0"/>
              <w:autoSpaceDE w:val="0"/>
              <w:autoSpaceDN w:val="0"/>
              <w:adjustRightInd w:val="0"/>
              <w:snapToGrid w:val="0"/>
              <w:ind w:left="245" w:hanging="245"/>
              <w:jc w:val="left"/>
              <w:rPr>
                <w:rFonts w:eastAsia="Times New Roman"/>
                <w:kern w:val="22"/>
                <w:lang w:val="es-ES"/>
              </w:rPr>
            </w:pPr>
            <w:r>
              <w:rPr>
                <w:rFonts w:eastAsia="Times New Roman"/>
                <w:kern w:val="22"/>
                <w:lang w:val="es-ES"/>
              </w:rPr>
              <w:t>Ejemplos específicos en los que se da participación a los interesados directos, por ej., proveedores</w:t>
            </w:r>
          </w:p>
          <w:p w:rsidR="00607CAD" w:rsidRDefault="00607CAD" w:rsidP="00423E8A">
            <w:pPr>
              <w:numPr>
                <w:ilvl w:val="0"/>
                <w:numId w:val="10"/>
              </w:numPr>
              <w:suppressLineNumbers/>
              <w:suppressAutoHyphens/>
              <w:kinsoku w:val="0"/>
              <w:overflowPunct w:val="0"/>
              <w:autoSpaceDE w:val="0"/>
              <w:autoSpaceDN w:val="0"/>
              <w:adjustRightInd w:val="0"/>
              <w:snapToGrid w:val="0"/>
              <w:ind w:left="245" w:hanging="245"/>
              <w:jc w:val="left"/>
              <w:rPr>
                <w:rFonts w:eastAsia="Times New Roman"/>
                <w:kern w:val="22"/>
                <w:lang w:val="es-ES"/>
              </w:rPr>
            </w:pPr>
            <w:r>
              <w:rPr>
                <w:rFonts w:eastAsia="Times New Roman"/>
                <w:kern w:val="22"/>
                <w:lang w:val="es-ES"/>
              </w:rPr>
              <w:t>Asociaciones con ONG y otras organizaciones sobre proyectos relacionados con la diversidad biológica</w:t>
            </w:r>
          </w:p>
          <w:p w:rsidR="00607CAD" w:rsidRDefault="00607CAD" w:rsidP="008D2BB1">
            <w:pPr>
              <w:numPr>
                <w:ilvl w:val="0"/>
                <w:numId w:val="10"/>
              </w:numPr>
              <w:suppressLineNumbers/>
              <w:suppressAutoHyphens/>
              <w:kinsoku w:val="0"/>
              <w:overflowPunct w:val="0"/>
              <w:autoSpaceDE w:val="0"/>
              <w:autoSpaceDN w:val="0"/>
              <w:adjustRightInd w:val="0"/>
              <w:snapToGrid w:val="0"/>
              <w:ind w:left="245" w:hanging="245"/>
              <w:jc w:val="left"/>
              <w:rPr>
                <w:rFonts w:eastAsia="Times New Roman"/>
                <w:kern w:val="22"/>
                <w:lang w:val="es-ES"/>
              </w:rPr>
            </w:pPr>
            <w:r>
              <w:rPr>
                <w:rFonts w:eastAsia="Times New Roman"/>
                <w:kern w:val="22"/>
                <w:lang w:val="es-ES"/>
              </w:rPr>
              <w:t>Financiación de proyectos específicos relacionados con la diversidad biológica</w:t>
            </w:r>
          </w:p>
        </w:tc>
        <w:tc>
          <w:tcPr>
            <w:tcW w:w="2544" w:type="dxa"/>
            <w:tcMar>
              <w:top w:w="43" w:type="dxa"/>
              <w:left w:w="57" w:type="dxa"/>
              <w:bottom w:w="43" w:type="dxa"/>
              <w:right w:w="28" w:type="dxa"/>
            </w:tcMar>
          </w:tcPr>
          <w:p w:rsidR="00607CAD" w:rsidRPr="00423E8A" w:rsidRDefault="00607CAD">
            <w:pPr>
              <w:suppressLineNumbers/>
              <w:suppressAutoHyphens/>
              <w:kinsoku w:val="0"/>
              <w:overflowPunct w:val="0"/>
              <w:autoSpaceDE w:val="0"/>
              <w:autoSpaceDN w:val="0"/>
              <w:adjustRightInd w:val="0"/>
              <w:snapToGrid w:val="0"/>
              <w:jc w:val="left"/>
              <w:rPr>
                <w:rFonts w:eastAsia="Times New Roman"/>
                <w:spacing w:val="-2"/>
              </w:rPr>
            </w:pPr>
            <w:r w:rsidRPr="00423E8A">
              <w:rPr>
                <w:rFonts w:eastAsia="Times New Roman"/>
                <w:spacing w:val="-2"/>
                <w:kern w:val="22"/>
                <w:lang w:val="es-ES"/>
              </w:rPr>
              <w:t>Objetivo estratégico “A”, Objetivo estratégico “B”</w:t>
            </w:r>
            <w:r w:rsidRPr="00423E8A">
              <w:rPr>
                <w:rFonts w:eastAsia="Times New Roman"/>
                <w:spacing w:val="-2"/>
                <w:kern w:val="22"/>
                <w:vertAlign w:val="superscript"/>
                <w:lang w:val="es-ES"/>
              </w:rPr>
              <w:t xml:space="preserve"> </w:t>
            </w:r>
            <w:r w:rsidRPr="00423E8A">
              <w:rPr>
                <w:rFonts w:eastAsia="Times New Roman"/>
                <w:spacing w:val="-2"/>
                <w:kern w:val="22"/>
                <w:vertAlign w:val="superscript"/>
                <w:lang w:val="es-ES"/>
              </w:rPr>
              <w:footnoteReference w:id="37"/>
            </w:r>
            <w:r w:rsidRPr="00423E8A">
              <w:rPr>
                <w:rFonts w:eastAsia="Times New Roman"/>
                <w:spacing w:val="-2"/>
                <w:kern w:val="22"/>
                <w:lang w:val="es-ES"/>
              </w:rPr>
              <w:t>, Objetivo estratégico “C”</w:t>
            </w:r>
            <w:r w:rsidRPr="00423E8A">
              <w:rPr>
                <w:rFonts w:eastAsia="Times New Roman"/>
                <w:spacing w:val="-2"/>
                <w:kern w:val="22"/>
                <w:vertAlign w:val="superscript"/>
                <w:lang w:val="es-ES"/>
              </w:rPr>
              <w:footnoteReference w:id="38"/>
            </w:r>
            <w:r w:rsidRPr="00423E8A">
              <w:rPr>
                <w:rFonts w:eastAsia="Times New Roman"/>
                <w:spacing w:val="-2"/>
                <w:kern w:val="22"/>
                <w:lang w:val="es-ES"/>
              </w:rPr>
              <w:t>, Objetivo estratégico “D”</w:t>
            </w:r>
            <w:r w:rsidRPr="00423E8A">
              <w:rPr>
                <w:rFonts w:eastAsia="Times New Roman"/>
                <w:spacing w:val="-2"/>
                <w:kern w:val="22"/>
                <w:vertAlign w:val="superscript"/>
                <w:lang w:val="es-ES"/>
              </w:rPr>
              <w:t xml:space="preserve"> </w:t>
            </w:r>
            <w:r w:rsidRPr="00423E8A">
              <w:rPr>
                <w:rFonts w:eastAsia="Times New Roman"/>
                <w:spacing w:val="-2"/>
                <w:kern w:val="22"/>
                <w:vertAlign w:val="superscript"/>
                <w:lang w:val="es-ES"/>
              </w:rPr>
              <w:footnoteReference w:id="39"/>
            </w:r>
            <w:r w:rsidRPr="00423E8A">
              <w:rPr>
                <w:rFonts w:eastAsia="Times New Roman"/>
                <w:spacing w:val="-2"/>
                <w:kern w:val="22"/>
                <w:lang w:val="es-ES"/>
              </w:rPr>
              <w:t xml:space="preserve"> y </w:t>
            </w:r>
            <w:r w:rsidRPr="00E32570">
              <w:rPr>
                <w:rFonts w:eastAsia="Times New Roman"/>
                <w:spacing w:val="-4"/>
                <w:kern w:val="22"/>
                <w:lang w:val="es-ES"/>
              </w:rPr>
              <w:t>Objetivo estratégico “E”</w:t>
            </w:r>
            <w:r w:rsidRPr="00E32570">
              <w:rPr>
                <w:rFonts w:eastAsia="Times New Roman"/>
                <w:spacing w:val="-4"/>
                <w:kern w:val="22"/>
                <w:vertAlign w:val="superscript"/>
                <w:lang w:val="es-ES"/>
              </w:rPr>
              <w:t xml:space="preserve"> </w:t>
            </w:r>
            <w:r w:rsidRPr="00E32570">
              <w:rPr>
                <w:rFonts w:eastAsia="Times New Roman"/>
                <w:spacing w:val="-4"/>
                <w:kern w:val="22"/>
                <w:vertAlign w:val="superscript"/>
                <w:lang w:val="es-ES"/>
              </w:rPr>
              <w:footnoteReference w:id="40"/>
            </w:r>
          </w:p>
          <w:p w:rsidR="00607CAD" w:rsidRDefault="00607CAD">
            <w:pPr>
              <w:suppressLineNumbers/>
              <w:suppressAutoHyphens/>
              <w:kinsoku w:val="0"/>
              <w:overflowPunct w:val="0"/>
              <w:autoSpaceDE w:val="0"/>
              <w:autoSpaceDN w:val="0"/>
              <w:adjustRightInd w:val="0"/>
              <w:snapToGrid w:val="0"/>
              <w:jc w:val="left"/>
              <w:rPr>
                <w:rFonts w:eastAsia="Times New Roman"/>
                <w:kern w:val="22"/>
                <w:lang w:val="es-ES"/>
              </w:rPr>
            </w:pPr>
          </w:p>
        </w:tc>
        <w:tc>
          <w:tcPr>
            <w:tcW w:w="1191" w:type="dxa"/>
            <w:tcMar>
              <w:top w:w="43" w:type="dxa"/>
              <w:left w:w="113" w:type="dxa"/>
              <w:bottom w:w="43" w:type="dxa"/>
              <w:right w:w="113" w:type="dxa"/>
            </w:tcMar>
          </w:tcPr>
          <w:p w:rsidR="00607CAD" w:rsidRDefault="00607CAD">
            <w:pPr>
              <w:suppressLineNumbers/>
              <w:suppressAutoHyphens/>
              <w:kinsoku w:val="0"/>
              <w:overflowPunct w:val="0"/>
              <w:autoSpaceDE w:val="0"/>
              <w:autoSpaceDN w:val="0"/>
              <w:adjustRightInd w:val="0"/>
              <w:snapToGrid w:val="0"/>
              <w:jc w:val="left"/>
              <w:rPr>
                <w:rFonts w:eastAsia="Times New Roman"/>
                <w:kern w:val="22"/>
                <w:lang w:val="es-ES"/>
              </w:rPr>
            </w:pPr>
            <w:r>
              <w:rPr>
                <w:rFonts w:eastAsia="Times New Roman"/>
                <w:kern w:val="22"/>
                <w:lang w:val="es-ES"/>
              </w:rPr>
              <w:t>304-3</w:t>
            </w:r>
            <w:r>
              <w:rPr>
                <w:rFonts w:eastAsia="Times New Roman"/>
                <w:noProof/>
                <w:kern w:val="22"/>
                <w:vertAlign w:val="superscript"/>
                <w:lang w:val="es-ES"/>
              </w:rPr>
              <w:footnoteReference w:id="41"/>
            </w:r>
          </w:p>
          <w:p w:rsidR="00607CAD" w:rsidRDefault="00607CAD">
            <w:pPr>
              <w:suppressLineNumbers/>
              <w:suppressAutoHyphens/>
              <w:kinsoku w:val="0"/>
              <w:overflowPunct w:val="0"/>
              <w:autoSpaceDE w:val="0"/>
              <w:autoSpaceDN w:val="0"/>
              <w:adjustRightInd w:val="0"/>
              <w:snapToGrid w:val="0"/>
              <w:jc w:val="left"/>
              <w:rPr>
                <w:rFonts w:eastAsia="Times New Roman"/>
                <w:kern w:val="22"/>
                <w:lang w:val="es-ES"/>
              </w:rPr>
            </w:pPr>
          </w:p>
        </w:tc>
      </w:tr>
      <w:tr w:rsidR="00607CAD" w:rsidTr="008D2BB1">
        <w:trPr>
          <w:jc w:val="center"/>
        </w:trPr>
        <w:tc>
          <w:tcPr>
            <w:tcW w:w="1450"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center"/>
              <w:rPr>
                <w:rFonts w:eastAsia="Times New Roman"/>
              </w:rPr>
            </w:pPr>
            <w:r>
              <w:rPr>
                <w:rFonts w:eastAsia="Times New Roman"/>
                <w:kern w:val="22"/>
                <w:lang w:val="es-ES"/>
              </w:rPr>
              <w:t>Medición</w:t>
            </w:r>
          </w:p>
        </w:tc>
        <w:tc>
          <w:tcPr>
            <w:tcW w:w="5016" w:type="dxa"/>
            <w:tcMar>
              <w:top w:w="43" w:type="dxa"/>
              <w:left w:w="115" w:type="dxa"/>
              <w:bottom w:w="43" w:type="dxa"/>
              <w:right w:w="115" w:type="dxa"/>
            </w:tcMar>
          </w:tcPr>
          <w:p w:rsidR="00607CAD" w:rsidRDefault="00607CAD" w:rsidP="00423E8A">
            <w:pPr>
              <w:numPr>
                <w:ilvl w:val="0"/>
                <w:numId w:val="11"/>
              </w:numPr>
              <w:suppressLineNumbers/>
              <w:suppressAutoHyphens/>
              <w:kinsoku w:val="0"/>
              <w:overflowPunct w:val="0"/>
              <w:autoSpaceDE w:val="0"/>
              <w:autoSpaceDN w:val="0"/>
              <w:adjustRightInd w:val="0"/>
              <w:snapToGrid w:val="0"/>
              <w:ind w:left="245" w:hanging="245"/>
              <w:jc w:val="left"/>
              <w:rPr>
                <w:rFonts w:eastAsia="Times New Roman"/>
                <w:kern w:val="22"/>
                <w:lang w:val="es-ES"/>
              </w:rPr>
            </w:pPr>
            <w:r>
              <w:rPr>
                <w:rFonts w:eastAsia="Times New Roman"/>
                <w:kern w:val="22"/>
                <w:lang w:val="es-ES"/>
              </w:rPr>
              <w:t>Identificación de riesgos y oportunidades</w:t>
            </w:r>
          </w:p>
          <w:p w:rsidR="00607CAD" w:rsidRDefault="00607CAD" w:rsidP="00423E8A">
            <w:pPr>
              <w:numPr>
                <w:ilvl w:val="0"/>
                <w:numId w:val="11"/>
              </w:numPr>
              <w:suppressLineNumbers/>
              <w:suppressAutoHyphens/>
              <w:kinsoku w:val="0"/>
              <w:overflowPunct w:val="0"/>
              <w:autoSpaceDE w:val="0"/>
              <w:autoSpaceDN w:val="0"/>
              <w:adjustRightInd w:val="0"/>
              <w:snapToGrid w:val="0"/>
              <w:ind w:left="245" w:hanging="245"/>
              <w:jc w:val="left"/>
              <w:rPr>
                <w:rFonts w:eastAsia="Times New Roman"/>
                <w:kern w:val="22"/>
                <w:lang w:val="es-ES"/>
              </w:rPr>
            </w:pPr>
            <w:r>
              <w:rPr>
                <w:rFonts w:eastAsia="Times New Roman"/>
                <w:kern w:val="22"/>
                <w:lang w:val="es-ES"/>
              </w:rPr>
              <w:t xml:space="preserve">Utilización de herramientas y otros medios para medir impactos tanto positivos como negativos </w:t>
            </w:r>
          </w:p>
          <w:p w:rsidR="00607CAD" w:rsidRPr="002E422E" w:rsidRDefault="00607CAD" w:rsidP="00423E8A">
            <w:pPr>
              <w:numPr>
                <w:ilvl w:val="0"/>
                <w:numId w:val="11"/>
              </w:numPr>
              <w:suppressLineNumbers/>
              <w:suppressAutoHyphens/>
              <w:kinsoku w:val="0"/>
              <w:overflowPunct w:val="0"/>
              <w:autoSpaceDE w:val="0"/>
              <w:autoSpaceDN w:val="0"/>
              <w:adjustRightInd w:val="0"/>
              <w:snapToGrid w:val="0"/>
              <w:ind w:left="245" w:hanging="245"/>
              <w:jc w:val="left"/>
              <w:rPr>
                <w:rFonts w:eastAsia="Times New Roman"/>
                <w:kern w:val="22"/>
                <w:lang w:val="es-ES"/>
              </w:rPr>
            </w:pPr>
            <w:r w:rsidRPr="002E422E">
              <w:rPr>
                <w:rFonts w:eastAsia="Times New Roman"/>
                <w:kern w:val="22"/>
                <w:lang w:val="es-ES"/>
              </w:rPr>
              <w:t xml:space="preserve">Presentación de informes sobre indicadores específicos de diversidad biológica, como los de la GRI </w:t>
            </w:r>
          </w:p>
          <w:p w:rsidR="00607CAD" w:rsidRDefault="00607CAD" w:rsidP="00423E8A">
            <w:pPr>
              <w:numPr>
                <w:ilvl w:val="0"/>
                <w:numId w:val="11"/>
              </w:numPr>
              <w:suppressLineNumbers/>
              <w:suppressAutoHyphens/>
              <w:kinsoku w:val="0"/>
              <w:overflowPunct w:val="0"/>
              <w:autoSpaceDE w:val="0"/>
              <w:autoSpaceDN w:val="0"/>
              <w:adjustRightInd w:val="0"/>
              <w:snapToGrid w:val="0"/>
              <w:ind w:left="245" w:hanging="245"/>
              <w:jc w:val="left"/>
              <w:rPr>
                <w:rFonts w:eastAsia="Times New Roman"/>
              </w:rPr>
            </w:pPr>
            <w:r>
              <w:rPr>
                <w:rFonts w:eastAsia="Times New Roman"/>
                <w:kern w:val="22"/>
                <w:lang w:val="es-ES"/>
              </w:rPr>
              <w:t>Para las mediciones se toman en cuenta todas las actividades con impactos significativos</w:t>
            </w:r>
          </w:p>
        </w:tc>
        <w:tc>
          <w:tcPr>
            <w:tcW w:w="2544" w:type="dxa"/>
            <w:tcMar>
              <w:top w:w="43" w:type="dxa"/>
              <w:left w:w="57" w:type="dxa"/>
              <w:bottom w:w="43" w:type="dxa"/>
              <w:right w:w="28" w:type="dxa"/>
            </w:tcMar>
          </w:tcPr>
          <w:p w:rsidR="00607CAD" w:rsidRPr="00423E8A" w:rsidRDefault="00607CAD">
            <w:pPr>
              <w:suppressLineNumbers/>
              <w:suppressAutoHyphens/>
              <w:kinsoku w:val="0"/>
              <w:overflowPunct w:val="0"/>
              <w:autoSpaceDE w:val="0"/>
              <w:autoSpaceDN w:val="0"/>
              <w:adjustRightInd w:val="0"/>
              <w:snapToGrid w:val="0"/>
              <w:jc w:val="left"/>
              <w:rPr>
                <w:rFonts w:eastAsia="Times New Roman"/>
                <w:spacing w:val="-2"/>
              </w:rPr>
            </w:pPr>
            <w:r w:rsidRPr="00423E8A">
              <w:rPr>
                <w:rFonts w:eastAsia="Times New Roman"/>
                <w:spacing w:val="-2"/>
                <w:kern w:val="22"/>
                <w:lang w:val="es-ES"/>
              </w:rPr>
              <w:t>Objetivo estratégico “A”, Objetivo estratégico “B”, Objetivo estratégico “C”, Objetivo estratégico “D”, Objetivo estratégico “E”</w:t>
            </w:r>
          </w:p>
        </w:tc>
        <w:tc>
          <w:tcPr>
            <w:tcW w:w="1191" w:type="dxa"/>
            <w:tcMar>
              <w:top w:w="43" w:type="dxa"/>
              <w:left w:w="113" w:type="dxa"/>
              <w:bottom w:w="43" w:type="dxa"/>
              <w:right w:w="113" w:type="dxa"/>
            </w:tcMar>
          </w:tcPr>
          <w:p w:rsidR="00607CAD" w:rsidRDefault="00607CAD">
            <w:pPr>
              <w:suppressLineNumbers/>
              <w:suppressAutoHyphens/>
              <w:kinsoku w:val="0"/>
              <w:overflowPunct w:val="0"/>
              <w:autoSpaceDE w:val="0"/>
              <w:autoSpaceDN w:val="0"/>
              <w:adjustRightInd w:val="0"/>
              <w:snapToGrid w:val="0"/>
              <w:jc w:val="left"/>
              <w:rPr>
                <w:rFonts w:eastAsia="Times New Roman"/>
                <w:kern w:val="22"/>
                <w:lang w:val="es-ES"/>
              </w:rPr>
            </w:pPr>
            <w:r>
              <w:rPr>
                <w:rFonts w:eastAsia="Times New Roman"/>
                <w:kern w:val="22"/>
                <w:lang w:val="es-ES"/>
              </w:rPr>
              <w:t>304-1</w:t>
            </w:r>
            <w:r>
              <w:rPr>
                <w:rFonts w:eastAsia="Times New Roman"/>
                <w:noProof/>
                <w:kern w:val="22"/>
                <w:vertAlign w:val="superscript"/>
                <w:lang w:val="es-ES"/>
              </w:rPr>
              <w:footnoteReference w:id="42"/>
            </w:r>
          </w:p>
          <w:p w:rsidR="00607CAD" w:rsidRDefault="00607CAD">
            <w:pPr>
              <w:suppressLineNumbers/>
              <w:suppressAutoHyphens/>
              <w:kinsoku w:val="0"/>
              <w:overflowPunct w:val="0"/>
              <w:autoSpaceDE w:val="0"/>
              <w:autoSpaceDN w:val="0"/>
              <w:adjustRightInd w:val="0"/>
              <w:snapToGrid w:val="0"/>
              <w:jc w:val="left"/>
              <w:rPr>
                <w:rFonts w:eastAsia="Times New Roman"/>
                <w:kern w:val="22"/>
                <w:lang w:val="es-ES"/>
              </w:rPr>
            </w:pPr>
            <w:r>
              <w:rPr>
                <w:rFonts w:eastAsia="Times New Roman"/>
                <w:kern w:val="22"/>
                <w:lang w:val="es-ES"/>
              </w:rPr>
              <w:t>304-2</w:t>
            </w:r>
            <w:r>
              <w:rPr>
                <w:rFonts w:eastAsia="Times New Roman"/>
                <w:noProof/>
                <w:kern w:val="22"/>
                <w:vertAlign w:val="superscript"/>
                <w:lang w:val="es-ES"/>
              </w:rPr>
              <w:footnoteReference w:id="43"/>
            </w:r>
          </w:p>
          <w:p w:rsidR="00607CAD" w:rsidRDefault="00607CAD">
            <w:pPr>
              <w:suppressLineNumbers/>
              <w:suppressAutoHyphens/>
              <w:kinsoku w:val="0"/>
              <w:overflowPunct w:val="0"/>
              <w:autoSpaceDE w:val="0"/>
              <w:autoSpaceDN w:val="0"/>
              <w:adjustRightInd w:val="0"/>
              <w:snapToGrid w:val="0"/>
              <w:jc w:val="left"/>
              <w:rPr>
                <w:rFonts w:eastAsia="Times New Roman"/>
                <w:kern w:val="22"/>
                <w:lang w:val="es-ES"/>
              </w:rPr>
            </w:pPr>
            <w:r>
              <w:rPr>
                <w:rFonts w:eastAsia="Times New Roman"/>
                <w:kern w:val="22"/>
                <w:lang w:val="es-ES"/>
              </w:rPr>
              <w:t>304-3</w:t>
            </w:r>
            <w:r>
              <w:rPr>
                <w:rFonts w:eastAsia="Times New Roman"/>
                <w:noProof/>
                <w:kern w:val="22"/>
                <w:vertAlign w:val="superscript"/>
                <w:lang w:val="es-ES"/>
              </w:rPr>
              <w:footnoteReference w:id="44"/>
            </w:r>
          </w:p>
          <w:p w:rsidR="00607CAD" w:rsidRDefault="00607CAD">
            <w:pPr>
              <w:suppressLineNumbers/>
              <w:suppressAutoHyphens/>
              <w:kinsoku w:val="0"/>
              <w:overflowPunct w:val="0"/>
              <w:autoSpaceDE w:val="0"/>
              <w:autoSpaceDN w:val="0"/>
              <w:adjustRightInd w:val="0"/>
              <w:snapToGrid w:val="0"/>
              <w:jc w:val="left"/>
              <w:rPr>
                <w:rFonts w:eastAsia="Times New Roman"/>
                <w:kern w:val="22"/>
                <w:lang w:val="es-ES"/>
              </w:rPr>
            </w:pPr>
            <w:r>
              <w:rPr>
                <w:rFonts w:eastAsia="Times New Roman"/>
                <w:kern w:val="22"/>
                <w:lang w:val="es-ES"/>
              </w:rPr>
              <w:t>304-4</w:t>
            </w:r>
            <w:r>
              <w:rPr>
                <w:rFonts w:eastAsia="Times New Roman"/>
                <w:noProof/>
                <w:kern w:val="22"/>
                <w:vertAlign w:val="superscript"/>
                <w:lang w:val="es-ES"/>
              </w:rPr>
              <w:footnoteReference w:id="45"/>
            </w:r>
          </w:p>
        </w:tc>
      </w:tr>
    </w:tbl>
    <w:p w:rsidR="00607CAD" w:rsidRDefault="00607CAD">
      <w:pPr>
        <w:pStyle w:val="Heading1"/>
        <w:suppressLineNumbers/>
        <w:suppressAutoHyphens/>
        <w:kinsoku w:val="0"/>
        <w:overflowPunct w:val="0"/>
        <w:autoSpaceDE w:val="0"/>
        <w:autoSpaceDN w:val="0"/>
        <w:adjustRightInd w:val="0"/>
        <w:snapToGrid w:val="0"/>
        <w:rPr>
          <w:i/>
          <w:kern w:val="22"/>
          <w:lang w:val="es-ES"/>
        </w:rPr>
      </w:pPr>
      <w:r>
        <w:rPr>
          <w:rFonts w:ascii="Calibri" w:hAnsi="Calibri"/>
          <w:kern w:val="22"/>
          <w:lang w:val="es-ES"/>
        </w:rPr>
        <w:br w:type="page"/>
      </w:r>
      <w:r>
        <w:rPr>
          <w:b w:val="0"/>
          <w:i/>
          <w:caps w:val="0"/>
          <w:kern w:val="22"/>
          <w:lang w:val="es-ES"/>
        </w:rPr>
        <w:lastRenderedPageBreak/>
        <w:t>Anexo II</w:t>
      </w:r>
    </w:p>
    <w:p w:rsidR="00607CAD" w:rsidRDefault="00607CAD">
      <w:pPr>
        <w:pStyle w:val="Heading1"/>
        <w:suppressLineNumbers/>
        <w:suppressAutoHyphens/>
        <w:kinsoku w:val="0"/>
        <w:overflowPunct w:val="0"/>
        <w:autoSpaceDE w:val="0"/>
        <w:autoSpaceDN w:val="0"/>
        <w:adjustRightInd w:val="0"/>
        <w:snapToGrid w:val="0"/>
        <w:rPr>
          <w:rFonts w:eastAsia="Times New Roman"/>
          <w:kern w:val="22"/>
          <w:lang w:val="es-ES"/>
        </w:rPr>
      </w:pPr>
      <w:r>
        <w:rPr>
          <w:rFonts w:eastAsia="Times New Roman"/>
          <w:kern w:val="22"/>
          <w:lang w:val="es-ES"/>
        </w:rPr>
        <w:t>eJEmplOs dE BUENAS PrÁcticAS PARA LA VERSIÓN RevisAdA DE LA TIpologÍA DE AcCionEs PArA LA PReSENTACIÓN DE INForMES SOBRE DIVERSIDAD bioLÓGICA</w:t>
      </w:r>
    </w:p>
    <w:p w:rsidR="00607CAD" w:rsidRPr="00486F01" w:rsidRDefault="00607CAD">
      <w:pPr>
        <w:pStyle w:val="Heading2"/>
        <w:suppressLineNumbers/>
        <w:suppressAutoHyphens/>
        <w:kinsoku w:val="0"/>
        <w:overflowPunct w:val="0"/>
        <w:autoSpaceDE w:val="0"/>
        <w:autoSpaceDN w:val="0"/>
        <w:adjustRightInd w:val="0"/>
        <w:snapToGrid w:val="0"/>
        <w:rPr>
          <w:rFonts w:eastAsia="Times New Roman"/>
          <w:bCs w:val="0"/>
          <w:iCs w:val="0"/>
          <w:lang w:val="es-ES"/>
        </w:rPr>
      </w:pPr>
      <w:r w:rsidRPr="00486F01">
        <w:rPr>
          <w:rFonts w:eastAsia="Times New Roman"/>
          <w:bCs w:val="0"/>
          <w:iCs w:val="0"/>
          <w:kern w:val="22"/>
          <w:lang w:val="es-ES"/>
        </w:rPr>
        <w:t>Los siguientes ejemplos de buenas prácticas fueron recopilados con el objetivo de brindar orientaciones indicativas sobre cómo usar la versión revisada de la tipología de acciones. La intención no es dar una lista exhaustiva y el hecho de que no se incluya un ejemplo particular no implica que ese ejemplo no pueda considerarse también como buena práctica.</w:t>
      </w:r>
    </w:p>
    <w:tbl>
      <w:tblPr>
        <w:tblpPr w:leftFromText="187" w:rightFromText="187" w:vertAnchor="text" w:horzAnchor="page"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9"/>
        <w:gridCol w:w="76"/>
        <w:gridCol w:w="7147"/>
      </w:tblGrid>
      <w:tr w:rsidR="00607CAD">
        <w:trPr>
          <w:tblHeader/>
          <w:jc w:val="center"/>
        </w:trPr>
        <w:tc>
          <w:tcPr>
            <w:tcW w:w="2469" w:type="dxa"/>
            <w:tcMar>
              <w:top w:w="43" w:type="dxa"/>
              <w:left w:w="115" w:type="dxa"/>
              <w:bottom w:w="43" w:type="dxa"/>
              <w:right w:w="115" w:type="dxa"/>
            </w:tcMar>
          </w:tcPr>
          <w:p w:rsidR="00607CAD" w:rsidRDefault="00607CAD">
            <w:pPr>
              <w:suppressLineNumbers/>
              <w:suppressAutoHyphens/>
              <w:kinsoku w:val="0"/>
              <w:overflowPunct w:val="0"/>
              <w:autoSpaceDE w:val="0"/>
              <w:autoSpaceDN w:val="0"/>
              <w:adjustRightInd w:val="0"/>
              <w:snapToGrid w:val="0"/>
              <w:jc w:val="center"/>
              <w:rPr>
                <w:rFonts w:eastAsia="Times New Roman"/>
              </w:rPr>
            </w:pPr>
            <w:r>
              <w:rPr>
                <w:rFonts w:eastAsia="Times New Roman"/>
                <w:i/>
                <w:color w:val="000000"/>
                <w:kern w:val="22"/>
                <w:lang w:val="es-ES"/>
              </w:rPr>
              <w:t>Empresa</w:t>
            </w:r>
          </w:p>
        </w:tc>
        <w:tc>
          <w:tcPr>
            <w:tcW w:w="7223" w:type="dxa"/>
            <w:gridSpan w:val="2"/>
            <w:tcMar>
              <w:top w:w="43" w:type="dxa"/>
              <w:left w:w="115" w:type="dxa"/>
              <w:bottom w:w="43" w:type="dxa"/>
              <w:right w:w="115" w:type="dxa"/>
            </w:tcMar>
          </w:tcPr>
          <w:p w:rsidR="00607CAD" w:rsidRDefault="00607CAD">
            <w:pPr>
              <w:suppressLineNumbers/>
              <w:suppressAutoHyphens/>
              <w:kinsoku w:val="0"/>
              <w:overflowPunct w:val="0"/>
              <w:autoSpaceDE w:val="0"/>
              <w:autoSpaceDN w:val="0"/>
              <w:adjustRightInd w:val="0"/>
              <w:snapToGrid w:val="0"/>
              <w:jc w:val="center"/>
              <w:rPr>
                <w:rFonts w:eastAsia="Times New Roman"/>
              </w:rPr>
            </w:pPr>
            <w:r>
              <w:rPr>
                <w:rFonts w:eastAsia="Times New Roman"/>
                <w:i/>
                <w:color w:val="000000"/>
                <w:kern w:val="22"/>
                <w:lang w:val="es-ES"/>
              </w:rPr>
              <w:t>Ejemplos</w:t>
            </w:r>
          </w:p>
        </w:tc>
      </w:tr>
      <w:tr w:rsidR="00607CAD">
        <w:trPr>
          <w:jc w:val="center"/>
        </w:trPr>
        <w:tc>
          <w:tcPr>
            <w:tcW w:w="9692" w:type="dxa"/>
            <w:gridSpan w:val="3"/>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spacing w:after="120"/>
              <w:jc w:val="left"/>
              <w:rPr>
                <w:rFonts w:eastAsia="Times New Roman"/>
                <w:lang w:val="es-ES"/>
              </w:rPr>
            </w:pPr>
            <w:r>
              <w:rPr>
                <w:rFonts w:eastAsia="Times New Roman"/>
                <w:b/>
                <w:color w:val="000000"/>
                <w:kern w:val="22"/>
                <w:lang w:val="es-ES"/>
              </w:rPr>
              <w:t>Tema: Compromiso</w:t>
            </w:r>
          </w:p>
          <w:p w:rsidR="00607CAD" w:rsidRDefault="00607CAD" w:rsidP="001F7F12">
            <w:pPr>
              <w:suppressLineNumbers/>
              <w:suppressAutoHyphens/>
              <w:kinsoku w:val="0"/>
              <w:overflowPunct w:val="0"/>
              <w:autoSpaceDE w:val="0"/>
              <w:autoSpaceDN w:val="0"/>
              <w:adjustRightInd w:val="0"/>
              <w:snapToGrid w:val="0"/>
              <w:jc w:val="left"/>
              <w:rPr>
                <w:rFonts w:eastAsia="Times New Roman"/>
              </w:rPr>
            </w:pPr>
            <w:r>
              <w:rPr>
                <w:rFonts w:eastAsia="Times New Roman"/>
                <w:color w:val="000000"/>
                <w:kern w:val="22"/>
                <w:lang w:val="es-ES"/>
              </w:rPr>
              <w:t xml:space="preserve">Ejemplos </w:t>
            </w:r>
            <w:r w:rsidR="001F7F12">
              <w:rPr>
                <w:rFonts w:eastAsia="Times New Roman"/>
                <w:color w:val="000000"/>
                <w:kern w:val="22"/>
                <w:lang w:val="es-ES"/>
              </w:rPr>
              <w:t>de</w:t>
            </w:r>
            <w:r>
              <w:rPr>
                <w:rFonts w:eastAsia="Times New Roman"/>
                <w:color w:val="000000"/>
                <w:kern w:val="22"/>
                <w:lang w:val="es-ES"/>
              </w:rPr>
              <w:t xml:space="preserve"> tópicos principales: Políticas, declaraciones, estándares, mención de la diversidad biológica en la carta del gerente general, materialidad, certificaciones</w:t>
            </w:r>
          </w:p>
        </w:tc>
      </w:tr>
      <w:tr w:rsidR="00607CAD">
        <w:trPr>
          <w:jc w:val="center"/>
        </w:trPr>
        <w:tc>
          <w:tcPr>
            <w:tcW w:w="2469"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Fujifilm</w:t>
            </w:r>
          </w:p>
        </w:tc>
        <w:tc>
          <w:tcPr>
            <w:tcW w:w="7223" w:type="dxa"/>
            <w:gridSpan w:val="2"/>
            <w:tcMar>
              <w:top w:w="43" w:type="dxa"/>
              <w:left w:w="115" w:type="dxa"/>
              <w:bottom w:w="43" w:type="dxa"/>
              <w:right w:w="115" w:type="dxa"/>
            </w:tcMar>
          </w:tcPr>
          <w:p w:rsidR="00607CAD" w:rsidRDefault="00607CAD">
            <w:pPr>
              <w:suppressLineNumbers/>
              <w:suppressAutoHyphens/>
              <w:kinsoku w:val="0"/>
              <w:overflowPunct w:val="0"/>
              <w:autoSpaceDE w:val="0"/>
              <w:autoSpaceDN w:val="0"/>
              <w:adjustRightInd w:val="0"/>
              <w:snapToGrid w:val="0"/>
              <w:spacing w:after="20"/>
              <w:jc w:val="left"/>
              <w:rPr>
                <w:rFonts w:eastAsia="Times New Roman"/>
                <w:color w:val="000000"/>
                <w:kern w:val="22"/>
                <w:lang w:val="es-ES"/>
              </w:rPr>
            </w:pPr>
            <w:r>
              <w:rPr>
                <w:rFonts w:eastAsia="Times New Roman"/>
                <w:kern w:val="22"/>
                <w:lang w:val="es-ES"/>
              </w:rPr>
              <w:t>• La diversidad biológica aparece como tema material</w:t>
            </w:r>
          </w:p>
          <w:p w:rsidR="00607CAD" w:rsidRDefault="00607CAD">
            <w:pPr>
              <w:suppressLineNumbers/>
              <w:suppressAutoHyphens/>
              <w:kinsoku w:val="0"/>
              <w:overflowPunct w:val="0"/>
              <w:autoSpaceDE w:val="0"/>
              <w:autoSpaceDN w:val="0"/>
              <w:adjustRightInd w:val="0"/>
              <w:snapToGrid w:val="0"/>
              <w:spacing w:after="20"/>
              <w:jc w:val="left"/>
              <w:rPr>
                <w:rFonts w:eastAsia="Times New Roman"/>
                <w:lang w:val="es-ES"/>
              </w:rPr>
            </w:pPr>
            <w:r>
              <w:rPr>
                <w:rFonts w:eastAsia="Times New Roman"/>
                <w:color w:val="000000"/>
                <w:kern w:val="22"/>
                <w:lang w:val="es-ES"/>
              </w:rPr>
              <w:t>• Filosofía: “La conciencia ambiental y la protección del medio ambiente son un aspecto esencial de nuestras actividades corporativas”</w:t>
            </w:r>
          </w:p>
          <w:p w:rsidR="00607CAD" w:rsidRDefault="00607CAD">
            <w:pPr>
              <w:suppressLineNumbers/>
              <w:suppressAutoHyphens/>
              <w:kinsoku w:val="0"/>
              <w:overflowPunct w:val="0"/>
              <w:autoSpaceDE w:val="0"/>
              <w:autoSpaceDN w:val="0"/>
              <w:adjustRightInd w:val="0"/>
              <w:snapToGrid w:val="0"/>
              <w:spacing w:after="20"/>
              <w:jc w:val="left"/>
              <w:rPr>
                <w:rFonts w:eastAsia="Times New Roman"/>
                <w:color w:val="000000"/>
                <w:kern w:val="22"/>
                <w:lang w:val="es-ES"/>
              </w:rPr>
            </w:pPr>
            <w:r>
              <w:rPr>
                <w:rFonts w:eastAsia="Times New Roman"/>
                <w:color w:val="000000"/>
                <w:kern w:val="22"/>
                <w:lang w:val="es-ES"/>
              </w:rPr>
              <w:t>• 2009: Se introdujeron los Conceptos Básicos y Directrices de Acción para la Conservación de la Diversidad Biológica del Grupo Fujifilm</w:t>
            </w:r>
          </w:p>
          <w:p w:rsidR="00607CAD" w:rsidRDefault="00607CAD">
            <w:pPr>
              <w:suppressLineNumbers/>
              <w:suppressAutoHyphens/>
              <w:kinsoku w:val="0"/>
              <w:overflowPunct w:val="0"/>
              <w:autoSpaceDE w:val="0"/>
              <w:autoSpaceDN w:val="0"/>
              <w:adjustRightInd w:val="0"/>
              <w:snapToGrid w:val="0"/>
              <w:spacing w:after="20"/>
              <w:jc w:val="left"/>
              <w:rPr>
                <w:rFonts w:eastAsia="Times New Roman"/>
                <w:color w:val="000000"/>
                <w:kern w:val="22"/>
                <w:lang w:val="es-ES"/>
              </w:rPr>
            </w:pPr>
            <w:r>
              <w:rPr>
                <w:rFonts w:eastAsia="Times New Roman"/>
                <w:color w:val="000000"/>
                <w:kern w:val="22"/>
                <w:lang w:val="es-ES"/>
              </w:rPr>
              <w:t>• 2012: Se revisó el enfoque de diversidad biológica en 4 elementos clave de fábricas, productos, contribución social y comunicación</w:t>
            </w:r>
          </w:p>
          <w:p w:rsidR="00607CAD" w:rsidRDefault="00607CAD">
            <w:pPr>
              <w:suppressLineNumbers/>
              <w:suppressAutoHyphens/>
              <w:kinsoku w:val="0"/>
              <w:overflowPunct w:val="0"/>
              <w:autoSpaceDE w:val="0"/>
              <w:autoSpaceDN w:val="0"/>
              <w:adjustRightInd w:val="0"/>
              <w:snapToGrid w:val="0"/>
              <w:spacing w:after="20"/>
              <w:jc w:val="left"/>
              <w:rPr>
                <w:rFonts w:eastAsia="Times New Roman"/>
                <w:color w:val="000000"/>
                <w:kern w:val="22"/>
                <w:lang w:val="es-ES"/>
              </w:rPr>
            </w:pPr>
            <w:r>
              <w:rPr>
                <w:rFonts w:eastAsia="Times New Roman"/>
                <w:color w:val="000000"/>
                <w:kern w:val="22"/>
                <w:lang w:val="es-ES"/>
              </w:rPr>
              <w:t>• 2015: Participó en el Protocolo de Nagoya sobre APB para Recursos Genéticos</w:t>
            </w:r>
          </w:p>
          <w:p w:rsidR="00607CAD" w:rsidRDefault="00607CAD" w:rsidP="004A68EB">
            <w:pPr>
              <w:suppressLineNumbers/>
              <w:suppressAutoHyphens/>
              <w:kinsoku w:val="0"/>
              <w:overflowPunct w:val="0"/>
              <w:autoSpaceDE w:val="0"/>
              <w:autoSpaceDN w:val="0"/>
              <w:adjustRightInd w:val="0"/>
              <w:snapToGrid w:val="0"/>
              <w:spacing w:after="20"/>
              <w:jc w:val="left"/>
              <w:rPr>
                <w:rFonts w:eastAsia="Times New Roman"/>
              </w:rPr>
            </w:pPr>
            <w:r>
              <w:rPr>
                <w:rFonts w:eastAsia="Times New Roman"/>
                <w:kern w:val="22"/>
                <w:lang w:val="es-ES"/>
              </w:rPr>
              <w:t xml:space="preserve">• </w:t>
            </w:r>
            <w:r w:rsidRPr="004A68EB">
              <w:rPr>
                <w:rFonts w:eastAsia="Times New Roman"/>
                <w:spacing w:val="-2"/>
                <w:kern w:val="22"/>
                <w:lang w:val="es-ES"/>
              </w:rPr>
              <w:t>Año Fiscal 2016:</w:t>
            </w:r>
            <w:r w:rsidRPr="004A68EB">
              <w:rPr>
                <w:rFonts w:eastAsia="Times New Roman"/>
                <w:color w:val="000000"/>
                <w:spacing w:val="-2"/>
                <w:kern w:val="22"/>
                <w:lang w:val="es-ES"/>
              </w:rPr>
              <w:t xml:space="preserve"> </w:t>
            </w:r>
            <w:r w:rsidRPr="004A68EB">
              <w:rPr>
                <w:rFonts w:eastAsia="Times New Roman"/>
                <w:spacing w:val="-2"/>
                <w:kern w:val="22"/>
                <w:lang w:val="es-ES"/>
              </w:rPr>
              <w:t xml:space="preserve">Preservación de la diversidad biológica como </w:t>
            </w:r>
            <w:r w:rsidR="004A68EB" w:rsidRPr="004A68EB">
              <w:rPr>
                <w:rFonts w:eastAsia="Times New Roman"/>
                <w:spacing w:val="-2"/>
                <w:kern w:val="22"/>
                <w:lang w:val="es-ES"/>
              </w:rPr>
              <w:t>tema</w:t>
            </w:r>
            <w:r w:rsidRPr="004A68EB">
              <w:rPr>
                <w:rFonts w:eastAsia="Times New Roman"/>
                <w:spacing w:val="-2"/>
                <w:kern w:val="22"/>
                <w:lang w:val="es-ES"/>
              </w:rPr>
              <w:t xml:space="preserve"> prioritari</w:t>
            </w:r>
            <w:r w:rsidR="004A68EB" w:rsidRPr="004A68EB">
              <w:rPr>
                <w:rFonts w:eastAsia="Times New Roman"/>
                <w:spacing w:val="-2"/>
                <w:kern w:val="22"/>
                <w:lang w:val="es-ES"/>
              </w:rPr>
              <w:t>o</w:t>
            </w:r>
          </w:p>
        </w:tc>
      </w:tr>
      <w:tr w:rsidR="00607CAD">
        <w:trPr>
          <w:jc w:val="center"/>
        </w:trPr>
        <w:tc>
          <w:tcPr>
            <w:tcW w:w="2469"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ASAHI – Alimentos y bebidas</w:t>
            </w:r>
          </w:p>
        </w:tc>
        <w:tc>
          <w:tcPr>
            <w:tcW w:w="7223" w:type="dxa"/>
            <w:gridSpan w:val="2"/>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spacing w:after="20"/>
              <w:jc w:val="left"/>
            </w:pPr>
            <w:r>
              <w:rPr>
                <w:color w:val="000000"/>
                <w:kern w:val="22"/>
                <w:lang w:val="es-ES"/>
              </w:rPr>
              <w:t>• La diversidad biológica es un tema material alto</w:t>
            </w:r>
            <w:r>
              <w:rPr>
                <w:rFonts w:ascii="PMingLiU" w:eastAsia="PMingLiU"/>
                <w:color w:val="000000"/>
                <w:kern w:val="22"/>
                <w:lang w:val="es-ES"/>
              </w:rPr>
              <w:br/>
            </w:r>
            <w:r>
              <w:rPr>
                <w:color w:val="000000"/>
                <w:kern w:val="22"/>
                <w:lang w:val="es-ES"/>
              </w:rPr>
              <w:t>• Establecimiento de Indicadores de Desempeño Clave para la diversidad biológica en 2017</w:t>
            </w:r>
            <w:r>
              <w:rPr>
                <w:rFonts w:ascii="PMingLiU" w:eastAsia="PMingLiU"/>
                <w:color w:val="000000"/>
                <w:kern w:val="22"/>
                <w:lang w:val="es-ES"/>
              </w:rPr>
              <w:br/>
            </w:r>
            <w:r>
              <w:rPr>
                <w:color w:val="000000"/>
                <w:kern w:val="22"/>
                <w:lang w:val="es-ES"/>
              </w:rPr>
              <w:t>• Se incluye una declaración sobre la diversidad biológica en el informe</w:t>
            </w:r>
          </w:p>
        </w:tc>
      </w:tr>
      <w:tr w:rsidR="00607CAD">
        <w:trPr>
          <w:jc w:val="center"/>
        </w:trPr>
        <w:tc>
          <w:tcPr>
            <w:tcW w:w="2469"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Ambuja Cements – Materiales de construcción</w:t>
            </w:r>
          </w:p>
        </w:tc>
        <w:tc>
          <w:tcPr>
            <w:tcW w:w="7223" w:type="dxa"/>
            <w:gridSpan w:val="2"/>
            <w:tcMar>
              <w:top w:w="43" w:type="dxa"/>
              <w:left w:w="115" w:type="dxa"/>
              <w:bottom w:w="43" w:type="dxa"/>
              <w:right w:w="115" w:type="dxa"/>
            </w:tcMar>
          </w:tcPr>
          <w:p w:rsidR="00607CAD" w:rsidRDefault="00607CAD" w:rsidP="00F30200">
            <w:pPr>
              <w:suppressLineNumbers/>
              <w:suppressAutoHyphens/>
              <w:kinsoku w:val="0"/>
              <w:overflowPunct w:val="0"/>
              <w:autoSpaceDE w:val="0"/>
              <w:autoSpaceDN w:val="0"/>
              <w:adjustRightInd w:val="0"/>
              <w:snapToGrid w:val="0"/>
              <w:spacing w:after="20"/>
              <w:jc w:val="left"/>
            </w:pPr>
            <w:r>
              <w:rPr>
                <w:color w:val="000000"/>
                <w:kern w:val="22"/>
                <w:lang w:val="es-ES"/>
              </w:rPr>
              <w:t>• Compromiso con la GRI y los ODS</w:t>
            </w:r>
            <w:r>
              <w:rPr>
                <w:rFonts w:ascii="PMingLiU" w:eastAsia="PMingLiU"/>
                <w:color w:val="000000"/>
                <w:kern w:val="22"/>
                <w:lang w:val="es-ES"/>
              </w:rPr>
              <w:br/>
            </w:r>
            <w:r>
              <w:rPr>
                <w:color w:val="000000"/>
                <w:kern w:val="22"/>
                <w:lang w:val="es-ES"/>
              </w:rPr>
              <w:t xml:space="preserve">• </w:t>
            </w:r>
            <w:r w:rsidRPr="00F30200">
              <w:rPr>
                <w:color w:val="000000"/>
                <w:spacing w:val="-2"/>
                <w:kern w:val="22"/>
                <w:lang w:val="es-ES"/>
              </w:rPr>
              <w:t>Carta del gerente general: “</w:t>
            </w:r>
            <w:r w:rsidR="00F30200" w:rsidRPr="00F30200">
              <w:rPr>
                <w:color w:val="000000"/>
                <w:spacing w:val="-2"/>
                <w:kern w:val="22"/>
                <w:lang w:val="es-ES"/>
              </w:rPr>
              <w:t>Co</w:t>
            </w:r>
            <w:r w:rsidR="001F7F12" w:rsidRPr="00F30200">
              <w:rPr>
                <w:color w:val="000000"/>
                <w:spacing w:val="-2"/>
                <w:kern w:val="22"/>
                <w:lang w:val="es-ES"/>
              </w:rPr>
              <w:t>n r</w:t>
            </w:r>
            <w:r w:rsidR="00F30200" w:rsidRPr="00F30200">
              <w:rPr>
                <w:color w:val="000000"/>
                <w:spacing w:val="-2"/>
                <w:kern w:val="22"/>
                <w:lang w:val="es-ES"/>
              </w:rPr>
              <w:t>espect</w:t>
            </w:r>
            <w:r w:rsidR="001F7F12" w:rsidRPr="00F30200">
              <w:rPr>
                <w:color w:val="000000"/>
                <w:spacing w:val="-2"/>
                <w:kern w:val="22"/>
                <w:lang w:val="es-ES"/>
              </w:rPr>
              <w:t>o</w:t>
            </w:r>
            <w:r w:rsidR="00F30200" w:rsidRPr="00F30200">
              <w:rPr>
                <w:color w:val="000000"/>
                <w:spacing w:val="-2"/>
                <w:kern w:val="22"/>
                <w:lang w:val="es-ES"/>
              </w:rPr>
              <w:t xml:space="preserve"> a la</w:t>
            </w:r>
            <w:r w:rsidRPr="00F30200">
              <w:rPr>
                <w:color w:val="000000"/>
                <w:spacing w:val="-2"/>
                <w:kern w:val="22"/>
                <w:lang w:val="es-ES"/>
              </w:rPr>
              <w:t xml:space="preserve"> sostenibilidad, es imperativo que la industria aborde el cambio climático y el impacto en la diversidad biológica”</w:t>
            </w:r>
            <w:r>
              <w:rPr>
                <w:rFonts w:ascii="PMingLiU" w:eastAsia="PMingLiU"/>
                <w:color w:val="000000"/>
                <w:kern w:val="22"/>
                <w:lang w:val="es-ES"/>
              </w:rPr>
              <w:br/>
            </w:r>
            <w:r>
              <w:rPr>
                <w:color w:val="000000"/>
                <w:kern w:val="22"/>
                <w:lang w:val="es-ES"/>
              </w:rPr>
              <w:t xml:space="preserve">• </w:t>
            </w:r>
            <w:r w:rsidR="00F30200">
              <w:rPr>
                <w:color w:val="000000"/>
                <w:kern w:val="22"/>
                <w:lang w:val="es-ES"/>
              </w:rPr>
              <w:t>I</w:t>
            </w:r>
            <w:r>
              <w:rPr>
                <w:color w:val="000000"/>
                <w:kern w:val="22"/>
                <w:lang w:val="es-ES"/>
              </w:rPr>
              <w:t>dentifica a la diversidad biológica como tema material</w:t>
            </w:r>
            <w:r>
              <w:rPr>
                <w:rFonts w:ascii="PMingLiU" w:eastAsia="PMingLiU"/>
                <w:color w:val="000000"/>
                <w:kern w:val="22"/>
                <w:lang w:val="es-ES"/>
              </w:rPr>
              <w:br/>
            </w:r>
            <w:r>
              <w:rPr>
                <w:color w:val="000000"/>
                <w:kern w:val="22"/>
                <w:lang w:val="es-ES"/>
              </w:rPr>
              <w:t>• Tiene sus propias metas para 2030</w:t>
            </w:r>
            <w:r>
              <w:rPr>
                <w:color w:val="000000"/>
                <w:kern w:val="22"/>
                <w:lang w:val="es-ES"/>
              </w:rPr>
              <w:br/>
              <w:t xml:space="preserve">• En 2016 informó voluntariamente sobre su desempeño </w:t>
            </w:r>
            <w:r w:rsidR="001F7F12">
              <w:rPr>
                <w:color w:val="000000"/>
                <w:kern w:val="22"/>
                <w:lang w:val="es-ES"/>
              </w:rPr>
              <w:t xml:space="preserve">de diversidad biológica </w:t>
            </w:r>
            <w:r>
              <w:rPr>
                <w:color w:val="000000"/>
                <w:kern w:val="22"/>
                <w:lang w:val="es-ES"/>
              </w:rPr>
              <w:t>con respecto al cumplimiento de los Compromisos de la Declaración IBBI (Iniciativa de Negocios y Biodiversidad de la India)</w:t>
            </w:r>
          </w:p>
        </w:tc>
      </w:tr>
      <w:tr w:rsidR="00607CAD">
        <w:trPr>
          <w:jc w:val="center"/>
        </w:trPr>
        <w:tc>
          <w:tcPr>
            <w:tcW w:w="2469"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Kering – Textiles y vestimenta</w:t>
            </w:r>
          </w:p>
        </w:tc>
        <w:tc>
          <w:tcPr>
            <w:tcW w:w="7223" w:type="dxa"/>
            <w:gridSpan w:val="2"/>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kern w:val="22"/>
                <w:lang w:val="es-ES"/>
              </w:rPr>
              <w:t>• Preservación de la diversidad biológica:</w:t>
            </w:r>
            <w:r>
              <w:rPr>
                <w:color w:val="000000"/>
                <w:kern w:val="22"/>
                <w:lang w:val="es-ES"/>
              </w:rPr>
              <w:t xml:space="preserve"> componente clave de la política ambiental de Kering</w:t>
            </w:r>
            <w:r>
              <w:rPr>
                <w:rFonts w:ascii="PMingLiU" w:eastAsia="PMingLiU"/>
                <w:color w:val="000000"/>
                <w:kern w:val="22"/>
                <w:lang w:val="es-ES"/>
              </w:rPr>
              <w:br/>
            </w:r>
            <w:r w:rsidR="00F30200">
              <w:rPr>
                <w:color w:val="000000"/>
                <w:kern w:val="22"/>
                <w:lang w:val="es-ES"/>
              </w:rPr>
              <w:t>• Contribuyó a la creación del</w:t>
            </w:r>
            <w:r>
              <w:rPr>
                <w:color w:val="000000"/>
                <w:kern w:val="22"/>
                <w:lang w:val="es-ES"/>
              </w:rPr>
              <w:t xml:space="preserve"> Protocolo de Capital Natural</w:t>
            </w:r>
            <w:r>
              <w:rPr>
                <w:rFonts w:ascii="PMingLiU" w:eastAsia="PMingLiU"/>
                <w:color w:val="000000"/>
                <w:kern w:val="22"/>
                <w:lang w:val="es-ES"/>
              </w:rPr>
              <w:br/>
            </w:r>
            <w:r>
              <w:rPr>
                <w:color w:val="000000"/>
                <w:kern w:val="22"/>
                <w:lang w:val="es-ES"/>
              </w:rPr>
              <w:t>• Se comprometió a evitar la conversión de ecosistemas sensibles en tierras de pastoreo o tierras agrícolas</w:t>
            </w:r>
          </w:p>
        </w:tc>
      </w:tr>
      <w:tr w:rsidR="00607CAD">
        <w:trPr>
          <w:jc w:val="center"/>
        </w:trPr>
        <w:tc>
          <w:tcPr>
            <w:tcW w:w="2469"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Kingfisher – Venta minorista</w:t>
            </w:r>
          </w:p>
        </w:tc>
        <w:tc>
          <w:tcPr>
            <w:tcW w:w="7223" w:type="dxa"/>
            <w:gridSpan w:val="2"/>
            <w:tcMar>
              <w:top w:w="43" w:type="dxa"/>
              <w:left w:w="115" w:type="dxa"/>
              <w:bottom w:w="43" w:type="dxa"/>
              <w:right w:w="115" w:type="dxa"/>
            </w:tcMar>
            <w:vAlign w:val="center"/>
          </w:tcPr>
          <w:p w:rsidR="001F7F12" w:rsidRDefault="00607CAD" w:rsidP="001F7F12">
            <w:pPr>
              <w:suppressLineNumbers/>
              <w:suppressAutoHyphens/>
              <w:kinsoku w:val="0"/>
              <w:overflowPunct w:val="0"/>
              <w:autoSpaceDE w:val="0"/>
              <w:autoSpaceDN w:val="0"/>
              <w:adjustRightInd w:val="0"/>
              <w:snapToGrid w:val="0"/>
              <w:spacing w:after="20"/>
              <w:jc w:val="left"/>
              <w:rPr>
                <w:rFonts w:eastAsia="Times New Roman"/>
                <w:color w:val="000000"/>
                <w:kern w:val="22"/>
                <w:lang w:val="es-ES"/>
              </w:rPr>
            </w:pPr>
            <w:r>
              <w:rPr>
                <w:rFonts w:eastAsia="Times New Roman"/>
                <w:kern w:val="22"/>
                <w:lang w:val="es-ES"/>
              </w:rPr>
              <w:t xml:space="preserve">• Compromiso </w:t>
            </w:r>
            <w:r w:rsidR="001F7F12">
              <w:rPr>
                <w:rFonts w:eastAsia="Times New Roman"/>
                <w:kern w:val="22"/>
                <w:lang w:val="es-ES"/>
              </w:rPr>
              <w:t>de</w:t>
            </w:r>
            <w:r>
              <w:rPr>
                <w:rFonts w:eastAsia="Times New Roman"/>
                <w:kern w:val="22"/>
                <w:lang w:val="es-ES"/>
              </w:rPr>
              <w:t xml:space="preserve"> meta de silvicultura sostenible para 2020:</w:t>
            </w:r>
            <w:r>
              <w:rPr>
                <w:rFonts w:eastAsia="Times New Roman"/>
                <w:color w:val="000000"/>
                <w:kern w:val="22"/>
                <w:lang w:val="es-ES"/>
              </w:rPr>
              <w:t xml:space="preserve"> trabajar con asociados para medir el impacto de la certificación en los bosques, la diversidad biológica y la</w:t>
            </w:r>
            <w:r w:rsidR="001F7F12">
              <w:rPr>
                <w:rFonts w:eastAsia="Times New Roman"/>
                <w:color w:val="000000"/>
                <w:kern w:val="22"/>
                <w:lang w:val="es-ES"/>
              </w:rPr>
              <w:t>s</w:t>
            </w:r>
            <w:r>
              <w:rPr>
                <w:rFonts w:eastAsia="Times New Roman"/>
                <w:color w:val="000000"/>
                <w:kern w:val="22"/>
                <w:lang w:val="es-ES"/>
              </w:rPr>
              <w:t xml:space="preserve"> comunidades </w:t>
            </w:r>
            <w:r w:rsidR="001F7F12">
              <w:rPr>
                <w:rFonts w:eastAsia="Times New Roman"/>
                <w:color w:val="000000"/>
                <w:kern w:val="22"/>
                <w:lang w:val="es-ES"/>
              </w:rPr>
              <w:t>forestales</w:t>
            </w:r>
            <w:r>
              <w:rPr>
                <w:rFonts w:eastAsia="Times New Roman"/>
                <w:color w:val="000000"/>
                <w:kern w:val="22"/>
                <w:lang w:val="es-ES"/>
              </w:rPr>
              <w:t xml:space="preserve"> y evaluar el efecto de su abastecimiento responsable de madera y papel</w:t>
            </w:r>
            <w:r>
              <w:rPr>
                <w:rFonts w:eastAsia="Times New Roman"/>
                <w:color w:val="000000"/>
                <w:kern w:val="22"/>
                <w:lang w:val="es-ES"/>
              </w:rPr>
              <w:br/>
              <w:t>• En 2014 ayudó a fundar la iniciativa de Análisis de Impacto de Valor (Value Impact Analysis o VIA) para desarrollar una metodología de cuantificación de los impactos de la certificación de</w:t>
            </w:r>
            <w:r w:rsidR="001F7F12">
              <w:rPr>
                <w:rFonts w:eastAsia="Times New Roman"/>
                <w:color w:val="000000"/>
                <w:kern w:val="22"/>
                <w:lang w:val="es-ES"/>
              </w:rPr>
              <w:t>l</w:t>
            </w:r>
            <w:r>
              <w:rPr>
                <w:rFonts w:eastAsia="Times New Roman"/>
                <w:color w:val="000000"/>
                <w:kern w:val="22"/>
                <w:lang w:val="es-ES"/>
              </w:rPr>
              <w:t xml:space="preserve"> Consejo de Administración Forestal (FSC)</w:t>
            </w:r>
          </w:p>
          <w:p w:rsidR="00607CAD" w:rsidRDefault="00607CAD" w:rsidP="001F7F12">
            <w:pPr>
              <w:suppressLineNumbers/>
              <w:suppressAutoHyphens/>
              <w:kinsoku w:val="0"/>
              <w:overflowPunct w:val="0"/>
              <w:autoSpaceDE w:val="0"/>
              <w:autoSpaceDN w:val="0"/>
              <w:adjustRightInd w:val="0"/>
              <w:snapToGrid w:val="0"/>
              <w:spacing w:after="20"/>
              <w:jc w:val="left"/>
              <w:rPr>
                <w:rFonts w:eastAsia="Times New Roman"/>
              </w:rPr>
            </w:pPr>
            <w:r>
              <w:rPr>
                <w:rFonts w:eastAsia="Times New Roman"/>
                <w:color w:val="000000"/>
                <w:kern w:val="22"/>
                <w:lang w:val="es-ES"/>
              </w:rPr>
              <w:br/>
            </w:r>
            <w:r>
              <w:rPr>
                <w:rFonts w:eastAsia="Times New Roman"/>
                <w:color w:val="000000"/>
                <w:kern w:val="22"/>
                <w:lang w:val="es-ES"/>
              </w:rPr>
              <w:lastRenderedPageBreak/>
              <w:t>• Meta de diversidad biológica para 2020: Mejorar la diversidad biológica en proyectos de nuevas construcciones, remodelaciones importantes y tiendas existentes</w:t>
            </w:r>
            <w:r>
              <w:rPr>
                <w:rFonts w:eastAsia="Times New Roman"/>
                <w:color w:val="000000"/>
                <w:kern w:val="22"/>
                <w:lang w:val="es-ES"/>
              </w:rPr>
              <w:br/>
              <w:t>• En 2016-2017 se realizaron auditorías de diversidad biológica para algunos proyectos de nuevas construcciones y remodelaciones importantes</w:t>
            </w:r>
          </w:p>
        </w:tc>
      </w:tr>
      <w:tr w:rsidR="00607CAD">
        <w:trPr>
          <w:cantSplit/>
          <w:jc w:val="center"/>
        </w:trPr>
        <w:tc>
          <w:tcPr>
            <w:tcW w:w="2469"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kern w:val="22"/>
                <w:lang w:val="es-ES"/>
              </w:rPr>
              <w:lastRenderedPageBreak/>
              <w:t>Hydro Quebec - Servicios públicos de energía</w:t>
            </w:r>
          </w:p>
        </w:tc>
        <w:tc>
          <w:tcPr>
            <w:tcW w:w="7223" w:type="dxa"/>
            <w:gridSpan w:val="2"/>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spacing w:after="40"/>
              <w:jc w:val="left"/>
            </w:pPr>
            <w:r>
              <w:rPr>
                <w:kern w:val="22"/>
                <w:lang w:val="es-ES"/>
              </w:rPr>
              <w:t>• Ocupa el cuarto lugar (de 34) en cuanto a compromiso con la protección y restauración de hábitats naturales y fauna y flora silvestre de áreas protegidas</w:t>
            </w:r>
            <w:r>
              <w:rPr>
                <w:rFonts w:ascii="PMingLiU" w:eastAsia="PMingLiU"/>
                <w:kern w:val="22"/>
                <w:lang w:val="es-ES"/>
              </w:rPr>
              <w:br/>
            </w:r>
            <w:r>
              <w:rPr>
                <w:kern w:val="22"/>
                <w:lang w:val="es-ES"/>
              </w:rPr>
              <w:t>• Para mejorar su gobernanza de la diversidad biológica, Hydro-Québec adoptó una nueva estrategia y plan de acción corporativos y se comprometió a presentar informes públicos en materia de diversidad biológica</w:t>
            </w:r>
            <w:r>
              <w:rPr>
                <w:kern w:val="22"/>
                <w:lang w:val="es-ES"/>
              </w:rPr>
              <w:br/>
              <w:t>• Publicó su segundo Informe de Desempeño en materia de Diversidad Biológica</w:t>
            </w:r>
          </w:p>
        </w:tc>
      </w:tr>
      <w:tr w:rsidR="00607CAD">
        <w:trPr>
          <w:jc w:val="center"/>
        </w:trPr>
        <w:tc>
          <w:tcPr>
            <w:tcW w:w="9692" w:type="dxa"/>
            <w:gridSpan w:val="3"/>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spacing w:after="120"/>
              <w:jc w:val="left"/>
              <w:rPr>
                <w:rFonts w:eastAsia="Times New Roman"/>
                <w:lang w:val="es-ES"/>
              </w:rPr>
            </w:pPr>
            <w:r>
              <w:rPr>
                <w:rFonts w:eastAsia="Times New Roman"/>
                <w:b/>
                <w:color w:val="000000"/>
                <w:kern w:val="22"/>
                <w:lang w:val="es-ES"/>
              </w:rPr>
              <w:t>Tema: Participación</w:t>
            </w:r>
          </w:p>
          <w:p w:rsidR="00607CAD" w:rsidRDefault="00607CAD" w:rsidP="00F30200">
            <w:pPr>
              <w:suppressLineNumbers/>
              <w:suppressAutoHyphens/>
              <w:kinsoku w:val="0"/>
              <w:overflowPunct w:val="0"/>
              <w:autoSpaceDE w:val="0"/>
              <w:autoSpaceDN w:val="0"/>
              <w:adjustRightInd w:val="0"/>
              <w:snapToGrid w:val="0"/>
              <w:jc w:val="left"/>
              <w:rPr>
                <w:rFonts w:eastAsia="Times New Roman"/>
              </w:rPr>
            </w:pPr>
            <w:r>
              <w:rPr>
                <w:rFonts w:eastAsia="Times New Roman"/>
                <w:color w:val="000000"/>
                <w:kern w:val="22"/>
                <w:lang w:val="es-ES"/>
              </w:rPr>
              <w:t xml:space="preserve">Ejemplos </w:t>
            </w:r>
            <w:r w:rsidR="00AA5F23">
              <w:rPr>
                <w:rFonts w:eastAsia="Times New Roman"/>
                <w:color w:val="000000"/>
                <w:kern w:val="22"/>
                <w:lang w:val="es-ES"/>
              </w:rPr>
              <w:t>d</w:t>
            </w:r>
            <w:r>
              <w:rPr>
                <w:rFonts w:eastAsia="Times New Roman"/>
                <w:color w:val="000000"/>
                <w:kern w:val="22"/>
                <w:lang w:val="es-ES"/>
              </w:rPr>
              <w:t xml:space="preserve">e tópicos principales: </w:t>
            </w:r>
            <w:r w:rsidR="00F30200">
              <w:rPr>
                <w:rFonts w:eastAsia="Times New Roman"/>
                <w:color w:val="000000"/>
                <w:kern w:val="22"/>
                <w:lang w:val="es-ES"/>
              </w:rPr>
              <w:t>A</w:t>
            </w:r>
            <w:r>
              <w:rPr>
                <w:rFonts w:eastAsia="Times New Roman"/>
                <w:color w:val="000000"/>
                <w:kern w:val="22"/>
                <w:lang w:val="es-ES"/>
              </w:rPr>
              <w:t>cciones tomadas; participación de interesados directos, proyectos de financiación, asociaciones con ONG y otros</w:t>
            </w:r>
          </w:p>
        </w:tc>
      </w:tr>
      <w:tr w:rsidR="00607CAD">
        <w:trPr>
          <w:jc w:val="center"/>
        </w:trPr>
        <w:tc>
          <w:tcPr>
            <w:tcW w:w="2545" w:type="dxa"/>
            <w:gridSpan w:val="2"/>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Unilever – Alimentos y bebidas</w:t>
            </w:r>
          </w:p>
        </w:tc>
        <w:tc>
          <w:tcPr>
            <w:tcW w:w="7147" w:type="dxa"/>
            <w:tcMar>
              <w:top w:w="43" w:type="dxa"/>
              <w:left w:w="115" w:type="dxa"/>
              <w:bottom w:w="43" w:type="dxa"/>
              <w:right w:w="115" w:type="dxa"/>
            </w:tcMar>
          </w:tcPr>
          <w:p w:rsidR="00607CAD" w:rsidRPr="004A68EB" w:rsidRDefault="00607CAD">
            <w:pPr>
              <w:suppressLineNumbers/>
              <w:suppressAutoHyphens/>
              <w:kinsoku w:val="0"/>
              <w:overflowPunct w:val="0"/>
              <w:autoSpaceDE w:val="0"/>
              <w:autoSpaceDN w:val="0"/>
              <w:adjustRightInd w:val="0"/>
              <w:snapToGrid w:val="0"/>
              <w:jc w:val="left"/>
            </w:pPr>
            <w:r>
              <w:rPr>
                <w:color w:val="000000"/>
                <w:kern w:val="22"/>
                <w:lang w:val="es-ES"/>
              </w:rPr>
              <w:t xml:space="preserve">• Integra el Foro de Bienes de Consumo (Consumer Goods Forum o CGF) </w:t>
            </w:r>
            <w:r>
              <w:rPr>
                <w:rFonts w:ascii="PMingLiU" w:eastAsia="PMingLiU"/>
                <w:color w:val="000000"/>
                <w:kern w:val="22"/>
                <w:lang w:val="es-ES"/>
              </w:rPr>
              <w:br/>
            </w:r>
            <w:r>
              <w:rPr>
                <w:color w:val="000000"/>
                <w:kern w:val="22"/>
                <w:lang w:val="es-ES"/>
              </w:rPr>
              <w:t>• Dirigió la fundación de la Alianza de Bosques Tropicales 2020 e inspiró a agricultores a iniciar sus propios planes de acción en materia de biodiversidad</w:t>
            </w:r>
            <w:r>
              <w:rPr>
                <w:rFonts w:ascii="PMingLiU" w:eastAsia="PMingLiU"/>
                <w:color w:val="000000"/>
                <w:kern w:val="22"/>
                <w:lang w:val="es-ES"/>
              </w:rPr>
              <w:br/>
            </w:r>
            <w:r>
              <w:rPr>
                <w:color w:val="000000"/>
                <w:kern w:val="22"/>
                <w:lang w:val="es-ES"/>
              </w:rPr>
              <w:t>• Trabaja con interesados directos a través de plataformas como el Foro Económico Mundial, el Pacto Mundial de las Naciones Unidas, el Consejo Empresarial Mundial para el Desarrollo Sostenible y el Foro de Bienes de Consumo</w:t>
            </w:r>
          </w:p>
        </w:tc>
      </w:tr>
      <w:tr w:rsidR="00607CAD">
        <w:trPr>
          <w:jc w:val="center"/>
        </w:trPr>
        <w:tc>
          <w:tcPr>
            <w:tcW w:w="2545" w:type="dxa"/>
            <w:gridSpan w:val="2"/>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kern w:val="22"/>
                <w:lang w:val="es-ES"/>
              </w:rPr>
              <w:t>BHP – Minería</w:t>
            </w:r>
          </w:p>
        </w:tc>
        <w:tc>
          <w:tcPr>
            <w:tcW w:w="7147" w:type="dxa"/>
            <w:tcMar>
              <w:top w:w="43" w:type="dxa"/>
              <w:left w:w="115" w:type="dxa"/>
              <w:bottom w:w="43" w:type="dxa"/>
              <w:right w:w="115" w:type="dxa"/>
            </w:tcMar>
            <w:vAlign w:val="center"/>
          </w:tcPr>
          <w:p w:rsidR="00607CAD" w:rsidRDefault="00607CAD" w:rsidP="00AA5F23">
            <w:pPr>
              <w:suppressLineNumbers/>
              <w:suppressAutoHyphens/>
              <w:kinsoku w:val="0"/>
              <w:overflowPunct w:val="0"/>
              <w:autoSpaceDE w:val="0"/>
              <w:autoSpaceDN w:val="0"/>
              <w:adjustRightInd w:val="0"/>
              <w:snapToGrid w:val="0"/>
              <w:spacing w:after="20"/>
              <w:jc w:val="left"/>
            </w:pPr>
            <w:r>
              <w:rPr>
                <w:color w:val="000000"/>
                <w:kern w:val="22"/>
                <w:lang w:val="es-ES"/>
              </w:rPr>
              <w:t>• Asociación con Fauna y Flora Internacional (FFI)</w:t>
            </w:r>
            <w:r>
              <w:rPr>
                <w:color w:val="000000"/>
                <w:kern w:val="22"/>
                <w:lang w:val="es-ES"/>
              </w:rPr>
              <w:br/>
              <w:t>• Asociación de 1,4 millones de dólares australianos entre la Red de Museos de Queensland y BHP Billiton para comunicar la importancia y el valor de la diversidad bio</w:t>
            </w:r>
            <w:r w:rsidR="00AA5F23">
              <w:rPr>
                <w:color w:val="000000"/>
                <w:kern w:val="22"/>
                <w:lang w:val="es-ES"/>
              </w:rPr>
              <w:t>lógica</w:t>
            </w:r>
            <w:r>
              <w:rPr>
                <w:rFonts w:ascii="PMingLiU" w:eastAsia="PMingLiU"/>
                <w:color w:val="000000"/>
                <w:kern w:val="22"/>
                <w:lang w:val="es-ES"/>
              </w:rPr>
              <w:br/>
            </w:r>
            <w:r>
              <w:rPr>
                <w:color w:val="000000"/>
                <w:kern w:val="22"/>
                <w:lang w:val="es-ES"/>
              </w:rPr>
              <w:t>• Lanzó el Proyecto de Conservación Cinco Ríos junto con Tasmanian Land Conservancy y Conservation International, con una contribución de 13,4 millones de dólares australianos para la conservación y gestión continua de 11.000 hectáreas de tierras en Tasmania, Australia</w:t>
            </w:r>
          </w:p>
        </w:tc>
      </w:tr>
      <w:tr w:rsidR="00607CAD">
        <w:trPr>
          <w:jc w:val="center"/>
        </w:trPr>
        <w:tc>
          <w:tcPr>
            <w:tcW w:w="2545" w:type="dxa"/>
            <w:gridSpan w:val="2"/>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BP – Energía</w:t>
            </w:r>
          </w:p>
        </w:tc>
        <w:tc>
          <w:tcPr>
            <w:tcW w:w="7147"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spacing w:after="20"/>
              <w:jc w:val="left"/>
            </w:pPr>
            <w:r>
              <w:rPr>
                <w:color w:val="000000"/>
                <w:kern w:val="22"/>
                <w:lang w:val="es-ES"/>
              </w:rPr>
              <w:t>• Trabaja en colaboración con Nature Conservancy y FFI</w:t>
            </w:r>
            <w:r>
              <w:rPr>
                <w:rFonts w:ascii="PMingLiU" w:eastAsia="PMingLiU"/>
                <w:color w:val="000000"/>
                <w:kern w:val="22"/>
                <w:lang w:val="es-ES"/>
              </w:rPr>
              <w:br/>
            </w:r>
            <w:r>
              <w:rPr>
                <w:color w:val="000000"/>
                <w:kern w:val="22"/>
                <w:lang w:val="es-ES"/>
              </w:rPr>
              <w:t>• Trabaja con ONG y comunidades en la gestión de cuestiones de flora y fauna silvestre en el entorno de sus obras</w:t>
            </w:r>
            <w:r>
              <w:rPr>
                <w:color w:val="000000"/>
                <w:kern w:val="22"/>
                <w:lang w:val="es-ES"/>
              </w:rPr>
              <w:br/>
              <w:t>• Integra la Asociación de la Industria Petrolera Internacional para la Conservación del Medio Ambiente (IPIECA)</w:t>
            </w:r>
            <w:r>
              <w:rPr>
                <w:rFonts w:ascii="PMingLiU" w:eastAsia="PMingLiU"/>
                <w:color w:val="000000"/>
                <w:kern w:val="22"/>
                <w:lang w:val="es-ES"/>
              </w:rPr>
              <w:br/>
            </w:r>
            <w:r>
              <w:rPr>
                <w:color w:val="000000"/>
                <w:kern w:val="22"/>
                <w:lang w:val="es-ES"/>
              </w:rPr>
              <w:t>• Apoya el programa de investigaciones de</w:t>
            </w:r>
            <w:r w:rsidR="00E32F92">
              <w:rPr>
                <w:color w:val="000000"/>
                <w:kern w:val="22"/>
                <w:lang w:val="es-ES"/>
              </w:rPr>
              <w:t xml:space="preserve"> la</w:t>
            </w:r>
            <w:r>
              <w:rPr>
                <w:color w:val="000000"/>
                <w:kern w:val="22"/>
                <w:lang w:val="es-ES"/>
              </w:rPr>
              <w:t xml:space="preserve"> Gran Bahía Australiana que estudia la importancia biológica y socioeconómica de la Bahía</w:t>
            </w:r>
          </w:p>
        </w:tc>
      </w:tr>
      <w:tr w:rsidR="00607CAD">
        <w:trPr>
          <w:jc w:val="center"/>
        </w:trPr>
        <w:tc>
          <w:tcPr>
            <w:tcW w:w="2545" w:type="dxa"/>
            <w:gridSpan w:val="2"/>
            <w:tcMar>
              <w:top w:w="43" w:type="dxa"/>
              <w:left w:w="115" w:type="dxa"/>
              <w:bottom w:w="43" w:type="dxa"/>
              <w:right w:w="115" w:type="dxa"/>
            </w:tcMar>
            <w:vAlign w:val="center"/>
          </w:tcPr>
          <w:p w:rsidR="00607CAD" w:rsidRDefault="00607CAD" w:rsidP="00E32F92">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 xml:space="preserve">Sime Darby Plantation – </w:t>
            </w:r>
            <w:r w:rsidR="00E32F92">
              <w:rPr>
                <w:rFonts w:eastAsia="Times New Roman"/>
                <w:b/>
                <w:color w:val="000000"/>
                <w:kern w:val="22"/>
                <w:lang w:val="es-ES"/>
              </w:rPr>
              <w:t>E</w:t>
            </w:r>
            <w:r>
              <w:rPr>
                <w:rFonts w:eastAsia="Times New Roman"/>
                <w:b/>
                <w:color w:val="000000"/>
                <w:kern w:val="22"/>
                <w:lang w:val="es-ES"/>
              </w:rPr>
              <w:t>quipamiento industrial, motores, propiedades, logística</w:t>
            </w:r>
          </w:p>
        </w:tc>
        <w:tc>
          <w:tcPr>
            <w:tcW w:w="7147"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spacing w:after="20"/>
              <w:jc w:val="left"/>
            </w:pPr>
            <w:r>
              <w:rPr>
                <w:color w:val="000000"/>
                <w:kern w:val="22"/>
                <w:lang w:val="es-ES"/>
              </w:rPr>
              <w:t>• Signataria del Manifiesto de Aceite de Palma Sostenible (Sustainable Palm Oil Manifesto, o SPOM)</w:t>
            </w:r>
            <w:r>
              <w:rPr>
                <w:rFonts w:ascii="PMingLiU" w:eastAsia="PMingLiU"/>
                <w:color w:val="000000"/>
                <w:kern w:val="22"/>
                <w:lang w:val="es-ES"/>
              </w:rPr>
              <w:br/>
            </w:r>
            <w:r>
              <w:rPr>
                <w:color w:val="000000"/>
                <w:kern w:val="22"/>
                <w:lang w:val="es-ES"/>
              </w:rPr>
              <w:t>• Asociación con otros signatarios del SPOM</w:t>
            </w:r>
            <w:r>
              <w:rPr>
                <w:rFonts w:ascii="PMingLiU" w:eastAsia="PMingLiU"/>
                <w:color w:val="000000"/>
                <w:kern w:val="22"/>
                <w:lang w:val="es-ES"/>
              </w:rPr>
              <w:br/>
            </w:r>
            <w:r>
              <w:rPr>
                <w:color w:val="000000"/>
                <w:kern w:val="22"/>
                <w:lang w:val="es-ES"/>
              </w:rPr>
              <w:t xml:space="preserve">• Actividades de conservación de la diversidad biológica: </w:t>
            </w:r>
            <w:r>
              <w:rPr>
                <w:kern w:val="22"/>
                <w:lang w:val="es-ES"/>
              </w:rPr>
              <w:t>Lanzamiento en 2008 del programa “Plante-Un-Árbol”</w:t>
            </w:r>
            <w:r>
              <w:rPr>
                <w:kern w:val="22"/>
                <w:lang w:val="es-ES"/>
              </w:rPr>
              <w:br/>
              <w:t>• Santuario de Flora y Fauna Silvestre en la isla Carey:</w:t>
            </w:r>
            <w:r>
              <w:rPr>
                <w:color w:val="000000"/>
                <w:kern w:val="22"/>
                <w:lang w:val="es-ES"/>
              </w:rPr>
              <w:t xml:space="preserve"> reservado como área de conservación de diversidad biológica</w:t>
            </w:r>
            <w:r>
              <w:rPr>
                <w:rFonts w:ascii="PMingLiU" w:eastAsia="PMingLiU"/>
                <w:color w:val="000000"/>
                <w:kern w:val="22"/>
                <w:lang w:val="es-ES"/>
              </w:rPr>
              <w:br/>
            </w:r>
            <w:r>
              <w:rPr>
                <w:color w:val="000000"/>
                <w:kern w:val="22"/>
                <w:lang w:val="es-ES"/>
              </w:rPr>
              <w:t xml:space="preserve">• Trabaja con clientes </w:t>
            </w:r>
            <w:r w:rsidR="00E32570">
              <w:rPr>
                <w:color w:val="000000"/>
                <w:kern w:val="22"/>
                <w:lang w:val="es-ES"/>
              </w:rPr>
              <w:t>mediant</w:t>
            </w:r>
            <w:r>
              <w:rPr>
                <w:color w:val="000000"/>
                <w:kern w:val="22"/>
                <w:lang w:val="es-ES"/>
              </w:rPr>
              <w:t xml:space="preserve">e encuestas y reuniones </w:t>
            </w:r>
            <w:r w:rsidR="00E32570">
              <w:rPr>
                <w:color w:val="000000"/>
                <w:kern w:val="22"/>
                <w:lang w:val="es-ES"/>
              </w:rPr>
              <w:t>de</w:t>
            </w:r>
            <w:r>
              <w:rPr>
                <w:color w:val="000000"/>
                <w:kern w:val="22"/>
                <w:lang w:val="es-ES"/>
              </w:rPr>
              <w:t xml:space="preserve"> diversidad biológica</w:t>
            </w:r>
            <w:r>
              <w:rPr>
                <w:rFonts w:ascii="PMingLiU" w:eastAsia="PMingLiU"/>
                <w:color w:val="000000"/>
                <w:kern w:val="22"/>
                <w:lang w:val="es-ES"/>
              </w:rPr>
              <w:br/>
            </w:r>
            <w:r>
              <w:rPr>
                <w:color w:val="000000"/>
                <w:kern w:val="22"/>
                <w:lang w:val="es-ES"/>
              </w:rPr>
              <w:t>• Participa en el grupo de trabajo sobre diversidad biológica y el Grupo de Trabajo de Alto Valor de Conservación</w:t>
            </w:r>
          </w:p>
        </w:tc>
      </w:tr>
      <w:tr w:rsidR="00607CAD" w:rsidTr="004A68EB">
        <w:trPr>
          <w:cantSplit/>
          <w:jc w:val="center"/>
        </w:trPr>
        <w:tc>
          <w:tcPr>
            <w:tcW w:w="2545" w:type="dxa"/>
            <w:gridSpan w:val="2"/>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kern w:val="22"/>
                <w:lang w:val="es-ES"/>
              </w:rPr>
              <w:lastRenderedPageBreak/>
              <w:t>Bechtel – Infraestructura</w:t>
            </w:r>
          </w:p>
        </w:tc>
        <w:tc>
          <w:tcPr>
            <w:tcW w:w="7147"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spacing w:after="20"/>
              <w:jc w:val="left"/>
              <w:rPr>
                <w:rFonts w:eastAsia="Times New Roman"/>
                <w:color w:val="000000"/>
                <w:kern w:val="22"/>
                <w:lang w:val="es-ES"/>
              </w:rPr>
            </w:pPr>
            <w:r>
              <w:rPr>
                <w:rFonts w:eastAsia="Times New Roman"/>
                <w:color w:val="000000"/>
                <w:kern w:val="22"/>
                <w:lang w:val="es-ES"/>
              </w:rPr>
              <w:t>• Bechtel</w:t>
            </w:r>
            <w:r w:rsidR="00656E05">
              <w:rPr>
                <w:rFonts w:eastAsia="Times New Roman"/>
                <w:color w:val="000000"/>
                <w:kern w:val="22"/>
                <w:lang w:val="es-ES"/>
              </w:rPr>
              <w:t xml:space="preserve"> </w:t>
            </w:r>
            <w:r w:rsidR="00F30200">
              <w:rPr>
                <w:rFonts w:eastAsia="Times New Roman"/>
                <w:color w:val="000000"/>
                <w:kern w:val="22"/>
                <w:lang w:val="es-ES"/>
              </w:rPr>
              <w:t>colabora con</w:t>
            </w:r>
            <w:r>
              <w:rPr>
                <w:rFonts w:eastAsia="Times New Roman"/>
                <w:color w:val="000000"/>
                <w:kern w:val="22"/>
                <w:lang w:val="es-ES"/>
              </w:rPr>
              <w:t xml:space="preserve"> Conservation International en un proyecto de protección costera en Filipinas</w:t>
            </w:r>
          </w:p>
          <w:p w:rsidR="00607CAD" w:rsidRDefault="00607CAD">
            <w:pPr>
              <w:suppressLineNumbers/>
              <w:suppressAutoHyphens/>
              <w:kinsoku w:val="0"/>
              <w:overflowPunct w:val="0"/>
              <w:autoSpaceDE w:val="0"/>
              <w:autoSpaceDN w:val="0"/>
              <w:adjustRightInd w:val="0"/>
              <w:snapToGrid w:val="0"/>
              <w:spacing w:after="20"/>
              <w:jc w:val="left"/>
              <w:rPr>
                <w:rFonts w:eastAsia="Times New Roman"/>
                <w:color w:val="000000"/>
                <w:kern w:val="22"/>
                <w:lang w:val="es-ES"/>
              </w:rPr>
            </w:pPr>
            <w:r>
              <w:rPr>
                <w:rFonts w:eastAsia="Times New Roman"/>
                <w:color w:val="000000"/>
                <w:kern w:val="22"/>
                <w:lang w:val="es-ES"/>
              </w:rPr>
              <w:t>• Bechtel e Ingenieros Sin Fronteras trabajan con líderes de la comunidad Mikomago, en Uganda, para suministrar agua potable a más de 1.700 personas</w:t>
            </w:r>
          </w:p>
          <w:p w:rsidR="00607CAD" w:rsidRDefault="00607CAD">
            <w:pPr>
              <w:suppressLineNumbers/>
              <w:suppressAutoHyphens/>
              <w:kinsoku w:val="0"/>
              <w:overflowPunct w:val="0"/>
              <w:autoSpaceDE w:val="0"/>
              <w:autoSpaceDN w:val="0"/>
              <w:adjustRightInd w:val="0"/>
              <w:snapToGrid w:val="0"/>
              <w:spacing w:after="20"/>
              <w:jc w:val="left"/>
              <w:rPr>
                <w:rFonts w:eastAsia="Times New Roman"/>
              </w:rPr>
            </w:pPr>
            <w:r>
              <w:rPr>
                <w:rFonts w:eastAsia="Times New Roman"/>
                <w:color w:val="000000"/>
                <w:kern w:val="22"/>
                <w:lang w:val="es-ES"/>
              </w:rPr>
              <w:t>• Bechtel proporcionó tres plantas de gas natural licuado a la Isla Curtis. El desarrollo es parte de la inversión de capital más grande de la historia de Australia. La protección de la diversidad biológica fue un objetivo de sostenibilidad clave durante la construcción, ya que hay una variedad de aves silvestres, mamíferos marinos y reptiles autóctonos que dependen del ecosistema natural</w:t>
            </w:r>
          </w:p>
        </w:tc>
      </w:tr>
      <w:tr w:rsidR="00607CAD">
        <w:trPr>
          <w:cantSplit/>
          <w:jc w:val="center"/>
        </w:trPr>
        <w:tc>
          <w:tcPr>
            <w:tcW w:w="2545" w:type="dxa"/>
            <w:gridSpan w:val="2"/>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kern w:val="22"/>
                <w:lang w:val="es-ES"/>
              </w:rPr>
              <w:t>Olam – Agricultura</w:t>
            </w:r>
          </w:p>
        </w:tc>
        <w:tc>
          <w:tcPr>
            <w:tcW w:w="7147"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spacing w:after="20"/>
              <w:jc w:val="left"/>
              <w:rPr>
                <w:rFonts w:eastAsia="Times New Roman"/>
              </w:rPr>
            </w:pPr>
            <w:r>
              <w:rPr>
                <w:rFonts w:eastAsia="Times New Roman"/>
                <w:kern w:val="22"/>
                <w:lang w:val="es-ES"/>
              </w:rPr>
              <w:t>• Más allá de sus actividades directas, Olam trabaja con pequeños agricultores en el marco de la Carta de Medios de Vida de Olam para reconocer los beneficios de mantener el ecosistema, incluidos los beneficios de la diversidad biológica</w:t>
            </w:r>
            <w:r>
              <w:rPr>
                <w:rFonts w:eastAsia="Times New Roman"/>
                <w:kern w:val="22"/>
                <w:lang w:val="es-ES"/>
              </w:rPr>
              <w:br/>
              <w:t>• Explota todas sus plantaciones de acuerdo con estándares reconocidos internacionalmente, cumpliendo como mínimo con los Estándares de Desempeño de la Corporación Financiera Internacional (CFI), y va más allá con el código de Plantaciones, Concesiones y Granjas de Olam (código PCF)</w:t>
            </w:r>
            <w:r>
              <w:rPr>
                <w:rFonts w:eastAsia="Times New Roman"/>
                <w:kern w:val="22"/>
                <w:lang w:val="es-ES"/>
              </w:rPr>
              <w:br/>
              <w:t>• Invierte en instalaciones educativas y de atención de salud locales y en capacitación para la diversificación de ingresos en apicultura y otros cultivos; Olam trabaja en estrecha colaboración con ONG asociadas para apoyar a comunidades rurales prósperas</w:t>
            </w:r>
          </w:p>
        </w:tc>
      </w:tr>
      <w:tr w:rsidR="00607CAD">
        <w:trPr>
          <w:jc w:val="center"/>
        </w:trPr>
        <w:tc>
          <w:tcPr>
            <w:tcW w:w="9692" w:type="dxa"/>
            <w:gridSpan w:val="3"/>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lang w:val="es-ES"/>
              </w:rPr>
            </w:pPr>
            <w:r>
              <w:rPr>
                <w:rFonts w:eastAsia="Times New Roman"/>
                <w:b/>
                <w:color w:val="000000"/>
                <w:kern w:val="22"/>
                <w:lang w:val="es-ES"/>
              </w:rPr>
              <w:t>Tema: Medición</w:t>
            </w:r>
          </w:p>
          <w:p w:rsidR="00607CAD" w:rsidRPr="008E4C64" w:rsidRDefault="00607CAD" w:rsidP="00F30200">
            <w:pPr>
              <w:suppressLineNumbers/>
              <w:suppressAutoHyphens/>
              <w:kinsoku w:val="0"/>
              <w:overflowPunct w:val="0"/>
              <w:autoSpaceDE w:val="0"/>
              <w:autoSpaceDN w:val="0"/>
              <w:adjustRightInd w:val="0"/>
              <w:snapToGrid w:val="0"/>
              <w:jc w:val="left"/>
              <w:rPr>
                <w:rFonts w:eastAsia="Times New Roman"/>
              </w:rPr>
            </w:pPr>
            <w:r>
              <w:rPr>
                <w:rFonts w:eastAsia="Times New Roman"/>
                <w:color w:val="000000"/>
                <w:kern w:val="22"/>
                <w:lang w:val="es-ES"/>
              </w:rPr>
              <w:t xml:space="preserve">Ejemplos </w:t>
            </w:r>
            <w:r w:rsidR="00AA5F23">
              <w:rPr>
                <w:rFonts w:eastAsia="Times New Roman"/>
                <w:color w:val="000000"/>
                <w:kern w:val="22"/>
                <w:lang w:val="es-ES"/>
              </w:rPr>
              <w:t>de</w:t>
            </w:r>
            <w:r>
              <w:rPr>
                <w:rFonts w:eastAsia="Times New Roman"/>
                <w:color w:val="000000"/>
                <w:kern w:val="22"/>
                <w:lang w:val="es-ES"/>
              </w:rPr>
              <w:t xml:space="preserve"> tópicos principales: </w:t>
            </w:r>
            <w:r w:rsidR="00F30200">
              <w:rPr>
                <w:rFonts w:eastAsia="Times New Roman"/>
                <w:color w:val="000000"/>
                <w:kern w:val="22"/>
                <w:lang w:val="es-ES"/>
              </w:rPr>
              <w:t>M</w:t>
            </w:r>
            <w:r>
              <w:rPr>
                <w:rFonts w:eastAsia="Times New Roman"/>
                <w:color w:val="000000"/>
                <w:kern w:val="22"/>
                <w:lang w:val="es-ES"/>
              </w:rPr>
              <w:t>edición de impactos, evaluación de riesgos, herramientas</w:t>
            </w:r>
            <w:r w:rsidR="00E32F92">
              <w:rPr>
                <w:rFonts w:eastAsia="Times New Roman"/>
                <w:color w:val="000000"/>
                <w:kern w:val="22"/>
                <w:lang w:val="es-ES"/>
              </w:rPr>
              <w:t xml:space="preserve"> de</w:t>
            </w:r>
            <w:r w:rsidR="00656E05">
              <w:rPr>
                <w:rFonts w:eastAsia="Times New Roman"/>
                <w:color w:val="000000"/>
                <w:kern w:val="22"/>
                <w:lang w:val="es-ES"/>
              </w:rPr>
              <w:t xml:space="preserve"> </w:t>
            </w:r>
            <w:r w:rsidR="00E32F92">
              <w:rPr>
                <w:rFonts w:eastAsia="Times New Roman"/>
                <w:color w:val="000000"/>
                <w:kern w:val="22"/>
                <w:lang w:val="es-ES"/>
              </w:rPr>
              <w:t>implementación</w:t>
            </w:r>
            <w:r>
              <w:rPr>
                <w:rFonts w:eastAsia="Times New Roman"/>
                <w:color w:val="000000"/>
                <w:kern w:val="22"/>
                <w:lang w:val="es-ES"/>
              </w:rPr>
              <w:t>, presentación de informes sobre indicadores</w:t>
            </w:r>
          </w:p>
        </w:tc>
      </w:tr>
      <w:tr w:rsidR="00607CAD">
        <w:trPr>
          <w:jc w:val="center"/>
        </w:trPr>
        <w:tc>
          <w:tcPr>
            <w:tcW w:w="2469" w:type="dxa"/>
            <w:tcMar>
              <w:top w:w="43" w:type="dxa"/>
              <w:left w:w="115" w:type="dxa"/>
              <w:bottom w:w="43" w:type="dxa"/>
              <w:right w:w="115" w:type="dxa"/>
            </w:tcMar>
            <w:vAlign w:val="center"/>
          </w:tcPr>
          <w:p w:rsidR="00607CAD" w:rsidRDefault="00607CAD" w:rsidP="00CA4003">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ArcelorMittal Bra</w:t>
            </w:r>
            <w:r w:rsidR="00CA4003">
              <w:rPr>
                <w:rFonts w:eastAsia="Times New Roman"/>
                <w:b/>
                <w:color w:val="000000"/>
                <w:kern w:val="22"/>
                <w:lang w:val="es-ES"/>
              </w:rPr>
              <w:t>s</w:t>
            </w:r>
            <w:r>
              <w:rPr>
                <w:rFonts w:eastAsia="Times New Roman"/>
                <w:b/>
                <w:color w:val="000000"/>
                <w:kern w:val="22"/>
                <w:lang w:val="es-ES"/>
              </w:rPr>
              <w:t>il – Productos de metal</w:t>
            </w:r>
          </w:p>
        </w:tc>
        <w:tc>
          <w:tcPr>
            <w:tcW w:w="7223" w:type="dxa"/>
            <w:gridSpan w:val="2"/>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spacing w:after="20"/>
              <w:jc w:val="left"/>
            </w:pPr>
            <w:r>
              <w:rPr>
                <w:color w:val="000000"/>
                <w:kern w:val="22"/>
                <w:lang w:val="es-ES"/>
              </w:rPr>
              <w:t>• Desarrollo de Gestión de Planes de Diversidad Biológica</w:t>
            </w:r>
            <w:r>
              <w:rPr>
                <w:rFonts w:ascii="PMingLiU" w:eastAsia="PMingLiU"/>
                <w:color w:val="000000"/>
                <w:kern w:val="22"/>
                <w:lang w:val="es-ES"/>
              </w:rPr>
              <w:br/>
            </w:r>
            <w:r>
              <w:rPr>
                <w:color w:val="000000"/>
                <w:kern w:val="22"/>
                <w:lang w:val="es-ES"/>
              </w:rPr>
              <w:t>• Evaluación de desempeño en materia de diversidad biológica realizada por auditores externos</w:t>
            </w:r>
            <w:r>
              <w:rPr>
                <w:rFonts w:ascii="PMingLiU" w:eastAsia="PMingLiU"/>
                <w:color w:val="000000"/>
                <w:kern w:val="22"/>
                <w:lang w:val="es-ES"/>
              </w:rPr>
              <w:br/>
            </w:r>
            <w:r>
              <w:rPr>
                <w:color w:val="000000"/>
                <w:kern w:val="22"/>
                <w:lang w:val="es-ES"/>
              </w:rPr>
              <w:t xml:space="preserve">• Informes utilizando </w:t>
            </w:r>
            <w:r w:rsidR="00E32F92">
              <w:rPr>
                <w:color w:val="000000"/>
                <w:kern w:val="22"/>
                <w:lang w:val="es-ES"/>
              </w:rPr>
              <w:t xml:space="preserve">la </w:t>
            </w:r>
            <w:r>
              <w:rPr>
                <w:color w:val="000000"/>
                <w:kern w:val="22"/>
                <w:lang w:val="es-ES"/>
              </w:rPr>
              <w:t>GRI EN11-14</w:t>
            </w:r>
          </w:p>
        </w:tc>
      </w:tr>
      <w:tr w:rsidR="00607CAD">
        <w:trPr>
          <w:jc w:val="center"/>
        </w:trPr>
        <w:tc>
          <w:tcPr>
            <w:tcW w:w="2469"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kern w:val="22"/>
                <w:lang w:val="es-ES"/>
              </w:rPr>
              <w:t xml:space="preserve">Lafarge Holcim – Materiales de construcción </w:t>
            </w:r>
          </w:p>
        </w:tc>
        <w:tc>
          <w:tcPr>
            <w:tcW w:w="7223" w:type="dxa"/>
            <w:gridSpan w:val="2"/>
            <w:tcMar>
              <w:top w:w="43" w:type="dxa"/>
              <w:left w:w="115" w:type="dxa"/>
              <w:bottom w:w="43" w:type="dxa"/>
              <w:right w:w="115" w:type="dxa"/>
            </w:tcMar>
          </w:tcPr>
          <w:p w:rsidR="00607CAD" w:rsidRDefault="00607CAD">
            <w:pPr>
              <w:suppressLineNumbers/>
              <w:suppressAutoHyphens/>
              <w:kinsoku w:val="0"/>
              <w:overflowPunct w:val="0"/>
              <w:autoSpaceDE w:val="0"/>
              <w:autoSpaceDN w:val="0"/>
              <w:adjustRightInd w:val="0"/>
              <w:snapToGrid w:val="0"/>
              <w:spacing w:after="20"/>
              <w:jc w:val="left"/>
              <w:rPr>
                <w:rFonts w:eastAsia="Times New Roman"/>
              </w:rPr>
            </w:pPr>
            <w:r>
              <w:rPr>
                <w:rFonts w:eastAsia="Times New Roman"/>
                <w:color w:val="000000"/>
                <w:kern w:val="22"/>
                <w:lang w:val="es-ES"/>
              </w:rPr>
              <w:t>• Sistema de Presentación de Informes sobre Indicadores de Biodiversidad (Biodiversity Indicators Reporting System, o BIRS) diseñado por expertos independientes en colaboración con la Unión Internacional para la Conservación de la Naturaleza (UICN)</w:t>
            </w:r>
            <w:r>
              <w:rPr>
                <w:rFonts w:eastAsia="Times New Roman"/>
                <w:color w:val="000000"/>
                <w:kern w:val="22"/>
                <w:lang w:val="es-ES"/>
              </w:rPr>
              <w:br/>
              <w:t>• La metodología BIRS permite a Lafarge Holcim agregar los puntajes de biodiversidad de distintas obras</w:t>
            </w:r>
          </w:p>
        </w:tc>
      </w:tr>
      <w:tr w:rsidR="00607CAD">
        <w:trPr>
          <w:jc w:val="center"/>
        </w:trPr>
        <w:tc>
          <w:tcPr>
            <w:tcW w:w="2469"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t>ENI – Energía</w:t>
            </w:r>
          </w:p>
        </w:tc>
        <w:tc>
          <w:tcPr>
            <w:tcW w:w="7223" w:type="dxa"/>
            <w:gridSpan w:val="2"/>
            <w:tcMar>
              <w:top w:w="43" w:type="dxa"/>
              <w:left w:w="115" w:type="dxa"/>
              <w:bottom w:w="43" w:type="dxa"/>
              <w:right w:w="115" w:type="dxa"/>
            </w:tcMar>
            <w:vAlign w:val="bottom"/>
          </w:tcPr>
          <w:p w:rsidR="00607CAD" w:rsidRDefault="00607CAD">
            <w:pPr>
              <w:suppressLineNumbers/>
              <w:suppressAutoHyphens/>
              <w:kinsoku w:val="0"/>
              <w:overflowPunct w:val="0"/>
              <w:autoSpaceDE w:val="0"/>
              <w:autoSpaceDN w:val="0"/>
              <w:adjustRightInd w:val="0"/>
              <w:snapToGrid w:val="0"/>
              <w:spacing w:after="20"/>
              <w:jc w:val="left"/>
            </w:pPr>
            <w:r>
              <w:rPr>
                <w:color w:val="000000"/>
                <w:kern w:val="22"/>
                <w:lang w:val="es-ES"/>
              </w:rPr>
              <w:t xml:space="preserve">• Utilización de la herramienta de la Alianza IBAT de </w:t>
            </w:r>
            <w:r>
              <w:rPr>
                <w:lang w:val="es-ES"/>
              </w:rPr>
              <w:t>CMVC-</w:t>
            </w:r>
            <w:r>
              <w:rPr>
                <w:color w:val="000000"/>
                <w:kern w:val="22"/>
                <w:lang w:val="es-ES"/>
              </w:rPr>
              <w:t>PNUMA para trazar la ubicación de áreas protegidas y la presencia de especies en riesgo de extinción</w:t>
            </w:r>
            <w:r>
              <w:rPr>
                <w:rFonts w:ascii="PMingLiU" w:eastAsia="PMingLiU"/>
                <w:color w:val="000000"/>
                <w:kern w:val="22"/>
                <w:lang w:val="es-ES"/>
              </w:rPr>
              <w:br/>
            </w:r>
            <w:r>
              <w:rPr>
                <w:color w:val="000000"/>
                <w:kern w:val="22"/>
                <w:lang w:val="es-ES"/>
              </w:rPr>
              <w:t>• Evaluación Integrada de Impactos: Evaluación de impacto social, de salud y de diversidad biológica (ESHIA) en todos los proyectos nuevos</w:t>
            </w:r>
          </w:p>
        </w:tc>
      </w:tr>
      <w:tr w:rsidR="00607CAD">
        <w:trPr>
          <w:jc w:val="center"/>
        </w:trPr>
        <w:tc>
          <w:tcPr>
            <w:tcW w:w="2469" w:type="dxa"/>
            <w:tcMar>
              <w:top w:w="43" w:type="dxa"/>
              <w:left w:w="115" w:type="dxa"/>
              <w:bottom w:w="43" w:type="dxa"/>
              <w:right w:w="115" w:type="dxa"/>
            </w:tcMar>
            <w:vAlign w:val="center"/>
          </w:tcPr>
          <w:p w:rsidR="00607CAD" w:rsidRDefault="00607CAD">
            <w:pPr>
              <w:suppressLineNumbers/>
              <w:suppressAutoHyphens/>
              <w:kinsoku w:val="0"/>
              <w:overflowPunct w:val="0"/>
              <w:autoSpaceDE w:val="0"/>
              <w:autoSpaceDN w:val="0"/>
              <w:adjustRightInd w:val="0"/>
              <w:snapToGrid w:val="0"/>
              <w:jc w:val="left"/>
              <w:rPr>
                <w:rFonts w:eastAsia="Times New Roman"/>
              </w:rPr>
            </w:pPr>
            <w:r>
              <w:rPr>
                <w:rFonts w:eastAsia="Times New Roman"/>
                <w:b/>
                <w:kern w:val="22"/>
                <w:lang w:val="es-ES"/>
              </w:rPr>
              <w:t>Fingrid Oyi – Energía</w:t>
            </w:r>
          </w:p>
        </w:tc>
        <w:tc>
          <w:tcPr>
            <w:tcW w:w="7223" w:type="dxa"/>
            <w:gridSpan w:val="2"/>
            <w:tcMar>
              <w:top w:w="43" w:type="dxa"/>
              <w:left w:w="115" w:type="dxa"/>
              <w:bottom w:w="43" w:type="dxa"/>
              <w:right w:w="115" w:type="dxa"/>
            </w:tcMar>
            <w:vAlign w:val="center"/>
          </w:tcPr>
          <w:p w:rsidR="000F3897" w:rsidRDefault="00607CAD" w:rsidP="000F3897">
            <w:pPr>
              <w:suppressLineNumbers/>
              <w:suppressAutoHyphens/>
              <w:kinsoku w:val="0"/>
              <w:overflowPunct w:val="0"/>
              <w:autoSpaceDE w:val="0"/>
              <w:autoSpaceDN w:val="0"/>
              <w:adjustRightInd w:val="0"/>
              <w:snapToGrid w:val="0"/>
              <w:spacing w:after="20"/>
              <w:jc w:val="left"/>
              <w:rPr>
                <w:color w:val="000000"/>
                <w:kern w:val="22"/>
                <w:lang w:val="es-ES"/>
              </w:rPr>
            </w:pPr>
            <w:r>
              <w:rPr>
                <w:color w:val="000000"/>
                <w:kern w:val="22"/>
                <w:lang w:val="es-ES"/>
              </w:rPr>
              <w:t>• Informes</w:t>
            </w:r>
            <w:r w:rsidR="00656E05">
              <w:rPr>
                <w:color w:val="000000"/>
                <w:kern w:val="22"/>
                <w:lang w:val="es-ES"/>
              </w:rPr>
              <w:t xml:space="preserve"> </w:t>
            </w:r>
            <w:r w:rsidR="000F3897">
              <w:rPr>
                <w:color w:val="000000"/>
                <w:kern w:val="22"/>
                <w:lang w:val="es-ES"/>
              </w:rPr>
              <w:t xml:space="preserve">GRI </w:t>
            </w:r>
            <w:r>
              <w:rPr>
                <w:color w:val="000000"/>
                <w:kern w:val="22"/>
                <w:lang w:val="es-ES"/>
              </w:rPr>
              <w:t>G4-EN11</w:t>
            </w:r>
          </w:p>
          <w:p w:rsidR="00607CAD" w:rsidRDefault="00607CAD" w:rsidP="00624A92">
            <w:pPr>
              <w:suppressLineNumbers/>
              <w:suppressAutoHyphens/>
              <w:kinsoku w:val="0"/>
              <w:overflowPunct w:val="0"/>
              <w:autoSpaceDE w:val="0"/>
              <w:autoSpaceDN w:val="0"/>
              <w:adjustRightInd w:val="0"/>
              <w:snapToGrid w:val="0"/>
              <w:spacing w:after="20"/>
              <w:jc w:val="left"/>
            </w:pPr>
            <w:r>
              <w:rPr>
                <w:color w:val="000000"/>
                <w:kern w:val="22"/>
                <w:lang w:val="es-ES"/>
              </w:rPr>
              <w:t xml:space="preserve">• </w:t>
            </w:r>
            <w:r w:rsidR="00624A92">
              <w:rPr>
                <w:color w:val="000000"/>
                <w:spacing w:val="-2"/>
                <w:kern w:val="22"/>
                <w:lang w:val="es-ES"/>
              </w:rPr>
              <w:t>R</w:t>
            </w:r>
            <w:r w:rsidRPr="00617ECA">
              <w:rPr>
                <w:color w:val="000000"/>
                <w:spacing w:val="-2"/>
                <w:kern w:val="22"/>
                <w:lang w:val="es-ES"/>
              </w:rPr>
              <w:t>e</w:t>
            </w:r>
            <w:r w:rsidR="00624A92">
              <w:rPr>
                <w:color w:val="000000"/>
                <w:spacing w:val="-2"/>
                <w:kern w:val="22"/>
                <w:lang w:val="es-ES"/>
              </w:rPr>
              <w:t>portó</w:t>
            </w:r>
            <w:r w:rsidRPr="00617ECA">
              <w:rPr>
                <w:color w:val="000000"/>
                <w:spacing w:val="-2"/>
                <w:kern w:val="22"/>
                <w:lang w:val="es-ES"/>
              </w:rPr>
              <w:t xml:space="preserve"> kilómetros de transmisión de línea en áreas </w:t>
            </w:r>
            <w:r w:rsidR="00617ECA" w:rsidRPr="00617ECA">
              <w:rPr>
                <w:color w:val="000000"/>
                <w:spacing w:val="-2"/>
                <w:kern w:val="22"/>
                <w:lang w:val="es-ES"/>
              </w:rPr>
              <w:t xml:space="preserve">Natura y </w:t>
            </w:r>
            <w:r w:rsidRPr="00617ECA">
              <w:rPr>
                <w:color w:val="000000"/>
                <w:spacing w:val="-2"/>
                <w:kern w:val="22"/>
                <w:lang w:val="es-ES"/>
              </w:rPr>
              <w:t>protegidas</w:t>
            </w:r>
            <w:r>
              <w:rPr>
                <w:color w:val="000000"/>
                <w:kern w:val="22"/>
                <w:lang w:val="es-ES"/>
              </w:rPr>
              <w:t xml:space="preserve"> </w:t>
            </w:r>
            <w:r>
              <w:rPr>
                <w:rFonts w:ascii="PMingLiU" w:eastAsia="PMingLiU"/>
                <w:color w:val="000000"/>
                <w:kern w:val="22"/>
                <w:lang w:val="es-ES"/>
              </w:rPr>
              <w:br/>
            </w:r>
            <w:r>
              <w:rPr>
                <w:color w:val="000000"/>
                <w:kern w:val="22"/>
                <w:lang w:val="es-ES"/>
              </w:rPr>
              <w:t>• Siguiendo la evaluación Natura, se compiló una base de datos de poblaciones de aves para este proyecto en cumplimiento de la Ley de Conservación de la Naturaleza</w:t>
            </w:r>
          </w:p>
        </w:tc>
      </w:tr>
      <w:tr w:rsidR="00607CAD" w:rsidTr="00E32570">
        <w:trPr>
          <w:cantSplit/>
          <w:jc w:val="center"/>
        </w:trPr>
        <w:tc>
          <w:tcPr>
            <w:tcW w:w="2469" w:type="dxa"/>
            <w:tcMar>
              <w:top w:w="43" w:type="dxa"/>
              <w:left w:w="115" w:type="dxa"/>
              <w:bottom w:w="43" w:type="dxa"/>
              <w:right w:w="115" w:type="dxa"/>
            </w:tcMar>
            <w:vAlign w:val="center"/>
          </w:tcPr>
          <w:p w:rsidR="00607CAD" w:rsidRDefault="00607CAD" w:rsidP="00E32570">
            <w:pPr>
              <w:keepNext/>
              <w:keepLines/>
              <w:suppressLineNumbers/>
              <w:suppressAutoHyphens/>
              <w:kinsoku w:val="0"/>
              <w:overflowPunct w:val="0"/>
              <w:autoSpaceDE w:val="0"/>
              <w:autoSpaceDN w:val="0"/>
              <w:adjustRightInd w:val="0"/>
              <w:snapToGrid w:val="0"/>
              <w:jc w:val="left"/>
              <w:rPr>
                <w:rFonts w:eastAsia="Times New Roman"/>
              </w:rPr>
            </w:pPr>
            <w:r>
              <w:rPr>
                <w:rFonts w:eastAsia="Times New Roman"/>
                <w:b/>
                <w:color w:val="000000"/>
                <w:kern w:val="22"/>
                <w:lang w:val="es-ES"/>
              </w:rPr>
              <w:lastRenderedPageBreak/>
              <w:t xml:space="preserve">Mondi – Productos forestales y de papel </w:t>
            </w:r>
          </w:p>
        </w:tc>
        <w:tc>
          <w:tcPr>
            <w:tcW w:w="7223" w:type="dxa"/>
            <w:gridSpan w:val="2"/>
            <w:tcMar>
              <w:top w:w="43" w:type="dxa"/>
              <w:left w:w="115" w:type="dxa"/>
              <w:bottom w:w="43" w:type="dxa"/>
              <w:right w:w="115" w:type="dxa"/>
            </w:tcMar>
            <w:vAlign w:val="center"/>
          </w:tcPr>
          <w:p w:rsidR="00607CAD" w:rsidRPr="00F30200" w:rsidRDefault="00607CAD" w:rsidP="00735127">
            <w:pPr>
              <w:keepNext/>
              <w:keepLines/>
              <w:suppressLineNumbers/>
              <w:suppressAutoHyphens/>
              <w:kinsoku w:val="0"/>
              <w:overflowPunct w:val="0"/>
              <w:autoSpaceDE w:val="0"/>
              <w:autoSpaceDN w:val="0"/>
              <w:adjustRightInd w:val="0"/>
              <w:snapToGrid w:val="0"/>
              <w:jc w:val="left"/>
            </w:pPr>
            <w:r>
              <w:rPr>
                <w:color w:val="000000"/>
                <w:kern w:val="22"/>
                <w:lang w:val="es-ES"/>
              </w:rPr>
              <w:t>• Planes de Gestión de Ecosistemas y planes de explotación que brindan protección para ríos, humedales y otras áreas de alto valor de conservación</w:t>
            </w:r>
            <w:r>
              <w:rPr>
                <w:rFonts w:ascii="PMingLiU" w:eastAsia="PMingLiU"/>
                <w:color w:val="000000"/>
                <w:kern w:val="22"/>
                <w:lang w:val="es-ES"/>
              </w:rPr>
              <w:br/>
            </w:r>
            <w:r>
              <w:rPr>
                <w:color w:val="000000"/>
                <w:kern w:val="22"/>
                <w:lang w:val="es-ES"/>
              </w:rPr>
              <w:t xml:space="preserve">• En 2015, comenzó a estudiar la diversidad biológica en sus establecimientos de producción y las zonas circundantes usando la Herramienta Integrada para la Evaluación de la Biodiversidad (IBAT) para identificar </w:t>
            </w:r>
            <w:r w:rsidR="00735127">
              <w:rPr>
                <w:color w:val="000000"/>
                <w:kern w:val="22"/>
                <w:lang w:val="es-ES"/>
              </w:rPr>
              <w:t>las</w:t>
            </w:r>
            <w:r>
              <w:rPr>
                <w:color w:val="000000"/>
                <w:kern w:val="22"/>
                <w:lang w:val="es-ES"/>
              </w:rPr>
              <w:t xml:space="preserve"> ubicaciones que están en áreas protegidas de biodiversidad</w:t>
            </w:r>
            <w:r w:rsidR="00735127">
              <w:rPr>
                <w:color w:val="000000"/>
                <w:kern w:val="22"/>
                <w:lang w:val="es-ES"/>
              </w:rPr>
              <w:t xml:space="preserve"> o cerca de ellas</w:t>
            </w:r>
            <w:r>
              <w:rPr>
                <w:color w:val="000000"/>
                <w:kern w:val="22"/>
                <w:lang w:val="es-ES"/>
              </w:rPr>
              <w:br/>
              <w:t>• Informes G4-EN11 y EN 12</w:t>
            </w:r>
            <w:r w:rsidR="00735127">
              <w:rPr>
                <w:color w:val="000000"/>
                <w:kern w:val="22"/>
                <w:lang w:val="es-ES"/>
              </w:rPr>
              <w:t xml:space="preserve"> </w:t>
            </w:r>
          </w:p>
        </w:tc>
      </w:tr>
      <w:tr w:rsidR="00607CAD">
        <w:trPr>
          <w:jc w:val="center"/>
        </w:trPr>
        <w:tc>
          <w:tcPr>
            <w:tcW w:w="2469" w:type="dxa"/>
            <w:tcMar>
              <w:top w:w="43" w:type="dxa"/>
              <w:left w:w="115" w:type="dxa"/>
              <w:bottom w:w="43" w:type="dxa"/>
              <w:right w:w="115" w:type="dxa"/>
            </w:tcMar>
            <w:vAlign w:val="center"/>
          </w:tcPr>
          <w:p w:rsidR="00607CAD" w:rsidRDefault="00607CAD" w:rsidP="00E32570">
            <w:pPr>
              <w:keepNext/>
              <w:keepLines/>
              <w:suppressLineNumbers/>
              <w:suppressAutoHyphens/>
              <w:kinsoku w:val="0"/>
              <w:overflowPunct w:val="0"/>
              <w:autoSpaceDE w:val="0"/>
              <w:autoSpaceDN w:val="0"/>
              <w:adjustRightInd w:val="0"/>
              <w:snapToGrid w:val="0"/>
              <w:jc w:val="left"/>
              <w:rPr>
                <w:rFonts w:eastAsia="Times New Roman"/>
              </w:rPr>
            </w:pPr>
            <w:r>
              <w:rPr>
                <w:rFonts w:eastAsia="Times New Roman"/>
                <w:b/>
                <w:kern w:val="22"/>
                <w:lang w:val="es-ES"/>
              </w:rPr>
              <w:t>Merck - Productos farmacéuticos</w:t>
            </w:r>
          </w:p>
        </w:tc>
        <w:tc>
          <w:tcPr>
            <w:tcW w:w="7223" w:type="dxa"/>
            <w:gridSpan w:val="2"/>
            <w:tcMar>
              <w:top w:w="43" w:type="dxa"/>
              <w:left w:w="115" w:type="dxa"/>
              <w:bottom w:w="43" w:type="dxa"/>
              <w:right w:w="115" w:type="dxa"/>
            </w:tcMar>
            <w:vAlign w:val="center"/>
          </w:tcPr>
          <w:p w:rsidR="00607CAD" w:rsidRDefault="00607CAD" w:rsidP="00735127">
            <w:pPr>
              <w:keepNext/>
              <w:keepLines/>
              <w:suppressLineNumbers/>
              <w:suppressAutoHyphens/>
              <w:kinsoku w:val="0"/>
              <w:overflowPunct w:val="0"/>
              <w:autoSpaceDE w:val="0"/>
              <w:autoSpaceDN w:val="0"/>
              <w:adjustRightInd w:val="0"/>
              <w:snapToGrid w:val="0"/>
              <w:spacing w:after="20"/>
              <w:jc w:val="left"/>
              <w:rPr>
                <w:rFonts w:eastAsia="Times New Roman"/>
              </w:rPr>
            </w:pPr>
            <w:r>
              <w:rPr>
                <w:rFonts w:eastAsia="Times New Roman"/>
                <w:kern w:val="22"/>
                <w:lang w:val="es-ES"/>
              </w:rPr>
              <w:t xml:space="preserve">• En 2016, Merck comenzó un estudio de sus instalaciones </w:t>
            </w:r>
            <w:r w:rsidR="00735127">
              <w:rPr>
                <w:rFonts w:eastAsia="Times New Roman"/>
                <w:kern w:val="22"/>
                <w:lang w:val="es-ES"/>
              </w:rPr>
              <w:t>ubicadas</w:t>
            </w:r>
            <w:r>
              <w:rPr>
                <w:rFonts w:eastAsia="Times New Roman"/>
                <w:kern w:val="22"/>
                <w:lang w:val="es-ES"/>
              </w:rPr>
              <w:t xml:space="preserve"> en Darmstadt </w:t>
            </w:r>
            <w:r w:rsidR="00735127">
              <w:rPr>
                <w:rFonts w:eastAsia="Times New Roman"/>
                <w:kern w:val="22"/>
                <w:lang w:val="es-ES"/>
              </w:rPr>
              <w:t>y</w:t>
            </w:r>
            <w:r w:rsidR="00E32F92">
              <w:rPr>
                <w:rFonts w:eastAsia="Times New Roman"/>
                <w:kern w:val="22"/>
                <w:lang w:val="es-ES"/>
              </w:rPr>
              <w:t xml:space="preserve"> </w:t>
            </w:r>
            <w:r>
              <w:rPr>
                <w:rFonts w:eastAsia="Times New Roman"/>
                <w:kern w:val="22"/>
                <w:lang w:val="es-ES"/>
              </w:rPr>
              <w:t>Gernsheim para evaluar sus acciones de conservación de la naturaleza. Los resultados le ayudarán a formular un plan de acción para mejorar el ecosistema circundante para plantas y animales. El 30% del predio (0,4 kilómetros cuadrados) ya se ha transformado en espacios verdes.</w:t>
            </w:r>
          </w:p>
        </w:tc>
      </w:tr>
    </w:tbl>
    <w:p w:rsidR="00607CAD" w:rsidRDefault="00607CAD" w:rsidP="00E32570">
      <w:pPr>
        <w:keepNext/>
        <w:keepLines/>
        <w:suppressLineNumbers/>
        <w:suppressAutoHyphens/>
        <w:kinsoku w:val="0"/>
        <w:overflowPunct w:val="0"/>
        <w:autoSpaceDE w:val="0"/>
        <w:autoSpaceDN w:val="0"/>
        <w:adjustRightInd w:val="0"/>
        <w:snapToGrid w:val="0"/>
        <w:jc w:val="left"/>
        <w:rPr>
          <w:rFonts w:eastAsia="Times New Roman"/>
          <w:kern w:val="22"/>
          <w:lang w:val="es-ES"/>
        </w:rPr>
      </w:pPr>
    </w:p>
    <w:p w:rsidR="00607CAD" w:rsidRDefault="00607CAD">
      <w:pPr>
        <w:suppressLineNumbers/>
        <w:suppressAutoHyphens/>
        <w:kinsoku w:val="0"/>
        <w:overflowPunct w:val="0"/>
        <w:autoSpaceDE w:val="0"/>
        <w:autoSpaceDN w:val="0"/>
        <w:adjustRightInd w:val="0"/>
        <w:snapToGrid w:val="0"/>
        <w:jc w:val="center"/>
        <w:rPr>
          <w:rFonts w:eastAsia="Times New Roman"/>
          <w:kern w:val="22"/>
          <w:lang w:val="es-ES"/>
        </w:rPr>
      </w:pPr>
      <w:r>
        <w:rPr>
          <w:rFonts w:eastAsia="Times New Roman"/>
          <w:kern w:val="22"/>
          <w:lang w:val="es-ES"/>
        </w:rPr>
        <w:t>__________</w:t>
      </w:r>
    </w:p>
    <w:sectPr w:rsidR="00607CAD" w:rsidSect="00A80F51">
      <w:headerReference w:type="even" r:id="rId14"/>
      <w:headerReference w:type="default" r:id="rId15"/>
      <w:footerReference w:type="even" r:id="rId16"/>
      <w:footerReference w:type="first" r:id="rId17"/>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3E" w:rsidRDefault="00D3663E">
      <w:pPr>
        <w:rPr>
          <w:rFonts w:eastAsia="Times New Roman"/>
        </w:rPr>
      </w:pPr>
      <w:r>
        <w:rPr>
          <w:rFonts w:eastAsia="Times New Roman"/>
        </w:rPr>
        <w:separator/>
      </w:r>
    </w:p>
  </w:endnote>
  <w:endnote w:type="continuationSeparator" w:id="0">
    <w:p w:rsidR="00D3663E" w:rsidRDefault="00D3663E">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auto"/>
    <w:notTrueType/>
    <w:pitch w:val="variable"/>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35" w:rsidRDefault="00C73D35">
    <w:pPr>
      <w:pStyle w:val="Footer"/>
      <w:tabs>
        <w:tab w:val="clear" w:pos="4320"/>
        <w:tab w:val="clear" w:pos="8640"/>
      </w:tabs>
      <w:kinsoku w:val="0"/>
      <w:overflowPunct w:val="0"/>
      <w:autoSpaceDE w:val="0"/>
      <w:autoSpaceDN w:val="0"/>
      <w:ind w:firstLine="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35" w:rsidRDefault="00C73D35">
    <w:pPr>
      <w:pStyle w:val="Footer"/>
      <w:tabs>
        <w:tab w:val="clear" w:pos="4320"/>
        <w:tab w:val="clear" w:pos="8640"/>
      </w:tabs>
      <w:kinsoku w:val="0"/>
      <w:overflowPunct w:val="0"/>
      <w:autoSpaceDE w:val="0"/>
      <w:autoSpaceDN w:val="0"/>
      <w:ind w:firstLine="0"/>
      <w:rPr>
        <w:rFonts w:eastAsia="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3E" w:rsidRDefault="00D3663E">
      <w:pPr>
        <w:rPr>
          <w:rFonts w:eastAsia="Times New Roman"/>
        </w:rPr>
      </w:pPr>
      <w:r>
        <w:rPr>
          <w:rFonts w:eastAsia="Times New Roman"/>
        </w:rPr>
        <w:separator/>
      </w:r>
    </w:p>
  </w:footnote>
  <w:footnote w:type="continuationSeparator" w:id="0">
    <w:p w:rsidR="00D3663E" w:rsidRDefault="00D3663E">
      <w:pPr>
        <w:rPr>
          <w:rFonts w:eastAsia="Times New Roman"/>
        </w:rPr>
      </w:pPr>
      <w:r>
        <w:rPr>
          <w:rFonts w:eastAsia="Times New Roman"/>
        </w:rPr>
        <w:continuationSeparator/>
      </w:r>
    </w:p>
  </w:footnote>
  <w:footnote w:id="1">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t>*</w:t>
      </w:r>
      <w:hyperlink r:id="rId1" w:history="1">
        <w:r>
          <w:rPr>
            <w:rStyle w:val="Hyperlink"/>
            <w:rFonts w:eastAsia="Times New Roman"/>
            <w:kern w:val="18"/>
            <w:lang w:val="es-ES"/>
          </w:rPr>
          <w:t>CBD/SBI/2/1</w:t>
        </w:r>
      </w:hyperlink>
      <w:r>
        <w:rPr>
          <w:rFonts w:eastAsia="Times New Roman"/>
          <w:kern w:val="18"/>
          <w:lang w:val="es-ES"/>
        </w:rPr>
        <w:t>.</w:t>
      </w:r>
    </w:p>
  </w:footnote>
  <w:footnote w:id="2">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kern w:val="18"/>
          <w:lang w:val="es-ES"/>
        </w:rPr>
      </w:pPr>
      <w:r>
        <w:rPr>
          <w:rStyle w:val="FootnoteReference"/>
          <w:rFonts w:eastAsia="Times New Roman"/>
          <w:kern w:val="18"/>
          <w:sz w:val="18"/>
          <w:lang w:val="es-ES"/>
        </w:rPr>
        <w:t>**</w:t>
      </w:r>
      <w:r>
        <w:rPr>
          <w:rFonts w:eastAsia="Times New Roman"/>
          <w:kern w:val="18"/>
          <w:lang w:val="es-ES"/>
        </w:rPr>
        <w:t xml:space="preserve"> </w:t>
      </w:r>
      <w:r>
        <w:rPr>
          <w:rFonts w:eastAsia="Times New Roman"/>
          <w:noProof/>
          <w:kern w:val="18"/>
          <w:lang w:val="es-ES"/>
        </w:rPr>
        <w:t>La mención de nombres de empresas y productos comerciales no implica respaldo alguno de la Secretaría del Convenio sobre la Diversidad Biológica.</w:t>
      </w:r>
    </w:p>
  </w:footnote>
  <w:footnote w:id="3">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ascii="MS Mincho"/>
        </w:rPr>
      </w:pPr>
      <w:r>
        <w:rPr>
          <w:rStyle w:val="FootnoteReference"/>
          <w:kern w:val="18"/>
          <w:sz w:val="18"/>
          <w:lang w:val="es-ES"/>
        </w:rPr>
        <w:footnoteRef/>
      </w:r>
      <w:r>
        <w:rPr>
          <w:kern w:val="18"/>
          <w:lang w:val="es-ES"/>
        </w:rPr>
        <w:t xml:space="preserve"> </w:t>
      </w:r>
      <w:bookmarkStart w:id="6" w:name="_Hlt515467245"/>
      <w:bookmarkStart w:id="7" w:name="_Hlt515467246"/>
      <w:r>
        <w:rPr>
          <w:kern w:val="18"/>
          <w:lang w:val="es-ES"/>
        </w:rPr>
        <w:t xml:space="preserve">Se compartió una versión preliminar del presente documento con el grupo consultivo oficioso sobre la integración, establecido con arreglo a la recomendación </w:t>
      </w:r>
      <w:hyperlink r:id="rId2" w:history="1">
        <w:r>
          <w:rPr>
            <w:rStyle w:val="Hyperlink"/>
            <w:kern w:val="18"/>
            <w:lang w:val="es-ES"/>
          </w:rPr>
          <w:t>XXI/4</w:t>
        </w:r>
      </w:hyperlink>
      <w:r>
        <w:rPr>
          <w:kern w:val="18"/>
          <w:lang w:val="es-ES"/>
        </w:rPr>
        <w:t xml:space="preserve"> del Órgano Subsidiario de Asesoramiento Científico, Técnico y Tecnológico, y con integrantes de la Alianza Mundial de Negocios y Biodiversidad. Se agradecen los comentarios recibidos al respecto.</w:t>
      </w:r>
      <w:bookmarkEnd w:id="6"/>
      <w:bookmarkEnd w:id="7"/>
    </w:p>
  </w:footnote>
  <w:footnote w:id="4">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Por ejemplo, en el tema “compromiso empresarial con la diversidad biológica”, los dos elementos básicos que deben considerar son “estrategias y metas” y “enfoque de gestión”.</w:t>
      </w:r>
    </w:p>
  </w:footnote>
  <w:footnote w:id="5">
    <w:p w:rsidR="00C73D35" w:rsidRDefault="00C73D35">
      <w:pPr>
        <w:pStyle w:val="FootnoteText"/>
        <w:ind w:firstLine="0"/>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bookmarkStart w:id="8" w:name="_Hlt515475416"/>
      <w:bookmarkStart w:id="9" w:name="_Hlt515475417"/>
      <w:r>
        <w:rPr>
          <w:rFonts w:eastAsia="Times New Roman"/>
          <w:kern w:val="18"/>
          <w:lang w:val="es-ES"/>
        </w:rPr>
        <w:t xml:space="preserve">La Base de Datos de Informes de Sostenibilidad (Sustainability Disclosure Database) de la GRI brinda acceso a todo tipo de informes de sostenibilidad, ya sea basados en los estándares de la GRI o sobre otra base, así como información pertinente relacionada con las organizaciones que presentan informes: </w:t>
      </w:r>
      <w:hyperlink r:id="rId3" w:history="1">
        <w:r>
          <w:rPr>
            <w:rStyle w:val="Hyperlink"/>
            <w:rFonts w:eastAsia="Times New Roman"/>
            <w:kern w:val="18"/>
            <w:lang w:val="es-ES"/>
          </w:rPr>
          <w:t>http://database.globalreporting.org/</w:t>
        </w:r>
      </w:hyperlink>
      <w:r>
        <w:rPr>
          <w:rFonts w:eastAsia="Times New Roman"/>
          <w:lang w:val="es-ES"/>
        </w:rPr>
        <w:t>.</w:t>
      </w:r>
    </w:p>
    <w:bookmarkEnd w:id="8"/>
    <w:bookmarkEnd w:id="9"/>
    <w:p w:rsidR="00C73D35" w:rsidRDefault="00C73D35">
      <w:pPr>
        <w:pStyle w:val="FootnoteText"/>
        <w:ind w:firstLine="0"/>
        <w:rPr>
          <w:rFonts w:eastAsia="Times New Roman"/>
          <w:lang w:val="es-ES"/>
        </w:rPr>
      </w:pPr>
      <w:r>
        <w:rPr>
          <w:rFonts w:eastAsia="Times New Roman"/>
          <w:kern w:val="18"/>
          <w:lang w:val="es-ES"/>
        </w:rPr>
        <w:t xml:space="preserve">Para información sobre presentación de informes, incluidas las últimas tendencias, y una reseña de políticas y reglamentaciones, véanse: </w:t>
      </w:r>
      <w:hyperlink r:id="rId4" w:history="1">
        <w:r>
          <w:rPr>
            <w:rStyle w:val="Hyperlink"/>
            <w:rFonts w:eastAsia="Times New Roman"/>
            <w:kern w:val="18"/>
            <w:lang w:val="es-ES"/>
          </w:rPr>
          <w:t>www.carrotsandsticks.net/regulations/</w:t>
        </w:r>
      </w:hyperlink>
      <w:r>
        <w:rPr>
          <w:rFonts w:eastAsia="Times New Roman"/>
          <w:kern w:val="18"/>
          <w:lang w:val="es-ES"/>
        </w:rPr>
        <w:t xml:space="preserve"> y </w:t>
      </w:r>
      <w:hyperlink r:id="rId5" w:history="1">
        <w:r>
          <w:rPr>
            <w:rStyle w:val="Hyperlink"/>
            <w:rFonts w:eastAsia="Times New Roman"/>
            <w:kern w:val="18"/>
            <w:lang w:val="es-ES"/>
          </w:rPr>
          <w:t>https://www.globalreporting.org/resourcelibrary/Carrots%20and%20Sticks-2016.pdf</w:t>
        </w:r>
      </w:hyperlink>
      <w:r>
        <w:rPr>
          <w:rFonts w:eastAsia="Times New Roman"/>
          <w:lang w:val="es-ES"/>
        </w:rPr>
        <w:t>.</w:t>
      </w:r>
      <w:r>
        <w:rPr>
          <w:rFonts w:eastAsia="Times New Roman"/>
          <w:kern w:val="18"/>
          <w:lang w:val="es-ES"/>
        </w:rPr>
        <w:t xml:space="preserve"> </w:t>
      </w:r>
    </w:p>
  </w:footnote>
  <w:footnote w:id="6">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El concepto de “materialidad” se refiere a cualquier tema, ya sea interno o externo, que se considera lo suficientemente pertinente como para informar al respecto. El proceso de determinación de temas “materiales” en una empresa se conoce comúnmente como “análisis de materialidad”. Requiere un marco abarcador que detecte y priorice temas, riesgos y oportunidades. La materialidad la mide no solo la empresa misma, sino también muchas veces interesados directos externos que pueden tener un interés en las actividades de la empresa o verse afectados por ellas.</w:t>
      </w:r>
    </w:p>
  </w:footnote>
  <w:footnote w:id="7">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Véase </w:t>
      </w:r>
      <w:hyperlink r:id="rId6" w:history="1">
        <w:r>
          <w:rPr>
            <w:rStyle w:val="Hyperlink"/>
            <w:rFonts w:eastAsia="Times New Roman"/>
            <w:kern w:val="18"/>
            <w:lang w:val="es-ES"/>
          </w:rPr>
          <w:t>https://www.cdp.net/</w:t>
        </w:r>
      </w:hyperlink>
      <w:r>
        <w:rPr>
          <w:rFonts w:eastAsia="Times New Roman"/>
          <w:lang w:val="es-ES"/>
        </w:rPr>
        <w:t>.</w:t>
      </w:r>
    </w:p>
  </w:footnote>
  <w:footnote w:id="8">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Véase </w:t>
      </w:r>
      <w:hyperlink r:id="rId7" w:history="1">
        <w:r>
          <w:rPr>
            <w:rStyle w:val="Hyperlink"/>
            <w:rFonts w:eastAsia="Times New Roman"/>
            <w:kern w:val="18"/>
            <w:lang w:val="es-ES"/>
          </w:rPr>
          <w:t>https://www.cdsb.net/</w:t>
        </w:r>
      </w:hyperlink>
      <w:r>
        <w:rPr>
          <w:rFonts w:eastAsia="Times New Roman"/>
          <w:lang w:val="es-ES"/>
        </w:rPr>
        <w:t>.</w:t>
      </w:r>
    </w:p>
  </w:footnote>
  <w:footnote w:id="9">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8" w:history="1">
        <w:r>
          <w:rPr>
            <w:rStyle w:val="Hyperlink"/>
            <w:rFonts w:eastAsia="Times New Roman"/>
            <w:kern w:val="18"/>
            <w:lang w:val="es-ES"/>
          </w:rPr>
          <w:t>https://home.kpmg.com/content/dam/kpmg/campaigns/csr/pdf/CSR_Reporting_2017.pdf</w:t>
        </w:r>
      </w:hyperlink>
    </w:p>
  </w:footnote>
  <w:footnote w:id="10">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Véase </w:t>
      </w:r>
      <w:hyperlink r:id="rId9" w:history="1">
        <w:r>
          <w:rPr>
            <w:rStyle w:val="Hyperlink"/>
            <w:rFonts w:eastAsia="Times New Roman"/>
            <w:kern w:val="18"/>
            <w:lang w:val="es-ES"/>
          </w:rPr>
          <w:t>https://www.globalreporting.org/</w:t>
        </w:r>
      </w:hyperlink>
      <w:r>
        <w:rPr>
          <w:rFonts w:eastAsia="Times New Roman"/>
          <w:lang w:val="es-ES"/>
        </w:rPr>
        <w:t>.</w:t>
      </w:r>
    </w:p>
  </w:footnote>
  <w:footnote w:id="11">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Véase </w:t>
      </w:r>
      <w:hyperlink r:id="rId10" w:history="1">
        <w:r>
          <w:rPr>
            <w:rStyle w:val="Hyperlink"/>
            <w:rFonts w:eastAsia="Times New Roman"/>
            <w:kern w:val="18"/>
            <w:lang w:val="es-ES"/>
          </w:rPr>
          <w:t>https://integratedreporting.org</w:t>
        </w:r>
      </w:hyperlink>
      <w:r>
        <w:rPr>
          <w:rFonts w:eastAsia="Times New Roman"/>
          <w:lang w:val="es-ES"/>
        </w:rPr>
        <w:t>.</w:t>
      </w:r>
    </w:p>
  </w:footnote>
  <w:footnote w:id="12">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Véase </w:t>
      </w:r>
      <w:hyperlink r:id="rId11" w:history="1">
        <w:r>
          <w:rPr>
            <w:rStyle w:val="Hyperlink"/>
            <w:rFonts w:eastAsia="Times New Roman"/>
            <w:kern w:val="18"/>
            <w:lang w:val="es-ES"/>
          </w:rPr>
          <w:t>https://www.sasb.org/</w:t>
        </w:r>
      </w:hyperlink>
      <w:r>
        <w:rPr>
          <w:rFonts w:eastAsia="Times New Roman"/>
          <w:lang w:val="es-ES"/>
        </w:rPr>
        <w:t>.</w:t>
      </w:r>
    </w:p>
  </w:footnote>
  <w:footnote w:id="13">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12" w:history="1">
        <w:r>
          <w:rPr>
            <w:rStyle w:val="Hyperlink"/>
            <w:rFonts w:eastAsia="Times New Roman"/>
            <w:kern w:val="18"/>
            <w:lang w:val="es-ES"/>
          </w:rPr>
          <w:t>https://naturalcapitalcoalition.org/projects/biodiversity/</w:t>
        </w:r>
      </w:hyperlink>
      <w:r>
        <w:rPr>
          <w:rFonts w:eastAsia="Times New Roman"/>
          <w:kern w:val="18"/>
          <w:lang w:val="es-ES"/>
        </w:rPr>
        <w:t xml:space="preserve"> </w:t>
      </w:r>
    </w:p>
  </w:footnote>
  <w:footnote w:id="14">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13" w:history="1">
        <w:r>
          <w:rPr>
            <w:rStyle w:val="Hyperlink"/>
            <w:rFonts w:eastAsia="Times New Roman"/>
            <w:kern w:val="18"/>
            <w:lang w:val="es-ES"/>
          </w:rPr>
          <w:t>https://www.naturalcapitaltoolkit.org/</w:t>
        </w:r>
      </w:hyperlink>
      <w:r>
        <w:rPr>
          <w:rFonts w:eastAsia="Times New Roman"/>
          <w:kern w:val="18"/>
          <w:lang w:val="es-ES"/>
        </w:rPr>
        <w:t xml:space="preserve"> </w:t>
      </w:r>
    </w:p>
  </w:footnote>
  <w:footnote w:id="15">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14" w:history="1">
        <w:r>
          <w:rPr>
            <w:rStyle w:val="Hyperlink"/>
            <w:rFonts w:eastAsia="Times New Roman"/>
            <w:kern w:val="18"/>
            <w:lang w:val="es-ES"/>
          </w:rPr>
          <w:t>http://www.wbcsd.org/Projects/Reporting/The-Reporting-Exchange</w:t>
        </w:r>
      </w:hyperlink>
      <w:r>
        <w:rPr>
          <w:rFonts w:eastAsia="Times New Roman"/>
          <w:kern w:val="18"/>
          <w:lang w:val="es-ES"/>
        </w:rPr>
        <w:t>.</w:t>
      </w:r>
    </w:p>
  </w:footnote>
  <w:footnote w:id="16">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r w:rsidRPr="00B06D02">
        <w:rPr>
          <w:rFonts w:eastAsia="Times New Roman"/>
          <w:kern w:val="18"/>
          <w:lang w:val="en-US"/>
        </w:rPr>
        <w:t>Carrot</w:t>
      </w:r>
      <w:r w:rsidR="00D66BC9" w:rsidRPr="00B06D02">
        <w:rPr>
          <w:rFonts w:eastAsia="Times New Roman"/>
          <w:kern w:val="18"/>
          <w:lang w:val="en-US"/>
        </w:rPr>
        <w:t>s</w:t>
      </w:r>
      <w:r w:rsidRPr="00B06D02">
        <w:rPr>
          <w:rFonts w:eastAsia="Times New Roman"/>
          <w:kern w:val="18"/>
          <w:lang w:val="en-US"/>
        </w:rPr>
        <w:t xml:space="preserve"> and Sticks: Global trends in sustainability reporting regulation and policy</w:t>
      </w:r>
      <w:r>
        <w:rPr>
          <w:rFonts w:eastAsia="Times New Roman"/>
          <w:kern w:val="18"/>
          <w:lang w:val="es-ES"/>
        </w:rPr>
        <w:t>” (Zanahoria</w:t>
      </w:r>
      <w:r w:rsidR="00D66BC9">
        <w:rPr>
          <w:rFonts w:eastAsia="Times New Roman"/>
          <w:kern w:val="18"/>
          <w:lang w:val="es-ES"/>
        </w:rPr>
        <w:t>s</w:t>
      </w:r>
      <w:r>
        <w:rPr>
          <w:rFonts w:eastAsia="Times New Roman"/>
          <w:kern w:val="18"/>
          <w:lang w:val="es-ES"/>
        </w:rPr>
        <w:t xml:space="preserve"> y palos: Tendencias mundiales en las reglamentaciones y políticas de presentación de informes de sostenibilidad) </w:t>
      </w:r>
      <w:hyperlink r:id="rId15" w:history="1">
        <w:r>
          <w:rPr>
            <w:rStyle w:val="Hyperlink"/>
            <w:rFonts w:eastAsia="Times New Roman"/>
            <w:kern w:val="18"/>
            <w:lang w:val="es-ES"/>
          </w:rPr>
          <w:t>https://www.globalreporting.org/resourcelibrary/Carrots%20and%20Sticks</w:t>
        </w:r>
        <w:r>
          <w:rPr>
            <w:rStyle w:val="Hyperlink"/>
            <w:rFonts w:eastAsia="Times New Roman"/>
            <w:kern w:val="18"/>
            <w:lang w:val="es-ES"/>
          </w:rPr>
          <w:t>-</w:t>
        </w:r>
        <w:r>
          <w:rPr>
            <w:rStyle w:val="Hyperlink"/>
            <w:rFonts w:eastAsia="Times New Roman"/>
            <w:kern w:val="18"/>
            <w:lang w:val="es-ES"/>
          </w:rPr>
          <w:t>2016.pdf</w:t>
        </w:r>
      </w:hyperlink>
      <w:r>
        <w:rPr>
          <w:rFonts w:eastAsia="Times New Roman"/>
          <w:kern w:val="18"/>
          <w:lang w:val="es-ES"/>
        </w:rPr>
        <w:t xml:space="preserve"> </w:t>
      </w:r>
    </w:p>
  </w:footnote>
  <w:footnote w:id="17">
    <w:p w:rsidR="00C73D35" w:rsidRDefault="00C73D35">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bCs/>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El Diálogo para la Presentación de Informes Empresariales es una iniciativa diseñada para dar respuesta a las demandas del mercado de una mayor coherencia, uniformidad y comparabilidad entre los distintos estándares, marcos y requisitos de presentación de informes empresariales.</w:t>
      </w:r>
    </w:p>
  </w:footnote>
  <w:footnote w:id="18">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Resolución </w:t>
      </w:r>
      <w:hyperlink r:id="rId16" w:history="1">
        <w:r>
          <w:rPr>
            <w:rStyle w:val="Hyperlink"/>
            <w:rFonts w:eastAsia="Times New Roman"/>
            <w:kern w:val="18"/>
            <w:lang w:val="es-ES"/>
          </w:rPr>
          <w:t>70/1</w:t>
        </w:r>
      </w:hyperlink>
      <w:r>
        <w:rPr>
          <w:rFonts w:eastAsia="Times New Roman"/>
          <w:kern w:val="18"/>
          <w:lang w:val="es-ES"/>
        </w:rPr>
        <w:t xml:space="preserve"> de la Asamblea General, anexo.</w:t>
      </w:r>
    </w:p>
  </w:footnote>
  <w:footnote w:id="19">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17" w:history="1">
        <w:r>
          <w:rPr>
            <w:rStyle w:val="Hyperlink"/>
            <w:rFonts w:eastAsia="Times New Roman"/>
            <w:kern w:val="18"/>
            <w:lang w:val="es-ES"/>
          </w:rPr>
          <w:t>https://home.kpmg.com/content/dam/kpmg/campaigns/csr/pdf/CSR_Reporting_2017.pdf</w:t>
        </w:r>
      </w:hyperlink>
    </w:p>
  </w:footnote>
  <w:footnote w:id="20">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18" w:history="1">
        <w:r>
          <w:rPr>
            <w:rStyle w:val="Hyperlink"/>
            <w:rFonts w:eastAsia="Times New Roman"/>
            <w:kern w:val="18"/>
            <w:lang w:val="es-ES"/>
          </w:rPr>
          <w:t>https://www.pwc.nl/nl/assets/documents/the-sustainable-development-goals.pdf</w:t>
        </w:r>
      </w:hyperlink>
      <w:r>
        <w:rPr>
          <w:rFonts w:eastAsia="Times New Roman"/>
          <w:kern w:val="18"/>
          <w:lang w:val="es-ES"/>
        </w:rPr>
        <w:t xml:space="preserve"> </w:t>
      </w:r>
    </w:p>
  </w:footnote>
  <w:footnote w:id="21">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w:t>
      </w:r>
      <w:hyperlink r:id="rId19" w:history="1">
        <w:r>
          <w:rPr>
            <w:rStyle w:val="Hyperlink"/>
            <w:rFonts w:eastAsia="Times New Roman"/>
            <w:kern w:val="18"/>
            <w:lang w:val="es-ES"/>
          </w:rPr>
          <w:t>https://www.globalreporting.org/resourcelibrary/GRI_UNGC_Business-Reporting-on-SDGs_Analysis-of-Goals-and-Targets.pdf</w:t>
        </w:r>
      </w:hyperlink>
    </w:p>
  </w:footnote>
  <w:footnote w:id="22">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20" w:history="1">
        <w:r>
          <w:rPr>
            <w:rStyle w:val="Hyperlink"/>
            <w:rFonts w:eastAsia="Times New Roman"/>
            <w:kern w:val="18"/>
            <w:lang w:val="es-ES"/>
          </w:rPr>
          <w:t>http://integratedreporting.org/resource/sdgs-integrated-thinking-and-the-integrated-report/</w:t>
        </w:r>
      </w:hyperlink>
      <w:r>
        <w:rPr>
          <w:rFonts w:eastAsia="Times New Roman"/>
          <w:kern w:val="18"/>
          <w:lang w:val="es-ES"/>
        </w:rPr>
        <w:t xml:space="preserve"> </w:t>
      </w:r>
    </w:p>
  </w:footnote>
  <w:footnote w:id="23">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w:t>
      </w:r>
      <w:hyperlink r:id="rId21" w:history="1">
        <w:r>
          <w:rPr>
            <w:rStyle w:val="Hyperlink"/>
            <w:rFonts w:eastAsia="Times New Roman"/>
            <w:kern w:val="18"/>
            <w:lang w:val="es-ES"/>
          </w:rPr>
          <w:t>https://www.cisl.cam.ac.uk/publications/working-papers-folder/healthy-ecosystem-metric-framework</w:t>
        </w:r>
      </w:hyperlink>
    </w:p>
  </w:footnote>
  <w:footnote w:id="24">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w:t>
      </w:r>
      <w:hyperlink r:id="rId22" w:history="1">
        <w:r>
          <w:rPr>
            <w:rStyle w:val="Hyperlink"/>
            <w:rFonts w:eastAsia="Times New Roman"/>
            <w:kern w:val="18"/>
            <w:lang w:val="es-ES"/>
          </w:rPr>
          <w:t>http://www.mission-economie-biodiversite.com/wp-content/uploads/2017/11/N11-TRAVAUX-DU-CLUB-B4B-INDICATEUR-GBS-UK-BD.pdf</w:t>
        </w:r>
      </w:hyperlink>
    </w:p>
  </w:footnote>
  <w:footnote w:id="25">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23" w:history="1">
        <w:r>
          <w:rPr>
            <w:rStyle w:val="Hyperlink"/>
            <w:rFonts w:eastAsia="Times New Roman"/>
            <w:kern w:val="18"/>
            <w:lang w:val="es-ES"/>
          </w:rPr>
          <w:t>http://institutolife.org/es/</w:t>
        </w:r>
      </w:hyperlink>
    </w:p>
  </w:footnote>
  <w:footnote w:id="26">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24" w:history="1">
        <w:r>
          <w:rPr>
            <w:rStyle w:val="Hyperlink"/>
            <w:rFonts w:eastAsia="Times New Roman"/>
            <w:kern w:val="18"/>
            <w:lang w:val="es-ES"/>
          </w:rPr>
          <w:t>http://www.ipieca.org/resources/good-practice/biodiversity-and-ecosystem-services-fundamentals/</w:t>
        </w:r>
      </w:hyperlink>
    </w:p>
  </w:footnote>
  <w:footnote w:id="27">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25" w:history="1">
        <w:r>
          <w:rPr>
            <w:rStyle w:val="Hyperlink"/>
            <w:rFonts w:eastAsia="Times New Roman"/>
            <w:kern w:val="18"/>
            <w:lang w:val="es-ES"/>
          </w:rPr>
          <w:t>http://ec.europa.eu/environment/biodiversity/business/workstreams/natural-capital-accounting/index_en.htm</w:t>
        </w:r>
      </w:hyperlink>
    </w:p>
  </w:footnote>
  <w:footnote w:id="28">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ascii="MS Mincho"/>
        </w:rPr>
      </w:pPr>
      <w:r>
        <w:rPr>
          <w:rStyle w:val="FootnoteReference"/>
          <w:kern w:val="18"/>
          <w:sz w:val="18"/>
          <w:lang w:val="es-ES"/>
        </w:rPr>
        <w:footnoteRef/>
      </w:r>
      <w:r>
        <w:rPr>
          <w:kern w:val="18"/>
          <w:lang w:val="es-ES"/>
        </w:rPr>
        <w:t xml:space="preserve"> </w:t>
      </w:r>
      <w:bookmarkStart w:id="13" w:name="_Hlt515563220"/>
      <w:bookmarkStart w:id="14" w:name="_Hlt515563221"/>
      <w:r>
        <w:rPr>
          <w:lang w:val="es-ES"/>
        </w:rPr>
        <w:fldChar w:fldCharType="begin"/>
      </w:r>
      <w:r>
        <w:rPr>
          <w:lang w:val="es-ES"/>
        </w:rPr>
        <w:instrText>HYPERLINK "https://unstats.un.org/unsd/envaccounting/seea.asp"</w:instrText>
      </w:r>
      <w:r>
        <w:rPr>
          <w:lang w:val="es-ES"/>
        </w:rPr>
        <w:fldChar w:fldCharType="separate"/>
      </w:r>
      <w:r>
        <w:rPr>
          <w:rStyle w:val="Hyperlink"/>
          <w:kern w:val="18"/>
          <w:lang w:val="es-ES"/>
        </w:rPr>
        <w:t>https://unstats.un.org/unsd/envaccounting/seea.asp</w:t>
      </w:r>
      <w:r>
        <w:rPr>
          <w:lang w:val="es-ES"/>
        </w:rPr>
        <w:fldChar w:fldCharType="end"/>
      </w:r>
      <w:bookmarkEnd w:id="13"/>
      <w:bookmarkEnd w:id="14"/>
    </w:p>
  </w:footnote>
  <w:footnote w:id="29">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Para una versión temprana, véase la Serie Técnica del CDB núm. 77, así como la recomendación técnica más reciente disponible en </w:t>
      </w:r>
      <w:hyperlink r:id="rId26" w:history="1">
        <w:r>
          <w:rPr>
            <w:rStyle w:val="Hyperlink"/>
            <w:rFonts w:eastAsia="Times New Roman"/>
            <w:kern w:val="18"/>
            <w:lang w:val="es-ES"/>
          </w:rPr>
          <w:t>https://unstats.un.org/unsd/envaccounting/eea_project/default.asp</w:t>
        </w:r>
      </w:hyperlink>
      <w:r>
        <w:rPr>
          <w:rFonts w:eastAsia="Times New Roman"/>
          <w:kern w:val="18"/>
          <w:lang w:val="es-ES"/>
        </w:rPr>
        <w:t xml:space="preserve">. Véase también la iniciativa WAVES (Contabilidad de la Riqueza y Valoración de los Servicios de los Ecosistemas), liderada por el Banco Mundial: </w:t>
      </w:r>
      <w:hyperlink r:id="rId27" w:history="1">
        <w:r>
          <w:rPr>
            <w:rStyle w:val="Hyperlink"/>
            <w:rFonts w:eastAsia="Times New Roman"/>
            <w:kern w:val="18"/>
            <w:lang w:val="es-ES"/>
          </w:rPr>
          <w:t>https://www.wavespartnership.org</w:t>
        </w:r>
      </w:hyperlink>
      <w:r>
        <w:rPr>
          <w:rFonts w:eastAsia="Times New Roman"/>
          <w:lang w:val="es-ES"/>
        </w:rPr>
        <w:t>.</w:t>
      </w:r>
    </w:p>
  </w:footnote>
  <w:footnote w:id="30">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Véase </w:t>
      </w:r>
      <w:hyperlink r:id="rId28" w:history="1">
        <w:r>
          <w:rPr>
            <w:rStyle w:val="Hyperlink"/>
            <w:rFonts w:eastAsia="Times New Roman"/>
            <w:kern w:val="18"/>
            <w:lang w:val="es-ES"/>
          </w:rPr>
          <w:t>https://unstats.un.org/unsd/envaccounting/eu_project/default.asp</w:t>
        </w:r>
      </w:hyperlink>
      <w:r>
        <w:rPr>
          <w:rFonts w:eastAsia="Times New Roman"/>
          <w:lang w:val="es-ES"/>
        </w:rPr>
        <w:t>.</w:t>
      </w:r>
    </w:p>
  </w:footnote>
  <w:footnote w:id="31">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hyperlink r:id="rId29" w:history="1">
        <w:r>
          <w:rPr>
            <w:rStyle w:val="Hyperlink"/>
            <w:rFonts w:eastAsia="Times New Roman"/>
            <w:kern w:val="18"/>
            <w:lang w:val="es-ES"/>
          </w:rPr>
          <w:t>https://www.cbd.int/business/meetings-events/2017/default.shtml</w:t>
        </w:r>
      </w:hyperlink>
    </w:p>
  </w:footnote>
  <w:footnote w:id="32">
    <w:p w:rsidR="00C73D35" w:rsidRPr="004A68EB"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sidRPr="004A68EB">
        <w:rPr>
          <w:rStyle w:val="FootnoteReference"/>
          <w:rFonts w:eastAsia="Times New Roman"/>
          <w:kern w:val="18"/>
          <w:sz w:val="18"/>
          <w:lang w:val="es-ES"/>
        </w:rPr>
        <w:footnoteRef/>
      </w:r>
      <w:r w:rsidR="008F4B02">
        <w:rPr>
          <w:spacing w:val="-20"/>
        </w:rPr>
        <w:t> </w:t>
      </w:r>
      <w:hyperlink r:id="rId30" w:history="1">
        <w:r w:rsidRPr="004A68EB">
          <w:rPr>
            <w:rStyle w:val="Hyperlink"/>
            <w:rFonts w:eastAsia="Times New Roman"/>
            <w:kern w:val="18"/>
            <w:lang w:val="es-ES"/>
          </w:rPr>
          <w:t>https://www.bipindicators.net/system/resources/files/000/002/191/original/</w:t>
        </w:r>
        <w:r w:rsidRPr="008F4B02">
          <w:rPr>
            <w:rStyle w:val="Hyperlink"/>
            <w:rFonts w:eastAsia="Times New Roman"/>
            <w:spacing w:val="-4"/>
            <w:kern w:val="18"/>
            <w:lang w:val="es-ES"/>
          </w:rPr>
          <w:t>Framework_Brochure_UK_0311_LOWRES_%281%</w:t>
        </w:r>
        <w:r w:rsidRPr="004A68EB">
          <w:rPr>
            <w:rStyle w:val="Hyperlink"/>
            <w:rFonts w:eastAsia="Times New Roman"/>
            <w:kern w:val="18"/>
            <w:lang w:val="es-ES"/>
          </w:rPr>
          <w:t>29.pdf?1481</w:t>
        </w:r>
        <w:r w:rsidRPr="004A68EB">
          <w:rPr>
            <w:rStyle w:val="Hyperlink"/>
            <w:rFonts w:eastAsia="Times New Roman"/>
            <w:kern w:val="18"/>
            <w:lang w:val="es-ES"/>
          </w:rPr>
          <w:t>6</w:t>
        </w:r>
        <w:r w:rsidRPr="004A68EB">
          <w:rPr>
            <w:rStyle w:val="Hyperlink"/>
            <w:rFonts w:eastAsia="Times New Roman"/>
            <w:kern w:val="18"/>
            <w:lang w:val="es-ES"/>
          </w:rPr>
          <w:t>34262</w:t>
        </w:r>
      </w:hyperlink>
    </w:p>
  </w:footnote>
  <w:footnote w:id="33">
    <w:p w:rsidR="00C73D35" w:rsidRDefault="00C73D35">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sidR="008F4B02">
        <w:rPr>
          <w:rFonts w:eastAsia="Times New Roman"/>
          <w:kern w:val="18"/>
          <w:sz w:val="18"/>
          <w:lang w:val="es-ES"/>
        </w:rPr>
        <w:t> </w:t>
      </w:r>
      <w:r>
        <w:rPr>
          <w:rFonts w:eastAsia="Times New Roman"/>
          <w:kern w:val="18"/>
          <w:sz w:val="18"/>
          <w:lang w:val="es-ES"/>
        </w:rPr>
        <w:t>A saber, el valor intrínseco de la diversidad biológica, así como los valores ecológicos, genéticos, sociales, económicos, científicos, educativos, culturales, recreativos y estéticos de la diversidad biológica y sus componentes.</w:t>
      </w:r>
    </w:p>
  </w:footnote>
  <w:footnote w:id="34">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Esta es una herramienta r</w:t>
      </w:r>
      <w:r w:rsidR="0062644E">
        <w:rPr>
          <w:rFonts w:eastAsia="Times New Roman"/>
          <w:kern w:val="18"/>
          <w:lang w:val="es-ES"/>
        </w:rPr>
        <w:t>e</w:t>
      </w:r>
      <w:r>
        <w:rPr>
          <w:rFonts w:eastAsia="Times New Roman"/>
          <w:kern w:val="18"/>
          <w:lang w:val="es-ES"/>
        </w:rPr>
        <w:t xml:space="preserve">gida por el CMVC-PNUMA, Conservation International, la UICN y BirdLife International que permite trazar la ubicación de áreas protegidas, áreas clave para la diversidad biológica y la presencia de especies en riesgo de extinción. Véase </w:t>
      </w:r>
      <w:hyperlink r:id="rId31" w:history="1">
        <w:r>
          <w:rPr>
            <w:rStyle w:val="Hyperlink"/>
            <w:rFonts w:eastAsia="Times New Roman"/>
            <w:kern w:val="18"/>
            <w:lang w:val="es-ES"/>
          </w:rPr>
          <w:t>https://www.unep-wcmc.org/resources-and-data/ibat</w:t>
        </w:r>
      </w:hyperlink>
      <w:r>
        <w:rPr>
          <w:rFonts w:eastAsia="Times New Roman"/>
          <w:lang w:val="es-ES"/>
        </w:rPr>
        <w:t>.</w:t>
      </w:r>
    </w:p>
  </w:footnote>
  <w:footnote w:id="35">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ascii="MS Mincho"/>
        </w:rPr>
      </w:pPr>
      <w:r>
        <w:rPr>
          <w:rStyle w:val="FootnoteReference"/>
          <w:kern w:val="18"/>
          <w:sz w:val="18"/>
          <w:lang w:val="es-ES"/>
        </w:rPr>
        <w:footnoteRef/>
      </w:r>
      <w:r>
        <w:rPr>
          <w:kern w:val="18"/>
          <w:lang w:val="es-ES"/>
        </w:rPr>
        <w:t xml:space="preserve"> </w:t>
      </w:r>
      <w:bookmarkStart w:id="18" w:name="_Hlt515577875"/>
      <w:bookmarkStart w:id="19" w:name="_Hlt515577876"/>
      <w:r>
        <w:rPr>
          <w:kern w:val="18"/>
          <w:lang w:val="es-ES"/>
        </w:rPr>
        <w:t xml:space="preserve">Véase GRI 304: Biodiversidad 2016 (Estándares temáticos de la Serie 300 (Estándares ambientales)), disponible en: </w:t>
      </w:r>
      <w:hyperlink r:id="rId32" w:history="1">
        <w:r>
          <w:rPr>
            <w:rStyle w:val="Hyperlink"/>
            <w:kern w:val="18"/>
            <w:lang w:val="es-ES"/>
          </w:rPr>
          <w:t>https://www.globalreporting.org/standards/gri-standards-translations/gri-standards-spanish-translations-download-center/</w:t>
        </w:r>
      </w:hyperlink>
      <w:r>
        <w:rPr>
          <w:lang w:val="es-ES"/>
        </w:rPr>
        <w:t>.</w:t>
      </w:r>
      <w:bookmarkEnd w:id="18"/>
      <w:bookmarkEnd w:id="19"/>
    </w:p>
  </w:footnote>
  <w:footnote w:id="36">
    <w:p w:rsidR="00C73D35" w:rsidRDefault="00C73D35">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Objetivo estratégico de Aichi A:</w:t>
      </w:r>
      <w:r>
        <w:rPr>
          <w:rFonts w:eastAsia="Times New Roman"/>
          <w:color w:val="262626"/>
          <w:kern w:val="18"/>
          <w:sz w:val="18"/>
          <w:shd w:val="clear" w:color="auto" w:fill="FFFFFF"/>
          <w:lang w:val="es-ES"/>
        </w:rPr>
        <w:t xml:space="preserve"> </w:t>
      </w:r>
      <w:r>
        <w:rPr>
          <w:rFonts w:eastAsia="Times New Roman"/>
          <w:kern w:val="18"/>
          <w:sz w:val="18"/>
          <w:shd w:val="clear" w:color="auto" w:fill="FFFFFF"/>
          <w:lang w:val="es-ES"/>
        </w:rPr>
        <w:t>Abordar las causas subyacentes de la pérdida de diversidad biológica mediante la incorporación de la diversidad biológica en todos los ámbitos gubernamentales y de la sociedad.</w:t>
      </w:r>
    </w:p>
  </w:footnote>
  <w:footnote w:id="37">
    <w:p w:rsidR="00C73D35" w:rsidRDefault="00C73D35">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Objetivo estratégico de Aichi B:</w:t>
      </w:r>
      <w:r>
        <w:rPr>
          <w:rFonts w:eastAsia="Times New Roman"/>
          <w:color w:val="262626"/>
          <w:kern w:val="18"/>
          <w:sz w:val="18"/>
          <w:shd w:val="clear" w:color="auto" w:fill="FFFFFF"/>
          <w:lang w:val="es-ES"/>
        </w:rPr>
        <w:t xml:space="preserve"> </w:t>
      </w:r>
      <w:r>
        <w:rPr>
          <w:rFonts w:eastAsia="Times New Roman"/>
          <w:kern w:val="18"/>
          <w:sz w:val="18"/>
          <w:shd w:val="clear" w:color="auto" w:fill="FFFFFF"/>
          <w:lang w:val="es-ES"/>
        </w:rPr>
        <w:t>Reducir las presiones directas sobre la diversidad biológica y promover la utilización sostenible.</w:t>
      </w:r>
    </w:p>
  </w:footnote>
  <w:footnote w:id="38">
    <w:p w:rsidR="00C73D35" w:rsidRDefault="00C73D35" w:rsidP="00423E8A">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Objetivo estratégico de Aichi C:</w:t>
      </w:r>
      <w:r>
        <w:rPr>
          <w:rFonts w:eastAsia="Times New Roman"/>
          <w:color w:val="262626"/>
          <w:kern w:val="18"/>
          <w:sz w:val="18"/>
          <w:shd w:val="clear" w:color="auto" w:fill="FFFFFF"/>
          <w:lang w:val="es-ES"/>
        </w:rPr>
        <w:t xml:space="preserve"> </w:t>
      </w:r>
      <w:r>
        <w:rPr>
          <w:rFonts w:eastAsia="Times New Roman"/>
          <w:kern w:val="18"/>
          <w:sz w:val="18"/>
          <w:shd w:val="clear" w:color="auto" w:fill="FFFFFF"/>
          <w:lang w:val="es-ES"/>
        </w:rPr>
        <w:t>Mejorar la situación de la diversidad biológica salvaguardando los ecosistemas, las especies y la diversidad genética.</w:t>
      </w:r>
    </w:p>
  </w:footnote>
  <w:footnote w:id="39">
    <w:p w:rsidR="00C73D35" w:rsidRDefault="00C73D35">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Objetivo estratégico de Aichi D:</w:t>
      </w:r>
      <w:r>
        <w:rPr>
          <w:rFonts w:eastAsia="Times New Roman"/>
          <w:color w:val="262626"/>
          <w:kern w:val="18"/>
          <w:sz w:val="18"/>
          <w:shd w:val="clear" w:color="auto" w:fill="FFFFFF"/>
          <w:lang w:val="es-ES"/>
        </w:rPr>
        <w:t xml:space="preserve"> </w:t>
      </w:r>
      <w:r>
        <w:rPr>
          <w:rFonts w:eastAsia="Times New Roman"/>
          <w:kern w:val="18"/>
          <w:sz w:val="18"/>
          <w:shd w:val="clear" w:color="auto" w:fill="FFFFFF"/>
          <w:lang w:val="es-ES"/>
        </w:rPr>
        <w:t>Aumentar los beneficios de la diversidad biológica y los servicios de los ecosistemas para todos.</w:t>
      </w:r>
    </w:p>
  </w:footnote>
  <w:footnote w:id="40">
    <w:p w:rsidR="00C73D35" w:rsidRDefault="00C73D35">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Objetivo estratégico de Aichi E:</w:t>
      </w:r>
      <w:r>
        <w:rPr>
          <w:rFonts w:eastAsia="Times New Roman"/>
          <w:color w:val="262626"/>
          <w:kern w:val="18"/>
          <w:sz w:val="18"/>
          <w:shd w:val="clear" w:color="auto" w:fill="FFFFFF"/>
          <w:lang w:val="es-ES"/>
        </w:rPr>
        <w:t xml:space="preserve"> </w:t>
      </w:r>
      <w:r>
        <w:rPr>
          <w:rFonts w:eastAsia="Times New Roman"/>
          <w:kern w:val="18"/>
          <w:sz w:val="18"/>
          <w:shd w:val="clear" w:color="auto" w:fill="FFFFFF"/>
          <w:lang w:val="es-ES"/>
        </w:rPr>
        <w:t>Mejorar la aplicación a través de la planificación participativa, la gestión de los conocimientos y la creación de capacidad.</w:t>
      </w:r>
    </w:p>
  </w:footnote>
  <w:footnote w:id="41">
    <w:p w:rsidR="00C73D35" w:rsidRDefault="00C73D35">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GRI</w:t>
      </w:r>
      <w:r>
        <w:rPr>
          <w:rFonts w:eastAsia="Times New Roman"/>
          <w:kern w:val="18"/>
          <w:sz w:val="18"/>
          <w:lang w:val="es-ES"/>
        </w:rPr>
        <w:t xml:space="preserve"> 304-3 Hábitats protegido</w:t>
      </w:r>
      <w:r w:rsidR="00A843B3">
        <w:rPr>
          <w:rFonts w:eastAsia="Times New Roman"/>
          <w:kern w:val="18"/>
          <w:sz w:val="18"/>
          <w:lang w:val="es-ES"/>
        </w:rPr>
        <w:t>s</w:t>
      </w:r>
      <w:r>
        <w:rPr>
          <w:rFonts w:eastAsia="Times New Roman"/>
          <w:kern w:val="18"/>
          <w:sz w:val="18"/>
          <w:lang w:val="es-ES"/>
        </w:rPr>
        <w:t xml:space="preserve"> o restaurados.</w:t>
      </w:r>
    </w:p>
  </w:footnote>
  <w:footnote w:id="42">
    <w:p w:rsidR="00C73D35" w:rsidRDefault="00C73D35">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GRI</w:t>
      </w:r>
      <w:r>
        <w:rPr>
          <w:rFonts w:eastAsia="Times New Roman"/>
          <w:kern w:val="18"/>
          <w:sz w:val="18"/>
          <w:lang w:val="es-ES"/>
        </w:rPr>
        <w:t xml:space="preserve"> 304-1 Centros de operaciones en propiedad, arrendados o gestionados ubicados dentro de o junto a áreas protegidas o zonas de gran valor para la biodiversidad fuera de áreas protegidas.</w:t>
      </w:r>
    </w:p>
  </w:footnote>
  <w:footnote w:id="43">
    <w:p w:rsidR="00C73D35" w:rsidRDefault="00C73D35">
      <w:pPr>
        <w:pStyle w:val="FootnoteText"/>
        <w:keepLines w:val="0"/>
        <w:suppressLineNumbers/>
        <w:suppressAutoHyphens/>
        <w:kinsoku w:val="0"/>
        <w:overflowPunct w:val="0"/>
        <w:autoSpaceDE w:val="0"/>
        <w:autoSpaceDN w:val="0"/>
        <w:adjustRightInd w:val="0"/>
        <w:snapToGrid w:val="0"/>
        <w:ind w:firstLine="0"/>
        <w:jc w:val="left"/>
        <w:rPr>
          <w:rFonts w:eastAsia="Times New Roman"/>
          <w:lang w:val="es-ES"/>
        </w:rPr>
      </w:pPr>
      <w:r>
        <w:rPr>
          <w:rStyle w:val="FootnoteReference"/>
          <w:rFonts w:eastAsia="Times New Roman"/>
          <w:kern w:val="18"/>
          <w:sz w:val="18"/>
          <w:lang w:val="es-ES"/>
        </w:rPr>
        <w:footnoteRef/>
      </w:r>
      <w:r>
        <w:rPr>
          <w:rFonts w:eastAsia="Times New Roman"/>
          <w:kern w:val="18"/>
          <w:lang w:val="es-ES"/>
        </w:rPr>
        <w:t xml:space="preserve"> </w:t>
      </w:r>
      <w:r>
        <w:rPr>
          <w:rFonts w:eastAsia="Times New Roman"/>
          <w:kern w:val="18"/>
          <w:shd w:val="clear" w:color="auto" w:fill="FFFFFF"/>
          <w:lang w:val="es-ES"/>
        </w:rPr>
        <w:t>GRI</w:t>
      </w:r>
      <w:r>
        <w:rPr>
          <w:rFonts w:eastAsia="Times New Roman"/>
          <w:kern w:val="18"/>
          <w:lang w:val="es-ES"/>
        </w:rPr>
        <w:t xml:space="preserve"> 304-2 Impactos significativos de las actividades, los productos y los servicios en la biodiversidad.</w:t>
      </w:r>
    </w:p>
  </w:footnote>
  <w:footnote w:id="44">
    <w:p w:rsidR="00C73D35" w:rsidRDefault="00C73D35" w:rsidP="00423E8A">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GRI</w:t>
      </w:r>
      <w:r>
        <w:rPr>
          <w:rFonts w:eastAsia="Times New Roman"/>
          <w:kern w:val="18"/>
          <w:sz w:val="18"/>
          <w:lang w:val="es-ES"/>
        </w:rPr>
        <w:t xml:space="preserve"> 304-3 Hábitats protegido</w:t>
      </w:r>
      <w:r w:rsidR="00A843B3">
        <w:rPr>
          <w:rFonts w:eastAsia="Times New Roman"/>
          <w:kern w:val="18"/>
          <w:sz w:val="18"/>
          <w:lang w:val="es-ES"/>
        </w:rPr>
        <w:t>s</w:t>
      </w:r>
      <w:r>
        <w:rPr>
          <w:rFonts w:eastAsia="Times New Roman"/>
          <w:kern w:val="18"/>
          <w:sz w:val="18"/>
          <w:lang w:val="es-ES"/>
        </w:rPr>
        <w:t xml:space="preserve"> o restaurados.</w:t>
      </w:r>
    </w:p>
  </w:footnote>
  <w:footnote w:id="45">
    <w:p w:rsidR="00C73D35" w:rsidRDefault="00C73D35">
      <w:pPr>
        <w:suppressLineNumbers/>
        <w:suppressAutoHyphens/>
        <w:kinsoku w:val="0"/>
        <w:overflowPunct w:val="0"/>
        <w:autoSpaceDE w:val="0"/>
        <w:autoSpaceDN w:val="0"/>
        <w:adjustRightInd w:val="0"/>
        <w:snapToGrid w:val="0"/>
        <w:spacing w:after="60"/>
        <w:rPr>
          <w:rFonts w:eastAsia="Times New Roman"/>
          <w:sz w:val="18"/>
          <w:lang w:val="es-ES"/>
        </w:rPr>
      </w:pPr>
      <w:r>
        <w:rPr>
          <w:rStyle w:val="FootnoteReference"/>
          <w:rFonts w:eastAsia="Times New Roman"/>
          <w:kern w:val="18"/>
          <w:sz w:val="18"/>
          <w:lang w:val="es-ES"/>
        </w:rPr>
        <w:footnoteRef/>
      </w:r>
      <w:r>
        <w:rPr>
          <w:rFonts w:eastAsia="Times New Roman"/>
          <w:kern w:val="18"/>
          <w:sz w:val="18"/>
          <w:lang w:val="es-ES"/>
        </w:rPr>
        <w:t xml:space="preserve"> </w:t>
      </w:r>
      <w:r>
        <w:rPr>
          <w:rFonts w:eastAsia="Times New Roman"/>
          <w:kern w:val="18"/>
          <w:sz w:val="18"/>
          <w:shd w:val="clear" w:color="auto" w:fill="FFFFFF"/>
          <w:lang w:val="es-ES"/>
        </w:rPr>
        <w:t>GRI</w:t>
      </w:r>
      <w:r>
        <w:rPr>
          <w:rFonts w:eastAsia="Times New Roman"/>
          <w:kern w:val="18"/>
          <w:sz w:val="18"/>
          <w:lang w:val="es-ES"/>
        </w:rPr>
        <w:t xml:space="preserve"> 304-4 Especies que aparecen en la Lista Roja de la UICN y en listados nacionales de conservación cuyos hábitats se encuentren en áreas afectadas por las operaciones.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35" w:rsidRDefault="00C73D35">
    <w:pPr>
      <w:pStyle w:val="Header"/>
      <w:tabs>
        <w:tab w:val="clear" w:pos="4320"/>
        <w:tab w:val="clear" w:pos="8640"/>
      </w:tabs>
      <w:kinsoku w:val="0"/>
      <w:overflowPunct w:val="0"/>
      <w:autoSpaceDE w:val="0"/>
      <w:autoSpaceDN w:val="0"/>
      <w:adjustRightInd w:val="0"/>
      <w:snapToGrid w:val="0"/>
      <w:jc w:val="left"/>
      <w:rPr>
        <w:rFonts w:eastAsia="Times New Roman"/>
        <w:kern w:val="22"/>
        <w:lang w:val="es-ES"/>
      </w:rPr>
    </w:pPr>
    <w:r>
      <w:rPr>
        <w:rFonts w:eastAsia="Times New Roman"/>
        <w:kern w:val="22"/>
        <w:lang w:val="es-ES"/>
      </w:rPr>
      <w:t>CBD/SBI/2/4/Add.2</w:t>
    </w:r>
  </w:p>
  <w:p w:rsidR="00C73D35" w:rsidRDefault="00C73D35">
    <w:pPr>
      <w:pStyle w:val="Header"/>
      <w:tabs>
        <w:tab w:val="clear" w:pos="4320"/>
        <w:tab w:val="clear" w:pos="8640"/>
      </w:tabs>
      <w:kinsoku w:val="0"/>
      <w:overflowPunct w:val="0"/>
      <w:autoSpaceDE w:val="0"/>
      <w:autoSpaceDN w:val="0"/>
      <w:adjustRightInd w:val="0"/>
      <w:snapToGrid w:val="0"/>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745EA5" w:rsidRPr="00745EA5">
      <w:rPr>
        <w:rFonts w:eastAsia="Times New Roman"/>
        <w:noProof/>
        <w:kern w:val="22"/>
      </w:rPr>
      <w:t>16</w:t>
    </w:r>
    <w:r>
      <w:rPr>
        <w:rFonts w:eastAsia="Times New Roman"/>
        <w:kern w:val="22"/>
        <w:lang w:val="es-ES"/>
      </w:rPr>
      <w:fldChar w:fldCharType="end"/>
    </w:r>
  </w:p>
  <w:p w:rsidR="00C73D35" w:rsidRDefault="00C73D35">
    <w:pPr>
      <w:pStyle w:val="Header"/>
      <w:tabs>
        <w:tab w:val="clear" w:pos="4320"/>
        <w:tab w:val="clear" w:pos="8640"/>
      </w:tabs>
      <w:kinsoku w:val="0"/>
      <w:overflowPunct w:val="0"/>
      <w:autoSpaceDE w:val="0"/>
      <w:autoSpaceDN w:val="0"/>
      <w:adjustRightInd w:val="0"/>
      <w:snapToGrid w:val="0"/>
      <w:jc w:val="left"/>
      <w:rPr>
        <w:rFonts w:eastAsia="Times New Roman"/>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35" w:rsidRDefault="00C73D35">
    <w:pPr>
      <w:pStyle w:val="Header"/>
      <w:tabs>
        <w:tab w:val="clear" w:pos="4320"/>
        <w:tab w:val="clear" w:pos="8640"/>
      </w:tabs>
      <w:kinsoku w:val="0"/>
      <w:overflowPunct w:val="0"/>
      <w:autoSpaceDE w:val="0"/>
      <w:autoSpaceDN w:val="0"/>
      <w:jc w:val="right"/>
      <w:rPr>
        <w:rFonts w:eastAsia="Times New Roman"/>
        <w:kern w:val="22"/>
        <w:lang w:val="es-ES"/>
      </w:rPr>
    </w:pPr>
    <w:r>
      <w:rPr>
        <w:rFonts w:eastAsia="Times New Roman"/>
        <w:kern w:val="22"/>
        <w:lang w:val="es-ES"/>
      </w:rPr>
      <w:t>CBD/SBI/2/4/Add.2</w:t>
    </w:r>
  </w:p>
  <w:p w:rsidR="00C73D35" w:rsidRDefault="00C73D35">
    <w:pPr>
      <w:pStyle w:val="Header"/>
      <w:tabs>
        <w:tab w:val="clear" w:pos="4320"/>
        <w:tab w:val="clear" w:pos="8640"/>
      </w:tabs>
      <w:kinsoku w:val="0"/>
      <w:overflowPunct w:val="0"/>
      <w:autoSpaceDE w:val="0"/>
      <w:autoSpaceDN w:val="0"/>
      <w:jc w:val="righ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745EA5" w:rsidRPr="00745EA5">
      <w:rPr>
        <w:rFonts w:eastAsia="Times New Roman"/>
        <w:noProof/>
        <w:kern w:val="22"/>
      </w:rPr>
      <w:t>15</w:t>
    </w:r>
    <w:r>
      <w:rPr>
        <w:rFonts w:eastAsia="Times New Roman"/>
        <w:kern w:val="22"/>
        <w:lang w:val="es-ES"/>
      </w:rPr>
      <w:fldChar w:fldCharType="end"/>
    </w:r>
  </w:p>
  <w:p w:rsidR="00C73D35" w:rsidRDefault="00C73D35">
    <w:pPr>
      <w:pStyle w:val="Header"/>
      <w:tabs>
        <w:tab w:val="clear" w:pos="4320"/>
        <w:tab w:val="clear" w:pos="8640"/>
      </w:tabs>
      <w:kinsoku w:val="0"/>
      <w:overflowPunct w:val="0"/>
      <w:autoSpaceDE w:val="0"/>
      <w:autoSpaceDN w:val="0"/>
      <w:jc w:val="right"/>
      <w:rPr>
        <w:rFonts w:eastAsia="Times New Roman"/>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D22"/>
    <w:multiLevelType w:val="hybridMultilevel"/>
    <w:tmpl w:val="ECAE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10688"/>
    <w:multiLevelType w:val="hybridMultilevel"/>
    <w:tmpl w:val="4EA0B914"/>
    <w:lvl w:ilvl="0" w:tplc="BEC2D1EA">
      <w:start w:val="1"/>
      <w:numFmt w:val="decimal"/>
      <w:lvlText w:val="%1."/>
      <w:lvlJc w:val="left"/>
      <w:pPr>
        <w:tabs>
          <w:tab w:val="num" w:pos="0"/>
        </w:tabs>
        <w:ind w:left="1080" w:hanging="360"/>
      </w:pPr>
      <w:rPr>
        <w:rFonts w:ascii="Times New Roman" w:hAnsi="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3F2BA7"/>
    <w:multiLevelType w:val="hybridMultilevel"/>
    <w:tmpl w:val="B0A2CA2A"/>
    <w:lvl w:ilvl="0" w:tplc="9D1253A4">
      <w:start w:val="1"/>
      <w:numFmt w:val="decimal"/>
      <w:lvlText w:val="%1."/>
      <w:lvlJc w:val="left"/>
      <w:pPr>
        <w:ind w:left="810" w:hanging="360"/>
      </w:pPr>
      <w:rPr>
        <w:rFonts w:cs="Times New Roman"/>
        <w:b w:val="0"/>
      </w:rPr>
    </w:lvl>
    <w:lvl w:ilvl="1" w:tplc="0CF8D580">
      <w:start w:val="1"/>
      <w:numFmt w:val="lowerLetter"/>
      <w:lvlText w:val="%2)"/>
      <w:lvlJc w:val="left"/>
      <w:pPr>
        <w:tabs>
          <w:tab w:val="num" w:pos="1800"/>
        </w:tabs>
        <w:ind w:left="180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C15252"/>
    <w:multiLevelType w:val="multilevel"/>
    <w:tmpl w:val="161EFE94"/>
    <w:lvl w:ilvl="0">
      <w:start w:val="1"/>
      <w:numFmt w:val="lowerLetter"/>
      <w:lvlText w:val="(%1)"/>
      <w:lvlJc w:val="left"/>
      <w:pPr>
        <w:ind w:left="720" w:hanging="360"/>
      </w:pPr>
      <w:rPr>
        <w:rFonts w:cs="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D4F1A3E"/>
    <w:multiLevelType w:val="multilevel"/>
    <w:tmpl w:val="EDFC6E7C"/>
    <w:lvl w:ilvl="0">
      <w:start w:val="1"/>
      <w:numFmt w:val="lowerLetter"/>
      <w:lvlText w:val="(%1)"/>
      <w:lvlJc w:val="left"/>
      <w:pPr>
        <w:ind w:left="720" w:hanging="360"/>
      </w:pPr>
      <w:rPr>
        <w:rFonts w:cs="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08B3E00"/>
    <w:multiLevelType w:val="multilevel"/>
    <w:tmpl w:val="3BD490C6"/>
    <w:lvl w:ilvl="0">
      <w:start w:val="1"/>
      <w:numFmt w:val="decimal"/>
      <w:lvlText w:val="%1."/>
      <w:lvlJc w:val="left"/>
      <w:pPr>
        <w:ind w:left="810" w:hanging="360"/>
      </w:pPr>
      <w:rPr>
        <w:rFonts w:cs="Times New Roman"/>
        <w:b w:val="0"/>
      </w:rPr>
    </w:lvl>
    <w:lvl w:ilvl="1">
      <w:start w:val="1"/>
      <w:numFmt w:val="lowerLetter"/>
      <w:lvlText w:val="%2)"/>
      <w:lvlJc w:val="left"/>
      <w:pPr>
        <w:tabs>
          <w:tab w:val="num" w:pos="1800"/>
        </w:tabs>
        <w:ind w:left="1800" w:hanging="720"/>
      </w:pPr>
      <w:rPr>
        <w:rFonts w:ascii="Sitka Display" w:hAnsi="Sitka Display" w:cs="OpenSymbol" w:hint="default"/>
        <w:b w:val="0"/>
        <w:bCs w:val="0"/>
        <w:i w:val="0"/>
        <w:iCs w:val="0"/>
        <w:caps w:val="0"/>
        <w:strike w:val="0"/>
        <w:dstrike w:val="0"/>
        <w:outline w:val="0"/>
        <w:shadow w:val="0"/>
        <w:emboss w:val="0"/>
        <w:imprint w:val="0"/>
        <w:vanish w:val="0"/>
        <w:sz w:val="22"/>
        <w:vertAlign w:val="baseli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4883A88"/>
    <w:multiLevelType w:val="multilevel"/>
    <w:tmpl w:val="F6861DCC"/>
    <w:lvl w:ilvl="0">
      <w:start w:val="1"/>
      <w:numFmt w:val="decimal"/>
      <w:lvlText w:val="%1."/>
      <w:lvlJc w:val="left"/>
      <w:pPr>
        <w:ind w:left="108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5B41592"/>
    <w:multiLevelType w:val="multilevel"/>
    <w:tmpl w:val="F6861DCC"/>
    <w:lvl w:ilvl="0">
      <w:start w:val="1"/>
      <w:numFmt w:val="decimal"/>
      <w:lvlText w:val="%1."/>
      <w:lvlJc w:val="left"/>
      <w:pPr>
        <w:ind w:left="108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35C90C89"/>
    <w:multiLevelType w:val="hybridMultilevel"/>
    <w:tmpl w:val="07769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nsid w:val="3ED7041C"/>
    <w:multiLevelType w:val="hybridMultilevel"/>
    <w:tmpl w:val="B92666C2"/>
    <w:styleLink w:val="ImportedStyle2"/>
    <w:lvl w:ilvl="0" w:tplc="B8F29A38">
      <w:start w:val="1"/>
      <w:numFmt w:val="upperRoman"/>
      <w:lvlText w:val="%1."/>
      <w:lvlJc w:val="left"/>
      <w:pPr>
        <w:tabs>
          <w:tab w:val="num" w:pos="720"/>
        </w:tabs>
        <w:ind w:left="1080" w:hanging="720"/>
      </w:pPr>
      <w:rPr>
        <w:rFonts w:hAnsi="Arial Unicode MS" w:cs="Times New Roman"/>
        <w:b/>
        <w:bCs/>
        <w:caps w:val="0"/>
        <w:smallCaps w:val="0"/>
        <w:strike w:val="0"/>
        <w:dstrike w:val="0"/>
        <w:color w:val="000000"/>
        <w:spacing w:val="0"/>
        <w:w w:val="100"/>
        <w:kern w:val="0"/>
        <w:position w:val="0"/>
        <w:vertAlign w:val="baseline"/>
      </w:rPr>
    </w:lvl>
    <w:lvl w:ilvl="1" w:tplc="FE188A62">
      <w:start w:val="1"/>
      <w:numFmt w:val="lowerLetter"/>
      <w:lvlText w:val="%2."/>
      <w:lvlJc w:val="left"/>
      <w:pPr>
        <w:tabs>
          <w:tab w:val="num" w:pos="1440"/>
        </w:tabs>
        <w:ind w:left="1800" w:hanging="720"/>
      </w:pPr>
      <w:rPr>
        <w:rFonts w:hAnsi="Arial Unicode MS" w:cs="Times New Roman"/>
        <w:b/>
        <w:bCs/>
        <w:caps w:val="0"/>
        <w:smallCaps w:val="0"/>
        <w:strike w:val="0"/>
        <w:dstrike w:val="0"/>
        <w:color w:val="000000"/>
        <w:spacing w:val="0"/>
        <w:w w:val="100"/>
        <w:kern w:val="0"/>
        <w:position w:val="0"/>
        <w:vertAlign w:val="baseline"/>
      </w:rPr>
    </w:lvl>
    <w:lvl w:ilvl="2" w:tplc="61068F0E">
      <w:start w:val="1"/>
      <w:numFmt w:val="lowerRoman"/>
      <w:lvlText w:val="%3."/>
      <w:lvlJc w:val="left"/>
      <w:pPr>
        <w:tabs>
          <w:tab w:val="num" w:pos="2160"/>
        </w:tabs>
        <w:ind w:left="2520" w:hanging="634"/>
      </w:pPr>
      <w:rPr>
        <w:rFonts w:hAnsi="Arial Unicode MS" w:cs="Times New Roman"/>
        <w:b/>
        <w:bCs/>
        <w:caps w:val="0"/>
        <w:smallCaps w:val="0"/>
        <w:strike w:val="0"/>
        <w:dstrike w:val="0"/>
        <w:color w:val="000000"/>
        <w:spacing w:val="0"/>
        <w:w w:val="100"/>
        <w:kern w:val="0"/>
        <w:position w:val="0"/>
        <w:vertAlign w:val="baseline"/>
      </w:rPr>
    </w:lvl>
    <w:lvl w:ilvl="3" w:tplc="967814A8">
      <w:start w:val="1"/>
      <w:numFmt w:val="decimal"/>
      <w:lvlText w:val="%4."/>
      <w:lvlJc w:val="left"/>
      <w:pPr>
        <w:tabs>
          <w:tab w:val="num" w:pos="2880"/>
        </w:tabs>
        <w:ind w:left="3240" w:hanging="720"/>
      </w:pPr>
      <w:rPr>
        <w:rFonts w:hAnsi="Arial Unicode MS" w:cs="Times New Roman"/>
        <w:b/>
        <w:bCs/>
        <w:caps w:val="0"/>
        <w:smallCaps w:val="0"/>
        <w:strike w:val="0"/>
        <w:dstrike w:val="0"/>
        <w:color w:val="000000"/>
        <w:spacing w:val="0"/>
        <w:w w:val="100"/>
        <w:kern w:val="0"/>
        <w:position w:val="0"/>
        <w:vertAlign w:val="baseline"/>
      </w:rPr>
    </w:lvl>
    <w:lvl w:ilvl="4" w:tplc="F800A4E0">
      <w:start w:val="1"/>
      <w:numFmt w:val="lowerLetter"/>
      <w:lvlText w:val="%5."/>
      <w:lvlJc w:val="left"/>
      <w:pPr>
        <w:tabs>
          <w:tab w:val="num" w:pos="3600"/>
        </w:tabs>
        <w:ind w:left="3960" w:hanging="720"/>
      </w:pPr>
      <w:rPr>
        <w:rFonts w:hAnsi="Arial Unicode MS" w:cs="Times New Roman"/>
        <w:b/>
        <w:bCs/>
        <w:caps w:val="0"/>
        <w:smallCaps w:val="0"/>
        <w:strike w:val="0"/>
        <w:dstrike w:val="0"/>
        <w:color w:val="000000"/>
        <w:spacing w:val="0"/>
        <w:w w:val="100"/>
        <w:kern w:val="0"/>
        <w:position w:val="0"/>
        <w:vertAlign w:val="baseline"/>
      </w:rPr>
    </w:lvl>
    <w:lvl w:ilvl="5" w:tplc="C596C5A6">
      <w:start w:val="1"/>
      <w:numFmt w:val="lowerRoman"/>
      <w:lvlText w:val="%6."/>
      <w:lvlJc w:val="left"/>
      <w:pPr>
        <w:tabs>
          <w:tab w:val="num" w:pos="4320"/>
        </w:tabs>
        <w:ind w:left="4680" w:hanging="634"/>
      </w:pPr>
      <w:rPr>
        <w:rFonts w:hAnsi="Arial Unicode MS" w:cs="Times New Roman"/>
        <w:b/>
        <w:bCs/>
        <w:caps w:val="0"/>
        <w:smallCaps w:val="0"/>
        <w:strike w:val="0"/>
        <w:dstrike w:val="0"/>
        <w:color w:val="000000"/>
        <w:spacing w:val="0"/>
        <w:w w:val="100"/>
        <w:kern w:val="0"/>
        <w:position w:val="0"/>
        <w:vertAlign w:val="baseline"/>
      </w:rPr>
    </w:lvl>
    <w:lvl w:ilvl="6" w:tplc="01742BF8">
      <w:start w:val="1"/>
      <w:numFmt w:val="decimal"/>
      <w:lvlText w:val="%7."/>
      <w:lvlJc w:val="left"/>
      <w:pPr>
        <w:tabs>
          <w:tab w:val="num" w:pos="5040"/>
        </w:tabs>
        <w:ind w:left="5400" w:hanging="720"/>
      </w:pPr>
      <w:rPr>
        <w:rFonts w:hAnsi="Arial Unicode MS" w:cs="Times New Roman"/>
        <w:b/>
        <w:bCs/>
        <w:caps w:val="0"/>
        <w:smallCaps w:val="0"/>
        <w:strike w:val="0"/>
        <w:dstrike w:val="0"/>
        <w:color w:val="000000"/>
        <w:spacing w:val="0"/>
        <w:w w:val="100"/>
        <w:kern w:val="0"/>
        <w:position w:val="0"/>
        <w:vertAlign w:val="baseline"/>
      </w:rPr>
    </w:lvl>
    <w:lvl w:ilvl="7" w:tplc="16F4066C">
      <w:start w:val="1"/>
      <w:numFmt w:val="lowerLetter"/>
      <w:lvlText w:val="%8."/>
      <w:lvlJc w:val="left"/>
      <w:pPr>
        <w:tabs>
          <w:tab w:val="num" w:pos="5760"/>
        </w:tabs>
        <w:ind w:left="6120" w:hanging="720"/>
      </w:pPr>
      <w:rPr>
        <w:rFonts w:hAnsi="Arial Unicode MS" w:cs="Times New Roman"/>
        <w:b/>
        <w:bCs/>
        <w:caps w:val="0"/>
        <w:smallCaps w:val="0"/>
        <w:strike w:val="0"/>
        <w:dstrike w:val="0"/>
        <w:color w:val="000000"/>
        <w:spacing w:val="0"/>
        <w:w w:val="100"/>
        <w:kern w:val="0"/>
        <w:position w:val="0"/>
        <w:vertAlign w:val="baseline"/>
      </w:rPr>
    </w:lvl>
    <w:lvl w:ilvl="8" w:tplc="DA90498C">
      <w:start w:val="1"/>
      <w:numFmt w:val="lowerRoman"/>
      <w:lvlText w:val="%9."/>
      <w:lvlJc w:val="left"/>
      <w:pPr>
        <w:tabs>
          <w:tab w:val="num" w:pos="6480"/>
        </w:tabs>
        <w:ind w:left="6840" w:hanging="634"/>
      </w:pPr>
      <w:rPr>
        <w:rFonts w:hAnsi="Arial Unicode MS" w:cs="Times New Roman"/>
        <w:b/>
        <w:bCs/>
        <w:caps w:val="0"/>
        <w:smallCaps w:val="0"/>
        <w:strike w:val="0"/>
        <w:dstrike w:val="0"/>
        <w:color w:val="000000"/>
        <w:spacing w:val="0"/>
        <w:w w:val="100"/>
        <w:kern w:val="0"/>
        <w:position w:val="0"/>
        <w:vertAlign w:val="baseline"/>
      </w:rPr>
    </w:lvl>
  </w:abstractNum>
  <w:abstractNum w:abstractNumId="12">
    <w:nsid w:val="40165948"/>
    <w:multiLevelType w:val="hybridMultilevel"/>
    <w:tmpl w:val="742A0934"/>
    <w:lvl w:ilvl="0" w:tplc="79A8C40C">
      <w:start w:val="1"/>
      <w:numFmt w:val="decimal"/>
      <w:pStyle w:val="Para1"/>
      <w:lvlText w:val="%1."/>
      <w:lvlJc w:val="left"/>
      <w:pPr>
        <w:tabs>
          <w:tab w:val="num" w:pos="0"/>
        </w:tabs>
        <w:ind w:left="108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D07C2D"/>
    <w:multiLevelType w:val="multilevel"/>
    <w:tmpl w:val="D7DA47EE"/>
    <w:lvl w:ilvl="0">
      <w:start w:val="1"/>
      <w:numFmt w:val="decimal"/>
      <w:lvlText w:val="%1."/>
      <w:lvlJc w:val="left"/>
      <w:pPr>
        <w:ind w:left="810" w:hanging="360"/>
      </w:pPr>
      <w:rPr>
        <w:rFonts w:cs="Times New Roman"/>
        <w:b w:val="0"/>
      </w:rPr>
    </w:lvl>
    <w:lvl w:ilvl="1">
      <w:start w:val="1"/>
      <w:numFmt w:val="lowerLetter"/>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5E24046"/>
    <w:multiLevelType w:val="hybridMultilevel"/>
    <w:tmpl w:val="10BC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A7E772E"/>
    <w:multiLevelType w:val="hybridMultilevel"/>
    <w:tmpl w:val="EDFC6E7C"/>
    <w:lvl w:ilvl="0" w:tplc="CAB40D4C">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65825D8"/>
    <w:multiLevelType w:val="hybridMultilevel"/>
    <w:tmpl w:val="16E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A5C7D"/>
    <w:multiLevelType w:val="hybridMultilevel"/>
    <w:tmpl w:val="FDF8C894"/>
    <w:lvl w:ilvl="0" w:tplc="9D1253A4">
      <w:start w:val="1"/>
      <w:numFmt w:val="decimal"/>
      <w:lvlText w:val="%1."/>
      <w:lvlJc w:val="left"/>
      <w:pPr>
        <w:ind w:left="81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1D86E61"/>
    <w:multiLevelType w:val="hybridMultilevel"/>
    <w:tmpl w:val="C28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7507617F"/>
    <w:multiLevelType w:val="hybridMultilevel"/>
    <w:tmpl w:val="D9A06F56"/>
    <w:lvl w:ilvl="0" w:tplc="0CF8D580">
      <w:start w:val="1"/>
      <w:numFmt w:val="lowerLetter"/>
      <w:lvlText w:val="%1)"/>
      <w:lvlJc w:val="left"/>
      <w:pPr>
        <w:tabs>
          <w:tab w:val="num" w:pos="1080"/>
        </w:tabs>
        <w:ind w:left="108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A4E14"/>
    <w:multiLevelType w:val="hybridMultilevel"/>
    <w:tmpl w:val="3EA4702A"/>
    <w:lvl w:ilvl="0" w:tplc="0CF8D580">
      <w:start w:val="1"/>
      <w:numFmt w:val="lowerLetter"/>
      <w:lvlText w:val="%1)"/>
      <w:lvlJc w:val="left"/>
      <w:pPr>
        <w:tabs>
          <w:tab w:val="num" w:pos="1080"/>
        </w:tabs>
        <w:ind w:left="108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num w:numId="1">
    <w:abstractNumId w:val="8"/>
  </w:num>
  <w:num w:numId="2">
    <w:abstractNumId w:val="17"/>
  </w:num>
  <w:num w:numId="3">
    <w:abstractNumId w:val="15"/>
  </w:num>
  <w:num w:numId="4">
    <w:abstractNumId w:val="23"/>
  </w:num>
  <w:num w:numId="5">
    <w:abstractNumId w:val="22"/>
  </w:num>
  <w:num w:numId="6">
    <w:abstractNumId w:val="18"/>
  </w:num>
  <w:num w:numId="7">
    <w:abstractNumId w:val="10"/>
  </w:num>
  <w:num w:numId="8">
    <w:abstractNumId w:val="11"/>
  </w:num>
  <w:num w:numId="9">
    <w:abstractNumId w:val="12"/>
  </w:num>
  <w:num w:numId="10">
    <w:abstractNumId w:val="14"/>
  </w:num>
  <w:num w:numId="11">
    <w:abstractNumId w:val="0"/>
  </w:num>
  <w:num w:numId="12">
    <w:abstractNumId w:val="9"/>
  </w:num>
  <w:num w:numId="13">
    <w:abstractNumId w:val="20"/>
  </w:num>
  <w:num w:numId="14">
    <w:abstractNumId w:val="21"/>
  </w:num>
  <w:num w:numId="15">
    <w:abstractNumId w:val="19"/>
  </w:num>
  <w:num w:numId="16">
    <w:abstractNumId w:val="2"/>
  </w:num>
  <w:num w:numId="17">
    <w:abstractNumId w:val="24"/>
  </w:num>
  <w:num w:numId="18">
    <w:abstractNumId w:val="16"/>
  </w:num>
  <w:num w:numId="19">
    <w:abstractNumId w:val="12"/>
  </w:num>
  <w:num w:numId="20">
    <w:abstractNumId w:val="13"/>
  </w:num>
  <w:num w:numId="21">
    <w:abstractNumId w:val="5"/>
  </w:num>
  <w:num w:numId="22">
    <w:abstractNumId w:val="3"/>
  </w:num>
  <w:num w:numId="23">
    <w:abstractNumId w:val="6"/>
  </w:num>
  <w:num w:numId="24">
    <w:abstractNumId w:val="4"/>
  </w:num>
  <w:num w:numId="25">
    <w:abstractNumId w:val="25"/>
  </w:num>
  <w:num w:numId="26">
    <w:abstractNumId w:val="7"/>
  </w:num>
  <w:num w:numId="27">
    <w:abstractNumId w:val="12"/>
    <w:lvlOverride w:ilvl="0">
      <w:startOverride w:val="12"/>
    </w:lvlOverride>
  </w:num>
  <w:num w:numId="28">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applyBreakingRules/>
  </w:compat>
  <w:rsids>
    <w:rsidRoot w:val="00C9161D"/>
    <w:rsid w:val="00001857"/>
    <w:rsid w:val="00004346"/>
    <w:rsid w:val="00004BEF"/>
    <w:rsid w:val="0003516D"/>
    <w:rsid w:val="0003635E"/>
    <w:rsid w:val="000446B7"/>
    <w:rsid w:val="000452C2"/>
    <w:rsid w:val="00050E2F"/>
    <w:rsid w:val="000603AC"/>
    <w:rsid w:val="00060510"/>
    <w:rsid w:val="00067720"/>
    <w:rsid w:val="00070D30"/>
    <w:rsid w:val="000710DE"/>
    <w:rsid w:val="0007349F"/>
    <w:rsid w:val="0007634A"/>
    <w:rsid w:val="00076549"/>
    <w:rsid w:val="00076EFB"/>
    <w:rsid w:val="00080CF1"/>
    <w:rsid w:val="000875A8"/>
    <w:rsid w:val="0009201C"/>
    <w:rsid w:val="000932D6"/>
    <w:rsid w:val="000A5228"/>
    <w:rsid w:val="000B6B41"/>
    <w:rsid w:val="000C0C21"/>
    <w:rsid w:val="000C2AD6"/>
    <w:rsid w:val="000C789D"/>
    <w:rsid w:val="000D0160"/>
    <w:rsid w:val="000D074E"/>
    <w:rsid w:val="000D1078"/>
    <w:rsid w:val="000D1685"/>
    <w:rsid w:val="000D186D"/>
    <w:rsid w:val="000D4D91"/>
    <w:rsid w:val="000D5074"/>
    <w:rsid w:val="000D6650"/>
    <w:rsid w:val="000D78DC"/>
    <w:rsid w:val="000D7C0F"/>
    <w:rsid w:val="000D7F40"/>
    <w:rsid w:val="000E0879"/>
    <w:rsid w:val="000E5227"/>
    <w:rsid w:val="000E673A"/>
    <w:rsid w:val="000F07B2"/>
    <w:rsid w:val="000F3897"/>
    <w:rsid w:val="000F4D33"/>
    <w:rsid w:val="000F5E31"/>
    <w:rsid w:val="000F7193"/>
    <w:rsid w:val="000F74F5"/>
    <w:rsid w:val="000F75BD"/>
    <w:rsid w:val="0010028E"/>
    <w:rsid w:val="001043B8"/>
    <w:rsid w:val="00105372"/>
    <w:rsid w:val="00105759"/>
    <w:rsid w:val="001061D9"/>
    <w:rsid w:val="00116500"/>
    <w:rsid w:val="00121B6F"/>
    <w:rsid w:val="00122A5F"/>
    <w:rsid w:val="00123118"/>
    <w:rsid w:val="00131E7A"/>
    <w:rsid w:val="00132C5E"/>
    <w:rsid w:val="00160693"/>
    <w:rsid w:val="00162409"/>
    <w:rsid w:val="00163B8F"/>
    <w:rsid w:val="00171F21"/>
    <w:rsid w:val="00172AF6"/>
    <w:rsid w:val="00176CEE"/>
    <w:rsid w:val="00184405"/>
    <w:rsid w:val="00186DD8"/>
    <w:rsid w:val="00190893"/>
    <w:rsid w:val="00197D1A"/>
    <w:rsid w:val="001A2035"/>
    <w:rsid w:val="001A30F6"/>
    <w:rsid w:val="001A6E78"/>
    <w:rsid w:val="001B136A"/>
    <w:rsid w:val="001B2E3A"/>
    <w:rsid w:val="001B6872"/>
    <w:rsid w:val="001C791B"/>
    <w:rsid w:val="001D1CFD"/>
    <w:rsid w:val="001D3594"/>
    <w:rsid w:val="001D4977"/>
    <w:rsid w:val="001D75A1"/>
    <w:rsid w:val="001E095B"/>
    <w:rsid w:val="001E325B"/>
    <w:rsid w:val="001E52C1"/>
    <w:rsid w:val="001E66D4"/>
    <w:rsid w:val="001F62D5"/>
    <w:rsid w:val="001F756E"/>
    <w:rsid w:val="001F7F12"/>
    <w:rsid w:val="00200328"/>
    <w:rsid w:val="002115AD"/>
    <w:rsid w:val="002124C4"/>
    <w:rsid w:val="002137DA"/>
    <w:rsid w:val="002172F7"/>
    <w:rsid w:val="00217DEE"/>
    <w:rsid w:val="002261E6"/>
    <w:rsid w:val="00230F51"/>
    <w:rsid w:val="00232EA6"/>
    <w:rsid w:val="002332C9"/>
    <w:rsid w:val="00243B6C"/>
    <w:rsid w:val="0024682C"/>
    <w:rsid w:val="00264C85"/>
    <w:rsid w:val="002653E4"/>
    <w:rsid w:val="00271971"/>
    <w:rsid w:val="00272281"/>
    <w:rsid w:val="00276B34"/>
    <w:rsid w:val="00281B6E"/>
    <w:rsid w:val="00285C76"/>
    <w:rsid w:val="00297104"/>
    <w:rsid w:val="002A24E2"/>
    <w:rsid w:val="002A2C4E"/>
    <w:rsid w:val="002A3114"/>
    <w:rsid w:val="002A732D"/>
    <w:rsid w:val="002E2945"/>
    <w:rsid w:val="002E2B02"/>
    <w:rsid w:val="002E2E65"/>
    <w:rsid w:val="002E3E1F"/>
    <w:rsid w:val="002E422E"/>
    <w:rsid w:val="002F0C08"/>
    <w:rsid w:val="002F1249"/>
    <w:rsid w:val="002F36FF"/>
    <w:rsid w:val="002F525D"/>
    <w:rsid w:val="00301239"/>
    <w:rsid w:val="00301D05"/>
    <w:rsid w:val="003049F3"/>
    <w:rsid w:val="00307B49"/>
    <w:rsid w:val="00312184"/>
    <w:rsid w:val="00323D73"/>
    <w:rsid w:val="0032532D"/>
    <w:rsid w:val="0032708D"/>
    <w:rsid w:val="00335166"/>
    <w:rsid w:val="00335F6F"/>
    <w:rsid w:val="0033666D"/>
    <w:rsid w:val="00342197"/>
    <w:rsid w:val="00346A15"/>
    <w:rsid w:val="00347C9B"/>
    <w:rsid w:val="00357F5D"/>
    <w:rsid w:val="00366834"/>
    <w:rsid w:val="003727BE"/>
    <w:rsid w:val="00372F74"/>
    <w:rsid w:val="00376A76"/>
    <w:rsid w:val="003819B2"/>
    <w:rsid w:val="003819F7"/>
    <w:rsid w:val="00381D9C"/>
    <w:rsid w:val="00391801"/>
    <w:rsid w:val="00395FE5"/>
    <w:rsid w:val="00397C36"/>
    <w:rsid w:val="003A73F6"/>
    <w:rsid w:val="003B1439"/>
    <w:rsid w:val="003B3486"/>
    <w:rsid w:val="003B74B9"/>
    <w:rsid w:val="003C21F0"/>
    <w:rsid w:val="003D32BB"/>
    <w:rsid w:val="003D4A65"/>
    <w:rsid w:val="003D7922"/>
    <w:rsid w:val="003E4975"/>
    <w:rsid w:val="003E788D"/>
    <w:rsid w:val="003F0A08"/>
    <w:rsid w:val="003F7224"/>
    <w:rsid w:val="00422D5C"/>
    <w:rsid w:val="00422F69"/>
    <w:rsid w:val="00423E8A"/>
    <w:rsid w:val="00425434"/>
    <w:rsid w:val="00427D21"/>
    <w:rsid w:val="004410AB"/>
    <w:rsid w:val="0044240C"/>
    <w:rsid w:val="00444195"/>
    <w:rsid w:val="00451680"/>
    <w:rsid w:val="0045179F"/>
    <w:rsid w:val="0045225E"/>
    <w:rsid w:val="00453114"/>
    <w:rsid w:val="00456383"/>
    <w:rsid w:val="004644C2"/>
    <w:rsid w:val="004652C0"/>
    <w:rsid w:val="00467F9C"/>
    <w:rsid w:val="004703B2"/>
    <w:rsid w:val="00470C74"/>
    <w:rsid w:val="0047361E"/>
    <w:rsid w:val="00474575"/>
    <w:rsid w:val="004745FE"/>
    <w:rsid w:val="00486F01"/>
    <w:rsid w:val="004A32F6"/>
    <w:rsid w:val="004A68EB"/>
    <w:rsid w:val="004B669A"/>
    <w:rsid w:val="004C04D2"/>
    <w:rsid w:val="004E2C7E"/>
    <w:rsid w:val="004E5A7F"/>
    <w:rsid w:val="004F41FB"/>
    <w:rsid w:val="004F7FA1"/>
    <w:rsid w:val="00504078"/>
    <w:rsid w:val="00505C98"/>
    <w:rsid w:val="00511114"/>
    <w:rsid w:val="005142E0"/>
    <w:rsid w:val="00516E78"/>
    <w:rsid w:val="00525B49"/>
    <w:rsid w:val="005342BB"/>
    <w:rsid w:val="00534681"/>
    <w:rsid w:val="005367F1"/>
    <w:rsid w:val="00536DE1"/>
    <w:rsid w:val="005433EA"/>
    <w:rsid w:val="00557E1B"/>
    <w:rsid w:val="00562340"/>
    <w:rsid w:val="005625DF"/>
    <w:rsid w:val="00563A3B"/>
    <w:rsid w:val="00567CC9"/>
    <w:rsid w:val="00590353"/>
    <w:rsid w:val="00592D59"/>
    <w:rsid w:val="00596B10"/>
    <w:rsid w:val="005A0CE2"/>
    <w:rsid w:val="005A1CE0"/>
    <w:rsid w:val="005A272F"/>
    <w:rsid w:val="005A71E1"/>
    <w:rsid w:val="005B3FC6"/>
    <w:rsid w:val="005B5CAB"/>
    <w:rsid w:val="005B7A98"/>
    <w:rsid w:val="005C3344"/>
    <w:rsid w:val="005C7480"/>
    <w:rsid w:val="005D1C4A"/>
    <w:rsid w:val="005D524A"/>
    <w:rsid w:val="005E68C4"/>
    <w:rsid w:val="005F2EAA"/>
    <w:rsid w:val="00602968"/>
    <w:rsid w:val="00602E58"/>
    <w:rsid w:val="00604B7A"/>
    <w:rsid w:val="00605EC4"/>
    <w:rsid w:val="0060669D"/>
    <w:rsid w:val="00606ED1"/>
    <w:rsid w:val="00607CAD"/>
    <w:rsid w:val="00610610"/>
    <w:rsid w:val="006120C9"/>
    <w:rsid w:val="006122BA"/>
    <w:rsid w:val="0061280D"/>
    <w:rsid w:val="00617ECA"/>
    <w:rsid w:val="00624A92"/>
    <w:rsid w:val="0062644E"/>
    <w:rsid w:val="006304A3"/>
    <w:rsid w:val="0063514B"/>
    <w:rsid w:val="00641DB8"/>
    <w:rsid w:val="00656E05"/>
    <w:rsid w:val="00657EE3"/>
    <w:rsid w:val="00663432"/>
    <w:rsid w:val="00671063"/>
    <w:rsid w:val="006727B7"/>
    <w:rsid w:val="00675B3B"/>
    <w:rsid w:val="00680FAC"/>
    <w:rsid w:val="00683331"/>
    <w:rsid w:val="0069072F"/>
    <w:rsid w:val="006941D7"/>
    <w:rsid w:val="006A1E03"/>
    <w:rsid w:val="006A2210"/>
    <w:rsid w:val="006B2290"/>
    <w:rsid w:val="006C2825"/>
    <w:rsid w:val="006C7D48"/>
    <w:rsid w:val="006D40B3"/>
    <w:rsid w:val="006D5BBA"/>
    <w:rsid w:val="006F495A"/>
    <w:rsid w:val="006F5573"/>
    <w:rsid w:val="006F5EA3"/>
    <w:rsid w:val="00702037"/>
    <w:rsid w:val="00704B84"/>
    <w:rsid w:val="00716593"/>
    <w:rsid w:val="00717D88"/>
    <w:rsid w:val="00720882"/>
    <w:rsid w:val="00725ABA"/>
    <w:rsid w:val="007316F8"/>
    <w:rsid w:val="00733869"/>
    <w:rsid w:val="00735127"/>
    <w:rsid w:val="007458B8"/>
    <w:rsid w:val="00745EA5"/>
    <w:rsid w:val="00750F4F"/>
    <w:rsid w:val="007528F0"/>
    <w:rsid w:val="00757746"/>
    <w:rsid w:val="00757DE8"/>
    <w:rsid w:val="0076536C"/>
    <w:rsid w:val="00767266"/>
    <w:rsid w:val="00777C99"/>
    <w:rsid w:val="00784B41"/>
    <w:rsid w:val="007858C6"/>
    <w:rsid w:val="007942D3"/>
    <w:rsid w:val="007A4E56"/>
    <w:rsid w:val="007A5A12"/>
    <w:rsid w:val="007A5CE9"/>
    <w:rsid w:val="007A6A72"/>
    <w:rsid w:val="007B3D1E"/>
    <w:rsid w:val="007B6C09"/>
    <w:rsid w:val="007C09F7"/>
    <w:rsid w:val="007C1501"/>
    <w:rsid w:val="007D512F"/>
    <w:rsid w:val="007D513C"/>
    <w:rsid w:val="007E09DA"/>
    <w:rsid w:val="007E20F2"/>
    <w:rsid w:val="007E7BB4"/>
    <w:rsid w:val="007F0F68"/>
    <w:rsid w:val="007F52C2"/>
    <w:rsid w:val="00800D7D"/>
    <w:rsid w:val="008041A9"/>
    <w:rsid w:val="0080449A"/>
    <w:rsid w:val="008178B6"/>
    <w:rsid w:val="00817AE1"/>
    <w:rsid w:val="00821F72"/>
    <w:rsid w:val="00826469"/>
    <w:rsid w:val="00827F87"/>
    <w:rsid w:val="008351A7"/>
    <w:rsid w:val="008368FF"/>
    <w:rsid w:val="00842FB2"/>
    <w:rsid w:val="00850300"/>
    <w:rsid w:val="00852220"/>
    <w:rsid w:val="00853A1F"/>
    <w:rsid w:val="00863286"/>
    <w:rsid w:val="00865655"/>
    <w:rsid w:val="008657FB"/>
    <w:rsid w:val="00865B74"/>
    <w:rsid w:val="008670BB"/>
    <w:rsid w:val="00875E40"/>
    <w:rsid w:val="00875E87"/>
    <w:rsid w:val="00891766"/>
    <w:rsid w:val="00894D46"/>
    <w:rsid w:val="008962DE"/>
    <w:rsid w:val="008A207E"/>
    <w:rsid w:val="008B2B5E"/>
    <w:rsid w:val="008B722E"/>
    <w:rsid w:val="008C0982"/>
    <w:rsid w:val="008C2C3F"/>
    <w:rsid w:val="008C45CD"/>
    <w:rsid w:val="008C524D"/>
    <w:rsid w:val="008D22EF"/>
    <w:rsid w:val="008D2BB1"/>
    <w:rsid w:val="008D5AA2"/>
    <w:rsid w:val="008E10C9"/>
    <w:rsid w:val="008E4C64"/>
    <w:rsid w:val="008E511B"/>
    <w:rsid w:val="008F0FA2"/>
    <w:rsid w:val="008F4B02"/>
    <w:rsid w:val="00903291"/>
    <w:rsid w:val="00904E3F"/>
    <w:rsid w:val="00913A4E"/>
    <w:rsid w:val="00914B24"/>
    <w:rsid w:val="00927317"/>
    <w:rsid w:val="00930BA1"/>
    <w:rsid w:val="00930BA8"/>
    <w:rsid w:val="0093169E"/>
    <w:rsid w:val="009321BA"/>
    <w:rsid w:val="00941E6E"/>
    <w:rsid w:val="00945294"/>
    <w:rsid w:val="009470DB"/>
    <w:rsid w:val="009505C9"/>
    <w:rsid w:val="00950652"/>
    <w:rsid w:val="0095167A"/>
    <w:rsid w:val="009530BC"/>
    <w:rsid w:val="00953D84"/>
    <w:rsid w:val="00961A32"/>
    <w:rsid w:val="00970936"/>
    <w:rsid w:val="00971A48"/>
    <w:rsid w:val="00975C2E"/>
    <w:rsid w:val="00986510"/>
    <w:rsid w:val="00995D90"/>
    <w:rsid w:val="009A672E"/>
    <w:rsid w:val="009A6E87"/>
    <w:rsid w:val="009A768E"/>
    <w:rsid w:val="009B595E"/>
    <w:rsid w:val="009B5D31"/>
    <w:rsid w:val="009B6BDE"/>
    <w:rsid w:val="009C1EA6"/>
    <w:rsid w:val="009C3E11"/>
    <w:rsid w:val="009D4775"/>
    <w:rsid w:val="009D578E"/>
    <w:rsid w:val="009F3D74"/>
    <w:rsid w:val="00A00A94"/>
    <w:rsid w:val="00A07FBB"/>
    <w:rsid w:val="00A2466F"/>
    <w:rsid w:val="00A25022"/>
    <w:rsid w:val="00A310A4"/>
    <w:rsid w:val="00A32CCF"/>
    <w:rsid w:val="00A33886"/>
    <w:rsid w:val="00A3389C"/>
    <w:rsid w:val="00A47DD9"/>
    <w:rsid w:val="00A55EB3"/>
    <w:rsid w:val="00A575E8"/>
    <w:rsid w:val="00A61277"/>
    <w:rsid w:val="00A64BD9"/>
    <w:rsid w:val="00A73F4F"/>
    <w:rsid w:val="00A7570F"/>
    <w:rsid w:val="00A80F51"/>
    <w:rsid w:val="00A822CD"/>
    <w:rsid w:val="00A843B3"/>
    <w:rsid w:val="00A8699E"/>
    <w:rsid w:val="00A9356C"/>
    <w:rsid w:val="00A93801"/>
    <w:rsid w:val="00A945FA"/>
    <w:rsid w:val="00AA0C89"/>
    <w:rsid w:val="00AA5F23"/>
    <w:rsid w:val="00AA61D7"/>
    <w:rsid w:val="00AB23B1"/>
    <w:rsid w:val="00AB4B12"/>
    <w:rsid w:val="00AC48D5"/>
    <w:rsid w:val="00AC71A6"/>
    <w:rsid w:val="00AD1A69"/>
    <w:rsid w:val="00AD33E6"/>
    <w:rsid w:val="00AD491A"/>
    <w:rsid w:val="00AD71EB"/>
    <w:rsid w:val="00AE3075"/>
    <w:rsid w:val="00AE52F4"/>
    <w:rsid w:val="00AF1F1D"/>
    <w:rsid w:val="00AF316B"/>
    <w:rsid w:val="00B06457"/>
    <w:rsid w:val="00B06D02"/>
    <w:rsid w:val="00B14636"/>
    <w:rsid w:val="00B209E3"/>
    <w:rsid w:val="00B265DF"/>
    <w:rsid w:val="00B3369F"/>
    <w:rsid w:val="00B33B7C"/>
    <w:rsid w:val="00B358FD"/>
    <w:rsid w:val="00B3722D"/>
    <w:rsid w:val="00B42CD0"/>
    <w:rsid w:val="00B4323A"/>
    <w:rsid w:val="00B70948"/>
    <w:rsid w:val="00B7269C"/>
    <w:rsid w:val="00B75E8C"/>
    <w:rsid w:val="00B7790E"/>
    <w:rsid w:val="00B81277"/>
    <w:rsid w:val="00B81303"/>
    <w:rsid w:val="00B85361"/>
    <w:rsid w:val="00B926CC"/>
    <w:rsid w:val="00B95E60"/>
    <w:rsid w:val="00BA22E5"/>
    <w:rsid w:val="00BB2D2D"/>
    <w:rsid w:val="00BB3DA1"/>
    <w:rsid w:val="00BB515D"/>
    <w:rsid w:val="00BC5E19"/>
    <w:rsid w:val="00BC5F58"/>
    <w:rsid w:val="00BD5053"/>
    <w:rsid w:val="00BD721B"/>
    <w:rsid w:val="00BE3AF4"/>
    <w:rsid w:val="00BE676B"/>
    <w:rsid w:val="00BE6F7F"/>
    <w:rsid w:val="00BE79A6"/>
    <w:rsid w:val="00BF2777"/>
    <w:rsid w:val="00BF5265"/>
    <w:rsid w:val="00BF5828"/>
    <w:rsid w:val="00BF6AF7"/>
    <w:rsid w:val="00C05106"/>
    <w:rsid w:val="00C1076B"/>
    <w:rsid w:val="00C10793"/>
    <w:rsid w:val="00C22787"/>
    <w:rsid w:val="00C2297D"/>
    <w:rsid w:val="00C24A4D"/>
    <w:rsid w:val="00C300C5"/>
    <w:rsid w:val="00C32D32"/>
    <w:rsid w:val="00C43128"/>
    <w:rsid w:val="00C443BD"/>
    <w:rsid w:val="00C44EB6"/>
    <w:rsid w:val="00C461F7"/>
    <w:rsid w:val="00C500FF"/>
    <w:rsid w:val="00C547EF"/>
    <w:rsid w:val="00C55BED"/>
    <w:rsid w:val="00C67A5C"/>
    <w:rsid w:val="00C7337F"/>
    <w:rsid w:val="00C73D35"/>
    <w:rsid w:val="00C76313"/>
    <w:rsid w:val="00C83558"/>
    <w:rsid w:val="00C8445E"/>
    <w:rsid w:val="00C859AF"/>
    <w:rsid w:val="00C85AC8"/>
    <w:rsid w:val="00C9161D"/>
    <w:rsid w:val="00C93388"/>
    <w:rsid w:val="00C93667"/>
    <w:rsid w:val="00CA37EE"/>
    <w:rsid w:val="00CA4003"/>
    <w:rsid w:val="00CC0FE4"/>
    <w:rsid w:val="00CC2F0C"/>
    <w:rsid w:val="00CD4B7A"/>
    <w:rsid w:val="00CE0362"/>
    <w:rsid w:val="00CE700A"/>
    <w:rsid w:val="00CE7F92"/>
    <w:rsid w:val="00CF02B2"/>
    <w:rsid w:val="00CF1848"/>
    <w:rsid w:val="00CF24DF"/>
    <w:rsid w:val="00D07FD5"/>
    <w:rsid w:val="00D10778"/>
    <w:rsid w:val="00D12044"/>
    <w:rsid w:val="00D17AD6"/>
    <w:rsid w:val="00D201CC"/>
    <w:rsid w:val="00D2150E"/>
    <w:rsid w:val="00D33157"/>
    <w:rsid w:val="00D35000"/>
    <w:rsid w:val="00D3663E"/>
    <w:rsid w:val="00D42F09"/>
    <w:rsid w:val="00D46106"/>
    <w:rsid w:val="00D51573"/>
    <w:rsid w:val="00D5227D"/>
    <w:rsid w:val="00D606FA"/>
    <w:rsid w:val="00D64696"/>
    <w:rsid w:val="00D66BC9"/>
    <w:rsid w:val="00D67C65"/>
    <w:rsid w:val="00D74DE0"/>
    <w:rsid w:val="00D74E58"/>
    <w:rsid w:val="00D76A18"/>
    <w:rsid w:val="00D772EB"/>
    <w:rsid w:val="00D824D3"/>
    <w:rsid w:val="00D8636C"/>
    <w:rsid w:val="00D93A8D"/>
    <w:rsid w:val="00D95F7A"/>
    <w:rsid w:val="00D975AE"/>
    <w:rsid w:val="00DA33E5"/>
    <w:rsid w:val="00DA35C3"/>
    <w:rsid w:val="00DA7B2F"/>
    <w:rsid w:val="00DB35A8"/>
    <w:rsid w:val="00DB65C6"/>
    <w:rsid w:val="00DC1C0E"/>
    <w:rsid w:val="00DC2843"/>
    <w:rsid w:val="00DD118C"/>
    <w:rsid w:val="00DD3E1A"/>
    <w:rsid w:val="00DE0E9C"/>
    <w:rsid w:val="00DE3B82"/>
    <w:rsid w:val="00DE3C05"/>
    <w:rsid w:val="00DE5673"/>
    <w:rsid w:val="00DF0F56"/>
    <w:rsid w:val="00DF1E43"/>
    <w:rsid w:val="00DF4C93"/>
    <w:rsid w:val="00DF5E52"/>
    <w:rsid w:val="00DF608A"/>
    <w:rsid w:val="00DF7078"/>
    <w:rsid w:val="00E00191"/>
    <w:rsid w:val="00E07399"/>
    <w:rsid w:val="00E07407"/>
    <w:rsid w:val="00E07771"/>
    <w:rsid w:val="00E07A30"/>
    <w:rsid w:val="00E16D2F"/>
    <w:rsid w:val="00E170E1"/>
    <w:rsid w:val="00E17573"/>
    <w:rsid w:val="00E22EEC"/>
    <w:rsid w:val="00E23460"/>
    <w:rsid w:val="00E23487"/>
    <w:rsid w:val="00E2468A"/>
    <w:rsid w:val="00E32570"/>
    <w:rsid w:val="00E32BFC"/>
    <w:rsid w:val="00E32F92"/>
    <w:rsid w:val="00E44486"/>
    <w:rsid w:val="00E46EB4"/>
    <w:rsid w:val="00E5037A"/>
    <w:rsid w:val="00E543F9"/>
    <w:rsid w:val="00E54A30"/>
    <w:rsid w:val="00E564BC"/>
    <w:rsid w:val="00E60FDF"/>
    <w:rsid w:val="00E66235"/>
    <w:rsid w:val="00E67620"/>
    <w:rsid w:val="00E7683A"/>
    <w:rsid w:val="00E76F1D"/>
    <w:rsid w:val="00E80E2C"/>
    <w:rsid w:val="00E80E97"/>
    <w:rsid w:val="00E830F0"/>
    <w:rsid w:val="00E83C24"/>
    <w:rsid w:val="00E84B31"/>
    <w:rsid w:val="00E866E9"/>
    <w:rsid w:val="00E90419"/>
    <w:rsid w:val="00E92AC6"/>
    <w:rsid w:val="00E9318D"/>
    <w:rsid w:val="00E94730"/>
    <w:rsid w:val="00E97D14"/>
    <w:rsid w:val="00EA3F40"/>
    <w:rsid w:val="00EA6D40"/>
    <w:rsid w:val="00EA7F53"/>
    <w:rsid w:val="00EB0A54"/>
    <w:rsid w:val="00ED0967"/>
    <w:rsid w:val="00ED7BD5"/>
    <w:rsid w:val="00EF096A"/>
    <w:rsid w:val="00EF1FFB"/>
    <w:rsid w:val="00EF2626"/>
    <w:rsid w:val="00F01382"/>
    <w:rsid w:val="00F0458D"/>
    <w:rsid w:val="00F11F3F"/>
    <w:rsid w:val="00F14977"/>
    <w:rsid w:val="00F16D8F"/>
    <w:rsid w:val="00F22788"/>
    <w:rsid w:val="00F27E6F"/>
    <w:rsid w:val="00F30200"/>
    <w:rsid w:val="00F323DF"/>
    <w:rsid w:val="00F32EA1"/>
    <w:rsid w:val="00F32F5E"/>
    <w:rsid w:val="00F33BC1"/>
    <w:rsid w:val="00F35BE7"/>
    <w:rsid w:val="00F3717C"/>
    <w:rsid w:val="00F41C51"/>
    <w:rsid w:val="00F45747"/>
    <w:rsid w:val="00F468A0"/>
    <w:rsid w:val="00F52BDC"/>
    <w:rsid w:val="00F56A59"/>
    <w:rsid w:val="00F656A9"/>
    <w:rsid w:val="00F70BE6"/>
    <w:rsid w:val="00F77AF8"/>
    <w:rsid w:val="00F82826"/>
    <w:rsid w:val="00F841C8"/>
    <w:rsid w:val="00F9092F"/>
    <w:rsid w:val="00F94774"/>
    <w:rsid w:val="00F95E04"/>
    <w:rsid w:val="00FA16EE"/>
    <w:rsid w:val="00FB25D0"/>
    <w:rsid w:val="00FB37EA"/>
    <w:rsid w:val="00FC2C95"/>
    <w:rsid w:val="00FC318A"/>
    <w:rsid w:val="00FC53DB"/>
    <w:rsid w:val="00FC7F5C"/>
    <w:rsid w:val="00FD61AA"/>
    <w:rsid w:val="00FE35B0"/>
    <w:rsid w:val="00FE458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FollowedHyperlink" w:locked="1"/>
    <w:lsdException w:name="Strong" w:locked="1" w:qFormat="1"/>
    <w:lsdException w:name="Emphasis" w:locked="1" w:qFormat="1"/>
    <w:lsdException w:name="Document Map"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A80F51"/>
    <w:pPr>
      <w:jc w:val="both"/>
    </w:pPr>
    <w:rPr>
      <w:rFonts w:eastAsia="MS Mincho" w:cs="Times New Roman"/>
      <w:snapToGrid w:val="0"/>
      <w:sz w:val="22"/>
      <w:szCs w:val="24"/>
      <w:lang w:val="en-GB" w:eastAsia="es-ES"/>
    </w:rPr>
  </w:style>
  <w:style w:type="paragraph" w:styleId="Heading1">
    <w:name w:val="heading 1"/>
    <w:basedOn w:val="Normal"/>
    <w:next w:val="Heading2"/>
    <w:qFormat/>
    <w:rsid w:val="00A80F51"/>
    <w:pPr>
      <w:keepNext/>
      <w:tabs>
        <w:tab w:val="left" w:pos="720"/>
      </w:tabs>
      <w:spacing w:before="240" w:after="120"/>
      <w:jc w:val="center"/>
      <w:outlineLvl w:val="0"/>
    </w:pPr>
    <w:rPr>
      <w:b/>
      <w:caps/>
    </w:rPr>
  </w:style>
  <w:style w:type="paragraph" w:styleId="Heading2">
    <w:name w:val="heading 2"/>
    <w:basedOn w:val="Normal"/>
    <w:next w:val="Normal"/>
    <w:link w:val="Heading2Char1"/>
    <w:qFormat/>
    <w:rsid w:val="00A80F51"/>
    <w:pPr>
      <w:keepNext/>
      <w:tabs>
        <w:tab w:val="left" w:pos="720"/>
      </w:tabs>
      <w:spacing w:before="120" w:after="120"/>
      <w:jc w:val="center"/>
      <w:outlineLvl w:val="1"/>
    </w:pPr>
    <w:rPr>
      <w:b/>
      <w:bCs/>
      <w:iCs/>
    </w:rPr>
  </w:style>
  <w:style w:type="paragraph" w:styleId="Heading3">
    <w:name w:val="heading 3"/>
    <w:basedOn w:val="Normal"/>
    <w:next w:val="Normal"/>
    <w:qFormat/>
    <w:rsid w:val="00A80F51"/>
    <w:pPr>
      <w:keepNext/>
      <w:tabs>
        <w:tab w:val="left" w:pos="567"/>
      </w:tabs>
      <w:spacing w:before="120" w:after="120"/>
      <w:jc w:val="center"/>
      <w:outlineLvl w:val="2"/>
    </w:pPr>
    <w:rPr>
      <w:i/>
      <w:iCs/>
    </w:rPr>
  </w:style>
  <w:style w:type="paragraph" w:styleId="Heading4">
    <w:name w:val="heading 4"/>
    <w:basedOn w:val="Normal"/>
    <w:qFormat/>
    <w:rsid w:val="00A80F51"/>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A80F51"/>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A80F51"/>
    <w:pPr>
      <w:keepNext/>
      <w:spacing w:after="240" w:line="240" w:lineRule="exact"/>
      <w:ind w:left="720"/>
      <w:outlineLvl w:val="5"/>
    </w:pPr>
    <w:rPr>
      <w:u w:val="single"/>
    </w:rPr>
  </w:style>
  <w:style w:type="paragraph" w:styleId="Heading7">
    <w:name w:val="heading 7"/>
    <w:basedOn w:val="Normal"/>
    <w:next w:val="Normal"/>
    <w:qFormat/>
    <w:rsid w:val="00A80F51"/>
    <w:pPr>
      <w:keepNext/>
      <w:jc w:val="right"/>
      <w:outlineLvl w:val="6"/>
    </w:pPr>
    <w:rPr>
      <w:b/>
      <w:sz w:val="28"/>
    </w:rPr>
  </w:style>
  <w:style w:type="paragraph" w:styleId="Heading8">
    <w:name w:val="heading 8"/>
    <w:basedOn w:val="Normal"/>
    <w:next w:val="Normal"/>
    <w:qFormat/>
    <w:rsid w:val="00A80F51"/>
    <w:pPr>
      <w:keepNext/>
      <w:jc w:val="right"/>
      <w:outlineLvl w:val="7"/>
    </w:pPr>
    <w:rPr>
      <w:b/>
      <w:sz w:val="32"/>
    </w:rPr>
  </w:style>
  <w:style w:type="paragraph" w:styleId="Heading9">
    <w:name w:val="heading 9"/>
    <w:basedOn w:val="Normal"/>
    <w:next w:val="Normal"/>
    <w:qFormat/>
    <w:rsid w:val="00A80F5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0F51"/>
    <w:rPr>
      <w:rFonts w:eastAsia="MS Mincho" w:cs="Arial"/>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ommentReference"/>
    <w:semiHidden/>
    <w:rsid w:val="00A80F51"/>
    <w:rPr>
      <w:sz w:val="18"/>
      <w:szCs w:val="18"/>
    </w:rPr>
  </w:style>
  <w:style w:type="character" w:customStyle="1" w:styleId="BalloonTextChar">
    <w:name w:val="Balloon Text Char"/>
    <w:basedOn w:val="DefaultParagraphFont"/>
    <w:locked/>
    <w:rsid w:val="00A80F51"/>
    <w:rPr>
      <w:rFonts w:ascii="Times New Roman" w:hAnsi="Times New Roman" w:cs="Times New Roman"/>
      <w:sz w:val="18"/>
      <w:szCs w:val="18"/>
      <w:lang w:val="en-US"/>
    </w:rPr>
  </w:style>
  <w:style w:type="character" w:styleId="PlaceholderText">
    <w:name w:val="Placeholder Text"/>
    <w:basedOn w:val="DefaultParagraphFont"/>
    <w:semiHidden/>
    <w:rsid w:val="00A80F51"/>
    <w:rPr>
      <w:rFonts w:cs="Times New Roman"/>
      <w:color w:val="808080"/>
    </w:rPr>
  </w:style>
  <w:style w:type="paragraph" w:styleId="Header">
    <w:name w:val="header"/>
    <w:basedOn w:val="Normal"/>
    <w:rsid w:val="00A80F51"/>
    <w:pPr>
      <w:tabs>
        <w:tab w:val="center" w:pos="4320"/>
        <w:tab w:val="right" w:pos="8640"/>
      </w:tabs>
    </w:pPr>
  </w:style>
  <w:style w:type="character" w:customStyle="1" w:styleId="SubtitleChar1">
    <w:name w:val="Subtitle Char1"/>
    <w:basedOn w:val="DefaultParagraphFont"/>
    <w:link w:val="Subtitle"/>
    <w:locked/>
    <w:rsid w:val="00A80F51"/>
    <w:rPr>
      <w:rFonts w:ascii="Times New Roman" w:hAnsi="Times New Roman" w:cs="Times New Roman"/>
      <w:sz w:val="22"/>
      <w:lang w:val="en-GB"/>
    </w:rPr>
  </w:style>
  <w:style w:type="paragraph" w:styleId="Footer">
    <w:name w:val="footer"/>
    <w:basedOn w:val="Normal"/>
    <w:rsid w:val="00A80F51"/>
    <w:pPr>
      <w:tabs>
        <w:tab w:val="center" w:pos="4320"/>
        <w:tab w:val="right" w:pos="8640"/>
      </w:tabs>
      <w:ind w:firstLine="720"/>
      <w:jc w:val="right"/>
    </w:pPr>
  </w:style>
  <w:style w:type="character" w:customStyle="1" w:styleId="FooterChar">
    <w:name w:val="Footer Char"/>
    <w:basedOn w:val="DefaultParagraphFont"/>
    <w:locked/>
    <w:rsid w:val="00A80F51"/>
    <w:rPr>
      <w:rFonts w:ascii="Times New Roman" w:hAnsi="Times New Roman" w:cs="Times New Roman"/>
      <w:sz w:val="22"/>
      <w:lang w:val="en-GB"/>
    </w:rPr>
  </w:style>
  <w:style w:type="paragraph" w:customStyle="1" w:styleId="meetingname">
    <w:name w:val="meeting name"/>
    <w:basedOn w:val="Normal"/>
    <w:rsid w:val="00A80F51"/>
    <w:pPr>
      <w:ind w:left="142" w:right="4218" w:hanging="142"/>
    </w:pPr>
    <w:rPr>
      <w:caps/>
      <w:szCs w:val="22"/>
    </w:rPr>
  </w:style>
  <w:style w:type="paragraph" w:styleId="Title">
    <w:name w:val="Title"/>
    <w:basedOn w:val="Normal"/>
    <w:next w:val="Normal"/>
    <w:qFormat/>
    <w:rsid w:val="00A80F51"/>
    <w:pPr>
      <w:pBdr>
        <w:bottom w:val="single" w:sz="8" w:space="4" w:color="4F81BD"/>
      </w:pBdr>
      <w:spacing w:after="300"/>
      <w:contextualSpacing/>
    </w:pPr>
    <w:rPr>
      <w:rFonts w:ascii="Calibri" w:eastAsia="Times New Roman" w:hAnsi="Calibri"/>
      <w:color w:val="17365D"/>
      <w:spacing w:val="5"/>
      <w:kern w:val="28"/>
      <w:sz w:val="52"/>
      <w:szCs w:val="52"/>
    </w:rPr>
  </w:style>
  <w:style w:type="character" w:customStyle="1" w:styleId="TitleChar">
    <w:name w:val="Title Char"/>
    <w:basedOn w:val="DefaultParagraphFont"/>
    <w:locked/>
    <w:rsid w:val="00A80F51"/>
    <w:rPr>
      <w:rFonts w:ascii="Calibri" w:eastAsia="Times New Roman" w:hAnsi="Calibri" w:cs="Times New Roman"/>
      <w:color w:val="17365D"/>
      <w:spacing w:val="5"/>
      <w:kern w:val="28"/>
      <w:sz w:val="52"/>
      <w:szCs w:val="52"/>
      <w:lang w:val="en-US"/>
    </w:rPr>
  </w:style>
  <w:style w:type="paragraph" w:styleId="Subtitle">
    <w:name w:val="Subtitle"/>
    <w:basedOn w:val="Normal"/>
    <w:next w:val="Normal"/>
    <w:link w:val="SubtitleChar1"/>
    <w:qFormat/>
    <w:rsid w:val="00A80F51"/>
    <w:pPr>
      <w:numPr>
        <w:ilvl w:val="1"/>
      </w:numPr>
    </w:pPr>
    <w:rPr>
      <w:rFonts w:ascii="Calibri" w:eastAsia="Times New Roman" w:hAnsi="Calibri"/>
      <w:i/>
      <w:iCs/>
      <w:color w:val="4F81BD"/>
      <w:spacing w:val="15"/>
      <w:sz w:val="24"/>
    </w:rPr>
  </w:style>
  <w:style w:type="character" w:customStyle="1" w:styleId="SubtitleChar">
    <w:name w:val="Subtitle Char"/>
    <w:basedOn w:val="DefaultParagraphFont"/>
    <w:locked/>
    <w:rsid w:val="00A80F51"/>
    <w:rPr>
      <w:rFonts w:ascii="Calibri" w:eastAsia="Times New Roman" w:hAnsi="Calibri" w:cs="Times New Roman"/>
      <w:i/>
      <w:iCs/>
      <w:color w:val="4F81BD"/>
      <w:spacing w:val="15"/>
      <w:lang w:val="en-US"/>
    </w:rPr>
  </w:style>
  <w:style w:type="character" w:customStyle="1" w:styleId="Heading1Char">
    <w:name w:val="Heading 1 Char"/>
    <w:basedOn w:val="DefaultParagraphFont"/>
    <w:locked/>
    <w:rsid w:val="00A80F51"/>
    <w:rPr>
      <w:rFonts w:ascii="Times New Roman" w:hAnsi="Times New Roman" w:cs="Times New Roman"/>
      <w:b/>
      <w:caps/>
      <w:sz w:val="22"/>
      <w:lang w:val="en-GB"/>
    </w:rPr>
  </w:style>
  <w:style w:type="paragraph" w:styleId="BodyText">
    <w:name w:val="Body Text"/>
    <w:basedOn w:val="Normal"/>
    <w:rsid w:val="00A80F51"/>
    <w:pPr>
      <w:spacing w:before="120" w:after="120"/>
      <w:ind w:firstLine="720"/>
    </w:pPr>
    <w:rPr>
      <w:iCs/>
    </w:rPr>
  </w:style>
  <w:style w:type="character" w:customStyle="1" w:styleId="EndnoteTextChar1">
    <w:name w:val="Endnote Text Char1"/>
    <w:basedOn w:val="DefaultParagraphFont"/>
    <w:link w:val="EndnoteText"/>
    <w:locked/>
    <w:rsid w:val="00A80F51"/>
    <w:rPr>
      <w:rFonts w:ascii="Times New Roman" w:hAnsi="Times New Roman" w:cs="Times New Roman"/>
      <w:iCs/>
      <w:sz w:val="22"/>
      <w:lang w:val="en-GB"/>
    </w:rPr>
  </w:style>
  <w:style w:type="paragraph" w:styleId="BodyTextIndent">
    <w:name w:val="Body Text Indent"/>
    <w:basedOn w:val="Normal"/>
    <w:rsid w:val="00A80F51"/>
    <w:pPr>
      <w:spacing w:before="120" w:after="120"/>
      <w:ind w:left="1440" w:hanging="720"/>
      <w:jc w:val="left"/>
    </w:pPr>
  </w:style>
  <w:style w:type="character" w:customStyle="1" w:styleId="BodyTextIndentChar">
    <w:name w:val="Body Text Indent Char"/>
    <w:basedOn w:val="DefaultParagraphFont"/>
    <w:locked/>
    <w:rsid w:val="00A80F51"/>
    <w:rPr>
      <w:rFonts w:ascii="Times New Roman" w:hAnsi="Times New Roman" w:cs="Times New Roman"/>
      <w:sz w:val="22"/>
      <w:lang w:val="en-GB"/>
    </w:rPr>
  </w:style>
  <w:style w:type="character" w:styleId="CommentReference">
    <w:name w:val="annotation reference"/>
    <w:aliases w:val="Balloon Text Char1"/>
    <w:basedOn w:val="DefaultParagraphFont"/>
    <w:link w:val="BalloonText"/>
    <w:rsid w:val="00A80F51"/>
    <w:rPr>
      <w:rFonts w:cs="Times New Roman"/>
      <w:sz w:val="16"/>
    </w:rPr>
  </w:style>
  <w:style w:type="paragraph" w:styleId="CommentText">
    <w:name w:val="annotation text"/>
    <w:basedOn w:val="Normal"/>
    <w:rsid w:val="00A80F51"/>
    <w:pPr>
      <w:spacing w:after="120" w:line="240" w:lineRule="exact"/>
    </w:pPr>
  </w:style>
  <w:style w:type="character" w:customStyle="1" w:styleId="CommentTextChar">
    <w:name w:val="Comment Text Char"/>
    <w:basedOn w:val="DefaultParagraphFont"/>
    <w:locked/>
    <w:rsid w:val="00A80F51"/>
    <w:rPr>
      <w:rFonts w:ascii="Times New Roman" w:hAnsi="Times New Roman" w:cs="Times New Roman"/>
      <w:sz w:val="22"/>
      <w:lang w:val="en-GB"/>
    </w:rPr>
  </w:style>
  <w:style w:type="paragraph" w:customStyle="1" w:styleId="Cornernotation">
    <w:name w:val="Corner notation"/>
    <w:basedOn w:val="Normal"/>
    <w:rsid w:val="00A80F51"/>
    <w:pPr>
      <w:ind w:left="170" w:right="3119" w:hanging="170"/>
      <w:jc w:val="left"/>
    </w:pPr>
  </w:style>
  <w:style w:type="character" w:styleId="EndnoteReference">
    <w:name w:val="endnote reference"/>
    <w:basedOn w:val="DefaultParagraphFont"/>
    <w:semiHidden/>
    <w:rsid w:val="00A80F51"/>
    <w:rPr>
      <w:rFonts w:cs="Times New Roman"/>
      <w:vertAlign w:val="superscript"/>
    </w:rPr>
  </w:style>
  <w:style w:type="paragraph" w:styleId="EndnoteText">
    <w:name w:val="endnote text"/>
    <w:basedOn w:val="Normal"/>
    <w:link w:val="EndnoteTextChar1"/>
    <w:semiHidden/>
    <w:rsid w:val="00A80F51"/>
    <w:pPr>
      <w:widowControl w:val="0"/>
      <w:tabs>
        <w:tab w:val="left" w:pos="-720"/>
      </w:tabs>
      <w:suppressAutoHyphens/>
    </w:pPr>
    <w:rPr>
      <w:rFonts w:ascii="Courier New" w:hAnsi="Courier New"/>
    </w:rPr>
  </w:style>
  <w:style w:type="character" w:customStyle="1" w:styleId="EndnoteTextChar">
    <w:name w:val="Endnote Text Char"/>
    <w:basedOn w:val="DefaultParagraphFont"/>
    <w:semiHidden/>
    <w:locked/>
    <w:rsid w:val="00A80F51"/>
    <w:rPr>
      <w:rFonts w:ascii="Courier New" w:hAnsi="Courier New" w:cs="Times New Roman"/>
      <w:sz w:val="22"/>
      <w:lang w:val="en-GB"/>
    </w:rPr>
  </w:style>
  <w:style w:type="character" w:styleId="FollowedHyperlink">
    <w:name w:val="FollowedHyperlink"/>
    <w:basedOn w:val="DefaultParagraphFont"/>
    <w:rsid w:val="00A80F51"/>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sid w:val="00A80F51"/>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rsid w:val="00A80F51"/>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sid w:val="00A80F51"/>
    <w:rPr>
      <w:rFonts w:ascii="Times New Roman" w:hAnsi="Times New Roman" w:cs="Times New Roman"/>
      <w:sz w:val="18"/>
      <w:lang w:val="en-GB"/>
    </w:rPr>
  </w:style>
  <w:style w:type="paragraph" w:customStyle="1" w:styleId="HEADING">
    <w:name w:val="HEADING"/>
    <w:basedOn w:val="Normal"/>
    <w:rsid w:val="00A80F51"/>
    <w:pPr>
      <w:keepNext/>
      <w:spacing w:before="240" w:after="120"/>
      <w:jc w:val="center"/>
    </w:pPr>
    <w:rPr>
      <w:b/>
      <w:bCs/>
      <w:caps/>
    </w:rPr>
  </w:style>
  <w:style w:type="character" w:customStyle="1" w:styleId="Heading2Char">
    <w:name w:val="Heading 2 Char"/>
    <w:basedOn w:val="DefaultParagraphFont"/>
    <w:locked/>
    <w:rsid w:val="00A80F51"/>
    <w:rPr>
      <w:rFonts w:ascii="Times New Roman" w:hAnsi="Times New Roman" w:cs="Times New Roman"/>
      <w:b/>
      <w:bCs/>
      <w:iCs/>
      <w:sz w:val="22"/>
      <w:lang w:val="en-GB"/>
    </w:rPr>
  </w:style>
  <w:style w:type="paragraph" w:customStyle="1" w:styleId="HEADINGNOTFORTOC">
    <w:name w:val="HEADING (NOT FOR TOC)"/>
    <w:basedOn w:val="Heading1"/>
    <w:next w:val="Heading2"/>
    <w:rsid w:val="00A80F51"/>
  </w:style>
  <w:style w:type="paragraph" w:customStyle="1" w:styleId="Heading1longmultiline">
    <w:name w:val="Heading 1 (long multiline)"/>
    <w:basedOn w:val="Heading1"/>
    <w:rsid w:val="00A80F51"/>
    <w:pPr>
      <w:ind w:left="1843" w:hanging="1134"/>
      <w:jc w:val="left"/>
    </w:pPr>
  </w:style>
  <w:style w:type="paragraph" w:customStyle="1" w:styleId="Heading1multiline">
    <w:name w:val="Heading 1 (multiline)"/>
    <w:basedOn w:val="Heading1"/>
    <w:rsid w:val="00A80F51"/>
    <w:pPr>
      <w:ind w:left="1843" w:right="996" w:hanging="567"/>
      <w:jc w:val="left"/>
    </w:pPr>
  </w:style>
  <w:style w:type="paragraph" w:customStyle="1" w:styleId="Heading2multiline">
    <w:name w:val="Heading 2 (multiline)"/>
    <w:basedOn w:val="Heading1"/>
    <w:next w:val="Normal"/>
    <w:rsid w:val="00A80F51"/>
    <w:pPr>
      <w:spacing w:before="120"/>
      <w:ind w:left="1843" w:right="998" w:hanging="567"/>
      <w:jc w:val="left"/>
    </w:pPr>
    <w:rPr>
      <w:i/>
      <w:iCs/>
      <w:caps w:val="0"/>
    </w:rPr>
  </w:style>
  <w:style w:type="paragraph" w:customStyle="1" w:styleId="Heading2longmultiline">
    <w:name w:val="Heading 2 (long multiline)"/>
    <w:basedOn w:val="Heading2multiline"/>
    <w:rsid w:val="00A80F51"/>
    <w:pPr>
      <w:ind w:left="2127" w:hanging="1276"/>
    </w:pPr>
  </w:style>
  <w:style w:type="character" w:customStyle="1" w:styleId="Heading3Char">
    <w:name w:val="Heading 3 Char"/>
    <w:basedOn w:val="DefaultParagraphFont"/>
    <w:locked/>
    <w:rsid w:val="00A80F51"/>
    <w:rPr>
      <w:rFonts w:ascii="Times New Roman" w:hAnsi="Times New Roman" w:cs="Times New Roman"/>
      <w:i/>
      <w:iCs/>
      <w:sz w:val="22"/>
      <w:lang w:val="en-GB"/>
    </w:rPr>
  </w:style>
  <w:style w:type="paragraph" w:customStyle="1" w:styleId="heading2notforTOC">
    <w:name w:val="heading 2 not for TOC"/>
    <w:basedOn w:val="Heading3"/>
    <w:rsid w:val="00A80F51"/>
  </w:style>
  <w:style w:type="paragraph" w:customStyle="1" w:styleId="Heading3multiline">
    <w:name w:val="Heading 3 (multiline)"/>
    <w:basedOn w:val="Heading3"/>
    <w:next w:val="Normal"/>
    <w:rsid w:val="00A80F51"/>
    <w:pPr>
      <w:ind w:left="1418" w:hanging="425"/>
      <w:jc w:val="left"/>
    </w:pPr>
  </w:style>
  <w:style w:type="character" w:customStyle="1" w:styleId="Heading4Char">
    <w:name w:val="Heading 4 Char"/>
    <w:basedOn w:val="DefaultParagraphFont"/>
    <w:locked/>
    <w:rsid w:val="00A80F51"/>
    <w:rPr>
      <w:rFonts w:ascii="Times New Roman Bold" w:eastAsia="Arial Unicode MS" w:hAnsi="Times New Roman Bold" w:cs="Arial"/>
      <w:b/>
      <w:bCs/>
      <w:i/>
      <w:sz w:val="22"/>
      <w:lang w:val="en-GB"/>
    </w:rPr>
  </w:style>
  <w:style w:type="paragraph" w:customStyle="1" w:styleId="Heading4indent">
    <w:name w:val="Heading 4 indent"/>
    <w:basedOn w:val="Heading4"/>
    <w:rsid w:val="00A80F51"/>
    <w:pPr>
      <w:ind w:left="720"/>
      <w:outlineLvl w:val="9"/>
    </w:pPr>
    <w:rPr>
      <w:rFonts w:ascii="Times New Roman" w:hAnsi="Times New Roman"/>
    </w:rPr>
  </w:style>
  <w:style w:type="character" w:customStyle="1" w:styleId="Heading5Char">
    <w:name w:val="Heading 5 Char"/>
    <w:aliases w:val="Heading 5 - GTI Char"/>
    <w:basedOn w:val="DefaultParagraphFont"/>
    <w:locked/>
    <w:rsid w:val="00A80F51"/>
    <w:rPr>
      <w:rFonts w:ascii="Times New Roman" w:hAnsi="Times New Roman" w:cs="Times New Roman"/>
      <w:bCs/>
      <w:i/>
      <w:sz w:val="26"/>
      <w:szCs w:val="26"/>
      <w:lang w:val="en-CA"/>
    </w:rPr>
  </w:style>
  <w:style w:type="character" w:customStyle="1" w:styleId="Heading6Char">
    <w:name w:val="Heading 6 Char"/>
    <w:basedOn w:val="DefaultParagraphFont"/>
    <w:locked/>
    <w:rsid w:val="00A80F51"/>
    <w:rPr>
      <w:rFonts w:ascii="Times New Roman" w:hAnsi="Times New Roman" w:cs="Times New Roman"/>
      <w:sz w:val="22"/>
      <w:u w:val="single"/>
      <w:lang w:val="en-GB"/>
    </w:rPr>
  </w:style>
  <w:style w:type="character" w:customStyle="1" w:styleId="Heading7Char">
    <w:name w:val="Heading 7 Char"/>
    <w:basedOn w:val="DefaultParagraphFont"/>
    <w:locked/>
    <w:rsid w:val="00A80F51"/>
    <w:rPr>
      <w:rFonts w:ascii="Times New Roman" w:hAnsi="Times New Roman" w:cs="Times New Roman"/>
      <w:b/>
      <w:sz w:val="28"/>
      <w:lang w:val="en-GB"/>
    </w:rPr>
  </w:style>
  <w:style w:type="character" w:customStyle="1" w:styleId="Heading8Char">
    <w:name w:val="Heading 8 Char"/>
    <w:basedOn w:val="DefaultParagraphFont"/>
    <w:locked/>
    <w:rsid w:val="00A80F51"/>
    <w:rPr>
      <w:rFonts w:ascii="Times New Roman" w:hAnsi="Times New Roman" w:cs="Times New Roman"/>
      <w:b/>
      <w:sz w:val="32"/>
      <w:lang w:val="en-GB"/>
    </w:rPr>
  </w:style>
  <w:style w:type="character" w:customStyle="1" w:styleId="Heading9Char">
    <w:name w:val="Heading 9 Char"/>
    <w:basedOn w:val="DefaultParagraphFont"/>
    <w:locked/>
    <w:rsid w:val="00A80F51"/>
    <w:rPr>
      <w:rFonts w:ascii="Times New Roman" w:hAnsi="Times New Roman" w:cs="Times New Roman"/>
      <w:i/>
      <w:iCs/>
      <w:sz w:val="22"/>
      <w:lang w:val="en-GB"/>
    </w:rPr>
  </w:style>
  <w:style w:type="character" w:styleId="PageNumber">
    <w:name w:val="page number"/>
    <w:basedOn w:val="DefaultParagraphFont"/>
    <w:rsid w:val="00A80F51"/>
    <w:rPr>
      <w:rFonts w:ascii="Times New Roman" w:hAnsi="Times New Roman" w:cs="Times New Roman"/>
      <w:sz w:val="22"/>
    </w:rPr>
  </w:style>
  <w:style w:type="paragraph" w:customStyle="1" w:styleId="Para10">
    <w:name w:val="Para1"/>
    <w:basedOn w:val="Normal"/>
    <w:rsid w:val="00A80F51"/>
    <w:pPr>
      <w:numPr>
        <w:numId w:val="2"/>
      </w:numPr>
      <w:tabs>
        <w:tab w:val="clear" w:pos="360"/>
      </w:tabs>
      <w:spacing w:before="120" w:after="120"/>
    </w:pPr>
    <w:rPr>
      <w:szCs w:val="18"/>
    </w:rPr>
  </w:style>
  <w:style w:type="paragraph" w:customStyle="1" w:styleId="Para2">
    <w:name w:val="Para2"/>
    <w:basedOn w:val="Para10"/>
    <w:rsid w:val="00A80F51"/>
    <w:pPr>
      <w:numPr>
        <w:numId w:val="0"/>
      </w:numPr>
      <w:autoSpaceDE w:val="0"/>
      <w:autoSpaceDN w:val="0"/>
    </w:pPr>
  </w:style>
  <w:style w:type="paragraph" w:customStyle="1" w:styleId="Para3">
    <w:name w:val="Para3"/>
    <w:basedOn w:val="Normal"/>
    <w:rsid w:val="00A80F51"/>
    <w:pPr>
      <w:numPr>
        <w:ilvl w:val="3"/>
        <w:numId w:val="3"/>
      </w:numPr>
      <w:tabs>
        <w:tab w:val="left" w:pos="1980"/>
      </w:tabs>
      <w:spacing w:before="80" w:after="80"/>
    </w:pPr>
    <w:rPr>
      <w:szCs w:val="20"/>
    </w:rPr>
  </w:style>
  <w:style w:type="paragraph" w:customStyle="1" w:styleId="para4">
    <w:name w:val="para4"/>
    <w:basedOn w:val="Normal"/>
    <w:rsid w:val="00A80F51"/>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A80F5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A80F51"/>
    <w:pPr>
      <w:spacing w:before="120" w:after="120"/>
      <w:ind w:left="720" w:right="720"/>
    </w:pPr>
    <w:rPr>
      <w:bCs/>
    </w:rPr>
  </w:style>
  <w:style w:type="paragraph" w:customStyle="1" w:styleId="recommendationheader">
    <w:name w:val="recommendation header"/>
    <w:basedOn w:val="Heading2"/>
    <w:rsid w:val="00A80F51"/>
  </w:style>
  <w:style w:type="paragraph" w:customStyle="1" w:styleId="recommendationheaderlong">
    <w:name w:val="recommendation header long"/>
    <w:basedOn w:val="Heading2longmultiline"/>
    <w:rsid w:val="00A80F51"/>
  </w:style>
  <w:style w:type="paragraph" w:customStyle="1" w:styleId="reference">
    <w:name w:val="reference"/>
    <w:basedOn w:val="Heading9"/>
    <w:rsid w:val="00A80F51"/>
    <w:rPr>
      <w:i w:val="0"/>
      <w:sz w:val="18"/>
    </w:rPr>
  </w:style>
  <w:style w:type="character" w:customStyle="1" w:styleId="StyleFootnoteReferenceNounderline">
    <w:name w:val="Style Footnote Reference + No underline"/>
    <w:rsid w:val="00A80F51"/>
    <w:rPr>
      <w:sz w:val="18"/>
      <w:u w:val="none"/>
      <w:vertAlign w:val="baseline"/>
    </w:rPr>
  </w:style>
  <w:style w:type="paragraph" w:customStyle="1" w:styleId="tabletitle">
    <w:name w:val="table title"/>
    <w:basedOn w:val="Heading2"/>
    <w:rsid w:val="00A80F51"/>
    <w:pPr>
      <w:jc w:val="left"/>
      <w:outlineLvl w:val="9"/>
    </w:pPr>
    <w:rPr>
      <w:i/>
    </w:rPr>
  </w:style>
  <w:style w:type="paragraph" w:styleId="TOAHeading">
    <w:name w:val="toa heading"/>
    <w:basedOn w:val="Normal"/>
    <w:next w:val="Normal"/>
    <w:semiHidden/>
    <w:rsid w:val="00A80F51"/>
    <w:pPr>
      <w:spacing w:before="120"/>
    </w:pPr>
    <w:rPr>
      <w:rFonts w:cs="Arial"/>
      <w:b/>
      <w:bCs/>
      <w:sz w:val="24"/>
    </w:rPr>
  </w:style>
  <w:style w:type="paragraph" w:styleId="TOC1">
    <w:name w:val="toc 1"/>
    <w:basedOn w:val="Normal"/>
    <w:next w:val="Normal"/>
    <w:autoRedefine/>
    <w:semiHidden/>
    <w:rsid w:val="00A80F51"/>
    <w:pPr>
      <w:ind w:left="720" w:hanging="720"/>
    </w:pPr>
    <w:rPr>
      <w:caps/>
    </w:rPr>
  </w:style>
  <w:style w:type="paragraph" w:styleId="TOC2">
    <w:name w:val="toc 2"/>
    <w:basedOn w:val="Normal"/>
    <w:next w:val="Normal"/>
    <w:autoRedefine/>
    <w:semiHidden/>
    <w:rsid w:val="00A80F51"/>
    <w:pPr>
      <w:tabs>
        <w:tab w:val="right" w:leader="dot" w:pos="9356"/>
      </w:tabs>
      <w:ind w:left="1440" w:hanging="720"/>
    </w:pPr>
    <w:rPr>
      <w:noProof/>
      <w:szCs w:val="22"/>
      <w:lang w:val="es-ES"/>
    </w:rPr>
  </w:style>
  <w:style w:type="paragraph" w:styleId="TOC3">
    <w:name w:val="toc 3"/>
    <w:basedOn w:val="Normal"/>
    <w:next w:val="Normal"/>
    <w:autoRedefine/>
    <w:semiHidden/>
    <w:rsid w:val="00A80F51"/>
    <w:pPr>
      <w:ind w:left="2160" w:hanging="720"/>
    </w:pPr>
  </w:style>
  <w:style w:type="paragraph" w:styleId="TOC4">
    <w:name w:val="toc 4"/>
    <w:basedOn w:val="Normal"/>
    <w:next w:val="Normal"/>
    <w:autoRedefine/>
    <w:semiHidden/>
    <w:rsid w:val="00A80F51"/>
    <w:pPr>
      <w:spacing w:before="120" w:after="120"/>
      <w:ind w:left="660"/>
      <w:jc w:val="left"/>
    </w:pPr>
  </w:style>
  <w:style w:type="paragraph" w:styleId="TOC5">
    <w:name w:val="toc 5"/>
    <w:basedOn w:val="Normal"/>
    <w:next w:val="Normal"/>
    <w:autoRedefine/>
    <w:semiHidden/>
    <w:rsid w:val="00A80F51"/>
    <w:pPr>
      <w:spacing w:before="120" w:after="120"/>
      <w:ind w:left="880"/>
      <w:jc w:val="left"/>
    </w:pPr>
  </w:style>
  <w:style w:type="paragraph" w:styleId="TOC6">
    <w:name w:val="toc 6"/>
    <w:basedOn w:val="Normal"/>
    <w:next w:val="Normal"/>
    <w:autoRedefine/>
    <w:semiHidden/>
    <w:rsid w:val="00A80F51"/>
    <w:pPr>
      <w:spacing w:before="120" w:after="120"/>
      <w:ind w:left="1100"/>
      <w:jc w:val="left"/>
    </w:pPr>
  </w:style>
  <w:style w:type="paragraph" w:styleId="TOC7">
    <w:name w:val="toc 7"/>
    <w:basedOn w:val="Normal"/>
    <w:next w:val="Normal"/>
    <w:autoRedefine/>
    <w:semiHidden/>
    <w:rsid w:val="00A80F51"/>
    <w:pPr>
      <w:spacing w:before="120" w:after="120"/>
      <w:ind w:left="1320"/>
      <w:jc w:val="left"/>
    </w:pPr>
  </w:style>
  <w:style w:type="paragraph" w:styleId="TOC8">
    <w:name w:val="toc 8"/>
    <w:basedOn w:val="Normal"/>
    <w:next w:val="Normal"/>
    <w:autoRedefine/>
    <w:semiHidden/>
    <w:rsid w:val="00A80F51"/>
    <w:pPr>
      <w:spacing w:before="120" w:after="120"/>
      <w:ind w:left="1540"/>
      <w:jc w:val="left"/>
    </w:pPr>
  </w:style>
  <w:style w:type="paragraph" w:styleId="TOC9">
    <w:name w:val="toc 9"/>
    <w:basedOn w:val="Normal"/>
    <w:next w:val="Normal"/>
    <w:autoRedefine/>
    <w:semiHidden/>
    <w:rsid w:val="00A80F51"/>
    <w:pPr>
      <w:spacing w:before="120" w:after="120"/>
      <w:ind w:left="1760"/>
      <w:jc w:val="left"/>
    </w:pPr>
  </w:style>
  <w:style w:type="character" w:styleId="Hyperlink">
    <w:name w:val="Hyperlink"/>
    <w:basedOn w:val="DefaultParagraphFont"/>
    <w:rsid w:val="00A80F51"/>
    <w:rPr>
      <w:rFonts w:cs="Times New Roman"/>
      <w:color w:val="0000FF"/>
      <w:sz w:val="18"/>
      <w:u w:val="single"/>
    </w:rPr>
  </w:style>
  <w:style w:type="character" w:customStyle="1" w:styleId="Para1Char">
    <w:name w:val="Para1 Char"/>
    <w:locked/>
    <w:rsid w:val="00A80F51"/>
    <w:rPr>
      <w:rFonts w:ascii="Times New Roman" w:hAnsi="Times New Roman"/>
      <w:snapToGrid w:val="0"/>
      <w:sz w:val="18"/>
      <w:lang w:val="en-GB"/>
    </w:rPr>
  </w:style>
  <w:style w:type="paragraph" w:customStyle="1" w:styleId="CBD-Doc-Type">
    <w:name w:val="CBD-Doc-Type"/>
    <w:basedOn w:val="Normal"/>
    <w:rsid w:val="00A80F51"/>
    <w:pPr>
      <w:keepLines/>
      <w:spacing w:before="240" w:after="120"/>
    </w:pPr>
    <w:rPr>
      <w:rFonts w:cs="Angsana New"/>
      <w:b/>
      <w:i/>
      <w:sz w:val="24"/>
    </w:rPr>
  </w:style>
  <w:style w:type="paragraph" w:customStyle="1" w:styleId="CBD-Doc">
    <w:name w:val="CBD-Doc"/>
    <w:basedOn w:val="Normal"/>
    <w:rsid w:val="00A80F51"/>
    <w:pPr>
      <w:keepLines/>
      <w:numPr>
        <w:numId w:val="4"/>
      </w:numPr>
      <w:spacing w:after="120"/>
    </w:pPr>
    <w:rPr>
      <w:rFonts w:cs="Angsana New"/>
    </w:rPr>
  </w:style>
  <w:style w:type="paragraph" w:styleId="ListParagraph">
    <w:name w:val="List Paragraph"/>
    <w:basedOn w:val="Normal"/>
    <w:qFormat/>
    <w:rsid w:val="00A80F51"/>
    <w:pPr>
      <w:ind w:left="720"/>
      <w:contextualSpacing/>
    </w:pPr>
  </w:style>
  <w:style w:type="paragraph" w:styleId="Caption">
    <w:name w:val="caption"/>
    <w:basedOn w:val="Normal"/>
    <w:next w:val="Normal"/>
    <w:qFormat/>
    <w:rsid w:val="00A80F51"/>
    <w:pPr>
      <w:keepNext/>
      <w:keepLines/>
      <w:spacing w:after="200"/>
    </w:pPr>
    <w:rPr>
      <w:b/>
      <w:iCs/>
      <w:szCs w:val="18"/>
    </w:rPr>
  </w:style>
  <w:style w:type="paragraph" w:customStyle="1" w:styleId="Style2">
    <w:name w:val="Style2"/>
    <w:basedOn w:val="Normal"/>
    <w:autoRedefine/>
    <w:rsid w:val="00A80F51"/>
    <w:rPr>
      <w:rFonts w:cs="Angsana New"/>
      <w:noProof/>
      <w:color w:val="0000FF"/>
      <w:lang w:val="es-ES"/>
    </w:rPr>
  </w:style>
  <w:style w:type="paragraph" w:styleId="CommentSubject">
    <w:name w:val="annotation subject"/>
    <w:basedOn w:val="CommentText"/>
    <w:next w:val="CommentText"/>
    <w:rsid w:val="00A80F51"/>
    <w:pPr>
      <w:spacing w:after="0" w:line="240" w:lineRule="auto"/>
    </w:pPr>
    <w:rPr>
      <w:b/>
      <w:bCs/>
      <w:sz w:val="20"/>
      <w:szCs w:val="20"/>
    </w:rPr>
  </w:style>
  <w:style w:type="character" w:customStyle="1" w:styleId="CommentSubjectChar">
    <w:name w:val="Comment Subject Char"/>
    <w:basedOn w:val="CommentTextChar"/>
    <w:locked/>
    <w:rsid w:val="00A80F51"/>
    <w:rPr>
      <w:b/>
      <w:bCs/>
      <w:sz w:val="20"/>
      <w:szCs w:val="20"/>
    </w:rPr>
  </w:style>
  <w:style w:type="paragraph" w:customStyle="1" w:styleId="bodytextnoindent">
    <w:name w:val="body text (no indent)"/>
    <w:basedOn w:val="Normal"/>
    <w:rsid w:val="00A80F51"/>
    <w:pPr>
      <w:widowControl w:val="0"/>
      <w:overflowPunct w:val="0"/>
      <w:autoSpaceDE w:val="0"/>
      <w:autoSpaceDN w:val="0"/>
      <w:adjustRightInd w:val="0"/>
      <w:spacing w:before="120" w:after="120"/>
      <w:textAlignment w:val="baseline"/>
    </w:pPr>
    <w:rPr>
      <w:rFonts w:cs="Angsana New"/>
      <w:szCs w:val="20"/>
    </w:rPr>
  </w:style>
  <w:style w:type="paragraph" w:styleId="BodyText2">
    <w:name w:val="Body Text 2"/>
    <w:basedOn w:val="Normal"/>
    <w:rsid w:val="00A80F51"/>
    <w:rPr>
      <w:rFonts w:cs="Angsana New"/>
      <w:i/>
      <w:iCs/>
    </w:rPr>
  </w:style>
  <w:style w:type="character" w:customStyle="1" w:styleId="BodyText2Char">
    <w:name w:val="Body Text 2 Char"/>
    <w:basedOn w:val="DefaultParagraphFont"/>
    <w:locked/>
    <w:rsid w:val="00A80F51"/>
    <w:rPr>
      <w:rFonts w:ascii="Times New Roman" w:hAnsi="Times New Roman" w:cs="Angsana New"/>
      <w:i/>
      <w:iCs/>
      <w:sz w:val="22"/>
      <w:lang w:val="en-GB"/>
    </w:rPr>
  </w:style>
  <w:style w:type="paragraph" w:styleId="BodyText3">
    <w:name w:val="Body Text 3"/>
    <w:basedOn w:val="Normal"/>
    <w:rsid w:val="00A80F51"/>
    <w:pPr>
      <w:jc w:val="center"/>
    </w:pPr>
    <w:rPr>
      <w:rFonts w:cs="Angsana New"/>
      <w:sz w:val="28"/>
    </w:rPr>
  </w:style>
  <w:style w:type="character" w:customStyle="1" w:styleId="BodyText3Char">
    <w:name w:val="Body Text 3 Char"/>
    <w:basedOn w:val="DefaultParagraphFont"/>
    <w:locked/>
    <w:rsid w:val="00A80F51"/>
    <w:rPr>
      <w:rFonts w:ascii="Times New Roman" w:hAnsi="Times New Roman" w:cs="Angsana New"/>
      <w:sz w:val="28"/>
      <w:lang w:val="en-GB"/>
    </w:rPr>
  </w:style>
  <w:style w:type="paragraph" w:styleId="BodyTextIndent2">
    <w:name w:val="Body Text Indent 2"/>
    <w:basedOn w:val="Normal"/>
    <w:rsid w:val="00A80F51"/>
    <w:pPr>
      <w:ind w:firstLine="720"/>
    </w:pPr>
    <w:rPr>
      <w:rFonts w:cs="Angsana New"/>
    </w:rPr>
  </w:style>
  <w:style w:type="character" w:customStyle="1" w:styleId="BodyTextIndent2Char">
    <w:name w:val="Body Text Indent 2 Char"/>
    <w:basedOn w:val="DefaultParagraphFont"/>
    <w:locked/>
    <w:rsid w:val="00A80F51"/>
    <w:rPr>
      <w:rFonts w:ascii="Times New Roman" w:hAnsi="Times New Roman" w:cs="Angsana New"/>
      <w:sz w:val="22"/>
      <w:lang w:val="en-GB"/>
    </w:rPr>
  </w:style>
  <w:style w:type="paragraph" w:customStyle="1" w:styleId="Bodytextitalic">
    <w:name w:val="Body text italic"/>
    <w:basedOn w:val="BodyText"/>
    <w:rsid w:val="00A80F51"/>
    <w:rPr>
      <w:rFonts w:cs="Angsana New"/>
      <w:i/>
      <w:iCs w:val="0"/>
    </w:rPr>
  </w:style>
  <w:style w:type="paragraph" w:customStyle="1" w:styleId="boxbody">
    <w:name w:val="boxbody"/>
    <w:basedOn w:val="Normal"/>
    <w:rsid w:val="00A80F51"/>
    <w:pPr>
      <w:spacing w:before="100" w:beforeAutospacing="1" w:after="100" w:afterAutospacing="1"/>
      <w:ind w:left="612" w:right="612"/>
    </w:pPr>
    <w:rPr>
      <w:rFonts w:eastAsia="Arial Unicode MS" w:cs="Arial Unicode MS"/>
      <w:sz w:val="18"/>
      <w:szCs w:val="18"/>
    </w:rPr>
  </w:style>
  <w:style w:type="paragraph" w:customStyle="1" w:styleId="Heading-plain">
    <w:name w:val="Heading - plain"/>
    <w:basedOn w:val="Heading2"/>
    <w:next w:val="BodyText"/>
    <w:rsid w:val="00A80F51"/>
    <w:pPr>
      <w:tabs>
        <w:tab w:val="clear" w:pos="720"/>
        <w:tab w:val="left" w:pos="900"/>
      </w:tabs>
    </w:pPr>
    <w:rPr>
      <w:rFonts w:eastAsia="Batang"/>
      <w:b w:val="0"/>
      <w:bCs w:val="0"/>
      <w:szCs w:val="20"/>
    </w:rPr>
  </w:style>
  <w:style w:type="paragraph" w:customStyle="1" w:styleId="Heading2noletter">
    <w:name w:val="Heading 2 (no letter)"/>
    <w:basedOn w:val="Heading2"/>
    <w:rsid w:val="00A80F51"/>
    <w:pPr>
      <w:tabs>
        <w:tab w:val="clear" w:pos="720"/>
      </w:tabs>
    </w:pPr>
  </w:style>
  <w:style w:type="character" w:customStyle="1" w:styleId="Heading2CharChar">
    <w:name w:val="Heading 2 Char Char"/>
    <w:rsid w:val="00A80F51"/>
    <w:rPr>
      <w:rFonts w:ascii="Arial" w:hAnsi="Arial"/>
      <w:b/>
      <w:i/>
      <w:sz w:val="28"/>
      <w:lang w:val="en-US"/>
    </w:rPr>
  </w:style>
  <w:style w:type="paragraph" w:customStyle="1" w:styleId="Heading-plain0">
    <w:name w:val="Heading-plain"/>
    <w:basedOn w:val="Normal"/>
    <w:rsid w:val="00A80F51"/>
    <w:pPr>
      <w:spacing w:before="120" w:after="120"/>
      <w:jc w:val="center"/>
      <w:outlineLvl w:val="0"/>
    </w:pPr>
    <w:rPr>
      <w:rFonts w:cs="Angsana New"/>
      <w:i/>
      <w:szCs w:val="20"/>
    </w:rPr>
  </w:style>
  <w:style w:type="paragraph" w:customStyle="1" w:styleId="Heading-plainbold">
    <w:name w:val="Heading-plain bold"/>
    <w:basedOn w:val="BodyText"/>
    <w:rsid w:val="00A80F51"/>
    <w:pPr>
      <w:ind w:firstLine="0"/>
      <w:jc w:val="center"/>
    </w:pPr>
    <w:rPr>
      <w:rFonts w:cs="Angsana New"/>
      <w:b/>
      <w:bCs/>
      <w:i/>
      <w:iCs w:val="0"/>
    </w:rPr>
  </w:style>
  <w:style w:type="paragraph" w:customStyle="1" w:styleId="Heading-plainitalic">
    <w:name w:val="Heading-plain italic"/>
    <w:basedOn w:val="Heading-plainbold"/>
    <w:rsid w:val="00A80F51"/>
    <w:rPr>
      <w:b w:val="0"/>
      <w:bCs w:val="0"/>
    </w:rPr>
  </w:style>
  <w:style w:type="paragraph" w:styleId="NormalWeb">
    <w:name w:val="Normal (Web)"/>
    <w:basedOn w:val="Normal"/>
    <w:rsid w:val="00A80F51"/>
    <w:pPr>
      <w:spacing w:before="100" w:beforeAutospacing="1" w:after="100" w:afterAutospacing="1"/>
      <w:jc w:val="left"/>
    </w:pPr>
    <w:rPr>
      <w:rFonts w:cs="Angsana New"/>
      <w:color w:val="000000"/>
      <w:sz w:val="18"/>
      <w:szCs w:val="18"/>
      <w:lang w:val="en-US"/>
    </w:rPr>
  </w:style>
  <w:style w:type="paragraph" w:customStyle="1" w:styleId="Para1">
    <w:name w:val="Para 1"/>
    <w:basedOn w:val="BodyText"/>
    <w:rsid w:val="00A80F51"/>
    <w:pPr>
      <w:numPr>
        <w:numId w:val="9"/>
      </w:numPr>
    </w:pPr>
    <w:rPr>
      <w:rFonts w:cs="Angsana New"/>
      <w:bCs/>
      <w:iCs w:val="0"/>
      <w:szCs w:val="22"/>
    </w:rPr>
  </w:style>
  <w:style w:type="character" w:customStyle="1" w:styleId="Para1Char0">
    <w:name w:val="Para 1 Char"/>
    <w:rsid w:val="00A80F51"/>
    <w:rPr>
      <w:rFonts w:eastAsia="MS Mincho"/>
      <w:sz w:val="22"/>
      <w:lang w:val="en-GB"/>
    </w:rPr>
  </w:style>
  <w:style w:type="paragraph" w:customStyle="1" w:styleId="Paraofficial">
    <w:name w:val="Para official"/>
    <w:basedOn w:val="Normal"/>
    <w:rsid w:val="00A80F51"/>
    <w:pPr>
      <w:framePr w:hSpace="187" w:vSpace="187" w:wrap="notBeside" w:vAnchor="text" w:hAnchor="text" w:y="1"/>
      <w:numPr>
        <w:numId w:val="5"/>
      </w:numPr>
      <w:spacing w:before="240" w:after="240"/>
      <w:jc w:val="left"/>
    </w:pPr>
    <w:rPr>
      <w:rFonts w:cs="Angsana New"/>
      <w:szCs w:val="20"/>
    </w:rPr>
  </w:style>
  <w:style w:type="paragraph" w:customStyle="1" w:styleId="ColorfulShading-Accent11">
    <w:name w:val="Colorful Shading - Accent 11"/>
    <w:hidden/>
    <w:semiHidden/>
    <w:rsid w:val="00A80F51"/>
    <w:rPr>
      <w:rFonts w:eastAsia="MS Mincho" w:cs="Angsana New"/>
      <w:snapToGrid w:val="0"/>
      <w:sz w:val="22"/>
      <w:szCs w:val="24"/>
      <w:lang w:val="en-GB" w:eastAsia="es-ES"/>
    </w:rPr>
  </w:style>
  <w:style w:type="paragraph" w:customStyle="1" w:styleId="Para1-Annex">
    <w:name w:val="Para1-Annex"/>
    <w:basedOn w:val="Normal"/>
    <w:rsid w:val="00A80F51"/>
    <w:pPr>
      <w:numPr>
        <w:numId w:val="6"/>
      </w:numPr>
      <w:spacing w:after="120"/>
    </w:pPr>
    <w:rPr>
      <w:szCs w:val="22"/>
      <w:lang w:val="en-US"/>
    </w:rPr>
  </w:style>
  <w:style w:type="paragraph" w:customStyle="1" w:styleId="para20">
    <w:name w:val="para2"/>
    <w:basedOn w:val="para2a"/>
    <w:rsid w:val="00A80F51"/>
  </w:style>
  <w:style w:type="paragraph" w:customStyle="1" w:styleId="Para40">
    <w:name w:val="Para4"/>
    <w:basedOn w:val="Para3"/>
    <w:rsid w:val="00A80F51"/>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A80F51"/>
    <w:pPr>
      <w:numPr>
        <w:numId w:val="7"/>
      </w:numPr>
      <w:spacing w:after="120" w:line="240" w:lineRule="exact"/>
    </w:pPr>
    <w:rPr>
      <w:rFonts w:cs="Angsana New"/>
      <w:szCs w:val="20"/>
      <w:lang w:val="en-US"/>
    </w:rPr>
  </w:style>
  <w:style w:type="character" w:styleId="Strong">
    <w:name w:val="Strong"/>
    <w:basedOn w:val="DefaultParagraphFont"/>
    <w:qFormat/>
    <w:rsid w:val="00A80F51"/>
    <w:rPr>
      <w:rFonts w:cs="Times New Roman"/>
      <w:b/>
    </w:rPr>
  </w:style>
  <w:style w:type="paragraph" w:customStyle="1" w:styleId="StyleBodyTextTimesNewRoman11ptCharChar">
    <w:name w:val="Style Body Text + Times New Roman 11 pt Char Char"/>
    <w:basedOn w:val="BodyText"/>
    <w:rsid w:val="00A80F51"/>
    <w:rPr>
      <w:rFonts w:cs="Angsana New"/>
      <w:iCs w:val="0"/>
      <w:color w:val="000000"/>
      <w:szCs w:val="22"/>
      <w:lang w:val="en-US"/>
    </w:rPr>
  </w:style>
  <w:style w:type="character" w:customStyle="1" w:styleId="StyleBodyTextTimesNewRoman11ptCharCharChar">
    <w:name w:val="Style Body Text + Times New Roman 11 pt Char Char Char"/>
    <w:rsid w:val="00A80F51"/>
    <w:rPr>
      <w:snapToGrid w:val="0"/>
      <w:color w:val="000000"/>
      <w:sz w:val="22"/>
      <w:lang w:val="en-US"/>
    </w:rPr>
  </w:style>
  <w:style w:type="paragraph" w:customStyle="1" w:styleId="StylePara1Firstline127cm">
    <w:name w:val="Style Para1 + First line:  1.27 cm"/>
    <w:basedOn w:val="Normal"/>
    <w:rsid w:val="00A80F51"/>
    <w:pPr>
      <w:tabs>
        <w:tab w:val="num" w:pos="360"/>
      </w:tabs>
      <w:spacing w:after="120"/>
    </w:pPr>
    <w:rPr>
      <w:rFonts w:cs="Angsana New"/>
      <w:szCs w:val="20"/>
    </w:rPr>
  </w:style>
  <w:style w:type="paragraph" w:customStyle="1" w:styleId="StylePara1Italic">
    <w:name w:val="Style Para1 + Italic"/>
    <w:basedOn w:val="Normal"/>
    <w:rsid w:val="00A80F51"/>
    <w:pPr>
      <w:spacing w:before="120" w:after="120"/>
    </w:pPr>
    <w:rPr>
      <w:i/>
      <w:iCs/>
      <w:szCs w:val="18"/>
    </w:rPr>
  </w:style>
  <w:style w:type="paragraph" w:customStyle="1" w:styleId="ColorfulShading-Accent31">
    <w:name w:val="Colorful Shading - Accent 31"/>
    <w:basedOn w:val="Normal"/>
    <w:rsid w:val="00A80F51"/>
    <w:pPr>
      <w:ind w:left="720"/>
      <w:contextualSpacing/>
    </w:pPr>
    <w:rPr>
      <w:rFonts w:cs="Angsana New"/>
    </w:rPr>
  </w:style>
  <w:style w:type="paragraph" w:customStyle="1" w:styleId="para2a">
    <w:name w:val="para 2 (a)"/>
    <w:basedOn w:val="Normal"/>
    <w:rsid w:val="00A80F51"/>
    <w:pPr>
      <w:spacing w:after="120"/>
    </w:pPr>
    <w:rPr>
      <w:rFonts w:cs="Angsana New"/>
      <w:szCs w:val="18"/>
    </w:rPr>
  </w:style>
  <w:style w:type="paragraph" w:customStyle="1" w:styleId="SubtleEmphasis1">
    <w:name w:val="Subtle Emphasis1"/>
    <w:basedOn w:val="Normal"/>
    <w:rsid w:val="00A80F51"/>
    <w:pPr>
      <w:ind w:left="720"/>
      <w:contextualSpacing/>
    </w:pPr>
    <w:rPr>
      <w:rFonts w:cs="Angsana New"/>
    </w:rPr>
  </w:style>
  <w:style w:type="paragraph" w:customStyle="1" w:styleId="Body">
    <w:name w:val="Body"/>
    <w:rsid w:val="00A80F51"/>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snapToGrid w:val="0"/>
      <w:color w:val="000000"/>
      <w:sz w:val="22"/>
      <w:szCs w:val="22"/>
      <w:u w:color="000000"/>
      <w:lang w:val="en-US" w:eastAsia="es-ES"/>
    </w:rPr>
  </w:style>
  <w:style w:type="paragraph" w:customStyle="1" w:styleId="recommendation">
    <w:name w:val="recommendation"/>
    <w:basedOn w:val="Heading2"/>
    <w:rsid w:val="00A80F51"/>
    <w:pPr>
      <w:tabs>
        <w:tab w:val="clear" w:pos="720"/>
      </w:tabs>
      <w:spacing w:before="240" w:after="60" w:line="276" w:lineRule="auto"/>
      <w:jc w:val="left"/>
    </w:pPr>
    <w:rPr>
      <w:i/>
      <w:kern w:val="2"/>
      <w:szCs w:val="22"/>
      <w:lang w:val="en-US"/>
    </w:rPr>
  </w:style>
  <w:style w:type="paragraph" w:customStyle="1" w:styleId="SubtleEmphasis2">
    <w:name w:val="Subtle Emphasis2"/>
    <w:basedOn w:val="Normal"/>
    <w:rsid w:val="00A80F51"/>
    <w:pPr>
      <w:spacing w:after="240"/>
      <w:ind w:left="720"/>
      <w:contextualSpacing/>
      <w:jc w:val="left"/>
    </w:pPr>
    <w:rPr>
      <w:rFonts w:ascii="Calibri" w:eastAsia="Times New Roman" w:hAnsi="Calibri"/>
      <w:sz w:val="24"/>
    </w:rPr>
  </w:style>
  <w:style w:type="paragraph" w:customStyle="1" w:styleId="Default">
    <w:name w:val="Default"/>
    <w:rsid w:val="00A80F51"/>
    <w:pPr>
      <w:autoSpaceDE w:val="0"/>
      <w:autoSpaceDN w:val="0"/>
      <w:adjustRightInd w:val="0"/>
    </w:pPr>
    <w:rPr>
      <w:rFonts w:ascii="Calibri" w:hAnsi="Calibri" w:cs="Calibri"/>
      <w:snapToGrid w:val="0"/>
      <w:color w:val="000000"/>
      <w:sz w:val="24"/>
      <w:szCs w:val="24"/>
      <w:lang w:val="en-US" w:eastAsia="es-ES"/>
    </w:rPr>
  </w:style>
  <w:style w:type="paragraph" w:customStyle="1" w:styleId="ColorfulGrid-Accent61">
    <w:name w:val="Colorful Grid - Accent 61"/>
    <w:hidden/>
    <w:rsid w:val="00A80F51"/>
    <w:rPr>
      <w:rFonts w:eastAsia="MS Mincho" w:cs="Angsana New"/>
      <w:snapToGrid w:val="0"/>
      <w:sz w:val="22"/>
      <w:szCs w:val="24"/>
      <w:lang w:val="en-GB" w:eastAsia="es-ES"/>
    </w:rPr>
  </w:style>
  <w:style w:type="paragraph" w:customStyle="1" w:styleId="SubtleEmphasis3">
    <w:name w:val="Subtle Emphasis3"/>
    <w:basedOn w:val="Normal"/>
    <w:rsid w:val="00A80F51"/>
    <w:pPr>
      <w:ind w:left="720"/>
      <w:contextualSpacing/>
    </w:pPr>
    <w:rPr>
      <w:rFonts w:cs="Angsana New"/>
    </w:rPr>
  </w:style>
  <w:style w:type="paragraph" w:customStyle="1" w:styleId="SubtleEmphasis4">
    <w:name w:val="Subtle Emphasis4"/>
    <w:basedOn w:val="Normal"/>
    <w:rsid w:val="00A80F51"/>
    <w:pPr>
      <w:ind w:left="720"/>
    </w:pPr>
    <w:rPr>
      <w:rFonts w:cs="Angsana New"/>
    </w:rPr>
  </w:style>
  <w:style w:type="paragraph" w:customStyle="1" w:styleId="SubtleEmphasis5">
    <w:name w:val="Subtle Emphasis5"/>
    <w:basedOn w:val="Normal"/>
    <w:rsid w:val="00A80F51"/>
    <w:pPr>
      <w:ind w:left="720"/>
    </w:pPr>
    <w:rPr>
      <w:rFonts w:cs="Angsana New"/>
    </w:rPr>
  </w:style>
  <w:style w:type="character" w:customStyle="1" w:styleId="Heading2Char1">
    <w:name w:val="Heading 2 Char1"/>
    <w:link w:val="Heading2"/>
    <w:rsid w:val="00A80F51"/>
    <w:rPr>
      <w:lang w:val="fr-FR"/>
    </w:rPr>
  </w:style>
  <w:style w:type="table" w:customStyle="1" w:styleId="TableGrid1">
    <w:name w:val="Table Grid1"/>
    <w:rsid w:val="00A80F51"/>
    <w:rPr>
      <w:rFonts w:ascii="Calibri" w:hAnsi="Calibri" w:cs="Times New Roman"/>
      <w:snapToGrid w:val="0"/>
      <w:sz w:val="22"/>
      <w:szCs w:val="22"/>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A80F51"/>
    <w:rPr>
      <w:rFonts w:ascii="Calibri" w:hAnsi="Calibri" w:cs="Times New Roman"/>
      <w:snapToGrid w:val="0"/>
      <w:sz w:val="22"/>
      <w:szCs w:val="22"/>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rsid w:val="00A80F51"/>
    <w:rPr>
      <w:sz w:val="24"/>
    </w:rPr>
  </w:style>
  <w:style w:type="character" w:customStyle="1" w:styleId="DocumentMapChar">
    <w:name w:val="Document Map Char"/>
    <w:basedOn w:val="DefaultParagraphFont"/>
    <w:locked/>
    <w:rsid w:val="00A80F51"/>
    <w:rPr>
      <w:rFonts w:ascii="Times New Roman" w:hAnsi="Times New Roman" w:cs="Times New Roman"/>
      <w:lang w:val="en-GB"/>
    </w:rPr>
  </w:style>
  <w:style w:type="paragraph" w:styleId="Revision">
    <w:name w:val="Revision"/>
    <w:hidden/>
    <w:rsid w:val="00A80F51"/>
    <w:rPr>
      <w:rFonts w:eastAsia="MS Mincho" w:cs="Angsana New"/>
      <w:snapToGrid w:val="0"/>
      <w:sz w:val="22"/>
      <w:szCs w:val="24"/>
      <w:lang w:val="en-GB" w:eastAsia="es-ES"/>
    </w:rPr>
  </w:style>
  <w:style w:type="character" w:customStyle="1" w:styleId="UnresolvedMention1">
    <w:name w:val="Unresolved Mention1"/>
    <w:basedOn w:val="DefaultParagraphFont"/>
    <w:semiHidden/>
    <w:rsid w:val="00A80F51"/>
    <w:rPr>
      <w:rFonts w:cs="Times New Roman"/>
      <w:color w:val="808080"/>
      <w:shd w:val="clear" w:color="auto" w:fill="E6E6E6"/>
    </w:rPr>
  </w:style>
  <w:style w:type="character" w:customStyle="1" w:styleId="tw4winMark">
    <w:name w:val="tw4winMark"/>
    <w:rsid w:val="00A80F51"/>
    <w:rPr>
      <w:rFonts w:ascii="Courier New" w:hAnsi="Courier New"/>
      <w:vanish/>
      <w:color w:val="800080"/>
      <w:sz w:val="24"/>
      <w:vertAlign w:val="subscript"/>
    </w:rPr>
  </w:style>
  <w:style w:type="character" w:customStyle="1" w:styleId="tw4winError">
    <w:name w:val="tw4winError"/>
    <w:rsid w:val="00A80F51"/>
    <w:rPr>
      <w:rFonts w:ascii="Courier New" w:hAnsi="Courier New"/>
      <w:color w:val="00FF00"/>
      <w:sz w:val="40"/>
    </w:rPr>
  </w:style>
  <w:style w:type="character" w:customStyle="1" w:styleId="tw4winTerm">
    <w:name w:val="tw4winTerm"/>
    <w:rsid w:val="00A80F51"/>
    <w:rPr>
      <w:color w:val="0000FF"/>
    </w:rPr>
  </w:style>
  <w:style w:type="character" w:customStyle="1" w:styleId="tw4winPopup">
    <w:name w:val="tw4winPopup"/>
    <w:rsid w:val="00A80F51"/>
    <w:rPr>
      <w:rFonts w:ascii="Courier New" w:hAnsi="Courier New"/>
      <w:noProof/>
      <w:color w:val="008000"/>
    </w:rPr>
  </w:style>
  <w:style w:type="character" w:customStyle="1" w:styleId="tw4winJump">
    <w:name w:val="tw4winJump"/>
    <w:rsid w:val="00A80F51"/>
    <w:rPr>
      <w:rFonts w:ascii="Courier New" w:hAnsi="Courier New"/>
      <w:noProof/>
      <w:color w:val="008080"/>
    </w:rPr>
  </w:style>
  <w:style w:type="character" w:customStyle="1" w:styleId="tw4winExternal">
    <w:name w:val="tw4winExternal"/>
    <w:rsid w:val="00A80F51"/>
    <w:rPr>
      <w:rFonts w:ascii="Courier New" w:hAnsi="Courier New"/>
      <w:noProof/>
      <w:color w:val="808080"/>
    </w:rPr>
  </w:style>
  <w:style w:type="character" w:customStyle="1" w:styleId="tw4winInternal">
    <w:name w:val="tw4winInternal"/>
    <w:rsid w:val="00A80F51"/>
    <w:rPr>
      <w:rFonts w:ascii="Courier New" w:hAnsi="Courier New"/>
      <w:noProof/>
      <w:color w:val="FF0000"/>
    </w:rPr>
  </w:style>
  <w:style w:type="character" w:customStyle="1" w:styleId="DONOTTRANSLATE">
    <w:name w:val="DO_NOT_TRANSLATE"/>
    <w:rsid w:val="00A80F51"/>
    <w:rPr>
      <w:rFonts w:ascii="Courier New" w:hAnsi="Courier New"/>
      <w:noProof/>
      <w:color w:val="800000"/>
    </w:rPr>
  </w:style>
  <w:style w:type="numbering" w:customStyle="1" w:styleId="ImportedStyle2">
    <w:name w:val="Imported Style 2"/>
    <w:rsid w:val="00A80F51"/>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meetings/sbi/sbi-01/information/sbi-01-inf-12-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10-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home.kpmg.com/content/dam/kpmg/campaigns/csr/pdf/CSR_Reporting_2017.pdf" TargetMode="External"/><Relationship Id="rId13" Type="http://schemas.openxmlformats.org/officeDocument/2006/relationships/hyperlink" Target="https://www.naturalcapitaltoolkit.org/" TargetMode="External"/><Relationship Id="rId18" Type="http://schemas.openxmlformats.org/officeDocument/2006/relationships/hyperlink" Target="https://www.pwc.nl/nl/assets/documents/the-sustainable-development-goals.pdf" TargetMode="External"/><Relationship Id="rId26" Type="http://schemas.openxmlformats.org/officeDocument/2006/relationships/hyperlink" Target="https://unstats.un.org/unsd/envaccounting/eea_project/default.asp" TargetMode="External"/><Relationship Id="rId3" Type="http://schemas.openxmlformats.org/officeDocument/2006/relationships/hyperlink" Target="http://database.globalreporting.org/" TargetMode="External"/><Relationship Id="rId21" Type="http://schemas.openxmlformats.org/officeDocument/2006/relationships/hyperlink" Target="https://www.cisl.cam.ac.uk/publications/working-papers-folder/healthy-ecosystem-metric-framework" TargetMode="External"/><Relationship Id="rId7" Type="http://schemas.openxmlformats.org/officeDocument/2006/relationships/hyperlink" Target="https://www.cdsb.net/" TargetMode="External"/><Relationship Id="rId12" Type="http://schemas.openxmlformats.org/officeDocument/2006/relationships/hyperlink" Target="https://naturalcapitalcoalition.org/projects/biodiversity/" TargetMode="External"/><Relationship Id="rId17" Type="http://schemas.openxmlformats.org/officeDocument/2006/relationships/hyperlink" Target="https://home.kpmg.com/content/dam/kpmg/campaigns/csr/pdf/CSR_Reporting_2017.pdf" TargetMode="External"/><Relationship Id="rId25" Type="http://schemas.openxmlformats.org/officeDocument/2006/relationships/hyperlink" Target="http://ec.europa.eu/environment/biodiversity/business/workstreams/natural-capital-accounting/index_en.htm" TargetMode="External"/><Relationship Id="rId2" Type="http://schemas.openxmlformats.org/officeDocument/2006/relationships/hyperlink" Target="https://www.cbd.int/doc/recommendations/sbstta-21/sbstta-21-rec-04-es.pdf" TargetMode="External"/><Relationship Id="rId16" Type="http://schemas.openxmlformats.org/officeDocument/2006/relationships/hyperlink" Target="http://www.un.org/ga/search/view_doc.asp?symbol=A/RES/70/1&amp;referer=/english/&amp;Lang=S" TargetMode="External"/><Relationship Id="rId20" Type="http://schemas.openxmlformats.org/officeDocument/2006/relationships/hyperlink" Target="http://integratedreporting.org/resource/sdgs-integrated-thinking-and-the-integrated-report/" TargetMode="External"/><Relationship Id="rId29" Type="http://schemas.openxmlformats.org/officeDocument/2006/relationships/hyperlink" Target="https://www.cbd.int/business/meetings-events/2017/default.shtml" TargetMode="External"/><Relationship Id="rId1" Type="http://schemas.openxmlformats.org/officeDocument/2006/relationships/hyperlink" Target="https://www.cbd.int/doc/c/965e/7b06/3b39cb44e29286a3029fce8d/sbi-02-01-es.pdf" TargetMode="External"/><Relationship Id="rId6" Type="http://schemas.openxmlformats.org/officeDocument/2006/relationships/hyperlink" Target="https://www.cdp.net/" TargetMode="External"/><Relationship Id="rId11" Type="http://schemas.openxmlformats.org/officeDocument/2006/relationships/hyperlink" Target="https://www.sasb.org/" TargetMode="External"/><Relationship Id="rId24" Type="http://schemas.openxmlformats.org/officeDocument/2006/relationships/hyperlink" Target="http://www.ipieca.org/resources/good-practice/biodiversity-and-ecosystem-services-fundamentals/" TargetMode="External"/><Relationship Id="rId32" Type="http://schemas.openxmlformats.org/officeDocument/2006/relationships/hyperlink" Target="https://www.globalreporting.org/standards/gri-standards-translations/gri-standards-spanish-translations-download-center/" TargetMode="External"/><Relationship Id="rId5" Type="http://schemas.openxmlformats.org/officeDocument/2006/relationships/hyperlink" Target="https://www.globalreporting.org/resourcelibrary/Carrots%20and%20Sticks-2016.pdf" TargetMode="External"/><Relationship Id="rId15" Type="http://schemas.openxmlformats.org/officeDocument/2006/relationships/hyperlink" Target="https://www.globalreporting.org/resourcelibrary/Carrots%20and%20Sticks-2016.pdf" TargetMode="External"/><Relationship Id="rId23" Type="http://schemas.openxmlformats.org/officeDocument/2006/relationships/hyperlink" Target="http://institutolife.org/es/" TargetMode="External"/><Relationship Id="rId28" Type="http://schemas.openxmlformats.org/officeDocument/2006/relationships/hyperlink" Target="https://unstats.un.org/unsd/envaccounting/eu_project/default.asp" TargetMode="External"/><Relationship Id="rId10" Type="http://schemas.openxmlformats.org/officeDocument/2006/relationships/hyperlink" Target="https://integratedreporting.org" TargetMode="External"/><Relationship Id="rId19" Type="http://schemas.openxmlformats.org/officeDocument/2006/relationships/hyperlink" Target="https://www.globalreporting.org/resourcelibrary/GRI_UNGC_Business-Reporting-on-SDGs_Analysis-of-Goals-and-Targets.pdf" TargetMode="External"/><Relationship Id="rId31" Type="http://schemas.openxmlformats.org/officeDocument/2006/relationships/hyperlink" Target="https://www.unep-wcmc.org/resources-and-data/ibat" TargetMode="External"/><Relationship Id="rId4" Type="http://schemas.openxmlformats.org/officeDocument/2006/relationships/hyperlink" Target="https://www.carrotsandsticks.net/regulations/" TargetMode="External"/><Relationship Id="rId9" Type="http://schemas.openxmlformats.org/officeDocument/2006/relationships/hyperlink" Target="https://www.globalreporting.org/" TargetMode="External"/><Relationship Id="rId14" Type="http://schemas.openxmlformats.org/officeDocument/2006/relationships/hyperlink" Target="http://www.wbcsd.org/Projects/Reporting/The-Reporting-Exchange" TargetMode="External"/><Relationship Id="rId22" Type="http://schemas.openxmlformats.org/officeDocument/2006/relationships/hyperlink" Target="http://www.mission-economie-biodiversite.com/wp-content/uploads/2017/11/N11-TRAVAUX-DU-CLUB-B4B-INDICATEUR-GBS-UK-BD.pdf" TargetMode="External"/><Relationship Id="rId27" Type="http://schemas.openxmlformats.org/officeDocument/2006/relationships/hyperlink" Target="https://www.wavespartnership.org" TargetMode="External"/><Relationship Id="rId30" Type="http://schemas.openxmlformats.org/officeDocument/2006/relationships/hyperlink" Target="https://www.bipindicators.net/system/resources/files/000/002/191/original/Framework_Brochure_UK_0311_LOWRES_%281%29.pdf?1481634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8C3AE-1713-43DD-9235-452A6FD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16</Pages>
  <Words>8168</Words>
  <Characters>45578</Characters>
  <Application>Microsoft Office Word</Application>
  <DocSecurity>0</DocSecurity>
  <Lines>723</Lines>
  <Paragraphs>197</Paragraphs>
  <ScaleCrop>false</ScaleCrop>
  <HeadingPairs>
    <vt:vector size="2" baseType="variant">
      <vt:variant>
        <vt:lpstr>Title</vt:lpstr>
      </vt:variant>
      <vt:variant>
        <vt:i4>1</vt:i4>
      </vt:variant>
    </vt:vector>
  </HeadingPairs>
  <TitlesOfParts>
    <vt:vector size="1" baseType="lpstr">
      <vt:lpstr>Guidance for reporting by businesses on their actions related to biodiversity</vt:lpstr>
    </vt:vector>
  </TitlesOfParts>
  <Company>SCBD</Company>
  <LinksUpToDate>false</LinksUpToDate>
  <CharactersWithSpaces>53549</CharactersWithSpaces>
  <SharedDoc>false</SharedDoc>
  <HLinks>
    <vt:vector size="216" baseType="variant">
      <vt:variant>
        <vt:i4>5963781</vt:i4>
      </vt:variant>
      <vt:variant>
        <vt:i4>6</vt:i4>
      </vt:variant>
      <vt:variant>
        <vt:i4>0</vt:i4>
      </vt:variant>
      <vt:variant>
        <vt:i4>5</vt:i4>
      </vt:variant>
      <vt:variant>
        <vt:lpwstr>https://www.cbd.int/doc/meetings/sbi/sbi-01/information/sbi-01-inf-12-en.pdf</vt:lpwstr>
      </vt:variant>
      <vt:variant>
        <vt:lpwstr/>
      </vt:variant>
      <vt:variant>
        <vt:i4>589904</vt:i4>
      </vt:variant>
      <vt:variant>
        <vt:i4>3</vt:i4>
      </vt:variant>
      <vt:variant>
        <vt:i4>0</vt:i4>
      </vt:variant>
      <vt:variant>
        <vt:i4>5</vt:i4>
      </vt:variant>
      <vt:variant>
        <vt:lpwstr>https://www.cbd.int/doc/decisions/cop-12/cop-12-dec-10-es.pdf</vt:lpwstr>
      </vt:variant>
      <vt:variant>
        <vt:lpwstr/>
      </vt:variant>
      <vt:variant>
        <vt:i4>720976</vt:i4>
      </vt:variant>
      <vt:variant>
        <vt:i4>0</vt:i4>
      </vt:variant>
      <vt:variant>
        <vt:i4>0</vt:i4>
      </vt:variant>
      <vt:variant>
        <vt:i4>5</vt:i4>
      </vt:variant>
      <vt:variant>
        <vt:lpwstr>https://www.cbd.int/doc/decisions/cop-13/cop-13-dec-03-es.pdf</vt:lpwstr>
      </vt:variant>
      <vt:variant>
        <vt:lpwstr/>
      </vt:variant>
      <vt:variant>
        <vt:i4>393243</vt:i4>
      </vt:variant>
      <vt:variant>
        <vt:i4>96</vt:i4>
      </vt:variant>
      <vt:variant>
        <vt:i4>0</vt:i4>
      </vt:variant>
      <vt:variant>
        <vt:i4>5</vt:i4>
      </vt:variant>
      <vt:variant>
        <vt:lpwstr>https://www.globalreporting.org/standards/gri-standards-translations/gri-standards-spanish-translations-download-center/</vt:lpwstr>
      </vt:variant>
      <vt:variant>
        <vt:lpwstr/>
      </vt:variant>
      <vt:variant>
        <vt:i4>4456521</vt:i4>
      </vt:variant>
      <vt:variant>
        <vt:i4>93</vt:i4>
      </vt:variant>
      <vt:variant>
        <vt:i4>0</vt:i4>
      </vt:variant>
      <vt:variant>
        <vt:i4>5</vt:i4>
      </vt:variant>
      <vt:variant>
        <vt:lpwstr>https://www.unep-wcmc.org/resources-and-data/ibat</vt:lpwstr>
      </vt:variant>
      <vt:variant>
        <vt:lpwstr/>
      </vt:variant>
      <vt:variant>
        <vt:i4>4980791</vt:i4>
      </vt:variant>
      <vt:variant>
        <vt:i4>90</vt:i4>
      </vt:variant>
      <vt:variant>
        <vt:i4>0</vt:i4>
      </vt:variant>
      <vt:variant>
        <vt:i4>5</vt:i4>
      </vt:variant>
      <vt:variant>
        <vt:lpwstr>https://www.bipindicators.net/system/resources/files/000/002/191/original/Framework_Brochure_UK_0311_LOWRES_%281%29.pdf?1481634262</vt:lpwstr>
      </vt:variant>
      <vt:variant>
        <vt:lpwstr/>
      </vt:variant>
      <vt:variant>
        <vt:i4>6291501</vt:i4>
      </vt:variant>
      <vt:variant>
        <vt:i4>87</vt:i4>
      </vt:variant>
      <vt:variant>
        <vt:i4>0</vt:i4>
      </vt:variant>
      <vt:variant>
        <vt:i4>5</vt:i4>
      </vt:variant>
      <vt:variant>
        <vt:lpwstr>https://www.cbd.int/business/meetings-events/2017/default.shtml</vt:lpwstr>
      </vt:variant>
      <vt:variant>
        <vt:lpwstr/>
      </vt:variant>
      <vt:variant>
        <vt:i4>5963900</vt:i4>
      </vt:variant>
      <vt:variant>
        <vt:i4>84</vt:i4>
      </vt:variant>
      <vt:variant>
        <vt:i4>0</vt:i4>
      </vt:variant>
      <vt:variant>
        <vt:i4>5</vt:i4>
      </vt:variant>
      <vt:variant>
        <vt:lpwstr>https://unstats.un.org/unsd/envaccounting/eu_project/default.asp</vt:lpwstr>
      </vt:variant>
      <vt:variant>
        <vt:lpwstr/>
      </vt:variant>
      <vt:variant>
        <vt:i4>4325380</vt:i4>
      </vt:variant>
      <vt:variant>
        <vt:i4>81</vt:i4>
      </vt:variant>
      <vt:variant>
        <vt:i4>0</vt:i4>
      </vt:variant>
      <vt:variant>
        <vt:i4>5</vt:i4>
      </vt:variant>
      <vt:variant>
        <vt:lpwstr>https://www.wavespartnership.org/</vt:lpwstr>
      </vt:variant>
      <vt:variant>
        <vt:lpwstr/>
      </vt:variant>
      <vt:variant>
        <vt:i4>6881359</vt:i4>
      </vt:variant>
      <vt:variant>
        <vt:i4>78</vt:i4>
      </vt:variant>
      <vt:variant>
        <vt:i4>0</vt:i4>
      </vt:variant>
      <vt:variant>
        <vt:i4>5</vt:i4>
      </vt:variant>
      <vt:variant>
        <vt:lpwstr>https://unstats.un.org/unsd/envaccounting/eea_project/default.asp</vt:lpwstr>
      </vt:variant>
      <vt:variant>
        <vt:lpwstr/>
      </vt:variant>
      <vt:variant>
        <vt:i4>2556012</vt:i4>
      </vt:variant>
      <vt:variant>
        <vt:i4>75</vt:i4>
      </vt:variant>
      <vt:variant>
        <vt:i4>0</vt:i4>
      </vt:variant>
      <vt:variant>
        <vt:i4>5</vt:i4>
      </vt:variant>
      <vt:variant>
        <vt:lpwstr>https://unstats.un.org/unsd/envaccounting/seea.asp</vt:lpwstr>
      </vt:variant>
      <vt:variant>
        <vt:lpwstr/>
      </vt:variant>
      <vt:variant>
        <vt:i4>4325474</vt:i4>
      </vt:variant>
      <vt:variant>
        <vt:i4>72</vt:i4>
      </vt:variant>
      <vt:variant>
        <vt:i4>0</vt:i4>
      </vt:variant>
      <vt:variant>
        <vt:i4>5</vt:i4>
      </vt:variant>
      <vt:variant>
        <vt:lpwstr>http://ec.europa.eu/environment/biodiversity/business/workstreams/natural-capital-accounting/index_en.htm</vt:lpwstr>
      </vt:variant>
      <vt:variant>
        <vt:lpwstr/>
      </vt:variant>
      <vt:variant>
        <vt:i4>8192036</vt:i4>
      </vt:variant>
      <vt:variant>
        <vt:i4>69</vt:i4>
      </vt:variant>
      <vt:variant>
        <vt:i4>0</vt:i4>
      </vt:variant>
      <vt:variant>
        <vt:i4>5</vt:i4>
      </vt:variant>
      <vt:variant>
        <vt:lpwstr>http://www.ipieca.org/resources/good-practice/biodiversity-and-ecosystem-services-fundamentals/</vt:lpwstr>
      </vt:variant>
      <vt:variant>
        <vt:lpwstr/>
      </vt:variant>
      <vt:variant>
        <vt:i4>786457</vt:i4>
      </vt:variant>
      <vt:variant>
        <vt:i4>66</vt:i4>
      </vt:variant>
      <vt:variant>
        <vt:i4>0</vt:i4>
      </vt:variant>
      <vt:variant>
        <vt:i4>5</vt:i4>
      </vt:variant>
      <vt:variant>
        <vt:lpwstr>http://institutolife.org/es/</vt:lpwstr>
      </vt:variant>
      <vt:variant>
        <vt:lpwstr/>
      </vt:variant>
      <vt:variant>
        <vt:i4>852037</vt:i4>
      </vt:variant>
      <vt:variant>
        <vt:i4>63</vt:i4>
      </vt:variant>
      <vt:variant>
        <vt:i4>0</vt:i4>
      </vt:variant>
      <vt:variant>
        <vt:i4>5</vt:i4>
      </vt:variant>
      <vt:variant>
        <vt:lpwstr>http://www.mission-economie-biodiversite.com/wp-content/uploads/2017/11/N11-TRAVAUX-DU-CLUB-B4B-INDICATEUR-GBS-UK-BD.pdf</vt:lpwstr>
      </vt:variant>
      <vt:variant>
        <vt:lpwstr/>
      </vt:variant>
      <vt:variant>
        <vt:i4>5242910</vt:i4>
      </vt:variant>
      <vt:variant>
        <vt:i4>60</vt:i4>
      </vt:variant>
      <vt:variant>
        <vt:i4>0</vt:i4>
      </vt:variant>
      <vt:variant>
        <vt:i4>5</vt:i4>
      </vt:variant>
      <vt:variant>
        <vt:lpwstr>https://www.cisl.cam.ac.uk/publications/working-papers-folder/healthy-ecosystem-metric-framework</vt:lpwstr>
      </vt:variant>
      <vt:variant>
        <vt:lpwstr/>
      </vt:variant>
      <vt:variant>
        <vt:i4>7209060</vt:i4>
      </vt:variant>
      <vt:variant>
        <vt:i4>57</vt:i4>
      </vt:variant>
      <vt:variant>
        <vt:i4>0</vt:i4>
      </vt:variant>
      <vt:variant>
        <vt:i4>5</vt:i4>
      </vt:variant>
      <vt:variant>
        <vt:lpwstr>http://integratedreporting.org/resource/sdgs-integrated-thinking-and-the-integrated-report/</vt:lpwstr>
      </vt:variant>
      <vt:variant>
        <vt:lpwstr/>
      </vt:variant>
      <vt:variant>
        <vt:i4>1966199</vt:i4>
      </vt:variant>
      <vt:variant>
        <vt:i4>54</vt:i4>
      </vt:variant>
      <vt:variant>
        <vt:i4>0</vt:i4>
      </vt:variant>
      <vt:variant>
        <vt:i4>5</vt:i4>
      </vt:variant>
      <vt:variant>
        <vt:lpwstr>https://www.globalreporting.org/resourcelibrary/GRI_UNGC_Business-Reporting-on-SDGs_Analysis-of-Goals-and-Targets.pdf</vt:lpwstr>
      </vt:variant>
      <vt:variant>
        <vt:lpwstr/>
      </vt:variant>
      <vt:variant>
        <vt:i4>4915222</vt:i4>
      </vt:variant>
      <vt:variant>
        <vt:i4>51</vt:i4>
      </vt:variant>
      <vt:variant>
        <vt:i4>0</vt:i4>
      </vt:variant>
      <vt:variant>
        <vt:i4>5</vt:i4>
      </vt:variant>
      <vt:variant>
        <vt:lpwstr>https://www.pwc.nl/nl/assets/documents/the-sustainable-development-goals.pdf</vt:lpwstr>
      </vt:variant>
      <vt:variant>
        <vt:lpwstr/>
      </vt:variant>
      <vt:variant>
        <vt:i4>2752628</vt:i4>
      </vt:variant>
      <vt:variant>
        <vt:i4>48</vt:i4>
      </vt:variant>
      <vt:variant>
        <vt:i4>0</vt:i4>
      </vt:variant>
      <vt:variant>
        <vt:i4>5</vt:i4>
      </vt:variant>
      <vt:variant>
        <vt:lpwstr>https://home.kpmg.com/content/dam/kpmg/campaigns/csr/pdf/CSR_Reporting_2017.pdf</vt:lpwstr>
      </vt:variant>
      <vt:variant>
        <vt:lpwstr/>
      </vt:variant>
      <vt:variant>
        <vt:i4>6815762</vt:i4>
      </vt:variant>
      <vt:variant>
        <vt:i4>45</vt:i4>
      </vt:variant>
      <vt:variant>
        <vt:i4>0</vt:i4>
      </vt:variant>
      <vt:variant>
        <vt:i4>5</vt:i4>
      </vt:variant>
      <vt:variant>
        <vt:lpwstr>http://www.un.org/ga/search/view_doc.asp?symbol=A/RES/70/1&amp;referer=/english/&amp;Lang=S</vt:lpwstr>
      </vt:variant>
      <vt:variant>
        <vt:lpwstr/>
      </vt:variant>
      <vt:variant>
        <vt:i4>3539068</vt:i4>
      </vt:variant>
      <vt:variant>
        <vt:i4>42</vt:i4>
      </vt:variant>
      <vt:variant>
        <vt:i4>0</vt:i4>
      </vt:variant>
      <vt:variant>
        <vt:i4>5</vt:i4>
      </vt:variant>
      <vt:variant>
        <vt:lpwstr>https://www.globalreporting.org/resourcelibrary/Carrots and Sticks-2016.pdf</vt:lpwstr>
      </vt:variant>
      <vt:variant>
        <vt:lpwstr/>
      </vt:variant>
      <vt:variant>
        <vt:i4>3014699</vt:i4>
      </vt:variant>
      <vt:variant>
        <vt:i4>39</vt:i4>
      </vt:variant>
      <vt:variant>
        <vt:i4>0</vt:i4>
      </vt:variant>
      <vt:variant>
        <vt:i4>5</vt:i4>
      </vt:variant>
      <vt:variant>
        <vt:lpwstr>http://www.wbcsd.org/Projects/Reporting/The-Reporting-Exchange</vt:lpwstr>
      </vt:variant>
      <vt:variant>
        <vt:lpwstr/>
      </vt:variant>
      <vt:variant>
        <vt:i4>3080225</vt:i4>
      </vt:variant>
      <vt:variant>
        <vt:i4>36</vt:i4>
      </vt:variant>
      <vt:variant>
        <vt:i4>0</vt:i4>
      </vt:variant>
      <vt:variant>
        <vt:i4>5</vt:i4>
      </vt:variant>
      <vt:variant>
        <vt:lpwstr>https://www.naturalcapitaltoolkit.org/</vt:lpwstr>
      </vt:variant>
      <vt:variant>
        <vt:lpwstr/>
      </vt:variant>
      <vt:variant>
        <vt:i4>2424945</vt:i4>
      </vt:variant>
      <vt:variant>
        <vt:i4>33</vt:i4>
      </vt:variant>
      <vt:variant>
        <vt:i4>0</vt:i4>
      </vt:variant>
      <vt:variant>
        <vt:i4>5</vt:i4>
      </vt:variant>
      <vt:variant>
        <vt:lpwstr>https://naturalcapitalcoalition.org/projects/biodiversity/</vt:lpwstr>
      </vt:variant>
      <vt:variant>
        <vt:lpwstr/>
      </vt:variant>
      <vt:variant>
        <vt:i4>4390940</vt:i4>
      </vt:variant>
      <vt:variant>
        <vt:i4>30</vt:i4>
      </vt:variant>
      <vt:variant>
        <vt:i4>0</vt:i4>
      </vt:variant>
      <vt:variant>
        <vt:i4>5</vt:i4>
      </vt:variant>
      <vt:variant>
        <vt:lpwstr>https://www.sasb.org/</vt:lpwstr>
      </vt:variant>
      <vt:variant>
        <vt:lpwstr/>
      </vt:variant>
      <vt:variant>
        <vt:i4>1769544</vt:i4>
      </vt:variant>
      <vt:variant>
        <vt:i4>27</vt:i4>
      </vt:variant>
      <vt:variant>
        <vt:i4>0</vt:i4>
      </vt:variant>
      <vt:variant>
        <vt:i4>5</vt:i4>
      </vt:variant>
      <vt:variant>
        <vt:lpwstr>https://integratedreporting.org/</vt:lpwstr>
      </vt:variant>
      <vt:variant>
        <vt:lpwstr/>
      </vt:variant>
      <vt:variant>
        <vt:i4>4784223</vt:i4>
      </vt:variant>
      <vt:variant>
        <vt:i4>24</vt:i4>
      </vt:variant>
      <vt:variant>
        <vt:i4>0</vt:i4>
      </vt:variant>
      <vt:variant>
        <vt:i4>5</vt:i4>
      </vt:variant>
      <vt:variant>
        <vt:lpwstr>https://www.globalreporting.org/</vt:lpwstr>
      </vt:variant>
      <vt:variant>
        <vt:lpwstr/>
      </vt:variant>
      <vt:variant>
        <vt:i4>2752628</vt:i4>
      </vt:variant>
      <vt:variant>
        <vt:i4>21</vt:i4>
      </vt:variant>
      <vt:variant>
        <vt:i4>0</vt:i4>
      </vt:variant>
      <vt:variant>
        <vt:i4>5</vt:i4>
      </vt:variant>
      <vt:variant>
        <vt:lpwstr>https://home.kpmg.com/content/dam/kpmg/campaigns/csr/pdf/CSR_Reporting_2017.pdf</vt:lpwstr>
      </vt:variant>
      <vt:variant>
        <vt:lpwstr/>
      </vt:variant>
      <vt:variant>
        <vt:i4>5505051</vt:i4>
      </vt:variant>
      <vt:variant>
        <vt:i4>18</vt:i4>
      </vt:variant>
      <vt:variant>
        <vt:i4>0</vt:i4>
      </vt:variant>
      <vt:variant>
        <vt:i4>5</vt:i4>
      </vt:variant>
      <vt:variant>
        <vt:lpwstr>https://www.cdsb.net/</vt:lpwstr>
      </vt:variant>
      <vt:variant>
        <vt:lpwstr/>
      </vt:variant>
      <vt:variant>
        <vt:i4>4718665</vt:i4>
      </vt:variant>
      <vt:variant>
        <vt:i4>15</vt:i4>
      </vt:variant>
      <vt:variant>
        <vt:i4>0</vt:i4>
      </vt:variant>
      <vt:variant>
        <vt:i4>5</vt:i4>
      </vt:variant>
      <vt:variant>
        <vt:lpwstr>https://www.cdp.net/</vt:lpwstr>
      </vt:variant>
      <vt:variant>
        <vt:lpwstr/>
      </vt:variant>
      <vt:variant>
        <vt:i4>3539068</vt:i4>
      </vt:variant>
      <vt:variant>
        <vt:i4>12</vt:i4>
      </vt:variant>
      <vt:variant>
        <vt:i4>0</vt:i4>
      </vt:variant>
      <vt:variant>
        <vt:i4>5</vt:i4>
      </vt:variant>
      <vt:variant>
        <vt:lpwstr>https://www.globalreporting.org/resourcelibrary/Carrots and Sticks-2016.pdf</vt:lpwstr>
      </vt:variant>
      <vt:variant>
        <vt:lpwstr/>
      </vt:variant>
      <vt:variant>
        <vt:i4>4522048</vt:i4>
      </vt:variant>
      <vt:variant>
        <vt:i4>9</vt:i4>
      </vt:variant>
      <vt:variant>
        <vt:i4>0</vt:i4>
      </vt:variant>
      <vt:variant>
        <vt:i4>5</vt:i4>
      </vt:variant>
      <vt:variant>
        <vt:lpwstr>https://www.carrotsandsticks.net/regulations/</vt:lpwstr>
      </vt:variant>
      <vt:variant>
        <vt:lpwstr/>
      </vt:variant>
      <vt:variant>
        <vt:i4>327698</vt:i4>
      </vt:variant>
      <vt:variant>
        <vt:i4>6</vt:i4>
      </vt:variant>
      <vt:variant>
        <vt:i4>0</vt:i4>
      </vt:variant>
      <vt:variant>
        <vt:i4>5</vt:i4>
      </vt:variant>
      <vt:variant>
        <vt:lpwstr>http://database.globalreporting.org/</vt:lpwstr>
      </vt:variant>
      <vt:variant>
        <vt:lpwstr/>
      </vt:variant>
      <vt:variant>
        <vt:i4>1310791</vt:i4>
      </vt:variant>
      <vt:variant>
        <vt:i4>3</vt:i4>
      </vt:variant>
      <vt:variant>
        <vt:i4>0</vt:i4>
      </vt:variant>
      <vt:variant>
        <vt:i4>5</vt:i4>
      </vt:variant>
      <vt:variant>
        <vt:lpwstr>https://www.cbd.int/doc/recommendations/sbstta-21/sbstta-21-rec-04-es.pdf</vt:lpwstr>
      </vt:variant>
      <vt:variant>
        <vt:lpwstr/>
      </vt:variant>
      <vt:variant>
        <vt:i4>1376261</vt:i4>
      </vt:variant>
      <vt:variant>
        <vt:i4>0</vt:i4>
      </vt:variant>
      <vt:variant>
        <vt:i4>0</vt:i4>
      </vt:variant>
      <vt:variant>
        <vt:i4>5</vt:i4>
      </vt:variant>
      <vt:variant>
        <vt:lpwstr>https://www.cbd.int/doc/c/965e/7b06/3b39cb44e29286a3029fce8d/sbi-02-01-es.pdf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reporting by businesses on their actions related to biodiversity</dc:title>
  <dc:subject>CBD/SBI/2/4/Add.2</dc:subject>
  <dc:creator>SCBD</dc:creator>
  <cp:lastModifiedBy>Laura Perez</cp:lastModifiedBy>
  <cp:revision>35</cp:revision>
  <dcterms:created xsi:type="dcterms:W3CDTF">2018-06-02T05:07:00Z</dcterms:created>
  <dcterms:modified xsi:type="dcterms:W3CDTF">2018-06-04T06:56:00Z</dcterms:modified>
</cp:coreProperties>
</file>