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7"/>
        <w:gridCol w:w="3845"/>
        <w:gridCol w:w="5244"/>
      </w:tblGrid>
      <w:tr w:rsidR="00A96B21" w:rsidRPr="00EA442C" w14:paraId="3AF6AE4F" w14:textId="77777777" w:rsidTr="00B864A4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3F16F9FD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</w:rPr>
              <w:drawing>
                <wp:inline distT="0" distB="0" distL="0" distR="0" wp14:anchorId="3319E880" wp14:editId="03F935D2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F813B12" w14:textId="77777777" w:rsidR="00A96B21" w:rsidRPr="00550DCE" w:rsidRDefault="00A96B21" w:rsidP="00B60E5F">
            <w:pPr>
              <w:spacing w:after="120"/>
              <w:jc w:val="left"/>
            </w:pPr>
            <w:r w:rsidRPr="00550DCE">
              <w:rPr>
                <w:noProof/>
              </w:rPr>
              <w:drawing>
                <wp:inline distT="0" distB="0" distL="0" distR="0" wp14:anchorId="0A925910" wp14:editId="2969DFEA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4BC40B6A" w14:textId="487DD022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A00234">
              <w:rPr>
                <w:szCs w:val="40"/>
              </w:rPr>
              <w:t>/COP/16/</w:t>
            </w:r>
            <w:r w:rsidR="0040017F">
              <w:rPr>
                <w:szCs w:val="40"/>
              </w:rPr>
              <w:t>1</w:t>
            </w:r>
          </w:p>
        </w:tc>
      </w:tr>
      <w:tr w:rsidR="00A96B21" w:rsidRPr="00EA442C" w14:paraId="3CD67A16" w14:textId="77777777" w:rsidTr="00B864A4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2489ED82" w14:textId="77777777" w:rsidR="00A96B21" w:rsidRPr="00550DCE" w:rsidRDefault="00A96B21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 w:val="0"/>
                <w:bCs/>
                <w:noProof/>
              </w:rPr>
              <w:drawing>
                <wp:inline distT="0" distB="0" distL="0" distR="0" wp14:anchorId="6CFDDD85" wp14:editId="62281619">
                  <wp:extent cx="2755076" cy="1028538"/>
                  <wp:effectExtent l="0" t="0" r="0" b="635"/>
                  <wp:docPr id="414008662" name="Picture 414008662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414008662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5A6961C7" w14:textId="23871E15"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157526">
              <w:rPr>
                <w:sz w:val="22"/>
                <w:szCs w:val="22"/>
              </w:rPr>
              <w:t>General</w:t>
            </w:r>
          </w:p>
          <w:p w14:paraId="17D8E90F" w14:textId="28379C5E" w:rsidR="00A96B21" w:rsidRPr="003C6F10" w:rsidRDefault="002D1606" w:rsidP="00B864A4">
            <w:pPr>
              <w:ind w:left="2584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E2B85">
              <w:rPr>
                <w:sz w:val="22"/>
                <w:szCs w:val="22"/>
              </w:rPr>
              <w:t>5</w:t>
            </w:r>
            <w:r w:rsidR="0040017F">
              <w:rPr>
                <w:sz w:val="22"/>
                <w:szCs w:val="22"/>
              </w:rPr>
              <w:t xml:space="preserve"> </w:t>
            </w:r>
            <w:r w:rsidR="005E2B85">
              <w:rPr>
                <w:sz w:val="22"/>
                <w:szCs w:val="22"/>
              </w:rPr>
              <w:t>June</w:t>
            </w:r>
            <w:r w:rsidR="00A96B21" w:rsidRPr="003C6F10">
              <w:rPr>
                <w:sz w:val="22"/>
                <w:szCs w:val="22"/>
              </w:rPr>
              <w:t xml:space="preserve"> 202</w:t>
            </w:r>
            <w:r w:rsidR="00A00234">
              <w:rPr>
                <w:sz w:val="22"/>
                <w:szCs w:val="22"/>
              </w:rPr>
              <w:t>4</w:t>
            </w:r>
          </w:p>
          <w:p w14:paraId="7771AF26" w14:textId="77777777"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</w:p>
          <w:p w14:paraId="5F5948AD" w14:textId="77777777" w:rsidR="00A96B21" w:rsidRPr="003C6F10" w:rsidRDefault="00A96B21" w:rsidP="00B864A4">
            <w:pPr>
              <w:ind w:left="2584"/>
              <w:jc w:val="left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7F46090F" w14:textId="77777777" w:rsidR="00A96B21" w:rsidRPr="00550DCE" w:rsidRDefault="00A96B21" w:rsidP="00B60E5F"/>
        </w:tc>
      </w:tr>
    </w:tbl>
    <w:p w14:paraId="0B167EBA" w14:textId="77777777" w:rsidR="00874541" w:rsidRDefault="00A00234" w:rsidP="00A00234">
      <w:pPr>
        <w:pStyle w:val="Cornernotation"/>
        <w:ind w:left="0" w:right="5249" w:firstLine="0"/>
        <w:rPr>
          <w:bCs/>
        </w:rPr>
      </w:pPr>
      <w:r>
        <w:rPr>
          <w:bCs/>
        </w:rPr>
        <w:t>Conference of the Parties to the Convention on Biological Diversity</w:t>
      </w:r>
    </w:p>
    <w:p w14:paraId="79086C26" w14:textId="041F64C2" w:rsidR="00A96B21" w:rsidRDefault="00A00234" w:rsidP="00A96B21">
      <w:pPr>
        <w:pStyle w:val="Cornernotation"/>
        <w:rPr>
          <w:bCs/>
          <w:sz w:val="22"/>
        </w:rPr>
      </w:pPr>
      <w:r>
        <w:rPr>
          <w:bCs/>
          <w:sz w:val="22"/>
        </w:rPr>
        <w:t>Sixteenth</w:t>
      </w:r>
      <w:r w:rsidR="00A96B21" w:rsidRPr="00A96B21">
        <w:rPr>
          <w:bCs/>
          <w:sz w:val="22"/>
        </w:rPr>
        <w:t xml:space="preserve"> meeting</w:t>
      </w:r>
    </w:p>
    <w:p w14:paraId="76D31C68" w14:textId="197CEAFE" w:rsidR="00A96B21" w:rsidRDefault="00A00234" w:rsidP="00B864A4">
      <w:pPr>
        <w:pStyle w:val="Venuedate"/>
      </w:pPr>
      <w:r>
        <w:rPr>
          <w:lang w:val="en-CA"/>
        </w:rPr>
        <w:t>Cali, Colombia, 21 October–1 November 2024</w:t>
      </w:r>
    </w:p>
    <w:bookmarkEnd w:id="0"/>
    <w:p w14:paraId="1BF5C67B" w14:textId="2B53820B" w:rsidR="00A96B21" w:rsidRDefault="00DB46BE" w:rsidP="00B864A4">
      <w:pPr>
        <w:pStyle w:val="CBDTitle"/>
      </w:pPr>
      <w:sdt>
        <w:sdtPr>
          <w:alias w:val="Title"/>
          <w:tag w:val=""/>
          <w:id w:val="-1975355689"/>
          <w:placeholder>
            <w:docPart w:val="AF20F8D721EB4E62B4AA7C08F7C38584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0017F">
            <w:t>Provisional agenda</w:t>
          </w:r>
        </w:sdtContent>
      </w:sdt>
    </w:p>
    <w:p w14:paraId="48641B94" w14:textId="1E28B71A" w:rsidR="00C2354A" w:rsidRDefault="00430EE7" w:rsidP="00EF50A9">
      <w:pPr>
        <w:pStyle w:val="Para1"/>
      </w:pPr>
      <w:r w:rsidRPr="00E1301F">
        <w:rPr>
          <w:lang w:val="en-GB"/>
        </w:rPr>
        <w:t>Opening of the meeting</w:t>
      </w:r>
      <w:r w:rsidR="00C2354A">
        <w:t>.</w:t>
      </w:r>
    </w:p>
    <w:p w14:paraId="4382DBC6" w14:textId="1C3C7BFE" w:rsidR="00D3059B" w:rsidRDefault="002B0A3E" w:rsidP="00EF50A9">
      <w:pPr>
        <w:pStyle w:val="Para1"/>
      </w:pPr>
      <w:r>
        <w:rPr>
          <w:lang w:val="en-GB"/>
        </w:rPr>
        <w:t>Organizational matters</w:t>
      </w:r>
      <w:r w:rsidR="00C2354A">
        <w:t>.</w:t>
      </w:r>
    </w:p>
    <w:p w14:paraId="4D9F0607" w14:textId="155B4B39" w:rsidR="00323F22" w:rsidRDefault="00B940EB" w:rsidP="00B864A4">
      <w:pPr>
        <w:pStyle w:val="Para1"/>
        <w:ind w:left="1134" w:hanging="567"/>
      </w:pPr>
      <w:r w:rsidRPr="00E1301F">
        <w:rPr>
          <w:lang w:val="en-GB"/>
        </w:rPr>
        <w:t>Report on the credentials o</w:t>
      </w:r>
      <w:r>
        <w:rPr>
          <w:lang w:val="en-GB"/>
        </w:rPr>
        <w:t>f representatives to the sixteenth</w:t>
      </w:r>
      <w:r w:rsidRPr="00E1301F">
        <w:rPr>
          <w:lang w:val="en-GB"/>
        </w:rPr>
        <w:t xml:space="preserve"> meeting of the Conference of the Parties</w:t>
      </w:r>
      <w:r w:rsidR="00323F22">
        <w:t>.</w:t>
      </w:r>
    </w:p>
    <w:p w14:paraId="68B7229E" w14:textId="38473980" w:rsidR="004701EE" w:rsidRDefault="00A02388" w:rsidP="00EF50A9">
      <w:pPr>
        <w:pStyle w:val="Para1"/>
      </w:pPr>
      <w:r>
        <w:t>Pending issues</w:t>
      </w:r>
      <w:r w:rsidR="00EF5F07">
        <w:t>.</w:t>
      </w:r>
    </w:p>
    <w:p w14:paraId="3A5373F5" w14:textId="4F529FDE" w:rsidR="002B559C" w:rsidRDefault="00A02388" w:rsidP="00EF50A9">
      <w:pPr>
        <w:pStyle w:val="Para1"/>
      </w:pPr>
      <w:r>
        <w:t>Date and venue of future meetings of the Conference of the Parties</w:t>
      </w:r>
      <w:r w:rsidR="00D71FFB">
        <w:t>.</w:t>
      </w:r>
    </w:p>
    <w:p w14:paraId="08E16ED7" w14:textId="23895267" w:rsidR="00CF70AB" w:rsidRPr="00CF70AB" w:rsidRDefault="00F06C87" w:rsidP="00EF50A9">
      <w:pPr>
        <w:pStyle w:val="Para1"/>
      </w:pPr>
      <w:r>
        <w:rPr>
          <w:lang w:val="en-GB"/>
        </w:rPr>
        <w:t>Reports of inter</w:t>
      </w:r>
      <w:r w:rsidRPr="00E1301F">
        <w:rPr>
          <w:lang w:val="en-GB"/>
        </w:rPr>
        <w:t>sessional and regional preparatory meetings</w:t>
      </w:r>
      <w:r w:rsidR="00CF70AB">
        <w:t>.</w:t>
      </w:r>
    </w:p>
    <w:p w14:paraId="1C753ADC" w14:textId="52B58A99" w:rsidR="00CF70AB" w:rsidRDefault="004E2907" w:rsidP="00EF50A9">
      <w:pPr>
        <w:pStyle w:val="Para1"/>
      </w:pPr>
      <w:r>
        <w:rPr>
          <w:lang w:val="en-GB"/>
        </w:rPr>
        <w:t>Administration of the Convention and budget for the trust funds</w:t>
      </w:r>
      <w:r w:rsidR="00AE1A95">
        <w:t>.</w:t>
      </w:r>
    </w:p>
    <w:p w14:paraId="533D94F2" w14:textId="7B32E4D6" w:rsidR="004E2907" w:rsidRDefault="008F74C5" w:rsidP="00B864A4">
      <w:pPr>
        <w:pStyle w:val="Para1"/>
        <w:ind w:left="1134" w:hanging="567"/>
      </w:pPr>
      <w:r>
        <w:rPr>
          <w:lang w:val="en-GB"/>
        </w:rPr>
        <w:t>P</w:t>
      </w:r>
      <w:r w:rsidRPr="00605135">
        <w:rPr>
          <w:lang w:val="en-GB"/>
        </w:rPr>
        <w:t>rogress</w:t>
      </w:r>
      <w:r>
        <w:rPr>
          <w:lang w:val="en-GB"/>
        </w:rPr>
        <w:t xml:space="preserve"> </w:t>
      </w:r>
      <w:r w:rsidRPr="00937A30">
        <w:rPr>
          <w:lang w:val="en-GB"/>
        </w:rPr>
        <w:t>on</w:t>
      </w:r>
      <w:r>
        <w:rPr>
          <w:lang w:val="en-GB"/>
        </w:rPr>
        <w:t xml:space="preserve"> the preparation of targets and updating of national biodiversity strategies and action plans by Parties in line with </w:t>
      </w:r>
      <w:r w:rsidRPr="00605135">
        <w:rPr>
          <w:lang w:val="en-GB"/>
        </w:rPr>
        <w:t xml:space="preserve">the </w:t>
      </w:r>
      <w:r>
        <w:rPr>
          <w:lang w:val="en-GB"/>
        </w:rPr>
        <w:t>Kunming-Montreal Global Biodiversity Framework</w:t>
      </w:r>
      <w:r w:rsidR="004E2907">
        <w:t>.</w:t>
      </w:r>
    </w:p>
    <w:p w14:paraId="21B53737" w14:textId="77777777" w:rsidR="007E23DE" w:rsidRPr="007E23DE" w:rsidRDefault="007E23DE" w:rsidP="00EF50A9">
      <w:pPr>
        <w:pStyle w:val="Para1"/>
      </w:pPr>
      <w:r>
        <w:rPr>
          <w:lang w:val="en-GB"/>
        </w:rPr>
        <w:t>Digital sequence information on genetic resources.</w:t>
      </w:r>
    </w:p>
    <w:p w14:paraId="371C485C" w14:textId="79ED5A7C" w:rsidR="008453A5" w:rsidRDefault="00041040" w:rsidP="00EF50A9">
      <w:pPr>
        <w:pStyle w:val="Para1"/>
      </w:pPr>
      <w:r>
        <w:rPr>
          <w:lang w:val="en-GB"/>
        </w:rPr>
        <w:t>Mechanisms for planning, monitoring, reporting and review</w:t>
      </w:r>
      <w:r w:rsidR="008453A5">
        <w:t>.</w:t>
      </w:r>
    </w:p>
    <w:p w14:paraId="432291C3" w14:textId="3E816326" w:rsidR="0016600B" w:rsidRPr="0016600B" w:rsidRDefault="0016600B" w:rsidP="00EF50A9">
      <w:pPr>
        <w:pStyle w:val="Para1"/>
      </w:pPr>
      <w:r>
        <w:rPr>
          <w:lang w:val="en-GB"/>
        </w:rPr>
        <w:t>Resource mobilization and f</w:t>
      </w:r>
      <w:r w:rsidRPr="00101D72">
        <w:rPr>
          <w:lang w:val="en-GB"/>
        </w:rPr>
        <w:t>inancial mechanism</w:t>
      </w:r>
      <w:r>
        <w:rPr>
          <w:lang w:val="en-GB"/>
        </w:rPr>
        <w:t>.</w:t>
      </w:r>
    </w:p>
    <w:p w14:paraId="49A3B192" w14:textId="04C56FB1" w:rsidR="009156EA" w:rsidRPr="00293A71" w:rsidRDefault="009156EA" w:rsidP="00B864A4">
      <w:pPr>
        <w:pStyle w:val="Para1"/>
        <w:ind w:left="1134" w:hanging="567"/>
      </w:pPr>
      <w:r>
        <w:rPr>
          <w:lang w:val="en-GB"/>
        </w:rPr>
        <w:t>Capacity-building and development, technical and scientific cooperation, clearing-house mechanism and knowledge management.</w:t>
      </w:r>
    </w:p>
    <w:p w14:paraId="7B154038" w14:textId="255A8656" w:rsidR="00293A71" w:rsidRPr="00293A71" w:rsidRDefault="00293A71" w:rsidP="00B864A4">
      <w:pPr>
        <w:pStyle w:val="Para1"/>
        <w:ind w:left="1134" w:hanging="567"/>
      </w:pPr>
      <w:r w:rsidRPr="00F173C8">
        <w:rPr>
          <w:kern w:val="22"/>
          <w:lang w:eastAsia="ko-KR"/>
        </w:rPr>
        <w:t>Cooperation with international organizations</w:t>
      </w:r>
      <w:r w:rsidR="002D360B">
        <w:rPr>
          <w:kern w:val="22"/>
          <w:lang w:eastAsia="ko-KR"/>
        </w:rPr>
        <w:t xml:space="preserve"> and bodies established under </w:t>
      </w:r>
      <w:r w:rsidR="002D360B" w:rsidRPr="00F173C8">
        <w:rPr>
          <w:kern w:val="22"/>
          <w:lang w:eastAsia="ko-KR"/>
        </w:rPr>
        <w:t>other conventions</w:t>
      </w:r>
      <w:r w:rsidRPr="00F173C8">
        <w:rPr>
          <w:kern w:val="22"/>
          <w:lang w:eastAsia="ko-KR"/>
        </w:rPr>
        <w:t>.</w:t>
      </w:r>
    </w:p>
    <w:p w14:paraId="7DDD7BF5" w14:textId="1CE04B17" w:rsidR="00041040" w:rsidRPr="00FC2884" w:rsidRDefault="002F2154" w:rsidP="00EF50A9">
      <w:pPr>
        <w:pStyle w:val="Para1"/>
      </w:pPr>
      <w:r>
        <w:rPr>
          <w:lang w:val="en-GB"/>
        </w:rPr>
        <w:t>Implementation of</w:t>
      </w:r>
      <w:r w:rsidR="00FC2884">
        <w:rPr>
          <w:lang w:val="en-GB"/>
        </w:rPr>
        <w:t xml:space="preserve"> Article 8(j) and related provisions.</w:t>
      </w:r>
    </w:p>
    <w:p w14:paraId="008C9432" w14:textId="695887AE" w:rsidR="00CE05F3" w:rsidRPr="005251B4" w:rsidRDefault="005251B4" w:rsidP="00EF50A9">
      <w:pPr>
        <w:pStyle w:val="Para1"/>
      </w:pPr>
      <w:r w:rsidRPr="00F173C8">
        <w:rPr>
          <w:lang w:val="en-GB"/>
        </w:rPr>
        <w:t>Communication</w:t>
      </w:r>
      <w:r w:rsidR="007B2C13">
        <w:rPr>
          <w:lang w:val="en-GB"/>
        </w:rPr>
        <w:t>, education and public awareness</w:t>
      </w:r>
      <w:r>
        <w:rPr>
          <w:lang w:val="en-GB"/>
        </w:rPr>
        <w:t>.</w:t>
      </w:r>
    </w:p>
    <w:p w14:paraId="6976EBF5" w14:textId="37614E22" w:rsidR="008E1343" w:rsidRPr="00525E54" w:rsidRDefault="00525E54" w:rsidP="00B864A4">
      <w:pPr>
        <w:pStyle w:val="Para1"/>
        <w:ind w:left="1134" w:hanging="567"/>
      </w:pPr>
      <w:r w:rsidRPr="00F173C8">
        <w:rPr>
          <w:lang w:val="en-GB"/>
        </w:rPr>
        <w:t>Scientific and technical needs to support the implementation of the Kunming-Montreal Global Biodiversity Framework, including implication</w:t>
      </w:r>
      <w:r w:rsidR="00E20E92">
        <w:rPr>
          <w:lang w:val="en-GB"/>
        </w:rPr>
        <w:t>s</w:t>
      </w:r>
      <w:r w:rsidRPr="00F173C8">
        <w:rPr>
          <w:lang w:val="en-GB"/>
        </w:rPr>
        <w:t xml:space="preserve"> </w:t>
      </w:r>
      <w:r w:rsidR="00E20E92">
        <w:rPr>
          <w:lang w:val="en-GB"/>
        </w:rPr>
        <w:t>for</w:t>
      </w:r>
      <w:r w:rsidRPr="00F173C8">
        <w:rPr>
          <w:lang w:val="en-GB"/>
        </w:rPr>
        <w:t xml:space="preserve"> the programmes of work of the Convention</w:t>
      </w:r>
      <w:r>
        <w:rPr>
          <w:lang w:val="en-GB"/>
        </w:rPr>
        <w:t>.</w:t>
      </w:r>
    </w:p>
    <w:p w14:paraId="57CA3F0E" w14:textId="77777777" w:rsidR="00AD3463" w:rsidRPr="00396504" w:rsidRDefault="00AD3463" w:rsidP="00AD3463">
      <w:pPr>
        <w:pStyle w:val="Para1"/>
      </w:pPr>
      <w:r w:rsidRPr="00F173C8">
        <w:rPr>
          <w:lang w:val="en-GB"/>
        </w:rPr>
        <w:t>Mainstreaming of biodiversity within and across sectors</w:t>
      </w:r>
      <w:r>
        <w:rPr>
          <w:lang w:val="en-GB"/>
        </w:rPr>
        <w:t>.</w:t>
      </w:r>
    </w:p>
    <w:p w14:paraId="7C15F50E" w14:textId="70B38214" w:rsidR="00E817D1" w:rsidRPr="0013448D" w:rsidRDefault="0013448D" w:rsidP="00EF50A9">
      <w:pPr>
        <w:pStyle w:val="Para1"/>
      </w:pPr>
      <w:r>
        <w:rPr>
          <w:lang w:val="en-GB"/>
        </w:rPr>
        <w:t>Diverse values of biodiversity</w:t>
      </w:r>
      <w:r w:rsidR="00E817D1">
        <w:rPr>
          <w:lang w:val="en-GB"/>
        </w:rPr>
        <w:t>.</w:t>
      </w:r>
    </w:p>
    <w:p w14:paraId="4EE7C29E" w14:textId="55C326CD" w:rsidR="0013448D" w:rsidRPr="00BD0D63" w:rsidRDefault="00BD0D63" w:rsidP="00EF50A9">
      <w:pPr>
        <w:pStyle w:val="Para1"/>
      </w:pPr>
      <w:r>
        <w:rPr>
          <w:lang w:val="en-GB"/>
        </w:rPr>
        <w:t>Sustainable wildlife management.</w:t>
      </w:r>
    </w:p>
    <w:p w14:paraId="15275E58" w14:textId="3AB475BE" w:rsidR="00BD0D63" w:rsidRPr="007C68B8" w:rsidRDefault="007C68B8" w:rsidP="00E817D1">
      <w:pPr>
        <w:pStyle w:val="Para1"/>
      </w:pPr>
      <w:r>
        <w:rPr>
          <w:lang w:val="en-GB"/>
        </w:rPr>
        <w:t>Marine and coastal biodiversity</w:t>
      </w:r>
      <w:r w:rsidR="0058285A">
        <w:rPr>
          <w:lang w:val="en-GB"/>
        </w:rPr>
        <w:t>, and island biodiversity</w:t>
      </w:r>
      <w:r>
        <w:rPr>
          <w:lang w:val="en-GB"/>
        </w:rPr>
        <w:t>.</w:t>
      </w:r>
    </w:p>
    <w:p w14:paraId="6A3C29A6" w14:textId="33AEEC0F" w:rsidR="007C68B8" w:rsidRPr="00C97556" w:rsidRDefault="00C97556" w:rsidP="00E817D1">
      <w:pPr>
        <w:pStyle w:val="Para1"/>
      </w:pPr>
      <w:r>
        <w:rPr>
          <w:lang w:val="en-GB"/>
        </w:rPr>
        <w:lastRenderedPageBreak/>
        <w:t>Invasive alien species.</w:t>
      </w:r>
    </w:p>
    <w:p w14:paraId="740C5EF7" w14:textId="53FF5F51" w:rsidR="00C97556" w:rsidRPr="00470FE6" w:rsidRDefault="00470FE6" w:rsidP="00E817D1">
      <w:pPr>
        <w:pStyle w:val="Para1"/>
      </w:pPr>
      <w:r>
        <w:rPr>
          <w:lang w:val="en-GB"/>
        </w:rPr>
        <w:t>Biodiversity and health.</w:t>
      </w:r>
    </w:p>
    <w:p w14:paraId="07352FAF" w14:textId="2AF3DC2D" w:rsidR="00470FE6" w:rsidRPr="00580DCA" w:rsidRDefault="00580DCA" w:rsidP="00E817D1">
      <w:pPr>
        <w:pStyle w:val="Para1"/>
      </w:pPr>
      <w:r>
        <w:rPr>
          <w:lang w:val="en-GB"/>
        </w:rPr>
        <w:t>Plant conservation.</w:t>
      </w:r>
    </w:p>
    <w:p w14:paraId="3FA9027E" w14:textId="039DBBA4" w:rsidR="00580DCA" w:rsidRPr="00D55730" w:rsidRDefault="00D55730" w:rsidP="00E817D1">
      <w:pPr>
        <w:pStyle w:val="Para1"/>
      </w:pPr>
      <w:r>
        <w:rPr>
          <w:lang w:val="en-GB"/>
        </w:rPr>
        <w:t>Synthetic biology.</w:t>
      </w:r>
    </w:p>
    <w:p w14:paraId="00C33307" w14:textId="1BF7592B" w:rsidR="00D55730" w:rsidRPr="00435247" w:rsidRDefault="00435247" w:rsidP="00E817D1">
      <w:pPr>
        <w:pStyle w:val="Para1"/>
      </w:pPr>
      <w:r>
        <w:rPr>
          <w:lang w:val="en-GB"/>
        </w:rPr>
        <w:t>Biodiversity and climate change.</w:t>
      </w:r>
    </w:p>
    <w:p w14:paraId="19EF2AF1" w14:textId="59DCC67E" w:rsidR="00396504" w:rsidRPr="00FD2587" w:rsidRDefault="00540001" w:rsidP="00E817D1">
      <w:pPr>
        <w:pStyle w:val="Para1"/>
      </w:pPr>
      <w:r>
        <w:rPr>
          <w:lang w:val="en-GB"/>
        </w:rPr>
        <w:t>Liability and redress (Article 14, paragraph 2).</w:t>
      </w:r>
    </w:p>
    <w:p w14:paraId="3AA2F2F1" w14:textId="6BB8FF45" w:rsidR="00AD3463" w:rsidRDefault="00AD3463" w:rsidP="00AD3463">
      <w:pPr>
        <w:pStyle w:val="Para1"/>
        <w:rPr>
          <w:lang w:val="en-GB"/>
        </w:rPr>
      </w:pPr>
      <w:r w:rsidRPr="00F173C8">
        <w:rPr>
          <w:lang w:val="en-GB"/>
        </w:rPr>
        <w:t>Review of the effectiveness of processes</w:t>
      </w:r>
      <w:r>
        <w:rPr>
          <w:lang w:val="en-GB"/>
        </w:rPr>
        <w:t xml:space="preserve"> under the Convention and its Protocols</w:t>
      </w:r>
      <w:r w:rsidR="002B7335">
        <w:rPr>
          <w:lang w:val="en-GB"/>
        </w:rPr>
        <w:t>.</w:t>
      </w:r>
    </w:p>
    <w:p w14:paraId="740995BA" w14:textId="0A2EA600" w:rsidR="00AD3463" w:rsidRPr="00FD1D73" w:rsidRDefault="00AD3463" w:rsidP="00AD3463">
      <w:pPr>
        <w:pStyle w:val="Para1"/>
        <w:rPr>
          <w:lang w:val="en-GB"/>
        </w:rPr>
      </w:pPr>
      <w:r w:rsidRPr="00FD1D73">
        <w:rPr>
          <w:lang w:val="en-GB"/>
        </w:rPr>
        <w:t>Multi-year programme of work of the Conference of the Parties.</w:t>
      </w:r>
    </w:p>
    <w:p w14:paraId="3C4BCDDD" w14:textId="2160AD3A" w:rsidR="00540001" w:rsidRPr="00977BA4" w:rsidRDefault="00977BA4" w:rsidP="00540001">
      <w:pPr>
        <w:pStyle w:val="Para1"/>
      </w:pPr>
      <w:r w:rsidRPr="000C69AA">
        <w:rPr>
          <w:lang w:val="en-GB"/>
        </w:rPr>
        <w:t>Other matters</w:t>
      </w:r>
      <w:r w:rsidR="00540001">
        <w:rPr>
          <w:lang w:val="en-GB"/>
        </w:rPr>
        <w:t>.</w:t>
      </w:r>
    </w:p>
    <w:p w14:paraId="322574FC" w14:textId="7A7AA06B" w:rsidR="00977BA4" w:rsidRPr="00DF7AB2" w:rsidRDefault="00DF7AB2" w:rsidP="00540001">
      <w:pPr>
        <w:pStyle w:val="Para1"/>
      </w:pPr>
      <w:r>
        <w:rPr>
          <w:lang w:val="en-GB"/>
        </w:rPr>
        <w:t>Adoption of the report.</w:t>
      </w:r>
    </w:p>
    <w:p w14:paraId="3CBC733B" w14:textId="783CF46D" w:rsidR="00E83C15" w:rsidRPr="007171F7" w:rsidRDefault="00AE5ACF" w:rsidP="00B864A4">
      <w:pPr>
        <w:pStyle w:val="Para1"/>
      </w:pPr>
      <w:r>
        <w:rPr>
          <w:lang w:val="en-GB"/>
        </w:rPr>
        <w:t>Closure of the meeting.</w:t>
      </w:r>
    </w:p>
    <w:p w14:paraId="508C5807" w14:textId="77777777" w:rsidR="002B559C" w:rsidRPr="004701EE" w:rsidRDefault="00ED3849" w:rsidP="005152FC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341026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BC10C5" w14:textId="77777777" w:rsidR="00E9479B" w:rsidRDefault="00E9479B" w:rsidP="00A96B21">
      <w:r>
        <w:separator/>
      </w:r>
    </w:p>
  </w:endnote>
  <w:endnote w:type="continuationSeparator" w:id="0">
    <w:p w14:paraId="4DFF1B57" w14:textId="77777777" w:rsidR="00E9479B" w:rsidRDefault="00E9479B" w:rsidP="00A96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22D7F65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A23CB1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Pr="002B559C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2E25E6" w14:textId="77777777" w:rsidR="00E9479B" w:rsidRDefault="00E9479B" w:rsidP="00A96B21">
      <w:r>
        <w:separator/>
      </w:r>
    </w:p>
  </w:footnote>
  <w:footnote w:type="continuationSeparator" w:id="0">
    <w:p w14:paraId="490C97CE" w14:textId="77777777" w:rsidR="00E9479B" w:rsidRDefault="00E9479B" w:rsidP="00A96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68AB4300" w14:textId="4E5006EE" w:rsidR="00A00234" w:rsidRDefault="00DB46BE" w:rsidP="00B864A4">
    <w:pPr>
      <w:pStyle w:val="Header"/>
      <w:spacing w:after="240"/>
    </w:pPr>
    <w:sdt>
      <w:sdtPr>
        <w:rPr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00234" w:rsidRPr="00A00234">
          <w:rPr>
            <w:szCs w:val="20"/>
            <w:lang w:val="fr-FR"/>
          </w:rPr>
          <w:t>CBD</w:t>
        </w:r>
        <w:r w:rsidR="00A00234">
          <w:rPr>
            <w:szCs w:val="20"/>
            <w:lang w:val="fr-FR"/>
          </w:rPr>
          <w:t>/</w:t>
        </w:r>
        <w:r w:rsidR="00A00234" w:rsidRPr="00A00234">
          <w:rPr>
            <w:szCs w:val="20"/>
            <w:lang w:val="fr-FR"/>
          </w:rPr>
          <w:t>COP/16/</w:t>
        </w:r>
        <w:r w:rsidR="005E2B85">
          <w:rPr>
            <w:szCs w:val="20"/>
            <w:lang w:val="fr-FR"/>
          </w:rPr>
          <w:t>1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449EAC6" w14:textId="11370770" w:rsidR="002B559C" w:rsidRPr="002B559C" w:rsidRDefault="005E2B85" w:rsidP="002B559C">
        <w:pPr>
          <w:pStyle w:val="Header"/>
          <w:spacing w:after="240"/>
          <w:jc w:val="right"/>
          <w:rPr>
            <w:szCs w:val="20"/>
            <w:lang w:val="fr-FR"/>
          </w:rPr>
        </w:pPr>
        <w:r>
          <w:rPr>
            <w:szCs w:val="20"/>
            <w:lang w:val="fr-FR"/>
          </w:rPr>
          <w:t>CBD/COP/16/1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053E7C0E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863C261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96C47404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16C6F6D4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4"/>
  </w:num>
  <w:num w:numId="2" w16cid:durableId="2069499237">
    <w:abstractNumId w:val="12"/>
  </w:num>
  <w:num w:numId="3" w16cid:durableId="158270868">
    <w:abstractNumId w:val="15"/>
  </w:num>
  <w:num w:numId="4" w16cid:durableId="159275565">
    <w:abstractNumId w:val="0"/>
  </w:num>
  <w:num w:numId="5" w16cid:durableId="271714945">
    <w:abstractNumId w:val="1"/>
  </w:num>
  <w:num w:numId="6" w16cid:durableId="1351487209">
    <w:abstractNumId w:val="1"/>
  </w:num>
  <w:num w:numId="7" w16cid:durableId="1612737127">
    <w:abstractNumId w:val="3"/>
  </w:num>
  <w:num w:numId="8" w16cid:durableId="1334139419">
    <w:abstractNumId w:val="7"/>
  </w:num>
  <w:num w:numId="9" w16cid:durableId="935023265">
    <w:abstractNumId w:val="11"/>
  </w:num>
  <w:num w:numId="10" w16cid:durableId="268247158">
    <w:abstractNumId w:val="10"/>
  </w:num>
  <w:num w:numId="11" w16cid:durableId="143207059">
    <w:abstractNumId w:val="6"/>
  </w:num>
  <w:num w:numId="12" w16cid:durableId="445121453">
    <w:abstractNumId w:val="2"/>
  </w:num>
  <w:num w:numId="13" w16cid:durableId="1263953771">
    <w:abstractNumId w:val="2"/>
    <w:lvlOverride w:ilvl="0">
      <w:startOverride w:val="1"/>
    </w:lvlOverride>
  </w:num>
  <w:num w:numId="14" w16cid:durableId="199586161">
    <w:abstractNumId w:val="9"/>
  </w:num>
  <w:num w:numId="15" w16cid:durableId="584072443">
    <w:abstractNumId w:val="9"/>
    <w:lvlOverride w:ilvl="0">
      <w:startOverride w:val="1"/>
    </w:lvlOverride>
  </w:num>
  <w:num w:numId="16" w16cid:durableId="1638680439">
    <w:abstractNumId w:val="12"/>
    <w:lvlOverride w:ilvl="0">
      <w:startOverride w:val="1"/>
    </w:lvlOverride>
  </w:num>
  <w:num w:numId="17" w16cid:durableId="1376001245">
    <w:abstractNumId w:val="9"/>
    <w:lvlOverride w:ilvl="0">
      <w:startOverride w:val="1"/>
    </w:lvlOverride>
  </w:num>
  <w:num w:numId="18" w16cid:durableId="1480611021">
    <w:abstractNumId w:val="16"/>
  </w:num>
  <w:num w:numId="19" w16cid:durableId="1967006738">
    <w:abstractNumId w:val="12"/>
    <w:lvlOverride w:ilvl="0">
      <w:startOverride w:val="1"/>
    </w:lvlOverride>
  </w:num>
  <w:num w:numId="20" w16cid:durableId="323556548">
    <w:abstractNumId w:val="12"/>
    <w:lvlOverride w:ilvl="0">
      <w:startOverride w:val="1"/>
    </w:lvlOverride>
  </w:num>
  <w:num w:numId="21" w16cid:durableId="1474566019">
    <w:abstractNumId w:val="8"/>
  </w:num>
  <w:num w:numId="22" w16cid:durableId="1143544047">
    <w:abstractNumId w:val="5"/>
  </w:num>
  <w:num w:numId="23" w16cid:durableId="359360351">
    <w:abstractNumId w:val="13"/>
  </w:num>
  <w:num w:numId="24" w16cid:durableId="1434134374">
    <w:abstractNumId w:val="13"/>
  </w:num>
  <w:num w:numId="25" w16cid:durableId="869294322">
    <w:abstractNumId w:val="13"/>
  </w:num>
  <w:num w:numId="26" w16cid:durableId="1983072953">
    <w:abstractNumId w:val="13"/>
  </w:num>
  <w:num w:numId="27" w16cid:durableId="1317608701">
    <w:abstractNumId w:val="13"/>
  </w:num>
  <w:num w:numId="28" w16cid:durableId="1577325285">
    <w:abstractNumId w:val="13"/>
  </w:num>
  <w:num w:numId="29" w16cid:durableId="123164165">
    <w:abstractNumId w:val="14"/>
  </w:num>
  <w:num w:numId="30" w16cid:durableId="1031959206">
    <w:abstractNumId w:val="14"/>
  </w:num>
  <w:num w:numId="31" w16cid:durableId="174345429">
    <w:abstractNumId w:val="14"/>
  </w:num>
  <w:num w:numId="32" w16cid:durableId="11093573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17F"/>
    <w:rsid w:val="000104DF"/>
    <w:rsid w:val="00024EC1"/>
    <w:rsid w:val="00040598"/>
    <w:rsid w:val="00041040"/>
    <w:rsid w:val="00041E6C"/>
    <w:rsid w:val="00063386"/>
    <w:rsid w:val="00066E7C"/>
    <w:rsid w:val="000A0922"/>
    <w:rsid w:val="000B6E11"/>
    <w:rsid w:val="00132581"/>
    <w:rsid w:val="0013448D"/>
    <w:rsid w:val="00157526"/>
    <w:rsid w:val="0016600B"/>
    <w:rsid w:val="00184909"/>
    <w:rsid w:val="001D7501"/>
    <w:rsid w:val="00251B4E"/>
    <w:rsid w:val="00293A71"/>
    <w:rsid w:val="002B00CA"/>
    <w:rsid w:val="002B0A3E"/>
    <w:rsid w:val="002B559C"/>
    <w:rsid w:val="002B7335"/>
    <w:rsid w:val="002D1606"/>
    <w:rsid w:val="002D360B"/>
    <w:rsid w:val="002E0EB6"/>
    <w:rsid w:val="002F1C60"/>
    <w:rsid w:val="002F2154"/>
    <w:rsid w:val="00310608"/>
    <w:rsid w:val="00323F22"/>
    <w:rsid w:val="00332F62"/>
    <w:rsid w:val="00334413"/>
    <w:rsid w:val="00341026"/>
    <w:rsid w:val="00346B03"/>
    <w:rsid w:val="003476A9"/>
    <w:rsid w:val="00374A7D"/>
    <w:rsid w:val="00396504"/>
    <w:rsid w:val="003C6F10"/>
    <w:rsid w:val="0040017F"/>
    <w:rsid w:val="0041155B"/>
    <w:rsid w:val="00411E75"/>
    <w:rsid w:val="00430EE7"/>
    <w:rsid w:val="00435247"/>
    <w:rsid w:val="00436541"/>
    <w:rsid w:val="004379A0"/>
    <w:rsid w:val="00441498"/>
    <w:rsid w:val="00452DEE"/>
    <w:rsid w:val="004701EE"/>
    <w:rsid w:val="00470FE6"/>
    <w:rsid w:val="0047763B"/>
    <w:rsid w:val="00480A8D"/>
    <w:rsid w:val="004A2A2D"/>
    <w:rsid w:val="004C6BFC"/>
    <w:rsid w:val="004E2907"/>
    <w:rsid w:val="004F7087"/>
    <w:rsid w:val="005152FC"/>
    <w:rsid w:val="0051733C"/>
    <w:rsid w:val="005251B4"/>
    <w:rsid w:val="00525E54"/>
    <w:rsid w:val="00537248"/>
    <w:rsid w:val="00540001"/>
    <w:rsid w:val="005511BF"/>
    <w:rsid w:val="005742A0"/>
    <w:rsid w:val="00580DCA"/>
    <w:rsid w:val="0058285A"/>
    <w:rsid w:val="00595A79"/>
    <w:rsid w:val="005A0202"/>
    <w:rsid w:val="005A206E"/>
    <w:rsid w:val="005C0058"/>
    <w:rsid w:val="005E2605"/>
    <w:rsid w:val="005E2B85"/>
    <w:rsid w:val="006169E9"/>
    <w:rsid w:val="006312A1"/>
    <w:rsid w:val="00657ED6"/>
    <w:rsid w:val="006667BC"/>
    <w:rsid w:val="00697D62"/>
    <w:rsid w:val="006A1B60"/>
    <w:rsid w:val="006A56F7"/>
    <w:rsid w:val="006B293D"/>
    <w:rsid w:val="007171F7"/>
    <w:rsid w:val="0074131B"/>
    <w:rsid w:val="00747718"/>
    <w:rsid w:val="0075018F"/>
    <w:rsid w:val="0076622F"/>
    <w:rsid w:val="00780DBC"/>
    <w:rsid w:val="00791575"/>
    <w:rsid w:val="007B2C13"/>
    <w:rsid w:val="007C68B8"/>
    <w:rsid w:val="007C77BC"/>
    <w:rsid w:val="007E23DE"/>
    <w:rsid w:val="007E62EA"/>
    <w:rsid w:val="008047BA"/>
    <w:rsid w:val="008453A5"/>
    <w:rsid w:val="0085321E"/>
    <w:rsid w:val="00853D26"/>
    <w:rsid w:val="00863F78"/>
    <w:rsid w:val="00874541"/>
    <w:rsid w:val="008A5137"/>
    <w:rsid w:val="008D68CC"/>
    <w:rsid w:val="008E0581"/>
    <w:rsid w:val="008E1343"/>
    <w:rsid w:val="008E5B79"/>
    <w:rsid w:val="008F74C5"/>
    <w:rsid w:val="009156EA"/>
    <w:rsid w:val="009253F0"/>
    <w:rsid w:val="00935461"/>
    <w:rsid w:val="00937A30"/>
    <w:rsid w:val="009459E3"/>
    <w:rsid w:val="00961FB0"/>
    <w:rsid w:val="00977BA4"/>
    <w:rsid w:val="0098219F"/>
    <w:rsid w:val="009850FE"/>
    <w:rsid w:val="00995DDC"/>
    <w:rsid w:val="00996E32"/>
    <w:rsid w:val="009A1BAB"/>
    <w:rsid w:val="009C1114"/>
    <w:rsid w:val="009D335C"/>
    <w:rsid w:val="009D7310"/>
    <w:rsid w:val="00A00234"/>
    <w:rsid w:val="00A01281"/>
    <w:rsid w:val="00A02388"/>
    <w:rsid w:val="00A30360"/>
    <w:rsid w:val="00A54FA0"/>
    <w:rsid w:val="00A869AB"/>
    <w:rsid w:val="00A96B21"/>
    <w:rsid w:val="00AD3463"/>
    <w:rsid w:val="00AD7E2F"/>
    <w:rsid w:val="00AE1A95"/>
    <w:rsid w:val="00AE5ACF"/>
    <w:rsid w:val="00B01052"/>
    <w:rsid w:val="00B107E6"/>
    <w:rsid w:val="00B15612"/>
    <w:rsid w:val="00B36EA9"/>
    <w:rsid w:val="00B47684"/>
    <w:rsid w:val="00B47BB1"/>
    <w:rsid w:val="00B566EF"/>
    <w:rsid w:val="00B81FC5"/>
    <w:rsid w:val="00B864A4"/>
    <w:rsid w:val="00B940EB"/>
    <w:rsid w:val="00BC4BBE"/>
    <w:rsid w:val="00BD0D63"/>
    <w:rsid w:val="00BD3FED"/>
    <w:rsid w:val="00BF1B79"/>
    <w:rsid w:val="00BF47C8"/>
    <w:rsid w:val="00C046B9"/>
    <w:rsid w:val="00C2354A"/>
    <w:rsid w:val="00C44464"/>
    <w:rsid w:val="00C97556"/>
    <w:rsid w:val="00CA738D"/>
    <w:rsid w:val="00CE05F3"/>
    <w:rsid w:val="00CF70AB"/>
    <w:rsid w:val="00D3059B"/>
    <w:rsid w:val="00D3066D"/>
    <w:rsid w:val="00D37044"/>
    <w:rsid w:val="00D55730"/>
    <w:rsid w:val="00D60046"/>
    <w:rsid w:val="00D64A59"/>
    <w:rsid w:val="00D71FFB"/>
    <w:rsid w:val="00D72DFC"/>
    <w:rsid w:val="00DB262B"/>
    <w:rsid w:val="00DB46BE"/>
    <w:rsid w:val="00DB6931"/>
    <w:rsid w:val="00DD1F79"/>
    <w:rsid w:val="00DE2A07"/>
    <w:rsid w:val="00DF7AB2"/>
    <w:rsid w:val="00E1597C"/>
    <w:rsid w:val="00E20E92"/>
    <w:rsid w:val="00E63AE4"/>
    <w:rsid w:val="00E63BF4"/>
    <w:rsid w:val="00E74A49"/>
    <w:rsid w:val="00E817D1"/>
    <w:rsid w:val="00E83C15"/>
    <w:rsid w:val="00E939E0"/>
    <w:rsid w:val="00E9479B"/>
    <w:rsid w:val="00EB1243"/>
    <w:rsid w:val="00ED3849"/>
    <w:rsid w:val="00EF50A9"/>
    <w:rsid w:val="00EF5F07"/>
    <w:rsid w:val="00EF76BC"/>
    <w:rsid w:val="00F06C87"/>
    <w:rsid w:val="00F16350"/>
    <w:rsid w:val="00F258FB"/>
    <w:rsid w:val="00F75F90"/>
    <w:rsid w:val="00FA18C9"/>
    <w:rsid w:val="00FA5A9E"/>
    <w:rsid w:val="00FC0F20"/>
    <w:rsid w:val="00FC2884"/>
    <w:rsid w:val="00FD1D73"/>
    <w:rsid w:val="00FD2587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177D25"/>
  <w15:chartTrackingRefBased/>
  <w15:docId w15:val="{B3869C89-C45A-4CFB-A413-08F542AE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20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FC0F20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FC0F20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FC0F20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FC0F20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FC0F20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FC0F20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FC0F20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FC0F20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FC0F20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FC0F20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C0F20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C0F20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0F20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0F20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F20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FC0F20"/>
    <w:rPr>
      <w:vertAlign w:val="superscript"/>
    </w:rPr>
  </w:style>
  <w:style w:type="paragraph" w:customStyle="1" w:styleId="Footnote">
    <w:name w:val="Footnote"/>
    <w:basedOn w:val="FootnoteText"/>
    <w:qFormat/>
    <w:rsid w:val="00FC0F20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FC0F20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FC0F20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FC0F20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FC0F20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FC0F20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C0F20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FC0F20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FC0F20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C0F20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C0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0F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0F20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F20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EF76BC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EDistrNormal">
    <w:name w:val="AE_DistrNormal"/>
    <w:basedOn w:val="Normal"/>
    <w:unhideWhenUsed/>
    <w:rsid w:val="00FC0F20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FC0F20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FC0F20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FC0F20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FC0F20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FC0F20"/>
    <w:pPr>
      <w:spacing w:before="120"/>
    </w:pPr>
  </w:style>
  <w:style w:type="paragraph" w:customStyle="1" w:styleId="AENormal">
    <w:name w:val="AE_Normal"/>
    <w:basedOn w:val="Normal"/>
    <w:rsid w:val="00FC0F20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FC0F20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FC0F20"/>
    <w:rPr>
      <w:b/>
    </w:rPr>
  </w:style>
  <w:style w:type="paragraph" w:customStyle="1" w:styleId="AISpacer">
    <w:name w:val="AI_Spacer"/>
    <w:next w:val="Normal"/>
    <w:unhideWhenUsed/>
    <w:qFormat/>
    <w:rsid w:val="00FC0F20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FC0F20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FC0F2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FC0F20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FC0F20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FC0F20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FC0F20"/>
    <w:rPr>
      <w:sz w:val="20"/>
    </w:rPr>
  </w:style>
  <w:style w:type="paragraph" w:customStyle="1" w:styleId="CBDFootnoteText">
    <w:name w:val="CBD_Footnote_Text"/>
    <w:basedOn w:val="CBDNormal"/>
    <w:qFormat/>
    <w:rsid w:val="00FC0F20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FC0F20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FC0F20"/>
    <w:pPr>
      <w:numPr>
        <w:numId w:val="22"/>
      </w:numPr>
      <w:tabs>
        <w:tab w:val="left" w:pos="3969"/>
      </w:tabs>
      <w:spacing w:after="120"/>
      <w:jc w:val="left"/>
    </w:pPr>
    <w:rPr>
      <w:lang w:val="en-GB"/>
    </w:rPr>
  </w:style>
  <w:style w:type="paragraph" w:customStyle="1" w:styleId="CBDH2">
    <w:name w:val="CBD_H2"/>
    <w:basedOn w:val="CBDNormalNumber"/>
    <w:qFormat/>
    <w:rsid w:val="00FC0F20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FC0F20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FC0F20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FC0F20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FC0F20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FC0F20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FC0F20"/>
    <w:pPr>
      <w:spacing w:after="120"/>
    </w:pPr>
  </w:style>
  <w:style w:type="paragraph" w:customStyle="1" w:styleId="CBDSubTitle">
    <w:name w:val="CBD_SubTitle"/>
    <w:basedOn w:val="CBDNormal"/>
    <w:qFormat/>
    <w:rsid w:val="00FC0F20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FC0F20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FC0F20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FC0F20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FC0F20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FC0F20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FC0F20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FC0F20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FC0F20"/>
    <w:pPr>
      <w:contextualSpacing/>
    </w:pPr>
  </w:style>
  <w:style w:type="paragraph" w:styleId="ListParagraph">
    <w:name w:val="List Paragraph"/>
    <w:basedOn w:val="Normal"/>
    <w:uiPriority w:val="34"/>
    <w:qFormat/>
    <w:rsid w:val="00FC0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Download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F20F8D721EB4E62B4AA7C08F7C38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7C858-C743-424E-BA0C-E22DADFAC492}"/>
      </w:docPartPr>
      <w:docPartBody>
        <w:p w:rsidR="00B3074D" w:rsidRDefault="008A75E8">
          <w:pPr>
            <w:pStyle w:val="AF20F8D721EB4E62B4AA7C08F7C38584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59"/>
    <w:rsid w:val="001C7CAB"/>
    <w:rsid w:val="00286BA7"/>
    <w:rsid w:val="00334413"/>
    <w:rsid w:val="0041155B"/>
    <w:rsid w:val="00436541"/>
    <w:rsid w:val="004C6BFC"/>
    <w:rsid w:val="004F7087"/>
    <w:rsid w:val="00656392"/>
    <w:rsid w:val="007E62EA"/>
    <w:rsid w:val="0085321E"/>
    <w:rsid w:val="008A75E8"/>
    <w:rsid w:val="009D7310"/>
    <w:rsid w:val="00A01281"/>
    <w:rsid w:val="00A5281D"/>
    <w:rsid w:val="00B01052"/>
    <w:rsid w:val="00B3074D"/>
    <w:rsid w:val="00BC4BBE"/>
    <w:rsid w:val="00BF33D8"/>
    <w:rsid w:val="00D05236"/>
    <w:rsid w:val="00DB262B"/>
    <w:rsid w:val="00DB6931"/>
    <w:rsid w:val="00E63BF4"/>
    <w:rsid w:val="00ED3059"/>
    <w:rsid w:val="00E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F20F8D721EB4E62B4AA7C08F7C38584">
    <w:name w:val="AF20F8D721EB4E62B4AA7C08F7C385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template-cop-16-en.dotm</Template>
  <TotalTime>1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CBD/COP/16/1</dc:subject>
  <dc:creator>Secretariat of the Convention on Biological Diversity</dc:creator>
  <cp:keywords>Conference of the Parties to the Convention on Biological Diversity</cp:keywords>
  <dc:description/>
  <cp:lastModifiedBy>Veronique Lefebvre</cp:lastModifiedBy>
  <cp:revision>4</cp:revision>
  <cp:lastPrinted>2024-05-15T14:57:00Z</cp:lastPrinted>
  <dcterms:created xsi:type="dcterms:W3CDTF">2024-07-02T16:24:00Z</dcterms:created>
  <dcterms:modified xsi:type="dcterms:W3CDTF">2024-08-30T21:36:00Z</dcterms:modified>
</cp:coreProperties>
</file>