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8DF5306" w14:textId="77777777" w:rsidTr="008A1499">
        <w:trPr>
          <w:trHeight w:val="850"/>
        </w:trPr>
        <w:tc>
          <w:tcPr>
            <w:tcW w:w="975" w:type="dxa"/>
            <w:vAlign w:val="bottom"/>
          </w:tcPr>
          <w:p w14:paraId="3FD2EB06" w14:textId="77777777" w:rsidR="008A1499" w:rsidRPr="003F1A75" w:rsidRDefault="008A1499" w:rsidP="008A1499">
            <w:pPr>
              <w:pStyle w:val="AASmallLogo"/>
            </w:pPr>
            <w:r w:rsidRPr="003F1A75">
              <w:rPr>
                <w:noProof/>
              </w:rPr>
              <w:drawing>
                <wp:inline distT="0" distB="0" distL="0" distR="0" wp14:anchorId="389F3A60" wp14:editId="46D084B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198F15BB" w14:textId="77777777" w:rsidR="008A1499" w:rsidRPr="003F1A75" w:rsidRDefault="008A1499" w:rsidP="008A1499">
            <w:pPr>
              <w:pStyle w:val="AASmallLogo"/>
            </w:pPr>
          </w:p>
        </w:tc>
        <w:tc>
          <w:tcPr>
            <w:tcW w:w="1434" w:type="dxa"/>
            <w:noWrap/>
            <w:vAlign w:val="bottom"/>
          </w:tcPr>
          <w:p w14:paraId="21416487" w14:textId="77777777" w:rsidR="008A1499" w:rsidRPr="003F1A75" w:rsidRDefault="008A1499" w:rsidP="008A1499">
            <w:pPr>
              <w:pStyle w:val="AASmallLogo"/>
            </w:pPr>
            <w:r w:rsidRPr="003F1A75">
              <w:rPr>
                <w:noProof/>
              </w:rPr>
              <w:drawing>
                <wp:inline distT="0" distB="0" distL="0" distR="0" wp14:anchorId="3BDF0E7E" wp14:editId="094CB302">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64BA4E5B" w14:textId="77777777" w:rsidR="008A1499" w:rsidRPr="003F1A75" w:rsidRDefault="008A1499" w:rsidP="008A1499">
            <w:pPr>
              <w:pStyle w:val="AASmallLogo"/>
            </w:pPr>
          </w:p>
        </w:tc>
        <w:tc>
          <w:tcPr>
            <w:tcW w:w="8073" w:type="dxa"/>
            <w:vAlign w:val="bottom"/>
          </w:tcPr>
          <w:p w14:paraId="5A5CE58E" w14:textId="31EDADDD" w:rsidR="008A1499" w:rsidRPr="003F1A75" w:rsidRDefault="008A1499" w:rsidP="003F1A75">
            <w:pPr>
              <w:pStyle w:val="ABSymbol"/>
            </w:pPr>
            <w:r w:rsidRPr="003F1A75">
              <w:rPr>
                <w:sz w:val="40"/>
              </w:rPr>
              <w:t>CBD</w:t>
            </w:r>
            <w:r w:rsidRPr="003F1A75">
              <w:t>/</w:t>
            </w:r>
            <w:r w:rsidR="006C1971">
              <w:t>NP</w:t>
            </w:r>
            <w:r w:rsidRPr="003F1A75">
              <w:t>/</w:t>
            </w:r>
            <w:r w:rsidR="006C1971">
              <w:t>CC/5/4</w:t>
            </w:r>
          </w:p>
        </w:tc>
      </w:tr>
    </w:tbl>
    <w:p w14:paraId="6A80F03C"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DD8A13B" w14:textId="77777777" w:rsidTr="008A1499">
        <w:trPr>
          <w:trHeight w:val="1814"/>
        </w:trPr>
        <w:tc>
          <w:tcPr>
            <w:tcW w:w="7370" w:type="dxa"/>
          </w:tcPr>
          <w:p w14:paraId="6F8D0C94" w14:textId="77777777" w:rsidR="008A1499" w:rsidRPr="003F1A75" w:rsidRDefault="008A1499" w:rsidP="008A1499">
            <w:pPr>
              <w:pStyle w:val="ACLargeLogo"/>
            </w:pPr>
            <w:r w:rsidRPr="003F1A75">
              <w:rPr>
                <w:noProof/>
              </w:rPr>
              <w:drawing>
                <wp:inline distT="0" distB="0" distL="0" distR="0" wp14:anchorId="7D6D9707" wp14:editId="10FCE2DD">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1128815B" w14:textId="77777777" w:rsidR="008A1499" w:rsidRPr="003F1A75" w:rsidRDefault="008A1499" w:rsidP="008A1499">
            <w:pPr>
              <w:pStyle w:val="ACLargeLogo"/>
            </w:pPr>
          </w:p>
        </w:tc>
        <w:tc>
          <w:tcPr>
            <w:tcW w:w="3112" w:type="dxa"/>
          </w:tcPr>
          <w:p w14:paraId="59F72FA3" w14:textId="77777777" w:rsidR="008A1499" w:rsidRPr="003F1A75" w:rsidRDefault="008A1499" w:rsidP="008A1499">
            <w:pPr>
              <w:pStyle w:val="AEDistrNormal"/>
            </w:pPr>
            <w:r w:rsidRPr="003F1A75">
              <w:t xml:space="preserve">Distr.: General </w:t>
            </w:r>
          </w:p>
          <w:p w14:paraId="7AEB672A" w14:textId="1303ECC8" w:rsidR="008A1499" w:rsidRPr="003F1A75" w:rsidRDefault="00565B35" w:rsidP="008A1499">
            <w:pPr>
              <w:pStyle w:val="AEDistrNormal"/>
            </w:pPr>
            <w:r>
              <w:t>4 May</w:t>
            </w:r>
            <w:r w:rsidR="006C1971">
              <w:t xml:space="preserve"> 2026</w:t>
            </w:r>
          </w:p>
          <w:p w14:paraId="33E1A620" w14:textId="0DE2B17A" w:rsidR="008A1499" w:rsidRPr="003F1A75" w:rsidRDefault="008A1499" w:rsidP="008A1499">
            <w:pPr>
              <w:pStyle w:val="AEDistrNormal6pt"/>
            </w:pPr>
            <w:r w:rsidRPr="003F1A75">
              <w:t xml:space="preserve">English </w:t>
            </w:r>
            <w:r w:rsidR="00E75E12">
              <w:t>only</w:t>
            </w:r>
          </w:p>
          <w:p w14:paraId="72AEFACE" w14:textId="77777777" w:rsidR="008A1499" w:rsidRPr="003F1A75" w:rsidRDefault="008A1499" w:rsidP="008A1499">
            <w:pPr>
              <w:pStyle w:val="AEDistrNormal6pt"/>
            </w:pPr>
          </w:p>
        </w:tc>
      </w:tr>
    </w:tbl>
    <w:p w14:paraId="3AAE1998"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B40214C" w14:textId="77777777" w:rsidTr="008A1499">
        <w:trPr>
          <w:trHeight w:val="57"/>
        </w:trPr>
        <w:tc>
          <w:tcPr>
            <w:tcW w:w="6094" w:type="dxa"/>
          </w:tcPr>
          <w:p w14:paraId="4418A8CC" w14:textId="396FD8CD" w:rsidR="008A1499" w:rsidRPr="003F1A75" w:rsidRDefault="006C1971" w:rsidP="008A1499">
            <w:pPr>
              <w:pStyle w:val="AFCorN12Bold"/>
            </w:pPr>
            <w:r>
              <w:t xml:space="preserve">Compliance Committee under the </w:t>
            </w:r>
            <w:r w:rsidR="0076591B">
              <w:br/>
            </w:r>
            <w:r>
              <w:t>Nagoya Protocol on Access and Benefit-sharing</w:t>
            </w:r>
            <w:r w:rsidR="008A1499" w:rsidRPr="003F1A75">
              <w:t xml:space="preserve"> </w:t>
            </w:r>
          </w:p>
          <w:p w14:paraId="01106604" w14:textId="5FD75D1C" w:rsidR="008A1499" w:rsidRPr="003F1A75" w:rsidRDefault="0076591B" w:rsidP="008A1499">
            <w:pPr>
              <w:pStyle w:val="AFCorNBold"/>
            </w:pPr>
            <w:r>
              <w:t>Fifth</w:t>
            </w:r>
            <w:r w:rsidRPr="003F1A75">
              <w:t xml:space="preserve"> </w:t>
            </w:r>
            <w:r w:rsidR="008A1499" w:rsidRPr="003F1A75">
              <w:t xml:space="preserve">meeting </w:t>
            </w:r>
          </w:p>
          <w:p w14:paraId="6D265B00" w14:textId="67A195A3" w:rsidR="008A1499" w:rsidRPr="003F1A75" w:rsidRDefault="006C1971" w:rsidP="008A1499">
            <w:pPr>
              <w:pStyle w:val="AFCorNNormal"/>
            </w:pPr>
            <w:r>
              <w:t>Montreal</w:t>
            </w:r>
            <w:r w:rsidR="008A1499" w:rsidRPr="003F1A75">
              <w:t>,</w:t>
            </w:r>
            <w:r>
              <w:t xml:space="preserve"> Canada</w:t>
            </w:r>
            <w:r w:rsidR="008F4A51">
              <w:t>,</w:t>
            </w:r>
            <w:r w:rsidR="008A1499" w:rsidRPr="003F1A75">
              <w:t xml:space="preserve"> </w:t>
            </w:r>
            <w:r>
              <w:t>27</w:t>
            </w:r>
            <w:r w:rsidR="008A1499" w:rsidRPr="003F1A75">
              <w:rPr>
                <w:snapToGrid w:val="0"/>
                <w:kern w:val="22"/>
              </w:rPr>
              <w:t>–</w:t>
            </w:r>
            <w:r>
              <w:rPr>
                <w:snapToGrid w:val="0"/>
                <w:kern w:val="22"/>
              </w:rPr>
              <w:t>29</w:t>
            </w:r>
            <w:r w:rsidR="008A1499" w:rsidRPr="003F1A75">
              <w:rPr>
                <w:snapToGrid w:val="0"/>
                <w:kern w:val="22"/>
              </w:rPr>
              <w:t xml:space="preserve"> </w:t>
            </w:r>
            <w:r>
              <w:rPr>
                <w:snapToGrid w:val="0"/>
                <w:kern w:val="22"/>
              </w:rPr>
              <w:t>May</w:t>
            </w:r>
            <w:r w:rsidR="008A1499" w:rsidRPr="003F1A75">
              <w:rPr>
                <w:snapToGrid w:val="0"/>
                <w:kern w:val="22"/>
              </w:rPr>
              <w:t xml:space="preserve"> </w:t>
            </w:r>
            <w:r>
              <w:rPr>
                <w:snapToGrid w:val="0"/>
                <w:kern w:val="22"/>
              </w:rPr>
              <w:t>2026</w:t>
            </w:r>
          </w:p>
          <w:p w14:paraId="737E0E00" w14:textId="42B101FC" w:rsidR="008A1499" w:rsidRPr="003F1A75" w:rsidRDefault="008A1499" w:rsidP="008A1499">
            <w:pPr>
              <w:pStyle w:val="AFCorNNormal"/>
            </w:pPr>
            <w:r w:rsidRPr="003F1A75">
              <w:t xml:space="preserve">Item </w:t>
            </w:r>
            <w:r w:rsidR="006C1971">
              <w:t>5</w:t>
            </w:r>
            <w:r w:rsidRPr="003F1A75">
              <w:t xml:space="preserve"> of the provisional agenda</w:t>
            </w:r>
            <w:r w:rsidRPr="003F1A75">
              <w:rPr>
                <w:rStyle w:val="FootnoteReference"/>
              </w:rPr>
              <w:footnoteReference w:customMarkFollows="1" w:id="1"/>
              <w:t>*</w:t>
            </w:r>
            <w:r w:rsidRPr="003F1A75">
              <w:t xml:space="preserve"> </w:t>
            </w:r>
          </w:p>
          <w:p w14:paraId="45EC1D3F" w14:textId="641BE3B2" w:rsidR="008A1499" w:rsidRPr="003F1A75" w:rsidRDefault="006C1971" w:rsidP="008A1499">
            <w:pPr>
              <w:pStyle w:val="AFCorNBold"/>
            </w:pPr>
            <w:r>
              <w:t xml:space="preserve">Input to the second assessment and review </w:t>
            </w:r>
            <w:r w:rsidR="0090641A">
              <w:br/>
            </w:r>
            <w:r>
              <w:t>of the effectiveness of the Nagoya Protocol</w:t>
            </w:r>
          </w:p>
        </w:tc>
        <w:tc>
          <w:tcPr>
            <w:tcW w:w="4388" w:type="dxa"/>
          </w:tcPr>
          <w:p w14:paraId="0E2ACE7C" w14:textId="77777777" w:rsidR="008A1499" w:rsidRPr="003F1A75" w:rsidRDefault="008A1499" w:rsidP="008A1499">
            <w:pPr>
              <w:pStyle w:val="CBDNormal"/>
              <w:jc w:val="left"/>
            </w:pPr>
          </w:p>
        </w:tc>
      </w:tr>
    </w:tbl>
    <w:p w14:paraId="064A2792" w14:textId="4862EDEA" w:rsidR="00C9161D" w:rsidRPr="003F1A75" w:rsidRDefault="00EC66C7" w:rsidP="00A111D1">
      <w:pPr>
        <w:pStyle w:val="CBDTitle"/>
        <w:rPr>
          <w:caps/>
        </w:rPr>
      </w:pPr>
      <w:sdt>
        <w:sdtPr>
          <w:alias w:val="Title"/>
          <w:tag w:val=""/>
          <w:id w:val="772832786"/>
          <w:placeholder>
            <w:docPart w:val="2E62FEDC46EE4117A5D0C834165D233C"/>
          </w:placeholder>
          <w:dataBinding w:prefixMappings="xmlns:ns0='http://purl.org/dc/elements/1.1/' xmlns:ns1='http://schemas.openxmlformats.org/package/2006/metadata/core-properties' " w:xpath="/ns1:coreProperties[1]/ns0:title[1]" w:storeItemID="{6C3C8BC8-F283-45AE-878A-BAB7291924A1}"/>
          <w:text/>
        </w:sdtPr>
        <w:sdtEndPr/>
        <w:sdtContent>
          <w:r w:rsidR="006C1971">
            <w:t>Analysis of information relevant to compliance for the second assessment and review of the effectiveness of the Nagoya Protocol</w:t>
          </w:r>
        </w:sdtContent>
      </w:sdt>
      <w:r w:rsidR="00105372" w:rsidRPr="003F1A75">
        <w:rPr>
          <w:caps/>
        </w:rPr>
        <w:t xml:space="preserve"> </w:t>
      </w:r>
    </w:p>
    <w:p w14:paraId="65DCC00A" w14:textId="77777777" w:rsidR="00F6586C" w:rsidRPr="003F1A75" w:rsidRDefault="0030169D" w:rsidP="00A111D1">
      <w:pPr>
        <w:pStyle w:val="CBDSubTitle"/>
      </w:pPr>
      <w:r w:rsidRPr="003F1A75">
        <w:t xml:space="preserve">Note by the </w:t>
      </w:r>
      <w:r w:rsidR="007E0F8A" w:rsidRPr="003F1A75">
        <w:t>Secretariat</w:t>
      </w:r>
    </w:p>
    <w:p w14:paraId="44F444C0" w14:textId="5A0F63D0" w:rsidR="007F718D" w:rsidRPr="003F1A75" w:rsidRDefault="006C1971" w:rsidP="00A111D1">
      <w:pPr>
        <w:pStyle w:val="CBDNormalNumber"/>
      </w:pPr>
      <w:r>
        <w:t xml:space="preserve">In </w:t>
      </w:r>
      <w:r w:rsidRPr="00967A8E">
        <w:t>its decision</w:t>
      </w:r>
      <w:r w:rsidR="00911ADF">
        <w:t> </w:t>
      </w:r>
      <w:hyperlink r:id="rId15" w:history="1">
        <w:r w:rsidRPr="00E32D8A">
          <w:rPr>
            <w:rStyle w:val="Hyperlink"/>
          </w:rPr>
          <w:t>NP-5/5</w:t>
        </w:r>
      </w:hyperlink>
      <w:r w:rsidRPr="00967A8E">
        <w:t>, pursuant to Article</w:t>
      </w:r>
      <w:r w:rsidR="00911ADF">
        <w:t> </w:t>
      </w:r>
      <w:r w:rsidRPr="00967A8E">
        <w:t xml:space="preserve">31 of the </w:t>
      </w:r>
      <w:r w:rsidR="00800AB5">
        <w:t xml:space="preserve">Nagoya Protocol on </w:t>
      </w:r>
      <w:r w:rsidR="00C27FA9" w:rsidRPr="00C27FA9">
        <w:t>Access to Genetic Resources and the Fair and Equitable Sharing of Benefits Arising from Their Utilization</w:t>
      </w:r>
      <w:r w:rsidRPr="00967A8E">
        <w:t xml:space="preserve">, the Conference of the Parties serving as the meeting of the Parties to the Protocol </w:t>
      </w:r>
      <w:r w:rsidR="007A4E91">
        <w:t>set out the</w:t>
      </w:r>
      <w:r w:rsidR="00DE5E6A">
        <w:t xml:space="preserve"> elements that form the</w:t>
      </w:r>
      <w:r w:rsidR="007A4E91">
        <w:t xml:space="preserve"> basis on which</w:t>
      </w:r>
      <w:r w:rsidR="007A4E91" w:rsidRPr="00967A8E">
        <w:t xml:space="preserve"> </w:t>
      </w:r>
      <w:r w:rsidRPr="00967A8E">
        <w:t>the second assessment and review of the effectiveness of the Protocol</w:t>
      </w:r>
      <w:r w:rsidR="007A4E91">
        <w:t xml:space="preserve"> </w:t>
      </w:r>
      <w:r w:rsidR="00576DF3">
        <w:t>is to</w:t>
      </w:r>
      <w:r w:rsidR="007A4E91">
        <w:t xml:space="preserve"> be conducted</w:t>
      </w:r>
      <w:r w:rsidR="005B35E2" w:rsidRPr="003F1A75">
        <w:t>.</w:t>
      </w:r>
    </w:p>
    <w:p w14:paraId="69FE4A98" w14:textId="7174138E" w:rsidR="005B35E2" w:rsidRDefault="006C1971" w:rsidP="00A111D1">
      <w:pPr>
        <w:pStyle w:val="CBDNormalNumber"/>
      </w:pPr>
      <w:r w:rsidRPr="00A840D5">
        <w:rPr>
          <w:kern w:val="22"/>
        </w:rPr>
        <w:t>In paragraph</w:t>
      </w:r>
      <w:r w:rsidR="00390CF4">
        <w:rPr>
          <w:kern w:val="22"/>
        </w:rPr>
        <w:t> </w:t>
      </w:r>
      <w:r w:rsidRPr="00A840D5">
        <w:rPr>
          <w:kern w:val="22"/>
        </w:rPr>
        <w:t xml:space="preserve">8 of the same decision, </w:t>
      </w:r>
      <w:r w:rsidR="004E227E">
        <w:rPr>
          <w:kern w:val="22"/>
        </w:rPr>
        <w:t>the Conference of the Parties serving as the meeting of the Parties to the Prot</w:t>
      </w:r>
      <w:r w:rsidR="003366B0">
        <w:rPr>
          <w:kern w:val="22"/>
        </w:rPr>
        <w:t>o</w:t>
      </w:r>
      <w:r w:rsidR="004E227E">
        <w:rPr>
          <w:kern w:val="22"/>
        </w:rPr>
        <w:t>col</w:t>
      </w:r>
      <w:r w:rsidRPr="00A840D5">
        <w:rPr>
          <w:kern w:val="22"/>
        </w:rPr>
        <w:t xml:space="preserve"> requested the Informal Advisory Committee on Capacity-building for the Implementation of the Nagoya Protocol and the Compliance Committee</w:t>
      </w:r>
      <w:r w:rsidR="0014118C">
        <w:rPr>
          <w:kern w:val="22"/>
        </w:rPr>
        <w:t xml:space="preserve"> under the Nagoya Protocol</w:t>
      </w:r>
      <w:r w:rsidRPr="00A840D5">
        <w:rPr>
          <w:kern w:val="22"/>
        </w:rPr>
        <w:t>, working in a complementary and non-duplicative manner, to contribute to the second assessment and review and to submit their conclusions for consideration by the Subsidiary Body on Implementation</w:t>
      </w:r>
      <w:r w:rsidR="005B35E2" w:rsidRPr="003F1A75">
        <w:t>.</w:t>
      </w:r>
    </w:p>
    <w:p w14:paraId="21A18FEF" w14:textId="5D316683" w:rsidR="004202F0" w:rsidRDefault="003E5A6D" w:rsidP="004202F0">
      <w:pPr>
        <w:pStyle w:val="CBDNormalNumber"/>
      </w:pPr>
      <w:r>
        <w:rPr>
          <w:rFonts w:asciiTheme="majorBidi" w:hAnsiTheme="majorBidi" w:cstheme="majorBidi"/>
        </w:rPr>
        <w:t xml:space="preserve">Also </w:t>
      </w:r>
      <w:r w:rsidR="004202F0">
        <w:rPr>
          <w:rFonts w:asciiTheme="majorBidi" w:hAnsiTheme="majorBidi" w:cstheme="majorBidi"/>
        </w:rPr>
        <w:t xml:space="preserve">in </w:t>
      </w:r>
      <w:r>
        <w:rPr>
          <w:rFonts w:asciiTheme="majorBidi" w:hAnsiTheme="majorBidi" w:cstheme="majorBidi"/>
        </w:rPr>
        <w:t>th</w:t>
      </w:r>
      <w:r w:rsidR="00A472DF">
        <w:rPr>
          <w:rFonts w:asciiTheme="majorBidi" w:hAnsiTheme="majorBidi" w:cstheme="majorBidi"/>
        </w:rPr>
        <w:t>e same</w:t>
      </w:r>
      <w:r>
        <w:rPr>
          <w:rFonts w:asciiTheme="majorBidi" w:hAnsiTheme="majorBidi" w:cstheme="majorBidi"/>
        </w:rPr>
        <w:t xml:space="preserve"> </w:t>
      </w:r>
      <w:r w:rsidR="004202F0">
        <w:rPr>
          <w:rFonts w:asciiTheme="majorBidi" w:hAnsiTheme="majorBidi" w:cstheme="majorBidi"/>
        </w:rPr>
        <w:t xml:space="preserve">decision, the </w:t>
      </w:r>
      <w:r w:rsidR="004202F0" w:rsidRPr="00D7419E">
        <w:rPr>
          <w:rFonts w:asciiTheme="majorBidi" w:hAnsiTheme="majorBidi" w:cstheme="majorBidi"/>
        </w:rPr>
        <w:t>Executive Secretary was requested to analyse and synthesize information on the implementation of the Protocol using the sources of information listed in the annex to the decision and to measure the indicators in the framework of indicators contained in annex II to decision</w:t>
      </w:r>
      <w:r w:rsidR="00825261">
        <w:rPr>
          <w:rFonts w:asciiTheme="majorBidi" w:hAnsiTheme="majorBidi" w:cstheme="majorBidi"/>
        </w:rPr>
        <w:t> </w:t>
      </w:r>
      <w:hyperlink r:id="rId16" w:history="1">
        <w:r w:rsidR="001A3142">
          <w:rPr>
            <w:rStyle w:val="Hyperlink"/>
            <w:rFonts w:asciiTheme="majorBidi" w:hAnsiTheme="majorBidi" w:cstheme="majorBidi"/>
          </w:rPr>
          <w:t>NP-3/1 A</w:t>
        </w:r>
      </w:hyperlink>
      <w:r w:rsidR="004202F0" w:rsidRPr="00D7419E">
        <w:rPr>
          <w:rFonts w:asciiTheme="majorBidi" w:hAnsiTheme="majorBidi" w:cstheme="majorBidi"/>
        </w:rPr>
        <w:t>.</w:t>
      </w:r>
    </w:p>
    <w:p w14:paraId="6CE3DE28" w14:textId="2307E916" w:rsidR="004202F0" w:rsidRPr="00C352AB" w:rsidRDefault="007A76D5" w:rsidP="004202F0">
      <w:pPr>
        <w:pStyle w:val="CBDNormalNumber"/>
      </w:pPr>
      <w:r>
        <w:rPr>
          <w:rFonts w:asciiTheme="majorBidi" w:hAnsiTheme="majorBidi" w:cstheme="majorBidi"/>
        </w:rPr>
        <w:t>The t</w:t>
      </w:r>
      <w:r w:rsidR="004202F0" w:rsidRPr="00D7419E">
        <w:rPr>
          <w:rFonts w:asciiTheme="majorBidi" w:hAnsiTheme="majorBidi" w:cstheme="majorBidi"/>
        </w:rPr>
        <w:t>able below provides an overview of the elements of assessment and review to be considered by the Compliance Committee and the Informal Advisory Committee to facilitate their work in a complementary and non-duplicative manner.</w:t>
      </w:r>
    </w:p>
    <w:p w14:paraId="30553DF0" w14:textId="5E4BDBCA" w:rsidR="00C352AB" w:rsidRPr="001217B8" w:rsidRDefault="00C352AB" w:rsidP="00C352AB">
      <w:pPr>
        <w:pStyle w:val="CBDNormalNumber"/>
      </w:pPr>
      <w:r w:rsidRPr="00D16944">
        <w:rPr>
          <w:rFonts w:asciiTheme="majorBidi" w:hAnsiTheme="majorBidi" w:cstheme="majorBidi"/>
        </w:rPr>
        <w:t>The analysis of information for elements (</w:t>
      </w:r>
      <w:r>
        <w:rPr>
          <w:rFonts w:asciiTheme="majorBidi" w:hAnsiTheme="majorBidi" w:cstheme="majorBidi"/>
        </w:rPr>
        <w:t>a</w:t>
      </w:r>
      <w:r w:rsidRPr="00D16944">
        <w:rPr>
          <w:rFonts w:asciiTheme="majorBidi" w:hAnsiTheme="majorBidi" w:cstheme="majorBidi"/>
        </w:rPr>
        <w:t xml:space="preserve">) </w:t>
      </w:r>
      <w:r>
        <w:rPr>
          <w:rFonts w:asciiTheme="majorBidi" w:hAnsiTheme="majorBidi" w:cstheme="majorBidi"/>
        </w:rPr>
        <w:t>to</w:t>
      </w:r>
      <w:r w:rsidRPr="00D16944">
        <w:rPr>
          <w:rFonts w:asciiTheme="majorBidi" w:hAnsiTheme="majorBidi" w:cstheme="majorBidi"/>
        </w:rPr>
        <w:t xml:space="preserve"> (</w:t>
      </w:r>
      <w:proofErr w:type="spellStart"/>
      <w:r>
        <w:rPr>
          <w:rFonts w:asciiTheme="majorBidi" w:hAnsiTheme="majorBidi" w:cstheme="majorBidi"/>
        </w:rPr>
        <w:t>i</w:t>
      </w:r>
      <w:proofErr w:type="spellEnd"/>
      <w:r w:rsidRPr="00D16944">
        <w:rPr>
          <w:rFonts w:asciiTheme="majorBidi" w:hAnsiTheme="majorBidi" w:cstheme="majorBidi"/>
        </w:rPr>
        <w:t>)</w:t>
      </w:r>
      <w:r>
        <w:rPr>
          <w:rFonts w:asciiTheme="majorBidi" w:hAnsiTheme="majorBidi" w:cstheme="majorBidi"/>
        </w:rPr>
        <w:t xml:space="preserve"> in the table</w:t>
      </w:r>
      <w:r w:rsidRPr="00D16944">
        <w:rPr>
          <w:rFonts w:asciiTheme="majorBidi" w:hAnsiTheme="majorBidi" w:cstheme="majorBidi"/>
        </w:rPr>
        <w:t xml:space="preserve"> </w:t>
      </w:r>
      <w:r>
        <w:rPr>
          <w:rFonts w:asciiTheme="majorBidi" w:hAnsiTheme="majorBidi" w:cstheme="majorBidi"/>
        </w:rPr>
        <w:t>below is contained in</w:t>
      </w:r>
      <w:r w:rsidRPr="00D16944">
        <w:rPr>
          <w:rFonts w:asciiTheme="majorBidi" w:hAnsiTheme="majorBidi" w:cstheme="majorBidi"/>
        </w:rPr>
        <w:t xml:space="preserve"> document</w:t>
      </w:r>
      <w:r>
        <w:rPr>
          <w:rFonts w:asciiTheme="majorBidi" w:hAnsiTheme="majorBidi" w:cstheme="majorBidi"/>
        </w:rPr>
        <w:t xml:space="preserve"> </w:t>
      </w:r>
      <w:r w:rsidRPr="00C25D02">
        <w:rPr>
          <w:rFonts w:asciiTheme="majorBidi" w:hAnsiTheme="majorBidi" w:cstheme="majorBidi"/>
        </w:rPr>
        <w:t>CBD/NP/</w:t>
      </w:r>
      <w:r>
        <w:rPr>
          <w:rFonts w:asciiTheme="majorBidi" w:hAnsiTheme="majorBidi" w:cstheme="majorBidi"/>
        </w:rPr>
        <w:t>CC/</w:t>
      </w:r>
      <w:r w:rsidRPr="00C25D02">
        <w:rPr>
          <w:rFonts w:asciiTheme="majorBidi" w:hAnsiTheme="majorBidi" w:cstheme="majorBidi"/>
        </w:rPr>
        <w:t>5/</w:t>
      </w:r>
      <w:r w:rsidR="00706713">
        <w:rPr>
          <w:rFonts w:asciiTheme="majorBidi" w:hAnsiTheme="majorBidi" w:cstheme="majorBidi"/>
        </w:rPr>
        <w:t>4/Add.1</w:t>
      </w:r>
      <w:r w:rsidRPr="00D16944">
        <w:rPr>
          <w:rFonts w:asciiTheme="majorBidi" w:hAnsiTheme="majorBidi" w:cstheme="majorBidi"/>
        </w:rPr>
        <w:t>.</w:t>
      </w:r>
      <w:r>
        <w:rPr>
          <w:rFonts w:asciiTheme="majorBidi" w:hAnsiTheme="majorBidi" w:cstheme="majorBidi"/>
        </w:rPr>
        <w:t xml:space="preserve"> The table includes references to the relevant sections of th</w:t>
      </w:r>
      <w:r w:rsidR="00706713">
        <w:rPr>
          <w:rFonts w:asciiTheme="majorBidi" w:hAnsiTheme="majorBidi" w:cstheme="majorBidi"/>
        </w:rPr>
        <w:t>at</w:t>
      </w:r>
      <w:r>
        <w:rPr>
          <w:rFonts w:asciiTheme="majorBidi" w:hAnsiTheme="majorBidi" w:cstheme="majorBidi"/>
        </w:rPr>
        <w:t xml:space="preserve"> document.</w:t>
      </w:r>
      <w:r w:rsidRPr="00D16944">
        <w:rPr>
          <w:rFonts w:asciiTheme="majorBidi" w:hAnsiTheme="majorBidi" w:cstheme="majorBidi"/>
        </w:rPr>
        <w:t xml:space="preserve"> </w:t>
      </w:r>
    </w:p>
    <w:p w14:paraId="5135E08D" w14:textId="171AD216" w:rsidR="00C352AB" w:rsidRPr="00B32752" w:rsidRDefault="007E7977" w:rsidP="00C352AB">
      <w:pPr>
        <w:pStyle w:val="CBDNormalNumber"/>
      </w:pPr>
      <w:r>
        <w:rPr>
          <w:rFonts w:asciiTheme="majorBidi" w:hAnsiTheme="majorBidi" w:cstheme="majorBidi"/>
        </w:rPr>
        <w:t>In relation to its allo</w:t>
      </w:r>
      <w:r w:rsidR="00434854">
        <w:rPr>
          <w:rFonts w:asciiTheme="majorBidi" w:hAnsiTheme="majorBidi" w:cstheme="majorBidi"/>
        </w:rPr>
        <w:t>cate</w:t>
      </w:r>
      <w:r w:rsidR="007A4B4E">
        <w:rPr>
          <w:rFonts w:asciiTheme="majorBidi" w:hAnsiTheme="majorBidi" w:cstheme="majorBidi"/>
        </w:rPr>
        <w:t>d</w:t>
      </w:r>
      <w:r w:rsidR="00434854">
        <w:rPr>
          <w:rFonts w:asciiTheme="majorBidi" w:hAnsiTheme="majorBidi" w:cstheme="majorBidi"/>
        </w:rPr>
        <w:t xml:space="preserve"> elements, t</w:t>
      </w:r>
      <w:r w:rsidR="00C352AB" w:rsidRPr="00D16944">
        <w:rPr>
          <w:rFonts w:asciiTheme="majorBidi" w:hAnsiTheme="majorBidi" w:cstheme="majorBidi"/>
        </w:rPr>
        <w:t xml:space="preserve">he </w:t>
      </w:r>
      <w:r w:rsidR="00C352AB">
        <w:rPr>
          <w:rFonts w:asciiTheme="majorBidi" w:hAnsiTheme="majorBidi" w:cstheme="majorBidi"/>
        </w:rPr>
        <w:t xml:space="preserve">Compliance </w:t>
      </w:r>
      <w:r w:rsidR="00C352AB" w:rsidRPr="00D16944">
        <w:rPr>
          <w:rFonts w:asciiTheme="majorBidi" w:hAnsiTheme="majorBidi" w:cstheme="majorBidi"/>
        </w:rPr>
        <w:t xml:space="preserve">Committee </w:t>
      </w:r>
      <w:r w:rsidR="00C352AB">
        <w:rPr>
          <w:rFonts w:asciiTheme="majorBidi" w:hAnsiTheme="majorBidi" w:cstheme="majorBidi"/>
        </w:rPr>
        <w:t xml:space="preserve">is invited </w:t>
      </w:r>
      <w:r w:rsidR="00C352AB" w:rsidRPr="00D16944">
        <w:rPr>
          <w:rFonts w:asciiTheme="majorBidi" w:hAnsiTheme="majorBidi" w:cstheme="majorBidi"/>
        </w:rPr>
        <w:t xml:space="preserve">to consider </w:t>
      </w:r>
      <w:r w:rsidR="00434854">
        <w:rPr>
          <w:rFonts w:asciiTheme="majorBidi" w:hAnsiTheme="majorBidi" w:cstheme="majorBidi"/>
        </w:rPr>
        <w:t>the progress made</w:t>
      </w:r>
      <w:r w:rsidR="007A4B4E">
        <w:rPr>
          <w:rFonts w:asciiTheme="majorBidi" w:hAnsiTheme="majorBidi" w:cstheme="majorBidi"/>
        </w:rPr>
        <w:t>,</w:t>
      </w:r>
      <w:r w:rsidR="00434854">
        <w:rPr>
          <w:rFonts w:asciiTheme="majorBidi" w:hAnsiTheme="majorBidi" w:cstheme="majorBidi"/>
        </w:rPr>
        <w:t xml:space="preserve"> as well as ongoing challenges, their root causes and possible solutions</w:t>
      </w:r>
      <w:r w:rsidR="009A6184">
        <w:rPr>
          <w:rFonts w:asciiTheme="majorBidi" w:hAnsiTheme="majorBidi" w:cstheme="majorBidi"/>
        </w:rPr>
        <w:t>,</w:t>
      </w:r>
      <w:r w:rsidR="00434854">
        <w:rPr>
          <w:rFonts w:asciiTheme="majorBidi" w:hAnsiTheme="majorBidi" w:cstheme="majorBidi"/>
        </w:rPr>
        <w:t xml:space="preserve"> </w:t>
      </w:r>
      <w:r w:rsidR="007A4B4E">
        <w:rPr>
          <w:rFonts w:asciiTheme="majorBidi" w:hAnsiTheme="majorBidi" w:cstheme="majorBidi"/>
        </w:rPr>
        <w:t>as set out in document</w:t>
      </w:r>
      <w:r w:rsidR="009A6184">
        <w:rPr>
          <w:rFonts w:asciiTheme="majorBidi" w:hAnsiTheme="majorBidi" w:cstheme="majorBidi"/>
        </w:rPr>
        <w:t> </w:t>
      </w:r>
      <w:r w:rsidR="007A4B4E" w:rsidRPr="00C25D02">
        <w:rPr>
          <w:rFonts w:asciiTheme="majorBidi" w:hAnsiTheme="majorBidi" w:cstheme="majorBidi"/>
        </w:rPr>
        <w:t>CBD/NP/</w:t>
      </w:r>
      <w:r w:rsidR="007A4B4E">
        <w:rPr>
          <w:rFonts w:asciiTheme="majorBidi" w:hAnsiTheme="majorBidi" w:cstheme="majorBidi"/>
        </w:rPr>
        <w:t>CC/</w:t>
      </w:r>
      <w:r w:rsidR="007A4B4E" w:rsidRPr="00C25D02">
        <w:rPr>
          <w:rFonts w:asciiTheme="majorBidi" w:hAnsiTheme="majorBidi" w:cstheme="majorBidi"/>
        </w:rPr>
        <w:t>5/</w:t>
      </w:r>
      <w:r w:rsidR="007A4B4E">
        <w:rPr>
          <w:rFonts w:asciiTheme="majorBidi" w:hAnsiTheme="majorBidi" w:cstheme="majorBidi"/>
        </w:rPr>
        <w:t>4/Add.1</w:t>
      </w:r>
      <w:r w:rsidR="009A6184">
        <w:rPr>
          <w:rFonts w:asciiTheme="majorBidi" w:hAnsiTheme="majorBidi" w:cstheme="majorBidi"/>
        </w:rPr>
        <w:t>,</w:t>
      </w:r>
      <w:r w:rsidR="007A4B4E">
        <w:rPr>
          <w:rFonts w:asciiTheme="majorBidi" w:hAnsiTheme="majorBidi" w:cstheme="majorBidi"/>
        </w:rPr>
        <w:t xml:space="preserve"> before providing its inputs to the assessment and review of the effectiveness of the Protocol </w:t>
      </w:r>
      <w:r w:rsidR="00C352AB" w:rsidRPr="008C4F15">
        <w:rPr>
          <w:rFonts w:asciiTheme="majorBidi" w:hAnsiTheme="majorBidi" w:cstheme="majorBidi"/>
        </w:rPr>
        <w:t>To assist with the deliberations, the Secretariat will deliver a presentation on the relevant elements during the present meeting.</w:t>
      </w:r>
      <w:r w:rsidR="00C352AB">
        <w:rPr>
          <w:rFonts w:asciiTheme="majorBidi" w:hAnsiTheme="majorBidi" w:cstheme="majorBidi"/>
        </w:rPr>
        <w:t xml:space="preserve"> </w:t>
      </w:r>
    </w:p>
    <w:p w14:paraId="1AF45C30" w14:textId="34D440CB" w:rsidR="00C352AB" w:rsidRPr="00512B5E" w:rsidRDefault="00C352AB" w:rsidP="00C352AB">
      <w:pPr>
        <w:pStyle w:val="CBDNormalNumber"/>
      </w:pPr>
      <w:r w:rsidRPr="00976ECF">
        <w:t xml:space="preserve">Information </w:t>
      </w:r>
      <w:r>
        <w:t>relating</w:t>
      </w:r>
      <w:r w:rsidRPr="00976ECF">
        <w:t xml:space="preserve"> to element (</w:t>
      </w:r>
      <w:r>
        <w:t>j</w:t>
      </w:r>
      <w:r w:rsidRPr="00976ECF">
        <w:t xml:space="preserve">) </w:t>
      </w:r>
      <w:r>
        <w:t xml:space="preserve">in the table </w:t>
      </w:r>
      <w:r w:rsidRPr="00976ECF">
        <w:t xml:space="preserve">is contained in </w:t>
      </w:r>
      <w:r w:rsidRPr="00896964">
        <w:t xml:space="preserve">document </w:t>
      </w:r>
      <w:hyperlink r:id="rId17" w:history="1">
        <w:r w:rsidRPr="001217B8">
          <w:rPr>
            <w:rStyle w:val="Hyperlink"/>
            <w:rFonts w:asciiTheme="majorBidi" w:hAnsiTheme="majorBidi"/>
          </w:rPr>
          <w:t>CBD/NP/</w:t>
        </w:r>
        <w:r w:rsidRPr="001217B8">
          <w:rPr>
            <w:rStyle w:val="Hyperlink"/>
            <w:rFonts w:asciiTheme="majorBidi" w:hAnsiTheme="majorBidi" w:cstheme="majorBidi"/>
          </w:rPr>
          <w:t>CC/</w:t>
        </w:r>
        <w:r w:rsidRPr="001217B8">
          <w:rPr>
            <w:rStyle w:val="Hyperlink"/>
            <w:rFonts w:asciiTheme="majorBidi" w:hAnsiTheme="majorBidi"/>
          </w:rPr>
          <w:t>5/4/Add.2</w:t>
        </w:r>
      </w:hyperlink>
      <w:r w:rsidRPr="00896964">
        <w:t>.</w:t>
      </w:r>
      <w:r w:rsidRPr="00976ECF">
        <w:t xml:space="preserve"> </w:t>
      </w:r>
      <w:r>
        <w:t xml:space="preserve">The Committee is invited </w:t>
      </w:r>
      <w:r w:rsidRPr="00473F93">
        <w:rPr>
          <w:rFonts w:eastAsia="Arial Unicode MS"/>
          <w:kern w:val="22"/>
          <w:u w:color="000000"/>
          <w:bdr w:val="nil"/>
        </w:rPr>
        <w:t xml:space="preserve">to review it when preparing its observations and </w:t>
      </w:r>
      <w:r w:rsidRPr="00473F93">
        <w:rPr>
          <w:rFonts w:eastAsia="Arial Unicode MS"/>
          <w:kern w:val="22"/>
          <w:u w:color="000000"/>
          <w:bdr w:val="nil"/>
        </w:rPr>
        <w:lastRenderedPageBreak/>
        <w:t xml:space="preserve">inputs </w:t>
      </w:r>
      <w:r w:rsidRPr="00EE27AE">
        <w:t>to</w:t>
      </w:r>
      <w:r w:rsidRPr="00976ECF">
        <w:t xml:space="preserve"> the assessment and review of the effectiveness of the Protocol</w:t>
      </w:r>
      <w:r w:rsidRPr="00473F93">
        <w:rPr>
          <w:rFonts w:eastAsia="Arial Unicode MS"/>
          <w:kern w:val="22"/>
          <w:u w:color="000000"/>
          <w:bdr w:val="nil"/>
        </w:rPr>
        <w:t>. The Committee may wish to note some of the suggestions made in that document, as guidance for future work, in its report of the present meeting.</w:t>
      </w:r>
    </w:p>
    <w:p w14:paraId="7CCE9080" w14:textId="53C8FF9F" w:rsidR="004202F0" w:rsidRDefault="004202F0" w:rsidP="001217B8">
      <w:pPr>
        <w:pStyle w:val="CBDTableTitle"/>
      </w:pPr>
      <w:r>
        <w:t xml:space="preserve">Allocation of elements for the second assessment </w:t>
      </w:r>
      <w:r w:rsidR="00330E62">
        <w:br/>
      </w:r>
      <w:r>
        <w:t>and review of the effectiveness of the Protocol</w:t>
      </w:r>
    </w:p>
    <w:tbl>
      <w:tblPr>
        <w:tblStyle w:val="TableGrid"/>
        <w:tblW w:w="0" w:type="auto"/>
        <w:tblInd w:w="56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4"/>
        <w:gridCol w:w="4289"/>
      </w:tblGrid>
      <w:tr w:rsidR="004202F0" w:rsidRPr="007A76D5" w14:paraId="41AA0649" w14:textId="77777777" w:rsidTr="001217B8">
        <w:trPr>
          <w:tblHeader/>
        </w:trPr>
        <w:tc>
          <w:tcPr>
            <w:tcW w:w="4675" w:type="dxa"/>
            <w:tcBorders>
              <w:top w:val="single" w:sz="4" w:space="0" w:color="auto"/>
              <w:bottom w:val="single" w:sz="4" w:space="0" w:color="auto"/>
            </w:tcBorders>
          </w:tcPr>
          <w:p w14:paraId="1B8A74F7" w14:textId="77777777" w:rsidR="004202F0" w:rsidRPr="001217B8" w:rsidRDefault="004202F0" w:rsidP="001217B8">
            <w:pPr>
              <w:pStyle w:val="CBDNormalNumber"/>
              <w:numPr>
                <w:ilvl w:val="0"/>
                <w:numId w:val="0"/>
              </w:numPr>
              <w:spacing w:before="60" w:after="60"/>
              <w:jc w:val="left"/>
              <w:rPr>
                <w:i/>
                <w:iCs/>
                <w:sz w:val="20"/>
                <w:szCs w:val="20"/>
              </w:rPr>
            </w:pPr>
            <w:r w:rsidRPr="001217B8">
              <w:rPr>
                <w:i/>
                <w:iCs/>
                <w:sz w:val="20"/>
                <w:szCs w:val="20"/>
              </w:rPr>
              <w:t>Compliance Committee</w:t>
            </w:r>
          </w:p>
        </w:tc>
        <w:tc>
          <w:tcPr>
            <w:tcW w:w="4675" w:type="dxa"/>
            <w:tcBorders>
              <w:top w:val="single" w:sz="4" w:space="0" w:color="auto"/>
              <w:bottom w:val="single" w:sz="4" w:space="0" w:color="auto"/>
            </w:tcBorders>
          </w:tcPr>
          <w:p w14:paraId="29B5E1F4" w14:textId="576313AD" w:rsidR="004202F0" w:rsidRPr="001217B8" w:rsidRDefault="004202F0" w:rsidP="001217B8">
            <w:pPr>
              <w:pStyle w:val="CBDNormalNumber"/>
              <w:numPr>
                <w:ilvl w:val="0"/>
                <w:numId w:val="0"/>
              </w:numPr>
              <w:spacing w:before="60" w:after="60"/>
              <w:jc w:val="left"/>
              <w:rPr>
                <w:i/>
                <w:iCs/>
                <w:sz w:val="20"/>
                <w:szCs w:val="20"/>
              </w:rPr>
            </w:pPr>
            <w:r w:rsidRPr="001217B8">
              <w:rPr>
                <w:i/>
                <w:iCs/>
                <w:sz w:val="20"/>
                <w:szCs w:val="20"/>
              </w:rPr>
              <w:t>Informal Advisory Committee</w:t>
            </w:r>
          </w:p>
        </w:tc>
      </w:tr>
      <w:tr w:rsidR="004202F0" w:rsidRPr="00961ECB" w14:paraId="5D9AF0D9" w14:textId="77777777" w:rsidTr="001217B8">
        <w:tc>
          <w:tcPr>
            <w:tcW w:w="4675" w:type="dxa"/>
            <w:tcBorders>
              <w:top w:val="single" w:sz="4" w:space="0" w:color="auto"/>
            </w:tcBorders>
          </w:tcPr>
          <w:p w14:paraId="32C004A6" w14:textId="2A9CD1A7" w:rsidR="004202F0" w:rsidRPr="00975EF8" w:rsidRDefault="004202F0" w:rsidP="001217B8">
            <w:pPr>
              <w:pStyle w:val="CBDNormalNumber"/>
              <w:numPr>
                <w:ilvl w:val="0"/>
                <w:numId w:val="0"/>
              </w:numPr>
              <w:spacing w:before="60" w:after="60"/>
              <w:jc w:val="left"/>
              <w:rPr>
                <w:sz w:val="20"/>
                <w:szCs w:val="20"/>
              </w:rPr>
            </w:pPr>
            <w:r w:rsidRPr="00975EF8">
              <w:rPr>
                <w:sz w:val="20"/>
                <w:szCs w:val="20"/>
              </w:rPr>
              <w:t>(</w:t>
            </w:r>
            <w:r w:rsidR="009229E2" w:rsidRPr="00975EF8">
              <w:rPr>
                <w:sz w:val="20"/>
                <w:szCs w:val="20"/>
              </w:rPr>
              <w:t>a</w:t>
            </w:r>
            <w:r w:rsidRPr="00975EF8">
              <w:rPr>
                <w:sz w:val="20"/>
                <w:szCs w:val="20"/>
              </w:rPr>
              <w:t>) Extent of implementation of the provisions of the Nagoya Protocol and related obligations of Parties, including assessment of progress by Parties in establishing institutional structures and access and benefit-sharing measures to implement the Protocol</w:t>
            </w:r>
            <w:r w:rsidR="006E72D3" w:rsidRPr="00975EF8">
              <w:rPr>
                <w:sz w:val="20"/>
                <w:szCs w:val="20"/>
              </w:rPr>
              <w:t xml:space="preserve">, </w:t>
            </w:r>
            <w:r w:rsidR="008C4F15">
              <w:rPr>
                <w:sz w:val="20"/>
                <w:szCs w:val="20"/>
              </w:rPr>
              <w:t>including with reference to:</w:t>
            </w:r>
          </w:p>
          <w:p w14:paraId="0B7F1DE3" w14:textId="24DC499A" w:rsidR="004202F0" w:rsidRPr="00975EF8" w:rsidRDefault="004202F0" w:rsidP="001217B8">
            <w:pPr>
              <w:pStyle w:val="CBDNormalNumber"/>
              <w:numPr>
                <w:ilvl w:val="0"/>
                <w:numId w:val="8"/>
              </w:numPr>
              <w:tabs>
                <w:tab w:val="clear" w:pos="567"/>
              </w:tabs>
              <w:spacing w:before="60" w:after="60"/>
              <w:ind w:left="313" w:hanging="283"/>
              <w:jc w:val="left"/>
              <w:rPr>
                <w:rFonts w:asciiTheme="majorBidi" w:hAnsiTheme="majorBidi" w:cstheme="majorBidi"/>
                <w:sz w:val="20"/>
                <w:szCs w:val="20"/>
              </w:rPr>
            </w:pPr>
            <w:r w:rsidRPr="00975EF8">
              <w:rPr>
                <w:rFonts w:asciiTheme="majorBidi" w:hAnsiTheme="majorBidi" w:cstheme="majorBidi"/>
                <w:sz w:val="20"/>
                <w:szCs w:val="20"/>
              </w:rPr>
              <w:t>Institutional structures and access and benefit-sharing measures for the implementation of the Protocol</w:t>
            </w:r>
            <w:r w:rsidR="008C2F6A" w:rsidRPr="00975EF8">
              <w:rPr>
                <w:rFonts w:asciiTheme="majorBidi" w:hAnsiTheme="majorBidi" w:cstheme="majorBidi"/>
                <w:sz w:val="20"/>
                <w:szCs w:val="20"/>
              </w:rPr>
              <w:t xml:space="preserve"> (</w:t>
            </w:r>
            <w:r w:rsidR="00BC041C" w:rsidRPr="00975EF8">
              <w:rPr>
                <w:rFonts w:asciiTheme="majorBidi" w:hAnsiTheme="majorBidi" w:cstheme="majorBidi"/>
                <w:sz w:val="20"/>
                <w:szCs w:val="20"/>
              </w:rPr>
              <w:t xml:space="preserve">document CBD/NP/CC/5/4/Add.1, </w:t>
            </w:r>
            <w:r w:rsidR="008C2F6A" w:rsidRPr="00975EF8">
              <w:rPr>
                <w:rFonts w:asciiTheme="majorBidi" w:hAnsiTheme="majorBidi" w:cstheme="majorBidi"/>
                <w:sz w:val="20"/>
                <w:szCs w:val="20"/>
              </w:rPr>
              <w:t>sect</w:t>
            </w:r>
            <w:r w:rsidR="0013080E" w:rsidRPr="00975EF8">
              <w:rPr>
                <w:rFonts w:asciiTheme="majorBidi" w:hAnsiTheme="majorBidi" w:cstheme="majorBidi"/>
                <w:sz w:val="20"/>
                <w:szCs w:val="20"/>
              </w:rPr>
              <w:t>. </w:t>
            </w:r>
            <w:r w:rsidR="008C2F6A" w:rsidRPr="00975EF8">
              <w:rPr>
                <w:rFonts w:asciiTheme="majorBidi" w:hAnsiTheme="majorBidi" w:cstheme="majorBidi"/>
                <w:sz w:val="20"/>
                <w:szCs w:val="20"/>
              </w:rPr>
              <w:t>III.A.2)</w:t>
            </w:r>
          </w:p>
          <w:p w14:paraId="26AA4F2E" w14:textId="09F3BF19" w:rsidR="004202F0" w:rsidRPr="00961ECB" w:rsidRDefault="004202F0" w:rsidP="001217B8">
            <w:pPr>
              <w:pStyle w:val="CBDNormalNumber"/>
              <w:numPr>
                <w:ilvl w:val="0"/>
                <w:numId w:val="8"/>
              </w:numPr>
              <w:tabs>
                <w:tab w:val="clear" w:pos="567"/>
              </w:tabs>
              <w:spacing w:before="60" w:after="60"/>
              <w:ind w:left="313" w:hanging="283"/>
              <w:jc w:val="left"/>
              <w:rPr>
                <w:rFonts w:asciiTheme="majorBidi" w:hAnsiTheme="majorBidi" w:cstheme="majorBidi"/>
                <w:sz w:val="20"/>
                <w:szCs w:val="20"/>
              </w:rPr>
            </w:pPr>
            <w:r w:rsidRPr="00961ECB">
              <w:rPr>
                <w:rFonts w:asciiTheme="majorBidi" w:hAnsiTheme="majorBidi" w:cstheme="majorBidi"/>
                <w:sz w:val="20"/>
                <w:szCs w:val="20"/>
              </w:rPr>
              <w:t>Measures on access to genetic resources (Article</w:t>
            </w:r>
            <w:r w:rsidR="003252D1">
              <w:rPr>
                <w:rFonts w:asciiTheme="majorBidi" w:hAnsiTheme="majorBidi" w:cstheme="majorBidi"/>
                <w:sz w:val="20"/>
                <w:szCs w:val="20"/>
              </w:rPr>
              <w:t> </w:t>
            </w:r>
            <w:r w:rsidRPr="00961ECB">
              <w:rPr>
                <w:rFonts w:asciiTheme="majorBidi" w:hAnsiTheme="majorBidi" w:cstheme="majorBidi"/>
                <w:sz w:val="20"/>
                <w:szCs w:val="20"/>
              </w:rPr>
              <w:t>6)</w:t>
            </w:r>
            <w:r w:rsidR="008C2F6A">
              <w:rPr>
                <w:rFonts w:asciiTheme="majorBidi" w:hAnsiTheme="majorBidi" w:cstheme="majorBidi"/>
                <w:sz w:val="20"/>
                <w:szCs w:val="20"/>
              </w:rPr>
              <w:t xml:space="preserve"> (sect</w:t>
            </w:r>
            <w:r w:rsidR="0013080E">
              <w:rPr>
                <w:rFonts w:asciiTheme="majorBidi" w:hAnsiTheme="majorBidi" w:cstheme="majorBidi"/>
                <w:sz w:val="20"/>
                <w:szCs w:val="20"/>
              </w:rPr>
              <w:t>. </w:t>
            </w:r>
            <w:r w:rsidR="008C2F6A">
              <w:rPr>
                <w:rFonts w:asciiTheme="majorBidi" w:hAnsiTheme="majorBidi" w:cstheme="majorBidi"/>
                <w:sz w:val="20"/>
                <w:szCs w:val="20"/>
              </w:rPr>
              <w:t>III.A.3)</w:t>
            </w:r>
          </w:p>
          <w:p w14:paraId="6EAC56A6" w14:textId="7493231D" w:rsidR="004202F0" w:rsidRPr="00961ECB" w:rsidRDefault="00DE3C81" w:rsidP="001217B8">
            <w:pPr>
              <w:pStyle w:val="CBDNormalNumber"/>
              <w:numPr>
                <w:ilvl w:val="0"/>
                <w:numId w:val="8"/>
              </w:numPr>
              <w:tabs>
                <w:tab w:val="clear" w:pos="567"/>
              </w:tabs>
              <w:spacing w:before="60" w:after="60"/>
              <w:ind w:left="313" w:hanging="283"/>
              <w:jc w:val="left"/>
              <w:rPr>
                <w:rFonts w:asciiTheme="majorBidi" w:hAnsiTheme="majorBidi" w:cstheme="majorBidi"/>
                <w:sz w:val="20"/>
                <w:szCs w:val="20"/>
              </w:rPr>
            </w:pPr>
            <w:r>
              <w:rPr>
                <w:rFonts w:asciiTheme="majorBidi" w:hAnsiTheme="majorBidi" w:cstheme="majorBidi"/>
                <w:sz w:val="20"/>
                <w:szCs w:val="20"/>
              </w:rPr>
              <w:t xml:space="preserve">Measures on </w:t>
            </w:r>
            <w:r>
              <w:rPr>
                <w:rFonts w:asciiTheme="majorBidi" w:hAnsiTheme="majorBidi" w:cstheme="majorBidi"/>
                <w:sz w:val="20"/>
                <w:szCs w:val="20"/>
                <w:lang w:val="en-CA"/>
              </w:rPr>
              <w:t>f</w:t>
            </w:r>
            <w:r w:rsidR="004202F0" w:rsidRPr="00961ECB">
              <w:rPr>
                <w:rFonts w:asciiTheme="majorBidi" w:hAnsiTheme="majorBidi" w:cstheme="majorBidi"/>
                <w:sz w:val="20"/>
                <w:szCs w:val="20"/>
                <w:lang w:val="en-CA"/>
              </w:rPr>
              <w:t>air and equitable benefit-sharing (Article</w:t>
            </w:r>
            <w:r w:rsidR="003252D1">
              <w:rPr>
                <w:rFonts w:asciiTheme="majorBidi" w:hAnsiTheme="majorBidi" w:cstheme="majorBidi"/>
                <w:sz w:val="20"/>
                <w:szCs w:val="20"/>
                <w:lang w:val="en-CA"/>
              </w:rPr>
              <w:t> </w:t>
            </w:r>
            <w:r w:rsidR="004202F0" w:rsidRPr="00961ECB">
              <w:rPr>
                <w:rFonts w:asciiTheme="majorBidi" w:hAnsiTheme="majorBidi" w:cstheme="majorBidi"/>
                <w:sz w:val="20"/>
                <w:szCs w:val="20"/>
                <w:lang w:val="en-CA"/>
              </w:rPr>
              <w:t>5)</w:t>
            </w:r>
            <w:r w:rsidR="008C2F6A">
              <w:rPr>
                <w:rFonts w:asciiTheme="majorBidi" w:hAnsiTheme="majorBidi" w:cstheme="majorBidi"/>
                <w:sz w:val="20"/>
                <w:szCs w:val="20"/>
                <w:lang w:val="en-CA"/>
              </w:rPr>
              <w:t xml:space="preserve"> </w:t>
            </w:r>
            <w:r w:rsidR="008C2F6A">
              <w:rPr>
                <w:rFonts w:asciiTheme="majorBidi" w:hAnsiTheme="majorBidi" w:cstheme="majorBidi"/>
                <w:sz w:val="20"/>
                <w:szCs w:val="20"/>
              </w:rPr>
              <w:t>(sect</w:t>
            </w:r>
            <w:r w:rsidR="0013080E">
              <w:rPr>
                <w:rFonts w:asciiTheme="majorBidi" w:hAnsiTheme="majorBidi" w:cstheme="majorBidi"/>
                <w:sz w:val="20"/>
                <w:szCs w:val="20"/>
              </w:rPr>
              <w:t>. </w:t>
            </w:r>
            <w:r w:rsidR="008C2F6A">
              <w:rPr>
                <w:rFonts w:asciiTheme="majorBidi" w:hAnsiTheme="majorBidi" w:cstheme="majorBidi"/>
                <w:sz w:val="20"/>
                <w:szCs w:val="20"/>
              </w:rPr>
              <w:t>III.A.4)</w:t>
            </w:r>
          </w:p>
          <w:p w14:paraId="64850E52" w14:textId="6E02023D" w:rsidR="004202F0" w:rsidRPr="00961ECB" w:rsidRDefault="004202F0" w:rsidP="001217B8">
            <w:pPr>
              <w:pStyle w:val="CBDNormalNumber"/>
              <w:numPr>
                <w:ilvl w:val="0"/>
                <w:numId w:val="8"/>
              </w:numPr>
              <w:tabs>
                <w:tab w:val="clear" w:pos="567"/>
              </w:tabs>
              <w:spacing w:before="60" w:after="60"/>
              <w:ind w:left="313" w:hanging="283"/>
              <w:jc w:val="left"/>
              <w:rPr>
                <w:rFonts w:asciiTheme="majorBidi" w:hAnsiTheme="majorBidi" w:cstheme="majorBidi"/>
                <w:sz w:val="20"/>
                <w:szCs w:val="20"/>
              </w:rPr>
            </w:pPr>
            <w:r w:rsidRPr="001217B8">
              <w:rPr>
                <w:rFonts w:asciiTheme="majorBidi" w:hAnsiTheme="majorBidi" w:cstheme="majorBidi"/>
                <w:sz w:val="20"/>
                <w:szCs w:val="20"/>
              </w:rPr>
              <w:t>Measures</w:t>
            </w:r>
            <w:r w:rsidRPr="00961ECB">
              <w:rPr>
                <w:rFonts w:asciiTheme="majorBidi" w:eastAsia="Malgun Gothic" w:hAnsiTheme="majorBidi" w:cstheme="majorBidi"/>
                <w:sz w:val="20"/>
                <w:szCs w:val="20"/>
                <w:lang w:val="en-CA"/>
              </w:rPr>
              <w:t xml:space="preserve"> on compliance with domestic legislation or regulatory requirements on </w:t>
            </w:r>
            <w:r w:rsidR="007E79B0">
              <w:rPr>
                <w:rFonts w:asciiTheme="majorBidi" w:eastAsia="Malgun Gothic" w:hAnsiTheme="majorBidi" w:cstheme="majorBidi"/>
                <w:sz w:val="20"/>
                <w:szCs w:val="20"/>
                <w:lang w:val="en-CA"/>
              </w:rPr>
              <w:t>access and benefit-sharing</w:t>
            </w:r>
            <w:r w:rsidR="007E79B0" w:rsidRPr="00961ECB">
              <w:rPr>
                <w:rFonts w:asciiTheme="majorBidi" w:eastAsia="Malgun Gothic" w:hAnsiTheme="majorBidi" w:cstheme="majorBidi"/>
                <w:sz w:val="20"/>
                <w:szCs w:val="20"/>
                <w:lang w:val="en-CA"/>
              </w:rPr>
              <w:t xml:space="preserve"> </w:t>
            </w:r>
            <w:r w:rsidRPr="00961ECB">
              <w:rPr>
                <w:rFonts w:asciiTheme="majorBidi" w:eastAsia="Malgun Gothic" w:hAnsiTheme="majorBidi" w:cstheme="majorBidi"/>
                <w:sz w:val="20"/>
                <w:szCs w:val="20"/>
                <w:lang w:val="en-CA"/>
              </w:rPr>
              <w:t>(Article</w:t>
            </w:r>
            <w:r w:rsidR="003252D1">
              <w:rPr>
                <w:rFonts w:asciiTheme="majorBidi" w:eastAsia="Malgun Gothic" w:hAnsiTheme="majorBidi" w:cstheme="majorBidi"/>
                <w:sz w:val="20"/>
                <w:szCs w:val="20"/>
                <w:lang w:val="en-CA"/>
              </w:rPr>
              <w:t> </w:t>
            </w:r>
            <w:r w:rsidRPr="00961ECB">
              <w:rPr>
                <w:rFonts w:asciiTheme="majorBidi" w:eastAsia="Malgun Gothic" w:hAnsiTheme="majorBidi" w:cstheme="majorBidi"/>
                <w:sz w:val="20"/>
                <w:szCs w:val="20"/>
                <w:lang w:val="en-CA"/>
              </w:rPr>
              <w:t>15) and monitoring the utilization of genetic resources (Article 17)</w:t>
            </w:r>
            <w:r w:rsidR="008C2F6A">
              <w:rPr>
                <w:rFonts w:asciiTheme="majorBidi" w:eastAsia="Malgun Gothic" w:hAnsiTheme="majorBidi" w:cstheme="majorBidi"/>
                <w:sz w:val="20"/>
                <w:szCs w:val="20"/>
                <w:lang w:val="en-CA"/>
              </w:rPr>
              <w:t xml:space="preserve"> </w:t>
            </w:r>
            <w:r w:rsidR="008C2F6A">
              <w:rPr>
                <w:rFonts w:asciiTheme="majorBidi" w:hAnsiTheme="majorBidi" w:cstheme="majorBidi"/>
                <w:sz w:val="20"/>
                <w:szCs w:val="20"/>
              </w:rPr>
              <w:t>(sect</w:t>
            </w:r>
            <w:r w:rsidR="0013080E">
              <w:rPr>
                <w:rFonts w:asciiTheme="majorBidi" w:hAnsiTheme="majorBidi" w:cstheme="majorBidi"/>
                <w:sz w:val="20"/>
                <w:szCs w:val="20"/>
              </w:rPr>
              <w:t>. </w:t>
            </w:r>
            <w:r w:rsidR="008C2F6A">
              <w:rPr>
                <w:rFonts w:asciiTheme="majorBidi" w:hAnsiTheme="majorBidi" w:cstheme="majorBidi"/>
                <w:sz w:val="20"/>
                <w:szCs w:val="20"/>
              </w:rPr>
              <w:t>III.A.5)</w:t>
            </w:r>
          </w:p>
          <w:p w14:paraId="5F834EE8" w14:textId="1A35D56F" w:rsidR="004202F0" w:rsidRPr="00961ECB" w:rsidRDefault="004202F0" w:rsidP="001217B8">
            <w:pPr>
              <w:pStyle w:val="CBDNormalNumber"/>
              <w:numPr>
                <w:ilvl w:val="0"/>
                <w:numId w:val="8"/>
              </w:numPr>
              <w:tabs>
                <w:tab w:val="clear" w:pos="567"/>
              </w:tabs>
              <w:spacing w:before="60" w:after="60"/>
              <w:ind w:left="313" w:hanging="283"/>
              <w:jc w:val="left"/>
              <w:rPr>
                <w:rFonts w:asciiTheme="majorBidi" w:hAnsiTheme="majorBidi" w:cstheme="majorBidi"/>
                <w:sz w:val="20"/>
                <w:szCs w:val="20"/>
              </w:rPr>
            </w:pPr>
            <w:r w:rsidRPr="001217B8">
              <w:rPr>
                <w:rFonts w:asciiTheme="majorBidi" w:hAnsiTheme="majorBidi" w:cstheme="majorBidi"/>
                <w:sz w:val="20"/>
                <w:szCs w:val="20"/>
              </w:rPr>
              <w:t>Measures</w:t>
            </w:r>
            <w:r w:rsidRPr="00961ECB">
              <w:rPr>
                <w:rFonts w:asciiTheme="majorBidi" w:eastAsia="Malgun Gothic" w:hAnsiTheme="majorBidi" w:cstheme="majorBidi"/>
                <w:sz w:val="20"/>
                <w:szCs w:val="20"/>
                <w:lang w:val="en-CA"/>
              </w:rPr>
              <w:t xml:space="preserve"> related to indigenous peoples and local communities (Article</w:t>
            </w:r>
            <w:r w:rsidR="003252D1">
              <w:rPr>
                <w:rFonts w:asciiTheme="majorBidi" w:eastAsia="Malgun Gothic" w:hAnsiTheme="majorBidi" w:cstheme="majorBidi"/>
                <w:sz w:val="20"/>
                <w:szCs w:val="20"/>
                <w:lang w:val="en-CA"/>
              </w:rPr>
              <w:t>s</w:t>
            </w:r>
            <w:r w:rsidR="002F4C09">
              <w:rPr>
                <w:rFonts w:asciiTheme="majorBidi" w:eastAsia="Malgun Gothic" w:hAnsiTheme="majorBidi" w:cstheme="majorBidi"/>
                <w:sz w:val="20"/>
                <w:szCs w:val="20"/>
                <w:lang w:val="en-CA"/>
              </w:rPr>
              <w:t> </w:t>
            </w:r>
            <w:r w:rsidRPr="00961ECB">
              <w:rPr>
                <w:rFonts w:asciiTheme="majorBidi" w:eastAsia="Malgun Gothic" w:hAnsiTheme="majorBidi" w:cstheme="majorBidi"/>
                <w:sz w:val="20"/>
                <w:szCs w:val="20"/>
                <w:lang w:val="en-CA"/>
              </w:rPr>
              <w:t>6, 7 and</w:t>
            </w:r>
            <w:r w:rsidR="002F4C09">
              <w:rPr>
                <w:rFonts w:asciiTheme="majorBidi" w:eastAsia="Malgun Gothic" w:hAnsiTheme="majorBidi" w:cstheme="majorBidi"/>
                <w:sz w:val="20"/>
                <w:szCs w:val="20"/>
                <w:lang w:val="en-CA"/>
              </w:rPr>
              <w:t xml:space="preserve"> </w:t>
            </w:r>
            <w:r w:rsidRPr="00961ECB">
              <w:rPr>
                <w:rFonts w:asciiTheme="majorBidi" w:eastAsia="Malgun Gothic" w:hAnsiTheme="majorBidi" w:cstheme="majorBidi"/>
                <w:sz w:val="20"/>
                <w:szCs w:val="20"/>
                <w:lang w:val="en-CA"/>
              </w:rPr>
              <w:t>12)</w:t>
            </w:r>
            <w:r w:rsidR="008C2F6A">
              <w:rPr>
                <w:rFonts w:asciiTheme="majorBidi" w:eastAsia="Malgun Gothic" w:hAnsiTheme="majorBidi" w:cstheme="majorBidi"/>
                <w:sz w:val="20"/>
                <w:szCs w:val="20"/>
                <w:lang w:val="en-CA"/>
              </w:rPr>
              <w:t xml:space="preserve"> </w:t>
            </w:r>
            <w:r w:rsidR="008C2F6A">
              <w:rPr>
                <w:rFonts w:asciiTheme="majorBidi" w:hAnsiTheme="majorBidi" w:cstheme="majorBidi"/>
                <w:sz w:val="20"/>
                <w:szCs w:val="20"/>
              </w:rPr>
              <w:t>(sect</w:t>
            </w:r>
            <w:r w:rsidR="0013080E">
              <w:rPr>
                <w:rFonts w:asciiTheme="majorBidi" w:hAnsiTheme="majorBidi" w:cstheme="majorBidi"/>
                <w:sz w:val="20"/>
                <w:szCs w:val="20"/>
              </w:rPr>
              <w:t>. </w:t>
            </w:r>
            <w:r w:rsidR="008C2F6A">
              <w:rPr>
                <w:rFonts w:asciiTheme="majorBidi" w:hAnsiTheme="majorBidi" w:cstheme="majorBidi"/>
                <w:sz w:val="20"/>
                <w:szCs w:val="20"/>
              </w:rPr>
              <w:t>III.A.7)</w:t>
            </w:r>
          </w:p>
          <w:p w14:paraId="2FA5223C" w14:textId="46B21FFC" w:rsidR="004202F0" w:rsidRPr="00961ECB" w:rsidRDefault="004202F0" w:rsidP="001217B8">
            <w:pPr>
              <w:pStyle w:val="CBDNormalNumber"/>
              <w:numPr>
                <w:ilvl w:val="0"/>
                <w:numId w:val="0"/>
              </w:numPr>
              <w:spacing w:before="60" w:after="60"/>
              <w:jc w:val="left"/>
              <w:rPr>
                <w:rFonts w:asciiTheme="majorBidi" w:hAnsiTheme="majorBidi" w:cstheme="majorBidi"/>
                <w:sz w:val="20"/>
                <w:szCs w:val="20"/>
              </w:rPr>
            </w:pPr>
            <w:r w:rsidRPr="00961ECB">
              <w:rPr>
                <w:rFonts w:asciiTheme="majorBidi" w:hAnsiTheme="majorBidi" w:cstheme="majorBidi"/>
                <w:snapToGrid w:val="0"/>
                <w:kern w:val="22"/>
                <w:sz w:val="20"/>
                <w:szCs w:val="20"/>
              </w:rPr>
              <w:t>(</w:t>
            </w:r>
            <w:r w:rsidR="00D8575A">
              <w:rPr>
                <w:rFonts w:asciiTheme="majorBidi" w:hAnsiTheme="majorBidi" w:cstheme="majorBidi"/>
                <w:snapToGrid w:val="0"/>
                <w:kern w:val="22"/>
                <w:sz w:val="20"/>
                <w:szCs w:val="20"/>
              </w:rPr>
              <w:t>g</w:t>
            </w:r>
            <w:r w:rsidRPr="00961ECB">
              <w:rPr>
                <w:rFonts w:asciiTheme="majorBidi" w:hAnsiTheme="majorBidi" w:cstheme="majorBidi"/>
                <w:snapToGrid w:val="0"/>
                <w:kern w:val="22"/>
                <w:sz w:val="20"/>
                <w:szCs w:val="20"/>
              </w:rPr>
              <w:t>) Review of implementation and operation of the Access and Benefit-sharing Clearing-House, including number of access and benefit-sharing measures made available; number of countries that have published information on their competent national authorities; number of published internationally recognized certificates of compliance; and number of published checkpoint communiqués (Article</w:t>
            </w:r>
            <w:r w:rsidR="00AA65C7">
              <w:rPr>
                <w:rFonts w:asciiTheme="majorBidi" w:hAnsiTheme="majorBidi" w:cstheme="majorBidi"/>
                <w:snapToGrid w:val="0"/>
                <w:kern w:val="22"/>
                <w:sz w:val="20"/>
                <w:szCs w:val="20"/>
              </w:rPr>
              <w:t> </w:t>
            </w:r>
            <w:r w:rsidRPr="00961ECB">
              <w:rPr>
                <w:rFonts w:asciiTheme="majorBidi" w:hAnsiTheme="majorBidi" w:cstheme="majorBidi"/>
                <w:snapToGrid w:val="0"/>
                <w:kern w:val="22"/>
                <w:sz w:val="20"/>
                <w:szCs w:val="20"/>
              </w:rPr>
              <w:t>14)</w:t>
            </w:r>
            <w:r w:rsidR="00975EF8">
              <w:rPr>
                <w:rFonts w:asciiTheme="majorBidi" w:hAnsiTheme="majorBidi" w:cstheme="majorBidi"/>
                <w:snapToGrid w:val="0"/>
                <w:kern w:val="22"/>
                <w:sz w:val="20"/>
                <w:szCs w:val="20"/>
              </w:rPr>
              <w:t>, including with reference to</w:t>
            </w:r>
            <w:r w:rsidR="00975EF8">
              <w:rPr>
                <w:rFonts w:asciiTheme="majorBidi" w:hAnsiTheme="majorBidi" w:cstheme="majorBidi"/>
                <w:sz w:val="20"/>
                <w:szCs w:val="20"/>
              </w:rPr>
              <w:t xml:space="preserve"> n</w:t>
            </w:r>
            <w:r w:rsidR="00FC0BDC" w:rsidRPr="00961ECB">
              <w:rPr>
                <w:rFonts w:asciiTheme="majorBidi" w:hAnsiTheme="majorBidi" w:cstheme="majorBidi"/>
                <w:sz w:val="20"/>
                <w:szCs w:val="20"/>
              </w:rPr>
              <w:t>ational records in the Access and Benefit-sharing Clearing-House</w:t>
            </w:r>
            <w:r w:rsidR="0042594A" w:rsidRPr="00961ECB">
              <w:rPr>
                <w:rFonts w:asciiTheme="majorBidi" w:hAnsiTheme="majorBidi" w:cstheme="majorBidi"/>
                <w:sz w:val="20"/>
                <w:szCs w:val="20"/>
              </w:rPr>
              <w:t xml:space="preserve"> </w:t>
            </w:r>
            <w:r w:rsidR="008C2F6A">
              <w:rPr>
                <w:rFonts w:asciiTheme="majorBidi" w:hAnsiTheme="majorBidi" w:cstheme="majorBidi"/>
                <w:sz w:val="20"/>
                <w:szCs w:val="20"/>
              </w:rPr>
              <w:t>(section</w:t>
            </w:r>
            <w:r w:rsidR="00B01D47">
              <w:rPr>
                <w:rFonts w:asciiTheme="majorBidi" w:hAnsiTheme="majorBidi" w:cstheme="majorBidi"/>
                <w:sz w:val="20"/>
                <w:szCs w:val="20"/>
              </w:rPr>
              <w:t> </w:t>
            </w:r>
            <w:r w:rsidR="008C2F6A">
              <w:rPr>
                <w:rFonts w:asciiTheme="majorBidi" w:hAnsiTheme="majorBidi" w:cstheme="majorBidi"/>
                <w:sz w:val="20"/>
                <w:szCs w:val="20"/>
              </w:rPr>
              <w:t>III.G.1)</w:t>
            </w:r>
          </w:p>
          <w:p w14:paraId="6D1F1D54" w14:textId="3FE3EB25" w:rsidR="004202F0" w:rsidRPr="00961ECB" w:rsidRDefault="004202F0" w:rsidP="001217B8">
            <w:pPr>
              <w:pStyle w:val="CBDNormalNumber"/>
              <w:numPr>
                <w:ilvl w:val="0"/>
                <w:numId w:val="0"/>
              </w:numPr>
              <w:spacing w:before="60" w:after="60"/>
              <w:jc w:val="left"/>
              <w:rPr>
                <w:rFonts w:asciiTheme="majorBidi" w:hAnsiTheme="majorBidi" w:cstheme="majorBidi"/>
                <w:sz w:val="20"/>
                <w:szCs w:val="20"/>
              </w:rPr>
            </w:pPr>
            <w:r w:rsidRPr="00961ECB">
              <w:rPr>
                <w:rFonts w:asciiTheme="majorBidi" w:hAnsiTheme="majorBidi" w:cstheme="majorBidi"/>
                <w:snapToGrid w:val="0"/>
                <w:kern w:val="22"/>
                <w:sz w:val="20"/>
                <w:szCs w:val="20"/>
              </w:rPr>
              <w:t>(</w:t>
            </w:r>
            <w:r w:rsidR="00842118">
              <w:rPr>
                <w:rFonts w:asciiTheme="majorBidi" w:hAnsiTheme="majorBidi" w:cstheme="majorBidi"/>
                <w:snapToGrid w:val="0"/>
                <w:kern w:val="22"/>
                <w:sz w:val="20"/>
                <w:szCs w:val="20"/>
              </w:rPr>
              <w:t>j</w:t>
            </w:r>
            <w:r w:rsidRPr="00961ECB">
              <w:rPr>
                <w:rFonts w:asciiTheme="majorBidi" w:hAnsiTheme="majorBidi" w:cstheme="majorBidi"/>
                <w:snapToGrid w:val="0"/>
                <w:kern w:val="22"/>
                <w:sz w:val="20"/>
                <w:szCs w:val="20"/>
              </w:rPr>
              <w:t xml:space="preserve">) Preliminary review of the compliance procedures and mechanisms (see </w:t>
            </w:r>
            <w:hyperlink r:id="rId18" w:history="1">
              <w:r w:rsidRPr="00961ECB">
                <w:rPr>
                  <w:rFonts w:asciiTheme="majorBidi" w:hAnsiTheme="majorBidi" w:cstheme="majorBidi"/>
                  <w:snapToGrid w:val="0"/>
                  <w:kern w:val="22"/>
                  <w:sz w:val="20"/>
                  <w:szCs w:val="20"/>
                </w:rPr>
                <w:t>decision</w:t>
              </w:r>
              <w:r w:rsidR="00627C0A">
                <w:rPr>
                  <w:rFonts w:asciiTheme="majorBidi" w:hAnsiTheme="majorBidi" w:cstheme="majorBidi"/>
                  <w:snapToGrid w:val="0"/>
                  <w:kern w:val="22"/>
                  <w:sz w:val="20"/>
                  <w:szCs w:val="20"/>
                </w:rPr>
                <w:t> </w:t>
              </w:r>
              <w:r w:rsidRPr="00961ECB">
                <w:rPr>
                  <w:rFonts w:asciiTheme="majorBidi" w:hAnsiTheme="majorBidi" w:cstheme="majorBidi"/>
                  <w:snapToGrid w:val="0"/>
                  <w:kern w:val="22"/>
                  <w:sz w:val="20"/>
                  <w:szCs w:val="20"/>
                </w:rPr>
                <w:t>NP-1/4</w:t>
              </w:r>
            </w:hyperlink>
            <w:r w:rsidRPr="00961ECB">
              <w:rPr>
                <w:rFonts w:asciiTheme="majorBidi" w:hAnsiTheme="majorBidi" w:cstheme="majorBidi"/>
                <w:snapToGrid w:val="0"/>
                <w:kern w:val="22"/>
                <w:sz w:val="20"/>
                <w:szCs w:val="20"/>
              </w:rPr>
              <w:t>, annex) (Article</w:t>
            </w:r>
            <w:r w:rsidR="00AA65C7">
              <w:rPr>
                <w:rFonts w:asciiTheme="majorBidi" w:hAnsiTheme="majorBidi" w:cstheme="majorBidi"/>
                <w:snapToGrid w:val="0"/>
                <w:kern w:val="22"/>
                <w:sz w:val="20"/>
                <w:szCs w:val="20"/>
              </w:rPr>
              <w:t> </w:t>
            </w:r>
            <w:r w:rsidRPr="00961ECB">
              <w:rPr>
                <w:rFonts w:asciiTheme="majorBidi" w:hAnsiTheme="majorBidi" w:cstheme="majorBidi"/>
                <w:snapToGrid w:val="0"/>
                <w:kern w:val="22"/>
                <w:sz w:val="20"/>
                <w:szCs w:val="20"/>
              </w:rPr>
              <w:t>30)</w:t>
            </w:r>
          </w:p>
        </w:tc>
        <w:tc>
          <w:tcPr>
            <w:tcW w:w="4675" w:type="dxa"/>
            <w:tcBorders>
              <w:top w:val="single" w:sz="4" w:space="0" w:color="auto"/>
            </w:tcBorders>
          </w:tcPr>
          <w:p w14:paraId="5DB50EEF" w14:textId="7F56A403" w:rsidR="004202F0" w:rsidRPr="00961ECB" w:rsidRDefault="004202F0" w:rsidP="001217B8">
            <w:pPr>
              <w:pStyle w:val="CBDNormalNumber"/>
              <w:numPr>
                <w:ilvl w:val="0"/>
                <w:numId w:val="0"/>
              </w:numPr>
              <w:spacing w:before="60" w:after="60"/>
              <w:jc w:val="left"/>
              <w:rPr>
                <w:rFonts w:asciiTheme="majorBidi" w:hAnsiTheme="majorBidi" w:cstheme="majorBidi"/>
                <w:sz w:val="20"/>
                <w:szCs w:val="20"/>
              </w:rPr>
            </w:pPr>
            <w:r w:rsidRPr="00961ECB">
              <w:rPr>
                <w:rFonts w:asciiTheme="majorBidi" w:hAnsiTheme="majorBidi" w:cstheme="majorBidi"/>
                <w:snapToGrid w:val="0"/>
                <w:kern w:val="22"/>
                <w:sz w:val="20"/>
                <w:szCs w:val="20"/>
              </w:rPr>
              <w:t>(</w:t>
            </w:r>
            <w:r w:rsidR="009C32D4">
              <w:rPr>
                <w:rFonts w:asciiTheme="majorBidi" w:hAnsiTheme="majorBidi" w:cstheme="majorBidi"/>
                <w:snapToGrid w:val="0"/>
                <w:kern w:val="22"/>
                <w:sz w:val="20"/>
                <w:szCs w:val="20"/>
              </w:rPr>
              <w:t>a</w:t>
            </w:r>
            <w:r w:rsidRPr="00961ECB">
              <w:rPr>
                <w:rFonts w:asciiTheme="majorBidi" w:hAnsiTheme="majorBidi" w:cstheme="majorBidi"/>
                <w:snapToGrid w:val="0"/>
                <w:kern w:val="22"/>
                <w:sz w:val="20"/>
                <w:szCs w:val="20"/>
              </w:rPr>
              <w:t>) Extent of implementation of the provisions of the Nagoya Protocol and related obligations of Parties, including assessment of progress by Parties in establishing institutional structures and access and benefit-sharing measures to implement the Protocol</w:t>
            </w:r>
            <w:r w:rsidR="00975EF8">
              <w:rPr>
                <w:rFonts w:asciiTheme="majorBidi" w:hAnsiTheme="majorBidi" w:cstheme="majorBidi"/>
                <w:snapToGrid w:val="0"/>
                <w:kern w:val="22"/>
                <w:sz w:val="20"/>
                <w:szCs w:val="20"/>
              </w:rPr>
              <w:t>, including with reference to</w:t>
            </w:r>
            <w:r w:rsidR="008C4F15">
              <w:rPr>
                <w:rFonts w:asciiTheme="majorBidi" w:hAnsiTheme="majorBidi" w:cstheme="majorBidi"/>
                <w:snapToGrid w:val="0"/>
                <w:kern w:val="22"/>
                <w:sz w:val="20"/>
                <w:szCs w:val="20"/>
              </w:rPr>
              <w:t>:</w:t>
            </w:r>
          </w:p>
          <w:p w14:paraId="060AC490" w14:textId="564B85A1" w:rsidR="004202F0" w:rsidRPr="00961ECB" w:rsidRDefault="004202F0" w:rsidP="001217B8">
            <w:pPr>
              <w:pStyle w:val="CBDNormalNumber"/>
              <w:numPr>
                <w:ilvl w:val="0"/>
                <w:numId w:val="8"/>
              </w:numPr>
              <w:tabs>
                <w:tab w:val="clear" w:pos="567"/>
              </w:tabs>
              <w:spacing w:before="60" w:after="60"/>
              <w:ind w:left="359" w:hanging="283"/>
              <w:jc w:val="left"/>
              <w:rPr>
                <w:rFonts w:asciiTheme="majorBidi" w:hAnsiTheme="majorBidi" w:cstheme="majorBidi"/>
                <w:sz w:val="20"/>
                <w:szCs w:val="20"/>
              </w:rPr>
            </w:pPr>
            <w:r w:rsidRPr="00961ECB">
              <w:rPr>
                <w:rFonts w:asciiTheme="majorBidi" w:hAnsiTheme="majorBidi" w:cstheme="majorBidi"/>
                <w:sz w:val="20"/>
                <w:szCs w:val="20"/>
              </w:rPr>
              <w:t>Ratification of the Protocol</w:t>
            </w:r>
            <w:r w:rsidR="008C2F6A">
              <w:rPr>
                <w:rFonts w:asciiTheme="majorBidi" w:hAnsiTheme="majorBidi" w:cstheme="majorBidi"/>
                <w:sz w:val="20"/>
                <w:szCs w:val="20"/>
              </w:rPr>
              <w:t xml:space="preserve"> </w:t>
            </w:r>
            <w:r w:rsidR="008C2F6A">
              <w:rPr>
                <w:sz w:val="20"/>
                <w:szCs w:val="20"/>
              </w:rPr>
              <w:t>(sect</w:t>
            </w:r>
            <w:r w:rsidR="0013080E">
              <w:rPr>
                <w:sz w:val="20"/>
                <w:szCs w:val="20"/>
              </w:rPr>
              <w:t>. </w:t>
            </w:r>
            <w:r w:rsidR="008C2F6A">
              <w:rPr>
                <w:sz w:val="20"/>
                <w:szCs w:val="20"/>
              </w:rPr>
              <w:t>III.A.1)</w:t>
            </w:r>
          </w:p>
          <w:p w14:paraId="662384B4" w14:textId="5EE4F17A" w:rsidR="004202F0" w:rsidRPr="00961ECB" w:rsidRDefault="004202F0" w:rsidP="001217B8">
            <w:pPr>
              <w:pStyle w:val="CBDNormalNumber"/>
              <w:numPr>
                <w:ilvl w:val="0"/>
                <w:numId w:val="8"/>
              </w:numPr>
              <w:tabs>
                <w:tab w:val="clear" w:pos="567"/>
              </w:tabs>
              <w:spacing w:before="60" w:after="60"/>
              <w:ind w:left="359" w:hanging="283"/>
              <w:jc w:val="left"/>
              <w:rPr>
                <w:rFonts w:asciiTheme="majorBidi" w:hAnsiTheme="majorBidi" w:cstheme="majorBidi"/>
                <w:sz w:val="20"/>
                <w:szCs w:val="20"/>
              </w:rPr>
            </w:pPr>
            <w:r w:rsidRPr="001217B8">
              <w:rPr>
                <w:rFonts w:asciiTheme="majorBidi" w:hAnsiTheme="majorBidi" w:cstheme="majorBidi"/>
                <w:sz w:val="20"/>
                <w:szCs w:val="20"/>
              </w:rPr>
              <w:t>Measures</w:t>
            </w:r>
            <w:r w:rsidRPr="00961ECB">
              <w:rPr>
                <w:rFonts w:asciiTheme="majorBidi" w:eastAsia="Malgun Gothic" w:hAnsiTheme="majorBidi" w:cstheme="majorBidi"/>
                <w:sz w:val="20"/>
                <w:szCs w:val="20"/>
                <w:lang w:val="en-CA"/>
              </w:rPr>
              <w:t xml:space="preserve"> addressing special considerations (Article</w:t>
            </w:r>
            <w:r w:rsidR="00AA65C7">
              <w:rPr>
                <w:rFonts w:asciiTheme="majorBidi" w:eastAsia="Malgun Gothic" w:hAnsiTheme="majorBidi" w:cstheme="majorBidi"/>
                <w:sz w:val="20"/>
                <w:szCs w:val="20"/>
                <w:lang w:val="en-CA"/>
              </w:rPr>
              <w:t> </w:t>
            </w:r>
            <w:r w:rsidRPr="00961ECB">
              <w:rPr>
                <w:rFonts w:asciiTheme="majorBidi" w:eastAsia="Malgun Gothic" w:hAnsiTheme="majorBidi" w:cstheme="majorBidi"/>
                <w:sz w:val="20"/>
                <w:szCs w:val="20"/>
                <w:lang w:val="en-CA"/>
              </w:rPr>
              <w:t>8)</w:t>
            </w:r>
            <w:r w:rsidR="008C2F6A">
              <w:rPr>
                <w:rFonts w:asciiTheme="majorBidi" w:eastAsia="Malgun Gothic" w:hAnsiTheme="majorBidi" w:cstheme="majorBidi"/>
                <w:sz w:val="20"/>
                <w:szCs w:val="20"/>
                <w:lang w:val="en-CA"/>
              </w:rPr>
              <w:t xml:space="preserve"> </w:t>
            </w:r>
            <w:r w:rsidR="008C2F6A">
              <w:rPr>
                <w:sz w:val="20"/>
                <w:szCs w:val="20"/>
              </w:rPr>
              <w:t>(sect</w:t>
            </w:r>
            <w:r w:rsidR="0013080E">
              <w:rPr>
                <w:sz w:val="20"/>
                <w:szCs w:val="20"/>
              </w:rPr>
              <w:t>. </w:t>
            </w:r>
            <w:r w:rsidR="008C2F6A">
              <w:rPr>
                <w:sz w:val="20"/>
                <w:szCs w:val="20"/>
              </w:rPr>
              <w:t>III.A.6)</w:t>
            </w:r>
          </w:p>
          <w:p w14:paraId="7BA6D6A9" w14:textId="626D4612" w:rsidR="004202F0" w:rsidRPr="00961ECB" w:rsidRDefault="004202F0" w:rsidP="001217B8">
            <w:pPr>
              <w:pStyle w:val="CBDNormalNumber"/>
              <w:numPr>
                <w:ilvl w:val="0"/>
                <w:numId w:val="8"/>
              </w:numPr>
              <w:tabs>
                <w:tab w:val="clear" w:pos="567"/>
              </w:tabs>
              <w:spacing w:before="60" w:after="60"/>
              <w:ind w:left="359" w:hanging="283"/>
              <w:jc w:val="left"/>
              <w:rPr>
                <w:rFonts w:asciiTheme="majorBidi" w:hAnsiTheme="majorBidi" w:cstheme="majorBidi"/>
                <w:sz w:val="20"/>
                <w:szCs w:val="20"/>
              </w:rPr>
            </w:pPr>
            <w:r w:rsidRPr="001217B8">
              <w:rPr>
                <w:rFonts w:asciiTheme="majorBidi" w:hAnsiTheme="majorBidi" w:cstheme="majorBidi"/>
                <w:sz w:val="20"/>
                <w:szCs w:val="20"/>
              </w:rPr>
              <w:t>Transboundary</w:t>
            </w:r>
            <w:r w:rsidRPr="00961ECB">
              <w:rPr>
                <w:rFonts w:asciiTheme="majorBidi" w:eastAsia="Malgun Gothic" w:hAnsiTheme="majorBidi" w:cstheme="majorBidi"/>
                <w:sz w:val="20"/>
                <w:szCs w:val="20"/>
                <w:lang w:val="en-CA"/>
              </w:rPr>
              <w:t xml:space="preserve"> cooperation (Article</w:t>
            </w:r>
            <w:r w:rsidR="00AA65C7">
              <w:rPr>
                <w:rFonts w:asciiTheme="majorBidi" w:eastAsia="Malgun Gothic" w:hAnsiTheme="majorBidi" w:cstheme="majorBidi"/>
                <w:sz w:val="20"/>
                <w:szCs w:val="20"/>
                <w:lang w:val="en-CA"/>
              </w:rPr>
              <w:t> </w:t>
            </w:r>
            <w:r w:rsidRPr="00961ECB">
              <w:rPr>
                <w:rFonts w:asciiTheme="majorBidi" w:eastAsia="Malgun Gothic" w:hAnsiTheme="majorBidi" w:cstheme="majorBidi"/>
                <w:sz w:val="20"/>
                <w:szCs w:val="20"/>
                <w:lang w:val="en-CA"/>
              </w:rPr>
              <w:t>11)</w:t>
            </w:r>
            <w:r w:rsidR="008C2F6A">
              <w:rPr>
                <w:rFonts w:asciiTheme="majorBidi" w:eastAsia="Malgun Gothic" w:hAnsiTheme="majorBidi" w:cstheme="majorBidi"/>
                <w:sz w:val="20"/>
                <w:szCs w:val="20"/>
                <w:lang w:val="en-CA"/>
              </w:rPr>
              <w:t xml:space="preserve"> </w:t>
            </w:r>
            <w:r w:rsidR="008C2F6A">
              <w:rPr>
                <w:sz w:val="20"/>
                <w:szCs w:val="20"/>
              </w:rPr>
              <w:t>(sect</w:t>
            </w:r>
            <w:r w:rsidR="0013080E">
              <w:rPr>
                <w:sz w:val="20"/>
                <w:szCs w:val="20"/>
              </w:rPr>
              <w:t>. </w:t>
            </w:r>
            <w:r w:rsidR="008C2F6A">
              <w:rPr>
                <w:sz w:val="20"/>
                <w:szCs w:val="20"/>
              </w:rPr>
              <w:t>III.A.8)</w:t>
            </w:r>
          </w:p>
          <w:p w14:paraId="4A861977" w14:textId="00A3C0CA" w:rsidR="004202F0" w:rsidRPr="00961ECB" w:rsidRDefault="004202F0" w:rsidP="001217B8">
            <w:pPr>
              <w:pStyle w:val="CBDNormalNumber"/>
              <w:numPr>
                <w:ilvl w:val="0"/>
                <w:numId w:val="8"/>
              </w:numPr>
              <w:tabs>
                <w:tab w:val="clear" w:pos="567"/>
              </w:tabs>
              <w:spacing w:before="60" w:after="60"/>
              <w:ind w:left="359" w:hanging="283"/>
              <w:jc w:val="left"/>
              <w:rPr>
                <w:rFonts w:asciiTheme="majorBidi" w:hAnsiTheme="majorBidi" w:cstheme="majorBidi"/>
                <w:sz w:val="20"/>
                <w:szCs w:val="20"/>
              </w:rPr>
            </w:pPr>
            <w:r w:rsidRPr="001217B8">
              <w:rPr>
                <w:rFonts w:asciiTheme="majorBidi" w:hAnsiTheme="majorBidi" w:cstheme="majorBidi"/>
                <w:sz w:val="20"/>
                <w:szCs w:val="20"/>
              </w:rPr>
              <w:t>Awareness</w:t>
            </w:r>
            <w:r w:rsidRPr="00961ECB">
              <w:rPr>
                <w:rFonts w:asciiTheme="majorBidi" w:eastAsia="Malgun Gothic" w:hAnsiTheme="majorBidi" w:cstheme="majorBidi"/>
                <w:sz w:val="20"/>
                <w:szCs w:val="20"/>
                <w:lang w:val="en-CA"/>
              </w:rPr>
              <w:t>-raising (Article</w:t>
            </w:r>
            <w:r w:rsidR="00AA65C7">
              <w:rPr>
                <w:rFonts w:asciiTheme="majorBidi" w:eastAsia="Malgun Gothic" w:hAnsiTheme="majorBidi" w:cstheme="majorBidi"/>
                <w:sz w:val="20"/>
                <w:szCs w:val="20"/>
                <w:lang w:val="en-CA"/>
              </w:rPr>
              <w:t> </w:t>
            </w:r>
            <w:r w:rsidRPr="00961ECB">
              <w:rPr>
                <w:rFonts w:asciiTheme="majorBidi" w:eastAsia="Malgun Gothic" w:hAnsiTheme="majorBidi" w:cstheme="majorBidi"/>
                <w:sz w:val="20"/>
                <w:szCs w:val="20"/>
                <w:lang w:val="en-CA"/>
              </w:rPr>
              <w:t>21)</w:t>
            </w:r>
            <w:r w:rsidR="008C2F6A">
              <w:rPr>
                <w:rFonts w:asciiTheme="majorBidi" w:eastAsia="Malgun Gothic" w:hAnsiTheme="majorBidi" w:cstheme="majorBidi"/>
                <w:sz w:val="20"/>
                <w:szCs w:val="20"/>
                <w:lang w:val="en-CA"/>
              </w:rPr>
              <w:t xml:space="preserve"> </w:t>
            </w:r>
            <w:r w:rsidR="008C2F6A">
              <w:rPr>
                <w:sz w:val="20"/>
                <w:szCs w:val="20"/>
              </w:rPr>
              <w:t>(sect</w:t>
            </w:r>
            <w:r w:rsidR="0013080E">
              <w:rPr>
                <w:sz w:val="20"/>
                <w:szCs w:val="20"/>
              </w:rPr>
              <w:t>. </w:t>
            </w:r>
            <w:r w:rsidR="008C2F6A">
              <w:rPr>
                <w:sz w:val="20"/>
                <w:szCs w:val="20"/>
              </w:rPr>
              <w:t>III.A.9)</w:t>
            </w:r>
          </w:p>
          <w:p w14:paraId="158BBEAD" w14:textId="131CF00D" w:rsidR="004202F0" w:rsidRPr="00961ECB" w:rsidRDefault="004202F0" w:rsidP="001217B8">
            <w:pPr>
              <w:pStyle w:val="CBDNormalNumber"/>
              <w:numPr>
                <w:ilvl w:val="0"/>
                <w:numId w:val="8"/>
              </w:numPr>
              <w:tabs>
                <w:tab w:val="clear" w:pos="567"/>
              </w:tabs>
              <w:spacing w:before="60" w:after="60"/>
              <w:ind w:left="359" w:hanging="283"/>
              <w:jc w:val="left"/>
              <w:rPr>
                <w:rFonts w:asciiTheme="majorBidi" w:hAnsiTheme="majorBidi" w:cstheme="majorBidi"/>
                <w:sz w:val="20"/>
                <w:szCs w:val="20"/>
              </w:rPr>
            </w:pPr>
            <w:r w:rsidRPr="00961ECB">
              <w:rPr>
                <w:rFonts w:asciiTheme="majorBidi" w:eastAsia="Malgun Gothic" w:hAnsiTheme="majorBidi" w:cstheme="majorBidi"/>
                <w:sz w:val="20"/>
                <w:szCs w:val="20"/>
                <w:lang w:val="en-CA"/>
              </w:rPr>
              <w:t xml:space="preserve">Measures related to other international </w:t>
            </w:r>
            <w:r w:rsidRPr="001217B8">
              <w:rPr>
                <w:rFonts w:asciiTheme="majorBidi" w:hAnsiTheme="majorBidi" w:cstheme="majorBidi"/>
                <w:sz w:val="20"/>
                <w:szCs w:val="20"/>
              </w:rPr>
              <w:t>instruments</w:t>
            </w:r>
            <w:r w:rsidRPr="00961ECB">
              <w:rPr>
                <w:rFonts w:asciiTheme="majorBidi" w:eastAsia="Malgun Gothic" w:hAnsiTheme="majorBidi" w:cstheme="majorBidi"/>
                <w:sz w:val="20"/>
                <w:szCs w:val="20"/>
                <w:lang w:val="en-CA"/>
              </w:rPr>
              <w:t xml:space="preserve"> (Article</w:t>
            </w:r>
            <w:r w:rsidR="00AA65C7">
              <w:rPr>
                <w:rFonts w:asciiTheme="majorBidi" w:eastAsia="Malgun Gothic" w:hAnsiTheme="majorBidi" w:cstheme="majorBidi"/>
                <w:sz w:val="20"/>
                <w:szCs w:val="20"/>
                <w:lang w:val="en-CA"/>
              </w:rPr>
              <w:t> </w:t>
            </w:r>
            <w:r w:rsidRPr="00961ECB">
              <w:rPr>
                <w:rFonts w:asciiTheme="majorBidi" w:eastAsia="Malgun Gothic" w:hAnsiTheme="majorBidi" w:cstheme="majorBidi"/>
                <w:sz w:val="20"/>
                <w:szCs w:val="20"/>
                <w:lang w:val="en-CA"/>
              </w:rPr>
              <w:t>4)</w:t>
            </w:r>
            <w:r w:rsidR="008C2F6A">
              <w:rPr>
                <w:rFonts w:asciiTheme="majorBidi" w:eastAsia="Malgun Gothic" w:hAnsiTheme="majorBidi" w:cstheme="majorBidi"/>
                <w:sz w:val="20"/>
                <w:szCs w:val="20"/>
                <w:lang w:val="en-CA"/>
              </w:rPr>
              <w:t xml:space="preserve"> </w:t>
            </w:r>
            <w:r w:rsidR="008C2F6A">
              <w:rPr>
                <w:sz w:val="20"/>
                <w:szCs w:val="20"/>
              </w:rPr>
              <w:t>(sect</w:t>
            </w:r>
            <w:r w:rsidR="0013080E">
              <w:rPr>
                <w:sz w:val="20"/>
                <w:szCs w:val="20"/>
              </w:rPr>
              <w:t>. </w:t>
            </w:r>
            <w:r w:rsidR="008C2F6A">
              <w:rPr>
                <w:sz w:val="20"/>
                <w:szCs w:val="20"/>
              </w:rPr>
              <w:t>III.A.10)</w:t>
            </w:r>
          </w:p>
          <w:p w14:paraId="2D1EC186" w14:textId="0EA35E03" w:rsidR="004202F0" w:rsidRPr="00961ECB" w:rsidRDefault="004202F0" w:rsidP="001217B8">
            <w:pPr>
              <w:pStyle w:val="CBDNormalNumber"/>
              <w:numPr>
                <w:ilvl w:val="0"/>
                <w:numId w:val="0"/>
              </w:numPr>
              <w:spacing w:before="60" w:after="60"/>
              <w:jc w:val="left"/>
              <w:rPr>
                <w:rFonts w:asciiTheme="majorBidi" w:hAnsiTheme="majorBidi" w:cstheme="majorBidi"/>
                <w:snapToGrid w:val="0"/>
                <w:kern w:val="22"/>
                <w:sz w:val="20"/>
                <w:szCs w:val="20"/>
              </w:rPr>
            </w:pPr>
            <w:r w:rsidRPr="00961ECB">
              <w:rPr>
                <w:rFonts w:asciiTheme="majorBidi" w:hAnsiTheme="majorBidi" w:cstheme="majorBidi"/>
                <w:snapToGrid w:val="0"/>
                <w:kern w:val="22"/>
                <w:sz w:val="20"/>
                <w:szCs w:val="20"/>
              </w:rPr>
              <w:t>(</w:t>
            </w:r>
            <w:r w:rsidR="009C32D4">
              <w:rPr>
                <w:rFonts w:asciiTheme="majorBidi" w:hAnsiTheme="majorBidi" w:cstheme="majorBidi"/>
                <w:snapToGrid w:val="0"/>
                <w:kern w:val="22"/>
                <w:sz w:val="20"/>
                <w:szCs w:val="20"/>
              </w:rPr>
              <w:t>b</w:t>
            </w:r>
            <w:r w:rsidRPr="00961ECB">
              <w:rPr>
                <w:rFonts w:asciiTheme="majorBidi" w:hAnsiTheme="majorBidi" w:cstheme="majorBidi"/>
                <w:snapToGrid w:val="0"/>
                <w:kern w:val="22"/>
                <w:sz w:val="20"/>
                <w:szCs w:val="20"/>
              </w:rPr>
              <w:t>) Assessment of effectiveness (</w:t>
            </w:r>
            <w:r w:rsidR="00931B7D">
              <w:rPr>
                <w:rFonts w:asciiTheme="majorBidi" w:hAnsiTheme="majorBidi" w:cstheme="majorBidi"/>
                <w:snapToGrid w:val="0"/>
                <w:kern w:val="22"/>
                <w:sz w:val="20"/>
                <w:szCs w:val="20"/>
              </w:rPr>
              <w:t xml:space="preserve">this </w:t>
            </w:r>
            <w:r w:rsidRPr="00961ECB">
              <w:rPr>
                <w:rFonts w:asciiTheme="majorBidi" w:hAnsiTheme="majorBidi" w:cstheme="majorBidi"/>
                <w:snapToGrid w:val="0"/>
                <w:kern w:val="22"/>
                <w:sz w:val="20"/>
                <w:szCs w:val="20"/>
              </w:rPr>
              <w:t>includ</w:t>
            </w:r>
            <w:r w:rsidR="00931B7D">
              <w:rPr>
                <w:rFonts w:asciiTheme="majorBidi" w:hAnsiTheme="majorBidi" w:cstheme="majorBidi"/>
                <w:snapToGrid w:val="0"/>
                <w:kern w:val="22"/>
                <w:sz w:val="20"/>
                <w:szCs w:val="20"/>
              </w:rPr>
              <w:t>es</w:t>
            </w:r>
            <w:r w:rsidRPr="00961ECB">
              <w:rPr>
                <w:rFonts w:asciiTheme="majorBidi" w:hAnsiTheme="majorBidi" w:cstheme="majorBidi"/>
                <w:snapToGrid w:val="0"/>
                <w:kern w:val="22"/>
                <w:sz w:val="20"/>
                <w:szCs w:val="20"/>
              </w:rPr>
              <w:t xml:space="preserve"> Article</w:t>
            </w:r>
            <w:r w:rsidR="00AA65C7">
              <w:rPr>
                <w:rFonts w:asciiTheme="majorBidi" w:hAnsiTheme="majorBidi" w:cstheme="majorBidi"/>
                <w:snapToGrid w:val="0"/>
                <w:kern w:val="22"/>
                <w:sz w:val="20"/>
                <w:szCs w:val="20"/>
              </w:rPr>
              <w:t> </w:t>
            </w:r>
            <w:r w:rsidRPr="00961ECB">
              <w:rPr>
                <w:rFonts w:asciiTheme="majorBidi" w:hAnsiTheme="majorBidi" w:cstheme="majorBidi"/>
                <w:snapToGrid w:val="0"/>
                <w:kern w:val="22"/>
                <w:sz w:val="20"/>
                <w:szCs w:val="20"/>
              </w:rPr>
              <w:t>9)</w:t>
            </w:r>
          </w:p>
          <w:p w14:paraId="0FF300E2" w14:textId="21F5A7B5" w:rsidR="004202F0" w:rsidRPr="00961ECB" w:rsidRDefault="004202F0" w:rsidP="001217B8">
            <w:pPr>
              <w:pStyle w:val="CBDNormalNumber"/>
              <w:numPr>
                <w:ilvl w:val="0"/>
                <w:numId w:val="0"/>
              </w:numPr>
              <w:spacing w:before="60" w:after="60"/>
              <w:jc w:val="left"/>
              <w:rPr>
                <w:rFonts w:asciiTheme="majorBidi" w:hAnsiTheme="majorBidi" w:cstheme="majorBidi"/>
                <w:snapToGrid w:val="0"/>
                <w:kern w:val="22"/>
                <w:sz w:val="20"/>
                <w:szCs w:val="20"/>
              </w:rPr>
            </w:pPr>
            <w:r w:rsidRPr="00961ECB">
              <w:rPr>
                <w:rFonts w:asciiTheme="majorBidi" w:hAnsiTheme="majorBidi" w:cstheme="majorBidi"/>
                <w:snapToGrid w:val="0"/>
                <w:kern w:val="22"/>
                <w:sz w:val="20"/>
                <w:szCs w:val="20"/>
              </w:rPr>
              <w:t>(</w:t>
            </w:r>
            <w:r w:rsidR="009C32D4">
              <w:rPr>
                <w:rFonts w:asciiTheme="majorBidi" w:hAnsiTheme="majorBidi" w:cstheme="majorBidi"/>
                <w:snapToGrid w:val="0"/>
                <w:kern w:val="22"/>
                <w:sz w:val="20"/>
                <w:szCs w:val="20"/>
              </w:rPr>
              <w:t>c</w:t>
            </w:r>
            <w:r w:rsidRPr="00961ECB">
              <w:rPr>
                <w:rFonts w:asciiTheme="majorBidi" w:hAnsiTheme="majorBidi" w:cstheme="majorBidi"/>
                <w:snapToGrid w:val="0"/>
                <w:kern w:val="22"/>
                <w:sz w:val="20"/>
                <w:szCs w:val="20"/>
              </w:rPr>
              <w:t>) Assessment of support available for implementation (Articles</w:t>
            </w:r>
            <w:r w:rsidR="00617D5B">
              <w:rPr>
                <w:rFonts w:asciiTheme="majorBidi" w:hAnsiTheme="majorBidi" w:cstheme="majorBidi"/>
                <w:snapToGrid w:val="0"/>
                <w:kern w:val="22"/>
                <w:sz w:val="20"/>
                <w:szCs w:val="20"/>
              </w:rPr>
              <w:t> </w:t>
            </w:r>
            <w:r w:rsidRPr="00961ECB">
              <w:rPr>
                <w:rFonts w:asciiTheme="majorBidi" w:hAnsiTheme="majorBidi" w:cstheme="majorBidi"/>
                <w:snapToGrid w:val="0"/>
                <w:kern w:val="22"/>
                <w:sz w:val="20"/>
                <w:szCs w:val="20"/>
              </w:rPr>
              <w:t>22 and</w:t>
            </w:r>
            <w:r w:rsidR="002F4C09">
              <w:rPr>
                <w:rFonts w:asciiTheme="majorBidi" w:hAnsiTheme="majorBidi" w:cstheme="majorBidi"/>
                <w:snapToGrid w:val="0"/>
                <w:kern w:val="22"/>
                <w:sz w:val="20"/>
                <w:szCs w:val="20"/>
              </w:rPr>
              <w:t xml:space="preserve"> </w:t>
            </w:r>
            <w:r w:rsidRPr="00961ECB">
              <w:rPr>
                <w:rFonts w:asciiTheme="majorBidi" w:hAnsiTheme="majorBidi" w:cstheme="majorBidi"/>
                <w:snapToGrid w:val="0"/>
                <w:kern w:val="22"/>
                <w:sz w:val="20"/>
                <w:szCs w:val="20"/>
              </w:rPr>
              <w:t>25)</w:t>
            </w:r>
          </w:p>
          <w:p w14:paraId="78759159" w14:textId="37068F16" w:rsidR="004202F0" w:rsidRPr="00961ECB" w:rsidRDefault="004202F0" w:rsidP="001217B8">
            <w:pPr>
              <w:pStyle w:val="CBDNormalNumber"/>
              <w:numPr>
                <w:ilvl w:val="0"/>
                <w:numId w:val="0"/>
              </w:numPr>
              <w:spacing w:before="60" w:after="60"/>
              <w:jc w:val="left"/>
              <w:rPr>
                <w:rFonts w:asciiTheme="majorBidi" w:hAnsiTheme="majorBidi" w:cstheme="majorBidi"/>
                <w:snapToGrid w:val="0"/>
                <w:kern w:val="22"/>
                <w:sz w:val="20"/>
                <w:szCs w:val="20"/>
              </w:rPr>
            </w:pPr>
            <w:r w:rsidRPr="00961ECB">
              <w:rPr>
                <w:rFonts w:asciiTheme="majorBidi" w:hAnsiTheme="majorBidi" w:cstheme="majorBidi"/>
                <w:snapToGrid w:val="0"/>
                <w:kern w:val="22"/>
                <w:sz w:val="20"/>
                <w:szCs w:val="20"/>
              </w:rPr>
              <w:t>(</w:t>
            </w:r>
            <w:r w:rsidR="009C32D4">
              <w:rPr>
                <w:rFonts w:asciiTheme="majorBidi" w:hAnsiTheme="majorBidi" w:cstheme="majorBidi"/>
                <w:snapToGrid w:val="0"/>
                <w:kern w:val="22"/>
                <w:sz w:val="20"/>
                <w:szCs w:val="20"/>
              </w:rPr>
              <w:t>d</w:t>
            </w:r>
            <w:r w:rsidRPr="00961ECB">
              <w:rPr>
                <w:rFonts w:asciiTheme="majorBidi" w:hAnsiTheme="majorBidi" w:cstheme="majorBidi"/>
                <w:snapToGrid w:val="0"/>
                <w:kern w:val="22"/>
                <w:sz w:val="20"/>
                <w:szCs w:val="20"/>
              </w:rPr>
              <w:t>) Assessment of effectiveness of Article 18 (extent of implementation)</w:t>
            </w:r>
          </w:p>
          <w:p w14:paraId="51560CD3" w14:textId="299F49A8" w:rsidR="004202F0" w:rsidRPr="00961ECB" w:rsidRDefault="004202F0" w:rsidP="001217B8">
            <w:pPr>
              <w:pStyle w:val="CBDNormalNumber"/>
              <w:numPr>
                <w:ilvl w:val="0"/>
                <w:numId w:val="0"/>
              </w:numPr>
              <w:spacing w:before="60" w:after="60"/>
              <w:jc w:val="left"/>
              <w:rPr>
                <w:rFonts w:asciiTheme="majorBidi" w:hAnsiTheme="majorBidi" w:cstheme="majorBidi"/>
                <w:snapToGrid w:val="0"/>
                <w:kern w:val="22"/>
                <w:sz w:val="20"/>
                <w:szCs w:val="20"/>
              </w:rPr>
            </w:pPr>
            <w:r w:rsidRPr="00961ECB">
              <w:rPr>
                <w:rFonts w:asciiTheme="majorBidi" w:hAnsiTheme="majorBidi" w:cstheme="majorBidi"/>
                <w:snapToGrid w:val="0"/>
                <w:kern w:val="22"/>
                <w:sz w:val="20"/>
                <w:szCs w:val="20"/>
              </w:rPr>
              <w:t>(</w:t>
            </w:r>
            <w:r w:rsidR="007A1143">
              <w:rPr>
                <w:rFonts w:asciiTheme="majorBidi" w:hAnsiTheme="majorBidi" w:cstheme="majorBidi"/>
                <w:snapToGrid w:val="0"/>
                <w:kern w:val="22"/>
                <w:sz w:val="20"/>
                <w:szCs w:val="20"/>
              </w:rPr>
              <w:t>e</w:t>
            </w:r>
            <w:r w:rsidRPr="00961ECB">
              <w:rPr>
                <w:rFonts w:asciiTheme="majorBidi" w:hAnsiTheme="majorBidi" w:cstheme="majorBidi"/>
                <w:snapToGrid w:val="0"/>
                <w:kern w:val="22"/>
                <w:sz w:val="20"/>
                <w:szCs w:val="20"/>
              </w:rPr>
              <w:t>) Assessment of implementation of Article 16 in the light of developments in other relevant international organizations, including the World Intellectual Property Organization</w:t>
            </w:r>
          </w:p>
          <w:p w14:paraId="6D36E07A" w14:textId="71131B1A" w:rsidR="004202F0" w:rsidRPr="00961ECB" w:rsidRDefault="004202F0" w:rsidP="001217B8">
            <w:pPr>
              <w:pStyle w:val="CBDNormalNumber"/>
              <w:numPr>
                <w:ilvl w:val="0"/>
                <w:numId w:val="0"/>
              </w:numPr>
              <w:spacing w:before="60" w:after="60"/>
              <w:jc w:val="left"/>
              <w:rPr>
                <w:rFonts w:asciiTheme="majorBidi" w:hAnsiTheme="majorBidi" w:cstheme="majorBidi"/>
                <w:snapToGrid w:val="0"/>
                <w:kern w:val="22"/>
                <w:sz w:val="20"/>
                <w:szCs w:val="20"/>
              </w:rPr>
            </w:pPr>
            <w:r w:rsidRPr="00961ECB">
              <w:rPr>
                <w:rFonts w:asciiTheme="majorBidi" w:hAnsiTheme="majorBidi" w:cstheme="majorBidi"/>
                <w:snapToGrid w:val="0"/>
                <w:kern w:val="22"/>
                <w:sz w:val="20"/>
                <w:szCs w:val="20"/>
              </w:rPr>
              <w:t>(</w:t>
            </w:r>
            <w:r w:rsidR="007A1143">
              <w:rPr>
                <w:rFonts w:asciiTheme="majorBidi" w:hAnsiTheme="majorBidi" w:cstheme="majorBidi"/>
                <w:snapToGrid w:val="0"/>
                <w:kern w:val="22"/>
                <w:sz w:val="20"/>
                <w:szCs w:val="20"/>
              </w:rPr>
              <w:t>f</w:t>
            </w:r>
            <w:r w:rsidRPr="00961ECB">
              <w:rPr>
                <w:rFonts w:asciiTheme="majorBidi" w:hAnsiTheme="majorBidi" w:cstheme="majorBidi"/>
                <w:snapToGrid w:val="0"/>
                <w:kern w:val="22"/>
                <w:sz w:val="20"/>
                <w:szCs w:val="20"/>
              </w:rPr>
              <w:t>) Stocktaking of the use of model contractual clauses, codes of conduct, guidelines, best practices and standards, as well as the customary laws, community protocols and procedures of indigenous peoples and local communities (Articles</w:t>
            </w:r>
            <w:r w:rsidR="000F73A0">
              <w:rPr>
                <w:rFonts w:asciiTheme="majorBidi" w:hAnsiTheme="majorBidi" w:cstheme="majorBidi"/>
                <w:snapToGrid w:val="0"/>
                <w:kern w:val="22"/>
                <w:sz w:val="20"/>
                <w:szCs w:val="20"/>
              </w:rPr>
              <w:t> </w:t>
            </w:r>
            <w:r w:rsidRPr="00961ECB">
              <w:rPr>
                <w:rFonts w:asciiTheme="majorBidi" w:hAnsiTheme="majorBidi" w:cstheme="majorBidi"/>
                <w:snapToGrid w:val="0"/>
                <w:kern w:val="22"/>
                <w:sz w:val="20"/>
                <w:szCs w:val="20"/>
              </w:rPr>
              <w:t>12, 19 and</w:t>
            </w:r>
            <w:r w:rsidR="00152395">
              <w:rPr>
                <w:rFonts w:asciiTheme="majorBidi" w:hAnsiTheme="majorBidi" w:cstheme="majorBidi"/>
                <w:snapToGrid w:val="0"/>
                <w:kern w:val="22"/>
                <w:sz w:val="20"/>
                <w:szCs w:val="20"/>
              </w:rPr>
              <w:t xml:space="preserve"> </w:t>
            </w:r>
            <w:r w:rsidRPr="00961ECB">
              <w:rPr>
                <w:rFonts w:asciiTheme="majorBidi" w:hAnsiTheme="majorBidi" w:cstheme="majorBidi"/>
                <w:snapToGrid w:val="0"/>
                <w:kern w:val="22"/>
                <w:sz w:val="20"/>
                <w:szCs w:val="20"/>
              </w:rPr>
              <w:t>20)</w:t>
            </w:r>
          </w:p>
          <w:p w14:paraId="18CBE368" w14:textId="17C25A47" w:rsidR="003F73C6" w:rsidRPr="00961ECB" w:rsidRDefault="004202F0" w:rsidP="001217B8">
            <w:pPr>
              <w:pStyle w:val="CBDNormalNumber"/>
              <w:numPr>
                <w:ilvl w:val="0"/>
                <w:numId w:val="0"/>
              </w:numPr>
              <w:spacing w:before="60" w:after="60"/>
              <w:jc w:val="left"/>
              <w:rPr>
                <w:rFonts w:asciiTheme="majorBidi" w:hAnsiTheme="majorBidi" w:cstheme="majorBidi"/>
                <w:sz w:val="20"/>
                <w:szCs w:val="20"/>
              </w:rPr>
            </w:pPr>
            <w:r w:rsidRPr="00961ECB">
              <w:rPr>
                <w:rFonts w:asciiTheme="majorBidi" w:hAnsiTheme="majorBidi" w:cstheme="majorBidi"/>
                <w:snapToGrid w:val="0"/>
                <w:kern w:val="22"/>
                <w:sz w:val="20"/>
                <w:szCs w:val="20"/>
              </w:rPr>
              <w:t>(</w:t>
            </w:r>
            <w:r w:rsidR="00842118">
              <w:rPr>
                <w:rFonts w:asciiTheme="majorBidi" w:hAnsiTheme="majorBidi" w:cstheme="majorBidi"/>
                <w:snapToGrid w:val="0"/>
                <w:kern w:val="22"/>
                <w:sz w:val="20"/>
                <w:szCs w:val="20"/>
              </w:rPr>
              <w:t>g</w:t>
            </w:r>
            <w:r w:rsidRPr="00961ECB">
              <w:rPr>
                <w:rFonts w:asciiTheme="majorBidi" w:hAnsiTheme="majorBidi" w:cstheme="majorBidi"/>
                <w:snapToGrid w:val="0"/>
                <w:kern w:val="22"/>
                <w:sz w:val="20"/>
                <w:szCs w:val="20"/>
              </w:rPr>
              <w:t>) Review of implementation and operation of the Access and Benefit-sharing Clearing-House, including number of access and benefit-sharing measures made available; number of countries that have published information on their competent national authorities; number of published internationally recognized certificates of compliance; and number of published checkpoint communiqués (Article</w:t>
            </w:r>
            <w:r w:rsidR="00AA65C7">
              <w:rPr>
                <w:rFonts w:asciiTheme="majorBidi" w:hAnsiTheme="majorBidi" w:cstheme="majorBidi"/>
                <w:snapToGrid w:val="0"/>
                <w:kern w:val="22"/>
                <w:sz w:val="20"/>
                <w:szCs w:val="20"/>
              </w:rPr>
              <w:t> </w:t>
            </w:r>
            <w:r w:rsidRPr="00961ECB">
              <w:rPr>
                <w:rFonts w:asciiTheme="majorBidi" w:hAnsiTheme="majorBidi" w:cstheme="majorBidi"/>
                <w:snapToGrid w:val="0"/>
                <w:kern w:val="22"/>
                <w:sz w:val="20"/>
                <w:szCs w:val="20"/>
              </w:rPr>
              <w:t>14)</w:t>
            </w:r>
            <w:r w:rsidR="008C4F15">
              <w:rPr>
                <w:rFonts w:asciiTheme="majorBidi" w:hAnsiTheme="majorBidi" w:cstheme="majorBidi"/>
                <w:snapToGrid w:val="0"/>
                <w:kern w:val="22"/>
                <w:sz w:val="20"/>
                <w:szCs w:val="20"/>
              </w:rPr>
              <w:t>, including with reference to</w:t>
            </w:r>
            <w:r w:rsidR="008C4F15">
              <w:rPr>
                <w:rFonts w:asciiTheme="majorBidi" w:hAnsiTheme="majorBidi" w:cstheme="majorBidi"/>
                <w:sz w:val="20"/>
                <w:szCs w:val="20"/>
              </w:rPr>
              <w:t xml:space="preserve"> r</w:t>
            </w:r>
            <w:r w:rsidR="003F73C6" w:rsidRPr="00961ECB">
              <w:rPr>
                <w:rFonts w:asciiTheme="majorBidi" w:hAnsiTheme="majorBidi" w:cstheme="majorBidi"/>
                <w:sz w:val="20"/>
                <w:szCs w:val="20"/>
              </w:rPr>
              <w:t xml:space="preserve">eference records </w:t>
            </w:r>
            <w:r w:rsidR="00EA4148" w:rsidRPr="00961ECB">
              <w:rPr>
                <w:rFonts w:asciiTheme="majorBidi" w:hAnsiTheme="majorBidi" w:cstheme="majorBidi"/>
                <w:sz w:val="20"/>
                <w:szCs w:val="20"/>
              </w:rPr>
              <w:t>in the Access and Benefit-sharing Clearing-House</w:t>
            </w:r>
            <w:r w:rsidR="008C2F6A">
              <w:rPr>
                <w:rFonts w:asciiTheme="majorBidi" w:hAnsiTheme="majorBidi" w:cstheme="majorBidi"/>
                <w:sz w:val="20"/>
                <w:szCs w:val="20"/>
              </w:rPr>
              <w:t xml:space="preserve"> </w:t>
            </w:r>
            <w:r w:rsidR="008C2F6A">
              <w:rPr>
                <w:sz w:val="20"/>
                <w:szCs w:val="20"/>
              </w:rPr>
              <w:t>(sect</w:t>
            </w:r>
            <w:r w:rsidR="00B01D47">
              <w:rPr>
                <w:sz w:val="20"/>
                <w:szCs w:val="20"/>
              </w:rPr>
              <w:t> </w:t>
            </w:r>
            <w:r w:rsidR="008C2F6A">
              <w:rPr>
                <w:sz w:val="20"/>
                <w:szCs w:val="20"/>
              </w:rPr>
              <w:t>III.G.2)</w:t>
            </w:r>
          </w:p>
          <w:p w14:paraId="7CC69875" w14:textId="58A820F2" w:rsidR="004202F0" w:rsidRPr="00961ECB" w:rsidRDefault="004202F0" w:rsidP="001217B8">
            <w:pPr>
              <w:pStyle w:val="CBDNormalNumber"/>
              <w:numPr>
                <w:ilvl w:val="0"/>
                <w:numId w:val="0"/>
              </w:numPr>
              <w:spacing w:before="60" w:after="60"/>
              <w:jc w:val="left"/>
              <w:rPr>
                <w:rFonts w:asciiTheme="majorBidi" w:hAnsiTheme="majorBidi" w:cstheme="majorBidi"/>
                <w:snapToGrid w:val="0"/>
                <w:kern w:val="22"/>
                <w:sz w:val="20"/>
                <w:szCs w:val="20"/>
              </w:rPr>
            </w:pPr>
            <w:r w:rsidRPr="00961ECB">
              <w:rPr>
                <w:rFonts w:asciiTheme="majorBidi" w:hAnsiTheme="majorBidi" w:cstheme="majorBidi"/>
                <w:snapToGrid w:val="0"/>
                <w:kern w:val="22"/>
                <w:sz w:val="20"/>
                <w:szCs w:val="20"/>
              </w:rPr>
              <w:t>(</w:t>
            </w:r>
            <w:r w:rsidR="00842118">
              <w:rPr>
                <w:rFonts w:asciiTheme="majorBidi" w:hAnsiTheme="majorBidi" w:cstheme="majorBidi"/>
                <w:snapToGrid w:val="0"/>
                <w:kern w:val="22"/>
                <w:sz w:val="20"/>
                <w:szCs w:val="20"/>
              </w:rPr>
              <w:t>h</w:t>
            </w:r>
            <w:r w:rsidRPr="00961ECB">
              <w:rPr>
                <w:rFonts w:asciiTheme="majorBidi" w:hAnsiTheme="majorBidi" w:cstheme="majorBidi"/>
                <w:snapToGrid w:val="0"/>
                <w:kern w:val="22"/>
                <w:sz w:val="20"/>
                <w:szCs w:val="20"/>
              </w:rPr>
              <w:t>) Progress on the implementation of Article 10</w:t>
            </w:r>
            <w:r w:rsidRPr="00961ECB" w:rsidDel="00B42AA3">
              <w:rPr>
                <w:rFonts w:asciiTheme="majorBidi" w:hAnsiTheme="majorBidi" w:cstheme="majorBidi"/>
                <w:snapToGrid w:val="0"/>
                <w:kern w:val="22"/>
                <w:sz w:val="20"/>
                <w:szCs w:val="20"/>
              </w:rPr>
              <w:t>, on a global multilateral benefit-sharing mechanism</w:t>
            </w:r>
          </w:p>
          <w:p w14:paraId="796CCA54" w14:textId="6496ECD0" w:rsidR="004202F0" w:rsidRPr="00961ECB" w:rsidRDefault="004202F0" w:rsidP="001217B8">
            <w:pPr>
              <w:pStyle w:val="CBDNormalNumber"/>
              <w:numPr>
                <w:ilvl w:val="0"/>
                <w:numId w:val="0"/>
              </w:numPr>
              <w:spacing w:before="60" w:after="60"/>
              <w:jc w:val="left"/>
              <w:rPr>
                <w:rFonts w:asciiTheme="majorBidi" w:hAnsiTheme="majorBidi" w:cstheme="majorBidi"/>
                <w:snapToGrid w:val="0"/>
                <w:kern w:val="22"/>
                <w:sz w:val="20"/>
                <w:szCs w:val="20"/>
              </w:rPr>
            </w:pPr>
            <w:r w:rsidRPr="00961ECB">
              <w:rPr>
                <w:rFonts w:asciiTheme="majorBidi" w:hAnsiTheme="majorBidi" w:cstheme="majorBidi"/>
                <w:snapToGrid w:val="0"/>
                <w:kern w:val="22"/>
                <w:sz w:val="20"/>
                <w:szCs w:val="20"/>
              </w:rPr>
              <w:lastRenderedPageBreak/>
              <w:t>(</w:t>
            </w:r>
            <w:proofErr w:type="spellStart"/>
            <w:r w:rsidR="00842118">
              <w:rPr>
                <w:rFonts w:asciiTheme="majorBidi" w:hAnsiTheme="majorBidi" w:cstheme="majorBidi"/>
                <w:snapToGrid w:val="0"/>
                <w:kern w:val="22"/>
                <w:sz w:val="20"/>
                <w:szCs w:val="20"/>
              </w:rPr>
              <w:t>i</w:t>
            </w:r>
            <w:proofErr w:type="spellEnd"/>
            <w:r w:rsidRPr="00961ECB">
              <w:rPr>
                <w:rFonts w:asciiTheme="majorBidi" w:hAnsiTheme="majorBidi" w:cstheme="majorBidi"/>
                <w:snapToGrid w:val="0"/>
                <w:kern w:val="22"/>
                <w:sz w:val="20"/>
                <w:szCs w:val="20"/>
              </w:rPr>
              <w:t>) Progress on the implementation of Article 23</w:t>
            </w:r>
            <w:r w:rsidRPr="00961ECB" w:rsidDel="00B42AA3">
              <w:rPr>
                <w:rFonts w:asciiTheme="majorBidi" w:hAnsiTheme="majorBidi" w:cstheme="majorBidi"/>
                <w:snapToGrid w:val="0"/>
                <w:kern w:val="22"/>
                <w:sz w:val="20"/>
                <w:szCs w:val="20"/>
              </w:rPr>
              <w:t>, on technology transfer, collaboration and cooperation</w:t>
            </w:r>
          </w:p>
        </w:tc>
      </w:tr>
    </w:tbl>
    <w:p w14:paraId="10B94CDC" w14:textId="6B6A22FE" w:rsidR="00A111D1" w:rsidRPr="003F1A75" w:rsidRDefault="00A111D1" w:rsidP="00F16BBA">
      <w:pPr>
        <w:pStyle w:val="Para1"/>
        <w:numPr>
          <w:ilvl w:val="0"/>
          <w:numId w:val="0"/>
        </w:numPr>
        <w:jc w:val="center"/>
      </w:pPr>
      <w:r w:rsidRPr="003F1A75">
        <w:lastRenderedPageBreak/>
        <w:t>__________</w:t>
      </w:r>
    </w:p>
    <w:sectPr w:rsidR="00A111D1" w:rsidRPr="003F1A75" w:rsidSect="00447F4A">
      <w:headerReference w:type="even" r:id="rId19"/>
      <w:headerReference w:type="default" r:id="rId20"/>
      <w:footerReference w:type="even" r:id="rId21"/>
      <w:footerReference w:type="default" r:id="rId22"/>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2150C" w14:textId="77777777" w:rsidR="00EC66C7" w:rsidRPr="003F1A75" w:rsidRDefault="00EC66C7" w:rsidP="00CF1848">
      <w:r w:rsidRPr="003F1A75">
        <w:separator/>
      </w:r>
    </w:p>
  </w:endnote>
  <w:endnote w:type="continuationSeparator" w:id="0">
    <w:p w14:paraId="2B74B962" w14:textId="77777777" w:rsidR="00EC66C7" w:rsidRPr="003F1A75" w:rsidRDefault="00EC66C7"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7C2871F7" w14:textId="77777777" w:rsidR="00D75CA6" w:rsidRPr="006729FD" w:rsidRDefault="00D75CA6" w:rsidP="00D75CA6">
            <w:pPr>
              <w:pStyle w:val="Footer"/>
              <w:jc w:val="left"/>
            </w:pPr>
            <w:r w:rsidRPr="006729FD">
              <w:rPr>
                <w:szCs w:val="20"/>
              </w:rPr>
              <w:fldChar w:fldCharType="begin"/>
            </w:r>
            <w:r w:rsidRPr="006729FD">
              <w:rPr>
                <w:szCs w:val="20"/>
              </w:rPr>
              <w:instrText xml:space="preserve"> PAGE </w:instrText>
            </w:r>
            <w:r w:rsidRPr="006729FD">
              <w:rPr>
                <w:szCs w:val="20"/>
              </w:rPr>
              <w:fldChar w:fldCharType="separate"/>
            </w:r>
            <w:r w:rsidRPr="006729FD">
              <w:rPr>
                <w:noProof/>
                <w:szCs w:val="20"/>
              </w:rPr>
              <w:t>2</w:t>
            </w:r>
            <w:r w:rsidRPr="006729FD">
              <w:rPr>
                <w:szCs w:val="20"/>
              </w:rPr>
              <w:fldChar w:fldCharType="end"/>
            </w:r>
            <w:r w:rsidRPr="006729FD">
              <w:rPr>
                <w:szCs w:val="20"/>
              </w:rPr>
              <w:t>/</w:t>
            </w:r>
            <w:r w:rsidRPr="006729FD">
              <w:rPr>
                <w:szCs w:val="20"/>
              </w:rPr>
              <w:fldChar w:fldCharType="begin"/>
            </w:r>
            <w:r w:rsidRPr="006729FD">
              <w:rPr>
                <w:szCs w:val="20"/>
              </w:rPr>
              <w:instrText xml:space="preserve"> NUMPAGES  </w:instrText>
            </w:r>
            <w:r w:rsidRPr="006729FD">
              <w:rPr>
                <w:szCs w:val="20"/>
              </w:rPr>
              <w:fldChar w:fldCharType="separate"/>
            </w:r>
            <w:r w:rsidRPr="006729FD">
              <w:rPr>
                <w:noProof/>
                <w:szCs w:val="20"/>
              </w:rPr>
              <w:t>2</w:t>
            </w:r>
            <w:r w:rsidRPr="006729FD">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0D7D23DA" w14:textId="77777777" w:rsidR="00D75CA6" w:rsidRPr="006729FD" w:rsidRDefault="00D75CA6" w:rsidP="006729FD">
        <w:pPr>
          <w:pStyle w:val="Footer"/>
          <w:jc w:val="right"/>
        </w:pPr>
        <w:r w:rsidRPr="006729FD">
          <w:rPr>
            <w:szCs w:val="20"/>
          </w:rPr>
          <w:fldChar w:fldCharType="begin"/>
        </w:r>
        <w:r w:rsidRPr="006729FD">
          <w:rPr>
            <w:szCs w:val="20"/>
          </w:rPr>
          <w:instrText xml:space="preserve"> PAGE </w:instrText>
        </w:r>
        <w:r w:rsidRPr="006729FD">
          <w:rPr>
            <w:szCs w:val="20"/>
          </w:rPr>
          <w:fldChar w:fldCharType="separate"/>
        </w:r>
        <w:r w:rsidRPr="006729FD">
          <w:rPr>
            <w:szCs w:val="20"/>
          </w:rPr>
          <w:t>2</w:t>
        </w:r>
        <w:r w:rsidRPr="006729FD">
          <w:rPr>
            <w:szCs w:val="20"/>
          </w:rPr>
          <w:fldChar w:fldCharType="end"/>
        </w:r>
        <w:r w:rsidRPr="006729FD">
          <w:rPr>
            <w:szCs w:val="20"/>
          </w:rPr>
          <w:t>/</w:t>
        </w:r>
        <w:r w:rsidRPr="006729FD">
          <w:rPr>
            <w:szCs w:val="20"/>
          </w:rPr>
          <w:fldChar w:fldCharType="begin"/>
        </w:r>
        <w:r w:rsidRPr="006729FD">
          <w:rPr>
            <w:szCs w:val="20"/>
          </w:rPr>
          <w:instrText xml:space="preserve"> NUMPAGES  </w:instrText>
        </w:r>
        <w:r w:rsidRPr="006729FD">
          <w:rPr>
            <w:szCs w:val="20"/>
          </w:rPr>
          <w:fldChar w:fldCharType="separate"/>
        </w:r>
        <w:r w:rsidRPr="006729FD">
          <w:rPr>
            <w:szCs w:val="20"/>
          </w:rPr>
          <w:t>3</w:t>
        </w:r>
        <w:r w:rsidRPr="006729FD">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39F89" w14:textId="77777777" w:rsidR="00EC66C7" w:rsidRPr="003F1A75" w:rsidRDefault="00EC66C7" w:rsidP="00CF1848">
      <w:r w:rsidRPr="003F1A75">
        <w:separator/>
      </w:r>
    </w:p>
  </w:footnote>
  <w:footnote w:type="continuationSeparator" w:id="0">
    <w:p w14:paraId="0311993B" w14:textId="77777777" w:rsidR="00EC66C7" w:rsidRPr="003F1A75" w:rsidRDefault="00EC66C7" w:rsidP="00CF1848">
      <w:r w:rsidRPr="003F1A75">
        <w:continuationSeparator/>
      </w:r>
    </w:p>
  </w:footnote>
  <w:footnote w:id="1">
    <w:p w14:paraId="58940726" w14:textId="76EBE821" w:rsidR="008A1499" w:rsidRPr="003F1A75" w:rsidRDefault="008A1499">
      <w:pPr>
        <w:pStyle w:val="FootnoteText"/>
      </w:pPr>
      <w:r w:rsidRPr="003F1A75">
        <w:rPr>
          <w:rStyle w:val="FootnoteReference"/>
        </w:rPr>
        <w:t>*</w:t>
      </w:r>
      <w:r w:rsidRPr="003F1A75">
        <w:t xml:space="preserve"> </w:t>
      </w:r>
      <w:hyperlink r:id="rId1" w:history="1">
        <w:r w:rsidRPr="00C176BF">
          <w:rPr>
            <w:rStyle w:val="Hyperlink"/>
          </w:rPr>
          <w:t>CBD/</w:t>
        </w:r>
        <w:r w:rsidR="00272A6D" w:rsidRPr="00C176BF">
          <w:rPr>
            <w:rStyle w:val="Hyperlink"/>
          </w:rPr>
          <w:t>NP/CC/5</w:t>
        </w:r>
        <w:r w:rsidRPr="00C176BF">
          <w:rPr>
            <w:rStyle w:val="Hyperlink"/>
          </w:rPr>
          <w:t>/1</w:t>
        </w:r>
      </w:hyperlink>
      <w:r w:rsidRPr="003F1A7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79BECA0" w14:textId="52690761" w:rsidR="00534681" w:rsidRPr="003F1A75" w:rsidRDefault="00447F4A" w:rsidP="007C4951">
        <w:pPr>
          <w:pStyle w:val="Header"/>
          <w:spacing w:after="240"/>
          <w:rPr>
            <w:szCs w:val="20"/>
          </w:rPr>
        </w:pPr>
        <w:r w:rsidRPr="003F1A75">
          <w:rPr>
            <w:szCs w:val="20"/>
          </w:rPr>
          <w:t>CBD/</w:t>
        </w:r>
        <w:r w:rsidR="005A2EF7">
          <w:rPr>
            <w:szCs w:val="20"/>
          </w:rPr>
          <w:t>NP/CC/5/4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79D79080" w14:textId="04128105" w:rsidR="009505C9" w:rsidRPr="003F1A75" w:rsidRDefault="005A2EF7" w:rsidP="007C4951">
        <w:pPr>
          <w:pStyle w:val="Header"/>
          <w:spacing w:after="240"/>
          <w:jc w:val="right"/>
        </w:pPr>
        <w:r>
          <w:t>CBD/NP/CC/5/4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A7632C"/>
    <w:multiLevelType w:val="hybridMultilevel"/>
    <w:tmpl w:val="9EB65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8A07120"/>
    <w:multiLevelType w:val="hybridMultilevel"/>
    <w:tmpl w:val="A2CC0CF4"/>
    <w:lvl w:ilvl="0" w:tplc="62781028">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4D5B78"/>
    <w:multiLevelType w:val="hybridMultilevel"/>
    <w:tmpl w:val="A6EE6ABA"/>
    <w:lvl w:ilvl="0" w:tplc="5DB8B230">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D943BEE"/>
    <w:multiLevelType w:val="multilevel"/>
    <w:tmpl w:val="222A08B4"/>
    <w:numStyleLink w:val="ListCBD"/>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5"/>
  </w:num>
  <w:num w:numId="2" w16cid:durableId="1858829">
    <w:abstractNumId w:val="2"/>
  </w:num>
  <w:num w:numId="3" w16cid:durableId="1333221471">
    <w:abstractNumId w:val="8"/>
  </w:num>
  <w:num w:numId="4" w16cid:durableId="1072390599">
    <w:abstractNumId w:val="9"/>
  </w:num>
  <w:num w:numId="5" w16cid:durableId="960385107">
    <w:abstractNumId w:val="4"/>
  </w:num>
  <w:num w:numId="6" w16cid:durableId="893932166">
    <w:abstractNumId w:val="7"/>
  </w:num>
  <w:num w:numId="7" w16cid:durableId="323945383">
    <w:abstractNumId w:val="6"/>
  </w:num>
  <w:num w:numId="8" w16cid:durableId="1759520537">
    <w:abstractNumId w:val="3"/>
  </w:num>
  <w:num w:numId="9" w16cid:durableId="2033258458">
    <w:abstractNumId w:val="1"/>
  </w:num>
  <w:num w:numId="10" w16cid:durableId="752975668">
    <w:abstractNumId w:val="0"/>
  </w:num>
  <w:num w:numId="11" w16cid:durableId="225724540">
    <w:abstractNumId w:val="6"/>
  </w:num>
  <w:num w:numId="12" w16cid:durableId="1626694638">
    <w:abstractNumId w:val="6"/>
  </w:num>
  <w:num w:numId="13" w16cid:durableId="996684398">
    <w:abstractNumId w:val="6"/>
  </w:num>
  <w:num w:numId="14" w16cid:durableId="1854491969">
    <w:abstractNumId w:val="6"/>
  </w:num>
  <w:num w:numId="15" w16cid:durableId="287515193">
    <w:abstractNumId w:val="6"/>
  </w:num>
  <w:num w:numId="16" w16cid:durableId="736394331">
    <w:abstractNumId w:val="6"/>
  </w:num>
  <w:num w:numId="17" w16cid:durableId="2133281978">
    <w:abstractNumId w:val="6"/>
  </w:num>
  <w:num w:numId="18" w16cid:durableId="1022392509">
    <w:abstractNumId w:val="6"/>
  </w:num>
  <w:num w:numId="19" w16cid:durableId="2075152602">
    <w:abstractNumId w:val="6"/>
  </w:num>
  <w:num w:numId="20" w16cid:durableId="1982037270">
    <w:abstractNumId w:val="6"/>
  </w:num>
  <w:num w:numId="21" w16cid:durableId="48189463">
    <w:abstractNumId w:val="6"/>
  </w:num>
  <w:num w:numId="22" w16cid:durableId="715466191">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1971"/>
    <w:rsid w:val="00000771"/>
    <w:rsid w:val="00003C25"/>
    <w:rsid w:val="00015FAA"/>
    <w:rsid w:val="00024A60"/>
    <w:rsid w:val="00046EF2"/>
    <w:rsid w:val="00050AD4"/>
    <w:rsid w:val="000633D5"/>
    <w:rsid w:val="0007171B"/>
    <w:rsid w:val="00075428"/>
    <w:rsid w:val="00077162"/>
    <w:rsid w:val="000A014F"/>
    <w:rsid w:val="000A3907"/>
    <w:rsid w:val="000A56A6"/>
    <w:rsid w:val="000B1A61"/>
    <w:rsid w:val="000B3730"/>
    <w:rsid w:val="000B6593"/>
    <w:rsid w:val="000B7B43"/>
    <w:rsid w:val="000C6946"/>
    <w:rsid w:val="000D0F68"/>
    <w:rsid w:val="000E17D9"/>
    <w:rsid w:val="000E47C6"/>
    <w:rsid w:val="000E673A"/>
    <w:rsid w:val="000F01E2"/>
    <w:rsid w:val="000F1AF3"/>
    <w:rsid w:val="000F6945"/>
    <w:rsid w:val="000F73A0"/>
    <w:rsid w:val="000F74F5"/>
    <w:rsid w:val="000F78FC"/>
    <w:rsid w:val="000F7FB9"/>
    <w:rsid w:val="0010223C"/>
    <w:rsid w:val="001026F9"/>
    <w:rsid w:val="00105372"/>
    <w:rsid w:val="001054A6"/>
    <w:rsid w:val="001076C6"/>
    <w:rsid w:val="001078A1"/>
    <w:rsid w:val="00111D04"/>
    <w:rsid w:val="00113A26"/>
    <w:rsid w:val="00120E67"/>
    <w:rsid w:val="001217B8"/>
    <w:rsid w:val="00124517"/>
    <w:rsid w:val="00124D04"/>
    <w:rsid w:val="0013080E"/>
    <w:rsid w:val="001312AD"/>
    <w:rsid w:val="00131E7A"/>
    <w:rsid w:val="00134846"/>
    <w:rsid w:val="0014118C"/>
    <w:rsid w:val="00152395"/>
    <w:rsid w:val="00153123"/>
    <w:rsid w:val="00172AF6"/>
    <w:rsid w:val="00172B0F"/>
    <w:rsid w:val="00176CEE"/>
    <w:rsid w:val="00186DD8"/>
    <w:rsid w:val="001A3142"/>
    <w:rsid w:val="001A35EC"/>
    <w:rsid w:val="001B13FE"/>
    <w:rsid w:val="001C01B9"/>
    <w:rsid w:val="001D0E6B"/>
    <w:rsid w:val="001D20FC"/>
    <w:rsid w:val="001D330A"/>
    <w:rsid w:val="001D672B"/>
    <w:rsid w:val="001E6544"/>
    <w:rsid w:val="001E69C5"/>
    <w:rsid w:val="00212857"/>
    <w:rsid w:val="002161CD"/>
    <w:rsid w:val="002168F6"/>
    <w:rsid w:val="00227D0F"/>
    <w:rsid w:val="00230650"/>
    <w:rsid w:val="00245D6E"/>
    <w:rsid w:val="00246654"/>
    <w:rsid w:val="00247456"/>
    <w:rsid w:val="002501DC"/>
    <w:rsid w:val="002565E8"/>
    <w:rsid w:val="00257CFB"/>
    <w:rsid w:val="00263334"/>
    <w:rsid w:val="00272A6D"/>
    <w:rsid w:val="002754EA"/>
    <w:rsid w:val="00275E3C"/>
    <w:rsid w:val="0027779B"/>
    <w:rsid w:val="00287E9D"/>
    <w:rsid w:val="0029159E"/>
    <w:rsid w:val="00297919"/>
    <w:rsid w:val="002A2B92"/>
    <w:rsid w:val="002A6949"/>
    <w:rsid w:val="002B14A1"/>
    <w:rsid w:val="002B19E3"/>
    <w:rsid w:val="002B679A"/>
    <w:rsid w:val="002C1D66"/>
    <w:rsid w:val="002E5EDB"/>
    <w:rsid w:val="002F35C8"/>
    <w:rsid w:val="002F4C09"/>
    <w:rsid w:val="002F7E91"/>
    <w:rsid w:val="003008FE"/>
    <w:rsid w:val="0030169D"/>
    <w:rsid w:val="003060EB"/>
    <w:rsid w:val="00313626"/>
    <w:rsid w:val="0031406C"/>
    <w:rsid w:val="003153EB"/>
    <w:rsid w:val="00316808"/>
    <w:rsid w:val="0032136E"/>
    <w:rsid w:val="00321985"/>
    <w:rsid w:val="003252D1"/>
    <w:rsid w:val="00325AD8"/>
    <w:rsid w:val="0032773F"/>
    <w:rsid w:val="00330E62"/>
    <w:rsid w:val="00331CFC"/>
    <w:rsid w:val="003330E5"/>
    <w:rsid w:val="003366B0"/>
    <w:rsid w:val="00351205"/>
    <w:rsid w:val="00355B06"/>
    <w:rsid w:val="0037149F"/>
    <w:rsid w:val="00371AE6"/>
    <w:rsid w:val="00372F74"/>
    <w:rsid w:val="0038081D"/>
    <w:rsid w:val="0038461A"/>
    <w:rsid w:val="00390CF4"/>
    <w:rsid w:val="00393182"/>
    <w:rsid w:val="003A26AD"/>
    <w:rsid w:val="003A5A47"/>
    <w:rsid w:val="003A6763"/>
    <w:rsid w:val="003B2977"/>
    <w:rsid w:val="003C491B"/>
    <w:rsid w:val="003D07F2"/>
    <w:rsid w:val="003D0F7E"/>
    <w:rsid w:val="003D33E3"/>
    <w:rsid w:val="003D7745"/>
    <w:rsid w:val="003E5A6D"/>
    <w:rsid w:val="003F1A75"/>
    <w:rsid w:val="003F5F6A"/>
    <w:rsid w:val="003F7224"/>
    <w:rsid w:val="003F73C6"/>
    <w:rsid w:val="00403189"/>
    <w:rsid w:val="004202F0"/>
    <w:rsid w:val="00422667"/>
    <w:rsid w:val="00423518"/>
    <w:rsid w:val="0042594A"/>
    <w:rsid w:val="0042617B"/>
    <w:rsid w:val="00427D21"/>
    <w:rsid w:val="00430318"/>
    <w:rsid w:val="004306FF"/>
    <w:rsid w:val="00434854"/>
    <w:rsid w:val="00441235"/>
    <w:rsid w:val="00442FD6"/>
    <w:rsid w:val="00446810"/>
    <w:rsid w:val="00447F4A"/>
    <w:rsid w:val="00447FDD"/>
    <w:rsid w:val="0045362B"/>
    <w:rsid w:val="00456F67"/>
    <w:rsid w:val="00461F7D"/>
    <w:rsid w:val="004644C2"/>
    <w:rsid w:val="00467F9C"/>
    <w:rsid w:val="00473F93"/>
    <w:rsid w:val="00480D51"/>
    <w:rsid w:val="00486815"/>
    <w:rsid w:val="004A5CF8"/>
    <w:rsid w:val="004A6D32"/>
    <w:rsid w:val="004B1A7C"/>
    <w:rsid w:val="004B53AC"/>
    <w:rsid w:val="004B5A1B"/>
    <w:rsid w:val="004D25EC"/>
    <w:rsid w:val="004E227E"/>
    <w:rsid w:val="004E2B06"/>
    <w:rsid w:val="004F3CBC"/>
    <w:rsid w:val="0050721E"/>
    <w:rsid w:val="0051006C"/>
    <w:rsid w:val="00512B5E"/>
    <w:rsid w:val="00524104"/>
    <w:rsid w:val="00531D78"/>
    <w:rsid w:val="005321A8"/>
    <w:rsid w:val="00532C59"/>
    <w:rsid w:val="005342AA"/>
    <w:rsid w:val="00534681"/>
    <w:rsid w:val="00536EAE"/>
    <w:rsid w:val="00552874"/>
    <w:rsid w:val="0055794A"/>
    <w:rsid w:val="0056068E"/>
    <w:rsid w:val="00561178"/>
    <w:rsid w:val="00561F9E"/>
    <w:rsid w:val="00563442"/>
    <w:rsid w:val="0056348E"/>
    <w:rsid w:val="00564016"/>
    <w:rsid w:val="00565B35"/>
    <w:rsid w:val="00565B42"/>
    <w:rsid w:val="005768DA"/>
    <w:rsid w:val="00576DF3"/>
    <w:rsid w:val="00584C10"/>
    <w:rsid w:val="005870DD"/>
    <w:rsid w:val="0059082C"/>
    <w:rsid w:val="0059522E"/>
    <w:rsid w:val="005A2EF7"/>
    <w:rsid w:val="005B1C45"/>
    <w:rsid w:val="005B35E2"/>
    <w:rsid w:val="005B5185"/>
    <w:rsid w:val="005B6FF8"/>
    <w:rsid w:val="005C352A"/>
    <w:rsid w:val="005C4CE6"/>
    <w:rsid w:val="005D0A6C"/>
    <w:rsid w:val="005E468B"/>
    <w:rsid w:val="005F3895"/>
    <w:rsid w:val="00601EAC"/>
    <w:rsid w:val="00610758"/>
    <w:rsid w:val="00610989"/>
    <w:rsid w:val="006122BA"/>
    <w:rsid w:val="00617D5B"/>
    <w:rsid w:val="00622586"/>
    <w:rsid w:val="006257CD"/>
    <w:rsid w:val="0062743E"/>
    <w:rsid w:val="00627C0A"/>
    <w:rsid w:val="00630F93"/>
    <w:rsid w:val="00643135"/>
    <w:rsid w:val="006478BF"/>
    <w:rsid w:val="00665CCC"/>
    <w:rsid w:val="006729FD"/>
    <w:rsid w:val="006733F8"/>
    <w:rsid w:val="0068053F"/>
    <w:rsid w:val="00683801"/>
    <w:rsid w:val="00696809"/>
    <w:rsid w:val="00697C37"/>
    <w:rsid w:val="006A2BD4"/>
    <w:rsid w:val="006A73C1"/>
    <w:rsid w:val="006B2290"/>
    <w:rsid w:val="006B6643"/>
    <w:rsid w:val="006C1971"/>
    <w:rsid w:val="006C1CA3"/>
    <w:rsid w:val="006C74E5"/>
    <w:rsid w:val="006E6B52"/>
    <w:rsid w:val="006E6CB5"/>
    <w:rsid w:val="006E72D3"/>
    <w:rsid w:val="006F20B7"/>
    <w:rsid w:val="007065E2"/>
    <w:rsid w:val="00706713"/>
    <w:rsid w:val="00711A40"/>
    <w:rsid w:val="00714301"/>
    <w:rsid w:val="00717D88"/>
    <w:rsid w:val="00722D35"/>
    <w:rsid w:val="00723126"/>
    <w:rsid w:val="007234A1"/>
    <w:rsid w:val="007243EB"/>
    <w:rsid w:val="00726A43"/>
    <w:rsid w:val="00727650"/>
    <w:rsid w:val="00742033"/>
    <w:rsid w:val="00746A78"/>
    <w:rsid w:val="00750BAA"/>
    <w:rsid w:val="00750E98"/>
    <w:rsid w:val="0076591B"/>
    <w:rsid w:val="00770836"/>
    <w:rsid w:val="007729A5"/>
    <w:rsid w:val="00774D93"/>
    <w:rsid w:val="00775729"/>
    <w:rsid w:val="00776F2C"/>
    <w:rsid w:val="00783E0F"/>
    <w:rsid w:val="00785532"/>
    <w:rsid w:val="00785B1B"/>
    <w:rsid w:val="00786056"/>
    <w:rsid w:val="00790EFD"/>
    <w:rsid w:val="007915BA"/>
    <w:rsid w:val="007942D3"/>
    <w:rsid w:val="00797A07"/>
    <w:rsid w:val="007A1143"/>
    <w:rsid w:val="007A4B4E"/>
    <w:rsid w:val="007A4E91"/>
    <w:rsid w:val="007A76D5"/>
    <w:rsid w:val="007B2099"/>
    <w:rsid w:val="007B6C09"/>
    <w:rsid w:val="007B7741"/>
    <w:rsid w:val="007C4467"/>
    <w:rsid w:val="007C47FE"/>
    <w:rsid w:val="007C4951"/>
    <w:rsid w:val="007D18E4"/>
    <w:rsid w:val="007D6495"/>
    <w:rsid w:val="007E09DA"/>
    <w:rsid w:val="007E0F8A"/>
    <w:rsid w:val="007E3270"/>
    <w:rsid w:val="007E7977"/>
    <w:rsid w:val="007E79B0"/>
    <w:rsid w:val="007F1203"/>
    <w:rsid w:val="007F718D"/>
    <w:rsid w:val="00800AB5"/>
    <w:rsid w:val="00801FAD"/>
    <w:rsid w:val="0080730E"/>
    <w:rsid w:val="008178B6"/>
    <w:rsid w:val="008211CE"/>
    <w:rsid w:val="00821593"/>
    <w:rsid w:val="00825261"/>
    <w:rsid w:val="008263E2"/>
    <w:rsid w:val="00832BAA"/>
    <w:rsid w:val="00833BDC"/>
    <w:rsid w:val="00842118"/>
    <w:rsid w:val="00845983"/>
    <w:rsid w:val="00847224"/>
    <w:rsid w:val="008549D5"/>
    <w:rsid w:val="00855FD4"/>
    <w:rsid w:val="00856CD3"/>
    <w:rsid w:val="00857B9C"/>
    <w:rsid w:val="00865B74"/>
    <w:rsid w:val="00866063"/>
    <w:rsid w:val="0087082D"/>
    <w:rsid w:val="00873541"/>
    <w:rsid w:val="00885E3F"/>
    <w:rsid w:val="0088744E"/>
    <w:rsid w:val="008876CA"/>
    <w:rsid w:val="00896964"/>
    <w:rsid w:val="008974F0"/>
    <w:rsid w:val="008A1499"/>
    <w:rsid w:val="008A3C05"/>
    <w:rsid w:val="008B012A"/>
    <w:rsid w:val="008B29C7"/>
    <w:rsid w:val="008B3078"/>
    <w:rsid w:val="008B40AE"/>
    <w:rsid w:val="008B4FA7"/>
    <w:rsid w:val="008B6ADD"/>
    <w:rsid w:val="008C04C9"/>
    <w:rsid w:val="008C2F6A"/>
    <w:rsid w:val="008C42B1"/>
    <w:rsid w:val="008C4F15"/>
    <w:rsid w:val="008C621E"/>
    <w:rsid w:val="008D242E"/>
    <w:rsid w:val="008D6BB0"/>
    <w:rsid w:val="008E1399"/>
    <w:rsid w:val="008E251E"/>
    <w:rsid w:val="008F4A51"/>
    <w:rsid w:val="0090641A"/>
    <w:rsid w:val="00906E17"/>
    <w:rsid w:val="00910EAF"/>
    <w:rsid w:val="00911589"/>
    <w:rsid w:val="00911ADF"/>
    <w:rsid w:val="009210BF"/>
    <w:rsid w:val="009213F6"/>
    <w:rsid w:val="009229E2"/>
    <w:rsid w:val="00930BA1"/>
    <w:rsid w:val="0093169E"/>
    <w:rsid w:val="00931B7D"/>
    <w:rsid w:val="009425F5"/>
    <w:rsid w:val="009474FC"/>
    <w:rsid w:val="00950465"/>
    <w:rsid w:val="009505C9"/>
    <w:rsid w:val="00950752"/>
    <w:rsid w:val="00961ECB"/>
    <w:rsid w:val="009637F1"/>
    <w:rsid w:val="00966424"/>
    <w:rsid w:val="009714A8"/>
    <w:rsid w:val="009728FC"/>
    <w:rsid w:val="00975EF8"/>
    <w:rsid w:val="00976ECF"/>
    <w:rsid w:val="0098775A"/>
    <w:rsid w:val="009922B7"/>
    <w:rsid w:val="00997D39"/>
    <w:rsid w:val="009A6184"/>
    <w:rsid w:val="009A6479"/>
    <w:rsid w:val="009B017A"/>
    <w:rsid w:val="009B3663"/>
    <w:rsid w:val="009C2DE6"/>
    <w:rsid w:val="009C32D4"/>
    <w:rsid w:val="009D1682"/>
    <w:rsid w:val="009E351B"/>
    <w:rsid w:val="009F61A0"/>
    <w:rsid w:val="009F7055"/>
    <w:rsid w:val="009F756B"/>
    <w:rsid w:val="00A111D1"/>
    <w:rsid w:val="00A11338"/>
    <w:rsid w:val="00A14A70"/>
    <w:rsid w:val="00A20E56"/>
    <w:rsid w:val="00A2287F"/>
    <w:rsid w:val="00A2351B"/>
    <w:rsid w:val="00A260C9"/>
    <w:rsid w:val="00A32802"/>
    <w:rsid w:val="00A41E93"/>
    <w:rsid w:val="00A42841"/>
    <w:rsid w:val="00A4649C"/>
    <w:rsid w:val="00A472DF"/>
    <w:rsid w:val="00A51DDC"/>
    <w:rsid w:val="00A548A8"/>
    <w:rsid w:val="00A55FD1"/>
    <w:rsid w:val="00A62A62"/>
    <w:rsid w:val="00A6443F"/>
    <w:rsid w:val="00A64BC4"/>
    <w:rsid w:val="00A65C0C"/>
    <w:rsid w:val="00A741C7"/>
    <w:rsid w:val="00A872A2"/>
    <w:rsid w:val="00AA4BDC"/>
    <w:rsid w:val="00AA65C7"/>
    <w:rsid w:val="00AA6F92"/>
    <w:rsid w:val="00AB6934"/>
    <w:rsid w:val="00AC02C3"/>
    <w:rsid w:val="00AC26A1"/>
    <w:rsid w:val="00AC5D84"/>
    <w:rsid w:val="00AC68E8"/>
    <w:rsid w:val="00AD07B4"/>
    <w:rsid w:val="00AD609E"/>
    <w:rsid w:val="00AD7776"/>
    <w:rsid w:val="00AE3654"/>
    <w:rsid w:val="00AF42DE"/>
    <w:rsid w:val="00B01D47"/>
    <w:rsid w:val="00B05C81"/>
    <w:rsid w:val="00B06598"/>
    <w:rsid w:val="00B16D84"/>
    <w:rsid w:val="00B27E35"/>
    <w:rsid w:val="00B32752"/>
    <w:rsid w:val="00B3369F"/>
    <w:rsid w:val="00B34C76"/>
    <w:rsid w:val="00B35231"/>
    <w:rsid w:val="00B4335C"/>
    <w:rsid w:val="00B64FB8"/>
    <w:rsid w:val="00B72364"/>
    <w:rsid w:val="00B76B59"/>
    <w:rsid w:val="00B94E6C"/>
    <w:rsid w:val="00BA039D"/>
    <w:rsid w:val="00BA1000"/>
    <w:rsid w:val="00BA45FF"/>
    <w:rsid w:val="00BA5A37"/>
    <w:rsid w:val="00BA7414"/>
    <w:rsid w:val="00BB4606"/>
    <w:rsid w:val="00BB5089"/>
    <w:rsid w:val="00BB7C1C"/>
    <w:rsid w:val="00BC041C"/>
    <w:rsid w:val="00BC303D"/>
    <w:rsid w:val="00BC4245"/>
    <w:rsid w:val="00BD0197"/>
    <w:rsid w:val="00BE03D4"/>
    <w:rsid w:val="00BE21DE"/>
    <w:rsid w:val="00BE516B"/>
    <w:rsid w:val="00BE6C4D"/>
    <w:rsid w:val="00BF3CDE"/>
    <w:rsid w:val="00C10799"/>
    <w:rsid w:val="00C176BF"/>
    <w:rsid w:val="00C17A9B"/>
    <w:rsid w:val="00C216EB"/>
    <w:rsid w:val="00C22FFA"/>
    <w:rsid w:val="00C23D2F"/>
    <w:rsid w:val="00C240C7"/>
    <w:rsid w:val="00C25577"/>
    <w:rsid w:val="00C25D02"/>
    <w:rsid w:val="00C27FA9"/>
    <w:rsid w:val="00C332DA"/>
    <w:rsid w:val="00C352AB"/>
    <w:rsid w:val="00C372E2"/>
    <w:rsid w:val="00C443BD"/>
    <w:rsid w:val="00C451C5"/>
    <w:rsid w:val="00C461F9"/>
    <w:rsid w:val="00C47893"/>
    <w:rsid w:val="00C5115A"/>
    <w:rsid w:val="00C66BC4"/>
    <w:rsid w:val="00C75DEB"/>
    <w:rsid w:val="00C84C03"/>
    <w:rsid w:val="00C85C97"/>
    <w:rsid w:val="00C86922"/>
    <w:rsid w:val="00C9161D"/>
    <w:rsid w:val="00C926B4"/>
    <w:rsid w:val="00C952B7"/>
    <w:rsid w:val="00CA0C1D"/>
    <w:rsid w:val="00CA43FD"/>
    <w:rsid w:val="00CA4D59"/>
    <w:rsid w:val="00CA53A7"/>
    <w:rsid w:val="00CA7549"/>
    <w:rsid w:val="00CB5C65"/>
    <w:rsid w:val="00CC163D"/>
    <w:rsid w:val="00CC1850"/>
    <w:rsid w:val="00CC6EA3"/>
    <w:rsid w:val="00CE10F7"/>
    <w:rsid w:val="00CF1848"/>
    <w:rsid w:val="00D0427A"/>
    <w:rsid w:val="00D056A6"/>
    <w:rsid w:val="00D100A3"/>
    <w:rsid w:val="00D12044"/>
    <w:rsid w:val="00D16944"/>
    <w:rsid w:val="00D170D9"/>
    <w:rsid w:val="00D32C25"/>
    <w:rsid w:val="00D3312E"/>
    <w:rsid w:val="00D33EFC"/>
    <w:rsid w:val="00D34080"/>
    <w:rsid w:val="00D36E6A"/>
    <w:rsid w:val="00D40DBC"/>
    <w:rsid w:val="00D415FC"/>
    <w:rsid w:val="00D4787E"/>
    <w:rsid w:val="00D5244C"/>
    <w:rsid w:val="00D53105"/>
    <w:rsid w:val="00D56F72"/>
    <w:rsid w:val="00D610F4"/>
    <w:rsid w:val="00D61C85"/>
    <w:rsid w:val="00D64F91"/>
    <w:rsid w:val="00D66715"/>
    <w:rsid w:val="00D671A7"/>
    <w:rsid w:val="00D70CA7"/>
    <w:rsid w:val="00D715F7"/>
    <w:rsid w:val="00D7281C"/>
    <w:rsid w:val="00D75CA6"/>
    <w:rsid w:val="00D76A18"/>
    <w:rsid w:val="00D80849"/>
    <w:rsid w:val="00D82E8F"/>
    <w:rsid w:val="00D856AD"/>
    <w:rsid w:val="00D8575A"/>
    <w:rsid w:val="00DB131D"/>
    <w:rsid w:val="00DB3D82"/>
    <w:rsid w:val="00DB5E0F"/>
    <w:rsid w:val="00DC0CD8"/>
    <w:rsid w:val="00DC3A34"/>
    <w:rsid w:val="00DD118C"/>
    <w:rsid w:val="00DD1A66"/>
    <w:rsid w:val="00DE3C81"/>
    <w:rsid w:val="00DE5E6A"/>
    <w:rsid w:val="00DE765C"/>
    <w:rsid w:val="00DF6DE8"/>
    <w:rsid w:val="00DF71C2"/>
    <w:rsid w:val="00DF75F5"/>
    <w:rsid w:val="00DF76D7"/>
    <w:rsid w:val="00E019B6"/>
    <w:rsid w:val="00E0370D"/>
    <w:rsid w:val="00E071BB"/>
    <w:rsid w:val="00E079FC"/>
    <w:rsid w:val="00E208AD"/>
    <w:rsid w:val="00E2756A"/>
    <w:rsid w:val="00E31308"/>
    <w:rsid w:val="00E32D8A"/>
    <w:rsid w:val="00E342B4"/>
    <w:rsid w:val="00E44EB0"/>
    <w:rsid w:val="00E47EDC"/>
    <w:rsid w:val="00E50131"/>
    <w:rsid w:val="00E52937"/>
    <w:rsid w:val="00E63ECE"/>
    <w:rsid w:val="00E6451D"/>
    <w:rsid w:val="00E66235"/>
    <w:rsid w:val="00E75E12"/>
    <w:rsid w:val="00E83C24"/>
    <w:rsid w:val="00E85BB4"/>
    <w:rsid w:val="00E87885"/>
    <w:rsid w:val="00E9093C"/>
    <w:rsid w:val="00E9318D"/>
    <w:rsid w:val="00E93F3E"/>
    <w:rsid w:val="00EA3B86"/>
    <w:rsid w:val="00EA4148"/>
    <w:rsid w:val="00EA5986"/>
    <w:rsid w:val="00EB0BB4"/>
    <w:rsid w:val="00EB4FC7"/>
    <w:rsid w:val="00EC66C7"/>
    <w:rsid w:val="00EC698D"/>
    <w:rsid w:val="00EC7639"/>
    <w:rsid w:val="00EE27AE"/>
    <w:rsid w:val="00EE7627"/>
    <w:rsid w:val="00EF51BB"/>
    <w:rsid w:val="00F063C2"/>
    <w:rsid w:val="00F101A2"/>
    <w:rsid w:val="00F13FBC"/>
    <w:rsid w:val="00F16BBA"/>
    <w:rsid w:val="00F1737C"/>
    <w:rsid w:val="00F21AE8"/>
    <w:rsid w:val="00F231FB"/>
    <w:rsid w:val="00F238B2"/>
    <w:rsid w:val="00F31238"/>
    <w:rsid w:val="00F4059B"/>
    <w:rsid w:val="00F43CB9"/>
    <w:rsid w:val="00F45C92"/>
    <w:rsid w:val="00F53193"/>
    <w:rsid w:val="00F5357E"/>
    <w:rsid w:val="00F618E4"/>
    <w:rsid w:val="00F6586C"/>
    <w:rsid w:val="00F71F5B"/>
    <w:rsid w:val="00F73E06"/>
    <w:rsid w:val="00F851FB"/>
    <w:rsid w:val="00F853C0"/>
    <w:rsid w:val="00F9038B"/>
    <w:rsid w:val="00F91740"/>
    <w:rsid w:val="00F94774"/>
    <w:rsid w:val="00F94F9F"/>
    <w:rsid w:val="00F972DE"/>
    <w:rsid w:val="00FA663B"/>
    <w:rsid w:val="00FB297B"/>
    <w:rsid w:val="00FC0BDC"/>
    <w:rsid w:val="00FC2500"/>
    <w:rsid w:val="00FC2D2A"/>
    <w:rsid w:val="00FC53DB"/>
    <w:rsid w:val="00FD5464"/>
    <w:rsid w:val="00FE1FC1"/>
    <w:rsid w:val="00FE2E10"/>
    <w:rsid w:val="00FE3939"/>
    <w:rsid w:val="00FF18E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4C711BD"/>
  <w15:docId w15:val="{5D2F5C24-EBAE-4C94-B24D-5B9880277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iPriority w:val="99"/>
    <w:semiHidden/>
    <w:unhideWhenUsed/>
    <w:rsid w:val="003F1A75"/>
    <w:pPr>
      <w:jc w:val="left"/>
    </w:pPr>
    <w:rPr>
      <w:sz w:val="18"/>
      <w:szCs w:val="20"/>
    </w:rPr>
  </w:style>
  <w:style w:type="character" w:customStyle="1" w:styleId="FootnoteTextChar">
    <w:name w:val="Footnote Text Char"/>
    <w:basedOn w:val="DefaultParagraphFont"/>
    <w:link w:val="FootnoteText"/>
    <w:uiPriority w:val="99"/>
    <w:semiHidden/>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id=13404"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uments/CBD/NP/CC/5/4/ADD2"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np-mop-03/np-mop-03-dec-01-en.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ecisions/np-mop/?m=np-mop-05"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4388/8789/b9d77884302cf63c0587718c/np-cc-05-01-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hryn.garforth\Downloads\cbd-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E62FEDC46EE4117A5D0C834165D233C"/>
        <w:category>
          <w:name w:val="General"/>
          <w:gallery w:val="placeholder"/>
        </w:category>
        <w:types>
          <w:type w:val="bbPlcHdr"/>
        </w:types>
        <w:behaviors>
          <w:behavior w:val="content"/>
        </w:behaviors>
        <w:guid w:val="{4AD5676F-78C7-4A7E-B2F2-C3E2528A38BA}"/>
      </w:docPartPr>
      <w:docPartBody>
        <w:p w:rsidR="00824114" w:rsidRDefault="00CB0A5E">
          <w:pPr>
            <w:pStyle w:val="2E62FEDC46EE4117A5D0C834165D233C"/>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408"/>
    <w:rsid w:val="00015FAA"/>
    <w:rsid w:val="00022B33"/>
    <w:rsid w:val="000F1AF3"/>
    <w:rsid w:val="00257CFB"/>
    <w:rsid w:val="002B4AA6"/>
    <w:rsid w:val="0037149F"/>
    <w:rsid w:val="00500F47"/>
    <w:rsid w:val="00584C10"/>
    <w:rsid w:val="005C0A58"/>
    <w:rsid w:val="005C352A"/>
    <w:rsid w:val="00694F7C"/>
    <w:rsid w:val="006C2F22"/>
    <w:rsid w:val="00740DEB"/>
    <w:rsid w:val="00763FB5"/>
    <w:rsid w:val="007B25CD"/>
    <w:rsid w:val="008211CE"/>
    <w:rsid w:val="00824114"/>
    <w:rsid w:val="008A2ED2"/>
    <w:rsid w:val="00910EAF"/>
    <w:rsid w:val="00943616"/>
    <w:rsid w:val="009474FC"/>
    <w:rsid w:val="00A65C0C"/>
    <w:rsid w:val="00AD07B4"/>
    <w:rsid w:val="00AF6408"/>
    <w:rsid w:val="00B674FF"/>
    <w:rsid w:val="00C940DE"/>
    <w:rsid w:val="00CA53A7"/>
    <w:rsid w:val="00CB0A5E"/>
    <w:rsid w:val="00D4787E"/>
    <w:rsid w:val="00D772F1"/>
    <w:rsid w:val="00E019B6"/>
    <w:rsid w:val="00EA26B5"/>
    <w:rsid w:val="00EF51BB"/>
    <w:rsid w:val="00F1737C"/>
    <w:rsid w:val="00F853C0"/>
    <w:rsid w:val="00FB3AF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E62FEDC46EE4117A5D0C834165D233C">
    <w:name w:val="2E62FEDC46EE4117A5D0C834165D23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23A7222-50FC-4A5F-9415-12C61A7E2D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cbd-template.dotm</Template>
  <TotalTime>17</TotalTime>
  <Pages>3</Pages>
  <Words>1085</Words>
  <Characters>5708</Characters>
  <Application>Microsoft Office Word</Application>
  <DocSecurity>0</DocSecurity>
  <Lines>107</Lines>
  <Paragraphs>45</Paragraphs>
  <ScaleCrop>false</ScaleCrop>
  <HeadingPairs>
    <vt:vector size="2" baseType="variant">
      <vt:variant>
        <vt:lpstr>Title</vt:lpstr>
      </vt:variant>
      <vt:variant>
        <vt:i4>1</vt:i4>
      </vt:variant>
    </vt:vector>
  </HeadingPairs>
  <TitlesOfParts>
    <vt:vector size="1" baseType="lpstr">
      <vt:lpstr>Analysis of information relevant to compliance for the second assessment and review of the effectiveness of the Nagoya Protocol</vt:lpstr>
    </vt:vector>
  </TitlesOfParts>
  <Company>SCBD</Company>
  <LinksUpToDate>false</LinksUpToDate>
  <CharactersWithSpaces>6748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information relevant to compliance for the second assessment and review of the effectiveness of the Nagoya Protocol</dc:title>
  <dc:subject>CBD/NP/CC/5/4</dc:subject>
  <dc:creator>Secretariat of the Convention on Biological Diversity</dc:creator>
  <cp:keywords>Convention on Biological Diversity</cp:keywords>
  <cp:lastModifiedBy>Veronique Lefebvre</cp:lastModifiedBy>
  <cp:revision>8</cp:revision>
  <cp:lastPrinted>2020-01-22T01:56:00Z</cp:lastPrinted>
  <dcterms:created xsi:type="dcterms:W3CDTF">2026-05-12T14:52:00Z</dcterms:created>
  <dcterms:modified xsi:type="dcterms:W3CDTF">2026-05-12T15:08:00Z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