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Borders>
          <w:bottom w:val="single" w:sz="30" w:space="0" w:color="000000"/>
        </w:tblBorders>
        <w:tblLayout w:type="fixed"/>
        <w:tblLook w:val="0000" w:firstRow="0" w:lastRow="0" w:firstColumn="0" w:lastColumn="0" w:noHBand="0" w:noVBand="0"/>
      </w:tblPr>
      <w:tblGrid>
        <w:gridCol w:w="17"/>
        <w:gridCol w:w="1350"/>
        <w:gridCol w:w="1260"/>
        <w:gridCol w:w="2611"/>
        <w:gridCol w:w="1710"/>
        <w:gridCol w:w="2941"/>
      </w:tblGrid>
      <w:tr w:rsidR="0047645B" w:rsidRPr="00FE1F72" w14:paraId="02320E3B" w14:textId="77777777" w:rsidTr="00046CEA">
        <w:trPr>
          <w:gridBefore w:val="1"/>
          <w:wBefore w:w="17" w:type="dxa"/>
          <w:trHeight w:val="1196"/>
        </w:trPr>
        <w:tc>
          <w:tcPr>
            <w:tcW w:w="1350" w:type="dxa"/>
            <w:tcBorders>
              <w:bottom w:val="single" w:sz="12" w:space="0" w:color="000000"/>
            </w:tcBorders>
          </w:tcPr>
          <w:p w14:paraId="6011AFBD" w14:textId="77777777" w:rsidR="0047645B" w:rsidRPr="00FE1F72" w:rsidRDefault="0047645B" w:rsidP="00046CEA">
            <w:pPr>
              <w:pStyle w:val="Header"/>
              <w:tabs>
                <w:tab w:val="clear" w:pos="4320"/>
                <w:tab w:val="clear" w:pos="8640"/>
              </w:tabs>
              <w:rPr>
                <w:noProof/>
                <w:lang w:val="fr-FR"/>
              </w:rPr>
            </w:pPr>
            <w:r>
              <w:rPr>
                <w:noProof/>
                <w:lang w:eastAsia="en-GB"/>
              </w:rPr>
              <w:drawing>
                <wp:anchor distT="0" distB="0" distL="114300" distR="114300" simplePos="0" relativeHeight="251660288" behindDoc="0" locked="1" layoutInCell="1" allowOverlap="0" wp14:anchorId="03CF3AD3" wp14:editId="4010615B">
                  <wp:simplePos x="0" y="0"/>
                  <wp:positionH relativeFrom="column">
                    <wp:posOffset>78105</wp:posOffset>
                  </wp:positionH>
                  <wp:positionV relativeFrom="page">
                    <wp:posOffset>69215</wp:posOffset>
                  </wp:positionV>
                  <wp:extent cx="495300" cy="5810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581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60" w:type="dxa"/>
            <w:tcBorders>
              <w:bottom w:val="single" w:sz="12" w:space="0" w:color="000000"/>
            </w:tcBorders>
          </w:tcPr>
          <w:p w14:paraId="218FD322" w14:textId="77777777" w:rsidR="0047645B" w:rsidRPr="00FE1F72" w:rsidRDefault="0047645B" w:rsidP="00046CEA">
            <w:pPr>
              <w:rPr>
                <w:noProof/>
                <w:lang w:val="fr-FR"/>
              </w:rPr>
            </w:pPr>
            <w:r>
              <w:rPr>
                <w:noProof/>
                <w:sz w:val="20"/>
                <w:lang w:eastAsia="en-GB"/>
              </w:rPr>
              <w:drawing>
                <wp:anchor distT="0" distB="0" distL="114300" distR="114300" simplePos="0" relativeHeight="251659264" behindDoc="0" locked="1" layoutInCell="1" allowOverlap="0" wp14:anchorId="4F73BC72" wp14:editId="261139D5">
                  <wp:simplePos x="0" y="0"/>
                  <wp:positionH relativeFrom="column">
                    <wp:posOffset>-26035</wp:posOffset>
                  </wp:positionH>
                  <wp:positionV relativeFrom="page">
                    <wp:posOffset>635</wp:posOffset>
                  </wp:positionV>
                  <wp:extent cx="822960" cy="5829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4492" r="4492"/>
                          <a:stretch>
                            <a:fillRect/>
                          </a:stretch>
                        </pic:blipFill>
                        <pic:spPr bwMode="auto">
                          <a:xfrm>
                            <a:off x="0" y="0"/>
                            <a:ext cx="822960"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62" w:type="dxa"/>
            <w:gridSpan w:val="3"/>
            <w:tcBorders>
              <w:bottom w:val="single" w:sz="12" w:space="0" w:color="000000"/>
            </w:tcBorders>
          </w:tcPr>
          <w:p w14:paraId="25A3814A" w14:textId="77777777" w:rsidR="0047645B" w:rsidRPr="00FE1F72" w:rsidRDefault="0047645B" w:rsidP="00046CEA">
            <w:pPr>
              <w:jc w:val="right"/>
              <w:rPr>
                <w:rFonts w:ascii="Univers" w:hAnsi="Univers"/>
                <w:b/>
                <w:noProof/>
                <w:sz w:val="32"/>
                <w:lang w:val="fr-FR"/>
              </w:rPr>
            </w:pPr>
            <w:r>
              <w:rPr>
                <w:rFonts w:ascii="Univers" w:hAnsi="Univers"/>
                <w:b/>
                <w:noProof/>
                <w:sz w:val="32"/>
                <w:lang w:val="fr-FR"/>
              </w:rPr>
              <w:t>CBD</w:t>
            </w:r>
          </w:p>
          <w:p w14:paraId="0CA3C7BB" w14:textId="77777777" w:rsidR="0047645B" w:rsidRPr="00FE1F72" w:rsidRDefault="0047645B" w:rsidP="00046CEA">
            <w:pPr>
              <w:rPr>
                <w:rFonts w:ascii="Univers" w:hAnsi="Univers"/>
                <w:b/>
                <w:noProof/>
                <w:sz w:val="32"/>
                <w:lang w:val="fr-FR"/>
              </w:rPr>
            </w:pPr>
          </w:p>
        </w:tc>
      </w:tr>
      <w:tr w:rsidR="0047645B" w:rsidRPr="00FE1F72" w14:paraId="1126426E" w14:textId="77777777" w:rsidTr="00046CEA">
        <w:trPr>
          <w:trHeight w:val="1693"/>
        </w:trPr>
        <w:tc>
          <w:tcPr>
            <w:tcW w:w="5238" w:type="dxa"/>
            <w:gridSpan w:val="4"/>
          </w:tcPr>
          <w:p w14:paraId="555890E0" w14:textId="77777777" w:rsidR="0047645B" w:rsidRPr="00FE1F72" w:rsidRDefault="0047645B" w:rsidP="00046CEA">
            <w:pPr>
              <w:rPr>
                <w:noProof/>
                <w:lang w:val="fr-FR"/>
              </w:rPr>
            </w:pPr>
            <w:r>
              <w:rPr>
                <w:bCs/>
                <w:noProof/>
                <w:szCs w:val="22"/>
                <w:lang w:eastAsia="en-GB"/>
              </w:rPr>
              <w:drawing>
                <wp:inline distT="0" distB="0" distL="0" distR="0" wp14:anchorId="7DE460BD" wp14:editId="3D6033FD">
                  <wp:extent cx="2857500" cy="1076325"/>
                  <wp:effectExtent l="0" t="0" r="0" b="9525"/>
                  <wp:docPr id="2" name="Picture 2"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1710" w:type="dxa"/>
          </w:tcPr>
          <w:p w14:paraId="41BAB7FF" w14:textId="77777777" w:rsidR="0047645B" w:rsidRPr="00FE1F72" w:rsidRDefault="0047645B" w:rsidP="00046CEA">
            <w:pPr>
              <w:rPr>
                <w:noProof/>
                <w:lang w:val="fr-FR"/>
              </w:rPr>
            </w:pPr>
          </w:p>
        </w:tc>
        <w:tc>
          <w:tcPr>
            <w:tcW w:w="2941" w:type="dxa"/>
          </w:tcPr>
          <w:p w14:paraId="33317B38" w14:textId="77777777" w:rsidR="0047645B" w:rsidRPr="00990FDA" w:rsidRDefault="0047645B" w:rsidP="00046CEA">
            <w:pPr>
              <w:ind w:left="37"/>
              <w:rPr>
                <w:noProof/>
                <w:sz w:val="22"/>
                <w:szCs w:val="22"/>
                <w:lang w:val="fr-FR"/>
              </w:rPr>
            </w:pPr>
            <w:r w:rsidRPr="00990FDA">
              <w:rPr>
                <w:noProof/>
                <w:sz w:val="22"/>
                <w:szCs w:val="22"/>
                <w:lang w:val="fr-FR"/>
              </w:rPr>
              <w:t>Distr.</w:t>
            </w:r>
          </w:p>
          <w:p w14:paraId="0C50D50F" w14:textId="485FBCD7" w:rsidR="0047645B" w:rsidRPr="00990FDA" w:rsidRDefault="0047645B" w:rsidP="00BA2FFD">
            <w:pPr>
              <w:ind w:left="37"/>
              <w:rPr>
                <w:noProof/>
                <w:sz w:val="22"/>
                <w:szCs w:val="22"/>
                <w:lang w:val="fr-FR"/>
              </w:rPr>
            </w:pPr>
            <w:r w:rsidRPr="00990FDA">
              <w:rPr>
                <w:noProof/>
                <w:sz w:val="22"/>
                <w:szCs w:val="22"/>
                <w:lang w:val="fr-FR"/>
              </w:rPr>
              <w:t>GÉNÉRAL</w:t>
            </w:r>
            <w:r w:rsidR="003B6940">
              <w:rPr>
                <w:noProof/>
                <w:sz w:val="22"/>
                <w:szCs w:val="22"/>
                <w:lang w:val="fr-FR"/>
              </w:rPr>
              <w:t>E</w:t>
            </w:r>
          </w:p>
          <w:p w14:paraId="140A5F64" w14:textId="77777777" w:rsidR="0047645B" w:rsidRPr="00990FDA" w:rsidRDefault="0047645B" w:rsidP="00046CEA">
            <w:pPr>
              <w:ind w:left="37"/>
              <w:rPr>
                <w:noProof/>
                <w:sz w:val="22"/>
                <w:szCs w:val="22"/>
                <w:lang w:val="fr-FR"/>
              </w:rPr>
            </w:pPr>
          </w:p>
          <w:p w14:paraId="6CFA48FB" w14:textId="07F56AB4" w:rsidR="0047645B" w:rsidRPr="00990FDA" w:rsidRDefault="00540F9A" w:rsidP="00046CEA">
            <w:pPr>
              <w:tabs>
                <w:tab w:val="left" w:pos="0"/>
              </w:tabs>
              <w:suppressAutoHyphens/>
              <w:ind w:left="37"/>
              <w:rPr>
                <w:noProof/>
                <w:sz w:val="22"/>
                <w:szCs w:val="22"/>
                <w:lang w:val="fr-FR"/>
              </w:rPr>
            </w:pPr>
            <w:sdt>
              <w:sdtPr>
                <w:rPr>
                  <w:kern w:val="22"/>
                  <w:sz w:val="22"/>
                  <w:szCs w:val="22"/>
                  <w:lang w:val="fr-FR"/>
                </w:rPr>
                <w:alias w:val="Subject"/>
                <w:tag w:val=""/>
                <w:id w:val="2137136483"/>
                <w:placeholder>
                  <w:docPart w:val="54BABDD2F10447DDAE1ADFD898A6C998"/>
                </w:placeholder>
                <w:dataBinding w:prefixMappings="xmlns:ns0='http://purl.org/dc/elements/1.1/' xmlns:ns1='http://schemas.openxmlformats.org/package/2006/metadata/core-properties' " w:xpath="/ns1:coreProperties[1]/ns0:subject[1]" w:storeItemID="{6C3C8BC8-F283-45AE-878A-BAB7291924A1}"/>
                <w:text/>
              </w:sdtPr>
              <w:sdtEndPr/>
              <w:sdtContent>
                <w:r w:rsidR="0047645B" w:rsidRPr="00990FDA">
                  <w:rPr>
                    <w:kern w:val="22"/>
                    <w:sz w:val="22"/>
                    <w:szCs w:val="22"/>
                    <w:lang w:val="fr-FR"/>
                  </w:rPr>
                  <w:t>CBD/SBSTTA/23/2/Add.4</w:t>
                </w:r>
              </w:sdtContent>
            </w:sdt>
          </w:p>
          <w:p w14:paraId="58CEB43A" w14:textId="592C350B" w:rsidR="0047645B" w:rsidRPr="00990FDA" w:rsidRDefault="0047645B" w:rsidP="00046CEA">
            <w:pPr>
              <w:ind w:left="37"/>
              <w:rPr>
                <w:noProof/>
                <w:sz w:val="22"/>
                <w:szCs w:val="22"/>
                <w:lang w:val="fr-FR"/>
              </w:rPr>
            </w:pPr>
            <w:r w:rsidRPr="00990FDA">
              <w:rPr>
                <w:noProof/>
                <w:sz w:val="22"/>
                <w:szCs w:val="22"/>
                <w:lang w:val="fr-FR"/>
              </w:rPr>
              <w:t>15 octobre 2019</w:t>
            </w:r>
          </w:p>
          <w:p w14:paraId="0CE4F668" w14:textId="77777777" w:rsidR="0047645B" w:rsidRPr="00990FDA" w:rsidRDefault="0047645B" w:rsidP="00046CEA">
            <w:pPr>
              <w:ind w:left="37"/>
              <w:rPr>
                <w:noProof/>
                <w:sz w:val="22"/>
                <w:szCs w:val="22"/>
                <w:lang w:val="fr-FR"/>
              </w:rPr>
            </w:pPr>
          </w:p>
          <w:p w14:paraId="46CDA562" w14:textId="77777777" w:rsidR="0047645B" w:rsidRPr="00990FDA" w:rsidRDefault="0047645B" w:rsidP="00046CEA">
            <w:pPr>
              <w:ind w:left="37"/>
              <w:rPr>
                <w:noProof/>
                <w:sz w:val="22"/>
                <w:szCs w:val="22"/>
                <w:lang w:val="fr-FR"/>
              </w:rPr>
            </w:pPr>
            <w:r w:rsidRPr="00990FDA">
              <w:rPr>
                <w:noProof/>
                <w:sz w:val="22"/>
                <w:szCs w:val="22"/>
                <w:lang w:val="fr-FR"/>
              </w:rPr>
              <w:t>FRANÇAIS</w:t>
            </w:r>
          </w:p>
          <w:p w14:paraId="5A4E83E1" w14:textId="77777777" w:rsidR="0047645B" w:rsidRPr="00FE1F72" w:rsidRDefault="0047645B" w:rsidP="00046CEA">
            <w:pPr>
              <w:ind w:left="37"/>
              <w:rPr>
                <w:rFonts w:ascii="Courier New" w:hAnsi="Courier New"/>
                <w:noProof/>
                <w:lang w:val="fr-FR"/>
              </w:rPr>
            </w:pPr>
            <w:r w:rsidRPr="00990FDA">
              <w:rPr>
                <w:noProof/>
                <w:sz w:val="22"/>
                <w:szCs w:val="22"/>
                <w:lang w:val="fr-FR"/>
              </w:rPr>
              <w:t>ORIGINAL : ANGLAIS</w:t>
            </w:r>
          </w:p>
        </w:tc>
      </w:tr>
    </w:tbl>
    <w:p w14:paraId="2F916972" w14:textId="57898093" w:rsidR="0047645B" w:rsidRPr="0023556E" w:rsidRDefault="0047645B" w:rsidP="0047645B">
      <w:pPr>
        <w:ind w:left="284" w:right="4642" w:hanging="284"/>
        <w:rPr>
          <w:caps/>
          <w:kern w:val="22"/>
          <w:sz w:val="22"/>
          <w:szCs w:val="22"/>
          <w:lang w:val="fr-FR"/>
        </w:rPr>
      </w:pPr>
      <w:r w:rsidRPr="0023556E">
        <w:rPr>
          <w:caps/>
          <w:kern w:val="22"/>
          <w:sz w:val="22"/>
          <w:szCs w:val="22"/>
          <w:lang w:val="fr-FR"/>
        </w:rPr>
        <w:t>organe subsidiaire chargÉ de fournir des avis scientifIques, techniques et technologiques</w:t>
      </w:r>
    </w:p>
    <w:p w14:paraId="7886FF92" w14:textId="77777777" w:rsidR="0047645B" w:rsidRPr="0023556E" w:rsidRDefault="0047645B" w:rsidP="0047645B">
      <w:pPr>
        <w:ind w:left="284" w:hanging="284"/>
        <w:rPr>
          <w:snapToGrid w:val="0"/>
          <w:kern w:val="22"/>
          <w:sz w:val="22"/>
          <w:szCs w:val="22"/>
          <w:lang w:val="fr-FR" w:eastAsia="nb-NO"/>
        </w:rPr>
      </w:pPr>
      <w:r w:rsidRPr="0023556E">
        <w:rPr>
          <w:snapToGrid w:val="0"/>
          <w:kern w:val="22"/>
          <w:sz w:val="22"/>
          <w:szCs w:val="22"/>
          <w:lang w:val="fr-FR" w:eastAsia="nb-NO"/>
        </w:rPr>
        <w:t>Vingt-troisième réunion</w:t>
      </w:r>
    </w:p>
    <w:p w14:paraId="10F1A934" w14:textId="6E0776FA" w:rsidR="00BA769C" w:rsidRPr="0023556E" w:rsidRDefault="0047645B" w:rsidP="0047645B">
      <w:pPr>
        <w:suppressLineNumbers/>
        <w:suppressAutoHyphens/>
        <w:ind w:left="284" w:hanging="284"/>
        <w:rPr>
          <w:snapToGrid w:val="0"/>
          <w:kern w:val="22"/>
          <w:sz w:val="22"/>
          <w:szCs w:val="22"/>
          <w:lang w:val="fr-FR" w:eastAsia="nb-NO"/>
        </w:rPr>
      </w:pPr>
      <w:r w:rsidRPr="0023556E">
        <w:rPr>
          <w:snapToGrid w:val="0"/>
          <w:kern w:val="22"/>
          <w:sz w:val="22"/>
          <w:szCs w:val="22"/>
          <w:lang w:val="fr-FR" w:eastAsia="nb-NO"/>
        </w:rPr>
        <w:t>Montréal (Canada), 25-29 novembre 2019</w:t>
      </w:r>
    </w:p>
    <w:p w14:paraId="60FAF993" w14:textId="40C22354" w:rsidR="00DF32C3" w:rsidRPr="0023556E" w:rsidRDefault="0047645B" w:rsidP="006476DC">
      <w:pPr>
        <w:suppressLineNumbers/>
        <w:suppressAutoHyphens/>
        <w:rPr>
          <w:kern w:val="22"/>
          <w:sz w:val="22"/>
          <w:szCs w:val="22"/>
          <w:lang w:val="fr-FR"/>
        </w:rPr>
      </w:pPr>
      <w:r w:rsidRPr="0023556E">
        <w:rPr>
          <w:snapToGrid w:val="0"/>
          <w:kern w:val="22"/>
          <w:sz w:val="22"/>
          <w:szCs w:val="22"/>
          <w:lang w:val="fr-FR"/>
        </w:rPr>
        <w:t>Point 3 de l’ordre du jour provisoire</w:t>
      </w:r>
      <w:r w:rsidR="002619B2" w:rsidRPr="0023556E">
        <w:rPr>
          <w:rStyle w:val="FootnoteReference"/>
          <w:snapToGrid w:val="0"/>
          <w:kern w:val="22"/>
          <w:szCs w:val="22"/>
          <w:lang w:val="fr-FR"/>
        </w:rPr>
        <w:footnoteReference w:customMarkFollows="1" w:id="2"/>
        <w:t>*</w:t>
      </w:r>
    </w:p>
    <w:p w14:paraId="3CE0E439" w14:textId="2BEC5FF2" w:rsidR="00EA5368" w:rsidRPr="0023556E" w:rsidRDefault="0023556E" w:rsidP="006476DC">
      <w:pPr>
        <w:keepNext/>
        <w:suppressLineNumbers/>
        <w:suppressAutoHyphens/>
        <w:spacing w:before="240" w:after="120"/>
        <w:jc w:val="center"/>
        <w:outlineLvl w:val="0"/>
        <w:rPr>
          <w:rFonts w:ascii="Times New Roman Bold" w:eastAsia="Times New Roman Bold" w:hAnsi="Times New Roman Bold"/>
          <w:b/>
          <w:bCs/>
          <w:caps/>
          <w:kern w:val="22"/>
          <w:sz w:val="22"/>
          <w:szCs w:val="22"/>
          <w:lang w:val="fr-FR"/>
        </w:rPr>
      </w:pPr>
      <w:r w:rsidRPr="0023556E">
        <w:rPr>
          <w:rFonts w:ascii="Times New Roman Bold" w:eastAsia="Times New Roman Bold" w:hAnsi="Times New Roman Bold"/>
          <w:b/>
          <w:bCs/>
          <w:caps/>
          <w:kern w:val="22"/>
          <w:sz w:val="22"/>
          <w:szCs w:val="22"/>
          <w:lang w:val="fr-FR"/>
        </w:rPr>
        <w:t>Éclairer l</w:t>
      </w:r>
      <w:r w:rsidR="00062C6F">
        <w:rPr>
          <w:rFonts w:ascii="Times New Roman Bold" w:eastAsia="Times New Roman Bold" w:hAnsi="Times New Roman Bold"/>
          <w:b/>
          <w:bCs/>
          <w:caps/>
          <w:kern w:val="22"/>
          <w:sz w:val="22"/>
          <w:szCs w:val="22"/>
          <w:lang w:val="fr-FR"/>
        </w:rPr>
        <w:t>es bases de donnÉes</w:t>
      </w:r>
      <w:r w:rsidRPr="0023556E">
        <w:rPr>
          <w:rFonts w:ascii="Times New Roman Bold" w:eastAsia="Times New Roman Bold" w:hAnsi="Times New Roman Bold"/>
          <w:b/>
          <w:bCs/>
          <w:caps/>
          <w:kern w:val="22"/>
          <w:sz w:val="22"/>
          <w:szCs w:val="22"/>
          <w:lang w:val="fr-FR"/>
        </w:rPr>
        <w:t xml:space="preserve"> scientifique</w:t>
      </w:r>
      <w:r w:rsidR="00062C6F">
        <w:rPr>
          <w:rFonts w:ascii="Times New Roman Bold" w:eastAsia="Times New Roman Bold" w:hAnsi="Times New Roman Bold"/>
          <w:b/>
          <w:bCs/>
          <w:caps/>
          <w:kern w:val="22"/>
          <w:sz w:val="22"/>
          <w:szCs w:val="22"/>
          <w:lang w:val="fr-FR"/>
        </w:rPr>
        <w:t>s</w:t>
      </w:r>
      <w:r w:rsidRPr="0023556E">
        <w:rPr>
          <w:rFonts w:ascii="Times New Roman Bold" w:eastAsia="Times New Roman Bold" w:hAnsi="Times New Roman Bold"/>
          <w:b/>
          <w:bCs/>
          <w:caps/>
          <w:kern w:val="22"/>
          <w:sz w:val="22"/>
          <w:szCs w:val="22"/>
          <w:lang w:val="fr-FR"/>
        </w:rPr>
        <w:t xml:space="preserve"> et technique</w:t>
      </w:r>
      <w:r w:rsidR="00062C6F">
        <w:rPr>
          <w:rFonts w:ascii="Times New Roman Bold" w:eastAsia="Times New Roman Bold" w:hAnsi="Times New Roman Bold"/>
          <w:b/>
          <w:bCs/>
          <w:caps/>
          <w:kern w:val="22"/>
          <w:sz w:val="22"/>
          <w:szCs w:val="22"/>
          <w:lang w:val="fr-FR"/>
        </w:rPr>
        <w:t>s</w:t>
      </w:r>
      <w:r w:rsidRPr="0023556E">
        <w:rPr>
          <w:rFonts w:ascii="Times New Roman Bold" w:eastAsia="Times New Roman Bold" w:hAnsi="Times New Roman Bold"/>
          <w:b/>
          <w:bCs/>
          <w:caps/>
          <w:kern w:val="22"/>
          <w:sz w:val="22"/>
          <w:szCs w:val="22"/>
          <w:lang w:val="fr-FR"/>
        </w:rPr>
        <w:t xml:space="preserve"> du cadre mondial de la biodiversitÉ pour l’aprÈs-2020</w:t>
      </w:r>
    </w:p>
    <w:p w14:paraId="4A30C56A" w14:textId="4FCEAEBC" w:rsidR="00C9161D" w:rsidRPr="0023556E" w:rsidRDefault="00EA5368" w:rsidP="006476DC">
      <w:pPr>
        <w:keepNext/>
        <w:suppressLineNumbers/>
        <w:tabs>
          <w:tab w:val="left" w:pos="720"/>
        </w:tabs>
        <w:suppressAutoHyphens/>
        <w:spacing w:before="120" w:after="120"/>
        <w:jc w:val="center"/>
        <w:outlineLvl w:val="0"/>
        <w:rPr>
          <w:b/>
          <w:i/>
          <w:caps/>
          <w:kern w:val="22"/>
          <w:sz w:val="22"/>
          <w:szCs w:val="22"/>
          <w:lang w:val="fr-FR"/>
        </w:rPr>
      </w:pPr>
      <w:r w:rsidRPr="0023556E">
        <w:rPr>
          <w:i/>
          <w:caps/>
          <w:kern w:val="22"/>
          <w:sz w:val="22"/>
          <w:szCs w:val="22"/>
          <w:lang w:val="fr-FR"/>
        </w:rPr>
        <w:t>A</w:t>
      </w:r>
      <w:r w:rsidRPr="0023556E">
        <w:rPr>
          <w:i/>
          <w:kern w:val="22"/>
          <w:sz w:val="22"/>
          <w:szCs w:val="22"/>
          <w:lang w:val="fr-FR"/>
        </w:rPr>
        <w:t>dd</w:t>
      </w:r>
      <w:r w:rsidR="0023556E" w:rsidRPr="0023556E">
        <w:rPr>
          <w:i/>
          <w:kern w:val="22"/>
          <w:sz w:val="22"/>
          <w:szCs w:val="22"/>
          <w:lang w:val="fr-FR"/>
        </w:rPr>
        <w:t>itif</w:t>
      </w:r>
    </w:p>
    <w:p w14:paraId="1BBC509E" w14:textId="01EFB157" w:rsidR="00AE273E" w:rsidRPr="0023556E" w:rsidRDefault="00540F9A" w:rsidP="006476DC">
      <w:pPr>
        <w:pStyle w:val="HEADINGNOTFORTOC"/>
        <w:suppressLineNumbers/>
        <w:suppressAutoHyphens/>
        <w:spacing w:before="120"/>
        <w:rPr>
          <w:kern w:val="22"/>
          <w:sz w:val="22"/>
          <w:szCs w:val="22"/>
          <w:lang w:val="fr-FR"/>
        </w:rPr>
      </w:pPr>
      <w:sdt>
        <w:sdtPr>
          <w:rPr>
            <w:kern w:val="22"/>
            <w:sz w:val="22"/>
            <w:szCs w:val="22"/>
            <w:lang w:val="fr-F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0A3FB3">
            <w:rPr>
              <w:kern w:val="22"/>
              <w:sz w:val="22"/>
              <w:szCs w:val="22"/>
              <w:lang w:val="fr-FR"/>
            </w:rPr>
            <w:t xml:space="preserve">OBSERVATIONS SUR DES </w:t>
          </w:r>
          <w:proofErr w:type="gramStart"/>
          <w:r w:rsidR="000A3FB3">
            <w:rPr>
              <w:kern w:val="22"/>
              <w:sz w:val="22"/>
              <w:szCs w:val="22"/>
              <w:lang w:val="fr-FR"/>
            </w:rPr>
            <w:t>ÉLÉMENTS  ÉVENTUELS</w:t>
          </w:r>
          <w:proofErr w:type="gramEnd"/>
          <w:r w:rsidR="000A3FB3">
            <w:rPr>
              <w:kern w:val="22"/>
              <w:sz w:val="22"/>
              <w:szCs w:val="22"/>
              <w:lang w:val="fr-FR"/>
            </w:rPr>
            <w:t xml:space="preserve"> DU CADRE MONDIAL DE LA BIODIVERSITÉ POUR L'APRÈS-2020</w:t>
          </w:r>
        </w:sdtContent>
      </w:sdt>
    </w:p>
    <w:p w14:paraId="73B11E8D" w14:textId="0D64C068" w:rsidR="001A744C" w:rsidRPr="0023556E" w:rsidRDefault="001A744C" w:rsidP="006476DC">
      <w:pPr>
        <w:pStyle w:val="Heading2"/>
        <w:suppressLineNumbers/>
        <w:suppressAutoHyphens/>
        <w:rPr>
          <w:b w:val="0"/>
          <w:i/>
          <w:szCs w:val="22"/>
          <w:lang w:val="fr-FR"/>
        </w:rPr>
      </w:pPr>
      <w:r w:rsidRPr="0023556E">
        <w:rPr>
          <w:b w:val="0"/>
          <w:i/>
          <w:szCs w:val="22"/>
          <w:lang w:val="fr-FR"/>
        </w:rPr>
        <w:t xml:space="preserve">Note </w:t>
      </w:r>
      <w:r w:rsidR="0023556E" w:rsidRPr="0023556E">
        <w:rPr>
          <w:b w:val="0"/>
          <w:i/>
          <w:szCs w:val="22"/>
          <w:lang w:val="fr-FR"/>
        </w:rPr>
        <w:t>de la Secrétaire exécutive</w:t>
      </w:r>
    </w:p>
    <w:p w14:paraId="32F9B422" w14:textId="619C2668" w:rsidR="00731B8F" w:rsidRPr="0023556E" w:rsidRDefault="0023556E" w:rsidP="006476DC">
      <w:pPr>
        <w:pStyle w:val="HEADINGNOTFORTOC"/>
        <w:suppressLineNumbers/>
        <w:suppressAutoHyphens/>
        <w:spacing w:before="120"/>
        <w:rPr>
          <w:kern w:val="22"/>
          <w:sz w:val="22"/>
          <w:szCs w:val="22"/>
          <w:lang w:val="fr-FR"/>
        </w:rPr>
      </w:pPr>
      <w:r w:rsidRPr="0023556E">
        <w:rPr>
          <w:kern w:val="22"/>
          <w:sz w:val="22"/>
          <w:szCs w:val="22"/>
          <w:lang w:val="fr-FR"/>
        </w:rPr>
        <w:t>renseignements gÉnÉraux</w:t>
      </w:r>
    </w:p>
    <w:p w14:paraId="5CCD3919" w14:textId="54F5F81D" w:rsidR="00DA4EC5" w:rsidRPr="0023556E" w:rsidRDefault="0058578A" w:rsidP="006476DC">
      <w:pPr>
        <w:pStyle w:val="Para1"/>
        <w:numPr>
          <w:ilvl w:val="0"/>
          <w:numId w:val="2"/>
        </w:numPr>
        <w:suppressLineNumbers/>
        <w:tabs>
          <w:tab w:val="clear" w:pos="360"/>
        </w:tabs>
        <w:suppressAutoHyphens/>
        <w:jc w:val="both"/>
        <w:rPr>
          <w:sz w:val="22"/>
          <w:szCs w:val="22"/>
          <w:lang w:val="fr-FR"/>
        </w:rPr>
      </w:pPr>
      <w:r>
        <w:rPr>
          <w:kern w:val="22"/>
          <w:sz w:val="22"/>
          <w:szCs w:val="22"/>
          <w:lang w:val="fr-FR"/>
        </w:rPr>
        <w:t xml:space="preserve">Dans le cadre du processus d’élaboration du cadre mondial de la biodiversité pour l’après-2020 adopté par la Conférence des Parties dans la décision </w:t>
      </w:r>
      <w:hyperlink r:id="rId15" w:history="1">
        <w:r w:rsidR="00DA4EC5" w:rsidRPr="0023556E">
          <w:rPr>
            <w:rStyle w:val="Hyperlink"/>
            <w:kern w:val="22"/>
            <w:sz w:val="22"/>
            <w:szCs w:val="22"/>
            <w:lang w:val="fr-FR"/>
          </w:rPr>
          <w:t>14/3</w:t>
        </w:r>
        <w:r w:rsidR="00DA4EC5" w:rsidRPr="0023556E">
          <w:rPr>
            <w:rStyle w:val="Hyperlink"/>
            <w:kern w:val="22"/>
            <w:sz w:val="22"/>
            <w:szCs w:val="22"/>
            <w:lang w:val="fr-FR"/>
          </w:rPr>
          <w:t>4</w:t>
        </w:r>
      </w:hyperlink>
      <w:r w:rsidR="00DA4EC5" w:rsidRPr="0023556E">
        <w:rPr>
          <w:kern w:val="22"/>
          <w:sz w:val="22"/>
          <w:szCs w:val="22"/>
          <w:lang w:val="fr-FR"/>
        </w:rPr>
        <w:t xml:space="preserve">, </w:t>
      </w:r>
      <w:r>
        <w:rPr>
          <w:kern w:val="22"/>
          <w:sz w:val="22"/>
          <w:szCs w:val="22"/>
          <w:lang w:val="fr-FR"/>
        </w:rPr>
        <w:t xml:space="preserve">l’Organe subsidiaire chargé de fournir des avis scientifiques, techniques et technologiques a été prié </w:t>
      </w:r>
      <w:r w:rsidRPr="0058578A">
        <w:rPr>
          <w:kern w:val="22"/>
          <w:sz w:val="22"/>
          <w:szCs w:val="22"/>
          <w:lang w:val="fr-FR"/>
        </w:rPr>
        <w:t>de contribuer</w:t>
      </w:r>
      <w:r>
        <w:rPr>
          <w:kern w:val="22"/>
          <w:sz w:val="22"/>
          <w:szCs w:val="22"/>
          <w:lang w:val="fr-FR"/>
        </w:rPr>
        <w:t>, à ses vingt-troisième et vingt-quatrième réunions,</w:t>
      </w:r>
      <w:r w:rsidRPr="0058578A">
        <w:rPr>
          <w:kern w:val="22"/>
          <w:sz w:val="22"/>
          <w:szCs w:val="22"/>
          <w:lang w:val="fr-FR"/>
        </w:rPr>
        <w:t xml:space="preserve"> à l’élaboration du cadre mondial de la biodiversité pour l’après-2020, et à soutenir les travaux du </w:t>
      </w:r>
      <w:r w:rsidR="007E5086">
        <w:rPr>
          <w:kern w:val="22"/>
          <w:sz w:val="22"/>
          <w:szCs w:val="22"/>
          <w:lang w:val="fr-FR"/>
        </w:rPr>
        <w:t>G</w:t>
      </w:r>
      <w:r w:rsidRPr="0058578A">
        <w:rPr>
          <w:kern w:val="22"/>
          <w:sz w:val="22"/>
          <w:szCs w:val="22"/>
          <w:lang w:val="fr-FR"/>
        </w:rPr>
        <w:t>roupe de travail à composition non limitée</w:t>
      </w:r>
      <w:r w:rsidR="007E5086">
        <w:rPr>
          <w:kern w:val="22"/>
          <w:sz w:val="22"/>
          <w:szCs w:val="22"/>
          <w:lang w:val="fr-FR"/>
        </w:rPr>
        <w:t xml:space="preserve"> sur le cadre mondial de la biodiversité pour l’après-2020. Dans la même décision, les coprésidents du </w:t>
      </w:r>
      <w:r w:rsidR="00FE0A35">
        <w:rPr>
          <w:kern w:val="22"/>
          <w:sz w:val="22"/>
          <w:szCs w:val="22"/>
          <w:lang w:val="fr-FR"/>
        </w:rPr>
        <w:t>G</w:t>
      </w:r>
      <w:r w:rsidR="007E5086">
        <w:rPr>
          <w:kern w:val="22"/>
          <w:sz w:val="22"/>
          <w:szCs w:val="22"/>
          <w:lang w:val="fr-FR"/>
        </w:rPr>
        <w:t>roupe de travail à composition non limitée ont été priés d’intégrer les résultats de ces réunions dans le cadre mondial de la biodiversité pour l’après-2020.</w:t>
      </w:r>
    </w:p>
    <w:p w14:paraId="61642197" w14:textId="25BFB0F6" w:rsidR="00DA4EC5" w:rsidRPr="00C94F39" w:rsidRDefault="007E5086" w:rsidP="006476DC">
      <w:pPr>
        <w:pStyle w:val="Para1"/>
        <w:numPr>
          <w:ilvl w:val="0"/>
          <w:numId w:val="2"/>
        </w:numPr>
        <w:suppressLineNumbers/>
        <w:tabs>
          <w:tab w:val="clear" w:pos="360"/>
        </w:tabs>
        <w:suppressAutoHyphens/>
        <w:jc w:val="both"/>
        <w:rPr>
          <w:sz w:val="22"/>
          <w:szCs w:val="22"/>
          <w:lang w:val="fr-FR"/>
        </w:rPr>
      </w:pPr>
      <w:r w:rsidRPr="00C94F39">
        <w:rPr>
          <w:kern w:val="22"/>
          <w:sz w:val="22"/>
          <w:szCs w:val="22"/>
          <w:lang w:val="fr-FR"/>
        </w:rPr>
        <w:t>Lors de sa première réunion, le Groupe de travail à composition non limitée a invité l’Organe subsidiaire chargé de fournir des avis scientifiques, techniques et technologiques à porter à l’attention du Groupe de travail toute recommandation</w:t>
      </w:r>
      <w:r w:rsidR="00C94F39" w:rsidRPr="00C94F39">
        <w:rPr>
          <w:rFonts w:eastAsia="Malgun Gothic"/>
          <w:kern w:val="22"/>
          <w:sz w:val="22"/>
          <w:szCs w:val="22"/>
          <w:lang w:val="fr-FR"/>
        </w:rPr>
        <w:t xml:space="preserve"> pertinente pour le cadre mondial de la biodiversité pour l’après</w:t>
      </w:r>
      <w:r w:rsidR="00C94F39" w:rsidRPr="00C94F39">
        <w:rPr>
          <w:rFonts w:eastAsia="Malgun Gothic"/>
          <w:kern w:val="22"/>
          <w:sz w:val="22"/>
          <w:szCs w:val="22"/>
          <w:lang w:val="fr-FR"/>
        </w:rPr>
        <w:noBreakHyphen/>
        <w:t xml:space="preserve">2020 issue de ses délibérations, en particulier de son examen des conclusions du rapport sur l’Évaluation mondiale de la biodiversité et des services écosystémiques réalisée par la Plateforme intergouvernementale scientifique et politique sur la biodiversité et les </w:t>
      </w:r>
      <w:r w:rsidR="00C94F39" w:rsidRPr="00C94F39">
        <w:rPr>
          <w:rFonts w:eastAsia="Malgun Gothic"/>
          <w:noProof/>
          <w:kern w:val="22"/>
          <w:sz w:val="22"/>
          <w:szCs w:val="22"/>
          <w:lang w:val="fr-FR"/>
        </w:rPr>
        <w:t xml:space="preserve">services écosystémiques (IPBES). Plus particulièrement, le Groupe de travail a invité l’Organe subsidiaire à </w:t>
      </w:r>
      <w:r w:rsidR="00C94F39" w:rsidRPr="00C94F39">
        <w:rPr>
          <w:rFonts w:eastAsia="Malgun Gothic"/>
          <w:kern w:val="22"/>
          <w:sz w:val="22"/>
          <w:szCs w:val="22"/>
          <w:lang w:val="fr-FR"/>
        </w:rPr>
        <w:t>fournir des éléments concernant des orientations sur des objectifs spécifiques, des cibles spécifiques, mesurables, réalisables, axées sur les résultats et limitées dans le temps (SMART), des indicateurs, des données de référence et des cadres de suivi, relatifs aux moteurs de la perte de biodiversité, afin de réaliser un changement transformateur, dans le cadre du champ d’application des trois objectifs de la Convention</w:t>
      </w:r>
      <w:r w:rsidR="00C94F39" w:rsidRPr="00C94F39">
        <w:rPr>
          <w:kern w:val="22"/>
          <w:sz w:val="22"/>
          <w:szCs w:val="22"/>
          <w:lang w:val="fr-FR"/>
        </w:rPr>
        <w:t>.</w:t>
      </w:r>
    </w:p>
    <w:p w14:paraId="4C0C7DFF" w14:textId="3158B72B" w:rsidR="00AD67B2" w:rsidRPr="00A365BD" w:rsidRDefault="00C94F39" w:rsidP="006476DC">
      <w:pPr>
        <w:pStyle w:val="Para1"/>
        <w:numPr>
          <w:ilvl w:val="0"/>
          <w:numId w:val="2"/>
        </w:numPr>
        <w:suppressLineNumbers/>
        <w:tabs>
          <w:tab w:val="clear" w:pos="360"/>
        </w:tabs>
        <w:suppressAutoHyphens/>
        <w:jc w:val="both"/>
        <w:rPr>
          <w:kern w:val="22"/>
          <w:sz w:val="22"/>
          <w:szCs w:val="22"/>
          <w:lang w:val="fr-FR"/>
        </w:rPr>
      </w:pPr>
      <w:r>
        <w:rPr>
          <w:kern w:val="22"/>
          <w:sz w:val="22"/>
          <w:szCs w:val="22"/>
          <w:lang w:val="fr-FR"/>
        </w:rPr>
        <w:t>Par conséquent, le présent additif est diffusé pour faciliter les délibérations de l’Organe subsidiaire liées à l’élaboration du cadre mondial de la biodiversité pour l’après-2020.</w:t>
      </w:r>
      <w:r w:rsidR="006C61FA">
        <w:rPr>
          <w:kern w:val="22"/>
          <w:sz w:val="22"/>
          <w:szCs w:val="22"/>
          <w:lang w:val="fr-FR"/>
        </w:rPr>
        <w:t xml:space="preserve"> Le présent document a été élaboré en s’appuyant sur les communications reçues en réponse à l’invitation faite à présenter des propositions sur </w:t>
      </w:r>
      <w:r w:rsidR="006C61FA" w:rsidRPr="00A365BD">
        <w:rPr>
          <w:kern w:val="22"/>
          <w:sz w:val="22"/>
          <w:szCs w:val="22"/>
          <w:lang w:val="fr-FR"/>
        </w:rPr>
        <w:t xml:space="preserve">le cadre mondial de la biodiversité pour l’après-2020, les résultats des consultations régionales et autres </w:t>
      </w:r>
      <w:r w:rsidR="006C61FA" w:rsidRPr="00A365BD">
        <w:rPr>
          <w:kern w:val="22"/>
          <w:sz w:val="22"/>
          <w:szCs w:val="22"/>
          <w:lang w:val="fr-FR"/>
        </w:rPr>
        <w:lastRenderedPageBreak/>
        <w:t>consultations menées dans le cadre du processus d’élaboration, les résultats de la première réunion du Groupe de travail à composition non limitée sur le cadre mondial de la biodiversité pour l’après-2020 et les données scientifiques disponibles</w:t>
      </w:r>
      <w:r w:rsidR="00A365BD" w:rsidRPr="00A365BD">
        <w:rPr>
          <w:kern w:val="22"/>
          <w:sz w:val="22"/>
          <w:szCs w:val="22"/>
          <w:lang w:val="fr-FR"/>
        </w:rPr>
        <w:t>, y compris les résultats de l’Évaluation mondiale de l’IPBES</w:t>
      </w:r>
      <w:r w:rsidR="00EF3AE8" w:rsidRPr="00A365BD">
        <w:rPr>
          <w:kern w:val="22"/>
          <w:sz w:val="22"/>
          <w:szCs w:val="22"/>
          <w:vertAlign w:val="superscript"/>
          <w:lang w:val="fr-FR"/>
        </w:rPr>
        <w:footnoteReference w:id="3"/>
      </w:r>
      <w:r w:rsidR="00A365BD" w:rsidRPr="00A365BD">
        <w:rPr>
          <w:kern w:val="22"/>
          <w:sz w:val="22"/>
          <w:szCs w:val="22"/>
          <w:lang w:val="fr-FR"/>
        </w:rPr>
        <w:t>.</w:t>
      </w:r>
    </w:p>
    <w:p w14:paraId="66DE1AB4" w14:textId="42F4418C" w:rsidR="0095680A" w:rsidRPr="00A365BD" w:rsidRDefault="00A365BD" w:rsidP="006476DC">
      <w:pPr>
        <w:pStyle w:val="Para1"/>
        <w:numPr>
          <w:ilvl w:val="0"/>
          <w:numId w:val="2"/>
        </w:numPr>
        <w:suppressLineNumbers/>
        <w:tabs>
          <w:tab w:val="clear" w:pos="360"/>
        </w:tabs>
        <w:suppressAutoHyphens/>
        <w:spacing w:before="100"/>
        <w:jc w:val="both"/>
        <w:rPr>
          <w:kern w:val="22"/>
          <w:sz w:val="22"/>
          <w:szCs w:val="22"/>
          <w:lang w:val="fr-FR"/>
        </w:rPr>
      </w:pPr>
      <w:r w:rsidRPr="00A365BD">
        <w:rPr>
          <w:kern w:val="22"/>
          <w:sz w:val="22"/>
          <w:szCs w:val="22"/>
          <w:lang w:val="fr-FR"/>
        </w:rPr>
        <w:t>On trouvera dans le document CBD/SBSTTA/23/2.Add.1 un résumé des conclusions de l’Évaluation mondiale de l’IPBES et</w:t>
      </w:r>
      <w:r w:rsidR="005C08C8">
        <w:rPr>
          <w:kern w:val="22"/>
          <w:sz w:val="22"/>
          <w:szCs w:val="22"/>
          <w:lang w:val="fr-FR"/>
        </w:rPr>
        <w:t xml:space="preserve"> d’autres évaluations pertinentes et leurs répercussions pour les travaux de la Convention, en particulier en ce qui concerne le cadre mondial de la biodiversité pour l’après-2020, et la section I du document </w:t>
      </w:r>
      <w:r w:rsidR="0095680A" w:rsidRPr="00A365BD">
        <w:rPr>
          <w:kern w:val="22"/>
          <w:sz w:val="22"/>
          <w:szCs w:val="22"/>
          <w:lang w:val="fr-FR"/>
        </w:rPr>
        <w:t>CBD/SBSTTA/23/2</w:t>
      </w:r>
      <w:r w:rsidR="005C08C8">
        <w:rPr>
          <w:kern w:val="22"/>
          <w:sz w:val="22"/>
          <w:szCs w:val="22"/>
          <w:lang w:val="fr-FR"/>
        </w:rPr>
        <w:t xml:space="preserve"> contient une vue d’ensemble des principales répercussions. Ces évaluations documentent l’état actuel de la biodiversité, recensent les facteurs de changement, étudient des scénarios pour identifier des moyens de réaliser la Vision 2050 ainsi que des approches et des mesures </w:t>
      </w:r>
      <w:r w:rsidR="009B5D0E">
        <w:rPr>
          <w:kern w:val="22"/>
          <w:sz w:val="22"/>
          <w:szCs w:val="22"/>
          <w:lang w:val="fr-FR"/>
        </w:rPr>
        <w:t>susceptibles d’entraîner les changements transformateurs nécessaire pour réaliser cette vision.</w:t>
      </w:r>
    </w:p>
    <w:p w14:paraId="71B3460D" w14:textId="6681ABCF" w:rsidR="0095680A" w:rsidRPr="00A365BD" w:rsidRDefault="009B5D0E" w:rsidP="006476DC">
      <w:pPr>
        <w:pStyle w:val="Para1"/>
        <w:numPr>
          <w:ilvl w:val="0"/>
          <w:numId w:val="2"/>
        </w:numPr>
        <w:suppressLineNumbers/>
        <w:tabs>
          <w:tab w:val="clear" w:pos="360"/>
        </w:tabs>
        <w:suppressAutoHyphens/>
        <w:spacing w:before="100"/>
        <w:jc w:val="both"/>
        <w:rPr>
          <w:kern w:val="22"/>
          <w:sz w:val="22"/>
          <w:szCs w:val="22"/>
          <w:lang w:val="fr-FR"/>
        </w:rPr>
      </w:pPr>
      <w:r>
        <w:rPr>
          <w:kern w:val="22"/>
          <w:sz w:val="22"/>
          <w:szCs w:val="22"/>
          <w:lang w:val="fr-FR"/>
        </w:rPr>
        <w:t xml:space="preserve">L’Évaluation mondiale de l’IPBES et les autres évaluations pertinentes reconnaissent la nécessité urgente de prendre des mesures pendant </w:t>
      </w:r>
      <w:proofErr w:type="gramStart"/>
      <w:r>
        <w:rPr>
          <w:kern w:val="22"/>
          <w:sz w:val="22"/>
          <w:szCs w:val="22"/>
          <w:lang w:val="fr-FR"/>
        </w:rPr>
        <w:t>la présent décennie</w:t>
      </w:r>
      <w:proofErr w:type="gramEnd"/>
      <w:r>
        <w:rPr>
          <w:kern w:val="22"/>
          <w:sz w:val="22"/>
          <w:szCs w:val="22"/>
          <w:lang w:val="fr-FR"/>
        </w:rPr>
        <w:t xml:space="preserve"> pour s’attaquer à la perte de bio</w:t>
      </w:r>
      <w:r w:rsidR="009B34BC">
        <w:rPr>
          <w:kern w:val="22"/>
          <w:sz w:val="22"/>
          <w:szCs w:val="22"/>
          <w:lang w:val="fr-FR"/>
        </w:rPr>
        <w:t>di</w:t>
      </w:r>
      <w:r>
        <w:rPr>
          <w:kern w:val="22"/>
          <w:sz w:val="22"/>
          <w:szCs w:val="22"/>
          <w:lang w:val="fr-FR"/>
        </w:rPr>
        <w:t>versité, ainsi qu’aux effets des changements climatiques et à la dégradation des terres, d’une part en accélérant la prise de mesures éprouvées, d’autre part en prenant de nouvelles mesures</w:t>
      </w:r>
      <w:r w:rsidR="009B34BC">
        <w:rPr>
          <w:kern w:val="22"/>
          <w:sz w:val="22"/>
          <w:szCs w:val="22"/>
          <w:lang w:val="fr-FR"/>
        </w:rPr>
        <w:t xml:space="preserve"> propres à réaliser un changement transformateur. Cependant, étant donné que les tendances actuelles de la biodiversité sont dans l’ensemble très négatives, certains facteurs augmentant actuellement en intensité, et compte tenu des délais inhérents aux systèmes </w:t>
      </w:r>
      <w:r w:rsidR="009B34BC">
        <w:rPr>
          <w:noProof/>
          <w:kern w:val="22"/>
          <w:sz w:val="22"/>
          <w:szCs w:val="22"/>
          <w:lang w:val="fr-FR"/>
        </w:rPr>
        <w:t>socioécologiques</w:t>
      </w:r>
      <w:r w:rsidR="00AE27B9">
        <w:rPr>
          <w:kern w:val="22"/>
          <w:sz w:val="22"/>
          <w:szCs w:val="22"/>
          <w:lang w:val="fr-FR"/>
        </w:rPr>
        <w:t>, les changements fondamentaux nécessaires pour réduire un grand nombre des facteurs de ces tendances prendront du temps. En outre, de nombreux écosystèmes et espèces prennent du temps à récupérer une fois que les menaces sont réduites. Ainsi, alors qu’un échéancier de 2030 est approprié pour la mise en œuvre de mesures urgentes, un calendrier plus long – jusqu’à 2050 – est aussi important pour permettre une vision positive.</w:t>
      </w:r>
      <w:r w:rsidR="00B62EB4">
        <w:rPr>
          <w:kern w:val="22"/>
          <w:sz w:val="22"/>
          <w:szCs w:val="22"/>
          <w:lang w:val="fr-FR"/>
        </w:rPr>
        <w:t xml:space="preserve"> La </w:t>
      </w:r>
      <w:r w:rsidR="00B62EB4">
        <w:rPr>
          <w:noProof/>
          <w:kern w:val="22"/>
          <w:sz w:val="22"/>
          <w:szCs w:val="22"/>
          <w:lang w:val="fr-FR"/>
        </w:rPr>
        <w:t>« rétropolation</w:t>
      </w:r>
      <w:r w:rsidR="00B62EB4">
        <w:rPr>
          <w:kern w:val="22"/>
          <w:sz w:val="22"/>
          <w:szCs w:val="22"/>
          <w:lang w:val="fr-FR"/>
        </w:rPr>
        <w:t> » peut être utilisée pour déduire les mesures nécessaires à la réalisation de la Vision 2050 et l’établissement d’étapes pour 2030 et 2040.</w:t>
      </w:r>
    </w:p>
    <w:p w14:paraId="1F7F279F" w14:textId="7C6A8F47" w:rsidR="00DA4EC5" w:rsidRPr="00A365BD" w:rsidRDefault="005F1536" w:rsidP="006476DC">
      <w:pPr>
        <w:pStyle w:val="Para1"/>
        <w:numPr>
          <w:ilvl w:val="0"/>
          <w:numId w:val="2"/>
        </w:numPr>
        <w:suppressLineNumbers/>
        <w:tabs>
          <w:tab w:val="clear" w:pos="360"/>
          <w:tab w:val="num" w:pos="709"/>
        </w:tabs>
        <w:suppressAutoHyphens/>
        <w:jc w:val="both"/>
        <w:rPr>
          <w:kern w:val="22"/>
          <w:sz w:val="22"/>
          <w:szCs w:val="22"/>
          <w:lang w:val="fr-FR"/>
        </w:rPr>
      </w:pPr>
      <w:r>
        <w:rPr>
          <w:kern w:val="22"/>
          <w:sz w:val="22"/>
          <w:szCs w:val="22"/>
          <w:lang w:val="fr-FR"/>
        </w:rPr>
        <w:t>Le langage précis du cadre</w:t>
      </w:r>
      <w:r w:rsidR="00E82127" w:rsidRPr="00A365BD">
        <w:rPr>
          <w:kern w:val="22"/>
          <w:sz w:val="22"/>
          <w:szCs w:val="22"/>
          <w:lang w:val="fr-FR"/>
        </w:rPr>
        <w:t xml:space="preserve"> </w:t>
      </w:r>
      <w:r w:rsidR="00A03C45" w:rsidRPr="00A365BD">
        <w:rPr>
          <w:kern w:val="22"/>
          <w:sz w:val="22"/>
          <w:szCs w:val="22"/>
          <w:lang w:val="fr-FR"/>
        </w:rPr>
        <w:t>(</w:t>
      </w:r>
      <w:r w:rsidR="00E82127" w:rsidRPr="00A365BD">
        <w:rPr>
          <w:kern w:val="22"/>
          <w:sz w:val="22"/>
          <w:szCs w:val="22"/>
          <w:lang w:val="fr-FR"/>
        </w:rPr>
        <w:t>d</w:t>
      </w:r>
      <w:r>
        <w:rPr>
          <w:kern w:val="22"/>
          <w:sz w:val="22"/>
          <w:szCs w:val="22"/>
          <w:lang w:val="fr-FR"/>
        </w:rPr>
        <w:t>é</w:t>
      </w:r>
      <w:r w:rsidR="00E82127" w:rsidRPr="00A365BD">
        <w:rPr>
          <w:kern w:val="22"/>
          <w:sz w:val="22"/>
          <w:szCs w:val="22"/>
          <w:lang w:val="fr-FR"/>
        </w:rPr>
        <w:t xml:space="preserve">finitions </w:t>
      </w:r>
      <w:r>
        <w:rPr>
          <w:kern w:val="22"/>
          <w:sz w:val="22"/>
          <w:szCs w:val="22"/>
          <w:lang w:val="fr-FR"/>
        </w:rPr>
        <w:t>de ses éléments</w:t>
      </w:r>
      <w:r w:rsidR="00C303A0" w:rsidRPr="00A365BD">
        <w:rPr>
          <w:kern w:val="22"/>
          <w:sz w:val="22"/>
          <w:szCs w:val="22"/>
          <w:lang w:val="fr-FR"/>
        </w:rPr>
        <w:t>,</w:t>
      </w:r>
      <w:r w:rsidR="00E82127" w:rsidRPr="00A365BD">
        <w:rPr>
          <w:kern w:val="22"/>
          <w:sz w:val="22"/>
          <w:szCs w:val="22"/>
          <w:lang w:val="fr-FR"/>
        </w:rPr>
        <w:t xml:space="preserve"> </w:t>
      </w:r>
      <w:r>
        <w:rPr>
          <w:kern w:val="22"/>
          <w:sz w:val="22"/>
          <w:szCs w:val="22"/>
          <w:lang w:val="fr-FR"/>
        </w:rPr>
        <w:t>y compris les objectifs et les cibles</w:t>
      </w:r>
      <w:r w:rsidR="00A03C45" w:rsidRPr="00A365BD">
        <w:rPr>
          <w:kern w:val="22"/>
          <w:sz w:val="22"/>
          <w:szCs w:val="22"/>
          <w:lang w:val="fr-FR"/>
        </w:rPr>
        <w:t>)</w:t>
      </w:r>
      <w:r w:rsidR="00E82127" w:rsidRPr="00A365BD">
        <w:rPr>
          <w:kern w:val="22"/>
          <w:sz w:val="22"/>
          <w:szCs w:val="22"/>
          <w:lang w:val="fr-FR"/>
        </w:rPr>
        <w:t xml:space="preserve"> </w:t>
      </w:r>
      <w:r>
        <w:rPr>
          <w:kern w:val="22"/>
          <w:sz w:val="22"/>
          <w:szCs w:val="22"/>
          <w:lang w:val="fr-FR"/>
        </w:rPr>
        <w:t>est en cours d’élaboration et sera consolidé dans l’avant-projet du cadre qui sera publié six semaines avant la deuxième réunion du Groupe de travail sur le cadre mondial de la biodiversité pour l’après-2020.</w:t>
      </w:r>
      <w:r w:rsidR="00E82127" w:rsidRPr="00A365BD">
        <w:rPr>
          <w:kern w:val="22"/>
          <w:sz w:val="22"/>
          <w:szCs w:val="22"/>
          <w:lang w:val="fr-FR"/>
        </w:rPr>
        <w:t xml:space="preserve"> </w:t>
      </w:r>
      <w:r w:rsidR="00654581">
        <w:rPr>
          <w:kern w:val="22"/>
          <w:sz w:val="22"/>
          <w:szCs w:val="22"/>
          <w:lang w:val="fr-FR"/>
        </w:rPr>
        <w:t>La section</w:t>
      </w:r>
      <w:r w:rsidR="00DA4EC5" w:rsidRPr="00A365BD">
        <w:rPr>
          <w:kern w:val="22"/>
          <w:sz w:val="22"/>
          <w:szCs w:val="22"/>
          <w:lang w:val="fr-FR"/>
        </w:rPr>
        <w:t xml:space="preserve"> II </w:t>
      </w:r>
      <w:r w:rsidR="00654581">
        <w:rPr>
          <w:kern w:val="22"/>
          <w:sz w:val="22"/>
          <w:szCs w:val="22"/>
          <w:lang w:val="fr-FR"/>
        </w:rPr>
        <w:t xml:space="preserve">contient des informations sur sa mission </w:t>
      </w:r>
      <w:r w:rsidR="00832626">
        <w:rPr>
          <w:kern w:val="22"/>
          <w:sz w:val="22"/>
          <w:szCs w:val="22"/>
          <w:lang w:val="fr-FR"/>
        </w:rPr>
        <w:t xml:space="preserve">éventuelle </w:t>
      </w:r>
      <w:r w:rsidR="00654581">
        <w:rPr>
          <w:kern w:val="22"/>
          <w:sz w:val="22"/>
          <w:szCs w:val="22"/>
          <w:lang w:val="fr-FR"/>
        </w:rPr>
        <w:t>à l’horizon 2030. La section III</w:t>
      </w:r>
      <w:r w:rsidR="00DA4EC5" w:rsidRPr="00A365BD">
        <w:rPr>
          <w:kern w:val="22"/>
          <w:sz w:val="22"/>
          <w:szCs w:val="22"/>
          <w:lang w:val="fr-FR"/>
        </w:rPr>
        <w:t xml:space="preserve"> </w:t>
      </w:r>
      <w:r w:rsidR="00654581">
        <w:rPr>
          <w:kern w:val="22"/>
          <w:sz w:val="22"/>
          <w:szCs w:val="22"/>
          <w:lang w:val="fr-FR"/>
        </w:rPr>
        <w:t>contient des considérations pour l’élaboration de futures cibles. La section IV fournit des informations sur les indicateurs, les bases de ré</w:t>
      </w:r>
      <w:r w:rsidR="0044006F">
        <w:rPr>
          <w:kern w:val="22"/>
          <w:sz w:val="22"/>
          <w:szCs w:val="22"/>
          <w:lang w:val="fr-FR"/>
        </w:rPr>
        <w:t>férence et les cadres de suivi. L’Organe subsidiaire chargé de fournir des avis scientifiques, techniques et technologiques pourrait souhaiter examiner ces informations et formuler une recommandation au Groupe de travail sur le cadre mondial de la biodiversité pour l’après-2020 et à ses coprésidents.</w:t>
      </w:r>
    </w:p>
    <w:p w14:paraId="35819C87" w14:textId="76DF7B99" w:rsidR="00555A4E" w:rsidRPr="00A365BD" w:rsidRDefault="0044006F" w:rsidP="006476DC">
      <w:pPr>
        <w:pStyle w:val="Para1"/>
        <w:numPr>
          <w:ilvl w:val="0"/>
          <w:numId w:val="2"/>
        </w:numPr>
        <w:suppressLineNumbers/>
        <w:tabs>
          <w:tab w:val="clear" w:pos="360"/>
          <w:tab w:val="num" w:pos="709"/>
        </w:tabs>
        <w:suppressAutoHyphens/>
        <w:jc w:val="both"/>
        <w:rPr>
          <w:kern w:val="22"/>
          <w:sz w:val="22"/>
          <w:szCs w:val="22"/>
          <w:lang w:val="fr-FR"/>
        </w:rPr>
      </w:pPr>
      <w:r>
        <w:rPr>
          <w:kern w:val="22"/>
          <w:sz w:val="22"/>
          <w:szCs w:val="22"/>
          <w:lang w:val="fr-FR"/>
        </w:rPr>
        <w:t>Le présent additif est appuyé par plusieurs documents d’information, y compris un aperçu général des propositions relatives aux cibles présentées par les Parties et les observateurs, et des informations sur les indicateurs de biodiversité actuellement disponibles.</w:t>
      </w:r>
    </w:p>
    <w:p w14:paraId="2D06D213" w14:textId="4635096F" w:rsidR="00DA4EC5" w:rsidRPr="00A365BD" w:rsidRDefault="0044006F" w:rsidP="006476DC">
      <w:pPr>
        <w:pStyle w:val="Para1"/>
        <w:keepNext/>
        <w:numPr>
          <w:ilvl w:val="0"/>
          <w:numId w:val="38"/>
        </w:numPr>
        <w:suppressLineNumbers/>
        <w:suppressAutoHyphens/>
        <w:ind w:left="697" w:hanging="340"/>
        <w:jc w:val="center"/>
        <w:rPr>
          <w:b/>
          <w:caps/>
          <w:snapToGrid/>
          <w:kern w:val="22"/>
          <w:sz w:val="22"/>
          <w:szCs w:val="22"/>
          <w:lang w:val="fr-FR"/>
        </w:rPr>
      </w:pPr>
      <w:r>
        <w:rPr>
          <w:b/>
          <w:caps/>
          <w:snapToGrid/>
          <w:kern w:val="22"/>
          <w:sz w:val="22"/>
          <w:szCs w:val="22"/>
          <w:lang w:val="fr-FR"/>
        </w:rPr>
        <w:t xml:space="preserve">Objectifs À long terme </w:t>
      </w:r>
      <w:r w:rsidR="00832626">
        <w:rPr>
          <w:b/>
          <w:caps/>
          <w:snapToGrid/>
          <w:kern w:val="22"/>
          <w:sz w:val="22"/>
          <w:szCs w:val="22"/>
          <w:lang w:val="fr-FR"/>
        </w:rPr>
        <w:t>Éventuels</w:t>
      </w:r>
    </w:p>
    <w:p w14:paraId="608A713D" w14:textId="15299439" w:rsidR="00DA4EC5" w:rsidRPr="00A365BD" w:rsidRDefault="0044006F" w:rsidP="006476DC">
      <w:pPr>
        <w:pStyle w:val="Para1"/>
        <w:numPr>
          <w:ilvl w:val="0"/>
          <w:numId w:val="2"/>
        </w:numPr>
        <w:suppressLineNumbers/>
        <w:tabs>
          <w:tab w:val="clear" w:pos="360"/>
        </w:tabs>
        <w:suppressAutoHyphens/>
        <w:jc w:val="both"/>
        <w:rPr>
          <w:kern w:val="22"/>
          <w:sz w:val="22"/>
          <w:szCs w:val="22"/>
          <w:lang w:val="fr-FR"/>
        </w:rPr>
      </w:pPr>
      <w:r>
        <w:rPr>
          <w:kern w:val="22"/>
          <w:sz w:val="22"/>
          <w:szCs w:val="22"/>
          <w:lang w:val="fr-FR"/>
        </w:rPr>
        <w:t xml:space="preserve">Dans ses conclusions </w:t>
      </w:r>
      <w:r w:rsidR="00A76CA2">
        <w:rPr>
          <w:kern w:val="22"/>
          <w:sz w:val="22"/>
          <w:szCs w:val="22"/>
          <w:lang w:val="fr-FR"/>
        </w:rPr>
        <w:t>concernant des</w:t>
      </w:r>
      <w:r w:rsidR="00DA4EC5" w:rsidRPr="00A365BD">
        <w:rPr>
          <w:kern w:val="22"/>
          <w:sz w:val="22"/>
          <w:szCs w:val="22"/>
          <w:lang w:val="fr-FR"/>
        </w:rPr>
        <w:t xml:space="preserve"> sc</w:t>
      </w:r>
      <w:r w:rsidR="00A76CA2">
        <w:rPr>
          <w:kern w:val="22"/>
          <w:sz w:val="22"/>
          <w:szCs w:val="22"/>
          <w:lang w:val="fr-FR"/>
        </w:rPr>
        <w:t>é</w:t>
      </w:r>
      <w:r w:rsidR="00DA4EC5" w:rsidRPr="00A365BD">
        <w:rPr>
          <w:kern w:val="22"/>
          <w:sz w:val="22"/>
          <w:szCs w:val="22"/>
          <w:lang w:val="fr-FR"/>
        </w:rPr>
        <w:t xml:space="preserve">narios </w:t>
      </w:r>
      <w:r w:rsidR="00A76CA2">
        <w:rPr>
          <w:kern w:val="22"/>
          <w:sz w:val="22"/>
          <w:szCs w:val="22"/>
          <w:lang w:val="fr-FR"/>
        </w:rPr>
        <w:t>pour la Vision 2050 pour la biodiversité, l’Organe subsidiaire a noté</w:t>
      </w:r>
      <w:r w:rsidR="0077010C">
        <w:rPr>
          <w:kern w:val="22"/>
          <w:sz w:val="22"/>
          <w:szCs w:val="22"/>
          <w:lang w:val="fr-FR"/>
        </w:rPr>
        <w:t>, dans la recommandation XXI/1,</w:t>
      </w:r>
      <w:r w:rsidR="00A76CA2">
        <w:rPr>
          <w:kern w:val="22"/>
          <w:sz w:val="22"/>
          <w:szCs w:val="22"/>
          <w:lang w:val="fr-FR"/>
        </w:rPr>
        <w:t xml:space="preserve"> que </w:t>
      </w:r>
      <w:r w:rsidR="00A76CA2" w:rsidRPr="00A76CA2">
        <w:rPr>
          <w:kern w:val="22"/>
          <w:sz w:val="22"/>
          <w:szCs w:val="22"/>
          <w:lang w:val="fr-FR"/>
        </w:rPr>
        <w:t xml:space="preserve">« la Vision </w:t>
      </w:r>
      <w:r w:rsidR="00A76CA2" w:rsidRPr="00A76CA2">
        <w:rPr>
          <w:rFonts w:eastAsia="Malgun Gothic"/>
          <w:kern w:val="22"/>
          <w:sz w:val="22"/>
          <w:szCs w:val="22"/>
          <w:lang w:val="fr-FR"/>
        </w:rPr>
        <w:t>2050</w:t>
      </w:r>
      <w:r w:rsidR="00A76CA2" w:rsidRPr="00FC767B">
        <w:rPr>
          <w:rFonts w:eastAsia="Malgun Gothic"/>
          <w:kern w:val="22"/>
          <w:szCs w:val="22"/>
          <w:lang w:val="fr-FR"/>
        </w:rPr>
        <w:t xml:space="preserve"> </w:t>
      </w:r>
      <w:r w:rsidR="00A76CA2" w:rsidRPr="00A76CA2">
        <w:rPr>
          <w:rFonts w:eastAsia="Malgun Gothic"/>
          <w:kern w:val="22"/>
          <w:sz w:val="22"/>
          <w:szCs w:val="22"/>
          <w:lang w:val="fr-FR"/>
        </w:rPr>
        <w:t xml:space="preserve">(« Vivre en harmonie avec la nature », vision selon laquelle « d’ici à 2050, la diversité biologique est valorisée, conservée, restaurée et utilisée avec sagesse, en assurant le maintien des services fournis par les écosystèmes, en maintenant la planète en bonne santé et en procurant des avantages essentiels à tous les peuples ») comporte des éléments qui pourraient se traduire en un objectif à long terme pour la biodiversité et définit le contexte en vue de discussions sur de possibles objectifs </w:t>
      </w:r>
      <w:r w:rsidR="0077010C">
        <w:rPr>
          <w:rFonts w:eastAsia="Malgun Gothic"/>
          <w:kern w:val="22"/>
          <w:sz w:val="22"/>
          <w:szCs w:val="22"/>
          <w:lang w:val="fr-FR"/>
        </w:rPr>
        <w:t xml:space="preserve">de </w:t>
      </w:r>
      <w:r w:rsidR="00A76CA2" w:rsidRPr="00A76CA2">
        <w:rPr>
          <w:rFonts w:eastAsia="Malgun Gothic"/>
          <w:kern w:val="22"/>
          <w:sz w:val="22"/>
          <w:szCs w:val="22"/>
          <w:lang w:val="fr-FR"/>
        </w:rPr>
        <w:t xml:space="preserve">biodiversité </w:t>
      </w:r>
      <w:r w:rsidR="00832626">
        <w:rPr>
          <w:rFonts w:eastAsia="Malgun Gothic"/>
          <w:kern w:val="22"/>
          <w:sz w:val="22"/>
          <w:szCs w:val="22"/>
          <w:lang w:val="fr-FR"/>
        </w:rPr>
        <w:t xml:space="preserve">à </w:t>
      </w:r>
      <w:r w:rsidR="0077010C">
        <w:rPr>
          <w:rFonts w:eastAsia="Malgun Gothic"/>
          <w:kern w:val="22"/>
          <w:sz w:val="22"/>
          <w:szCs w:val="22"/>
          <w:lang w:val="fr-FR"/>
        </w:rPr>
        <w:t>pour</w:t>
      </w:r>
      <w:r w:rsidR="00A76CA2" w:rsidRPr="00A76CA2">
        <w:rPr>
          <w:rFonts w:eastAsia="Malgun Gothic"/>
          <w:kern w:val="22"/>
          <w:sz w:val="22"/>
          <w:szCs w:val="22"/>
          <w:lang w:val="fr-FR"/>
        </w:rPr>
        <w:t> 2030 s'inscrivant dans le cadre mondial de la biodiversité pour l'après-2020</w:t>
      </w:r>
      <w:r w:rsidR="00A76CA2">
        <w:rPr>
          <w:rFonts w:eastAsia="Malgun Gothic"/>
          <w:kern w:val="22"/>
          <w:sz w:val="22"/>
          <w:szCs w:val="22"/>
          <w:lang w:val="fr-FR"/>
        </w:rPr>
        <w:t> »</w:t>
      </w:r>
      <w:r w:rsidR="00A76CA2" w:rsidRPr="00A76CA2">
        <w:rPr>
          <w:rFonts w:eastAsia="Malgun Gothic"/>
          <w:kern w:val="22"/>
          <w:sz w:val="22"/>
          <w:szCs w:val="22"/>
          <w:lang w:val="fr-FR"/>
        </w:rPr>
        <w:t>.</w:t>
      </w:r>
    </w:p>
    <w:p w14:paraId="1F91E7BD" w14:textId="3D5F690D" w:rsidR="00EF3AE8" w:rsidRPr="00831DFB" w:rsidRDefault="00AD7A64" w:rsidP="006476DC">
      <w:pPr>
        <w:pStyle w:val="Para1"/>
        <w:numPr>
          <w:ilvl w:val="0"/>
          <w:numId w:val="2"/>
        </w:numPr>
        <w:suppressLineNumbers/>
        <w:tabs>
          <w:tab w:val="clear" w:pos="360"/>
        </w:tabs>
        <w:suppressAutoHyphens/>
        <w:jc w:val="both"/>
        <w:rPr>
          <w:kern w:val="22"/>
          <w:sz w:val="22"/>
          <w:szCs w:val="22"/>
          <w:lang w:val="fr-FR"/>
        </w:rPr>
      </w:pPr>
      <w:r w:rsidRPr="00831DFB">
        <w:rPr>
          <w:kern w:val="22"/>
          <w:sz w:val="22"/>
          <w:szCs w:val="22"/>
          <w:lang w:val="fr-FR"/>
        </w:rPr>
        <w:lastRenderedPageBreak/>
        <w:t xml:space="preserve">Tout au long du processus de consultation pour l’élaboration du cadre mondial de la biodiversité pour l’après-2020, </w:t>
      </w:r>
      <w:r w:rsidR="00204E6D" w:rsidRPr="00831DFB">
        <w:rPr>
          <w:kern w:val="22"/>
          <w:sz w:val="22"/>
          <w:szCs w:val="22"/>
          <w:lang w:val="fr-FR"/>
        </w:rPr>
        <w:t>des participants ont demandé que la Vision 2050 soit définie en termes mesurable</w:t>
      </w:r>
      <w:r w:rsidR="00307C43">
        <w:rPr>
          <w:kern w:val="22"/>
          <w:sz w:val="22"/>
          <w:szCs w:val="22"/>
          <w:lang w:val="fr-FR"/>
        </w:rPr>
        <w:t>s</w:t>
      </w:r>
      <w:r w:rsidR="00204E6D" w:rsidRPr="00831DFB">
        <w:rPr>
          <w:kern w:val="22"/>
          <w:sz w:val="22"/>
          <w:szCs w:val="22"/>
          <w:lang w:val="fr-FR"/>
        </w:rPr>
        <w:t>. Une façon de le faire est d’utiliser des objectifs à long terme axés sur les résultats pour 2050, c’est-à-dire des déclarations liées à un changement d’état ou de condition associé à la biodiversité ou au bien-être.</w:t>
      </w:r>
    </w:p>
    <w:p w14:paraId="325DAC23" w14:textId="1F3EE819" w:rsidR="00DA4EC5" w:rsidRPr="00831DFB" w:rsidRDefault="00204E6D" w:rsidP="006476DC">
      <w:pPr>
        <w:pStyle w:val="Para1"/>
        <w:numPr>
          <w:ilvl w:val="0"/>
          <w:numId w:val="2"/>
        </w:numPr>
        <w:suppressLineNumbers/>
        <w:tabs>
          <w:tab w:val="clear" w:pos="360"/>
        </w:tabs>
        <w:suppressAutoHyphens/>
        <w:jc w:val="both"/>
        <w:rPr>
          <w:kern w:val="22"/>
          <w:sz w:val="22"/>
          <w:szCs w:val="22"/>
          <w:lang w:val="fr-FR"/>
        </w:rPr>
      </w:pPr>
      <w:r w:rsidRPr="00831DFB">
        <w:rPr>
          <w:kern w:val="22"/>
          <w:sz w:val="22"/>
          <w:szCs w:val="22"/>
          <w:lang w:val="fr-FR"/>
        </w:rPr>
        <w:t>En plus de rend</w:t>
      </w:r>
      <w:r w:rsidR="00831DFB" w:rsidRPr="00831DFB">
        <w:rPr>
          <w:kern w:val="22"/>
          <w:sz w:val="22"/>
          <w:szCs w:val="22"/>
          <w:lang w:val="fr-FR"/>
        </w:rPr>
        <w:t>re</w:t>
      </w:r>
      <w:r w:rsidRPr="00831DFB">
        <w:rPr>
          <w:kern w:val="22"/>
          <w:sz w:val="22"/>
          <w:szCs w:val="22"/>
          <w:lang w:val="fr-FR"/>
        </w:rPr>
        <w:t xml:space="preserve"> la Vision 2050 plus pr</w:t>
      </w:r>
      <w:r w:rsidR="00831DFB" w:rsidRPr="00831DFB">
        <w:rPr>
          <w:kern w:val="22"/>
          <w:sz w:val="22"/>
          <w:szCs w:val="22"/>
          <w:lang w:val="fr-FR"/>
        </w:rPr>
        <w:t>é</w:t>
      </w:r>
      <w:r w:rsidRPr="00831DFB">
        <w:rPr>
          <w:kern w:val="22"/>
          <w:sz w:val="22"/>
          <w:szCs w:val="22"/>
          <w:lang w:val="fr-FR"/>
        </w:rPr>
        <w:t>cise et mesurable, ces objectifs pourraient</w:t>
      </w:r>
      <w:r w:rsidR="00014FEF">
        <w:rPr>
          <w:kern w:val="22"/>
          <w:sz w:val="22"/>
          <w:szCs w:val="22"/>
          <w:lang w:val="fr-FR"/>
        </w:rPr>
        <w:t xml:space="preserve"> aussi jouer un rôle important de communication. Plusieurs éléments </w:t>
      </w:r>
      <w:proofErr w:type="gramStart"/>
      <w:r w:rsidR="00014FEF">
        <w:rPr>
          <w:kern w:val="22"/>
          <w:sz w:val="22"/>
          <w:szCs w:val="22"/>
          <w:lang w:val="fr-FR"/>
        </w:rPr>
        <w:t>devrait</w:t>
      </w:r>
      <w:proofErr w:type="gramEnd"/>
      <w:r w:rsidR="00014FEF">
        <w:rPr>
          <w:kern w:val="22"/>
          <w:sz w:val="22"/>
          <w:szCs w:val="22"/>
          <w:lang w:val="fr-FR"/>
        </w:rPr>
        <w:t xml:space="preserve"> être pris en compte dans l’élaboration de ces objectifs :</w:t>
      </w:r>
    </w:p>
    <w:p w14:paraId="54B6E6F6" w14:textId="26CFD902" w:rsidR="00DA4EC5" w:rsidRPr="00831DFB" w:rsidRDefault="00014FEF" w:rsidP="006476DC">
      <w:pPr>
        <w:pStyle w:val="Para1"/>
        <w:numPr>
          <w:ilvl w:val="1"/>
          <w:numId w:val="2"/>
        </w:numPr>
        <w:suppressLineNumbers/>
        <w:tabs>
          <w:tab w:val="clear" w:pos="1440"/>
        </w:tabs>
        <w:suppressAutoHyphens/>
        <w:spacing w:before="0"/>
        <w:jc w:val="both"/>
        <w:rPr>
          <w:kern w:val="22"/>
          <w:sz w:val="22"/>
          <w:szCs w:val="22"/>
          <w:lang w:val="fr-FR"/>
        </w:rPr>
      </w:pPr>
      <w:r>
        <w:rPr>
          <w:kern w:val="22"/>
          <w:sz w:val="22"/>
          <w:szCs w:val="22"/>
          <w:lang w:val="fr-FR"/>
        </w:rPr>
        <w:t>Les objectifs devraient être liés</w:t>
      </w:r>
      <w:r w:rsidR="00DA4EC5" w:rsidRPr="00831DFB">
        <w:rPr>
          <w:kern w:val="22"/>
          <w:sz w:val="22"/>
          <w:szCs w:val="22"/>
          <w:lang w:val="fr-FR"/>
        </w:rPr>
        <w:t xml:space="preserve"> </w:t>
      </w:r>
      <w:r>
        <w:rPr>
          <w:kern w:val="22"/>
          <w:sz w:val="22"/>
          <w:szCs w:val="22"/>
          <w:lang w:val="fr-FR"/>
        </w:rPr>
        <w:t xml:space="preserve">à la Vision 2050, à la mission d’ici à 2030 plus spécifique et à toute cible pour 2030. De même, la mission </w:t>
      </w:r>
      <w:r w:rsidR="00485289">
        <w:rPr>
          <w:kern w:val="22"/>
          <w:sz w:val="22"/>
          <w:szCs w:val="22"/>
          <w:lang w:val="fr-FR"/>
        </w:rPr>
        <w:t xml:space="preserve">à l’horizon </w:t>
      </w:r>
      <w:r>
        <w:rPr>
          <w:kern w:val="22"/>
          <w:sz w:val="22"/>
          <w:szCs w:val="22"/>
          <w:lang w:val="fr-FR"/>
        </w:rPr>
        <w:t>2030 et les cibles devraient contribuer à la réalisation des objectifs ;</w:t>
      </w:r>
      <w:r w:rsidR="00DA4EC5" w:rsidRPr="00831DFB">
        <w:rPr>
          <w:kern w:val="22"/>
          <w:sz w:val="22"/>
          <w:szCs w:val="22"/>
          <w:lang w:val="fr-FR"/>
        </w:rPr>
        <w:t xml:space="preserve"> </w:t>
      </w:r>
    </w:p>
    <w:p w14:paraId="6AA29A8B" w14:textId="0EC4D881" w:rsidR="00DA4EC5" w:rsidRPr="00831DFB" w:rsidRDefault="00014FEF" w:rsidP="006476DC">
      <w:pPr>
        <w:pStyle w:val="Para1"/>
        <w:numPr>
          <w:ilvl w:val="1"/>
          <w:numId w:val="2"/>
        </w:numPr>
        <w:suppressLineNumbers/>
        <w:tabs>
          <w:tab w:val="clear" w:pos="1440"/>
        </w:tabs>
        <w:suppressAutoHyphens/>
        <w:spacing w:before="0"/>
        <w:jc w:val="both"/>
        <w:rPr>
          <w:kern w:val="22"/>
          <w:sz w:val="22"/>
          <w:szCs w:val="22"/>
          <w:lang w:val="fr-FR"/>
        </w:rPr>
      </w:pPr>
      <w:bookmarkStart w:id="0" w:name="_Ref22226367"/>
      <w:r>
        <w:rPr>
          <w:kern w:val="22"/>
          <w:sz w:val="22"/>
          <w:szCs w:val="22"/>
          <w:lang w:val="fr-FR"/>
        </w:rPr>
        <w:t xml:space="preserve">Les objectifs devraient être </w:t>
      </w:r>
      <w:r w:rsidR="00480E6B">
        <w:rPr>
          <w:kern w:val="22"/>
          <w:sz w:val="22"/>
          <w:szCs w:val="22"/>
          <w:lang w:val="fr-FR"/>
        </w:rPr>
        <w:t>de haut niveau et mesurables, afin d’être communiqués à un public plus large, et être associés à quelque chose qui peut être suivi au fil du temps. Ceci peut se faire en les exprimant par rapport à une valeur ou année de référence</w:t>
      </w:r>
      <w:r w:rsidR="00485289">
        <w:rPr>
          <w:kern w:val="22"/>
          <w:sz w:val="22"/>
          <w:szCs w:val="22"/>
          <w:lang w:val="fr-FR"/>
        </w:rPr>
        <w:t>,</w:t>
      </w:r>
      <w:r w:rsidR="00480E6B">
        <w:rPr>
          <w:kern w:val="22"/>
          <w:sz w:val="22"/>
          <w:szCs w:val="22"/>
          <w:lang w:val="fr-FR"/>
        </w:rPr>
        <w:t xml:space="preserve"> ou par rapport à leur situation actuelle</w:t>
      </w:r>
      <w:bookmarkStart w:id="1" w:name="_Ref22226385"/>
      <w:r w:rsidR="00EF3AE8" w:rsidRPr="00831DFB">
        <w:rPr>
          <w:rStyle w:val="FootnoteReference"/>
          <w:kern w:val="22"/>
          <w:szCs w:val="22"/>
          <w:lang w:val="fr-FR"/>
        </w:rPr>
        <w:footnoteReference w:id="4"/>
      </w:r>
      <w:bookmarkEnd w:id="0"/>
      <w:bookmarkEnd w:id="1"/>
      <w:r w:rsidR="00480E6B">
        <w:rPr>
          <w:kern w:val="22"/>
          <w:sz w:val="22"/>
          <w:szCs w:val="22"/>
          <w:lang w:val="fr-FR"/>
        </w:rPr>
        <w:t> ;</w:t>
      </w:r>
    </w:p>
    <w:p w14:paraId="4E167D51" w14:textId="418BA9B2" w:rsidR="00EF3AE8" w:rsidRPr="00831DFB" w:rsidRDefault="00480E6B" w:rsidP="006476DC">
      <w:pPr>
        <w:pStyle w:val="ListParagraph"/>
        <w:numPr>
          <w:ilvl w:val="1"/>
          <w:numId w:val="2"/>
        </w:numPr>
        <w:suppressLineNumbers/>
        <w:tabs>
          <w:tab w:val="clear" w:pos="1440"/>
        </w:tabs>
        <w:suppressAutoHyphens/>
        <w:spacing w:after="120"/>
        <w:contextualSpacing w:val="0"/>
        <w:jc w:val="both"/>
        <w:rPr>
          <w:snapToGrid w:val="0"/>
          <w:kern w:val="22"/>
          <w:sz w:val="22"/>
          <w:szCs w:val="22"/>
          <w:lang w:val="fr-FR"/>
        </w:rPr>
      </w:pPr>
      <w:r>
        <w:rPr>
          <w:snapToGrid w:val="0"/>
          <w:kern w:val="22"/>
          <w:sz w:val="22"/>
          <w:szCs w:val="22"/>
          <w:lang w:val="fr-FR"/>
        </w:rPr>
        <w:t xml:space="preserve">Ces objectifs à long terme peuvent contribuer à établir un but commun, à guider l’action pendant des périodes intermédiaires et à motiver les intervenants. Cela nécessiterait des efforts de communication et de vulgarisation </w:t>
      </w:r>
      <w:r w:rsidR="00935CB0">
        <w:rPr>
          <w:snapToGrid w:val="0"/>
          <w:kern w:val="22"/>
          <w:sz w:val="22"/>
          <w:szCs w:val="22"/>
          <w:lang w:val="fr-FR"/>
        </w:rPr>
        <w:t>intensifiés et créatifs afin de porter la question à l’attention de larges publics et de nombreuses parties prenantes, et de mobiliser une action percutante. Une communication claire sur la</w:t>
      </w:r>
      <w:r w:rsidR="00942795">
        <w:rPr>
          <w:snapToGrid w:val="0"/>
          <w:kern w:val="22"/>
          <w:sz w:val="22"/>
          <w:szCs w:val="22"/>
          <w:lang w:val="fr-FR"/>
        </w:rPr>
        <w:t xml:space="preserve"> marche</w:t>
      </w:r>
      <w:r w:rsidR="00935CB0">
        <w:rPr>
          <w:snapToGrid w:val="0"/>
          <w:kern w:val="22"/>
          <w:sz w:val="22"/>
          <w:szCs w:val="22"/>
          <w:lang w:val="fr-FR"/>
        </w:rPr>
        <w:t xml:space="preserve"> à suivre, notamment pour des acteurs tels que les entreprises et l’industrie financière, ainsi que les gouvernements, la société civile et le grand public, est essentielle pour définir les</w:t>
      </w:r>
      <w:r w:rsidR="00942795">
        <w:rPr>
          <w:snapToGrid w:val="0"/>
          <w:kern w:val="22"/>
          <w:sz w:val="22"/>
          <w:szCs w:val="22"/>
          <w:lang w:val="fr-FR"/>
        </w:rPr>
        <w:t xml:space="preserve"> voies et les feuilles de routes vers la réalisation de ces objectifs à long terme ;</w:t>
      </w:r>
    </w:p>
    <w:p w14:paraId="1D827502" w14:textId="45231204" w:rsidR="00EF3AE8" w:rsidRPr="00831DFB" w:rsidRDefault="00C95D19" w:rsidP="006476DC">
      <w:pPr>
        <w:pStyle w:val="ListParagraph"/>
        <w:numPr>
          <w:ilvl w:val="1"/>
          <w:numId w:val="2"/>
        </w:numPr>
        <w:suppressLineNumbers/>
        <w:tabs>
          <w:tab w:val="clear" w:pos="1440"/>
        </w:tabs>
        <w:suppressAutoHyphens/>
        <w:spacing w:after="120"/>
        <w:contextualSpacing w:val="0"/>
        <w:jc w:val="both"/>
        <w:rPr>
          <w:snapToGrid w:val="0"/>
          <w:kern w:val="22"/>
          <w:sz w:val="22"/>
          <w:szCs w:val="22"/>
          <w:lang w:val="fr-FR"/>
        </w:rPr>
      </w:pPr>
      <w:r w:rsidRPr="00831DFB">
        <w:rPr>
          <w:snapToGrid w:val="0"/>
          <w:kern w:val="22"/>
          <w:sz w:val="22"/>
          <w:szCs w:val="22"/>
          <w:lang w:val="fr-FR"/>
        </w:rPr>
        <w:t>L</w:t>
      </w:r>
      <w:r w:rsidR="00942795">
        <w:rPr>
          <w:snapToGrid w:val="0"/>
          <w:kern w:val="22"/>
          <w:sz w:val="22"/>
          <w:szCs w:val="22"/>
          <w:lang w:val="fr-FR"/>
        </w:rPr>
        <w:t xml:space="preserve">es objectifs à long terme sont utiles pour fournir une vision positive, compte tenu des délais inhérents aux systèmes </w:t>
      </w:r>
      <w:r w:rsidR="00942795">
        <w:rPr>
          <w:noProof/>
          <w:snapToGrid w:val="0"/>
          <w:kern w:val="22"/>
          <w:sz w:val="22"/>
          <w:szCs w:val="22"/>
          <w:lang w:val="fr-FR"/>
        </w:rPr>
        <w:t>socioécologiques</w:t>
      </w:r>
      <w:r w:rsidR="00942795">
        <w:rPr>
          <w:snapToGrid w:val="0"/>
          <w:kern w:val="22"/>
          <w:sz w:val="22"/>
          <w:szCs w:val="22"/>
          <w:lang w:val="fr-FR"/>
        </w:rPr>
        <w:t>. Les tendances actuelles de la biodiversité sont, dans l’ensemble, hautement négatives, de nombreux facteurs augmentant actuellement en intensité. Il faudra donc longtemps pour réaliser les changements transformateurs nécessaires pour améliorer ces tendances, et de nombreux écosystèmes et espèces prendront du temps à récupérer une fois les menaces réduites ;</w:t>
      </w:r>
    </w:p>
    <w:p w14:paraId="5963F681" w14:textId="71D62967" w:rsidR="00DA4EC5" w:rsidRPr="00831DFB" w:rsidRDefault="00942795" w:rsidP="006476DC">
      <w:pPr>
        <w:pStyle w:val="Para1"/>
        <w:numPr>
          <w:ilvl w:val="1"/>
          <w:numId w:val="2"/>
        </w:numPr>
        <w:suppressLineNumbers/>
        <w:tabs>
          <w:tab w:val="clear" w:pos="1440"/>
        </w:tabs>
        <w:suppressAutoHyphens/>
        <w:spacing w:before="0"/>
        <w:jc w:val="both"/>
        <w:rPr>
          <w:kern w:val="22"/>
          <w:sz w:val="22"/>
          <w:szCs w:val="22"/>
          <w:lang w:val="fr-FR"/>
        </w:rPr>
      </w:pPr>
      <w:r>
        <w:rPr>
          <w:kern w:val="22"/>
          <w:sz w:val="22"/>
          <w:szCs w:val="22"/>
          <w:lang w:val="fr-FR"/>
        </w:rPr>
        <w:t>Pour que les objectifs à long terme soient des outils de communication efficaces, ils doivent être simples à communiquer et leur nombre doit être limité.</w:t>
      </w:r>
    </w:p>
    <w:p w14:paraId="47CC1A87" w14:textId="303DE3AF" w:rsidR="00DA4EC5" w:rsidRPr="00831DFB" w:rsidRDefault="00942795" w:rsidP="006476DC">
      <w:pPr>
        <w:pStyle w:val="Para1"/>
        <w:numPr>
          <w:ilvl w:val="0"/>
          <w:numId w:val="2"/>
        </w:numPr>
        <w:suppressLineNumbers/>
        <w:tabs>
          <w:tab w:val="clear" w:pos="360"/>
        </w:tabs>
        <w:suppressAutoHyphens/>
        <w:jc w:val="both"/>
        <w:rPr>
          <w:kern w:val="22"/>
          <w:sz w:val="22"/>
          <w:szCs w:val="22"/>
          <w:lang w:val="fr-FR"/>
        </w:rPr>
      </w:pPr>
      <w:r>
        <w:rPr>
          <w:kern w:val="22"/>
          <w:sz w:val="22"/>
          <w:szCs w:val="22"/>
          <w:lang w:val="fr-FR"/>
        </w:rPr>
        <w:t>À la lumière des points énumérés ci-dessus, l’Organe subsidiaire pourrait souhaiter examiner l’utilité et</w:t>
      </w:r>
      <w:r w:rsidR="005420E3">
        <w:rPr>
          <w:kern w:val="22"/>
          <w:sz w:val="22"/>
          <w:szCs w:val="22"/>
          <w:lang w:val="fr-FR"/>
        </w:rPr>
        <w:t xml:space="preserve"> l’axe potentiel des objectifs à long terme axés sur les résultats. </w:t>
      </w:r>
      <w:proofErr w:type="spellStart"/>
      <w:r w:rsidR="005420E3">
        <w:rPr>
          <w:kern w:val="22"/>
          <w:sz w:val="22"/>
          <w:szCs w:val="22"/>
          <w:lang w:val="fr-FR"/>
        </w:rPr>
        <w:t>État</w:t>
      </w:r>
      <w:proofErr w:type="spellEnd"/>
      <w:r w:rsidR="005420E3">
        <w:rPr>
          <w:kern w:val="22"/>
          <w:sz w:val="22"/>
          <w:szCs w:val="22"/>
          <w:lang w:val="fr-FR"/>
        </w:rPr>
        <w:t xml:space="preserve"> donné le</w:t>
      </w:r>
      <w:r w:rsidR="007E7DE2">
        <w:rPr>
          <w:kern w:val="22"/>
          <w:sz w:val="22"/>
          <w:szCs w:val="22"/>
          <w:lang w:val="fr-FR"/>
        </w:rPr>
        <w:t xml:space="preserve"> potentiel de ces objectifs à l’horizon 2050 de communiquer le but ultime du cadre et les avantages connexes pour les populations, les déclarations </w:t>
      </w:r>
      <w:r w:rsidR="00535656">
        <w:rPr>
          <w:kern w:val="22"/>
          <w:sz w:val="22"/>
          <w:szCs w:val="22"/>
          <w:lang w:val="fr-FR"/>
        </w:rPr>
        <w:t>des objectifs pourraient porter sur les questions suivantes :</w:t>
      </w:r>
    </w:p>
    <w:p w14:paraId="2EF54B3A" w14:textId="13BEE15C" w:rsidR="00DA4EC5" w:rsidRPr="00831DFB" w:rsidRDefault="00535656" w:rsidP="006476DC">
      <w:pPr>
        <w:pStyle w:val="Para1"/>
        <w:numPr>
          <w:ilvl w:val="1"/>
          <w:numId w:val="2"/>
        </w:numPr>
        <w:suppressLineNumbers/>
        <w:suppressAutoHyphens/>
        <w:jc w:val="both"/>
        <w:rPr>
          <w:kern w:val="22"/>
          <w:sz w:val="22"/>
          <w:szCs w:val="22"/>
          <w:lang w:val="fr-FR"/>
        </w:rPr>
      </w:pPr>
      <w:r>
        <w:rPr>
          <w:i/>
          <w:kern w:val="22"/>
          <w:sz w:val="22"/>
          <w:szCs w:val="22"/>
          <w:lang w:val="fr-FR"/>
        </w:rPr>
        <w:t>Espèces</w:t>
      </w:r>
      <w:r w:rsidR="00DA4EC5" w:rsidRPr="00831DFB">
        <w:rPr>
          <w:kern w:val="22"/>
          <w:sz w:val="22"/>
          <w:szCs w:val="22"/>
          <w:lang w:val="fr-FR"/>
        </w:rPr>
        <w:t xml:space="preserve"> – </w:t>
      </w:r>
      <w:r>
        <w:rPr>
          <w:kern w:val="22"/>
          <w:sz w:val="22"/>
          <w:szCs w:val="22"/>
          <w:lang w:val="fr-FR"/>
        </w:rPr>
        <w:t xml:space="preserve">Un </w:t>
      </w:r>
      <w:proofErr w:type="gramStart"/>
      <w:r>
        <w:rPr>
          <w:kern w:val="22"/>
          <w:sz w:val="22"/>
          <w:szCs w:val="22"/>
          <w:lang w:val="fr-FR"/>
        </w:rPr>
        <w:t xml:space="preserve">objectif </w:t>
      </w:r>
      <w:r w:rsidR="00DA4EC5" w:rsidRPr="00831DFB">
        <w:rPr>
          <w:kern w:val="22"/>
          <w:sz w:val="22"/>
          <w:szCs w:val="22"/>
          <w:lang w:val="fr-FR"/>
        </w:rPr>
        <w:t xml:space="preserve"> </w:t>
      </w:r>
      <w:r w:rsidR="0024284A">
        <w:rPr>
          <w:kern w:val="22"/>
          <w:sz w:val="22"/>
          <w:szCs w:val="22"/>
          <w:lang w:val="fr-FR"/>
        </w:rPr>
        <w:t>peut</w:t>
      </w:r>
      <w:proofErr w:type="gramEnd"/>
      <w:r w:rsidR="0024284A">
        <w:rPr>
          <w:kern w:val="22"/>
          <w:sz w:val="22"/>
          <w:szCs w:val="22"/>
          <w:lang w:val="fr-FR"/>
        </w:rPr>
        <w:t xml:space="preserve"> aborder les concepts de la prévention des extinctions, l’augmentation de l’abondance des espèces et/ou l’état souhaité des espèces en 2050. Un tel objectif peut prendre en compte l’amélioration de l’état d’espèces menacées ou la préservation et la prévention des risques pour toutes les espèces. Il peut aussi avoir trait à la diversité génétique. Des indicateurs tels que la Liste rouge des espèces menacées de l’Union internationale </w:t>
      </w:r>
      <w:r w:rsidR="00B953DC">
        <w:rPr>
          <w:kern w:val="22"/>
          <w:sz w:val="22"/>
          <w:szCs w:val="22"/>
          <w:lang w:val="fr-FR"/>
        </w:rPr>
        <w:t>pour la conservation de la nature (UICN) ou l’Indice Planète Vivante pourraient être utilisés comme base de référence pour évaluer l’état d’avancement d’un tel objectif ;</w:t>
      </w:r>
    </w:p>
    <w:p w14:paraId="53D4F88F" w14:textId="577652D5" w:rsidR="00DA4EC5" w:rsidRPr="00831DFB" w:rsidRDefault="00B953DC" w:rsidP="006476DC">
      <w:pPr>
        <w:pStyle w:val="Para1"/>
        <w:numPr>
          <w:ilvl w:val="1"/>
          <w:numId w:val="2"/>
        </w:numPr>
        <w:suppressLineNumbers/>
        <w:suppressAutoHyphens/>
        <w:jc w:val="both"/>
        <w:rPr>
          <w:kern w:val="22"/>
          <w:sz w:val="22"/>
          <w:szCs w:val="22"/>
          <w:lang w:val="fr-FR"/>
        </w:rPr>
      </w:pPr>
      <w:r>
        <w:rPr>
          <w:i/>
          <w:kern w:val="22"/>
          <w:sz w:val="22"/>
          <w:szCs w:val="22"/>
          <w:lang w:val="fr-FR"/>
        </w:rPr>
        <w:t>Écosystèmes</w:t>
      </w:r>
      <w:r w:rsidR="00DA4EC5" w:rsidRPr="00831DFB">
        <w:rPr>
          <w:kern w:val="22"/>
          <w:sz w:val="22"/>
          <w:szCs w:val="22"/>
          <w:lang w:val="fr-FR"/>
        </w:rPr>
        <w:t xml:space="preserve"> – </w:t>
      </w:r>
      <w:r>
        <w:rPr>
          <w:kern w:val="22"/>
          <w:sz w:val="22"/>
          <w:szCs w:val="22"/>
          <w:lang w:val="fr-FR"/>
        </w:rPr>
        <w:t xml:space="preserve">Un objectif pourrait être formulé pour refléter un changement dans les tendances de l’appauvrissement, la dégradation et la fragmentation des écosystèmes ou la situation des écosystèmes souhaitée en 2010. Étant donné la diversité des écosystèmes, un grand nombre d’indicateurs ou </w:t>
      </w:r>
      <w:r>
        <w:rPr>
          <w:kern w:val="22"/>
          <w:sz w:val="22"/>
          <w:szCs w:val="22"/>
          <w:lang w:val="fr-FR"/>
        </w:rPr>
        <w:lastRenderedPageBreak/>
        <w:t>un indice composite pourraient être nécessaires afin d’établir une base de référence pour un tel objectif ou pour suivre les progrès vers sa réalisation</w:t>
      </w:r>
      <w:r w:rsidR="000E158E">
        <w:rPr>
          <w:kern w:val="22"/>
          <w:sz w:val="22"/>
          <w:szCs w:val="22"/>
          <w:lang w:val="fr-FR"/>
        </w:rPr>
        <w:t> ;</w:t>
      </w:r>
    </w:p>
    <w:p w14:paraId="7AFE9B15" w14:textId="57FBEBD8" w:rsidR="00DA4EC5" w:rsidRPr="00831DFB" w:rsidRDefault="000B4184" w:rsidP="006476DC">
      <w:pPr>
        <w:pStyle w:val="Para1"/>
        <w:numPr>
          <w:ilvl w:val="1"/>
          <w:numId w:val="2"/>
        </w:numPr>
        <w:suppressLineNumbers/>
        <w:suppressAutoHyphens/>
        <w:jc w:val="both"/>
        <w:rPr>
          <w:kern w:val="22"/>
          <w:sz w:val="22"/>
          <w:szCs w:val="22"/>
          <w:lang w:val="fr-FR"/>
        </w:rPr>
      </w:pPr>
      <w:r>
        <w:rPr>
          <w:i/>
          <w:kern w:val="22"/>
          <w:sz w:val="22"/>
          <w:szCs w:val="22"/>
          <w:lang w:val="fr-FR"/>
        </w:rPr>
        <w:t>Avantages</w:t>
      </w:r>
      <w:r w:rsidR="00DA4EC5" w:rsidRPr="00831DFB">
        <w:rPr>
          <w:kern w:val="22"/>
          <w:sz w:val="22"/>
          <w:szCs w:val="22"/>
          <w:lang w:val="fr-FR"/>
        </w:rPr>
        <w:t xml:space="preserve"> – </w:t>
      </w:r>
      <w:r>
        <w:rPr>
          <w:kern w:val="22"/>
          <w:sz w:val="22"/>
          <w:szCs w:val="22"/>
          <w:lang w:val="fr-FR"/>
        </w:rPr>
        <w:t xml:space="preserve">Un objectif </w:t>
      </w:r>
      <w:r w:rsidR="00245413">
        <w:rPr>
          <w:kern w:val="22"/>
          <w:sz w:val="22"/>
          <w:szCs w:val="22"/>
          <w:lang w:val="fr-FR"/>
        </w:rPr>
        <w:t>portant</w:t>
      </w:r>
      <w:r>
        <w:rPr>
          <w:kern w:val="22"/>
          <w:sz w:val="22"/>
          <w:szCs w:val="22"/>
          <w:lang w:val="fr-FR"/>
        </w:rPr>
        <w:t xml:space="preserve"> sur la garantie que les avantages</w:t>
      </w:r>
      <w:r w:rsidR="00764A99">
        <w:rPr>
          <w:kern w:val="22"/>
          <w:sz w:val="22"/>
          <w:szCs w:val="22"/>
          <w:lang w:val="fr-FR"/>
        </w:rPr>
        <w:t xml:space="preserve"> fournis par la biodiversité</w:t>
      </w:r>
      <w:r>
        <w:rPr>
          <w:kern w:val="22"/>
          <w:sz w:val="22"/>
          <w:szCs w:val="22"/>
          <w:lang w:val="fr-FR"/>
        </w:rPr>
        <w:t xml:space="preserve">, tant sur le plan de l’intégrité de la planète que </w:t>
      </w:r>
      <w:r w:rsidR="00764A99">
        <w:rPr>
          <w:kern w:val="22"/>
          <w:sz w:val="22"/>
          <w:szCs w:val="22"/>
          <w:lang w:val="fr-FR"/>
        </w:rPr>
        <w:t xml:space="preserve">celui de répondre aux besoins des communautés et de la société, </w:t>
      </w:r>
      <w:proofErr w:type="gramStart"/>
      <w:r w:rsidR="00764A99">
        <w:rPr>
          <w:kern w:val="22"/>
          <w:sz w:val="22"/>
          <w:szCs w:val="22"/>
          <w:lang w:val="fr-FR"/>
        </w:rPr>
        <w:t xml:space="preserve">contribuerait </w:t>
      </w:r>
      <w:r w:rsidR="00DA4EC5" w:rsidRPr="00831DFB">
        <w:rPr>
          <w:kern w:val="22"/>
          <w:sz w:val="22"/>
          <w:szCs w:val="22"/>
          <w:lang w:val="fr-FR"/>
        </w:rPr>
        <w:t xml:space="preserve"> </w:t>
      </w:r>
      <w:r w:rsidR="00245413">
        <w:rPr>
          <w:kern w:val="22"/>
          <w:sz w:val="22"/>
          <w:szCs w:val="22"/>
          <w:lang w:val="fr-FR"/>
        </w:rPr>
        <w:t>à</w:t>
      </w:r>
      <w:proofErr w:type="gramEnd"/>
      <w:r w:rsidR="00245413">
        <w:rPr>
          <w:kern w:val="22"/>
          <w:sz w:val="22"/>
          <w:szCs w:val="22"/>
          <w:lang w:val="fr-FR"/>
        </w:rPr>
        <w:t xml:space="preserve"> veiller à ce que les avantages fournis par la biodiversité, tant sur le plan de l’intégrité de la planète que sur le plan de la satisfaction des besoins des communautés et de la société, contribuerait à lier les objectifs au but global de la Vision 2050.</w:t>
      </w:r>
    </w:p>
    <w:p w14:paraId="14906E51" w14:textId="53AF50E7" w:rsidR="00DA4EC5" w:rsidRPr="006D6174" w:rsidRDefault="00DA4EC5" w:rsidP="00936D27">
      <w:pPr>
        <w:pStyle w:val="Para1"/>
        <w:keepNext/>
        <w:numPr>
          <w:ilvl w:val="0"/>
          <w:numId w:val="38"/>
        </w:numPr>
        <w:suppressLineNumbers/>
        <w:tabs>
          <w:tab w:val="left" w:pos="426"/>
        </w:tabs>
        <w:suppressAutoHyphens/>
        <w:ind w:left="0" w:firstLine="0"/>
        <w:jc w:val="center"/>
        <w:rPr>
          <w:b/>
          <w:caps/>
          <w:snapToGrid/>
          <w:kern w:val="22"/>
          <w:sz w:val="22"/>
          <w:szCs w:val="22"/>
          <w:lang w:val="en-GB"/>
        </w:rPr>
      </w:pPr>
      <w:r w:rsidRPr="006D6174">
        <w:rPr>
          <w:b/>
          <w:caps/>
          <w:snapToGrid/>
          <w:kern w:val="22"/>
          <w:sz w:val="22"/>
          <w:szCs w:val="22"/>
          <w:lang w:val="en-GB"/>
        </w:rPr>
        <w:t>Mission</w:t>
      </w:r>
      <w:r w:rsidR="00245413">
        <w:rPr>
          <w:b/>
          <w:caps/>
          <w:snapToGrid/>
          <w:kern w:val="22"/>
          <w:sz w:val="22"/>
          <w:szCs w:val="22"/>
          <w:lang w:val="en-GB"/>
        </w:rPr>
        <w:t xml:space="preserve"> À l’horizon 2030</w:t>
      </w:r>
    </w:p>
    <w:p w14:paraId="30E21D52" w14:textId="523514C7" w:rsidR="00F61D0B" w:rsidRPr="003C023E" w:rsidRDefault="00764A99" w:rsidP="006476DC">
      <w:pPr>
        <w:pStyle w:val="Para1"/>
        <w:numPr>
          <w:ilvl w:val="0"/>
          <w:numId w:val="2"/>
        </w:numPr>
        <w:suppressLineNumbers/>
        <w:tabs>
          <w:tab w:val="clear" w:pos="360"/>
        </w:tabs>
        <w:suppressAutoHyphens/>
        <w:jc w:val="both"/>
        <w:rPr>
          <w:kern w:val="22"/>
          <w:sz w:val="22"/>
          <w:szCs w:val="22"/>
          <w:lang w:val="fr-FR"/>
        </w:rPr>
      </w:pPr>
      <w:r w:rsidRPr="003C023E">
        <w:rPr>
          <w:kern w:val="22"/>
          <w:sz w:val="22"/>
          <w:szCs w:val="22"/>
          <w:lang w:val="fr-FR"/>
        </w:rPr>
        <w:t>La dé</w:t>
      </w:r>
      <w:r w:rsidR="00DA4EC5" w:rsidRPr="003C023E">
        <w:rPr>
          <w:kern w:val="22"/>
          <w:sz w:val="22"/>
          <w:szCs w:val="22"/>
          <w:lang w:val="fr-FR"/>
        </w:rPr>
        <w:t>cision 14/3</w:t>
      </w:r>
      <w:r w:rsidRPr="003C023E">
        <w:rPr>
          <w:kern w:val="22"/>
          <w:sz w:val="22"/>
          <w:szCs w:val="22"/>
          <w:lang w:val="fr-FR"/>
        </w:rPr>
        <w:t xml:space="preserve">4 précise </w:t>
      </w:r>
      <w:r w:rsidRPr="003C023E">
        <w:rPr>
          <w:sz w:val="22"/>
          <w:szCs w:val="22"/>
          <w:lang w:val="fr-FR"/>
        </w:rPr>
        <w:t>que le</w:t>
      </w:r>
      <w:r w:rsidRPr="003C023E">
        <w:rPr>
          <w:kern w:val="22"/>
          <w:sz w:val="22"/>
          <w:szCs w:val="22"/>
          <w:lang w:val="fr-FR"/>
        </w:rPr>
        <w:t xml:space="preserve"> cadre mondial de la biodiversité pour l’après-2020</w:t>
      </w:r>
      <w:r w:rsidRPr="003C023E">
        <w:rPr>
          <w:sz w:val="22"/>
          <w:szCs w:val="22"/>
          <w:lang w:val="fr-FR"/>
        </w:rPr>
        <w:t xml:space="preserve"> devrait être accompagné d’une mission inspirante et motivante à l’horizon 2030, comme première étape vers la réalisation de la Vision 2050</w:t>
      </w:r>
      <w:r w:rsidR="00316E9A" w:rsidRPr="003C023E">
        <w:rPr>
          <w:sz w:val="22"/>
          <w:szCs w:val="22"/>
          <w:lang w:val="fr-FR"/>
        </w:rPr>
        <w:t xml:space="preserve"> de « vivre en harmonie avec la nature ». Pendant le processus de consultation jusqu’à présent et la première réunion du Groupe de travail sur le cadre mondial de la biodiversité pour l’après-2020, il a été suggéré qu’un énoncé de mission du cadre mondial de la biodiversité pour l’après-2020 pourrait</w:t>
      </w:r>
      <w:r w:rsidR="003C023E" w:rsidRPr="003C023E">
        <w:rPr>
          <w:sz w:val="22"/>
          <w:szCs w:val="22"/>
          <w:lang w:val="fr-FR"/>
        </w:rPr>
        <w:t xml:space="preserve"> avoir les caractéristiques suivantes :</w:t>
      </w:r>
    </w:p>
    <w:p w14:paraId="0C4017A7" w14:textId="7B923806" w:rsidR="00F61D0B" w:rsidRPr="003C023E" w:rsidRDefault="003C023E" w:rsidP="006476DC">
      <w:pPr>
        <w:pStyle w:val="Para1"/>
        <w:numPr>
          <w:ilvl w:val="1"/>
          <w:numId w:val="2"/>
        </w:numPr>
        <w:suppressLineNumbers/>
        <w:tabs>
          <w:tab w:val="clear" w:pos="1440"/>
        </w:tabs>
        <w:suppressAutoHyphens/>
        <w:spacing w:before="0"/>
        <w:jc w:val="both"/>
        <w:rPr>
          <w:kern w:val="22"/>
          <w:sz w:val="22"/>
          <w:szCs w:val="22"/>
          <w:lang w:val="fr-FR"/>
        </w:rPr>
      </w:pPr>
      <w:r w:rsidRPr="003C023E">
        <w:rPr>
          <w:kern w:val="22"/>
          <w:sz w:val="22"/>
          <w:szCs w:val="22"/>
          <w:lang w:val="fr-FR"/>
        </w:rPr>
        <w:t>Être ambitieux, r</w:t>
      </w:r>
      <w:r w:rsidR="00F54B9F">
        <w:rPr>
          <w:kern w:val="22"/>
          <w:sz w:val="22"/>
          <w:szCs w:val="22"/>
          <w:lang w:val="fr-FR"/>
        </w:rPr>
        <w:t>é</w:t>
      </w:r>
      <w:r w:rsidRPr="003C023E">
        <w:rPr>
          <w:kern w:val="22"/>
          <w:sz w:val="22"/>
          <w:szCs w:val="22"/>
          <w:lang w:val="fr-FR"/>
        </w:rPr>
        <w:t>alisable</w:t>
      </w:r>
      <w:r w:rsidR="00F54B9F">
        <w:rPr>
          <w:kern w:val="22"/>
          <w:sz w:val="22"/>
          <w:szCs w:val="22"/>
          <w:lang w:val="fr-FR"/>
        </w:rPr>
        <w:t xml:space="preserve">, </w:t>
      </w:r>
      <w:r w:rsidR="00E90267">
        <w:rPr>
          <w:kern w:val="22"/>
          <w:sz w:val="22"/>
          <w:szCs w:val="22"/>
          <w:lang w:val="fr-FR"/>
        </w:rPr>
        <w:t>prospectif, fondé sur des données factuelles et inspirant :</w:t>
      </w:r>
    </w:p>
    <w:p w14:paraId="2E36706A" w14:textId="28A3D7B0" w:rsidR="005F25DC" w:rsidRPr="003C023E" w:rsidRDefault="00E90267" w:rsidP="006476DC">
      <w:pPr>
        <w:pStyle w:val="Para1"/>
        <w:numPr>
          <w:ilvl w:val="1"/>
          <w:numId w:val="2"/>
        </w:numPr>
        <w:suppressLineNumbers/>
        <w:tabs>
          <w:tab w:val="clear" w:pos="1440"/>
        </w:tabs>
        <w:suppressAutoHyphens/>
        <w:spacing w:before="0"/>
        <w:jc w:val="both"/>
        <w:rPr>
          <w:kern w:val="22"/>
          <w:sz w:val="22"/>
          <w:szCs w:val="22"/>
          <w:lang w:val="fr-FR"/>
        </w:rPr>
      </w:pPr>
      <w:r w:rsidRPr="003C023E">
        <w:rPr>
          <w:kern w:val="22"/>
          <w:sz w:val="22"/>
          <w:szCs w:val="22"/>
          <w:lang w:val="fr-FR"/>
        </w:rPr>
        <w:t>Être</w:t>
      </w:r>
      <w:r w:rsidR="005F25DC" w:rsidRPr="003C023E">
        <w:rPr>
          <w:kern w:val="22"/>
          <w:sz w:val="22"/>
          <w:szCs w:val="22"/>
          <w:lang w:val="fr-FR"/>
        </w:rPr>
        <w:t xml:space="preserve"> succinct</w:t>
      </w:r>
      <w:r>
        <w:rPr>
          <w:kern w:val="22"/>
          <w:sz w:val="22"/>
          <w:szCs w:val="22"/>
          <w:lang w:val="fr-FR"/>
        </w:rPr>
        <w:t>, facile à communiquer et adapté aux différents publics ;</w:t>
      </w:r>
    </w:p>
    <w:p w14:paraId="08BACB33" w14:textId="7FE02135" w:rsidR="00D43FEF" w:rsidRPr="003C023E" w:rsidRDefault="00E90267" w:rsidP="006476DC">
      <w:pPr>
        <w:pStyle w:val="Para1"/>
        <w:numPr>
          <w:ilvl w:val="1"/>
          <w:numId w:val="2"/>
        </w:numPr>
        <w:suppressLineNumbers/>
        <w:tabs>
          <w:tab w:val="clear" w:pos="1440"/>
        </w:tabs>
        <w:suppressAutoHyphens/>
        <w:spacing w:before="0"/>
        <w:jc w:val="both"/>
        <w:rPr>
          <w:kern w:val="22"/>
          <w:sz w:val="22"/>
          <w:szCs w:val="22"/>
          <w:lang w:val="fr-FR"/>
        </w:rPr>
      </w:pPr>
      <w:r>
        <w:rPr>
          <w:kern w:val="22"/>
          <w:sz w:val="22"/>
          <w:szCs w:val="22"/>
          <w:lang w:val="fr-FR"/>
        </w:rPr>
        <w:t>Exprimer ce qui doit être réalisé en 2030, comment et qui en bénéficiera :</w:t>
      </w:r>
    </w:p>
    <w:p w14:paraId="6ECF5AEB" w14:textId="08FEC610" w:rsidR="005F25DC" w:rsidRPr="003C023E" w:rsidRDefault="005F25DC" w:rsidP="006476DC">
      <w:pPr>
        <w:pStyle w:val="Para1"/>
        <w:numPr>
          <w:ilvl w:val="1"/>
          <w:numId w:val="2"/>
        </w:numPr>
        <w:suppressLineNumbers/>
        <w:tabs>
          <w:tab w:val="clear" w:pos="1440"/>
        </w:tabs>
        <w:suppressAutoHyphens/>
        <w:spacing w:before="0"/>
        <w:jc w:val="both"/>
        <w:rPr>
          <w:kern w:val="22"/>
          <w:sz w:val="22"/>
          <w:szCs w:val="22"/>
          <w:lang w:val="fr-FR"/>
        </w:rPr>
      </w:pPr>
      <w:r w:rsidRPr="003C023E">
        <w:rPr>
          <w:kern w:val="22"/>
          <w:sz w:val="22"/>
          <w:szCs w:val="22"/>
          <w:lang w:val="fr-FR"/>
        </w:rPr>
        <w:t>Serv</w:t>
      </w:r>
      <w:r w:rsidR="00E90267">
        <w:rPr>
          <w:kern w:val="22"/>
          <w:sz w:val="22"/>
          <w:szCs w:val="22"/>
          <w:lang w:val="fr-FR"/>
        </w:rPr>
        <w:t>ir d’étape vers la réalisation de la Vision 2050 pour la biodiversité ;</w:t>
      </w:r>
    </w:p>
    <w:p w14:paraId="103699CD" w14:textId="5334B03B" w:rsidR="005F25DC" w:rsidRPr="003C023E" w:rsidRDefault="005F25DC" w:rsidP="006476DC">
      <w:pPr>
        <w:pStyle w:val="Para1"/>
        <w:numPr>
          <w:ilvl w:val="1"/>
          <w:numId w:val="2"/>
        </w:numPr>
        <w:suppressLineNumbers/>
        <w:tabs>
          <w:tab w:val="clear" w:pos="1440"/>
        </w:tabs>
        <w:suppressAutoHyphens/>
        <w:spacing w:before="0"/>
        <w:jc w:val="both"/>
        <w:rPr>
          <w:kern w:val="22"/>
          <w:sz w:val="22"/>
          <w:szCs w:val="22"/>
          <w:lang w:val="fr-FR"/>
        </w:rPr>
      </w:pPr>
      <w:r w:rsidRPr="003C023E">
        <w:rPr>
          <w:kern w:val="22"/>
          <w:sz w:val="22"/>
          <w:szCs w:val="22"/>
          <w:lang w:val="fr-FR"/>
        </w:rPr>
        <w:t>R</w:t>
      </w:r>
      <w:r w:rsidR="00DA4EC5" w:rsidRPr="003C023E">
        <w:rPr>
          <w:kern w:val="22"/>
          <w:sz w:val="22"/>
          <w:szCs w:val="22"/>
          <w:lang w:val="fr-FR"/>
        </w:rPr>
        <w:t>efl</w:t>
      </w:r>
      <w:r w:rsidR="00E90267">
        <w:rPr>
          <w:kern w:val="22"/>
          <w:sz w:val="22"/>
          <w:szCs w:val="22"/>
          <w:lang w:val="fr-FR"/>
        </w:rPr>
        <w:t>éter l’état souhaité de la biodiversité en 2030 ;</w:t>
      </w:r>
      <w:r w:rsidR="00DA4EC5" w:rsidRPr="003C023E">
        <w:rPr>
          <w:kern w:val="22"/>
          <w:sz w:val="22"/>
          <w:szCs w:val="22"/>
          <w:lang w:val="fr-FR"/>
        </w:rPr>
        <w:t xml:space="preserve"> </w:t>
      </w:r>
    </w:p>
    <w:p w14:paraId="1C220278" w14:textId="312F77D2" w:rsidR="005F25DC" w:rsidRPr="003C023E" w:rsidRDefault="00E90267" w:rsidP="006476DC">
      <w:pPr>
        <w:pStyle w:val="Para1"/>
        <w:numPr>
          <w:ilvl w:val="1"/>
          <w:numId w:val="2"/>
        </w:numPr>
        <w:suppressLineNumbers/>
        <w:tabs>
          <w:tab w:val="clear" w:pos="1440"/>
        </w:tabs>
        <w:suppressAutoHyphens/>
        <w:spacing w:before="0"/>
        <w:jc w:val="both"/>
        <w:rPr>
          <w:kern w:val="22"/>
          <w:sz w:val="22"/>
          <w:szCs w:val="22"/>
          <w:lang w:val="fr-FR"/>
        </w:rPr>
      </w:pPr>
      <w:r w:rsidRPr="003C023E">
        <w:rPr>
          <w:kern w:val="22"/>
          <w:sz w:val="22"/>
          <w:szCs w:val="22"/>
          <w:lang w:val="fr-FR"/>
        </w:rPr>
        <w:t>Être</w:t>
      </w:r>
      <w:r>
        <w:rPr>
          <w:kern w:val="22"/>
          <w:sz w:val="22"/>
          <w:szCs w:val="22"/>
          <w:lang w:val="fr-FR"/>
        </w:rPr>
        <w:t xml:space="preserve"> formulé</w:t>
      </w:r>
      <w:r w:rsidR="002E2C5C">
        <w:rPr>
          <w:kern w:val="22"/>
          <w:sz w:val="22"/>
          <w:szCs w:val="22"/>
          <w:lang w:val="fr-FR"/>
        </w:rPr>
        <w:t xml:space="preserve"> sous forme de déclaration axée sur l’action et lié aux changements souhaités ;</w:t>
      </w:r>
      <w:r w:rsidR="00DA4EC5" w:rsidRPr="003C023E">
        <w:rPr>
          <w:kern w:val="22"/>
          <w:sz w:val="22"/>
          <w:szCs w:val="22"/>
          <w:lang w:val="fr-FR"/>
        </w:rPr>
        <w:t xml:space="preserve"> </w:t>
      </w:r>
    </w:p>
    <w:p w14:paraId="52F7A792" w14:textId="2C75CDB8" w:rsidR="005F25DC" w:rsidRPr="003C023E" w:rsidRDefault="005F25DC" w:rsidP="006476DC">
      <w:pPr>
        <w:pStyle w:val="Para1"/>
        <w:numPr>
          <w:ilvl w:val="1"/>
          <w:numId w:val="2"/>
        </w:numPr>
        <w:suppressLineNumbers/>
        <w:tabs>
          <w:tab w:val="clear" w:pos="1440"/>
        </w:tabs>
        <w:suppressAutoHyphens/>
        <w:spacing w:before="0"/>
        <w:jc w:val="both"/>
        <w:rPr>
          <w:kern w:val="22"/>
          <w:sz w:val="22"/>
          <w:szCs w:val="22"/>
          <w:lang w:val="fr-FR"/>
        </w:rPr>
      </w:pPr>
      <w:r w:rsidRPr="003C023E">
        <w:rPr>
          <w:kern w:val="22"/>
          <w:sz w:val="22"/>
          <w:szCs w:val="22"/>
          <w:lang w:val="fr-FR"/>
        </w:rPr>
        <w:t>R</w:t>
      </w:r>
      <w:r w:rsidR="00DA4EC5" w:rsidRPr="003C023E">
        <w:rPr>
          <w:kern w:val="22"/>
          <w:sz w:val="22"/>
          <w:szCs w:val="22"/>
          <w:lang w:val="fr-FR"/>
        </w:rPr>
        <w:t>efl</w:t>
      </w:r>
      <w:r w:rsidR="002E2C5C">
        <w:rPr>
          <w:kern w:val="22"/>
          <w:sz w:val="22"/>
          <w:szCs w:val="22"/>
          <w:lang w:val="fr-FR"/>
        </w:rPr>
        <w:t>éter les trois objectifs de la Convention et des Protocoles</w:t>
      </w:r>
      <w:r w:rsidR="00DA4EC5" w:rsidRPr="003C023E">
        <w:rPr>
          <w:kern w:val="22"/>
          <w:sz w:val="22"/>
          <w:szCs w:val="22"/>
          <w:lang w:val="fr-FR"/>
        </w:rPr>
        <w:t xml:space="preserve"> </w:t>
      </w:r>
    </w:p>
    <w:p w14:paraId="51590CAA" w14:textId="431A990B" w:rsidR="005F25DC" w:rsidRPr="003C023E" w:rsidRDefault="002E2C5C" w:rsidP="006476DC">
      <w:pPr>
        <w:pStyle w:val="Para1"/>
        <w:numPr>
          <w:ilvl w:val="1"/>
          <w:numId w:val="2"/>
        </w:numPr>
        <w:suppressLineNumbers/>
        <w:tabs>
          <w:tab w:val="clear" w:pos="1440"/>
        </w:tabs>
        <w:suppressAutoHyphens/>
        <w:spacing w:before="0"/>
        <w:jc w:val="both"/>
        <w:rPr>
          <w:kern w:val="22"/>
          <w:sz w:val="22"/>
          <w:szCs w:val="22"/>
          <w:lang w:val="fr-FR"/>
        </w:rPr>
      </w:pPr>
      <w:r w:rsidRPr="003C023E">
        <w:rPr>
          <w:kern w:val="22"/>
          <w:sz w:val="22"/>
          <w:szCs w:val="22"/>
          <w:lang w:val="fr-FR"/>
        </w:rPr>
        <w:t>Être</w:t>
      </w:r>
      <w:r>
        <w:rPr>
          <w:kern w:val="22"/>
          <w:sz w:val="22"/>
          <w:szCs w:val="22"/>
          <w:lang w:val="fr-FR"/>
        </w:rPr>
        <w:t xml:space="preserve"> fondé sur les éléments de la Vision 2050 ;</w:t>
      </w:r>
    </w:p>
    <w:p w14:paraId="3C4C9399" w14:textId="36F84709" w:rsidR="005F25DC" w:rsidRPr="003C023E" w:rsidRDefault="002E2C5C" w:rsidP="006476DC">
      <w:pPr>
        <w:pStyle w:val="Para1"/>
        <w:numPr>
          <w:ilvl w:val="1"/>
          <w:numId w:val="2"/>
        </w:numPr>
        <w:suppressLineNumbers/>
        <w:tabs>
          <w:tab w:val="clear" w:pos="1440"/>
        </w:tabs>
        <w:suppressAutoHyphens/>
        <w:spacing w:before="0"/>
        <w:jc w:val="both"/>
        <w:rPr>
          <w:kern w:val="22"/>
          <w:sz w:val="22"/>
          <w:szCs w:val="22"/>
          <w:lang w:val="fr-FR"/>
        </w:rPr>
      </w:pPr>
      <w:r>
        <w:rPr>
          <w:kern w:val="22"/>
          <w:sz w:val="22"/>
          <w:szCs w:val="22"/>
          <w:lang w:val="fr-FR"/>
        </w:rPr>
        <w:t>Se référer au Programme de développement durable à l’horizon 2030 ;</w:t>
      </w:r>
      <w:r w:rsidR="00DA4EC5" w:rsidRPr="003C023E">
        <w:rPr>
          <w:kern w:val="22"/>
          <w:sz w:val="22"/>
          <w:szCs w:val="22"/>
          <w:lang w:val="fr-FR"/>
        </w:rPr>
        <w:t xml:space="preserve"> </w:t>
      </w:r>
    </w:p>
    <w:p w14:paraId="7C7888E9" w14:textId="40B530CE" w:rsidR="005F25DC" w:rsidRPr="003C023E" w:rsidRDefault="002E2C5C" w:rsidP="006476DC">
      <w:pPr>
        <w:pStyle w:val="Para1"/>
        <w:numPr>
          <w:ilvl w:val="1"/>
          <w:numId w:val="2"/>
        </w:numPr>
        <w:suppressLineNumbers/>
        <w:tabs>
          <w:tab w:val="clear" w:pos="1440"/>
        </w:tabs>
        <w:suppressAutoHyphens/>
        <w:spacing w:before="0"/>
        <w:jc w:val="both"/>
        <w:rPr>
          <w:kern w:val="22"/>
          <w:sz w:val="22"/>
          <w:szCs w:val="22"/>
          <w:lang w:val="fr-FR"/>
        </w:rPr>
      </w:pPr>
      <w:r>
        <w:rPr>
          <w:kern w:val="22"/>
          <w:sz w:val="22"/>
          <w:szCs w:val="22"/>
          <w:lang w:val="fr-FR"/>
        </w:rPr>
        <w:t>Tenir compte des facteurs de perte de biodiversité et</w:t>
      </w:r>
      <w:r w:rsidR="00A640A3">
        <w:rPr>
          <w:kern w:val="22"/>
          <w:sz w:val="22"/>
          <w:szCs w:val="22"/>
          <w:lang w:val="fr-FR"/>
        </w:rPr>
        <w:t xml:space="preserve"> refléter un modèle pression-état-impact-réponse ;</w:t>
      </w:r>
    </w:p>
    <w:p w14:paraId="63E91971" w14:textId="3D2B1FAE" w:rsidR="005F25DC" w:rsidRPr="003C023E" w:rsidRDefault="005F25DC" w:rsidP="006476DC">
      <w:pPr>
        <w:pStyle w:val="Para1"/>
        <w:numPr>
          <w:ilvl w:val="1"/>
          <w:numId w:val="2"/>
        </w:numPr>
        <w:suppressLineNumbers/>
        <w:tabs>
          <w:tab w:val="clear" w:pos="1440"/>
        </w:tabs>
        <w:suppressAutoHyphens/>
        <w:spacing w:before="0"/>
        <w:jc w:val="both"/>
        <w:rPr>
          <w:kern w:val="22"/>
          <w:sz w:val="22"/>
          <w:szCs w:val="22"/>
          <w:lang w:val="fr-FR"/>
        </w:rPr>
      </w:pPr>
      <w:r w:rsidRPr="003C023E">
        <w:rPr>
          <w:kern w:val="22"/>
          <w:sz w:val="22"/>
          <w:szCs w:val="22"/>
          <w:lang w:val="fr-FR"/>
        </w:rPr>
        <w:t>R</w:t>
      </w:r>
      <w:r w:rsidR="00A640A3">
        <w:rPr>
          <w:kern w:val="22"/>
          <w:sz w:val="22"/>
          <w:szCs w:val="22"/>
          <w:lang w:val="fr-FR"/>
        </w:rPr>
        <w:t>efléter l’intégration ;</w:t>
      </w:r>
    </w:p>
    <w:p w14:paraId="013452A7" w14:textId="5ABE4E33" w:rsidR="005F25DC" w:rsidRPr="003C023E" w:rsidRDefault="00A640A3" w:rsidP="006476DC">
      <w:pPr>
        <w:pStyle w:val="Para1"/>
        <w:numPr>
          <w:ilvl w:val="1"/>
          <w:numId w:val="2"/>
        </w:numPr>
        <w:suppressLineNumbers/>
        <w:tabs>
          <w:tab w:val="clear" w:pos="1440"/>
        </w:tabs>
        <w:suppressAutoHyphens/>
        <w:spacing w:before="0"/>
        <w:jc w:val="both"/>
        <w:rPr>
          <w:kern w:val="22"/>
          <w:sz w:val="22"/>
          <w:szCs w:val="22"/>
          <w:lang w:val="fr-FR"/>
        </w:rPr>
      </w:pPr>
      <w:r>
        <w:rPr>
          <w:kern w:val="22"/>
          <w:sz w:val="22"/>
          <w:szCs w:val="22"/>
          <w:lang w:val="fr-FR"/>
        </w:rPr>
        <w:t>Souligner l’importance de la biodiversité pour l’intégrité de la planète et le bien-être humain ;</w:t>
      </w:r>
    </w:p>
    <w:p w14:paraId="73153097" w14:textId="20096729" w:rsidR="005F25DC" w:rsidRPr="003C023E" w:rsidRDefault="005F25DC" w:rsidP="006476DC">
      <w:pPr>
        <w:pStyle w:val="Para1"/>
        <w:numPr>
          <w:ilvl w:val="1"/>
          <w:numId w:val="2"/>
        </w:numPr>
        <w:suppressLineNumbers/>
        <w:tabs>
          <w:tab w:val="clear" w:pos="1440"/>
        </w:tabs>
        <w:suppressAutoHyphens/>
        <w:spacing w:before="0"/>
        <w:jc w:val="both"/>
        <w:rPr>
          <w:kern w:val="22"/>
          <w:sz w:val="22"/>
          <w:szCs w:val="22"/>
          <w:lang w:val="fr-FR"/>
        </w:rPr>
      </w:pPr>
      <w:r w:rsidRPr="003C023E">
        <w:rPr>
          <w:kern w:val="22"/>
          <w:sz w:val="22"/>
          <w:szCs w:val="22"/>
          <w:lang w:val="fr-FR"/>
        </w:rPr>
        <w:t>Reco</w:t>
      </w:r>
      <w:r w:rsidR="00C37970">
        <w:rPr>
          <w:kern w:val="22"/>
          <w:sz w:val="22"/>
          <w:szCs w:val="22"/>
          <w:lang w:val="fr-FR"/>
        </w:rPr>
        <w:t>nnaître les travaux qui ont déjà été entrepris sur les questions relatives à la biodiversité.</w:t>
      </w:r>
    </w:p>
    <w:p w14:paraId="5F92088C" w14:textId="156F1814" w:rsidR="00DA4EC5" w:rsidRPr="003C023E" w:rsidRDefault="00C37970" w:rsidP="006476DC">
      <w:pPr>
        <w:pStyle w:val="Para1"/>
        <w:numPr>
          <w:ilvl w:val="0"/>
          <w:numId w:val="2"/>
        </w:numPr>
        <w:suppressLineNumbers/>
        <w:tabs>
          <w:tab w:val="clear" w:pos="360"/>
        </w:tabs>
        <w:suppressAutoHyphens/>
        <w:jc w:val="both"/>
        <w:rPr>
          <w:kern w:val="22"/>
          <w:sz w:val="22"/>
          <w:szCs w:val="22"/>
          <w:lang w:val="fr-FR"/>
        </w:rPr>
      </w:pPr>
      <w:r>
        <w:rPr>
          <w:kern w:val="22"/>
          <w:sz w:val="22"/>
          <w:szCs w:val="22"/>
          <w:lang w:val="fr-FR"/>
        </w:rPr>
        <w:t>Un</w:t>
      </w:r>
      <w:r w:rsidR="00566524">
        <w:rPr>
          <w:kern w:val="22"/>
          <w:sz w:val="22"/>
          <w:szCs w:val="22"/>
          <w:lang w:val="fr-FR"/>
        </w:rPr>
        <w:t xml:space="preserve"> énoncé</w:t>
      </w:r>
      <w:r>
        <w:rPr>
          <w:kern w:val="22"/>
          <w:sz w:val="22"/>
          <w:szCs w:val="22"/>
          <w:lang w:val="fr-FR"/>
        </w:rPr>
        <w:t xml:space="preserve"> de mission inspirant et motivant qui promeut l’action et est conforme aux points soulevés ci-dessus tout en étant succinct et facile à communiquer implique la nécessité de concision et d’ampleur, et d’aborder ces points de manière implicite plutôt qu’explicite. Un</w:t>
      </w:r>
      <w:r w:rsidR="00566524">
        <w:rPr>
          <w:kern w:val="22"/>
          <w:sz w:val="22"/>
          <w:szCs w:val="22"/>
          <w:lang w:val="fr-FR"/>
        </w:rPr>
        <w:t xml:space="preserve"> tel énoncé</w:t>
      </w:r>
      <w:r>
        <w:rPr>
          <w:kern w:val="22"/>
          <w:sz w:val="22"/>
          <w:szCs w:val="22"/>
          <w:lang w:val="fr-FR"/>
        </w:rPr>
        <w:t xml:space="preserve"> de mission pourrait alors être appuyé par une </w:t>
      </w:r>
      <w:r w:rsidR="00566524">
        <w:rPr>
          <w:kern w:val="22"/>
          <w:sz w:val="22"/>
          <w:szCs w:val="22"/>
          <w:lang w:val="fr-FR"/>
        </w:rPr>
        <w:t>justification fournissant plus de contexte et de précision. Par exemple, un énoncé de mission et texte explicatif dans le sens de ce qui suit pourrait constituer un énoncé de mission à l’horizon 2030 pour le cadre mondial de la biodiversité pour l’après-2020 :</w:t>
      </w:r>
    </w:p>
    <w:p w14:paraId="40E5AA1F" w14:textId="68D43084" w:rsidR="00DA4EC5" w:rsidRPr="003C023E" w:rsidRDefault="005C28C8" w:rsidP="006476DC">
      <w:pPr>
        <w:pStyle w:val="Para1"/>
        <w:suppressLineNumbers/>
        <w:suppressAutoHyphens/>
        <w:ind w:left="720"/>
        <w:rPr>
          <w:kern w:val="22"/>
          <w:sz w:val="22"/>
          <w:szCs w:val="22"/>
          <w:lang w:val="fr-FR"/>
        </w:rPr>
      </w:pPr>
      <w:r>
        <w:rPr>
          <w:color w:val="000000"/>
          <w:kern w:val="22"/>
          <w:sz w:val="22"/>
          <w:szCs w:val="22"/>
          <w:lang w:val="fr-FR"/>
        </w:rPr>
        <w:t>Mettre en œuvre des solutions dans l’ensemble de la société pour s’attaquer à la perte de biodiversité et accroître les avantages qui contribuent au programme de développement mondial et, d’ici à 2030, mettent le monde sur la voie de réaliser la Vision 2050.</w:t>
      </w:r>
    </w:p>
    <w:p w14:paraId="45BC3291" w14:textId="362014CD" w:rsidR="00DA4EC5" w:rsidRPr="003C023E" w:rsidRDefault="005C28C8" w:rsidP="006476DC">
      <w:pPr>
        <w:pStyle w:val="Para1"/>
        <w:numPr>
          <w:ilvl w:val="0"/>
          <w:numId w:val="2"/>
        </w:numPr>
        <w:suppressLineNumbers/>
        <w:tabs>
          <w:tab w:val="clear" w:pos="360"/>
        </w:tabs>
        <w:suppressAutoHyphens/>
        <w:jc w:val="both"/>
        <w:rPr>
          <w:kern w:val="22"/>
          <w:sz w:val="22"/>
          <w:szCs w:val="22"/>
          <w:lang w:val="fr-FR"/>
        </w:rPr>
      </w:pPr>
      <w:r>
        <w:rPr>
          <w:kern w:val="22"/>
          <w:sz w:val="22"/>
          <w:szCs w:val="22"/>
          <w:lang w:val="fr-FR"/>
        </w:rPr>
        <w:t>« Mettre en œuvre des solutions » indique une approche positive, axée sur l’action. « Dans l’ensemble de la société » indique que des mesures doivent être prises par tous les acteurs, individuellement, collectivement, à toutes les échelles et dans tous les secteurs (intégration).</w:t>
      </w:r>
      <w:r w:rsidR="002249A2">
        <w:rPr>
          <w:kern w:val="22"/>
          <w:sz w:val="22"/>
          <w:szCs w:val="22"/>
          <w:lang w:val="fr-FR"/>
        </w:rPr>
        <w:t xml:space="preserve"> « </w:t>
      </w:r>
      <w:r w:rsidR="009431DD">
        <w:rPr>
          <w:kern w:val="22"/>
          <w:sz w:val="22"/>
          <w:szCs w:val="22"/>
          <w:lang w:val="fr-FR"/>
        </w:rPr>
        <w:t>P</w:t>
      </w:r>
      <w:r w:rsidR="002249A2">
        <w:rPr>
          <w:kern w:val="22"/>
          <w:sz w:val="22"/>
          <w:szCs w:val="22"/>
          <w:lang w:val="fr-FR"/>
        </w:rPr>
        <w:t xml:space="preserve">our s’attaquer à la perte de biodiversité » indique qu’il faut s’attaquer aux facteurs directs et indirects de la perte de biodiversité pour améliorer l’état de celle-ci. « Accroître les avantages » souligne les éléments des contributions de la nature </w:t>
      </w:r>
      <w:r w:rsidR="002249A2">
        <w:rPr>
          <w:kern w:val="22"/>
          <w:sz w:val="22"/>
          <w:szCs w:val="22"/>
          <w:lang w:val="fr-FR"/>
        </w:rPr>
        <w:lastRenderedPageBreak/>
        <w:t>aux populations ainsi qu’un lien solide avec</w:t>
      </w:r>
      <w:r w:rsidR="00D457E2">
        <w:rPr>
          <w:kern w:val="22"/>
          <w:sz w:val="22"/>
          <w:szCs w:val="22"/>
          <w:lang w:val="fr-FR"/>
        </w:rPr>
        <w:t xml:space="preserve"> la réalisation du Programme de développement durable à l’horizon 2030 et ses Objectifs de développement durable. L’échéancier de 2030</w:t>
      </w:r>
      <w:r w:rsidR="00F82816">
        <w:rPr>
          <w:kern w:val="22"/>
          <w:sz w:val="22"/>
          <w:szCs w:val="22"/>
          <w:lang w:val="fr-FR"/>
        </w:rPr>
        <w:t xml:space="preserve"> exprime que cette mission est une étape sur la voie de la réalisation de la Vision 2050, qui est de « vivre en harmonie avec la nature » et renforce la nécessité d</w:t>
      </w:r>
      <w:r w:rsidR="009431DD">
        <w:rPr>
          <w:kern w:val="22"/>
          <w:sz w:val="22"/>
          <w:szCs w:val="22"/>
          <w:lang w:val="fr-FR"/>
        </w:rPr>
        <w:t>e la prise de mesures d’urgence</w:t>
      </w:r>
      <w:r w:rsidR="00F82816">
        <w:rPr>
          <w:kern w:val="22"/>
          <w:sz w:val="22"/>
          <w:szCs w:val="22"/>
          <w:lang w:val="fr-FR"/>
        </w:rPr>
        <w:t xml:space="preserve"> pendant la présente décennie.</w:t>
      </w:r>
    </w:p>
    <w:p w14:paraId="5FECAD34" w14:textId="464E42CA" w:rsidR="00DA4EC5" w:rsidRPr="008C0622" w:rsidRDefault="00F82816" w:rsidP="006476DC">
      <w:pPr>
        <w:pStyle w:val="Para1"/>
        <w:numPr>
          <w:ilvl w:val="0"/>
          <w:numId w:val="2"/>
        </w:numPr>
        <w:suppressLineNumbers/>
        <w:tabs>
          <w:tab w:val="clear" w:pos="360"/>
        </w:tabs>
        <w:suppressAutoHyphens/>
        <w:jc w:val="both"/>
        <w:rPr>
          <w:kern w:val="22"/>
          <w:sz w:val="22"/>
          <w:szCs w:val="22"/>
          <w:lang w:val="fr-FR"/>
        </w:rPr>
      </w:pPr>
      <w:r>
        <w:rPr>
          <w:kern w:val="22"/>
          <w:sz w:val="22"/>
          <w:szCs w:val="22"/>
          <w:lang w:val="fr-FR"/>
        </w:rPr>
        <w:t>Cet énoncé de mission doit être considéré avec les autres éléments du cadre.</w:t>
      </w:r>
    </w:p>
    <w:p w14:paraId="15BD9D81" w14:textId="073F2B0F" w:rsidR="00DA4EC5" w:rsidRPr="006D6174" w:rsidRDefault="00F82816" w:rsidP="006476DC">
      <w:pPr>
        <w:pStyle w:val="Para1"/>
        <w:keepNext/>
        <w:numPr>
          <w:ilvl w:val="0"/>
          <w:numId w:val="38"/>
        </w:numPr>
        <w:suppressLineNumbers/>
        <w:tabs>
          <w:tab w:val="left" w:pos="426"/>
        </w:tabs>
        <w:suppressAutoHyphens/>
        <w:ind w:left="0" w:firstLine="0"/>
        <w:jc w:val="center"/>
        <w:rPr>
          <w:b/>
          <w:caps/>
          <w:snapToGrid/>
          <w:kern w:val="22"/>
          <w:sz w:val="22"/>
          <w:szCs w:val="22"/>
          <w:lang w:val="en-GB"/>
        </w:rPr>
      </w:pPr>
      <w:r>
        <w:rPr>
          <w:b/>
          <w:caps/>
          <w:snapToGrid/>
          <w:kern w:val="22"/>
          <w:sz w:val="22"/>
          <w:szCs w:val="22"/>
          <w:lang w:val="en-GB"/>
        </w:rPr>
        <w:t>cibles</w:t>
      </w:r>
    </w:p>
    <w:p w14:paraId="51C0C628" w14:textId="1387D5A5" w:rsidR="00FD0A8B" w:rsidRPr="002A7E92" w:rsidRDefault="00F82816" w:rsidP="006476DC">
      <w:pPr>
        <w:pStyle w:val="Para1"/>
        <w:numPr>
          <w:ilvl w:val="0"/>
          <w:numId w:val="2"/>
        </w:numPr>
        <w:suppressLineNumbers/>
        <w:tabs>
          <w:tab w:val="clear" w:pos="360"/>
        </w:tabs>
        <w:suppressAutoHyphens/>
        <w:jc w:val="both"/>
        <w:rPr>
          <w:kern w:val="22"/>
          <w:sz w:val="22"/>
          <w:szCs w:val="22"/>
          <w:lang w:val="fr-FR"/>
        </w:rPr>
      </w:pPr>
      <w:r w:rsidRPr="002A7E92">
        <w:rPr>
          <w:kern w:val="22"/>
          <w:sz w:val="22"/>
          <w:szCs w:val="22"/>
          <w:lang w:val="fr-FR"/>
        </w:rPr>
        <w:t xml:space="preserve">Les cibles sont </w:t>
      </w:r>
      <w:r w:rsidR="002A7E92" w:rsidRPr="002A7E92">
        <w:rPr>
          <w:kern w:val="22"/>
          <w:sz w:val="22"/>
          <w:szCs w:val="22"/>
          <w:lang w:val="fr-FR"/>
        </w:rPr>
        <w:t>définies comme étant</w:t>
      </w:r>
      <w:r w:rsidR="002D5A76">
        <w:rPr>
          <w:kern w:val="22"/>
          <w:sz w:val="22"/>
          <w:szCs w:val="22"/>
          <w:lang w:val="fr-FR"/>
        </w:rPr>
        <w:t xml:space="preserve"> des déclarations</w:t>
      </w:r>
      <w:r w:rsidR="002A7E92" w:rsidRPr="002A7E92">
        <w:rPr>
          <w:kern w:val="22"/>
          <w:sz w:val="22"/>
          <w:szCs w:val="22"/>
          <w:lang w:val="fr-FR"/>
        </w:rPr>
        <w:t xml:space="preserve"> </w:t>
      </w:r>
      <w:r w:rsidR="002D5A76">
        <w:rPr>
          <w:kern w:val="22"/>
          <w:sz w:val="22"/>
          <w:szCs w:val="22"/>
          <w:lang w:val="fr-FR"/>
        </w:rPr>
        <w:t>« </w:t>
      </w:r>
      <w:r w:rsidR="00FD0A8B" w:rsidRPr="002A7E92">
        <w:rPr>
          <w:kern w:val="22"/>
          <w:sz w:val="22"/>
          <w:szCs w:val="22"/>
          <w:lang w:val="fr-FR"/>
        </w:rPr>
        <w:t>SMART</w:t>
      </w:r>
      <w:r w:rsidR="00267869" w:rsidRPr="002A7E92">
        <w:rPr>
          <w:rStyle w:val="FootnoteReference"/>
          <w:kern w:val="22"/>
          <w:szCs w:val="22"/>
          <w:lang w:val="fr-FR"/>
        </w:rPr>
        <w:footnoteReference w:id="5"/>
      </w:r>
      <w:r w:rsidR="002D5A76">
        <w:rPr>
          <w:kern w:val="22"/>
          <w:sz w:val="22"/>
          <w:szCs w:val="22"/>
          <w:lang w:val="fr-FR"/>
        </w:rPr>
        <w:t xml:space="preserve"> », qui saisissent ce que nous voulons réaliser ou faire pendant une période de temps précise sur le chemin qui mène à la réalisation d’objectifs à long terme. Elles peuvent être appliquées à la biodiversité, aux mesures à prendre, aux avantages pour </w:t>
      </w:r>
      <w:r w:rsidR="00AC33B5">
        <w:rPr>
          <w:kern w:val="22"/>
          <w:sz w:val="22"/>
          <w:szCs w:val="22"/>
          <w:lang w:val="fr-FR"/>
        </w:rPr>
        <w:t>les populations ou même à des aspects pertinents des moyens de mise en œuvre.</w:t>
      </w:r>
    </w:p>
    <w:p w14:paraId="57CADB10" w14:textId="14FB6F1A" w:rsidR="00DA4EC5" w:rsidRPr="002A7E92" w:rsidRDefault="00837033" w:rsidP="006476DC">
      <w:pPr>
        <w:pStyle w:val="Para1"/>
        <w:numPr>
          <w:ilvl w:val="0"/>
          <w:numId w:val="2"/>
        </w:numPr>
        <w:suppressLineNumbers/>
        <w:tabs>
          <w:tab w:val="clear" w:pos="360"/>
        </w:tabs>
        <w:suppressAutoHyphens/>
        <w:jc w:val="both"/>
        <w:rPr>
          <w:kern w:val="22"/>
          <w:sz w:val="22"/>
          <w:szCs w:val="22"/>
          <w:lang w:val="fr-FR"/>
        </w:rPr>
      </w:pPr>
      <w:r>
        <w:rPr>
          <w:kern w:val="22"/>
          <w:sz w:val="22"/>
          <w:szCs w:val="22"/>
          <w:lang w:val="fr-FR"/>
        </w:rPr>
        <w:t xml:space="preserve">L’élaboration </w:t>
      </w:r>
      <w:r w:rsidR="00F92BC1">
        <w:rPr>
          <w:kern w:val="22"/>
          <w:sz w:val="22"/>
          <w:szCs w:val="22"/>
          <w:lang w:val="fr-FR"/>
        </w:rPr>
        <w:t xml:space="preserve">de </w:t>
      </w:r>
      <w:proofErr w:type="gramStart"/>
      <w:r w:rsidR="00F92BC1">
        <w:rPr>
          <w:kern w:val="22"/>
          <w:sz w:val="22"/>
          <w:szCs w:val="22"/>
          <w:lang w:val="fr-FR"/>
        </w:rPr>
        <w:t>future cibles</w:t>
      </w:r>
      <w:proofErr w:type="gramEnd"/>
      <w:r w:rsidR="00F92BC1">
        <w:rPr>
          <w:kern w:val="22"/>
          <w:sz w:val="22"/>
          <w:szCs w:val="22"/>
          <w:lang w:val="fr-FR"/>
        </w:rPr>
        <w:t xml:space="preserve"> pour la biodiversité devrait être fondée sur </w:t>
      </w:r>
      <w:r w:rsidR="009431DD">
        <w:rPr>
          <w:kern w:val="22"/>
          <w:sz w:val="22"/>
          <w:szCs w:val="22"/>
          <w:lang w:val="fr-FR"/>
        </w:rPr>
        <w:t>l</w:t>
      </w:r>
      <w:r w:rsidR="00F92BC1">
        <w:rPr>
          <w:kern w:val="22"/>
          <w:sz w:val="22"/>
          <w:szCs w:val="22"/>
          <w:lang w:val="fr-FR"/>
        </w:rPr>
        <w:t>es données factuelles disponibles, notamment les</w:t>
      </w:r>
      <w:r w:rsidR="009431DD">
        <w:rPr>
          <w:kern w:val="22"/>
          <w:sz w:val="22"/>
          <w:szCs w:val="22"/>
          <w:lang w:val="fr-FR"/>
        </w:rPr>
        <w:t xml:space="preserve"> résultats des</w:t>
      </w:r>
      <w:r w:rsidR="00F92BC1">
        <w:rPr>
          <w:kern w:val="22"/>
          <w:sz w:val="22"/>
          <w:szCs w:val="22"/>
          <w:lang w:val="fr-FR"/>
        </w:rPr>
        <w:t xml:space="preserve"> évaluations réalisées par l’IPBES ainsi que sur ce que ces données révèlent comme étant nécessaire pour susciter les changements transformateurs requis pour vivre en harmonie avec la nature d’ici à 2050. De même, la formulation de futures cibles </w:t>
      </w:r>
      <w:proofErr w:type="gramStart"/>
      <w:r w:rsidR="00F92BC1">
        <w:rPr>
          <w:kern w:val="22"/>
          <w:sz w:val="22"/>
          <w:szCs w:val="22"/>
          <w:lang w:val="fr-FR"/>
        </w:rPr>
        <w:t>devraient</w:t>
      </w:r>
      <w:proofErr w:type="gramEnd"/>
      <w:r w:rsidR="00F92BC1">
        <w:rPr>
          <w:kern w:val="22"/>
          <w:sz w:val="22"/>
          <w:szCs w:val="22"/>
          <w:lang w:val="fr-FR"/>
        </w:rPr>
        <w:t xml:space="preserve"> prendre en compte la vision 2050 pour la biodiversité, les liens entre la biodiversité et le Programme de développement durable à l’horizon 2030, les raisons de la variation des degrés de progrès accomplis dans la réalisation des Objectifs d’Aichi pour la biodiversité et les enseignements tirés de l’application de la Convention et de ses Protocoles. Certains de ces éléments à prendre en con</w:t>
      </w:r>
      <w:r w:rsidR="00160DD1">
        <w:rPr>
          <w:kern w:val="22"/>
          <w:sz w:val="22"/>
          <w:szCs w:val="22"/>
          <w:lang w:val="fr-FR"/>
        </w:rPr>
        <w:t>sidération sont identifiés dans le document chapeau du présent additif</w:t>
      </w:r>
      <w:r w:rsidR="00594824">
        <w:rPr>
          <w:kern w:val="22"/>
          <w:sz w:val="22"/>
          <w:szCs w:val="22"/>
          <w:lang w:val="fr-FR"/>
        </w:rPr>
        <w:t>. Des questions similaires ont aussi été soulignées dans les conclusions du Groupe de travail sur le cadre mondial de la biodiversité pour l’après-2020 et au cours du processus de consultation.</w:t>
      </w:r>
    </w:p>
    <w:p w14:paraId="114D7C9C" w14:textId="2E8C7F38" w:rsidR="002649C6" w:rsidRPr="002A7E92" w:rsidRDefault="00594824" w:rsidP="006476DC">
      <w:pPr>
        <w:pStyle w:val="Para1"/>
        <w:numPr>
          <w:ilvl w:val="0"/>
          <w:numId w:val="2"/>
        </w:numPr>
        <w:suppressLineNumbers/>
        <w:tabs>
          <w:tab w:val="clear" w:pos="360"/>
        </w:tabs>
        <w:suppressAutoHyphens/>
        <w:jc w:val="both"/>
        <w:rPr>
          <w:kern w:val="22"/>
          <w:sz w:val="22"/>
          <w:szCs w:val="22"/>
          <w:lang w:val="fr-FR"/>
        </w:rPr>
      </w:pPr>
      <w:r>
        <w:rPr>
          <w:kern w:val="22"/>
          <w:sz w:val="22"/>
          <w:szCs w:val="22"/>
          <w:lang w:val="fr-FR"/>
        </w:rPr>
        <w:t xml:space="preserve">Les données scientifiques disponibles indiquent que des solutions traitant des divers problèmes relatifs à la biodiversité seront nécessaires dans le cadre d’une réponse efficace et complète </w:t>
      </w:r>
      <w:r w:rsidR="00375B93">
        <w:rPr>
          <w:kern w:val="22"/>
          <w:sz w:val="22"/>
          <w:szCs w:val="22"/>
          <w:lang w:val="fr-FR"/>
        </w:rPr>
        <w:t xml:space="preserve">au déclin mondial de la biodiversité et des </w:t>
      </w:r>
      <w:r w:rsidR="009431DD">
        <w:rPr>
          <w:kern w:val="22"/>
          <w:sz w:val="22"/>
          <w:szCs w:val="22"/>
          <w:lang w:val="fr-FR"/>
        </w:rPr>
        <w:t>avantages</w:t>
      </w:r>
      <w:r w:rsidR="00375B93">
        <w:rPr>
          <w:kern w:val="22"/>
          <w:sz w:val="22"/>
          <w:szCs w:val="22"/>
          <w:lang w:val="fr-FR"/>
        </w:rPr>
        <w:t xml:space="preserve"> qu’elle fournit. L’élaboration et la mise au point finale de futures cibles devraient être alignées sur les éléments du cadre les plus importants pour la réalisation de la Vision 2050 et des objectifs, et devraient permettre </w:t>
      </w:r>
      <w:r w:rsidR="009431DD">
        <w:rPr>
          <w:kern w:val="22"/>
          <w:sz w:val="22"/>
          <w:szCs w:val="22"/>
          <w:lang w:val="fr-FR"/>
        </w:rPr>
        <w:t xml:space="preserve">de mesurer et d’assurer </w:t>
      </w:r>
      <w:r w:rsidR="00375B93">
        <w:rPr>
          <w:kern w:val="22"/>
          <w:sz w:val="22"/>
          <w:szCs w:val="22"/>
          <w:lang w:val="fr-FR"/>
        </w:rPr>
        <w:t>le suivi des progrès accomplis.</w:t>
      </w:r>
      <w:r w:rsidR="00DA4EC5" w:rsidRPr="002A7E92">
        <w:rPr>
          <w:kern w:val="22"/>
          <w:sz w:val="22"/>
          <w:szCs w:val="22"/>
          <w:lang w:val="fr-FR"/>
        </w:rPr>
        <w:t xml:space="preserve"> </w:t>
      </w:r>
      <w:r w:rsidR="009431DD">
        <w:rPr>
          <w:kern w:val="22"/>
          <w:sz w:val="22"/>
          <w:szCs w:val="22"/>
          <w:lang w:val="fr-FR"/>
        </w:rPr>
        <w:t>Elles</w:t>
      </w:r>
      <w:r w:rsidR="004D58A8">
        <w:rPr>
          <w:kern w:val="22"/>
          <w:sz w:val="22"/>
          <w:szCs w:val="22"/>
          <w:lang w:val="fr-FR"/>
        </w:rPr>
        <w:t xml:space="preserve"> devraient prendre en compte :</w:t>
      </w:r>
    </w:p>
    <w:p w14:paraId="49450745" w14:textId="35A281AC" w:rsidR="002649C6" w:rsidRPr="002A7E92" w:rsidRDefault="004D58A8" w:rsidP="006476DC">
      <w:pPr>
        <w:pStyle w:val="Para1"/>
        <w:numPr>
          <w:ilvl w:val="1"/>
          <w:numId w:val="2"/>
        </w:numPr>
        <w:suppressLineNumbers/>
        <w:suppressAutoHyphens/>
        <w:rPr>
          <w:kern w:val="22"/>
          <w:sz w:val="22"/>
          <w:szCs w:val="22"/>
          <w:lang w:val="fr-FR"/>
        </w:rPr>
      </w:pPr>
      <w:r>
        <w:rPr>
          <w:kern w:val="22"/>
          <w:sz w:val="22"/>
          <w:szCs w:val="22"/>
          <w:lang w:val="fr-FR"/>
        </w:rPr>
        <w:t>Les trois objectifs de la Convention ;</w:t>
      </w:r>
    </w:p>
    <w:p w14:paraId="5024018C" w14:textId="63E3A55E" w:rsidR="002649C6" w:rsidRPr="002A7E92" w:rsidRDefault="004D58A8" w:rsidP="006476DC">
      <w:pPr>
        <w:pStyle w:val="Para1"/>
        <w:numPr>
          <w:ilvl w:val="1"/>
          <w:numId w:val="2"/>
        </w:numPr>
        <w:suppressLineNumbers/>
        <w:suppressAutoHyphens/>
        <w:rPr>
          <w:kern w:val="22"/>
          <w:sz w:val="22"/>
          <w:szCs w:val="22"/>
          <w:lang w:val="fr-FR"/>
        </w:rPr>
      </w:pPr>
      <w:r>
        <w:rPr>
          <w:kern w:val="22"/>
          <w:sz w:val="22"/>
          <w:szCs w:val="22"/>
          <w:lang w:val="fr-FR"/>
        </w:rPr>
        <w:t>Les divers éléments de la biodiversité</w:t>
      </w:r>
      <w:r w:rsidR="002649C6" w:rsidRPr="002A7E92">
        <w:rPr>
          <w:kern w:val="22"/>
          <w:sz w:val="22"/>
          <w:szCs w:val="22"/>
          <w:lang w:val="fr-FR"/>
        </w:rPr>
        <w:t xml:space="preserve"> (</w:t>
      </w:r>
      <w:r>
        <w:rPr>
          <w:kern w:val="22"/>
          <w:sz w:val="22"/>
          <w:szCs w:val="22"/>
          <w:lang w:val="fr-FR"/>
        </w:rPr>
        <w:t>écosystèmes, habitats</w:t>
      </w:r>
      <w:r w:rsidR="00B261E5" w:rsidRPr="002A7E92">
        <w:rPr>
          <w:kern w:val="22"/>
          <w:sz w:val="22"/>
          <w:szCs w:val="22"/>
          <w:lang w:val="fr-FR"/>
        </w:rPr>
        <w:t>,</w:t>
      </w:r>
      <w:r w:rsidR="002649C6" w:rsidRPr="002A7E92">
        <w:rPr>
          <w:kern w:val="22"/>
          <w:sz w:val="22"/>
          <w:szCs w:val="22"/>
          <w:lang w:val="fr-FR"/>
        </w:rPr>
        <w:t xml:space="preserve"> </w:t>
      </w:r>
      <w:r>
        <w:rPr>
          <w:kern w:val="22"/>
          <w:sz w:val="22"/>
          <w:szCs w:val="22"/>
          <w:lang w:val="fr-FR"/>
        </w:rPr>
        <w:t>espèces et diversité génétique</w:t>
      </w:r>
      <w:r w:rsidR="002649C6" w:rsidRPr="002A7E92">
        <w:rPr>
          <w:kern w:val="22"/>
          <w:sz w:val="22"/>
          <w:szCs w:val="22"/>
          <w:lang w:val="fr-FR"/>
        </w:rPr>
        <w:t>)</w:t>
      </w:r>
      <w:r>
        <w:rPr>
          <w:kern w:val="22"/>
          <w:sz w:val="22"/>
          <w:szCs w:val="22"/>
          <w:lang w:val="fr-FR"/>
        </w:rPr>
        <w:t> ;</w:t>
      </w:r>
    </w:p>
    <w:p w14:paraId="6D6AC5F3" w14:textId="432E66AD" w:rsidR="00333025" w:rsidRPr="004D58A8" w:rsidRDefault="004D58A8" w:rsidP="006476DC">
      <w:pPr>
        <w:pStyle w:val="Para1"/>
        <w:numPr>
          <w:ilvl w:val="1"/>
          <w:numId w:val="2"/>
        </w:numPr>
        <w:suppressLineNumbers/>
        <w:suppressAutoHyphens/>
        <w:rPr>
          <w:kern w:val="22"/>
          <w:sz w:val="22"/>
          <w:szCs w:val="22"/>
          <w:lang w:val="fr-FR"/>
        </w:rPr>
      </w:pPr>
      <w:r w:rsidRPr="004D58A8">
        <w:rPr>
          <w:kern w:val="22"/>
          <w:sz w:val="22"/>
          <w:szCs w:val="22"/>
          <w:lang w:val="fr-FR"/>
        </w:rPr>
        <w:t xml:space="preserve">Les divers éléments de la </w:t>
      </w:r>
      <w:r w:rsidR="00333025" w:rsidRPr="004D58A8">
        <w:rPr>
          <w:kern w:val="22"/>
          <w:sz w:val="22"/>
          <w:szCs w:val="22"/>
          <w:lang w:val="fr-FR"/>
        </w:rPr>
        <w:t>Vision</w:t>
      </w:r>
      <w:r w:rsidRPr="004D58A8">
        <w:rPr>
          <w:kern w:val="22"/>
          <w:sz w:val="22"/>
          <w:szCs w:val="22"/>
          <w:lang w:val="fr-FR"/>
        </w:rPr>
        <w:t xml:space="preserve"> 2050</w:t>
      </w:r>
      <w:r w:rsidR="00333025" w:rsidRPr="004D58A8">
        <w:rPr>
          <w:kern w:val="22"/>
          <w:sz w:val="22"/>
          <w:szCs w:val="22"/>
          <w:lang w:val="fr-FR"/>
        </w:rPr>
        <w:t xml:space="preserve"> (</w:t>
      </w:r>
      <w:r w:rsidRPr="004D58A8">
        <w:rPr>
          <w:iCs/>
          <w:kern w:val="22"/>
          <w:sz w:val="22"/>
          <w:szCs w:val="22"/>
          <w:lang w:val="fr-FR"/>
        </w:rPr>
        <w:t xml:space="preserve">la biodiversité est appréciée, conservée, utilisée avec sagesse, restaurée, et les </w:t>
      </w:r>
      <w:r w:rsidRPr="004D58A8">
        <w:rPr>
          <w:iCs/>
          <w:noProof/>
          <w:kern w:val="22"/>
          <w:sz w:val="22"/>
          <w:szCs w:val="22"/>
          <w:lang w:val="fr-FR"/>
        </w:rPr>
        <w:t>services écosystémiques sont</w:t>
      </w:r>
      <w:r w:rsidRPr="004D58A8">
        <w:rPr>
          <w:iCs/>
          <w:kern w:val="22"/>
          <w:sz w:val="22"/>
          <w:szCs w:val="22"/>
          <w:lang w:val="fr-FR"/>
        </w:rPr>
        <w:t xml:space="preserve"> maintenus)</w:t>
      </w:r>
      <w:r>
        <w:rPr>
          <w:iCs/>
          <w:kern w:val="22"/>
          <w:sz w:val="22"/>
          <w:szCs w:val="22"/>
          <w:lang w:val="fr-FR"/>
        </w:rPr>
        <w:t> </w:t>
      </w:r>
      <w:r>
        <w:rPr>
          <w:kern w:val="22"/>
          <w:sz w:val="22"/>
          <w:szCs w:val="22"/>
          <w:lang w:val="fr-FR"/>
        </w:rPr>
        <w:t>;</w:t>
      </w:r>
    </w:p>
    <w:p w14:paraId="2A26F576" w14:textId="290CDFDB" w:rsidR="002649C6" w:rsidRPr="002A7E92" w:rsidRDefault="004D58A8" w:rsidP="006476DC">
      <w:pPr>
        <w:pStyle w:val="Para1"/>
        <w:numPr>
          <w:ilvl w:val="1"/>
          <w:numId w:val="2"/>
        </w:numPr>
        <w:suppressLineNumbers/>
        <w:suppressAutoHyphens/>
        <w:jc w:val="both"/>
        <w:rPr>
          <w:kern w:val="22"/>
          <w:sz w:val="22"/>
          <w:szCs w:val="22"/>
          <w:lang w:val="fr-FR"/>
        </w:rPr>
      </w:pPr>
      <w:r>
        <w:rPr>
          <w:kern w:val="22"/>
          <w:sz w:val="22"/>
          <w:szCs w:val="22"/>
          <w:lang w:val="fr-FR"/>
        </w:rPr>
        <w:t>Les facteurs de perte de biodiversité ;</w:t>
      </w:r>
    </w:p>
    <w:p w14:paraId="7A0B7184" w14:textId="16B8F247" w:rsidR="00421135" w:rsidRPr="002A7E92" w:rsidRDefault="004D58A8" w:rsidP="006476DC">
      <w:pPr>
        <w:pStyle w:val="Para1"/>
        <w:numPr>
          <w:ilvl w:val="1"/>
          <w:numId w:val="2"/>
        </w:numPr>
        <w:suppressLineNumbers/>
        <w:suppressAutoHyphens/>
        <w:jc w:val="both"/>
        <w:rPr>
          <w:kern w:val="22"/>
          <w:sz w:val="22"/>
          <w:szCs w:val="22"/>
          <w:lang w:val="fr-FR"/>
        </w:rPr>
      </w:pPr>
      <w:r>
        <w:rPr>
          <w:kern w:val="22"/>
          <w:sz w:val="22"/>
          <w:szCs w:val="22"/>
          <w:lang w:val="fr-FR"/>
        </w:rPr>
        <w:t>Les avantages découlant de l’utilisation de la biodiversité et le partage de ces avantages ;</w:t>
      </w:r>
    </w:p>
    <w:p w14:paraId="378049D0" w14:textId="4DF31417" w:rsidR="002649C6" w:rsidRPr="002A7E92" w:rsidRDefault="004D58A8" w:rsidP="006476DC">
      <w:pPr>
        <w:pStyle w:val="Para1"/>
        <w:numPr>
          <w:ilvl w:val="1"/>
          <w:numId w:val="2"/>
        </w:numPr>
        <w:suppressLineNumbers/>
        <w:suppressAutoHyphens/>
        <w:jc w:val="both"/>
        <w:rPr>
          <w:kern w:val="22"/>
          <w:sz w:val="22"/>
          <w:szCs w:val="22"/>
          <w:lang w:val="fr-FR"/>
        </w:rPr>
      </w:pPr>
      <w:r>
        <w:rPr>
          <w:kern w:val="22"/>
          <w:sz w:val="22"/>
          <w:szCs w:val="22"/>
          <w:lang w:val="fr-FR"/>
        </w:rPr>
        <w:t>Les mesures spécifiques nécessaires pour réduire les menaces qui pèsent sur la biodiversité et réaliser les objectifs à long terme ;</w:t>
      </w:r>
    </w:p>
    <w:p w14:paraId="1A13E2B1" w14:textId="564130A0" w:rsidR="00DA4EC5" w:rsidRPr="002A7E92" w:rsidRDefault="004D58A8" w:rsidP="006476DC">
      <w:pPr>
        <w:pStyle w:val="Para1"/>
        <w:numPr>
          <w:ilvl w:val="1"/>
          <w:numId w:val="2"/>
        </w:numPr>
        <w:suppressLineNumbers/>
        <w:suppressAutoHyphens/>
        <w:jc w:val="both"/>
        <w:rPr>
          <w:kern w:val="22"/>
          <w:sz w:val="22"/>
          <w:szCs w:val="22"/>
          <w:lang w:val="fr-FR"/>
        </w:rPr>
      </w:pPr>
      <w:r>
        <w:rPr>
          <w:kern w:val="22"/>
          <w:sz w:val="22"/>
          <w:szCs w:val="22"/>
          <w:lang w:val="fr-FR"/>
        </w:rPr>
        <w:t>Divers secteurs</w:t>
      </w:r>
      <w:r w:rsidR="00DA4EC5" w:rsidRPr="002A7E92">
        <w:rPr>
          <w:kern w:val="22"/>
          <w:sz w:val="22"/>
          <w:szCs w:val="22"/>
          <w:lang w:val="fr-FR"/>
        </w:rPr>
        <w:t>.</w:t>
      </w:r>
    </w:p>
    <w:p w14:paraId="28A09E3A" w14:textId="4A01DE2F" w:rsidR="00DA4EC5" w:rsidRPr="002A7E92" w:rsidRDefault="00DA4EC5" w:rsidP="006476DC">
      <w:pPr>
        <w:pStyle w:val="Para1"/>
        <w:numPr>
          <w:ilvl w:val="0"/>
          <w:numId w:val="2"/>
        </w:numPr>
        <w:suppressLineNumbers/>
        <w:tabs>
          <w:tab w:val="clear" w:pos="360"/>
        </w:tabs>
        <w:suppressAutoHyphens/>
        <w:jc w:val="both"/>
        <w:rPr>
          <w:kern w:val="22"/>
          <w:sz w:val="22"/>
          <w:szCs w:val="22"/>
          <w:lang w:val="fr-FR"/>
        </w:rPr>
      </w:pPr>
      <w:r w:rsidRPr="002A7E92">
        <w:rPr>
          <w:kern w:val="22"/>
          <w:sz w:val="22"/>
          <w:szCs w:val="22"/>
          <w:lang w:val="fr-FR"/>
        </w:rPr>
        <w:t>T</w:t>
      </w:r>
      <w:r w:rsidR="004D58A8">
        <w:rPr>
          <w:kern w:val="22"/>
          <w:sz w:val="22"/>
          <w:szCs w:val="22"/>
          <w:lang w:val="fr-FR"/>
        </w:rPr>
        <w:t xml:space="preserve">out au long du processus de consultation, il a </w:t>
      </w:r>
      <w:r w:rsidR="00275A3B">
        <w:rPr>
          <w:kern w:val="22"/>
          <w:sz w:val="22"/>
          <w:szCs w:val="22"/>
          <w:lang w:val="fr-FR"/>
        </w:rPr>
        <w:t>été observé que les thèmes ou questions couverts par les Objectifs d’Aichi pour la biodiversité pourraient servi</w:t>
      </w:r>
      <w:r w:rsidR="0031454D">
        <w:rPr>
          <w:kern w:val="22"/>
          <w:sz w:val="22"/>
          <w:szCs w:val="22"/>
          <w:lang w:val="fr-FR"/>
        </w:rPr>
        <w:t>r</w:t>
      </w:r>
      <w:r w:rsidR="00275A3B">
        <w:rPr>
          <w:kern w:val="22"/>
          <w:sz w:val="22"/>
          <w:szCs w:val="22"/>
          <w:lang w:val="fr-FR"/>
        </w:rPr>
        <w:t xml:space="preserve"> de base à l’élaboration de futures cibles pour la biodiversité. Cependant, il a aussi été constaté que les Objectifs d’Aichi pour la biodiversité</w:t>
      </w:r>
      <w:r w:rsidR="006C1E83">
        <w:rPr>
          <w:kern w:val="22"/>
          <w:sz w:val="22"/>
          <w:szCs w:val="22"/>
          <w:lang w:val="fr-FR"/>
        </w:rPr>
        <w:t xml:space="preserve"> </w:t>
      </w:r>
      <w:r w:rsidR="002A167D">
        <w:rPr>
          <w:kern w:val="22"/>
          <w:sz w:val="22"/>
          <w:szCs w:val="22"/>
          <w:lang w:val="fr-FR"/>
        </w:rPr>
        <w:t xml:space="preserve">ont plusieurs lacunes et limites qui devraient être </w:t>
      </w:r>
      <w:r w:rsidR="006C1E83">
        <w:rPr>
          <w:kern w:val="22"/>
          <w:sz w:val="22"/>
          <w:szCs w:val="22"/>
          <w:lang w:val="fr-FR"/>
        </w:rPr>
        <w:t xml:space="preserve">prises en compte lors de l’élaboration de futures cibles. Ces </w:t>
      </w:r>
      <w:proofErr w:type="gramStart"/>
      <w:r w:rsidR="006C1E83">
        <w:rPr>
          <w:kern w:val="22"/>
          <w:sz w:val="22"/>
          <w:szCs w:val="22"/>
          <w:lang w:val="fr-FR"/>
        </w:rPr>
        <w:t xml:space="preserve">questions </w:t>
      </w:r>
      <w:r w:rsidRPr="002A7E92">
        <w:rPr>
          <w:kern w:val="22"/>
          <w:sz w:val="22"/>
          <w:szCs w:val="22"/>
          <w:lang w:val="fr-FR"/>
        </w:rPr>
        <w:t xml:space="preserve"> </w:t>
      </w:r>
      <w:r w:rsidR="006C1E83">
        <w:rPr>
          <w:kern w:val="22"/>
          <w:sz w:val="22"/>
          <w:szCs w:val="22"/>
          <w:lang w:val="fr-FR"/>
        </w:rPr>
        <w:t>sont</w:t>
      </w:r>
      <w:proofErr w:type="gramEnd"/>
      <w:r w:rsidR="006C1E83">
        <w:rPr>
          <w:kern w:val="22"/>
          <w:sz w:val="22"/>
          <w:szCs w:val="22"/>
          <w:lang w:val="fr-FR"/>
        </w:rPr>
        <w:t xml:space="preserve"> examinées plus avant ci-dessous. En outre, certaines questions d’ordre général ou intersectorielles </w:t>
      </w:r>
      <w:r w:rsidR="006C1E83">
        <w:rPr>
          <w:kern w:val="22"/>
          <w:sz w:val="22"/>
          <w:szCs w:val="22"/>
          <w:lang w:val="fr-FR"/>
        </w:rPr>
        <w:lastRenderedPageBreak/>
        <w:t>peuvent être prises en compte dans l’élaboration de cibles. Celles-ci sont aussi examinées plus à fond dans la sous-section suivante de la présente note.</w:t>
      </w:r>
    </w:p>
    <w:p w14:paraId="34E2E5D2" w14:textId="64AE5DD2" w:rsidR="00DA4EC5" w:rsidRPr="002A7E92" w:rsidRDefault="006C1E83" w:rsidP="006476DC">
      <w:pPr>
        <w:pStyle w:val="Heading2"/>
        <w:numPr>
          <w:ilvl w:val="0"/>
          <w:numId w:val="42"/>
        </w:numPr>
        <w:suppressLineNumbers/>
        <w:tabs>
          <w:tab w:val="clear" w:pos="720"/>
          <w:tab w:val="left" w:pos="1134"/>
        </w:tabs>
        <w:suppressAutoHyphens/>
        <w:ind w:left="1134" w:hanging="567"/>
        <w:jc w:val="left"/>
        <w:rPr>
          <w:kern w:val="22"/>
          <w:szCs w:val="22"/>
          <w:lang w:val="fr-FR"/>
        </w:rPr>
      </w:pPr>
      <w:r>
        <w:rPr>
          <w:kern w:val="22"/>
          <w:szCs w:val="22"/>
          <w:lang w:val="fr-FR"/>
        </w:rPr>
        <w:t xml:space="preserve">Lacunes et limites du Plan stratégique pour la diversité biologique </w:t>
      </w:r>
      <w:r w:rsidR="00916A9C" w:rsidRPr="002A7E92">
        <w:rPr>
          <w:kern w:val="22"/>
          <w:szCs w:val="22"/>
          <w:lang w:val="fr-FR"/>
        </w:rPr>
        <w:t xml:space="preserve">2011-2020 </w:t>
      </w:r>
      <w:r>
        <w:rPr>
          <w:kern w:val="22"/>
          <w:szCs w:val="22"/>
          <w:lang w:val="fr-FR"/>
        </w:rPr>
        <w:t>et des Objectifs d’Aichi pour la biodiversité</w:t>
      </w:r>
      <w:r w:rsidR="00B80D12" w:rsidRPr="002A7E92">
        <w:rPr>
          <w:kern w:val="22"/>
          <w:szCs w:val="22"/>
          <w:lang w:val="fr-FR"/>
        </w:rPr>
        <w:t xml:space="preserve"> </w:t>
      </w:r>
    </w:p>
    <w:p w14:paraId="292DCAD3" w14:textId="1F6F0F5E" w:rsidR="00DA4EC5" w:rsidRPr="002A7E92" w:rsidRDefault="00A70EA0" w:rsidP="006476DC">
      <w:pPr>
        <w:pStyle w:val="Para1"/>
        <w:numPr>
          <w:ilvl w:val="0"/>
          <w:numId w:val="2"/>
        </w:numPr>
        <w:suppressLineNumbers/>
        <w:tabs>
          <w:tab w:val="clear" w:pos="360"/>
        </w:tabs>
        <w:suppressAutoHyphens/>
        <w:jc w:val="both"/>
        <w:rPr>
          <w:kern w:val="22"/>
          <w:sz w:val="22"/>
          <w:szCs w:val="22"/>
          <w:lang w:val="fr-FR"/>
        </w:rPr>
      </w:pPr>
      <w:r>
        <w:rPr>
          <w:kern w:val="22"/>
          <w:sz w:val="22"/>
          <w:szCs w:val="22"/>
          <w:lang w:val="fr-FR"/>
        </w:rPr>
        <w:t>Le Plan stratégique pour la diversité biologique</w:t>
      </w:r>
      <w:r w:rsidR="00DA4EC5" w:rsidRPr="002A7E92">
        <w:rPr>
          <w:kern w:val="22"/>
          <w:sz w:val="22"/>
          <w:szCs w:val="22"/>
          <w:lang w:val="fr-FR"/>
        </w:rPr>
        <w:t xml:space="preserve"> 2011-2020</w:t>
      </w:r>
      <w:r>
        <w:rPr>
          <w:kern w:val="22"/>
          <w:sz w:val="22"/>
          <w:szCs w:val="22"/>
          <w:lang w:val="fr-FR"/>
        </w:rPr>
        <w:t xml:space="preserve"> abord</w:t>
      </w:r>
      <w:r w:rsidR="00A343B3">
        <w:rPr>
          <w:kern w:val="22"/>
          <w:sz w:val="22"/>
          <w:szCs w:val="22"/>
          <w:lang w:val="fr-FR"/>
        </w:rPr>
        <w:t>e</w:t>
      </w:r>
      <w:r>
        <w:rPr>
          <w:kern w:val="22"/>
          <w:sz w:val="22"/>
          <w:szCs w:val="22"/>
          <w:lang w:val="fr-FR"/>
        </w:rPr>
        <w:t xml:space="preserve"> des questions relatives aux causes sous-jacente de l’appauvrissement de</w:t>
      </w:r>
      <w:r w:rsidR="00A343B3">
        <w:rPr>
          <w:kern w:val="22"/>
          <w:sz w:val="22"/>
          <w:szCs w:val="22"/>
          <w:lang w:val="fr-FR"/>
        </w:rPr>
        <w:t xml:space="preserve"> la diversité biologique (But A), à la réduction des pressions directes exercées sur la diversité biologique (But B), à l’amélioration de l’état de la diversité biologique (But C), aux avantages retirés de la diversité biologique (But D) et au renforcement de la mise en œuvre (But E). Cependant, malgré cet ample champ d’application au niveau des buts, les Objectifs d’Aichi pour la biodiversité ont un certain nombre de lacunes et de limites</w:t>
      </w:r>
      <w:r w:rsidR="006F1490">
        <w:rPr>
          <w:kern w:val="22"/>
          <w:sz w:val="22"/>
          <w:szCs w:val="22"/>
          <w:lang w:val="fr-FR"/>
        </w:rPr>
        <w:t xml:space="preserve">. </w:t>
      </w:r>
      <w:r w:rsidR="002C12C2">
        <w:rPr>
          <w:kern w:val="22"/>
          <w:sz w:val="22"/>
          <w:szCs w:val="22"/>
          <w:lang w:val="fr-FR"/>
        </w:rPr>
        <w:t>Les lacunes et les limites du Plan stratégique actuel recensées à la lumière de l’Évaluation mondiale de l’IPBES et d’autres évaluations sont, entre autres, les suivantes :</w:t>
      </w:r>
    </w:p>
    <w:p w14:paraId="3536120E" w14:textId="550578F9" w:rsidR="00DA4EC5" w:rsidRPr="002A7E92" w:rsidRDefault="002C12C2" w:rsidP="006476DC">
      <w:pPr>
        <w:pStyle w:val="Para1"/>
        <w:numPr>
          <w:ilvl w:val="1"/>
          <w:numId w:val="2"/>
        </w:numPr>
        <w:suppressLineNumbers/>
        <w:suppressAutoHyphens/>
        <w:jc w:val="both"/>
        <w:rPr>
          <w:kern w:val="22"/>
          <w:sz w:val="22"/>
          <w:szCs w:val="22"/>
          <w:lang w:val="fr-FR"/>
        </w:rPr>
      </w:pPr>
      <w:r>
        <w:rPr>
          <w:kern w:val="22"/>
          <w:sz w:val="22"/>
          <w:szCs w:val="22"/>
          <w:lang w:val="fr-FR"/>
        </w:rPr>
        <w:t xml:space="preserve">D’une part, un grand nombre des Objectifs d’Aichi pour la biodiversité sont formulés par rapport aux menaces qui pèsent sur la diversité biologique, d’autre part peu d’objectifs sont axés sur les avantages fournis par la biodiversité ou sur ses contributions au développement durable, y compris, par exemple, la santé, la sécurité alimentaire, la réduction des effets des changements climatiques et l’adaptation à ceux-ci. </w:t>
      </w:r>
      <w:r w:rsidR="006F1490">
        <w:rPr>
          <w:kern w:val="22"/>
          <w:sz w:val="22"/>
          <w:szCs w:val="22"/>
          <w:lang w:val="fr-FR"/>
        </w:rPr>
        <w:t xml:space="preserve">Si, dans le futur cadre, certains objectifs s’articulaient autour d’avantages fournis par la biodiversité, cela pourrait permettre une perspective plus complète et </w:t>
      </w:r>
      <w:r w:rsidR="00BB2DCB">
        <w:rPr>
          <w:kern w:val="22"/>
          <w:sz w:val="22"/>
          <w:szCs w:val="22"/>
          <w:lang w:val="fr-FR"/>
        </w:rPr>
        <w:t xml:space="preserve">plus </w:t>
      </w:r>
      <w:r w:rsidR="006F1490">
        <w:rPr>
          <w:kern w:val="22"/>
          <w:sz w:val="22"/>
          <w:szCs w:val="22"/>
          <w:lang w:val="fr-FR"/>
        </w:rPr>
        <w:t xml:space="preserve">propice. Un plus grand accent mis sur les avantages fournis par la biodiversité pourrait aussi offrir une possibilité d’incorporer des questions </w:t>
      </w:r>
      <w:r w:rsidR="0089030F">
        <w:rPr>
          <w:kern w:val="22"/>
          <w:sz w:val="22"/>
          <w:szCs w:val="22"/>
          <w:lang w:val="fr-FR"/>
        </w:rPr>
        <w:t>liées aux approches fondées sur les droits ainsi que l’équité entre les générations, comme il a été indiqué durant la première réunion du Groupe de travail à composition non limitée ;</w:t>
      </w:r>
    </w:p>
    <w:p w14:paraId="403A97DB" w14:textId="7D730B8C" w:rsidR="00DA4EC5" w:rsidRPr="002A7E92" w:rsidRDefault="0089030F" w:rsidP="006476DC">
      <w:pPr>
        <w:pStyle w:val="Para1"/>
        <w:numPr>
          <w:ilvl w:val="1"/>
          <w:numId w:val="2"/>
        </w:numPr>
        <w:suppressLineNumbers/>
        <w:suppressAutoHyphens/>
        <w:jc w:val="both"/>
        <w:rPr>
          <w:kern w:val="22"/>
          <w:sz w:val="22"/>
          <w:szCs w:val="22"/>
          <w:lang w:val="fr-FR"/>
        </w:rPr>
      </w:pPr>
      <w:r>
        <w:rPr>
          <w:kern w:val="22"/>
          <w:sz w:val="22"/>
          <w:szCs w:val="22"/>
          <w:lang w:val="fr-FR"/>
        </w:rPr>
        <w:t>Les Objectifs d’Aichi pour la</w:t>
      </w:r>
      <w:r w:rsidR="006A69E2">
        <w:rPr>
          <w:kern w:val="22"/>
          <w:sz w:val="22"/>
          <w:szCs w:val="22"/>
          <w:lang w:val="fr-FR"/>
        </w:rPr>
        <w:t xml:space="preserve"> biodiversité couvrent l’intégration de la biodiversité uniquement dans les secteurs de l’agriculture, de la foresterie, de l’aquaculture et de la pêche dans les objectifs 6 et 7. En outre, les Objectifs d’Aichi ne traitent pas du rôle de facilitation que joue la biodiversité dans ces secteurs</w:t>
      </w:r>
      <w:r w:rsidR="00EE630D">
        <w:rPr>
          <w:kern w:val="22"/>
          <w:sz w:val="22"/>
          <w:szCs w:val="22"/>
          <w:lang w:val="fr-FR"/>
        </w:rPr>
        <w:t>, par exemple en fournissant des services écosystémiques, en soutenant les activités dans ces secteurs. Ils ne reflètent pas non plus les solutions possibles aux défis sociétaux mondiaux fondées sur la nature ;</w:t>
      </w:r>
    </w:p>
    <w:p w14:paraId="6CBBC147" w14:textId="57862DF4" w:rsidR="000D3443" w:rsidRPr="002A7E92" w:rsidRDefault="00EE630D" w:rsidP="006476DC">
      <w:pPr>
        <w:pStyle w:val="Para1"/>
        <w:numPr>
          <w:ilvl w:val="1"/>
          <w:numId w:val="2"/>
        </w:numPr>
        <w:suppressLineNumbers/>
        <w:suppressAutoHyphens/>
        <w:jc w:val="both"/>
        <w:rPr>
          <w:kern w:val="22"/>
          <w:sz w:val="22"/>
          <w:szCs w:val="22"/>
          <w:lang w:val="fr-FR"/>
        </w:rPr>
      </w:pPr>
      <w:r>
        <w:rPr>
          <w:kern w:val="22"/>
          <w:sz w:val="22"/>
          <w:szCs w:val="22"/>
          <w:lang w:val="fr-FR"/>
        </w:rPr>
        <w:t>Les causes sous-jacentes de l’appauvrissement de la biodiversité liées au comportement et aux institutions ne sont pas abordées directement ;</w:t>
      </w:r>
    </w:p>
    <w:p w14:paraId="5C25FF91" w14:textId="37C84930" w:rsidR="00DA4EC5" w:rsidRPr="002A7E92" w:rsidRDefault="00EE630D" w:rsidP="006476DC">
      <w:pPr>
        <w:pStyle w:val="Para1"/>
        <w:numPr>
          <w:ilvl w:val="1"/>
          <w:numId w:val="2"/>
        </w:numPr>
        <w:suppressLineNumbers/>
        <w:suppressAutoHyphens/>
        <w:jc w:val="both"/>
        <w:rPr>
          <w:kern w:val="22"/>
          <w:sz w:val="22"/>
          <w:szCs w:val="22"/>
          <w:lang w:val="fr-FR"/>
        </w:rPr>
      </w:pPr>
      <w:r>
        <w:rPr>
          <w:kern w:val="22"/>
          <w:sz w:val="22"/>
          <w:szCs w:val="22"/>
          <w:lang w:val="fr-FR"/>
        </w:rPr>
        <w:t>La question de la surexploitation des espèces est en grande partie limitée au milieu aquatique et, en particulier, au milieu marin ;</w:t>
      </w:r>
    </w:p>
    <w:p w14:paraId="5C730A09" w14:textId="44622C1B" w:rsidR="000D3443" w:rsidRPr="002A7E92" w:rsidRDefault="00EE630D" w:rsidP="006476DC">
      <w:pPr>
        <w:pStyle w:val="Para1"/>
        <w:numPr>
          <w:ilvl w:val="1"/>
          <w:numId w:val="2"/>
        </w:numPr>
        <w:suppressLineNumbers/>
        <w:suppressAutoHyphens/>
        <w:jc w:val="both"/>
        <w:rPr>
          <w:kern w:val="22"/>
          <w:sz w:val="22"/>
          <w:szCs w:val="22"/>
          <w:lang w:val="fr-FR"/>
        </w:rPr>
      </w:pPr>
      <w:r>
        <w:rPr>
          <w:kern w:val="22"/>
          <w:sz w:val="22"/>
          <w:szCs w:val="22"/>
          <w:lang w:val="fr-FR"/>
        </w:rPr>
        <w:t xml:space="preserve">L’objectif </w:t>
      </w:r>
      <w:r w:rsidR="00574FA1">
        <w:rPr>
          <w:kern w:val="22"/>
          <w:sz w:val="22"/>
          <w:szCs w:val="22"/>
          <w:lang w:val="fr-FR"/>
        </w:rPr>
        <w:t>relatif à la pollution met l’accent sur l’excès d’éléments nutritifs. La pollution par le plastique, les pesticides et autres produits chimiques, et la pollution par le bruit ne sont pas couvertes expressément ;</w:t>
      </w:r>
    </w:p>
    <w:p w14:paraId="23B4345D" w14:textId="639A3D9C" w:rsidR="000D3443" w:rsidRPr="002A7E92" w:rsidRDefault="00574FA1" w:rsidP="006476DC">
      <w:pPr>
        <w:pStyle w:val="Para1"/>
        <w:numPr>
          <w:ilvl w:val="1"/>
          <w:numId w:val="2"/>
        </w:numPr>
        <w:suppressLineNumbers/>
        <w:suppressAutoHyphens/>
        <w:jc w:val="both"/>
        <w:rPr>
          <w:kern w:val="22"/>
          <w:sz w:val="22"/>
          <w:szCs w:val="22"/>
          <w:lang w:val="fr-FR"/>
        </w:rPr>
      </w:pPr>
      <w:r>
        <w:rPr>
          <w:kern w:val="22"/>
          <w:sz w:val="22"/>
          <w:szCs w:val="22"/>
          <w:lang w:val="fr-FR"/>
        </w:rPr>
        <w:t>Aucun objectif n’est directement relié aux changements climatiques en tant que facteur de perte de biodiversité. En outre, les effets futurs ou à long terme des changements climatiques et leurs répercussions pour la gestion de la biodiversité ne sont pas abordés ;</w:t>
      </w:r>
    </w:p>
    <w:p w14:paraId="7674B2FE" w14:textId="304C22D0" w:rsidR="00DA4EC5" w:rsidRPr="002A7E92" w:rsidRDefault="004F1AFF" w:rsidP="006476DC">
      <w:pPr>
        <w:pStyle w:val="Para1"/>
        <w:numPr>
          <w:ilvl w:val="1"/>
          <w:numId w:val="2"/>
        </w:numPr>
        <w:suppressLineNumbers/>
        <w:suppressAutoHyphens/>
        <w:jc w:val="both"/>
        <w:rPr>
          <w:kern w:val="22"/>
          <w:sz w:val="22"/>
          <w:szCs w:val="22"/>
          <w:lang w:val="fr-FR"/>
        </w:rPr>
      </w:pPr>
      <w:r>
        <w:rPr>
          <w:kern w:val="22"/>
          <w:sz w:val="22"/>
          <w:szCs w:val="22"/>
          <w:lang w:val="fr-FR"/>
        </w:rPr>
        <w:t xml:space="preserve">Les objectifs relatifs aux habitats visent la réduction </w:t>
      </w:r>
      <w:r w:rsidR="00BB2DCB">
        <w:rPr>
          <w:kern w:val="22"/>
          <w:sz w:val="22"/>
          <w:szCs w:val="22"/>
          <w:lang w:val="fr-FR"/>
        </w:rPr>
        <w:t xml:space="preserve">des pressions </w:t>
      </w:r>
      <w:r>
        <w:rPr>
          <w:kern w:val="22"/>
          <w:sz w:val="22"/>
          <w:szCs w:val="22"/>
          <w:lang w:val="fr-FR"/>
        </w:rPr>
        <w:t>exercée</w:t>
      </w:r>
      <w:r w:rsidR="00BB2DCB">
        <w:rPr>
          <w:kern w:val="22"/>
          <w:sz w:val="22"/>
          <w:szCs w:val="22"/>
          <w:lang w:val="fr-FR"/>
        </w:rPr>
        <w:t>s</w:t>
      </w:r>
      <w:r>
        <w:rPr>
          <w:kern w:val="22"/>
          <w:sz w:val="22"/>
          <w:szCs w:val="22"/>
          <w:lang w:val="fr-FR"/>
        </w:rPr>
        <w:t xml:space="preserve"> sur ceux-ci</w:t>
      </w:r>
      <w:r w:rsidR="00DA4EC5" w:rsidRPr="002A7E92">
        <w:rPr>
          <w:kern w:val="22"/>
          <w:sz w:val="22"/>
          <w:szCs w:val="22"/>
          <w:lang w:val="fr-FR"/>
        </w:rPr>
        <w:t xml:space="preserve"> (</w:t>
      </w:r>
      <w:r>
        <w:rPr>
          <w:kern w:val="22"/>
          <w:sz w:val="22"/>
          <w:szCs w:val="22"/>
          <w:lang w:val="fr-FR"/>
        </w:rPr>
        <w:t>Objectif d’Aichi</w:t>
      </w:r>
      <w:r w:rsidR="00DA4EC5" w:rsidRPr="002A7E92">
        <w:rPr>
          <w:kern w:val="22"/>
          <w:sz w:val="22"/>
          <w:szCs w:val="22"/>
          <w:lang w:val="fr-FR"/>
        </w:rPr>
        <w:t xml:space="preserve"> 5), </w:t>
      </w:r>
      <w:r>
        <w:rPr>
          <w:kern w:val="22"/>
          <w:sz w:val="22"/>
          <w:szCs w:val="22"/>
          <w:lang w:val="fr-FR"/>
        </w:rPr>
        <w:t xml:space="preserve">leur </w:t>
      </w:r>
      <w:proofErr w:type="gramStart"/>
      <w:r>
        <w:rPr>
          <w:kern w:val="22"/>
          <w:sz w:val="22"/>
          <w:szCs w:val="22"/>
          <w:lang w:val="fr-FR"/>
        </w:rPr>
        <w:t>protection</w:t>
      </w:r>
      <w:r w:rsidR="00DA4EC5" w:rsidRPr="002A7E92">
        <w:rPr>
          <w:kern w:val="22"/>
          <w:sz w:val="22"/>
          <w:szCs w:val="22"/>
          <w:lang w:val="fr-FR"/>
        </w:rPr>
        <w:t>(</w:t>
      </w:r>
      <w:proofErr w:type="gramEnd"/>
      <w:r>
        <w:rPr>
          <w:kern w:val="22"/>
          <w:sz w:val="22"/>
          <w:szCs w:val="22"/>
          <w:lang w:val="fr-FR"/>
        </w:rPr>
        <w:t>Objectif d’Aichi</w:t>
      </w:r>
      <w:r w:rsidR="00DA4EC5" w:rsidRPr="002A7E92">
        <w:rPr>
          <w:kern w:val="22"/>
          <w:sz w:val="22"/>
          <w:szCs w:val="22"/>
          <w:lang w:val="fr-FR"/>
        </w:rPr>
        <w:t xml:space="preserve"> 11) </w:t>
      </w:r>
      <w:r>
        <w:rPr>
          <w:kern w:val="22"/>
          <w:sz w:val="22"/>
          <w:szCs w:val="22"/>
          <w:lang w:val="fr-FR"/>
        </w:rPr>
        <w:t>et leur restauration</w:t>
      </w:r>
      <w:r w:rsidR="00DA4EC5" w:rsidRPr="002A7E92">
        <w:rPr>
          <w:kern w:val="22"/>
          <w:sz w:val="22"/>
          <w:szCs w:val="22"/>
          <w:lang w:val="fr-FR"/>
        </w:rPr>
        <w:t xml:space="preserve"> (</w:t>
      </w:r>
      <w:r>
        <w:rPr>
          <w:kern w:val="22"/>
          <w:sz w:val="22"/>
          <w:szCs w:val="22"/>
          <w:lang w:val="fr-FR"/>
        </w:rPr>
        <w:t>Objectif d’Aichi</w:t>
      </w:r>
      <w:r w:rsidR="00DA4EC5" w:rsidRPr="002A7E92">
        <w:rPr>
          <w:kern w:val="22"/>
          <w:sz w:val="22"/>
          <w:szCs w:val="22"/>
          <w:lang w:val="fr-FR"/>
        </w:rPr>
        <w:t xml:space="preserve"> 15). </w:t>
      </w:r>
      <w:r>
        <w:rPr>
          <w:kern w:val="22"/>
          <w:sz w:val="22"/>
          <w:szCs w:val="22"/>
          <w:lang w:val="fr-FR"/>
        </w:rPr>
        <w:t>Cependant, il n’y a aucun objectif sur l’état réel des habitats naturels, leur quantité ou leur qualité ;</w:t>
      </w:r>
    </w:p>
    <w:p w14:paraId="05BA396C" w14:textId="52D44902" w:rsidR="00DA4EC5" w:rsidRPr="002A7E92" w:rsidRDefault="004F1AFF" w:rsidP="006476DC">
      <w:pPr>
        <w:pStyle w:val="Para1"/>
        <w:numPr>
          <w:ilvl w:val="1"/>
          <w:numId w:val="2"/>
        </w:numPr>
        <w:suppressLineNumbers/>
        <w:suppressAutoHyphens/>
        <w:jc w:val="both"/>
        <w:rPr>
          <w:kern w:val="22"/>
          <w:sz w:val="22"/>
          <w:szCs w:val="22"/>
          <w:lang w:val="fr-FR"/>
        </w:rPr>
      </w:pPr>
      <w:r>
        <w:rPr>
          <w:kern w:val="22"/>
          <w:sz w:val="22"/>
          <w:szCs w:val="22"/>
          <w:lang w:val="fr-FR"/>
        </w:rPr>
        <w:t xml:space="preserve">L’objectif relatif aux espèces met l’accent sur les espèces que l’on sait être menacées. Aucun objectif ne vise les espèces courantes ou leur abondance. En outre, </w:t>
      </w:r>
      <w:r w:rsidR="00DF3E97">
        <w:rPr>
          <w:kern w:val="22"/>
          <w:sz w:val="22"/>
          <w:szCs w:val="22"/>
          <w:lang w:val="fr-FR"/>
        </w:rPr>
        <w:t>aucun objectif ne couvre le commerce des espèces ;</w:t>
      </w:r>
      <w:r w:rsidR="00DA4EC5" w:rsidRPr="002A7E92">
        <w:rPr>
          <w:kern w:val="22"/>
          <w:sz w:val="22"/>
          <w:szCs w:val="22"/>
          <w:lang w:val="fr-FR"/>
        </w:rPr>
        <w:t xml:space="preserve"> </w:t>
      </w:r>
    </w:p>
    <w:p w14:paraId="094A0710" w14:textId="704937CC" w:rsidR="00DA4EC5" w:rsidRPr="002A7E92" w:rsidRDefault="00DF3E97" w:rsidP="006476DC">
      <w:pPr>
        <w:pStyle w:val="Para1"/>
        <w:numPr>
          <w:ilvl w:val="1"/>
          <w:numId w:val="2"/>
        </w:numPr>
        <w:suppressLineNumbers/>
        <w:suppressAutoHyphens/>
        <w:jc w:val="both"/>
        <w:rPr>
          <w:kern w:val="22"/>
          <w:sz w:val="22"/>
          <w:szCs w:val="22"/>
          <w:lang w:val="fr-FR"/>
        </w:rPr>
      </w:pPr>
      <w:r>
        <w:rPr>
          <w:kern w:val="22"/>
          <w:sz w:val="22"/>
          <w:szCs w:val="22"/>
          <w:lang w:val="fr-FR"/>
        </w:rPr>
        <w:t>La question de la prévention des risques biotechnologiques n’est pas reflétée ;</w:t>
      </w:r>
    </w:p>
    <w:p w14:paraId="201F4A7F" w14:textId="17D94492" w:rsidR="002A6955" w:rsidRPr="002A7E92" w:rsidRDefault="00DF3E97" w:rsidP="006476DC">
      <w:pPr>
        <w:pStyle w:val="Para1"/>
        <w:numPr>
          <w:ilvl w:val="1"/>
          <w:numId w:val="2"/>
        </w:numPr>
        <w:suppressLineNumbers/>
        <w:suppressAutoHyphens/>
        <w:jc w:val="both"/>
        <w:rPr>
          <w:kern w:val="22"/>
          <w:sz w:val="22"/>
          <w:szCs w:val="22"/>
          <w:lang w:val="fr-FR"/>
        </w:rPr>
      </w:pPr>
      <w:r>
        <w:rPr>
          <w:kern w:val="22"/>
          <w:sz w:val="22"/>
          <w:szCs w:val="22"/>
          <w:lang w:val="fr-FR"/>
        </w:rPr>
        <w:t>La question du renforcement des capacités n’est pas reflétée ;</w:t>
      </w:r>
    </w:p>
    <w:p w14:paraId="459D8828" w14:textId="510C7829" w:rsidR="00DA4EC5" w:rsidRPr="002A7E92" w:rsidRDefault="00DF3E97" w:rsidP="006476DC">
      <w:pPr>
        <w:pStyle w:val="Para1"/>
        <w:numPr>
          <w:ilvl w:val="1"/>
          <w:numId w:val="2"/>
        </w:numPr>
        <w:suppressLineNumbers/>
        <w:suppressAutoHyphens/>
        <w:jc w:val="both"/>
        <w:rPr>
          <w:kern w:val="22"/>
          <w:sz w:val="22"/>
          <w:szCs w:val="22"/>
          <w:lang w:val="fr-FR"/>
        </w:rPr>
      </w:pPr>
      <w:r>
        <w:rPr>
          <w:kern w:val="22"/>
          <w:sz w:val="22"/>
          <w:szCs w:val="22"/>
          <w:lang w:val="fr-FR"/>
        </w:rPr>
        <w:lastRenderedPageBreak/>
        <w:t>La prise en compte de</w:t>
      </w:r>
      <w:r w:rsidR="00B86D19">
        <w:rPr>
          <w:kern w:val="22"/>
          <w:sz w:val="22"/>
          <w:szCs w:val="22"/>
          <w:lang w:val="fr-FR"/>
        </w:rPr>
        <w:t>s questions d’égalité des sexes</w:t>
      </w:r>
      <w:r w:rsidR="00DA4EC5" w:rsidRPr="002A7E92">
        <w:rPr>
          <w:kern w:val="22"/>
          <w:sz w:val="22"/>
          <w:szCs w:val="22"/>
          <w:lang w:val="fr-FR"/>
        </w:rPr>
        <w:t xml:space="preserve"> </w:t>
      </w:r>
      <w:r>
        <w:rPr>
          <w:kern w:val="22"/>
          <w:sz w:val="22"/>
          <w:szCs w:val="22"/>
          <w:lang w:val="fr-FR"/>
        </w:rPr>
        <w:t>se limite à une référence aux femmes dans le contexte des groupes vulnérables dans l’Objectif d’Aichi pour la biodiversité 14. Il n’y a pas d’objectif sur la problématique</w:t>
      </w:r>
      <w:r w:rsidR="00B86D19">
        <w:rPr>
          <w:kern w:val="22"/>
          <w:sz w:val="22"/>
          <w:szCs w:val="22"/>
          <w:lang w:val="fr-FR"/>
        </w:rPr>
        <w:t xml:space="preserve"> hommes-femmes</w:t>
      </w:r>
      <w:r>
        <w:rPr>
          <w:kern w:val="22"/>
          <w:sz w:val="22"/>
          <w:szCs w:val="22"/>
          <w:lang w:val="fr-FR"/>
        </w:rPr>
        <w:t xml:space="preserve"> en général ou le rôle que peuvent jouer les femmes en tant qu’agents du changement.</w:t>
      </w:r>
    </w:p>
    <w:p w14:paraId="216181B2" w14:textId="35EB2D49" w:rsidR="0034407A" w:rsidRPr="002A7E92" w:rsidRDefault="00DF3E97" w:rsidP="006476DC">
      <w:pPr>
        <w:pStyle w:val="Para1"/>
        <w:numPr>
          <w:ilvl w:val="0"/>
          <w:numId w:val="2"/>
        </w:numPr>
        <w:suppressLineNumbers/>
        <w:tabs>
          <w:tab w:val="clear" w:pos="360"/>
        </w:tabs>
        <w:suppressAutoHyphens/>
        <w:jc w:val="both"/>
        <w:rPr>
          <w:i/>
          <w:kern w:val="22"/>
          <w:sz w:val="22"/>
          <w:szCs w:val="22"/>
          <w:lang w:val="fr-FR"/>
        </w:rPr>
      </w:pPr>
      <w:r>
        <w:rPr>
          <w:kern w:val="22"/>
          <w:sz w:val="22"/>
          <w:szCs w:val="22"/>
          <w:lang w:val="fr-FR"/>
        </w:rPr>
        <w:t>Les Parties pourraient souhaiter prendre ces questions en considération lors de l’élaboration de leurs recommandations au Groupe de travail sur le cadre mondial de la biodiversité pour l’après-2020.</w:t>
      </w:r>
    </w:p>
    <w:p w14:paraId="4F5FEE05" w14:textId="66C4ABE5" w:rsidR="00AB48E5" w:rsidRPr="008C0622" w:rsidRDefault="00876D40" w:rsidP="006476DC">
      <w:pPr>
        <w:pStyle w:val="Para1"/>
        <w:numPr>
          <w:ilvl w:val="0"/>
          <w:numId w:val="2"/>
        </w:numPr>
        <w:suppressLineNumbers/>
        <w:tabs>
          <w:tab w:val="clear" w:pos="360"/>
        </w:tabs>
        <w:suppressAutoHyphens/>
        <w:jc w:val="both"/>
        <w:rPr>
          <w:i/>
          <w:kern w:val="22"/>
          <w:sz w:val="22"/>
          <w:szCs w:val="22"/>
          <w:lang w:val="fr-FR"/>
        </w:rPr>
      </w:pPr>
      <w:r>
        <w:rPr>
          <w:kern w:val="22"/>
          <w:sz w:val="22"/>
          <w:szCs w:val="22"/>
          <w:lang w:val="fr-FR"/>
        </w:rPr>
        <w:t>En examinant ses orientations au Groupe de travail concernant les facteurs de perte de biodiversité, l’Organe subsidiaire pourrait souhaiter prendre en compte les informations contenues dans l’annexe, qui résument et organisent les thèmes et les éléments de cibles éventuels et contient des observations fondées sur les évaluations mentionnées dans le présent document, le processus de consultation entrepris pour élaborer le cadre mondial de la biodiversité pour l’après-2020 et les propositions communiquées.</w:t>
      </w:r>
    </w:p>
    <w:p w14:paraId="6633A8DF" w14:textId="0CFBEA98" w:rsidR="00DA4EC5" w:rsidRPr="00876D40" w:rsidRDefault="00876D40" w:rsidP="006476DC">
      <w:pPr>
        <w:pStyle w:val="Heading2"/>
        <w:numPr>
          <w:ilvl w:val="0"/>
          <w:numId w:val="42"/>
        </w:numPr>
        <w:suppressLineNumbers/>
        <w:tabs>
          <w:tab w:val="clear" w:pos="720"/>
          <w:tab w:val="left" w:pos="426"/>
        </w:tabs>
        <w:suppressAutoHyphens/>
        <w:ind w:left="0" w:firstLine="0"/>
        <w:rPr>
          <w:kern w:val="22"/>
          <w:szCs w:val="22"/>
          <w:lang w:val="fr-FR"/>
        </w:rPr>
      </w:pPr>
      <w:r w:rsidRPr="00876D40">
        <w:rPr>
          <w:kern w:val="22"/>
          <w:szCs w:val="22"/>
          <w:lang w:val="fr-FR"/>
        </w:rPr>
        <w:t>Considérations d’ordre g</w:t>
      </w:r>
      <w:r w:rsidR="007D6595">
        <w:rPr>
          <w:kern w:val="22"/>
          <w:szCs w:val="22"/>
          <w:lang w:val="fr-FR"/>
        </w:rPr>
        <w:t>é</w:t>
      </w:r>
      <w:r w:rsidRPr="00876D40">
        <w:rPr>
          <w:kern w:val="22"/>
          <w:szCs w:val="22"/>
          <w:lang w:val="fr-FR"/>
        </w:rPr>
        <w:t>n</w:t>
      </w:r>
      <w:r w:rsidR="007D6595">
        <w:rPr>
          <w:kern w:val="22"/>
          <w:szCs w:val="22"/>
          <w:lang w:val="fr-FR"/>
        </w:rPr>
        <w:t>é</w:t>
      </w:r>
      <w:r w:rsidRPr="00876D40">
        <w:rPr>
          <w:kern w:val="22"/>
          <w:szCs w:val="22"/>
          <w:lang w:val="fr-FR"/>
        </w:rPr>
        <w:t>ral pour l’élaboration de cibles</w:t>
      </w:r>
    </w:p>
    <w:p w14:paraId="4DBF8A0D" w14:textId="1A1475F0" w:rsidR="00DA4EC5" w:rsidRPr="00876D40" w:rsidRDefault="007D6595" w:rsidP="006476DC">
      <w:pPr>
        <w:pStyle w:val="Para1"/>
        <w:numPr>
          <w:ilvl w:val="0"/>
          <w:numId w:val="2"/>
        </w:numPr>
        <w:suppressLineNumbers/>
        <w:tabs>
          <w:tab w:val="clear" w:pos="360"/>
        </w:tabs>
        <w:suppressAutoHyphens/>
        <w:jc w:val="both"/>
        <w:rPr>
          <w:kern w:val="22"/>
          <w:sz w:val="22"/>
          <w:szCs w:val="22"/>
          <w:lang w:val="fr-FR"/>
        </w:rPr>
      </w:pPr>
      <w:r>
        <w:rPr>
          <w:kern w:val="22"/>
          <w:sz w:val="22"/>
          <w:szCs w:val="22"/>
          <w:lang w:val="fr-FR"/>
        </w:rPr>
        <w:t xml:space="preserve">Outre ces questions et lacunes spécifiques, plusieurs </w:t>
      </w:r>
      <w:r w:rsidR="001B695A">
        <w:rPr>
          <w:kern w:val="22"/>
          <w:sz w:val="22"/>
          <w:szCs w:val="22"/>
          <w:lang w:val="fr-FR"/>
        </w:rPr>
        <w:t>autres considérations plus générales ou intersectorielles devraient être gardées à l’esprit lors de l’élaboration de cibles :</w:t>
      </w:r>
    </w:p>
    <w:p w14:paraId="6D25B055" w14:textId="33DFCE28" w:rsidR="00DA4EC5" w:rsidRPr="00876D40" w:rsidRDefault="001B695A" w:rsidP="006476DC">
      <w:pPr>
        <w:pStyle w:val="Para1"/>
        <w:numPr>
          <w:ilvl w:val="1"/>
          <w:numId w:val="2"/>
        </w:numPr>
        <w:suppressLineNumbers/>
        <w:tabs>
          <w:tab w:val="clear" w:pos="1440"/>
        </w:tabs>
        <w:suppressAutoHyphens/>
        <w:jc w:val="both"/>
        <w:rPr>
          <w:kern w:val="22"/>
          <w:sz w:val="22"/>
          <w:szCs w:val="22"/>
          <w:lang w:val="fr-FR"/>
        </w:rPr>
      </w:pPr>
      <w:r>
        <w:rPr>
          <w:kern w:val="22"/>
          <w:sz w:val="22"/>
          <w:szCs w:val="22"/>
          <w:lang w:val="fr-FR"/>
        </w:rPr>
        <w:t xml:space="preserve">Les cibles devraient être réalisables dans les délais </w:t>
      </w:r>
      <w:r w:rsidR="00BB2DCB">
        <w:rPr>
          <w:kern w:val="22"/>
          <w:sz w:val="22"/>
          <w:szCs w:val="22"/>
          <w:lang w:val="fr-FR"/>
        </w:rPr>
        <w:t>impartis</w:t>
      </w:r>
      <w:r>
        <w:rPr>
          <w:kern w:val="22"/>
          <w:sz w:val="22"/>
          <w:szCs w:val="22"/>
          <w:lang w:val="fr-FR"/>
        </w:rPr>
        <w:t>. Par exemple, certains résultats souhaités pour la biodiversité pourraient ne pas être scientifiquement réalisables dans les limites d’une période de 10 ans étant donné les délais qui existent entre le moment où une mesure est prise et celui où les résultats deviennent visibles dans les systèmes naturels ;</w:t>
      </w:r>
    </w:p>
    <w:p w14:paraId="0838C6F9" w14:textId="7B7D50F4" w:rsidR="00DA4EC5" w:rsidRPr="00876D40" w:rsidRDefault="001B695A" w:rsidP="006476DC">
      <w:pPr>
        <w:pStyle w:val="Para1"/>
        <w:numPr>
          <w:ilvl w:val="1"/>
          <w:numId w:val="2"/>
        </w:numPr>
        <w:suppressLineNumbers/>
        <w:tabs>
          <w:tab w:val="clear" w:pos="1440"/>
        </w:tabs>
        <w:suppressAutoHyphens/>
        <w:jc w:val="both"/>
        <w:rPr>
          <w:kern w:val="22"/>
          <w:sz w:val="22"/>
          <w:szCs w:val="22"/>
          <w:lang w:val="fr-FR"/>
        </w:rPr>
      </w:pPr>
      <w:r>
        <w:rPr>
          <w:kern w:val="22"/>
          <w:sz w:val="22"/>
          <w:szCs w:val="22"/>
          <w:lang w:val="fr-FR"/>
        </w:rPr>
        <w:t xml:space="preserve">Les cibles devraient être élaborées en prenant dûment en </w:t>
      </w:r>
      <w:r w:rsidR="00592457">
        <w:rPr>
          <w:kern w:val="22"/>
          <w:sz w:val="22"/>
          <w:szCs w:val="22"/>
          <w:lang w:val="fr-FR"/>
        </w:rPr>
        <w:t>compte les mesures et les changements qui, selon les données scientifiques</w:t>
      </w:r>
      <w:r w:rsidR="002F0E7E">
        <w:rPr>
          <w:kern w:val="22"/>
          <w:sz w:val="22"/>
          <w:szCs w:val="22"/>
          <w:lang w:val="fr-FR"/>
        </w:rPr>
        <w:t xml:space="preserve"> et techniques</w:t>
      </w:r>
      <w:r w:rsidR="00592457">
        <w:rPr>
          <w:kern w:val="22"/>
          <w:sz w:val="22"/>
          <w:szCs w:val="22"/>
          <w:lang w:val="fr-FR"/>
        </w:rPr>
        <w:t xml:space="preserve"> disponibles, sont nécessaires pour entraîner les changements requis pour vivre en harmonie avec la nature d’ici à 2050 ;</w:t>
      </w:r>
    </w:p>
    <w:p w14:paraId="4A412E49" w14:textId="08A62D31" w:rsidR="00DA4EC5" w:rsidRPr="00876D40" w:rsidRDefault="00592457" w:rsidP="006476DC">
      <w:pPr>
        <w:pStyle w:val="Para1"/>
        <w:numPr>
          <w:ilvl w:val="1"/>
          <w:numId w:val="2"/>
        </w:numPr>
        <w:suppressLineNumbers/>
        <w:tabs>
          <w:tab w:val="clear" w:pos="1440"/>
        </w:tabs>
        <w:suppressAutoHyphens/>
        <w:jc w:val="both"/>
        <w:rPr>
          <w:kern w:val="22"/>
          <w:sz w:val="22"/>
          <w:szCs w:val="22"/>
          <w:lang w:val="fr-FR"/>
        </w:rPr>
      </w:pPr>
      <w:r>
        <w:rPr>
          <w:kern w:val="22"/>
          <w:sz w:val="22"/>
          <w:szCs w:val="22"/>
          <w:lang w:val="fr-FR"/>
        </w:rPr>
        <w:t>Les cibles fixées devraient être reliées à la V</w:t>
      </w:r>
      <w:r w:rsidR="00DA4EC5" w:rsidRPr="00876D40">
        <w:rPr>
          <w:kern w:val="22"/>
          <w:sz w:val="22"/>
          <w:szCs w:val="22"/>
          <w:lang w:val="fr-FR"/>
        </w:rPr>
        <w:t>ision</w:t>
      </w:r>
      <w:r>
        <w:rPr>
          <w:kern w:val="22"/>
          <w:sz w:val="22"/>
          <w:szCs w:val="22"/>
          <w:lang w:val="fr-FR"/>
        </w:rPr>
        <w:t xml:space="preserve"> 2050 et à un ou plusieurs objectifs à long terme</w:t>
      </w:r>
      <w:r w:rsidR="00DA4EC5" w:rsidRPr="00876D40">
        <w:rPr>
          <w:kern w:val="22"/>
          <w:sz w:val="22"/>
          <w:szCs w:val="22"/>
          <w:lang w:val="fr-FR"/>
        </w:rPr>
        <w:t xml:space="preserve"> </w:t>
      </w:r>
      <w:r>
        <w:rPr>
          <w:kern w:val="22"/>
          <w:sz w:val="22"/>
          <w:szCs w:val="22"/>
          <w:lang w:val="fr-FR"/>
        </w:rPr>
        <w:t xml:space="preserve">afin qu’elles soient des étapes plutôt que des points d’arrivée en elles-mêmes. </w:t>
      </w:r>
      <w:r w:rsidR="00677CDB">
        <w:rPr>
          <w:kern w:val="22"/>
          <w:sz w:val="22"/>
          <w:szCs w:val="22"/>
          <w:lang w:val="fr-FR"/>
        </w:rPr>
        <w:t xml:space="preserve">Toutes autres futures cibles </w:t>
      </w:r>
      <w:r>
        <w:rPr>
          <w:kern w:val="22"/>
          <w:sz w:val="22"/>
          <w:szCs w:val="22"/>
          <w:lang w:val="fr-FR"/>
        </w:rPr>
        <w:t xml:space="preserve">devront être élaborées de manière à se compléter </w:t>
      </w:r>
      <w:r w:rsidR="00677CDB">
        <w:rPr>
          <w:kern w:val="22"/>
          <w:sz w:val="22"/>
          <w:szCs w:val="22"/>
          <w:lang w:val="fr-FR"/>
        </w:rPr>
        <w:t>collectivement afin de catalyser les changements nécessaires pour mettre le monde sur la voie de la réalisation de la Vision 2050 ;</w:t>
      </w:r>
      <w:r w:rsidR="00DA4EC5" w:rsidRPr="00876D40">
        <w:rPr>
          <w:kern w:val="22"/>
          <w:sz w:val="22"/>
          <w:szCs w:val="22"/>
          <w:lang w:val="fr-FR"/>
        </w:rPr>
        <w:t xml:space="preserve"> </w:t>
      </w:r>
    </w:p>
    <w:p w14:paraId="1C17A6E1" w14:textId="750C50E0" w:rsidR="00DA4EC5" w:rsidRPr="00876D40" w:rsidRDefault="00677CDB" w:rsidP="006476DC">
      <w:pPr>
        <w:pStyle w:val="Para1"/>
        <w:numPr>
          <w:ilvl w:val="1"/>
          <w:numId w:val="2"/>
        </w:numPr>
        <w:suppressLineNumbers/>
        <w:tabs>
          <w:tab w:val="clear" w:pos="1440"/>
        </w:tabs>
        <w:suppressAutoHyphens/>
        <w:jc w:val="both"/>
        <w:rPr>
          <w:kern w:val="22"/>
          <w:sz w:val="22"/>
          <w:szCs w:val="22"/>
          <w:lang w:val="fr-FR"/>
        </w:rPr>
      </w:pPr>
      <w:r>
        <w:rPr>
          <w:kern w:val="22"/>
          <w:sz w:val="22"/>
          <w:szCs w:val="22"/>
          <w:lang w:val="fr-FR"/>
        </w:rPr>
        <w:t>Dans la mesure du possible, les cibles devraient être « </w:t>
      </w:r>
      <w:r w:rsidR="00DA4EC5" w:rsidRPr="00876D40">
        <w:rPr>
          <w:kern w:val="22"/>
          <w:sz w:val="22"/>
          <w:szCs w:val="22"/>
          <w:lang w:val="fr-FR"/>
        </w:rPr>
        <w:t>SMART</w:t>
      </w:r>
      <w:r>
        <w:rPr>
          <w:kern w:val="22"/>
          <w:sz w:val="22"/>
          <w:szCs w:val="22"/>
          <w:lang w:val="fr-FR"/>
        </w:rPr>
        <w:t> »</w:t>
      </w:r>
      <w:r w:rsidR="00DA4EC5" w:rsidRPr="00876D40">
        <w:rPr>
          <w:kern w:val="22"/>
          <w:sz w:val="22"/>
          <w:szCs w:val="22"/>
          <w:lang w:val="fr-FR"/>
        </w:rPr>
        <w:t xml:space="preserve">. </w:t>
      </w:r>
      <w:r>
        <w:rPr>
          <w:kern w:val="22"/>
          <w:sz w:val="22"/>
          <w:szCs w:val="22"/>
          <w:lang w:val="fr-FR"/>
        </w:rPr>
        <w:t>Il existe cependant des questions pour lesquelles il sera difficile, sinon impossible actuellement, d’élaborer des cibles pleinement « SMART »</w:t>
      </w:r>
      <w:r w:rsidR="00DA4EC5" w:rsidRPr="00876D40">
        <w:rPr>
          <w:kern w:val="22"/>
          <w:sz w:val="22"/>
          <w:szCs w:val="22"/>
          <w:lang w:val="fr-FR"/>
        </w:rPr>
        <w:t>,</w:t>
      </w:r>
      <w:r>
        <w:rPr>
          <w:kern w:val="22"/>
          <w:sz w:val="22"/>
          <w:szCs w:val="22"/>
          <w:lang w:val="fr-FR"/>
        </w:rPr>
        <w:t xml:space="preserve"> </w:t>
      </w:r>
      <w:r w:rsidR="002F0E7E">
        <w:rPr>
          <w:kern w:val="22"/>
          <w:sz w:val="22"/>
          <w:szCs w:val="22"/>
          <w:lang w:val="fr-FR"/>
        </w:rPr>
        <w:t xml:space="preserve">compte tenu des </w:t>
      </w:r>
      <w:r>
        <w:rPr>
          <w:kern w:val="22"/>
          <w:sz w:val="22"/>
          <w:szCs w:val="22"/>
          <w:lang w:val="fr-FR"/>
        </w:rPr>
        <w:t>données, méthodes et technologies actuellement disponibles. Cependant, l’impossibilité d’élaborer une cible « SMART » pour une question spécifique ne devrait pas</w:t>
      </w:r>
      <w:r w:rsidR="006A6A45">
        <w:rPr>
          <w:kern w:val="22"/>
          <w:sz w:val="22"/>
          <w:szCs w:val="22"/>
          <w:lang w:val="fr-FR"/>
        </w:rPr>
        <w:t xml:space="preserve"> conduire à l’omission d’une question importante. De même, il faut faire attention</w:t>
      </w:r>
      <w:r w:rsidR="002F0E7E">
        <w:rPr>
          <w:kern w:val="22"/>
          <w:sz w:val="22"/>
          <w:szCs w:val="22"/>
          <w:lang w:val="fr-FR"/>
        </w:rPr>
        <w:t xml:space="preserve"> d’</w:t>
      </w:r>
      <w:r w:rsidR="006A6A45">
        <w:rPr>
          <w:kern w:val="22"/>
          <w:sz w:val="22"/>
          <w:szCs w:val="22"/>
          <w:lang w:val="fr-FR"/>
        </w:rPr>
        <w:t>éviter d</w:t>
      </w:r>
      <w:r w:rsidR="00DB1F8B">
        <w:rPr>
          <w:kern w:val="22"/>
          <w:sz w:val="22"/>
          <w:szCs w:val="22"/>
          <w:lang w:val="fr-FR"/>
        </w:rPr>
        <w:t xml:space="preserve">’établir des cibles uniquement sur la base de questions qui ont des indicateurs aisément mesurables. Une telle approche pourrait conduire à fixer des cibles sur des questions moins importantes en ignorant les questions importantes. Elle pourrait aussi entraîner l’établissement de cibles perverses, comme mentionné au paragraphe </w:t>
      </w:r>
      <w:r w:rsidR="00BA6713">
        <w:rPr>
          <w:kern w:val="22"/>
          <w:sz w:val="22"/>
          <w:szCs w:val="22"/>
          <w:lang w:val="fr-FR"/>
        </w:rPr>
        <w:fldChar w:fldCharType="begin"/>
      </w:r>
      <w:r w:rsidR="00BA6713">
        <w:rPr>
          <w:kern w:val="22"/>
          <w:sz w:val="22"/>
          <w:szCs w:val="22"/>
          <w:lang w:val="fr-FR"/>
        </w:rPr>
        <w:instrText xml:space="preserve"> REF  _Ref22226367 \h \r  \* MERGEFORMAT </w:instrText>
      </w:r>
      <w:r w:rsidR="00BA6713">
        <w:rPr>
          <w:kern w:val="22"/>
          <w:sz w:val="22"/>
          <w:szCs w:val="22"/>
          <w:lang w:val="fr-FR"/>
        </w:rPr>
      </w:r>
      <w:r w:rsidR="00BA6713">
        <w:rPr>
          <w:kern w:val="22"/>
          <w:sz w:val="22"/>
          <w:szCs w:val="22"/>
          <w:lang w:val="fr-FR"/>
        </w:rPr>
        <w:fldChar w:fldCharType="separate"/>
      </w:r>
      <w:r w:rsidR="00BA6713">
        <w:rPr>
          <w:kern w:val="22"/>
          <w:sz w:val="22"/>
          <w:szCs w:val="22"/>
          <w:lang w:val="fr-FR"/>
        </w:rPr>
        <w:t>10.b)</w:t>
      </w:r>
      <w:r w:rsidR="00BA6713">
        <w:rPr>
          <w:kern w:val="22"/>
          <w:sz w:val="22"/>
          <w:szCs w:val="22"/>
          <w:lang w:val="fr-FR"/>
        </w:rPr>
        <w:fldChar w:fldCharType="end"/>
      </w:r>
      <w:r w:rsidR="00B261E5" w:rsidRPr="00876D40">
        <w:rPr>
          <w:kern w:val="22"/>
          <w:sz w:val="22"/>
          <w:szCs w:val="22"/>
          <w:lang w:val="fr-FR"/>
        </w:rPr>
        <w:t xml:space="preserve"> </w:t>
      </w:r>
      <w:r w:rsidR="00DB1F8B">
        <w:rPr>
          <w:kern w:val="22"/>
          <w:sz w:val="22"/>
          <w:szCs w:val="22"/>
          <w:lang w:val="fr-FR"/>
        </w:rPr>
        <w:t xml:space="preserve">et dans la note de bas de page </w:t>
      </w:r>
      <w:r w:rsidR="005704F6" w:rsidRPr="00876D40">
        <w:rPr>
          <w:kern w:val="22"/>
          <w:sz w:val="22"/>
          <w:szCs w:val="22"/>
          <w:lang w:val="fr-FR"/>
        </w:rPr>
        <w:fldChar w:fldCharType="begin"/>
      </w:r>
      <w:r w:rsidR="005704F6" w:rsidRPr="00876D40">
        <w:rPr>
          <w:kern w:val="22"/>
          <w:sz w:val="22"/>
          <w:szCs w:val="22"/>
          <w:lang w:val="fr-FR"/>
        </w:rPr>
        <w:instrText xml:space="preserve"> NOTEREF _Ref22226385 \h </w:instrText>
      </w:r>
      <w:r w:rsidR="00B20EF8" w:rsidRPr="00876D40">
        <w:rPr>
          <w:kern w:val="22"/>
          <w:sz w:val="22"/>
          <w:szCs w:val="22"/>
          <w:lang w:val="fr-FR"/>
        </w:rPr>
        <w:instrText xml:space="preserve"> \* MERGEFORMAT </w:instrText>
      </w:r>
      <w:r w:rsidR="005704F6" w:rsidRPr="00876D40">
        <w:rPr>
          <w:kern w:val="22"/>
          <w:sz w:val="22"/>
          <w:szCs w:val="22"/>
          <w:lang w:val="fr-FR"/>
        </w:rPr>
      </w:r>
      <w:r w:rsidR="005704F6" w:rsidRPr="00876D40">
        <w:rPr>
          <w:kern w:val="22"/>
          <w:sz w:val="22"/>
          <w:szCs w:val="22"/>
          <w:lang w:val="fr-FR"/>
        </w:rPr>
        <w:fldChar w:fldCharType="separate"/>
      </w:r>
      <w:r w:rsidR="002C3B8D" w:rsidRPr="00876D40">
        <w:rPr>
          <w:kern w:val="22"/>
          <w:sz w:val="22"/>
          <w:szCs w:val="22"/>
          <w:lang w:val="fr-FR"/>
        </w:rPr>
        <w:t>2</w:t>
      </w:r>
      <w:r w:rsidR="005704F6" w:rsidRPr="00876D40">
        <w:rPr>
          <w:kern w:val="22"/>
          <w:sz w:val="22"/>
          <w:szCs w:val="22"/>
          <w:lang w:val="fr-FR"/>
        </w:rPr>
        <w:fldChar w:fldCharType="end"/>
      </w:r>
      <w:r w:rsidR="00461664">
        <w:rPr>
          <w:kern w:val="22"/>
          <w:sz w:val="22"/>
          <w:szCs w:val="22"/>
          <w:lang w:val="fr-FR"/>
        </w:rPr>
        <w:t> ;</w:t>
      </w:r>
    </w:p>
    <w:p w14:paraId="3485402B" w14:textId="35BE22F5" w:rsidR="00DA4EC5" w:rsidRPr="00876D40" w:rsidRDefault="00461664" w:rsidP="006476DC">
      <w:pPr>
        <w:pStyle w:val="Para1"/>
        <w:numPr>
          <w:ilvl w:val="1"/>
          <w:numId w:val="2"/>
        </w:numPr>
        <w:suppressLineNumbers/>
        <w:tabs>
          <w:tab w:val="clear" w:pos="1440"/>
        </w:tabs>
        <w:suppressAutoHyphens/>
        <w:jc w:val="both"/>
        <w:rPr>
          <w:kern w:val="22"/>
          <w:sz w:val="22"/>
          <w:szCs w:val="22"/>
          <w:lang w:val="fr-FR"/>
        </w:rPr>
      </w:pPr>
      <w:r>
        <w:rPr>
          <w:kern w:val="22"/>
          <w:sz w:val="22"/>
          <w:szCs w:val="22"/>
          <w:lang w:val="fr-FR"/>
        </w:rPr>
        <w:t>Le cadre est de caractère mondial. Il importe cependant d’élaborer des cibles mondiales qui peuvent être ventilées ou autrement adaptées aux échelles régionales, nationales et infranationales, et être réalisables à ces échelles ;</w:t>
      </w:r>
    </w:p>
    <w:p w14:paraId="023A5BF6" w14:textId="338FC612" w:rsidR="00DA4EC5" w:rsidRPr="00876D40" w:rsidRDefault="00461664" w:rsidP="006476DC">
      <w:pPr>
        <w:pStyle w:val="Para1"/>
        <w:numPr>
          <w:ilvl w:val="1"/>
          <w:numId w:val="2"/>
        </w:numPr>
        <w:suppressLineNumbers/>
        <w:tabs>
          <w:tab w:val="clear" w:pos="1440"/>
        </w:tabs>
        <w:suppressAutoHyphens/>
        <w:jc w:val="both"/>
        <w:rPr>
          <w:kern w:val="22"/>
          <w:sz w:val="22"/>
          <w:szCs w:val="22"/>
          <w:lang w:val="fr-FR"/>
        </w:rPr>
      </w:pPr>
      <w:r>
        <w:rPr>
          <w:kern w:val="22"/>
          <w:sz w:val="22"/>
          <w:szCs w:val="22"/>
          <w:lang w:val="fr-FR"/>
        </w:rPr>
        <w:t xml:space="preserve">Les cibles peuvent refléter les résultats souhaités dans </w:t>
      </w:r>
      <w:r w:rsidR="00AE4BAA">
        <w:rPr>
          <w:kern w:val="22"/>
          <w:sz w:val="22"/>
          <w:szCs w:val="22"/>
          <w:lang w:val="fr-FR"/>
        </w:rPr>
        <w:t xml:space="preserve">des </w:t>
      </w:r>
      <w:r w:rsidR="00EA782B">
        <w:rPr>
          <w:kern w:val="22"/>
          <w:sz w:val="22"/>
          <w:szCs w:val="22"/>
          <w:lang w:val="fr-FR"/>
        </w:rPr>
        <w:t>situations</w:t>
      </w:r>
      <w:r w:rsidR="00AE4BAA">
        <w:rPr>
          <w:kern w:val="22"/>
          <w:sz w:val="22"/>
          <w:szCs w:val="22"/>
          <w:lang w:val="fr-FR"/>
        </w:rPr>
        <w:t xml:space="preserve"> tel</w:t>
      </w:r>
      <w:r w:rsidR="00EA782B">
        <w:rPr>
          <w:kern w:val="22"/>
          <w:sz w:val="22"/>
          <w:szCs w:val="22"/>
          <w:lang w:val="fr-FR"/>
        </w:rPr>
        <w:t>les</w:t>
      </w:r>
      <w:r w:rsidR="00AE4BAA">
        <w:rPr>
          <w:kern w:val="22"/>
          <w:sz w:val="22"/>
          <w:szCs w:val="22"/>
          <w:lang w:val="fr-FR"/>
        </w:rPr>
        <w:t xml:space="preserve"> que la biodiversité</w:t>
      </w:r>
      <w:r w:rsidR="00EA782B">
        <w:rPr>
          <w:kern w:val="22"/>
          <w:sz w:val="22"/>
          <w:szCs w:val="22"/>
          <w:lang w:val="fr-FR"/>
        </w:rPr>
        <w:t xml:space="preserve">, le bien-être humain, l’économie, la réduction des menaces, entre autres. </w:t>
      </w:r>
      <w:proofErr w:type="gramStart"/>
      <w:r w:rsidR="00EA782B">
        <w:rPr>
          <w:kern w:val="22"/>
          <w:sz w:val="22"/>
          <w:szCs w:val="22"/>
          <w:lang w:val="fr-FR"/>
        </w:rPr>
        <w:t>Elle peuvent</w:t>
      </w:r>
      <w:proofErr w:type="gramEnd"/>
      <w:r w:rsidR="00EA782B">
        <w:rPr>
          <w:kern w:val="22"/>
          <w:sz w:val="22"/>
          <w:szCs w:val="22"/>
          <w:lang w:val="fr-FR"/>
        </w:rPr>
        <w:t xml:space="preserve"> aussi être élaborées pour des mesures et, en tant que telles, refléter la réalisation, la gestion appropriée ou autre activités dont l’achèvement est souhaité dans les délais prévus par le cadre ;</w:t>
      </w:r>
    </w:p>
    <w:p w14:paraId="3AB18930" w14:textId="37D97030" w:rsidR="00DA4EC5" w:rsidRPr="00876D40" w:rsidRDefault="00EA782B" w:rsidP="006476DC">
      <w:pPr>
        <w:pStyle w:val="Para1"/>
        <w:numPr>
          <w:ilvl w:val="1"/>
          <w:numId w:val="2"/>
        </w:numPr>
        <w:suppressLineNumbers/>
        <w:tabs>
          <w:tab w:val="clear" w:pos="1440"/>
        </w:tabs>
        <w:suppressAutoHyphens/>
        <w:jc w:val="both"/>
        <w:rPr>
          <w:kern w:val="22"/>
          <w:sz w:val="22"/>
          <w:szCs w:val="22"/>
          <w:lang w:val="fr-FR"/>
        </w:rPr>
      </w:pPr>
      <w:r>
        <w:rPr>
          <w:kern w:val="22"/>
          <w:sz w:val="22"/>
          <w:szCs w:val="22"/>
          <w:lang w:val="fr-FR"/>
        </w:rPr>
        <w:t xml:space="preserve">Dans la mesure du possible, les cibles devraient </w:t>
      </w:r>
      <w:r w:rsidR="00EA7797">
        <w:rPr>
          <w:kern w:val="22"/>
          <w:sz w:val="22"/>
          <w:szCs w:val="22"/>
          <w:lang w:val="fr-FR"/>
        </w:rPr>
        <w:t xml:space="preserve">être formulées en langage simple et facile à comprendre, et éviter de combiner trop de questions afin de faciliter la surveillance et la communication. Au cours du processus de consultation sur l’après-2020 et de la première réunion du Groupe de travail à composition non limitée sur </w:t>
      </w:r>
      <w:proofErr w:type="gramStart"/>
      <w:r w:rsidR="00EA7797">
        <w:rPr>
          <w:kern w:val="22"/>
          <w:sz w:val="22"/>
          <w:szCs w:val="22"/>
          <w:lang w:val="fr-FR"/>
        </w:rPr>
        <w:t>la cadre mondial</w:t>
      </w:r>
      <w:proofErr w:type="gramEnd"/>
      <w:r w:rsidR="00EA7797">
        <w:rPr>
          <w:kern w:val="22"/>
          <w:sz w:val="22"/>
          <w:szCs w:val="22"/>
          <w:lang w:val="fr-FR"/>
        </w:rPr>
        <w:t xml:space="preserve"> de la biodiversité pour l’après-2020, </w:t>
      </w:r>
      <w:r w:rsidR="00506FE0">
        <w:rPr>
          <w:kern w:val="22"/>
          <w:sz w:val="22"/>
          <w:szCs w:val="22"/>
          <w:lang w:val="fr-FR"/>
        </w:rPr>
        <w:t>il a été constaté qu’un moyen de résoudre ce problème serait d’utiliser des sous-cibles ;</w:t>
      </w:r>
    </w:p>
    <w:p w14:paraId="6C521ADE" w14:textId="1907E0AC" w:rsidR="00DA4EC5" w:rsidRPr="008C0622" w:rsidRDefault="00506FE0" w:rsidP="006476DC">
      <w:pPr>
        <w:pStyle w:val="Para1"/>
        <w:numPr>
          <w:ilvl w:val="1"/>
          <w:numId w:val="2"/>
        </w:numPr>
        <w:suppressLineNumbers/>
        <w:tabs>
          <w:tab w:val="clear" w:pos="1440"/>
        </w:tabs>
        <w:suppressAutoHyphens/>
        <w:jc w:val="both"/>
        <w:rPr>
          <w:kern w:val="22"/>
          <w:sz w:val="22"/>
          <w:szCs w:val="22"/>
          <w:lang w:val="fr-FR"/>
        </w:rPr>
      </w:pPr>
      <w:r>
        <w:rPr>
          <w:kern w:val="22"/>
          <w:sz w:val="22"/>
          <w:szCs w:val="22"/>
          <w:lang w:val="fr-FR"/>
        </w:rPr>
        <w:lastRenderedPageBreak/>
        <w:t>Selon le nombre et le champ d’application des cibles, il pourrait être utile de les organiser sous quelques rubriques afin de donner au cadre une structure plus claire et faciliter la communication.</w:t>
      </w:r>
    </w:p>
    <w:p w14:paraId="66723553" w14:textId="0F98243F" w:rsidR="00DA4EC5" w:rsidRPr="00FC4959" w:rsidRDefault="00DA4EC5" w:rsidP="006476DC">
      <w:pPr>
        <w:pStyle w:val="Para1"/>
        <w:keepNext/>
        <w:numPr>
          <w:ilvl w:val="0"/>
          <w:numId w:val="38"/>
        </w:numPr>
        <w:suppressLineNumbers/>
        <w:suppressAutoHyphens/>
        <w:ind w:left="1134" w:hanging="567"/>
        <w:jc w:val="center"/>
        <w:rPr>
          <w:b/>
          <w:caps/>
          <w:snapToGrid/>
          <w:kern w:val="22"/>
          <w:sz w:val="22"/>
          <w:szCs w:val="22"/>
          <w:lang w:val="fr-FR"/>
        </w:rPr>
      </w:pPr>
      <w:r w:rsidRPr="00FC4959">
        <w:rPr>
          <w:b/>
          <w:caps/>
          <w:snapToGrid/>
          <w:kern w:val="22"/>
          <w:sz w:val="22"/>
          <w:szCs w:val="22"/>
          <w:lang w:val="fr-FR"/>
        </w:rPr>
        <w:t>Indicat</w:t>
      </w:r>
      <w:r w:rsidR="00F26CD9" w:rsidRPr="00FC4959">
        <w:rPr>
          <w:b/>
          <w:caps/>
          <w:snapToGrid/>
          <w:kern w:val="22"/>
          <w:sz w:val="22"/>
          <w:szCs w:val="22"/>
          <w:lang w:val="fr-FR"/>
        </w:rPr>
        <w:t>eurs</w:t>
      </w:r>
      <w:r w:rsidR="00180FB9" w:rsidRPr="00FC4959">
        <w:rPr>
          <w:b/>
          <w:caps/>
          <w:snapToGrid/>
          <w:kern w:val="22"/>
          <w:sz w:val="22"/>
          <w:szCs w:val="22"/>
          <w:lang w:val="fr-FR"/>
        </w:rPr>
        <w:t xml:space="preserve">, </w:t>
      </w:r>
      <w:r w:rsidRPr="00FC4959">
        <w:rPr>
          <w:b/>
          <w:caps/>
          <w:snapToGrid/>
          <w:kern w:val="22"/>
          <w:sz w:val="22"/>
          <w:szCs w:val="22"/>
          <w:lang w:val="fr-FR"/>
        </w:rPr>
        <w:t>bas</w:t>
      </w:r>
      <w:r w:rsidR="00F26CD9" w:rsidRPr="00FC4959">
        <w:rPr>
          <w:b/>
          <w:caps/>
          <w:snapToGrid/>
          <w:kern w:val="22"/>
          <w:sz w:val="22"/>
          <w:szCs w:val="22"/>
          <w:lang w:val="fr-FR"/>
        </w:rPr>
        <w:t>es de rÉfÉrence et cadres de suivi</w:t>
      </w:r>
    </w:p>
    <w:p w14:paraId="3E658AB6" w14:textId="49D7891B" w:rsidR="00D77737" w:rsidRPr="00FC4959" w:rsidRDefault="00FC4959" w:rsidP="006476DC">
      <w:pPr>
        <w:pStyle w:val="Para1"/>
        <w:numPr>
          <w:ilvl w:val="0"/>
          <w:numId w:val="2"/>
        </w:numPr>
        <w:suppressLineNumbers/>
        <w:tabs>
          <w:tab w:val="clear" w:pos="360"/>
        </w:tabs>
        <w:suppressAutoHyphens/>
        <w:jc w:val="both"/>
        <w:rPr>
          <w:kern w:val="22"/>
          <w:sz w:val="22"/>
          <w:szCs w:val="22"/>
          <w:lang w:val="fr-FR"/>
        </w:rPr>
      </w:pPr>
      <w:r w:rsidRPr="00FC4959">
        <w:rPr>
          <w:kern w:val="22"/>
          <w:sz w:val="22"/>
          <w:szCs w:val="22"/>
          <w:lang w:val="fr-FR"/>
        </w:rPr>
        <w:t>Les indicateurs, bases de r</w:t>
      </w:r>
      <w:r w:rsidR="00A7495A">
        <w:rPr>
          <w:kern w:val="22"/>
          <w:sz w:val="22"/>
          <w:szCs w:val="22"/>
          <w:lang w:val="fr-FR"/>
        </w:rPr>
        <w:t>é</w:t>
      </w:r>
      <w:r w:rsidRPr="00FC4959">
        <w:rPr>
          <w:kern w:val="22"/>
          <w:sz w:val="22"/>
          <w:szCs w:val="22"/>
          <w:lang w:val="fr-FR"/>
        </w:rPr>
        <w:t>f</w:t>
      </w:r>
      <w:r w:rsidR="00A7495A">
        <w:rPr>
          <w:kern w:val="22"/>
          <w:sz w:val="22"/>
          <w:szCs w:val="22"/>
          <w:lang w:val="fr-FR"/>
        </w:rPr>
        <w:t>é</w:t>
      </w:r>
      <w:r w:rsidRPr="00FC4959">
        <w:rPr>
          <w:kern w:val="22"/>
          <w:sz w:val="22"/>
          <w:szCs w:val="22"/>
          <w:lang w:val="fr-FR"/>
        </w:rPr>
        <w:t>rence et cadres de suivi seront nécessairement</w:t>
      </w:r>
      <w:r w:rsidR="00A7495A">
        <w:rPr>
          <w:kern w:val="22"/>
          <w:sz w:val="22"/>
          <w:szCs w:val="22"/>
          <w:lang w:val="fr-FR"/>
        </w:rPr>
        <w:t xml:space="preserve"> liés à l’élaboration des objectifs à long terme et des cibles SMART.</w:t>
      </w:r>
    </w:p>
    <w:p w14:paraId="46748E37" w14:textId="16DDE51B" w:rsidR="00DA4EC5" w:rsidRPr="00FC4959" w:rsidRDefault="00A7495A" w:rsidP="006476DC">
      <w:pPr>
        <w:pStyle w:val="Para1"/>
        <w:numPr>
          <w:ilvl w:val="0"/>
          <w:numId w:val="2"/>
        </w:numPr>
        <w:suppressLineNumbers/>
        <w:tabs>
          <w:tab w:val="clear" w:pos="360"/>
        </w:tabs>
        <w:suppressAutoHyphens/>
        <w:jc w:val="both"/>
        <w:rPr>
          <w:kern w:val="22"/>
          <w:sz w:val="22"/>
          <w:szCs w:val="22"/>
          <w:lang w:val="fr-FR"/>
        </w:rPr>
      </w:pPr>
      <w:r>
        <w:rPr>
          <w:kern w:val="22"/>
          <w:sz w:val="22"/>
          <w:szCs w:val="22"/>
          <w:lang w:val="fr-FR"/>
        </w:rPr>
        <w:t>Dans la</w:t>
      </w:r>
      <w:r w:rsidR="00DA4EC5" w:rsidRPr="00FC4959">
        <w:rPr>
          <w:kern w:val="22"/>
          <w:sz w:val="22"/>
          <w:szCs w:val="22"/>
          <w:lang w:val="fr-FR"/>
        </w:rPr>
        <w:t xml:space="preserve"> d</w:t>
      </w:r>
      <w:r>
        <w:rPr>
          <w:kern w:val="22"/>
          <w:sz w:val="22"/>
          <w:szCs w:val="22"/>
          <w:lang w:val="fr-FR"/>
        </w:rPr>
        <w:t>é</w:t>
      </w:r>
      <w:r w:rsidR="00DA4EC5" w:rsidRPr="00FC4959">
        <w:rPr>
          <w:kern w:val="22"/>
          <w:sz w:val="22"/>
          <w:szCs w:val="22"/>
          <w:lang w:val="fr-FR"/>
        </w:rPr>
        <w:t>cision XIII/28</w:t>
      </w:r>
      <w:r w:rsidR="000B49CE" w:rsidRPr="00FC4959">
        <w:rPr>
          <w:kern w:val="22"/>
          <w:sz w:val="22"/>
          <w:szCs w:val="22"/>
          <w:lang w:val="fr-FR"/>
        </w:rPr>
        <w:t>,</w:t>
      </w:r>
      <w:r w:rsidR="00DA4EC5" w:rsidRPr="00FC4959">
        <w:rPr>
          <w:kern w:val="22"/>
          <w:sz w:val="22"/>
          <w:szCs w:val="22"/>
          <w:lang w:val="fr-FR"/>
        </w:rPr>
        <w:t xml:space="preserve"> </w:t>
      </w:r>
      <w:r>
        <w:rPr>
          <w:kern w:val="22"/>
          <w:sz w:val="22"/>
          <w:szCs w:val="22"/>
          <w:lang w:val="fr-FR"/>
        </w:rPr>
        <w:t xml:space="preserve">la Conférence des Parties a accueilli favorablement la liste d’indicateurs du Plan stratégique pour la diversité biologique </w:t>
      </w:r>
      <w:r w:rsidR="00DA4EC5" w:rsidRPr="00FC4959">
        <w:rPr>
          <w:kern w:val="22"/>
          <w:sz w:val="22"/>
          <w:szCs w:val="22"/>
          <w:lang w:val="fr-FR"/>
        </w:rPr>
        <w:t>2011-2020.</w:t>
      </w:r>
      <w:r>
        <w:rPr>
          <w:kern w:val="22"/>
          <w:sz w:val="22"/>
          <w:szCs w:val="22"/>
          <w:lang w:val="fr-FR"/>
        </w:rPr>
        <w:t xml:space="preserve"> Cette liste d’indicateurs comprend des indicateurs qui présentent un intérêt pour le Programme de développement durable à l’horizon 2030. Elle comprend aussi des indicateurs </w:t>
      </w:r>
      <w:r w:rsidR="003705C6">
        <w:rPr>
          <w:kern w:val="22"/>
          <w:sz w:val="22"/>
          <w:szCs w:val="22"/>
          <w:lang w:val="fr-FR"/>
        </w:rPr>
        <w:t xml:space="preserve">actuellement disponibles ainsi que des indicateurs en cours d’élaboration. Par la suite, 17 indicateurs supplémentaires, basés principalement sur les indicateurs utilisés dans l’Évaluation mondiale réalisée par l’IPBES, ont été identifiés. Ceux-ci sont notés dans la recommandation 22/4 de l’Organe subsidiaire. Une liste actualisée d’indicateurs basée sur cette décision et cette recommandation est présentée dans un document d’information. Cette liste d’indicateurs pourrait servir de base à l’élaboration </w:t>
      </w:r>
      <w:r w:rsidR="009E1D1C">
        <w:rPr>
          <w:kern w:val="22"/>
          <w:sz w:val="22"/>
          <w:szCs w:val="22"/>
          <w:lang w:val="fr-FR"/>
        </w:rPr>
        <w:t>d’une série d’indicateurs pour le cadre mondial de la biodiversité pour l’après-2020.</w:t>
      </w:r>
    </w:p>
    <w:p w14:paraId="00809E63" w14:textId="37A06626" w:rsidR="00DA4EC5" w:rsidRPr="00FC4959" w:rsidRDefault="009E1D1C" w:rsidP="006476DC">
      <w:pPr>
        <w:pStyle w:val="Para1"/>
        <w:numPr>
          <w:ilvl w:val="0"/>
          <w:numId w:val="2"/>
        </w:numPr>
        <w:suppressLineNumbers/>
        <w:tabs>
          <w:tab w:val="clear" w:pos="360"/>
        </w:tabs>
        <w:suppressAutoHyphens/>
        <w:jc w:val="both"/>
        <w:rPr>
          <w:kern w:val="22"/>
          <w:sz w:val="22"/>
          <w:szCs w:val="22"/>
          <w:lang w:val="fr-FR"/>
        </w:rPr>
      </w:pPr>
      <w:r>
        <w:rPr>
          <w:kern w:val="22"/>
          <w:sz w:val="22"/>
          <w:szCs w:val="22"/>
          <w:lang w:val="fr-FR"/>
        </w:rPr>
        <w:t>La liste</w:t>
      </w:r>
      <w:r w:rsidR="00276F7B">
        <w:rPr>
          <w:kern w:val="22"/>
          <w:sz w:val="22"/>
          <w:szCs w:val="22"/>
          <w:lang w:val="fr-FR"/>
        </w:rPr>
        <w:t xml:space="preserve"> actuelle</w:t>
      </w:r>
      <w:r>
        <w:rPr>
          <w:kern w:val="22"/>
          <w:sz w:val="22"/>
          <w:szCs w:val="22"/>
          <w:lang w:val="fr-FR"/>
        </w:rPr>
        <w:t xml:space="preserve"> d’indicateurs </w:t>
      </w:r>
      <w:r w:rsidR="00276F7B">
        <w:rPr>
          <w:kern w:val="22"/>
          <w:sz w:val="22"/>
          <w:szCs w:val="22"/>
          <w:lang w:val="fr-FR"/>
        </w:rPr>
        <w:t>pour le</w:t>
      </w:r>
      <w:r>
        <w:rPr>
          <w:kern w:val="22"/>
          <w:sz w:val="22"/>
          <w:szCs w:val="22"/>
          <w:lang w:val="fr-FR"/>
        </w:rPr>
        <w:t xml:space="preserve"> Plan stratégique pour la diversité biologique </w:t>
      </w:r>
      <w:r w:rsidR="00DA4EC5" w:rsidRPr="00FC4959">
        <w:rPr>
          <w:kern w:val="22"/>
          <w:sz w:val="22"/>
          <w:szCs w:val="22"/>
          <w:lang w:val="fr-FR"/>
        </w:rPr>
        <w:t>2011-2020</w:t>
      </w:r>
      <w:r>
        <w:rPr>
          <w:kern w:val="22"/>
          <w:sz w:val="22"/>
          <w:szCs w:val="22"/>
          <w:lang w:val="fr-FR"/>
        </w:rPr>
        <w:t xml:space="preserve"> a été accueillie favorablement par la Conférence des Parties dans la décision </w:t>
      </w:r>
      <w:r w:rsidR="00DA4EC5" w:rsidRPr="00FC4959">
        <w:rPr>
          <w:kern w:val="22"/>
          <w:sz w:val="22"/>
          <w:szCs w:val="22"/>
          <w:lang w:val="fr-FR"/>
        </w:rPr>
        <w:t>XIII/28</w:t>
      </w:r>
      <w:r w:rsidR="006E6219" w:rsidRPr="00FC4959">
        <w:rPr>
          <w:kern w:val="22"/>
          <w:sz w:val="22"/>
          <w:szCs w:val="22"/>
          <w:lang w:val="fr-FR"/>
        </w:rPr>
        <w:t>,</w:t>
      </w:r>
      <w:r w:rsidR="00DA4EC5" w:rsidRPr="00FC4959">
        <w:rPr>
          <w:kern w:val="22"/>
          <w:sz w:val="22"/>
          <w:szCs w:val="22"/>
          <w:lang w:val="fr-FR"/>
        </w:rPr>
        <w:t xml:space="preserve"> </w:t>
      </w:r>
      <w:r>
        <w:rPr>
          <w:kern w:val="22"/>
          <w:sz w:val="22"/>
          <w:szCs w:val="22"/>
          <w:lang w:val="fr-FR"/>
        </w:rPr>
        <w:t xml:space="preserve">et il a été observé que la liste d’indicateurs mondiaux offrait un cadre à utiliser, selon qu’il convient, pour évaluer les progrès accomplis dans la réalisation des Objectifs d’Aichi pour la biodiversité au niveau mondial et par les Parties, les autres gouvernements et les organisations internationales. Dans la même décision, la Conférence des Parties a souligné </w:t>
      </w:r>
      <w:r w:rsidRPr="009E1D1C">
        <w:rPr>
          <w:kern w:val="22"/>
          <w:sz w:val="22"/>
          <w:szCs w:val="22"/>
          <w:lang w:val="fr-FR"/>
        </w:rPr>
        <w:t>que la liste d'indicateurs fournit un cadre souple que les Parties peuvent adapter, selon qu'il convient, à leurs priorités et situations nationales</w:t>
      </w:r>
      <w:r w:rsidR="00DA4EC5" w:rsidRPr="00FC4959">
        <w:rPr>
          <w:kern w:val="22"/>
          <w:sz w:val="22"/>
          <w:szCs w:val="22"/>
          <w:lang w:val="fr-FR"/>
        </w:rPr>
        <w:t>.</w:t>
      </w:r>
      <w:r w:rsidR="007C4284">
        <w:rPr>
          <w:kern w:val="22"/>
          <w:sz w:val="22"/>
          <w:szCs w:val="22"/>
          <w:lang w:val="fr-FR"/>
        </w:rPr>
        <w:t xml:space="preserve"> Dans la pratique, la liste d’indicateurs a été principalement utilisée pour suivre les progrès accomplis au niveau mondial, par exemple dans le cadre des </w:t>
      </w:r>
      <w:r w:rsidR="007C4284" w:rsidRPr="007C4284">
        <w:rPr>
          <w:i/>
          <w:iCs/>
          <w:kern w:val="22"/>
          <w:sz w:val="22"/>
          <w:szCs w:val="22"/>
          <w:lang w:val="fr-FR"/>
        </w:rPr>
        <w:t>Perspectives mondiales de la diversité biologique</w:t>
      </w:r>
      <w:r w:rsidR="007C4284">
        <w:rPr>
          <w:kern w:val="22"/>
          <w:sz w:val="22"/>
          <w:szCs w:val="22"/>
          <w:lang w:val="fr-FR"/>
        </w:rPr>
        <w:t>. Les données factuelles disponibles tirées des rapports nationaux et d’autres sources suggèrent que l’utilisation de la liste d’indicateurs mondiaux pour assurer le suivi au niveau national est limitée. L’Organe subsidiaire pourrait souhaiter se pencher sur cette question lors de son examen d’indicateurs possibles pour le cadre mondial de la biodiversité pour l’après-2020.</w:t>
      </w:r>
    </w:p>
    <w:p w14:paraId="3C29F2A3" w14:textId="56DC1564" w:rsidR="00D77737" w:rsidRPr="00FC4959" w:rsidRDefault="007C4284" w:rsidP="006476DC">
      <w:pPr>
        <w:pStyle w:val="Para1"/>
        <w:numPr>
          <w:ilvl w:val="0"/>
          <w:numId w:val="2"/>
        </w:numPr>
        <w:suppressLineNumbers/>
        <w:tabs>
          <w:tab w:val="clear" w:pos="360"/>
        </w:tabs>
        <w:suppressAutoHyphens/>
        <w:jc w:val="both"/>
        <w:rPr>
          <w:kern w:val="22"/>
          <w:sz w:val="22"/>
          <w:szCs w:val="22"/>
          <w:lang w:val="fr-FR"/>
        </w:rPr>
      </w:pPr>
      <w:r>
        <w:rPr>
          <w:kern w:val="22"/>
          <w:sz w:val="22"/>
          <w:szCs w:val="22"/>
          <w:lang w:val="fr-FR"/>
        </w:rPr>
        <w:t>Par le passé</w:t>
      </w:r>
      <w:r w:rsidR="00DA4EC5" w:rsidRPr="00FC4959">
        <w:rPr>
          <w:kern w:val="22"/>
          <w:sz w:val="22"/>
          <w:szCs w:val="22"/>
          <w:lang w:val="fr-FR"/>
        </w:rPr>
        <w:t xml:space="preserve">, </w:t>
      </w:r>
      <w:r>
        <w:rPr>
          <w:kern w:val="22"/>
          <w:sz w:val="22"/>
          <w:szCs w:val="22"/>
          <w:lang w:val="fr-FR"/>
        </w:rPr>
        <w:t xml:space="preserve">les indicateurs ont </w:t>
      </w:r>
      <w:r w:rsidR="00C236C1">
        <w:rPr>
          <w:kern w:val="22"/>
          <w:sz w:val="22"/>
          <w:szCs w:val="22"/>
          <w:lang w:val="fr-FR"/>
        </w:rPr>
        <w:t>été examinés par la Convention en tant que question indépendante. Bien que les indicateurs recensés par la Convention se soient avérés dans l’ensemble conformes à ses approches en matière de suivi, il n’y a pas eu de rapport étroit entre eux et d’autres cadre</w:t>
      </w:r>
      <w:r w:rsidR="00276F7B">
        <w:rPr>
          <w:kern w:val="22"/>
          <w:sz w:val="22"/>
          <w:szCs w:val="22"/>
          <w:lang w:val="fr-FR"/>
        </w:rPr>
        <w:t>s</w:t>
      </w:r>
      <w:r w:rsidR="00C236C1">
        <w:rPr>
          <w:kern w:val="22"/>
          <w:sz w:val="22"/>
          <w:szCs w:val="22"/>
          <w:lang w:val="fr-FR"/>
        </w:rPr>
        <w:t xml:space="preserve"> de suivi utilisés par la Convention. Les Parties pourraient donc souhaiter examiner la nature du rapport entre ces indicateurs et tout futur cadre de suivi pour la Convention et le cadre mondial de la biodiversité pour l’après-2020.</w:t>
      </w:r>
    </w:p>
    <w:p w14:paraId="0C2868A6" w14:textId="55DED85A" w:rsidR="00DA4EC5" w:rsidRPr="00FC4959" w:rsidRDefault="005A7E58" w:rsidP="006476DC">
      <w:pPr>
        <w:pStyle w:val="Para1"/>
        <w:numPr>
          <w:ilvl w:val="0"/>
          <w:numId w:val="2"/>
        </w:numPr>
        <w:suppressLineNumbers/>
        <w:tabs>
          <w:tab w:val="clear" w:pos="360"/>
        </w:tabs>
        <w:suppressAutoHyphens/>
        <w:jc w:val="both"/>
        <w:rPr>
          <w:kern w:val="22"/>
          <w:sz w:val="22"/>
          <w:szCs w:val="22"/>
          <w:lang w:val="fr-FR"/>
        </w:rPr>
      </w:pPr>
      <w:r>
        <w:rPr>
          <w:kern w:val="22"/>
          <w:sz w:val="22"/>
          <w:szCs w:val="22"/>
          <w:lang w:val="fr-FR"/>
        </w:rPr>
        <w:t>Une fois que</w:t>
      </w:r>
      <w:r w:rsidR="00D42675">
        <w:rPr>
          <w:kern w:val="22"/>
          <w:sz w:val="22"/>
          <w:szCs w:val="22"/>
          <w:lang w:val="fr-FR"/>
        </w:rPr>
        <w:t xml:space="preserve"> la nomenclature et la formulation des cibles aura été développée, des indicateurs mondiaux seront liés à chacun des objectifs à l’horizon 2050 et cibles à l’horizon 2030</w:t>
      </w:r>
      <w:r w:rsidR="00276F7B">
        <w:rPr>
          <w:kern w:val="22"/>
          <w:sz w:val="22"/>
          <w:szCs w:val="22"/>
          <w:lang w:val="fr-FR"/>
        </w:rPr>
        <w:t xml:space="preserve"> en tenant</w:t>
      </w:r>
      <w:r w:rsidR="003370C7">
        <w:rPr>
          <w:kern w:val="22"/>
          <w:sz w:val="22"/>
          <w:szCs w:val="22"/>
          <w:lang w:val="fr-FR"/>
        </w:rPr>
        <w:t xml:space="preserve"> du fait qu’il est nécessaire </w:t>
      </w:r>
      <w:r w:rsidR="00276F7B">
        <w:rPr>
          <w:kern w:val="22"/>
          <w:sz w:val="22"/>
          <w:szCs w:val="22"/>
          <w:lang w:val="fr-FR"/>
        </w:rPr>
        <w:t>d’augmenter progressivement l’échelle des c</w:t>
      </w:r>
      <w:r w:rsidR="003370C7">
        <w:rPr>
          <w:kern w:val="22"/>
          <w:sz w:val="22"/>
          <w:szCs w:val="22"/>
          <w:lang w:val="fr-FR"/>
        </w:rPr>
        <w:t>ibles nationales et régionales</w:t>
      </w:r>
      <w:r w:rsidR="00FA6228">
        <w:rPr>
          <w:kern w:val="22"/>
          <w:sz w:val="22"/>
          <w:szCs w:val="22"/>
          <w:lang w:val="fr-FR"/>
        </w:rPr>
        <w:t xml:space="preserve"> vers les cibles mondiales, et vice-versa.</w:t>
      </w:r>
    </w:p>
    <w:p w14:paraId="4EDC3358" w14:textId="1DBD630A" w:rsidR="00DA4EC5" w:rsidRPr="008C0622" w:rsidRDefault="003370C7" w:rsidP="006476DC">
      <w:pPr>
        <w:pStyle w:val="Para1"/>
        <w:numPr>
          <w:ilvl w:val="0"/>
          <w:numId w:val="2"/>
        </w:numPr>
        <w:suppressLineNumbers/>
        <w:tabs>
          <w:tab w:val="clear" w:pos="360"/>
        </w:tabs>
        <w:suppressAutoHyphens/>
        <w:jc w:val="both"/>
        <w:rPr>
          <w:kern w:val="22"/>
          <w:sz w:val="22"/>
          <w:szCs w:val="22"/>
          <w:lang w:val="fr-FR"/>
        </w:rPr>
      </w:pPr>
      <w:r>
        <w:rPr>
          <w:kern w:val="22"/>
          <w:sz w:val="22"/>
          <w:szCs w:val="22"/>
          <w:lang w:val="fr-FR"/>
        </w:rPr>
        <w:t xml:space="preserve">Une des principales tâches de la Conférence des Parties est de garder l’application de la Convention à l’étude. À chaque réunion de la Conférence des Parties qui a suivi l’adoption du Plan stratégique pour la diversité biologique </w:t>
      </w:r>
      <w:r w:rsidR="00DA4EC5" w:rsidRPr="00FC4959">
        <w:rPr>
          <w:kern w:val="22"/>
          <w:sz w:val="22"/>
          <w:szCs w:val="22"/>
          <w:lang w:val="fr-FR"/>
        </w:rPr>
        <w:t xml:space="preserve">2011-2020, </w:t>
      </w:r>
      <w:r>
        <w:rPr>
          <w:kern w:val="22"/>
          <w:sz w:val="22"/>
          <w:szCs w:val="22"/>
          <w:lang w:val="fr-FR"/>
        </w:rPr>
        <w:t xml:space="preserve">un ou plusieurs points relatifs au suivi et à l’examen ont été inscrits à l’ordre du jour. Des </w:t>
      </w:r>
      <w:r w:rsidR="000D7976">
        <w:rPr>
          <w:kern w:val="22"/>
          <w:sz w:val="22"/>
          <w:szCs w:val="22"/>
          <w:lang w:val="fr-FR"/>
        </w:rPr>
        <w:t>examens</w:t>
      </w:r>
      <w:r>
        <w:rPr>
          <w:kern w:val="22"/>
          <w:sz w:val="22"/>
          <w:szCs w:val="22"/>
          <w:lang w:val="fr-FR"/>
        </w:rPr>
        <w:t xml:space="preserve"> ont été entrepris sur la base d’informations fournies par les Parties dans leurs stratégies et plans d’action nationaux pour la diversité biologique et leurs rapports nationaux, ainsi que dans des rapports tels que les </w:t>
      </w:r>
      <w:r>
        <w:rPr>
          <w:i/>
          <w:iCs/>
          <w:kern w:val="22"/>
          <w:sz w:val="22"/>
          <w:szCs w:val="22"/>
          <w:lang w:val="fr-FR"/>
        </w:rPr>
        <w:t xml:space="preserve">Perspectives mondiales de la diversité </w:t>
      </w:r>
      <w:r w:rsidRPr="00441B47">
        <w:rPr>
          <w:i/>
          <w:iCs/>
          <w:kern w:val="22"/>
          <w:sz w:val="22"/>
          <w:szCs w:val="22"/>
          <w:lang w:val="fr-FR"/>
        </w:rPr>
        <w:t>biologique</w:t>
      </w:r>
      <w:r>
        <w:rPr>
          <w:kern w:val="22"/>
          <w:sz w:val="22"/>
          <w:szCs w:val="22"/>
          <w:lang w:val="fr-FR"/>
        </w:rPr>
        <w:t xml:space="preserve">. </w:t>
      </w:r>
      <w:r w:rsidR="000D7976">
        <w:rPr>
          <w:kern w:val="22"/>
          <w:sz w:val="22"/>
          <w:szCs w:val="22"/>
          <w:lang w:val="fr-FR"/>
        </w:rPr>
        <w:t>En général, les</w:t>
      </w:r>
      <w:r w:rsidR="00FA6228">
        <w:rPr>
          <w:kern w:val="22"/>
          <w:sz w:val="22"/>
          <w:szCs w:val="22"/>
          <w:lang w:val="fr-FR"/>
        </w:rPr>
        <w:t xml:space="preserve"> divers éléments de ces </w:t>
      </w:r>
      <w:r w:rsidR="000D7976">
        <w:rPr>
          <w:kern w:val="22"/>
          <w:sz w:val="22"/>
          <w:szCs w:val="22"/>
          <w:lang w:val="fr-FR"/>
        </w:rPr>
        <w:t>examens</w:t>
      </w:r>
      <w:r w:rsidR="00FA6228">
        <w:rPr>
          <w:kern w:val="22"/>
          <w:sz w:val="22"/>
          <w:szCs w:val="22"/>
          <w:lang w:val="fr-FR"/>
        </w:rPr>
        <w:t xml:space="preserve"> ont </w:t>
      </w:r>
      <w:r w:rsidR="000D7976">
        <w:rPr>
          <w:kern w:val="22"/>
          <w:sz w:val="22"/>
          <w:szCs w:val="22"/>
          <w:lang w:val="fr-FR"/>
        </w:rPr>
        <w:t xml:space="preserve">été </w:t>
      </w:r>
      <w:r w:rsidR="00FA6228">
        <w:rPr>
          <w:kern w:val="22"/>
          <w:sz w:val="22"/>
          <w:szCs w:val="22"/>
          <w:lang w:val="fr-FR"/>
        </w:rPr>
        <w:t>examinés d’abord par un des organes subsidiaires de la Convention. Dans le cas du cadre mondial de la biodiversité pour l’après-2020, les Parties pourraient souhaiter adopter des modalités s</w:t>
      </w:r>
      <w:r w:rsidR="000D7976">
        <w:rPr>
          <w:kern w:val="22"/>
          <w:sz w:val="22"/>
          <w:szCs w:val="22"/>
          <w:lang w:val="fr-FR"/>
        </w:rPr>
        <w:t>imilaires</w:t>
      </w:r>
      <w:r w:rsidR="00FA6228">
        <w:rPr>
          <w:kern w:val="22"/>
          <w:sz w:val="22"/>
          <w:szCs w:val="22"/>
          <w:lang w:val="fr-FR"/>
        </w:rPr>
        <w:t>, y compris un examen de la mise en œuvre du cadre par la Conférence des Parties et ses organes subsidiaires à chacune de leurs réunions entre l’adoption du cadre et 2030. En outre, les Parties pourraient souhaiter examiner les modifications des processus actuels de la Convention</w:t>
      </w:r>
      <w:r w:rsidR="00EE5932">
        <w:rPr>
          <w:kern w:val="22"/>
          <w:sz w:val="22"/>
          <w:szCs w:val="22"/>
          <w:lang w:val="fr-FR"/>
        </w:rPr>
        <w:t xml:space="preserve"> et les cadres de suivi supplémentaires</w:t>
      </w:r>
      <w:r w:rsidR="00FA6228">
        <w:rPr>
          <w:kern w:val="22"/>
          <w:sz w:val="22"/>
          <w:szCs w:val="22"/>
          <w:lang w:val="fr-FR"/>
        </w:rPr>
        <w:t xml:space="preserve"> </w:t>
      </w:r>
      <w:r w:rsidR="00EE5932">
        <w:rPr>
          <w:kern w:val="22"/>
          <w:sz w:val="22"/>
          <w:szCs w:val="22"/>
          <w:lang w:val="fr-FR"/>
        </w:rPr>
        <w:t>qui pourraient s’avérer nécessaires. Par exemple</w:t>
      </w:r>
      <w:r w:rsidR="00585A9E">
        <w:rPr>
          <w:kern w:val="22"/>
          <w:sz w:val="22"/>
          <w:szCs w:val="22"/>
          <w:lang w:val="fr-FR"/>
        </w:rPr>
        <w:t xml:space="preserve">, </w:t>
      </w:r>
      <w:r w:rsidR="00A10862">
        <w:rPr>
          <w:kern w:val="22"/>
          <w:sz w:val="22"/>
          <w:szCs w:val="22"/>
          <w:lang w:val="fr-FR"/>
        </w:rPr>
        <w:t>plusieurs processus d’examen de l’application de la Convention au titre de l’Organe subsidiaire chargé de fournir des avis scientifiques, techniques et technologiques pourraient être rapprochés</w:t>
      </w:r>
      <w:r w:rsidR="000D7976">
        <w:rPr>
          <w:kern w:val="22"/>
          <w:sz w:val="22"/>
          <w:szCs w:val="22"/>
          <w:lang w:val="fr-FR"/>
        </w:rPr>
        <w:t xml:space="preserve"> l’un de l’autre</w:t>
      </w:r>
      <w:r w:rsidR="00A10862">
        <w:rPr>
          <w:kern w:val="22"/>
          <w:sz w:val="22"/>
          <w:szCs w:val="22"/>
          <w:lang w:val="fr-FR"/>
        </w:rPr>
        <w:t xml:space="preserve"> pendant l</w:t>
      </w:r>
      <w:r w:rsidR="000D7976">
        <w:rPr>
          <w:kern w:val="22"/>
          <w:sz w:val="22"/>
          <w:szCs w:val="22"/>
          <w:lang w:val="fr-FR"/>
        </w:rPr>
        <w:t xml:space="preserve">a période après </w:t>
      </w:r>
      <w:r w:rsidR="00A10862">
        <w:rPr>
          <w:kern w:val="22"/>
          <w:sz w:val="22"/>
          <w:szCs w:val="22"/>
          <w:lang w:val="fr-FR"/>
        </w:rPr>
        <w:t xml:space="preserve">2020. En </w:t>
      </w:r>
      <w:r w:rsidR="00A10862">
        <w:rPr>
          <w:kern w:val="22"/>
          <w:sz w:val="22"/>
          <w:szCs w:val="22"/>
          <w:lang w:val="fr-FR"/>
        </w:rPr>
        <w:lastRenderedPageBreak/>
        <w:t xml:space="preserve">outre, </w:t>
      </w:r>
      <w:r w:rsidR="000D7976">
        <w:rPr>
          <w:kern w:val="22"/>
          <w:sz w:val="22"/>
          <w:szCs w:val="22"/>
          <w:lang w:val="fr-FR"/>
        </w:rPr>
        <w:t xml:space="preserve">il est prévu que </w:t>
      </w:r>
      <w:r w:rsidR="00A10862">
        <w:rPr>
          <w:kern w:val="22"/>
          <w:sz w:val="22"/>
          <w:szCs w:val="22"/>
          <w:lang w:val="fr-FR"/>
        </w:rPr>
        <w:t>l’Organe subsidiaire chargé de l’application étudier</w:t>
      </w:r>
      <w:r w:rsidR="000D7976">
        <w:rPr>
          <w:kern w:val="22"/>
          <w:sz w:val="22"/>
          <w:szCs w:val="22"/>
          <w:lang w:val="fr-FR"/>
        </w:rPr>
        <w:t>a</w:t>
      </w:r>
      <w:r w:rsidR="00A10862">
        <w:rPr>
          <w:kern w:val="22"/>
          <w:sz w:val="22"/>
          <w:szCs w:val="22"/>
          <w:lang w:val="fr-FR"/>
        </w:rPr>
        <w:t xml:space="preserve">, à sa troisième réunion, l’élaboration de mécanismes d’examen </w:t>
      </w:r>
      <w:r w:rsidR="001B5E74">
        <w:rPr>
          <w:kern w:val="22"/>
          <w:sz w:val="22"/>
          <w:szCs w:val="22"/>
          <w:lang w:val="fr-FR"/>
        </w:rPr>
        <w:t>améliorés</w:t>
      </w:r>
      <w:r w:rsidR="00A10862">
        <w:rPr>
          <w:kern w:val="22"/>
          <w:sz w:val="22"/>
          <w:szCs w:val="22"/>
          <w:lang w:val="fr-FR"/>
        </w:rPr>
        <w:t xml:space="preserve"> au titre de la Convention afin de renforcer l’application </w:t>
      </w:r>
      <w:r w:rsidR="00A1571D">
        <w:rPr>
          <w:kern w:val="22"/>
          <w:sz w:val="22"/>
          <w:szCs w:val="22"/>
          <w:lang w:val="fr-FR"/>
        </w:rPr>
        <w:t>dans</w:t>
      </w:r>
      <w:r w:rsidR="00A10862">
        <w:rPr>
          <w:kern w:val="22"/>
          <w:sz w:val="22"/>
          <w:szCs w:val="22"/>
          <w:lang w:val="fr-FR"/>
        </w:rPr>
        <w:t xml:space="preserve"> le </w:t>
      </w:r>
      <w:r w:rsidR="00A1571D">
        <w:rPr>
          <w:kern w:val="22"/>
          <w:sz w:val="22"/>
          <w:szCs w:val="22"/>
          <w:lang w:val="fr-FR"/>
        </w:rPr>
        <w:t>cadre mondial de la biodiversité pour l’après-2020.</w:t>
      </w:r>
    </w:p>
    <w:p w14:paraId="03AC961A" w14:textId="1E0878B4" w:rsidR="00B3369F" w:rsidRPr="008C0622" w:rsidRDefault="00B3369F" w:rsidP="006476DC">
      <w:pPr>
        <w:pStyle w:val="Para1"/>
        <w:suppressLineNumbers/>
        <w:suppressAutoHyphens/>
        <w:ind w:left="720"/>
        <w:rPr>
          <w:kern w:val="22"/>
          <w:sz w:val="22"/>
          <w:szCs w:val="22"/>
          <w:lang w:val="fr-FR"/>
        </w:rPr>
      </w:pPr>
    </w:p>
    <w:p w14:paraId="5588FC72" w14:textId="77777777" w:rsidR="001E5B08" w:rsidRPr="008C0622" w:rsidRDefault="001E5B08" w:rsidP="006476DC">
      <w:pPr>
        <w:pStyle w:val="Para1"/>
        <w:suppressLineNumbers/>
        <w:suppressAutoHyphens/>
        <w:rPr>
          <w:kern w:val="22"/>
          <w:sz w:val="22"/>
          <w:szCs w:val="22"/>
          <w:lang w:val="fr-FR"/>
        </w:rPr>
        <w:sectPr w:rsidR="001E5B08" w:rsidRPr="008C0622" w:rsidSect="00727489">
          <w:headerReference w:type="even" r:id="rId16"/>
          <w:headerReference w:type="default" r:id="rId17"/>
          <w:pgSz w:w="12240" w:h="15840"/>
          <w:pgMar w:top="567" w:right="1389" w:bottom="1134" w:left="1389" w:header="709" w:footer="709" w:gutter="0"/>
          <w:cols w:space="708"/>
          <w:titlePg/>
          <w:docGrid w:linePitch="360"/>
        </w:sectPr>
      </w:pPr>
    </w:p>
    <w:p w14:paraId="56BB5939" w14:textId="221D4C65" w:rsidR="004B5A5E" w:rsidRPr="008C0622" w:rsidRDefault="004B5A5E" w:rsidP="006476DC">
      <w:pPr>
        <w:pStyle w:val="Para1"/>
        <w:suppressLineNumbers/>
        <w:suppressAutoHyphens/>
        <w:spacing w:before="0"/>
        <w:jc w:val="center"/>
        <w:rPr>
          <w:i/>
          <w:kern w:val="22"/>
          <w:sz w:val="22"/>
          <w:szCs w:val="22"/>
          <w:lang w:val="fr-FR"/>
        </w:rPr>
      </w:pPr>
      <w:bookmarkStart w:id="2" w:name="_Hlk21964057"/>
      <w:r w:rsidRPr="008C0622">
        <w:rPr>
          <w:i/>
          <w:kern w:val="22"/>
          <w:sz w:val="22"/>
          <w:szCs w:val="22"/>
          <w:lang w:val="fr-FR"/>
        </w:rPr>
        <w:lastRenderedPageBreak/>
        <w:t>Annex</w:t>
      </w:r>
      <w:r w:rsidR="00A1571D" w:rsidRPr="008C0622">
        <w:rPr>
          <w:i/>
          <w:kern w:val="22"/>
          <w:sz w:val="22"/>
          <w:szCs w:val="22"/>
          <w:lang w:val="fr-FR"/>
        </w:rPr>
        <w:t>e</w:t>
      </w:r>
    </w:p>
    <w:p w14:paraId="0CCAC512" w14:textId="03CE083A" w:rsidR="007F03F8" w:rsidRPr="008C0622" w:rsidRDefault="00A1571D" w:rsidP="006476DC">
      <w:pPr>
        <w:pStyle w:val="Heading1"/>
        <w:suppressLineNumbers/>
        <w:tabs>
          <w:tab w:val="clear" w:pos="720"/>
        </w:tabs>
        <w:suppressAutoHyphens/>
        <w:spacing w:before="120"/>
        <w:rPr>
          <w:b w:val="0"/>
          <w:kern w:val="22"/>
          <w:sz w:val="22"/>
          <w:szCs w:val="22"/>
          <w:lang w:val="fr-FR"/>
        </w:rPr>
      </w:pPr>
      <w:r w:rsidRPr="008C0622">
        <w:rPr>
          <w:kern w:val="22"/>
          <w:sz w:val="22"/>
          <w:szCs w:val="22"/>
          <w:lang w:val="fr-FR"/>
        </w:rPr>
        <w:t>thÈmes et ÉlÉments des cibles Éventuelles</w:t>
      </w:r>
    </w:p>
    <w:tbl>
      <w:tblPr>
        <w:tblStyle w:val="TableGrid"/>
        <w:tblW w:w="13692" w:type="dxa"/>
        <w:jc w:val="center"/>
        <w:tblLayout w:type="fixed"/>
        <w:tblLook w:val="04A0" w:firstRow="1" w:lastRow="0" w:firstColumn="1" w:lastColumn="0" w:noHBand="0" w:noVBand="1"/>
      </w:tblPr>
      <w:tblGrid>
        <w:gridCol w:w="1921"/>
        <w:gridCol w:w="5387"/>
        <w:gridCol w:w="6378"/>
        <w:gridCol w:w="6"/>
      </w:tblGrid>
      <w:tr w:rsidR="005322C2" w:rsidRPr="008C0622" w14:paraId="1FB4E72B" w14:textId="77777777" w:rsidTr="006476DC">
        <w:trPr>
          <w:gridAfter w:val="1"/>
          <w:wAfter w:w="6" w:type="dxa"/>
          <w:cantSplit/>
          <w:tblHeader/>
          <w:jc w:val="center"/>
        </w:trPr>
        <w:tc>
          <w:tcPr>
            <w:tcW w:w="1921" w:type="dxa"/>
          </w:tcPr>
          <w:p w14:paraId="3AB5CB11" w14:textId="04EA6B09" w:rsidR="005322C2" w:rsidRPr="009D4C67" w:rsidRDefault="00A1571D" w:rsidP="006476DC">
            <w:pPr>
              <w:pStyle w:val="Para1"/>
              <w:suppressLineNumbers/>
              <w:suppressAutoHyphens/>
              <w:spacing w:before="40" w:after="40"/>
              <w:jc w:val="center"/>
              <w:rPr>
                <w:b/>
                <w:bCs/>
                <w:kern w:val="22"/>
                <w:sz w:val="22"/>
                <w:szCs w:val="22"/>
                <w:lang w:val="fr-FR"/>
              </w:rPr>
            </w:pPr>
            <w:r w:rsidRPr="009D4C67">
              <w:rPr>
                <w:b/>
                <w:kern w:val="22"/>
                <w:sz w:val="22"/>
                <w:szCs w:val="22"/>
                <w:lang w:val="fr-FR"/>
              </w:rPr>
              <w:t>Sujet</w:t>
            </w:r>
            <w:r w:rsidR="001B5E74">
              <w:rPr>
                <w:b/>
                <w:kern w:val="22"/>
                <w:sz w:val="22"/>
                <w:szCs w:val="22"/>
                <w:lang w:val="fr-FR"/>
              </w:rPr>
              <w:t xml:space="preserve"> des cibles</w:t>
            </w:r>
            <w:r w:rsidR="005322C2" w:rsidRPr="009D4C67">
              <w:rPr>
                <w:rStyle w:val="FootnoteReference"/>
                <w:b/>
                <w:kern w:val="22"/>
                <w:szCs w:val="22"/>
                <w:lang w:val="fr-FR"/>
              </w:rPr>
              <w:footnoteReference w:id="6"/>
            </w:r>
          </w:p>
        </w:tc>
        <w:tc>
          <w:tcPr>
            <w:tcW w:w="5387" w:type="dxa"/>
          </w:tcPr>
          <w:p w14:paraId="6B3C1893" w14:textId="77777777" w:rsidR="005322C2" w:rsidRPr="009D4C67" w:rsidRDefault="005322C2" w:rsidP="006476DC">
            <w:pPr>
              <w:pStyle w:val="Para1"/>
              <w:suppressLineNumbers/>
              <w:suppressAutoHyphens/>
              <w:spacing w:before="40" w:after="40"/>
              <w:jc w:val="center"/>
              <w:rPr>
                <w:b/>
                <w:bCs/>
                <w:kern w:val="22"/>
                <w:sz w:val="22"/>
                <w:szCs w:val="22"/>
                <w:lang w:val="fr-FR"/>
              </w:rPr>
            </w:pPr>
            <w:r w:rsidRPr="009D4C67">
              <w:rPr>
                <w:b/>
                <w:kern w:val="22"/>
                <w:sz w:val="22"/>
                <w:szCs w:val="22"/>
                <w:lang w:val="fr-FR"/>
              </w:rPr>
              <w:t>Observations</w:t>
            </w:r>
            <w:r w:rsidRPr="009D4C67">
              <w:rPr>
                <w:rStyle w:val="FootnoteReference"/>
                <w:b/>
                <w:kern w:val="22"/>
                <w:szCs w:val="22"/>
                <w:lang w:val="fr-FR"/>
              </w:rPr>
              <w:footnoteReference w:id="7"/>
            </w:r>
          </w:p>
        </w:tc>
        <w:tc>
          <w:tcPr>
            <w:tcW w:w="6378" w:type="dxa"/>
          </w:tcPr>
          <w:p w14:paraId="7B87B197" w14:textId="4CEC9F10" w:rsidR="005322C2" w:rsidRPr="009D4C67" w:rsidRDefault="005322C2" w:rsidP="006476DC">
            <w:pPr>
              <w:pStyle w:val="Para1"/>
              <w:suppressLineNumbers/>
              <w:suppressAutoHyphens/>
              <w:spacing w:before="40" w:after="40"/>
              <w:jc w:val="center"/>
              <w:rPr>
                <w:b/>
                <w:bCs/>
                <w:kern w:val="22"/>
                <w:sz w:val="22"/>
                <w:szCs w:val="22"/>
                <w:lang w:val="fr-FR"/>
              </w:rPr>
            </w:pPr>
            <w:r w:rsidRPr="009D4C67">
              <w:rPr>
                <w:b/>
                <w:bCs/>
                <w:kern w:val="22"/>
                <w:sz w:val="22"/>
                <w:szCs w:val="22"/>
                <w:lang w:val="fr-FR"/>
              </w:rPr>
              <w:t>L</w:t>
            </w:r>
            <w:r w:rsidR="00A1571D" w:rsidRPr="009D4C67">
              <w:rPr>
                <w:b/>
                <w:bCs/>
                <w:kern w:val="22"/>
                <w:sz w:val="22"/>
                <w:szCs w:val="22"/>
                <w:lang w:val="fr-FR"/>
              </w:rPr>
              <w:t>iens</w:t>
            </w:r>
            <w:r w:rsidRPr="009D4C67">
              <w:rPr>
                <w:b/>
                <w:bCs/>
                <w:kern w:val="22"/>
                <w:sz w:val="22"/>
                <w:szCs w:val="22"/>
                <w:lang w:val="fr-FR"/>
              </w:rPr>
              <w:t xml:space="preserve"> </w:t>
            </w:r>
            <w:r w:rsidR="00A1571D" w:rsidRPr="009D4C67">
              <w:rPr>
                <w:b/>
                <w:bCs/>
                <w:kern w:val="22"/>
                <w:sz w:val="22"/>
                <w:szCs w:val="22"/>
                <w:lang w:val="fr-FR"/>
              </w:rPr>
              <w:t>aux Objectifs d’Aichi pour la biodiversité</w:t>
            </w:r>
            <w:r w:rsidRPr="009D4C67">
              <w:rPr>
                <w:rStyle w:val="FootnoteReference"/>
                <w:b/>
                <w:bCs/>
                <w:kern w:val="22"/>
                <w:szCs w:val="22"/>
                <w:lang w:val="fr-FR"/>
              </w:rPr>
              <w:footnoteReference w:id="8"/>
            </w:r>
          </w:p>
        </w:tc>
      </w:tr>
      <w:tr w:rsidR="004A25EC" w:rsidRPr="008C0622" w14:paraId="67C74F21" w14:textId="77777777" w:rsidTr="00A3166B">
        <w:trPr>
          <w:cantSplit/>
          <w:jc w:val="center"/>
        </w:trPr>
        <w:tc>
          <w:tcPr>
            <w:tcW w:w="13692" w:type="dxa"/>
            <w:gridSpan w:val="4"/>
            <w:shd w:val="clear" w:color="auto" w:fill="D9D9D9" w:themeFill="background1" w:themeFillShade="D9"/>
          </w:tcPr>
          <w:p w14:paraId="74F14A96" w14:textId="21D8D43C" w:rsidR="005322C2" w:rsidRPr="009D4C67" w:rsidRDefault="00A24F30" w:rsidP="006476DC">
            <w:pPr>
              <w:pStyle w:val="Para1"/>
              <w:suppressLineNumbers/>
              <w:suppressAutoHyphens/>
              <w:spacing w:before="40" w:after="40"/>
              <w:rPr>
                <w:b/>
                <w:bCs/>
                <w:kern w:val="22"/>
                <w:sz w:val="22"/>
                <w:szCs w:val="22"/>
                <w:lang w:val="fr-FR"/>
              </w:rPr>
            </w:pPr>
            <w:r w:rsidRPr="009D4C67">
              <w:rPr>
                <w:b/>
                <w:bCs/>
                <w:kern w:val="22"/>
                <w:sz w:val="22"/>
                <w:szCs w:val="22"/>
                <w:lang w:val="fr-FR"/>
              </w:rPr>
              <w:t xml:space="preserve">Résultats </w:t>
            </w:r>
            <w:r w:rsidR="00E125CA" w:rsidRPr="009D4C67">
              <w:rPr>
                <w:b/>
                <w:bCs/>
                <w:kern w:val="22"/>
                <w:sz w:val="22"/>
                <w:szCs w:val="22"/>
                <w:lang w:val="fr-FR"/>
              </w:rPr>
              <w:t>en matière de</w:t>
            </w:r>
            <w:r w:rsidRPr="009D4C67">
              <w:rPr>
                <w:b/>
                <w:bCs/>
                <w:kern w:val="22"/>
                <w:sz w:val="22"/>
                <w:szCs w:val="22"/>
                <w:lang w:val="fr-FR"/>
              </w:rPr>
              <w:t xml:space="preserve"> biodiversité et </w:t>
            </w:r>
            <w:r w:rsidR="00E125CA" w:rsidRPr="009D4C67">
              <w:rPr>
                <w:b/>
                <w:bCs/>
                <w:kern w:val="22"/>
                <w:sz w:val="22"/>
                <w:szCs w:val="22"/>
                <w:lang w:val="fr-FR"/>
              </w:rPr>
              <w:t>de</w:t>
            </w:r>
            <w:r w:rsidRPr="009D4C67">
              <w:rPr>
                <w:b/>
                <w:bCs/>
                <w:kern w:val="22"/>
                <w:sz w:val="22"/>
                <w:szCs w:val="22"/>
                <w:lang w:val="fr-FR"/>
              </w:rPr>
              <w:t xml:space="preserve"> conservation</w:t>
            </w:r>
          </w:p>
        </w:tc>
      </w:tr>
      <w:tr w:rsidR="005322C2" w:rsidRPr="008C0622" w14:paraId="124EFCCD" w14:textId="77777777" w:rsidTr="006476DC">
        <w:trPr>
          <w:gridAfter w:val="1"/>
          <w:wAfter w:w="6" w:type="dxa"/>
          <w:cantSplit/>
          <w:jc w:val="center"/>
        </w:trPr>
        <w:tc>
          <w:tcPr>
            <w:tcW w:w="1921" w:type="dxa"/>
          </w:tcPr>
          <w:p w14:paraId="158A5B95" w14:textId="77777777" w:rsidR="005322C2" w:rsidRPr="009D4C67" w:rsidRDefault="005322C2" w:rsidP="006476DC">
            <w:pPr>
              <w:pStyle w:val="Para1"/>
              <w:suppressLineNumbers/>
              <w:suppressAutoHyphens/>
              <w:spacing w:before="40" w:after="40"/>
              <w:rPr>
                <w:kern w:val="22"/>
                <w:sz w:val="22"/>
                <w:szCs w:val="22"/>
                <w:lang w:val="fr-FR"/>
              </w:rPr>
            </w:pPr>
            <w:r w:rsidRPr="009D4C67">
              <w:rPr>
                <w:kern w:val="22"/>
                <w:sz w:val="22"/>
                <w:szCs w:val="22"/>
                <w:lang w:val="fr-FR"/>
              </w:rPr>
              <w:t>Habitats</w:t>
            </w:r>
          </w:p>
        </w:tc>
        <w:tc>
          <w:tcPr>
            <w:tcW w:w="5387" w:type="dxa"/>
          </w:tcPr>
          <w:p w14:paraId="77E83147" w14:textId="1BEFE912" w:rsidR="005322C2" w:rsidRPr="009D4C67" w:rsidRDefault="00A24F30" w:rsidP="006476DC">
            <w:pPr>
              <w:pStyle w:val="Para1"/>
              <w:suppressLineNumbers/>
              <w:suppressAutoHyphens/>
              <w:spacing w:before="40" w:after="40"/>
              <w:rPr>
                <w:kern w:val="22"/>
                <w:sz w:val="22"/>
                <w:szCs w:val="22"/>
                <w:lang w:val="fr-FR"/>
              </w:rPr>
            </w:pPr>
            <w:r w:rsidRPr="009D4C67">
              <w:rPr>
                <w:kern w:val="22"/>
                <w:sz w:val="22"/>
                <w:szCs w:val="22"/>
                <w:lang w:val="fr-FR"/>
              </w:rPr>
              <w:t xml:space="preserve">Une cible pourrait </w:t>
            </w:r>
            <w:r w:rsidR="0098411E">
              <w:rPr>
                <w:kern w:val="22"/>
                <w:sz w:val="22"/>
                <w:szCs w:val="22"/>
                <w:lang w:val="fr-FR"/>
              </w:rPr>
              <w:t>porter</w:t>
            </w:r>
            <w:r w:rsidRPr="009D4C67">
              <w:rPr>
                <w:kern w:val="22"/>
                <w:sz w:val="22"/>
                <w:szCs w:val="22"/>
                <w:lang w:val="fr-FR"/>
              </w:rPr>
              <w:t xml:space="preserve"> sur l’état des habitats (p. ex. quantité ou pourcentage d’habitats dans un état naturel)</w:t>
            </w:r>
            <w:r w:rsidR="00F7715D" w:rsidRPr="009D4C67">
              <w:rPr>
                <w:kern w:val="22"/>
                <w:sz w:val="22"/>
                <w:szCs w:val="22"/>
                <w:lang w:val="fr-FR"/>
              </w:rPr>
              <w:t> ; sur des questions liées à la qualité des habitats, notamment la fragmentation, la connectivité et l’intégrité</w:t>
            </w:r>
            <w:r w:rsidR="0098411E">
              <w:rPr>
                <w:kern w:val="22"/>
                <w:sz w:val="22"/>
                <w:szCs w:val="22"/>
                <w:lang w:val="fr-FR"/>
              </w:rPr>
              <w:t> ; s’</w:t>
            </w:r>
            <w:r w:rsidR="00F7715D" w:rsidRPr="009D4C67">
              <w:rPr>
                <w:kern w:val="22"/>
                <w:sz w:val="22"/>
                <w:szCs w:val="22"/>
                <w:lang w:val="fr-FR"/>
              </w:rPr>
              <w:t>appliquer en général à tous les habitats ou préciser des habitats spécifiques. Des cibles ou éléments distincts pourraient être nécessaires pour les habitats terrestres, marins et d’eau douce. (</w:t>
            </w:r>
            <w:proofErr w:type="gramStart"/>
            <w:r w:rsidR="00F7715D" w:rsidRPr="009D4C67">
              <w:rPr>
                <w:kern w:val="22"/>
                <w:sz w:val="22"/>
                <w:szCs w:val="22"/>
                <w:lang w:val="fr-FR"/>
              </w:rPr>
              <w:t>voir</w:t>
            </w:r>
            <w:proofErr w:type="gramEnd"/>
            <w:r w:rsidR="00F7715D" w:rsidRPr="009D4C67">
              <w:rPr>
                <w:kern w:val="22"/>
                <w:sz w:val="22"/>
                <w:szCs w:val="22"/>
                <w:lang w:val="fr-FR"/>
              </w:rPr>
              <w:t xml:space="preserve"> aussi « Mesures sur le site » ; « Perte d’habitats »).</w:t>
            </w:r>
          </w:p>
        </w:tc>
        <w:tc>
          <w:tcPr>
            <w:tcW w:w="6378" w:type="dxa"/>
          </w:tcPr>
          <w:p w14:paraId="21B75BF1" w14:textId="3929593C" w:rsidR="005322C2" w:rsidRPr="009D4C67" w:rsidRDefault="00E86A04" w:rsidP="006476DC">
            <w:pPr>
              <w:pStyle w:val="Para1"/>
              <w:suppressLineNumbers/>
              <w:suppressAutoHyphens/>
              <w:spacing w:before="40" w:after="40"/>
              <w:rPr>
                <w:kern w:val="22"/>
                <w:sz w:val="22"/>
                <w:szCs w:val="22"/>
                <w:lang w:val="fr-FR"/>
              </w:rPr>
            </w:pPr>
            <w:r w:rsidRPr="009D4C67">
              <w:rPr>
                <w:kern w:val="22"/>
                <w:sz w:val="22"/>
                <w:szCs w:val="22"/>
                <w:lang w:val="fr-FR"/>
              </w:rPr>
              <w:t>Les habitats sont abordés dans l’Objectif d’Aichi 5 (appauvrissement des habitats), l’Objectif d’Aichi 11 (aires protégées) et l’objectif d’Aichi 15 (restauration). Cependant, aucun de ces objectifs ne vise spécifiquement l’état des habitats.</w:t>
            </w:r>
          </w:p>
        </w:tc>
      </w:tr>
      <w:tr w:rsidR="005322C2" w:rsidRPr="008C0622" w14:paraId="50534573" w14:textId="77777777" w:rsidTr="006476DC">
        <w:trPr>
          <w:gridAfter w:val="1"/>
          <w:wAfter w:w="6" w:type="dxa"/>
          <w:cantSplit/>
          <w:jc w:val="center"/>
        </w:trPr>
        <w:tc>
          <w:tcPr>
            <w:tcW w:w="1921" w:type="dxa"/>
          </w:tcPr>
          <w:p w14:paraId="22FF7363" w14:textId="45A11EE8" w:rsidR="005322C2" w:rsidRPr="009D4C67" w:rsidRDefault="00A24F30" w:rsidP="006476DC">
            <w:pPr>
              <w:pStyle w:val="Para1"/>
              <w:suppressLineNumbers/>
              <w:suppressAutoHyphens/>
              <w:spacing w:before="40" w:after="40"/>
              <w:rPr>
                <w:kern w:val="22"/>
                <w:sz w:val="22"/>
                <w:szCs w:val="22"/>
                <w:lang w:val="fr-FR"/>
              </w:rPr>
            </w:pPr>
            <w:r w:rsidRPr="009D4C67">
              <w:rPr>
                <w:kern w:val="22"/>
                <w:sz w:val="22"/>
                <w:szCs w:val="22"/>
                <w:lang w:val="fr-FR"/>
              </w:rPr>
              <w:lastRenderedPageBreak/>
              <w:t>Espèces</w:t>
            </w:r>
          </w:p>
        </w:tc>
        <w:tc>
          <w:tcPr>
            <w:tcW w:w="5387" w:type="dxa"/>
          </w:tcPr>
          <w:p w14:paraId="3CFA61AD" w14:textId="11489ACF" w:rsidR="005322C2" w:rsidRPr="009D4C67" w:rsidRDefault="00F7715D" w:rsidP="006476DC">
            <w:pPr>
              <w:pStyle w:val="Para1"/>
              <w:suppressLineNumbers/>
              <w:suppressAutoHyphens/>
              <w:spacing w:before="40" w:after="40"/>
              <w:rPr>
                <w:kern w:val="22"/>
                <w:sz w:val="22"/>
                <w:szCs w:val="22"/>
                <w:lang w:val="fr-FR"/>
              </w:rPr>
            </w:pPr>
            <w:r w:rsidRPr="009D4C67">
              <w:rPr>
                <w:kern w:val="22"/>
                <w:sz w:val="22"/>
                <w:szCs w:val="22"/>
                <w:lang w:val="fr-FR"/>
              </w:rPr>
              <w:t xml:space="preserve">Une cible pourrait </w:t>
            </w:r>
            <w:r w:rsidR="0098411E">
              <w:rPr>
                <w:kern w:val="22"/>
                <w:sz w:val="22"/>
                <w:szCs w:val="22"/>
                <w:lang w:val="fr-FR"/>
              </w:rPr>
              <w:t>porter sur</w:t>
            </w:r>
            <w:r w:rsidRPr="009D4C67">
              <w:rPr>
                <w:kern w:val="22"/>
                <w:sz w:val="22"/>
                <w:szCs w:val="22"/>
                <w:lang w:val="fr-FR"/>
              </w:rPr>
              <w:t xml:space="preserve"> l’état des espèces (état de risque, abondance de la population) ; sur les espèces menacées et/ou les espèces courantes ; sur l’état de la diversité génétique</w:t>
            </w:r>
            <w:r w:rsidR="00E86A04" w:rsidRPr="009D4C67">
              <w:rPr>
                <w:kern w:val="22"/>
                <w:sz w:val="22"/>
                <w:szCs w:val="22"/>
                <w:lang w:val="fr-FR"/>
              </w:rPr>
              <w:t xml:space="preserve"> ; sur des espèces spécifiques (telles que les plantes cultivées), la diversité génétique plus généralement, ou la diversité </w:t>
            </w:r>
            <w:r w:rsidR="00F349FB" w:rsidRPr="009D4C67">
              <w:rPr>
                <w:kern w:val="22"/>
                <w:sz w:val="22"/>
                <w:szCs w:val="22"/>
                <w:lang w:val="fr-FR"/>
              </w:rPr>
              <w:t>phylogénétique.</w:t>
            </w:r>
          </w:p>
        </w:tc>
        <w:tc>
          <w:tcPr>
            <w:tcW w:w="6378" w:type="dxa"/>
          </w:tcPr>
          <w:p w14:paraId="6C81F2FA" w14:textId="71251C03" w:rsidR="005322C2" w:rsidRPr="009D4C67" w:rsidRDefault="00F349FB" w:rsidP="006476DC">
            <w:pPr>
              <w:pStyle w:val="Para1"/>
              <w:suppressLineNumbers/>
              <w:suppressAutoHyphens/>
              <w:spacing w:before="40" w:after="40"/>
              <w:rPr>
                <w:kern w:val="22"/>
                <w:sz w:val="22"/>
                <w:szCs w:val="22"/>
                <w:lang w:val="fr-FR"/>
              </w:rPr>
            </w:pPr>
            <w:r w:rsidRPr="009D4C67">
              <w:rPr>
                <w:kern w:val="22"/>
                <w:sz w:val="22"/>
                <w:szCs w:val="22"/>
                <w:lang w:val="fr-FR"/>
              </w:rPr>
              <w:t>L’Objectif d’Aichi</w:t>
            </w:r>
            <w:r w:rsidR="005322C2" w:rsidRPr="009D4C67">
              <w:rPr>
                <w:kern w:val="22"/>
                <w:sz w:val="22"/>
                <w:szCs w:val="22"/>
                <w:lang w:val="fr-FR"/>
              </w:rPr>
              <w:t xml:space="preserve"> 12 </w:t>
            </w:r>
            <w:r w:rsidRPr="009D4C67">
              <w:rPr>
                <w:kern w:val="22"/>
                <w:sz w:val="22"/>
                <w:szCs w:val="22"/>
                <w:lang w:val="fr-FR"/>
              </w:rPr>
              <w:t>est axé sur les espèces menacées (éviter l’extinction et améliorer l’état). Il n’aborde pas le déclin ou l’état des espèces courantes ou les questions relatives à l’abondance ou la santé des populations. La diversité génétique est abordée dans</w:t>
            </w:r>
            <w:r w:rsidR="00F544FD" w:rsidRPr="009D4C67">
              <w:rPr>
                <w:kern w:val="22"/>
                <w:sz w:val="22"/>
                <w:szCs w:val="22"/>
                <w:lang w:val="fr-FR"/>
              </w:rPr>
              <w:t xml:space="preserve"> </w:t>
            </w:r>
            <w:r w:rsidRPr="009D4C67">
              <w:rPr>
                <w:kern w:val="22"/>
                <w:sz w:val="22"/>
                <w:szCs w:val="22"/>
                <w:lang w:val="fr-FR"/>
              </w:rPr>
              <w:t xml:space="preserve">l’Objectif d’Aichi 13, qui met l’accent sur la </w:t>
            </w:r>
            <w:r w:rsidR="00F544FD" w:rsidRPr="009D4C67">
              <w:rPr>
                <w:kern w:val="22"/>
                <w:sz w:val="22"/>
                <w:szCs w:val="22"/>
                <w:lang w:val="fr-FR"/>
              </w:rPr>
              <w:t>sauvegarde de la diversité génétique et l’élaboration de stratégies pour réduire l’érosion génétique</w:t>
            </w:r>
            <w:r w:rsidR="005322C2" w:rsidRPr="009D4C67">
              <w:rPr>
                <w:kern w:val="22"/>
                <w:sz w:val="22"/>
                <w:szCs w:val="22"/>
                <w:lang w:val="fr-FR"/>
              </w:rPr>
              <w:t xml:space="preserve">. </w:t>
            </w:r>
            <w:r w:rsidR="00F544FD" w:rsidRPr="009D4C67">
              <w:rPr>
                <w:kern w:val="22"/>
                <w:sz w:val="22"/>
                <w:szCs w:val="22"/>
                <w:lang w:val="fr-FR"/>
              </w:rPr>
              <w:t>L’objectif met fortement l’accent sur la conservation de la diversité génétique des plantes cultivées et les animaux domestiques par rapport aux espèces sauvages. Bien qu’une certaine attention soit accordée aux « parents sauvages » et aux espèces « </w:t>
            </w:r>
            <w:r w:rsidR="00F544FD" w:rsidRPr="009D4C67">
              <w:rPr>
                <w:noProof/>
                <w:sz w:val="22"/>
                <w:szCs w:val="22"/>
                <w:lang w:val="fr-FR"/>
              </w:rPr>
              <w:t>qui ont une valeur socioéconomique ou culturelle », la description des espèces omet une grande partie des espèces sauvages qui constituent la vaste majorité de la diversité génétique de la planète.</w:t>
            </w:r>
          </w:p>
        </w:tc>
      </w:tr>
      <w:tr w:rsidR="004A25EC" w:rsidRPr="009D4C67" w14:paraId="792FC1BB" w14:textId="77777777" w:rsidTr="00A3166B">
        <w:trPr>
          <w:cantSplit/>
          <w:jc w:val="center"/>
        </w:trPr>
        <w:tc>
          <w:tcPr>
            <w:tcW w:w="13692" w:type="dxa"/>
            <w:gridSpan w:val="4"/>
            <w:shd w:val="clear" w:color="auto" w:fill="D9D9D9" w:themeFill="background1" w:themeFillShade="D9"/>
          </w:tcPr>
          <w:p w14:paraId="449DEA3B" w14:textId="3E303168" w:rsidR="005322C2" w:rsidRPr="009D4C67" w:rsidRDefault="00E125CA" w:rsidP="006476DC">
            <w:pPr>
              <w:pStyle w:val="Para1"/>
              <w:keepNext/>
              <w:suppressLineNumbers/>
              <w:suppressAutoHyphens/>
              <w:spacing w:before="40" w:after="40"/>
              <w:rPr>
                <w:b/>
                <w:kern w:val="22"/>
                <w:sz w:val="22"/>
                <w:szCs w:val="22"/>
                <w:lang w:val="fr-FR"/>
              </w:rPr>
            </w:pPr>
            <w:r w:rsidRPr="009D4C67">
              <w:rPr>
                <w:b/>
                <w:bCs/>
                <w:kern w:val="22"/>
                <w:sz w:val="22"/>
                <w:szCs w:val="22"/>
                <w:lang w:val="fr-FR"/>
              </w:rPr>
              <w:t>Facteurs directs</w:t>
            </w:r>
          </w:p>
        </w:tc>
      </w:tr>
      <w:tr w:rsidR="00233DFA" w:rsidRPr="008C0622" w14:paraId="0C60A786" w14:textId="77777777" w:rsidTr="006476DC">
        <w:trPr>
          <w:gridAfter w:val="1"/>
          <w:wAfter w:w="6" w:type="dxa"/>
          <w:cantSplit/>
          <w:jc w:val="center"/>
        </w:trPr>
        <w:tc>
          <w:tcPr>
            <w:tcW w:w="1921" w:type="dxa"/>
            <w:vMerge w:val="restart"/>
          </w:tcPr>
          <w:p w14:paraId="75CE8442" w14:textId="2C429326" w:rsidR="00233DFA" w:rsidRPr="009D4C67" w:rsidRDefault="009D4C67" w:rsidP="006476DC">
            <w:pPr>
              <w:pStyle w:val="Para1"/>
              <w:suppressLineNumbers/>
              <w:suppressAutoHyphens/>
              <w:spacing w:before="40" w:after="40"/>
              <w:rPr>
                <w:kern w:val="22"/>
                <w:sz w:val="22"/>
                <w:szCs w:val="22"/>
                <w:lang w:val="fr-FR"/>
              </w:rPr>
            </w:pPr>
            <w:r w:rsidRPr="009D4C67">
              <w:rPr>
                <w:kern w:val="22"/>
                <w:sz w:val="22"/>
                <w:szCs w:val="22"/>
                <w:lang w:val="fr-FR"/>
              </w:rPr>
              <w:t>Changements d’occupation des sols</w:t>
            </w:r>
          </w:p>
        </w:tc>
        <w:tc>
          <w:tcPr>
            <w:tcW w:w="5387" w:type="dxa"/>
          </w:tcPr>
          <w:p w14:paraId="0EB4C5D3" w14:textId="06B56805" w:rsidR="00233DFA" w:rsidRPr="009D4C67" w:rsidRDefault="009B15BD" w:rsidP="006476DC">
            <w:pPr>
              <w:pStyle w:val="Para1"/>
              <w:suppressLineNumbers/>
              <w:suppressAutoHyphens/>
              <w:spacing w:before="40" w:after="40"/>
              <w:rPr>
                <w:kern w:val="22"/>
                <w:sz w:val="22"/>
                <w:szCs w:val="22"/>
                <w:lang w:val="fr-FR"/>
              </w:rPr>
            </w:pPr>
            <w:r>
              <w:rPr>
                <w:kern w:val="22"/>
                <w:sz w:val="22"/>
                <w:szCs w:val="22"/>
                <w:lang w:val="fr-FR"/>
              </w:rPr>
              <w:t>Une cible sur la perte d’habitats pourrai</w:t>
            </w:r>
            <w:r w:rsidR="0098411E">
              <w:rPr>
                <w:kern w:val="22"/>
                <w:sz w:val="22"/>
                <w:szCs w:val="22"/>
                <w:lang w:val="fr-FR"/>
              </w:rPr>
              <w:t>t porter</w:t>
            </w:r>
            <w:r>
              <w:rPr>
                <w:kern w:val="22"/>
                <w:sz w:val="22"/>
                <w:szCs w:val="22"/>
                <w:lang w:val="fr-FR"/>
              </w:rPr>
              <w:t xml:space="preserve"> sur la réduction du rythme général de perte. Elle pourrait viser les habitats en général ou préciser des habitats spécifiques dont la perte est jugée particulière importante. Elle pourrait aussi porter sur des questions plus générales relatives à la planification de l’utilisation des terres, ce qui permettrait </w:t>
            </w:r>
            <w:r w:rsidR="00897EAA">
              <w:rPr>
                <w:kern w:val="22"/>
                <w:sz w:val="22"/>
                <w:szCs w:val="22"/>
                <w:lang w:val="fr-FR"/>
              </w:rPr>
              <w:t>aux questions liées à l’urbanisation d’être traitées.</w:t>
            </w:r>
          </w:p>
        </w:tc>
        <w:tc>
          <w:tcPr>
            <w:tcW w:w="6378" w:type="dxa"/>
          </w:tcPr>
          <w:p w14:paraId="4815EE38" w14:textId="470485E4" w:rsidR="00233DFA" w:rsidRPr="009D4C67" w:rsidRDefault="0009030E" w:rsidP="006476DC">
            <w:pPr>
              <w:pStyle w:val="Para1"/>
              <w:suppressLineNumbers/>
              <w:suppressAutoHyphens/>
              <w:spacing w:before="40" w:after="40"/>
              <w:rPr>
                <w:kern w:val="22"/>
                <w:sz w:val="22"/>
                <w:szCs w:val="22"/>
                <w:lang w:val="fr-FR"/>
              </w:rPr>
            </w:pPr>
            <w:r>
              <w:rPr>
                <w:kern w:val="22"/>
                <w:sz w:val="22"/>
                <w:szCs w:val="22"/>
                <w:lang w:val="fr-FR"/>
              </w:rPr>
              <w:t xml:space="preserve">L’appauvrissement des habitats est abordé </w:t>
            </w:r>
            <w:r w:rsidR="00B726F9">
              <w:rPr>
                <w:kern w:val="22"/>
                <w:sz w:val="22"/>
                <w:szCs w:val="22"/>
                <w:lang w:val="fr-FR"/>
              </w:rPr>
              <w:t>dans l’Objectif d’Aichi 5. Cet objectif, qui est de caractère général, contient un élément spécifique relatif aux forêts.</w:t>
            </w:r>
          </w:p>
        </w:tc>
      </w:tr>
      <w:tr w:rsidR="00233DFA" w:rsidRPr="008C0622" w14:paraId="11630625" w14:textId="77777777" w:rsidTr="006476DC">
        <w:trPr>
          <w:gridAfter w:val="1"/>
          <w:wAfter w:w="6" w:type="dxa"/>
          <w:cantSplit/>
          <w:jc w:val="center"/>
        </w:trPr>
        <w:tc>
          <w:tcPr>
            <w:tcW w:w="1921" w:type="dxa"/>
            <w:vMerge/>
          </w:tcPr>
          <w:p w14:paraId="496BC4DF" w14:textId="77777777" w:rsidR="00233DFA" w:rsidRPr="009D4C67" w:rsidRDefault="00233DFA" w:rsidP="006476DC">
            <w:pPr>
              <w:pStyle w:val="Para1"/>
              <w:suppressLineNumbers/>
              <w:suppressAutoHyphens/>
              <w:spacing w:before="40" w:after="40"/>
              <w:rPr>
                <w:kern w:val="22"/>
                <w:sz w:val="22"/>
                <w:szCs w:val="22"/>
                <w:lang w:val="fr-FR"/>
              </w:rPr>
            </w:pPr>
          </w:p>
        </w:tc>
        <w:tc>
          <w:tcPr>
            <w:tcW w:w="5387" w:type="dxa"/>
          </w:tcPr>
          <w:p w14:paraId="466C6F2F" w14:textId="28464267" w:rsidR="00233DFA" w:rsidRPr="009D4C67" w:rsidRDefault="0009030E" w:rsidP="006476DC">
            <w:pPr>
              <w:pStyle w:val="Para1"/>
              <w:suppressLineNumbers/>
              <w:suppressAutoHyphens/>
              <w:spacing w:before="40" w:after="40"/>
              <w:rPr>
                <w:kern w:val="22"/>
                <w:sz w:val="22"/>
                <w:szCs w:val="22"/>
                <w:lang w:val="fr-FR"/>
              </w:rPr>
            </w:pPr>
            <w:r>
              <w:rPr>
                <w:kern w:val="22"/>
                <w:sz w:val="22"/>
                <w:szCs w:val="22"/>
                <w:lang w:val="fr-FR"/>
              </w:rPr>
              <w:t xml:space="preserve">Une cible sur des mesures sur site pourrait </w:t>
            </w:r>
            <w:r w:rsidR="0098411E">
              <w:rPr>
                <w:kern w:val="22"/>
                <w:sz w:val="22"/>
                <w:szCs w:val="22"/>
                <w:lang w:val="fr-FR"/>
              </w:rPr>
              <w:t>porter</w:t>
            </w:r>
            <w:r>
              <w:rPr>
                <w:kern w:val="22"/>
                <w:sz w:val="22"/>
                <w:szCs w:val="22"/>
                <w:lang w:val="fr-FR"/>
              </w:rPr>
              <w:t xml:space="preserve"> sur la conservation de sites spécifiques au moyen d’aires protégées et d’autres mesures de conservation efficaces par zone. Elle pourrait viser la zone à conserver et/</w:t>
            </w:r>
            <w:proofErr w:type="gramStart"/>
            <w:r>
              <w:rPr>
                <w:kern w:val="22"/>
                <w:sz w:val="22"/>
                <w:szCs w:val="22"/>
                <w:lang w:val="fr-FR"/>
              </w:rPr>
              <w:t>ou  des</w:t>
            </w:r>
            <w:proofErr w:type="gramEnd"/>
            <w:r>
              <w:rPr>
                <w:kern w:val="22"/>
                <w:sz w:val="22"/>
                <w:szCs w:val="22"/>
                <w:lang w:val="fr-FR"/>
              </w:rPr>
              <w:t xml:space="preserve"> caractéristiques particulières de la biodiversité de sites, ainsi que l’efficacité de la gestion. Elle pourrait aussi </w:t>
            </w:r>
            <w:r w:rsidR="00765A53">
              <w:rPr>
                <w:kern w:val="22"/>
                <w:sz w:val="22"/>
                <w:szCs w:val="22"/>
                <w:lang w:val="fr-FR"/>
              </w:rPr>
              <w:t>vis</w:t>
            </w:r>
            <w:r w:rsidR="0098411E">
              <w:rPr>
                <w:kern w:val="22"/>
                <w:sz w:val="22"/>
                <w:szCs w:val="22"/>
                <w:lang w:val="fr-FR"/>
              </w:rPr>
              <w:t>er</w:t>
            </w:r>
            <w:r>
              <w:rPr>
                <w:kern w:val="22"/>
                <w:sz w:val="22"/>
                <w:szCs w:val="22"/>
                <w:lang w:val="fr-FR"/>
              </w:rPr>
              <w:t xml:space="preserve"> les caractéristiques au niveau du paysage, notamment la connectivité.</w:t>
            </w:r>
          </w:p>
        </w:tc>
        <w:tc>
          <w:tcPr>
            <w:tcW w:w="6378" w:type="dxa"/>
          </w:tcPr>
          <w:p w14:paraId="48F2458D" w14:textId="7F00B409" w:rsidR="00233DFA" w:rsidRPr="009D4C67" w:rsidRDefault="00B726F9" w:rsidP="006476DC">
            <w:pPr>
              <w:pStyle w:val="Para1"/>
              <w:suppressLineNumbers/>
              <w:suppressAutoHyphens/>
              <w:spacing w:before="40" w:after="40"/>
              <w:rPr>
                <w:kern w:val="22"/>
                <w:sz w:val="22"/>
                <w:szCs w:val="22"/>
                <w:lang w:val="fr-FR"/>
              </w:rPr>
            </w:pPr>
            <w:r>
              <w:rPr>
                <w:kern w:val="22"/>
                <w:sz w:val="22"/>
                <w:szCs w:val="22"/>
                <w:lang w:val="fr-FR"/>
              </w:rPr>
              <w:t>Cette question est abordée dans l’Objectif d’Aichi 11, objectif axé sur les résultats qui se réfère aux aspects quantitatifs et qualitatifs des aires protégées et autres mesures efficaces de conservation par zone. Au-delà des aires officiellement protégées, une cible sur la rétention des habitats naturels de manière plus générale pourrait s’avérer nécessaire, de même qu’une cible relative à la protection sur site.</w:t>
            </w:r>
          </w:p>
        </w:tc>
      </w:tr>
      <w:tr w:rsidR="00233DFA" w:rsidRPr="008C0622" w14:paraId="45F2BDCB" w14:textId="77777777" w:rsidTr="006476DC">
        <w:trPr>
          <w:gridAfter w:val="1"/>
          <w:wAfter w:w="6" w:type="dxa"/>
          <w:cantSplit/>
          <w:jc w:val="center"/>
        </w:trPr>
        <w:tc>
          <w:tcPr>
            <w:tcW w:w="1921" w:type="dxa"/>
            <w:vMerge/>
          </w:tcPr>
          <w:p w14:paraId="2A69219C" w14:textId="77777777" w:rsidR="00233DFA" w:rsidRPr="009D4C67" w:rsidRDefault="00233DFA" w:rsidP="006476DC">
            <w:pPr>
              <w:pStyle w:val="Para1"/>
              <w:suppressLineNumbers/>
              <w:suppressAutoHyphens/>
              <w:spacing w:before="40" w:after="40"/>
              <w:rPr>
                <w:kern w:val="22"/>
                <w:sz w:val="22"/>
                <w:szCs w:val="22"/>
                <w:lang w:val="fr-FR"/>
              </w:rPr>
            </w:pPr>
          </w:p>
        </w:tc>
        <w:tc>
          <w:tcPr>
            <w:tcW w:w="5387" w:type="dxa"/>
          </w:tcPr>
          <w:p w14:paraId="1E3B3A36" w14:textId="33818302" w:rsidR="00233DFA" w:rsidRPr="009D4C67" w:rsidRDefault="00B726F9" w:rsidP="006476DC">
            <w:pPr>
              <w:pStyle w:val="Para1"/>
              <w:suppressLineNumbers/>
              <w:suppressAutoHyphens/>
              <w:spacing w:before="40" w:after="40"/>
              <w:rPr>
                <w:kern w:val="22"/>
                <w:sz w:val="22"/>
                <w:szCs w:val="22"/>
                <w:lang w:val="fr-FR"/>
              </w:rPr>
            </w:pPr>
            <w:r>
              <w:rPr>
                <w:kern w:val="22"/>
                <w:sz w:val="22"/>
                <w:szCs w:val="22"/>
                <w:lang w:val="fr-FR"/>
              </w:rPr>
              <w:t xml:space="preserve">Une cible relative à la restauration pourrait </w:t>
            </w:r>
            <w:r w:rsidR="0098411E">
              <w:rPr>
                <w:kern w:val="22"/>
                <w:sz w:val="22"/>
                <w:szCs w:val="22"/>
                <w:lang w:val="fr-FR"/>
              </w:rPr>
              <w:t>porter</w:t>
            </w:r>
            <w:r>
              <w:rPr>
                <w:kern w:val="22"/>
                <w:sz w:val="22"/>
                <w:szCs w:val="22"/>
                <w:lang w:val="fr-FR"/>
              </w:rPr>
              <w:t xml:space="preserve"> sur la restauration de zones converties et dégradées ; sur la zone à restaurer</w:t>
            </w:r>
            <w:r w:rsidR="00ED562E">
              <w:rPr>
                <w:kern w:val="22"/>
                <w:sz w:val="22"/>
                <w:szCs w:val="22"/>
                <w:lang w:val="fr-FR"/>
              </w:rPr>
              <w:t xml:space="preserve"> et/ou la biodiversité ou </w:t>
            </w:r>
            <w:r w:rsidR="00E1319D">
              <w:rPr>
                <w:kern w:val="22"/>
                <w:sz w:val="22"/>
                <w:szCs w:val="22"/>
                <w:lang w:val="fr-FR"/>
              </w:rPr>
              <w:t>devant bénéficier d’une telle restauration. Elle pourrait être de caractère général ou préciser des types particuliers d’habitats et d’écosystèmes.</w:t>
            </w:r>
          </w:p>
        </w:tc>
        <w:tc>
          <w:tcPr>
            <w:tcW w:w="6378" w:type="dxa"/>
          </w:tcPr>
          <w:p w14:paraId="6134E99B" w14:textId="7BB1D153" w:rsidR="00233DFA" w:rsidRPr="009D4C67" w:rsidRDefault="00CC45AA" w:rsidP="006476DC">
            <w:pPr>
              <w:pStyle w:val="Para1"/>
              <w:suppressLineNumbers/>
              <w:suppressAutoHyphens/>
              <w:spacing w:before="40" w:after="40"/>
              <w:rPr>
                <w:kern w:val="22"/>
                <w:sz w:val="22"/>
                <w:szCs w:val="22"/>
                <w:lang w:val="fr-FR"/>
              </w:rPr>
            </w:pPr>
            <w:r>
              <w:rPr>
                <w:kern w:val="22"/>
                <w:sz w:val="22"/>
                <w:szCs w:val="22"/>
                <w:lang w:val="fr-FR"/>
              </w:rPr>
              <w:t>Cette question est abordée dans l’Objectif d’Aichi 15, objectif axé sur les résultats qui met l’accent sur la résilience des écosystèmes, la séquestration du carbone et la restauration de 1</w:t>
            </w:r>
            <w:r w:rsidR="00233DFA" w:rsidRPr="009D4C67">
              <w:rPr>
                <w:kern w:val="22"/>
                <w:sz w:val="22"/>
                <w:szCs w:val="22"/>
                <w:lang w:val="fr-FR"/>
              </w:rPr>
              <w:t xml:space="preserve">5% </w:t>
            </w:r>
            <w:r>
              <w:rPr>
                <w:kern w:val="22"/>
                <w:sz w:val="22"/>
                <w:szCs w:val="22"/>
                <w:lang w:val="fr-FR"/>
              </w:rPr>
              <w:t xml:space="preserve">des écosystèmes dégradés. </w:t>
            </w:r>
            <w:r w:rsidR="003B7EEF">
              <w:rPr>
                <w:kern w:val="22"/>
                <w:sz w:val="22"/>
                <w:szCs w:val="22"/>
                <w:lang w:val="fr-FR"/>
              </w:rPr>
              <w:t>Cependant, l’accent mis sur une étendue quantitative n’optimise pas la restauration de la biodiversité.</w:t>
            </w:r>
          </w:p>
        </w:tc>
      </w:tr>
      <w:tr w:rsidR="005322C2" w:rsidRPr="009D4C67" w14:paraId="72A52BB6" w14:textId="77777777" w:rsidTr="006476DC">
        <w:trPr>
          <w:gridAfter w:val="1"/>
          <w:wAfter w:w="6" w:type="dxa"/>
          <w:cantSplit/>
          <w:jc w:val="center"/>
        </w:trPr>
        <w:tc>
          <w:tcPr>
            <w:tcW w:w="1921" w:type="dxa"/>
          </w:tcPr>
          <w:p w14:paraId="005DD142" w14:textId="3245E527" w:rsidR="005322C2" w:rsidRPr="009D4C67" w:rsidRDefault="008801C8" w:rsidP="006476DC">
            <w:pPr>
              <w:pStyle w:val="Para1"/>
              <w:suppressLineNumbers/>
              <w:suppressAutoHyphens/>
              <w:spacing w:before="40" w:after="40"/>
              <w:rPr>
                <w:kern w:val="22"/>
                <w:sz w:val="22"/>
                <w:szCs w:val="22"/>
                <w:lang w:val="fr-FR"/>
              </w:rPr>
            </w:pPr>
            <w:r>
              <w:rPr>
                <w:kern w:val="22"/>
                <w:sz w:val="22"/>
                <w:szCs w:val="22"/>
                <w:lang w:val="fr-FR"/>
              </w:rPr>
              <w:t>Surexploitation</w:t>
            </w:r>
          </w:p>
        </w:tc>
        <w:tc>
          <w:tcPr>
            <w:tcW w:w="5387" w:type="dxa"/>
          </w:tcPr>
          <w:p w14:paraId="2A318641" w14:textId="136654D5" w:rsidR="005322C2" w:rsidRPr="009D4C67" w:rsidRDefault="00E1319D" w:rsidP="006476DC">
            <w:pPr>
              <w:pStyle w:val="Para1"/>
              <w:suppressLineNumbers/>
              <w:suppressAutoHyphens/>
              <w:spacing w:before="40" w:after="40"/>
              <w:rPr>
                <w:kern w:val="22"/>
                <w:sz w:val="22"/>
                <w:szCs w:val="22"/>
                <w:lang w:val="fr-FR"/>
              </w:rPr>
            </w:pPr>
            <w:r>
              <w:rPr>
                <w:kern w:val="22"/>
                <w:sz w:val="22"/>
                <w:szCs w:val="22"/>
                <w:lang w:val="fr-FR"/>
              </w:rPr>
              <w:t>Des cibles relatives à la surexploitation des ressources vivantes (terrestres, marines et d’eau douce) pourraient aus</w:t>
            </w:r>
            <w:r w:rsidR="0098411E">
              <w:rPr>
                <w:kern w:val="22"/>
                <w:sz w:val="22"/>
                <w:szCs w:val="22"/>
                <w:lang w:val="fr-FR"/>
              </w:rPr>
              <w:t>si porter</w:t>
            </w:r>
            <w:r>
              <w:rPr>
                <w:kern w:val="22"/>
                <w:sz w:val="22"/>
                <w:szCs w:val="22"/>
                <w:lang w:val="fr-FR"/>
              </w:rPr>
              <w:t xml:space="preserve"> sur la gestion des récoltes et du commerce, les incitations et le choix des consommateurs (gestion de la demande).</w:t>
            </w:r>
          </w:p>
        </w:tc>
        <w:tc>
          <w:tcPr>
            <w:tcW w:w="6378" w:type="dxa"/>
          </w:tcPr>
          <w:p w14:paraId="48F824B6" w14:textId="08118EE4" w:rsidR="005322C2" w:rsidRPr="009D4C67" w:rsidRDefault="003B7EEF" w:rsidP="006476DC">
            <w:pPr>
              <w:pStyle w:val="Para1"/>
              <w:suppressLineNumbers/>
              <w:suppressAutoHyphens/>
              <w:spacing w:before="40" w:after="40"/>
              <w:rPr>
                <w:kern w:val="22"/>
                <w:sz w:val="22"/>
                <w:szCs w:val="22"/>
                <w:lang w:val="fr-FR"/>
              </w:rPr>
            </w:pPr>
            <w:r>
              <w:rPr>
                <w:kern w:val="22"/>
                <w:sz w:val="22"/>
                <w:szCs w:val="22"/>
                <w:lang w:val="fr-FR"/>
              </w:rPr>
              <w:t>La gestion durable est abordée dans l’Objectif d’Aichi 6 (pour les ressources vivantes aquatiques) qui met l’accent en grande partie sur le milieu marin. Il n’y a pas d’objectif connexe pour les espèces terrestres. L’objectif 6 ne traite pas directement du commerce.</w:t>
            </w:r>
          </w:p>
        </w:tc>
      </w:tr>
      <w:tr w:rsidR="005322C2" w:rsidRPr="008C0622" w14:paraId="3C0FFADB" w14:textId="77777777" w:rsidTr="006476DC">
        <w:trPr>
          <w:gridAfter w:val="1"/>
          <w:wAfter w:w="6" w:type="dxa"/>
          <w:cantSplit/>
          <w:jc w:val="center"/>
        </w:trPr>
        <w:tc>
          <w:tcPr>
            <w:tcW w:w="1921" w:type="dxa"/>
          </w:tcPr>
          <w:p w14:paraId="7B6FB943" w14:textId="76540CEC" w:rsidR="005322C2" w:rsidRPr="009D4C67" w:rsidRDefault="008801C8" w:rsidP="006476DC">
            <w:pPr>
              <w:pStyle w:val="Para1"/>
              <w:suppressLineNumbers/>
              <w:suppressAutoHyphens/>
              <w:spacing w:before="40" w:after="40"/>
              <w:rPr>
                <w:kern w:val="22"/>
                <w:sz w:val="22"/>
                <w:szCs w:val="22"/>
                <w:lang w:val="fr-FR"/>
              </w:rPr>
            </w:pPr>
            <w:r>
              <w:rPr>
                <w:kern w:val="22"/>
                <w:sz w:val="22"/>
                <w:szCs w:val="22"/>
                <w:lang w:val="fr-FR"/>
              </w:rPr>
              <w:t>Espèces exotiques envahissantes</w:t>
            </w:r>
          </w:p>
        </w:tc>
        <w:tc>
          <w:tcPr>
            <w:tcW w:w="5387" w:type="dxa"/>
          </w:tcPr>
          <w:p w14:paraId="08233116" w14:textId="1345E38A" w:rsidR="005322C2" w:rsidRPr="009D4C67" w:rsidRDefault="00E1319D" w:rsidP="006476DC">
            <w:pPr>
              <w:pStyle w:val="Para1"/>
              <w:suppressLineNumbers/>
              <w:suppressAutoHyphens/>
              <w:spacing w:before="40" w:after="40"/>
              <w:rPr>
                <w:kern w:val="22"/>
                <w:sz w:val="22"/>
                <w:szCs w:val="22"/>
                <w:lang w:val="fr-FR"/>
              </w:rPr>
            </w:pPr>
            <w:r>
              <w:rPr>
                <w:kern w:val="22"/>
                <w:sz w:val="22"/>
                <w:szCs w:val="22"/>
                <w:lang w:val="fr-FR"/>
              </w:rPr>
              <w:t>Une cible sur les espèces exotiques envahissantes pourrait traiter de questions liées à la prévention de l’introduction d’espèces exotiques envahissantes, de leur contrôle ou de leur éradication.</w:t>
            </w:r>
          </w:p>
        </w:tc>
        <w:tc>
          <w:tcPr>
            <w:tcW w:w="6378" w:type="dxa"/>
          </w:tcPr>
          <w:p w14:paraId="491EC247" w14:textId="7FC78231" w:rsidR="005322C2" w:rsidRPr="009D4C67" w:rsidRDefault="003B7EEF" w:rsidP="006476DC">
            <w:pPr>
              <w:pStyle w:val="Para1"/>
              <w:suppressLineNumbers/>
              <w:suppressAutoHyphens/>
              <w:spacing w:before="40" w:after="40"/>
              <w:rPr>
                <w:kern w:val="22"/>
                <w:sz w:val="22"/>
                <w:szCs w:val="22"/>
                <w:lang w:val="fr-FR"/>
              </w:rPr>
            </w:pPr>
            <w:r>
              <w:rPr>
                <w:kern w:val="22"/>
                <w:sz w:val="22"/>
                <w:szCs w:val="22"/>
                <w:lang w:val="fr-FR"/>
              </w:rPr>
              <w:t>Les espèces exotiques envahissantes sont abordées dans l’Objectif d’Aichi 9, objectif axé sur les mesures et les résultats lié au contrôle, à l’éradication et à la gestion des espèces exotiques envahissantes et à leurs voies d’introduction.</w:t>
            </w:r>
          </w:p>
        </w:tc>
      </w:tr>
      <w:tr w:rsidR="005322C2" w:rsidRPr="008C0622" w14:paraId="4D486AF5" w14:textId="77777777" w:rsidTr="006476DC">
        <w:trPr>
          <w:gridAfter w:val="1"/>
          <w:wAfter w:w="6" w:type="dxa"/>
          <w:cantSplit/>
          <w:jc w:val="center"/>
        </w:trPr>
        <w:tc>
          <w:tcPr>
            <w:tcW w:w="1921" w:type="dxa"/>
          </w:tcPr>
          <w:p w14:paraId="39E25E5E" w14:textId="74EE0C86" w:rsidR="005322C2" w:rsidRPr="009D4C67" w:rsidRDefault="005322C2" w:rsidP="006476DC">
            <w:pPr>
              <w:pStyle w:val="Para1"/>
              <w:suppressLineNumbers/>
              <w:suppressAutoHyphens/>
              <w:spacing w:before="40" w:after="40"/>
              <w:rPr>
                <w:kern w:val="22"/>
                <w:sz w:val="22"/>
                <w:szCs w:val="22"/>
                <w:lang w:val="fr-FR"/>
              </w:rPr>
            </w:pPr>
            <w:r w:rsidRPr="009D4C67">
              <w:rPr>
                <w:kern w:val="22"/>
                <w:sz w:val="22"/>
                <w:szCs w:val="22"/>
                <w:lang w:val="fr-FR"/>
              </w:rPr>
              <w:t>C</w:t>
            </w:r>
            <w:r w:rsidR="008801C8">
              <w:rPr>
                <w:kern w:val="22"/>
                <w:sz w:val="22"/>
                <w:szCs w:val="22"/>
                <w:lang w:val="fr-FR"/>
              </w:rPr>
              <w:t>hangements climatiques</w:t>
            </w:r>
          </w:p>
        </w:tc>
        <w:tc>
          <w:tcPr>
            <w:tcW w:w="5387" w:type="dxa"/>
          </w:tcPr>
          <w:p w14:paraId="3C4B1A7C" w14:textId="247B5052" w:rsidR="005322C2" w:rsidRPr="009D4C67" w:rsidRDefault="00E1319D" w:rsidP="006476DC">
            <w:pPr>
              <w:pStyle w:val="Para1"/>
              <w:suppressLineNumbers/>
              <w:suppressAutoHyphens/>
              <w:spacing w:before="40" w:after="40"/>
              <w:rPr>
                <w:kern w:val="22"/>
                <w:sz w:val="22"/>
                <w:szCs w:val="22"/>
                <w:lang w:val="fr-FR"/>
              </w:rPr>
            </w:pPr>
            <w:r>
              <w:rPr>
                <w:kern w:val="22"/>
                <w:sz w:val="22"/>
                <w:szCs w:val="22"/>
                <w:lang w:val="fr-FR"/>
              </w:rPr>
              <w:t xml:space="preserve">Une cible </w:t>
            </w:r>
            <w:r w:rsidR="00CC45AA">
              <w:rPr>
                <w:kern w:val="22"/>
                <w:sz w:val="22"/>
                <w:szCs w:val="22"/>
                <w:lang w:val="fr-FR"/>
              </w:rPr>
              <w:t xml:space="preserve">relative aux changements climatiques </w:t>
            </w:r>
            <w:proofErr w:type="gramStart"/>
            <w:r w:rsidR="00CC45AA">
              <w:rPr>
                <w:kern w:val="22"/>
                <w:sz w:val="22"/>
                <w:szCs w:val="22"/>
                <w:lang w:val="fr-FR"/>
              </w:rPr>
              <w:t>pourraient</w:t>
            </w:r>
            <w:proofErr w:type="gramEnd"/>
            <w:r w:rsidR="00CC45AA">
              <w:rPr>
                <w:kern w:val="22"/>
                <w:sz w:val="22"/>
                <w:szCs w:val="22"/>
                <w:lang w:val="fr-FR"/>
              </w:rPr>
              <w:t xml:space="preserve"> les aborder en tant que principal facteur de perte de biodiversité. Elle pourrait mettre l’accent sur le rôle que la biodiversité peut jouer en tant que solution fondée sur la nature à la réduction des effets des changements climatiques ou l’adaptation à ceux-ci.</w:t>
            </w:r>
          </w:p>
        </w:tc>
        <w:tc>
          <w:tcPr>
            <w:tcW w:w="6378" w:type="dxa"/>
          </w:tcPr>
          <w:p w14:paraId="2843D4D3" w14:textId="1DDCF19B" w:rsidR="005322C2" w:rsidRPr="009D4C67" w:rsidRDefault="003B7EEF" w:rsidP="006476DC">
            <w:pPr>
              <w:pStyle w:val="Para1"/>
              <w:suppressLineNumbers/>
              <w:suppressAutoHyphens/>
              <w:spacing w:before="40" w:after="40"/>
              <w:rPr>
                <w:kern w:val="22"/>
                <w:sz w:val="22"/>
                <w:szCs w:val="22"/>
                <w:lang w:val="fr-FR"/>
              </w:rPr>
            </w:pPr>
            <w:r>
              <w:rPr>
                <w:kern w:val="22"/>
                <w:sz w:val="22"/>
                <w:szCs w:val="22"/>
                <w:lang w:val="fr-FR"/>
              </w:rPr>
              <w:t>L’Objectif d’Aichi</w:t>
            </w:r>
            <w:r w:rsidR="005322C2" w:rsidRPr="009D4C67">
              <w:rPr>
                <w:kern w:val="22"/>
                <w:sz w:val="22"/>
                <w:szCs w:val="22"/>
                <w:lang w:val="fr-FR"/>
              </w:rPr>
              <w:t xml:space="preserve"> 10,</w:t>
            </w:r>
            <w:r>
              <w:rPr>
                <w:kern w:val="22"/>
                <w:sz w:val="22"/>
                <w:szCs w:val="22"/>
                <w:lang w:val="fr-FR"/>
              </w:rPr>
              <w:t xml:space="preserve"> axé sur les résultats,</w:t>
            </w:r>
            <w:r w:rsidR="005322C2" w:rsidRPr="009D4C67">
              <w:rPr>
                <w:kern w:val="22"/>
                <w:sz w:val="22"/>
                <w:szCs w:val="22"/>
                <w:lang w:val="fr-FR"/>
              </w:rPr>
              <w:t xml:space="preserve"> </w:t>
            </w:r>
            <w:r w:rsidR="003C1EE0">
              <w:rPr>
                <w:kern w:val="22"/>
                <w:sz w:val="22"/>
                <w:szCs w:val="22"/>
                <w:lang w:val="fr-FR"/>
              </w:rPr>
              <w:t>met l’accent sur la réduction des pressions exercées sur les habitats particulièrement vulnérables aux effets des changements climatiques, notamment les récifs coralliens. Cet objectif ne traite pas directement des changements climatiques en tant que facteur de perte de biodiversité.</w:t>
            </w:r>
          </w:p>
        </w:tc>
      </w:tr>
      <w:tr w:rsidR="005322C2" w:rsidRPr="008C0622" w14:paraId="0154FF97" w14:textId="77777777" w:rsidTr="006476DC">
        <w:trPr>
          <w:gridAfter w:val="1"/>
          <w:wAfter w:w="6" w:type="dxa"/>
          <w:cantSplit/>
          <w:jc w:val="center"/>
        </w:trPr>
        <w:tc>
          <w:tcPr>
            <w:tcW w:w="1921" w:type="dxa"/>
          </w:tcPr>
          <w:p w14:paraId="134C8764" w14:textId="77777777" w:rsidR="005322C2" w:rsidRPr="009D4C67" w:rsidRDefault="005322C2" w:rsidP="006476DC">
            <w:pPr>
              <w:pStyle w:val="Para1"/>
              <w:suppressLineNumbers/>
              <w:suppressAutoHyphens/>
              <w:spacing w:before="40" w:after="40"/>
              <w:rPr>
                <w:kern w:val="22"/>
                <w:sz w:val="22"/>
                <w:szCs w:val="22"/>
                <w:lang w:val="fr-FR"/>
              </w:rPr>
            </w:pPr>
            <w:r w:rsidRPr="009D4C67">
              <w:rPr>
                <w:kern w:val="22"/>
                <w:sz w:val="22"/>
                <w:szCs w:val="22"/>
                <w:lang w:val="fr-FR"/>
              </w:rPr>
              <w:t>Pollution</w:t>
            </w:r>
          </w:p>
        </w:tc>
        <w:tc>
          <w:tcPr>
            <w:tcW w:w="5387" w:type="dxa"/>
          </w:tcPr>
          <w:p w14:paraId="79F2CAAF" w14:textId="703237A1" w:rsidR="005322C2" w:rsidRPr="009D4C67" w:rsidRDefault="00CC45AA" w:rsidP="006476DC">
            <w:pPr>
              <w:pStyle w:val="Para1"/>
              <w:suppressLineNumbers/>
              <w:suppressAutoHyphens/>
              <w:spacing w:before="40" w:after="40"/>
              <w:rPr>
                <w:kern w:val="22"/>
                <w:sz w:val="22"/>
                <w:szCs w:val="22"/>
                <w:lang w:val="fr-FR"/>
              </w:rPr>
            </w:pPr>
            <w:r>
              <w:rPr>
                <w:kern w:val="22"/>
                <w:sz w:val="22"/>
                <w:szCs w:val="22"/>
                <w:lang w:val="fr-FR"/>
              </w:rPr>
              <w:t xml:space="preserve">Une cible pourrait </w:t>
            </w:r>
            <w:r w:rsidR="0098411E">
              <w:rPr>
                <w:kern w:val="22"/>
                <w:sz w:val="22"/>
                <w:szCs w:val="22"/>
                <w:lang w:val="fr-FR"/>
              </w:rPr>
              <w:t>traiter d</w:t>
            </w:r>
            <w:r>
              <w:rPr>
                <w:kern w:val="22"/>
                <w:sz w:val="22"/>
                <w:szCs w:val="22"/>
                <w:lang w:val="fr-FR"/>
              </w:rPr>
              <w:t>es principaux types de pollution, y compris les nutriments, les pesticides et autres produits chimiques, ainsi que les plastiques. Elle pourrait aussi traiter de questions liées à la gestion des déchets.</w:t>
            </w:r>
          </w:p>
        </w:tc>
        <w:tc>
          <w:tcPr>
            <w:tcW w:w="6378" w:type="dxa"/>
          </w:tcPr>
          <w:p w14:paraId="7256A717" w14:textId="0455F1CD" w:rsidR="005322C2" w:rsidRPr="009D4C67" w:rsidRDefault="003C1EE0" w:rsidP="006476DC">
            <w:pPr>
              <w:pStyle w:val="Para1"/>
              <w:suppressLineNumbers/>
              <w:suppressAutoHyphens/>
              <w:spacing w:before="40" w:after="40"/>
              <w:rPr>
                <w:kern w:val="22"/>
                <w:sz w:val="22"/>
                <w:szCs w:val="22"/>
                <w:lang w:val="fr-FR"/>
              </w:rPr>
            </w:pPr>
            <w:r>
              <w:rPr>
                <w:kern w:val="22"/>
                <w:sz w:val="22"/>
                <w:szCs w:val="22"/>
                <w:lang w:val="fr-FR"/>
              </w:rPr>
              <w:t>La pollution est abordée dans l’Objectif d’Aichi 8. Cet objectif met l’accent sur la réduction de la pollution, notamment l’excès d’éléments nutritifs, en général.</w:t>
            </w:r>
          </w:p>
        </w:tc>
      </w:tr>
      <w:tr w:rsidR="004A25EC" w:rsidRPr="008C0622" w14:paraId="55515013" w14:textId="77777777" w:rsidTr="00A3166B">
        <w:trPr>
          <w:cantSplit/>
          <w:jc w:val="center"/>
        </w:trPr>
        <w:tc>
          <w:tcPr>
            <w:tcW w:w="13692" w:type="dxa"/>
            <w:gridSpan w:val="4"/>
            <w:shd w:val="clear" w:color="auto" w:fill="D9D9D9" w:themeFill="background1" w:themeFillShade="D9"/>
          </w:tcPr>
          <w:p w14:paraId="396E3E1A" w14:textId="42C84153" w:rsidR="005322C2" w:rsidRPr="009D4C67" w:rsidRDefault="005322C2" w:rsidP="006476DC">
            <w:pPr>
              <w:pStyle w:val="Para1"/>
              <w:suppressLineNumbers/>
              <w:suppressAutoHyphens/>
              <w:spacing w:before="40" w:after="40"/>
              <w:rPr>
                <w:b/>
                <w:bCs/>
                <w:kern w:val="22"/>
                <w:sz w:val="22"/>
                <w:szCs w:val="22"/>
                <w:lang w:val="fr-FR"/>
              </w:rPr>
            </w:pPr>
            <w:r w:rsidRPr="009D4C67">
              <w:rPr>
                <w:b/>
                <w:bCs/>
                <w:kern w:val="22"/>
                <w:sz w:val="22"/>
                <w:szCs w:val="22"/>
                <w:lang w:val="fr-FR"/>
              </w:rPr>
              <w:t>U</w:t>
            </w:r>
            <w:r w:rsidR="008801C8">
              <w:rPr>
                <w:b/>
                <w:bCs/>
                <w:kern w:val="22"/>
                <w:sz w:val="22"/>
                <w:szCs w:val="22"/>
                <w:lang w:val="fr-FR"/>
              </w:rPr>
              <w:t>tilisation et valeur de la nature</w:t>
            </w:r>
          </w:p>
        </w:tc>
      </w:tr>
      <w:tr w:rsidR="00233DFA" w:rsidRPr="008C0622" w14:paraId="757685DA" w14:textId="77777777" w:rsidTr="006476DC">
        <w:trPr>
          <w:gridAfter w:val="1"/>
          <w:wAfter w:w="6" w:type="dxa"/>
          <w:cantSplit/>
          <w:jc w:val="center"/>
        </w:trPr>
        <w:tc>
          <w:tcPr>
            <w:tcW w:w="1921" w:type="dxa"/>
          </w:tcPr>
          <w:p w14:paraId="6FA7329D" w14:textId="5275C69F" w:rsidR="00233DFA" w:rsidRPr="009D4C67" w:rsidRDefault="008801C8" w:rsidP="006476DC">
            <w:pPr>
              <w:pStyle w:val="Para1"/>
              <w:suppressLineNumbers/>
              <w:suppressAutoHyphens/>
              <w:spacing w:before="40" w:after="40"/>
              <w:rPr>
                <w:kern w:val="22"/>
                <w:sz w:val="22"/>
                <w:szCs w:val="22"/>
                <w:lang w:val="fr-FR"/>
              </w:rPr>
            </w:pPr>
            <w:r>
              <w:rPr>
                <w:kern w:val="22"/>
                <w:sz w:val="22"/>
                <w:szCs w:val="22"/>
                <w:lang w:val="fr-FR"/>
              </w:rPr>
              <w:t>Biens matériels fournis par la nature</w:t>
            </w:r>
          </w:p>
        </w:tc>
        <w:tc>
          <w:tcPr>
            <w:tcW w:w="5387" w:type="dxa"/>
          </w:tcPr>
          <w:p w14:paraId="7C4DA851" w14:textId="50F3BACB" w:rsidR="00233DFA" w:rsidRPr="009D4C67" w:rsidRDefault="008801C8" w:rsidP="006476DC">
            <w:pPr>
              <w:pStyle w:val="Para1"/>
              <w:suppressLineNumbers/>
              <w:suppressAutoHyphens/>
              <w:spacing w:before="40" w:after="40"/>
              <w:rPr>
                <w:kern w:val="22"/>
                <w:sz w:val="22"/>
                <w:szCs w:val="22"/>
                <w:lang w:val="fr-FR"/>
              </w:rPr>
            </w:pPr>
            <w:r>
              <w:rPr>
                <w:kern w:val="22"/>
                <w:sz w:val="22"/>
                <w:szCs w:val="22"/>
                <w:lang w:val="fr-FR"/>
              </w:rPr>
              <w:t xml:space="preserve">Des cibles pourraient viser comment </w:t>
            </w:r>
            <w:r w:rsidR="0098411E">
              <w:rPr>
                <w:kern w:val="22"/>
                <w:sz w:val="22"/>
                <w:szCs w:val="22"/>
                <w:lang w:val="fr-FR"/>
              </w:rPr>
              <w:t xml:space="preserve">la nature </w:t>
            </w:r>
            <w:r>
              <w:rPr>
                <w:kern w:val="22"/>
                <w:sz w:val="22"/>
                <w:szCs w:val="22"/>
                <w:lang w:val="fr-FR"/>
              </w:rPr>
              <w:t>répond aux besoins des populations et fournit des moyens de subsistance aux communautés et aux sociétés (valeur du dollar, volume de bois d’œuvre, volume de poisson, etc.).</w:t>
            </w:r>
          </w:p>
        </w:tc>
        <w:tc>
          <w:tcPr>
            <w:tcW w:w="6378" w:type="dxa"/>
            <w:vMerge w:val="restart"/>
          </w:tcPr>
          <w:p w14:paraId="4A3F3239" w14:textId="0C4BC2D7" w:rsidR="00233DFA" w:rsidRPr="009D4C67" w:rsidRDefault="00B25965" w:rsidP="006476DC">
            <w:pPr>
              <w:pStyle w:val="Para1"/>
              <w:suppressLineNumbers/>
              <w:suppressAutoHyphens/>
              <w:spacing w:before="40" w:after="40"/>
              <w:rPr>
                <w:kern w:val="22"/>
                <w:sz w:val="22"/>
                <w:szCs w:val="22"/>
                <w:lang w:val="fr-FR"/>
              </w:rPr>
            </w:pPr>
            <w:r>
              <w:rPr>
                <w:kern w:val="22"/>
                <w:sz w:val="22"/>
                <w:szCs w:val="22"/>
                <w:lang w:val="fr-FR"/>
              </w:rPr>
              <w:t xml:space="preserve">Cette question est abordée dans l’Objectif d’Aichi 14, qui met l’accent sur la protection et la restauration des écosystèmes </w:t>
            </w:r>
            <w:r w:rsidR="001312BE">
              <w:rPr>
                <w:kern w:val="22"/>
                <w:sz w:val="22"/>
                <w:szCs w:val="22"/>
                <w:lang w:val="fr-FR"/>
              </w:rPr>
              <w:t>afin d’assurer la fourniture continue de services é</w:t>
            </w:r>
            <w:r w:rsidR="001F6B97">
              <w:rPr>
                <w:kern w:val="22"/>
                <w:sz w:val="22"/>
                <w:szCs w:val="22"/>
                <w:lang w:val="fr-FR"/>
              </w:rPr>
              <w:t xml:space="preserve">cosystémiques. </w:t>
            </w:r>
            <w:r w:rsidR="001F6B97">
              <w:rPr>
                <w:kern w:val="22"/>
                <w:sz w:val="22"/>
                <w:szCs w:val="22"/>
                <w:lang w:val="fr-FR"/>
              </w:rPr>
              <w:lastRenderedPageBreak/>
              <w:t>L’Objectif d’Aichi 14 fait référence à la santé humaine de manière générale.</w:t>
            </w:r>
          </w:p>
        </w:tc>
      </w:tr>
      <w:tr w:rsidR="00233DFA" w:rsidRPr="008C0622" w14:paraId="1D747239" w14:textId="77777777" w:rsidTr="006476DC">
        <w:trPr>
          <w:gridAfter w:val="1"/>
          <w:wAfter w:w="6" w:type="dxa"/>
          <w:cantSplit/>
          <w:jc w:val="center"/>
        </w:trPr>
        <w:tc>
          <w:tcPr>
            <w:tcW w:w="1921" w:type="dxa"/>
          </w:tcPr>
          <w:p w14:paraId="111C634F" w14:textId="61615DB1" w:rsidR="00233DFA" w:rsidRPr="009D4C67" w:rsidRDefault="008801C8" w:rsidP="006476DC">
            <w:pPr>
              <w:pStyle w:val="Para1"/>
              <w:suppressLineNumbers/>
              <w:suppressAutoHyphens/>
              <w:spacing w:before="40" w:after="40"/>
              <w:rPr>
                <w:kern w:val="22"/>
                <w:sz w:val="22"/>
                <w:szCs w:val="22"/>
                <w:lang w:val="fr-FR"/>
              </w:rPr>
            </w:pPr>
            <w:r>
              <w:rPr>
                <w:kern w:val="22"/>
                <w:sz w:val="22"/>
                <w:szCs w:val="22"/>
                <w:lang w:val="fr-FR"/>
              </w:rPr>
              <w:lastRenderedPageBreak/>
              <w:t>Services de régulation de la nature</w:t>
            </w:r>
          </w:p>
        </w:tc>
        <w:tc>
          <w:tcPr>
            <w:tcW w:w="5387" w:type="dxa"/>
          </w:tcPr>
          <w:p w14:paraId="091A7D0F" w14:textId="01EE8E13" w:rsidR="00233DFA" w:rsidRPr="009D4C67" w:rsidRDefault="001F6B97" w:rsidP="006476DC">
            <w:pPr>
              <w:pStyle w:val="Para1"/>
              <w:suppressLineNumbers/>
              <w:suppressAutoHyphens/>
              <w:spacing w:before="40" w:after="40"/>
              <w:rPr>
                <w:kern w:val="22"/>
                <w:sz w:val="22"/>
                <w:szCs w:val="22"/>
                <w:lang w:val="fr-FR"/>
              </w:rPr>
            </w:pPr>
            <w:r>
              <w:rPr>
                <w:kern w:val="22"/>
                <w:sz w:val="22"/>
                <w:szCs w:val="22"/>
                <w:lang w:val="fr-FR"/>
              </w:rPr>
              <w:t>Des cibles pourraient viser la garantie, pour tous, des services de régulation fournis par la nature, tels que la protection contre les inondations, la purification de l’eau, etc. (les populations bénéficient de services, sont protégées contre les risques) ; elles pourraient aussi mettre l’accent sur l’optimisation des avantages tirés de la biodiversité pour des types d’activité spécifiques</w:t>
            </w:r>
            <w:r w:rsidR="009C1EF5">
              <w:rPr>
                <w:kern w:val="22"/>
                <w:sz w:val="22"/>
                <w:szCs w:val="22"/>
                <w:lang w:val="fr-FR"/>
              </w:rPr>
              <w:t>, y compris l’agriculture, la foresterie et les pêcheries durables, la réduction des effets des</w:t>
            </w:r>
            <w:r w:rsidR="00D70F92">
              <w:rPr>
                <w:kern w:val="22"/>
                <w:sz w:val="22"/>
                <w:szCs w:val="22"/>
                <w:lang w:val="fr-FR"/>
              </w:rPr>
              <w:t xml:space="preserve"> changements climatiques et l’adaptation à ceux-ci et faciliter l’abord de la question des solutions fondées sur la nature à divers problèmes sociétaux, tels que la sécurité alimentaire.</w:t>
            </w:r>
          </w:p>
        </w:tc>
        <w:tc>
          <w:tcPr>
            <w:tcW w:w="6378" w:type="dxa"/>
            <w:vMerge/>
          </w:tcPr>
          <w:p w14:paraId="583C5422" w14:textId="0B971CF6" w:rsidR="00233DFA" w:rsidRPr="009D4C67" w:rsidRDefault="00233DFA" w:rsidP="006476DC">
            <w:pPr>
              <w:pStyle w:val="Para1"/>
              <w:suppressLineNumbers/>
              <w:suppressAutoHyphens/>
              <w:spacing w:before="40" w:after="40"/>
              <w:rPr>
                <w:kern w:val="22"/>
                <w:sz w:val="22"/>
                <w:szCs w:val="22"/>
                <w:lang w:val="fr-FR"/>
              </w:rPr>
            </w:pPr>
          </w:p>
        </w:tc>
      </w:tr>
      <w:tr w:rsidR="00233DFA" w:rsidRPr="008C0622" w14:paraId="52875A68" w14:textId="77777777" w:rsidTr="006476DC">
        <w:trPr>
          <w:gridAfter w:val="1"/>
          <w:wAfter w:w="6" w:type="dxa"/>
          <w:cantSplit/>
          <w:jc w:val="center"/>
        </w:trPr>
        <w:tc>
          <w:tcPr>
            <w:tcW w:w="1921" w:type="dxa"/>
          </w:tcPr>
          <w:p w14:paraId="533FB68F" w14:textId="0E17C90D" w:rsidR="00233DFA" w:rsidRPr="009D4C67" w:rsidRDefault="008801C8" w:rsidP="006476DC">
            <w:pPr>
              <w:pStyle w:val="Para1"/>
              <w:suppressLineNumbers/>
              <w:suppressAutoHyphens/>
              <w:spacing w:before="40" w:after="40"/>
              <w:rPr>
                <w:kern w:val="22"/>
                <w:sz w:val="22"/>
                <w:szCs w:val="22"/>
                <w:lang w:val="fr-FR"/>
              </w:rPr>
            </w:pPr>
            <w:r>
              <w:rPr>
                <w:kern w:val="22"/>
                <w:sz w:val="22"/>
                <w:szCs w:val="22"/>
                <w:lang w:val="fr-FR"/>
              </w:rPr>
              <w:t>Services non matériels (culturels) de la nature</w:t>
            </w:r>
          </w:p>
        </w:tc>
        <w:tc>
          <w:tcPr>
            <w:tcW w:w="5387" w:type="dxa"/>
          </w:tcPr>
          <w:p w14:paraId="4E4B7A65" w14:textId="030737BA" w:rsidR="00233DFA" w:rsidRPr="009D4C67" w:rsidRDefault="00062C6F" w:rsidP="006476DC">
            <w:pPr>
              <w:pStyle w:val="Para1"/>
              <w:suppressLineNumbers/>
              <w:suppressAutoHyphens/>
              <w:spacing w:before="40" w:after="40"/>
              <w:rPr>
                <w:kern w:val="22"/>
                <w:sz w:val="22"/>
                <w:szCs w:val="22"/>
                <w:lang w:val="fr-FR"/>
              </w:rPr>
            </w:pPr>
            <w:r>
              <w:rPr>
                <w:kern w:val="22"/>
                <w:sz w:val="22"/>
                <w:szCs w:val="22"/>
                <w:lang w:val="fr-FR"/>
              </w:rPr>
              <w:t>Des cibles pourraient garantir que les besoins culturels des populations (y compris les besoins cérémonieux et religieux) sont satisfaits et accessibles à tous.</w:t>
            </w:r>
          </w:p>
        </w:tc>
        <w:tc>
          <w:tcPr>
            <w:tcW w:w="6378" w:type="dxa"/>
            <w:vMerge/>
          </w:tcPr>
          <w:p w14:paraId="40A3447E" w14:textId="77777777" w:rsidR="00233DFA" w:rsidRPr="009D4C67" w:rsidRDefault="00233DFA" w:rsidP="006476DC">
            <w:pPr>
              <w:pStyle w:val="Para1"/>
              <w:suppressLineNumbers/>
              <w:suppressAutoHyphens/>
              <w:spacing w:before="40" w:after="40"/>
              <w:rPr>
                <w:kern w:val="22"/>
                <w:sz w:val="22"/>
                <w:szCs w:val="22"/>
                <w:lang w:val="fr-FR"/>
              </w:rPr>
            </w:pPr>
          </w:p>
        </w:tc>
      </w:tr>
      <w:tr w:rsidR="006273E4" w:rsidRPr="008C0622" w14:paraId="4B93AFEA" w14:textId="77777777" w:rsidTr="006476DC">
        <w:trPr>
          <w:gridAfter w:val="1"/>
          <w:wAfter w:w="6" w:type="dxa"/>
          <w:cantSplit/>
          <w:jc w:val="center"/>
        </w:trPr>
        <w:tc>
          <w:tcPr>
            <w:tcW w:w="1921" w:type="dxa"/>
          </w:tcPr>
          <w:p w14:paraId="62BFD7C0" w14:textId="01F1FF3A" w:rsidR="006273E4" w:rsidRPr="009D4C67" w:rsidRDefault="00543491" w:rsidP="006476DC">
            <w:pPr>
              <w:pStyle w:val="Para1"/>
              <w:suppressLineNumbers/>
              <w:suppressAutoHyphens/>
              <w:spacing w:before="40" w:after="40"/>
              <w:rPr>
                <w:kern w:val="22"/>
                <w:sz w:val="22"/>
                <w:szCs w:val="22"/>
                <w:lang w:val="fr-FR"/>
              </w:rPr>
            </w:pPr>
            <w:r>
              <w:rPr>
                <w:kern w:val="22"/>
                <w:sz w:val="22"/>
                <w:szCs w:val="22"/>
                <w:lang w:val="fr-FR"/>
              </w:rPr>
              <w:t>Valeurs d’existence et intrinsèque de la nature</w:t>
            </w:r>
          </w:p>
        </w:tc>
        <w:tc>
          <w:tcPr>
            <w:tcW w:w="5387" w:type="dxa"/>
          </w:tcPr>
          <w:p w14:paraId="74C4D39D" w14:textId="7BA65797" w:rsidR="006273E4" w:rsidRPr="009D4C67" w:rsidRDefault="00062C6F" w:rsidP="006476DC">
            <w:pPr>
              <w:pStyle w:val="Para1"/>
              <w:suppressLineNumbers/>
              <w:suppressAutoHyphens/>
              <w:spacing w:before="40" w:after="40"/>
              <w:rPr>
                <w:kern w:val="22"/>
                <w:sz w:val="22"/>
                <w:szCs w:val="22"/>
                <w:lang w:val="fr-FR"/>
              </w:rPr>
            </w:pPr>
            <w:r>
              <w:rPr>
                <w:kern w:val="22"/>
                <w:sz w:val="22"/>
                <w:szCs w:val="22"/>
                <w:lang w:val="fr-FR"/>
              </w:rPr>
              <w:t>La nature</w:t>
            </w:r>
            <w:r w:rsidR="006273E4" w:rsidRPr="009D4C67">
              <w:rPr>
                <w:kern w:val="22"/>
                <w:sz w:val="22"/>
                <w:szCs w:val="22"/>
                <w:lang w:val="fr-FR"/>
              </w:rPr>
              <w:t xml:space="preserve"> (</w:t>
            </w:r>
            <w:r>
              <w:rPr>
                <w:kern w:val="22"/>
                <w:sz w:val="22"/>
                <w:szCs w:val="22"/>
                <w:lang w:val="fr-FR"/>
              </w:rPr>
              <w:t>et la biodiversité</w:t>
            </w:r>
            <w:r w:rsidR="006273E4" w:rsidRPr="009D4C67">
              <w:rPr>
                <w:kern w:val="22"/>
                <w:sz w:val="22"/>
                <w:szCs w:val="22"/>
                <w:lang w:val="fr-FR"/>
              </w:rPr>
              <w:t xml:space="preserve">) </w:t>
            </w:r>
            <w:r>
              <w:rPr>
                <w:kern w:val="22"/>
                <w:sz w:val="22"/>
                <w:szCs w:val="22"/>
                <w:lang w:val="fr-FR"/>
              </w:rPr>
              <w:t xml:space="preserve">en elle-même est appréciée indépendamment des services qu’elle fournit aux populations. Les </w:t>
            </w:r>
            <w:r w:rsidR="002179B3">
              <w:rPr>
                <w:kern w:val="22"/>
                <w:sz w:val="22"/>
                <w:szCs w:val="22"/>
                <w:lang w:val="fr-FR"/>
              </w:rPr>
              <w:t>citoyens de notre planète apprécient la notion qu’une nature florissante est présente et sûre à l’échelle mondiale. Voir aussi les cibles sur les espèces et les habitats.</w:t>
            </w:r>
          </w:p>
        </w:tc>
        <w:tc>
          <w:tcPr>
            <w:tcW w:w="6378" w:type="dxa"/>
          </w:tcPr>
          <w:p w14:paraId="3DF71955" w14:textId="43C39117" w:rsidR="006273E4" w:rsidRPr="009D4C67" w:rsidRDefault="002179B3" w:rsidP="006476DC">
            <w:pPr>
              <w:pStyle w:val="Para1"/>
              <w:suppressLineNumbers/>
              <w:suppressAutoHyphens/>
              <w:spacing w:before="40" w:after="40"/>
              <w:rPr>
                <w:kern w:val="22"/>
                <w:sz w:val="22"/>
                <w:szCs w:val="22"/>
                <w:lang w:val="fr-FR"/>
              </w:rPr>
            </w:pPr>
            <w:r>
              <w:rPr>
                <w:kern w:val="22"/>
                <w:sz w:val="22"/>
                <w:szCs w:val="22"/>
                <w:lang w:val="fr-FR"/>
              </w:rPr>
              <w:t>Ce sujet n’est pas spécifiquement abordé dans les Objectifs d’Aichi pour la biodiversité</w:t>
            </w:r>
            <w:r w:rsidR="005B514A" w:rsidRPr="009D4C67">
              <w:rPr>
                <w:kern w:val="22"/>
                <w:sz w:val="22"/>
                <w:szCs w:val="22"/>
                <w:lang w:val="fr-FR"/>
              </w:rPr>
              <w:t>.</w:t>
            </w:r>
          </w:p>
        </w:tc>
      </w:tr>
      <w:tr w:rsidR="006273E4" w:rsidRPr="008C0622" w14:paraId="1395D594" w14:textId="77777777" w:rsidTr="006476DC">
        <w:trPr>
          <w:gridAfter w:val="1"/>
          <w:wAfter w:w="6" w:type="dxa"/>
          <w:cantSplit/>
          <w:jc w:val="center"/>
        </w:trPr>
        <w:tc>
          <w:tcPr>
            <w:tcW w:w="1921" w:type="dxa"/>
          </w:tcPr>
          <w:p w14:paraId="4E5D12DE" w14:textId="030BF9E3" w:rsidR="006273E4" w:rsidRPr="009D4C67" w:rsidRDefault="00543491" w:rsidP="006476DC">
            <w:pPr>
              <w:pStyle w:val="Para1"/>
              <w:suppressLineNumbers/>
              <w:suppressAutoHyphens/>
              <w:spacing w:before="40" w:after="40"/>
              <w:rPr>
                <w:kern w:val="22"/>
                <w:sz w:val="22"/>
                <w:szCs w:val="22"/>
                <w:lang w:val="fr-FR"/>
              </w:rPr>
            </w:pPr>
            <w:r>
              <w:rPr>
                <w:kern w:val="22"/>
                <w:sz w:val="22"/>
                <w:szCs w:val="22"/>
                <w:lang w:val="fr-FR"/>
              </w:rPr>
              <w:t>Partage équitable des avantages découlant de l’utilisation des ressources génétiques</w:t>
            </w:r>
          </w:p>
        </w:tc>
        <w:tc>
          <w:tcPr>
            <w:tcW w:w="5387" w:type="dxa"/>
          </w:tcPr>
          <w:p w14:paraId="63A99F32" w14:textId="034F7375" w:rsidR="006273E4" w:rsidRPr="009D4C67" w:rsidRDefault="002179B3" w:rsidP="006476DC">
            <w:pPr>
              <w:pStyle w:val="Para1"/>
              <w:suppressLineNumbers/>
              <w:suppressAutoHyphens/>
              <w:spacing w:before="40" w:after="40"/>
              <w:rPr>
                <w:kern w:val="22"/>
                <w:sz w:val="22"/>
                <w:szCs w:val="22"/>
                <w:lang w:val="fr-FR"/>
              </w:rPr>
            </w:pPr>
            <w:r>
              <w:rPr>
                <w:kern w:val="22"/>
                <w:sz w:val="22"/>
                <w:szCs w:val="22"/>
                <w:lang w:val="fr-FR"/>
              </w:rPr>
              <w:t xml:space="preserve">Une cible pourrait </w:t>
            </w:r>
            <w:r w:rsidR="008824C9">
              <w:rPr>
                <w:kern w:val="22"/>
                <w:sz w:val="22"/>
                <w:szCs w:val="22"/>
                <w:lang w:val="fr-FR"/>
              </w:rPr>
              <w:t>porter</w:t>
            </w:r>
            <w:r>
              <w:rPr>
                <w:kern w:val="22"/>
                <w:sz w:val="22"/>
                <w:szCs w:val="22"/>
                <w:lang w:val="fr-FR"/>
              </w:rPr>
              <w:t xml:space="preserve"> sur le partage juste et équitable des avantages découlant de l’utilisation des ressources génétiques.</w:t>
            </w:r>
          </w:p>
        </w:tc>
        <w:tc>
          <w:tcPr>
            <w:tcW w:w="6378" w:type="dxa"/>
          </w:tcPr>
          <w:p w14:paraId="7D4D251D" w14:textId="36C6DB2C" w:rsidR="006273E4" w:rsidRPr="009D4C67" w:rsidRDefault="002179B3" w:rsidP="006476DC">
            <w:pPr>
              <w:pStyle w:val="Para1"/>
              <w:suppressLineNumbers/>
              <w:suppressAutoHyphens/>
              <w:spacing w:before="40" w:after="40"/>
              <w:rPr>
                <w:kern w:val="22"/>
                <w:sz w:val="22"/>
                <w:szCs w:val="22"/>
                <w:lang w:val="fr-FR"/>
              </w:rPr>
            </w:pPr>
            <w:r>
              <w:rPr>
                <w:kern w:val="22"/>
                <w:sz w:val="22"/>
                <w:szCs w:val="22"/>
                <w:lang w:val="fr-FR"/>
              </w:rPr>
              <w:t>Cette question est abordée dans l’Objectif d’Aichi 16, objectif ax</w:t>
            </w:r>
            <w:r w:rsidR="001A08C3">
              <w:rPr>
                <w:kern w:val="22"/>
                <w:sz w:val="22"/>
                <w:szCs w:val="22"/>
                <w:lang w:val="fr-FR"/>
              </w:rPr>
              <w:t>é sur les mesures et les résultats qui vise la mise en œuvre du Protocole de Nagoya sur l’accès et le partage des avantages.</w:t>
            </w:r>
          </w:p>
        </w:tc>
      </w:tr>
      <w:tr w:rsidR="004A25EC" w:rsidRPr="008C0622" w14:paraId="4C4ADAD0" w14:textId="77777777" w:rsidTr="00A3166B">
        <w:trPr>
          <w:cantSplit/>
          <w:jc w:val="center"/>
        </w:trPr>
        <w:tc>
          <w:tcPr>
            <w:tcW w:w="13692" w:type="dxa"/>
            <w:gridSpan w:val="4"/>
            <w:shd w:val="clear" w:color="auto" w:fill="D9D9D9" w:themeFill="background1" w:themeFillShade="D9"/>
          </w:tcPr>
          <w:p w14:paraId="002FFEB3" w14:textId="5A42CE70" w:rsidR="006273E4" w:rsidRPr="009D4C67" w:rsidRDefault="00543491" w:rsidP="006476DC">
            <w:pPr>
              <w:keepNext/>
              <w:suppressLineNumbers/>
              <w:tabs>
                <w:tab w:val="left" w:pos="720"/>
              </w:tabs>
              <w:suppressAutoHyphens/>
              <w:spacing w:before="40" w:after="40"/>
              <w:rPr>
                <w:b/>
                <w:kern w:val="22"/>
                <w:sz w:val="22"/>
                <w:szCs w:val="22"/>
                <w:lang w:val="fr-FR"/>
              </w:rPr>
            </w:pPr>
            <w:r>
              <w:rPr>
                <w:b/>
                <w:bCs/>
                <w:kern w:val="22"/>
                <w:sz w:val="22"/>
                <w:szCs w:val="22"/>
                <w:lang w:val="fr-FR"/>
              </w:rPr>
              <w:t>Outils</w:t>
            </w:r>
            <w:r w:rsidR="006273E4" w:rsidRPr="009D4C67">
              <w:rPr>
                <w:b/>
                <w:bCs/>
                <w:kern w:val="22"/>
                <w:sz w:val="22"/>
                <w:szCs w:val="22"/>
                <w:lang w:val="fr-FR"/>
              </w:rPr>
              <w:t xml:space="preserve">, solutions </w:t>
            </w:r>
            <w:r>
              <w:rPr>
                <w:b/>
                <w:bCs/>
                <w:kern w:val="22"/>
                <w:sz w:val="22"/>
                <w:szCs w:val="22"/>
                <w:lang w:val="fr-FR"/>
              </w:rPr>
              <w:t>et points d’intervention stratégiques</w:t>
            </w:r>
          </w:p>
        </w:tc>
      </w:tr>
      <w:tr w:rsidR="006273E4" w:rsidRPr="008C0622" w14:paraId="65C9C58E" w14:textId="77777777" w:rsidTr="006476DC">
        <w:trPr>
          <w:gridAfter w:val="1"/>
          <w:wAfter w:w="6" w:type="dxa"/>
          <w:cantSplit/>
          <w:jc w:val="center"/>
        </w:trPr>
        <w:tc>
          <w:tcPr>
            <w:tcW w:w="1921" w:type="dxa"/>
          </w:tcPr>
          <w:p w14:paraId="338EAF1F" w14:textId="281E5BCD" w:rsidR="006273E4" w:rsidRPr="009D4C67" w:rsidRDefault="006273E4" w:rsidP="006476DC">
            <w:pPr>
              <w:pStyle w:val="Para1"/>
              <w:suppressLineNumbers/>
              <w:suppressAutoHyphens/>
              <w:spacing w:before="40" w:after="40"/>
              <w:rPr>
                <w:kern w:val="22"/>
                <w:sz w:val="22"/>
                <w:szCs w:val="22"/>
                <w:lang w:val="fr-FR"/>
              </w:rPr>
            </w:pPr>
            <w:r w:rsidRPr="009D4C67">
              <w:rPr>
                <w:kern w:val="22"/>
                <w:sz w:val="22"/>
                <w:szCs w:val="22"/>
                <w:lang w:val="fr-FR"/>
              </w:rPr>
              <w:t>Inc</w:t>
            </w:r>
            <w:r w:rsidR="00543491">
              <w:rPr>
                <w:kern w:val="22"/>
                <w:sz w:val="22"/>
                <w:szCs w:val="22"/>
                <w:lang w:val="fr-FR"/>
              </w:rPr>
              <w:t>itations</w:t>
            </w:r>
          </w:p>
        </w:tc>
        <w:tc>
          <w:tcPr>
            <w:tcW w:w="5387" w:type="dxa"/>
          </w:tcPr>
          <w:p w14:paraId="03E118C6" w14:textId="124C8663" w:rsidR="006273E4" w:rsidRPr="009D4C67" w:rsidRDefault="001A08C3" w:rsidP="006476DC">
            <w:pPr>
              <w:pStyle w:val="Para1"/>
              <w:suppressLineNumbers/>
              <w:suppressAutoHyphens/>
              <w:spacing w:before="40" w:after="40"/>
              <w:rPr>
                <w:kern w:val="22"/>
                <w:sz w:val="22"/>
                <w:szCs w:val="22"/>
                <w:lang w:val="fr-FR"/>
              </w:rPr>
            </w:pPr>
            <w:r>
              <w:rPr>
                <w:kern w:val="22"/>
                <w:sz w:val="22"/>
                <w:szCs w:val="22"/>
                <w:lang w:val="fr-FR"/>
              </w:rPr>
              <w:t xml:space="preserve">Une cible pourrait </w:t>
            </w:r>
            <w:r w:rsidR="008824C9">
              <w:rPr>
                <w:kern w:val="22"/>
                <w:sz w:val="22"/>
                <w:szCs w:val="22"/>
                <w:lang w:val="fr-FR"/>
              </w:rPr>
              <w:t xml:space="preserve">traiter de </w:t>
            </w:r>
            <w:r>
              <w:rPr>
                <w:kern w:val="22"/>
                <w:sz w:val="22"/>
                <w:szCs w:val="22"/>
                <w:lang w:val="fr-FR"/>
              </w:rPr>
              <w:t>l’élimination des incitations à effet pervers ; de questions relatives à la planification gouvernementale et au secteur financier.</w:t>
            </w:r>
          </w:p>
        </w:tc>
        <w:tc>
          <w:tcPr>
            <w:tcW w:w="6378" w:type="dxa"/>
          </w:tcPr>
          <w:p w14:paraId="6D80159B" w14:textId="5B166D38" w:rsidR="006273E4" w:rsidRPr="009D4C67" w:rsidRDefault="001A08C3" w:rsidP="006476DC">
            <w:pPr>
              <w:pStyle w:val="Para1"/>
              <w:suppressLineNumbers/>
              <w:suppressAutoHyphens/>
              <w:spacing w:before="40" w:after="40"/>
              <w:rPr>
                <w:kern w:val="22"/>
                <w:sz w:val="22"/>
                <w:szCs w:val="22"/>
                <w:lang w:val="fr-FR"/>
              </w:rPr>
            </w:pPr>
            <w:r>
              <w:rPr>
                <w:kern w:val="22"/>
                <w:sz w:val="22"/>
                <w:szCs w:val="22"/>
                <w:lang w:val="fr-FR"/>
              </w:rPr>
              <w:t>Cette question est abordée dans l’Objectif d’Aichi 3, objectif axé sur les mesures et les résultats qui met l’accent sur les incitations né</w:t>
            </w:r>
            <w:r w:rsidR="00D939B6">
              <w:rPr>
                <w:kern w:val="22"/>
                <w:sz w:val="22"/>
                <w:szCs w:val="22"/>
                <w:lang w:val="fr-FR"/>
              </w:rPr>
              <w:t>fastes</w:t>
            </w:r>
            <w:r>
              <w:rPr>
                <w:kern w:val="22"/>
                <w:sz w:val="22"/>
                <w:szCs w:val="22"/>
                <w:lang w:val="fr-FR"/>
              </w:rPr>
              <w:t xml:space="preserve"> et positives</w:t>
            </w:r>
            <w:r w:rsidR="00D939B6">
              <w:rPr>
                <w:kern w:val="22"/>
                <w:sz w:val="22"/>
                <w:szCs w:val="22"/>
                <w:lang w:val="fr-FR"/>
              </w:rPr>
              <w:t xml:space="preserve"> et le rôle que jouent les gouvernements dans l’élimination des incitations nuisibles ou la mise en place d’incitations positives.</w:t>
            </w:r>
          </w:p>
        </w:tc>
      </w:tr>
      <w:tr w:rsidR="006273E4" w:rsidRPr="008C0622" w14:paraId="214FEE09" w14:textId="77777777" w:rsidTr="006476DC">
        <w:trPr>
          <w:gridAfter w:val="1"/>
          <w:wAfter w:w="6" w:type="dxa"/>
          <w:cantSplit/>
          <w:jc w:val="center"/>
        </w:trPr>
        <w:tc>
          <w:tcPr>
            <w:tcW w:w="1921" w:type="dxa"/>
          </w:tcPr>
          <w:p w14:paraId="6F5DCB84" w14:textId="20468E3E" w:rsidR="006273E4" w:rsidRPr="009D4C67" w:rsidRDefault="006273E4" w:rsidP="006476DC">
            <w:pPr>
              <w:pStyle w:val="Para1"/>
              <w:suppressLineNumbers/>
              <w:suppressAutoHyphens/>
              <w:spacing w:before="40" w:after="40"/>
              <w:rPr>
                <w:kern w:val="22"/>
                <w:sz w:val="22"/>
                <w:szCs w:val="22"/>
                <w:lang w:val="fr-FR"/>
              </w:rPr>
            </w:pPr>
            <w:r w:rsidRPr="009D4C67">
              <w:rPr>
                <w:kern w:val="22"/>
                <w:sz w:val="22"/>
                <w:szCs w:val="22"/>
                <w:lang w:val="fr-FR"/>
              </w:rPr>
              <w:lastRenderedPageBreak/>
              <w:t>L</w:t>
            </w:r>
            <w:r w:rsidR="00543491">
              <w:rPr>
                <w:kern w:val="22"/>
                <w:sz w:val="22"/>
                <w:szCs w:val="22"/>
                <w:lang w:val="fr-FR"/>
              </w:rPr>
              <w:t>ois</w:t>
            </w:r>
            <w:r w:rsidRPr="009D4C67">
              <w:rPr>
                <w:kern w:val="22"/>
                <w:sz w:val="22"/>
                <w:szCs w:val="22"/>
                <w:lang w:val="fr-FR"/>
              </w:rPr>
              <w:t>, r</w:t>
            </w:r>
            <w:r w:rsidR="00543491">
              <w:rPr>
                <w:kern w:val="22"/>
                <w:sz w:val="22"/>
                <w:szCs w:val="22"/>
                <w:lang w:val="fr-FR"/>
              </w:rPr>
              <w:t>èglements et politiques</w:t>
            </w:r>
          </w:p>
        </w:tc>
        <w:tc>
          <w:tcPr>
            <w:tcW w:w="5387" w:type="dxa"/>
          </w:tcPr>
          <w:p w14:paraId="7C557A44" w14:textId="66FB023D" w:rsidR="006273E4" w:rsidRPr="009D4C67" w:rsidRDefault="00D939B6" w:rsidP="006476DC">
            <w:pPr>
              <w:pStyle w:val="Para1"/>
              <w:suppressLineNumbers/>
              <w:suppressAutoHyphens/>
              <w:spacing w:before="40" w:after="40"/>
              <w:rPr>
                <w:kern w:val="22"/>
                <w:sz w:val="22"/>
                <w:szCs w:val="22"/>
                <w:lang w:val="fr-FR"/>
              </w:rPr>
            </w:pPr>
            <w:r>
              <w:rPr>
                <w:kern w:val="22"/>
                <w:sz w:val="22"/>
                <w:szCs w:val="22"/>
                <w:lang w:val="fr-FR"/>
              </w:rPr>
              <w:t xml:space="preserve">Une cible pourrait </w:t>
            </w:r>
            <w:r w:rsidR="008824C9">
              <w:rPr>
                <w:kern w:val="22"/>
                <w:sz w:val="22"/>
                <w:szCs w:val="22"/>
                <w:lang w:val="fr-FR"/>
              </w:rPr>
              <w:t>porter</w:t>
            </w:r>
            <w:r>
              <w:rPr>
                <w:kern w:val="22"/>
                <w:sz w:val="22"/>
                <w:szCs w:val="22"/>
                <w:lang w:val="fr-FR"/>
              </w:rPr>
              <w:t xml:space="preserve"> sur l’existence et l’utilisation d’instruments juridiques et réglementaires pour appuyer les cibles traitant des facteurs et de l’utilisation. Ceci pourrait inclure notamment la gestion des espèces, la gestion des terres, le commerce, la gestion des menaces et des mesures pour influencer la demande.</w:t>
            </w:r>
          </w:p>
        </w:tc>
        <w:tc>
          <w:tcPr>
            <w:tcW w:w="6378" w:type="dxa"/>
          </w:tcPr>
          <w:p w14:paraId="76407185" w14:textId="4C32FA71" w:rsidR="006273E4" w:rsidRPr="009D4C67" w:rsidRDefault="00E90ADA" w:rsidP="006476DC">
            <w:pPr>
              <w:pStyle w:val="Para1"/>
              <w:suppressLineNumbers/>
              <w:suppressAutoHyphens/>
              <w:spacing w:before="40" w:after="40"/>
              <w:rPr>
                <w:kern w:val="22"/>
                <w:sz w:val="22"/>
                <w:szCs w:val="22"/>
                <w:lang w:val="fr-FR"/>
              </w:rPr>
            </w:pPr>
            <w:r>
              <w:rPr>
                <w:kern w:val="22"/>
                <w:sz w:val="22"/>
                <w:szCs w:val="22"/>
                <w:lang w:val="fr-FR"/>
              </w:rPr>
              <w:t>Ces sujets ne sont pas spécifiquement abordés dans les Objectifs d’Aichi pour la biodiversité.</w:t>
            </w:r>
          </w:p>
        </w:tc>
      </w:tr>
      <w:tr w:rsidR="006273E4" w:rsidRPr="008C0622" w14:paraId="7CB17C6E" w14:textId="77777777" w:rsidTr="006476DC">
        <w:trPr>
          <w:gridAfter w:val="1"/>
          <w:wAfter w:w="6" w:type="dxa"/>
          <w:cantSplit/>
          <w:jc w:val="center"/>
        </w:trPr>
        <w:tc>
          <w:tcPr>
            <w:tcW w:w="1921" w:type="dxa"/>
          </w:tcPr>
          <w:p w14:paraId="678D2B81" w14:textId="5B4228D3" w:rsidR="006273E4" w:rsidRPr="009D4C67" w:rsidRDefault="00543491" w:rsidP="006476DC">
            <w:pPr>
              <w:pStyle w:val="Para1"/>
              <w:suppressLineNumbers/>
              <w:suppressAutoHyphens/>
              <w:spacing w:before="40" w:after="40"/>
              <w:rPr>
                <w:kern w:val="22"/>
                <w:sz w:val="22"/>
                <w:szCs w:val="22"/>
                <w:lang w:val="fr-FR"/>
              </w:rPr>
            </w:pPr>
            <w:r>
              <w:rPr>
                <w:kern w:val="22"/>
                <w:sz w:val="22"/>
                <w:szCs w:val="22"/>
                <w:lang w:val="fr-FR"/>
              </w:rPr>
              <w:t>Consommation et production durables</w:t>
            </w:r>
          </w:p>
        </w:tc>
        <w:tc>
          <w:tcPr>
            <w:tcW w:w="5387" w:type="dxa"/>
          </w:tcPr>
          <w:p w14:paraId="2DCAE588" w14:textId="675C604A" w:rsidR="006273E4" w:rsidRPr="009D4C67" w:rsidRDefault="00D622ED" w:rsidP="006476DC">
            <w:pPr>
              <w:pStyle w:val="Para1"/>
              <w:suppressLineNumbers/>
              <w:suppressAutoHyphens/>
              <w:spacing w:before="40" w:after="40"/>
              <w:rPr>
                <w:kern w:val="22"/>
                <w:sz w:val="22"/>
                <w:szCs w:val="22"/>
                <w:lang w:val="fr-FR"/>
              </w:rPr>
            </w:pPr>
            <w:r>
              <w:rPr>
                <w:kern w:val="22"/>
                <w:sz w:val="22"/>
                <w:szCs w:val="22"/>
                <w:lang w:val="fr-FR"/>
              </w:rPr>
              <w:t>Une cible pourrait</w:t>
            </w:r>
            <w:r w:rsidR="00FD05EA">
              <w:rPr>
                <w:kern w:val="22"/>
                <w:sz w:val="22"/>
                <w:szCs w:val="22"/>
                <w:lang w:val="fr-FR"/>
              </w:rPr>
              <w:t xml:space="preserve"> </w:t>
            </w:r>
            <w:r w:rsidR="008824C9">
              <w:rPr>
                <w:kern w:val="22"/>
                <w:sz w:val="22"/>
                <w:szCs w:val="22"/>
                <w:lang w:val="fr-FR"/>
              </w:rPr>
              <w:t>cibler</w:t>
            </w:r>
            <w:r w:rsidR="00FD05EA">
              <w:rPr>
                <w:kern w:val="22"/>
                <w:sz w:val="22"/>
                <w:szCs w:val="22"/>
                <w:lang w:val="fr-FR"/>
              </w:rPr>
              <w:t xml:space="preserve"> la promotion de processus de consommation et de production durables. Une telle cible pourrait mettre l’accent sur la réduction de la demande globale de ressources et pourrait aussi traiter de questions liées au commerce non durable, illégal d’espèces</w:t>
            </w:r>
            <w:r w:rsidR="008A6341">
              <w:rPr>
                <w:kern w:val="22"/>
                <w:sz w:val="22"/>
                <w:szCs w:val="22"/>
                <w:lang w:val="fr-FR"/>
              </w:rPr>
              <w:t xml:space="preserve"> sauvages ou aux conflits entre les besoins des populations humaines et ceux de la conservation des espèces sauvages. Elle pourrait aussi faire référence aux solutions fondées sur la nature pour améliorer la durabilité.</w:t>
            </w:r>
          </w:p>
        </w:tc>
        <w:tc>
          <w:tcPr>
            <w:tcW w:w="6378" w:type="dxa"/>
          </w:tcPr>
          <w:p w14:paraId="5BD45AEF" w14:textId="11CEAA23" w:rsidR="006273E4" w:rsidRPr="009D4C67" w:rsidRDefault="00E90ADA" w:rsidP="006476DC">
            <w:pPr>
              <w:pStyle w:val="Para1"/>
              <w:suppressLineNumbers/>
              <w:suppressAutoHyphens/>
              <w:spacing w:before="40" w:after="40"/>
              <w:rPr>
                <w:kern w:val="22"/>
                <w:sz w:val="22"/>
                <w:szCs w:val="22"/>
                <w:lang w:val="fr-FR"/>
              </w:rPr>
            </w:pPr>
            <w:r>
              <w:rPr>
                <w:kern w:val="22"/>
                <w:sz w:val="22"/>
                <w:szCs w:val="22"/>
                <w:lang w:val="fr-FR"/>
              </w:rPr>
              <w:t>Cette question est abordée dans l’Objectif d’Aichi 4, objectif axé sur le processus relatif aux plans de production et de consommation durables. Cet objectif se réfère à un éventail d’acteurs, mais ne précise pas les secteurs dans lesquels les mesures doivent être prises.</w:t>
            </w:r>
          </w:p>
        </w:tc>
      </w:tr>
      <w:tr w:rsidR="00290AE9" w:rsidRPr="008C0622" w14:paraId="3BF05DA1" w14:textId="77777777" w:rsidTr="006476DC">
        <w:trPr>
          <w:gridAfter w:val="1"/>
          <w:wAfter w:w="6" w:type="dxa"/>
          <w:cantSplit/>
          <w:jc w:val="center"/>
        </w:trPr>
        <w:tc>
          <w:tcPr>
            <w:tcW w:w="1921" w:type="dxa"/>
          </w:tcPr>
          <w:p w14:paraId="450B02D8" w14:textId="482F722E" w:rsidR="00290AE9" w:rsidRPr="009D4C67" w:rsidRDefault="00290AE9" w:rsidP="006476DC">
            <w:pPr>
              <w:pStyle w:val="Para1"/>
              <w:suppressLineNumbers/>
              <w:suppressAutoHyphens/>
              <w:spacing w:before="40" w:after="40"/>
              <w:rPr>
                <w:kern w:val="22"/>
                <w:sz w:val="22"/>
                <w:szCs w:val="22"/>
                <w:lang w:val="fr-FR"/>
              </w:rPr>
            </w:pPr>
            <w:r w:rsidRPr="009D4C67">
              <w:rPr>
                <w:kern w:val="22"/>
                <w:sz w:val="22"/>
                <w:szCs w:val="22"/>
                <w:lang w:val="fr-FR"/>
              </w:rPr>
              <w:t>Val</w:t>
            </w:r>
            <w:r w:rsidR="00543491">
              <w:rPr>
                <w:kern w:val="22"/>
                <w:sz w:val="22"/>
                <w:szCs w:val="22"/>
                <w:lang w:val="fr-FR"/>
              </w:rPr>
              <w:t>eurs de la biodiversité</w:t>
            </w:r>
          </w:p>
        </w:tc>
        <w:tc>
          <w:tcPr>
            <w:tcW w:w="5387" w:type="dxa"/>
          </w:tcPr>
          <w:p w14:paraId="5278E20C" w14:textId="7CBC21AD" w:rsidR="00290AE9" w:rsidRPr="009D4C67" w:rsidRDefault="008A6341" w:rsidP="006476DC">
            <w:pPr>
              <w:pStyle w:val="Para1"/>
              <w:suppressLineNumbers/>
              <w:suppressAutoHyphens/>
              <w:spacing w:before="40" w:after="40"/>
              <w:rPr>
                <w:kern w:val="22"/>
                <w:sz w:val="22"/>
                <w:szCs w:val="22"/>
                <w:lang w:val="fr-FR"/>
              </w:rPr>
            </w:pPr>
            <w:r>
              <w:rPr>
                <w:kern w:val="22"/>
                <w:sz w:val="22"/>
                <w:szCs w:val="22"/>
                <w:lang w:val="fr-FR"/>
              </w:rPr>
              <w:t xml:space="preserve">Une telle cible pourrait </w:t>
            </w:r>
            <w:r w:rsidR="008824C9">
              <w:rPr>
                <w:kern w:val="22"/>
                <w:sz w:val="22"/>
                <w:szCs w:val="22"/>
                <w:lang w:val="fr-FR"/>
              </w:rPr>
              <w:t>se concentrer</w:t>
            </w:r>
            <w:r>
              <w:rPr>
                <w:kern w:val="22"/>
                <w:sz w:val="22"/>
                <w:szCs w:val="22"/>
                <w:lang w:val="fr-FR"/>
              </w:rPr>
              <w:t xml:space="preserve"> sur la garantie que les valeurs multiples et diverses de la biodiversité son pleinement reconnues et reflétées dans la prise de décisions à tous les niveaux. Elle pourrait aussi inclure l’intégration de ces valeurs par les gouvernements et le secteur privé. </w:t>
            </w:r>
          </w:p>
        </w:tc>
        <w:tc>
          <w:tcPr>
            <w:tcW w:w="6378" w:type="dxa"/>
          </w:tcPr>
          <w:p w14:paraId="0284CE70" w14:textId="230F9D89" w:rsidR="00290AE9" w:rsidRPr="009D4C67" w:rsidRDefault="00E90ADA" w:rsidP="006476DC">
            <w:pPr>
              <w:pStyle w:val="Para1"/>
              <w:suppressLineNumbers/>
              <w:suppressAutoHyphens/>
              <w:spacing w:before="40" w:after="40"/>
              <w:rPr>
                <w:kern w:val="22"/>
                <w:sz w:val="22"/>
                <w:szCs w:val="22"/>
                <w:lang w:val="fr-FR"/>
              </w:rPr>
            </w:pPr>
            <w:r>
              <w:rPr>
                <w:kern w:val="22"/>
                <w:sz w:val="22"/>
                <w:szCs w:val="22"/>
                <w:lang w:val="fr-FR"/>
              </w:rPr>
              <w:t>Cette question est abordée dans l’Objectif d’Aichi 2, objectif axé sur le processus qui met l’accent sur l’intégration des valeurs de la biodiversité dans les politiques gouvernementales pertinentes. Il n’aborde pas les questions d’estimation de la valeur de manière plus générale.</w:t>
            </w:r>
          </w:p>
        </w:tc>
      </w:tr>
      <w:tr w:rsidR="006273E4" w:rsidRPr="008C0622" w14:paraId="231F0720" w14:textId="77777777" w:rsidTr="006476DC">
        <w:trPr>
          <w:gridAfter w:val="1"/>
          <w:wAfter w:w="6" w:type="dxa"/>
          <w:cantSplit/>
          <w:jc w:val="center"/>
        </w:trPr>
        <w:tc>
          <w:tcPr>
            <w:tcW w:w="1921" w:type="dxa"/>
          </w:tcPr>
          <w:p w14:paraId="47F53224" w14:textId="2768F198" w:rsidR="006273E4" w:rsidRPr="009D4C67" w:rsidRDefault="00543491" w:rsidP="006476DC">
            <w:pPr>
              <w:pStyle w:val="Para1"/>
              <w:suppressLineNumbers/>
              <w:suppressAutoHyphens/>
              <w:spacing w:before="40" w:after="40"/>
              <w:rPr>
                <w:kern w:val="22"/>
                <w:sz w:val="22"/>
                <w:szCs w:val="22"/>
                <w:lang w:val="fr-FR"/>
              </w:rPr>
            </w:pPr>
            <w:r>
              <w:rPr>
                <w:kern w:val="22"/>
                <w:sz w:val="22"/>
                <w:szCs w:val="22"/>
                <w:lang w:val="fr-FR"/>
              </w:rPr>
              <w:t xml:space="preserve">Autres questions </w:t>
            </w:r>
            <w:r w:rsidR="0094445C">
              <w:rPr>
                <w:kern w:val="22"/>
                <w:sz w:val="22"/>
                <w:szCs w:val="22"/>
                <w:lang w:val="fr-FR"/>
              </w:rPr>
              <w:t>relatives au changement transformateur</w:t>
            </w:r>
          </w:p>
        </w:tc>
        <w:tc>
          <w:tcPr>
            <w:tcW w:w="5387" w:type="dxa"/>
          </w:tcPr>
          <w:p w14:paraId="249170A3" w14:textId="19729A39" w:rsidR="006273E4" w:rsidRPr="009D4C67" w:rsidRDefault="008A6341" w:rsidP="006476DC">
            <w:pPr>
              <w:pStyle w:val="Para1"/>
              <w:suppressLineNumbers/>
              <w:suppressAutoHyphens/>
              <w:spacing w:before="40" w:after="40"/>
              <w:rPr>
                <w:kern w:val="22"/>
                <w:sz w:val="22"/>
                <w:szCs w:val="22"/>
                <w:lang w:val="fr-FR"/>
              </w:rPr>
            </w:pPr>
            <w:r>
              <w:rPr>
                <w:kern w:val="22"/>
                <w:sz w:val="22"/>
                <w:szCs w:val="22"/>
                <w:lang w:val="fr-FR"/>
              </w:rPr>
              <w:t xml:space="preserve">Des cibles pourraient viser les facteurs indirects recensés par l’IPBES (classés comme suit : démographiques et socioculturels ; économiques, technologiques, institutionnels et de gouvernance ; conflits et épidémies). L’IPBES identifie également des points « à effet de levier » </w:t>
            </w:r>
            <w:r w:rsidR="00E90ADA">
              <w:rPr>
                <w:kern w:val="22"/>
                <w:sz w:val="22"/>
                <w:szCs w:val="22"/>
                <w:lang w:val="fr-FR"/>
              </w:rPr>
              <w:t>pour le changement transformateur.</w:t>
            </w:r>
          </w:p>
        </w:tc>
        <w:tc>
          <w:tcPr>
            <w:tcW w:w="6378" w:type="dxa"/>
          </w:tcPr>
          <w:p w14:paraId="7A9AE3B8" w14:textId="296A115F" w:rsidR="006273E4" w:rsidRPr="009D4C67" w:rsidRDefault="00E90ADA" w:rsidP="006476DC">
            <w:pPr>
              <w:pStyle w:val="Para1"/>
              <w:suppressLineNumbers/>
              <w:suppressAutoHyphens/>
              <w:spacing w:before="40" w:after="40"/>
              <w:rPr>
                <w:kern w:val="22"/>
                <w:sz w:val="22"/>
                <w:szCs w:val="22"/>
                <w:lang w:val="fr-FR"/>
              </w:rPr>
            </w:pPr>
            <w:r>
              <w:rPr>
                <w:kern w:val="22"/>
                <w:sz w:val="22"/>
                <w:szCs w:val="22"/>
                <w:lang w:val="fr-FR"/>
              </w:rPr>
              <w:t>Ces sujets ne sont pas spécifiquement abordés dans les Objectifs d’Aichi pour la biodiversité.</w:t>
            </w:r>
          </w:p>
        </w:tc>
      </w:tr>
      <w:tr w:rsidR="004A25EC" w:rsidRPr="009D4C67" w14:paraId="6696807B" w14:textId="77777777" w:rsidTr="00A3166B">
        <w:trPr>
          <w:cantSplit/>
          <w:jc w:val="center"/>
        </w:trPr>
        <w:tc>
          <w:tcPr>
            <w:tcW w:w="13692" w:type="dxa"/>
            <w:gridSpan w:val="4"/>
            <w:shd w:val="clear" w:color="auto" w:fill="D9D9D9" w:themeFill="background1" w:themeFillShade="D9"/>
          </w:tcPr>
          <w:p w14:paraId="783D669D" w14:textId="7C3B479B" w:rsidR="006273E4" w:rsidRPr="009D4C67" w:rsidRDefault="0094445C" w:rsidP="006476DC">
            <w:pPr>
              <w:pStyle w:val="Para1"/>
              <w:keepNext/>
              <w:suppressLineNumbers/>
              <w:suppressAutoHyphens/>
              <w:spacing w:before="40" w:after="40"/>
              <w:rPr>
                <w:b/>
                <w:kern w:val="22"/>
                <w:sz w:val="22"/>
                <w:szCs w:val="22"/>
                <w:lang w:val="fr-FR"/>
              </w:rPr>
            </w:pPr>
            <w:r>
              <w:rPr>
                <w:b/>
                <w:bCs/>
                <w:kern w:val="22"/>
                <w:sz w:val="22"/>
                <w:szCs w:val="22"/>
                <w:lang w:val="fr-FR"/>
              </w:rPr>
              <w:lastRenderedPageBreak/>
              <w:t>Conditions propices</w:t>
            </w:r>
          </w:p>
        </w:tc>
      </w:tr>
      <w:tr w:rsidR="006273E4" w:rsidRPr="008C0622" w14:paraId="6199B48B" w14:textId="77777777" w:rsidTr="006476DC">
        <w:trPr>
          <w:gridAfter w:val="1"/>
          <w:wAfter w:w="6" w:type="dxa"/>
          <w:cantSplit/>
          <w:jc w:val="center"/>
        </w:trPr>
        <w:tc>
          <w:tcPr>
            <w:tcW w:w="1921" w:type="dxa"/>
          </w:tcPr>
          <w:p w14:paraId="41D82A8F" w14:textId="19A8F4A9" w:rsidR="006273E4" w:rsidRPr="009D4C67" w:rsidRDefault="0094445C" w:rsidP="006476DC">
            <w:pPr>
              <w:pStyle w:val="Para1"/>
              <w:suppressLineNumbers/>
              <w:suppressAutoHyphens/>
              <w:spacing w:before="40" w:after="40"/>
              <w:rPr>
                <w:kern w:val="22"/>
                <w:sz w:val="22"/>
                <w:szCs w:val="22"/>
                <w:lang w:val="fr-FR"/>
              </w:rPr>
            </w:pPr>
            <w:r>
              <w:rPr>
                <w:kern w:val="22"/>
                <w:sz w:val="22"/>
                <w:szCs w:val="22"/>
                <w:lang w:val="fr-FR"/>
              </w:rPr>
              <w:t>Processus de planification nationaux</w:t>
            </w:r>
          </w:p>
        </w:tc>
        <w:tc>
          <w:tcPr>
            <w:tcW w:w="5387" w:type="dxa"/>
          </w:tcPr>
          <w:p w14:paraId="1CE59614" w14:textId="0BCCA8EF" w:rsidR="006273E4" w:rsidRPr="009D4C67" w:rsidRDefault="006A6B0F" w:rsidP="006476DC">
            <w:pPr>
              <w:pStyle w:val="Para1"/>
              <w:suppressLineNumbers/>
              <w:suppressAutoHyphens/>
              <w:spacing w:before="40" w:after="40"/>
              <w:rPr>
                <w:kern w:val="22"/>
                <w:sz w:val="22"/>
                <w:szCs w:val="22"/>
                <w:lang w:val="fr-FR"/>
              </w:rPr>
            </w:pPr>
            <w:r>
              <w:rPr>
                <w:kern w:val="22"/>
                <w:sz w:val="22"/>
                <w:szCs w:val="22"/>
                <w:lang w:val="fr-FR"/>
              </w:rPr>
              <w:t xml:space="preserve">Des cibles pourraient </w:t>
            </w:r>
            <w:r w:rsidR="008824C9">
              <w:rPr>
                <w:kern w:val="22"/>
                <w:sz w:val="22"/>
                <w:szCs w:val="22"/>
                <w:lang w:val="fr-FR"/>
              </w:rPr>
              <w:t>porter</w:t>
            </w:r>
            <w:r>
              <w:rPr>
                <w:kern w:val="22"/>
                <w:sz w:val="22"/>
                <w:szCs w:val="22"/>
                <w:lang w:val="fr-FR"/>
              </w:rPr>
              <w:t xml:space="preserve"> sur la nécessité de promouvoir la cohérence dans les processus de planification nationaux et de veiller à ce que les stratégies et plans d’action nationaux pour la diversité biologique soient adoptés en tant que stratégies à l’échelle de l’ensemble de l’administration. De manière plus générale, il est nécessaire d’avoir un mécanisme de mise en œuvre et de gouvernance adéquat en créant des plateformes nationales intersectorielles et multipartites</w:t>
            </w:r>
            <w:r w:rsidR="00E15CDC">
              <w:rPr>
                <w:kern w:val="22"/>
                <w:sz w:val="22"/>
                <w:szCs w:val="22"/>
                <w:lang w:val="fr-FR"/>
              </w:rPr>
              <w:t xml:space="preserve"> et</w:t>
            </w:r>
            <w:r>
              <w:rPr>
                <w:kern w:val="22"/>
                <w:sz w:val="22"/>
                <w:szCs w:val="22"/>
                <w:lang w:val="fr-FR"/>
              </w:rPr>
              <w:t xml:space="preserve"> </w:t>
            </w:r>
            <w:r w:rsidR="00E15CDC">
              <w:rPr>
                <w:kern w:val="22"/>
                <w:sz w:val="22"/>
                <w:szCs w:val="22"/>
                <w:lang w:val="fr-FR"/>
              </w:rPr>
              <w:t xml:space="preserve">en assurant </w:t>
            </w:r>
            <w:r>
              <w:rPr>
                <w:kern w:val="22"/>
                <w:sz w:val="22"/>
                <w:szCs w:val="22"/>
                <w:lang w:val="fr-FR"/>
              </w:rPr>
              <w:t>l’alignement des SPANB, une augmentation régulière et cyclique de l’ambition et de l’action, l’équité, l’égalité</w:t>
            </w:r>
            <w:r w:rsidR="00E15CDC">
              <w:rPr>
                <w:kern w:val="22"/>
                <w:sz w:val="22"/>
                <w:szCs w:val="22"/>
                <w:lang w:val="fr-FR"/>
              </w:rPr>
              <w:t>, la transparence et l’inclusion.</w:t>
            </w:r>
          </w:p>
        </w:tc>
        <w:tc>
          <w:tcPr>
            <w:tcW w:w="6378" w:type="dxa"/>
          </w:tcPr>
          <w:p w14:paraId="2EBB46D9" w14:textId="1E77D9D1" w:rsidR="006273E4" w:rsidRPr="009D4C67" w:rsidRDefault="00E15CDC" w:rsidP="006476DC">
            <w:pPr>
              <w:pStyle w:val="Para1"/>
              <w:suppressLineNumbers/>
              <w:suppressAutoHyphens/>
              <w:spacing w:before="40" w:after="40"/>
              <w:rPr>
                <w:kern w:val="22"/>
                <w:sz w:val="22"/>
                <w:szCs w:val="22"/>
                <w:lang w:val="fr-FR"/>
              </w:rPr>
            </w:pPr>
            <w:r>
              <w:rPr>
                <w:kern w:val="22"/>
                <w:sz w:val="22"/>
                <w:szCs w:val="22"/>
                <w:lang w:val="fr-FR"/>
              </w:rPr>
              <w:t>Cette question est abordée dans l’Objectif d’Aichi 17, objectif axé sur les mesures et les résultats qui met l’accent sur l’élaboration et la mise en œuvre de stratégies et plans d’action nationaux pour la diversité biologique.</w:t>
            </w:r>
          </w:p>
        </w:tc>
      </w:tr>
      <w:tr w:rsidR="006273E4" w:rsidRPr="008C0622" w14:paraId="6354985E" w14:textId="77777777" w:rsidTr="006476DC">
        <w:trPr>
          <w:gridAfter w:val="1"/>
          <w:wAfter w:w="6" w:type="dxa"/>
          <w:cantSplit/>
          <w:jc w:val="center"/>
        </w:trPr>
        <w:tc>
          <w:tcPr>
            <w:tcW w:w="1921" w:type="dxa"/>
          </w:tcPr>
          <w:p w14:paraId="5F740B20" w14:textId="78D4CFEC" w:rsidR="006273E4" w:rsidRPr="009D4C67" w:rsidRDefault="0094445C" w:rsidP="006476DC">
            <w:pPr>
              <w:pStyle w:val="Para1"/>
              <w:suppressLineNumbers/>
              <w:suppressAutoHyphens/>
              <w:spacing w:before="40" w:after="40"/>
              <w:rPr>
                <w:kern w:val="22"/>
                <w:sz w:val="22"/>
                <w:szCs w:val="22"/>
                <w:lang w:val="fr-FR"/>
              </w:rPr>
            </w:pPr>
            <w:r>
              <w:rPr>
                <w:kern w:val="22"/>
                <w:sz w:val="22"/>
                <w:szCs w:val="22"/>
                <w:lang w:val="fr-FR"/>
              </w:rPr>
              <w:t>Mobilisation des ressources</w:t>
            </w:r>
          </w:p>
        </w:tc>
        <w:tc>
          <w:tcPr>
            <w:tcW w:w="5387" w:type="dxa"/>
          </w:tcPr>
          <w:p w14:paraId="01DBB9AC" w14:textId="2010B5D4" w:rsidR="006273E4" w:rsidRPr="009D4C67" w:rsidRDefault="00E15CDC" w:rsidP="006476DC">
            <w:pPr>
              <w:pStyle w:val="Para1"/>
              <w:suppressLineNumbers/>
              <w:suppressAutoHyphens/>
              <w:spacing w:before="40" w:after="40"/>
              <w:rPr>
                <w:kern w:val="22"/>
                <w:sz w:val="22"/>
                <w:szCs w:val="22"/>
                <w:lang w:val="fr-FR"/>
              </w:rPr>
            </w:pPr>
            <w:r>
              <w:rPr>
                <w:kern w:val="22"/>
                <w:sz w:val="22"/>
                <w:szCs w:val="22"/>
                <w:lang w:val="fr-FR"/>
              </w:rPr>
              <w:t xml:space="preserve">Une cible pourrait </w:t>
            </w:r>
            <w:r w:rsidR="008824C9">
              <w:rPr>
                <w:kern w:val="22"/>
                <w:sz w:val="22"/>
                <w:szCs w:val="22"/>
                <w:lang w:val="fr-FR"/>
              </w:rPr>
              <w:t>porter</w:t>
            </w:r>
            <w:r>
              <w:rPr>
                <w:kern w:val="22"/>
                <w:sz w:val="22"/>
                <w:szCs w:val="22"/>
                <w:lang w:val="fr-FR"/>
              </w:rPr>
              <w:t xml:space="preserve"> sur la reconnaissance du rôle essentiel des ressources financières pour l’application de la Convention. Cette cible pourrait mettre l’accent sur l’assurance de la fourniture de ressources de toutes les sources.</w:t>
            </w:r>
          </w:p>
        </w:tc>
        <w:tc>
          <w:tcPr>
            <w:tcW w:w="6378" w:type="dxa"/>
          </w:tcPr>
          <w:p w14:paraId="656EB64D" w14:textId="389DF03D" w:rsidR="006273E4" w:rsidRPr="009D4C67" w:rsidRDefault="00E15CDC" w:rsidP="006476DC">
            <w:pPr>
              <w:pStyle w:val="Para1"/>
              <w:suppressLineNumbers/>
              <w:suppressAutoHyphens/>
              <w:spacing w:before="40" w:after="40"/>
              <w:rPr>
                <w:kern w:val="22"/>
                <w:sz w:val="22"/>
                <w:szCs w:val="22"/>
                <w:lang w:val="fr-FR"/>
              </w:rPr>
            </w:pPr>
            <w:r>
              <w:rPr>
                <w:kern w:val="22"/>
                <w:sz w:val="22"/>
                <w:szCs w:val="22"/>
                <w:lang w:val="fr-FR"/>
              </w:rPr>
              <w:t>Cette question est abordée dans l’Objectif d’Aichi 20, objectif axé sur les résultats qui met l’accent sur l’augmentation du montant de ressources financières de toutes les sources pour la mise en œuvre du Plan stratégique.</w:t>
            </w:r>
          </w:p>
        </w:tc>
      </w:tr>
      <w:tr w:rsidR="006273E4" w:rsidRPr="008C0622" w14:paraId="006BD3B1" w14:textId="77777777" w:rsidTr="006476DC">
        <w:trPr>
          <w:gridAfter w:val="1"/>
          <w:wAfter w:w="6" w:type="dxa"/>
          <w:cantSplit/>
          <w:jc w:val="center"/>
        </w:trPr>
        <w:tc>
          <w:tcPr>
            <w:tcW w:w="1921" w:type="dxa"/>
          </w:tcPr>
          <w:p w14:paraId="4D720293" w14:textId="16B78D7F" w:rsidR="006273E4" w:rsidRPr="009D4C67" w:rsidRDefault="0094445C" w:rsidP="006476DC">
            <w:pPr>
              <w:pStyle w:val="Para1"/>
              <w:suppressLineNumbers/>
              <w:suppressAutoHyphens/>
              <w:spacing w:before="40" w:after="40"/>
              <w:rPr>
                <w:kern w:val="22"/>
                <w:sz w:val="22"/>
                <w:szCs w:val="22"/>
                <w:lang w:val="fr-FR"/>
              </w:rPr>
            </w:pPr>
            <w:r>
              <w:rPr>
                <w:kern w:val="22"/>
                <w:sz w:val="22"/>
                <w:szCs w:val="22"/>
                <w:lang w:val="fr-FR"/>
              </w:rPr>
              <w:t>Renforcement des capacités</w:t>
            </w:r>
          </w:p>
        </w:tc>
        <w:tc>
          <w:tcPr>
            <w:tcW w:w="5387" w:type="dxa"/>
          </w:tcPr>
          <w:p w14:paraId="29D98E21" w14:textId="62DFC8A2" w:rsidR="006273E4" w:rsidRPr="009D4C67" w:rsidRDefault="00E552C9" w:rsidP="006476DC">
            <w:pPr>
              <w:pStyle w:val="Para1"/>
              <w:suppressLineNumbers/>
              <w:suppressAutoHyphens/>
              <w:spacing w:before="40" w:after="40"/>
              <w:rPr>
                <w:kern w:val="22"/>
                <w:sz w:val="22"/>
                <w:szCs w:val="22"/>
                <w:lang w:val="fr-FR"/>
              </w:rPr>
            </w:pPr>
            <w:r>
              <w:rPr>
                <w:kern w:val="22"/>
                <w:sz w:val="22"/>
                <w:szCs w:val="22"/>
                <w:lang w:val="fr-FR"/>
              </w:rPr>
              <w:t xml:space="preserve">Une cible pourrait </w:t>
            </w:r>
            <w:r w:rsidR="008824C9">
              <w:rPr>
                <w:kern w:val="22"/>
                <w:sz w:val="22"/>
                <w:szCs w:val="22"/>
                <w:lang w:val="fr-FR"/>
              </w:rPr>
              <w:t xml:space="preserve">viser </w:t>
            </w:r>
            <w:r>
              <w:rPr>
                <w:kern w:val="22"/>
                <w:sz w:val="22"/>
                <w:szCs w:val="22"/>
                <w:lang w:val="fr-FR"/>
              </w:rPr>
              <w:t>la nécessité de renforcer les capacités pour la mise en œuvre du cadre mondial de la biodiversité pour l’après-2020.</w:t>
            </w:r>
          </w:p>
        </w:tc>
        <w:tc>
          <w:tcPr>
            <w:tcW w:w="6378" w:type="dxa"/>
          </w:tcPr>
          <w:p w14:paraId="1A2E61D4" w14:textId="33DEA19F" w:rsidR="006273E4" w:rsidRPr="009D4C67" w:rsidRDefault="002056BD" w:rsidP="006476DC">
            <w:pPr>
              <w:pStyle w:val="Para1"/>
              <w:suppressLineNumbers/>
              <w:suppressAutoHyphens/>
              <w:spacing w:before="40" w:after="40"/>
              <w:rPr>
                <w:kern w:val="22"/>
                <w:sz w:val="22"/>
                <w:szCs w:val="22"/>
                <w:lang w:val="fr-FR"/>
              </w:rPr>
            </w:pPr>
            <w:r>
              <w:rPr>
                <w:kern w:val="22"/>
                <w:sz w:val="22"/>
                <w:szCs w:val="22"/>
                <w:lang w:val="fr-FR"/>
              </w:rPr>
              <w:t xml:space="preserve">La question du renforcement des capacités n’est pas expressément abordée dans les Objectifs d’Aichi pour la biodiversité, bien qu’elle soit traitée dans d’autres parties du Plan stratégique pour la diversité biologique </w:t>
            </w:r>
            <w:r w:rsidR="006273E4" w:rsidRPr="009D4C67">
              <w:rPr>
                <w:kern w:val="22"/>
                <w:sz w:val="22"/>
                <w:szCs w:val="22"/>
                <w:lang w:val="fr-FR"/>
              </w:rPr>
              <w:t>2011-2020</w:t>
            </w:r>
            <w:r w:rsidR="005B514A" w:rsidRPr="009D4C67">
              <w:rPr>
                <w:kern w:val="22"/>
                <w:sz w:val="22"/>
                <w:szCs w:val="22"/>
                <w:lang w:val="fr-FR"/>
              </w:rPr>
              <w:t>.</w:t>
            </w:r>
          </w:p>
        </w:tc>
      </w:tr>
      <w:tr w:rsidR="006273E4" w:rsidRPr="008C0622" w14:paraId="15101F39" w14:textId="77777777" w:rsidTr="006476DC">
        <w:trPr>
          <w:gridAfter w:val="1"/>
          <w:wAfter w:w="6" w:type="dxa"/>
          <w:cantSplit/>
          <w:jc w:val="center"/>
        </w:trPr>
        <w:tc>
          <w:tcPr>
            <w:tcW w:w="1921" w:type="dxa"/>
          </w:tcPr>
          <w:p w14:paraId="273EC4BE" w14:textId="4A26537F" w:rsidR="006273E4" w:rsidRPr="009D4C67" w:rsidRDefault="0094445C" w:rsidP="006476DC">
            <w:pPr>
              <w:pStyle w:val="Para1"/>
              <w:suppressLineNumbers/>
              <w:suppressAutoHyphens/>
              <w:spacing w:before="40" w:after="40"/>
              <w:rPr>
                <w:kern w:val="22"/>
                <w:sz w:val="22"/>
                <w:szCs w:val="22"/>
                <w:lang w:val="fr-FR"/>
              </w:rPr>
            </w:pPr>
            <w:r>
              <w:rPr>
                <w:kern w:val="22"/>
                <w:sz w:val="22"/>
                <w:szCs w:val="22"/>
                <w:lang w:val="fr-FR"/>
              </w:rPr>
              <w:t>Connaissances traditionnelles</w:t>
            </w:r>
          </w:p>
        </w:tc>
        <w:tc>
          <w:tcPr>
            <w:tcW w:w="5387" w:type="dxa"/>
          </w:tcPr>
          <w:p w14:paraId="2E0E843E" w14:textId="18536C04" w:rsidR="006273E4" w:rsidRPr="009D4C67" w:rsidRDefault="00E552C9" w:rsidP="006476DC">
            <w:pPr>
              <w:pStyle w:val="Para1"/>
              <w:suppressLineNumbers/>
              <w:suppressAutoHyphens/>
              <w:spacing w:before="40" w:after="40"/>
              <w:rPr>
                <w:kern w:val="22"/>
                <w:sz w:val="22"/>
                <w:szCs w:val="22"/>
                <w:lang w:val="fr-FR"/>
              </w:rPr>
            </w:pPr>
            <w:r>
              <w:rPr>
                <w:kern w:val="22"/>
                <w:sz w:val="22"/>
                <w:szCs w:val="22"/>
                <w:lang w:val="fr-FR"/>
              </w:rPr>
              <w:t xml:space="preserve">Une cible pourrait </w:t>
            </w:r>
            <w:r w:rsidR="008824C9">
              <w:rPr>
                <w:kern w:val="22"/>
                <w:sz w:val="22"/>
                <w:szCs w:val="22"/>
                <w:lang w:val="fr-FR"/>
              </w:rPr>
              <w:t xml:space="preserve">porter </w:t>
            </w:r>
            <w:r>
              <w:rPr>
                <w:kern w:val="22"/>
                <w:sz w:val="22"/>
                <w:szCs w:val="22"/>
                <w:lang w:val="fr-FR"/>
              </w:rPr>
              <w:t xml:space="preserve">sur la reconnaissance de l’importance des connaissances traditionnelles et de la participation des peuples autochtones et des communautés locales à la mise en œuvre du cadre mondial de la biodiversité pour l’après-2020. Une telle cible pourrait traiter de questions liées à la plus grande reconnaissance des droits territoriaux et d’occupation des terres, à la diversité </w:t>
            </w:r>
            <w:r>
              <w:rPr>
                <w:noProof/>
                <w:kern w:val="22"/>
                <w:sz w:val="22"/>
                <w:szCs w:val="22"/>
                <w:lang w:val="fr-FR"/>
              </w:rPr>
              <w:t>bioculturelle,</w:t>
            </w:r>
            <w:r>
              <w:rPr>
                <w:kern w:val="22"/>
                <w:sz w:val="22"/>
                <w:szCs w:val="22"/>
                <w:lang w:val="fr-FR"/>
              </w:rPr>
              <w:t xml:space="preserve"> à la protection des défenseurs de l’environnement</w:t>
            </w:r>
            <w:r w:rsidR="002056BD">
              <w:rPr>
                <w:kern w:val="22"/>
                <w:sz w:val="22"/>
                <w:szCs w:val="22"/>
                <w:lang w:val="fr-FR"/>
              </w:rPr>
              <w:t>,</w:t>
            </w:r>
            <w:r>
              <w:rPr>
                <w:kern w:val="22"/>
                <w:sz w:val="22"/>
                <w:szCs w:val="22"/>
                <w:lang w:val="fr-FR"/>
              </w:rPr>
              <w:t xml:space="preserve"> et au partage à la protection des connaissances traditionnelles.</w:t>
            </w:r>
          </w:p>
        </w:tc>
        <w:tc>
          <w:tcPr>
            <w:tcW w:w="6378" w:type="dxa"/>
          </w:tcPr>
          <w:p w14:paraId="7DF4027B" w14:textId="7C25078F" w:rsidR="006273E4" w:rsidRPr="009D4C67" w:rsidRDefault="002056BD" w:rsidP="006476DC">
            <w:pPr>
              <w:pStyle w:val="Para1"/>
              <w:suppressLineNumbers/>
              <w:suppressAutoHyphens/>
              <w:spacing w:before="40" w:after="40"/>
              <w:rPr>
                <w:kern w:val="22"/>
                <w:sz w:val="22"/>
                <w:szCs w:val="22"/>
                <w:lang w:val="fr-FR"/>
              </w:rPr>
            </w:pPr>
            <w:r>
              <w:rPr>
                <w:kern w:val="22"/>
                <w:sz w:val="22"/>
                <w:szCs w:val="22"/>
                <w:lang w:val="fr-FR"/>
              </w:rPr>
              <w:t>Cette question est abordée dans l’Objectif d’Aichi 18, objectif axé sur les mesures et les résultats qui met l’accent sur la reconnaissance et le respect des connaissances traditionnelles, innovations et pratiques des communautés autochtones et locales présentant</w:t>
            </w:r>
            <w:r w:rsidR="008C5D86">
              <w:rPr>
                <w:kern w:val="22"/>
                <w:sz w:val="22"/>
                <w:szCs w:val="22"/>
                <w:lang w:val="fr-FR"/>
              </w:rPr>
              <w:t xml:space="preserve"> un intérêt pour la conservation et l’utilisation durable de la diversité biologique, et leur utilisation coutumière des ressources biologique.</w:t>
            </w:r>
          </w:p>
        </w:tc>
      </w:tr>
      <w:tr w:rsidR="006273E4" w:rsidRPr="008C0622" w14:paraId="7E3230FB" w14:textId="77777777" w:rsidTr="006476DC">
        <w:trPr>
          <w:gridAfter w:val="1"/>
          <w:wAfter w:w="6" w:type="dxa"/>
          <w:cantSplit/>
          <w:jc w:val="center"/>
        </w:trPr>
        <w:tc>
          <w:tcPr>
            <w:tcW w:w="1921" w:type="dxa"/>
          </w:tcPr>
          <w:p w14:paraId="27E8DE79" w14:textId="0CE448CF" w:rsidR="006273E4" w:rsidRPr="009D4C67" w:rsidRDefault="0094445C" w:rsidP="006476DC">
            <w:pPr>
              <w:pStyle w:val="Para1"/>
              <w:suppressLineNumbers/>
              <w:suppressAutoHyphens/>
              <w:spacing w:before="40" w:after="40"/>
              <w:rPr>
                <w:kern w:val="22"/>
                <w:sz w:val="22"/>
                <w:szCs w:val="22"/>
                <w:lang w:val="fr-FR"/>
              </w:rPr>
            </w:pPr>
            <w:r>
              <w:rPr>
                <w:kern w:val="22"/>
                <w:sz w:val="22"/>
                <w:szCs w:val="22"/>
                <w:lang w:val="fr-FR"/>
              </w:rPr>
              <w:lastRenderedPageBreak/>
              <w:t>Connaissances et technologie</w:t>
            </w:r>
          </w:p>
        </w:tc>
        <w:tc>
          <w:tcPr>
            <w:tcW w:w="5387" w:type="dxa"/>
          </w:tcPr>
          <w:p w14:paraId="2BAB8301" w14:textId="1919ABA8" w:rsidR="006273E4" w:rsidRPr="009D4C67" w:rsidRDefault="008C5D86" w:rsidP="006476DC">
            <w:pPr>
              <w:pStyle w:val="Para1"/>
              <w:suppressLineNumbers/>
              <w:suppressAutoHyphens/>
              <w:spacing w:before="40" w:after="40"/>
              <w:rPr>
                <w:kern w:val="22"/>
                <w:sz w:val="22"/>
                <w:szCs w:val="22"/>
                <w:lang w:val="fr-FR"/>
              </w:rPr>
            </w:pPr>
            <w:r>
              <w:rPr>
                <w:kern w:val="22"/>
                <w:sz w:val="22"/>
                <w:szCs w:val="22"/>
                <w:lang w:val="fr-FR"/>
              </w:rPr>
              <w:t>Une cible pourrait viser la nécessité d’améliorer la quantité, la disponibilité et l’accès aux connaissances et aux technologies relatives à la biodiversité.</w:t>
            </w:r>
          </w:p>
        </w:tc>
        <w:tc>
          <w:tcPr>
            <w:tcW w:w="6378" w:type="dxa"/>
          </w:tcPr>
          <w:p w14:paraId="6DCD75EF" w14:textId="1BEBE8D6" w:rsidR="006273E4" w:rsidRPr="009D4C67" w:rsidRDefault="008C5D86" w:rsidP="006476DC">
            <w:pPr>
              <w:pStyle w:val="Para1"/>
              <w:suppressLineNumbers/>
              <w:suppressAutoHyphens/>
              <w:spacing w:before="40" w:after="40"/>
              <w:rPr>
                <w:kern w:val="22"/>
                <w:sz w:val="22"/>
                <w:szCs w:val="22"/>
                <w:lang w:val="fr-FR"/>
              </w:rPr>
            </w:pPr>
            <w:r>
              <w:rPr>
                <w:kern w:val="22"/>
                <w:sz w:val="22"/>
                <w:szCs w:val="22"/>
                <w:lang w:val="fr-FR"/>
              </w:rPr>
              <w:t>Cette question</w:t>
            </w:r>
            <w:r w:rsidR="006273E4" w:rsidRPr="009D4C67">
              <w:rPr>
                <w:kern w:val="22"/>
                <w:sz w:val="22"/>
                <w:szCs w:val="22"/>
                <w:lang w:val="fr-FR"/>
              </w:rPr>
              <w:t xml:space="preserve"> </w:t>
            </w:r>
            <w:r>
              <w:rPr>
                <w:kern w:val="22"/>
                <w:sz w:val="22"/>
                <w:szCs w:val="22"/>
                <w:lang w:val="fr-FR"/>
              </w:rPr>
              <w:t>est abordée dans l’Objectif d’Aichi 19, objectif axé sur les mesures qui met l’accent sur l’amélioration des</w:t>
            </w:r>
            <w:r w:rsidRPr="008C5D86">
              <w:rPr>
                <w:noProof/>
                <w:sz w:val="22"/>
                <w:szCs w:val="22"/>
                <w:lang w:val="fr-FR"/>
              </w:rPr>
              <w:t xml:space="preserve"> connaissances, </w:t>
            </w:r>
            <w:r>
              <w:rPr>
                <w:noProof/>
                <w:sz w:val="22"/>
                <w:szCs w:val="22"/>
                <w:lang w:val="fr-FR"/>
              </w:rPr>
              <w:t xml:space="preserve">de </w:t>
            </w:r>
            <w:r w:rsidRPr="008C5D86">
              <w:rPr>
                <w:noProof/>
                <w:sz w:val="22"/>
                <w:szCs w:val="22"/>
                <w:lang w:val="fr-FR"/>
              </w:rPr>
              <w:t xml:space="preserve">la base scientifique et </w:t>
            </w:r>
            <w:r>
              <w:rPr>
                <w:noProof/>
                <w:sz w:val="22"/>
                <w:szCs w:val="22"/>
                <w:lang w:val="fr-FR"/>
              </w:rPr>
              <w:t>d</w:t>
            </w:r>
            <w:r w:rsidRPr="008C5D86">
              <w:rPr>
                <w:noProof/>
                <w:sz w:val="22"/>
                <w:szCs w:val="22"/>
                <w:lang w:val="fr-FR"/>
              </w:rPr>
              <w:t>es technologies associées à la diversité biologique,</w:t>
            </w:r>
            <w:r w:rsidR="00636519">
              <w:rPr>
                <w:noProof/>
                <w:sz w:val="22"/>
                <w:szCs w:val="22"/>
                <w:lang w:val="fr-FR"/>
              </w:rPr>
              <w:t xml:space="preserve"> et leur partage et leur application.</w:t>
            </w:r>
          </w:p>
        </w:tc>
      </w:tr>
      <w:tr w:rsidR="006273E4" w:rsidRPr="008C0622" w14:paraId="7E3742A2" w14:textId="77777777" w:rsidTr="006476DC">
        <w:trPr>
          <w:gridAfter w:val="1"/>
          <w:wAfter w:w="6" w:type="dxa"/>
          <w:cantSplit/>
          <w:jc w:val="center"/>
        </w:trPr>
        <w:tc>
          <w:tcPr>
            <w:tcW w:w="1921" w:type="dxa"/>
          </w:tcPr>
          <w:p w14:paraId="30318CED" w14:textId="0E8C6A9A" w:rsidR="006273E4" w:rsidRPr="009D4C67" w:rsidRDefault="0094445C" w:rsidP="006476DC">
            <w:pPr>
              <w:pStyle w:val="Para1"/>
              <w:suppressLineNumbers/>
              <w:suppressAutoHyphens/>
              <w:spacing w:before="40" w:after="40"/>
              <w:rPr>
                <w:kern w:val="22"/>
                <w:sz w:val="22"/>
                <w:szCs w:val="22"/>
                <w:lang w:val="fr-FR"/>
              </w:rPr>
            </w:pPr>
            <w:r>
              <w:rPr>
                <w:kern w:val="22"/>
                <w:sz w:val="22"/>
                <w:szCs w:val="22"/>
                <w:lang w:val="fr-FR"/>
              </w:rPr>
              <w:t>Sensibilisation</w:t>
            </w:r>
          </w:p>
        </w:tc>
        <w:tc>
          <w:tcPr>
            <w:tcW w:w="5387" w:type="dxa"/>
          </w:tcPr>
          <w:p w14:paraId="77F81A3D" w14:textId="22865779" w:rsidR="006273E4" w:rsidRPr="009D4C67" w:rsidRDefault="00636519" w:rsidP="006476DC">
            <w:pPr>
              <w:pStyle w:val="Para1"/>
              <w:suppressLineNumbers/>
              <w:suppressAutoHyphens/>
              <w:spacing w:before="40" w:after="40"/>
              <w:rPr>
                <w:kern w:val="22"/>
                <w:sz w:val="22"/>
                <w:szCs w:val="22"/>
                <w:lang w:val="fr-FR"/>
              </w:rPr>
            </w:pPr>
            <w:r>
              <w:rPr>
                <w:kern w:val="22"/>
                <w:sz w:val="22"/>
                <w:szCs w:val="22"/>
                <w:lang w:val="fr-FR"/>
              </w:rPr>
              <w:t>Une cible pourrait porter sur la sensibilisation de la population à la biodiversité.</w:t>
            </w:r>
          </w:p>
        </w:tc>
        <w:tc>
          <w:tcPr>
            <w:tcW w:w="6378" w:type="dxa"/>
          </w:tcPr>
          <w:p w14:paraId="04139491" w14:textId="30D9110F" w:rsidR="006273E4" w:rsidRPr="009D4C67" w:rsidRDefault="00636519" w:rsidP="006476DC">
            <w:pPr>
              <w:suppressLineNumbers/>
              <w:tabs>
                <w:tab w:val="left" w:pos="720"/>
              </w:tabs>
              <w:suppressAutoHyphens/>
              <w:spacing w:before="40" w:after="40"/>
              <w:rPr>
                <w:kern w:val="22"/>
                <w:sz w:val="22"/>
                <w:szCs w:val="22"/>
                <w:lang w:val="fr-FR"/>
              </w:rPr>
            </w:pPr>
            <w:r>
              <w:rPr>
                <w:kern w:val="22"/>
                <w:sz w:val="22"/>
                <w:szCs w:val="22"/>
                <w:lang w:val="fr-FR"/>
              </w:rPr>
              <w:t>Cette question est abordée dans l’Objectif d’Aichi 1, qui porte sur la conscience de la population des valeurs de la diversité biologique et des mesures qu’ils peuvent prendre pour la conserver.</w:t>
            </w:r>
          </w:p>
        </w:tc>
      </w:tr>
      <w:tr w:rsidR="004A25EC" w:rsidRPr="009D4C67" w14:paraId="5FDA55CE" w14:textId="77777777" w:rsidTr="00A3166B">
        <w:trPr>
          <w:cantSplit/>
          <w:jc w:val="center"/>
        </w:trPr>
        <w:tc>
          <w:tcPr>
            <w:tcW w:w="13692" w:type="dxa"/>
            <w:gridSpan w:val="4"/>
            <w:shd w:val="clear" w:color="auto" w:fill="D9D9D9" w:themeFill="background1" w:themeFillShade="D9"/>
          </w:tcPr>
          <w:p w14:paraId="3A476429" w14:textId="63758765" w:rsidR="006273E4" w:rsidRPr="009D4C67" w:rsidRDefault="0094445C" w:rsidP="006476DC">
            <w:pPr>
              <w:pStyle w:val="Para1"/>
              <w:keepNext/>
              <w:suppressLineNumbers/>
              <w:suppressAutoHyphens/>
              <w:spacing w:before="40" w:after="40"/>
              <w:rPr>
                <w:b/>
                <w:kern w:val="22"/>
                <w:sz w:val="22"/>
                <w:szCs w:val="22"/>
                <w:lang w:val="fr-FR"/>
              </w:rPr>
            </w:pPr>
            <w:r>
              <w:rPr>
                <w:b/>
                <w:kern w:val="22"/>
                <w:sz w:val="22"/>
                <w:szCs w:val="22"/>
                <w:lang w:val="fr-FR"/>
              </w:rPr>
              <w:t>Questions intersectorielles</w:t>
            </w:r>
          </w:p>
        </w:tc>
      </w:tr>
      <w:tr w:rsidR="006273E4" w:rsidRPr="008C0622" w14:paraId="3A5C7AF7" w14:textId="77777777" w:rsidTr="006476DC">
        <w:trPr>
          <w:gridAfter w:val="1"/>
          <w:wAfter w:w="6" w:type="dxa"/>
          <w:cantSplit/>
          <w:jc w:val="center"/>
        </w:trPr>
        <w:tc>
          <w:tcPr>
            <w:tcW w:w="1921" w:type="dxa"/>
          </w:tcPr>
          <w:p w14:paraId="2C9BA1F4" w14:textId="0D7C3DB9" w:rsidR="006273E4" w:rsidRPr="009D4C67" w:rsidRDefault="009B15BD" w:rsidP="006476DC">
            <w:pPr>
              <w:pStyle w:val="Para1"/>
              <w:suppressLineNumbers/>
              <w:suppressAutoHyphens/>
              <w:spacing w:before="40" w:after="40"/>
              <w:rPr>
                <w:kern w:val="22"/>
                <w:sz w:val="22"/>
                <w:szCs w:val="22"/>
                <w:lang w:val="fr-FR"/>
              </w:rPr>
            </w:pPr>
            <w:r>
              <w:rPr>
                <w:kern w:val="22"/>
                <w:sz w:val="22"/>
                <w:szCs w:val="22"/>
                <w:lang w:val="fr-FR"/>
              </w:rPr>
              <w:t>Problématique hommes-femmes</w:t>
            </w:r>
          </w:p>
        </w:tc>
        <w:tc>
          <w:tcPr>
            <w:tcW w:w="5387" w:type="dxa"/>
          </w:tcPr>
          <w:p w14:paraId="69A0C9A8" w14:textId="6A3B5EAF" w:rsidR="006273E4" w:rsidRPr="009D4C67" w:rsidRDefault="00636519" w:rsidP="006476DC">
            <w:pPr>
              <w:pStyle w:val="Para1"/>
              <w:suppressLineNumbers/>
              <w:suppressAutoHyphens/>
              <w:spacing w:before="40" w:after="40"/>
              <w:rPr>
                <w:kern w:val="22"/>
                <w:sz w:val="22"/>
                <w:szCs w:val="22"/>
                <w:lang w:val="fr-FR"/>
              </w:rPr>
            </w:pPr>
            <w:r>
              <w:rPr>
                <w:kern w:val="22"/>
                <w:sz w:val="22"/>
                <w:szCs w:val="22"/>
                <w:lang w:val="fr-FR"/>
              </w:rPr>
              <w:t>Une cible pourrait porter sur la reconnaissance de l’importance des considérations d’égalité des sexes en tant que question intersectorielle</w:t>
            </w:r>
            <w:r w:rsidR="00771E90">
              <w:rPr>
                <w:kern w:val="22"/>
                <w:sz w:val="22"/>
                <w:szCs w:val="22"/>
                <w:lang w:val="fr-FR"/>
              </w:rPr>
              <w:t xml:space="preserve"> et sur le rôle, les droits et la participation des femmes à la gestion de la biodiversité. Une telle cible pourrait aussi refléter l’importance des femmes en tant qu’agents de changement.</w:t>
            </w:r>
          </w:p>
        </w:tc>
        <w:tc>
          <w:tcPr>
            <w:tcW w:w="6378" w:type="dxa"/>
          </w:tcPr>
          <w:p w14:paraId="58651ED3" w14:textId="31A724AD" w:rsidR="006273E4" w:rsidRPr="009D4C67" w:rsidRDefault="00771E90" w:rsidP="006476DC">
            <w:pPr>
              <w:pStyle w:val="Para1"/>
              <w:suppressLineNumbers/>
              <w:suppressAutoHyphens/>
              <w:spacing w:before="40" w:after="40"/>
              <w:rPr>
                <w:kern w:val="22"/>
                <w:sz w:val="22"/>
                <w:szCs w:val="22"/>
                <w:lang w:val="fr-FR"/>
              </w:rPr>
            </w:pPr>
            <w:r>
              <w:rPr>
                <w:kern w:val="22"/>
                <w:sz w:val="22"/>
                <w:szCs w:val="22"/>
                <w:lang w:val="fr-FR"/>
              </w:rPr>
              <w:t>Cette question est en partie abordée dans l’Objectif d’Aichi 14, objectif axé sur les résultats qui fait mention de la fourniture de services essentiels aux groupes vulnérables, y compris les femmes.</w:t>
            </w:r>
          </w:p>
        </w:tc>
      </w:tr>
      <w:tr w:rsidR="006273E4" w:rsidRPr="008C0622" w14:paraId="53D681C1" w14:textId="77777777" w:rsidTr="006476DC">
        <w:trPr>
          <w:gridAfter w:val="1"/>
          <w:wAfter w:w="6" w:type="dxa"/>
          <w:cantSplit/>
          <w:jc w:val="center"/>
        </w:trPr>
        <w:tc>
          <w:tcPr>
            <w:tcW w:w="1921" w:type="dxa"/>
          </w:tcPr>
          <w:p w14:paraId="502B8BDD" w14:textId="08E32B9B" w:rsidR="006273E4" w:rsidRPr="009D4C67" w:rsidRDefault="009B15BD" w:rsidP="006476DC">
            <w:pPr>
              <w:pStyle w:val="Para1"/>
              <w:suppressLineNumbers/>
              <w:suppressAutoHyphens/>
              <w:spacing w:before="40" w:after="40"/>
              <w:rPr>
                <w:kern w:val="22"/>
                <w:sz w:val="22"/>
                <w:szCs w:val="22"/>
                <w:lang w:val="fr-FR"/>
              </w:rPr>
            </w:pPr>
            <w:r>
              <w:rPr>
                <w:kern w:val="22"/>
                <w:sz w:val="22"/>
                <w:szCs w:val="22"/>
                <w:lang w:val="fr-FR"/>
              </w:rPr>
              <w:t>Prévention des risques biotechnologiques</w:t>
            </w:r>
          </w:p>
        </w:tc>
        <w:tc>
          <w:tcPr>
            <w:tcW w:w="5387" w:type="dxa"/>
          </w:tcPr>
          <w:p w14:paraId="31A18450" w14:textId="39C718D8" w:rsidR="006273E4" w:rsidRPr="009D4C67" w:rsidRDefault="00771E90" w:rsidP="006476DC">
            <w:pPr>
              <w:pStyle w:val="Para1"/>
              <w:suppressLineNumbers/>
              <w:suppressAutoHyphens/>
              <w:spacing w:before="40" w:after="40"/>
              <w:rPr>
                <w:kern w:val="22"/>
                <w:sz w:val="22"/>
                <w:szCs w:val="22"/>
                <w:lang w:val="fr-FR"/>
              </w:rPr>
            </w:pPr>
            <w:r>
              <w:rPr>
                <w:kern w:val="22"/>
                <w:sz w:val="22"/>
                <w:szCs w:val="22"/>
                <w:lang w:val="fr-FR"/>
              </w:rPr>
              <w:t>Une cible pourrait porter sur l’utilisation sûre des organismes vivants modifiés et la biologie de synthèse.</w:t>
            </w:r>
          </w:p>
        </w:tc>
        <w:tc>
          <w:tcPr>
            <w:tcW w:w="6378" w:type="dxa"/>
          </w:tcPr>
          <w:p w14:paraId="1C5DC18A" w14:textId="60289C68" w:rsidR="006273E4" w:rsidRPr="009D4C67" w:rsidRDefault="00771E90" w:rsidP="006476DC">
            <w:pPr>
              <w:suppressLineNumbers/>
              <w:tabs>
                <w:tab w:val="left" w:pos="720"/>
              </w:tabs>
              <w:suppressAutoHyphens/>
              <w:spacing w:before="40" w:after="40"/>
              <w:rPr>
                <w:kern w:val="22"/>
                <w:sz w:val="22"/>
                <w:szCs w:val="22"/>
                <w:lang w:val="fr-FR"/>
              </w:rPr>
            </w:pPr>
            <w:r>
              <w:rPr>
                <w:kern w:val="22"/>
                <w:sz w:val="22"/>
                <w:szCs w:val="22"/>
                <w:lang w:val="fr-FR"/>
              </w:rPr>
              <w:t>Cette question n’est pas abordée dans les Objectifs d’Aichi pour la biodiversité.</w:t>
            </w:r>
          </w:p>
        </w:tc>
      </w:tr>
    </w:tbl>
    <w:bookmarkEnd w:id="2"/>
    <w:p w14:paraId="3D75AD58" w14:textId="411A58EB" w:rsidR="002A6955" w:rsidRPr="006476DC" w:rsidRDefault="00B87006" w:rsidP="006476DC">
      <w:pPr>
        <w:pStyle w:val="Para1"/>
        <w:suppressLineNumbers/>
        <w:suppressAutoHyphens/>
        <w:spacing w:after="200"/>
        <w:ind w:left="720"/>
        <w:jc w:val="center"/>
        <w:rPr>
          <w:kern w:val="22"/>
          <w:sz w:val="22"/>
          <w:szCs w:val="22"/>
          <w:lang w:val="en-GB"/>
        </w:rPr>
      </w:pPr>
      <w:r w:rsidRPr="006D6174">
        <w:rPr>
          <w:kern w:val="22"/>
          <w:sz w:val="22"/>
          <w:szCs w:val="22"/>
          <w:lang w:val="en-GB"/>
        </w:rPr>
        <w:t>__________</w:t>
      </w:r>
      <w:bookmarkStart w:id="3" w:name="_GoBack"/>
      <w:bookmarkEnd w:id="3"/>
    </w:p>
    <w:sectPr w:rsidR="002A6955" w:rsidRPr="006476DC" w:rsidSect="00D9647A">
      <w:pgSz w:w="15840" w:h="12240" w:orient="landscape"/>
      <w:pgMar w:top="1389" w:right="1134" w:bottom="138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00B5" w14:textId="77777777" w:rsidR="00FA0B35" w:rsidRDefault="00FA0B35" w:rsidP="00CF1848">
      <w:r>
        <w:separator/>
      </w:r>
    </w:p>
  </w:endnote>
  <w:endnote w:type="continuationSeparator" w:id="0">
    <w:p w14:paraId="43B280E7" w14:textId="77777777" w:rsidR="00FA0B35" w:rsidRDefault="00FA0B35" w:rsidP="00CF1848">
      <w:r>
        <w:continuationSeparator/>
      </w:r>
    </w:p>
  </w:endnote>
  <w:endnote w:type="continuationNotice" w:id="1">
    <w:p w14:paraId="7573CDC2" w14:textId="77777777" w:rsidR="00FA0B35" w:rsidRDefault="00FA0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F4536" w14:textId="77777777" w:rsidR="00FA0B35" w:rsidRDefault="00FA0B35" w:rsidP="00CF1848">
      <w:r>
        <w:separator/>
      </w:r>
    </w:p>
  </w:footnote>
  <w:footnote w:type="continuationSeparator" w:id="0">
    <w:p w14:paraId="6DE90279" w14:textId="77777777" w:rsidR="00FA0B35" w:rsidRDefault="00FA0B35" w:rsidP="00CF1848">
      <w:r>
        <w:continuationSeparator/>
      </w:r>
    </w:p>
  </w:footnote>
  <w:footnote w:type="continuationNotice" w:id="1">
    <w:p w14:paraId="61AA875E" w14:textId="77777777" w:rsidR="00FA0B35" w:rsidRDefault="00FA0B35"/>
  </w:footnote>
  <w:footnote w:id="2">
    <w:p w14:paraId="382F2665" w14:textId="67B3018F" w:rsidR="002619B2" w:rsidRPr="008C0622" w:rsidRDefault="002619B2" w:rsidP="006476DC">
      <w:pPr>
        <w:pStyle w:val="FootnoteText"/>
        <w:suppressLineNumbers/>
        <w:suppressAutoHyphens/>
        <w:ind w:firstLine="0"/>
        <w:rPr>
          <w:kern w:val="18"/>
          <w:szCs w:val="18"/>
          <w:lang w:val="fr-FR"/>
        </w:rPr>
      </w:pPr>
      <w:r w:rsidRPr="008C0622">
        <w:rPr>
          <w:rStyle w:val="FootnoteReference"/>
          <w:kern w:val="18"/>
          <w:sz w:val="18"/>
          <w:szCs w:val="18"/>
          <w:lang w:val="fr-FR"/>
        </w:rPr>
        <w:t>*</w:t>
      </w:r>
      <w:r w:rsidRPr="008C0622">
        <w:rPr>
          <w:kern w:val="18"/>
          <w:szCs w:val="18"/>
          <w:lang w:val="fr-FR"/>
        </w:rPr>
        <w:t xml:space="preserve"> CBD/SBSTTA/23/1.</w:t>
      </w:r>
    </w:p>
  </w:footnote>
  <w:footnote w:id="3">
    <w:p w14:paraId="7CEB251B" w14:textId="3356BD7A" w:rsidR="00EA28B5" w:rsidRPr="008C0622" w:rsidRDefault="00EA28B5" w:rsidP="006476DC">
      <w:pPr>
        <w:pStyle w:val="FootnoteText"/>
        <w:suppressLineNumbers/>
        <w:suppressAutoHyphens/>
        <w:ind w:firstLine="0"/>
        <w:rPr>
          <w:kern w:val="18"/>
          <w:szCs w:val="18"/>
          <w:lang w:val="fr-FR"/>
        </w:rPr>
      </w:pPr>
      <w:r w:rsidRPr="006476DC">
        <w:rPr>
          <w:rStyle w:val="FootnoteReference"/>
          <w:kern w:val="18"/>
          <w:sz w:val="18"/>
          <w:szCs w:val="18"/>
          <w:lang w:val="en-GB"/>
        </w:rPr>
        <w:footnoteRef/>
      </w:r>
      <w:r w:rsidRPr="008C0622">
        <w:rPr>
          <w:kern w:val="18"/>
          <w:szCs w:val="18"/>
          <w:lang w:val="fr-FR"/>
        </w:rPr>
        <w:t xml:space="preserve"> </w:t>
      </w:r>
      <w:r w:rsidR="00837033" w:rsidRPr="00837033">
        <w:rPr>
          <w:kern w:val="18"/>
          <w:szCs w:val="18"/>
          <w:lang w:val="fr-FR"/>
        </w:rPr>
        <w:t>Toutes les communications relatives au champ d’application et au contenu du cadre mondial de la</w:t>
      </w:r>
      <w:r w:rsidR="00837033">
        <w:rPr>
          <w:kern w:val="18"/>
          <w:szCs w:val="18"/>
          <w:lang w:val="fr-FR"/>
        </w:rPr>
        <w:t xml:space="preserve"> biodiversité pour l’après-2020 sont disponibles sur le site </w:t>
      </w:r>
      <w:r w:rsidRPr="00837033">
        <w:rPr>
          <w:kern w:val="18"/>
          <w:szCs w:val="18"/>
          <w:lang w:val="fr-FR"/>
        </w:rPr>
        <w:t xml:space="preserve">https://www.cbd.int/conferences/post2020/submissions. </w:t>
      </w:r>
      <w:r w:rsidR="00837033">
        <w:rPr>
          <w:kern w:val="18"/>
          <w:szCs w:val="18"/>
          <w:lang w:val="fr-FR"/>
        </w:rPr>
        <w:t>Voir également les documents</w:t>
      </w:r>
      <w:r w:rsidRPr="00837033">
        <w:rPr>
          <w:kern w:val="18"/>
          <w:szCs w:val="18"/>
          <w:lang w:val="fr-FR"/>
        </w:rPr>
        <w:t xml:space="preserve"> CBD/POST2020/PREP/1/INF/1, CBD/POST2020/PREP/1/INF/2, CBD/POST2020/WS/2019/1/2, CBD/POST2020/WS/2019/2/2, CBD/POST2020/WS/2019/3/2, CBD/POST2020/WS/2019/4/2, CBD/POST2020/WS/2019/5/2, CBD/POST2020/WS/2019/6/2 </w:t>
      </w:r>
      <w:r w:rsidR="00837033">
        <w:rPr>
          <w:kern w:val="18"/>
          <w:szCs w:val="18"/>
          <w:lang w:val="fr-FR"/>
        </w:rPr>
        <w:t>et</w:t>
      </w:r>
      <w:r w:rsidRPr="00837033">
        <w:rPr>
          <w:kern w:val="18"/>
          <w:szCs w:val="18"/>
          <w:lang w:val="fr-FR"/>
        </w:rPr>
        <w:t xml:space="preserve"> CBD/GB/OM/2019/1/2</w:t>
      </w:r>
      <w:r w:rsidR="00DE4E8F" w:rsidRPr="00837033">
        <w:rPr>
          <w:kern w:val="18"/>
          <w:szCs w:val="18"/>
          <w:lang w:val="fr-FR"/>
        </w:rPr>
        <w:t>.</w:t>
      </w:r>
    </w:p>
  </w:footnote>
  <w:footnote w:id="4">
    <w:p w14:paraId="7FCD6501" w14:textId="524F71DE" w:rsidR="00EA28B5" w:rsidRPr="00AC33B5" w:rsidRDefault="00EA28B5" w:rsidP="006476DC">
      <w:pPr>
        <w:pStyle w:val="FootnoteText"/>
        <w:suppressLineNumbers/>
        <w:suppressAutoHyphens/>
        <w:ind w:firstLine="0"/>
        <w:rPr>
          <w:kern w:val="18"/>
          <w:szCs w:val="18"/>
          <w:lang w:val="fr-FR"/>
        </w:rPr>
      </w:pPr>
      <w:r w:rsidRPr="006476DC">
        <w:rPr>
          <w:rStyle w:val="FootnoteReference"/>
          <w:kern w:val="18"/>
          <w:sz w:val="18"/>
          <w:szCs w:val="18"/>
          <w:lang w:val="en-GB"/>
        </w:rPr>
        <w:footnoteRef/>
      </w:r>
      <w:r w:rsidRPr="008C0622">
        <w:rPr>
          <w:kern w:val="18"/>
          <w:szCs w:val="18"/>
          <w:lang w:val="fr-FR"/>
        </w:rPr>
        <w:t xml:space="preserve"> </w:t>
      </w:r>
      <w:r w:rsidRPr="00AC33B5">
        <w:rPr>
          <w:kern w:val="18"/>
          <w:szCs w:val="18"/>
          <w:lang w:val="fr-FR"/>
        </w:rPr>
        <w:t>I</w:t>
      </w:r>
      <w:r w:rsidR="00AC33B5" w:rsidRPr="00AC33B5">
        <w:rPr>
          <w:kern w:val="18"/>
          <w:szCs w:val="18"/>
          <w:lang w:val="fr-FR"/>
        </w:rPr>
        <w:t>l est important d’éviter une formulation perverse d’objectifs. Par exemple, un objectif à long terme axé sur</w:t>
      </w:r>
      <w:r w:rsidR="00AC33B5">
        <w:rPr>
          <w:kern w:val="18"/>
          <w:szCs w:val="18"/>
          <w:lang w:val="fr-FR"/>
        </w:rPr>
        <w:t xml:space="preserve"> l’arrêt de la perte de biodiversité d’ici à 2050 pourrait théoriquement être atteint en convertissant d’abord tous les habitats naturels à d’autres occupations des sols d’ici à 2040. Par conséquent, de 2040 à 2050, la perte de biodiversité serait effectivement arrêtée. Cependant, cette spécificité </w:t>
      </w:r>
      <w:r w:rsidR="00837033">
        <w:rPr>
          <w:kern w:val="18"/>
          <w:szCs w:val="18"/>
          <w:lang w:val="fr-FR"/>
        </w:rPr>
        <w:t xml:space="preserve">ne devrait pas nécessairement être incluse dans la formulation de l’objectif lui-même, mais pourrait être saisie dans un préambule ou </w:t>
      </w:r>
      <w:r w:rsidR="00765A53">
        <w:rPr>
          <w:kern w:val="18"/>
          <w:szCs w:val="18"/>
          <w:lang w:val="fr-FR"/>
        </w:rPr>
        <w:t xml:space="preserve">texte </w:t>
      </w:r>
      <w:r w:rsidR="00837033">
        <w:rPr>
          <w:kern w:val="18"/>
          <w:szCs w:val="18"/>
          <w:lang w:val="fr-FR"/>
        </w:rPr>
        <w:t>associé. Les futures cibles pourraient aussi fournir une contextualisation additionnelle.</w:t>
      </w:r>
    </w:p>
  </w:footnote>
  <w:footnote w:id="5">
    <w:p w14:paraId="7907F638" w14:textId="11F075C0" w:rsidR="00267869" w:rsidRPr="0089030F" w:rsidRDefault="00267869" w:rsidP="006476DC">
      <w:pPr>
        <w:pStyle w:val="FootnoteText"/>
        <w:suppressLineNumbers/>
        <w:suppressAutoHyphens/>
        <w:ind w:firstLine="0"/>
        <w:rPr>
          <w:kern w:val="18"/>
          <w:szCs w:val="18"/>
          <w:lang w:val="fr-FR"/>
        </w:rPr>
      </w:pPr>
      <w:r w:rsidRPr="006476DC">
        <w:rPr>
          <w:rStyle w:val="FootnoteReference"/>
          <w:kern w:val="18"/>
          <w:sz w:val="18"/>
          <w:szCs w:val="18"/>
          <w:lang w:val="en-GB"/>
        </w:rPr>
        <w:footnoteRef/>
      </w:r>
      <w:r w:rsidRPr="008C0622">
        <w:rPr>
          <w:kern w:val="18"/>
          <w:szCs w:val="18"/>
          <w:lang w:val="fr-FR"/>
        </w:rPr>
        <w:t xml:space="preserve"> </w:t>
      </w:r>
      <w:r w:rsidR="008B2007">
        <w:rPr>
          <w:kern w:val="18"/>
          <w:szCs w:val="18"/>
          <w:lang w:val="fr-FR"/>
        </w:rPr>
        <w:t>Selon une</w:t>
      </w:r>
      <w:r w:rsidR="0089030F">
        <w:rPr>
          <w:kern w:val="18"/>
          <w:szCs w:val="18"/>
          <w:lang w:val="fr-FR"/>
        </w:rPr>
        <w:t xml:space="preserve"> </w:t>
      </w:r>
      <w:r w:rsidR="00765A53">
        <w:rPr>
          <w:kern w:val="18"/>
          <w:szCs w:val="18"/>
          <w:lang w:val="fr-FR"/>
        </w:rPr>
        <w:t xml:space="preserve">des </w:t>
      </w:r>
      <w:r w:rsidR="0089030F">
        <w:rPr>
          <w:kern w:val="18"/>
          <w:szCs w:val="18"/>
          <w:lang w:val="fr-FR"/>
        </w:rPr>
        <w:t>liste</w:t>
      </w:r>
      <w:r w:rsidR="00765A53">
        <w:rPr>
          <w:kern w:val="18"/>
          <w:szCs w:val="18"/>
          <w:lang w:val="fr-FR"/>
        </w:rPr>
        <w:t>s</w:t>
      </w:r>
      <w:r w:rsidR="0089030F">
        <w:rPr>
          <w:kern w:val="18"/>
          <w:szCs w:val="18"/>
          <w:lang w:val="fr-FR"/>
        </w:rPr>
        <w:t xml:space="preserve"> de critères « </w:t>
      </w:r>
      <w:r w:rsidRPr="0089030F">
        <w:rPr>
          <w:kern w:val="18"/>
          <w:szCs w:val="18"/>
          <w:lang w:val="fr-FR"/>
        </w:rPr>
        <w:t>SMART</w:t>
      </w:r>
      <w:r w:rsidR="0089030F">
        <w:rPr>
          <w:kern w:val="18"/>
          <w:szCs w:val="18"/>
          <w:lang w:val="fr-FR"/>
        </w:rPr>
        <w:t> »</w:t>
      </w:r>
      <w:r w:rsidR="008B2007">
        <w:rPr>
          <w:kern w:val="18"/>
          <w:szCs w:val="18"/>
          <w:lang w:val="fr-FR"/>
        </w:rPr>
        <w:t xml:space="preserve">, ceux-ci sont spécifiques, mesurables, réalisables, axés sur les résultats et limités dans le temps (par exemple dans la conclusion de la première réunion du Groupe de travail sur le cadre mondial de la biodiversité pour l’après-2020 </w:t>
      </w:r>
      <w:r w:rsidR="00B52DAA" w:rsidRPr="0089030F">
        <w:rPr>
          <w:kern w:val="18"/>
          <w:szCs w:val="18"/>
          <w:lang w:val="fr-FR"/>
        </w:rPr>
        <w:t>(</w:t>
      </w:r>
      <w:r w:rsidR="00ED1B04" w:rsidRPr="0089030F">
        <w:rPr>
          <w:kern w:val="18"/>
          <w:szCs w:val="18"/>
          <w:lang w:val="fr-FR"/>
        </w:rPr>
        <w:t>CBD/</w:t>
      </w:r>
      <w:r w:rsidRPr="0089030F">
        <w:rPr>
          <w:kern w:val="18"/>
          <w:szCs w:val="18"/>
          <w:lang w:val="fr-FR"/>
        </w:rPr>
        <w:t>WG2020</w:t>
      </w:r>
      <w:r w:rsidR="00ED1B04" w:rsidRPr="0089030F">
        <w:rPr>
          <w:kern w:val="18"/>
          <w:szCs w:val="18"/>
          <w:lang w:val="fr-FR"/>
        </w:rPr>
        <w:t>/</w:t>
      </w:r>
      <w:r w:rsidRPr="0089030F">
        <w:rPr>
          <w:kern w:val="18"/>
          <w:szCs w:val="18"/>
          <w:lang w:val="fr-FR"/>
        </w:rPr>
        <w:t>1</w:t>
      </w:r>
      <w:r w:rsidR="00ED1B04" w:rsidRPr="0089030F">
        <w:rPr>
          <w:kern w:val="18"/>
          <w:szCs w:val="18"/>
          <w:lang w:val="fr-FR"/>
        </w:rPr>
        <w:t>/</w:t>
      </w:r>
      <w:r w:rsidRPr="0089030F">
        <w:rPr>
          <w:kern w:val="18"/>
          <w:szCs w:val="18"/>
          <w:lang w:val="fr-FR"/>
        </w:rPr>
        <w:t>5</w:t>
      </w:r>
      <w:r w:rsidR="00B52DAA" w:rsidRPr="0089030F">
        <w:rPr>
          <w:kern w:val="18"/>
          <w:szCs w:val="18"/>
          <w:lang w:val="fr-FR"/>
        </w:rPr>
        <w:t>))</w:t>
      </w:r>
      <w:r w:rsidRPr="0089030F">
        <w:rPr>
          <w:kern w:val="18"/>
          <w:szCs w:val="18"/>
          <w:lang w:val="fr-FR"/>
        </w:rPr>
        <w:t xml:space="preserve">. </w:t>
      </w:r>
      <w:r w:rsidR="008B2007">
        <w:rPr>
          <w:kern w:val="18"/>
          <w:szCs w:val="18"/>
          <w:lang w:val="fr-FR"/>
        </w:rPr>
        <w:t>Dans d’autres contextes, les critères suivants ont notamment été utilisés : stratégiques, attribuables, axés sur l’action, ambitieux, réalistes et pertinents.</w:t>
      </w:r>
    </w:p>
  </w:footnote>
  <w:footnote w:id="6">
    <w:p w14:paraId="673CB2E9" w14:textId="40240D42" w:rsidR="005322C2" w:rsidRPr="00E125CA" w:rsidRDefault="005322C2" w:rsidP="006476DC">
      <w:pPr>
        <w:pStyle w:val="FootnoteText"/>
        <w:suppressLineNumbers/>
        <w:suppressAutoHyphens/>
        <w:ind w:firstLine="0"/>
        <w:rPr>
          <w:kern w:val="18"/>
          <w:szCs w:val="18"/>
          <w:lang w:val="fr-FR"/>
        </w:rPr>
      </w:pPr>
      <w:r w:rsidRPr="006476DC">
        <w:rPr>
          <w:rStyle w:val="FootnoteReference"/>
          <w:kern w:val="18"/>
          <w:sz w:val="18"/>
          <w:szCs w:val="18"/>
          <w:lang w:val="en-GB"/>
        </w:rPr>
        <w:footnoteRef/>
      </w:r>
      <w:r w:rsidRPr="008C0622">
        <w:rPr>
          <w:kern w:val="18"/>
          <w:szCs w:val="18"/>
          <w:lang w:val="fr-FR"/>
        </w:rPr>
        <w:t xml:space="preserve"> </w:t>
      </w:r>
      <w:r w:rsidR="00E125CA" w:rsidRPr="00E125CA">
        <w:rPr>
          <w:kern w:val="18"/>
          <w:szCs w:val="18"/>
          <w:lang w:val="fr-FR"/>
        </w:rPr>
        <w:t>Le processus de consultation du cadre mondial de la biodiversité pour l’après-2020</w:t>
      </w:r>
      <w:r w:rsidRPr="00E125CA">
        <w:rPr>
          <w:kern w:val="18"/>
          <w:szCs w:val="18"/>
          <w:lang w:val="fr-FR"/>
        </w:rPr>
        <w:t xml:space="preserve">, </w:t>
      </w:r>
      <w:r w:rsidR="00E125CA" w:rsidRPr="00E125CA">
        <w:rPr>
          <w:kern w:val="18"/>
          <w:szCs w:val="18"/>
          <w:lang w:val="fr-FR"/>
        </w:rPr>
        <w:t>la première r</w:t>
      </w:r>
      <w:r w:rsidR="00E125CA">
        <w:rPr>
          <w:kern w:val="18"/>
          <w:szCs w:val="18"/>
          <w:lang w:val="fr-FR"/>
        </w:rPr>
        <w:t>é</w:t>
      </w:r>
      <w:r w:rsidR="00E125CA" w:rsidRPr="00E125CA">
        <w:rPr>
          <w:kern w:val="18"/>
          <w:szCs w:val="18"/>
          <w:lang w:val="fr-FR"/>
        </w:rPr>
        <w:t xml:space="preserve">union </w:t>
      </w:r>
      <w:r w:rsidR="00993903">
        <w:rPr>
          <w:kern w:val="18"/>
          <w:szCs w:val="18"/>
          <w:lang w:val="fr-FR"/>
        </w:rPr>
        <w:t xml:space="preserve">du Groupe de travail à composition non limitée sur le cadre mondial de la biodiversité pour l’après-2020, les propositions communiquées par les Parties et les parties prenantes ainsi que les informations </w:t>
      </w:r>
      <w:r w:rsidR="009D4C67">
        <w:rPr>
          <w:kern w:val="18"/>
          <w:szCs w:val="18"/>
          <w:lang w:val="fr-FR"/>
        </w:rPr>
        <w:t>mentionnées</w:t>
      </w:r>
      <w:r w:rsidR="00993903">
        <w:rPr>
          <w:kern w:val="18"/>
          <w:szCs w:val="18"/>
          <w:lang w:val="fr-FR"/>
        </w:rPr>
        <w:t xml:space="preserve"> dans la présente note sur les répercussions des évaluations pertinentes et les </w:t>
      </w:r>
      <w:r w:rsidR="009D4C67">
        <w:rPr>
          <w:kern w:val="18"/>
          <w:szCs w:val="18"/>
          <w:lang w:val="fr-FR"/>
        </w:rPr>
        <w:t>enseignements tirés de l’application de la Convention ont identifié divers sujets qui pourraient être reflétés par les cibles dans le cadre mondial de la biodiversité pour l’après-2020.</w:t>
      </w:r>
      <w:r w:rsidR="008846D6">
        <w:rPr>
          <w:kern w:val="18"/>
          <w:szCs w:val="18"/>
          <w:lang w:val="fr-FR"/>
        </w:rPr>
        <w:t xml:space="preserve"> Une liste initiale de ces sujets est </w:t>
      </w:r>
      <w:r w:rsidR="001B5E74">
        <w:rPr>
          <w:kern w:val="18"/>
          <w:szCs w:val="18"/>
          <w:lang w:val="fr-FR"/>
        </w:rPr>
        <w:t>fournie</w:t>
      </w:r>
      <w:r w:rsidR="008846D6">
        <w:rPr>
          <w:kern w:val="18"/>
          <w:szCs w:val="18"/>
          <w:lang w:val="fr-FR"/>
        </w:rPr>
        <w:t xml:space="preserve"> dans le présent tableau. Ces sujets ont été regroupés </w:t>
      </w:r>
      <w:r w:rsidR="001B5E74">
        <w:rPr>
          <w:kern w:val="18"/>
          <w:szCs w:val="18"/>
          <w:lang w:val="fr-FR"/>
        </w:rPr>
        <w:t>autour d</w:t>
      </w:r>
      <w:r w:rsidR="008846D6">
        <w:rPr>
          <w:kern w:val="18"/>
          <w:szCs w:val="18"/>
          <w:lang w:val="fr-FR"/>
        </w:rPr>
        <w:t>es rubriques dans la ligne</w:t>
      </w:r>
      <w:r w:rsidR="007F25F4">
        <w:rPr>
          <w:kern w:val="18"/>
          <w:szCs w:val="18"/>
          <w:lang w:val="fr-FR"/>
        </w:rPr>
        <w:t xml:space="preserve"> sur fond gris. Cependant, selon le champ d’application et le contenu des futures cibles, des sujets spécifiques pourraient être pertinents pour des rubriques différentes</w:t>
      </w:r>
      <w:r w:rsidR="001B5E74">
        <w:rPr>
          <w:kern w:val="18"/>
          <w:szCs w:val="18"/>
          <w:lang w:val="fr-FR"/>
        </w:rPr>
        <w:t xml:space="preserve"> </w:t>
      </w:r>
      <w:r w:rsidR="007F25F4">
        <w:rPr>
          <w:kern w:val="18"/>
          <w:szCs w:val="18"/>
          <w:lang w:val="fr-FR"/>
        </w:rPr>
        <w:t>ou plusieurs rubriques. En outre un document d’information contient une compilation de propositions de cibles spécifiques communiquées lors des diverses consultations sur le cadre mondial de la biodiversité pour l’après-2020.</w:t>
      </w:r>
    </w:p>
  </w:footnote>
  <w:footnote w:id="7">
    <w:p w14:paraId="1EA880C5" w14:textId="77F7FD44" w:rsidR="005322C2" w:rsidRPr="00E125CA" w:rsidRDefault="005322C2" w:rsidP="006476DC">
      <w:pPr>
        <w:pStyle w:val="FootnoteText"/>
        <w:suppressLineNumbers/>
        <w:suppressAutoHyphens/>
        <w:ind w:firstLine="0"/>
        <w:rPr>
          <w:kern w:val="18"/>
          <w:szCs w:val="18"/>
          <w:lang w:val="fr-FR"/>
        </w:rPr>
      </w:pPr>
      <w:r w:rsidRPr="00E125CA">
        <w:rPr>
          <w:rStyle w:val="FootnoteReference"/>
          <w:kern w:val="18"/>
          <w:sz w:val="18"/>
          <w:szCs w:val="18"/>
          <w:lang w:val="fr-FR"/>
        </w:rPr>
        <w:footnoteRef/>
      </w:r>
      <w:r w:rsidRPr="00E125CA">
        <w:rPr>
          <w:kern w:val="18"/>
          <w:szCs w:val="18"/>
          <w:lang w:val="fr-FR"/>
        </w:rPr>
        <w:t xml:space="preserve"> </w:t>
      </w:r>
      <w:r w:rsidR="00D9647A">
        <w:rPr>
          <w:kern w:val="18"/>
          <w:szCs w:val="18"/>
          <w:lang w:val="fr-FR"/>
        </w:rPr>
        <w:t xml:space="preserve">Les informations données dans cette colonne portent sur les lacunes et d’autres questions qui pourraient être prises en considération lors de la formulation de cibles. Ces lacunes et questions ont été recensées à partir de l’expérience de la mise en œuvre du Plan stratégique pour la diversité biologique </w:t>
      </w:r>
      <w:r w:rsidRPr="00E125CA">
        <w:rPr>
          <w:kern w:val="18"/>
          <w:szCs w:val="18"/>
          <w:lang w:val="fr-FR"/>
        </w:rPr>
        <w:t xml:space="preserve">2011-2020, </w:t>
      </w:r>
      <w:r w:rsidR="00D9647A">
        <w:rPr>
          <w:kern w:val="18"/>
          <w:szCs w:val="18"/>
          <w:lang w:val="fr-FR"/>
        </w:rPr>
        <w:t>des évaluations mentionnées dans la présente note et des propositions reçues dans le cadre du processus de consultation sur le cadre mondial de la biodiversité pour l’après-2020.</w:t>
      </w:r>
    </w:p>
  </w:footnote>
  <w:footnote w:id="8">
    <w:p w14:paraId="4160BD2A" w14:textId="2580AA82" w:rsidR="005322C2" w:rsidRPr="00E125CA" w:rsidRDefault="005322C2" w:rsidP="006476DC">
      <w:pPr>
        <w:pStyle w:val="FootnoteText"/>
        <w:suppressLineNumbers/>
        <w:suppressAutoHyphens/>
        <w:ind w:firstLine="0"/>
        <w:rPr>
          <w:kern w:val="18"/>
          <w:szCs w:val="18"/>
          <w:lang w:val="fr-FR"/>
        </w:rPr>
      </w:pPr>
      <w:r w:rsidRPr="00E125CA">
        <w:rPr>
          <w:rStyle w:val="FootnoteReference"/>
          <w:kern w:val="18"/>
          <w:sz w:val="18"/>
          <w:szCs w:val="18"/>
          <w:lang w:val="fr-FR"/>
        </w:rPr>
        <w:footnoteRef/>
      </w:r>
      <w:r w:rsidR="00D9647A">
        <w:rPr>
          <w:kern w:val="18"/>
          <w:szCs w:val="18"/>
          <w:lang w:val="fr-FR"/>
        </w:rPr>
        <w:t xml:space="preserve"> Les informations fournies dans cette colonne précisent si un sujet spécifique a été précédemment abordé dans </w:t>
      </w:r>
      <w:r w:rsidR="008801C8">
        <w:rPr>
          <w:kern w:val="18"/>
          <w:szCs w:val="18"/>
          <w:lang w:val="fr-FR"/>
        </w:rPr>
        <w:t>les Objectifs d’Aichi pour la biodiversité et la manière dont ce</w:t>
      </w:r>
      <w:r w:rsidR="001B5E74">
        <w:rPr>
          <w:kern w:val="18"/>
          <w:szCs w:val="18"/>
          <w:lang w:val="fr-FR"/>
        </w:rPr>
        <w:t>la</w:t>
      </w:r>
      <w:r w:rsidR="008801C8">
        <w:rPr>
          <w:kern w:val="18"/>
          <w:szCs w:val="18"/>
          <w:lang w:val="fr-FR"/>
        </w:rPr>
        <w:t xml:space="preserve"> a été fait.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sz w:val="22"/>
        <w:szCs w:val="22"/>
        <w:lang w:val="en-GB"/>
      </w:rPr>
      <w:alias w:val="Subject"/>
      <w:tag w:val=""/>
      <w:id w:val="136093633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1FFB56E8" w14:textId="6E73FA18" w:rsidR="00EA28B5" w:rsidRPr="006476DC" w:rsidRDefault="00EA28B5" w:rsidP="006476DC">
        <w:pPr>
          <w:pStyle w:val="Header"/>
          <w:keepLines/>
          <w:suppressLineNumbers/>
          <w:tabs>
            <w:tab w:val="clear" w:pos="4320"/>
            <w:tab w:val="clear" w:pos="8640"/>
          </w:tabs>
          <w:suppressAutoHyphens/>
          <w:rPr>
            <w:noProof/>
            <w:kern w:val="22"/>
            <w:sz w:val="22"/>
            <w:szCs w:val="22"/>
            <w:lang w:val="en-GB"/>
          </w:rPr>
        </w:pPr>
        <w:r w:rsidRPr="00100BBB">
          <w:rPr>
            <w:kern w:val="22"/>
            <w:sz w:val="22"/>
            <w:szCs w:val="22"/>
            <w:lang w:val="en-GB"/>
          </w:rPr>
          <w:t>CBD/SBSTTA/23/2/Add.4</w:t>
        </w:r>
      </w:p>
    </w:sdtContent>
  </w:sdt>
  <w:p w14:paraId="0841C126" w14:textId="77777777" w:rsidR="00EA28B5" w:rsidRPr="006476DC" w:rsidRDefault="00EA28B5" w:rsidP="006476DC">
    <w:pPr>
      <w:pStyle w:val="Header"/>
      <w:keepLines/>
      <w:suppressLineNumbers/>
      <w:tabs>
        <w:tab w:val="clear" w:pos="4320"/>
        <w:tab w:val="clear" w:pos="8640"/>
      </w:tabs>
      <w:suppressAutoHyphens/>
      <w:rPr>
        <w:noProof/>
        <w:kern w:val="22"/>
        <w:sz w:val="22"/>
        <w:szCs w:val="22"/>
        <w:lang w:val="en-GB"/>
      </w:rPr>
    </w:pPr>
    <w:r w:rsidRPr="006476DC">
      <w:rPr>
        <w:noProof/>
        <w:kern w:val="22"/>
        <w:sz w:val="22"/>
        <w:szCs w:val="22"/>
        <w:lang w:val="en-GB"/>
      </w:rPr>
      <w:t xml:space="preserve">Page </w:t>
    </w:r>
    <w:r w:rsidRPr="006476DC">
      <w:rPr>
        <w:noProof/>
        <w:kern w:val="22"/>
        <w:sz w:val="22"/>
        <w:szCs w:val="22"/>
        <w:lang w:val="en-GB"/>
      </w:rPr>
      <w:fldChar w:fldCharType="begin"/>
    </w:r>
    <w:r w:rsidRPr="006476DC">
      <w:rPr>
        <w:noProof/>
        <w:kern w:val="22"/>
        <w:sz w:val="22"/>
        <w:szCs w:val="22"/>
        <w:lang w:val="en-GB"/>
      </w:rPr>
      <w:instrText xml:space="preserve"> PAGE   \* MERGEFORMAT </w:instrText>
    </w:r>
    <w:r w:rsidRPr="006476DC">
      <w:rPr>
        <w:noProof/>
        <w:kern w:val="22"/>
        <w:sz w:val="22"/>
        <w:szCs w:val="22"/>
        <w:lang w:val="en-GB"/>
      </w:rPr>
      <w:fldChar w:fldCharType="separate"/>
    </w:r>
    <w:r w:rsidRPr="006476DC">
      <w:rPr>
        <w:noProof/>
        <w:kern w:val="22"/>
        <w:sz w:val="22"/>
        <w:szCs w:val="22"/>
        <w:lang w:val="en-GB"/>
      </w:rPr>
      <w:t>10</w:t>
    </w:r>
    <w:r w:rsidRPr="006476DC">
      <w:rPr>
        <w:noProof/>
        <w:kern w:val="22"/>
        <w:sz w:val="22"/>
        <w:szCs w:val="22"/>
        <w:lang w:val="en-GB"/>
      </w:rPr>
      <w:fldChar w:fldCharType="end"/>
    </w:r>
  </w:p>
  <w:p w14:paraId="5D9B917D" w14:textId="77777777" w:rsidR="00EA28B5" w:rsidRPr="006476DC" w:rsidRDefault="00EA28B5" w:rsidP="006476DC">
    <w:pPr>
      <w:pStyle w:val="Header"/>
      <w:keepLines/>
      <w:suppressLineNumbers/>
      <w:tabs>
        <w:tab w:val="clear" w:pos="4320"/>
        <w:tab w:val="clear" w:pos="8640"/>
      </w:tabs>
      <w:suppressAutoHyphens/>
      <w:rPr>
        <w:noProof/>
        <w:kern w:val="22"/>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sz w:val="22"/>
        <w:szCs w:val="22"/>
        <w:lang w:val="en-GB"/>
      </w:rPr>
      <w:alias w:val="Subject"/>
      <w:tag w:val=""/>
      <w:id w:val="1344677168"/>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31AAF736" w14:textId="43F8C209" w:rsidR="00EA28B5" w:rsidRPr="006476DC" w:rsidRDefault="00EA28B5" w:rsidP="006476DC">
        <w:pPr>
          <w:pStyle w:val="Header"/>
          <w:keepLines/>
          <w:suppressLineNumbers/>
          <w:tabs>
            <w:tab w:val="clear" w:pos="4320"/>
            <w:tab w:val="clear" w:pos="8640"/>
          </w:tabs>
          <w:suppressAutoHyphens/>
          <w:jc w:val="right"/>
          <w:rPr>
            <w:noProof/>
            <w:kern w:val="22"/>
            <w:sz w:val="22"/>
            <w:szCs w:val="22"/>
            <w:lang w:val="en-GB"/>
          </w:rPr>
        </w:pPr>
        <w:r w:rsidRPr="00100BBB">
          <w:rPr>
            <w:kern w:val="22"/>
            <w:sz w:val="22"/>
            <w:szCs w:val="22"/>
            <w:lang w:val="en-GB"/>
          </w:rPr>
          <w:t>CBD/SBSTTA/23/2/Add.4</w:t>
        </w:r>
      </w:p>
    </w:sdtContent>
  </w:sdt>
  <w:p w14:paraId="06DAA02C" w14:textId="77777777" w:rsidR="00EA28B5" w:rsidRPr="006476DC" w:rsidRDefault="00EA28B5" w:rsidP="006476DC">
    <w:pPr>
      <w:pStyle w:val="Header"/>
      <w:keepLines/>
      <w:suppressLineNumbers/>
      <w:tabs>
        <w:tab w:val="clear" w:pos="4320"/>
        <w:tab w:val="clear" w:pos="8640"/>
      </w:tabs>
      <w:suppressAutoHyphens/>
      <w:jc w:val="right"/>
      <w:rPr>
        <w:noProof/>
        <w:kern w:val="22"/>
        <w:sz w:val="22"/>
        <w:szCs w:val="22"/>
        <w:lang w:val="en-GB"/>
      </w:rPr>
    </w:pPr>
    <w:r w:rsidRPr="006476DC">
      <w:rPr>
        <w:noProof/>
        <w:kern w:val="22"/>
        <w:sz w:val="22"/>
        <w:szCs w:val="22"/>
        <w:lang w:val="en-GB"/>
      </w:rPr>
      <w:t xml:space="preserve">Page </w:t>
    </w:r>
    <w:r w:rsidRPr="006476DC">
      <w:rPr>
        <w:noProof/>
        <w:kern w:val="22"/>
        <w:sz w:val="22"/>
        <w:szCs w:val="22"/>
        <w:lang w:val="en-GB"/>
      </w:rPr>
      <w:fldChar w:fldCharType="begin"/>
    </w:r>
    <w:r w:rsidRPr="006476DC">
      <w:rPr>
        <w:noProof/>
        <w:kern w:val="22"/>
        <w:sz w:val="22"/>
        <w:szCs w:val="22"/>
        <w:lang w:val="en-GB"/>
      </w:rPr>
      <w:instrText xml:space="preserve"> PAGE   \* MERGEFORMAT </w:instrText>
    </w:r>
    <w:r w:rsidRPr="006476DC">
      <w:rPr>
        <w:noProof/>
        <w:kern w:val="22"/>
        <w:sz w:val="22"/>
        <w:szCs w:val="22"/>
        <w:lang w:val="en-GB"/>
      </w:rPr>
      <w:fldChar w:fldCharType="separate"/>
    </w:r>
    <w:r w:rsidRPr="006476DC">
      <w:rPr>
        <w:noProof/>
        <w:kern w:val="22"/>
        <w:sz w:val="22"/>
        <w:szCs w:val="22"/>
        <w:lang w:val="en-GB"/>
      </w:rPr>
      <w:t>9</w:t>
    </w:r>
    <w:r w:rsidRPr="006476DC">
      <w:rPr>
        <w:noProof/>
        <w:kern w:val="22"/>
        <w:sz w:val="22"/>
        <w:szCs w:val="22"/>
        <w:lang w:val="en-GB"/>
      </w:rPr>
      <w:fldChar w:fldCharType="end"/>
    </w:r>
  </w:p>
  <w:p w14:paraId="0C3F6B64" w14:textId="77777777" w:rsidR="00EA28B5" w:rsidRPr="006476DC" w:rsidRDefault="00EA28B5" w:rsidP="006476DC">
    <w:pPr>
      <w:pStyle w:val="Header"/>
      <w:keepLines/>
      <w:suppressLineNumbers/>
      <w:tabs>
        <w:tab w:val="clear" w:pos="4320"/>
        <w:tab w:val="clear" w:pos="8640"/>
      </w:tabs>
      <w:suppressAutoHyphens/>
      <w:jc w:val="right"/>
      <w:rPr>
        <w:noProof/>
        <w:kern w:val="22"/>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E54A50"/>
    <w:multiLevelType w:val="hybridMultilevel"/>
    <w:tmpl w:val="4C1961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BB549B"/>
    <w:multiLevelType w:val="hybridMultilevel"/>
    <w:tmpl w:val="EDC96A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B064D3"/>
    <w:multiLevelType w:val="multilevel"/>
    <w:tmpl w:val="72E4F054"/>
    <w:lvl w:ilvl="0">
      <w:start w:val="1"/>
      <w:numFmt w:val="decimal"/>
      <w:lvlText w:val="%1."/>
      <w:lvlJc w:val="left"/>
      <w:pPr>
        <w:tabs>
          <w:tab w:val="num" w:pos="360"/>
        </w:tabs>
        <w:ind w:left="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b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DE2494"/>
    <w:multiLevelType w:val="hybridMultilevel"/>
    <w:tmpl w:val="FE60474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B3639A"/>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CE6AB"/>
    <w:multiLevelType w:val="hybridMultilevel"/>
    <w:tmpl w:val="ADADCA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E680319"/>
    <w:multiLevelType w:val="hybridMultilevel"/>
    <w:tmpl w:val="0F824FE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433049A5"/>
    <w:multiLevelType w:val="hybridMultilevel"/>
    <w:tmpl w:val="17881DA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75863"/>
    <w:multiLevelType w:val="hybridMultilevel"/>
    <w:tmpl w:val="4C4A412C"/>
    <w:lvl w:ilvl="0" w:tplc="F2287142">
      <w:start w:val="1"/>
      <w:numFmt w:val="upperRoman"/>
      <w:lvlText w:val="%1."/>
      <w:lvlJc w:val="left"/>
      <w:pPr>
        <w:ind w:left="1080" w:hanging="72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4FE7DA1"/>
    <w:multiLevelType w:val="hybridMultilevel"/>
    <w:tmpl w:val="9E64CADA"/>
    <w:lvl w:ilvl="0" w:tplc="0AC0C33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C4B1446"/>
    <w:multiLevelType w:val="hybridMultilevel"/>
    <w:tmpl w:val="C8D411CA"/>
    <w:lvl w:ilvl="0" w:tplc="D4CAF13A">
      <w:start w:val="1"/>
      <w:numFmt w:val="upp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0442B4"/>
    <w:multiLevelType w:val="multilevel"/>
    <w:tmpl w:val="2D323506"/>
    <w:lvl w:ilvl="0">
      <w:start w:val="1"/>
      <w:numFmt w:val="decimal"/>
      <w:lvlText w:val="%1."/>
      <w:lvlJc w:val="left"/>
      <w:pPr>
        <w:tabs>
          <w:tab w:val="num" w:pos="360"/>
        </w:tabs>
        <w:ind w:left="0" w:firstLine="0"/>
      </w:pPr>
      <w:rPr>
        <w:rFonts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b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C975246"/>
    <w:multiLevelType w:val="hybridMultilevel"/>
    <w:tmpl w:val="CADE3EE6"/>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752268"/>
    <w:multiLevelType w:val="hybridMultilevel"/>
    <w:tmpl w:val="7EA05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C05580"/>
    <w:multiLevelType w:val="hybridMultilevel"/>
    <w:tmpl w:val="190E958E"/>
    <w:lvl w:ilvl="0" w:tplc="10090015">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A1B3F"/>
    <w:multiLevelType w:val="hybridMultilevel"/>
    <w:tmpl w:val="0D2E08AE"/>
    <w:lvl w:ilvl="0" w:tplc="A33A53D8">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CDE19F4"/>
    <w:multiLevelType w:val="hybridMultilevel"/>
    <w:tmpl w:val="559CB99E"/>
    <w:lvl w:ilvl="0" w:tplc="1009000F">
      <w:start w:val="1"/>
      <w:numFmt w:val="decimal"/>
      <w:lvlText w:val="%1."/>
      <w:lvlJc w:val="left"/>
      <w:pPr>
        <w:ind w:left="7307" w:hanging="360"/>
      </w:pPr>
    </w:lvl>
    <w:lvl w:ilvl="1" w:tplc="5AA619D2">
      <w:start w:val="1"/>
      <w:numFmt w:val="lowerLetter"/>
      <w:lvlText w:val="%2."/>
      <w:lvlJc w:val="left"/>
      <w:pPr>
        <w:ind w:left="1440" w:hanging="360"/>
      </w:pPr>
      <w:rPr>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14"/>
  </w:num>
  <w:num w:numId="3">
    <w:abstractNumId w:val="14"/>
  </w:num>
  <w:num w:numId="4">
    <w:abstractNumId w:val="12"/>
  </w:num>
  <w:num w:numId="5">
    <w:abstractNumId w:val="18"/>
  </w:num>
  <w:num w:numId="6">
    <w:abstractNumId w:val="15"/>
  </w:num>
  <w:num w:numId="7">
    <w:abstractNumId w:val="19"/>
  </w:num>
  <w:num w:numId="8">
    <w:abstractNumId w:val="0"/>
  </w:num>
  <w:num w:numId="9">
    <w:abstractNumId w:val="1"/>
  </w:num>
  <w:num w:numId="10">
    <w:abstractNumId w:val="5"/>
  </w:num>
  <w:num w:numId="11">
    <w:abstractNumId w:val="13"/>
  </w:num>
  <w:num w:numId="12">
    <w:abstractNumId w:val="6"/>
  </w:num>
  <w:num w:numId="13">
    <w:abstractNumId w:val="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2"/>
  </w:num>
  <w:num w:numId="33">
    <w:abstractNumId w:val="16"/>
  </w:num>
  <w:num w:numId="34">
    <w:abstractNumId w:val="9"/>
  </w:num>
  <w:num w:numId="35">
    <w:abstractNumId w:val="21"/>
  </w:num>
  <w:num w:numId="36">
    <w:abstractNumId w:val="17"/>
  </w:num>
  <w:num w:numId="37">
    <w:abstractNumId w:val="10"/>
  </w:num>
  <w:num w:numId="38">
    <w:abstractNumId w:val="11"/>
  </w:num>
  <w:num w:numId="39">
    <w:abstractNumId w:val="3"/>
  </w:num>
  <w:num w:numId="40">
    <w:abstractNumId w:val="20"/>
  </w:num>
  <w:num w:numId="41">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C5E"/>
    <w:rsid w:val="0000148F"/>
    <w:rsid w:val="000103AB"/>
    <w:rsid w:val="00011A18"/>
    <w:rsid w:val="00013908"/>
    <w:rsid w:val="00014FEF"/>
    <w:rsid w:val="00016E2E"/>
    <w:rsid w:val="00023AEC"/>
    <w:rsid w:val="000242D2"/>
    <w:rsid w:val="000246EC"/>
    <w:rsid w:val="000251DD"/>
    <w:rsid w:val="00025CDC"/>
    <w:rsid w:val="0002698C"/>
    <w:rsid w:val="00034578"/>
    <w:rsid w:val="00035DBA"/>
    <w:rsid w:val="00037822"/>
    <w:rsid w:val="00044D2A"/>
    <w:rsid w:val="00047EA2"/>
    <w:rsid w:val="00052873"/>
    <w:rsid w:val="000534A7"/>
    <w:rsid w:val="00055D38"/>
    <w:rsid w:val="00057399"/>
    <w:rsid w:val="00062C6F"/>
    <w:rsid w:val="000631EB"/>
    <w:rsid w:val="00063504"/>
    <w:rsid w:val="0006710F"/>
    <w:rsid w:val="000679B5"/>
    <w:rsid w:val="000700EE"/>
    <w:rsid w:val="00071164"/>
    <w:rsid w:val="00075570"/>
    <w:rsid w:val="00076125"/>
    <w:rsid w:val="000806CC"/>
    <w:rsid w:val="00081B52"/>
    <w:rsid w:val="0009030E"/>
    <w:rsid w:val="00091431"/>
    <w:rsid w:val="00091457"/>
    <w:rsid w:val="000A0E5E"/>
    <w:rsid w:val="000A3FB3"/>
    <w:rsid w:val="000A4496"/>
    <w:rsid w:val="000B0B78"/>
    <w:rsid w:val="000B4184"/>
    <w:rsid w:val="000B49CE"/>
    <w:rsid w:val="000B5B51"/>
    <w:rsid w:val="000B7446"/>
    <w:rsid w:val="000C0A19"/>
    <w:rsid w:val="000C2C30"/>
    <w:rsid w:val="000C4632"/>
    <w:rsid w:val="000C6A63"/>
    <w:rsid w:val="000C7BFA"/>
    <w:rsid w:val="000D05C0"/>
    <w:rsid w:val="000D2A25"/>
    <w:rsid w:val="000D3443"/>
    <w:rsid w:val="000D6274"/>
    <w:rsid w:val="000D7976"/>
    <w:rsid w:val="000E158E"/>
    <w:rsid w:val="000E2055"/>
    <w:rsid w:val="000E2B89"/>
    <w:rsid w:val="000E4433"/>
    <w:rsid w:val="000E44B4"/>
    <w:rsid w:val="000E5D03"/>
    <w:rsid w:val="000E673A"/>
    <w:rsid w:val="000F5010"/>
    <w:rsid w:val="000F74F5"/>
    <w:rsid w:val="000F7BEA"/>
    <w:rsid w:val="000F7C06"/>
    <w:rsid w:val="00100054"/>
    <w:rsid w:val="00100710"/>
    <w:rsid w:val="00100BBB"/>
    <w:rsid w:val="00105372"/>
    <w:rsid w:val="00107FD3"/>
    <w:rsid w:val="00110DEE"/>
    <w:rsid w:val="00113575"/>
    <w:rsid w:val="00113FC9"/>
    <w:rsid w:val="00115FD9"/>
    <w:rsid w:val="001161F4"/>
    <w:rsid w:val="00116D7C"/>
    <w:rsid w:val="00117B3B"/>
    <w:rsid w:val="00124146"/>
    <w:rsid w:val="0012691B"/>
    <w:rsid w:val="00127D03"/>
    <w:rsid w:val="001312BE"/>
    <w:rsid w:val="00131E7A"/>
    <w:rsid w:val="001325F9"/>
    <w:rsid w:val="00136A07"/>
    <w:rsid w:val="00145C20"/>
    <w:rsid w:val="00145C38"/>
    <w:rsid w:val="00146437"/>
    <w:rsid w:val="00150FB1"/>
    <w:rsid w:val="00154AE4"/>
    <w:rsid w:val="001552DF"/>
    <w:rsid w:val="00155841"/>
    <w:rsid w:val="00157404"/>
    <w:rsid w:val="0016006E"/>
    <w:rsid w:val="00160DD1"/>
    <w:rsid w:val="0016305A"/>
    <w:rsid w:val="00164D1C"/>
    <w:rsid w:val="00164F65"/>
    <w:rsid w:val="00166BEF"/>
    <w:rsid w:val="00171DD3"/>
    <w:rsid w:val="00172AF6"/>
    <w:rsid w:val="0017359F"/>
    <w:rsid w:val="001754DB"/>
    <w:rsid w:val="00175BE6"/>
    <w:rsid w:val="00176CEE"/>
    <w:rsid w:val="00177FD4"/>
    <w:rsid w:val="00180FB9"/>
    <w:rsid w:val="00183054"/>
    <w:rsid w:val="00186F98"/>
    <w:rsid w:val="001936A2"/>
    <w:rsid w:val="00195064"/>
    <w:rsid w:val="001A08C3"/>
    <w:rsid w:val="001A2636"/>
    <w:rsid w:val="001A5660"/>
    <w:rsid w:val="001A744C"/>
    <w:rsid w:val="001B120D"/>
    <w:rsid w:val="001B2E1B"/>
    <w:rsid w:val="001B4E1A"/>
    <w:rsid w:val="001B5E74"/>
    <w:rsid w:val="001B695A"/>
    <w:rsid w:val="001C05DA"/>
    <w:rsid w:val="001C6716"/>
    <w:rsid w:val="001C772F"/>
    <w:rsid w:val="001E186E"/>
    <w:rsid w:val="001E3694"/>
    <w:rsid w:val="001E5B08"/>
    <w:rsid w:val="001E7F07"/>
    <w:rsid w:val="001F1A27"/>
    <w:rsid w:val="001F2F98"/>
    <w:rsid w:val="001F4317"/>
    <w:rsid w:val="001F433A"/>
    <w:rsid w:val="001F57CD"/>
    <w:rsid w:val="001F6644"/>
    <w:rsid w:val="001F6A09"/>
    <w:rsid w:val="001F6B97"/>
    <w:rsid w:val="001F7A94"/>
    <w:rsid w:val="002008D5"/>
    <w:rsid w:val="00200A58"/>
    <w:rsid w:val="00201594"/>
    <w:rsid w:val="00202554"/>
    <w:rsid w:val="00204E6D"/>
    <w:rsid w:val="002051BB"/>
    <w:rsid w:val="002056BD"/>
    <w:rsid w:val="00206167"/>
    <w:rsid w:val="002073A4"/>
    <w:rsid w:val="002103F8"/>
    <w:rsid w:val="002179B3"/>
    <w:rsid w:val="00223941"/>
    <w:rsid w:val="002249A2"/>
    <w:rsid w:val="00225930"/>
    <w:rsid w:val="00225B31"/>
    <w:rsid w:val="002315F4"/>
    <w:rsid w:val="002316BA"/>
    <w:rsid w:val="00231E09"/>
    <w:rsid w:val="002331AA"/>
    <w:rsid w:val="00233DFA"/>
    <w:rsid w:val="0023556E"/>
    <w:rsid w:val="0023622B"/>
    <w:rsid w:val="0024209B"/>
    <w:rsid w:val="0024284A"/>
    <w:rsid w:val="00245413"/>
    <w:rsid w:val="00251631"/>
    <w:rsid w:val="002519B2"/>
    <w:rsid w:val="00253A94"/>
    <w:rsid w:val="002550D9"/>
    <w:rsid w:val="00255D48"/>
    <w:rsid w:val="00255EEB"/>
    <w:rsid w:val="00256734"/>
    <w:rsid w:val="002619B2"/>
    <w:rsid w:val="002649C6"/>
    <w:rsid w:val="00265A4E"/>
    <w:rsid w:val="0026703C"/>
    <w:rsid w:val="00267869"/>
    <w:rsid w:val="0027596F"/>
    <w:rsid w:val="00275A3B"/>
    <w:rsid w:val="00276C43"/>
    <w:rsid w:val="00276F7B"/>
    <w:rsid w:val="00290AE9"/>
    <w:rsid w:val="0029183C"/>
    <w:rsid w:val="002933DE"/>
    <w:rsid w:val="002A041C"/>
    <w:rsid w:val="002A0990"/>
    <w:rsid w:val="002A167D"/>
    <w:rsid w:val="002A51CA"/>
    <w:rsid w:val="002A63B5"/>
    <w:rsid w:val="002A6955"/>
    <w:rsid w:val="002A7E92"/>
    <w:rsid w:val="002B4A50"/>
    <w:rsid w:val="002C1269"/>
    <w:rsid w:val="002C12C2"/>
    <w:rsid w:val="002C3B8D"/>
    <w:rsid w:val="002C4262"/>
    <w:rsid w:val="002C71B4"/>
    <w:rsid w:val="002D5A76"/>
    <w:rsid w:val="002D5C30"/>
    <w:rsid w:val="002E0A17"/>
    <w:rsid w:val="002E17A3"/>
    <w:rsid w:val="002E2C5C"/>
    <w:rsid w:val="002E3F83"/>
    <w:rsid w:val="002F038A"/>
    <w:rsid w:val="002F0E7E"/>
    <w:rsid w:val="002F5765"/>
    <w:rsid w:val="00302935"/>
    <w:rsid w:val="0030324A"/>
    <w:rsid w:val="003044A0"/>
    <w:rsid w:val="00304EFE"/>
    <w:rsid w:val="00306B4C"/>
    <w:rsid w:val="00307C43"/>
    <w:rsid w:val="003112EA"/>
    <w:rsid w:val="00312C5B"/>
    <w:rsid w:val="0031454D"/>
    <w:rsid w:val="00316841"/>
    <w:rsid w:val="00316AB9"/>
    <w:rsid w:val="00316E9A"/>
    <w:rsid w:val="00316FC6"/>
    <w:rsid w:val="003209F3"/>
    <w:rsid w:val="00320FDC"/>
    <w:rsid w:val="00322596"/>
    <w:rsid w:val="0032287F"/>
    <w:rsid w:val="00322943"/>
    <w:rsid w:val="00322DF0"/>
    <w:rsid w:val="00322E77"/>
    <w:rsid w:val="00324CCB"/>
    <w:rsid w:val="00330755"/>
    <w:rsid w:val="00330DEB"/>
    <w:rsid w:val="0033259F"/>
    <w:rsid w:val="00332974"/>
    <w:rsid w:val="00332C6C"/>
    <w:rsid w:val="00332D96"/>
    <w:rsid w:val="00333025"/>
    <w:rsid w:val="00334389"/>
    <w:rsid w:val="003370C7"/>
    <w:rsid w:val="00337E13"/>
    <w:rsid w:val="00340754"/>
    <w:rsid w:val="00341807"/>
    <w:rsid w:val="00341F3B"/>
    <w:rsid w:val="003428EE"/>
    <w:rsid w:val="003434E3"/>
    <w:rsid w:val="0034407A"/>
    <w:rsid w:val="003458FE"/>
    <w:rsid w:val="003475AC"/>
    <w:rsid w:val="00350F45"/>
    <w:rsid w:val="003530FF"/>
    <w:rsid w:val="003616CE"/>
    <w:rsid w:val="00361D46"/>
    <w:rsid w:val="003632A4"/>
    <w:rsid w:val="003645B2"/>
    <w:rsid w:val="00370224"/>
    <w:rsid w:val="003705C6"/>
    <w:rsid w:val="00372F74"/>
    <w:rsid w:val="00375167"/>
    <w:rsid w:val="00375B93"/>
    <w:rsid w:val="00376890"/>
    <w:rsid w:val="00376944"/>
    <w:rsid w:val="0037751B"/>
    <w:rsid w:val="00377F5A"/>
    <w:rsid w:val="003866F2"/>
    <w:rsid w:val="00387345"/>
    <w:rsid w:val="00390055"/>
    <w:rsid w:val="00394798"/>
    <w:rsid w:val="003A1308"/>
    <w:rsid w:val="003A1537"/>
    <w:rsid w:val="003A4285"/>
    <w:rsid w:val="003B2647"/>
    <w:rsid w:val="003B3BB3"/>
    <w:rsid w:val="003B46A2"/>
    <w:rsid w:val="003B4E02"/>
    <w:rsid w:val="003B6940"/>
    <w:rsid w:val="003B7EEF"/>
    <w:rsid w:val="003C023E"/>
    <w:rsid w:val="003C1EE0"/>
    <w:rsid w:val="003C4F80"/>
    <w:rsid w:val="003C7DCB"/>
    <w:rsid w:val="003D17C8"/>
    <w:rsid w:val="003D32E3"/>
    <w:rsid w:val="003D357D"/>
    <w:rsid w:val="003D4997"/>
    <w:rsid w:val="003D6112"/>
    <w:rsid w:val="003D6A21"/>
    <w:rsid w:val="003E3A6A"/>
    <w:rsid w:val="003E58C2"/>
    <w:rsid w:val="003F088C"/>
    <w:rsid w:val="003F1773"/>
    <w:rsid w:val="003F28C4"/>
    <w:rsid w:val="003F2B30"/>
    <w:rsid w:val="003F3A90"/>
    <w:rsid w:val="003F50C1"/>
    <w:rsid w:val="003F5581"/>
    <w:rsid w:val="003F57E6"/>
    <w:rsid w:val="003F7224"/>
    <w:rsid w:val="004001E5"/>
    <w:rsid w:val="004005F8"/>
    <w:rsid w:val="004034F7"/>
    <w:rsid w:val="00405B54"/>
    <w:rsid w:val="00406839"/>
    <w:rsid w:val="00415B16"/>
    <w:rsid w:val="004165DD"/>
    <w:rsid w:val="004172D4"/>
    <w:rsid w:val="00421135"/>
    <w:rsid w:val="00422214"/>
    <w:rsid w:val="004247F9"/>
    <w:rsid w:val="00424EFF"/>
    <w:rsid w:val="00424F72"/>
    <w:rsid w:val="00427D21"/>
    <w:rsid w:val="0043023D"/>
    <w:rsid w:val="004307E1"/>
    <w:rsid w:val="004323FC"/>
    <w:rsid w:val="004327FA"/>
    <w:rsid w:val="00433CC6"/>
    <w:rsid w:val="0044006F"/>
    <w:rsid w:val="00441B47"/>
    <w:rsid w:val="00441C32"/>
    <w:rsid w:val="00442A44"/>
    <w:rsid w:val="00445D84"/>
    <w:rsid w:val="004468A3"/>
    <w:rsid w:val="00446E9A"/>
    <w:rsid w:val="00451BB2"/>
    <w:rsid w:val="00452F2B"/>
    <w:rsid w:val="00453392"/>
    <w:rsid w:val="00454019"/>
    <w:rsid w:val="00456005"/>
    <w:rsid w:val="00461664"/>
    <w:rsid w:val="00462EB2"/>
    <w:rsid w:val="004644C2"/>
    <w:rsid w:val="00464AEE"/>
    <w:rsid w:val="0046696F"/>
    <w:rsid w:val="00467F9C"/>
    <w:rsid w:val="0047111B"/>
    <w:rsid w:val="00472617"/>
    <w:rsid w:val="00473864"/>
    <w:rsid w:val="00475FC0"/>
    <w:rsid w:val="0047645B"/>
    <w:rsid w:val="00480E6B"/>
    <w:rsid w:val="00482CDC"/>
    <w:rsid w:val="00485289"/>
    <w:rsid w:val="0048540F"/>
    <w:rsid w:val="00491FC2"/>
    <w:rsid w:val="00492BF2"/>
    <w:rsid w:val="00493814"/>
    <w:rsid w:val="0049449A"/>
    <w:rsid w:val="00494D5F"/>
    <w:rsid w:val="0049764B"/>
    <w:rsid w:val="004979C0"/>
    <w:rsid w:val="004A25EC"/>
    <w:rsid w:val="004A6751"/>
    <w:rsid w:val="004A7300"/>
    <w:rsid w:val="004B5A5E"/>
    <w:rsid w:val="004C0FD7"/>
    <w:rsid w:val="004C2198"/>
    <w:rsid w:val="004C2906"/>
    <w:rsid w:val="004C398F"/>
    <w:rsid w:val="004C5C6A"/>
    <w:rsid w:val="004C6221"/>
    <w:rsid w:val="004C660D"/>
    <w:rsid w:val="004D25AE"/>
    <w:rsid w:val="004D2787"/>
    <w:rsid w:val="004D58A8"/>
    <w:rsid w:val="004F1AFF"/>
    <w:rsid w:val="004F21A8"/>
    <w:rsid w:val="004F32E7"/>
    <w:rsid w:val="004F59F7"/>
    <w:rsid w:val="004F7FED"/>
    <w:rsid w:val="00500429"/>
    <w:rsid w:val="00504090"/>
    <w:rsid w:val="00506FE0"/>
    <w:rsid w:val="0051043F"/>
    <w:rsid w:val="0051410A"/>
    <w:rsid w:val="00517E40"/>
    <w:rsid w:val="00522E23"/>
    <w:rsid w:val="00525FFE"/>
    <w:rsid w:val="005322C2"/>
    <w:rsid w:val="0053260C"/>
    <w:rsid w:val="00534681"/>
    <w:rsid w:val="00535656"/>
    <w:rsid w:val="0054027F"/>
    <w:rsid w:val="00540F7B"/>
    <w:rsid w:val="00540F9A"/>
    <w:rsid w:val="00541F6D"/>
    <w:rsid w:val="005420E3"/>
    <w:rsid w:val="00543491"/>
    <w:rsid w:val="0054357A"/>
    <w:rsid w:val="005441BE"/>
    <w:rsid w:val="005508AA"/>
    <w:rsid w:val="005541DE"/>
    <w:rsid w:val="005545EF"/>
    <w:rsid w:val="00555A4E"/>
    <w:rsid w:val="005573FF"/>
    <w:rsid w:val="005622F4"/>
    <w:rsid w:val="0056598F"/>
    <w:rsid w:val="00565E7C"/>
    <w:rsid w:val="00565F32"/>
    <w:rsid w:val="00566524"/>
    <w:rsid w:val="0056780C"/>
    <w:rsid w:val="00567BF9"/>
    <w:rsid w:val="005704F6"/>
    <w:rsid w:val="00571CDB"/>
    <w:rsid w:val="00572129"/>
    <w:rsid w:val="00574FA1"/>
    <w:rsid w:val="00577BAE"/>
    <w:rsid w:val="005827CF"/>
    <w:rsid w:val="00584AF0"/>
    <w:rsid w:val="0058578A"/>
    <w:rsid w:val="00585A9E"/>
    <w:rsid w:val="00586C84"/>
    <w:rsid w:val="005907EA"/>
    <w:rsid w:val="00592457"/>
    <w:rsid w:val="0059345A"/>
    <w:rsid w:val="00594824"/>
    <w:rsid w:val="00594C42"/>
    <w:rsid w:val="00594FC3"/>
    <w:rsid w:val="00595177"/>
    <w:rsid w:val="005976A2"/>
    <w:rsid w:val="005A241F"/>
    <w:rsid w:val="005A2C34"/>
    <w:rsid w:val="005A3077"/>
    <w:rsid w:val="005A3A75"/>
    <w:rsid w:val="005A5BE0"/>
    <w:rsid w:val="005A7E58"/>
    <w:rsid w:val="005B0CE3"/>
    <w:rsid w:val="005B3548"/>
    <w:rsid w:val="005B514A"/>
    <w:rsid w:val="005C08C8"/>
    <w:rsid w:val="005C0902"/>
    <w:rsid w:val="005C1989"/>
    <w:rsid w:val="005C229A"/>
    <w:rsid w:val="005C28C8"/>
    <w:rsid w:val="005C3246"/>
    <w:rsid w:val="005C3377"/>
    <w:rsid w:val="005D051B"/>
    <w:rsid w:val="005D2403"/>
    <w:rsid w:val="005D2471"/>
    <w:rsid w:val="005D6C41"/>
    <w:rsid w:val="005E0085"/>
    <w:rsid w:val="005E268B"/>
    <w:rsid w:val="005F1536"/>
    <w:rsid w:val="005F25DC"/>
    <w:rsid w:val="005F535D"/>
    <w:rsid w:val="005F60CD"/>
    <w:rsid w:val="00605615"/>
    <w:rsid w:val="006122BA"/>
    <w:rsid w:val="00621732"/>
    <w:rsid w:val="006259C2"/>
    <w:rsid w:val="006273E4"/>
    <w:rsid w:val="00627E22"/>
    <w:rsid w:val="00635C10"/>
    <w:rsid w:val="00636519"/>
    <w:rsid w:val="00637A1E"/>
    <w:rsid w:val="00641A81"/>
    <w:rsid w:val="00642676"/>
    <w:rsid w:val="00645952"/>
    <w:rsid w:val="00645A2C"/>
    <w:rsid w:val="0064615D"/>
    <w:rsid w:val="006476DC"/>
    <w:rsid w:val="00650859"/>
    <w:rsid w:val="00651C36"/>
    <w:rsid w:val="00654581"/>
    <w:rsid w:val="00656676"/>
    <w:rsid w:val="00662D25"/>
    <w:rsid w:val="00663748"/>
    <w:rsid w:val="00664BCF"/>
    <w:rsid w:val="0066695F"/>
    <w:rsid w:val="006676EE"/>
    <w:rsid w:val="00667CA2"/>
    <w:rsid w:val="006757F2"/>
    <w:rsid w:val="00676DE6"/>
    <w:rsid w:val="00677716"/>
    <w:rsid w:val="00677CDB"/>
    <w:rsid w:val="00681B21"/>
    <w:rsid w:val="0068500D"/>
    <w:rsid w:val="00686168"/>
    <w:rsid w:val="00693C0F"/>
    <w:rsid w:val="00694F47"/>
    <w:rsid w:val="006965FE"/>
    <w:rsid w:val="00696D03"/>
    <w:rsid w:val="006A1CD5"/>
    <w:rsid w:val="006A6371"/>
    <w:rsid w:val="006A69E2"/>
    <w:rsid w:val="006A6A45"/>
    <w:rsid w:val="006A6B0F"/>
    <w:rsid w:val="006B1088"/>
    <w:rsid w:val="006B2290"/>
    <w:rsid w:val="006B24E9"/>
    <w:rsid w:val="006C0BEF"/>
    <w:rsid w:val="006C0D81"/>
    <w:rsid w:val="006C1290"/>
    <w:rsid w:val="006C1E83"/>
    <w:rsid w:val="006C23DB"/>
    <w:rsid w:val="006C40E9"/>
    <w:rsid w:val="006C4351"/>
    <w:rsid w:val="006C61FA"/>
    <w:rsid w:val="006D351B"/>
    <w:rsid w:val="006D509D"/>
    <w:rsid w:val="006D6174"/>
    <w:rsid w:val="006D753B"/>
    <w:rsid w:val="006E1205"/>
    <w:rsid w:val="006E136C"/>
    <w:rsid w:val="006E376A"/>
    <w:rsid w:val="006E6219"/>
    <w:rsid w:val="006E6C24"/>
    <w:rsid w:val="006E789B"/>
    <w:rsid w:val="006F1490"/>
    <w:rsid w:val="006F33F8"/>
    <w:rsid w:val="007108D4"/>
    <w:rsid w:val="00712DC1"/>
    <w:rsid w:val="00717D88"/>
    <w:rsid w:val="00717F07"/>
    <w:rsid w:val="00720856"/>
    <w:rsid w:val="00721992"/>
    <w:rsid w:val="0072252E"/>
    <w:rsid w:val="00722E5D"/>
    <w:rsid w:val="007244FC"/>
    <w:rsid w:val="00724B3A"/>
    <w:rsid w:val="00727489"/>
    <w:rsid w:val="0073022A"/>
    <w:rsid w:val="00731B8F"/>
    <w:rsid w:val="00734E09"/>
    <w:rsid w:val="00744BEB"/>
    <w:rsid w:val="0075068C"/>
    <w:rsid w:val="00751290"/>
    <w:rsid w:val="00760481"/>
    <w:rsid w:val="00760D0C"/>
    <w:rsid w:val="00761700"/>
    <w:rsid w:val="007632F1"/>
    <w:rsid w:val="00764A99"/>
    <w:rsid w:val="007654E4"/>
    <w:rsid w:val="00765A53"/>
    <w:rsid w:val="0076642C"/>
    <w:rsid w:val="0077000D"/>
    <w:rsid w:val="0077010C"/>
    <w:rsid w:val="00771E90"/>
    <w:rsid w:val="0077285E"/>
    <w:rsid w:val="00774FAC"/>
    <w:rsid w:val="00775CD7"/>
    <w:rsid w:val="00776C96"/>
    <w:rsid w:val="0078308D"/>
    <w:rsid w:val="007855E3"/>
    <w:rsid w:val="007942D3"/>
    <w:rsid w:val="007A00B1"/>
    <w:rsid w:val="007A14D9"/>
    <w:rsid w:val="007A2A95"/>
    <w:rsid w:val="007A5FD8"/>
    <w:rsid w:val="007B1222"/>
    <w:rsid w:val="007B2356"/>
    <w:rsid w:val="007B496E"/>
    <w:rsid w:val="007B6C09"/>
    <w:rsid w:val="007B7205"/>
    <w:rsid w:val="007C2BF9"/>
    <w:rsid w:val="007C3009"/>
    <w:rsid w:val="007C4284"/>
    <w:rsid w:val="007C7647"/>
    <w:rsid w:val="007D0CFC"/>
    <w:rsid w:val="007D6595"/>
    <w:rsid w:val="007D74EB"/>
    <w:rsid w:val="007E09DA"/>
    <w:rsid w:val="007E129F"/>
    <w:rsid w:val="007E1403"/>
    <w:rsid w:val="007E3E36"/>
    <w:rsid w:val="007E5086"/>
    <w:rsid w:val="007E55B3"/>
    <w:rsid w:val="007E7976"/>
    <w:rsid w:val="007E7DE2"/>
    <w:rsid w:val="007F010F"/>
    <w:rsid w:val="007F03F8"/>
    <w:rsid w:val="007F25F4"/>
    <w:rsid w:val="007F69E7"/>
    <w:rsid w:val="007F7217"/>
    <w:rsid w:val="007F742D"/>
    <w:rsid w:val="00800E7C"/>
    <w:rsid w:val="0080732D"/>
    <w:rsid w:val="00810A55"/>
    <w:rsid w:val="00812E60"/>
    <w:rsid w:val="008153E8"/>
    <w:rsid w:val="0081729C"/>
    <w:rsid w:val="008178B6"/>
    <w:rsid w:val="008221E9"/>
    <w:rsid w:val="00822701"/>
    <w:rsid w:val="00822F44"/>
    <w:rsid w:val="00825C82"/>
    <w:rsid w:val="00831DFB"/>
    <w:rsid w:val="00832626"/>
    <w:rsid w:val="0083339C"/>
    <w:rsid w:val="008359E5"/>
    <w:rsid w:val="00837033"/>
    <w:rsid w:val="008455FC"/>
    <w:rsid w:val="00851084"/>
    <w:rsid w:val="00851BAE"/>
    <w:rsid w:val="00853BC0"/>
    <w:rsid w:val="00855772"/>
    <w:rsid w:val="00860725"/>
    <w:rsid w:val="0086463D"/>
    <w:rsid w:val="0086481A"/>
    <w:rsid w:val="00865B74"/>
    <w:rsid w:val="008675A4"/>
    <w:rsid w:val="0087278A"/>
    <w:rsid w:val="00873CC6"/>
    <w:rsid w:val="00876951"/>
    <w:rsid w:val="00876D40"/>
    <w:rsid w:val="00877008"/>
    <w:rsid w:val="008801C8"/>
    <w:rsid w:val="00881FC3"/>
    <w:rsid w:val="008824C9"/>
    <w:rsid w:val="00883BC5"/>
    <w:rsid w:val="008846D6"/>
    <w:rsid w:val="00887804"/>
    <w:rsid w:val="0089030F"/>
    <w:rsid w:val="008925D3"/>
    <w:rsid w:val="00893C9B"/>
    <w:rsid w:val="008945B5"/>
    <w:rsid w:val="0089720B"/>
    <w:rsid w:val="00897673"/>
    <w:rsid w:val="00897EAA"/>
    <w:rsid w:val="008A2293"/>
    <w:rsid w:val="008A6341"/>
    <w:rsid w:val="008A6F82"/>
    <w:rsid w:val="008B0B10"/>
    <w:rsid w:val="008B2007"/>
    <w:rsid w:val="008B395C"/>
    <w:rsid w:val="008B50AD"/>
    <w:rsid w:val="008B7E99"/>
    <w:rsid w:val="008C0035"/>
    <w:rsid w:val="008C0622"/>
    <w:rsid w:val="008C08E7"/>
    <w:rsid w:val="008C1C53"/>
    <w:rsid w:val="008C2963"/>
    <w:rsid w:val="008C2EA4"/>
    <w:rsid w:val="008C5493"/>
    <w:rsid w:val="008C5D86"/>
    <w:rsid w:val="008C6619"/>
    <w:rsid w:val="008D4918"/>
    <w:rsid w:val="008D6636"/>
    <w:rsid w:val="008D6CEC"/>
    <w:rsid w:val="008E0D55"/>
    <w:rsid w:val="008E60BD"/>
    <w:rsid w:val="008E770B"/>
    <w:rsid w:val="008F060A"/>
    <w:rsid w:val="008F1703"/>
    <w:rsid w:val="008F7DB6"/>
    <w:rsid w:val="00900A27"/>
    <w:rsid w:val="009016BD"/>
    <w:rsid w:val="00904B05"/>
    <w:rsid w:val="00910C27"/>
    <w:rsid w:val="009115D4"/>
    <w:rsid w:val="00911A20"/>
    <w:rsid w:val="009135EB"/>
    <w:rsid w:val="00913C99"/>
    <w:rsid w:val="00916A9C"/>
    <w:rsid w:val="00920820"/>
    <w:rsid w:val="00920D14"/>
    <w:rsid w:val="009211A3"/>
    <w:rsid w:val="00923AD2"/>
    <w:rsid w:val="00924A23"/>
    <w:rsid w:val="00925087"/>
    <w:rsid w:val="00927B89"/>
    <w:rsid w:val="00930572"/>
    <w:rsid w:val="00930AB1"/>
    <w:rsid w:val="00930BA1"/>
    <w:rsid w:val="0093169E"/>
    <w:rsid w:val="00935745"/>
    <w:rsid w:val="00935CB0"/>
    <w:rsid w:val="009369A3"/>
    <w:rsid w:val="00936D27"/>
    <w:rsid w:val="00942795"/>
    <w:rsid w:val="009431DD"/>
    <w:rsid w:val="0094445C"/>
    <w:rsid w:val="00944987"/>
    <w:rsid w:val="00944E05"/>
    <w:rsid w:val="00945EDA"/>
    <w:rsid w:val="009500C8"/>
    <w:rsid w:val="009505C9"/>
    <w:rsid w:val="009518EA"/>
    <w:rsid w:val="00951A51"/>
    <w:rsid w:val="00953BFB"/>
    <w:rsid w:val="00956053"/>
    <w:rsid w:val="0095680A"/>
    <w:rsid w:val="00960488"/>
    <w:rsid w:val="009746C3"/>
    <w:rsid w:val="00974921"/>
    <w:rsid w:val="0097560B"/>
    <w:rsid w:val="009836F1"/>
    <w:rsid w:val="0098411E"/>
    <w:rsid w:val="00984969"/>
    <w:rsid w:val="00986905"/>
    <w:rsid w:val="0099037E"/>
    <w:rsid w:val="00990FDA"/>
    <w:rsid w:val="00993903"/>
    <w:rsid w:val="00995D40"/>
    <w:rsid w:val="00996617"/>
    <w:rsid w:val="00997639"/>
    <w:rsid w:val="009A166F"/>
    <w:rsid w:val="009A38BB"/>
    <w:rsid w:val="009A6407"/>
    <w:rsid w:val="009B15BD"/>
    <w:rsid w:val="009B34BC"/>
    <w:rsid w:val="009B52E6"/>
    <w:rsid w:val="009B56F5"/>
    <w:rsid w:val="009B5D0E"/>
    <w:rsid w:val="009C1EF5"/>
    <w:rsid w:val="009C35D7"/>
    <w:rsid w:val="009C4957"/>
    <w:rsid w:val="009C5375"/>
    <w:rsid w:val="009C6CEB"/>
    <w:rsid w:val="009D03FB"/>
    <w:rsid w:val="009D4C67"/>
    <w:rsid w:val="009D6765"/>
    <w:rsid w:val="009E1D1C"/>
    <w:rsid w:val="009E2404"/>
    <w:rsid w:val="009E4E3F"/>
    <w:rsid w:val="009F4460"/>
    <w:rsid w:val="009F54A8"/>
    <w:rsid w:val="009F6487"/>
    <w:rsid w:val="00A00015"/>
    <w:rsid w:val="00A00D1C"/>
    <w:rsid w:val="00A03C45"/>
    <w:rsid w:val="00A06EEC"/>
    <w:rsid w:val="00A10862"/>
    <w:rsid w:val="00A14D40"/>
    <w:rsid w:val="00A1571D"/>
    <w:rsid w:val="00A15C5F"/>
    <w:rsid w:val="00A20686"/>
    <w:rsid w:val="00A21EA4"/>
    <w:rsid w:val="00A22A72"/>
    <w:rsid w:val="00A24F30"/>
    <w:rsid w:val="00A24F5B"/>
    <w:rsid w:val="00A2554E"/>
    <w:rsid w:val="00A26F58"/>
    <w:rsid w:val="00A26F5D"/>
    <w:rsid w:val="00A3166B"/>
    <w:rsid w:val="00A31965"/>
    <w:rsid w:val="00A3213F"/>
    <w:rsid w:val="00A343B3"/>
    <w:rsid w:val="00A365BD"/>
    <w:rsid w:val="00A47B05"/>
    <w:rsid w:val="00A56960"/>
    <w:rsid w:val="00A640A3"/>
    <w:rsid w:val="00A658DF"/>
    <w:rsid w:val="00A665C2"/>
    <w:rsid w:val="00A70B0A"/>
    <w:rsid w:val="00A70EA0"/>
    <w:rsid w:val="00A729D5"/>
    <w:rsid w:val="00A734A6"/>
    <w:rsid w:val="00A7495A"/>
    <w:rsid w:val="00A76CA2"/>
    <w:rsid w:val="00A8568D"/>
    <w:rsid w:val="00A85B2B"/>
    <w:rsid w:val="00A87E22"/>
    <w:rsid w:val="00A90D40"/>
    <w:rsid w:val="00A923E1"/>
    <w:rsid w:val="00A92C1A"/>
    <w:rsid w:val="00A9334E"/>
    <w:rsid w:val="00AA06C9"/>
    <w:rsid w:val="00AA2A2F"/>
    <w:rsid w:val="00AA3F1E"/>
    <w:rsid w:val="00AB48E5"/>
    <w:rsid w:val="00AB5FA2"/>
    <w:rsid w:val="00AC0F7A"/>
    <w:rsid w:val="00AC12AE"/>
    <w:rsid w:val="00AC284A"/>
    <w:rsid w:val="00AC33B5"/>
    <w:rsid w:val="00AC3AC4"/>
    <w:rsid w:val="00AC4256"/>
    <w:rsid w:val="00AD07BC"/>
    <w:rsid w:val="00AD0D48"/>
    <w:rsid w:val="00AD1940"/>
    <w:rsid w:val="00AD2E78"/>
    <w:rsid w:val="00AD3BE4"/>
    <w:rsid w:val="00AD55E1"/>
    <w:rsid w:val="00AD67B2"/>
    <w:rsid w:val="00AD691F"/>
    <w:rsid w:val="00AD7A64"/>
    <w:rsid w:val="00AD7F0E"/>
    <w:rsid w:val="00AE2488"/>
    <w:rsid w:val="00AE273E"/>
    <w:rsid w:val="00AE27B9"/>
    <w:rsid w:val="00AE3893"/>
    <w:rsid w:val="00AE4BAA"/>
    <w:rsid w:val="00AE7362"/>
    <w:rsid w:val="00AF248F"/>
    <w:rsid w:val="00AF2F98"/>
    <w:rsid w:val="00AF39B9"/>
    <w:rsid w:val="00AF4543"/>
    <w:rsid w:val="00AF72E8"/>
    <w:rsid w:val="00B04C32"/>
    <w:rsid w:val="00B05067"/>
    <w:rsid w:val="00B06BB1"/>
    <w:rsid w:val="00B11B26"/>
    <w:rsid w:val="00B20EF8"/>
    <w:rsid w:val="00B2183F"/>
    <w:rsid w:val="00B21864"/>
    <w:rsid w:val="00B237FF"/>
    <w:rsid w:val="00B25197"/>
    <w:rsid w:val="00B25965"/>
    <w:rsid w:val="00B261E5"/>
    <w:rsid w:val="00B267EA"/>
    <w:rsid w:val="00B27A3C"/>
    <w:rsid w:val="00B3128F"/>
    <w:rsid w:val="00B335E6"/>
    <w:rsid w:val="00B3369F"/>
    <w:rsid w:val="00B33715"/>
    <w:rsid w:val="00B3445D"/>
    <w:rsid w:val="00B36519"/>
    <w:rsid w:val="00B4422F"/>
    <w:rsid w:val="00B467A3"/>
    <w:rsid w:val="00B52DAA"/>
    <w:rsid w:val="00B53963"/>
    <w:rsid w:val="00B5523B"/>
    <w:rsid w:val="00B604A5"/>
    <w:rsid w:val="00B62EB4"/>
    <w:rsid w:val="00B66A11"/>
    <w:rsid w:val="00B707EC"/>
    <w:rsid w:val="00B726F9"/>
    <w:rsid w:val="00B73781"/>
    <w:rsid w:val="00B7458C"/>
    <w:rsid w:val="00B80BFF"/>
    <w:rsid w:val="00B80D12"/>
    <w:rsid w:val="00B86D19"/>
    <w:rsid w:val="00B87006"/>
    <w:rsid w:val="00B90EB7"/>
    <w:rsid w:val="00B92382"/>
    <w:rsid w:val="00B9246B"/>
    <w:rsid w:val="00B947AE"/>
    <w:rsid w:val="00B953DC"/>
    <w:rsid w:val="00B971D1"/>
    <w:rsid w:val="00BA2FFD"/>
    <w:rsid w:val="00BA50F0"/>
    <w:rsid w:val="00BA5284"/>
    <w:rsid w:val="00BA6713"/>
    <w:rsid w:val="00BA769C"/>
    <w:rsid w:val="00BB194E"/>
    <w:rsid w:val="00BB2DCB"/>
    <w:rsid w:val="00BB410D"/>
    <w:rsid w:val="00BB439F"/>
    <w:rsid w:val="00BB48BC"/>
    <w:rsid w:val="00BB4C65"/>
    <w:rsid w:val="00BC13BB"/>
    <w:rsid w:val="00BC1ADA"/>
    <w:rsid w:val="00BC401A"/>
    <w:rsid w:val="00BC6838"/>
    <w:rsid w:val="00BC7554"/>
    <w:rsid w:val="00BC7BB1"/>
    <w:rsid w:val="00BD1357"/>
    <w:rsid w:val="00BE13A8"/>
    <w:rsid w:val="00BE3BE7"/>
    <w:rsid w:val="00BE52E2"/>
    <w:rsid w:val="00BF0A83"/>
    <w:rsid w:val="00BF347F"/>
    <w:rsid w:val="00BF56B5"/>
    <w:rsid w:val="00BF6E59"/>
    <w:rsid w:val="00C025DF"/>
    <w:rsid w:val="00C05EE2"/>
    <w:rsid w:val="00C122B1"/>
    <w:rsid w:val="00C2121C"/>
    <w:rsid w:val="00C236C1"/>
    <w:rsid w:val="00C24BF4"/>
    <w:rsid w:val="00C303A0"/>
    <w:rsid w:val="00C326D9"/>
    <w:rsid w:val="00C33786"/>
    <w:rsid w:val="00C37192"/>
    <w:rsid w:val="00C37970"/>
    <w:rsid w:val="00C4205D"/>
    <w:rsid w:val="00C44899"/>
    <w:rsid w:val="00C45F41"/>
    <w:rsid w:val="00C50754"/>
    <w:rsid w:val="00C52BAE"/>
    <w:rsid w:val="00C62043"/>
    <w:rsid w:val="00C65733"/>
    <w:rsid w:val="00C67B12"/>
    <w:rsid w:val="00C67FE8"/>
    <w:rsid w:val="00C7084C"/>
    <w:rsid w:val="00C72BC4"/>
    <w:rsid w:val="00C75E14"/>
    <w:rsid w:val="00C80047"/>
    <w:rsid w:val="00C85592"/>
    <w:rsid w:val="00C9161D"/>
    <w:rsid w:val="00C91AC9"/>
    <w:rsid w:val="00C92A8A"/>
    <w:rsid w:val="00C94F39"/>
    <w:rsid w:val="00C95D19"/>
    <w:rsid w:val="00CA12D3"/>
    <w:rsid w:val="00CA1D5F"/>
    <w:rsid w:val="00CA2E6E"/>
    <w:rsid w:val="00CA3181"/>
    <w:rsid w:val="00CA502E"/>
    <w:rsid w:val="00CA5E8B"/>
    <w:rsid w:val="00CA6E7E"/>
    <w:rsid w:val="00CA768A"/>
    <w:rsid w:val="00CB14F7"/>
    <w:rsid w:val="00CB2616"/>
    <w:rsid w:val="00CB35E8"/>
    <w:rsid w:val="00CB4F2E"/>
    <w:rsid w:val="00CB61A1"/>
    <w:rsid w:val="00CB6A3A"/>
    <w:rsid w:val="00CC0460"/>
    <w:rsid w:val="00CC0F91"/>
    <w:rsid w:val="00CC2BD9"/>
    <w:rsid w:val="00CC4312"/>
    <w:rsid w:val="00CC45AA"/>
    <w:rsid w:val="00CD05E3"/>
    <w:rsid w:val="00CD0633"/>
    <w:rsid w:val="00CD5624"/>
    <w:rsid w:val="00CD66C2"/>
    <w:rsid w:val="00CE2A1B"/>
    <w:rsid w:val="00CE2BAB"/>
    <w:rsid w:val="00CE32A3"/>
    <w:rsid w:val="00CE48E5"/>
    <w:rsid w:val="00CE4EC8"/>
    <w:rsid w:val="00CE5D78"/>
    <w:rsid w:val="00CE5EFA"/>
    <w:rsid w:val="00CE63CC"/>
    <w:rsid w:val="00CE6B38"/>
    <w:rsid w:val="00CF0B73"/>
    <w:rsid w:val="00CF1848"/>
    <w:rsid w:val="00CF59BA"/>
    <w:rsid w:val="00CF6F09"/>
    <w:rsid w:val="00D02A79"/>
    <w:rsid w:val="00D05996"/>
    <w:rsid w:val="00D12044"/>
    <w:rsid w:val="00D13022"/>
    <w:rsid w:val="00D159EB"/>
    <w:rsid w:val="00D20158"/>
    <w:rsid w:val="00D30AEA"/>
    <w:rsid w:val="00D42675"/>
    <w:rsid w:val="00D43FEF"/>
    <w:rsid w:val="00D457E2"/>
    <w:rsid w:val="00D516BA"/>
    <w:rsid w:val="00D5351E"/>
    <w:rsid w:val="00D54D06"/>
    <w:rsid w:val="00D55AC3"/>
    <w:rsid w:val="00D622ED"/>
    <w:rsid w:val="00D65F22"/>
    <w:rsid w:val="00D70B26"/>
    <w:rsid w:val="00D70F92"/>
    <w:rsid w:val="00D71F86"/>
    <w:rsid w:val="00D727E9"/>
    <w:rsid w:val="00D7346F"/>
    <w:rsid w:val="00D735CB"/>
    <w:rsid w:val="00D7549B"/>
    <w:rsid w:val="00D75865"/>
    <w:rsid w:val="00D76A18"/>
    <w:rsid w:val="00D77737"/>
    <w:rsid w:val="00D84555"/>
    <w:rsid w:val="00D917FF"/>
    <w:rsid w:val="00D932F5"/>
    <w:rsid w:val="00D93403"/>
    <w:rsid w:val="00D939B6"/>
    <w:rsid w:val="00D9471D"/>
    <w:rsid w:val="00D95349"/>
    <w:rsid w:val="00D9647A"/>
    <w:rsid w:val="00DA2D25"/>
    <w:rsid w:val="00DA2F56"/>
    <w:rsid w:val="00DA4EC5"/>
    <w:rsid w:val="00DB1F8B"/>
    <w:rsid w:val="00DB3866"/>
    <w:rsid w:val="00DB41AF"/>
    <w:rsid w:val="00DB5311"/>
    <w:rsid w:val="00DC18C6"/>
    <w:rsid w:val="00DC5011"/>
    <w:rsid w:val="00DC732E"/>
    <w:rsid w:val="00DC7638"/>
    <w:rsid w:val="00DD0D66"/>
    <w:rsid w:val="00DD118C"/>
    <w:rsid w:val="00DD1312"/>
    <w:rsid w:val="00DD35D1"/>
    <w:rsid w:val="00DD38A0"/>
    <w:rsid w:val="00DD7646"/>
    <w:rsid w:val="00DE211E"/>
    <w:rsid w:val="00DE30F5"/>
    <w:rsid w:val="00DE4672"/>
    <w:rsid w:val="00DE4E8F"/>
    <w:rsid w:val="00DE6723"/>
    <w:rsid w:val="00DE6790"/>
    <w:rsid w:val="00DF0CFF"/>
    <w:rsid w:val="00DF1196"/>
    <w:rsid w:val="00DF32C3"/>
    <w:rsid w:val="00DF3E97"/>
    <w:rsid w:val="00DF4A56"/>
    <w:rsid w:val="00DF77A1"/>
    <w:rsid w:val="00DF78FD"/>
    <w:rsid w:val="00E04467"/>
    <w:rsid w:val="00E04514"/>
    <w:rsid w:val="00E0515C"/>
    <w:rsid w:val="00E07AFC"/>
    <w:rsid w:val="00E116B4"/>
    <w:rsid w:val="00E11728"/>
    <w:rsid w:val="00E125CA"/>
    <w:rsid w:val="00E1319D"/>
    <w:rsid w:val="00E1413A"/>
    <w:rsid w:val="00E15CDC"/>
    <w:rsid w:val="00E216BE"/>
    <w:rsid w:val="00E21926"/>
    <w:rsid w:val="00E22697"/>
    <w:rsid w:val="00E24AEE"/>
    <w:rsid w:val="00E26969"/>
    <w:rsid w:val="00E321EC"/>
    <w:rsid w:val="00E348D0"/>
    <w:rsid w:val="00E403E3"/>
    <w:rsid w:val="00E4282B"/>
    <w:rsid w:val="00E42F75"/>
    <w:rsid w:val="00E43E66"/>
    <w:rsid w:val="00E44580"/>
    <w:rsid w:val="00E45F27"/>
    <w:rsid w:val="00E46562"/>
    <w:rsid w:val="00E5097B"/>
    <w:rsid w:val="00E552C9"/>
    <w:rsid w:val="00E55753"/>
    <w:rsid w:val="00E55820"/>
    <w:rsid w:val="00E57D85"/>
    <w:rsid w:val="00E601AB"/>
    <w:rsid w:val="00E608BD"/>
    <w:rsid w:val="00E6227F"/>
    <w:rsid w:val="00E656F7"/>
    <w:rsid w:val="00E66235"/>
    <w:rsid w:val="00E666A0"/>
    <w:rsid w:val="00E67E26"/>
    <w:rsid w:val="00E74957"/>
    <w:rsid w:val="00E76B6F"/>
    <w:rsid w:val="00E82127"/>
    <w:rsid w:val="00E83C24"/>
    <w:rsid w:val="00E84AB5"/>
    <w:rsid w:val="00E86052"/>
    <w:rsid w:val="00E864B3"/>
    <w:rsid w:val="00E86A04"/>
    <w:rsid w:val="00E90267"/>
    <w:rsid w:val="00E90ADA"/>
    <w:rsid w:val="00E90F15"/>
    <w:rsid w:val="00E9318D"/>
    <w:rsid w:val="00E9590B"/>
    <w:rsid w:val="00EA1BC7"/>
    <w:rsid w:val="00EA28B5"/>
    <w:rsid w:val="00EA3407"/>
    <w:rsid w:val="00EA5368"/>
    <w:rsid w:val="00EA7612"/>
    <w:rsid w:val="00EA7797"/>
    <w:rsid w:val="00EA782B"/>
    <w:rsid w:val="00EB0A68"/>
    <w:rsid w:val="00EB5091"/>
    <w:rsid w:val="00EB6AFA"/>
    <w:rsid w:val="00ED04C3"/>
    <w:rsid w:val="00ED1B04"/>
    <w:rsid w:val="00ED1D36"/>
    <w:rsid w:val="00ED562E"/>
    <w:rsid w:val="00EE13FC"/>
    <w:rsid w:val="00EE39A8"/>
    <w:rsid w:val="00EE4643"/>
    <w:rsid w:val="00EE4C8E"/>
    <w:rsid w:val="00EE5932"/>
    <w:rsid w:val="00EE630D"/>
    <w:rsid w:val="00EF28DA"/>
    <w:rsid w:val="00EF3AE8"/>
    <w:rsid w:val="00EF3B4E"/>
    <w:rsid w:val="00EF48A5"/>
    <w:rsid w:val="00EF4B6E"/>
    <w:rsid w:val="00F02F3F"/>
    <w:rsid w:val="00F04347"/>
    <w:rsid w:val="00F04FD8"/>
    <w:rsid w:val="00F23D20"/>
    <w:rsid w:val="00F251AE"/>
    <w:rsid w:val="00F26CD9"/>
    <w:rsid w:val="00F30285"/>
    <w:rsid w:val="00F32648"/>
    <w:rsid w:val="00F347E0"/>
    <w:rsid w:val="00F349FB"/>
    <w:rsid w:val="00F34F76"/>
    <w:rsid w:val="00F35CAA"/>
    <w:rsid w:val="00F37C09"/>
    <w:rsid w:val="00F535B8"/>
    <w:rsid w:val="00F544FD"/>
    <w:rsid w:val="00F54B9F"/>
    <w:rsid w:val="00F614A0"/>
    <w:rsid w:val="00F61D0B"/>
    <w:rsid w:val="00F65480"/>
    <w:rsid w:val="00F67E1D"/>
    <w:rsid w:val="00F70D53"/>
    <w:rsid w:val="00F714E8"/>
    <w:rsid w:val="00F7587C"/>
    <w:rsid w:val="00F7715D"/>
    <w:rsid w:val="00F77635"/>
    <w:rsid w:val="00F80035"/>
    <w:rsid w:val="00F80DBA"/>
    <w:rsid w:val="00F81901"/>
    <w:rsid w:val="00F81C8A"/>
    <w:rsid w:val="00F8209B"/>
    <w:rsid w:val="00F82816"/>
    <w:rsid w:val="00F82C59"/>
    <w:rsid w:val="00F83977"/>
    <w:rsid w:val="00F90323"/>
    <w:rsid w:val="00F92BC1"/>
    <w:rsid w:val="00F94774"/>
    <w:rsid w:val="00F950A7"/>
    <w:rsid w:val="00FA0B35"/>
    <w:rsid w:val="00FA1200"/>
    <w:rsid w:val="00FA3E69"/>
    <w:rsid w:val="00FA6228"/>
    <w:rsid w:val="00FB3C2A"/>
    <w:rsid w:val="00FB4D50"/>
    <w:rsid w:val="00FB5B83"/>
    <w:rsid w:val="00FB667C"/>
    <w:rsid w:val="00FC243F"/>
    <w:rsid w:val="00FC2C02"/>
    <w:rsid w:val="00FC4959"/>
    <w:rsid w:val="00FC53DB"/>
    <w:rsid w:val="00FC6D4B"/>
    <w:rsid w:val="00FC7195"/>
    <w:rsid w:val="00FD05EA"/>
    <w:rsid w:val="00FD0A8B"/>
    <w:rsid w:val="00FD4F72"/>
    <w:rsid w:val="00FD54C0"/>
    <w:rsid w:val="00FE01DD"/>
    <w:rsid w:val="00FE0A35"/>
    <w:rsid w:val="00FE2D52"/>
    <w:rsid w:val="00FE3C30"/>
    <w:rsid w:val="00FE48F3"/>
    <w:rsid w:val="00FE568B"/>
    <w:rsid w:val="00FE5D64"/>
    <w:rsid w:val="00FE7ABC"/>
    <w:rsid w:val="00FF046A"/>
    <w:rsid w:val="00FF099E"/>
    <w:rsid w:val="138B8562"/>
    <w:rsid w:val="28DECB7A"/>
    <w:rsid w:val="30EB5447"/>
    <w:rsid w:val="5304F200"/>
    <w:rsid w:val="7B17A9C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606580"/>
  <w15:docId w15:val="{61B04201-3220-469E-B995-066E270F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041C"/>
    <w:rPr>
      <w:rFonts w:ascii="Times New Roman" w:eastAsia="Times New Roman" w:hAnsi="Times New Roman" w:cs="Times New Roman"/>
      <w:lang w:val="en-CA"/>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3458FE"/>
    <w:pPr>
      <w:keepNext/>
      <w:tabs>
        <w:tab w:val="left" w:pos="720"/>
      </w:tabs>
      <w:spacing w:before="120" w:after="120"/>
      <w:jc w:val="center"/>
      <w:outlineLvl w:val="1"/>
    </w:pPr>
    <w:rPr>
      <w:b/>
      <w:bCs/>
      <w:iCs/>
      <w:sz w:val="22"/>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3458FE"/>
    <w:rPr>
      <w:rFonts w:ascii="Times New Roman" w:eastAsia="Times New Roman" w:hAnsi="Times New Roman" w:cs="Times New Roman"/>
      <w:b/>
      <w:bCs/>
      <w:iCs/>
      <w:sz w:val="22"/>
      <w:lang w:val="en-CA"/>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pPr>
  </w:style>
  <w:style w:type="paragraph" w:styleId="TOC5">
    <w:name w:val="toc 5"/>
    <w:basedOn w:val="Normal"/>
    <w:next w:val="Normal"/>
    <w:autoRedefine/>
    <w:semiHidden/>
    <w:rsid w:val="007E09DA"/>
    <w:pPr>
      <w:spacing w:before="120" w:after="120"/>
      <w:ind w:left="880"/>
    </w:pPr>
  </w:style>
  <w:style w:type="paragraph" w:styleId="TOC6">
    <w:name w:val="toc 6"/>
    <w:basedOn w:val="Normal"/>
    <w:next w:val="Normal"/>
    <w:autoRedefine/>
    <w:semiHidden/>
    <w:rsid w:val="007E09DA"/>
    <w:pPr>
      <w:spacing w:before="120" w:after="120"/>
      <w:ind w:left="1100"/>
    </w:pPr>
  </w:style>
  <w:style w:type="paragraph" w:styleId="TOC7">
    <w:name w:val="toc 7"/>
    <w:basedOn w:val="Normal"/>
    <w:next w:val="Normal"/>
    <w:autoRedefine/>
    <w:semiHidden/>
    <w:rsid w:val="007E09DA"/>
    <w:pPr>
      <w:spacing w:before="120" w:after="120"/>
      <w:ind w:left="1320"/>
    </w:pPr>
  </w:style>
  <w:style w:type="paragraph" w:styleId="TOC8">
    <w:name w:val="toc 8"/>
    <w:basedOn w:val="Normal"/>
    <w:next w:val="Normal"/>
    <w:autoRedefine/>
    <w:semiHidden/>
    <w:rsid w:val="007E09DA"/>
    <w:pPr>
      <w:spacing w:before="120" w:after="120"/>
      <w:ind w:left="1540"/>
    </w:pPr>
  </w:style>
  <w:style w:type="paragraph" w:styleId="TOC9">
    <w:name w:val="toc 9"/>
    <w:basedOn w:val="Normal"/>
    <w:next w:val="Normal"/>
    <w:autoRedefine/>
    <w:semiHidden/>
    <w:rsid w:val="007E09DA"/>
    <w:pPr>
      <w:spacing w:before="120" w:after="120"/>
      <w:ind w:left="1760"/>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rPr>
  </w:style>
  <w:style w:type="paragraph" w:customStyle="1" w:styleId="CBD-Doc">
    <w:name w:val="CBD-Doc"/>
    <w:basedOn w:val="Normal"/>
    <w:rsid w:val="00172AF6"/>
    <w:pPr>
      <w:keepLines/>
      <w:numPr>
        <w:numId w:val="5"/>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Default">
    <w:name w:val="Default"/>
    <w:rsid w:val="00E55820"/>
    <w:pPr>
      <w:widowControl w:val="0"/>
      <w:autoSpaceDE w:val="0"/>
      <w:autoSpaceDN w:val="0"/>
      <w:adjustRightInd w:val="0"/>
    </w:pPr>
    <w:rPr>
      <w:rFonts w:ascii="Times New Roman" w:hAnsi="Times New Roman" w:cs="Times New Roman"/>
      <w:color w:val="000000"/>
      <w:lang w:val="en-U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731B8F"/>
    <w:pPr>
      <w:spacing w:after="160" w:line="240" w:lineRule="exac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491FC2"/>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491FC2"/>
    <w:rPr>
      <w:rFonts w:ascii="Times New Roman" w:eastAsia="Times New Roman" w:hAnsi="Times New Roman" w:cs="Times New Roman"/>
      <w:b/>
      <w:bCs/>
      <w:sz w:val="20"/>
      <w:szCs w:val="20"/>
      <w:lang w:val="en-GB"/>
    </w:rPr>
  </w:style>
  <w:style w:type="paragraph" w:styleId="Revision">
    <w:name w:val="Revision"/>
    <w:hidden/>
    <w:uiPriority w:val="99"/>
    <w:semiHidden/>
    <w:rsid w:val="00C85592"/>
    <w:rPr>
      <w:rFonts w:ascii="Times New Roman" w:eastAsia="Times New Roman" w:hAnsi="Times New Roman" w:cs="Times New Roman"/>
      <w:sz w:val="22"/>
      <w:lang w:val="en-GB"/>
    </w:rPr>
  </w:style>
  <w:style w:type="paragraph" w:styleId="NormalWeb">
    <w:name w:val="Normal (Web)"/>
    <w:basedOn w:val="Normal"/>
    <w:uiPriority w:val="99"/>
    <w:semiHidden/>
    <w:unhideWhenUsed/>
    <w:rsid w:val="00B36519"/>
    <w:pPr>
      <w:spacing w:before="100" w:beforeAutospacing="1" w:after="100" w:afterAutospacing="1"/>
    </w:pPr>
  </w:style>
  <w:style w:type="character" w:customStyle="1" w:styleId="UnresolvedMention1">
    <w:name w:val="Unresolved Mention1"/>
    <w:basedOn w:val="DefaultParagraphFont"/>
    <w:uiPriority w:val="99"/>
    <w:semiHidden/>
    <w:unhideWhenUsed/>
    <w:rsid w:val="00F81901"/>
    <w:rPr>
      <w:color w:val="605E5C"/>
      <w:shd w:val="clear" w:color="auto" w:fill="E1DFDD"/>
    </w:rPr>
  </w:style>
  <w:style w:type="character" w:styleId="UnresolvedMention">
    <w:name w:val="Unresolved Mention"/>
    <w:basedOn w:val="DefaultParagraphFont"/>
    <w:uiPriority w:val="99"/>
    <w:semiHidden/>
    <w:unhideWhenUsed/>
    <w:rsid w:val="00C67FE8"/>
    <w:rPr>
      <w:color w:val="605E5C"/>
      <w:shd w:val="clear" w:color="auto" w:fill="E1DFDD"/>
    </w:rPr>
  </w:style>
  <w:style w:type="paragraph" w:customStyle="1" w:styleId="CharChar">
    <w:name w:val="Char Char"/>
    <w:basedOn w:val="Normal"/>
    <w:rsid w:val="00F544FD"/>
    <w:pPr>
      <w:widowControl w:val="0"/>
      <w:adjustRightInd w:val="0"/>
      <w:spacing w:line="360" w:lineRule="atLeast"/>
      <w:jc w:val="both"/>
      <w:textAlignment w:val="baseline"/>
    </w:pPr>
    <w:rPr>
      <w:rFonts w:ascii="Arial" w:eastAsia="Batang" w:hAnsi="Arial" w:cs="Arial"/>
      <w:sz w:val="22"/>
      <w:szCs w:val="20"/>
      <w:lang w:val="pl-PL" w:eastAsia="pl-PL"/>
    </w:rPr>
  </w:style>
  <w:style w:type="paragraph" w:customStyle="1" w:styleId="CharChar0">
    <w:name w:val="Char Char"/>
    <w:basedOn w:val="Normal"/>
    <w:rsid w:val="008C5D86"/>
    <w:pPr>
      <w:widowControl w:val="0"/>
      <w:adjustRightInd w:val="0"/>
      <w:spacing w:line="360" w:lineRule="atLeast"/>
      <w:jc w:val="both"/>
      <w:textAlignment w:val="baseline"/>
    </w:pPr>
    <w:rPr>
      <w:rFonts w:ascii="Arial" w:eastAsia="Batang" w:hAnsi="Arial" w:cs="Arial"/>
      <w:sz w:val="22"/>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9911">
      <w:bodyDiv w:val="1"/>
      <w:marLeft w:val="0"/>
      <w:marRight w:val="0"/>
      <w:marTop w:val="0"/>
      <w:marBottom w:val="0"/>
      <w:divBdr>
        <w:top w:val="none" w:sz="0" w:space="0" w:color="auto"/>
        <w:left w:val="none" w:sz="0" w:space="0" w:color="auto"/>
        <w:bottom w:val="none" w:sz="0" w:space="0" w:color="auto"/>
        <w:right w:val="none" w:sz="0" w:space="0" w:color="auto"/>
      </w:divBdr>
    </w:div>
    <w:div w:id="358091941">
      <w:bodyDiv w:val="1"/>
      <w:marLeft w:val="0"/>
      <w:marRight w:val="0"/>
      <w:marTop w:val="0"/>
      <w:marBottom w:val="0"/>
      <w:divBdr>
        <w:top w:val="none" w:sz="0" w:space="0" w:color="auto"/>
        <w:left w:val="none" w:sz="0" w:space="0" w:color="auto"/>
        <w:bottom w:val="none" w:sz="0" w:space="0" w:color="auto"/>
        <w:right w:val="none" w:sz="0" w:space="0" w:color="auto"/>
      </w:divBdr>
    </w:div>
    <w:div w:id="506017387">
      <w:bodyDiv w:val="1"/>
      <w:marLeft w:val="0"/>
      <w:marRight w:val="0"/>
      <w:marTop w:val="0"/>
      <w:marBottom w:val="0"/>
      <w:divBdr>
        <w:top w:val="none" w:sz="0" w:space="0" w:color="auto"/>
        <w:left w:val="none" w:sz="0" w:space="0" w:color="auto"/>
        <w:bottom w:val="none" w:sz="0" w:space="0" w:color="auto"/>
        <w:right w:val="none" w:sz="0" w:space="0" w:color="auto"/>
      </w:divBdr>
    </w:div>
    <w:div w:id="593518038">
      <w:bodyDiv w:val="1"/>
      <w:marLeft w:val="0"/>
      <w:marRight w:val="0"/>
      <w:marTop w:val="0"/>
      <w:marBottom w:val="0"/>
      <w:divBdr>
        <w:top w:val="none" w:sz="0" w:space="0" w:color="auto"/>
        <w:left w:val="none" w:sz="0" w:space="0" w:color="auto"/>
        <w:bottom w:val="none" w:sz="0" w:space="0" w:color="auto"/>
        <w:right w:val="none" w:sz="0" w:space="0" w:color="auto"/>
      </w:divBdr>
    </w:div>
    <w:div w:id="594443600">
      <w:bodyDiv w:val="1"/>
      <w:marLeft w:val="0"/>
      <w:marRight w:val="0"/>
      <w:marTop w:val="0"/>
      <w:marBottom w:val="0"/>
      <w:divBdr>
        <w:top w:val="none" w:sz="0" w:space="0" w:color="auto"/>
        <w:left w:val="none" w:sz="0" w:space="0" w:color="auto"/>
        <w:bottom w:val="none" w:sz="0" w:space="0" w:color="auto"/>
        <w:right w:val="none" w:sz="0" w:space="0" w:color="auto"/>
      </w:divBdr>
    </w:div>
    <w:div w:id="714694106">
      <w:bodyDiv w:val="1"/>
      <w:marLeft w:val="0"/>
      <w:marRight w:val="0"/>
      <w:marTop w:val="0"/>
      <w:marBottom w:val="0"/>
      <w:divBdr>
        <w:top w:val="none" w:sz="0" w:space="0" w:color="auto"/>
        <w:left w:val="none" w:sz="0" w:space="0" w:color="auto"/>
        <w:bottom w:val="none" w:sz="0" w:space="0" w:color="auto"/>
        <w:right w:val="none" w:sz="0" w:space="0" w:color="auto"/>
      </w:divBdr>
    </w:div>
    <w:div w:id="770705806">
      <w:bodyDiv w:val="1"/>
      <w:marLeft w:val="0"/>
      <w:marRight w:val="0"/>
      <w:marTop w:val="0"/>
      <w:marBottom w:val="0"/>
      <w:divBdr>
        <w:top w:val="none" w:sz="0" w:space="0" w:color="auto"/>
        <w:left w:val="none" w:sz="0" w:space="0" w:color="auto"/>
        <w:bottom w:val="none" w:sz="0" w:space="0" w:color="auto"/>
        <w:right w:val="none" w:sz="0" w:space="0" w:color="auto"/>
      </w:divBdr>
    </w:div>
    <w:div w:id="892808689">
      <w:bodyDiv w:val="1"/>
      <w:marLeft w:val="0"/>
      <w:marRight w:val="0"/>
      <w:marTop w:val="0"/>
      <w:marBottom w:val="0"/>
      <w:divBdr>
        <w:top w:val="none" w:sz="0" w:space="0" w:color="auto"/>
        <w:left w:val="none" w:sz="0" w:space="0" w:color="auto"/>
        <w:bottom w:val="none" w:sz="0" w:space="0" w:color="auto"/>
        <w:right w:val="none" w:sz="0" w:space="0" w:color="auto"/>
      </w:divBdr>
    </w:div>
    <w:div w:id="1039431483">
      <w:bodyDiv w:val="1"/>
      <w:marLeft w:val="0"/>
      <w:marRight w:val="0"/>
      <w:marTop w:val="0"/>
      <w:marBottom w:val="0"/>
      <w:divBdr>
        <w:top w:val="none" w:sz="0" w:space="0" w:color="auto"/>
        <w:left w:val="none" w:sz="0" w:space="0" w:color="auto"/>
        <w:bottom w:val="none" w:sz="0" w:space="0" w:color="auto"/>
        <w:right w:val="none" w:sz="0" w:space="0" w:color="auto"/>
      </w:divBdr>
    </w:div>
    <w:div w:id="1105268107">
      <w:bodyDiv w:val="1"/>
      <w:marLeft w:val="0"/>
      <w:marRight w:val="0"/>
      <w:marTop w:val="0"/>
      <w:marBottom w:val="0"/>
      <w:divBdr>
        <w:top w:val="none" w:sz="0" w:space="0" w:color="auto"/>
        <w:left w:val="none" w:sz="0" w:space="0" w:color="auto"/>
        <w:bottom w:val="none" w:sz="0" w:space="0" w:color="auto"/>
        <w:right w:val="none" w:sz="0" w:space="0" w:color="auto"/>
      </w:divBdr>
    </w:div>
    <w:div w:id="1342471066">
      <w:bodyDiv w:val="1"/>
      <w:marLeft w:val="0"/>
      <w:marRight w:val="0"/>
      <w:marTop w:val="0"/>
      <w:marBottom w:val="0"/>
      <w:divBdr>
        <w:top w:val="none" w:sz="0" w:space="0" w:color="auto"/>
        <w:left w:val="none" w:sz="0" w:space="0" w:color="auto"/>
        <w:bottom w:val="none" w:sz="0" w:space="0" w:color="auto"/>
        <w:right w:val="none" w:sz="0" w:space="0" w:color="auto"/>
      </w:divBdr>
    </w:div>
    <w:div w:id="1357271386">
      <w:bodyDiv w:val="1"/>
      <w:marLeft w:val="0"/>
      <w:marRight w:val="0"/>
      <w:marTop w:val="0"/>
      <w:marBottom w:val="0"/>
      <w:divBdr>
        <w:top w:val="none" w:sz="0" w:space="0" w:color="auto"/>
        <w:left w:val="none" w:sz="0" w:space="0" w:color="auto"/>
        <w:bottom w:val="none" w:sz="0" w:space="0" w:color="auto"/>
        <w:right w:val="none" w:sz="0" w:space="0" w:color="auto"/>
      </w:divBdr>
    </w:div>
    <w:div w:id="1472402699">
      <w:bodyDiv w:val="1"/>
      <w:marLeft w:val="0"/>
      <w:marRight w:val="0"/>
      <w:marTop w:val="0"/>
      <w:marBottom w:val="0"/>
      <w:divBdr>
        <w:top w:val="none" w:sz="0" w:space="0" w:color="auto"/>
        <w:left w:val="none" w:sz="0" w:space="0" w:color="auto"/>
        <w:bottom w:val="none" w:sz="0" w:space="0" w:color="auto"/>
        <w:right w:val="none" w:sz="0" w:space="0" w:color="auto"/>
      </w:divBdr>
      <w:divsChild>
        <w:div w:id="1646736413">
          <w:marLeft w:val="0"/>
          <w:marRight w:val="0"/>
          <w:marTop w:val="0"/>
          <w:marBottom w:val="0"/>
          <w:divBdr>
            <w:top w:val="none" w:sz="0" w:space="0" w:color="auto"/>
            <w:left w:val="none" w:sz="0" w:space="0" w:color="auto"/>
            <w:bottom w:val="none" w:sz="0" w:space="0" w:color="auto"/>
            <w:right w:val="none" w:sz="0" w:space="0" w:color="auto"/>
          </w:divBdr>
          <w:divsChild>
            <w:div w:id="2131246070">
              <w:marLeft w:val="0"/>
              <w:marRight w:val="0"/>
              <w:marTop w:val="0"/>
              <w:marBottom w:val="0"/>
              <w:divBdr>
                <w:top w:val="none" w:sz="0" w:space="0" w:color="auto"/>
                <w:left w:val="none" w:sz="0" w:space="0" w:color="auto"/>
                <w:bottom w:val="none" w:sz="0" w:space="0" w:color="auto"/>
                <w:right w:val="none" w:sz="0" w:space="0" w:color="auto"/>
              </w:divBdr>
              <w:divsChild>
                <w:div w:id="474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10731">
      <w:bodyDiv w:val="1"/>
      <w:marLeft w:val="0"/>
      <w:marRight w:val="0"/>
      <w:marTop w:val="0"/>
      <w:marBottom w:val="0"/>
      <w:divBdr>
        <w:top w:val="none" w:sz="0" w:space="0" w:color="auto"/>
        <w:left w:val="none" w:sz="0" w:space="0" w:color="auto"/>
        <w:bottom w:val="none" w:sz="0" w:space="0" w:color="auto"/>
        <w:right w:val="none" w:sz="0" w:space="0" w:color="auto"/>
      </w:divBdr>
    </w:div>
    <w:div w:id="1661231680">
      <w:bodyDiv w:val="1"/>
      <w:marLeft w:val="0"/>
      <w:marRight w:val="0"/>
      <w:marTop w:val="0"/>
      <w:marBottom w:val="0"/>
      <w:divBdr>
        <w:top w:val="none" w:sz="0" w:space="0" w:color="auto"/>
        <w:left w:val="none" w:sz="0" w:space="0" w:color="auto"/>
        <w:bottom w:val="none" w:sz="0" w:space="0" w:color="auto"/>
        <w:right w:val="none" w:sz="0" w:space="0" w:color="auto"/>
      </w:divBdr>
    </w:div>
    <w:div w:id="1686636356">
      <w:bodyDiv w:val="1"/>
      <w:marLeft w:val="0"/>
      <w:marRight w:val="0"/>
      <w:marTop w:val="0"/>
      <w:marBottom w:val="0"/>
      <w:divBdr>
        <w:top w:val="none" w:sz="0" w:space="0" w:color="auto"/>
        <w:left w:val="none" w:sz="0" w:space="0" w:color="auto"/>
        <w:bottom w:val="none" w:sz="0" w:space="0" w:color="auto"/>
        <w:right w:val="none" w:sz="0" w:space="0" w:color="auto"/>
      </w:divBdr>
    </w:div>
    <w:div w:id="1697611485">
      <w:bodyDiv w:val="1"/>
      <w:marLeft w:val="0"/>
      <w:marRight w:val="0"/>
      <w:marTop w:val="0"/>
      <w:marBottom w:val="0"/>
      <w:divBdr>
        <w:top w:val="none" w:sz="0" w:space="0" w:color="auto"/>
        <w:left w:val="none" w:sz="0" w:space="0" w:color="auto"/>
        <w:bottom w:val="none" w:sz="0" w:space="0" w:color="auto"/>
        <w:right w:val="none" w:sz="0" w:space="0" w:color="auto"/>
      </w:divBdr>
    </w:div>
    <w:div w:id="1836143876">
      <w:bodyDiv w:val="1"/>
      <w:marLeft w:val="0"/>
      <w:marRight w:val="0"/>
      <w:marTop w:val="0"/>
      <w:marBottom w:val="0"/>
      <w:divBdr>
        <w:top w:val="none" w:sz="0" w:space="0" w:color="auto"/>
        <w:left w:val="none" w:sz="0" w:space="0" w:color="auto"/>
        <w:bottom w:val="none" w:sz="0" w:space="0" w:color="auto"/>
        <w:right w:val="none" w:sz="0" w:space="0" w:color="auto"/>
      </w:divBdr>
    </w:div>
    <w:div w:id="2083326714">
      <w:bodyDiv w:val="1"/>
      <w:marLeft w:val="0"/>
      <w:marRight w:val="0"/>
      <w:marTop w:val="0"/>
      <w:marBottom w:val="0"/>
      <w:divBdr>
        <w:top w:val="none" w:sz="0" w:space="0" w:color="auto"/>
        <w:left w:val="none" w:sz="0" w:space="0" w:color="auto"/>
        <w:bottom w:val="none" w:sz="0" w:space="0" w:color="auto"/>
        <w:right w:val="none" w:sz="0" w:space="0" w:color="auto"/>
      </w:divBdr>
    </w:div>
    <w:div w:id="2094545805">
      <w:bodyDiv w:val="1"/>
      <w:marLeft w:val="0"/>
      <w:marRight w:val="0"/>
      <w:marTop w:val="0"/>
      <w:marBottom w:val="0"/>
      <w:divBdr>
        <w:top w:val="none" w:sz="0" w:space="0" w:color="auto"/>
        <w:left w:val="none" w:sz="0" w:space="0" w:color="auto"/>
        <w:bottom w:val="none" w:sz="0" w:space="0" w:color="auto"/>
        <w:right w:val="none" w:sz="0" w:space="0" w:color="auto"/>
      </w:divBdr>
      <w:divsChild>
        <w:div w:id="43719715">
          <w:marLeft w:val="0"/>
          <w:marRight w:val="0"/>
          <w:marTop w:val="0"/>
          <w:marBottom w:val="0"/>
          <w:divBdr>
            <w:top w:val="none" w:sz="0" w:space="0" w:color="auto"/>
            <w:left w:val="none" w:sz="0" w:space="0" w:color="auto"/>
            <w:bottom w:val="none" w:sz="0" w:space="0" w:color="auto"/>
            <w:right w:val="none" w:sz="0" w:space="0" w:color="auto"/>
          </w:divBdr>
          <w:divsChild>
            <w:div w:id="2068338230">
              <w:marLeft w:val="0"/>
              <w:marRight w:val="0"/>
              <w:marTop w:val="0"/>
              <w:marBottom w:val="0"/>
              <w:divBdr>
                <w:top w:val="none" w:sz="0" w:space="0" w:color="auto"/>
                <w:left w:val="none" w:sz="0" w:space="0" w:color="auto"/>
                <w:bottom w:val="none" w:sz="0" w:space="0" w:color="auto"/>
                <w:right w:val="none" w:sz="0" w:space="0" w:color="auto"/>
              </w:divBdr>
              <w:divsChild>
                <w:div w:id="20992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4/cop-14-dec-34-fr.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54BABDD2F10447DDAE1ADFD898A6C998"/>
        <w:category>
          <w:name w:val="General"/>
          <w:gallery w:val="placeholder"/>
        </w:category>
        <w:types>
          <w:type w:val="bbPlcHdr"/>
        </w:types>
        <w:behaviors>
          <w:behavior w:val="content"/>
        </w:behaviors>
        <w:guid w:val="{55B1E972-6018-443A-9DA9-9D43FF42249C}"/>
      </w:docPartPr>
      <w:docPartBody>
        <w:p w:rsidR="001B514D" w:rsidRDefault="0060421A" w:rsidP="0060421A">
          <w:pPr>
            <w:pStyle w:val="54BABDD2F10447DDAE1ADFD898A6C998"/>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038AC"/>
    <w:rsid w:val="001602EB"/>
    <w:rsid w:val="00174C30"/>
    <w:rsid w:val="001A49C4"/>
    <w:rsid w:val="001B514D"/>
    <w:rsid w:val="001E0EFB"/>
    <w:rsid w:val="001F4427"/>
    <w:rsid w:val="002856AB"/>
    <w:rsid w:val="002D2046"/>
    <w:rsid w:val="002D30FD"/>
    <w:rsid w:val="00365867"/>
    <w:rsid w:val="0037523D"/>
    <w:rsid w:val="00394CF1"/>
    <w:rsid w:val="003A2E9B"/>
    <w:rsid w:val="003F512C"/>
    <w:rsid w:val="004327EC"/>
    <w:rsid w:val="004C3546"/>
    <w:rsid w:val="004D0DD3"/>
    <w:rsid w:val="004E77CB"/>
    <w:rsid w:val="00500A2B"/>
    <w:rsid w:val="00501016"/>
    <w:rsid w:val="00503796"/>
    <w:rsid w:val="005305C6"/>
    <w:rsid w:val="00562A2A"/>
    <w:rsid w:val="00564D11"/>
    <w:rsid w:val="00571360"/>
    <w:rsid w:val="0058288D"/>
    <w:rsid w:val="005876EC"/>
    <w:rsid w:val="0059667E"/>
    <w:rsid w:val="0060421A"/>
    <w:rsid w:val="006801B3"/>
    <w:rsid w:val="006C012F"/>
    <w:rsid w:val="00721BDE"/>
    <w:rsid w:val="007F06E5"/>
    <w:rsid w:val="007F0B5A"/>
    <w:rsid w:val="00810A55"/>
    <w:rsid w:val="0082301A"/>
    <w:rsid w:val="00862E8E"/>
    <w:rsid w:val="008C6619"/>
    <w:rsid w:val="008D420E"/>
    <w:rsid w:val="0090610C"/>
    <w:rsid w:val="009278D3"/>
    <w:rsid w:val="0094243A"/>
    <w:rsid w:val="0094500B"/>
    <w:rsid w:val="0098642F"/>
    <w:rsid w:val="00A62E6F"/>
    <w:rsid w:val="00A649BE"/>
    <w:rsid w:val="00A7441D"/>
    <w:rsid w:val="00A832F3"/>
    <w:rsid w:val="00B21BBF"/>
    <w:rsid w:val="00B359F3"/>
    <w:rsid w:val="00B37122"/>
    <w:rsid w:val="00B74F8E"/>
    <w:rsid w:val="00B83653"/>
    <w:rsid w:val="00BD6ED0"/>
    <w:rsid w:val="00C541E7"/>
    <w:rsid w:val="00C570EB"/>
    <w:rsid w:val="00C57F31"/>
    <w:rsid w:val="00CE1753"/>
    <w:rsid w:val="00D11792"/>
    <w:rsid w:val="00D5096B"/>
    <w:rsid w:val="00D75D33"/>
    <w:rsid w:val="00DD1879"/>
    <w:rsid w:val="00DD60D8"/>
    <w:rsid w:val="00EB135E"/>
    <w:rsid w:val="00EB78A5"/>
    <w:rsid w:val="00F47FF0"/>
    <w:rsid w:val="00F75555"/>
    <w:rsid w:val="00F777AC"/>
    <w:rsid w:val="00FD0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360"/>
    <w:rPr>
      <w:color w:val="808080"/>
    </w:rPr>
  </w:style>
  <w:style w:type="paragraph" w:customStyle="1" w:styleId="EC3E484C6694403F9A7B9A6E6A67AFFE">
    <w:name w:val="EC3E484C6694403F9A7B9A6E6A67AFFE"/>
    <w:rsid w:val="007F06E5"/>
    <w:rPr>
      <w:lang w:val="en-CA" w:eastAsia="en-CA"/>
    </w:rPr>
  </w:style>
  <w:style w:type="paragraph" w:customStyle="1" w:styleId="0E0F85B0D9254DF0B8670C64DC78756D">
    <w:name w:val="0E0F85B0D9254DF0B8670C64DC78756D"/>
    <w:rsid w:val="00B37122"/>
    <w:rPr>
      <w:lang w:val="en-CA" w:eastAsia="en-CA"/>
    </w:rPr>
  </w:style>
  <w:style w:type="paragraph" w:customStyle="1" w:styleId="E3599109194E4E5CB3ACEFF73759D9AD">
    <w:name w:val="E3599109194E4E5CB3ACEFF73759D9AD"/>
    <w:rsid w:val="0060421A"/>
    <w:pPr>
      <w:spacing w:after="160" w:line="259" w:lineRule="auto"/>
    </w:pPr>
    <w:rPr>
      <w:lang w:val="en-GB" w:eastAsia="en-GB"/>
    </w:rPr>
  </w:style>
  <w:style w:type="paragraph" w:customStyle="1" w:styleId="54BABDD2F10447DDAE1ADFD898A6C998">
    <w:name w:val="54BABDD2F10447DDAE1ADFD898A6C998"/>
    <w:rsid w:val="0060421A"/>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2" ma:contentTypeDescription="Create a new document." ma:contentTypeScope="" ma:versionID="373b63a2817b8bb51c10b7943bf7fe3e">
  <xsd:schema xmlns:xsd="http://www.w3.org/2001/XMLSchema" xmlns:xs="http://www.w3.org/2001/XMLSchema" xmlns:p="http://schemas.microsoft.com/office/2006/metadata/properties" xmlns:ns2="358298e0-1b7e-4ebe-8695-94439b74f0d1" targetNamespace="http://schemas.microsoft.com/office/2006/metadata/properties" ma:root="true" ma:fieldsID="931dbb0efa7dcf58496b07d136087537" ns2:_="">
    <xsd:import namespace="358298e0-1b7e-4ebe-8695-94439b74f0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65AE2F-CEC3-4180-BDCA-9FC28028EF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E90F50-BA98-451D-829A-D493C62D6EB7}">
  <ds:schemaRefs>
    <ds:schemaRef ds:uri="http://schemas.microsoft.com/sharepoint/v3/contenttype/forms"/>
  </ds:schemaRefs>
</ds:datastoreItem>
</file>

<file path=customXml/itemProps4.xml><?xml version="1.0" encoding="utf-8"?>
<ds:datastoreItem xmlns:ds="http://schemas.openxmlformats.org/officeDocument/2006/customXml" ds:itemID="{47327CD5-0159-4F4A-9B5F-3D97DB369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436405-2E1D-4293-AA07-157C7797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7079</Words>
  <Characters>40355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OBSERVATIONS SUR DES ÉLÉMENTS  ÉVENTUELS DU CADRE MONDIAL DE LA BIODIVERSITÉ POUR L'APRÈS-2020</vt:lpstr>
    </vt:vector>
  </TitlesOfParts>
  <Company>SCBD</Company>
  <LinksUpToDate>false</LinksUpToDate>
  <CharactersWithSpaces>47340</CharactersWithSpaces>
  <SharedDoc>false</SharedDoc>
  <HLinks>
    <vt:vector size="12" baseType="variant">
      <vt:variant>
        <vt:i4>720969</vt:i4>
      </vt:variant>
      <vt:variant>
        <vt:i4>0</vt:i4>
      </vt:variant>
      <vt:variant>
        <vt:i4>0</vt:i4>
      </vt:variant>
      <vt:variant>
        <vt:i4>5</vt:i4>
      </vt:variant>
      <vt:variant>
        <vt:lpwstr>https://www.cbd.int/doc/decisions/cop-14/cop-14-dec-34-en.pdf</vt:lpwstr>
      </vt:variant>
      <vt:variant>
        <vt:lpwstr/>
      </vt:variant>
      <vt:variant>
        <vt:i4>1441799</vt:i4>
      </vt:variant>
      <vt:variant>
        <vt:i4>0</vt:i4>
      </vt:variant>
      <vt:variant>
        <vt:i4>0</vt:i4>
      </vt:variant>
      <vt:variant>
        <vt:i4>5</vt:i4>
      </vt:variant>
      <vt:variant>
        <vt:lpwstr>https://www.cbd.int/conferences/post2020/submissions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 SUR DES ÉLÉMENTS  ÉVENTUELS DU CADRE MONDIAL DE LA BIODIVERSITÉ POUR L'APRÈS-2020</dc:title>
  <dc:subject>CBD/SBSTTA/23/2/Add.4</dc:subject>
  <dc:creator>SCBD</dc:creator>
  <cp:keywords>Subsidiary Body on Scientific, Technical and Technological Advice, twenty-third meeting, Montreal, Canada, 25-29 November 2019, Convention on Biological Diversity, informing the scientific and technical evidence base for the post-2020 global biodiversity framework</cp:keywords>
  <cp:lastModifiedBy>Tatiana Zavarzina</cp:lastModifiedBy>
  <cp:revision>66</cp:revision>
  <cp:lastPrinted>2019-10-19T07:52:00Z</cp:lastPrinted>
  <dcterms:created xsi:type="dcterms:W3CDTF">2019-10-19T07:57:00Z</dcterms:created>
  <dcterms:modified xsi:type="dcterms:W3CDTF">2019-10-28T15:40:00Z</dcterms:modified>
  <cp:contentStatus>ENERA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