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DF1117" w14:paraId="0912591C" w14:textId="77777777" w:rsidTr="00CF1848">
        <w:trPr>
          <w:trHeight w:val="709"/>
        </w:trPr>
        <w:tc>
          <w:tcPr>
            <w:tcW w:w="976" w:type="dxa"/>
            <w:tcBorders>
              <w:bottom w:val="single" w:sz="12" w:space="0" w:color="auto"/>
            </w:tcBorders>
          </w:tcPr>
          <w:p w14:paraId="4C840F66" w14:textId="77777777" w:rsidR="00C9161D" w:rsidRPr="002E77A8" w:rsidRDefault="00C9161D" w:rsidP="00060510">
            <w:pPr>
              <w:suppressLineNumbers/>
              <w:suppressAutoHyphens/>
              <w:kinsoku w:val="0"/>
              <w:overflowPunct w:val="0"/>
              <w:autoSpaceDE w:val="0"/>
              <w:autoSpaceDN w:val="0"/>
              <w:adjustRightInd w:val="0"/>
              <w:snapToGrid w:val="0"/>
              <w:rPr>
                <w:snapToGrid w:val="0"/>
                <w:kern w:val="22"/>
              </w:rPr>
            </w:pPr>
            <w:bookmarkStart w:id="0" w:name="_GoBack"/>
            <w:bookmarkEnd w:id="0"/>
            <w:r w:rsidRPr="00A9173F">
              <w:rPr>
                <w:noProof/>
                <w:snapToGrid w:val="0"/>
                <w:kern w:val="22"/>
                <w:lang w:eastAsia="zh-CN"/>
              </w:rPr>
              <w:drawing>
                <wp:inline distT="0" distB="0" distL="0" distR="0" wp14:anchorId="75547BCE" wp14:editId="451E753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14FA34F" w14:textId="77777777" w:rsidR="00C9161D" w:rsidRPr="00C744AF" w:rsidRDefault="00C9161D" w:rsidP="00060510">
            <w:pPr>
              <w:suppressLineNumbers/>
              <w:suppressAutoHyphens/>
              <w:kinsoku w:val="0"/>
              <w:overflowPunct w:val="0"/>
              <w:autoSpaceDE w:val="0"/>
              <w:autoSpaceDN w:val="0"/>
              <w:adjustRightInd w:val="0"/>
              <w:snapToGrid w:val="0"/>
              <w:rPr>
                <w:snapToGrid w:val="0"/>
                <w:kern w:val="22"/>
              </w:rPr>
            </w:pPr>
            <w:r w:rsidRPr="00C744AF">
              <w:rPr>
                <w:noProof/>
                <w:snapToGrid w:val="0"/>
                <w:kern w:val="22"/>
                <w:lang w:eastAsia="zh-CN"/>
              </w:rPr>
              <w:drawing>
                <wp:inline distT="0" distB="0" distL="0" distR="0" wp14:anchorId="3C84890A" wp14:editId="438A2358">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738CCB6" w14:textId="77777777" w:rsidR="00C9161D" w:rsidRPr="00650A94" w:rsidRDefault="00C9161D" w:rsidP="00060510">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C87937">
              <w:rPr>
                <w:rFonts w:ascii="Arial" w:hAnsi="Arial" w:cs="Arial"/>
                <w:b/>
                <w:snapToGrid w:val="0"/>
                <w:kern w:val="22"/>
                <w:sz w:val="32"/>
                <w:szCs w:val="32"/>
              </w:rPr>
              <w:t>CBD</w:t>
            </w:r>
          </w:p>
        </w:tc>
      </w:tr>
      <w:tr w:rsidR="00C9161D" w:rsidRPr="00DF1117" w14:paraId="728521BA" w14:textId="77777777" w:rsidTr="00CF1848">
        <w:tc>
          <w:tcPr>
            <w:tcW w:w="6117" w:type="dxa"/>
            <w:gridSpan w:val="2"/>
            <w:tcBorders>
              <w:top w:val="single" w:sz="12" w:space="0" w:color="auto"/>
              <w:bottom w:val="single" w:sz="36" w:space="0" w:color="auto"/>
            </w:tcBorders>
            <w:vAlign w:val="center"/>
          </w:tcPr>
          <w:p w14:paraId="1FF130D6" w14:textId="77777777" w:rsidR="00C9161D" w:rsidRPr="00DF1117" w:rsidRDefault="00C9161D" w:rsidP="00060510">
            <w:pPr>
              <w:suppressLineNumbers/>
              <w:suppressAutoHyphens/>
              <w:kinsoku w:val="0"/>
              <w:overflowPunct w:val="0"/>
              <w:autoSpaceDE w:val="0"/>
              <w:autoSpaceDN w:val="0"/>
              <w:adjustRightInd w:val="0"/>
              <w:snapToGrid w:val="0"/>
              <w:rPr>
                <w:snapToGrid w:val="0"/>
                <w:kern w:val="22"/>
              </w:rPr>
            </w:pPr>
            <w:r w:rsidRPr="00DF1117">
              <w:rPr>
                <w:noProof/>
                <w:snapToGrid w:val="0"/>
                <w:kern w:val="22"/>
                <w:lang w:eastAsia="zh-CN"/>
              </w:rPr>
              <w:drawing>
                <wp:inline distT="0" distB="0" distL="0" distR="0" wp14:anchorId="257AB13A" wp14:editId="6EEDB1C5">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2EB34EC" w14:textId="77777777" w:rsidR="00C9161D" w:rsidRPr="00C744AF" w:rsidRDefault="00C9161D" w:rsidP="00060510">
            <w:pPr>
              <w:suppressLineNumbers/>
              <w:suppressAutoHyphens/>
              <w:kinsoku w:val="0"/>
              <w:overflowPunct w:val="0"/>
              <w:autoSpaceDE w:val="0"/>
              <w:autoSpaceDN w:val="0"/>
              <w:adjustRightInd w:val="0"/>
              <w:snapToGrid w:val="0"/>
              <w:ind w:left="1215"/>
              <w:rPr>
                <w:snapToGrid w:val="0"/>
                <w:kern w:val="22"/>
                <w:szCs w:val="22"/>
              </w:rPr>
            </w:pPr>
            <w:r w:rsidRPr="002E77A8">
              <w:rPr>
                <w:snapToGrid w:val="0"/>
                <w:kern w:val="22"/>
                <w:szCs w:val="22"/>
              </w:rPr>
              <w:t>Distr.</w:t>
            </w:r>
          </w:p>
          <w:p w14:paraId="1459F789" w14:textId="77777777" w:rsidR="00C9161D" w:rsidRPr="00DF1117" w:rsidRDefault="00BE5BDF" w:rsidP="00060510">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9F54B9">
                  <w:rPr>
                    <w:snapToGrid w:val="0"/>
                    <w:kern w:val="22"/>
                    <w:szCs w:val="22"/>
                  </w:rPr>
                  <w:t>GENERAL</w:t>
                </w:r>
              </w:sdtContent>
            </w:sdt>
          </w:p>
          <w:p w14:paraId="5A7A0648" w14:textId="77777777" w:rsidR="00C9161D" w:rsidRPr="002E77A8" w:rsidRDefault="00C9161D" w:rsidP="00060510">
            <w:pPr>
              <w:suppressLineNumbers/>
              <w:suppressAutoHyphens/>
              <w:kinsoku w:val="0"/>
              <w:overflowPunct w:val="0"/>
              <w:autoSpaceDE w:val="0"/>
              <w:autoSpaceDN w:val="0"/>
              <w:adjustRightInd w:val="0"/>
              <w:snapToGrid w:val="0"/>
              <w:ind w:left="1215"/>
              <w:rPr>
                <w:snapToGrid w:val="0"/>
                <w:kern w:val="22"/>
                <w:szCs w:val="22"/>
              </w:rPr>
            </w:pPr>
          </w:p>
          <w:p w14:paraId="164FDBE4" w14:textId="77777777" w:rsidR="00C9161D" w:rsidRPr="00DF1117" w:rsidRDefault="00BE5BDF" w:rsidP="00060510">
            <w:pPr>
              <w:suppressLineNumbers/>
              <w:suppressAutoHyphens/>
              <w:kinsoku w:val="0"/>
              <w:overflowPunct w:val="0"/>
              <w:autoSpaceDE w:val="0"/>
              <w:autoSpaceDN w:val="0"/>
              <w:adjustRightInd w:val="0"/>
              <w:snapToGrid w:val="0"/>
              <w:ind w:left="1215"/>
              <w:rPr>
                <w:snapToGrid w:val="0"/>
                <w:kern w:val="22"/>
                <w:szCs w:val="22"/>
              </w:rPr>
            </w:pPr>
            <w:sdt>
              <w:sdtPr>
                <w:rPr>
                  <w:rFonts w:eastAsia="MS Mincho"/>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A07C7D" w:rsidRPr="00DF1117">
                  <w:rPr>
                    <w:rFonts w:eastAsia="MS Mincho"/>
                    <w:snapToGrid w:val="0"/>
                    <w:kern w:val="22"/>
                    <w:szCs w:val="22"/>
                  </w:rPr>
                  <w:t>CBD/SBI/2/INF/31</w:t>
                </w:r>
              </w:sdtContent>
            </w:sdt>
          </w:p>
          <w:p w14:paraId="10B3643E" w14:textId="77777777" w:rsidR="00C9161D" w:rsidRPr="00DF1117" w:rsidRDefault="00BE5BDF" w:rsidP="00060510">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6-30T00:00:00Z">
                  <w:dateFormat w:val="d MMMM yyyy"/>
                  <w:lid w:val="en-US"/>
                  <w:storeMappedDataAs w:val="dateTime"/>
                  <w:calendar w:val="gregorian"/>
                </w:date>
              </w:sdtPr>
              <w:sdtEndPr/>
              <w:sdtContent>
                <w:r w:rsidR="003124A0" w:rsidRPr="00DF1117">
                  <w:rPr>
                    <w:snapToGrid w:val="0"/>
                    <w:kern w:val="22"/>
                    <w:szCs w:val="22"/>
                  </w:rPr>
                  <w:t>30</w:t>
                </w:r>
                <w:r w:rsidR="00FE641E" w:rsidRPr="00DF1117">
                  <w:rPr>
                    <w:snapToGrid w:val="0"/>
                    <w:kern w:val="22"/>
                    <w:szCs w:val="22"/>
                    <w:lang w:val="en-US"/>
                  </w:rPr>
                  <w:t xml:space="preserve"> June 2018</w:t>
                </w:r>
              </w:sdtContent>
            </w:sdt>
          </w:p>
          <w:p w14:paraId="4D194AA8" w14:textId="77777777" w:rsidR="00C9161D" w:rsidRPr="002E77A8" w:rsidRDefault="00C9161D" w:rsidP="00060510">
            <w:pPr>
              <w:suppressLineNumbers/>
              <w:suppressAutoHyphens/>
              <w:kinsoku w:val="0"/>
              <w:overflowPunct w:val="0"/>
              <w:autoSpaceDE w:val="0"/>
              <w:autoSpaceDN w:val="0"/>
              <w:adjustRightInd w:val="0"/>
              <w:snapToGrid w:val="0"/>
              <w:ind w:left="1215"/>
              <w:rPr>
                <w:snapToGrid w:val="0"/>
                <w:kern w:val="22"/>
                <w:szCs w:val="22"/>
              </w:rPr>
            </w:pPr>
          </w:p>
          <w:p w14:paraId="5E51E858" w14:textId="77777777" w:rsidR="00C9161D" w:rsidRPr="00C87937" w:rsidRDefault="00C9161D" w:rsidP="00060510">
            <w:pPr>
              <w:suppressLineNumbers/>
              <w:suppressAutoHyphens/>
              <w:kinsoku w:val="0"/>
              <w:overflowPunct w:val="0"/>
              <w:autoSpaceDE w:val="0"/>
              <w:autoSpaceDN w:val="0"/>
              <w:adjustRightInd w:val="0"/>
              <w:snapToGrid w:val="0"/>
              <w:ind w:left="1215"/>
              <w:rPr>
                <w:snapToGrid w:val="0"/>
                <w:kern w:val="22"/>
                <w:szCs w:val="22"/>
              </w:rPr>
            </w:pPr>
            <w:r w:rsidRPr="00C744AF">
              <w:rPr>
                <w:snapToGrid w:val="0"/>
                <w:kern w:val="22"/>
                <w:szCs w:val="22"/>
              </w:rPr>
              <w:t>ENGLISH</w:t>
            </w:r>
            <w:r w:rsidR="008E44C6" w:rsidRPr="00C744AF">
              <w:rPr>
                <w:snapToGrid w:val="0"/>
                <w:kern w:val="22"/>
                <w:szCs w:val="22"/>
              </w:rPr>
              <w:t xml:space="preserve"> ONLY</w:t>
            </w:r>
          </w:p>
          <w:p w14:paraId="074B6598" w14:textId="77777777" w:rsidR="00C9161D" w:rsidRPr="00650A94" w:rsidRDefault="00C9161D" w:rsidP="00060510">
            <w:pPr>
              <w:suppressLineNumbers/>
              <w:suppressAutoHyphens/>
              <w:kinsoku w:val="0"/>
              <w:overflowPunct w:val="0"/>
              <w:autoSpaceDE w:val="0"/>
              <w:autoSpaceDN w:val="0"/>
              <w:adjustRightInd w:val="0"/>
              <w:snapToGrid w:val="0"/>
              <w:rPr>
                <w:snapToGrid w:val="0"/>
                <w:kern w:val="22"/>
              </w:rPr>
            </w:pPr>
          </w:p>
        </w:tc>
      </w:tr>
    </w:tbl>
    <w:p w14:paraId="786BCE88" w14:textId="77777777" w:rsidR="00070D30" w:rsidRPr="002E77A8" w:rsidRDefault="00070D30" w:rsidP="008D31D6">
      <w:pPr>
        <w:suppressLineNumbers/>
        <w:suppressAutoHyphens/>
        <w:kinsoku w:val="0"/>
        <w:overflowPunct w:val="0"/>
        <w:autoSpaceDE w:val="0"/>
        <w:autoSpaceDN w:val="0"/>
        <w:adjustRightInd w:val="0"/>
        <w:snapToGrid w:val="0"/>
        <w:ind w:left="142" w:right="4398" w:hanging="142"/>
        <w:jc w:val="left"/>
        <w:rPr>
          <w:rFonts w:eastAsia="MS Mincho"/>
          <w:snapToGrid w:val="0"/>
          <w:kern w:val="22"/>
          <w:szCs w:val="22"/>
        </w:rPr>
      </w:pPr>
      <w:r w:rsidRPr="00DF1117">
        <w:rPr>
          <w:rFonts w:eastAsia="MS Mincho"/>
          <w:snapToGrid w:val="0"/>
          <w:kern w:val="22"/>
          <w:szCs w:val="22"/>
        </w:rPr>
        <w:t>SUBSIDIARY BODY ON IMPLEMENTATION</w:t>
      </w:r>
    </w:p>
    <w:p w14:paraId="5ADF423F" w14:textId="77777777" w:rsidR="00070D30" w:rsidRPr="00C744AF" w:rsidRDefault="00070D30" w:rsidP="008D31D6">
      <w:pPr>
        <w:suppressLineNumbers/>
        <w:tabs>
          <w:tab w:val="left" w:pos="5954"/>
        </w:tabs>
        <w:suppressAutoHyphens/>
        <w:kinsoku w:val="0"/>
        <w:overflowPunct w:val="0"/>
        <w:autoSpaceDE w:val="0"/>
        <w:autoSpaceDN w:val="0"/>
        <w:adjustRightInd w:val="0"/>
        <w:snapToGrid w:val="0"/>
        <w:ind w:left="142" w:right="3406" w:hanging="142"/>
        <w:jc w:val="left"/>
        <w:rPr>
          <w:rFonts w:eastAsia="MS Mincho"/>
          <w:snapToGrid w:val="0"/>
          <w:kern w:val="22"/>
          <w:szCs w:val="22"/>
        </w:rPr>
      </w:pPr>
      <w:r w:rsidRPr="00C744AF">
        <w:rPr>
          <w:rFonts w:eastAsia="MS Mincho"/>
          <w:snapToGrid w:val="0"/>
          <w:kern w:val="22"/>
          <w:szCs w:val="22"/>
        </w:rPr>
        <w:t>Second meeting</w:t>
      </w:r>
    </w:p>
    <w:p w14:paraId="41FD5B0E" w14:textId="77777777" w:rsidR="00070D30" w:rsidRPr="00650A94" w:rsidRDefault="00070D30" w:rsidP="008D31D6">
      <w:pPr>
        <w:suppressLineNumbers/>
        <w:suppressAutoHyphens/>
        <w:kinsoku w:val="0"/>
        <w:overflowPunct w:val="0"/>
        <w:autoSpaceDE w:val="0"/>
        <w:autoSpaceDN w:val="0"/>
        <w:adjustRightInd w:val="0"/>
        <w:snapToGrid w:val="0"/>
        <w:ind w:left="142" w:right="3124" w:hanging="142"/>
        <w:jc w:val="left"/>
        <w:rPr>
          <w:rFonts w:eastAsia="MS Mincho"/>
          <w:snapToGrid w:val="0"/>
          <w:kern w:val="22"/>
          <w:szCs w:val="22"/>
        </w:rPr>
      </w:pPr>
      <w:r w:rsidRPr="00C87937">
        <w:rPr>
          <w:rFonts w:eastAsia="MS Mincho"/>
          <w:snapToGrid w:val="0"/>
          <w:kern w:val="22"/>
          <w:szCs w:val="22"/>
        </w:rPr>
        <w:t>Montreal, Canada, 9-13 July 2018</w:t>
      </w:r>
    </w:p>
    <w:p w14:paraId="2F9AFEB4" w14:textId="77777777" w:rsidR="00202407" w:rsidRPr="00A7580C" w:rsidRDefault="00617546" w:rsidP="009F54B9">
      <w:pPr>
        <w:suppressLineNumbers/>
        <w:suppressAutoHyphens/>
        <w:kinsoku w:val="0"/>
        <w:overflowPunct w:val="0"/>
        <w:autoSpaceDE w:val="0"/>
        <w:autoSpaceDN w:val="0"/>
        <w:adjustRightInd w:val="0"/>
        <w:snapToGrid w:val="0"/>
        <w:ind w:left="142" w:hanging="142"/>
        <w:rPr>
          <w:snapToGrid w:val="0"/>
          <w:kern w:val="22"/>
          <w:szCs w:val="22"/>
        </w:rPr>
      </w:pPr>
      <w:r w:rsidRPr="00650A94">
        <w:rPr>
          <w:rFonts w:eastAsia="MS Mincho"/>
          <w:snapToGrid w:val="0"/>
          <w:kern w:val="22"/>
          <w:szCs w:val="22"/>
        </w:rPr>
        <w:t>Item 5</w:t>
      </w:r>
      <w:r w:rsidR="00070D30" w:rsidRPr="007B644B">
        <w:rPr>
          <w:rFonts w:eastAsia="MS Mincho"/>
          <w:snapToGrid w:val="0"/>
          <w:kern w:val="22"/>
          <w:szCs w:val="22"/>
        </w:rPr>
        <w:t xml:space="preserve"> of the provisional agenda</w:t>
      </w:r>
      <w:r w:rsidR="008D31D6" w:rsidRPr="007B644B">
        <w:rPr>
          <w:rStyle w:val="FootnoteReference"/>
          <w:rFonts w:eastAsia="MS Mincho"/>
          <w:snapToGrid w:val="0"/>
          <w:kern w:val="22"/>
          <w:szCs w:val="22"/>
        </w:rPr>
        <w:footnoteReference w:customMarkFollows="1" w:id="1"/>
        <w:t>*</w:t>
      </w:r>
    </w:p>
    <w:p w14:paraId="682A1854" w14:textId="77777777" w:rsidR="009A2442" w:rsidRPr="009F54B9" w:rsidRDefault="000536BF" w:rsidP="009F54B9">
      <w:pPr>
        <w:pStyle w:val="Heading1"/>
        <w:tabs>
          <w:tab w:val="clear" w:pos="720"/>
        </w:tabs>
        <w:rPr>
          <w:rFonts w:ascii="Times New Roman Bold" w:hAnsi="Times New Roman Bold" w:cs="Times New Roman Bold"/>
          <w:bCs/>
          <w:snapToGrid w:val="0"/>
          <w:kern w:val="22"/>
        </w:rPr>
      </w:pPr>
      <w:r w:rsidRPr="009F54B9">
        <w:rPr>
          <w:rFonts w:ascii="Times New Roman Bold" w:hAnsi="Times New Roman Bold" w:cs="Times New Roman Bold"/>
          <w:bCs/>
          <w:snapToGrid w:val="0"/>
          <w:kern w:val="22"/>
        </w:rPr>
        <w:t xml:space="preserve">Mainstreaming </w:t>
      </w:r>
      <w:r w:rsidR="003752C3" w:rsidRPr="009F54B9">
        <w:rPr>
          <w:rFonts w:ascii="Times New Roman Bold" w:hAnsi="Times New Roman Bold" w:cs="Times New Roman Bold"/>
          <w:bCs/>
          <w:snapToGrid w:val="0"/>
          <w:kern w:val="22"/>
        </w:rPr>
        <w:t xml:space="preserve">biodiversity </w:t>
      </w:r>
      <w:r w:rsidR="00D3133C" w:rsidRPr="009F54B9">
        <w:rPr>
          <w:rFonts w:ascii="Times New Roman Bold" w:hAnsi="Times New Roman Bold" w:cs="Times New Roman Bold"/>
          <w:bCs/>
          <w:snapToGrid w:val="0"/>
          <w:kern w:val="22"/>
        </w:rPr>
        <w:t>in the</w:t>
      </w:r>
      <w:r w:rsidR="00DB1DAD" w:rsidRPr="009F54B9">
        <w:rPr>
          <w:rFonts w:ascii="Times New Roman Bold" w:hAnsi="Times New Roman Bold" w:cs="Times New Roman Bold"/>
          <w:bCs/>
          <w:snapToGrid w:val="0"/>
          <w:kern w:val="22"/>
        </w:rPr>
        <w:t xml:space="preserve"> manu</w:t>
      </w:r>
      <w:r w:rsidR="003752C3" w:rsidRPr="009F54B9">
        <w:rPr>
          <w:rFonts w:ascii="Times New Roman Bold" w:hAnsi="Times New Roman Bold" w:cs="Times New Roman Bold"/>
          <w:bCs/>
          <w:snapToGrid w:val="0"/>
          <w:kern w:val="22"/>
        </w:rPr>
        <w:t xml:space="preserve">facturing and processing sector – </w:t>
      </w:r>
      <w:r w:rsidRPr="009F54B9">
        <w:rPr>
          <w:rFonts w:ascii="Times New Roman Bold" w:hAnsi="Times New Roman Bold" w:cs="Times New Roman Bold"/>
          <w:bCs/>
          <w:snapToGrid w:val="0"/>
          <w:kern w:val="22"/>
        </w:rPr>
        <w:t>analytical note</w:t>
      </w:r>
    </w:p>
    <w:p w14:paraId="31F43FA9" w14:textId="77777777" w:rsidR="00070D30" w:rsidRPr="002E77A8" w:rsidRDefault="00D3133C" w:rsidP="00060510">
      <w:pPr>
        <w:suppressLineNumbers/>
        <w:suppressAutoHyphens/>
        <w:kinsoku w:val="0"/>
        <w:overflowPunct w:val="0"/>
        <w:autoSpaceDE w:val="0"/>
        <w:autoSpaceDN w:val="0"/>
        <w:adjustRightInd w:val="0"/>
        <w:snapToGrid w:val="0"/>
        <w:spacing w:before="120" w:after="120"/>
        <w:jc w:val="center"/>
        <w:rPr>
          <w:i/>
          <w:snapToGrid w:val="0"/>
          <w:color w:val="000000"/>
          <w:kern w:val="22"/>
          <w:szCs w:val="22"/>
        </w:rPr>
      </w:pPr>
      <w:r w:rsidRPr="00DF1117">
        <w:rPr>
          <w:i/>
          <w:snapToGrid w:val="0"/>
          <w:color w:val="000000"/>
          <w:kern w:val="22"/>
          <w:szCs w:val="22"/>
        </w:rPr>
        <w:t>Note by the Executive Secretary</w:t>
      </w:r>
    </w:p>
    <w:p w14:paraId="023AF484" w14:textId="77777777" w:rsidR="00070D30" w:rsidRPr="00C87937" w:rsidRDefault="00070D30" w:rsidP="00922363">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C744AF">
        <w:rPr>
          <w:snapToGrid w:val="0"/>
          <w:kern w:val="22"/>
          <w:szCs w:val="22"/>
        </w:rPr>
        <w:t>Introduction</w:t>
      </w:r>
    </w:p>
    <w:p w14:paraId="2AC30F52" w14:textId="77777777" w:rsidR="009A2442" w:rsidRPr="009F54B9" w:rsidRDefault="00BB7F3C" w:rsidP="009F54B9">
      <w:pPr>
        <w:pStyle w:val="Para1"/>
        <w:kinsoku w:val="0"/>
        <w:overflowPunct w:val="0"/>
        <w:autoSpaceDE w:val="0"/>
        <w:autoSpaceDN w:val="0"/>
        <w:adjustRightInd w:val="0"/>
        <w:snapToGrid w:val="0"/>
        <w:ind w:left="0" w:firstLine="0"/>
        <w:rPr>
          <w:rFonts w:eastAsia="Batang" w:cs="Times New Roman"/>
          <w:iCs/>
          <w:snapToGrid w:val="0"/>
          <w:color w:val="000000"/>
          <w:spacing w:val="-2"/>
          <w:kern w:val="22"/>
          <w:lang w:eastAsia="ja-JP" w:bidi="th-TH"/>
        </w:rPr>
      </w:pPr>
      <w:r w:rsidRPr="009F54B9">
        <w:rPr>
          <w:rFonts w:eastAsia="Batang" w:cs="Times New Roman"/>
          <w:iCs/>
          <w:snapToGrid w:val="0"/>
          <w:color w:val="000000"/>
          <w:spacing w:val="-2"/>
          <w:kern w:val="22"/>
          <w:lang w:eastAsia="ja-JP" w:bidi="th-TH"/>
        </w:rPr>
        <w:t xml:space="preserve">In decision </w:t>
      </w:r>
      <w:hyperlink r:id="rId12" w:history="1">
        <w:r w:rsidRPr="009F54B9">
          <w:rPr>
            <w:rStyle w:val="Hyperlink"/>
            <w:rFonts w:eastAsia="Batang" w:cs="Times New Roman"/>
            <w:iCs/>
            <w:snapToGrid w:val="0"/>
            <w:spacing w:val="-2"/>
            <w:kern w:val="22"/>
            <w:sz w:val="22"/>
            <w:lang w:eastAsia="ja-JP" w:bidi="th-TH"/>
          </w:rPr>
          <w:t>XIII/3</w:t>
        </w:r>
      </w:hyperlink>
      <w:r w:rsidRPr="009F54B9">
        <w:rPr>
          <w:rFonts w:eastAsia="Batang" w:cs="Times New Roman"/>
          <w:iCs/>
          <w:snapToGrid w:val="0"/>
          <w:color w:val="000000"/>
          <w:spacing w:val="-2"/>
          <w:kern w:val="22"/>
          <w:lang w:eastAsia="ja-JP" w:bidi="th-TH"/>
        </w:rPr>
        <w:t xml:space="preserve">, paragraph 103, the Conference of the Parties decided to consider, at its fourteenth meeting, the mainstreaming of biodiversity into the sectors of energy and mining, infrastructure, manufacturing and processing, and health. The present </w:t>
      </w:r>
      <w:r w:rsidR="00BB74D1" w:rsidRPr="009F54B9">
        <w:rPr>
          <w:snapToGrid w:val="0"/>
          <w:spacing w:val="-2"/>
          <w:kern w:val="22"/>
          <w:lang w:eastAsia="ja-JP" w:bidi="th-TH"/>
        </w:rPr>
        <w:t xml:space="preserve">information </w:t>
      </w:r>
      <w:r w:rsidRPr="009F54B9">
        <w:rPr>
          <w:rFonts w:eastAsia="Batang" w:cs="Times New Roman"/>
          <w:iCs/>
          <w:snapToGrid w:val="0"/>
          <w:color w:val="000000"/>
          <w:spacing w:val="-2"/>
          <w:kern w:val="22"/>
          <w:lang w:eastAsia="ja-JP" w:bidi="th-TH"/>
        </w:rPr>
        <w:t>document focuses on the key dimensions of mainstreaming biodiversity into manufactur</w:t>
      </w:r>
      <w:r w:rsidR="009E6E5C" w:rsidRPr="009F54B9">
        <w:rPr>
          <w:rFonts w:eastAsia="Batang" w:cs="Times New Roman"/>
          <w:iCs/>
          <w:snapToGrid w:val="0"/>
          <w:color w:val="000000"/>
          <w:spacing w:val="-2"/>
          <w:kern w:val="22"/>
          <w:lang w:eastAsia="ja-JP" w:bidi="th-TH"/>
        </w:rPr>
        <w:t>ing and processing industries</w:t>
      </w:r>
      <w:r w:rsidR="00922363" w:rsidRPr="009F54B9">
        <w:rPr>
          <w:rFonts w:eastAsia="Batang" w:cs="Times New Roman"/>
          <w:iCs/>
          <w:snapToGrid w:val="0"/>
          <w:color w:val="000000"/>
          <w:spacing w:val="-2"/>
          <w:kern w:val="22"/>
          <w:lang w:eastAsia="ja-JP" w:bidi="th-TH"/>
        </w:rPr>
        <w:t>,</w:t>
      </w:r>
      <w:r w:rsidR="00C22D0E" w:rsidRPr="009F54B9">
        <w:rPr>
          <w:rStyle w:val="FootnoteReference"/>
          <w:rFonts w:eastAsia="Batang" w:cs="Times New Roman"/>
          <w:iCs/>
          <w:snapToGrid w:val="0"/>
          <w:color w:val="000000"/>
          <w:spacing w:val="-2"/>
          <w:kern w:val="22"/>
          <w:lang w:eastAsia="ja-JP" w:bidi="th-TH"/>
        </w:rPr>
        <w:footnoteReference w:id="2"/>
      </w:r>
      <w:r w:rsidR="009E6E5C" w:rsidRPr="009F54B9">
        <w:rPr>
          <w:rFonts w:eastAsia="Batang" w:cs="Times New Roman"/>
          <w:iCs/>
          <w:snapToGrid w:val="0"/>
          <w:color w:val="000000"/>
          <w:spacing w:val="-2"/>
          <w:kern w:val="22"/>
          <w:lang w:eastAsia="ja-JP" w:bidi="th-TH"/>
        </w:rPr>
        <w:t xml:space="preserve"> </w:t>
      </w:r>
      <w:r w:rsidRPr="009F54B9">
        <w:rPr>
          <w:rFonts w:eastAsia="Batang" w:cs="Times New Roman"/>
          <w:iCs/>
          <w:snapToGrid w:val="0"/>
          <w:color w:val="000000"/>
          <w:spacing w:val="-2"/>
          <w:kern w:val="22"/>
          <w:lang w:eastAsia="ja-JP" w:bidi="th-TH"/>
        </w:rPr>
        <w:t>briefly presenting this sector and its trends, why it matters for biodiversity conservation and sustainable use, what mainstreaming approaches have been used to date and what gaps need to be addressed.</w:t>
      </w:r>
    </w:p>
    <w:p w14:paraId="182F8C71" w14:textId="77777777" w:rsidR="00CE491F" w:rsidRPr="00DF1117" w:rsidRDefault="00D4164D" w:rsidP="009F54B9">
      <w:pPr>
        <w:pStyle w:val="Para1"/>
        <w:kinsoku w:val="0"/>
        <w:overflowPunct w:val="0"/>
        <w:autoSpaceDE w:val="0"/>
        <w:autoSpaceDN w:val="0"/>
        <w:adjustRightInd w:val="0"/>
        <w:snapToGrid w:val="0"/>
        <w:ind w:left="0" w:firstLine="0"/>
        <w:rPr>
          <w:rFonts w:eastAsia="Batang" w:cs="Times New Roman"/>
          <w:iCs/>
          <w:snapToGrid w:val="0"/>
          <w:color w:val="000000"/>
          <w:kern w:val="22"/>
          <w:lang w:eastAsia="ja-JP" w:bidi="th-TH"/>
        </w:rPr>
      </w:pPr>
      <w:r w:rsidRPr="00DF1117">
        <w:rPr>
          <w:rFonts w:eastAsia="Batang" w:cs="Times New Roman"/>
          <w:iCs/>
          <w:snapToGrid w:val="0"/>
          <w:color w:val="000000"/>
          <w:kern w:val="22"/>
          <w:lang w:eastAsia="ja-JP" w:bidi="th-TH"/>
        </w:rPr>
        <w:t>This</w:t>
      </w:r>
      <w:r w:rsidRPr="009F54B9">
        <w:rPr>
          <w:snapToGrid w:val="0"/>
          <w:kern w:val="22"/>
          <w:lang w:eastAsia="ja-JP" w:bidi="th-TH"/>
        </w:rPr>
        <w:t xml:space="preserve"> information document comp</w:t>
      </w:r>
      <w:r w:rsidR="008D31D6" w:rsidRPr="009F54B9">
        <w:rPr>
          <w:snapToGrid w:val="0"/>
          <w:kern w:val="22"/>
          <w:lang w:eastAsia="ja-JP" w:bidi="th-TH"/>
        </w:rPr>
        <w:t xml:space="preserve">lements </w:t>
      </w:r>
      <w:r w:rsidR="008E44C6" w:rsidRPr="009F54B9">
        <w:rPr>
          <w:snapToGrid w:val="0"/>
          <w:kern w:val="22"/>
          <w:lang w:eastAsia="ja-JP" w:bidi="th-TH"/>
        </w:rPr>
        <w:t>the note by the Executive Secretary on biodiversity mainstreaming in the manufacturing and processing sector</w:t>
      </w:r>
      <w:r w:rsidR="008D31D6" w:rsidRPr="009F54B9">
        <w:rPr>
          <w:snapToGrid w:val="0"/>
          <w:kern w:val="22"/>
          <w:lang w:eastAsia="ja-JP" w:bidi="th-TH"/>
        </w:rPr>
        <w:t xml:space="preserve"> </w:t>
      </w:r>
      <w:r w:rsidR="008E44C6" w:rsidRPr="009F54B9">
        <w:rPr>
          <w:snapToGrid w:val="0"/>
          <w:kern w:val="22"/>
          <w:lang w:eastAsia="ja-JP" w:bidi="th-TH"/>
        </w:rPr>
        <w:t>(</w:t>
      </w:r>
      <w:hyperlink r:id="rId13" w:history="1">
        <w:r w:rsidR="008D31D6" w:rsidRPr="009F54B9">
          <w:rPr>
            <w:rStyle w:val="Hyperlink"/>
            <w:snapToGrid w:val="0"/>
            <w:kern w:val="22"/>
            <w:sz w:val="22"/>
            <w:lang w:eastAsia="ja-JP" w:bidi="th-TH"/>
          </w:rPr>
          <w:t>CBD/SBI/2/4/Add.</w:t>
        </w:r>
        <w:r w:rsidRPr="009F54B9">
          <w:rPr>
            <w:rStyle w:val="Hyperlink"/>
            <w:snapToGrid w:val="0"/>
            <w:kern w:val="22"/>
            <w:sz w:val="22"/>
            <w:lang w:eastAsia="ja-JP" w:bidi="th-TH"/>
          </w:rPr>
          <w:t>4</w:t>
        </w:r>
      </w:hyperlink>
      <w:r w:rsidR="008E44C6" w:rsidRPr="009F54B9">
        <w:rPr>
          <w:snapToGrid w:val="0"/>
          <w:kern w:val="22"/>
          <w:lang w:eastAsia="ja-JP" w:bidi="th-TH"/>
        </w:rPr>
        <w:t>) by providing  more in</w:t>
      </w:r>
      <w:r w:rsidR="008E44C6" w:rsidRPr="009F54B9">
        <w:rPr>
          <w:snapToGrid w:val="0"/>
          <w:kern w:val="22"/>
          <w:lang w:eastAsia="ja-JP" w:bidi="th-TH"/>
        </w:rPr>
        <w:noBreakHyphen/>
      </w:r>
      <w:r w:rsidRPr="009F54B9">
        <w:rPr>
          <w:snapToGrid w:val="0"/>
          <w:kern w:val="22"/>
          <w:lang w:eastAsia="ja-JP" w:bidi="th-TH"/>
        </w:rPr>
        <w:t>depth information on: (a) the definition of the manufacturing industries, thei</w:t>
      </w:r>
      <w:r w:rsidR="008E44C6" w:rsidRPr="009F54B9">
        <w:rPr>
          <w:snapToGrid w:val="0"/>
          <w:kern w:val="22"/>
          <w:lang w:eastAsia="ja-JP" w:bidi="th-TH"/>
        </w:rPr>
        <w:t>r global status and trends; (b) </w:t>
      </w:r>
      <w:r w:rsidRPr="009F54B9">
        <w:rPr>
          <w:snapToGrid w:val="0"/>
          <w:kern w:val="22"/>
          <w:lang w:eastAsia="ja-JP" w:bidi="th-TH"/>
        </w:rPr>
        <w:t>the interactions between manufacturing and biodiversity, explaining the main impacts and dependencies of various manufacturing industries and identifying the risk areas for biodiversity; and (c) the biodiversity mainstreaming approaches in the manufacturing and processing sector, highlighting best practices, challenges and opportunities.</w:t>
      </w:r>
    </w:p>
    <w:p w14:paraId="732B98C0" w14:textId="77777777" w:rsidR="00923DC7" w:rsidRPr="009F54B9" w:rsidRDefault="00923DC7">
      <w:pPr>
        <w:jc w:val="left"/>
        <w:rPr>
          <w:rFonts w:eastAsia="MS Mincho" w:cs="Angsana New"/>
          <w:bCs/>
          <w:snapToGrid w:val="0"/>
          <w:kern w:val="22"/>
          <w:szCs w:val="22"/>
          <w:lang w:eastAsia="ja-JP" w:bidi="th-TH"/>
        </w:rPr>
      </w:pPr>
      <w:r w:rsidRPr="009F54B9">
        <w:rPr>
          <w:snapToGrid w:val="0"/>
          <w:kern w:val="22"/>
          <w:lang w:eastAsia="ja-JP" w:bidi="th-TH"/>
        </w:rPr>
        <w:br w:type="page"/>
      </w:r>
    </w:p>
    <w:p w14:paraId="6A8FE573" w14:textId="77777777" w:rsidR="008E44C6" w:rsidRPr="009F54B9" w:rsidRDefault="008E44C6" w:rsidP="007F0DE4">
      <w:pPr>
        <w:jc w:val="center"/>
        <w:rPr>
          <w:b/>
          <w:snapToGrid w:val="0"/>
          <w:kern w:val="22"/>
          <w:szCs w:val="22"/>
        </w:rPr>
      </w:pPr>
      <w:r w:rsidRPr="009F54B9">
        <w:rPr>
          <w:b/>
          <w:snapToGrid w:val="0"/>
          <w:kern w:val="22"/>
          <w:szCs w:val="22"/>
        </w:rPr>
        <w:lastRenderedPageBreak/>
        <w:t>MAINSTREAMING BIODIVERSITY IN THE MANUFACTURING AND PROCESSING</w:t>
      </w:r>
      <w:r w:rsidR="004B2D22" w:rsidRPr="009F54B9">
        <w:rPr>
          <w:b/>
          <w:snapToGrid w:val="0"/>
          <w:kern w:val="22"/>
          <w:szCs w:val="22"/>
        </w:rPr>
        <w:t> </w:t>
      </w:r>
      <w:r w:rsidRPr="009F54B9">
        <w:rPr>
          <w:b/>
          <w:snapToGrid w:val="0"/>
          <w:kern w:val="22"/>
          <w:szCs w:val="22"/>
        </w:rPr>
        <w:t>SECTOR</w:t>
      </w:r>
    </w:p>
    <w:p w14:paraId="2D62559A" w14:textId="77777777" w:rsidR="008E44C6" w:rsidRPr="009F54B9" w:rsidRDefault="008E44C6" w:rsidP="00CC1797">
      <w:pPr>
        <w:jc w:val="center"/>
        <w:rPr>
          <w:b/>
          <w:snapToGrid w:val="0"/>
          <w:kern w:val="22"/>
          <w:szCs w:val="22"/>
        </w:rPr>
      </w:pPr>
    </w:p>
    <w:p w14:paraId="307AD335" w14:textId="77777777" w:rsidR="008E44C6" w:rsidRPr="009F54B9" w:rsidRDefault="008E44C6" w:rsidP="00DE00D4">
      <w:pPr>
        <w:jc w:val="center"/>
        <w:rPr>
          <w:snapToGrid w:val="0"/>
          <w:kern w:val="22"/>
          <w:szCs w:val="22"/>
        </w:rPr>
      </w:pPr>
      <w:r w:rsidRPr="009F54B9">
        <w:rPr>
          <w:b/>
          <w:snapToGrid w:val="0"/>
          <w:kern w:val="22"/>
          <w:szCs w:val="22"/>
        </w:rPr>
        <w:t>Analytical note on the nexus between biodiversity and the manufacturing and processing sectors, with draft recommendations</w:t>
      </w:r>
    </w:p>
    <w:p w14:paraId="73055F0F" w14:textId="77777777" w:rsidR="008E44C6" w:rsidRPr="009F54B9" w:rsidRDefault="008E44C6" w:rsidP="00CC1797">
      <w:pPr>
        <w:rPr>
          <w:snapToGrid w:val="0"/>
          <w:kern w:val="22"/>
          <w:szCs w:val="22"/>
        </w:rPr>
      </w:pPr>
    </w:p>
    <w:p w14:paraId="301CB53E" w14:textId="77777777" w:rsidR="008E44C6" w:rsidRPr="009F54B9" w:rsidRDefault="008E44C6" w:rsidP="004A5A17">
      <w:pPr>
        <w:rPr>
          <w:snapToGrid w:val="0"/>
          <w:kern w:val="22"/>
          <w:szCs w:val="22"/>
        </w:rPr>
      </w:pPr>
    </w:p>
    <w:p w14:paraId="5861C97D" w14:textId="77777777" w:rsidR="008E44C6" w:rsidRPr="009F54B9" w:rsidRDefault="008E44C6" w:rsidP="00533890">
      <w:pPr>
        <w:pStyle w:val="Title"/>
        <w:outlineLvl w:val="0"/>
        <w:rPr>
          <w:snapToGrid w:val="0"/>
          <w:kern w:val="22"/>
          <w:sz w:val="22"/>
          <w:szCs w:val="22"/>
        </w:rPr>
      </w:pPr>
      <w:bookmarkStart w:id="1" w:name="_Toc517690304"/>
      <w:r w:rsidRPr="009F54B9">
        <w:rPr>
          <w:snapToGrid w:val="0"/>
          <w:kern w:val="22"/>
          <w:sz w:val="22"/>
          <w:szCs w:val="22"/>
        </w:rPr>
        <w:t>Table of content</w:t>
      </w:r>
      <w:bookmarkEnd w:id="1"/>
      <w:r w:rsidR="00CB5FD4" w:rsidRPr="009F54B9">
        <w:rPr>
          <w:snapToGrid w:val="0"/>
          <w:kern w:val="22"/>
          <w:sz w:val="22"/>
          <w:szCs w:val="22"/>
        </w:rPr>
        <w:t>s</w:t>
      </w:r>
    </w:p>
    <w:p w14:paraId="3A7BA291" w14:textId="77777777" w:rsidR="008E44C6" w:rsidRPr="009F54B9" w:rsidRDefault="008E44C6">
      <w:pPr>
        <w:pStyle w:val="TOC1"/>
        <w:tabs>
          <w:tab w:val="right" w:leader="dot" w:pos="9016"/>
        </w:tabs>
        <w:rPr>
          <w:rFonts w:asciiTheme="minorHAnsi" w:eastAsiaTheme="minorEastAsia" w:hAnsiTheme="minorHAnsi" w:cstheme="minorBidi"/>
          <w:noProof/>
          <w:snapToGrid w:val="0"/>
          <w:kern w:val="22"/>
          <w:szCs w:val="22"/>
        </w:rPr>
      </w:pPr>
      <w:r w:rsidRPr="009F54B9">
        <w:rPr>
          <w:caps w:val="0"/>
          <w:snapToGrid w:val="0"/>
          <w:kern w:val="22"/>
          <w:szCs w:val="22"/>
        </w:rPr>
        <w:fldChar w:fldCharType="begin"/>
      </w:r>
      <w:r w:rsidRPr="009F54B9">
        <w:rPr>
          <w:snapToGrid w:val="0"/>
          <w:kern w:val="22"/>
          <w:szCs w:val="22"/>
        </w:rPr>
        <w:instrText xml:space="preserve"> TOC \o "1-3" \h \z \t "Title,1" </w:instrText>
      </w:r>
      <w:r w:rsidRPr="009F54B9">
        <w:rPr>
          <w:caps w:val="0"/>
          <w:snapToGrid w:val="0"/>
          <w:kern w:val="22"/>
          <w:szCs w:val="22"/>
        </w:rPr>
        <w:fldChar w:fldCharType="separate"/>
      </w:r>
      <w:hyperlink w:anchor="_Toc517690304" w:history="1">
        <w:r w:rsidRPr="009F54B9">
          <w:rPr>
            <w:rStyle w:val="Hyperlink"/>
            <w:rFonts w:eastAsia="Times"/>
            <w:noProof/>
            <w:snapToGrid w:val="0"/>
            <w:kern w:val="22"/>
          </w:rPr>
          <w:t>Table of content</w:t>
        </w:r>
        <w:r w:rsidR="00FD393B">
          <w:rPr>
            <w:rStyle w:val="Hyperlink"/>
            <w:rFonts w:eastAsia="Times"/>
            <w:noProof/>
            <w:snapToGrid w:val="0"/>
            <w:kern w:val="22"/>
          </w:rPr>
          <w:t>S</w:t>
        </w:r>
        <w:r w:rsidRPr="009F54B9">
          <w:rPr>
            <w:noProof/>
            <w:snapToGrid w:val="0"/>
            <w:webHidden/>
            <w:kern w:val="22"/>
          </w:rPr>
          <w:tab/>
        </w:r>
        <w:r w:rsidRPr="009F54B9">
          <w:rPr>
            <w:noProof/>
            <w:snapToGrid w:val="0"/>
            <w:webHidden/>
            <w:kern w:val="22"/>
          </w:rPr>
          <w:fldChar w:fldCharType="begin"/>
        </w:r>
        <w:r w:rsidRPr="009F54B9">
          <w:rPr>
            <w:noProof/>
            <w:snapToGrid w:val="0"/>
            <w:webHidden/>
            <w:kern w:val="22"/>
          </w:rPr>
          <w:instrText xml:space="preserve"> PAGEREF _Toc517690304 \h </w:instrText>
        </w:r>
        <w:r w:rsidRPr="009F54B9">
          <w:rPr>
            <w:noProof/>
            <w:snapToGrid w:val="0"/>
            <w:webHidden/>
            <w:kern w:val="22"/>
          </w:rPr>
        </w:r>
        <w:r w:rsidRPr="009F54B9">
          <w:rPr>
            <w:noProof/>
            <w:snapToGrid w:val="0"/>
            <w:webHidden/>
            <w:kern w:val="22"/>
          </w:rPr>
          <w:fldChar w:fldCharType="separate"/>
        </w:r>
        <w:r w:rsidR="00FD393B">
          <w:rPr>
            <w:noProof/>
            <w:snapToGrid w:val="0"/>
            <w:webHidden/>
            <w:kern w:val="22"/>
          </w:rPr>
          <w:t>ii</w:t>
        </w:r>
        <w:r w:rsidRPr="009F54B9">
          <w:rPr>
            <w:noProof/>
            <w:snapToGrid w:val="0"/>
            <w:webHidden/>
            <w:kern w:val="22"/>
          </w:rPr>
          <w:fldChar w:fldCharType="end"/>
        </w:r>
      </w:hyperlink>
    </w:p>
    <w:p w14:paraId="34186C91" w14:textId="77777777" w:rsidR="008E44C6" w:rsidRPr="009F54B9" w:rsidRDefault="00BE5BDF">
      <w:pPr>
        <w:pStyle w:val="TOC1"/>
        <w:tabs>
          <w:tab w:val="right" w:leader="dot" w:pos="9016"/>
        </w:tabs>
        <w:rPr>
          <w:rFonts w:asciiTheme="minorHAnsi" w:eastAsiaTheme="minorEastAsia" w:hAnsiTheme="minorHAnsi" w:cstheme="minorBidi"/>
          <w:noProof/>
          <w:snapToGrid w:val="0"/>
          <w:kern w:val="22"/>
          <w:szCs w:val="22"/>
        </w:rPr>
      </w:pPr>
      <w:hyperlink w:anchor="_Toc517690305" w:history="1">
        <w:r w:rsidR="008E44C6" w:rsidRPr="009F54B9">
          <w:rPr>
            <w:rStyle w:val="Hyperlink"/>
            <w:rFonts w:eastAsia="Times"/>
            <w:noProof/>
            <w:snapToGrid w:val="0"/>
            <w:kern w:val="22"/>
          </w:rPr>
          <w:t>List of Tables</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_Toc517690305 \h </w:instrText>
        </w:r>
        <w:r w:rsidR="008E44C6" w:rsidRPr="009F54B9">
          <w:rPr>
            <w:noProof/>
            <w:snapToGrid w:val="0"/>
            <w:webHidden/>
            <w:kern w:val="22"/>
          </w:rPr>
        </w:r>
        <w:r w:rsidR="008E44C6" w:rsidRPr="009F54B9">
          <w:rPr>
            <w:noProof/>
            <w:snapToGrid w:val="0"/>
            <w:webHidden/>
            <w:kern w:val="22"/>
          </w:rPr>
          <w:fldChar w:fldCharType="separate"/>
        </w:r>
        <w:r w:rsidR="00FD393B">
          <w:rPr>
            <w:noProof/>
            <w:snapToGrid w:val="0"/>
            <w:webHidden/>
            <w:kern w:val="22"/>
          </w:rPr>
          <w:t>ii</w:t>
        </w:r>
        <w:r w:rsidR="008E44C6" w:rsidRPr="009F54B9">
          <w:rPr>
            <w:noProof/>
            <w:snapToGrid w:val="0"/>
            <w:webHidden/>
            <w:kern w:val="22"/>
          </w:rPr>
          <w:fldChar w:fldCharType="end"/>
        </w:r>
      </w:hyperlink>
    </w:p>
    <w:p w14:paraId="2809D2FD" w14:textId="77777777" w:rsidR="008E44C6" w:rsidRPr="009F54B9" w:rsidRDefault="00BE5BDF">
      <w:pPr>
        <w:pStyle w:val="TOC1"/>
        <w:tabs>
          <w:tab w:val="right" w:leader="dot" w:pos="9016"/>
        </w:tabs>
        <w:rPr>
          <w:rFonts w:asciiTheme="minorHAnsi" w:eastAsiaTheme="minorEastAsia" w:hAnsiTheme="minorHAnsi" w:cstheme="minorBidi"/>
          <w:noProof/>
          <w:snapToGrid w:val="0"/>
          <w:kern w:val="22"/>
          <w:szCs w:val="22"/>
        </w:rPr>
      </w:pPr>
      <w:hyperlink w:anchor="_Toc517690306" w:history="1">
        <w:r w:rsidR="008E44C6" w:rsidRPr="009F54B9">
          <w:rPr>
            <w:rStyle w:val="Hyperlink"/>
            <w:rFonts w:eastAsia="Times"/>
            <w:noProof/>
            <w:snapToGrid w:val="0"/>
            <w:kern w:val="22"/>
          </w:rPr>
          <w:t>List of figures</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_Toc517690306 \h </w:instrText>
        </w:r>
        <w:r w:rsidR="008E44C6" w:rsidRPr="009F54B9">
          <w:rPr>
            <w:noProof/>
            <w:snapToGrid w:val="0"/>
            <w:webHidden/>
            <w:kern w:val="22"/>
          </w:rPr>
        </w:r>
        <w:r w:rsidR="008E44C6" w:rsidRPr="009F54B9">
          <w:rPr>
            <w:noProof/>
            <w:snapToGrid w:val="0"/>
            <w:webHidden/>
            <w:kern w:val="22"/>
          </w:rPr>
          <w:fldChar w:fldCharType="separate"/>
        </w:r>
        <w:r w:rsidR="00FD393B">
          <w:rPr>
            <w:noProof/>
            <w:snapToGrid w:val="0"/>
            <w:webHidden/>
            <w:kern w:val="22"/>
          </w:rPr>
          <w:t>iii</w:t>
        </w:r>
        <w:r w:rsidR="008E44C6" w:rsidRPr="009F54B9">
          <w:rPr>
            <w:noProof/>
            <w:snapToGrid w:val="0"/>
            <w:webHidden/>
            <w:kern w:val="22"/>
          </w:rPr>
          <w:fldChar w:fldCharType="end"/>
        </w:r>
      </w:hyperlink>
    </w:p>
    <w:p w14:paraId="1BF0055C" w14:textId="77777777" w:rsidR="008E44C6" w:rsidRPr="009F54B9" w:rsidRDefault="00BE5BDF">
      <w:pPr>
        <w:pStyle w:val="TOC1"/>
        <w:tabs>
          <w:tab w:val="left" w:pos="440"/>
          <w:tab w:val="right" w:leader="dot" w:pos="9016"/>
        </w:tabs>
        <w:rPr>
          <w:rFonts w:asciiTheme="minorHAnsi" w:eastAsiaTheme="minorEastAsia" w:hAnsiTheme="minorHAnsi" w:cstheme="minorBidi"/>
          <w:noProof/>
          <w:snapToGrid w:val="0"/>
          <w:kern w:val="22"/>
          <w:szCs w:val="22"/>
        </w:rPr>
      </w:pPr>
      <w:hyperlink w:anchor="_Toc517690307" w:history="1">
        <w:r w:rsidR="008E44C6" w:rsidRPr="009F54B9">
          <w:rPr>
            <w:rStyle w:val="Hyperlink"/>
            <w:rFonts w:eastAsia="Times"/>
            <w:noProof/>
            <w:snapToGrid w:val="0"/>
            <w:kern w:val="22"/>
          </w:rPr>
          <w:t>1.</w:t>
        </w:r>
        <w:r w:rsidR="008E44C6" w:rsidRPr="009F54B9">
          <w:rPr>
            <w:rFonts w:asciiTheme="minorHAnsi" w:eastAsiaTheme="minorEastAsia" w:hAnsiTheme="minorHAnsi" w:cstheme="minorBidi"/>
            <w:noProof/>
            <w:snapToGrid w:val="0"/>
            <w:kern w:val="22"/>
            <w:szCs w:val="22"/>
          </w:rPr>
          <w:tab/>
        </w:r>
        <w:r w:rsidR="008E44C6" w:rsidRPr="009F54B9">
          <w:rPr>
            <w:rStyle w:val="Hyperlink"/>
            <w:rFonts w:eastAsia="Times"/>
            <w:noProof/>
            <w:snapToGrid w:val="0"/>
            <w:kern w:val="22"/>
          </w:rPr>
          <w:t>Introduction</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_Toc517690307 \h </w:instrText>
        </w:r>
        <w:r w:rsidR="008E44C6" w:rsidRPr="009F54B9">
          <w:rPr>
            <w:noProof/>
            <w:snapToGrid w:val="0"/>
            <w:webHidden/>
            <w:kern w:val="22"/>
          </w:rPr>
        </w:r>
        <w:r w:rsidR="008E44C6" w:rsidRPr="009F54B9">
          <w:rPr>
            <w:noProof/>
            <w:snapToGrid w:val="0"/>
            <w:webHidden/>
            <w:kern w:val="22"/>
          </w:rPr>
          <w:fldChar w:fldCharType="separate"/>
        </w:r>
        <w:r w:rsidR="00FD393B">
          <w:rPr>
            <w:noProof/>
            <w:snapToGrid w:val="0"/>
            <w:webHidden/>
            <w:kern w:val="22"/>
          </w:rPr>
          <w:t>5</w:t>
        </w:r>
        <w:r w:rsidR="008E44C6" w:rsidRPr="009F54B9">
          <w:rPr>
            <w:noProof/>
            <w:snapToGrid w:val="0"/>
            <w:webHidden/>
            <w:kern w:val="22"/>
          </w:rPr>
          <w:fldChar w:fldCharType="end"/>
        </w:r>
      </w:hyperlink>
    </w:p>
    <w:p w14:paraId="620A5EE8" w14:textId="77777777" w:rsidR="008E44C6" w:rsidRPr="009F54B9" w:rsidRDefault="00BE5BDF">
      <w:pPr>
        <w:pStyle w:val="TOC1"/>
        <w:tabs>
          <w:tab w:val="left" w:pos="440"/>
          <w:tab w:val="right" w:leader="dot" w:pos="9016"/>
        </w:tabs>
        <w:rPr>
          <w:rFonts w:asciiTheme="minorHAnsi" w:eastAsiaTheme="minorEastAsia" w:hAnsiTheme="minorHAnsi" w:cstheme="minorBidi"/>
          <w:noProof/>
          <w:snapToGrid w:val="0"/>
          <w:kern w:val="22"/>
          <w:szCs w:val="22"/>
        </w:rPr>
      </w:pPr>
      <w:hyperlink w:anchor="_Toc517690308" w:history="1">
        <w:r w:rsidR="008E44C6" w:rsidRPr="009F54B9">
          <w:rPr>
            <w:rStyle w:val="Hyperlink"/>
            <w:rFonts w:eastAsia="Times"/>
            <w:noProof/>
            <w:snapToGrid w:val="0"/>
            <w:kern w:val="22"/>
          </w:rPr>
          <w:t>2.</w:t>
        </w:r>
        <w:r w:rsidR="008E44C6" w:rsidRPr="009F54B9">
          <w:rPr>
            <w:rFonts w:asciiTheme="minorHAnsi" w:eastAsiaTheme="minorEastAsia" w:hAnsiTheme="minorHAnsi" w:cstheme="minorBidi"/>
            <w:noProof/>
            <w:snapToGrid w:val="0"/>
            <w:kern w:val="22"/>
            <w:szCs w:val="22"/>
          </w:rPr>
          <w:tab/>
        </w:r>
        <w:r w:rsidR="008E44C6" w:rsidRPr="009F54B9">
          <w:rPr>
            <w:rStyle w:val="Hyperlink"/>
            <w:rFonts w:eastAsia="Times"/>
            <w:noProof/>
            <w:snapToGrid w:val="0"/>
            <w:kern w:val="22"/>
          </w:rPr>
          <w:t>Manufacturing and Processing: A brief introduction</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_Toc517690308 \h </w:instrText>
        </w:r>
        <w:r w:rsidR="008E44C6" w:rsidRPr="009F54B9">
          <w:rPr>
            <w:noProof/>
            <w:snapToGrid w:val="0"/>
            <w:webHidden/>
            <w:kern w:val="22"/>
          </w:rPr>
        </w:r>
        <w:r w:rsidR="008E44C6" w:rsidRPr="009F54B9">
          <w:rPr>
            <w:noProof/>
            <w:snapToGrid w:val="0"/>
            <w:webHidden/>
            <w:kern w:val="22"/>
          </w:rPr>
          <w:fldChar w:fldCharType="separate"/>
        </w:r>
        <w:r w:rsidR="00FD393B">
          <w:rPr>
            <w:noProof/>
            <w:snapToGrid w:val="0"/>
            <w:webHidden/>
            <w:kern w:val="22"/>
          </w:rPr>
          <w:t>6</w:t>
        </w:r>
        <w:r w:rsidR="008E44C6" w:rsidRPr="009F54B9">
          <w:rPr>
            <w:noProof/>
            <w:snapToGrid w:val="0"/>
            <w:webHidden/>
            <w:kern w:val="22"/>
          </w:rPr>
          <w:fldChar w:fldCharType="end"/>
        </w:r>
      </w:hyperlink>
    </w:p>
    <w:p w14:paraId="42E7C4DF" w14:textId="77777777" w:rsidR="008E44C6" w:rsidRPr="009F54B9" w:rsidRDefault="00BE5BDF" w:rsidP="008E44C6">
      <w:pPr>
        <w:pStyle w:val="TOC2"/>
        <w:rPr>
          <w:rFonts w:asciiTheme="minorHAnsi" w:eastAsiaTheme="minorEastAsia" w:hAnsiTheme="minorHAnsi" w:cstheme="minorBidi"/>
          <w:snapToGrid w:val="0"/>
          <w:kern w:val="22"/>
        </w:rPr>
      </w:pPr>
      <w:hyperlink w:anchor="_Toc517690309" w:history="1">
        <w:r w:rsidR="008E44C6" w:rsidRPr="009F54B9">
          <w:rPr>
            <w:rStyle w:val="Hyperlink"/>
            <w:rFonts w:eastAsia="Times"/>
            <w:smallCaps/>
            <w:snapToGrid w:val="0"/>
            <w:kern w:val="22"/>
          </w:rPr>
          <w:t>2.1.</w:t>
        </w:r>
        <w:r w:rsidR="008E44C6" w:rsidRPr="009F54B9">
          <w:rPr>
            <w:rFonts w:asciiTheme="minorHAnsi" w:eastAsiaTheme="minorEastAsia" w:hAnsiTheme="minorHAnsi" w:cstheme="minorBidi"/>
            <w:snapToGrid w:val="0"/>
            <w:kern w:val="22"/>
          </w:rPr>
          <w:tab/>
        </w:r>
        <w:r w:rsidR="008E44C6" w:rsidRPr="009F54B9">
          <w:rPr>
            <w:rStyle w:val="Hyperlink"/>
            <w:rFonts w:eastAsia="Times"/>
            <w:smallCaps/>
            <w:snapToGrid w:val="0"/>
            <w:kern w:val="22"/>
          </w:rPr>
          <w:t>Defining the manufacturing and processing sectors</w:t>
        </w:r>
        <w:r w:rsidR="008E44C6" w:rsidRPr="009F54B9">
          <w:rPr>
            <w:snapToGrid w:val="0"/>
            <w:webHidden/>
            <w:kern w:val="22"/>
          </w:rPr>
          <w:tab/>
        </w:r>
        <w:r w:rsidR="008E44C6" w:rsidRPr="009F54B9">
          <w:rPr>
            <w:snapToGrid w:val="0"/>
            <w:webHidden/>
            <w:kern w:val="22"/>
          </w:rPr>
          <w:fldChar w:fldCharType="begin"/>
        </w:r>
        <w:r w:rsidR="008E44C6" w:rsidRPr="009F54B9">
          <w:rPr>
            <w:snapToGrid w:val="0"/>
            <w:webHidden/>
            <w:kern w:val="22"/>
          </w:rPr>
          <w:instrText xml:space="preserve"> PAGEREF _Toc517690309 \h </w:instrText>
        </w:r>
        <w:r w:rsidR="008E44C6" w:rsidRPr="009F54B9">
          <w:rPr>
            <w:snapToGrid w:val="0"/>
            <w:webHidden/>
            <w:kern w:val="22"/>
          </w:rPr>
        </w:r>
        <w:r w:rsidR="008E44C6" w:rsidRPr="009F54B9">
          <w:rPr>
            <w:snapToGrid w:val="0"/>
            <w:webHidden/>
            <w:kern w:val="22"/>
          </w:rPr>
          <w:fldChar w:fldCharType="separate"/>
        </w:r>
        <w:r w:rsidR="00FD393B">
          <w:rPr>
            <w:snapToGrid w:val="0"/>
            <w:webHidden/>
            <w:kern w:val="22"/>
          </w:rPr>
          <w:t>6</w:t>
        </w:r>
        <w:r w:rsidR="008E44C6" w:rsidRPr="009F54B9">
          <w:rPr>
            <w:snapToGrid w:val="0"/>
            <w:webHidden/>
            <w:kern w:val="22"/>
          </w:rPr>
          <w:fldChar w:fldCharType="end"/>
        </w:r>
      </w:hyperlink>
    </w:p>
    <w:p w14:paraId="507869A4" w14:textId="77777777" w:rsidR="008E44C6" w:rsidRPr="009F54B9" w:rsidRDefault="00BE5BDF" w:rsidP="008E44C6">
      <w:pPr>
        <w:pStyle w:val="TOC2"/>
        <w:rPr>
          <w:rFonts w:asciiTheme="minorHAnsi" w:eastAsiaTheme="minorEastAsia" w:hAnsiTheme="minorHAnsi" w:cstheme="minorBidi"/>
          <w:snapToGrid w:val="0"/>
          <w:kern w:val="22"/>
        </w:rPr>
      </w:pPr>
      <w:hyperlink w:anchor="_Toc517690310" w:history="1">
        <w:r w:rsidR="008E44C6" w:rsidRPr="009F54B9">
          <w:rPr>
            <w:rStyle w:val="Hyperlink"/>
            <w:rFonts w:eastAsia="Times"/>
            <w:smallCaps/>
            <w:snapToGrid w:val="0"/>
            <w:kern w:val="22"/>
          </w:rPr>
          <w:t>2.2.</w:t>
        </w:r>
        <w:r w:rsidR="008E44C6" w:rsidRPr="009F54B9">
          <w:rPr>
            <w:rFonts w:asciiTheme="minorHAnsi" w:eastAsiaTheme="minorEastAsia" w:hAnsiTheme="minorHAnsi" w:cstheme="minorBidi"/>
            <w:snapToGrid w:val="0"/>
            <w:kern w:val="22"/>
          </w:rPr>
          <w:tab/>
        </w:r>
        <w:r w:rsidR="008E44C6" w:rsidRPr="009F54B9">
          <w:rPr>
            <w:rStyle w:val="Hyperlink"/>
            <w:rFonts w:eastAsia="Times"/>
            <w:smallCaps/>
            <w:snapToGrid w:val="0"/>
            <w:kern w:val="22"/>
          </w:rPr>
          <w:t>From early to modern manufacturing</w:t>
        </w:r>
        <w:r w:rsidR="008E44C6" w:rsidRPr="009F54B9">
          <w:rPr>
            <w:snapToGrid w:val="0"/>
            <w:webHidden/>
            <w:kern w:val="22"/>
          </w:rPr>
          <w:tab/>
        </w:r>
        <w:r w:rsidR="008E44C6" w:rsidRPr="009F54B9">
          <w:rPr>
            <w:snapToGrid w:val="0"/>
            <w:webHidden/>
            <w:kern w:val="22"/>
          </w:rPr>
          <w:fldChar w:fldCharType="begin"/>
        </w:r>
        <w:r w:rsidR="008E44C6" w:rsidRPr="009F54B9">
          <w:rPr>
            <w:snapToGrid w:val="0"/>
            <w:webHidden/>
            <w:kern w:val="22"/>
          </w:rPr>
          <w:instrText xml:space="preserve"> PAGEREF _Toc517690310 \h </w:instrText>
        </w:r>
        <w:r w:rsidR="008E44C6" w:rsidRPr="009F54B9">
          <w:rPr>
            <w:snapToGrid w:val="0"/>
            <w:webHidden/>
            <w:kern w:val="22"/>
          </w:rPr>
        </w:r>
        <w:r w:rsidR="008E44C6" w:rsidRPr="009F54B9">
          <w:rPr>
            <w:snapToGrid w:val="0"/>
            <w:webHidden/>
            <w:kern w:val="22"/>
          </w:rPr>
          <w:fldChar w:fldCharType="separate"/>
        </w:r>
        <w:r w:rsidR="00FD393B">
          <w:rPr>
            <w:snapToGrid w:val="0"/>
            <w:webHidden/>
            <w:kern w:val="22"/>
          </w:rPr>
          <w:t>8</w:t>
        </w:r>
        <w:r w:rsidR="008E44C6" w:rsidRPr="009F54B9">
          <w:rPr>
            <w:snapToGrid w:val="0"/>
            <w:webHidden/>
            <w:kern w:val="22"/>
          </w:rPr>
          <w:fldChar w:fldCharType="end"/>
        </w:r>
      </w:hyperlink>
    </w:p>
    <w:p w14:paraId="36798F1F" w14:textId="77777777" w:rsidR="008E44C6" w:rsidRPr="009F54B9" w:rsidRDefault="00BE5BDF" w:rsidP="008E44C6">
      <w:pPr>
        <w:pStyle w:val="TOC2"/>
        <w:rPr>
          <w:rFonts w:asciiTheme="minorHAnsi" w:eastAsiaTheme="minorEastAsia" w:hAnsiTheme="minorHAnsi" w:cstheme="minorBidi"/>
          <w:snapToGrid w:val="0"/>
          <w:kern w:val="22"/>
        </w:rPr>
      </w:pPr>
      <w:hyperlink w:anchor="_Toc517690311" w:history="1">
        <w:r w:rsidR="008E44C6" w:rsidRPr="009F54B9">
          <w:rPr>
            <w:rStyle w:val="Hyperlink"/>
            <w:rFonts w:eastAsia="Times"/>
            <w:smallCaps/>
            <w:snapToGrid w:val="0"/>
            <w:kern w:val="22"/>
          </w:rPr>
          <w:t>2.3.</w:t>
        </w:r>
        <w:r w:rsidR="008E44C6" w:rsidRPr="009F54B9">
          <w:rPr>
            <w:rFonts w:asciiTheme="minorHAnsi" w:eastAsiaTheme="minorEastAsia" w:hAnsiTheme="minorHAnsi" w:cstheme="minorBidi"/>
            <w:snapToGrid w:val="0"/>
            <w:kern w:val="22"/>
          </w:rPr>
          <w:tab/>
        </w:r>
        <w:r w:rsidR="008E44C6" w:rsidRPr="009F54B9">
          <w:rPr>
            <w:rStyle w:val="Hyperlink"/>
            <w:rFonts w:eastAsia="Times"/>
            <w:smallCaps/>
            <w:snapToGrid w:val="0"/>
            <w:kern w:val="22"/>
          </w:rPr>
          <w:t>The economic importance of manufacturing today</w:t>
        </w:r>
        <w:r w:rsidR="008E44C6" w:rsidRPr="009F54B9">
          <w:rPr>
            <w:snapToGrid w:val="0"/>
            <w:webHidden/>
            <w:kern w:val="22"/>
          </w:rPr>
          <w:tab/>
        </w:r>
        <w:r w:rsidR="008E44C6" w:rsidRPr="009F54B9">
          <w:rPr>
            <w:snapToGrid w:val="0"/>
            <w:webHidden/>
            <w:kern w:val="22"/>
          </w:rPr>
          <w:fldChar w:fldCharType="begin"/>
        </w:r>
        <w:r w:rsidR="008E44C6" w:rsidRPr="009F54B9">
          <w:rPr>
            <w:snapToGrid w:val="0"/>
            <w:webHidden/>
            <w:kern w:val="22"/>
          </w:rPr>
          <w:instrText xml:space="preserve"> PAGEREF _Toc517690311 \h </w:instrText>
        </w:r>
        <w:r w:rsidR="008E44C6" w:rsidRPr="009F54B9">
          <w:rPr>
            <w:snapToGrid w:val="0"/>
            <w:webHidden/>
            <w:kern w:val="22"/>
          </w:rPr>
        </w:r>
        <w:r w:rsidR="008E44C6" w:rsidRPr="009F54B9">
          <w:rPr>
            <w:snapToGrid w:val="0"/>
            <w:webHidden/>
            <w:kern w:val="22"/>
          </w:rPr>
          <w:fldChar w:fldCharType="separate"/>
        </w:r>
        <w:r w:rsidR="00FD393B">
          <w:rPr>
            <w:snapToGrid w:val="0"/>
            <w:webHidden/>
            <w:kern w:val="22"/>
          </w:rPr>
          <w:t>11</w:t>
        </w:r>
        <w:r w:rsidR="008E44C6" w:rsidRPr="009F54B9">
          <w:rPr>
            <w:snapToGrid w:val="0"/>
            <w:webHidden/>
            <w:kern w:val="22"/>
          </w:rPr>
          <w:fldChar w:fldCharType="end"/>
        </w:r>
      </w:hyperlink>
    </w:p>
    <w:p w14:paraId="70746A3B" w14:textId="77777777" w:rsidR="008E44C6" w:rsidRPr="009F54B9" w:rsidRDefault="00BE5BDF">
      <w:pPr>
        <w:pStyle w:val="TOC1"/>
        <w:tabs>
          <w:tab w:val="left" w:pos="440"/>
          <w:tab w:val="right" w:leader="dot" w:pos="9016"/>
        </w:tabs>
        <w:rPr>
          <w:rFonts w:asciiTheme="minorHAnsi" w:eastAsiaTheme="minorEastAsia" w:hAnsiTheme="minorHAnsi" w:cstheme="minorBidi"/>
          <w:noProof/>
          <w:snapToGrid w:val="0"/>
          <w:kern w:val="22"/>
          <w:szCs w:val="22"/>
        </w:rPr>
      </w:pPr>
      <w:hyperlink w:anchor="_Toc517690312" w:history="1">
        <w:r w:rsidR="008E44C6" w:rsidRPr="009F54B9">
          <w:rPr>
            <w:rStyle w:val="Hyperlink"/>
            <w:rFonts w:eastAsia="Times"/>
            <w:noProof/>
            <w:snapToGrid w:val="0"/>
            <w:kern w:val="22"/>
          </w:rPr>
          <w:t>3.</w:t>
        </w:r>
        <w:r w:rsidR="008E44C6" w:rsidRPr="009F54B9">
          <w:rPr>
            <w:rFonts w:asciiTheme="minorHAnsi" w:eastAsiaTheme="minorEastAsia" w:hAnsiTheme="minorHAnsi" w:cstheme="minorBidi"/>
            <w:noProof/>
            <w:snapToGrid w:val="0"/>
            <w:kern w:val="22"/>
            <w:szCs w:val="22"/>
          </w:rPr>
          <w:tab/>
        </w:r>
        <w:r w:rsidR="008E44C6" w:rsidRPr="009F54B9">
          <w:rPr>
            <w:rStyle w:val="Hyperlink"/>
            <w:rFonts w:eastAsia="Times"/>
            <w:noProof/>
            <w:snapToGrid w:val="0"/>
            <w:kern w:val="22"/>
          </w:rPr>
          <w:t>Manufacturing and biodiversity: What interactions?</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_Toc517690312 \h </w:instrText>
        </w:r>
        <w:r w:rsidR="008E44C6" w:rsidRPr="009F54B9">
          <w:rPr>
            <w:noProof/>
            <w:snapToGrid w:val="0"/>
            <w:webHidden/>
            <w:kern w:val="22"/>
          </w:rPr>
        </w:r>
        <w:r w:rsidR="008E44C6" w:rsidRPr="009F54B9">
          <w:rPr>
            <w:noProof/>
            <w:snapToGrid w:val="0"/>
            <w:webHidden/>
            <w:kern w:val="22"/>
          </w:rPr>
          <w:fldChar w:fldCharType="separate"/>
        </w:r>
        <w:r w:rsidR="00FD393B">
          <w:rPr>
            <w:noProof/>
            <w:snapToGrid w:val="0"/>
            <w:webHidden/>
            <w:kern w:val="22"/>
          </w:rPr>
          <w:t>16</w:t>
        </w:r>
        <w:r w:rsidR="008E44C6" w:rsidRPr="009F54B9">
          <w:rPr>
            <w:noProof/>
            <w:snapToGrid w:val="0"/>
            <w:webHidden/>
            <w:kern w:val="22"/>
          </w:rPr>
          <w:fldChar w:fldCharType="end"/>
        </w:r>
      </w:hyperlink>
    </w:p>
    <w:p w14:paraId="3D1C4EB2" w14:textId="77777777" w:rsidR="008E44C6" w:rsidRPr="009F54B9" w:rsidRDefault="00BE5BDF" w:rsidP="008E44C6">
      <w:pPr>
        <w:pStyle w:val="TOC2"/>
        <w:rPr>
          <w:rFonts w:asciiTheme="minorHAnsi" w:eastAsiaTheme="minorEastAsia" w:hAnsiTheme="minorHAnsi" w:cstheme="minorBidi"/>
          <w:snapToGrid w:val="0"/>
          <w:kern w:val="22"/>
        </w:rPr>
      </w:pPr>
      <w:hyperlink w:anchor="_Toc517690313" w:history="1">
        <w:r w:rsidR="008E44C6" w:rsidRPr="009F54B9">
          <w:rPr>
            <w:rStyle w:val="Hyperlink"/>
            <w:rFonts w:eastAsiaTheme="minorHAnsi"/>
            <w:bCs/>
            <w:iCs/>
            <w:snapToGrid w:val="0"/>
            <w:kern w:val="22"/>
          </w:rPr>
          <w:t>3.1.</w:t>
        </w:r>
        <w:r w:rsidR="008E44C6" w:rsidRPr="009F54B9">
          <w:rPr>
            <w:rFonts w:asciiTheme="minorHAnsi" w:eastAsiaTheme="minorEastAsia" w:hAnsiTheme="minorHAnsi" w:cstheme="minorBidi"/>
            <w:snapToGrid w:val="0"/>
            <w:kern w:val="22"/>
          </w:rPr>
          <w:tab/>
        </w:r>
        <w:r w:rsidR="008E44C6" w:rsidRPr="009F54B9">
          <w:rPr>
            <w:rStyle w:val="Hyperlink"/>
            <w:rFonts w:eastAsia="Times"/>
            <w:smallCaps/>
            <w:snapToGrid w:val="0"/>
            <w:kern w:val="22"/>
          </w:rPr>
          <w:t>Inter-dependencies between business and ecosystems</w:t>
        </w:r>
        <w:r w:rsidR="008E44C6" w:rsidRPr="009F54B9">
          <w:rPr>
            <w:snapToGrid w:val="0"/>
            <w:webHidden/>
            <w:kern w:val="22"/>
          </w:rPr>
          <w:tab/>
        </w:r>
        <w:r w:rsidR="008E44C6" w:rsidRPr="009F54B9">
          <w:rPr>
            <w:snapToGrid w:val="0"/>
            <w:webHidden/>
            <w:kern w:val="22"/>
          </w:rPr>
          <w:fldChar w:fldCharType="begin"/>
        </w:r>
        <w:r w:rsidR="008E44C6" w:rsidRPr="009F54B9">
          <w:rPr>
            <w:snapToGrid w:val="0"/>
            <w:webHidden/>
            <w:kern w:val="22"/>
          </w:rPr>
          <w:instrText xml:space="preserve"> PAGEREF _Toc517690313 \h </w:instrText>
        </w:r>
        <w:r w:rsidR="008E44C6" w:rsidRPr="009F54B9">
          <w:rPr>
            <w:snapToGrid w:val="0"/>
            <w:webHidden/>
            <w:kern w:val="22"/>
          </w:rPr>
        </w:r>
        <w:r w:rsidR="008E44C6" w:rsidRPr="009F54B9">
          <w:rPr>
            <w:snapToGrid w:val="0"/>
            <w:webHidden/>
            <w:kern w:val="22"/>
          </w:rPr>
          <w:fldChar w:fldCharType="separate"/>
        </w:r>
        <w:r w:rsidR="00FD393B">
          <w:rPr>
            <w:snapToGrid w:val="0"/>
            <w:webHidden/>
            <w:kern w:val="22"/>
          </w:rPr>
          <w:t>18</w:t>
        </w:r>
        <w:r w:rsidR="008E44C6" w:rsidRPr="009F54B9">
          <w:rPr>
            <w:snapToGrid w:val="0"/>
            <w:webHidden/>
            <w:kern w:val="22"/>
          </w:rPr>
          <w:fldChar w:fldCharType="end"/>
        </w:r>
      </w:hyperlink>
    </w:p>
    <w:p w14:paraId="0203E6D9" w14:textId="77777777" w:rsidR="008E44C6" w:rsidRPr="009F54B9" w:rsidRDefault="00BE5BDF" w:rsidP="008E44C6">
      <w:pPr>
        <w:pStyle w:val="TOC2"/>
        <w:rPr>
          <w:rFonts w:asciiTheme="minorHAnsi" w:eastAsiaTheme="minorEastAsia" w:hAnsiTheme="minorHAnsi" w:cstheme="minorBidi"/>
          <w:snapToGrid w:val="0"/>
          <w:kern w:val="22"/>
        </w:rPr>
      </w:pPr>
      <w:hyperlink w:anchor="_Toc517690314" w:history="1">
        <w:r w:rsidR="008E44C6" w:rsidRPr="009F54B9">
          <w:rPr>
            <w:rStyle w:val="Hyperlink"/>
            <w:rFonts w:eastAsia="Times"/>
            <w:smallCaps/>
            <w:snapToGrid w:val="0"/>
            <w:kern w:val="22"/>
          </w:rPr>
          <w:t>3.2.</w:t>
        </w:r>
        <w:r w:rsidR="008E44C6" w:rsidRPr="009F54B9">
          <w:rPr>
            <w:rFonts w:asciiTheme="minorHAnsi" w:eastAsiaTheme="minorEastAsia" w:hAnsiTheme="minorHAnsi" w:cstheme="minorBidi"/>
            <w:snapToGrid w:val="0"/>
            <w:kern w:val="22"/>
          </w:rPr>
          <w:tab/>
        </w:r>
        <w:r w:rsidR="008E44C6" w:rsidRPr="009F54B9">
          <w:rPr>
            <w:rStyle w:val="Hyperlink"/>
            <w:rFonts w:eastAsia="Times"/>
            <w:smallCaps/>
            <w:snapToGrid w:val="0"/>
            <w:kern w:val="22"/>
          </w:rPr>
          <w:t>A value chain perspective</w:t>
        </w:r>
        <w:r w:rsidR="008E44C6" w:rsidRPr="009F54B9">
          <w:rPr>
            <w:snapToGrid w:val="0"/>
            <w:webHidden/>
            <w:kern w:val="22"/>
          </w:rPr>
          <w:tab/>
        </w:r>
        <w:r w:rsidR="008E44C6" w:rsidRPr="009F54B9">
          <w:rPr>
            <w:snapToGrid w:val="0"/>
            <w:webHidden/>
            <w:kern w:val="22"/>
          </w:rPr>
          <w:fldChar w:fldCharType="begin"/>
        </w:r>
        <w:r w:rsidR="008E44C6" w:rsidRPr="009F54B9">
          <w:rPr>
            <w:snapToGrid w:val="0"/>
            <w:webHidden/>
            <w:kern w:val="22"/>
          </w:rPr>
          <w:instrText xml:space="preserve"> PAGEREF _Toc517690314 \h </w:instrText>
        </w:r>
        <w:r w:rsidR="008E44C6" w:rsidRPr="009F54B9">
          <w:rPr>
            <w:snapToGrid w:val="0"/>
            <w:webHidden/>
            <w:kern w:val="22"/>
          </w:rPr>
        </w:r>
        <w:r w:rsidR="008E44C6" w:rsidRPr="009F54B9">
          <w:rPr>
            <w:snapToGrid w:val="0"/>
            <w:webHidden/>
            <w:kern w:val="22"/>
          </w:rPr>
          <w:fldChar w:fldCharType="separate"/>
        </w:r>
        <w:r w:rsidR="00FD393B">
          <w:rPr>
            <w:snapToGrid w:val="0"/>
            <w:webHidden/>
            <w:kern w:val="22"/>
          </w:rPr>
          <w:t>20</w:t>
        </w:r>
        <w:r w:rsidR="008E44C6" w:rsidRPr="009F54B9">
          <w:rPr>
            <w:snapToGrid w:val="0"/>
            <w:webHidden/>
            <w:kern w:val="22"/>
          </w:rPr>
          <w:fldChar w:fldCharType="end"/>
        </w:r>
      </w:hyperlink>
    </w:p>
    <w:p w14:paraId="6ABBC0B0" w14:textId="77777777" w:rsidR="008E44C6" w:rsidRPr="009F54B9" w:rsidRDefault="00BE5BDF" w:rsidP="008E44C6">
      <w:pPr>
        <w:pStyle w:val="TOC2"/>
        <w:rPr>
          <w:rFonts w:asciiTheme="minorHAnsi" w:eastAsiaTheme="minorEastAsia" w:hAnsiTheme="minorHAnsi" w:cstheme="minorBidi"/>
          <w:snapToGrid w:val="0"/>
          <w:kern w:val="22"/>
        </w:rPr>
      </w:pPr>
      <w:hyperlink w:anchor="_Toc517690315" w:history="1">
        <w:r w:rsidR="008E44C6" w:rsidRPr="009F54B9">
          <w:rPr>
            <w:rStyle w:val="Hyperlink"/>
            <w:rFonts w:eastAsia="Times"/>
            <w:smallCaps/>
            <w:snapToGrid w:val="0"/>
            <w:kern w:val="22"/>
          </w:rPr>
          <w:t>3.3.</w:t>
        </w:r>
        <w:r w:rsidR="008E44C6" w:rsidRPr="009F54B9">
          <w:rPr>
            <w:rFonts w:asciiTheme="minorHAnsi" w:eastAsiaTheme="minorEastAsia" w:hAnsiTheme="minorHAnsi" w:cstheme="minorBidi"/>
            <w:snapToGrid w:val="0"/>
            <w:kern w:val="22"/>
          </w:rPr>
          <w:tab/>
        </w:r>
        <w:r w:rsidR="008E44C6" w:rsidRPr="009F54B9">
          <w:rPr>
            <w:rStyle w:val="Hyperlink"/>
            <w:rFonts w:eastAsia="Times"/>
            <w:smallCaps/>
            <w:snapToGrid w:val="0"/>
            <w:kern w:val="22"/>
          </w:rPr>
          <w:t>Dependencies on ecosystem services of manufacturing industries</w:t>
        </w:r>
        <w:r w:rsidR="008E44C6" w:rsidRPr="009F54B9">
          <w:rPr>
            <w:snapToGrid w:val="0"/>
            <w:webHidden/>
            <w:kern w:val="22"/>
          </w:rPr>
          <w:tab/>
        </w:r>
        <w:r w:rsidR="008E44C6" w:rsidRPr="009F54B9">
          <w:rPr>
            <w:snapToGrid w:val="0"/>
            <w:webHidden/>
            <w:kern w:val="22"/>
          </w:rPr>
          <w:fldChar w:fldCharType="begin"/>
        </w:r>
        <w:r w:rsidR="008E44C6" w:rsidRPr="009F54B9">
          <w:rPr>
            <w:snapToGrid w:val="0"/>
            <w:webHidden/>
            <w:kern w:val="22"/>
          </w:rPr>
          <w:instrText xml:space="preserve"> PAGEREF _Toc517690315 \h </w:instrText>
        </w:r>
        <w:r w:rsidR="008E44C6" w:rsidRPr="009F54B9">
          <w:rPr>
            <w:snapToGrid w:val="0"/>
            <w:webHidden/>
            <w:kern w:val="22"/>
          </w:rPr>
        </w:r>
        <w:r w:rsidR="008E44C6" w:rsidRPr="009F54B9">
          <w:rPr>
            <w:snapToGrid w:val="0"/>
            <w:webHidden/>
            <w:kern w:val="22"/>
          </w:rPr>
          <w:fldChar w:fldCharType="separate"/>
        </w:r>
        <w:r w:rsidR="00FD393B">
          <w:rPr>
            <w:snapToGrid w:val="0"/>
            <w:webHidden/>
            <w:kern w:val="22"/>
          </w:rPr>
          <w:t>23</w:t>
        </w:r>
        <w:r w:rsidR="008E44C6" w:rsidRPr="009F54B9">
          <w:rPr>
            <w:snapToGrid w:val="0"/>
            <w:webHidden/>
            <w:kern w:val="22"/>
          </w:rPr>
          <w:fldChar w:fldCharType="end"/>
        </w:r>
      </w:hyperlink>
    </w:p>
    <w:p w14:paraId="3FDC0013" w14:textId="77777777" w:rsidR="008E44C6" w:rsidRPr="009F54B9" w:rsidRDefault="00BE5BDF" w:rsidP="008E44C6">
      <w:pPr>
        <w:pStyle w:val="TOC2"/>
        <w:rPr>
          <w:rFonts w:asciiTheme="minorHAnsi" w:eastAsiaTheme="minorEastAsia" w:hAnsiTheme="minorHAnsi" w:cstheme="minorBidi"/>
          <w:snapToGrid w:val="0"/>
          <w:kern w:val="22"/>
        </w:rPr>
      </w:pPr>
      <w:hyperlink w:anchor="_Toc517690316" w:history="1">
        <w:r w:rsidR="008E44C6" w:rsidRPr="009F54B9">
          <w:rPr>
            <w:rStyle w:val="Hyperlink"/>
            <w:rFonts w:eastAsia="Times"/>
            <w:smallCaps/>
            <w:snapToGrid w:val="0"/>
            <w:kern w:val="22"/>
          </w:rPr>
          <w:t>3.4.</w:t>
        </w:r>
        <w:r w:rsidR="008E44C6" w:rsidRPr="009F54B9">
          <w:rPr>
            <w:rFonts w:asciiTheme="minorHAnsi" w:eastAsiaTheme="minorEastAsia" w:hAnsiTheme="minorHAnsi" w:cstheme="minorBidi"/>
            <w:snapToGrid w:val="0"/>
            <w:kern w:val="22"/>
          </w:rPr>
          <w:tab/>
        </w:r>
        <w:r w:rsidR="008E44C6" w:rsidRPr="009F54B9">
          <w:rPr>
            <w:rStyle w:val="Hyperlink"/>
            <w:rFonts w:eastAsia="Times"/>
            <w:smallCaps/>
            <w:snapToGrid w:val="0"/>
            <w:kern w:val="22"/>
          </w:rPr>
          <w:t>Environmental impacts of manufacturing industries</w:t>
        </w:r>
        <w:r w:rsidR="008E44C6" w:rsidRPr="009F54B9">
          <w:rPr>
            <w:snapToGrid w:val="0"/>
            <w:webHidden/>
            <w:kern w:val="22"/>
          </w:rPr>
          <w:tab/>
        </w:r>
        <w:r w:rsidR="008E44C6" w:rsidRPr="009F54B9">
          <w:rPr>
            <w:snapToGrid w:val="0"/>
            <w:webHidden/>
            <w:kern w:val="22"/>
          </w:rPr>
          <w:fldChar w:fldCharType="begin"/>
        </w:r>
        <w:r w:rsidR="008E44C6" w:rsidRPr="009F54B9">
          <w:rPr>
            <w:snapToGrid w:val="0"/>
            <w:webHidden/>
            <w:kern w:val="22"/>
          </w:rPr>
          <w:instrText xml:space="preserve"> PAGEREF _Toc517690316 \h </w:instrText>
        </w:r>
        <w:r w:rsidR="008E44C6" w:rsidRPr="009F54B9">
          <w:rPr>
            <w:snapToGrid w:val="0"/>
            <w:webHidden/>
            <w:kern w:val="22"/>
          </w:rPr>
        </w:r>
        <w:r w:rsidR="008E44C6" w:rsidRPr="009F54B9">
          <w:rPr>
            <w:snapToGrid w:val="0"/>
            <w:webHidden/>
            <w:kern w:val="22"/>
          </w:rPr>
          <w:fldChar w:fldCharType="separate"/>
        </w:r>
        <w:r w:rsidR="00FD393B">
          <w:rPr>
            <w:snapToGrid w:val="0"/>
            <w:webHidden/>
            <w:kern w:val="22"/>
          </w:rPr>
          <w:t>30</w:t>
        </w:r>
        <w:r w:rsidR="008E44C6" w:rsidRPr="009F54B9">
          <w:rPr>
            <w:snapToGrid w:val="0"/>
            <w:webHidden/>
            <w:kern w:val="22"/>
          </w:rPr>
          <w:fldChar w:fldCharType="end"/>
        </w:r>
      </w:hyperlink>
    </w:p>
    <w:p w14:paraId="75FBA51A" w14:textId="77777777" w:rsidR="008E44C6" w:rsidRPr="009F54B9" w:rsidRDefault="00BE5BDF" w:rsidP="008E44C6">
      <w:pPr>
        <w:pStyle w:val="TOC2"/>
        <w:rPr>
          <w:rFonts w:asciiTheme="minorHAnsi" w:eastAsiaTheme="minorEastAsia" w:hAnsiTheme="minorHAnsi" w:cstheme="minorBidi"/>
          <w:snapToGrid w:val="0"/>
          <w:kern w:val="22"/>
        </w:rPr>
      </w:pPr>
      <w:hyperlink w:anchor="_Toc517690317" w:history="1">
        <w:r w:rsidR="008E44C6" w:rsidRPr="009F54B9">
          <w:rPr>
            <w:rStyle w:val="Hyperlink"/>
            <w:rFonts w:eastAsia="Times"/>
            <w:smallCaps/>
            <w:snapToGrid w:val="0"/>
            <w:kern w:val="22"/>
          </w:rPr>
          <w:t>3.5.</w:t>
        </w:r>
        <w:r w:rsidR="008E44C6" w:rsidRPr="009F54B9">
          <w:rPr>
            <w:rFonts w:asciiTheme="minorHAnsi" w:eastAsiaTheme="minorEastAsia" w:hAnsiTheme="minorHAnsi" w:cstheme="minorBidi"/>
            <w:snapToGrid w:val="0"/>
            <w:kern w:val="22"/>
          </w:rPr>
          <w:tab/>
        </w:r>
        <w:r w:rsidR="008E44C6" w:rsidRPr="009F54B9">
          <w:rPr>
            <w:rStyle w:val="Hyperlink"/>
            <w:rFonts w:eastAsia="Times"/>
            <w:smallCaps/>
            <w:snapToGrid w:val="0"/>
            <w:kern w:val="22"/>
          </w:rPr>
          <w:t>Biodiversity at risk: Which manufacturing industries matter the most?</w:t>
        </w:r>
        <w:r w:rsidR="008E44C6" w:rsidRPr="009F54B9">
          <w:rPr>
            <w:snapToGrid w:val="0"/>
            <w:webHidden/>
            <w:kern w:val="22"/>
          </w:rPr>
          <w:tab/>
        </w:r>
        <w:r w:rsidR="008E44C6" w:rsidRPr="009F54B9">
          <w:rPr>
            <w:snapToGrid w:val="0"/>
            <w:webHidden/>
            <w:kern w:val="22"/>
          </w:rPr>
          <w:fldChar w:fldCharType="begin"/>
        </w:r>
        <w:r w:rsidR="008E44C6" w:rsidRPr="009F54B9">
          <w:rPr>
            <w:snapToGrid w:val="0"/>
            <w:webHidden/>
            <w:kern w:val="22"/>
          </w:rPr>
          <w:instrText xml:space="preserve"> PAGEREF _Toc517690317 \h </w:instrText>
        </w:r>
        <w:r w:rsidR="008E44C6" w:rsidRPr="009F54B9">
          <w:rPr>
            <w:snapToGrid w:val="0"/>
            <w:webHidden/>
            <w:kern w:val="22"/>
          </w:rPr>
        </w:r>
        <w:r w:rsidR="008E44C6" w:rsidRPr="009F54B9">
          <w:rPr>
            <w:snapToGrid w:val="0"/>
            <w:webHidden/>
            <w:kern w:val="22"/>
          </w:rPr>
          <w:fldChar w:fldCharType="separate"/>
        </w:r>
        <w:r w:rsidR="00FD393B">
          <w:rPr>
            <w:snapToGrid w:val="0"/>
            <w:webHidden/>
            <w:kern w:val="22"/>
          </w:rPr>
          <w:t>37</w:t>
        </w:r>
        <w:r w:rsidR="008E44C6" w:rsidRPr="009F54B9">
          <w:rPr>
            <w:snapToGrid w:val="0"/>
            <w:webHidden/>
            <w:kern w:val="22"/>
          </w:rPr>
          <w:fldChar w:fldCharType="end"/>
        </w:r>
      </w:hyperlink>
    </w:p>
    <w:p w14:paraId="51F9CC3B" w14:textId="77777777" w:rsidR="008E44C6" w:rsidRPr="009F54B9" w:rsidRDefault="00BE5BDF">
      <w:pPr>
        <w:pStyle w:val="TOC1"/>
        <w:tabs>
          <w:tab w:val="left" w:pos="440"/>
          <w:tab w:val="right" w:leader="dot" w:pos="9016"/>
        </w:tabs>
        <w:rPr>
          <w:rFonts w:asciiTheme="minorHAnsi" w:eastAsiaTheme="minorEastAsia" w:hAnsiTheme="minorHAnsi" w:cstheme="minorBidi"/>
          <w:noProof/>
          <w:snapToGrid w:val="0"/>
          <w:kern w:val="22"/>
          <w:szCs w:val="22"/>
        </w:rPr>
      </w:pPr>
      <w:hyperlink w:anchor="_Toc517690318" w:history="1">
        <w:r w:rsidR="008E44C6" w:rsidRPr="009F54B9">
          <w:rPr>
            <w:rStyle w:val="Hyperlink"/>
            <w:rFonts w:eastAsia="Times"/>
            <w:noProof/>
            <w:snapToGrid w:val="0"/>
            <w:kern w:val="22"/>
          </w:rPr>
          <w:t>4.</w:t>
        </w:r>
        <w:r w:rsidR="008E44C6" w:rsidRPr="009F54B9">
          <w:rPr>
            <w:rFonts w:asciiTheme="minorHAnsi" w:eastAsiaTheme="minorEastAsia" w:hAnsiTheme="minorHAnsi" w:cstheme="minorBidi"/>
            <w:noProof/>
            <w:snapToGrid w:val="0"/>
            <w:kern w:val="22"/>
            <w:szCs w:val="22"/>
          </w:rPr>
          <w:tab/>
        </w:r>
        <w:r w:rsidR="008E44C6" w:rsidRPr="009F54B9">
          <w:rPr>
            <w:rStyle w:val="Hyperlink"/>
            <w:rFonts w:eastAsia="Times"/>
            <w:noProof/>
            <w:snapToGrid w:val="0"/>
            <w:kern w:val="22"/>
          </w:rPr>
          <w:t>Mainstreaming biodiversity in the manufacturing sector: Key approaches and challenges</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_Toc517690318 \h </w:instrText>
        </w:r>
        <w:r w:rsidR="008E44C6" w:rsidRPr="009F54B9">
          <w:rPr>
            <w:noProof/>
            <w:snapToGrid w:val="0"/>
            <w:webHidden/>
            <w:kern w:val="22"/>
          </w:rPr>
        </w:r>
        <w:r w:rsidR="008E44C6" w:rsidRPr="009F54B9">
          <w:rPr>
            <w:noProof/>
            <w:snapToGrid w:val="0"/>
            <w:webHidden/>
            <w:kern w:val="22"/>
          </w:rPr>
          <w:fldChar w:fldCharType="separate"/>
        </w:r>
        <w:r w:rsidR="00FD393B">
          <w:rPr>
            <w:noProof/>
            <w:snapToGrid w:val="0"/>
            <w:webHidden/>
            <w:kern w:val="22"/>
          </w:rPr>
          <w:t>41</w:t>
        </w:r>
        <w:r w:rsidR="008E44C6" w:rsidRPr="009F54B9">
          <w:rPr>
            <w:noProof/>
            <w:snapToGrid w:val="0"/>
            <w:webHidden/>
            <w:kern w:val="22"/>
          </w:rPr>
          <w:fldChar w:fldCharType="end"/>
        </w:r>
      </w:hyperlink>
    </w:p>
    <w:p w14:paraId="771CE1F3" w14:textId="77777777" w:rsidR="008E44C6" w:rsidRPr="009F54B9" w:rsidRDefault="00BE5BDF" w:rsidP="008E44C6">
      <w:pPr>
        <w:pStyle w:val="TOC2"/>
        <w:rPr>
          <w:rFonts w:asciiTheme="minorHAnsi" w:eastAsiaTheme="minorEastAsia" w:hAnsiTheme="minorHAnsi" w:cstheme="minorBidi"/>
          <w:snapToGrid w:val="0"/>
          <w:kern w:val="22"/>
        </w:rPr>
      </w:pPr>
      <w:hyperlink w:anchor="_Toc517690319" w:history="1">
        <w:r w:rsidR="008E44C6" w:rsidRPr="009F54B9">
          <w:rPr>
            <w:rStyle w:val="Hyperlink"/>
            <w:rFonts w:eastAsia="Times"/>
            <w:smallCaps/>
            <w:snapToGrid w:val="0"/>
            <w:kern w:val="22"/>
          </w:rPr>
          <w:t>4.1.</w:t>
        </w:r>
        <w:r w:rsidR="008E44C6" w:rsidRPr="009F54B9">
          <w:rPr>
            <w:rFonts w:asciiTheme="minorHAnsi" w:eastAsiaTheme="minorEastAsia" w:hAnsiTheme="minorHAnsi" w:cstheme="minorBidi"/>
            <w:snapToGrid w:val="0"/>
            <w:kern w:val="22"/>
          </w:rPr>
          <w:tab/>
        </w:r>
        <w:r w:rsidR="008E44C6" w:rsidRPr="009F54B9">
          <w:rPr>
            <w:rStyle w:val="Hyperlink"/>
            <w:rFonts w:eastAsia="Times"/>
            <w:smallCaps/>
            <w:snapToGrid w:val="0"/>
            <w:kern w:val="22"/>
          </w:rPr>
          <w:t>The CBD and the private sector: A brief historical review</w:t>
        </w:r>
        <w:r w:rsidR="008E44C6" w:rsidRPr="009F54B9">
          <w:rPr>
            <w:snapToGrid w:val="0"/>
            <w:webHidden/>
            <w:kern w:val="22"/>
          </w:rPr>
          <w:tab/>
        </w:r>
        <w:r w:rsidR="008E44C6" w:rsidRPr="009F54B9">
          <w:rPr>
            <w:snapToGrid w:val="0"/>
            <w:webHidden/>
            <w:kern w:val="22"/>
          </w:rPr>
          <w:fldChar w:fldCharType="begin"/>
        </w:r>
        <w:r w:rsidR="008E44C6" w:rsidRPr="009F54B9">
          <w:rPr>
            <w:snapToGrid w:val="0"/>
            <w:webHidden/>
            <w:kern w:val="22"/>
          </w:rPr>
          <w:instrText xml:space="preserve"> PAGEREF _Toc517690319 \h </w:instrText>
        </w:r>
        <w:r w:rsidR="008E44C6" w:rsidRPr="009F54B9">
          <w:rPr>
            <w:snapToGrid w:val="0"/>
            <w:webHidden/>
            <w:kern w:val="22"/>
          </w:rPr>
        </w:r>
        <w:r w:rsidR="008E44C6" w:rsidRPr="009F54B9">
          <w:rPr>
            <w:snapToGrid w:val="0"/>
            <w:webHidden/>
            <w:kern w:val="22"/>
          </w:rPr>
          <w:fldChar w:fldCharType="separate"/>
        </w:r>
        <w:r w:rsidR="00FD393B">
          <w:rPr>
            <w:snapToGrid w:val="0"/>
            <w:webHidden/>
            <w:kern w:val="22"/>
          </w:rPr>
          <w:t>42</w:t>
        </w:r>
        <w:r w:rsidR="008E44C6" w:rsidRPr="009F54B9">
          <w:rPr>
            <w:snapToGrid w:val="0"/>
            <w:webHidden/>
            <w:kern w:val="22"/>
          </w:rPr>
          <w:fldChar w:fldCharType="end"/>
        </w:r>
      </w:hyperlink>
    </w:p>
    <w:p w14:paraId="2A152469" w14:textId="77777777" w:rsidR="008E44C6" w:rsidRPr="009F54B9" w:rsidRDefault="00BE5BDF" w:rsidP="008E44C6">
      <w:pPr>
        <w:pStyle w:val="TOC2"/>
        <w:rPr>
          <w:rFonts w:asciiTheme="minorHAnsi" w:eastAsiaTheme="minorEastAsia" w:hAnsiTheme="minorHAnsi" w:cstheme="minorBidi"/>
          <w:snapToGrid w:val="0"/>
          <w:kern w:val="22"/>
        </w:rPr>
      </w:pPr>
      <w:hyperlink w:anchor="_Toc517690320" w:history="1">
        <w:r w:rsidR="008E44C6" w:rsidRPr="009F54B9">
          <w:rPr>
            <w:rStyle w:val="Hyperlink"/>
            <w:rFonts w:eastAsia="Times"/>
            <w:smallCaps/>
            <w:snapToGrid w:val="0"/>
            <w:kern w:val="22"/>
          </w:rPr>
          <w:t>4.2.</w:t>
        </w:r>
        <w:r w:rsidR="008E44C6" w:rsidRPr="009F54B9">
          <w:rPr>
            <w:rFonts w:asciiTheme="minorHAnsi" w:eastAsiaTheme="minorEastAsia" w:hAnsiTheme="minorHAnsi" w:cstheme="minorBidi"/>
            <w:snapToGrid w:val="0"/>
            <w:kern w:val="22"/>
          </w:rPr>
          <w:tab/>
        </w:r>
        <w:r w:rsidR="008E44C6" w:rsidRPr="009F54B9">
          <w:rPr>
            <w:rStyle w:val="Hyperlink"/>
            <w:rFonts w:eastAsia="Times"/>
            <w:smallCaps/>
            <w:snapToGrid w:val="0"/>
            <w:kern w:val="22"/>
          </w:rPr>
          <w:t>What contributions to the CBD objectives by the manufacturing sector?</w:t>
        </w:r>
        <w:r w:rsidR="008E44C6" w:rsidRPr="009F54B9">
          <w:rPr>
            <w:snapToGrid w:val="0"/>
            <w:webHidden/>
            <w:kern w:val="22"/>
          </w:rPr>
          <w:tab/>
        </w:r>
        <w:r w:rsidR="008E44C6" w:rsidRPr="009F54B9">
          <w:rPr>
            <w:snapToGrid w:val="0"/>
            <w:webHidden/>
            <w:kern w:val="22"/>
          </w:rPr>
          <w:fldChar w:fldCharType="begin"/>
        </w:r>
        <w:r w:rsidR="008E44C6" w:rsidRPr="009F54B9">
          <w:rPr>
            <w:snapToGrid w:val="0"/>
            <w:webHidden/>
            <w:kern w:val="22"/>
          </w:rPr>
          <w:instrText xml:space="preserve"> PAGEREF _Toc517690320 \h </w:instrText>
        </w:r>
        <w:r w:rsidR="008E44C6" w:rsidRPr="009F54B9">
          <w:rPr>
            <w:snapToGrid w:val="0"/>
            <w:webHidden/>
            <w:kern w:val="22"/>
          </w:rPr>
        </w:r>
        <w:r w:rsidR="008E44C6" w:rsidRPr="009F54B9">
          <w:rPr>
            <w:snapToGrid w:val="0"/>
            <w:webHidden/>
            <w:kern w:val="22"/>
          </w:rPr>
          <w:fldChar w:fldCharType="separate"/>
        </w:r>
        <w:r w:rsidR="00FD393B">
          <w:rPr>
            <w:snapToGrid w:val="0"/>
            <w:webHidden/>
            <w:kern w:val="22"/>
          </w:rPr>
          <w:t>44</w:t>
        </w:r>
        <w:r w:rsidR="008E44C6" w:rsidRPr="009F54B9">
          <w:rPr>
            <w:snapToGrid w:val="0"/>
            <w:webHidden/>
            <w:kern w:val="22"/>
          </w:rPr>
          <w:fldChar w:fldCharType="end"/>
        </w:r>
      </w:hyperlink>
    </w:p>
    <w:p w14:paraId="082290D0" w14:textId="77777777" w:rsidR="008E44C6" w:rsidRPr="009F54B9" w:rsidRDefault="00BE5BDF" w:rsidP="008E44C6">
      <w:pPr>
        <w:pStyle w:val="TOC2"/>
        <w:rPr>
          <w:rFonts w:asciiTheme="minorHAnsi" w:eastAsiaTheme="minorEastAsia" w:hAnsiTheme="minorHAnsi" w:cstheme="minorBidi"/>
          <w:snapToGrid w:val="0"/>
          <w:kern w:val="22"/>
        </w:rPr>
      </w:pPr>
      <w:hyperlink w:anchor="_Toc517690321" w:history="1">
        <w:r w:rsidR="008E44C6" w:rsidRPr="009F54B9">
          <w:rPr>
            <w:rStyle w:val="Hyperlink"/>
            <w:rFonts w:eastAsia="Times"/>
            <w:smallCaps/>
            <w:snapToGrid w:val="0"/>
            <w:kern w:val="22"/>
          </w:rPr>
          <w:t>4.3.</w:t>
        </w:r>
        <w:r w:rsidR="008E44C6" w:rsidRPr="009F54B9">
          <w:rPr>
            <w:rFonts w:asciiTheme="minorHAnsi" w:eastAsiaTheme="minorEastAsia" w:hAnsiTheme="minorHAnsi" w:cstheme="minorBidi"/>
            <w:snapToGrid w:val="0"/>
            <w:kern w:val="22"/>
          </w:rPr>
          <w:tab/>
        </w:r>
        <w:r w:rsidR="008E44C6" w:rsidRPr="009F54B9">
          <w:rPr>
            <w:rStyle w:val="Hyperlink"/>
            <w:rFonts w:eastAsia="Times"/>
            <w:smallCaps/>
            <w:snapToGrid w:val="0"/>
            <w:kern w:val="22"/>
          </w:rPr>
          <w:t>Understanding the importance of biodiversity in manufacturing: Measurement and valuation for improved decision-making</w:t>
        </w:r>
        <w:r w:rsidR="008E44C6" w:rsidRPr="009F54B9">
          <w:rPr>
            <w:snapToGrid w:val="0"/>
            <w:webHidden/>
            <w:kern w:val="22"/>
          </w:rPr>
          <w:tab/>
        </w:r>
        <w:r w:rsidR="008E44C6" w:rsidRPr="009F54B9">
          <w:rPr>
            <w:snapToGrid w:val="0"/>
            <w:webHidden/>
            <w:kern w:val="22"/>
          </w:rPr>
          <w:fldChar w:fldCharType="begin"/>
        </w:r>
        <w:r w:rsidR="008E44C6" w:rsidRPr="009F54B9">
          <w:rPr>
            <w:snapToGrid w:val="0"/>
            <w:webHidden/>
            <w:kern w:val="22"/>
          </w:rPr>
          <w:instrText xml:space="preserve"> PAGEREF _Toc517690321 \h </w:instrText>
        </w:r>
        <w:r w:rsidR="008E44C6" w:rsidRPr="009F54B9">
          <w:rPr>
            <w:snapToGrid w:val="0"/>
            <w:webHidden/>
            <w:kern w:val="22"/>
          </w:rPr>
        </w:r>
        <w:r w:rsidR="008E44C6" w:rsidRPr="009F54B9">
          <w:rPr>
            <w:snapToGrid w:val="0"/>
            <w:webHidden/>
            <w:kern w:val="22"/>
          </w:rPr>
          <w:fldChar w:fldCharType="separate"/>
        </w:r>
        <w:r w:rsidR="00FD393B">
          <w:rPr>
            <w:snapToGrid w:val="0"/>
            <w:webHidden/>
            <w:kern w:val="22"/>
          </w:rPr>
          <w:t>49</w:t>
        </w:r>
        <w:r w:rsidR="008E44C6" w:rsidRPr="009F54B9">
          <w:rPr>
            <w:snapToGrid w:val="0"/>
            <w:webHidden/>
            <w:kern w:val="22"/>
          </w:rPr>
          <w:fldChar w:fldCharType="end"/>
        </w:r>
      </w:hyperlink>
    </w:p>
    <w:p w14:paraId="311A25AC" w14:textId="77777777" w:rsidR="008E44C6" w:rsidRPr="009F54B9" w:rsidRDefault="00BE5BDF" w:rsidP="008E44C6">
      <w:pPr>
        <w:pStyle w:val="TOC2"/>
        <w:rPr>
          <w:rFonts w:asciiTheme="minorHAnsi" w:eastAsiaTheme="minorEastAsia" w:hAnsiTheme="minorHAnsi" w:cstheme="minorBidi"/>
          <w:snapToGrid w:val="0"/>
          <w:kern w:val="22"/>
        </w:rPr>
      </w:pPr>
      <w:hyperlink w:anchor="_Toc517690322" w:history="1">
        <w:r w:rsidR="008E44C6" w:rsidRPr="009F54B9">
          <w:rPr>
            <w:rStyle w:val="Hyperlink"/>
            <w:rFonts w:eastAsia="Times"/>
            <w:smallCaps/>
            <w:snapToGrid w:val="0"/>
            <w:kern w:val="22"/>
          </w:rPr>
          <w:t>4.4.</w:t>
        </w:r>
        <w:r w:rsidR="008E44C6" w:rsidRPr="009F54B9">
          <w:rPr>
            <w:rFonts w:asciiTheme="minorHAnsi" w:eastAsiaTheme="minorEastAsia" w:hAnsiTheme="minorHAnsi" w:cstheme="minorBidi"/>
            <w:snapToGrid w:val="0"/>
            <w:kern w:val="22"/>
          </w:rPr>
          <w:tab/>
        </w:r>
        <w:r w:rsidR="008E44C6" w:rsidRPr="009F54B9">
          <w:rPr>
            <w:rStyle w:val="Hyperlink"/>
            <w:rFonts w:eastAsia="Times"/>
            <w:smallCaps/>
            <w:snapToGrid w:val="0"/>
            <w:kern w:val="22"/>
          </w:rPr>
          <w:t>Best practices in biodiversity mainstreaming: What opportunities in the manufacturing sector?</w:t>
        </w:r>
        <w:r w:rsidR="008E44C6" w:rsidRPr="009F54B9">
          <w:rPr>
            <w:snapToGrid w:val="0"/>
            <w:webHidden/>
            <w:kern w:val="22"/>
          </w:rPr>
          <w:tab/>
        </w:r>
        <w:r w:rsidR="008E44C6" w:rsidRPr="009F54B9">
          <w:rPr>
            <w:snapToGrid w:val="0"/>
            <w:webHidden/>
            <w:kern w:val="22"/>
          </w:rPr>
          <w:fldChar w:fldCharType="begin"/>
        </w:r>
        <w:r w:rsidR="008E44C6" w:rsidRPr="009F54B9">
          <w:rPr>
            <w:snapToGrid w:val="0"/>
            <w:webHidden/>
            <w:kern w:val="22"/>
          </w:rPr>
          <w:instrText xml:space="preserve"> PAGEREF _Toc517690322 \h </w:instrText>
        </w:r>
        <w:r w:rsidR="008E44C6" w:rsidRPr="009F54B9">
          <w:rPr>
            <w:snapToGrid w:val="0"/>
            <w:webHidden/>
            <w:kern w:val="22"/>
          </w:rPr>
        </w:r>
        <w:r w:rsidR="008E44C6" w:rsidRPr="009F54B9">
          <w:rPr>
            <w:snapToGrid w:val="0"/>
            <w:webHidden/>
            <w:kern w:val="22"/>
          </w:rPr>
          <w:fldChar w:fldCharType="separate"/>
        </w:r>
        <w:r w:rsidR="00FD393B">
          <w:rPr>
            <w:snapToGrid w:val="0"/>
            <w:webHidden/>
            <w:kern w:val="22"/>
          </w:rPr>
          <w:t>55</w:t>
        </w:r>
        <w:r w:rsidR="008E44C6" w:rsidRPr="009F54B9">
          <w:rPr>
            <w:snapToGrid w:val="0"/>
            <w:webHidden/>
            <w:kern w:val="22"/>
          </w:rPr>
          <w:fldChar w:fldCharType="end"/>
        </w:r>
      </w:hyperlink>
    </w:p>
    <w:p w14:paraId="53241478" w14:textId="77777777" w:rsidR="008E44C6" w:rsidRPr="009F54B9" w:rsidRDefault="00BE5BDF">
      <w:pPr>
        <w:pStyle w:val="TOC1"/>
        <w:tabs>
          <w:tab w:val="left" w:pos="440"/>
          <w:tab w:val="right" w:leader="dot" w:pos="9016"/>
        </w:tabs>
        <w:rPr>
          <w:rFonts w:asciiTheme="minorHAnsi" w:eastAsiaTheme="minorEastAsia" w:hAnsiTheme="minorHAnsi" w:cstheme="minorBidi"/>
          <w:noProof/>
          <w:snapToGrid w:val="0"/>
          <w:kern w:val="22"/>
          <w:szCs w:val="22"/>
        </w:rPr>
      </w:pPr>
      <w:hyperlink w:anchor="_Toc517690323" w:history="1">
        <w:r w:rsidR="008E44C6" w:rsidRPr="009F54B9">
          <w:rPr>
            <w:rStyle w:val="Hyperlink"/>
            <w:rFonts w:eastAsia="Times"/>
            <w:noProof/>
            <w:snapToGrid w:val="0"/>
            <w:kern w:val="22"/>
          </w:rPr>
          <w:t>5.</w:t>
        </w:r>
        <w:r w:rsidR="008E44C6" w:rsidRPr="009F54B9">
          <w:rPr>
            <w:rFonts w:asciiTheme="minorHAnsi" w:eastAsiaTheme="minorEastAsia" w:hAnsiTheme="minorHAnsi" w:cstheme="minorBidi"/>
            <w:noProof/>
            <w:snapToGrid w:val="0"/>
            <w:kern w:val="22"/>
            <w:szCs w:val="22"/>
          </w:rPr>
          <w:tab/>
        </w:r>
        <w:r w:rsidR="008E44C6" w:rsidRPr="009F54B9">
          <w:rPr>
            <w:rStyle w:val="Hyperlink"/>
            <w:rFonts w:eastAsia="Times"/>
            <w:noProof/>
            <w:snapToGrid w:val="0"/>
            <w:kern w:val="22"/>
          </w:rPr>
          <w:t>Policy recommendations</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_Toc517690323 \h </w:instrText>
        </w:r>
        <w:r w:rsidR="008E44C6" w:rsidRPr="009F54B9">
          <w:rPr>
            <w:noProof/>
            <w:snapToGrid w:val="0"/>
            <w:webHidden/>
            <w:kern w:val="22"/>
          </w:rPr>
        </w:r>
        <w:r w:rsidR="008E44C6" w:rsidRPr="009F54B9">
          <w:rPr>
            <w:noProof/>
            <w:snapToGrid w:val="0"/>
            <w:webHidden/>
            <w:kern w:val="22"/>
          </w:rPr>
          <w:fldChar w:fldCharType="separate"/>
        </w:r>
        <w:r w:rsidR="00FD393B">
          <w:rPr>
            <w:noProof/>
            <w:snapToGrid w:val="0"/>
            <w:webHidden/>
            <w:kern w:val="22"/>
          </w:rPr>
          <w:t>60</w:t>
        </w:r>
        <w:r w:rsidR="008E44C6" w:rsidRPr="009F54B9">
          <w:rPr>
            <w:noProof/>
            <w:snapToGrid w:val="0"/>
            <w:webHidden/>
            <w:kern w:val="22"/>
          </w:rPr>
          <w:fldChar w:fldCharType="end"/>
        </w:r>
      </w:hyperlink>
    </w:p>
    <w:p w14:paraId="2A322965" w14:textId="77777777" w:rsidR="008E44C6" w:rsidRPr="009F54B9" w:rsidRDefault="00BE5BDF">
      <w:pPr>
        <w:pStyle w:val="TOC1"/>
        <w:tabs>
          <w:tab w:val="left" w:pos="440"/>
          <w:tab w:val="right" w:leader="dot" w:pos="9016"/>
        </w:tabs>
        <w:rPr>
          <w:rFonts w:asciiTheme="minorHAnsi" w:eastAsiaTheme="minorEastAsia" w:hAnsiTheme="minorHAnsi" w:cstheme="minorBidi"/>
          <w:noProof/>
          <w:snapToGrid w:val="0"/>
          <w:kern w:val="22"/>
          <w:szCs w:val="22"/>
        </w:rPr>
      </w:pPr>
      <w:hyperlink w:anchor="_Toc517690324" w:history="1">
        <w:r w:rsidR="008E44C6" w:rsidRPr="009F54B9">
          <w:rPr>
            <w:rStyle w:val="Hyperlink"/>
            <w:rFonts w:eastAsia="Times"/>
            <w:noProof/>
            <w:snapToGrid w:val="0"/>
            <w:kern w:val="22"/>
          </w:rPr>
          <w:t>6.</w:t>
        </w:r>
        <w:r w:rsidR="008E44C6" w:rsidRPr="009F54B9">
          <w:rPr>
            <w:rFonts w:asciiTheme="minorHAnsi" w:eastAsiaTheme="minorEastAsia" w:hAnsiTheme="minorHAnsi" w:cstheme="minorBidi"/>
            <w:noProof/>
            <w:snapToGrid w:val="0"/>
            <w:kern w:val="22"/>
            <w:szCs w:val="22"/>
          </w:rPr>
          <w:tab/>
        </w:r>
        <w:r w:rsidR="008E44C6" w:rsidRPr="009F54B9">
          <w:rPr>
            <w:rStyle w:val="Hyperlink"/>
            <w:rFonts w:eastAsia="Times"/>
            <w:noProof/>
            <w:snapToGrid w:val="0"/>
            <w:kern w:val="22"/>
          </w:rPr>
          <w:t>Annex 1 – Further UNSD ISIC Rev. 4 classification details</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_Toc517690324 \h </w:instrText>
        </w:r>
        <w:r w:rsidR="008E44C6" w:rsidRPr="009F54B9">
          <w:rPr>
            <w:noProof/>
            <w:snapToGrid w:val="0"/>
            <w:webHidden/>
            <w:kern w:val="22"/>
          </w:rPr>
        </w:r>
        <w:r w:rsidR="008E44C6" w:rsidRPr="009F54B9">
          <w:rPr>
            <w:noProof/>
            <w:snapToGrid w:val="0"/>
            <w:webHidden/>
            <w:kern w:val="22"/>
          </w:rPr>
          <w:fldChar w:fldCharType="separate"/>
        </w:r>
        <w:r w:rsidR="00FD393B">
          <w:rPr>
            <w:noProof/>
            <w:snapToGrid w:val="0"/>
            <w:webHidden/>
            <w:kern w:val="22"/>
          </w:rPr>
          <w:t>63</w:t>
        </w:r>
        <w:r w:rsidR="008E44C6" w:rsidRPr="009F54B9">
          <w:rPr>
            <w:noProof/>
            <w:snapToGrid w:val="0"/>
            <w:webHidden/>
            <w:kern w:val="22"/>
          </w:rPr>
          <w:fldChar w:fldCharType="end"/>
        </w:r>
      </w:hyperlink>
    </w:p>
    <w:p w14:paraId="616ACD73" w14:textId="77777777" w:rsidR="008E44C6" w:rsidRPr="009F54B9" w:rsidRDefault="008E44C6" w:rsidP="007F0DE4">
      <w:pPr>
        <w:rPr>
          <w:caps/>
          <w:snapToGrid w:val="0"/>
          <w:spacing w:val="-2"/>
          <w:kern w:val="22"/>
          <w:szCs w:val="22"/>
        </w:rPr>
      </w:pPr>
      <w:r w:rsidRPr="009F54B9">
        <w:rPr>
          <w:caps/>
          <w:snapToGrid w:val="0"/>
          <w:spacing w:val="-2"/>
          <w:kern w:val="22"/>
          <w:szCs w:val="22"/>
        </w:rPr>
        <w:fldChar w:fldCharType="end"/>
      </w:r>
    </w:p>
    <w:p w14:paraId="595892BC" w14:textId="77777777" w:rsidR="008E44C6" w:rsidRPr="009F54B9" w:rsidRDefault="008E44C6" w:rsidP="007F0DE4">
      <w:pPr>
        <w:rPr>
          <w:caps/>
          <w:snapToGrid w:val="0"/>
          <w:spacing w:val="-2"/>
          <w:kern w:val="22"/>
          <w:szCs w:val="22"/>
        </w:rPr>
      </w:pPr>
    </w:p>
    <w:p w14:paraId="36022DF5" w14:textId="77777777" w:rsidR="008E44C6" w:rsidRPr="009F54B9" w:rsidRDefault="008E44C6" w:rsidP="003902FE">
      <w:pPr>
        <w:pStyle w:val="Title"/>
        <w:outlineLvl w:val="0"/>
        <w:rPr>
          <w:caps/>
          <w:snapToGrid w:val="0"/>
          <w:kern w:val="22"/>
          <w:sz w:val="22"/>
          <w:szCs w:val="22"/>
        </w:rPr>
      </w:pPr>
      <w:bookmarkStart w:id="2" w:name="_Toc517690305"/>
      <w:r w:rsidRPr="009F54B9">
        <w:rPr>
          <w:caps/>
          <w:snapToGrid w:val="0"/>
          <w:kern w:val="22"/>
          <w:sz w:val="22"/>
          <w:szCs w:val="22"/>
        </w:rPr>
        <w:t>List of Tables</w:t>
      </w:r>
      <w:bookmarkEnd w:id="2"/>
    </w:p>
    <w:p w14:paraId="0CA9ECEB" w14:textId="77777777" w:rsidR="008E44C6" w:rsidRPr="009F54B9" w:rsidRDefault="008E44C6"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r w:rsidRPr="009F54B9">
        <w:rPr>
          <w:snapToGrid w:val="0"/>
          <w:kern w:val="22"/>
          <w:szCs w:val="22"/>
        </w:rPr>
        <w:fldChar w:fldCharType="begin"/>
      </w:r>
      <w:r w:rsidRPr="009F54B9">
        <w:rPr>
          <w:snapToGrid w:val="0"/>
          <w:kern w:val="22"/>
          <w:szCs w:val="22"/>
        </w:rPr>
        <w:instrText xml:space="preserve"> TOC \h \z \c "Table" </w:instrText>
      </w:r>
      <w:r w:rsidRPr="009F54B9">
        <w:rPr>
          <w:snapToGrid w:val="0"/>
          <w:kern w:val="22"/>
          <w:szCs w:val="22"/>
        </w:rPr>
        <w:fldChar w:fldCharType="separate"/>
      </w:r>
      <w:hyperlink w:anchor="_Toc517688920" w:history="1">
        <w:r w:rsidRPr="009F54B9">
          <w:rPr>
            <w:rStyle w:val="Hyperlink"/>
            <w:noProof/>
            <w:snapToGrid w:val="0"/>
            <w:kern w:val="22"/>
          </w:rPr>
          <w:t>Table 1: Top 10 food processing companies in the world</w:t>
        </w:r>
        <w:r w:rsidRPr="009F54B9">
          <w:rPr>
            <w:noProof/>
            <w:snapToGrid w:val="0"/>
            <w:webHidden/>
            <w:kern w:val="22"/>
          </w:rPr>
          <w:tab/>
        </w:r>
        <w:r w:rsidRPr="009F54B9">
          <w:rPr>
            <w:noProof/>
            <w:snapToGrid w:val="0"/>
            <w:webHidden/>
            <w:kern w:val="22"/>
          </w:rPr>
          <w:fldChar w:fldCharType="begin"/>
        </w:r>
        <w:r w:rsidRPr="009F54B9">
          <w:rPr>
            <w:noProof/>
            <w:snapToGrid w:val="0"/>
            <w:webHidden/>
            <w:kern w:val="22"/>
          </w:rPr>
          <w:instrText xml:space="preserve"> PAGEREF _Toc517688920 \h </w:instrText>
        </w:r>
        <w:r w:rsidRPr="009F54B9">
          <w:rPr>
            <w:noProof/>
            <w:snapToGrid w:val="0"/>
            <w:webHidden/>
            <w:kern w:val="22"/>
          </w:rPr>
        </w:r>
        <w:r w:rsidRPr="009F54B9">
          <w:rPr>
            <w:noProof/>
            <w:snapToGrid w:val="0"/>
            <w:webHidden/>
            <w:kern w:val="22"/>
          </w:rPr>
          <w:fldChar w:fldCharType="separate"/>
        </w:r>
        <w:r w:rsidRPr="009F54B9">
          <w:rPr>
            <w:noProof/>
            <w:snapToGrid w:val="0"/>
            <w:webHidden/>
            <w:kern w:val="22"/>
          </w:rPr>
          <w:t>9</w:t>
        </w:r>
        <w:r w:rsidRPr="009F54B9">
          <w:rPr>
            <w:noProof/>
            <w:snapToGrid w:val="0"/>
            <w:webHidden/>
            <w:kern w:val="22"/>
          </w:rPr>
          <w:fldChar w:fldCharType="end"/>
        </w:r>
      </w:hyperlink>
    </w:p>
    <w:p w14:paraId="6DF2AFD6"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21" w:history="1">
        <w:r w:rsidR="008E44C6" w:rsidRPr="009F54B9">
          <w:rPr>
            <w:rStyle w:val="Hyperlink"/>
            <w:noProof/>
            <w:snapToGrid w:val="0"/>
            <w:kern w:val="22"/>
          </w:rPr>
          <w:t>Table 2: Global top 20 ranking of chemical companies in 2016</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_Toc517688921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10</w:t>
        </w:r>
        <w:r w:rsidR="008E44C6" w:rsidRPr="009F54B9">
          <w:rPr>
            <w:noProof/>
            <w:snapToGrid w:val="0"/>
            <w:webHidden/>
            <w:kern w:val="22"/>
          </w:rPr>
          <w:fldChar w:fldCharType="end"/>
        </w:r>
      </w:hyperlink>
    </w:p>
    <w:p w14:paraId="125094FD"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22" w:history="1">
        <w:r w:rsidR="008E44C6" w:rsidRPr="009F54B9">
          <w:rPr>
            <w:rStyle w:val="Hyperlink"/>
            <w:noProof/>
            <w:snapToGrid w:val="0"/>
            <w:kern w:val="22"/>
          </w:rPr>
          <w:t>Table 3: The contributions of agriculture, industry, manufacturing and services to Gross Domestic Product worldwide (as % of GDP, from 2005 to 2016)</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_Toc517688922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14</w:t>
        </w:r>
        <w:r w:rsidR="008E44C6" w:rsidRPr="009F54B9">
          <w:rPr>
            <w:noProof/>
            <w:snapToGrid w:val="0"/>
            <w:webHidden/>
            <w:kern w:val="22"/>
          </w:rPr>
          <w:fldChar w:fldCharType="end"/>
        </w:r>
      </w:hyperlink>
    </w:p>
    <w:p w14:paraId="38706548"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23" w:history="1">
        <w:r w:rsidR="008E44C6" w:rsidRPr="009F54B9">
          <w:rPr>
            <w:rStyle w:val="Hyperlink"/>
            <w:noProof/>
            <w:snapToGrid w:val="0"/>
            <w:kern w:val="22"/>
          </w:rPr>
          <w:t>Table 4: Five key industry groups within the manufacturing sector according to six characteristics / needs (McKinsey 2012)</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_Toc517688923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15</w:t>
        </w:r>
        <w:r w:rsidR="008E44C6" w:rsidRPr="009F54B9">
          <w:rPr>
            <w:noProof/>
            <w:snapToGrid w:val="0"/>
            <w:webHidden/>
            <w:kern w:val="22"/>
          </w:rPr>
          <w:fldChar w:fldCharType="end"/>
        </w:r>
      </w:hyperlink>
    </w:p>
    <w:p w14:paraId="4AEA5DE9"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24" w:history="1">
        <w:r w:rsidR="008E44C6" w:rsidRPr="009F54B9">
          <w:rPr>
            <w:rStyle w:val="Hyperlink"/>
            <w:noProof/>
            <w:snapToGrid w:val="0"/>
            <w:kern w:val="22"/>
          </w:rPr>
          <w:t xml:space="preserve">Table 5: Impacts and dependencies of different industries on ecosystem services according to the </w:t>
        </w:r>
        <w:r w:rsidR="008E44C6" w:rsidRPr="009F54B9">
          <w:rPr>
            <w:rStyle w:val="Hyperlink"/>
            <w:noProof/>
            <w:snapToGrid w:val="0"/>
            <w:kern w:val="22"/>
            <w:shd w:val="clear" w:color="auto" w:fill="FFFFFF"/>
          </w:rPr>
          <w:t>World Business Council on Sustainable Development (WBCSD</w:t>
        </w:r>
        <w:r w:rsidR="008E44C6" w:rsidRPr="009F54B9">
          <w:rPr>
            <w:rStyle w:val="Hyperlink"/>
            <w:noProof/>
            <w:snapToGrid w:val="0"/>
            <w:kern w:val="22"/>
          </w:rPr>
          <w:t xml:space="preserve"> 2011)</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_Toc517688924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23</w:t>
        </w:r>
        <w:r w:rsidR="008E44C6" w:rsidRPr="009F54B9">
          <w:rPr>
            <w:noProof/>
            <w:snapToGrid w:val="0"/>
            <w:webHidden/>
            <w:kern w:val="22"/>
          </w:rPr>
          <w:fldChar w:fldCharType="end"/>
        </w:r>
      </w:hyperlink>
    </w:p>
    <w:p w14:paraId="1C219CEC"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25" w:history="1">
        <w:r w:rsidR="008E44C6" w:rsidRPr="009F54B9">
          <w:rPr>
            <w:rStyle w:val="Hyperlink"/>
            <w:noProof/>
            <w:snapToGrid w:val="0"/>
            <w:kern w:val="22"/>
          </w:rPr>
          <w:t>Table 6: Main direct and indirect dependencies on FEGS of manufacturing industries (UNSD industry classification)</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_Toc517688925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30</w:t>
        </w:r>
        <w:r w:rsidR="008E44C6" w:rsidRPr="009F54B9">
          <w:rPr>
            <w:noProof/>
            <w:snapToGrid w:val="0"/>
            <w:webHidden/>
            <w:kern w:val="22"/>
          </w:rPr>
          <w:fldChar w:fldCharType="end"/>
        </w:r>
      </w:hyperlink>
    </w:p>
    <w:p w14:paraId="508DC514"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26" w:history="1">
        <w:r w:rsidR="008E44C6" w:rsidRPr="009F54B9">
          <w:rPr>
            <w:rStyle w:val="Hyperlink"/>
            <w:noProof/>
            <w:snapToGrid w:val="0"/>
            <w:kern w:val="22"/>
          </w:rPr>
          <w:t>Table 7: Examples of impact drivers linked to business inputs and outputs (adated from Natural Capital Coalition 2016)</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_Toc517688926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33</w:t>
        </w:r>
        <w:r w:rsidR="008E44C6" w:rsidRPr="009F54B9">
          <w:rPr>
            <w:noProof/>
            <w:snapToGrid w:val="0"/>
            <w:webHidden/>
            <w:kern w:val="22"/>
          </w:rPr>
          <w:fldChar w:fldCharType="end"/>
        </w:r>
      </w:hyperlink>
    </w:p>
    <w:p w14:paraId="69CE64B5"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27" w:history="1">
        <w:r w:rsidR="008E44C6" w:rsidRPr="009F54B9">
          <w:rPr>
            <w:rStyle w:val="Hyperlink"/>
            <w:noProof/>
            <w:snapToGrid w:val="0"/>
            <w:kern w:val="22"/>
          </w:rPr>
          <w:t>Table 8: The manufacturing industries presenting major risk of future biodiversity loss</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_Toc517688927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43</w:t>
        </w:r>
        <w:r w:rsidR="008E44C6" w:rsidRPr="009F54B9">
          <w:rPr>
            <w:noProof/>
            <w:snapToGrid w:val="0"/>
            <w:webHidden/>
            <w:kern w:val="22"/>
          </w:rPr>
          <w:fldChar w:fldCharType="end"/>
        </w:r>
      </w:hyperlink>
    </w:p>
    <w:p w14:paraId="2DFA68CB" w14:textId="77777777" w:rsidR="008E44C6" w:rsidRPr="009F54B9" w:rsidRDefault="00BE5BDF">
      <w:pPr>
        <w:pStyle w:val="TableofFigures"/>
        <w:tabs>
          <w:tab w:val="right" w:leader="dot" w:pos="9016"/>
        </w:tabs>
        <w:rPr>
          <w:rFonts w:asciiTheme="minorHAnsi" w:eastAsiaTheme="minorEastAsia" w:hAnsiTheme="minorHAnsi" w:cstheme="minorBidi"/>
          <w:noProof/>
          <w:snapToGrid w:val="0"/>
          <w:color w:val="auto"/>
          <w:kern w:val="22"/>
          <w:szCs w:val="22"/>
        </w:rPr>
      </w:pPr>
      <w:hyperlink w:anchor="_Toc517688928" w:history="1">
        <w:r w:rsidR="008E44C6" w:rsidRPr="009F54B9">
          <w:rPr>
            <w:rStyle w:val="Hyperlink"/>
            <w:noProof/>
            <w:snapToGrid w:val="0"/>
            <w:kern w:val="22"/>
          </w:rPr>
          <w:t>Table 9: The world's 10 most threatened forest biodiversity hotspots – what manufacturing industries and companies are implicated through their supply chains?</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_Toc517688928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44</w:t>
        </w:r>
        <w:r w:rsidR="008E44C6" w:rsidRPr="009F54B9">
          <w:rPr>
            <w:noProof/>
            <w:snapToGrid w:val="0"/>
            <w:webHidden/>
            <w:kern w:val="22"/>
          </w:rPr>
          <w:fldChar w:fldCharType="end"/>
        </w:r>
      </w:hyperlink>
    </w:p>
    <w:p w14:paraId="7A9302F1" w14:textId="77777777" w:rsidR="008E44C6" w:rsidRPr="009F54B9" w:rsidRDefault="00BE5BDF">
      <w:pPr>
        <w:pStyle w:val="TableofFigures"/>
        <w:tabs>
          <w:tab w:val="right" w:leader="dot" w:pos="9016"/>
        </w:tabs>
        <w:rPr>
          <w:rFonts w:asciiTheme="minorHAnsi" w:eastAsiaTheme="minorEastAsia" w:hAnsiTheme="minorHAnsi" w:cstheme="minorBidi"/>
          <w:noProof/>
          <w:snapToGrid w:val="0"/>
          <w:color w:val="auto"/>
          <w:kern w:val="22"/>
          <w:szCs w:val="22"/>
        </w:rPr>
      </w:pPr>
      <w:hyperlink w:anchor="_Toc517688929" w:history="1">
        <w:r w:rsidR="008E44C6" w:rsidRPr="009F54B9">
          <w:rPr>
            <w:rStyle w:val="Hyperlink"/>
            <w:noProof/>
            <w:snapToGrid w:val="0"/>
            <w:kern w:val="22"/>
          </w:rPr>
          <w:t>Table 10: Different value perspectives in business natural capital valuation (Natural Capital Coalition 2016)</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_Toc517688929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56</w:t>
        </w:r>
        <w:r w:rsidR="008E44C6" w:rsidRPr="009F54B9">
          <w:rPr>
            <w:noProof/>
            <w:snapToGrid w:val="0"/>
            <w:webHidden/>
            <w:kern w:val="22"/>
          </w:rPr>
          <w:fldChar w:fldCharType="end"/>
        </w:r>
      </w:hyperlink>
    </w:p>
    <w:p w14:paraId="74E4D787" w14:textId="77777777" w:rsidR="008E44C6" w:rsidRPr="009F54B9" w:rsidRDefault="008E44C6" w:rsidP="007F0DE4">
      <w:pPr>
        <w:rPr>
          <w:snapToGrid w:val="0"/>
          <w:kern w:val="22"/>
          <w:szCs w:val="22"/>
        </w:rPr>
      </w:pPr>
      <w:r w:rsidRPr="009F54B9">
        <w:rPr>
          <w:snapToGrid w:val="0"/>
          <w:kern w:val="22"/>
          <w:szCs w:val="22"/>
        </w:rPr>
        <w:fldChar w:fldCharType="end"/>
      </w:r>
    </w:p>
    <w:p w14:paraId="0A2D392D" w14:textId="77777777" w:rsidR="008E44C6" w:rsidRPr="009F54B9" w:rsidRDefault="008E44C6" w:rsidP="007F0DE4">
      <w:pPr>
        <w:rPr>
          <w:snapToGrid w:val="0"/>
          <w:kern w:val="22"/>
          <w:szCs w:val="22"/>
        </w:rPr>
      </w:pPr>
    </w:p>
    <w:p w14:paraId="03F732D1" w14:textId="77777777" w:rsidR="008E44C6" w:rsidRPr="009F54B9" w:rsidRDefault="008E44C6" w:rsidP="003902FE">
      <w:pPr>
        <w:pStyle w:val="Title"/>
        <w:outlineLvl w:val="0"/>
        <w:rPr>
          <w:caps/>
          <w:snapToGrid w:val="0"/>
          <w:kern w:val="22"/>
          <w:sz w:val="22"/>
          <w:szCs w:val="22"/>
        </w:rPr>
      </w:pPr>
      <w:bookmarkStart w:id="3" w:name="_Toc517690306"/>
      <w:r w:rsidRPr="009F54B9">
        <w:rPr>
          <w:caps/>
          <w:snapToGrid w:val="0"/>
          <w:kern w:val="22"/>
          <w:sz w:val="22"/>
          <w:szCs w:val="22"/>
        </w:rPr>
        <w:t>List of figures</w:t>
      </w:r>
      <w:bookmarkEnd w:id="3"/>
    </w:p>
    <w:p w14:paraId="3D6529A2" w14:textId="77777777" w:rsidR="008E44C6" w:rsidRPr="009F54B9" w:rsidRDefault="008E44C6"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r w:rsidRPr="009F54B9">
        <w:rPr>
          <w:snapToGrid w:val="0"/>
          <w:kern w:val="22"/>
          <w:szCs w:val="22"/>
        </w:rPr>
        <w:fldChar w:fldCharType="begin"/>
      </w:r>
      <w:r w:rsidRPr="009F54B9">
        <w:rPr>
          <w:snapToGrid w:val="0"/>
          <w:kern w:val="22"/>
          <w:szCs w:val="22"/>
        </w:rPr>
        <w:instrText xml:space="preserve"> TOC \h \z \c "Figure" </w:instrText>
      </w:r>
      <w:r w:rsidRPr="009F54B9">
        <w:rPr>
          <w:snapToGrid w:val="0"/>
          <w:kern w:val="22"/>
          <w:szCs w:val="22"/>
        </w:rPr>
        <w:fldChar w:fldCharType="separate"/>
      </w:r>
      <w:hyperlink w:anchor="_Toc517688900" w:history="1">
        <w:r w:rsidRPr="009F54B9">
          <w:rPr>
            <w:rStyle w:val="Hyperlink"/>
            <w:noProof/>
            <w:snapToGrid w:val="0"/>
            <w:kern w:val="22"/>
          </w:rPr>
          <w:t xml:space="preserve">Figure 1: Value of the leading 10 textile exporters worldwide in 2016, by country (in billion </w:t>
        </w:r>
        <w:r w:rsidR="006835CC" w:rsidRPr="009F54B9">
          <w:rPr>
            <w:rStyle w:val="Hyperlink"/>
            <w:noProof/>
            <w:snapToGrid w:val="0"/>
            <w:kern w:val="22"/>
          </w:rPr>
          <w:t>United States</w:t>
        </w:r>
        <w:r w:rsidRPr="009F54B9">
          <w:rPr>
            <w:rStyle w:val="Hyperlink"/>
            <w:noProof/>
            <w:snapToGrid w:val="0"/>
            <w:kern w:val="22"/>
          </w:rPr>
          <w:t xml:space="preserve"> dollars)</w:t>
        </w:r>
        <w:r w:rsidRPr="009F54B9">
          <w:rPr>
            <w:noProof/>
            <w:snapToGrid w:val="0"/>
            <w:webHidden/>
            <w:kern w:val="22"/>
          </w:rPr>
          <w:tab/>
        </w:r>
        <w:r w:rsidRPr="009F54B9">
          <w:rPr>
            <w:noProof/>
            <w:snapToGrid w:val="0"/>
            <w:webHidden/>
            <w:kern w:val="22"/>
          </w:rPr>
          <w:fldChar w:fldCharType="begin"/>
        </w:r>
        <w:r w:rsidRPr="009F54B9">
          <w:rPr>
            <w:noProof/>
            <w:snapToGrid w:val="0"/>
            <w:webHidden/>
            <w:kern w:val="22"/>
          </w:rPr>
          <w:instrText xml:space="preserve"> PAGEREF _Toc517688900 \h </w:instrText>
        </w:r>
        <w:r w:rsidRPr="009F54B9">
          <w:rPr>
            <w:noProof/>
            <w:snapToGrid w:val="0"/>
            <w:webHidden/>
            <w:kern w:val="22"/>
          </w:rPr>
        </w:r>
        <w:r w:rsidRPr="009F54B9">
          <w:rPr>
            <w:noProof/>
            <w:snapToGrid w:val="0"/>
            <w:webHidden/>
            <w:kern w:val="22"/>
          </w:rPr>
          <w:fldChar w:fldCharType="separate"/>
        </w:r>
        <w:r w:rsidRPr="009F54B9">
          <w:rPr>
            <w:noProof/>
            <w:snapToGrid w:val="0"/>
            <w:webHidden/>
            <w:kern w:val="22"/>
          </w:rPr>
          <w:t>8</w:t>
        </w:r>
        <w:r w:rsidRPr="009F54B9">
          <w:rPr>
            <w:noProof/>
            <w:snapToGrid w:val="0"/>
            <w:webHidden/>
            <w:kern w:val="22"/>
          </w:rPr>
          <w:fldChar w:fldCharType="end"/>
        </w:r>
      </w:hyperlink>
    </w:p>
    <w:p w14:paraId="6CFAFE0C"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01" w:history="1">
        <w:r w:rsidR="008E44C6" w:rsidRPr="009F54B9">
          <w:rPr>
            <w:rStyle w:val="Hyperlink"/>
            <w:noProof/>
            <w:snapToGrid w:val="0"/>
            <w:kern w:val="22"/>
          </w:rPr>
          <w:t>Figure 2: Passenger car production in selected countries in 2016, by country (in million units)</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_Toc517688901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12</w:t>
        </w:r>
        <w:r w:rsidR="008E44C6" w:rsidRPr="009F54B9">
          <w:rPr>
            <w:noProof/>
            <w:snapToGrid w:val="0"/>
            <w:webHidden/>
            <w:kern w:val="22"/>
          </w:rPr>
          <w:fldChar w:fldCharType="end"/>
        </w:r>
      </w:hyperlink>
    </w:p>
    <w:p w14:paraId="73F0F629"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02" w:history="1">
        <w:r w:rsidR="008E44C6" w:rsidRPr="009F54B9">
          <w:rPr>
            <w:rStyle w:val="Hyperlink"/>
            <w:noProof/>
            <w:snapToGrid w:val="0"/>
            <w:kern w:val="22"/>
          </w:rPr>
          <w:t>Figure 3: Leading Countries, Value Added in Manufacturing (Billion dollars, 2015) (Levinson 2017).</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_Toc517688902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13</w:t>
        </w:r>
        <w:r w:rsidR="008E44C6" w:rsidRPr="009F54B9">
          <w:rPr>
            <w:noProof/>
            <w:snapToGrid w:val="0"/>
            <w:webHidden/>
            <w:kern w:val="22"/>
          </w:rPr>
          <w:fldChar w:fldCharType="end"/>
        </w:r>
      </w:hyperlink>
    </w:p>
    <w:p w14:paraId="7E2080FF"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03" w:history="1">
        <w:r w:rsidR="008E44C6" w:rsidRPr="009F54B9">
          <w:rPr>
            <w:rStyle w:val="Hyperlink"/>
            <w:noProof/>
            <w:snapToGrid w:val="0"/>
            <w:kern w:val="22"/>
          </w:rPr>
          <w:t>Figure 4: Natural capital / biodiversity, ecosystem and abiotic services and benefits to business and to society (Natural capital Coalition 2016)</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_Toc517688903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18</w:t>
        </w:r>
        <w:r w:rsidR="008E44C6" w:rsidRPr="009F54B9">
          <w:rPr>
            <w:noProof/>
            <w:snapToGrid w:val="0"/>
            <w:webHidden/>
            <w:kern w:val="22"/>
          </w:rPr>
          <w:fldChar w:fldCharType="end"/>
        </w:r>
      </w:hyperlink>
    </w:p>
    <w:p w14:paraId="4001AB73"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04" w:history="1">
        <w:r w:rsidR="008E44C6" w:rsidRPr="009F54B9">
          <w:rPr>
            <w:rStyle w:val="Hyperlink"/>
            <w:noProof/>
            <w:snapToGrid w:val="0"/>
            <w:kern w:val="22"/>
          </w:rPr>
          <w:t xml:space="preserve">Figure 5: </w:t>
        </w:r>
        <w:r w:rsidR="008E44C6" w:rsidRPr="009F54B9">
          <w:rPr>
            <w:rStyle w:val="Hyperlink"/>
            <w:iCs/>
            <w:noProof/>
            <w:snapToGrid w:val="0"/>
            <w:kern w:val="22"/>
          </w:rPr>
          <w:t>Cascade model</w:t>
        </w:r>
        <w:r w:rsidR="008E44C6" w:rsidRPr="009F54B9">
          <w:rPr>
            <w:rStyle w:val="Hyperlink"/>
            <w:noProof/>
            <w:snapToGrid w:val="0"/>
            <w:kern w:val="22"/>
          </w:rPr>
          <w:t xml:space="preserve"> for ecosystem services (Potschin &amp; Haines-Young, 2011)</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_Toc517688904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19</w:t>
        </w:r>
        <w:r w:rsidR="008E44C6" w:rsidRPr="009F54B9">
          <w:rPr>
            <w:noProof/>
            <w:snapToGrid w:val="0"/>
            <w:webHidden/>
            <w:kern w:val="22"/>
          </w:rPr>
          <w:fldChar w:fldCharType="end"/>
        </w:r>
      </w:hyperlink>
    </w:p>
    <w:p w14:paraId="1B1B3B83"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05" w:history="1">
        <w:r w:rsidR="008E44C6" w:rsidRPr="009F54B9">
          <w:rPr>
            <w:rStyle w:val="Hyperlink"/>
            <w:noProof/>
            <w:snapToGrid w:val="0"/>
            <w:kern w:val="22"/>
          </w:rPr>
          <w:t>Figure 6: Indicative materiality matrix of ecosystem impacts and dependencies for the value chain of barley used to produce beer</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_Toc517688905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20</w:t>
        </w:r>
        <w:r w:rsidR="008E44C6" w:rsidRPr="009F54B9">
          <w:rPr>
            <w:noProof/>
            <w:snapToGrid w:val="0"/>
            <w:webHidden/>
            <w:kern w:val="22"/>
          </w:rPr>
          <w:fldChar w:fldCharType="end"/>
        </w:r>
      </w:hyperlink>
    </w:p>
    <w:p w14:paraId="7EC6D72B"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06" w:history="1">
        <w:r w:rsidR="008E44C6" w:rsidRPr="009F54B9">
          <w:rPr>
            <w:rStyle w:val="Hyperlink"/>
            <w:noProof/>
            <w:snapToGrid w:val="0"/>
            <w:kern w:val="22"/>
          </w:rPr>
          <w:t>Figure 7: Conceptual model between business and ecosystems / natural capital - dependencies and impacts, costs and benefits, risks and opportunities (Natural Capital Coalition 2016)</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_Toc517688906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21</w:t>
        </w:r>
        <w:r w:rsidR="008E44C6" w:rsidRPr="009F54B9">
          <w:rPr>
            <w:noProof/>
            <w:snapToGrid w:val="0"/>
            <w:webHidden/>
            <w:kern w:val="22"/>
          </w:rPr>
          <w:fldChar w:fldCharType="end"/>
        </w:r>
      </w:hyperlink>
    </w:p>
    <w:p w14:paraId="2D3990DF"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07" w:history="1">
        <w:r w:rsidR="008E44C6" w:rsidRPr="009F54B9">
          <w:rPr>
            <w:rStyle w:val="Hyperlink"/>
            <w:noProof/>
            <w:snapToGrid w:val="0"/>
            <w:kern w:val="22"/>
          </w:rPr>
          <w:t>Figure 8: Share of environmental impacts of the Kering supply chains ranked according to supplier type (CGMA 2014)</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_Toc517688907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24</w:t>
        </w:r>
        <w:r w:rsidR="008E44C6" w:rsidRPr="009F54B9">
          <w:rPr>
            <w:noProof/>
            <w:snapToGrid w:val="0"/>
            <w:webHidden/>
            <w:kern w:val="22"/>
          </w:rPr>
          <w:fldChar w:fldCharType="end"/>
        </w:r>
      </w:hyperlink>
    </w:p>
    <w:p w14:paraId="1477856B"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08" w:history="1">
        <w:r w:rsidR="008E44C6" w:rsidRPr="009F54B9">
          <w:rPr>
            <w:rStyle w:val="Hyperlink"/>
            <w:noProof/>
            <w:snapToGrid w:val="0"/>
            <w:kern w:val="22"/>
          </w:rPr>
          <w:t>Figure 9: Linkages between ecosystem services and human well-being (MA 2005).</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_Toc517688908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26</w:t>
        </w:r>
        <w:r w:rsidR="008E44C6" w:rsidRPr="009F54B9">
          <w:rPr>
            <w:noProof/>
            <w:snapToGrid w:val="0"/>
            <w:webHidden/>
            <w:kern w:val="22"/>
          </w:rPr>
          <w:fldChar w:fldCharType="end"/>
        </w:r>
      </w:hyperlink>
    </w:p>
    <w:p w14:paraId="48461B82"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09" w:history="1">
        <w:r w:rsidR="008E44C6" w:rsidRPr="009F54B9">
          <w:rPr>
            <w:rStyle w:val="Hyperlink"/>
            <w:noProof/>
            <w:snapToGrid w:val="0"/>
            <w:kern w:val="22"/>
          </w:rPr>
          <w:t>Figure 10: Illustration of a production function between the environment and human well-being how Final Ecosystem Goods and Services (FEGS) can be used to delineate the ecological production function from the economic production function. The beneficiary is specific and inherent to the FEGS in the production function (Landers and Nahlik, 2013: 5).</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_Toc517688909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28</w:t>
        </w:r>
        <w:r w:rsidR="008E44C6" w:rsidRPr="009F54B9">
          <w:rPr>
            <w:noProof/>
            <w:snapToGrid w:val="0"/>
            <w:webHidden/>
            <w:kern w:val="22"/>
          </w:rPr>
          <w:fldChar w:fldCharType="end"/>
        </w:r>
      </w:hyperlink>
    </w:p>
    <w:p w14:paraId="449A2890"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10" w:history="1">
        <w:r w:rsidR="008E44C6" w:rsidRPr="009F54B9">
          <w:rPr>
            <w:rStyle w:val="Hyperlink"/>
            <w:noProof/>
            <w:snapToGrid w:val="0"/>
            <w:kern w:val="22"/>
          </w:rPr>
          <w:t xml:space="preserve">Figure 11: Relationships among nature and economic systems (Landers </w:t>
        </w:r>
        <w:r w:rsidR="008E44C6" w:rsidRPr="009F54B9">
          <w:rPr>
            <w:rStyle w:val="Hyperlink"/>
            <w:i/>
            <w:noProof/>
            <w:snapToGrid w:val="0"/>
            <w:kern w:val="22"/>
          </w:rPr>
          <w:t>et al</w:t>
        </w:r>
        <w:r w:rsidR="008E44C6" w:rsidRPr="009F54B9">
          <w:rPr>
            <w:rStyle w:val="Hyperlink"/>
            <w:noProof/>
            <w:snapToGrid w:val="0"/>
            <w:kern w:val="22"/>
          </w:rPr>
          <w:t>., 2016)</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_Toc517688910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29</w:t>
        </w:r>
        <w:r w:rsidR="008E44C6" w:rsidRPr="009F54B9">
          <w:rPr>
            <w:noProof/>
            <w:snapToGrid w:val="0"/>
            <w:webHidden/>
            <w:kern w:val="22"/>
          </w:rPr>
          <w:fldChar w:fldCharType="end"/>
        </w:r>
      </w:hyperlink>
    </w:p>
    <w:p w14:paraId="6912EA16"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11" w:history="1">
        <w:r w:rsidR="008E44C6" w:rsidRPr="009F54B9">
          <w:rPr>
            <w:rStyle w:val="Hyperlink"/>
            <w:noProof/>
            <w:snapToGrid w:val="0"/>
            <w:kern w:val="22"/>
          </w:rPr>
          <w:t>Figure 12: Generic steps in impact pathways for a chemical industry; highlighting the difference between an impact driver, changes in ecosystem attributes and impacts on human wellbeing / business profitability (Natural Capital Coalition 2016)</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_Toc517688911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33</w:t>
        </w:r>
        <w:r w:rsidR="008E44C6" w:rsidRPr="009F54B9">
          <w:rPr>
            <w:noProof/>
            <w:snapToGrid w:val="0"/>
            <w:webHidden/>
            <w:kern w:val="22"/>
          </w:rPr>
          <w:fldChar w:fldCharType="end"/>
        </w:r>
      </w:hyperlink>
    </w:p>
    <w:p w14:paraId="15AB3CAA" w14:textId="77777777" w:rsidR="008E44C6" w:rsidRPr="009F54B9" w:rsidRDefault="00BE5BDF">
      <w:pPr>
        <w:pStyle w:val="TableofFigures"/>
        <w:tabs>
          <w:tab w:val="right" w:leader="dot" w:pos="9016"/>
        </w:tabs>
        <w:rPr>
          <w:rFonts w:asciiTheme="minorHAnsi" w:eastAsiaTheme="minorEastAsia" w:hAnsiTheme="minorHAnsi" w:cstheme="minorBidi"/>
          <w:noProof/>
          <w:snapToGrid w:val="0"/>
          <w:color w:val="auto"/>
          <w:kern w:val="22"/>
          <w:szCs w:val="22"/>
        </w:rPr>
      </w:pPr>
      <w:hyperlink w:anchor="_Toc517688912" w:history="1">
        <w:r w:rsidR="008E44C6" w:rsidRPr="009F54B9">
          <w:rPr>
            <w:rStyle w:val="Hyperlink"/>
            <w:noProof/>
            <w:snapToGrid w:val="0"/>
            <w:kern w:val="22"/>
          </w:rPr>
          <w:t>Figure 13: Water use in the manufacturing industry by activity in Europe countries, 2011 (m³ per inhabitant)</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_Toc517688912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35</w:t>
        </w:r>
        <w:r w:rsidR="008E44C6" w:rsidRPr="009F54B9">
          <w:rPr>
            <w:noProof/>
            <w:snapToGrid w:val="0"/>
            <w:webHidden/>
            <w:kern w:val="22"/>
          </w:rPr>
          <w:fldChar w:fldCharType="end"/>
        </w:r>
      </w:hyperlink>
    </w:p>
    <w:p w14:paraId="65430419" w14:textId="77777777" w:rsidR="008E44C6" w:rsidRPr="009F54B9" w:rsidRDefault="00BE5BDF">
      <w:pPr>
        <w:pStyle w:val="TableofFigures"/>
        <w:tabs>
          <w:tab w:val="right" w:leader="dot" w:pos="9016"/>
        </w:tabs>
        <w:rPr>
          <w:rFonts w:asciiTheme="minorHAnsi" w:eastAsiaTheme="minorEastAsia" w:hAnsiTheme="minorHAnsi" w:cstheme="minorBidi"/>
          <w:noProof/>
          <w:snapToGrid w:val="0"/>
          <w:color w:val="auto"/>
          <w:kern w:val="22"/>
          <w:szCs w:val="22"/>
        </w:rPr>
      </w:pPr>
      <w:hyperlink w:anchor="_Toc517688913" w:history="1">
        <w:r w:rsidR="008E44C6" w:rsidRPr="009F54B9">
          <w:rPr>
            <w:rStyle w:val="Hyperlink"/>
            <w:noProof/>
            <w:snapToGrid w:val="0"/>
            <w:kern w:val="22"/>
          </w:rPr>
          <w:t>Figure 14: Location of the 147 E-PRTR facilities that contributed 50 % of the total damage costs estimated for 2008–2012 in Europe (EEA 2014)</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_Toc517688913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36</w:t>
        </w:r>
        <w:r w:rsidR="008E44C6" w:rsidRPr="009F54B9">
          <w:rPr>
            <w:noProof/>
            <w:snapToGrid w:val="0"/>
            <w:webHidden/>
            <w:kern w:val="22"/>
          </w:rPr>
          <w:fldChar w:fldCharType="end"/>
        </w:r>
      </w:hyperlink>
    </w:p>
    <w:p w14:paraId="570111B7"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14" w:history="1">
        <w:r w:rsidR="008E44C6" w:rsidRPr="009F54B9">
          <w:rPr>
            <w:rStyle w:val="Hyperlink"/>
            <w:noProof/>
            <w:snapToGrid w:val="0"/>
            <w:kern w:val="22"/>
          </w:rPr>
          <w:t>Figure 15: Cumulative distribution of the estimated damage costs associated with emissions of selected pollutants from E-PRTR facilities in Europe, 2008–2012 (EEA 2014)</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_Toc517688914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36</w:t>
        </w:r>
        <w:r w:rsidR="008E44C6" w:rsidRPr="009F54B9">
          <w:rPr>
            <w:noProof/>
            <w:snapToGrid w:val="0"/>
            <w:webHidden/>
            <w:kern w:val="22"/>
          </w:rPr>
          <w:fldChar w:fldCharType="end"/>
        </w:r>
      </w:hyperlink>
    </w:p>
    <w:p w14:paraId="5F118321"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15" w:history="1">
        <w:r w:rsidR="008E44C6" w:rsidRPr="009F54B9">
          <w:rPr>
            <w:rStyle w:val="Hyperlink"/>
            <w:noProof/>
            <w:snapToGrid w:val="0"/>
            <w:kern w:val="22"/>
          </w:rPr>
          <w:t>Figure 16: Aggregated damage costs of air emissions in Europe by sector, 2008–2012 (EEA 2014)</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_Toc517688915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37</w:t>
        </w:r>
        <w:r w:rsidR="008E44C6" w:rsidRPr="009F54B9">
          <w:rPr>
            <w:noProof/>
            <w:snapToGrid w:val="0"/>
            <w:webHidden/>
            <w:kern w:val="22"/>
          </w:rPr>
          <w:fldChar w:fldCharType="end"/>
        </w:r>
      </w:hyperlink>
    </w:p>
    <w:p w14:paraId="3DE0672C"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16" w:history="1">
        <w:r w:rsidR="008E44C6" w:rsidRPr="009F54B9">
          <w:rPr>
            <w:rStyle w:val="Hyperlink"/>
            <w:noProof/>
            <w:snapToGrid w:val="0"/>
            <w:kern w:val="22"/>
          </w:rPr>
          <w:t>Figure 17: 2016 Environmental Profit &amp; Loss of Kering, highlighting that land use-related impacts are the most significant externalities for the group (24%) and are largely found at the level of tier 4 suppliers (raw material production) where almost 50% of all group impacts occur</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_Toc517688916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39</w:t>
        </w:r>
        <w:r w:rsidR="008E44C6" w:rsidRPr="009F54B9">
          <w:rPr>
            <w:noProof/>
            <w:snapToGrid w:val="0"/>
            <w:webHidden/>
            <w:kern w:val="22"/>
          </w:rPr>
          <w:fldChar w:fldCharType="end"/>
        </w:r>
      </w:hyperlink>
    </w:p>
    <w:p w14:paraId="64E2E92F"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17" w:history="1">
        <w:r w:rsidR="008E44C6" w:rsidRPr="009F54B9">
          <w:rPr>
            <w:rStyle w:val="Hyperlink"/>
            <w:noProof/>
            <w:snapToGrid w:val="0"/>
            <w:kern w:val="22"/>
          </w:rPr>
          <w:t>Figure 19: Mainstreaming natural capital into business decisions according the Natural Capital Coalition</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_Toc517688917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46</w:t>
        </w:r>
        <w:r w:rsidR="008E44C6" w:rsidRPr="009F54B9">
          <w:rPr>
            <w:noProof/>
            <w:snapToGrid w:val="0"/>
            <w:webHidden/>
            <w:kern w:val="22"/>
          </w:rPr>
          <w:fldChar w:fldCharType="end"/>
        </w:r>
      </w:hyperlink>
    </w:p>
    <w:p w14:paraId="7018A6FC"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18" w:history="1">
        <w:r w:rsidR="008E44C6" w:rsidRPr="009F54B9">
          <w:rPr>
            <w:rStyle w:val="Hyperlink"/>
            <w:noProof/>
            <w:snapToGrid w:val="0"/>
            <w:kern w:val="22"/>
          </w:rPr>
          <w:t xml:space="preserve">Figure 20: Methodological toolbox for an integrated valuation of ecosystem services which considers non-monetary and monetary valuation methods and the value-pluralism (Gómez-Baggethun </w:t>
        </w:r>
        <w:r w:rsidR="008E44C6" w:rsidRPr="009F54B9">
          <w:rPr>
            <w:rStyle w:val="Hyperlink"/>
            <w:i/>
            <w:noProof/>
            <w:snapToGrid w:val="0"/>
            <w:kern w:val="22"/>
          </w:rPr>
          <w:t>et al</w:t>
        </w:r>
        <w:r w:rsidR="008E44C6" w:rsidRPr="009F54B9">
          <w:rPr>
            <w:rStyle w:val="Hyperlink"/>
            <w:noProof/>
            <w:snapToGrid w:val="0"/>
            <w:kern w:val="22"/>
          </w:rPr>
          <w:t>., 2014).</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_Toc517688918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55</w:t>
        </w:r>
        <w:r w:rsidR="008E44C6" w:rsidRPr="009F54B9">
          <w:rPr>
            <w:noProof/>
            <w:snapToGrid w:val="0"/>
            <w:webHidden/>
            <w:kern w:val="22"/>
          </w:rPr>
          <w:fldChar w:fldCharType="end"/>
        </w:r>
      </w:hyperlink>
    </w:p>
    <w:p w14:paraId="7CCAF57F" w14:textId="77777777" w:rsidR="008E44C6" w:rsidRPr="009F54B9" w:rsidRDefault="00BE5BDF" w:rsidP="008E44C6">
      <w:pPr>
        <w:pStyle w:val="TableofFigures"/>
        <w:tabs>
          <w:tab w:val="right" w:leader="dot" w:pos="9016"/>
        </w:tabs>
        <w:jc w:val="left"/>
        <w:rPr>
          <w:rFonts w:asciiTheme="minorHAnsi" w:eastAsiaTheme="minorEastAsia" w:hAnsiTheme="minorHAnsi" w:cstheme="minorBidi"/>
          <w:noProof/>
          <w:snapToGrid w:val="0"/>
          <w:color w:val="auto"/>
          <w:kern w:val="22"/>
          <w:szCs w:val="22"/>
        </w:rPr>
      </w:pPr>
      <w:hyperlink w:anchor="_Toc517688919" w:history="1">
        <w:r w:rsidR="008E44C6" w:rsidRPr="009F54B9">
          <w:rPr>
            <w:rStyle w:val="Hyperlink"/>
            <w:noProof/>
            <w:snapToGrid w:val="0"/>
            <w:kern w:val="22"/>
          </w:rPr>
          <w:t xml:space="preserve">Figure 21: From single world views in valuation towards pluralistic valuations (Pascual </w:t>
        </w:r>
        <w:r w:rsidR="008E44C6" w:rsidRPr="009F54B9">
          <w:rPr>
            <w:rStyle w:val="Hyperlink"/>
            <w:i/>
            <w:noProof/>
            <w:snapToGrid w:val="0"/>
            <w:kern w:val="22"/>
          </w:rPr>
          <w:t>et al</w:t>
        </w:r>
        <w:r w:rsidR="008E44C6" w:rsidRPr="009F54B9">
          <w:rPr>
            <w:rStyle w:val="Hyperlink"/>
            <w:noProof/>
            <w:snapToGrid w:val="0"/>
            <w:kern w:val="22"/>
          </w:rPr>
          <w:t>., 2017)</w:t>
        </w:r>
        <w:r w:rsidR="008E44C6" w:rsidRPr="009F54B9">
          <w:rPr>
            <w:noProof/>
            <w:snapToGrid w:val="0"/>
            <w:webHidden/>
            <w:kern w:val="22"/>
          </w:rPr>
          <w:tab/>
        </w:r>
        <w:r w:rsidR="008E44C6" w:rsidRPr="009F54B9">
          <w:rPr>
            <w:noProof/>
            <w:snapToGrid w:val="0"/>
            <w:webHidden/>
            <w:kern w:val="22"/>
          </w:rPr>
          <w:fldChar w:fldCharType="begin"/>
        </w:r>
        <w:r w:rsidR="008E44C6" w:rsidRPr="009F54B9">
          <w:rPr>
            <w:noProof/>
            <w:snapToGrid w:val="0"/>
            <w:webHidden/>
            <w:kern w:val="22"/>
          </w:rPr>
          <w:instrText xml:space="preserve"> PAGEREF _Toc517688919 \h </w:instrText>
        </w:r>
        <w:r w:rsidR="008E44C6" w:rsidRPr="009F54B9">
          <w:rPr>
            <w:noProof/>
            <w:snapToGrid w:val="0"/>
            <w:webHidden/>
            <w:kern w:val="22"/>
          </w:rPr>
        </w:r>
        <w:r w:rsidR="008E44C6" w:rsidRPr="009F54B9">
          <w:rPr>
            <w:noProof/>
            <w:snapToGrid w:val="0"/>
            <w:webHidden/>
            <w:kern w:val="22"/>
          </w:rPr>
          <w:fldChar w:fldCharType="separate"/>
        </w:r>
        <w:r w:rsidR="008E44C6" w:rsidRPr="009F54B9">
          <w:rPr>
            <w:noProof/>
            <w:snapToGrid w:val="0"/>
            <w:webHidden/>
            <w:kern w:val="22"/>
          </w:rPr>
          <w:t>58</w:t>
        </w:r>
        <w:r w:rsidR="008E44C6" w:rsidRPr="009F54B9">
          <w:rPr>
            <w:noProof/>
            <w:snapToGrid w:val="0"/>
            <w:webHidden/>
            <w:kern w:val="22"/>
          </w:rPr>
          <w:fldChar w:fldCharType="end"/>
        </w:r>
      </w:hyperlink>
    </w:p>
    <w:p w14:paraId="11391555" w14:textId="77777777" w:rsidR="008E44C6" w:rsidRPr="009F54B9" w:rsidRDefault="008E44C6" w:rsidP="008E44C6">
      <w:pPr>
        <w:jc w:val="left"/>
        <w:rPr>
          <w:snapToGrid w:val="0"/>
          <w:kern w:val="22"/>
          <w:szCs w:val="22"/>
        </w:rPr>
        <w:sectPr w:rsidR="008E44C6" w:rsidRPr="009F54B9" w:rsidSect="009F54B9">
          <w:headerReference w:type="even" r:id="rId14"/>
          <w:headerReference w:type="default" r:id="rId15"/>
          <w:footerReference w:type="even" r:id="rId16"/>
          <w:footerReference w:type="default" r:id="rId17"/>
          <w:headerReference w:type="first" r:id="rId18"/>
          <w:pgSz w:w="11906" w:h="16838"/>
          <w:pgMar w:top="1440" w:right="1440" w:bottom="1440" w:left="1440" w:header="461" w:footer="720" w:gutter="0"/>
          <w:pgNumType w:fmt="lowerRoman"/>
          <w:cols w:space="708"/>
          <w:titlePg/>
          <w:docGrid w:linePitch="360"/>
        </w:sectPr>
      </w:pPr>
      <w:r w:rsidRPr="009F54B9">
        <w:rPr>
          <w:snapToGrid w:val="0"/>
          <w:kern w:val="22"/>
          <w:szCs w:val="22"/>
        </w:rPr>
        <w:fldChar w:fldCharType="end"/>
      </w:r>
    </w:p>
    <w:p w14:paraId="55F40BA9" w14:textId="77777777" w:rsidR="008E44C6" w:rsidRPr="009F54B9" w:rsidRDefault="008E44C6" w:rsidP="008E44C6">
      <w:pPr>
        <w:pStyle w:val="Heading1"/>
        <w:keepNext w:val="0"/>
        <w:numPr>
          <w:ilvl w:val="0"/>
          <w:numId w:val="10"/>
        </w:numPr>
        <w:tabs>
          <w:tab w:val="clear" w:pos="720"/>
        </w:tabs>
        <w:autoSpaceDE w:val="0"/>
        <w:autoSpaceDN w:val="0"/>
        <w:adjustRightInd w:val="0"/>
        <w:spacing w:before="0" w:after="240"/>
        <w:jc w:val="both"/>
        <w:rPr>
          <w:caps w:val="0"/>
          <w:snapToGrid w:val="0"/>
          <w:kern w:val="22"/>
          <w:szCs w:val="22"/>
        </w:rPr>
      </w:pPr>
      <w:bookmarkStart w:id="4" w:name="_Toc517690307"/>
      <w:r w:rsidRPr="009F54B9">
        <w:rPr>
          <w:snapToGrid w:val="0"/>
          <w:kern w:val="22"/>
          <w:szCs w:val="22"/>
        </w:rPr>
        <w:lastRenderedPageBreak/>
        <w:t>Introduction</w:t>
      </w:r>
      <w:bookmarkEnd w:id="4"/>
    </w:p>
    <w:p w14:paraId="0E702B90" w14:textId="77777777" w:rsidR="008E44C6" w:rsidRPr="009F54B9" w:rsidRDefault="008E44C6" w:rsidP="00110A09">
      <w:pPr>
        <w:rPr>
          <w:snapToGrid w:val="0"/>
          <w:kern w:val="22"/>
          <w:szCs w:val="22"/>
        </w:rPr>
      </w:pPr>
    </w:p>
    <w:p w14:paraId="0043ECA3" w14:textId="77777777" w:rsidR="008E44C6" w:rsidRPr="009F54B9" w:rsidRDefault="008E44C6" w:rsidP="00DE58C5">
      <w:pPr>
        <w:rPr>
          <w:snapToGrid w:val="0"/>
          <w:kern w:val="22"/>
          <w:szCs w:val="22"/>
        </w:rPr>
      </w:pPr>
      <w:r w:rsidRPr="009F54B9">
        <w:rPr>
          <w:snapToGrid w:val="0"/>
          <w:kern w:val="22"/>
          <w:szCs w:val="22"/>
        </w:rPr>
        <w:t xml:space="preserve">In decision XIII/3, paragraph 109, the Conference of the Parties decided to consider at its fourteenth meeting the mainstreaming of biodiversity into the sectors of energy and mining, infrastructure, manufacturing and processing, and health. To assist the Secretariat in preparing the foundation for these discussions, the Executive Secretary has commissioned, with the financial support from the European Union, an external consultant on the relationship between biodiversity and the manufacturing and processing sector. </w:t>
      </w:r>
    </w:p>
    <w:p w14:paraId="48D9DAF8" w14:textId="77777777" w:rsidR="008E44C6" w:rsidRPr="009F54B9" w:rsidRDefault="008E44C6" w:rsidP="008C64BA">
      <w:pPr>
        <w:rPr>
          <w:snapToGrid w:val="0"/>
          <w:kern w:val="22"/>
          <w:szCs w:val="22"/>
        </w:rPr>
      </w:pPr>
    </w:p>
    <w:p w14:paraId="68B226F2" w14:textId="77777777" w:rsidR="008E44C6" w:rsidRPr="009F54B9" w:rsidRDefault="008E44C6" w:rsidP="008C64BA">
      <w:pPr>
        <w:rPr>
          <w:snapToGrid w:val="0"/>
          <w:kern w:val="22"/>
          <w:szCs w:val="22"/>
        </w:rPr>
      </w:pPr>
      <w:r w:rsidRPr="009F54B9">
        <w:rPr>
          <w:snapToGrid w:val="0"/>
          <w:kern w:val="22"/>
          <w:szCs w:val="22"/>
        </w:rPr>
        <w:t xml:space="preserve"> The document provides information regarding:</w:t>
      </w:r>
    </w:p>
    <w:p w14:paraId="158D0BC0" w14:textId="77777777" w:rsidR="008E44C6" w:rsidRPr="009F54B9" w:rsidRDefault="008E44C6" w:rsidP="008E44C6">
      <w:pPr>
        <w:pStyle w:val="ListParagraph"/>
        <w:numPr>
          <w:ilvl w:val="0"/>
          <w:numId w:val="14"/>
        </w:numPr>
        <w:autoSpaceDE w:val="0"/>
        <w:autoSpaceDN w:val="0"/>
        <w:adjustRightInd w:val="0"/>
        <w:spacing w:line="360" w:lineRule="auto"/>
        <w:rPr>
          <w:snapToGrid w:val="0"/>
          <w:kern w:val="22"/>
          <w:szCs w:val="22"/>
        </w:rPr>
      </w:pPr>
      <w:r w:rsidRPr="009F54B9">
        <w:rPr>
          <w:snapToGrid w:val="0"/>
          <w:kern w:val="22"/>
          <w:szCs w:val="22"/>
        </w:rPr>
        <w:t>The definition of the manufacturing and processing sectors, their global status and trends (section 2);</w:t>
      </w:r>
    </w:p>
    <w:p w14:paraId="5F088590" w14:textId="77777777" w:rsidR="008E44C6" w:rsidRPr="009F54B9" w:rsidRDefault="008E44C6" w:rsidP="008E44C6">
      <w:pPr>
        <w:pStyle w:val="ListParagraph"/>
        <w:numPr>
          <w:ilvl w:val="0"/>
          <w:numId w:val="14"/>
        </w:numPr>
        <w:autoSpaceDE w:val="0"/>
        <w:autoSpaceDN w:val="0"/>
        <w:adjustRightInd w:val="0"/>
        <w:spacing w:line="360" w:lineRule="auto"/>
        <w:rPr>
          <w:snapToGrid w:val="0"/>
          <w:kern w:val="22"/>
          <w:szCs w:val="22"/>
        </w:rPr>
      </w:pPr>
      <w:r w:rsidRPr="009F54B9">
        <w:rPr>
          <w:snapToGrid w:val="0"/>
          <w:kern w:val="22"/>
          <w:szCs w:val="22"/>
        </w:rPr>
        <w:t>The interactions between manufacturing and biodiversity, explaining the main impacts and dependencies of each manufacturing industry and identifying the risk areas for biodiversity (section 3);</w:t>
      </w:r>
    </w:p>
    <w:p w14:paraId="64F8C3B8" w14:textId="77777777" w:rsidR="008E44C6" w:rsidRPr="009F54B9" w:rsidRDefault="008E44C6" w:rsidP="008E44C6">
      <w:pPr>
        <w:pStyle w:val="ListParagraph"/>
        <w:numPr>
          <w:ilvl w:val="0"/>
          <w:numId w:val="14"/>
        </w:numPr>
        <w:autoSpaceDE w:val="0"/>
        <w:autoSpaceDN w:val="0"/>
        <w:adjustRightInd w:val="0"/>
        <w:spacing w:line="360" w:lineRule="auto"/>
        <w:rPr>
          <w:snapToGrid w:val="0"/>
          <w:kern w:val="22"/>
          <w:szCs w:val="22"/>
        </w:rPr>
      </w:pPr>
      <w:r w:rsidRPr="009F54B9">
        <w:rPr>
          <w:snapToGrid w:val="0"/>
          <w:kern w:val="22"/>
          <w:szCs w:val="22"/>
        </w:rPr>
        <w:t>The biodiversity mainstreaming approaches in the manufacturing and processing sector, highlighting best practices, challenges and opportunities (section 4);</w:t>
      </w:r>
    </w:p>
    <w:p w14:paraId="367964F4" w14:textId="77777777" w:rsidR="008E44C6" w:rsidRPr="009F54B9" w:rsidRDefault="008E44C6" w:rsidP="008E44C6">
      <w:pPr>
        <w:pStyle w:val="ListParagraph"/>
        <w:numPr>
          <w:ilvl w:val="0"/>
          <w:numId w:val="14"/>
        </w:numPr>
        <w:autoSpaceDE w:val="0"/>
        <w:autoSpaceDN w:val="0"/>
        <w:adjustRightInd w:val="0"/>
        <w:spacing w:line="360" w:lineRule="auto"/>
        <w:rPr>
          <w:snapToGrid w:val="0"/>
          <w:kern w:val="22"/>
          <w:szCs w:val="22"/>
        </w:rPr>
      </w:pPr>
      <w:r w:rsidRPr="009F54B9">
        <w:rPr>
          <w:snapToGrid w:val="0"/>
          <w:kern w:val="22"/>
          <w:szCs w:val="22"/>
        </w:rPr>
        <w:t xml:space="preserve">Policy recommendations towards more effective biodiversity mainstreaming </w:t>
      </w:r>
      <w:proofErr w:type="spellStart"/>
      <w:r w:rsidRPr="009F54B9">
        <w:rPr>
          <w:snapToGrid w:val="0"/>
          <w:kern w:val="22"/>
          <w:szCs w:val="22"/>
        </w:rPr>
        <w:t>n</w:t>
      </w:r>
      <w:proofErr w:type="spellEnd"/>
      <w:r w:rsidRPr="009F54B9">
        <w:rPr>
          <w:snapToGrid w:val="0"/>
          <w:kern w:val="22"/>
          <w:szCs w:val="22"/>
        </w:rPr>
        <w:t xml:space="preserve"> the manufacturing sector (section 5).</w:t>
      </w:r>
    </w:p>
    <w:p w14:paraId="6A22A8D3" w14:textId="77777777" w:rsidR="008E44C6" w:rsidRPr="009F54B9" w:rsidRDefault="008E44C6" w:rsidP="007220CD">
      <w:pPr>
        <w:pStyle w:val="ListParagraph"/>
        <w:ind w:left="780"/>
        <w:rPr>
          <w:snapToGrid w:val="0"/>
          <w:kern w:val="22"/>
          <w:szCs w:val="22"/>
        </w:rPr>
      </w:pPr>
    </w:p>
    <w:p w14:paraId="4EB38BBB" w14:textId="77777777" w:rsidR="008E44C6" w:rsidRPr="009F54B9" w:rsidRDefault="008E44C6" w:rsidP="00110A09">
      <w:pPr>
        <w:rPr>
          <w:snapToGrid w:val="0"/>
          <w:kern w:val="22"/>
          <w:szCs w:val="22"/>
        </w:rPr>
      </w:pPr>
      <w:r w:rsidRPr="009F54B9">
        <w:rPr>
          <w:snapToGrid w:val="0"/>
          <w:kern w:val="22"/>
          <w:szCs w:val="22"/>
        </w:rPr>
        <w:t>An early draft of this document was informed, in part, by stakeholder contributions at a side-event on biodiversity mainstreaming in the manufacturing sector which was held at SBSTTA 21 on December 11, 2017.</w:t>
      </w:r>
    </w:p>
    <w:p w14:paraId="5904600C" w14:textId="77777777" w:rsidR="008E44C6" w:rsidRPr="009F54B9" w:rsidRDefault="008E44C6" w:rsidP="008E44C6">
      <w:pPr>
        <w:pStyle w:val="ListParagraph"/>
        <w:numPr>
          <w:ilvl w:val="0"/>
          <w:numId w:val="29"/>
        </w:numPr>
        <w:autoSpaceDE w:val="0"/>
        <w:autoSpaceDN w:val="0"/>
        <w:adjustRightInd w:val="0"/>
        <w:spacing w:line="360" w:lineRule="auto"/>
        <w:rPr>
          <w:snapToGrid w:val="0"/>
          <w:kern w:val="22"/>
          <w:szCs w:val="22"/>
          <w:highlight w:val="yellow"/>
        </w:rPr>
      </w:pPr>
      <w:r w:rsidRPr="009F54B9">
        <w:rPr>
          <w:snapToGrid w:val="0"/>
          <w:color w:val="000000" w:themeColor="text1"/>
          <w:kern w:val="22"/>
          <w:szCs w:val="22"/>
          <w:highlight w:val="red"/>
          <w:shd w:val="clear" w:color="auto" w:fill="FFFFFF"/>
        </w:rPr>
        <w:br w:type="page"/>
      </w:r>
    </w:p>
    <w:p w14:paraId="17E58168" w14:textId="77777777" w:rsidR="008E44C6" w:rsidRPr="009F54B9" w:rsidRDefault="008E44C6" w:rsidP="008E44C6">
      <w:pPr>
        <w:pStyle w:val="Heading1"/>
        <w:keepNext w:val="0"/>
        <w:numPr>
          <w:ilvl w:val="0"/>
          <w:numId w:val="10"/>
        </w:numPr>
        <w:tabs>
          <w:tab w:val="clear" w:pos="720"/>
          <w:tab w:val="left" w:pos="3686"/>
        </w:tabs>
        <w:autoSpaceDE w:val="0"/>
        <w:autoSpaceDN w:val="0"/>
        <w:adjustRightInd w:val="0"/>
        <w:spacing w:before="0" w:after="240"/>
        <w:jc w:val="both"/>
        <w:rPr>
          <w:caps w:val="0"/>
          <w:snapToGrid w:val="0"/>
          <w:kern w:val="22"/>
          <w:szCs w:val="22"/>
        </w:rPr>
      </w:pPr>
      <w:bookmarkStart w:id="5" w:name="_Toc517690308"/>
      <w:r w:rsidRPr="009F54B9">
        <w:rPr>
          <w:snapToGrid w:val="0"/>
          <w:kern w:val="22"/>
          <w:szCs w:val="22"/>
        </w:rPr>
        <w:lastRenderedPageBreak/>
        <w:t>Manufacturing and Processing: A brief introduction</w:t>
      </w:r>
      <w:bookmarkEnd w:id="5"/>
    </w:p>
    <w:p w14:paraId="5AA22C7A" w14:textId="77777777" w:rsidR="008E44C6" w:rsidRPr="009F54B9" w:rsidRDefault="008E44C6" w:rsidP="00DF1CEE">
      <w:pPr>
        <w:rPr>
          <w:snapToGrid w:val="0"/>
          <w:kern w:val="22"/>
          <w:szCs w:val="22"/>
        </w:rPr>
      </w:pPr>
    </w:p>
    <w:p w14:paraId="1A9118EB" w14:textId="77777777" w:rsidR="008E44C6" w:rsidRPr="009F54B9" w:rsidRDefault="008E44C6" w:rsidP="00DF1CEE">
      <w:pPr>
        <w:rPr>
          <w:snapToGrid w:val="0"/>
          <w:kern w:val="22"/>
          <w:szCs w:val="22"/>
        </w:rPr>
      </w:pPr>
      <w:r w:rsidRPr="009F54B9">
        <w:rPr>
          <w:snapToGrid w:val="0"/>
          <w:kern w:val="22"/>
          <w:szCs w:val="22"/>
        </w:rPr>
        <w:t xml:space="preserve">Manufacturing and processing industries, hereinafter referred to as “manufacturing industries”, include the processing of the products of various raw material producers into diversified goods, including the products of agriculture, forestry and fishing. Manufacturing is at the heart of our modern economies. Technological and </w:t>
      </w:r>
      <w:r w:rsidR="001E4B78" w:rsidRPr="009F54B9">
        <w:rPr>
          <w:snapToGrid w:val="0"/>
          <w:kern w:val="22"/>
          <w:szCs w:val="22"/>
        </w:rPr>
        <w:t>organiz</w:t>
      </w:r>
      <w:r w:rsidR="00997BC9" w:rsidRPr="009F54B9">
        <w:rPr>
          <w:snapToGrid w:val="0"/>
          <w:kern w:val="22"/>
          <w:szCs w:val="22"/>
        </w:rPr>
        <w:t>a</w:t>
      </w:r>
      <w:r w:rsidRPr="009F54B9">
        <w:rPr>
          <w:snapToGrid w:val="0"/>
          <w:kern w:val="22"/>
          <w:szCs w:val="22"/>
        </w:rPr>
        <w:t>tional innovations have allowed the sector to diversify (e.g., from food production to the manufacture of chemicals, pharmaceutical products or motor vehicles) and change drastically over the years, for instance in terms of production processes and output volume. This section aims to succinctly present the manufacturing and processing sector. It offers a brief historical account of manufacturing, highlights its current economic importance in the world and identifies key trends influencing its future.</w:t>
      </w:r>
    </w:p>
    <w:p w14:paraId="4B75A59E" w14:textId="77777777" w:rsidR="008E44C6" w:rsidRPr="009F54B9" w:rsidRDefault="008E44C6" w:rsidP="00DE00D4">
      <w:pPr>
        <w:rPr>
          <w:snapToGrid w:val="0"/>
          <w:kern w:val="22"/>
          <w:szCs w:val="22"/>
        </w:rPr>
      </w:pPr>
    </w:p>
    <w:p w14:paraId="7B5F8BB7" w14:textId="77777777" w:rsidR="008E44C6" w:rsidRPr="009F54B9" w:rsidRDefault="008E44C6" w:rsidP="008E44C6">
      <w:pPr>
        <w:pStyle w:val="Heading2"/>
        <w:keepNext w:val="0"/>
        <w:numPr>
          <w:ilvl w:val="1"/>
          <w:numId w:val="10"/>
        </w:numPr>
        <w:tabs>
          <w:tab w:val="clear" w:pos="720"/>
        </w:tabs>
        <w:autoSpaceDE w:val="0"/>
        <w:autoSpaceDN w:val="0"/>
        <w:adjustRightInd w:val="0"/>
        <w:spacing w:before="0"/>
        <w:jc w:val="both"/>
        <w:rPr>
          <w:smallCaps/>
          <w:snapToGrid w:val="0"/>
          <w:kern w:val="22"/>
          <w:szCs w:val="22"/>
        </w:rPr>
      </w:pPr>
      <w:bookmarkStart w:id="6" w:name="_Toc517690309"/>
      <w:r w:rsidRPr="009F54B9">
        <w:rPr>
          <w:smallCaps/>
          <w:snapToGrid w:val="0"/>
          <w:kern w:val="22"/>
          <w:szCs w:val="22"/>
        </w:rPr>
        <w:t>Defining the manufacturing and processing sectors</w:t>
      </w:r>
      <w:bookmarkEnd w:id="6"/>
    </w:p>
    <w:p w14:paraId="1B7FEC36" w14:textId="77777777" w:rsidR="008E44C6" w:rsidRPr="009F54B9" w:rsidRDefault="008E44C6" w:rsidP="006A708A">
      <w:pPr>
        <w:rPr>
          <w:snapToGrid w:val="0"/>
          <w:kern w:val="22"/>
          <w:szCs w:val="22"/>
        </w:rPr>
      </w:pPr>
    </w:p>
    <w:p w14:paraId="1595897E" w14:textId="77777777" w:rsidR="008E44C6" w:rsidRPr="009F54B9" w:rsidRDefault="008E44C6" w:rsidP="006A708A">
      <w:pPr>
        <w:rPr>
          <w:snapToGrid w:val="0"/>
          <w:kern w:val="22"/>
          <w:szCs w:val="22"/>
        </w:rPr>
      </w:pPr>
      <w:r w:rsidRPr="009F54B9">
        <w:rPr>
          <w:snapToGrid w:val="0"/>
          <w:kern w:val="22"/>
          <w:szCs w:val="22"/>
        </w:rPr>
        <w:t>According to the United Nations Statistics Division (UNSD)’s International Standard Industrial Classification of All Economic Activities</w:t>
      </w:r>
      <w:r w:rsidR="0015219C" w:rsidRPr="009F54B9">
        <w:rPr>
          <w:snapToGrid w:val="0"/>
          <w:kern w:val="22"/>
          <w:szCs w:val="22"/>
        </w:rPr>
        <w:t>,</w:t>
      </w:r>
      <w:r w:rsidRPr="009F54B9">
        <w:rPr>
          <w:rStyle w:val="FootnoteReference"/>
          <w:snapToGrid w:val="0"/>
          <w:kern w:val="22"/>
          <w:szCs w:val="22"/>
        </w:rPr>
        <w:footnoteReference w:id="3"/>
      </w:r>
      <w:r w:rsidRPr="009F54B9">
        <w:rPr>
          <w:snapToGrid w:val="0"/>
          <w:kern w:val="22"/>
          <w:szCs w:val="22"/>
        </w:rPr>
        <w:t xml:space="preserve"> manufacturing “</w:t>
      </w:r>
      <w:r w:rsidRPr="009F54B9">
        <w:rPr>
          <w:iCs/>
          <w:snapToGrid w:val="0"/>
          <w:kern w:val="22"/>
          <w:szCs w:val="22"/>
        </w:rPr>
        <w:t>includes the physical or chemical transformation of materials, substances, or components into new products</w:t>
      </w:r>
      <w:r w:rsidRPr="009F54B9">
        <w:rPr>
          <w:snapToGrid w:val="0"/>
          <w:kern w:val="22"/>
          <w:szCs w:val="22"/>
        </w:rPr>
        <w:t>.” Included in this definition are units (plants, factories or mills) that typically use power-driven machines and materials-handling equipment, units that transform materials or substances into new products by hand or in the worker's home and businesses that sell directly to the general public their products made on the same premises from which they are sold (e.g., bakeries and custom tailors). The output of a manufacturing process may be:</w:t>
      </w:r>
    </w:p>
    <w:p w14:paraId="24C87141" w14:textId="77777777" w:rsidR="008E44C6" w:rsidRPr="009F54B9" w:rsidRDefault="008E44C6" w:rsidP="008E44C6">
      <w:pPr>
        <w:pStyle w:val="ListParagraph"/>
        <w:numPr>
          <w:ilvl w:val="0"/>
          <w:numId w:val="13"/>
        </w:numPr>
        <w:autoSpaceDE w:val="0"/>
        <w:autoSpaceDN w:val="0"/>
        <w:adjustRightInd w:val="0"/>
        <w:spacing w:line="360" w:lineRule="auto"/>
        <w:rPr>
          <w:snapToGrid w:val="0"/>
          <w:kern w:val="22"/>
          <w:szCs w:val="22"/>
        </w:rPr>
      </w:pPr>
      <w:r w:rsidRPr="009F54B9">
        <w:rPr>
          <w:snapToGrid w:val="0"/>
          <w:kern w:val="22"/>
          <w:szCs w:val="22"/>
        </w:rPr>
        <w:t>Finished, i.e. ready for utilization or consumption, or</w:t>
      </w:r>
    </w:p>
    <w:p w14:paraId="38AD9338" w14:textId="77777777" w:rsidR="008E44C6" w:rsidRPr="009F54B9" w:rsidRDefault="008E44C6" w:rsidP="008E44C6">
      <w:pPr>
        <w:pStyle w:val="ListParagraph"/>
        <w:numPr>
          <w:ilvl w:val="0"/>
          <w:numId w:val="13"/>
        </w:numPr>
        <w:autoSpaceDE w:val="0"/>
        <w:autoSpaceDN w:val="0"/>
        <w:adjustRightInd w:val="0"/>
        <w:spacing w:line="360" w:lineRule="auto"/>
        <w:rPr>
          <w:snapToGrid w:val="0"/>
          <w:kern w:val="22"/>
          <w:szCs w:val="22"/>
        </w:rPr>
      </w:pPr>
      <w:r w:rsidRPr="009F54B9">
        <w:rPr>
          <w:snapToGrid w:val="0"/>
          <w:kern w:val="22"/>
          <w:szCs w:val="22"/>
        </w:rPr>
        <w:t>Semi-finished, i.e. can become an input for further manufacturing.</w:t>
      </w:r>
    </w:p>
    <w:p w14:paraId="75F5A58E" w14:textId="77777777" w:rsidR="008E44C6" w:rsidRPr="009F54B9" w:rsidRDefault="008E44C6" w:rsidP="00781D49">
      <w:pPr>
        <w:rPr>
          <w:snapToGrid w:val="0"/>
          <w:kern w:val="22"/>
          <w:szCs w:val="22"/>
        </w:rPr>
      </w:pPr>
    </w:p>
    <w:p w14:paraId="6BDD2D19" w14:textId="77777777" w:rsidR="008E44C6" w:rsidRPr="009F54B9" w:rsidRDefault="008E44C6" w:rsidP="00781D49">
      <w:pPr>
        <w:rPr>
          <w:snapToGrid w:val="0"/>
          <w:kern w:val="22"/>
          <w:szCs w:val="22"/>
        </w:rPr>
      </w:pPr>
      <w:r w:rsidRPr="009F54B9">
        <w:rPr>
          <w:snapToGrid w:val="0"/>
          <w:kern w:val="22"/>
          <w:szCs w:val="22"/>
        </w:rPr>
        <w:t xml:space="preserve">Five typical manufacturing processes have been identified: Repetitive (dedicated production lines for the same or similar item all year long), discrete (highly diverse environment, ranging from few setups and changeovers to frequent setups and changeovers), “job shop” (production areas, with mostly human labour / limited mechanisation), batch process (analogous to discrete and job shop) and continuous process production (running 24/7 all the time). Most companies use more than one of these environments to get a single product out the door. </w:t>
      </w:r>
    </w:p>
    <w:p w14:paraId="1F18034F" w14:textId="77777777" w:rsidR="008E44C6" w:rsidRPr="009F54B9" w:rsidRDefault="008E44C6" w:rsidP="00781D49">
      <w:pPr>
        <w:rPr>
          <w:snapToGrid w:val="0"/>
          <w:kern w:val="22"/>
          <w:szCs w:val="22"/>
        </w:rPr>
      </w:pPr>
    </w:p>
    <w:p w14:paraId="77439E79" w14:textId="77777777" w:rsidR="008E44C6" w:rsidRPr="009F54B9" w:rsidRDefault="008E44C6" w:rsidP="005244DA">
      <w:pPr>
        <w:pStyle w:val="ListParagraph"/>
        <w:pBdr>
          <w:top w:val="single" w:sz="4" w:space="1" w:color="auto"/>
          <w:left w:val="single" w:sz="4" w:space="4" w:color="auto"/>
          <w:bottom w:val="single" w:sz="4" w:space="1" w:color="auto"/>
          <w:right w:val="single" w:sz="4" w:space="4" w:color="auto"/>
        </w:pBdr>
        <w:jc w:val="center"/>
        <w:rPr>
          <w:snapToGrid w:val="0"/>
          <w:kern w:val="22"/>
        </w:rPr>
      </w:pPr>
      <w:r w:rsidRPr="009F54B9">
        <w:rPr>
          <w:noProof/>
          <w:snapToGrid w:val="0"/>
          <w:kern w:val="22"/>
          <w:lang w:eastAsia="zh-CN"/>
        </w:rPr>
        <w:lastRenderedPageBreak/>
        <w:drawing>
          <wp:inline distT="0" distB="0" distL="0" distR="0" wp14:anchorId="07A7E1A2" wp14:editId="4E87A92A">
            <wp:extent cx="5029200" cy="3271370"/>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33152" cy="3273940"/>
                    </a:xfrm>
                    <a:prstGeom prst="rect">
                      <a:avLst/>
                    </a:prstGeom>
                    <a:noFill/>
                    <a:ln>
                      <a:noFill/>
                    </a:ln>
                  </pic:spPr>
                </pic:pic>
              </a:graphicData>
            </a:graphic>
          </wp:inline>
        </w:drawing>
      </w:r>
    </w:p>
    <w:p w14:paraId="782391AC" w14:textId="77777777" w:rsidR="008E44C6" w:rsidRPr="009F54B9" w:rsidRDefault="008E44C6" w:rsidP="005244DA">
      <w:pPr>
        <w:pStyle w:val="ListParagraph"/>
        <w:pBdr>
          <w:top w:val="single" w:sz="4" w:space="1" w:color="auto"/>
          <w:left w:val="single" w:sz="4" w:space="4" w:color="auto"/>
          <w:bottom w:val="single" w:sz="4" w:space="1" w:color="auto"/>
          <w:right w:val="single" w:sz="4" w:space="4" w:color="auto"/>
        </w:pBdr>
        <w:jc w:val="center"/>
        <w:rPr>
          <w:snapToGrid w:val="0"/>
          <w:kern w:val="22"/>
        </w:rPr>
      </w:pPr>
      <w:bookmarkStart w:id="7" w:name="_Toc517688900"/>
      <w:r w:rsidRPr="009F54B9">
        <w:rPr>
          <w:snapToGrid w:val="0"/>
          <w:kern w:val="22"/>
        </w:rPr>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1</w:t>
      </w:r>
      <w:r w:rsidRPr="009F54B9">
        <w:rPr>
          <w:noProof/>
          <w:snapToGrid w:val="0"/>
          <w:kern w:val="22"/>
        </w:rPr>
        <w:fldChar w:fldCharType="end"/>
      </w:r>
      <w:r w:rsidRPr="009F54B9">
        <w:rPr>
          <w:snapToGrid w:val="0"/>
          <w:kern w:val="22"/>
        </w:rPr>
        <w:t>: Value of the leading 10 textile exporters worldwide in 2016, by country</w:t>
      </w:r>
      <w:r w:rsidR="001F6F78">
        <w:rPr>
          <w:snapToGrid w:val="0"/>
          <w:kern w:val="22"/>
        </w:rPr>
        <w:t xml:space="preserve"> or region</w:t>
      </w:r>
      <w:r w:rsidR="00D15ED3" w:rsidRPr="009F54B9">
        <w:rPr>
          <w:snapToGrid w:val="0"/>
          <w:kern w:val="22"/>
        </w:rPr>
        <w:br/>
      </w:r>
      <w:r w:rsidRPr="009F54B9">
        <w:rPr>
          <w:snapToGrid w:val="0"/>
          <w:kern w:val="22"/>
        </w:rPr>
        <w:t xml:space="preserve">(in billion </w:t>
      </w:r>
      <w:r w:rsidR="006835CC" w:rsidRPr="009F54B9">
        <w:rPr>
          <w:snapToGrid w:val="0"/>
          <w:kern w:val="22"/>
        </w:rPr>
        <w:t>United States</w:t>
      </w:r>
      <w:r w:rsidRPr="009F54B9">
        <w:rPr>
          <w:snapToGrid w:val="0"/>
          <w:kern w:val="22"/>
        </w:rPr>
        <w:t xml:space="preserve"> dollars)</w:t>
      </w:r>
      <w:r w:rsidRPr="009F54B9">
        <w:rPr>
          <w:rStyle w:val="FootnoteReference"/>
          <w:snapToGrid w:val="0"/>
          <w:kern w:val="22"/>
        </w:rPr>
        <w:footnoteReference w:id="4"/>
      </w:r>
      <w:bookmarkEnd w:id="7"/>
    </w:p>
    <w:p w14:paraId="07986E4C" w14:textId="77777777" w:rsidR="008E44C6" w:rsidRPr="009F54B9" w:rsidRDefault="008E44C6" w:rsidP="00781D49">
      <w:pPr>
        <w:rPr>
          <w:snapToGrid w:val="0"/>
          <w:kern w:val="22"/>
          <w:szCs w:val="22"/>
        </w:rPr>
      </w:pPr>
    </w:p>
    <w:p w14:paraId="7DCC01FE" w14:textId="77777777" w:rsidR="008E44C6" w:rsidRPr="009F54B9" w:rsidRDefault="008E44C6" w:rsidP="00781D49">
      <w:pPr>
        <w:rPr>
          <w:snapToGrid w:val="0"/>
          <w:kern w:val="22"/>
          <w:szCs w:val="22"/>
        </w:rPr>
      </w:pPr>
      <w:r w:rsidRPr="009F54B9">
        <w:rPr>
          <w:snapToGrid w:val="0"/>
          <w:kern w:val="22"/>
          <w:szCs w:val="22"/>
        </w:rPr>
        <w:t>The UNSD classifies manufacturing industries (section C) into the following divisions:</w:t>
      </w:r>
    </w:p>
    <w:p w14:paraId="167569CF"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20" w:history="1">
        <w:r w:rsidR="008E44C6" w:rsidRPr="009F54B9">
          <w:rPr>
            <w:snapToGrid w:val="0"/>
            <w:kern w:val="22"/>
            <w:szCs w:val="22"/>
          </w:rPr>
          <w:t>10</w:t>
        </w:r>
      </w:hyperlink>
      <w:r w:rsidR="008E44C6" w:rsidRPr="009F54B9">
        <w:rPr>
          <w:snapToGrid w:val="0"/>
          <w:kern w:val="22"/>
          <w:szCs w:val="22"/>
        </w:rPr>
        <w:t> - Manufacture of food products (see Table 1 for the top 10 companies in the world);</w:t>
      </w:r>
    </w:p>
    <w:p w14:paraId="3168D97B"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21" w:history="1">
        <w:r w:rsidR="008E44C6" w:rsidRPr="009F54B9">
          <w:rPr>
            <w:snapToGrid w:val="0"/>
            <w:kern w:val="22"/>
            <w:szCs w:val="22"/>
          </w:rPr>
          <w:t>11</w:t>
        </w:r>
      </w:hyperlink>
      <w:r w:rsidR="008E44C6" w:rsidRPr="009F54B9">
        <w:rPr>
          <w:snapToGrid w:val="0"/>
          <w:kern w:val="22"/>
          <w:szCs w:val="22"/>
        </w:rPr>
        <w:t> - Manufacture of beverages;</w:t>
      </w:r>
    </w:p>
    <w:p w14:paraId="1E6C0EC4"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22" w:history="1">
        <w:r w:rsidR="008E44C6" w:rsidRPr="009F54B9">
          <w:rPr>
            <w:snapToGrid w:val="0"/>
            <w:kern w:val="22"/>
            <w:szCs w:val="22"/>
          </w:rPr>
          <w:t>12</w:t>
        </w:r>
      </w:hyperlink>
      <w:r w:rsidR="008E44C6" w:rsidRPr="009F54B9">
        <w:rPr>
          <w:snapToGrid w:val="0"/>
          <w:kern w:val="22"/>
          <w:szCs w:val="22"/>
        </w:rPr>
        <w:t> - Manufacture of tobacco products;</w:t>
      </w:r>
    </w:p>
    <w:p w14:paraId="327F28D4"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23" w:history="1">
        <w:r w:rsidR="008E44C6" w:rsidRPr="009F54B9">
          <w:rPr>
            <w:snapToGrid w:val="0"/>
            <w:kern w:val="22"/>
            <w:szCs w:val="22"/>
          </w:rPr>
          <w:t>13</w:t>
        </w:r>
      </w:hyperlink>
      <w:r w:rsidR="008E44C6" w:rsidRPr="009F54B9">
        <w:rPr>
          <w:snapToGrid w:val="0"/>
          <w:kern w:val="22"/>
          <w:szCs w:val="22"/>
        </w:rPr>
        <w:t xml:space="preserve"> - Manufacture of textiles (see Figure 10 for top </w:t>
      </w:r>
      <w:r w:rsidR="008E44C6" w:rsidRPr="009F54B9">
        <w:rPr>
          <w:snapToGrid w:val="0"/>
          <w:kern w:val="22"/>
        </w:rPr>
        <w:t>10 textile exporters worldwide)</w:t>
      </w:r>
      <w:r w:rsidR="008E44C6" w:rsidRPr="009F54B9">
        <w:rPr>
          <w:snapToGrid w:val="0"/>
          <w:kern w:val="22"/>
          <w:szCs w:val="22"/>
        </w:rPr>
        <w:t>;</w:t>
      </w:r>
    </w:p>
    <w:p w14:paraId="534E2CA0"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24" w:history="1">
        <w:r w:rsidR="008E44C6" w:rsidRPr="009F54B9">
          <w:rPr>
            <w:snapToGrid w:val="0"/>
            <w:kern w:val="22"/>
            <w:szCs w:val="22"/>
          </w:rPr>
          <w:t>14</w:t>
        </w:r>
      </w:hyperlink>
      <w:r w:rsidR="008E44C6" w:rsidRPr="009F54B9">
        <w:rPr>
          <w:snapToGrid w:val="0"/>
          <w:kern w:val="22"/>
          <w:szCs w:val="22"/>
        </w:rPr>
        <w:t> - Manufacture of wearing apparel;</w:t>
      </w:r>
    </w:p>
    <w:p w14:paraId="7912C745"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25" w:history="1">
        <w:r w:rsidR="008E44C6" w:rsidRPr="009F54B9">
          <w:rPr>
            <w:snapToGrid w:val="0"/>
            <w:kern w:val="22"/>
            <w:szCs w:val="22"/>
          </w:rPr>
          <w:t>15</w:t>
        </w:r>
      </w:hyperlink>
      <w:r w:rsidR="008E44C6" w:rsidRPr="009F54B9">
        <w:rPr>
          <w:snapToGrid w:val="0"/>
          <w:kern w:val="22"/>
          <w:szCs w:val="22"/>
        </w:rPr>
        <w:t> - Manufacture of leather and related products;</w:t>
      </w:r>
    </w:p>
    <w:p w14:paraId="60739767"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26" w:history="1">
        <w:r w:rsidR="008E44C6" w:rsidRPr="009F54B9">
          <w:rPr>
            <w:snapToGrid w:val="0"/>
            <w:kern w:val="22"/>
            <w:szCs w:val="22"/>
          </w:rPr>
          <w:t>16</w:t>
        </w:r>
      </w:hyperlink>
      <w:r w:rsidR="008E44C6" w:rsidRPr="009F54B9">
        <w:rPr>
          <w:snapToGrid w:val="0"/>
          <w:kern w:val="22"/>
          <w:szCs w:val="22"/>
        </w:rPr>
        <w:t> - Manufacture of wood and of products of wood and cork, except furniture; manufacture of articles of straw and plaiting materials;</w:t>
      </w:r>
    </w:p>
    <w:p w14:paraId="4D8435A4"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27" w:history="1">
        <w:r w:rsidR="008E44C6" w:rsidRPr="009F54B9">
          <w:rPr>
            <w:snapToGrid w:val="0"/>
            <w:kern w:val="22"/>
            <w:szCs w:val="22"/>
          </w:rPr>
          <w:t>17</w:t>
        </w:r>
      </w:hyperlink>
      <w:r w:rsidR="008E44C6" w:rsidRPr="009F54B9">
        <w:rPr>
          <w:snapToGrid w:val="0"/>
          <w:kern w:val="22"/>
          <w:szCs w:val="22"/>
        </w:rPr>
        <w:t> - Manufacture of paper and paper products;</w:t>
      </w:r>
    </w:p>
    <w:p w14:paraId="640AABA5"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28" w:history="1">
        <w:r w:rsidR="008E44C6" w:rsidRPr="009F54B9">
          <w:rPr>
            <w:snapToGrid w:val="0"/>
            <w:kern w:val="22"/>
            <w:szCs w:val="22"/>
          </w:rPr>
          <w:t>18</w:t>
        </w:r>
      </w:hyperlink>
      <w:r w:rsidR="008E44C6" w:rsidRPr="009F54B9">
        <w:rPr>
          <w:snapToGrid w:val="0"/>
          <w:kern w:val="22"/>
          <w:szCs w:val="22"/>
        </w:rPr>
        <w:t> - Printing and reproduction of recorded media;</w:t>
      </w:r>
    </w:p>
    <w:p w14:paraId="0867B555"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29" w:history="1">
        <w:r w:rsidR="008E44C6" w:rsidRPr="009F54B9">
          <w:rPr>
            <w:snapToGrid w:val="0"/>
            <w:kern w:val="22"/>
            <w:szCs w:val="22"/>
          </w:rPr>
          <w:t>19</w:t>
        </w:r>
      </w:hyperlink>
      <w:r w:rsidR="008E44C6" w:rsidRPr="009F54B9">
        <w:rPr>
          <w:snapToGrid w:val="0"/>
          <w:kern w:val="22"/>
          <w:szCs w:val="22"/>
        </w:rPr>
        <w:t> - Manufacture of coke and refined petroleum products;</w:t>
      </w:r>
    </w:p>
    <w:p w14:paraId="0DA42FEF"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30" w:history="1">
        <w:r w:rsidR="008E44C6" w:rsidRPr="009F54B9">
          <w:rPr>
            <w:snapToGrid w:val="0"/>
            <w:kern w:val="22"/>
            <w:szCs w:val="22"/>
          </w:rPr>
          <w:t>20</w:t>
        </w:r>
      </w:hyperlink>
      <w:r w:rsidR="008E44C6" w:rsidRPr="009F54B9">
        <w:rPr>
          <w:snapToGrid w:val="0"/>
          <w:kern w:val="22"/>
          <w:szCs w:val="22"/>
        </w:rPr>
        <w:t> - Manufacture of chemicals and chemical products (see Table 2 for ranking of top 20 companies);</w:t>
      </w:r>
    </w:p>
    <w:p w14:paraId="6ECFA42F"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31" w:history="1">
        <w:r w:rsidR="008E44C6" w:rsidRPr="009F54B9">
          <w:rPr>
            <w:snapToGrid w:val="0"/>
            <w:kern w:val="22"/>
            <w:szCs w:val="22"/>
          </w:rPr>
          <w:t>21</w:t>
        </w:r>
      </w:hyperlink>
      <w:r w:rsidR="008E44C6" w:rsidRPr="009F54B9">
        <w:rPr>
          <w:snapToGrid w:val="0"/>
          <w:kern w:val="22"/>
          <w:szCs w:val="22"/>
        </w:rPr>
        <w:t> - Manufacture of basic pharmaceutical products and pharmaceutical preparations;</w:t>
      </w:r>
    </w:p>
    <w:p w14:paraId="2EDAA067"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32" w:history="1">
        <w:r w:rsidR="008E44C6" w:rsidRPr="009F54B9">
          <w:rPr>
            <w:snapToGrid w:val="0"/>
            <w:kern w:val="22"/>
            <w:szCs w:val="22"/>
          </w:rPr>
          <w:t>22</w:t>
        </w:r>
      </w:hyperlink>
      <w:r w:rsidR="008E44C6" w:rsidRPr="009F54B9">
        <w:rPr>
          <w:snapToGrid w:val="0"/>
          <w:kern w:val="22"/>
          <w:szCs w:val="22"/>
        </w:rPr>
        <w:t> - Manufacture of rubber and plastics products;</w:t>
      </w:r>
    </w:p>
    <w:p w14:paraId="144856AE"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33" w:history="1">
        <w:r w:rsidR="008E44C6" w:rsidRPr="009F54B9">
          <w:rPr>
            <w:snapToGrid w:val="0"/>
            <w:kern w:val="22"/>
            <w:szCs w:val="22"/>
          </w:rPr>
          <w:t>23</w:t>
        </w:r>
      </w:hyperlink>
      <w:r w:rsidR="008E44C6" w:rsidRPr="009F54B9">
        <w:rPr>
          <w:snapToGrid w:val="0"/>
          <w:kern w:val="22"/>
          <w:szCs w:val="22"/>
        </w:rPr>
        <w:t> - Manufacture of other non-metallic mineral products;</w:t>
      </w:r>
    </w:p>
    <w:p w14:paraId="3631FAB9"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34" w:history="1">
        <w:r w:rsidR="008E44C6" w:rsidRPr="009F54B9">
          <w:rPr>
            <w:snapToGrid w:val="0"/>
            <w:kern w:val="22"/>
            <w:szCs w:val="22"/>
          </w:rPr>
          <w:t>24</w:t>
        </w:r>
      </w:hyperlink>
      <w:r w:rsidR="008E44C6" w:rsidRPr="009F54B9">
        <w:rPr>
          <w:snapToGrid w:val="0"/>
          <w:kern w:val="22"/>
          <w:szCs w:val="22"/>
        </w:rPr>
        <w:t> - Manufacture of basic metals;</w:t>
      </w:r>
    </w:p>
    <w:p w14:paraId="366C56D0"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35" w:history="1">
        <w:r w:rsidR="008E44C6" w:rsidRPr="009F54B9">
          <w:rPr>
            <w:snapToGrid w:val="0"/>
            <w:kern w:val="22"/>
            <w:szCs w:val="22"/>
          </w:rPr>
          <w:t>25</w:t>
        </w:r>
      </w:hyperlink>
      <w:r w:rsidR="008E44C6" w:rsidRPr="009F54B9">
        <w:rPr>
          <w:snapToGrid w:val="0"/>
          <w:kern w:val="22"/>
          <w:szCs w:val="22"/>
        </w:rPr>
        <w:t> - Manufacture of fabricated metal products, except machinery and equipment;</w:t>
      </w:r>
    </w:p>
    <w:p w14:paraId="754B279A"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36" w:history="1">
        <w:r w:rsidR="008E44C6" w:rsidRPr="009F54B9">
          <w:rPr>
            <w:snapToGrid w:val="0"/>
            <w:kern w:val="22"/>
            <w:szCs w:val="22"/>
          </w:rPr>
          <w:t>26</w:t>
        </w:r>
      </w:hyperlink>
      <w:r w:rsidR="008E44C6" w:rsidRPr="009F54B9">
        <w:rPr>
          <w:snapToGrid w:val="0"/>
          <w:kern w:val="22"/>
          <w:szCs w:val="22"/>
        </w:rPr>
        <w:t> - Manufacture of computer, electronic and optical products;</w:t>
      </w:r>
    </w:p>
    <w:p w14:paraId="5F3B2811"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37" w:history="1">
        <w:r w:rsidR="008E44C6" w:rsidRPr="009F54B9">
          <w:rPr>
            <w:snapToGrid w:val="0"/>
            <w:kern w:val="22"/>
            <w:szCs w:val="22"/>
          </w:rPr>
          <w:t>27</w:t>
        </w:r>
      </w:hyperlink>
      <w:r w:rsidR="008E44C6" w:rsidRPr="009F54B9">
        <w:rPr>
          <w:snapToGrid w:val="0"/>
          <w:kern w:val="22"/>
          <w:szCs w:val="22"/>
        </w:rPr>
        <w:t> - Manufacture of electrical equipment;</w:t>
      </w:r>
    </w:p>
    <w:p w14:paraId="7B7D0E61"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38" w:history="1">
        <w:r w:rsidR="008E44C6" w:rsidRPr="009F54B9">
          <w:rPr>
            <w:snapToGrid w:val="0"/>
            <w:kern w:val="22"/>
            <w:szCs w:val="22"/>
          </w:rPr>
          <w:t>28</w:t>
        </w:r>
      </w:hyperlink>
      <w:r w:rsidR="008E44C6" w:rsidRPr="009F54B9">
        <w:rPr>
          <w:snapToGrid w:val="0"/>
          <w:kern w:val="22"/>
          <w:szCs w:val="22"/>
        </w:rPr>
        <w:t xml:space="preserve"> - Manufacture of machinery and equipment </w:t>
      </w:r>
      <w:proofErr w:type="spellStart"/>
      <w:r w:rsidR="008E44C6" w:rsidRPr="009F54B9">
        <w:rPr>
          <w:snapToGrid w:val="0"/>
          <w:kern w:val="22"/>
          <w:szCs w:val="22"/>
        </w:rPr>
        <w:t>n.e.c.</w:t>
      </w:r>
      <w:proofErr w:type="spellEnd"/>
      <w:r w:rsidR="008E44C6" w:rsidRPr="009F54B9">
        <w:rPr>
          <w:snapToGrid w:val="0"/>
          <w:kern w:val="22"/>
          <w:szCs w:val="22"/>
        </w:rPr>
        <w:t>;</w:t>
      </w:r>
    </w:p>
    <w:p w14:paraId="079DA943"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39" w:history="1">
        <w:r w:rsidR="008E44C6" w:rsidRPr="009F54B9">
          <w:rPr>
            <w:snapToGrid w:val="0"/>
            <w:kern w:val="22"/>
            <w:szCs w:val="22"/>
          </w:rPr>
          <w:t>29</w:t>
        </w:r>
      </w:hyperlink>
      <w:r w:rsidR="008E44C6" w:rsidRPr="009F54B9">
        <w:rPr>
          <w:snapToGrid w:val="0"/>
          <w:kern w:val="22"/>
          <w:szCs w:val="22"/>
        </w:rPr>
        <w:t> - Manufacture of motor vehicles, trailers and semi-trailers;</w:t>
      </w:r>
    </w:p>
    <w:p w14:paraId="467312EE"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40" w:history="1">
        <w:r w:rsidR="008E44C6" w:rsidRPr="009F54B9">
          <w:rPr>
            <w:snapToGrid w:val="0"/>
            <w:kern w:val="22"/>
            <w:szCs w:val="22"/>
          </w:rPr>
          <w:t>30</w:t>
        </w:r>
      </w:hyperlink>
      <w:r w:rsidR="008E44C6" w:rsidRPr="009F54B9">
        <w:rPr>
          <w:snapToGrid w:val="0"/>
          <w:kern w:val="22"/>
          <w:szCs w:val="22"/>
        </w:rPr>
        <w:t> - Manufacture of other transport equipment;</w:t>
      </w:r>
    </w:p>
    <w:p w14:paraId="47AA1904"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41" w:history="1">
        <w:r w:rsidR="008E44C6" w:rsidRPr="009F54B9">
          <w:rPr>
            <w:snapToGrid w:val="0"/>
            <w:kern w:val="22"/>
            <w:szCs w:val="22"/>
          </w:rPr>
          <w:t>31</w:t>
        </w:r>
      </w:hyperlink>
      <w:r w:rsidR="008E44C6" w:rsidRPr="009F54B9">
        <w:rPr>
          <w:snapToGrid w:val="0"/>
          <w:kern w:val="22"/>
          <w:szCs w:val="22"/>
        </w:rPr>
        <w:t> - Manufacture of furniture;</w:t>
      </w:r>
    </w:p>
    <w:p w14:paraId="638E7F26"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42" w:history="1">
        <w:r w:rsidR="008E44C6" w:rsidRPr="009F54B9">
          <w:rPr>
            <w:snapToGrid w:val="0"/>
            <w:kern w:val="22"/>
            <w:szCs w:val="22"/>
          </w:rPr>
          <w:t>32</w:t>
        </w:r>
      </w:hyperlink>
      <w:r w:rsidR="008E44C6" w:rsidRPr="009F54B9">
        <w:rPr>
          <w:snapToGrid w:val="0"/>
          <w:kern w:val="22"/>
          <w:szCs w:val="22"/>
        </w:rPr>
        <w:t> - Other manufacturing;</w:t>
      </w:r>
    </w:p>
    <w:p w14:paraId="6CB0C6B1" w14:textId="77777777" w:rsidR="008E44C6" w:rsidRPr="009F54B9" w:rsidRDefault="00BE5BDF" w:rsidP="008E44C6">
      <w:pPr>
        <w:pStyle w:val="ListParagraph"/>
        <w:numPr>
          <w:ilvl w:val="0"/>
          <w:numId w:val="13"/>
        </w:numPr>
        <w:autoSpaceDE w:val="0"/>
        <w:autoSpaceDN w:val="0"/>
        <w:adjustRightInd w:val="0"/>
        <w:spacing w:line="360" w:lineRule="auto"/>
        <w:rPr>
          <w:snapToGrid w:val="0"/>
          <w:kern w:val="22"/>
          <w:szCs w:val="22"/>
        </w:rPr>
      </w:pPr>
      <w:hyperlink r:id="rId43" w:history="1">
        <w:r w:rsidR="008E44C6" w:rsidRPr="009F54B9">
          <w:rPr>
            <w:snapToGrid w:val="0"/>
            <w:kern w:val="22"/>
            <w:szCs w:val="22"/>
          </w:rPr>
          <w:t>33</w:t>
        </w:r>
      </w:hyperlink>
      <w:r w:rsidR="008E44C6" w:rsidRPr="009F54B9">
        <w:rPr>
          <w:snapToGrid w:val="0"/>
          <w:kern w:val="22"/>
          <w:szCs w:val="22"/>
        </w:rPr>
        <w:t> - Repair and installation of machinery and equipment.</w:t>
      </w:r>
    </w:p>
    <w:p w14:paraId="54C37819" w14:textId="77777777" w:rsidR="008E44C6" w:rsidRPr="009F54B9" w:rsidRDefault="008E44C6" w:rsidP="006A708A">
      <w:pPr>
        <w:rPr>
          <w:snapToGrid w:val="0"/>
          <w:kern w:val="22"/>
          <w:szCs w:val="22"/>
        </w:rPr>
      </w:pPr>
    </w:p>
    <w:p w14:paraId="69E34466" w14:textId="77777777" w:rsidR="008E44C6" w:rsidRPr="009F54B9" w:rsidRDefault="008E44C6" w:rsidP="006A708A">
      <w:pPr>
        <w:rPr>
          <w:snapToGrid w:val="0"/>
          <w:color w:val="000000"/>
          <w:kern w:val="22"/>
          <w:szCs w:val="22"/>
        </w:rPr>
      </w:pPr>
      <w:r w:rsidRPr="009F54B9">
        <w:rPr>
          <w:snapToGrid w:val="0"/>
          <w:kern w:val="22"/>
          <w:szCs w:val="22"/>
        </w:rPr>
        <w:t>This classification of manufacturing industries excludes some activities which sometimes involving transformation processes and are classified in other sections of ISIC, such as logging, classified in section A (Agriculture, forestry and fishing) and the beneficiation of ores and other minerals, classified in section B (Mining and quarrying). More detailed explanation of each division is presented in Annex 1.</w:t>
      </w:r>
    </w:p>
    <w:p w14:paraId="4EC3FDC8" w14:textId="77777777" w:rsidR="008E44C6" w:rsidRPr="009F54B9" w:rsidRDefault="008E44C6" w:rsidP="006A708A">
      <w:pPr>
        <w:rPr>
          <w:snapToGrid w:val="0"/>
          <w:kern w:val="22"/>
          <w:szCs w:val="22"/>
        </w:rPr>
      </w:pPr>
    </w:p>
    <w:p w14:paraId="4FEBBDBE" w14:textId="77777777" w:rsidR="008E44C6" w:rsidRPr="009F54B9" w:rsidRDefault="008E44C6" w:rsidP="00CD7961">
      <w:pPr>
        <w:pStyle w:val="Caption"/>
        <w:jc w:val="center"/>
        <w:rPr>
          <w:snapToGrid w:val="0"/>
          <w:kern w:val="22"/>
          <w:szCs w:val="22"/>
        </w:rPr>
      </w:pPr>
      <w:bookmarkStart w:id="8" w:name="_Toc517688920"/>
      <w:r w:rsidRPr="009F54B9">
        <w:rPr>
          <w:snapToGrid w:val="0"/>
          <w:kern w:val="22"/>
        </w:rPr>
        <w:t xml:space="preserve">Table </w:t>
      </w:r>
      <w:r w:rsidRPr="009F54B9">
        <w:rPr>
          <w:snapToGrid w:val="0"/>
          <w:kern w:val="22"/>
        </w:rPr>
        <w:fldChar w:fldCharType="begin"/>
      </w:r>
      <w:r w:rsidRPr="009F54B9">
        <w:rPr>
          <w:snapToGrid w:val="0"/>
          <w:kern w:val="22"/>
        </w:rPr>
        <w:instrText xml:space="preserve"> SEQ Table \* ARABIC </w:instrText>
      </w:r>
      <w:r w:rsidRPr="009F54B9">
        <w:rPr>
          <w:snapToGrid w:val="0"/>
          <w:kern w:val="22"/>
        </w:rPr>
        <w:fldChar w:fldCharType="separate"/>
      </w:r>
      <w:r w:rsidRPr="009F54B9">
        <w:rPr>
          <w:noProof/>
          <w:snapToGrid w:val="0"/>
          <w:kern w:val="22"/>
        </w:rPr>
        <w:t>1</w:t>
      </w:r>
      <w:r w:rsidRPr="009F54B9">
        <w:rPr>
          <w:noProof/>
          <w:snapToGrid w:val="0"/>
          <w:kern w:val="22"/>
        </w:rPr>
        <w:fldChar w:fldCharType="end"/>
      </w:r>
      <w:r w:rsidRPr="009F54B9">
        <w:rPr>
          <w:snapToGrid w:val="0"/>
          <w:kern w:val="22"/>
        </w:rPr>
        <w:t xml:space="preserve">: </w:t>
      </w:r>
      <w:r w:rsidRPr="009F54B9">
        <w:rPr>
          <w:snapToGrid w:val="0"/>
          <w:kern w:val="22"/>
          <w:szCs w:val="22"/>
        </w:rPr>
        <w:t>Top 10 food processing companies in the world</w:t>
      </w:r>
      <w:bookmarkEnd w:id="8"/>
    </w:p>
    <w:tbl>
      <w:tblPr>
        <w:tblW w:w="7050" w:type="dxa"/>
        <w:jc w:val="center"/>
        <w:tblBorders>
          <w:top w:val="outset" w:sz="6" w:space="0" w:color="0087AD"/>
          <w:left w:val="outset" w:sz="6" w:space="0" w:color="0087AD"/>
          <w:bottom w:val="outset" w:sz="6" w:space="0" w:color="0087AD"/>
          <w:right w:val="outset" w:sz="6" w:space="0" w:color="0087AD"/>
        </w:tblBorders>
        <w:shd w:val="clear" w:color="auto" w:fill="FFFFFF"/>
        <w:tblCellMar>
          <w:left w:w="0" w:type="dxa"/>
          <w:right w:w="0" w:type="dxa"/>
        </w:tblCellMar>
        <w:tblLook w:val="04A0" w:firstRow="1" w:lastRow="0" w:firstColumn="1" w:lastColumn="0" w:noHBand="0" w:noVBand="1"/>
      </w:tblPr>
      <w:tblGrid>
        <w:gridCol w:w="991"/>
        <w:gridCol w:w="2916"/>
        <w:gridCol w:w="3143"/>
      </w:tblGrid>
      <w:tr w:rsidR="008E44C6" w:rsidRPr="00DF1117" w14:paraId="1671B774" w14:textId="77777777" w:rsidTr="00CD7961">
        <w:trPr>
          <w:jc w:val="center"/>
        </w:trPr>
        <w:tc>
          <w:tcPr>
            <w:tcW w:w="0" w:type="auto"/>
            <w:tcBorders>
              <w:top w:val="single" w:sz="6" w:space="0" w:color="0087AD"/>
              <w:left w:val="single" w:sz="6" w:space="0" w:color="0087AD"/>
              <w:bottom w:val="single" w:sz="6" w:space="0" w:color="0087AD"/>
              <w:right w:val="single" w:sz="6" w:space="0" w:color="0087AD"/>
            </w:tcBorders>
            <w:shd w:val="clear" w:color="auto" w:fill="0077C1"/>
            <w:tcMar>
              <w:top w:w="120" w:type="dxa"/>
              <w:left w:w="120" w:type="dxa"/>
              <w:bottom w:w="120" w:type="dxa"/>
              <w:right w:w="120" w:type="dxa"/>
            </w:tcMar>
            <w:vAlign w:val="center"/>
            <w:hideMark/>
          </w:tcPr>
          <w:p w14:paraId="21DB04EE" w14:textId="77777777" w:rsidR="008E44C6" w:rsidRPr="009F54B9" w:rsidRDefault="008E44C6" w:rsidP="0046616B">
            <w:pPr>
              <w:jc w:val="center"/>
              <w:rPr>
                <w:rFonts w:ascii="Georgia" w:hAnsi="Georgia"/>
                <w:b/>
                <w:bCs/>
                <w:snapToGrid w:val="0"/>
                <w:color w:val="000000" w:themeColor="text1"/>
                <w:kern w:val="22"/>
                <w:sz w:val="18"/>
                <w:szCs w:val="18"/>
                <w:lang w:eastAsia="en-GB"/>
              </w:rPr>
            </w:pPr>
            <w:r w:rsidRPr="009F54B9">
              <w:rPr>
                <w:rFonts w:ascii="Georgia" w:hAnsi="Georgia"/>
                <w:b/>
                <w:bCs/>
                <w:snapToGrid w:val="0"/>
                <w:color w:val="000000" w:themeColor="text1"/>
                <w:kern w:val="22"/>
                <w:sz w:val="18"/>
                <w:szCs w:val="18"/>
                <w:lang w:eastAsia="en-GB"/>
              </w:rPr>
              <w:t>Rank</w:t>
            </w:r>
          </w:p>
        </w:tc>
        <w:tc>
          <w:tcPr>
            <w:tcW w:w="0" w:type="auto"/>
            <w:tcBorders>
              <w:top w:val="single" w:sz="6" w:space="0" w:color="0087AD"/>
              <w:left w:val="single" w:sz="6" w:space="0" w:color="0087AD"/>
              <w:bottom w:val="single" w:sz="6" w:space="0" w:color="0087AD"/>
              <w:right w:val="single" w:sz="6" w:space="0" w:color="0087AD"/>
            </w:tcBorders>
            <w:shd w:val="clear" w:color="auto" w:fill="0077C1"/>
            <w:tcMar>
              <w:top w:w="120" w:type="dxa"/>
              <w:left w:w="120" w:type="dxa"/>
              <w:bottom w:w="120" w:type="dxa"/>
              <w:right w:w="120" w:type="dxa"/>
            </w:tcMar>
            <w:vAlign w:val="center"/>
            <w:hideMark/>
          </w:tcPr>
          <w:p w14:paraId="6A58EF4E" w14:textId="77777777" w:rsidR="008E44C6" w:rsidRPr="009F54B9" w:rsidRDefault="008E44C6" w:rsidP="0046616B">
            <w:pPr>
              <w:jc w:val="center"/>
              <w:rPr>
                <w:rFonts w:ascii="Georgia" w:hAnsi="Georgia"/>
                <w:b/>
                <w:bCs/>
                <w:snapToGrid w:val="0"/>
                <w:color w:val="000000" w:themeColor="text1"/>
                <w:kern w:val="22"/>
                <w:sz w:val="18"/>
                <w:szCs w:val="18"/>
                <w:lang w:eastAsia="en-GB"/>
              </w:rPr>
            </w:pPr>
            <w:r w:rsidRPr="009F54B9">
              <w:rPr>
                <w:rFonts w:ascii="Georgia" w:hAnsi="Georgia"/>
                <w:b/>
                <w:bCs/>
                <w:snapToGrid w:val="0"/>
                <w:color w:val="000000" w:themeColor="text1"/>
                <w:kern w:val="22"/>
                <w:sz w:val="18"/>
                <w:szCs w:val="18"/>
                <w:lang w:eastAsia="en-GB"/>
              </w:rPr>
              <w:t>Company</w:t>
            </w:r>
          </w:p>
        </w:tc>
        <w:tc>
          <w:tcPr>
            <w:tcW w:w="0" w:type="auto"/>
            <w:tcBorders>
              <w:top w:val="single" w:sz="6" w:space="0" w:color="0087AD"/>
              <w:left w:val="single" w:sz="6" w:space="0" w:color="0087AD"/>
              <w:bottom w:val="single" w:sz="6" w:space="0" w:color="0087AD"/>
              <w:right w:val="single" w:sz="6" w:space="0" w:color="0087AD"/>
            </w:tcBorders>
            <w:shd w:val="clear" w:color="auto" w:fill="0077C1"/>
            <w:tcMar>
              <w:top w:w="120" w:type="dxa"/>
              <w:left w:w="120" w:type="dxa"/>
              <w:bottom w:w="120" w:type="dxa"/>
              <w:right w:w="120" w:type="dxa"/>
            </w:tcMar>
            <w:vAlign w:val="center"/>
            <w:hideMark/>
          </w:tcPr>
          <w:p w14:paraId="70E18329" w14:textId="77777777" w:rsidR="008E44C6" w:rsidRPr="009F54B9" w:rsidRDefault="008E44C6" w:rsidP="0046616B">
            <w:pPr>
              <w:jc w:val="center"/>
              <w:rPr>
                <w:rFonts w:ascii="Georgia" w:hAnsi="Georgia"/>
                <w:b/>
                <w:bCs/>
                <w:snapToGrid w:val="0"/>
                <w:color w:val="000000" w:themeColor="text1"/>
                <w:kern w:val="22"/>
                <w:sz w:val="18"/>
                <w:szCs w:val="18"/>
                <w:lang w:eastAsia="en-GB"/>
              </w:rPr>
            </w:pPr>
            <w:r w:rsidRPr="009F54B9">
              <w:rPr>
                <w:rFonts w:ascii="Georgia" w:hAnsi="Georgia"/>
                <w:b/>
                <w:bCs/>
                <w:snapToGrid w:val="0"/>
                <w:color w:val="000000" w:themeColor="text1"/>
                <w:kern w:val="22"/>
                <w:sz w:val="18"/>
                <w:szCs w:val="18"/>
                <w:lang w:eastAsia="en-GB"/>
              </w:rPr>
              <w:t>Profit (2013)</w:t>
            </w:r>
          </w:p>
        </w:tc>
      </w:tr>
      <w:tr w:rsidR="008E44C6" w:rsidRPr="00DF1117" w14:paraId="05D51570" w14:textId="77777777" w:rsidTr="00CD7961">
        <w:trPr>
          <w:jc w:val="center"/>
        </w:trPr>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2397A4D9"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1.</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0B9BEC28"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Nestlé</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77BF6D68"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CHF 10.02 billion</w:t>
            </w:r>
          </w:p>
        </w:tc>
      </w:tr>
      <w:tr w:rsidR="008E44C6" w:rsidRPr="00DF1117" w14:paraId="5920CE02" w14:textId="77777777" w:rsidTr="00CD7961">
        <w:trPr>
          <w:jc w:val="center"/>
        </w:trPr>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5AA41778"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2.</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64252FC2"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PepsiCo</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01A6052A"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US$ 6.74 billion</w:t>
            </w:r>
          </w:p>
        </w:tc>
      </w:tr>
      <w:tr w:rsidR="008E44C6" w:rsidRPr="00DF1117" w14:paraId="5CD47AF7" w14:textId="77777777" w:rsidTr="00CD7961">
        <w:trPr>
          <w:jc w:val="center"/>
        </w:trPr>
        <w:tc>
          <w:tcPr>
            <w:tcW w:w="0" w:type="auto"/>
            <w:tcBorders>
              <w:top w:val="single" w:sz="6" w:space="0" w:color="0087AD"/>
              <w:left w:val="single" w:sz="6" w:space="0" w:color="0087AD"/>
              <w:bottom w:val="single" w:sz="6" w:space="0" w:color="0087AD"/>
              <w:right w:val="single" w:sz="6" w:space="0" w:color="0087AD"/>
            </w:tcBorders>
            <w:shd w:val="clear" w:color="auto" w:fill="auto"/>
            <w:tcMar>
              <w:top w:w="120" w:type="dxa"/>
              <w:left w:w="120" w:type="dxa"/>
              <w:bottom w:w="120" w:type="dxa"/>
              <w:right w:w="120" w:type="dxa"/>
            </w:tcMar>
            <w:vAlign w:val="center"/>
            <w:hideMark/>
          </w:tcPr>
          <w:p w14:paraId="5A8C13F1"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3.</w:t>
            </w:r>
          </w:p>
        </w:tc>
        <w:tc>
          <w:tcPr>
            <w:tcW w:w="0" w:type="auto"/>
            <w:tcBorders>
              <w:top w:val="single" w:sz="6" w:space="0" w:color="0087AD"/>
              <w:left w:val="single" w:sz="6" w:space="0" w:color="0087AD"/>
              <w:bottom w:val="single" w:sz="6" w:space="0" w:color="0087AD"/>
              <w:right w:val="single" w:sz="6" w:space="0" w:color="0087AD"/>
            </w:tcBorders>
            <w:shd w:val="clear" w:color="auto" w:fill="auto"/>
            <w:tcMar>
              <w:top w:w="120" w:type="dxa"/>
              <w:left w:w="120" w:type="dxa"/>
              <w:bottom w:w="120" w:type="dxa"/>
              <w:right w:w="120" w:type="dxa"/>
            </w:tcMar>
            <w:vAlign w:val="center"/>
            <w:hideMark/>
          </w:tcPr>
          <w:p w14:paraId="4AE5FB76"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Kraft</w:t>
            </w:r>
          </w:p>
        </w:tc>
        <w:tc>
          <w:tcPr>
            <w:tcW w:w="0" w:type="auto"/>
            <w:tcBorders>
              <w:top w:val="single" w:sz="6" w:space="0" w:color="0087AD"/>
              <w:left w:val="single" w:sz="6" w:space="0" w:color="0087AD"/>
              <w:bottom w:val="single" w:sz="6" w:space="0" w:color="0087AD"/>
              <w:right w:val="single" w:sz="6" w:space="0" w:color="0087AD"/>
            </w:tcBorders>
            <w:shd w:val="clear" w:color="auto" w:fill="auto"/>
            <w:tcMar>
              <w:top w:w="120" w:type="dxa"/>
              <w:left w:w="120" w:type="dxa"/>
              <w:bottom w:w="120" w:type="dxa"/>
              <w:right w:w="120" w:type="dxa"/>
            </w:tcMar>
            <w:vAlign w:val="center"/>
            <w:hideMark/>
          </w:tcPr>
          <w:p w14:paraId="73ECC1D2"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US$ 2.715 billion</w:t>
            </w:r>
          </w:p>
        </w:tc>
      </w:tr>
      <w:tr w:rsidR="008E44C6" w:rsidRPr="00DF1117" w14:paraId="09AA8C26" w14:textId="77777777" w:rsidTr="00CD7961">
        <w:trPr>
          <w:jc w:val="center"/>
        </w:trPr>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5E7E424D"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4.</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2CC26562"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Anheuser-Busch InBev</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38B8192C"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US$14.394 billion</w:t>
            </w:r>
          </w:p>
        </w:tc>
      </w:tr>
      <w:tr w:rsidR="008E44C6" w:rsidRPr="00DF1117" w14:paraId="0347012A" w14:textId="77777777" w:rsidTr="00CD7961">
        <w:trPr>
          <w:jc w:val="center"/>
        </w:trPr>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6ECF3524"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5.</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1E368DC8"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Coca-Cola</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2DE9F41E"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US$ 9.01 billions</w:t>
            </w:r>
          </w:p>
        </w:tc>
      </w:tr>
      <w:tr w:rsidR="008E44C6" w:rsidRPr="00DF1117" w14:paraId="159CCB38" w14:textId="77777777" w:rsidTr="00CD7961">
        <w:trPr>
          <w:jc w:val="center"/>
        </w:trPr>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560448B3"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6.</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7D65EDD1"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JBS S.A</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4A616642"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US$ 392.2 million</w:t>
            </w:r>
          </w:p>
        </w:tc>
      </w:tr>
      <w:tr w:rsidR="008E44C6" w:rsidRPr="00DF1117" w14:paraId="20F11061" w14:textId="77777777" w:rsidTr="00CD7961">
        <w:trPr>
          <w:jc w:val="center"/>
        </w:trPr>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3B2CE3A2"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7.</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442591D9"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Archer Daniels Midland</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7058FD0F"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US$ 1.223 billion </w:t>
            </w:r>
            <w:r w:rsidRPr="009F54B9">
              <w:rPr>
                <w:rFonts w:ascii="Georgia" w:hAnsi="Georgia"/>
                <w:snapToGrid w:val="0"/>
                <w:color w:val="000000" w:themeColor="text1"/>
                <w:kern w:val="22"/>
                <w:sz w:val="15"/>
                <w:szCs w:val="15"/>
                <w:lang w:eastAsia="en-GB"/>
              </w:rPr>
              <w:t>(FY 2012)</w:t>
            </w:r>
          </w:p>
        </w:tc>
      </w:tr>
      <w:tr w:rsidR="008E44C6" w:rsidRPr="00DF1117" w14:paraId="3CAD6CB0" w14:textId="77777777" w:rsidTr="00CD7961">
        <w:trPr>
          <w:jc w:val="center"/>
        </w:trPr>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5B0E0A51"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8.</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44AE9E4A"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Unilever</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79FB670E"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€5.3 billion</w:t>
            </w:r>
          </w:p>
        </w:tc>
      </w:tr>
      <w:tr w:rsidR="008E44C6" w:rsidRPr="00DF1117" w14:paraId="708E13E0" w14:textId="77777777" w:rsidTr="00CD7961">
        <w:trPr>
          <w:trHeight w:val="20"/>
          <w:jc w:val="center"/>
        </w:trPr>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642F654A"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9.</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094DC16C"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Mars, Inc</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0701F12E"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US$33 billion (2014)</w:t>
            </w:r>
          </w:p>
        </w:tc>
      </w:tr>
      <w:tr w:rsidR="008E44C6" w:rsidRPr="00DF1117" w14:paraId="667B0E89" w14:textId="77777777" w:rsidTr="00CD7961">
        <w:trPr>
          <w:jc w:val="center"/>
        </w:trPr>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159D71FD"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10.</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542AA2E4"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Tyson Foods, Inc</w:t>
            </w:r>
          </w:p>
        </w:tc>
        <w:tc>
          <w:tcPr>
            <w:tcW w:w="0" w:type="auto"/>
            <w:tcBorders>
              <w:top w:val="single" w:sz="6" w:space="0" w:color="0087AD"/>
              <w:left w:val="single" w:sz="6" w:space="0" w:color="0087AD"/>
              <w:bottom w:val="single" w:sz="6" w:space="0" w:color="0087AD"/>
              <w:right w:val="single" w:sz="6" w:space="0" w:color="0087AD"/>
            </w:tcBorders>
            <w:shd w:val="clear" w:color="auto" w:fill="FFFFFF"/>
            <w:tcMar>
              <w:top w:w="120" w:type="dxa"/>
              <w:left w:w="120" w:type="dxa"/>
              <w:bottom w:w="120" w:type="dxa"/>
              <w:right w:w="120" w:type="dxa"/>
            </w:tcMar>
            <w:vAlign w:val="center"/>
            <w:hideMark/>
          </w:tcPr>
          <w:p w14:paraId="02B7F693" w14:textId="77777777" w:rsidR="008E44C6" w:rsidRPr="009F54B9" w:rsidRDefault="008E44C6" w:rsidP="0046616B">
            <w:pPr>
              <w:jc w:val="center"/>
              <w:rPr>
                <w:rFonts w:ascii="Georgia" w:hAnsi="Georgia"/>
                <w:snapToGrid w:val="0"/>
                <w:color w:val="000000" w:themeColor="text1"/>
                <w:kern w:val="22"/>
                <w:sz w:val="18"/>
                <w:szCs w:val="18"/>
                <w:lang w:eastAsia="en-GB"/>
              </w:rPr>
            </w:pPr>
            <w:r w:rsidRPr="009F54B9">
              <w:rPr>
                <w:rFonts w:ascii="Georgia" w:hAnsi="Georgia"/>
                <w:snapToGrid w:val="0"/>
                <w:color w:val="000000" w:themeColor="text1"/>
                <w:kern w:val="22"/>
                <w:sz w:val="18"/>
                <w:szCs w:val="18"/>
                <w:lang w:eastAsia="en-GB"/>
              </w:rPr>
              <w:t>US$ 778.0 million</w:t>
            </w:r>
          </w:p>
        </w:tc>
      </w:tr>
    </w:tbl>
    <w:p w14:paraId="19E99343" w14:textId="77777777" w:rsidR="008E44C6" w:rsidRPr="009F54B9" w:rsidRDefault="008E44C6" w:rsidP="00CD7961">
      <w:pPr>
        <w:pStyle w:val="ListParagraph"/>
        <w:rPr>
          <w:snapToGrid w:val="0"/>
          <w:kern w:val="22"/>
          <w:szCs w:val="22"/>
        </w:rPr>
      </w:pPr>
    </w:p>
    <w:p w14:paraId="30C334A0" w14:textId="77777777" w:rsidR="008E44C6" w:rsidRPr="009F54B9" w:rsidRDefault="008E44C6" w:rsidP="00CD7961">
      <w:pPr>
        <w:pStyle w:val="ListParagraph"/>
        <w:rPr>
          <w:snapToGrid w:val="0"/>
          <w:kern w:val="22"/>
          <w:szCs w:val="22"/>
        </w:rPr>
      </w:pPr>
    </w:p>
    <w:p w14:paraId="4BC6BC4F" w14:textId="77777777" w:rsidR="008E44C6" w:rsidRPr="009F54B9" w:rsidRDefault="008E44C6" w:rsidP="00CD7961">
      <w:pPr>
        <w:pStyle w:val="ListParagraph"/>
        <w:rPr>
          <w:snapToGrid w:val="0"/>
          <w:kern w:val="22"/>
          <w:szCs w:val="22"/>
        </w:rPr>
      </w:pPr>
    </w:p>
    <w:p w14:paraId="223308E7" w14:textId="77777777" w:rsidR="008E44C6" w:rsidRPr="009F54B9" w:rsidRDefault="008E44C6" w:rsidP="00CD7961">
      <w:pPr>
        <w:pStyle w:val="ListParagraph"/>
        <w:rPr>
          <w:snapToGrid w:val="0"/>
          <w:kern w:val="22"/>
          <w:szCs w:val="22"/>
        </w:rPr>
      </w:pPr>
    </w:p>
    <w:p w14:paraId="1AE95678" w14:textId="77777777" w:rsidR="008E44C6" w:rsidRPr="009F54B9" w:rsidRDefault="008E44C6" w:rsidP="00CD7961">
      <w:pPr>
        <w:pStyle w:val="ListParagraph"/>
        <w:rPr>
          <w:snapToGrid w:val="0"/>
          <w:kern w:val="22"/>
          <w:szCs w:val="22"/>
        </w:rPr>
      </w:pPr>
    </w:p>
    <w:p w14:paraId="04A6F730" w14:textId="77777777" w:rsidR="008E44C6" w:rsidRPr="009F54B9" w:rsidRDefault="008E44C6" w:rsidP="008E44C6">
      <w:pPr>
        <w:pStyle w:val="Heading2"/>
        <w:keepNext w:val="0"/>
        <w:numPr>
          <w:ilvl w:val="1"/>
          <w:numId w:val="10"/>
        </w:numPr>
        <w:tabs>
          <w:tab w:val="clear" w:pos="720"/>
        </w:tabs>
        <w:autoSpaceDE w:val="0"/>
        <w:autoSpaceDN w:val="0"/>
        <w:adjustRightInd w:val="0"/>
        <w:spacing w:before="0"/>
        <w:jc w:val="both"/>
        <w:rPr>
          <w:smallCaps/>
          <w:snapToGrid w:val="0"/>
          <w:kern w:val="22"/>
          <w:szCs w:val="22"/>
        </w:rPr>
      </w:pPr>
      <w:bookmarkStart w:id="9" w:name="_Toc517690310"/>
      <w:r w:rsidRPr="009F54B9">
        <w:rPr>
          <w:smallCaps/>
          <w:snapToGrid w:val="0"/>
          <w:kern w:val="22"/>
          <w:szCs w:val="22"/>
        </w:rPr>
        <w:t>From early to modern manufacturing</w:t>
      </w:r>
      <w:bookmarkEnd w:id="9"/>
      <w:r w:rsidRPr="009F54B9">
        <w:rPr>
          <w:smallCaps/>
          <w:snapToGrid w:val="0"/>
          <w:kern w:val="22"/>
          <w:szCs w:val="22"/>
        </w:rPr>
        <w:t xml:space="preserve"> </w:t>
      </w:r>
    </w:p>
    <w:p w14:paraId="1465ABC1" w14:textId="77777777" w:rsidR="008E44C6" w:rsidRPr="009F54B9" w:rsidRDefault="008E44C6" w:rsidP="00B67C11">
      <w:pPr>
        <w:rPr>
          <w:snapToGrid w:val="0"/>
          <w:kern w:val="22"/>
          <w:szCs w:val="22"/>
          <w:highlight w:val="yellow"/>
        </w:rPr>
      </w:pPr>
    </w:p>
    <w:p w14:paraId="1B7AD140" w14:textId="77777777" w:rsidR="008E44C6" w:rsidRPr="009F54B9" w:rsidRDefault="008E44C6" w:rsidP="00B67C11">
      <w:pPr>
        <w:rPr>
          <w:snapToGrid w:val="0"/>
          <w:kern w:val="22"/>
          <w:szCs w:val="22"/>
        </w:rPr>
      </w:pPr>
      <w:r w:rsidRPr="009F54B9">
        <w:rPr>
          <w:snapToGrid w:val="0"/>
          <w:kern w:val="22"/>
          <w:szCs w:val="22"/>
        </w:rPr>
        <w:t>Before the invention of heavy machinery and automation, manufacturing was exclusively undertaken through manual activities. Skilled tradespeople were responsible for each major step of the manufacturing process, from product design to production. Key characteristics of early manufacturing systems included:</w:t>
      </w:r>
    </w:p>
    <w:p w14:paraId="51BA3853" w14:textId="77777777" w:rsidR="008E44C6" w:rsidRPr="009F54B9" w:rsidRDefault="008E44C6" w:rsidP="008E44C6">
      <w:pPr>
        <w:pStyle w:val="ListParagraph"/>
        <w:numPr>
          <w:ilvl w:val="0"/>
          <w:numId w:val="16"/>
        </w:numPr>
        <w:autoSpaceDE w:val="0"/>
        <w:autoSpaceDN w:val="0"/>
        <w:adjustRightInd w:val="0"/>
        <w:spacing w:line="360" w:lineRule="auto"/>
        <w:rPr>
          <w:snapToGrid w:val="0"/>
          <w:kern w:val="22"/>
          <w:szCs w:val="22"/>
        </w:rPr>
      </w:pPr>
      <w:r w:rsidRPr="009F54B9">
        <w:rPr>
          <w:snapToGrid w:val="0"/>
          <w:kern w:val="22"/>
          <w:szCs w:val="22"/>
        </w:rPr>
        <w:lastRenderedPageBreak/>
        <w:t>The involvement of only the most skilled workers, with parents often passing down their skills to their children;</w:t>
      </w:r>
    </w:p>
    <w:p w14:paraId="700FAB34" w14:textId="77777777" w:rsidR="008E44C6" w:rsidRPr="009F54B9" w:rsidRDefault="008E44C6" w:rsidP="008E44C6">
      <w:pPr>
        <w:pStyle w:val="ListParagraph"/>
        <w:numPr>
          <w:ilvl w:val="0"/>
          <w:numId w:val="16"/>
        </w:numPr>
        <w:autoSpaceDE w:val="0"/>
        <w:autoSpaceDN w:val="0"/>
        <w:adjustRightInd w:val="0"/>
        <w:spacing w:line="360" w:lineRule="auto"/>
        <w:rPr>
          <w:snapToGrid w:val="0"/>
          <w:kern w:val="22"/>
          <w:szCs w:val="22"/>
        </w:rPr>
      </w:pPr>
      <w:r w:rsidRPr="009F54B9">
        <w:rPr>
          <w:snapToGrid w:val="0"/>
          <w:kern w:val="22"/>
          <w:szCs w:val="22"/>
        </w:rPr>
        <w:t>Most skilled trades were performed locally and rurally, which could only support so many workers and output volumes;</w:t>
      </w:r>
    </w:p>
    <w:p w14:paraId="2427EF0A" w14:textId="77777777" w:rsidR="008E44C6" w:rsidRPr="009F54B9" w:rsidRDefault="008E44C6" w:rsidP="008E44C6">
      <w:pPr>
        <w:pStyle w:val="ListParagraph"/>
        <w:numPr>
          <w:ilvl w:val="0"/>
          <w:numId w:val="16"/>
        </w:numPr>
        <w:autoSpaceDE w:val="0"/>
        <w:autoSpaceDN w:val="0"/>
        <w:adjustRightInd w:val="0"/>
        <w:spacing w:line="360" w:lineRule="auto"/>
        <w:rPr>
          <w:snapToGrid w:val="0"/>
          <w:kern w:val="22"/>
          <w:szCs w:val="22"/>
        </w:rPr>
      </w:pPr>
      <w:r w:rsidRPr="009F54B9">
        <w:rPr>
          <w:snapToGrid w:val="0"/>
          <w:kern w:val="22"/>
          <w:szCs w:val="22"/>
        </w:rPr>
        <w:t>Apprenticing was often seen as an effective way for knowledge (e.g., quality) to be passed down correctly.</w:t>
      </w:r>
    </w:p>
    <w:p w14:paraId="2B0A23EE" w14:textId="77777777" w:rsidR="008E44C6" w:rsidRPr="009F54B9" w:rsidRDefault="008E44C6" w:rsidP="00A908BE">
      <w:pPr>
        <w:pStyle w:val="Caption"/>
        <w:rPr>
          <w:snapToGrid w:val="0"/>
          <w:kern w:val="22"/>
          <w:szCs w:val="22"/>
        </w:rPr>
      </w:pPr>
    </w:p>
    <w:p w14:paraId="3F113E5F" w14:textId="77777777" w:rsidR="008E44C6" w:rsidRPr="009F54B9" w:rsidRDefault="008E44C6" w:rsidP="00A44EA0">
      <w:pPr>
        <w:rPr>
          <w:snapToGrid w:val="0"/>
          <w:kern w:val="22"/>
          <w:szCs w:val="22"/>
        </w:rPr>
      </w:pPr>
      <w:r w:rsidRPr="009F54B9">
        <w:rPr>
          <w:snapToGrid w:val="0"/>
          <w:kern w:val="22"/>
          <w:szCs w:val="22"/>
        </w:rPr>
        <w:t>There were several key innovations that progressively led to industrialised societies, including but not limited to</w:t>
      </w:r>
      <w:r w:rsidRPr="009F54B9">
        <w:rPr>
          <w:rStyle w:val="FootnoteReference"/>
          <w:snapToGrid w:val="0"/>
          <w:kern w:val="22"/>
          <w:szCs w:val="22"/>
        </w:rPr>
        <w:footnoteReference w:id="5"/>
      </w:r>
      <w:r w:rsidRPr="009F54B9">
        <w:rPr>
          <w:snapToGrid w:val="0"/>
          <w:kern w:val="22"/>
          <w:szCs w:val="22"/>
        </w:rPr>
        <w:t>:</w:t>
      </w:r>
    </w:p>
    <w:p w14:paraId="1392A558" w14:textId="77777777" w:rsidR="008E44C6" w:rsidRPr="009F54B9" w:rsidRDefault="008E44C6" w:rsidP="008E44C6">
      <w:pPr>
        <w:pStyle w:val="ListParagraph"/>
        <w:numPr>
          <w:ilvl w:val="0"/>
          <w:numId w:val="16"/>
        </w:numPr>
        <w:autoSpaceDE w:val="0"/>
        <w:autoSpaceDN w:val="0"/>
        <w:adjustRightInd w:val="0"/>
        <w:spacing w:line="360" w:lineRule="auto"/>
        <w:rPr>
          <w:snapToGrid w:val="0"/>
          <w:kern w:val="22"/>
          <w:szCs w:val="22"/>
        </w:rPr>
      </w:pPr>
      <w:r w:rsidRPr="009F54B9">
        <w:rPr>
          <w:snapToGrid w:val="0"/>
          <w:kern w:val="22"/>
          <w:szCs w:val="22"/>
        </w:rPr>
        <w:t>The emergence of the division of labo</w:t>
      </w:r>
      <w:r w:rsidR="00A53927" w:rsidRPr="009F54B9">
        <w:rPr>
          <w:snapToGrid w:val="0"/>
          <w:kern w:val="22"/>
          <w:szCs w:val="22"/>
        </w:rPr>
        <w:t>u</w:t>
      </w:r>
      <w:r w:rsidRPr="009F54B9">
        <w:rPr>
          <w:snapToGrid w:val="0"/>
          <w:kern w:val="22"/>
          <w:szCs w:val="22"/>
        </w:rPr>
        <w:t>r: Collectives of manufacturers under one business hub were progressively set up, with central providers sub-contracting specific orders to rural manufacturers, spreading the workload among tradespeople and giving those tradespeople a wider customer base.</w:t>
      </w:r>
    </w:p>
    <w:p w14:paraId="7BDDEAD8" w14:textId="77777777" w:rsidR="008E44C6" w:rsidRPr="009F54B9" w:rsidRDefault="008E44C6" w:rsidP="008E44C6">
      <w:pPr>
        <w:pStyle w:val="ListParagraph"/>
        <w:numPr>
          <w:ilvl w:val="0"/>
          <w:numId w:val="16"/>
        </w:numPr>
        <w:autoSpaceDE w:val="0"/>
        <w:autoSpaceDN w:val="0"/>
        <w:adjustRightInd w:val="0"/>
        <w:spacing w:line="360" w:lineRule="auto"/>
        <w:rPr>
          <w:snapToGrid w:val="0"/>
          <w:kern w:val="22"/>
          <w:szCs w:val="22"/>
        </w:rPr>
      </w:pPr>
      <w:r w:rsidRPr="009F54B9">
        <w:rPr>
          <w:snapToGrid w:val="0"/>
          <w:kern w:val="22"/>
          <w:szCs w:val="22"/>
        </w:rPr>
        <w:t xml:space="preserve">The development of interchangeable parts led to reduced downtime, efficient </w:t>
      </w:r>
      <w:r w:rsidR="00A53927" w:rsidRPr="009F54B9">
        <w:rPr>
          <w:snapToGrid w:val="0"/>
          <w:kern w:val="22"/>
          <w:szCs w:val="22"/>
        </w:rPr>
        <w:t>labour</w:t>
      </w:r>
      <w:r w:rsidRPr="009F54B9">
        <w:rPr>
          <w:snapToGrid w:val="0"/>
          <w:kern w:val="22"/>
          <w:szCs w:val="22"/>
        </w:rPr>
        <w:t xml:space="preserve"> usage and mass production. Similarly, fixtures, jigs and gauges paved the way for identical parts to be manufactured quickly and correctly before being passed along to less-skilled assembly workers.</w:t>
      </w:r>
    </w:p>
    <w:p w14:paraId="0B87646C" w14:textId="77777777" w:rsidR="008E44C6" w:rsidRPr="009F54B9" w:rsidRDefault="008E44C6" w:rsidP="008E44C6">
      <w:pPr>
        <w:pStyle w:val="ListParagraph"/>
        <w:numPr>
          <w:ilvl w:val="0"/>
          <w:numId w:val="16"/>
        </w:numPr>
        <w:autoSpaceDE w:val="0"/>
        <w:autoSpaceDN w:val="0"/>
        <w:adjustRightInd w:val="0"/>
        <w:spacing w:line="360" w:lineRule="auto"/>
        <w:rPr>
          <w:snapToGrid w:val="0"/>
          <w:kern w:val="22"/>
          <w:szCs w:val="22"/>
        </w:rPr>
      </w:pPr>
      <w:r w:rsidRPr="009F54B9">
        <w:rPr>
          <w:snapToGrid w:val="0"/>
          <w:kern w:val="22"/>
          <w:szCs w:val="22"/>
        </w:rPr>
        <w:t>When water and steam power enabled production to be undertaken independently of human labo</w:t>
      </w:r>
      <w:r w:rsidR="00A53927" w:rsidRPr="009F54B9">
        <w:rPr>
          <w:snapToGrid w:val="0"/>
          <w:kern w:val="22"/>
          <w:szCs w:val="22"/>
        </w:rPr>
        <w:t>u</w:t>
      </w:r>
      <w:r w:rsidRPr="009F54B9">
        <w:rPr>
          <w:snapToGrid w:val="0"/>
          <w:kern w:val="22"/>
          <w:szCs w:val="22"/>
        </w:rPr>
        <w:t xml:space="preserve">r, specialized machines began replacing specialized people. The increase in machine efficiency and the reduced skill of workers led to drops in the cost of </w:t>
      </w:r>
      <w:r w:rsidR="00A53927" w:rsidRPr="009F54B9">
        <w:rPr>
          <w:snapToGrid w:val="0"/>
          <w:kern w:val="22"/>
          <w:szCs w:val="22"/>
        </w:rPr>
        <w:t>labour</w:t>
      </w:r>
      <w:r w:rsidRPr="009F54B9">
        <w:rPr>
          <w:snapToGrid w:val="0"/>
          <w:kern w:val="22"/>
          <w:szCs w:val="22"/>
        </w:rPr>
        <w:t xml:space="preserve"> and cheaper products.</w:t>
      </w:r>
    </w:p>
    <w:p w14:paraId="642431C3" w14:textId="77777777" w:rsidR="008E44C6" w:rsidRPr="009F54B9" w:rsidRDefault="008E44C6" w:rsidP="008E44C6">
      <w:pPr>
        <w:pStyle w:val="ListParagraph"/>
        <w:numPr>
          <w:ilvl w:val="0"/>
          <w:numId w:val="16"/>
        </w:numPr>
        <w:autoSpaceDE w:val="0"/>
        <w:autoSpaceDN w:val="0"/>
        <w:adjustRightInd w:val="0"/>
        <w:spacing w:line="360" w:lineRule="auto"/>
        <w:rPr>
          <w:snapToGrid w:val="0"/>
          <w:kern w:val="22"/>
          <w:szCs w:val="22"/>
        </w:rPr>
      </w:pPr>
      <w:r w:rsidRPr="009F54B9">
        <w:rPr>
          <w:snapToGrid w:val="0"/>
          <w:kern w:val="22"/>
          <w:szCs w:val="22"/>
        </w:rPr>
        <w:t xml:space="preserve">The discovery and mainstreaming of electricity eventually allowed factories to be built anywhere power was available and the locations were now chosen based on the price of </w:t>
      </w:r>
      <w:r w:rsidR="00A53927" w:rsidRPr="009F54B9">
        <w:rPr>
          <w:snapToGrid w:val="0"/>
          <w:kern w:val="22"/>
          <w:szCs w:val="22"/>
        </w:rPr>
        <w:t>labour</w:t>
      </w:r>
      <w:r w:rsidRPr="009F54B9">
        <w:rPr>
          <w:snapToGrid w:val="0"/>
          <w:kern w:val="22"/>
          <w:szCs w:val="22"/>
        </w:rPr>
        <w:t xml:space="preserve"> and the cost of shopping, so that many factories ended up being built near cities with harbo</w:t>
      </w:r>
      <w:r w:rsidR="00A53927" w:rsidRPr="009F54B9">
        <w:rPr>
          <w:snapToGrid w:val="0"/>
          <w:kern w:val="22"/>
          <w:szCs w:val="22"/>
        </w:rPr>
        <w:t>u</w:t>
      </w:r>
      <w:r w:rsidRPr="009F54B9">
        <w:rPr>
          <w:snapToGrid w:val="0"/>
          <w:kern w:val="22"/>
          <w:szCs w:val="22"/>
        </w:rPr>
        <w:t>rs and railroads.</w:t>
      </w:r>
    </w:p>
    <w:p w14:paraId="5B95FE53" w14:textId="77777777" w:rsidR="008E44C6" w:rsidRPr="009F54B9" w:rsidRDefault="008E44C6" w:rsidP="00EF3899">
      <w:pPr>
        <w:rPr>
          <w:snapToGrid w:val="0"/>
          <w:kern w:val="22"/>
          <w:szCs w:val="22"/>
        </w:rPr>
      </w:pPr>
    </w:p>
    <w:p w14:paraId="244A92FE" w14:textId="77777777" w:rsidR="008E44C6" w:rsidRPr="009F54B9" w:rsidRDefault="008E44C6" w:rsidP="001E4B78">
      <w:pPr>
        <w:rPr>
          <w:snapToGrid w:val="0"/>
          <w:kern w:val="22"/>
          <w:szCs w:val="22"/>
        </w:rPr>
      </w:pPr>
      <w:r w:rsidRPr="009F54B9">
        <w:rPr>
          <w:snapToGrid w:val="0"/>
          <w:kern w:val="22"/>
          <w:szCs w:val="22"/>
        </w:rPr>
        <w:t xml:space="preserve">Such innovations emerged during the Industrial Revolution, which covered a period ranging from about 1740 to about 1850 in Britain and from 1815 to the end of the nineteenth century in Europe. However, the term “Revolution” is misleading for describing a complicated series of forces, processes and discoveries which worked very slowly but gradually in various industries (e.g., textiles, coal, iron, steel, petroleum) and created a new economic </w:t>
      </w:r>
      <w:r w:rsidR="001E4B78" w:rsidRPr="009F54B9">
        <w:rPr>
          <w:snapToGrid w:val="0"/>
          <w:kern w:val="22"/>
          <w:szCs w:val="22"/>
        </w:rPr>
        <w:t>organiz</w:t>
      </w:r>
      <w:r w:rsidR="006242BC" w:rsidRPr="009F54B9">
        <w:rPr>
          <w:snapToGrid w:val="0"/>
          <w:kern w:val="22"/>
          <w:szCs w:val="22"/>
        </w:rPr>
        <w:t>a</w:t>
      </w:r>
      <w:r w:rsidRPr="009F54B9">
        <w:rPr>
          <w:snapToGrid w:val="0"/>
          <w:kern w:val="22"/>
          <w:szCs w:val="22"/>
        </w:rPr>
        <w:t xml:space="preserve">tion which is still spreading throughout the world (e.g., </w:t>
      </w:r>
      <w:proofErr w:type="spellStart"/>
      <w:r w:rsidRPr="009F54B9">
        <w:rPr>
          <w:snapToGrid w:val="0"/>
          <w:kern w:val="22"/>
          <w:szCs w:val="22"/>
        </w:rPr>
        <w:t>Roser</w:t>
      </w:r>
      <w:proofErr w:type="spellEnd"/>
      <w:r w:rsidRPr="009F54B9">
        <w:rPr>
          <w:snapToGrid w:val="0"/>
          <w:kern w:val="22"/>
          <w:szCs w:val="22"/>
        </w:rPr>
        <w:t xml:space="preserve"> 2016).</w:t>
      </w:r>
    </w:p>
    <w:p w14:paraId="5BF5CFC5" w14:textId="77777777" w:rsidR="008E44C6" w:rsidRPr="009F54B9" w:rsidRDefault="008E44C6" w:rsidP="009F54B9">
      <w:pPr>
        <w:pStyle w:val="Caption"/>
        <w:keepNext w:val="0"/>
        <w:keepLines w:val="0"/>
        <w:spacing w:after="0"/>
        <w:rPr>
          <w:b w:val="0"/>
          <w:bCs/>
          <w:snapToGrid w:val="0"/>
          <w:kern w:val="22"/>
        </w:rPr>
      </w:pPr>
    </w:p>
    <w:p w14:paraId="0030ACEF" w14:textId="77777777" w:rsidR="008E44C6" w:rsidRPr="009F54B9" w:rsidRDefault="008E44C6" w:rsidP="009F54B9">
      <w:pPr>
        <w:pStyle w:val="Caption"/>
        <w:keepLines w:val="0"/>
        <w:jc w:val="center"/>
        <w:rPr>
          <w:snapToGrid w:val="0"/>
          <w:kern w:val="22"/>
        </w:rPr>
      </w:pPr>
      <w:bookmarkStart w:id="10" w:name="_Toc517688921"/>
      <w:r w:rsidRPr="009F54B9">
        <w:rPr>
          <w:snapToGrid w:val="0"/>
          <w:kern w:val="22"/>
        </w:rPr>
        <w:lastRenderedPageBreak/>
        <w:t xml:space="preserve">Table </w:t>
      </w:r>
      <w:r w:rsidRPr="009F54B9">
        <w:rPr>
          <w:snapToGrid w:val="0"/>
          <w:kern w:val="22"/>
        </w:rPr>
        <w:fldChar w:fldCharType="begin"/>
      </w:r>
      <w:r w:rsidRPr="009F54B9">
        <w:rPr>
          <w:snapToGrid w:val="0"/>
          <w:kern w:val="22"/>
        </w:rPr>
        <w:instrText xml:space="preserve"> SEQ Table \* ARABIC </w:instrText>
      </w:r>
      <w:r w:rsidRPr="009F54B9">
        <w:rPr>
          <w:snapToGrid w:val="0"/>
          <w:kern w:val="22"/>
        </w:rPr>
        <w:fldChar w:fldCharType="separate"/>
      </w:r>
      <w:r w:rsidRPr="009F54B9">
        <w:rPr>
          <w:noProof/>
          <w:snapToGrid w:val="0"/>
          <w:kern w:val="22"/>
        </w:rPr>
        <w:t>2</w:t>
      </w:r>
      <w:r w:rsidRPr="009F54B9">
        <w:rPr>
          <w:noProof/>
          <w:snapToGrid w:val="0"/>
          <w:kern w:val="22"/>
        </w:rPr>
        <w:fldChar w:fldCharType="end"/>
      </w:r>
      <w:r w:rsidRPr="009F54B9">
        <w:rPr>
          <w:snapToGrid w:val="0"/>
          <w:kern w:val="22"/>
        </w:rPr>
        <w:t>: Global top 20 ranking of chemical companies in 2016</w:t>
      </w:r>
      <w:r w:rsidRPr="009F54B9">
        <w:rPr>
          <w:rStyle w:val="FootnoteReference"/>
          <w:snapToGrid w:val="0"/>
          <w:kern w:val="22"/>
        </w:rPr>
        <w:footnoteReference w:id="6"/>
      </w:r>
      <w:bookmarkEnd w:id="10"/>
    </w:p>
    <w:tbl>
      <w:tblPr>
        <w:tblW w:w="7363" w:type="dxa"/>
        <w:jc w:val="center"/>
        <w:tblCellSpacing w:w="15"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763"/>
        <w:gridCol w:w="6600"/>
      </w:tblGrid>
      <w:tr w:rsidR="008E44C6" w:rsidRPr="00DF1117" w14:paraId="64C04DCC" w14:textId="77777777" w:rsidTr="009F54B9">
        <w:trPr>
          <w:cantSplit/>
          <w:tblCellSpacing w:w="15" w:type="dxa"/>
          <w:jc w:val="center"/>
        </w:trPr>
        <w:tc>
          <w:tcPr>
            <w:tcW w:w="0" w:type="auto"/>
            <w:shd w:val="clear" w:color="auto" w:fill="BDC3C7"/>
            <w:vAlign w:val="center"/>
            <w:hideMark/>
          </w:tcPr>
          <w:p w14:paraId="666703AB" w14:textId="77777777" w:rsidR="008E44C6" w:rsidRPr="009F54B9" w:rsidRDefault="008E44C6" w:rsidP="009F54B9">
            <w:pPr>
              <w:keepNext/>
              <w:jc w:val="center"/>
              <w:rPr>
                <w:snapToGrid w:val="0"/>
                <w:kern w:val="22"/>
                <w:szCs w:val="22"/>
              </w:rPr>
            </w:pPr>
            <w:r w:rsidRPr="009F54B9">
              <w:rPr>
                <w:snapToGrid w:val="0"/>
                <w:kern w:val="22"/>
                <w:szCs w:val="22"/>
              </w:rPr>
              <w:t>1</w:t>
            </w:r>
          </w:p>
        </w:tc>
        <w:tc>
          <w:tcPr>
            <w:tcW w:w="6555" w:type="dxa"/>
            <w:shd w:val="clear" w:color="auto" w:fill="BDC3C7"/>
            <w:vAlign w:val="center"/>
            <w:hideMark/>
          </w:tcPr>
          <w:p w14:paraId="1904B5D4" w14:textId="77777777" w:rsidR="008E44C6" w:rsidRPr="009F54B9" w:rsidRDefault="008E44C6" w:rsidP="009F54B9">
            <w:pPr>
              <w:keepNext/>
              <w:jc w:val="center"/>
              <w:rPr>
                <w:snapToGrid w:val="0"/>
                <w:kern w:val="22"/>
                <w:szCs w:val="22"/>
              </w:rPr>
            </w:pPr>
            <w:r w:rsidRPr="009F54B9">
              <w:rPr>
                <w:snapToGrid w:val="0"/>
                <w:kern w:val="22"/>
                <w:szCs w:val="22"/>
              </w:rPr>
              <w:t>BASF, Germany / Diversified</w:t>
            </w:r>
          </w:p>
        </w:tc>
      </w:tr>
      <w:tr w:rsidR="008E44C6" w:rsidRPr="00DF1117" w14:paraId="437BB203" w14:textId="77777777" w:rsidTr="009F54B9">
        <w:trPr>
          <w:cantSplit/>
          <w:tblCellSpacing w:w="15" w:type="dxa"/>
          <w:jc w:val="center"/>
        </w:trPr>
        <w:tc>
          <w:tcPr>
            <w:tcW w:w="0" w:type="auto"/>
            <w:shd w:val="clear" w:color="auto" w:fill="ECF0F1"/>
            <w:vAlign w:val="center"/>
            <w:hideMark/>
          </w:tcPr>
          <w:p w14:paraId="40756566" w14:textId="77777777" w:rsidR="008E44C6" w:rsidRPr="009F54B9" w:rsidRDefault="008E44C6" w:rsidP="009F54B9">
            <w:pPr>
              <w:keepNext/>
              <w:jc w:val="center"/>
              <w:rPr>
                <w:snapToGrid w:val="0"/>
                <w:kern w:val="22"/>
                <w:szCs w:val="22"/>
              </w:rPr>
            </w:pPr>
            <w:r w:rsidRPr="009F54B9">
              <w:rPr>
                <w:snapToGrid w:val="0"/>
                <w:kern w:val="22"/>
                <w:szCs w:val="22"/>
              </w:rPr>
              <w:t>2</w:t>
            </w:r>
          </w:p>
        </w:tc>
        <w:tc>
          <w:tcPr>
            <w:tcW w:w="6555" w:type="dxa"/>
            <w:shd w:val="clear" w:color="auto" w:fill="ECF0F1"/>
            <w:vAlign w:val="center"/>
            <w:hideMark/>
          </w:tcPr>
          <w:p w14:paraId="72BFCF2C" w14:textId="77777777" w:rsidR="008E44C6" w:rsidRPr="009F54B9" w:rsidRDefault="008E44C6" w:rsidP="009F54B9">
            <w:pPr>
              <w:keepNext/>
              <w:jc w:val="center"/>
              <w:rPr>
                <w:snapToGrid w:val="0"/>
                <w:kern w:val="22"/>
                <w:szCs w:val="22"/>
              </w:rPr>
            </w:pPr>
            <w:r w:rsidRPr="009F54B9">
              <w:rPr>
                <w:snapToGrid w:val="0"/>
                <w:kern w:val="22"/>
                <w:szCs w:val="22"/>
              </w:rPr>
              <w:t xml:space="preserve">Dow Chemical, </w:t>
            </w:r>
            <w:r w:rsidR="006835CC" w:rsidRPr="009F54B9">
              <w:rPr>
                <w:snapToGrid w:val="0"/>
                <w:kern w:val="22"/>
                <w:szCs w:val="22"/>
              </w:rPr>
              <w:t>United States</w:t>
            </w:r>
            <w:r w:rsidRPr="009F54B9">
              <w:rPr>
                <w:snapToGrid w:val="0"/>
                <w:kern w:val="22"/>
                <w:szCs w:val="22"/>
              </w:rPr>
              <w:t xml:space="preserve"> / Diversified</w:t>
            </w:r>
          </w:p>
        </w:tc>
      </w:tr>
      <w:tr w:rsidR="008E44C6" w:rsidRPr="00DF1117" w14:paraId="3102D973" w14:textId="77777777" w:rsidTr="009F54B9">
        <w:trPr>
          <w:cantSplit/>
          <w:tblCellSpacing w:w="15" w:type="dxa"/>
          <w:jc w:val="center"/>
        </w:trPr>
        <w:tc>
          <w:tcPr>
            <w:tcW w:w="0" w:type="auto"/>
            <w:shd w:val="clear" w:color="auto" w:fill="BDC3C7"/>
            <w:vAlign w:val="center"/>
            <w:hideMark/>
          </w:tcPr>
          <w:p w14:paraId="7B68EDA2" w14:textId="77777777" w:rsidR="008E44C6" w:rsidRPr="009F54B9" w:rsidRDefault="008E44C6" w:rsidP="009F54B9">
            <w:pPr>
              <w:keepNext/>
              <w:jc w:val="center"/>
              <w:rPr>
                <w:snapToGrid w:val="0"/>
                <w:kern w:val="22"/>
                <w:szCs w:val="22"/>
              </w:rPr>
            </w:pPr>
            <w:r w:rsidRPr="009F54B9">
              <w:rPr>
                <w:snapToGrid w:val="0"/>
                <w:kern w:val="22"/>
                <w:szCs w:val="22"/>
              </w:rPr>
              <w:t>3</w:t>
            </w:r>
          </w:p>
        </w:tc>
        <w:tc>
          <w:tcPr>
            <w:tcW w:w="6555" w:type="dxa"/>
            <w:shd w:val="clear" w:color="auto" w:fill="BDC3C7"/>
            <w:vAlign w:val="center"/>
            <w:hideMark/>
          </w:tcPr>
          <w:p w14:paraId="03716A2C" w14:textId="77777777" w:rsidR="008E44C6" w:rsidRPr="009F54B9" w:rsidRDefault="008E44C6" w:rsidP="009F54B9">
            <w:pPr>
              <w:keepNext/>
              <w:jc w:val="center"/>
              <w:rPr>
                <w:snapToGrid w:val="0"/>
                <w:kern w:val="22"/>
                <w:szCs w:val="22"/>
              </w:rPr>
            </w:pPr>
            <w:r w:rsidRPr="009F54B9">
              <w:rPr>
                <w:snapToGrid w:val="0"/>
                <w:kern w:val="22"/>
                <w:szCs w:val="22"/>
              </w:rPr>
              <w:t>Sinopec, China / Petrochemicals</w:t>
            </w:r>
          </w:p>
        </w:tc>
      </w:tr>
      <w:tr w:rsidR="008E44C6" w:rsidRPr="00DF1117" w14:paraId="6BB38F58" w14:textId="77777777" w:rsidTr="009F54B9">
        <w:trPr>
          <w:cantSplit/>
          <w:tblCellSpacing w:w="15" w:type="dxa"/>
          <w:jc w:val="center"/>
        </w:trPr>
        <w:tc>
          <w:tcPr>
            <w:tcW w:w="0" w:type="auto"/>
            <w:shd w:val="clear" w:color="auto" w:fill="ECF0F1"/>
            <w:vAlign w:val="center"/>
            <w:hideMark/>
          </w:tcPr>
          <w:p w14:paraId="555CE4D9" w14:textId="77777777" w:rsidR="008E44C6" w:rsidRPr="009F54B9" w:rsidRDefault="008E44C6" w:rsidP="009F54B9">
            <w:pPr>
              <w:keepNext/>
              <w:jc w:val="center"/>
              <w:rPr>
                <w:snapToGrid w:val="0"/>
                <w:kern w:val="22"/>
                <w:szCs w:val="22"/>
              </w:rPr>
            </w:pPr>
            <w:r w:rsidRPr="009F54B9">
              <w:rPr>
                <w:snapToGrid w:val="0"/>
                <w:kern w:val="22"/>
                <w:szCs w:val="22"/>
              </w:rPr>
              <w:t>4</w:t>
            </w:r>
          </w:p>
        </w:tc>
        <w:tc>
          <w:tcPr>
            <w:tcW w:w="6555" w:type="dxa"/>
            <w:shd w:val="clear" w:color="auto" w:fill="ECF0F1"/>
            <w:vAlign w:val="center"/>
            <w:hideMark/>
          </w:tcPr>
          <w:p w14:paraId="67C42B07" w14:textId="77777777" w:rsidR="008E44C6" w:rsidRPr="009F54B9" w:rsidRDefault="008E44C6" w:rsidP="009F54B9">
            <w:pPr>
              <w:keepNext/>
              <w:jc w:val="center"/>
              <w:rPr>
                <w:snapToGrid w:val="0"/>
                <w:kern w:val="22"/>
                <w:szCs w:val="22"/>
              </w:rPr>
            </w:pPr>
            <w:r w:rsidRPr="009F54B9">
              <w:rPr>
                <w:snapToGrid w:val="0"/>
                <w:kern w:val="22"/>
                <w:szCs w:val="22"/>
              </w:rPr>
              <w:t>SABIC, Saudi Arabia / Petrochemicals</w:t>
            </w:r>
          </w:p>
        </w:tc>
      </w:tr>
      <w:tr w:rsidR="008E44C6" w:rsidRPr="003D281C" w14:paraId="6F51F15A" w14:textId="77777777" w:rsidTr="009F54B9">
        <w:trPr>
          <w:cantSplit/>
          <w:tblCellSpacing w:w="15" w:type="dxa"/>
          <w:jc w:val="center"/>
        </w:trPr>
        <w:tc>
          <w:tcPr>
            <w:tcW w:w="0" w:type="auto"/>
            <w:shd w:val="clear" w:color="auto" w:fill="FFFFFF"/>
            <w:vAlign w:val="center"/>
            <w:hideMark/>
          </w:tcPr>
          <w:p w14:paraId="628F2112" w14:textId="77777777" w:rsidR="008E44C6" w:rsidRPr="009F54B9" w:rsidRDefault="008E44C6" w:rsidP="009F54B9">
            <w:pPr>
              <w:keepNext/>
              <w:jc w:val="center"/>
              <w:rPr>
                <w:snapToGrid w:val="0"/>
                <w:kern w:val="22"/>
                <w:szCs w:val="22"/>
              </w:rPr>
            </w:pPr>
            <w:r w:rsidRPr="009F54B9">
              <w:rPr>
                <w:snapToGrid w:val="0"/>
                <w:kern w:val="22"/>
                <w:szCs w:val="22"/>
              </w:rPr>
              <w:t>5</w:t>
            </w:r>
          </w:p>
        </w:tc>
        <w:tc>
          <w:tcPr>
            <w:tcW w:w="6555" w:type="dxa"/>
            <w:shd w:val="clear" w:color="auto" w:fill="FFFFFF"/>
            <w:vAlign w:val="center"/>
            <w:hideMark/>
          </w:tcPr>
          <w:p w14:paraId="27F4A45B" w14:textId="0B70A20C" w:rsidR="008E44C6" w:rsidRPr="003D281C" w:rsidRDefault="008E44C6" w:rsidP="009F54B9">
            <w:pPr>
              <w:keepNext/>
              <w:jc w:val="center"/>
              <w:rPr>
                <w:snapToGrid w:val="0"/>
                <w:kern w:val="22"/>
                <w:szCs w:val="22"/>
                <w:lang w:val="fr-FR"/>
              </w:rPr>
            </w:pPr>
            <w:r w:rsidRPr="003D281C">
              <w:rPr>
                <w:snapToGrid w:val="0"/>
                <w:kern w:val="22"/>
                <w:szCs w:val="22"/>
                <w:lang w:val="fr-FR"/>
              </w:rPr>
              <w:t xml:space="preserve">Formosa Plastics, </w:t>
            </w:r>
            <w:r w:rsidR="001F6F78" w:rsidRPr="003D281C">
              <w:rPr>
                <w:snapToGrid w:val="0"/>
                <w:kern w:val="22"/>
                <w:szCs w:val="22"/>
                <w:lang w:val="fr-FR"/>
              </w:rPr>
              <w:t xml:space="preserve">Chinese Taipei </w:t>
            </w:r>
            <w:r w:rsidRPr="003D281C">
              <w:rPr>
                <w:snapToGrid w:val="0"/>
                <w:kern w:val="22"/>
                <w:szCs w:val="22"/>
                <w:lang w:val="fr-FR"/>
              </w:rPr>
              <w:t>/ Petrochemicals</w:t>
            </w:r>
          </w:p>
        </w:tc>
      </w:tr>
      <w:tr w:rsidR="008E44C6" w:rsidRPr="00DF1117" w14:paraId="69103A99" w14:textId="77777777" w:rsidTr="009F54B9">
        <w:trPr>
          <w:cantSplit/>
          <w:tblCellSpacing w:w="15" w:type="dxa"/>
          <w:jc w:val="center"/>
        </w:trPr>
        <w:tc>
          <w:tcPr>
            <w:tcW w:w="0" w:type="auto"/>
            <w:shd w:val="clear" w:color="auto" w:fill="ECF0F1"/>
            <w:vAlign w:val="center"/>
            <w:hideMark/>
          </w:tcPr>
          <w:p w14:paraId="35A4EFAC" w14:textId="77777777" w:rsidR="008E44C6" w:rsidRPr="009F54B9" w:rsidRDefault="008E44C6" w:rsidP="009F54B9">
            <w:pPr>
              <w:keepNext/>
              <w:jc w:val="center"/>
              <w:rPr>
                <w:snapToGrid w:val="0"/>
                <w:kern w:val="22"/>
                <w:szCs w:val="22"/>
              </w:rPr>
            </w:pPr>
            <w:r w:rsidRPr="009F54B9">
              <w:rPr>
                <w:snapToGrid w:val="0"/>
                <w:kern w:val="22"/>
                <w:szCs w:val="22"/>
              </w:rPr>
              <w:t>6</w:t>
            </w:r>
          </w:p>
        </w:tc>
        <w:tc>
          <w:tcPr>
            <w:tcW w:w="6555" w:type="dxa"/>
            <w:shd w:val="clear" w:color="auto" w:fill="ECF0F1"/>
            <w:vAlign w:val="center"/>
            <w:hideMark/>
          </w:tcPr>
          <w:p w14:paraId="138B7B92" w14:textId="77777777" w:rsidR="008E44C6" w:rsidRPr="009F54B9" w:rsidRDefault="008E44C6" w:rsidP="009F54B9">
            <w:pPr>
              <w:keepNext/>
              <w:jc w:val="center"/>
              <w:rPr>
                <w:snapToGrid w:val="0"/>
                <w:kern w:val="22"/>
                <w:szCs w:val="22"/>
              </w:rPr>
            </w:pPr>
            <w:r w:rsidRPr="009F54B9">
              <w:rPr>
                <w:snapToGrid w:val="0"/>
                <w:kern w:val="22"/>
                <w:szCs w:val="22"/>
              </w:rPr>
              <w:t xml:space="preserve">ExxonMobil, </w:t>
            </w:r>
            <w:r w:rsidR="006835CC" w:rsidRPr="009F54B9">
              <w:rPr>
                <w:snapToGrid w:val="0"/>
                <w:kern w:val="22"/>
                <w:szCs w:val="22"/>
              </w:rPr>
              <w:t>United States</w:t>
            </w:r>
            <w:r w:rsidRPr="009F54B9">
              <w:rPr>
                <w:snapToGrid w:val="0"/>
                <w:kern w:val="22"/>
                <w:szCs w:val="22"/>
              </w:rPr>
              <w:t xml:space="preserve"> / Petrochemicals</w:t>
            </w:r>
          </w:p>
        </w:tc>
      </w:tr>
      <w:tr w:rsidR="008E44C6" w:rsidRPr="00DF1117" w14:paraId="6590650C" w14:textId="77777777" w:rsidTr="009F54B9">
        <w:trPr>
          <w:cantSplit/>
          <w:tblCellSpacing w:w="15" w:type="dxa"/>
          <w:jc w:val="center"/>
        </w:trPr>
        <w:tc>
          <w:tcPr>
            <w:tcW w:w="0" w:type="auto"/>
            <w:shd w:val="clear" w:color="auto" w:fill="FFFFFF"/>
            <w:vAlign w:val="center"/>
            <w:hideMark/>
          </w:tcPr>
          <w:p w14:paraId="2EA4E004" w14:textId="77777777" w:rsidR="008E44C6" w:rsidRPr="009F54B9" w:rsidRDefault="008E44C6" w:rsidP="009F54B9">
            <w:pPr>
              <w:keepNext/>
              <w:jc w:val="center"/>
              <w:rPr>
                <w:snapToGrid w:val="0"/>
                <w:kern w:val="22"/>
                <w:szCs w:val="22"/>
              </w:rPr>
            </w:pPr>
            <w:r w:rsidRPr="009F54B9">
              <w:rPr>
                <w:snapToGrid w:val="0"/>
                <w:kern w:val="22"/>
                <w:szCs w:val="22"/>
              </w:rPr>
              <w:t>7</w:t>
            </w:r>
          </w:p>
        </w:tc>
        <w:tc>
          <w:tcPr>
            <w:tcW w:w="6555" w:type="dxa"/>
            <w:shd w:val="clear" w:color="auto" w:fill="FFFFFF"/>
            <w:vAlign w:val="center"/>
            <w:hideMark/>
          </w:tcPr>
          <w:p w14:paraId="0632CA88" w14:textId="77777777" w:rsidR="008E44C6" w:rsidRPr="009F54B9" w:rsidRDefault="008E44C6" w:rsidP="009F54B9">
            <w:pPr>
              <w:keepNext/>
              <w:jc w:val="center"/>
              <w:rPr>
                <w:snapToGrid w:val="0"/>
                <w:kern w:val="22"/>
                <w:szCs w:val="22"/>
              </w:rPr>
            </w:pPr>
            <w:r w:rsidRPr="009F54B9">
              <w:rPr>
                <w:snapToGrid w:val="0"/>
                <w:kern w:val="22"/>
                <w:szCs w:val="22"/>
              </w:rPr>
              <w:t>LyondellBasell, Netherlands / Petrochemicals</w:t>
            </w:r>
          </w:p>
        </w:tc>
      </w:tr>
      <w:tr w:rsidR="008E44C6" w:rsidRPr="00DF1117" w14:paraId="32338DD5" w14:textId="77777777" w:rsidTr="009F54B9">
        <w:trPr>
          <w:cantSplit/>
          <w:tblCellSpacing w:w="15" w:type="dxa"/>
          <w:jc w:val="center"/>
        </w:trPr>
        <w:tc>
          <w:tcPr>
            <w:tcW w:w="0" w:type="auto"/>
            <w:shd w:val="clear" w:color="auto" w:fill="ECF0F1"/>
            <w:vAlign w:val="center"/>
            <w:hideMark/>
          </w:tcPr>
          <w:p w14:paraId="6F816C8D" w14:textId="77777777" w:rsidR="008E44C6" w:rsidRPr="009F54B9" w:rsidRDefault="008E44C6" w:rsidP="009F54B9">
            <w:pPr>
              <w:keepNext/>
              <w:jc w:val="center"/>
              <w:rPr>
                <w:snapToGrid w:val="0"/>
                <w:kern w:val="22"/>
                <w:szCs w:val="22"/>
              </w:rPr>
            </w:pPr>
            <w:r w:rsidRPr="009F54B9">
              <w:rPr>
                <w:snapToGrid w:val="0"/>
                <w:kern w:val="22"/>
                <w:szCs w:val="22"/>
              </w:rPr>
              <w:t>8</w:t>
            </w:r>
          </w:p>
        </w:tc>
        <w:tc>
          <w:tcPr>
            <w:tcW w:w="6555" w:type="dxa"/>
            <w:shd w:val="clear" w:color="auto" w:fill="ECF0F1"/>
            <w:vAlign w:val="center"/>
            <w:hideMark/>
          </w:tcPr>
          <w:p w14:paraId="532E4C57" w14:textId="77777777" w:rsidR="008E44C6" w:rsidRPr="009F54B9" w:rsidRDefault="008E44C6" w:rsidP="009F54B9">
            <w:pPr>
              <w:keepNext/>
              <w:jc w:val="center"/>
              <w:rPr>
                <w:snapToGrid w:val="0"/>
                <w:kern w:val="22"/>
                <w:szCs w:val="22"/>
              </w:rPr>
            </w:pPr>
            <w:proofErr w:type="spellStart"/>
            <w:r w:rsidRPr="009F54B9">
              <w:rPr>
                <w:snapToGrid w:val="0"/>
                <w:kern w:val="22"/>
                <w:szCs w:val="22"/>
              </w:rPr>
              <w:t>Ineos</w:t>
            </w:r>
            <w:proofErr w:type="spellEnd"/>
            <w:r w:rsidRPr="009F54B9">
              <w:rPr>
                <w:snapToGrid w:val="0"/>
                <w:kern w:val="22"/>
                <w:szCs w:val="22"/>
              </w:rPr>
              <w:t xml:space="preserve"> Group Holdings, Switzerland / Petrochemicals</w:t>
            </w:r>
          </w:p>
        </w:tc>
      </w:tr>
      <w:tr w:rsidR="008E44C6" w:rsidRPr="00DF1117" w14:paraId="68F1EFD5" w14:textId="77777777" w:rsidTr="009F54B9">
        <w:trPr>
          <w:cantSplit/>
          <w:tblCellSpacing w:w="15" w:type="dxa"/>
          <w:jc w:val="center"/>
        </w:trPr>
        <w:tc>
          <w:tcPr>
            <w:tcW w:w="0" w:type="auto"/>
            <w:shd w:val="clear" w:color="auto" w:fill="FFFFFF"/>
            <w:vAlign w:val="center"/>
            <w:hideMark/>
          </w:tcPr>
          <w:p w14:paraId="7ED4F140" w14:textId="77777777" w:rsidR="008E44C6" w:rsidRPr="009F54B9" w:rsidRDefault="008E44C6" w:rsidP="009F54B9">
            <w:pPr>
              <w:keepNext/>
              <w:jc w:val="center"/>
              <w:rPr>
                <w:snapToGrid w:val="0"/>
                <w:kern w:val="22"/>
                <w:szCs w:val="22"/>
              </w:rPr>
            </w:pPr>
            <w:r w:rsidRPr="009F54B9">
              <w:rPr>
                <w:snapToGrid w:val="0"/>
                <w:kern w:val="22"/>
                <w:szCs w:val="22"/>
              </w:rPr>
              <w:t>9</w:t>
            </w:r>
          </w:p>
        </w:tc>
        <w:tc>
          <w:tcPr>
            <w:tcW w:w="6555" w:type="dxa"/>
            <w:shd w:val="clear" w:color="auto" w:fill="FFFFFF"/>
            <w:vAlign w:val="center"/>
            <w:hideMark/>
          </w:tcPr>
          <w:p w14:paraId="4A383264" w14:textId="77777777" w:rsidR="008E44C6" w:rsidRPr="009F54B9" w:rsidRDefault="008E44C6" w:rsidP="009F54B9">
            <w:pPr>
              <w:keepNext/>
              <w:jc w:val="center"/>
              <w:rPr>
                <w:snapToGrid w:val="0"/>
                <w:kern w:val="22"/>
                <w:szCs w:val="22"/>
              </w:rPr>
            </w:pPr>
            <w:r w:rsidRPr="009F54B9">
              <w:rPr>
                <w:snapToGrid w:val="0"/>
                <w:kern w:val="22"/>
                <w:szCs w:val="22"/>
              </w:rPr>
              <w:t>Mitsubishi Chemical, Japan / Diversified</w:t>
            </w:r>
          </w:p>
        </w:tc>
      </w:tr>
      <w:tr w:rsidR="008E44C6" w:rsidRPr="00DF1117" w14:paraId="4B7D883D" w14:textId="77777777" w:rsidTr="009F54B9">
        <w:trPr>
          <w:cantSplit/>
          <w:tblCellSpacing w:w="15" w:type="dxa"/>
          <w:jc w:val="center"/>
        </w:trPr>
        <w:tc>
          <w:tcPr>
            <w:tcW w:w="0" w:type="auto"/>
            <w:shd w:val="clear" w:color="auto" w:fill="ECF0F1"/>
            <w:vAlign w:val="center"/>
            <w:hideMark/>
          </w:tcPr>
          <w:p w14:paraId="248A9F7D" w14:textId="77777777" w:rsidR="008E44C6" w:rsidRPr="009F54B9" w:rsidRDefault="008E44C6" w:rsidP="009F54B9">
            <w:pPr>
              <w:keepNext/>
              <w:jc w:val="center"/>
              <w:rPr>
                <w:snapToGrid w:val="0"/>
                <w:kern w:val="22"/>
                <w:szCs w:val="22"/>
              </w:rPr>
            </w:pPr>
            <w:r w:rsidRPr="009F54B9">
              <w:rPr>
                <w:snapToGrid w:val="0"/>
                <w:kern w:val="22"/>
                <w:szCs w:val="22"/>
              </w:rPr>
              <w:t>10</w:t>
            </w:r>
          </w:p>
        </w:tc>
        <w:tc>
          <w:tcPr>
            <w:tcW w:w="6555" w:type="dxa"/>
            <w:shd w:val="clear" w:color="auto" w:fill="ECF0F1"/>
            <w:vAlign w:val="center"/>
            <w:hideMark/>
          </w:tcPr>
          <w:p w14:paraId="75154178" w14:textId="77777777" w:rsidR="008E44C6" w:rsidRPr="009F54B9" w:rsidRDefault="008E44C6" w:rsidP="009F54B9">
            <w:pPr>
              <w:keepNext/>
              <w:jc w:val="center"/>
              <w:rPr>
                <w:snapToGrid w:val="0"/>
                <w:kern w:val="22"/>
                <w:szCs w:val="22"/>
              </w:rPr>
            </w:pPr>
            <w:r w:rsidRPr="009F54B9">
              <w:rPr>
                <w:snapToGrid w:val="0"/>
                <w:kern w:val="22"/>
                <w:szCs w:val="22"/>
              </w:rPr>
              <w:t xml:space="preserve">DuPont, </w:t>
            </w:r>
            <w:r w:rsidR="006835CC" w:rsidRPr="009F54B9">
              <w:rPr>
                <w:snapToGrid w:val="0"/>
                <w:kern w:val="22"/>
                <w:szCs w:val="22"/>
              </w:rPr>
              <w:t>United States</w:t>
            </w:r>
            <w:r w:rsidRPr="009F54B9">
              <w:rPr>
                <w:snapToGrid w:val="0"/>
                <w:kern w:val="22"/>
                <w:szCs w:val="22"/>
              </w:rPr>
              <w:t xml:space="preserve"> / Diversified</w:t>
            </w:r>
          </w:p>
        </w:tc>
      </w:tr>
      <w:tr w:rsidR="008E44C6" w:rsidRPr="003D281C" w14:paraId="72D02E8D" w14:textId="77777777" w:rsidTr="009F54B9">
        <w:trPr>
          <w:cantSplit/>
          <w:tblCellSpacing w:w="15" w:type="dxa"/>
          <w:jc w:val="center"/>
        </w:trPr>
        <w:tc>
          <w:tcPr>
            <w:tcW w:w="0" w:type="auto"/>
            <w:shd w:val="clear" w:color="auto" w:fill="FFFFFF"/>
            <w:vAlign w:val="center"/>
            <w:hideMark/>
          </w:tcPr>
          <w:p w14:paraId="29E05884" w14:textId="77777777" w:rsidR="008E44C6" w:rsidRPr="009F54B9" w:rsidRDefault="008E44C6" w:rsidP="009F54B9">
            <w:pPr>
              <w:keepNext/>
              <w:jc w:val="center"/>
              <w:rPr>
                <w:snapToGrid w:val="0"/>
                <w:kern w:val="22"/>
                <w:szCs w:val="22"/>
              </w:rPr>
            </w:pPr>
            <w:r w:rsidRPr="009F54B9">
              <w:rPr>
                <w:snapToGrid w:val="0"/>
                <w:kern w:val="22"/>
                <w:szCs w:val="22"/>
              </w:rPr>
              <w:t>11</w:t>
            </w:r>
          </w:p>
        </w:tc>
        <w:tc>
          <w:tcPr>
            <w:tcW w:w="6555" w:type="dxa"/>
            <w:shd w:val="clear" w:color="auto" w:fill="FFFFFF"/>
            <w:vAlign w:val="center"/>
            <w:hideMark/>
          </w:tcPr>
          <w:p w14:paraId="1EB076F4" w14:textId="77777777" w:rsidR="008E44C6" w:rsidRPr="003D281C" w:rsidRDefault="008E44C6" w:rsidP="009F54B9">
            <w:pPr>
              <w:keepNext/>
              <w:jc w:val="center"/>
              <w:rPr>
                <w:snapToGrid w:val="0"/>
                <w:kern w:val="22"/>
                <w:szCs w:val="22"/>
                <w:lang w:val="fr-FR"/>
              </w:rPr>
            </w:pPr>
            <w:r w:rsidRPr="003D281C">
              <w:rPr>
                <w:snapToGrid w:val="0"/>
                <w:kern w:val="22"/>
                <w:szCs w:val="22"/>
                <w:lang w:val="fr-FR"/>
              </w:rPr>
              <w:t>Air Liquide, France / Industrial gases</w:t>
            </w:r>
          </w:p>
        </w:tc>
      </w:tr>
      <w:tr w:rsidR="008E44C6" w:rsidRPr="00DF1117" w14:paraId="591B57D8" w14:textId="77777777" w:rsidTr="009F54B9">
        <w:trPr>
          <w:cantSplit/>
          <w:tblCellSpacing w:w="15" w:type="dxa"/>
          <w:jc w:val="center"/>
        </w:trPr>
        <w:tc>
          <w:tcPr>
            <w:tcW w:w="0" w:type="auto"/>
            <w:shd w:val="clear" w:color="auto" w:fill="ECF0F1"/>
            <w:vAlign w:val="center"/>
            <w:hideMark/>
          </w:tcPr>
          <w:p w14:paraId="3796D51A" w14:textId="77777777" w:rsidR="008E44C6" w:rsidRPr="009F54B9" w:rsidRDefault="008E44C6" w:rsidP="009F54B9">
            <w:pPr>
              <w:keepNext/>
              <w:jc w:val="center"/>
              <w:rPr>
                <w:snapToGrid w:val="0"/>
                <w:kern w:val="22"/>
                <w:szCs w:val="22"/>
              </w:rPr>
            </w:pPr>
            <w:r w:rsidRPr="009F54B9">
              <w:rPr>
                <w:snapToGrid w:val="0"/>
                <w:kern w:val="22"/>
                <w:szCs w:val="22"/>
              </w:rPr>
              <w:t>12</w:t>
            </w:r>
          </w:p>
        </w:tc>
        <w:tc>
          <w:tcPr>
            <w:tcW w:w="6555" w:type="dxa"/>
            <w:shd w:val="clear" w:color="auto" w:fill="ECF0F1"/>
            <w:vAlign w:val="center"/>
            <w:hideMark/>
          </w:tcPr>
          <w:p w14:paraId="307A2648" w14:textId="77777777" w:rsidR="008E44C6" w:rsidRPr="009F54B9" w:rsidRDefault="008E44C6" w:rsidP="009F54B9">
            <w:pPr>
              <w:keepNext/>
              <w:jc w:val="center"/>
              <w:rPr>
                <w:snapToGrid w:val="0"/>
                <w:kern w:val="22"/>
                <w:szCs w:val="22"/>
              </w:rPr>
            </w:pPr>
            <w:r w:rsidRPr="009F54B9">
              <w:rPr>
                <w:snapToGrid w:val="0"/>
                <w:kern w:val="22"/>
                <w:szCs w:val="22"/>
              </w:rPr>
              <w:t xml:space="preserve">LG Chem, </w:t>
            </w:r>
            <w:r w:rsidR="006835CC" w:rsidRPr="009F54B9">
              <w:rPr>
                <w:snapToGrid w:val="0"/>
                <w:kern w:val="22"/>
                <w:szCs w:val="22"/>
              </w:rPr>
              <w:t xml:space="preserve">Republic of </w:t>
            </w:r>
            <w:r w:rsidRPr="009F54B9">
              <w:rPr>
                <w:snapToGrid w:val="0"/>
                <w:kern w:val="22"/>
                <w:szCs w:val="22"/>
              </w:rPr>
              <w:t>Korea / Diversified</w:t>
            </w:r>
          </w:p>
        </w:tc>
      </w:tr>
      <w:tr w:rsidR="008E44C6" w:rsidRPr="00DF1117" w14:paraId="6EE956D0" w14:textId="77777777" w:rsidTr="009F54B9">
        <w:trPr>
          <w:cantSplit/>
          <w:tblCellSpacing w:w="15" w:type="dxa"/>
          <w:jc w:val="center"/>
        </w:trPr>
        <w:tc>
          <w:tcPr>
            <w:tcW w:w="0" w:type="auto"/>
            <w:shd w:val="clear" w:color="auto" w:fill="FFFFFF"/>
            <w:vAlign w:val="center"/>
            <w:hideMark/>
          </w:tcPr>
          <w:p w14:paraId="0905E272" w14:textId="77777777" w:rsidR="008E44C6" w:rsidRPr="009F54B9" w:rsidRDefault="008E44C6" w:rsidP="009F54B9">
            <w:pPr>
              <w:keepNext/>
              <w:jc w:val="center"/>
              <w:rPr>
                <w:snapToGrid w:val="0"/>
                <w:kern w:val="22"/>
                <w:szCs w:val="22"/>
              </w:rPr>
            </w:pPr>
            <w:r w:rsidRPr="009F54B9">
              <w:rPr>
                <w:snapToGrid w:val="0"/>
                <w:kern w:val="22"/>
                <w:szCs w:val="22"/>
              </w:rPr>
              <w:t>13</w:t>
            </w:r>
          </w:p>
        </w:tc>
        <w:tc>
          <w:tcPr>
            <w:tcW w:w="6555" w:type="dxa"/>
            <w:shd w:val="clear" w:color="auto" w:fill="FFFFFF"/>
            <w:vAlign w:val="center"/>
            <w:hideMark/>
          </w:tcPr>
          <w:p w14:paraId="41CCF53F" w14:textId="77777777" w:rsidR="008E44C6" w:rsidRPr="009F54B9" w:rsidRDefault="008E44C6" w:rsidP="009F54B9">
            <w:pPr>
              <w:keepNext/>
              <w:jc w:val="center"/>
              <w:rPr>
                <w:snapToGrid w:val="0"/>
                <w:kern w:val="22"/>
                <w:szCs w:val="22"/>
              </w:rPr>
            </w:pPr>
            <w:r w:rsidRPr="009F54B9">
              <w:rPr>
                <w:snapToGrid w:val="0"/>
                <w:kern w:val="22"/>
                <w:szCs w:val="22"/>
              </w:rPr>
              <w:t>Toray Industries, Japan / Diversified</w:t>
            </w:r>
          </w:p>
        </w:tc>
      </w:tr>
      <w:tr w:rsidR="008E44C6" w:rsidRPr="00DF1117" w14:paraId="4E5723FC" w14:textId="77777777" w:rsidTr="009F54B9">
        <w:trPr>
          <w:cantSplit/>
          <w:tblCellSpacing w:w="15" w:type="dxa"/>
          <w:jc w:val="center"/>
        </w:trPr>
        <w:tc>
          <w:tcPr>
            <w:tcW w:w="0" w:type="auto"/>
            <w:shd w:val="clear" w:color="auto" w:fill="ECF0F1"/>
            <w:vAlign w:val="center"/>
            <w:hideMark/>
          </w:tcPr>
          <w:p w14:paraId="08B45D1B" w14:textId="77777777" w:rsidR="008E44C6" w:rsidRPr="009F54B9" w:rsidRDefault="008E44C6" w:rsidP="009F54B9">
            <w:pPr>
              <w:keepNext/>
              <w:jc w:val="center"/>
              <w:rPr>
                <w:snapToGrid w:val="0"/>
                <w:kern w:val="22"/>
                <w:szCs w:val="22"/>
              </w:rPr>
            </w:pPr>
            <w:r w:rsidRPr="009F54B9">
              <w:rPr>
                <w:snapToGrid w:val="0"/>
                <w:kern w:val="22"/>
                <w:szCs w:val="22"/>
              </w:rPr>
              <w:t>14</w:t>
            </w:r>
          </w:p>
        </w:tc>
        <w:tc>
          <w:tcPr>
            <w:tcW w:w="6555" w:type="dxa"/>
            <w:shd w:val="clear" w:color="auto" w:fill="ECF0F1"/>
            <w:vAlign w:val="center"/>
            <w:hideMark/>
          </w:tcPr>
          <w:p w14:paraId="0A648BE2" w14:textId="77777777" w:rsidR="008E44C6" w:rsidRPr="009F54B9" w:rsidRDefault="008E44C6" w:rsidP="009F54B9">
            <w:pPr>
              <w:keepNext/>
              <w:jc w:val="center"/>
              <w:rPr>
                <w:snapToGrid w:val="0"/>
                <w:kern w:val="22"/>
                <w:szCs w:val="22"/>
              </w:rPr>
            </w:pPr>
            <w:r w:rsidRPr="009F54B9">
              <w:rPr>
                <w:snapToGrid w:val="0"/>
                <w:kern w:val="22"/>
                <w:szCs w:val="22"/>
              </w:rPr>
              <w:t>Linde Germany / Industrial gases</w:t>
            </w:r>
          </w:p>
        </w:tc>
      </w:tr>
      <w:tr w:rsidR="008E44C6" w:rsidRPr="00DF1117" w14:paraId="53055302" w14:textId="77777777" w:rsidTr="009F54B9">
        <w:trPr>
          <w:cantSplit/>
          <w:tblCellSpacing w:w="15" w:type="dxa"/>
          <w:jc w:val="center"/>
        </w:trPr>
        <w:tc>
          <w:tcPr>
            <w:tcW w:w="0" w:type="auto"/>
            <w:shd w:val="clear" w:color="auto" w:fill="FFFFFF"/>
            <w:vAlign w:val="center"/>
            <w:hideMark/>
          </w:tcPr>
          <w:p w14:paraId="000C4DF2" w14:textId="77777777" w:rsidR="008E44C6" w:rsidRPr="009F54B9" w:rsidRDefault="008E44C6" w:rsidP="009F54B9">
            <w:pPr>
              <w:keepNext/>
              <w:jc w:val="center"/>
              <w:rPr>
                <w:snapToGrid w:val="0"/>
                <w:kern w:val="22"/>
                <w:szCs w:val="22"/>
              </w:rPr>
            </w:pPr>
            <w:r w:rsidRPr="009F54B9">
              <w:rPr>
                <w:snapToGrid w:val="0"/>
                <w:kern w:val="22"/>
                <w:szCs w:val="22"/>
              </w:rPr>
              <w:t>15</w:t>
            </w:r>
          </w:p>
        </w:tc>
        <w:tc>
          <w:tcPr>
            <w:tcW w:w="6555" w:type="dxa"/>
            <w:shd w:val="clear" w:color="auto" w:fill="FFFFFF"/>
            <w:vAlign w:val="center"/>
            <w:hideMark/>
          </w:tcPr>
          <w:p w14:paraId="7316F6C2" w14:textId="77777777" w:rsidR="008E44C6" w:rsidRPr="009F54B9" w:rsidRDefault="008E44C6" w:rsidP="009F54B9">
            <w:pPr>
              <w:keepNext/>
              <w:jc w:val="center"/>
              <w:rPr>
                <w:snapToGrid w:val="0"/>
                <w:kern w:val="22"/>
                <w:szCs w:val="22"/>
              </w:rPr>
            </w:pPr>
            <w:r w:rsidRPr="009F54B9">
              <w:rPr>
                <w:snapToGrid w:val="0"/>
                <w:kern w:val="22"/>
                <w:szCs w:val="22"/>
              </w:rPr>
              <w:t>AkzoNobel, Netherlands / Diversified</w:t>
            </w:r>
          </w:p>
        </w:tc>
      </w:tr>
      <w:tr w:rsidR="008E44C6" w:rsidRPr="00DF1117" w14:paraId="770400B1" w14:textId="77777777" w:rsidTr="009F54B9">
        <w:trPr>
          <w:cantSplit/>
          <w:tblCellSpacing w:w="15" w:type="dxa"/>
          <w:jc w:val="center"/>
        </w:trPr>
        <w:tc>
          <w:tcPr>
            <w:tcW w:w="0" w:type="auto"/>
            <w:shd w:val="clear" w:color="auto" w:fill="ECF0F1"/>
            <w:vAlign w:val="center"/>
            <w:hideMark/>
          </w:tcPr>
          <w:p w14:paraId="0E4E55D0" w14:textId="77777777" w:rsidR="008E44C6" w:rsidRPr="009F54B9" w:rsidRDefault="008E44C6" w:rsidP="009F54B9">
            <w:pPr>
              <w:keepNext/>
              <w:jc w:val="center"/>
              <w:rPr>
                <w:snapToGrid w:val="0"/>
                <w:kern w:val="22"/>
                <w:szCs w:val="22"/>
              </w:rPr>
            </w:pPr>
            <w:r w:rsidRPr="009F54B9">
              <w:rPr>
                <w:snapToGrid w:val="0"/>
                <w:kern w:val="22"/>
                <w:szCs w:val="22"/>
              </w:rPr>
              <w:t>16</w:t>
            </w:r>
          </w:p>
        </w:tc>
        <w:tc>
          <w:tcPr>
            <w:tcW w:w="6555" w:type="dxa"/>
            <w:shd w:val="clear" w:color="auto" w:fill="ECF0F1"/>
            <w:vAlign w:val="center"/>
            <w:hideMark/>
          </w:tcPr>
          <w:p w14:paraId="6E3EB71F" w14:textId="77777777" w:rsidR="008E44C6" w:rsidRPr="009F54B9" w:rsidRDefault="008E44C6" w:rsidP="009F54B9">
            <w:pPr>
              <w:keepNext/>
              <w:jc w:val="center"/>
              <w:rPr>
                <w:snapToGrid w:val="0"/>
                <w:kern w:val="22"/>
                <w:szCs w:val="22"/>
              </w:rPr>
            </w:pPr>
            <w:r w:rsidRPr="009F54B9">
              <w:rPr>
                <w:snapToGrid w:val="0"/>
                <w:kern w:val="22"/>
                <w:szCs w:val="22"/>
              </w:rPr>
              <w:t xml:space="preserve">PPG Industries, </w:t>
            </w:r>
            <w:r w:rsidR="006835CC" w:rsidRPr="009F54B9">
              <w:rPr>
                <w:snapToGrid w:val="0"/>
                <w:kern w:val="22"/>
                <w:szCs w:val="22"/>
              </w:rPr>
              <w:t>United States</w:t>
            </w:r>
            <w:r w:rsidRPr="009F54B9">
              <w:rPr>
                <w:snapToGrid w:val="0"/>
                <w:kern w:val="22"/>
                <w:szCs w:val="22"/>
              </w:rPr>
              <w:t xml:space="preserve"> / Diversified</w:t>
            </w:r>
          </w:p>
        </w:tc>
      </w:tr>
      <w:tr w:rsidR="008E44C6" w:rsidRPr="00DF1117" w14:paraId="309849CA" w14:textId="77777777" w:rsidTr="009F54B9">
        <w:trPr>
          <w:cantSplit/>
          <w:tblCellSpacing w:w="15" w:type="dxa"/>
          <w:jc w:val="center"/>
        </w:trPr>
        <w:tc>
          <w:tcPr>
            <w:tcW w:w="0" w:type="auto"/>
            <w:shd w:val="clear" w:color="auto" w:fill="FFFFFF"/>
            <w:vAlign w:val="center"/>
            <w:hideMark/>
          </w:tcPr>
          <w:p w14:paraId="6F9B7DCF" w14:textId="77777777" w:rsidR="008E44C6" w:rsidRPr="009F54B9" w:rsidRDefault="008E44C6" w:rsidP="009F54B9">
            <w:pPr>
              <w:keepNext/>
              <w:jc w:val="center"/>
              <w:rPr>
                <w:snapToGrid w:val="0"/>
                <w:kern w:val="22"/>
                <w:szCs w:val="22"/>
              </w:rPr>
            </w:pPr>
            <w:r w:rsidRPr="009F54B9">
              <w:rPr>
                <w:snapToGrid w:val="0"/>
                <w:kern w:val="22"/>
                <w:szCs w:val="22"/>
              </w:rPr>
              <w:t>17</w:t>
            </w:r>
          </w:p>
        </w:tc>
        <w:tc>
          <w:tcPr>
            <w:tcW w:w="6555" w:type="dxa"/>
            <w:shd w:val="clear" w:color="auto" w:fill="FFFFFF"/>
            <w:vAlign w:val="center"/>
            <w:hideMark/>
          </w:tcPr>
          <w:p w14:paraId="3B36639D" w14:textId="77777777" w:rsidR="008E44C6" w:rsidRPr="009F54B9" w:rsidRDefault="008E44C6" w:rsidP="009F54B9">
            <w:pPr>
              <w:keepNext/>
              <w:jc w:val="center"/>
              <w:rPr>
                <w:snapToGrid w:val="0"/>
                <w:kern w:val="22"/>
                <w:szCs w:val="22"/>
              </w:rPr>
            </w:pPr>
            <w:r w:rsidRPr="009F54B9">
              <w:rPr>
                <w:snapToGrid w:val="0"/>
                <w:kern w:val="22"/>
                <w:szCs w:val="22"/>
              </w:rPr>
              <w:t>Evonik Industries, Germany / Diversified</w:t>
            </w:r>
          </w:p>
        </w:tc>
      </w:tr>
      <w:tr w:rsidR="008E44C6" w:rsidRPr="00DF1117" w14:paraId="4F630CDB" w14:textId="77777777" w:rsidTr="009F54B9">
        <w:trPr>
          <w:cantSplit/>
          <w:tblCellSpacing w:w="15" w:type="dxa"/>
          <w:jc w:val="center"/>
        </w:trPr>
        <w:tc>
          <w:tcPr>
            <w:tcW w:w="0" w:type="auto"/>
            <w:shd w:val="clear" w:color="auto" w:fill="ECF0F1"/>
            <w:vAlign w:val="center"/>
            <w:hideMark/>
          </w:tcPr>
          <w:p w14:paraId="5D53965C" w14:textId="77777777" w:rsidR="008E44C6" w:rsidRPr="009F54B9" w:rsidRDefault="008E44C6" w:rsidP="009F54B9">
            <w:pPr>
              <w:keepNext/>
              <w:jc w:val="center"/>
              <w:rPr>
                <w:snapToGrid w:val="0"/>
                <w:kern w:val="22"/>
                <w:szCs w:val="22"/>
              </w:rPr>
            </w:pPr>
            <w:r w:rsidRPr="009F54B9">
              <w:rPr>
                <w:snapToGrid w:val="0"/>
                <w:kern w:val="22"/>
                <w:szCs w:val="22"/>
              </w:rPr>
              <w:t>18</w:t>
            </w:r>
          </w:p>
        </w:tc>
        <w:tc>
          <w:tcPr>
            <w:tcW w:w="6555" w:type="dxa"/>
            <w:shd w:val="clear" w:color="auto" w:fill="ECF0F1"/>
            <w:vAlign w:val="center"/>
            <w:hideMark/>
          </w:tcPr>
          <w:p w14:paraId="6ABC284D" w14:textId="77777777" w:rsidR="008E44C6" w:rsidRPr="009F54B9" w:rsidRDefault="008E44C6" w:rsidP="009F54B9">
            <w:pPr>
              <w:keepNext/>
              <w:jc w:val="center"/>
              <w:rPr>
                <w:snapToGrid w:val="0"/>
                <w:kern w:val="22"/>
                <w:szCs w:val="22"/>
              </w:rPr>
            </w:pPr>
            <w:r w:rsidRPr="009F54B9">
              <w:rPr>
                <w:snapToGrid w:val="0"/>
                <w:kern w:val="22"/>
                <w:szCs w:val="22"/>
              </w:rPr>
              <w:t>Reliance Industries, India / Petrochemicals</w:t>
            </w:r>
          </w:p>
        </w:tc>
      </w:tr>
      <w:tr w:rsidR="008E44C6" w:rsidRPr="00DF1117" w14:paraId="763C8014" w14:textId="77777777" w:rsidTr="009F54B9">
        <w:trPr>
          <w:cantSplit/>
          <w:tblCellSpacing w:w="15" w:type="dxa"/>
          <w:jc w:val="center"/>
        </w:trPr>
        <w:tc>
          <w:tcPr>
            <w:tcW w:w="0" w:type="auto"/>
            <w:shd w:val="clear" w:color="auto" w:fill="FFFFFF"/>
            <w:vAlign w:val="center"/>
            <w:hideMark/>
          </w:tcPr>
          <w:p w14:paraId="25F10334" w14:textId="77777777" w:rsidR="008E44C6" w:rsidRPr="009F54B9" w:rsidRDefault="008E44C6" w:rsidP="009F54B9">
            <w:pPr>
              <w:keepNext/>
              <w:jc w:val="center"/>
              <w:rPr>
                <w:snapToGrid w:val="0"/>
                <w:kern w:val="22"/>
                <w:szCs w:val="22"/>
              </w:rPr>
            </w:pPr>
            <w:r w:rsidRPr="009F54B9">
              <w:rPr>
                <w:snapToGrid w:val="0"/>
                <w:kern w:val="22"/>
                <w:szCs w:val="22"/>
              </w:rPr>
              <w:t>19</w:t>
            </w:r>
          </w:p>
        </w:tc>
        <w:tc>
          <w:tcPr>
            <w:tcW w:w="6555" w:type="dxa"/>
            <w:shd w:val="clear" w:color="auto" w:fill="FFFFFF"/>
            <w:vAlign w:val="center"/>
            <w:hideMark/>
          </w:tcPr>
          <w:p w14:paraId="2A14ACF8" w14:textId="77777777" w:rsidR="008E44C6" w:rsidRPr="009F54B9" w:rsidRDefault="008E44C6" w:rsidP="009F54B9">
            <w:pPr>
              <w:keepNext/>
              <w:jc w:val="center"/>
              <w:rPr>
                <w:snapToGrid w:val="0"/>
                <w:kern w:val="22"/>
                <w:szCs w:val="22"/>
              </w:rPr>
            </w:pPr>
            <w:r w:rsidRPr="009F54B9">
              <w:rPr>
                <w:snapToGrid w:val="0"/>
                <w:kern w:val="22"/>
                <w:szCs w:val="22"/>
              </w:rPr>
              <w:t>Braskem, Brazil / Petrochemicals</w:t>
            </w:r>
          </w:p>
        </w:tc>
      </w:tr>
      <w:tr w:rsidR="008E44C6" w:rsidRPr="00DF1117" w14:paraId="15E413AD" w14:textId="77777777" w:rsidTr="009F54B9">
        <w:trPr>
          <w:cantSplit/>
          <w:tblCellSpacing w:w="15" w:type="dxa"/>
          <w:jc w:val="center"/>
        </w:trPr>
        <w:tc>
          <w:tcPr>
            <w:tcW w:w="0" w:type="auto"/>
            <w:shd w:val="clear" w:color="auto" w:fill="ECF0F1"/>
            <w:vAlign w:val="center"/>
            <w:hideMark/>
          </w:tcPr>
          <w:p w14:paraId="0A0A853E" w14:textId="77777777" w:rsidR="008E44C6" w:rsidRPr="009F54B9" w:rsidRDefault="008E44C6" w:rsidP="00B100DD">
            <w:pPr>
              <w:jc w:val="center"/>
              <w:rPr>
                <w:snapToGrid w:val="0"/>
                <w:kern w:val="22"/>
                <w:szCs w:val="22"/>
              </w:rPr>
            </w:pPr>
            <w:r w:rsidRPr="009F54B9">
              <w:rPr>
                <w:snapToGrid w:val="0"/>
                <w:kern w:val="22"/>
                <w:szCs w:val="22"/>
              </w:rPr>
              <w:t>20</w:t>
            </w:r>
          </w:p>
        </w:tc>
        <w:tc>
          <w:tcPr>
            <w:tcW w:w="6555" w:type="dxa"/>
            <w:shd w:val="clear" w:color="auto" w:fill="ECF0F1"/>
            <w:vAlign w:val="center"/>
            <w:hideMark/>
          </w:tcPr>
          <w:p w14:paraId="50A6464F" w14:textId="77777777" w:rsidR="008E44C6" w:rsidRPr="009F54B9" w:rsidRDefault="008E44C6" w:rsidP="00B100DD">
            <w:pPr>
              <w:jc w:val="center"/>
              <w:rPr>
                <w:snapToGrid w:val="0"/>
                <w:kern w:val="22"/>
                <w:szCs w:val="22"/>
              </w:rPr>
            </w:pPr>
            <w:r w:rsidRPr="009F54B9">
              <w:rPr>
                <w:snapToGrid w:val="0"/>
                <w:kern w:val="22"/>
                <w:szCs w:val="22"/>
              </w:rPr>
              <w:t>Sumitomo Chemical, Japan / Petrochemicals</w:t>
            </w:r>
          </w:p>
        </w:tc>
      </w:tr>
    </w:tbl>
    <w:p w14:paraId="69D3988E" w14:textId="77777777" w:rsidR="008E44C6" w:rsidRPr="009F54B9" w:rsidRDefault="008E44C6" w:rsidP="00B100DD">
      <w:pPr>
        <w:rPr>
          <w:snapToGrid w:val="0"/>
          <w:kern w:val="22"/>
        </w:rPr>
      </w:pPr>
    </w:p>
    <w:p w14:paraId="75906F14" w14:textId="77777777" w:rsidR="008E44C6" w:rsidRPr="009F54B9" w:rsidRDefault="008E44C6" w:rsidP="001F4584">
      <w:pPr>
        <w:rPr>
          <w:snapToGrid w:val="0"/>
          <w:kern w:val="22"/>
          <w:szCs w:val="22"/>
        </w:rPr>
      </w:pPr>
      <w:r w:rsidRPr="009F54B9">
        <w:rPr>
          <w:snapToGrid w:val="0"/>
          <w:kern w:val="22"/>
          <w:szCs w:val="22"/>
        </w:rPr>
        <w:t xml:space="preserve">The recent </w:t>
      </w:r>
      <w:r w:rsidR="0098076F" w:rsidRPr="009F54B9">
        <w:rPr>
          <w:snapToGrid w:val="0"/>
          <w:kern w:val="22"/>
          <w:szCs w:val="22"/>
        </w:rPr>
        <w:t>globalization</w:t>
      </w:r>
      <w:r w:rsidRPr="009F54B9">
        <w:rPr>
          <w:snapToGrid w:val="0"/>
          <w:kern w:val="22"/>
          <w:szCs w:val="22"/>
        </w:rPr>
        <w:t xml:space="preserve"> of our economies, which started in the second half of the 20th century, was directly supported by the invention of containerized shipping. Raw materials could now be quickly processed at one location, shipped to factories and manufactured elsewhere, before being shipped again to the customers (e.g., motor vehicles). This meant that companies started to seek the locations with the lowest costs, notably labour costs. </w:t>
      </w:r>
    </w:p>
    <w:p w14:paraId="410236E5" w14:textId="77777777" w:rsidR="008E44C6" w:rsidRPr="009F54B9" w:rsidRDefault="008E44C6" w:rsidP="001F4584">
      <w:pPr>
        <w:rPr>
          <w:snapToGrid w:val="0"/>
          <w:kern w:val="22"/>
          <w:szCs w:val="22"/>
        </w:rPr>
      </w:pPr>
    </w:p>
    <w:p w14:paraId="0D00C6F0" w14:textId="77777777" w:rsidR="008E44C6" w:rsidRPr="009F54B9" w:rsidRDefault="008E44C6" w:rsidP="001F4584">
      <w:pPr>
        <w:rPr>
          <w:snapToGrid w:val="0"/>
          <w:kern w:val="22"/>
          <w:szCs w:val="22"/>
        </w:rPr>
      </w:pPr>
      <w:r w:rsidRPr="009F54B9">
        <w:rPr>
          <w:snapToGrid w:val="0"/>
          <w:kern w:val="22"/>
          <w:szCs w:val="22"/>
        </w:rPr>
        <w:t>This rise of modern manufacturing was further coupled to other key innovations, including but not limited to:</w:t>
      </w:r>
    </w:p>
    <w:p w14:paraId="71DC8D32" w14:textId="77777777" w:rsidR="008E44C6" w:rsidRPr="009F54B9" w:rsidRDefault="008E44C6" w:rsidP="008E44C6">
      <w:pPr>
        <w:pStyle w:val="ListParagraph"/>
        <w:numPr>
          <w:ilvl w:val="0"/>
          <w:numId w:val="16"/>
        </w:numPr>
        <w:autoSpaceDE w:val="0"/>
        <w:autoSpaceDN w:val="0"/>
        <w:adjustRightInd w:val="0"/>
        <w:spacing w:line="360" w:lineRule="auto"/>
        <w:rPr>
          <w:snapToGrid w:val="0"/>
          <w:kern w:val="22"/>
          <w:szCs w:val="22"/>
        </w:rPr>
      </w:pPr>
      <w:r w:rsidRPr="009F54B9">
        <w:rPr>
          <w:snapToGrid w:val="0"/>
          <w:kern w:val="22"/>
          <w:szCs w:val="22"/>
        </w:rPr>
        <w:t xml:space="preserve">Improved communications through the </w:t>
      </w:r>
      <w:r w:rsidR="0098076F" w:rsidRPr="009F54B9">
        <w:rPr>
          <w:snapToGrid w:val="0"/>
          <w:kern w:val="22"/>
          <w:szCs w:val="22"/>
        </w:rPr>
        <w:t>I</w:t>
      </w:r>
      <w:r w:rsidRPr="009F54B9">
        <w:rPr>
          <w:snapToGrid w:val="0"/>
          <w:kern w:val="22"/>
          <w:szCs w:val="22"/>
        </w:rPr>
        <w:t>nternet;</w:t>
      </w:r>
    </w:p>
    <w:p w14:paraId="3521B738" w14:textId="77777777" w:rsidR="008E44C6" w:rsidRPr="009F54B9" w:rsidRDefault="008E44C6" w:rsidP="008E44C6">
      <w:pPr>
        <w:pStyle w:val="ListParagraph"/>
        <w:numPr>
          <w:ilvl w:val="0"/>
          <w:numId w:val="16"/>
        </w:numPr>
        <w:autoSpaceDE w:val="0"/>
        <w:autoSpaceDN w:val="0"/>
        <w:adjustRightInd w:val="0"/>
        <w:spacing w:line="360" w:lineRule="auto"/>
        <w:rPr>
          <w:snapToGrid w:val="0"/>
          <w:kern w:val="22"/>
          <w:szCs w:val="22"/>
        </w:rPr>
      </w:pPr>
      <w:r w:rsidRPr="009F54B9">
        <w:rPr>
          <w:snapToGrid w:val="0"/>
          <w:kern w:val="22"/>
          <w:szCs w:val="22"/>
        </w:rPr>
        <w:t>Just-in-time and lean manufacturing which eliminate waste and reduce flow times;</w:t>
      </w:r>
    </w:p>
    <w:p w14:paraId="697EA327" w14:textId="77777777" w:rsidR="008E44C6" w:rsidRPr="009F54B9" w:rsidRDefault="008E44C6" w:rsidP="008E44C6">
      <w:pPr>
        <w:pStyle w:val="ListParagraph"/>
        <w:numPr>
          <w:ilvl w:val="0"/>
          <w:numId w:val="16"/>
        </w:numPr>
        <w:autoSpaceDE w:val="0"/>
        <w:autoSpaceDN w:val="0"/>
        <w:adjustRightInd w:val="0"/>
        <w:spacing w:line="360" w:lineRule="auto"/>
        <w:rPr>
          <w:snapToGrid w:val="0"/>
          <w:kern w:val="22"/>
          <w:szCs w:val="22"/>
        </w:rPr>
      </w:pPr>
      <w:r w:rsidRPr="009F54B9">
        <w:rPr>
          <w:snapToGrid w:val="0"/>
          <w:kern w:val="22"/>
          <w:szCs w:val="22"/>
        </w:rPr>
        <w:t>Prefabrication which saves on time by shipping fully assembled or partially assembled units directly to the site where they will be used;</w:t>
      </w:r>
    </w:p>
    <w:p w14:paraId="3A45F7C5" w14:textId="77777777" w:rsidR="008E44C6" w:rsidRPr="009F54B9" w:rsidRDefault="008E44C6" w:rsidP="008E44C6">
      <w:pPr>
        <w:pStyle w:val="ListParagraph"/>
        <w:numPr>
          <w:ilvl w:val="0"/>
          <w:numId w:val="16"/>
        </w:numPr>
        <w:autoSpaceDE w:val="0"/>
        <w:autoSpaceDN w:val="0"/>
        <w:adjustRightInd w:val="0"/>
        <w:spacing w:line="360" w:lineRule="auto"/>
        <w:rPr>
          <w:snapToGrid w:val="0"/>
          <w:kern w:val="22"/>
          <w:szCs w:val="22"/>
        </w:rPr>
      </w:pPr>
      <w:r w:rsidRPr="009F54B9">
        <w:rPr>
          <w:snapToGrid w:val="0"/>
          <w:kern w:val="22"/>
          <w:szCs w:val="22"/>
        </w:rPr>
        <w:t>Flexible manufacturing systems which allow for systems to react in case of predicted or unpredicted changes to workflow;</w:t>
      </w:r>
    </w:p>
    <w:p w14:paraId="293F09EC" w14:textId="77777777" w:rsidR="008E44C6" w:rsidRPr="009F54B9" w:rsidRDefault="008E44C6" w:rsidP="008E44C6">
      <w:pPr>
        <w:pStyle w:val="ListParagraph"/>
        <w:numPr>
          <w:ilvl w:val="0"/>
          <w:numId w:val="16"/>
        </w:numPr>
        <w:autoSpaceDE w:val="0"/>
        <w:autoSpaceDN w:val="0"/>
        <w:adjustRightInd w:val="0"/>
        <w:spacing w:line="360" w:lineRule="auto"/>
        <w:rPr>
          <w:snapToGrid w:val="0"/>
          <w:kern w:val="22"/>
          <w:szCs w:val="22"/>
        </w:rPr>
      </w:pPr>
      <w:r w:rsidRPr="009F54B9">
        <w:rPr>
          <w:snapToGrid w:val="0"/>
          <w:kern w:val="22"/>
          <w:szCs w:val="22"/>
        </w:rPr>
        <w:t xml:space="preserve">Robotic systems cut down on </w:t>
      </w:r>
      <w:r w:rsidR="00A53927" w:rsidRPr="009F54B9">
        <w:rPr>
          <w:snapToGrid w:val="0"/>
          <w:kern w:val="22"/>
          <w:szCs w:val="22"/>
        </w:rPr>
        <w:t>labour</w:t>
      </w:r>
      <w:r w:rsidRPr="009F54B9">
        <w:rPr>
          <w:snapToGrid w:val="0"/>
          <w:kern w:val="22"/>
          <w:szCs w:val="22"/>
        </w:rPr>
        <w:t xml:space="preserve"> costs, human error, and lag time between steps in the assembly process.</w:t>
      </w:r>
    </w:p>
    <w:p w14:paraId="726C75E7" w14:textId="77777777" w:rsidR="008E44C6" w:rsidRPr="009F54B9" w:rsidRDefault="008E44C6" w:rsidP="00BC4B83">
      <w:pPr>
        <w:pStyle w:val="ListParagraph"/>
        <w:rPr>
          <w:snapToGrid w:val="0"/>
          <w:kern w:val="22"/>
          <w:szCs w:val="22"/>
        </w:rPr>
      </w:pPr>
    </w:p>
    <w:p w14:paraId="45F41096" w14:textId="77777777" w:rsidR="008E44C6" w:rsidRPr="009F54B9" w:rsidRDefault="008E44C6" w:rsidP="001F7591">
      <w:pPr>
        <w:pStyle w:val="ListParagraph"/>
        <w:pBdr>
          <w:top w:val="single" w:sz="4" w:space="1" w:color="auto"/>
          <w:left w:val="single" w:sz="4" w:space="4" w:color="auto"/>
          <w:bottom w:val="single" w:sz="4" w:space="1" w:color="auto"/>
          <w:right w:val="single" w:sz="4" w:space="4" w:color="auto"/>
        </w:pBdr>
        <w:jc w:val="center"/>
        <w:rPr>
          <w:snapToGrid w:val="0"/>
          <w:kern w:val="22"/>
        </w:rPr>
      </w:pPr>
      <w:r w:rsidRPr="009F54B9">
        <w:rPr>
          <w:noProof/>
          <w:snapToGrid w:val="0"/>
          <w:kern w:val="22"/>
          <w:lang w:eastAsia="zh-CN"/>
        </w:rPr>
        <w:lastRenderedPageBreak/>
        <w:drawing>
          <wp:inline distT="0" distB="0" distL="0" distR="0" wp14:anchorId="1B5A4692" wp14:editId="71520728">
            <wp:extent cx="4362931" cy="3693795"/>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73765" cy="3702968"/>
                    </a:xfrm>
                    <a:prstGeom prst="rect">
                      <a:avLst/>
                    </a:prstGeom>
                    <a:noFill/>
                    <a:ln>
                      <a:noFill/>
                    </a:ln>
                  </pic:spPr>
                </pic:pic>
              </a:graphicData>
            </a:graphic>
          </wp:inline>
        </w:drawing>
      </w:r>
    </w:p>
    <w:p w14:paraId="3F2D1319" w14:textId="77777777" w:rsidR="008E44C6" w:rsidRPr="009F54B9" w:rsidRDefault="008E44C6" w:rsidP="001F7591">
      <w:pPr>
        <w:pStyle w:val="ListParagraph"/>
        <w:pBdr>
          <w:top w:val="single" w:sz="4" w:space="1" w:color="auto"/>
          <w:left w:val="single" w:sz="4" w:space="4" w:color="auto"/>
          <w:bottom w:val="single" w:sz="4" w:space="1" w:color="auto"/>
          <w:right w:val="single" w:sz="4" w:space="4" w:color="auto"/>
        </w:pBdr>
        <w:jc w:val="center"/>
        <w:rPr>
          <w:snapToGrid w:val="0"/>
          <w:kern w:val="22"/>
        </w:rPr>
      </w:pPr>
      <w:bookmarkStart w:id="11" w:name="_Toc517688901"/>
      <w:r w:rsidRPr="009F54B9">
        <w:rPr>
          <w:snapToGrid w:val="0"/>
          <w:kern w:val="22"/>
        </w:rPr>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2</w:t>
      </w:r>
      <w:r w:rsidRPr="009F54B9">
        <w:rPr>
          <w:noProof/>
          <w:snapToGrid w:val="0"/>
          <w:kern w:val="22"/>
        </w:rPr>
        <w:fldChar w:fldCharType="end"/>
      </w:r>
      <w:r w:rsidRPr="009F54B9">
        <w:rPr>
          <w:snapToGrid w:val="0"/>
          <w:kern w:val="22"/>
        </w:rPr>
        <w:t>: Passenger car production in selected countries in 2016, by country</w:t>
      </w:r>
      <w:r w:rsidR="00050D9F" w:rsidRPr="009F54B9">
        <w:rPr>
          <w:snapToGrid w:val="0"/>
          <w:kern w:val="22"/>
        </w:rPr>
        <w:br/>
      </w:r>
      <w:r w:rsidRPr="009F54B9">
        <w:rPr>
          <w:snapToGrid w:val="0"/>
          <w:kern w:val="22"/>
        </w:rPr>
        <w:t>(in million units)</w:t>
      </w:r>
      <w:r w:rsidRPr="009F54B9">
        <w:rPr>
          <w:rStyle w:val="FootnoteReference"/>
          <w:snapToGrid w:val="0"/>
          <w:kern w:val="22"/>
        </w:rPr>
        <w:footnoteReference w:id="7"/>
      </w:r>
      <w:bookmarkEnd w:id="11"/>
    </w:p>
    <w:p w14:paraId="3F42804C" w14:textId="77777777" w:rsidR="008E44C6" w:rsidRPr="009F54B9" w:rsidRDefault="008E44C6" w:rsidP="001F7591">
      <w:pPr>
        <w:pStyle w:val="Caption"/>
        <w:rPr>
          <w:snapToGrid w:val="0"/>
          <w:kern w:val="22"/>
          <w:szCs w:val="22"/>
        </w:rPr>
      </w:pPr>
    </w:p>
    <w:p w14:paraId="7540B1C2" w14:textId="77777777" w:rsidR="008E44C6" w:rsidRPr="009F54B9" w:rsidRDefault="008E44C6" w:rsidP="008E44C6">
      <w:pPr>
        <w:pStyle w:val="Heading2"/>
        <w:keepNext w:val="0"/>
        <w:numPr>
          <w:ilvl w:val="1"/>
          <w:numId w:val="10"/>
        </w:numPr>
        <w:tabs>
          <w:tab w:val="clear" w:pos="720"/>
        </w:tabs>
        <w:autoSpaceDE w:val="0"/>
        <w:autoSpaceDN w:val="0"/>
        <w:adjustRightInd w:val="0"/>
        <w:spacing w:before="0"/>
        <w:jc w:val="both"/>
        <w:rPr>
          <w:smallCaps/>
          <w:snapToGrid w:val="0"/>
          <w:kern w:val="22"/>
          <w:szCs w:val="22"/>
        </w:rPr>
      </w:pPr>
      <w:bookmarkStart w:id="12" w:name="_Toc517690311"/>
      <w:r w:rsidRPr="009F54B9">
        <w:rPr>
          <w:smallCaps/>
          <w:snapToGrid w:val="0"/>
          <w:kern w:val="22"/>
          <w:szCs w:val="22"/>
        </w:rPr>
        <w:t>The economic importance of manufacturing today</w:t>
      </w:r>
      <w:bookmarkEnd w:id="12"/>
    </w:p>
    <w:p w14:paraId="4DF04AA0" w14:textId="77777777" w:rsidR="008E44C6" w:rsidRPr="009F54B9" w:rsidRDefault="008E44C6" w:rsidP="00B67C11">
      <w:pPr>
        <w:rPr>
          <w:snapToGrid w:val="0"/>
          <w:kern w:val="22"/>
          <w:szCs w:val="22"/>
        </w:rPr>
      </w:pPr>
    </w:p>
    <w:p w14:paraId="166BAC60" w14:textId="77777777" w:rsidR="008E44C6" w:rsidRPr="009F54B9" w:rsidRDefault="008E44C6" w:rsidP="001E5D79">
      <w:pPr>
        <w:pBdr>
          <w:bottom w:val="single" w:sz="4" w:space="1" w:color="auto"/>
        </w:pBdr>
        <w:rPr>
          <w:snapToGrid w:val="0"/>
          <w:color w:val="000000" w:themeColor="text1"/>
          <w:kern w:val="22"/>
          <w:szCs w:val="22"/>
          <w:shd w:val="clear" w:color="auto" w:fill="FFFFFF"/>
        </w:rPr>
      </w:pPr>
      <w:r w:rsidRPr="009F54B9">
        <w:rPr>
          <w:snapToGrid w:val="0"/>
          <w:color w:val="000000" w:themeColor="text1"/>
          <w:kern w:val="22"/>
          <w:szCs w:val="22"/>
          <w:shd w:val="clear" w:color="auto" w:fill="FFFFFF"/>
        </w:rPr>
        <w:t>Key messages:</w:t>
      </w:r>
    </w:p>
    <w:p w14:paraId="3BC0A6F5" w14:textId="77777777" w:rsidR="008E44C6" w:rsidRPr="009F54B9" w:rsidRDefault="008E44C6" w:rsidP="008E44C6">
      <w:pPr>
        <w:pStyle w:val="ListParagraph"/>
        <w:numPr>
          <w:ilvl w:val="0"/>
          <w:numId w:val="31"/>
        </w:numPr>
        <w:pBdr>
          <w:bottom w:val="single" w:sz="4" w:space="1" w:color="auto"/>
        </w:pBdr>
        <w:autoSpaceDE w:val="0"/>
        <w:autoSpaceDN w:val="0"/>
        <w:adjustRightInd w:val="0"/>
        <w:spacing w:line="360" w:lineRule="auto"/>
        <w:rPr>
          <w:snapToGrid w:val="0"/>
          <w:kern w:val="22"/>
          <w:szCs w:val="22"/>
        </w:rPr>
      </w:pPr>
      <w:r w:rsidRPr="009F54B9">
        <w:rPr>
          <w:snapToGrid w:val="0"/>
          <w:kern w:val="22"/>
          <w:szCs w:val="22"/>
        </w:rPr>
        <w:t>Manufacturing industries account for approximately 15% of global Gross Domestic Product (GDP) over the past few years;</w:t>
      </w:r>
    </w:p>
    <w:p w14:paraId="68D1D4CD" w14:textId="77777777" w:rsidR="008E44C6" w:rsidRPr="009F54B9" w:rsidRDefault="008E44C6" w:rsidP="008E44C6">
      <w:pPr>
        <w:pStyle w:val="ListParagraph"/>
        <w:numPr>
          <w:ilvl w:val="0"/>
          <w:numId w:val="31"/>
        </w:numPr>
        <w:pBdr>
          <w:bottom w:val="single" w:sz="4" w:space="1" w:color="auto"/>
        </w:pBdr>
        <w:autoSpaceDE w:val="0"/>
        <w:autoSpaceDN w:val="0"/>
        <w:adjustRightInd w:val="0"/>
        <w:spacing w:line="360" w:lineRule="auto"/>
        <w:rPr>
          <w:snapToGrid w:val="0"/>
          <w:kern w:val="22"/>
          <w:szCs w:val="22"/>
        </w:rPr>
      </w:pPr>
      <w:r w:rsidRPr="009F54B9">
        <w:rPr>
          <w:snapToGrid w:val="0"/>
          <w:kern w:val="22"/>
          <w:szCs w:val="22"/>
        </w:rPr>
        <w:t>There is significant spatial disparity in manufacturing output and industry growth prospects across countries;</w:t>
      </w:r>
    </w:p>
    <w:p w14:paraId="54DDA778" w14:textId="77777777" w:rsidR="008E44C6" w:rsidRPr="009F54B9" w:rsidRDefault="008E44C6" w:rsidP="00D43930">
      <w:pPr>
        <w:pStyle w:val="ListParagraph"/>
        <w:numPr>
          <w:ilvl w:val="0"/>
          <w:numId w:val="31"/>
        </w:numPr>
        <w:pBdr>
          <w:bottom w:val="single" w:sz="4" w:space="1" w:color="auto"/>
        </w:pBdr>
        <w:autoSpaceDE w:val="0"/>
        <w:autoSpaceDN w:val="0"/>
        <w:adjustRightInd w:val="0"/>
        <w:spacing w:line="360" w:lineRule="auto"/>
        <w:rPr>
          <w:snapToGrid w:val="0"/>
          <w:kern w:val="22"/>
          <w:szCs w:val="22"/>
        </w:rPr>
      </w:pPr>
      <w:r w:rsidRPr="009F54B9">
        <w:rPr>
          <w:snapToGrid w:val="0"/>
          <w:kern w:val="22"/>
          <w:szCs w:val="22"/>
        </w:rPr>
        <w:t xml:space="preserve">The main GDP manufacturing countries are, in decreasing order of global share in manufacturing GDP, China, </w:t>
      </w:r>
      <w:r w:rsidR="006835CC" w:rsidRPr="009F54B9">
        <w:rPr>
          <w:snapToGrid w:val="0"/>
          <w:kern w:val="22"/>
          <w:szCs w:val="22"/>
        </w:rPr>
        <w:t>United States</w:t>
      </w:r>
      <w:r w:rsidRPr="009F54B9">
        <w:rPr>
          <w:snapToGrid w:val="0"/>
          <w:kern w:val="22"/>
          <w:szCs w:val="22"/>
        </w:rPr>
        <w:t xml:space="preserve">, Japan, Germany and </w:t>
      </w:r>
      <w:r w:rsidR="00D43930" w:rsidRPr="009F54B9">
        <w:rPr>
          <w:snapToGrid w:val="0"/>
          <w:kern w:val="22"/>
          <w:szCs w:val="22"/>
        </w:rPr>
        <w:t xml:space="preserve">Republic of </w:t>
      </w:r>
      <w:r w:rsidRPr="009F54B9">
        <w:rPr>
          <w:snapToGrid w:val="0"/>
          <w:kern w:val="22"/>
          <w:szCs w:val="22"/>
        </w:rPr>
        <w:t>Korea (more than 50% of global manufacturing GDP).</w:t>
      </w:r>
    </w:p>
    <w:p w14:paraId="566E8F1E" w14:textId="77777777" w:rsidR="008E44C6" w:rsidRPr="009F54B9" w:rsidRDefault="008E44C6" w:rsidP="008B3250">
      <w:pPr>
        <w:pStyle w:val="ListParagraph"/>
        <w:rPr>
          <w:snapToGrid w:val="0"/>
          <w:kern w:val="22"/>
          <w:szCs w:val="22"/>
        </w:rPr>
      </w:pPr>
    </w:p>
    <w:p w14:paraId="6A755AA5" w14:textId="77777777" w:rsidR="008E44C6" w:rsidRPr="009F54B9" w:rsidRDefault="008E44C6" w:rsidP="006F2724">
      <w:pPr>
        <w:rPr>
          <w:snapToGrid w:val="0"/>
          <w:spacing w:val="-3"/>
          <w:kern w:val="22"/>
          <w:szCs w:val="22"/>
        </w:rPr>
      </w:pPr>
      <w:r w:rsidRPr="009F54B9">
        <w:rPr>
          <w:snapToGrid w:val="0"/>
          <w:spacing w:val="-3"/>
          <w:kern w:val="22"/>
          <w:szCs w:val="22"/>
        </w:rPr>
        <w:t>According to the World Bank</w:t>
      </w:r>
      <w:r w:rsidRPr="009F54B9">
        <w:rPr>
          <w:rStyle w:val="FootnoteReference"/>
          <w:snapToGrid w:val="0"/>
          <w:spacing w:val="-3"/>
          <w:kern w:val="22"/>
          <w:szCs w:val="22"/>
        </w:rPr>
        <w:footnoteReference w:id="8"/>
      </w:r>
      <w:r w:rsidRPr="009F54B9">
        <w:rPr>
          <w:snapToGrid w:val="0"/>
          <w:spacing w:val="-3"/>
          <w:kern w:val="22"/>
          <w:szCs w:val="22"/>
        </w:rPr>
        <w:t xml:space="preserve">, manufacturing accounted for approximately 15% of global Gross Domestic Product (GDP) in 2016 (Table 3). Though there are some disparities across regions (e.g., lower share of GDP of the manufacturing sector for low income and </w:t>
      </w:r>
      <w:r w:rsidR="006F2724" w:rsidRPr="009F54B9">
        <w:rPr>
          <w:snapToGrid w:val="0"/>
          <w:spacing w:val="-3"/>
          <w:kern w:val="22"/>
          <w:szCs w:val="22"/>
        </w:rPr>
        <w:t>s</w:t>
      </w:r>
      <w:r w:rsidRPr="009F54B9">
        <w:rPr>
          <w:snapToGrid w:val="0"/>
          <w:spacing w:val="-3"/>
          <w:kern w:val="22"/>
          <w:szCs w:val="22"/>
        </w:rPr>
        <w:t>ub-Saharan African nations on average), the share of GDP of the manufacturing sector has been decreasing progressively throughout the world over the last decade (from an 18% share of GDP in 2005), notably due to the rise of the services sector. As illustrated in Figure 3, manufacturing is concentrated in a limited number of countries, with often the co-location/clustering of industries and complementary industries in specific regions.</w:t>
      </w:r>
    </w:p>
    <w:p w14:paraId="33236999" w14:textId="77777777" w:rsidR="008E44C6" w:rsidRPr="009F54B9" w:rsidRDefault="008E44C6" w:rsidP="000240E2">
      <w:pPr>
        <w:rPr>
          <w:snapToGrid w:val="0"/>
          <w:kern w:val="22"/>
          <w:szCs w:val="22"/>
        </w:rPr>
      </w:pPr>
    </w:p>
    <w:p w14:paraId="7096DD82" w14:textId="77777777" w:rsidR="008E44C6" w:rsidRPr="009F54B9" w:rsidRDefault="008E44C6" w:rsidP="00F630A7">
      <w:pPr>
        <w:pBdr>
          <w:top w:val="single" w:sz="4" w:space="1" w:color="auto"/>
          <w:left w:val="single" w:sz="4" w:space="4" w:color="auto"/>
          <w:bottom w:val="single" w:sz="4" w:space="1" w:color="auto"/>
          <w:right w:val="single" w:sz="4" w:space="4" w:color="auto"/>
        </w:pBdr>
        <w:jc w:val="center"/>
        <w:rPr>
          <w:snapToGrid w:val="0"/>
          <w:kern w:val="22"/>
          <w:szCs w:val="22"/>
        </w:rPr>
      </w:pPr>
      <w:r w:rsidRPr="009F54B9">
        <w:rPr>
          <w:noProof/>
          <w:snapToGrid w:val="0"/>
          <w:kern w:val="22"/>
          <w:szCs w:val="22"/>
          <w:lang w:eastAsia="zh-CN"/>
        </w:rPr>
        <w:lastRenderedPageBreak/>
        <w:drawing>
          <wp:inline distT="0" distB="0" distL="0" distR="0" wp14:anchorId="72E98B9B" wp14:editId="049D9FBD">
            <wp:extent cx="4591050" cy="345661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94150" cy="3458945"/>
                    </a:xfrm>
                    <a:prstGeom prst="rect">
                      <a:avLst/>
                    </a:prstGeom>
                    <a:noFill/>
                    <a:ln>
                      <a:noFill/>
                    </a:ln>
                  </pic:spPr>
                </pic:pic>
              </a:graphicData>
            </a:graphic>
          </wp:inline>
        </w:drawing>
      </w:r>
    </w:p>
    <w:p w14:paraId="66BCB6A4" w14:textId="77777777" w:rsidR="008E44C6" w:rsidRPr="009F54B9" w:rsidRDefault="008E44C6" w:rsidP="00F630A7">
      <w:pPr>
        <w:pBdr>
          <w:top w:val="single" w:sz="4" w:space="1" w:color="auto"/>
          <w:left w:val="single" w:sz="4" w:space="4" w:color="auto"/>
          <w:bottom w:val="single" w:sz="4" w:space="1" w:color="auto"/>
          <w:right w:val="single" w:sz="4" w:space="4" w:color="auto"/>
        </w:pBdr>
        <w:jc w:val="center"/>
        <w:rPr>
          <w:snapToGrid w:val="0"/>
          <w:kern w:val="22"/>
        </w:rPr>
      </w:pPr>
      <w:bookmarkStart w:id="13" w:name="_Toc517688902"/>
      <w:r w:rsidRPr="009F54B9">
        <w:rPr>
          <w:snapToGrid w:val="0"/>
          <w:kern w:val="22"/>
        </w:rPr>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3</w:t>
      </w:r>
      <w:r w:rsidRPr="009F54B9">
        <w:rPr>
          <w:noProof/>
          <w:snapToGrid w:val="0"/>
          <w:kern w:val="22"/>
        </w:rPr>
        <w:fldChar w:fldCharType="end"/>
      </w:r>
      <w:r w:rsidRPr="009F54B9">
        <w:rPr>
          <w:snapToGrid w:val="0"/>
          <w:kern w:val="22"/>
        </w:rPr>
        <w:t>: Leading Countries, Value Added in Manufacturing (Billion dollars, 2015) (Levinson 2017)</w:t>
      </w:r>
      <w:r w:rsidRPr="009F54B9">
        <w:rPr>
          <w:rStyle w:val="FootnoteReference"/>
          <w:snapToGrid w:val="0"/>
          <w:kern w:val="22"/>
        </w:rPr>
        <w:footnoteReference w:id="9"/>
      </w:r>
      <w:r w:rsidRPr="009F54B9">
        <w:rPr>
          <w:snapToGrid w:val="0"/>
          <w:kern w:val="22"/>
        </w:rPr>
        <w:t>.</w:t>
      </w:r>
      <w:bookmarkEnd w:id="13"/>
    </w:p>
    <w:p w14:paraId="70B79980" w14:textId="77777777" w:rsidR="008E44C6" w:rsidRPr="009F54B9" w:rsidRDefault="008E44C6" w:rsidP="00AD65FE">
      <w:pPr>
        <w:rPr>
          <w:snapToGrid w:val="0"/>
          <w:kern w:val="22"/>
          <w:szCs w:val="22"/>
        </w:rPr>
      </w:pPr>
    </w:p>
    <w:p w14:paraId="4E88C13B" w14:textId="77777777" w:rsidR="008E44C6" w:rsidRPr="009F54B9" w:rsidRDefault="008E44C6" w:rsidP="00AD65FE">
      <w:pPr>
        <w:rPr>
          <w:snapToGrid w:val="0"/>
          <w:kern w:val="22"/>
          <w:szCs w:val="22"/>
        </w:rPr>
      </w:pPr>
      <w:r w:rsidRPr="009F54B9">
        <w:rPr>
          <w:snapToGrid w:val="0"/>
          <w:kern w:val="22"/>
          <w:szCs w:val="22"/>
        </w:rPr>
        <w:t>According to the International Labour Organization (ILO)</w:t>
      </w:r>
      <w:r w:rsidRPr="009F54B9">
        <w:rPr>
          <w:rStyle w:val="FootnoteReference"/>
          <w:snapToGrid w:val="0"/>
          <w:kern w:val="22"/>
          <w:szCs w:val="22"/>
        </w:rPr>
        <w:footnoteReference w:id="10"/>
      </w:r>
      <w:r w:rsidRPr="009F54B9">
        <w:rPr>
          <w:snapToGrid w:val="0"/>
          <w:kern w:val="22"/>
          <w:szCs w:val="22"/>
        </w:rPr>
        <w:t xml:space="preserve">, manufacturing accounted for 23% of total employment worldwide in 2012. It was then projected to account for 24% of total employment worldwide by 2018. </w:t>
      </w:r>
    </w:p>
    <w:p w14:paraId="6F69C67A" w14:textId="77777777" w:rsidR="008E44C6" w:rsidRPr="009F54B9" w:rsidRDefault="008E44C6" w:rsidP="00C47ED1">
      <w:pPr>
        <w:pStyle w:val="Caption"/>
        <w:rPr>
          <w:snapToGrid w:val="0"/>
          <w:kern w:val="22"/>
          <w:szCs w:val="22"/>
        </w:rPr>
      </w:pPr>
    </w:p>
    <w:p w14:paraId="47F0328D" w14:textId="77777777" w:rsidR="008E44C6" w:rsidRPr="009F54B9" w:rsidRDefault="008E44C6" w:rsidP="00C47ED1">
      <w:pPr>
        <w:pStyle w:val="Caption"/>
        <w:pBdr>
          <w:top w:val="single" w:sz="4" w:space="1" w:color="auto"/>
          <w:left w:val="single" w:sz="4" w:space="4" w:color="auto"/>
          <w:bottom w:val="single" w:sz="4" w:space="1" w:color="auto"/>
          <w:right w:val="single" w:sz="4" w:space="4" w:color="auto"/>
        </w:pBdr>
        <w:jc w:val="center"/>
        <w:rPr>
          <w:snapToGrid w:val="0"/>
          <w:kern w:val="22"/>
          <w:szCs w:val="22"/>
        </w:rPr>
      </w:pPr>
      <w:bookmarkStart w:id="14" w:name="_Toc517688922"/>
      <w:r w:rsidRPr="009F54B9">
        <w:rPr>
          <w:snapToGrid w:val="0"/>
          <w:kern w:val="22"/>
          <w:szCs w:val="22"/>
        </w:rPr>
        <w:t xml:space="preserve">Table </w:t>
      </w:r>
      <w:r w:rsidRPr="009F54B9">
        <w:rPr>
          <w:snapToGrid w:val="0"/>
          <w:kern w:val="22"/>
          <w:szCs w:val="22"/>
        </w:rPr>
        <w:fldChar w:fldCharType="begin"/>
      </w:r>
      <w:r w:rsidRPr="009F54B9">
        <w:rPr>
          <w:snapToGrid w:val="0"/>
          <w:kern w:val="22"/>
          <w:szCs w:val="22"/>
        </w:rPr>
        <w:instrText xml:space="preserve"> SEQ Table \* ARABIC </w:instrText>
      </w:r>
      <w:r w:rsidRPr="009F54B9">
        <w:rPr>
          <w:snapToGrid w:val="0"/>
          <w:kern w:val="22"/>
          <w:szCs w:val="22"/>
        </w:rPr>
        <w:fldChar w:fldCharType="separate"/>
      </w:r>
      <w:r w:rsidRPr="009F54B9">
        <w:rPr>
          <w:noProof/>
          <w:snapToGrid w:val="0"/>
          <w:kern w:val="22"/>
          <w:szCs w:val="22"/>
        </w:rPr>
        <w:t>3</w:t>
      </w:r>
      <w:r w:rsidRPr="009F54B9">
        <w:rPr>
          <w:snapToGrid w:val="0"/>
          <w:kern w:val="22"/>
          <w:szCs w:val="22"/>
        </w:rPr>
        <w:fldChar w:fldCharType="end"/>
      </w:r>
      <w:r w:rsidRPr="009F54B9">
        <w:rPr>
          <w:snapToGrid w:val="0"/>
          <w:kern w:val="22"/>
          <w:szCs w:val="22"/>
        </w:rPr>
        <w:t>: The contributions of agriculture, industry, manufacturing and services to Gross Domestic Product worldwide (as % of GDP, from 2005 to 2016)</w:t>
      </w:r>
      <w:r w:rsidRPr="009F54B9">
        <w:rPr>
          <w:rStyle w:val="FootnoteReference"/>
          <w:snapToGrid w:val="0"/>
          <w:kern w:val="22"/>
          <w:szCs w:val="22"/>
        </w:rPr>
        <w:footnoteReference w:id="11"/>
      </w:r>
      <w:bookmarkEnd w:id="14"/>
      <w:r w:rsidRPr="009F54B9">
        <w:rPr>
          <w:snapToGrid w:val="0"/>
          <w:kern w:val="22"/>
          <w:szCs w:val="22"/>
        </w:rPr>
        <w:t xml:space="preserve"> </w:t>
      </w:r>
    </w:p>
    <w:p w14:paraId="64D02B5B" w14:textId="77777777" w:rsidR="008E44C6" w:rsidRPr="009F54B9" w:rsidRDefault="008E44C6" w:rsidP="00C47ED1">
      <w:pPr>
        <w:pBdr>
          <w:top w:val="single" w:sz="4" w:space="1" w:color="auto"/>
          <w:left w:val="single" w:sz="4" w:space="4" w:color="auto"/>
          <w:bottom w:val="single" w:sz="4" w:space="1" w:color="auto"/>
          <w:right w:val="single" w:sz="4" w:space="4" w:color="auto"/>
        </w:pBdr>
        <w:rPr>
          <w:snapToGrid w:val="0"/>
          <w:kern w:val="22"/>
          <w:szCs w:val="22"/>
        </w:rPr>
      </w:pPr>
      <w:r w:rsidRPr="009F54B9">
        <w:rPr>
          <w:noProof/>
          <w:snapToGrid w:val="0"/>
          <w:kern w:val="22"/>
          <w:lang w:eastAsia="zh-CN"/>
        </w:rPr>
        <w:drawing>
          <wp:inline distT="0" distB="0" distL="0" distR="0" wp14:anchorId="2E05D4D3" wp14:editId="30C28137">
            <wp:extent cx="5729861" cy="2771775"/>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5094" cy="2774307"/>
                    </a:xfrm>
                    <a:prstGeom prst="rect">
                      <a:avLst/>
                    </a:prstGeom>
                    <a:noFill/>
                    <a:ln>
                      <a:noFill/>
                    </a:ln>
                  </pic:spPr>
                </pic:pic>
              </a:graphicData>
            </a:graphic>
          </wp:inline>
        </w:drawing>
      </w:r>
    </w:p>
    <w:p w14:paraId="211C1DA0" w14:textId="77777777" w:rsidR="008E44C6" w:rsidRPr="009F54B9" w:rsidRDefault="008E44C6" w:rsidP="00FD7697">
      <w:pPr>
        <w:rPr>
          <w:snapToGrid w:val="0"/>
          <w:kern w:val="22"/>
          <w:szCs w:val="22"/>
        </w:rPr>
      </w:pPr>
    </w:p>
    <w:p w14:paraId="4EA93540" w14:textId="77777777" w:rsidR="008E44C6" w:rsidRPr="009F54B9" w:rsidRDefault="008E44C6" w:rsidP="00A45224">
      <w:pPr>
        <w:rPr>
          <w:snapToGrid w:val="0"/>
          <w:kern w:val="22"/>
        </w:rPr>
      </w:pPr>
      <w:r w:rsidRPr="009F54B9">
        <w:rPr>
          <w:snapToGrid w:val="0"/>
          <w:kern w:val="22"/>
          <w:szCs w:val="22"/>
        </w:rPr>
        <w:t>Moreover, the characteristics (e.g., research and development intensity, labour intensity, energy intensity) of industries within the manufacturing sector vary greatly, so that industries may be grouped into five categories according to McKinsey (2012)</w:t>
      </w:r>
      <w:r w:rsidRPr="009F54B9">
        <w:rPr>
          <w:rStyle w:val="FootnoteReference"/>
          <w:snapToGrid w:val="0"/>
          <w:kern w:val="22"/>
          <w:szCs w:val="22"/>
        </w:rPr>
        <w:footnoteReference w:id="12"/>
      </w:r>
      <w:r w:rsidRPr="009F54B9">
        <w:rPr>
          <w:snapToGrid w:val="0"/>
          <w:kern w:val="22"/>
          <w:szCs w:val="22"/>
        </w:rPr>
        <w:t xml:space="preserve"> (Table 4): i.e., global innovation for local markets (34% of global manufacturing value added), regional processing (28% of global manufacturing value added), energy and/or resource intensive commodities (22% of global manufacturing value added), global technologies / innovators (9% of global manufacturing value added) and labour intensive tradable (7% of global manufacturing value added). The ownership of manufacturing companies is complex, varying from family owned businesses to multinationals listed on stock exchanges. </w:t>
      </w:r>
    </w:p>
    <w:p w14:paraId="4C6CC5F2" w14:textId="77777777" w:rsidR="008E44C6" w:rsidRPr="009F54B9" w:rsidRDefault="008E44C6" w:rsidP="00FD7697">
      <w:pPr>
        <w:rPr>
          <w:snapToGrid w:val="0"/>
          <w:kern w:val="22"/>
          <w:szCs w:val="22"/>
        </w:rPr>
      </w:pPr>
    </w:p>
    <w:p w14:paraId="03F2ABC3" w14:textId="77777777" w:rsidR="008E44C6" w:rsidRPr="009F54B9" w:rsidRDefault="008E44C6" w:rsidP="00FA60EC">
      <w:pPr>
        <w:pStyle w:val="Caption"/>
        <w:pBdr>
          <w:top w:val="single" w:sz="4" w:space="4" w:color="auto"/>
          <w:left w:val="single" w:sz="4" w:space="4" w:color="auto"/>
          <w:bottom w:val="single" w:sz="4" w:space="1" w:color="auto"/>
          <w:right w:val="single" w:sz="4" w:space="4" w:color="auto"/>
        </w:pBdr>
        <w:jc w:val="center"/>
        <w:rPr>
          <w:snapToGrid w:val="0"/>
          <w:kern w:val="22"/>
          <w:szCs w:val="22"/>
        </w:rPr>
      </w:pPr>
      <w:bookmarkStart w:id="15" w:name="_Toc517688923"/>
      <w:r w:rsidRPr="009F54B9">
        <w:rPr>
          <w:snapToGrid w:val="0"/>
          <w:kern w:val="22"/>
          <w:szCs w:val="22"/>
        </w:rPr>
        <w:t xml:space="preserve">Table </w:t>
      </w:r>
      <w:r w:rsidRPr="009F54B9">
        <w:rPr>
          <w:snapToGrid w:val="0"/>
          <w:kern w:val="22"/>
          <w:szCs w:val="22"/>
        </w:rPr>
        <w:fldChar w:fldCharType="begin"/>
      </w:r>
      <w:r w:rsidRPr="009F54B9">
        <w:rPr>
          <w:snapToGrid w:val="0"/>
          <w:kern w:val="22"/>
          <w:szCs w:val="22"/>
        </w:rPr>
        <w:instrText xml:space="preserve"> SEQ Table \* ARABIC </w:instrText>
      </w:r>
      <w:r w:rsidRPr="009F54B9">
        <w:rPr>
          <w:snapToGrid w:val="0"/>
          <w:kern w:val="22"/>
          <w:szCs w:val="22"/>
        </w:rPr>
        <w:fldChar w:fldCharType="separate"/>
      </w:r>
      <w:r w:rsidRPr="009F54B9">
        <w:rPr>
          <w:noProof/>
          <w:snapToGrid w:val="0"/>
          <w:kern w:val="22"/>
          <w:szCs w:val="22"/>
        </w:rPr>
        <w:t>4</w:t>
      </w:r>
      <w:r w:rsidRPr="009F54B9">
        <w:rPr>
          <w:snapToGrid w:val="0"/>
          <w:kern w:val="22"/>
          <w:szCs w:val="22"/>
        </w:rPr>
        <w:fldChar w:fldCharType="end"/>
      </w:r>
      <w:r w:rsidRPr="009F54B9">
        <w:rPr>
          <w:snapToGrid w:val="0"/>
          <w:kern w:val="22"/>
          <w:szCs w:val="22"/>
        </w:rPr>
        <w:t>: Five key industry groups within the manufacturing sector according to six characteristics / needs (McKinsey 2012)</w:t>
      </w:r>
      <w:bookmarkEnd w:id="15"/>
    </w:p>
    <w:p w14:paraId="0FB3F8F6" w14:textId="77777777" w:rsidR="008E44C6" w:rsidRPr="009F54B9" w:rsidRDefault="008E44C6" w:rsidP="00FA60EC">
      <w:pPr>
        <w:pStyle w:val="Caption"/>
        <w:pBdr>
          <w:top w:val="single" w:sz="4" w:space="4" w:color="auto"/>
          <w:left w:val="single" w:sz="4" w:space="4" w:color="auto"/>
          <w:bottom w:val="single" w:sz="4" w:space="1" w:color="auto"/>
          <w:right w:val="single" w:sz="4" w:space="4" w:color="auto"/>
        </w:pBdr>
        <w:jc w:val="center"/>
        <w:rPr>
          <w:snapToGrid w:val="0"/>
          <w:kern w:val="22"/>
        </w:rPr>
      </w:pPr>
      <w:r w:rsidRPr="009F54B9">
        <w:rPr>
          <w:noProof/>
          <w:snapToGrid w:val="0"/>
          <w:kern w:val="22"/>
          <w:szCs w:val="22"/>
          <w:lang w:eastAsia="zh-CN"/>
        </w:rPr>
        <w:drawing>
          <wp:inline distT="0" distB="0" distL="0" distR="0" wp14:anchorId="30E3D74D" wp14:editId="2FC760EB">
            <wp:extent cx="5563072" cy="38957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68758" cy="3899707"/>
                    </a:xfrm>
                    <a:prstGeom prst="rect">
                      <a:avLst/>
                    </a:prstGeom>
                    <a:noFill/>
                    <a:ln>
                      <a:noFill/>
                    </a:ln>
                  </pic:spPr>
                </pic:pic>
              </a:graphicData>
            </a:graphic>
          </wp:inline>
        </w:drawing>
      </w:r>
    </w:p>
    <w:p w14:paraId="0662B3C9" w14:textId="77777777" w:rsidR="008E44C6" w:rsidRPr="009F54B9" w:rsidRDefault="008E44C6" w:rsidP="00A07337">
      <w:pPr>
        <w:rPr>
          <w:snapToGrid w:val="0"/>
          <w:kern w:val="22"/>
          <w:szCs w:val="22"/>
        </w:rPr>
      </w:pPr>
    </w:p>
    <w:p w14:paraId="1397E543" w14:textId="77777777" w:rsidR="008E44C6" w:rsidRPr="009F54B9" w:rsidRDefault="008E44C6" w:rsidP="00D86DB5">
      <w:pPr>
        <w:rPr>
          <w:snapToGrid w:val="0"/>
          <w:kern w:val="22"/>
        </w:rPr>
      </w:pPr>
      <w:r w:rsidRPr="009F54B9">
        <w:rPr>
          <w:snapToGrid w:val="0"/>
          <w:kern w:val="22"/>
        </w:rPr>
        <w:t>The importance of the manufacturing sector varies considerably across countries and industries. For instance, around 1 in 10 (9.0 %) of all</w:t>
      </w:r>
      <w:r w:rsidR="00D86DB5" w:rsidRPr="009F54B9">
        <w:rPr>
          <w:snapToGrid w:val="0"/>
          <w:kern w:val="22"/>
        </w:rPr>
        <w:t xml:space="preserve"> </w:t>
      </w:r>
      <w:hyperlink r:id="rId48" w:history="1">
        <w:r w:rsidRPr="009F54B9">
          <w:rPr>
            <w:snapToGrid w:val="0"/>
            <w:kern w:val="22"/>
          </w:rPr>
          <w:t>enterprises</w:t>
        </w:r>
      </w:hyperlink>
      <w:r w:rsidR="00D86DB5" w:rsidRPr="009F54B9">
        <w:rPr>
          <w:snapToGrid w:val="0"/>
          <w:kern w:val="22"/>
        </w:rPr>
        <w:t xml:space="preserve"> </w:t>
      </w:r>
      <w:r w:rsidRPr="009F54B9">
        <w:rPr>
          <w:snapToGrid w:val="0"/>
          <w:kern w:val="22"/>
        </w:rPr>
        <w:t>in the</w:t>
      </w:r>
      <w:r w:rsidR="00D86DB5" w:rsidRPr="009F54B9">
        <w:rPr>
          <w:snapToGrid w:val="0"/>
          <w:kern w:val="22"/>
        </w:rPr>
        <w:t xml:space="preserve"> </w:t>
      </w:r>
      <w:hyperlink r:id="rId49" w:history="1">
        <w:r w:rsidRPr="009F54B9">
          <w:rPr>
            <w:snapToGrid w:val="0"/>
            <w:kern w:val="22"/>
          </w:rPr>
          <w:t>EU-28</w:t>
        </w:r>
      </w:hyperlink>
      <w:r w:rsidRPr="009F54B9">
        <w:rPr>
          <w:snapToGrid w:val="0"/>
          <w:kern w:val="22"/>
        </w:rPr>
        <w:t>’s</w:t>
      </w:r>
      <w:r w:rsidR="00D86DB5" w:rsidRPr="009F54B9">
        <w:rPr>
          <w:snapToGrid w:val="0"/>
          <w:kern w:val="22"/>
        </w:rPr>
        <w:t xml:space="preserve"> </w:t>
      </w:r>
      <w:hyperlink r:id="rId50" w:history="1">
        <w:r w:rsidRPr="009F54B9">
          <w:rPr>
            <w:snapToGrid w:val="0"/>
            <w:kern w:val="22"/>
          </w:rPr>
          <w:t>non-financial business economy</w:t>
        </w:r>
      </w:hyperlink>
      <w:r w:rsidR="00D86DB5" w:rsidRPr="009F54B9">
        <w:rPr>
          <w:snapToGrid w:val="0"/>
          <w:kern w:val="22"/>
        </w:rPr>
        <w:t xml:space="preserve"> </w:t>
      </w:r>
      <w:r w:rsidRPr="009F54B9">
        <w:rPr>
          <w:snapToGrid w:val="0"/>
          <w:kern w:val="22"/>
        </w:rPr>
        <w:t>were classified to manufacturing in 2014, a total of 2.1 million enterprises: The EU manufacturing sector</w:t>
      </w:r>
      <w:r w:rsidR="00D86DB5" w:rsidRPr="009F54B9">
        <w:rPr>
          <w:snapToGrid w:val="0"/>
          <w:kern w:val="22"/>
        </w:rPr>
        <w:t xml:space="preserve"> </w:t>
      </w:r>
      <w:hyperlink r:id="rId51" w:history="1">
        <w:r w:rsidRPr="009F54B9">
          <w:rPr>
            <w:snapToGrid w:val="0"/>
            <w:kern w:val="22"/>
          </w:rPr>
          <w:t>employed</w:t>
        </w:r>
      </w:hyperlink>
      <w:r w:rsidR="00D86DB5" w:rsidRPr="009F54B9">
        <w:rPr>
          <w:snapToGrid w:val="0"/>
          <w:kern w:val="22"/>
        </w:rPr>
        <w:t xml:space="preserve"> </w:t>
      </w:r>
      <w:r w:rsidRPr="009F54B9">
        <w:rPr>
          <w:snapToGrid w:val="0"/>
          <w:kern w:val="22"/>
        </w:rPr>
        <w:t>29.9 million persons and generated EUR 1</w:t>
      </w:r>
      <w:r w:rsidR="00D86DB5" w:rsidRPr="009F54B9">
        <w:rPr>
          <w:snapToGrid w:val="0"/>
          <w:kern w:val="22"/>
        </w:rPr>
        <w:t>,</w:t>
      </w:r>
      <w:r w:rsidRPr="009F54B9">
        <w:rPr>
          <w:snapToGrid w:val="0"/>
          <w:kern w:val="22"/>
        </w:rPr>
        <w:t>710 billion of</w:t>
      </w:r>
      <w:r w:rsidR="00D86DB5" w:rsidRPr="009F54B9">
        <w:rPr>
          <w:snapToGrid w:val="0"/>
          <w:kern w:val="22"/>
        </w:rPr>
        <w:t xml:space="preserve"> </w:t>
      </w:r>
      <w:hyperlink r:id="rId52" w:history="1">
        <w:r w:rsidRPr="009F54B9">
          <w:rPr>
            <w:snapToGrid w:val="0"/>
            <w:kern w:val="22"/>
          </w:rPr>
          <w:t>value added</w:t>
        </w:r>
      </w:hyperlink>
      <w:r w:rsidRPr="009F54B9">
        <w:rPr>
          <w:snapToGrid w:val="0"/>
          <w:kern w:val="22"/>
        </w:rPr>
        <w:t xml:space="preserve"> in 2014</w:t>
      </w:r>
      <w:r w:rsidRPr="009F54B9">
        <w:rPr>
          <w:rStyle w:val="FootnoteReference"/>
          <w:snapToGrid w:val="0"/>
          <w:kern w:val="22"/>
        </w:rPr>
        <w:footnoteReference w:id="13"/>
      </w:r>
      <w:r w:rsidRPr="009F54B9">
        <w:rPr>
          <w:snapToGrid w:val="0"/>
          <w:kern w:val="22"/>
        </w:rPr>
        <w:t>.</w:t>
      </w:r>
      <w:r w:rsidR="00D86DB5" w:rsidRPr="009F54B9">
        <w:rPr>
          <w:snapToGrid w:val="0"/>
          <w:kern w:val="22"/>
        </w:rPr>
        <w:t xml:space="preserve"> </w:t>
      </w:r>
      <w:r w:rsidRPr="009F54B9">
        <w:rPr>
          <w:snapToGrid w:val="0"/>
          <w:kern w:val="22"/>
        </w:rPr>
        <w:t>In Nigeria, manufacturing remains at a relatively early stage of development, contributing only around 7% of GDP in 2013, but with output rising by 13% per year from 2010 to 2013. Based on current trends, this could yield a four-fold increase in manufacturing output by 2030 (PwC 2015</w:t>
      </w:r>
      <w:r w:rsidRPr="009F54B9">
        <w:rPr>
          <w:rStyle w:val="FootnoteReference"/>
          <w:snapToGrid w:val="0"/>
          <w:kern w:val="22"/>
        </w:rPr>
        <w:footnoteReference w:id="14"/>
      </w:r>
      <w:r w:rsidRPr="009F54B9">
        <w:rPr>
          <w:snapToGrid w:val="0"/>
          <w:kern w:val="22"/>
        </w:rPr>
        <w:t xml:space="preserve">). In the United Kingdom conversely, in recent years, the relative share of manufacturing in the economy has declined more </w:t>
      </w:r>
      <w:r w:rsidRPr="009F54B9">
        <w:rPr>
          <w:snapToGrid w:val="0"/>
          <w:kern w:val="22"/>
        </w:rPr>
        <w:lastRenderedPageBreak/>
        <w:t xml:space="preserve">rapidly than in other developed economies while the service sector has grown at a faster rate. </w:t>
      </w:r>
      <w:r w:rsidR="002733F6" w:rsidRPr="009F54B9">
        <w:rPr>
          <w:snapToGrid w:val="0"/>
          <w:kern w:val="22"/>
        </w:rPr>
        <w:t>United Kingdom</w:t>
      </w:r>
      <w:r w:rsidRPr="009F54B9">
        <w:rPr>
          <w:snapToGrid w:val="0"/>
          <w:kern w:val="22"/>
        </w:rPr>
        <w:t xml:space="preserve"> manufacturing performance has been weak relative to international competitors in some key areas (Foresight 2013</w:t>
      </w:r>
      <w:r w:rsidRPr="009F54B9">
        <w:rPr>
          <w:rStyle w:val="FootnoteReference"/>
          <w:snapToGrid w:val="0"/>
          <w:kern w:val="22"/>
        </w:rPr>
        <w:footnoteReference w:id="15"/>
      </w:r>
      <w:r w:rsidRPr="009F54B9">
        <w:rPr>
          <w:snapToGrid w:val="0"/>
          <w:kern w:val="22"/>
        </w:rPr>
        <w:t xml:space="preserve">): </w:t>
      </w:r>
    </w:p>
    <w:p w14:paraId="4542FA81" w14:textId="77777777" w:rsidR="008E44C6" w:rsidRPr="009F54B9" w:rsidRDefault="008E44C6" w:rsidP="008E44C6">
      <w:pPr>
        <w:pStyle w:val="ListParagraph"/>
        <w:numPr>
          <w:ilvl w:val="0"/>
          <w:numId w:val="17"/>
        </w:numPr>
        <w:autoSpaceDE w:val="0"/>
        <w:autoSpaceDN w:val="0"/>
        <w:adjustRightInd w:val="0"/>
        <w:spacing w:line="360" w:lineRule="auto"/>
        <w:rPr>
          <w:snapToGrid w:val="0"/>
          <w:kern w:val="22"/>
        </w:rPr>
      </w:pPr>
      <w:r w:rsidRPr="009F54B9">
        <w:rPr>
          <w:snapToGrid w:val="0"/>
          <w:kern w:val="22"/>
        </w:rPr>
        <w:t>Expenditure on manufacturing R&amp;D has been low, especially with regard to new products;</w:t>
      </w:r>
    </w:p>
    <w:p w14:paraId="3591056C" w14:textId="77777777" w:rsidR="008E44C6" w:rsidRPr="009F54B9" w:rsidRDefault="008E44C6" w:rsidP="008E44C6">
      <w:pPr>
        <w:pStyle w:val="ListParagraph"/>
        <w:numPr>
          <w:ilvl w:val="0"/>
          <w:numId w:val="17"/>
        </w:numPr>
        <w:autoSpaceDE w:val="0"/>
        <w:autoSpaceDN w:val="0"/>
        <w:adjustRightInd w:val="0"/>
        <w:spacing w:line="360" w:lineRule="auto"/>
        <w:rPr>
          <w:snapToGrid w:val="0"/>
          <w:kern w:val="22"/>
        </w:rPr>
      </w:pPr>
      <w:r w:rsidRPr="009F54B9">
        <w:rPr>
          <w:snapToGrid w:val="0"/>
          <w:kern w:val="22"/>
        </w:rPr>
        <w:t>The level of investment in capital equipment has been relatively low for many decades;</w:t>
      </w:r>
    </w:p>
    <w:p w14:paraId="1789E2EB" w14:textId="77777777" w:rsidR="008E44C6" w:rsidRPr="009F54B9" w:rsidRDefault="008E44C6" w:rsidP="008E44C6">
      <w:pPr>
        <w:pStyle w:val="ListParagraph"/>
        <w:numPr>
          <w:ilvl w:val="0"/>
          <w:numId w:val="17"/>
        </w:numPr>
        <w:autoSpaceDE w:val="0"/>
        <w:autoSpaceDN w:val="0"/>
        <w:adjustRightInd w:val="0"/>
        <w:spacing w:line="360" w:lineRule="auto"/>
        <w:rPr>
          <w:snapToGrid w:val="0"/>
          <w:kern w:val="22"/>
        </w:rPr>
      </w:pPr>
      <w:r w:rsidRPr="009F54B9">
        <w:rPr>
          <w:snapToGrid w:val="0"/>
          <w:kern w:val="22"/>
        </w:rPr>
        <w:t xml:space="preserve">The </w:t>
      </w:r>
      <w:r w:rsidR="002733F6" w:rsidRPr="009F54B9">
        <w:rPr>
          <w:snapToGrid w:val="0"/>
          <w:kern w:val="22"/>
        </w:rPr>
        <w:t>United Kingdom</w:t>
      </w:r>
      <w:r w:rsidRPr="009F54B9">
        <w:rPr>
          <w:snapToGrid w:val="0"/>
          <w:kern w:val="22"/>
        </w:rPr>
        <w:t>’s share of global manufacturing exports has fallen from 7.2% in 1980 to 2.9% in 2012.</w:t>
      </w:r>
    </w:p>
    <w:p w14:paraId="1FD30D51" w14:textId="77777777" w:rsidR="008E44C6" w:rsidRPr="009F54B9" w:rsidRDefault="008E44C6" w:rsidP="008440C0">
      <w:pPr>
        <w:rPr>
          <w:snapToGrid w:val="0"/>
          <w:color w:val="000000"/>
          <w:spacing w:val="-2"/>
          <w:kern w:val="22"/>
        </w:rPr>
      </w:pPr>
      <w:r w:rsidRPr="009F54B9">
        <w:rPr>
          <w:snapToGrid w:val="0"/>
          <w:spacing w:val="-2"/>
          <w:kern w:val="22"/>
        </w:rPr>
        <w:t>At the other hand of the spectrum, China is arguably the world's most important manufacturer, with its manufacturing GDP rising from about 385 US$ Billions in 2000 to 2857 US$ Billions in 2015</w:t>
      </w:r>
      <w:r w:rsidRPr="009F54B9">
        <w:rPr>
          <w:rStyle w:val="FootnoteReference"/>
          <w:snapToGrid w:val="0"/>
          <w:spacing w:val="-2"/>
          <w:kern w:val="22"/>
        </w:rPr>
        <w:footnoteReference w:id="16"/>
      </w:r>
      <w:r w:rsidRPr="009F54B9">
        <w:rPr>
          <w:snapToGrid w:val="0"/>
          <w:spacing w:val="-2"/>
          <w:kern w:val="22"/>
        </w:rPr>
        <w:t>. China makes and sells more manufacturing goods than any other country on the planet (e.g., Gao 2012</w:t>
      </w:r>
      <w:r w:rsidRPr="009F54B9">
        <w:rPr>
          <w:rStyle w:val="FootnoteReference"/>
          <w:snapToGrid w:val="0"/>
          <w:spacing w:val="-2"/>
          <w:kern w:val="22"/>
        </w:rPr>
        <w:footnoteReference w:id="17"/>
      </w:r>
      <w:r w:rsidRPr="009F54B9">
        <w:rPr>
          <w:snapToGrid w:val="0"/>
          <w:spacing w:val="-2"/>
          <w:kern w:val="22"/>
        </w:rPr>
        <w:t>).</w:t>
      </w:r>
    </w:p>
    <w:p w14:paraId="7EB29BE3" w14:textId="77777777" w:rsidR="008E44C6" w:rsidRPr="009F54B9" w:rsidRDefault="008E44C6" w:rsidP="00A07337">
      <w:pPr>
        <w:rPr>
          <w:snapToGrid w:val="0"/>
          <w:kern w:val="22"/>
        </w:rPr>
      </w:pPr>
    </w:p>
    <w:p w14:paraId="25134DE6" w14:textId="77777777" w:rsidR="008E44C6" w:rsidRPr="009F54B9" w:rsidRDefault="008E44C6" w:rsidP="00A07337">
      <w:pPr>
        <w:rPr>
          <w:snapToGrid w:val="0"/>
          <w:kern w:val="22"/>
          <w:szCs w:val="22"/>
        </w:rPr>
      </w:pPr>
    </w:p>
    <w:p w14:paraId="70A042E6" w14:textId="77777777" w:rsidR="008E44C6" w:rsidRPr="009F54B9" w:rsidRDefault="008E44C6" w:rsidP="00C060AB">
      <w:pPr>
        <w:rPr>
          <w:b/>
          <w:bCs/>
          <w:snapToGrid w:val="0"/>
          <w:kern w:val="22"/>
          <w:szCs w:val="22"/>
        </w:rPr>
      </w:pPr>
      <w:r w:rsidRPr="009F54B9">
        <w:rPr>
          <w:b/>
          <w:bCs/>
          <w:snapToGrid w:val="0"/>
          <w:kern w:val="22"/>
          <w:szCs w:val="22"/>
        </w:rPr>
        <w:t>2.3 What future for manufacturing?</w:t>
      </w:r>
    </w:p>
    <w:p w14:paraId="4F33634C" w14:textId="77777777" w:rsidR="008E44C6" w:rsidRPr="009F54B9" w:rsidRDefault="008E44C6" w:rsidP="00815500">
      <w:pPr>
        <w:rPr>
          <w:snapToGrid w:val="0"/>
          <w:kern w:val="22"/>
          <w:szCs w:val="22"/>
        </w:rPr>
      </w:pPr>
    </w:p>
    <w:p w14:paraId="01752A43" w14:textId="77777777" w:rsidR="008E44C6" w:rsidRPr="009F54B9" w:rsidRDefault="008E44C6" w:rsidP="00815500">
      <w:pPr>
        <w:rPr>
          <w:rFonts w:eastAsiaTheme="minorHAnsi"/>
          <w:snapToGrid w:val="0"/>
          <w:color w:val="000000"/>
          <w:kern w:val="22"/>
          <w:szCs w:val="22"/>
        </w:rPr>
      </w:pPr>
      <w:r w:rsidRPr="009F54B9">
        <w:rPr>
          <w:snapToGrid w:val="0"/>
          <w:kern w:val="22"/>
          <w:szCs w:val="22"/>
        </w:rPr>
        <w:t>Recently, global economic growth has been weak (UNCTAD 2016</w:t>
      </w:r>
      <w:r w:rsidRPr="009F54B9">
        <w:rPr>
          <w:rStyle w:val="FootnoteReference"/>
          <w:snapToGrid w:val="0"/>
          <w:kern w:val="22"/>
          <w:szCs w:val="22"/>
        </w:rPr>
        <w:footnoteReference w:id="18"/>
      </w:r>
      <w:r w:rsidRPr="009F54B9">
        <w:rPr>
          <w:snapToGrid w:val="0"/>
          <w:kern w:val="22"/>
          <w:szCs w:val="22"/>
        </w:rPr>
        <w:t>), growing at a rate below 2.5 per cent, and global trade slowed down dramatically to around 1.5% in 2015 and 2016, compared to 7% before the crisis. While global value chains remain concentrated among a relatively small number of countries, the manufacturing sector is looking for growth opportunities, by notably putting significant investment into research and development and new markets (e.g., KPMG International’s 2016 Global Manufacturing Outlook</w:t>
      </w:r>
      <w:r w:rsidRPr="009F54B9">
        <w:rPr>
          <w:rStyle w:val="FootnoteReference"/>
          <w:snapToGrid w:val="0"/>
          <w:kern w:val="22"/>
          <w:szCs w:val="22"/>
        </w:rPr>
        <w:footnoteReference w:id="19"/>
      </w:r>
      <w:r w:rsidRPr="009F54B9">
        <w:rPr>
          <w:snapToGrid w:val="0"/>
          <w:kern w:val="22"/>
          <w:szCs w:val="22"/>
        </w:rPr>
        <w:t>). According to UNIDO (2013</w:t>
      </w:r>
      <w:r w:rsidRPr="009F54B9">
        <w:rPr>
          <w:snapToGrid w:val="0"/>
          <w:kern w:val="22"/>
          <w:szCs w:val="22"/>
          <w:vertAlign w:val="superscript"/>
        </w:rPr>
        <w:footnoteReference w:id="20"/>
      </w:r>
      <w:r w:rsidRPr="009F54B9">
        <w:rPr>
          <w:snapToGrid w:val="0"/>
          <w:kern w:val="22"/>
          <w:szCs w:val="22"/>
        </w:rPr>
        <w:t>; 2017</w:t>
      </w:r>
      <w:r w:rsidRPr="009F54B9">
        <w:rPr>
          <w:rStyle w:val="FootnoteReference"/>
          <w:snapToGrid w:val="0"/>
          <w:kern w:val="22"/>
          <w:szCs w:val="22"/>
        </w:rPr>
        <w:footnoteReference w:id="21"/>
      </w:r>
      <w:r w:rsidRPr="009F54B9">
        <w:rPr>
          <w:snapToGrid w:val="0"/>
          <w:kern w:val="22"/>
          <w:szCs w:val="22"/>
        </w:rPr>
        <w:t>), the megatrends affecting the “advanced manufacturing”</w:t>
      </w:r>
      <w:r w:rsidRPr="009F54B9">
        <w:rPr>
          <w:snapToGrid w:val="0"/>
          <w:kern w:val="22"/>
          <w:szCs w:val="22"/>
          <w:vertAlign w:val="superscript"/>
        </w:rPr>
        <w:footnoteReference w:id="22"/>
      </w:r>
      <w:r w:rsidRPr="009F54B9">
        <w:rPr>
          <w:snapToGrid w:val="0"/>
          <w:kern w:val="22"/>
          <w:szCs w:val="22"/>
        </w:rPr>
        <w:t xml:space="preserve"> industries include</w:t>
      </w:r>
      <w:r w:rsidRPr="009F54B9">
        <w:rPr>
          <w:rFonts w:eastAsiaTheme="minorHAnsi"/>
          <w:snapToGrid w:val="0"/>
          <w:color w:val="000000"/>
          <w:kern w:val="22"/>
          <w:szCs w:val="22"/>
        </w:rPr>
        <w:t xml:space="preserve">: </w:t>
      </w:r>
    </w:p>
    <w:p w14:paraId="06E3030B" w14:textId="77777777" w:rsidR="008E44C6" w:rsidRPr="009F54B9" w:rsidRDefault="008E44C6" w:rsidP="008E44C6">
      <w:pPr>
        <w:pStyle w:val="ListParagraph"/>
        <w:numPr>
          <w:ilvl w:val="0"/>
          <w:numId w:val="13"/>
        </w:numPr>
        <w:autoSpaceDE w:val="0"/>
        <w:autoSpaceDN w:val="0"/>
        <w:adjustRightInd w:val="0"/>
        <w:spacing w:line="360" w:lineRule="auto"/>
        <w:rPr>
          <w:snapToGrid w:val="0"/>
          <w:kern w:val="22"/>
          <w:szCs w:val="22"/>
        </w:rPr>
      </w:pPr>
      <w:r w:rsidRPr="009F54B9">
        <w:rPr>
          <w:snapToGrid w:val="0"/>
          <w:kern w:val="22"/>
          <w:szCs w:val="22"/>
        </w:rPr>
        <w:t>Continuing ageing of the workforce in some developed countries, which  is expected to challenge lifestyles and consumption patterns as well as to diminish the size of the available workforce for manufacturing;</w:t>
      </w:r>
    </w:p>
    <w:p w14:paraId="4DF8610A" w14:textId="77777777" w:rsidR="008E44C6" w:rsidRPr="009F54B9" w:rsidRDefault="008E44C6" w:rsidP="008E44C6">
      <w:pPr>
        <w:pStyle w:val="ListParagraph"/>
        <w:numPr>
          <w:ilvl w:val="0"/>
          <w:numId w:val="13"/>
        </w:numPr>
        <w:autoSpaceDE w:val="0"/>
        <w:autoSpaceDN w:val="0"/>
        <w:adjustRightInd w:val="0"/>
        <w:spacing w:line="360" w:lineRule="auto"/>
        <w:rPr>
          <w:snapToGrid w:val="0"/>
          <w:kern w:val="22"/>
          <w:szCs w:val="22"/>
        </w:rPr>
      </w:pPr>
      <w:r w:rsidRPr="009F54B9">
        <w:rPr>
          <w:snapToGrid w:val="0"/>
          <w:kern w:val="22"/>
          <w:szCs w:val="22"/>
        </w:rPr>
        <w:t>Changing manufacturing skills needs, which, combined with ageing populations, is already leading to a shortage of qualified manufacturing labour in some regions;</w:t>
      </w:r>
    </w:p>
    <w:p w14:paraId="4CAF89C5" w14:textId="77777777" w:rsidR="008E44C6" w:rsidRPr="009F54B9" w:rsidRDefault="008E44C6" w:rsidP="008E44C6">
      <w:pPr>
        <w:pStyle w:val="ListParagraph"/>
        <w:numPr>
          <w:ilvl w:val="0"/>
          <w:numId w:val="13"/>
        </w:numPr>
        <w:autoSpaceDE w:val="0"/>
        <w:autoSpaceDN w:val="0"/>
        <w:adjustRightInd w:val="0"/>
        <w:spacing w:line="360" w:lineRule="auto"/>
        <w:rPr>
          <w:snapToGrid w:val="0"/>
          <w:kern w:val="22"/>
          <w:szCs w:val="22"/>
        </w:rPr>
      </w:pPr>
      <w:r w:rsidRPr="009F54B9">
        <w:rPr>
          <w:snapToGrid w:val="0"/>
          <w:kern w:val="22"/>
          <w:szCs w:val="22"/>
        </w:rPr>
        <w:t>Growing demand for customi</w:t>
      </w:r>
      <w:r w:rsidR="00A374D2" w:rsidRPr="009F54B9">
        <w:rPr>
          <w:snapToGrid w:val="0"/>
          <w:kern w:val="22"/>
          <w:szCs w:val="22"/>
        </w:rPr>
        <w:t>z</w:t>
      </w:r>
      <w:r w:rsidRPr="009F54B9">
        <w:rPr>
          <w:snapToGrid w:val="0"/>
          <w:kern w:val="22"/>
          <w:szCs w:val="22"/>
        </w:rPr>
        <w:t>ed products and services according to consumers’ individual specifications is becoming critical for market and value capture for companies around the world;</w:t>
      </w:r>
    </w:p>
    <w:p w14:paraId="05453784" w14:textId="77777777" w:rsidR="008E44C6" w:rsidRPr="009F54B9" w:rsidRDefault="008E44C6" w:rsidP="008E44C6">
      <w:pPr>
        <w:pStyle w:val="ListParagraph"/>
        <w:numPr>
          <w:ilvl w:val="0"/>
          <w:numId w:val="13"/>
        </w:numPr>
        <w:autoSpaceDE w:val="0"/>
        <w:autoSpaceDN w:val="0"/>
        <w:adjustRightInd w:val="0"/>
        <w:spacing w:line="360" w:lineRule="auto"/>
        <w:rPr>
          <w:snapToGrid w:val="0"/>
          <w:kern w:val="22"/>
          <w:szCs w:val="22"/>
        </w:rPr>
      </w:pPr>
      <w:r w:rsidRPr="009F54B9">
        <w:rPr>
          <w:snapToGrid w:val="0"/>
          <w:kern w:val="22"/>
          <w:szCs w:val="22"/>
        </w:rPr>
        <w:lastRenderedPageBreak/>
        <w:t>Increasing demand for manufactured goods in cities, notably in the context  of growing demand for urban mobility, energy, housing and telecommunication solutions;</w:t>
      </w:r>
    </w:p>
    <w:p w14:paraId="4B6F7A7A" w14:textId="77777777" w:rsidR="008E44C6" w:rsidRPr="009F54B9" w:rsidRDefault="008E44C6" w:rsidP="008E44C6">
      <w:pPr>
        <w:pStyle w:val="ListParagraph"/>
        <w:numPr>
          <w:ilvl w:val="0"/>
          <w:numId w:val="13"/>
        </w:numPr>
        <w:autoSpaceDE w:val="0"/>
        <w:autoSpaceDN w:val="0"/>
        <w:adjustRightInd w:val="0"/>
        <w:spacing w:line="360" w:lineRule="auto"/>
        <w:rPr>
          <w:snapToGrid w:val="0"/>
          <w:kern w:val="22"/>
          <w:szCs w:val="22"/>
        </w:rPr>
      </w:pPr>
      <w:r w:rsidRPr="009F54B9">
        <w:rPr>
          <w:snapToGrid w:val="0"/>
          <w:kern w:val="22"/>
          <w:szCs w:val="22"/>
        </w:rPr>
        <w:t>Growing interest in industrial and technological strategies by governments across both emerging and high-wage economies;</w:t>
      </w:r>
    </w:p>
    <w:p w14:paraId="0EBA64A7" w14:textId="77777777" w:rsidR="008E44C6" w:rsidRPr="009F54B9" w:rsidRDefault="008E44C6" w:rsidP="005E4CAC">
      <w:pPr>
        <w:pStyle w:val="ListParagraph"/>
        <w:numPr>
          <w:ilvl w:val="0"/>
          <w:numId w:val="13"/>
        </w:numPr>
        <w:autoSpaceDE w:val="0"/>
        <w:autoSpaceDN w:val="0"/>
        <w:adjustRightInd w:val="0"/>
        <w:spacing w:line="360" w:lineRule="auto"/>
        <w:rPr>
          <w:snapToGrid w:val="0"/>
          <w:spacing w:val="-2"/>
          <w:kern w:val="22"/>
          <w:szCs w:val="22"/>
        </w:rPr>
      </w:pPr>
      <w:r w:rsidRPr="009F54B9">
        <w:rPr>
          <w:snapToGrid w:val="0"/>
          <w:spacing w:val="-2"/>
          <w:kern w:val="22"/>
          <w:szCs w:val="22"/>
        </w:rPr>
        <w:t>Increased efforts to support reshoring to developed countries, as a potential strategy to expand the domestic manufacturing base and foster high-wage job creation, innovation and exports.</w:t>
      </w:r>
    </w:p>
    <w:p w14:paraId="1FB41557" w14:textId="77777777" w:rsidR="008E44C6" w:rsidRPr="009F54B9" w:rsidRDefault="008E44C6" w:rsidP="00975F06">
      <w:pPr>
        <w:pStyle w:val="ListParagraph"/>
        <w:ind w:left="780"/>
        <w:rPr>
          <w:snapToGrid w:val="0"/>
          <w:kern w:val="22"/>
          <w:szCs w:val="22"/>
        </w:rPr>
      </w:pPr>
    </w:p>
    <w:p w14:paraId="5AA366B2" w14:textId="77777777" w:rsidR="008E44C6" w:rsidRPr="009F54B9" w:rsidRDefault="008E44C6" w:rsidP="00456E6D">
      <w:pPr>
        <w:rPr>
          <w:snapToGrid w:val="0"/>
          <w:kern w:val="22"/>
          <w:szCs w:val="22"/>
          <w:highlight w:val="yellow"/>
        </w:rPr>
      </w:pPr>
      <w:r w:rsidRPr="009F54B9">
        <w:rPr>
          <w:snapToGrid w:val="0"/>
          <w:kern w:val="22"/>
          <w:szCs w:val="22"/>
        </w:rPr>
        <w:t>In addition, according to Hallward-</w:t>
      </w:r>
      <w:proofErr w:type="spellStart"/>
      <w:r w:rsidRPr="009F54B9">
        <w:rPr>
          <w:snapToGrid w:val="0"/>
          <w:kern w:val="22"/>
          <w:szCs w:val="22"/>
        </w:rPr>
        <w:t>Driemeier</w:t>
      </w:r>
      <w:proofErr w:type="spellEnd"/>
      <w:r w:rsidRPr="009F54B9">
        <w:rPr>
          <w:snapToGrid w:val="0"/>
          <w:kern w:val="22"/>
          <w:szCs w:val="22"/>
        </w:rPr>
        <w:t xml:space="preserve"> and </w:t>
      </w:r>
      <w:proofErr w:type="spellStart"/>
      <w:r w:rsidRPr="009F54B9">
        <w:rPr>
          <w:snapToGrid w:val="0"/>
          <w:kern w:val="22"/>
          <w:szCs w:val="22"/>
        </w:rPr>
        <w:t>Naygar</w:t>
      </w:r>
      <w:proofErr w:type="spellEnd"/>
      <w:r w:rsidRPr="009F54B9">
        <w:rPr>
          <w:snapToGrid w:val="0"/>
          <w:kern w:val="22"/>
          <w:szCs w:val="22"/>
        </w:rPr>
        <w:t xml:space="preserve"> (2018), The Internet of Things (IoT), advanced robotics, and 3-D printing are shifting the criteria that make locations attractive for production and are threatening significant disruptions in employment, particularly for low-skilled </w:t>
      </w:r>
      <w:r w:rsidR="00A53927" w:rsidRPr="009F54B9">
        <w:rPr>
          <w:snapToGrid w:val="0"/>
          <w:kern w:val="22"/>
          <w:szCs w:val="22"/>
        </w:rPr>
        <w:t>labour</w:t>
      </w:r>
      <w:r w:rsidRPr="009F54B9">
        <w:rPr>
          <w:snapToGrid w:val="0"/>
          <w:kern w:val="22"/>
          <w:szCs w:val="22"/>
          <w:vertAlign w:val="superscript"/>
        </w:rPr>
        <w:footnoteReference w:id="23"/>
      </w:r>
      <w:r w:rsidRPr="009F54B9">
        <w:rPr>
          <w:snapToGrid w:val="0"/>
          <w:kern w:val="22"/>
          <w:szCs w:val="22"/>
        </w:rPr>
        <w:t>. For instance, an increasing number of companies process materials and manufacture finished products at the site of final use (e.g., building and assembling bridge components on-site), which has major implications for logistical networks.</w:t>
      </w:r>
    </w:p>
    <w:p w14:paraId="49A7AE6E" w14:textId="77777777" w:rsidR="008E44C6" w:rsidRPr="009F54B9" w:rsidRDefault="008E44C6" w:rsidP="00456E6D">
      <w:pPr>
        <w:rPr>
          <w:snapToGrid w:val="0"/>
          <w:kern w:val="22"/>
          <w:szCs w:val="22"/>
          <w:highlight w:val="yellow"/>
        </w:rPr>
      </w:pPr>
    </w:p>
    <w:p w14:paraId="40DB7DCA" w14:textId="77777777" w:rsidR="008E44C6" w:rsidRPr="009F54B9" w:rsidRDefault="008E44C6" w:rsidP="00FD7697">
      <w:pPr>
        <w:rPr>
          <w:snapToGrid w:val="0"/>
          <w:kern w:val="22"/>
          <w:szCs w:val="22"/>
        </w:rPr>
      </w:pPr>
      <w:r w:rsidRPr="009F54B9">
        <w:rPr>
          <w:snapToGrid w:val="0"/>
          <w:kern w:val="22"/>
          <w:szCs w:val="22"/>
        </w:rPr>
        <w:br w:type="page"/>
      </w:r>
    </w:p>
    <w:p w14:paraId="3F758154" w14:textId="77777777" w:rsidR="008E44C6" w:rsidRPr="009F54B9" w:rsidRDefault="008E44C6" w:rsidP="008E44C6">
      <w:pPr>
        <w:pStyle w:val="Heading1"/>
        <w:keepNext w:val="0"/>
        <w:numPr>
          <w:ilvl w:val="0"/>
          <w:numId w:val="10"/>
        </w:numPr>
        <w:tabs>
          <w:tab w:val="clear" w:pos="720"/>
          <w:tab w:val="left" w:pos="3686"/>
        </w:tabs>
        <w:autoSpaceDE w:val="0"/>
        <w:autoSpaceDN w:val="0"/>
        <w:adjustRightInd w:val="0"/>
        <w:spacing w:before="0" w:after="240"/>
        <w:jc w:val="both"/>
        <w:rPr>
          <w:caps w:val="0"/>
          <w:snapToGrid w:val="0"/>
          <w:kern w:val="22"/>
          <w:szCs w:val="22"/>
        </w:rPr>
      </w:pPr>
      <w:bookmarkStart w:id="16" w:name="_Toc517690312"/>
      <w:r w:rsidRPr="009F54B9">
        <w:rPr>
          <w:snapToGrid w:val="0"/>
          <w:kern w:val="22"/>
          <w:szCs w:val="22"/>
        </w:rPr>
        <w:lastRenderedPageBreak/>
        <w:t>Manufacturing and biodiversity: What interactions?</w:t>
      </w:r>
      <w:bookmarkEnd w:id="16"/>
    </w:p>
    <w:p w14:paraId="19EF5048" w14:textId="77777777" w:rsidR="008E44C6" w:rsidRPr="009F54B9" w:rsidRDefault="008E44C6" w:rsidP="00B82706">
      <w:pPr>
        <w:rPr>
          <w:snapToGrid w:val="0"/>
          <w:kern w:val="22"/>
          <w:szCs w:val="22"/>
        </w:rPr>
      </w:pPr>
    </w:p>
    <w:p w14:paraId="0CE788B1" w14:textId="77777777" w:rsidR="008E44C6" w:rsidRPr="009F54B9" w:rsidRDefault="008E44C6" w:rsidP="00B82706">
      <w:pPr>
        <w:rPr>
          <w:snapToGrid w:val="0"/>
          <w:kern w:val="22"/>
          <w:szCs w:val="22"/>
        </w:rPr>
      </w:pPr>
      <w:r w:rsidRPr="009F54B9">
        <w:rPr>
          <w:snapToGrid w:val="0"/>
          <w:kern w:val="22"/>
          <w:szCs w:val="22"/>
        </w:rPr>
        <w:t xml:space="preserve">This section aims to unpack the interactions between manufacturing and biodiversity. It briefly covers (a) the inter-dependencies between business and biodiversity, (b) the interactions of manufacturing and biodiversity from a value chain perspective, (c) the dependencies of manufacturing industries on ecosystem services, (b) the environmental impacts of manufacturing industries and (c) the main risks for biodiversity in the future due to manufacturing trends. </w:t>
      </w:r>
    </w:p>
    <w:p w14:paraId="29739A10" w14:textId="77777777" w:rsidR="008E44C6" w:rsidRPr="009F54B9" w:rsidRDefault="008E44C6" w:rsidP="00336310">
      <w:pPr>
        <w:rPr>
          <w:snapToGrid w:val="0"/>
          <w:kern w:val="22"/>
          <w:szCs w:val="22"/>
        </w:rPr>
      </w:pPr>
    </w:p>
    <w:p w14:paraId="52EA0E49" w14:textId="77777777" w:rsidR="008E44C6" w:rsidRPr="009F54B9" w:rsidRDefault="008E44C6" w:rsidP="00204546">
      <w:pPr>
        <w:rPr>
          <w:snapToGrid w:val="0"/>
          <w:kern w:val="22"/>
          <w:szCs w:val="22"/>
        </w:rPr>
      </w:pPr>
      <w:r w:rsidRPr="009F54B9">
        <w:rPr>
          <w:snapToGrid w:val="0"/>
          <w:kern w:val="22"/>
          <w:szCs w:val="22"/>
        </w:rPr>
        <w:t>According to the Natural Capital Protocol (Natural Capital Coalition 2016</w:t>
      </w:r>
      <w:r w:rsidRPr="009F54B9">
        <w:rPr>
          <w:rStyle w:val="FootnoteReference"/>
          <w:snapToGrid w:val="0"/>
          <w:kern w:val="22"/>
          <w:szCs w:val="22"/>
        </w:rPr>
        <w:footnoteReference w:id="24"/>
      </w:r>
      <w:r w:rsidRPr="009F54B9">
        <w:rPr>
          <w:snapToGrid w:val="0"/>
          <w:kern w:val="22"/>
          <w:szCs w:val="22"/>
        </w:rPr>
        <w:t>: 2), “</w:t>
      </w:r>
      <w:r w:rsidRPr="009F54B9">
        <w:rPr>
          <w:i/>
          <w:snapToGrid w:val="0"/>
          <w:kern w:val="22"/>
          <w:szCs w:val="22"/>
        </w:rPr>
        <w:t>natural capital can be defined as the stock of renewable and non-renewable natural resources (e.g., plants, animals, air, water, soils, minerals) that combine to yield a flow of benefits to people</w:t>
      </w:r>
      <w:r w:rsidRPr="009F54B9">
        <w:rPr>
          <w:snapToGrid w:val="0"/>
          <w:kern w:val="22"/>
          <w:szCs w:val="22"/>
        </w:rPr>
        <w:t>” (adapted from Atkinson &amp; Pearce, 1995</w:t>
      </w:r>
      <w:r w:rsidRPr="009F54B9">
        <w:rPr>
          <w:rStyle w:val="FootnoteReference"/>
          <w:snapToGrid w:val="0"/>
          <w:kern w:val="22"/>
          <w:szCs w:val="22"/>
        </w:rPr>
        <w:footnoteReference w:id="25"/>
      </w:r>
      <w:r w:rsidRPr="009F54B9">
        <w:rPr>
          <w:snapToGrid w:val="0"/>
          <w:kern w:val="22"/>
          <w:szCs w:val="22"/>
        </w:rPr>
        <w:t xml:space="preserve"> and Jansson </w:t>
      </w:r>
      <w:r w:rsidRPr="009F54B9">
        <w:rPr>
          <w:i/>
          <w:snapToGrid w:val="0"/>
          <w:kern w:val="22"/>
          <w:szCs w:val="22"/>
        </w:rPr>
        <w:t>et al</w:t>
      </w:r>
      <w:r w:rsidRPr="009F54B9">
        <w:rPr>
          <w:snapToGrid w:val="0"/>
          <w:kern w:val="22"/>
          <w:szCs w:val="22"/>
        </w:rPr>
        <w:t>., 1994</w:t>
      </w:r>
      <w:r w:rsidRPr="009F54B9">
        <w:rPr>
          <w:rStyle w:val="FootnoteReference"/>
          <w:snapToGrid w:val="0"/>
          <w:kern w:val="22"/>
          <w:szCs w:val="22"/>
        </w:rPr>
        <w:footnoteReference w:id="26"/>
      </w:r>
      <w:r w:rsidRPr="009F54B9">
        <w:rPr>
          <w:snapToGrid w:val="0"/>
          <w:kern w:val="22"/>
          <w:szCs w:val="22"/>
        </w:rPr>
        <w:t>) (Figure 4). These benefits relate to the concept of ecosystem services, which was popularised by the 2005 Millennium Ecosystem Assessment (MA)</w:t>
      </w:r>
      <w:r w:rsidRPr="009F54B9">
        <w:rPr>
          <w:rStyle w:val="FootnoteReference"/>
          <w:snapToGrid w:val="0"/>
          <w:kern w:val="22"/>
          <w:szCs w:val="22"/>
        </w:rPr>
        <w:footnoteReference w:id="27"/>
      </w:r>
      <w:r w:rsidRPr="009F54B9">
        <w:rPr>
          <w:snapToGrid w:val="0"/>
          <w:kern w:val="22"/>
          <w:szCs w:val="22"/>
        </w:rPr>
        <w:t xml:space="preserve">. </w:t>
      </w:r>
    </w:p>
    <w:p w14:paraId="7832E261" w14:textId="77777777" w:rsidR="008E44C6" w:rsidRPr="009F54B9" w:rsidRDefault="008E44C6" w:rsidP="00204546">
      <w:pPr>
        <w:rPr>
          <w:snapToGrid w:val="0"/>
          <w:kern w:val="22"/>
          <w:szCs w:val="22"/>
        </w:rPr>
      </w:pPr>
    </w:p>
    <w:p w14:paraId="5323979A" w14:textId="77777777" w:rsidR="008E44C6" w:rsidRPr="009F54B9" w:rsidRDefault="008E44C6" w:rsidP="00204546">
      <w:pPr>
        <w:rPr>
          <w:snapToGrid w:val="0"/>
          <w:kern w:val="22"/>
          <w:szCs w:val="22"/>
        </w:rPr>
      </w:pPr>
      <w:r w:rsidRPr="009F54B9">
        <w:rPr>
          <w:noProof/>
          <w:snapToGrid w:val="0"/>
          <w:kern w:val="22"/>
          <w:szCs w:val="22"/>
          <w:lang w:eastAsia="zh-CN"/>
        </w:rPr>
        <w:drawing>
          <wp:inline distT="0" distB="0" distL="0" distR="0" wp14:anchorId="0EDDD6D7" wp14:editId="6F87A3CF">
            <wp:extent cx="5730875" cy="1993265"/>
            <wp:effectExtent l="0" t="0" r="317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0875" cy="1993265"/>
                    </a:xfrm>
                    <a:prstGeom prst="rect">
                      <a:avLst/>
                    </a:prstGeom>
                    <a:noFill/>
                  </pic:spPr>
                </pic:pic>
              </a:graphicData>
            </a:graphic>
          </wp:inline>
        </w:drawing>
      </w:r>
    </w:p>
    <w:p w14:paraId="177BCC3C" w14:textId="77777777" w:rsidR="008E44C6" w:rsidRPr="009F54B9" w:rsidRDefault="008E44C6" w:rsidP="00204546">
      <w:pPr>
        <w:pStyle w:val="Caption"/>
        <w:jc w:val="center"/>
        <w:rPr>
          <w:snapToGrid w:val="0"/>
          <w:kern w:val="22"/>
          <w:szCs w:val="22"/>
        </w:rPr>
      </w:pPr>
      <w:bookmarkStart w:id="17" w:name="_Toc486485401"/>
      <w:bookmarkStart w:id="18" w:name="_Toc517688903"/>
      <w:r w:rsidRPr="009F54B9">
        <w:rPr>
          <w:snapToGrid w:val="0"/>
          <w:kern w:val="22"/>
        </w:rPr>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4</w:t>
      </w:r>
      <w:r w:rsidRPr="009F54B9">
        <w:rPr>
          <w:noProof/>
          <w:snapToGrid w:val="0"/>
          <w:kern w:val="22"/>
        </w:rPr>
        <w:fldChar w:fldCharType="end"/>
      </w:r>
      <w:r w:rsidRPr="009F54B9">
        <w:rPr>
          <w:snapToGrid w:val="0"/>
          <w:kern w:val="22"/>
          <w:szCs w:val="22"/>
        </w:rPr>
        <w:t>: Natural capital / biodiversity, ecosystem and abiotic services and benefits to business and to society (Natural capital Coalition 2016)</w:t>
      </w:r>
      <w:r w:rsidRPr="009F54B9">
        <w:rPr>
          <w:rStyle w:val="FootnoteReference"/>
          <w:snapToGrid w:val="0"/>
          <w:kern w:val="22"/>
          <w:szCs w:val="22"/>
        </w:rPr>
        <w:footnoteReference w:id="28"/>
      </w:r>
      <w:bookmarkEnd w:id="17"/>
      <w:bookmarkEnd w:id="18"/>
    </w:p>
    <w:p w14:paraId="0356D2BF" w14:textId="77777777" w:rsidR="008E44C6" w:rsidRPr="009F54B9" w:rsidRDefault="008E44C6" w:rsidP="00107BE5">
      <w:pPr>
        <w:rPr>
          <w:snapToGrid w:val="0"/>
          <w:kern w:val="22"/>
          <w:szCs w:val="22"/>
        </w:rPr>
      </w:pPr>
    </w:p>
    <w:p w14:paraId="34DF9EA9" w14:textId="77777777" w:rsidR="008E44C6" w:rsidRPr="009F54B9" w:rsidRDefault="008E44C6" w:rsidP="00107BE5">
      <w:pPr>
        <w:rPr>
          <w:snapToGrid w:val="0"/>
          <w:kern w:val="22"/>
          <w:szCs w:val="22"/>
        </w:rPr>
      </w:pPr>
      <w:r w:rsidRPr="009F54B9">
        <w:rPr>
          <w:snapToGrid w:val="0"/>
          <w:kern w:val="22"/>
          <w:szCs w:val="22"/>
        </w:rPr>
        <w:t>Framing nature as ‘natural capital’ is a way of looking at ecosystems</w:t>
      </w:r>
      <w:r w:rsidRPr="009F54B9">
        <w:rPr>
          <w:rStyle w:val="FootnoteReference"/>
          <w:snapToGrid w:val="0"/>
          <w:kern w:val="22"/>
          <w:szCs w:val="22"/>
        </w:rPr>
        <w:footnoteReference w:id="29"/>
      </w:r>
      <w:r w:rsidRPr="009F54B9">
        <w:rPr>
          <w:snapToGrid w:val="0"/>
          <w:kern w:val="22"/>
          <w:szCs w:val="22"/>
        </w:rPr>
        <w:t xml:space="preserve"> from an economic perspective, with living and non-living elements of the environment seen as a ‘stock’ or an ‘asset’ from which numerous benefits flow in the form of ecosystem services. In this context, biological diversity</w:t>
      </w:r>
      <w:r w:rsidRPr="009F54B9">
        <w:rPr>
          <w:rStyle w:val="FootnoteReference"/>
          <w:snapToGrid w:val="0"/>
          <w:kern w:val="22"/>
          <w:szCs w:val="22"/>
        </w:rPr>
        <w:footnoteReference w:id="30"/>
      </w:r>
      <w:r w:rsidRPr="009F54B9">
        <w:rPr>
          <w:snapToGrid w:val="0"/>
          <w:kern w:val="22"/>
          <w:szCs w:val="22"/>
        </w:rPr>
        <w:t xml:space="preserve"> (i.e. thereafter referred to as “biodiversity”) can be understood as a key component of natural capital, with many of its dimensions (inter-)acting as enablers of ecosystem functions, processes and services (e.g., in reference to the cascade model – see Figure 5). </w:t>
      </w:r>
    </w:p>
    <w:p w14:paraId="01D698DB" w14:textId="77777777" w:rsidR="008E44C6" w:rsidRPr="009F54B9" w:rsidRDefault="008E44C6" w:rsidP="00107BE5">
      <w:pPr>
        <w:rPr>
          <w:snapToGrid w:val="0"/>
          <w:kern w:val="22"/>
          <w:szCs w:val="22"/>
        </w:rPr>
      </w:pPr>
    </w:p>
    <w:p w14:paraId="20B2CCC6" w14:textId="77777777" w:rsidR="008E44C6" w:rsidRPr="009F54B9" w:rsidRDefault="008E44C6" w:rsidP="00107BE5">
      <w:pPr>
        <w:rPr>
          <w:snapToGrid w:val="0"/>
          <w:kern w:val="22"/>
          <w:szCs w:val="22"/>
        </w:rPr>
      </w:pPr>
      <w:r w:rsidRPr="009F54B9">
        <w:rPr>
          <w:noProof/>
          <w:snapToGrid w:val="0"/>
          <w:kern w:val="22"/>
          <w:lang w:eastAsia="zh-CN"/>
        </w:rPr>
        <w:lastRenderedPageBreak/>
        <w:drawing>
          <wp:inline distT="0" distB="0" distL="0" distR="0" wp14:anchorId="41A434C2" wp14:editId="5388DA5B">
            <wp:extent cx="5731510" cy="3302696"/>
            <wp:effectExtent l="0" t="0" r="2540" b="0"/>
            <wp:docPr id="35" name="Picture 35" descr="http://www.openness-project.eu/sites/default/files/pictures/Cascade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penness-project.eu/sites/default/files/pictures/CascadeModel.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31510" cy="3302696"/>
                    </a:xfrm>
                    <a:prstGeom prst="rect">
                      <a:avLst/>
                    </a:prstGeom>
                    <a:noFill/>
                    <a:ln>
                      <a:noFill/>
                    </a:ln>
                  </pic:spPr>
                </pic:pic>
              </a:graphicData>
            </a:graphic>
          </wp:inline>
        </w:drawing>
      </w:r>
    </w:p>
    <w:p w14:paraId="066678CA" w14:textId="77777777" w:rsidR="008E44C6" w:rsidRPr="009F54B9" w:rsidRDefault="008E44C6" w:rsidP="002D4D96">
      <w:pPr>
        <w:pStyle w:val="Caption"/>
        <w:jc w:val="center"/>
        <w:rPr>
          <w:snapToGrid w:val="0"/>
          <w:kern w:val="22"/>
        </w:rPr>
      </w:pPr>
      <w:bookmarkStart w:id="19" w:name="_Toc517688904"/>
      <w:r w:rsidRPr="009F54B9">
        <w:rPr>
          <w:snapToGrid w:val="0"/>
          <w:kern w:val="22"/>
        </w:rPr>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5</w:t>
      </w:r>
      <w:r w:rsidRPr="009F54B9">
        <w:rPr>
          <w:noProof/>
          <w:snapToGrid w:val="0"/>
          <w:kern w:val="22"/>
        </w:rPr>
        <w:fldChar w:fldCharType="end"/>
      </w:r>
      <w:r w:rsidRPr="009F54B9">
        <w:rPr>
          <w:snapToGrid w:val="0"/>
          <w:kern w:val="22"/>
        </w:rPr>
        <w:t>: Cascade model for ecosystem services (</w:t>
      </w:r>
      <w:proofErr w:type="spellStart"/>
      <w:r w:rsidRPr="009F54B9">
        <w:rPr>
          <w:snapToGrid w:val="0"/>
          <w:kern w:val="22"/>
        </w:rPr>
        <w:t>Potschin</w:t>
      </w:r>
      <w:proofErr w:type="spellEnd"/>
      <w:r w:rsidRPr="009F54B9">
        <w:rPr>
          <w:snapToGrid w:val="0"/>
          <w:kern w:val="22"/>
        </w:rPr>
        <w:t xml:space="preserve"> &amp; Haines-Young, 2011)</w:t>
      </w:r>
      <w:r w:rsidRPr="009F54B9">
        <w:rPr>
          <w:rStyle w:val="FootnoteReference"/>
          <w:snapToGrid w:val="0"/>
          <w:kern w:val="22"/>
          <w:szCs w:val="22"/>
        </w:rPr>
        <w:footnoteReference w:id="31"/>
      </w:r>
      <w:bookmarkEnd w:id="19"/>
    </w:p>
    <w:p w14:paraId="243491FC" w14:textId="77777777" w:rsidR="008E44C6" w:rsidRPr="009F54B9" w:rsidRDefault="008E44C6" w:rsidP="006958CE">
      <w:pPr>
        <w:rPr>
          <w:snapToGrid w:val="0"/>
          <w:kern w:val="22"/>
        </w:rPr>
      </w:pPr>
    </w:p>
    <w:p w14:paraId="0FD137A8" w14:textId="77777777" w:rsidR="008E44C6" w:rsidRPr="009F54B9" w:rsidRDefault="008E44C6" w:rsidP="00107BE5">
      <w:pPr>
        <w:rPr>
          <w:snapToGrid w:val="0"/>
          <w:kern w:val="22"/>
          <w:szCs w:val="22"/>
        </w:rPr>
      </w:pPr>
    </w:p>
    <w:p w14:paraId="6850E9F7" w14:textId="77777777" w:rsidR="008E44C6" w:rsidRPr="009F54B9" w:rsidRDefault="008E44C6" w:rsidP="00FF75CD">
      <w:pPr>
        <w:rPr>
          <w:snapToGrid w:val="0"/>
          <w:kern w:val="22"/>
          <w:szCs w:val="22"/>
        </w:rPr>
      </w:pPr>
      <w:r w:rsidRPr="009F54B9">
        <w:rPr>
          <w:snapToGrid w:val="0"/>
          <w:kern w:val="22"/>
          <w:szCs w:val="22"/>
        </w:rPr>
        <w:br w:type="page"/>
      </w:r>
    </w:p>
    <w:p w14:paraId="032CA2F1" w14:textId="77777777" w:rsidR="008E44C6" w:rsidRPr="009F54B9" w:rsidRDefault="008E44C6" w:rsidP="008E44C6">
      <w:pPr>
        <w:pStyle w:val="Heading2"/>
        <w:keepNext w:val="0"/>
        <w:numPr>
          <w:ilvl w:val="1"/>
          <w:numId w:val="10"/>
        </w:numPr>
        <w:tabs>
          <w:tab w:val="clear" w:pos="720"/>
        </w:tabs>
        <w:autoSpaceDE w:val="0"/>
        <w:autoSpaceDN w:val="0"/>
        <w:adjustRightInd w:val="0"/>
        <w:spacing w:before="0"/>
        <w:jc w:val="both"/>
        <w:rPr>
          <w:rFonts w:eastAsiaTheme="minorHAnsi"/>
          <w:bCs w:val="0"/>
          <w:i/>
          <w:iCs w:val="0"/>
          <w:snapToGrid w:val="0"/>
          <w:color w:val="6FA64A"/>
          <w:kern w:val="22"/>
          <w:szCs w:val="22"/>
        </w:rPr>
      </w:pPr>
      <w:bookmarkStart w:id="20" w:name="_Toc517690313"/>
      <w:r w:rsidRPr="009F54B9">
        <w:rPr>
          <w:smallCaps/>
          <w:snapToGrid w:val="0"/>
          <w:kern w:val="22"/>
          <w:szCs w:val="22"/>
        </w:rPr>
        <w:lastRenderedPageBreak/>
        <w:t>Inter-dependencies between business and ecosystems</w:t>
      </w:r>
      <w:bookmarkEnd w:id="20"/>
    </w:p>
    <w:p w14:paraId="6273B4D7" w14:textId="77777777" w:rsidR="008E44C6" w:rsidRPr="009F54B9" w:rsidRDefault="008E44C6" w:rsidP="00560C64">
      <w:pPr>
        <w:rPr>
          <w:snapToGrid w:val="0"/>
          <w:kern w:val="22"/>
          <w:szCs w:val="22"/>
        </w:rPr>
      </w:pPr>
    </w:p>
    <w:p w14:paraId="0BED8C47" w14:textId="77777777" w:rsidR="008E44C6" w:rsidRPr="009F54B9" w:rsidRDefault="008E44C6" w:rsidP="001E5D79">
      <w:pPr>
        <w:pBdr>
          <w:bottom w:val="single" w:sz="4" w:space="1" w:color="auto"/>
        </w:pBdr>
        <w:rPr>
          <w:snapToGrid w:val="0"/>
          <w:color w:val="000000" w:themeColor="text1"/>
          <w:kern w:val="22"/>
          <w:szCs w:val="22"/>
          <w:shd w:val="clear" w:color="auto" w:fill="FFFFFF"/>
        </w:rPr>
      </w:pPr>
      <w:r w:rsidRPr="009F54B9">
        <w:rPr>
          <w:snapToGrid w:val="0"/>
          <w:color w:val="000000" w:themeColor="text1"/>
          <w:kern w:val="22"/>
          <w:szCs w:val="22"/>
          <w:shd w:val="clear" w:color="auto" w:fill="FFFFFF"/>
        </w:rPr>
        <w:t>Key messages:</w:t>
      </w:r>
    </w:p>
    <w:p w14:paraId="332B470D" w14:textId="77777777" w:rsidR="008E44C6" w:rsidRPr="009F54B9" w:rsidRDefault="008E44C6" w:rsidP="008E44C6">
      <w:pPr>
        <w:pStyle w:val="ListParagraph"/>
        <w:numPr>
          <w:ilvl w:val="0"/>
          <w:numId w:val="31"/>
        </w:numPr>
        <w:pBdr>
          <w:bottom w:val="single" w:sz="4" w:space="1" w:color="auto"/>
        </w:pBdr>
        <w:autoSpaceDE w:val="0"/>
        <w:autoSpaceDN w:val="0"/>
        <w:adjustRightInd w:val="0"/>
        <w:spacing w:line="360" w:lineRule="auto"/>
        <w:rPr>
          <w:snapToGrid w:val="0"/>
          <w:kern w:val="22"/>
          <w:szCs w:val="22"/>
        </w:rPr>
      </w:pPr>
      <w:r w:rsidRPr="009F54B9">
        <w:rPr>
          <w:snapToGrid w:val="0"/>
          <w:kern w:val="22"/>
          <w:szCs w:val="22"/>
        </w:rPr>
        <w:t>All businesses both depend and impact, directly and indirectly, on ecosystems;</w:t>
      </w:r>
    </w:p>
    <w:p w14:paraId="1E518D99" w14:textId="77777777" w:rsidR="008E44C6" w:rsidRPr="009F54B9" w:rsidRDefault="008E44C6" w:rsidP="008E44C6">
      <w:pPr>
        <w:pStyle w:val="ListParagraph"/>
        <w:numPr>
          <w:ilvl w:val="0"/>
          <w:numId w:val="31"/>
        </w:numPr>
        <w:pBdr>
          <w:bottom w:val="single" w:sz="4" w:space="1" w:color="auto"/>
        </w:pBdr>
        <w:autoSpaceDE w:val="0"/>
        <w:autoSpaceDN w:val="0"/>
        <w:adjustRightInd w:val="0"/>
        <w:spacing w:line="360" w:lineRule="auto"/>
        <w:rPr>
          <w:snapToGrid w:val="0"/>
          <w:kern w:val="22"/>
          <w:szCs w:val="22"/>
        </w:rPr>
      </w:pPr>
      <w:r w:rsidRPr="009F54B9">
        <w:rPr>
          <w:snapToGrid w:val="0"/>
          <w:kern w:val="22"/>
          <w:szCs w:val="22"/>
        </w:rPr>
        <w:t xml:space="preserve">Ecosystem components can be divided into renewable (requiring stewardship for continued availability) and non-renewable (requiring responsible management while they’re being depleted) assets or stocks; </w:t>
      </w:r>
    </w:p>
    <w:p w14:paraId="39B1F22F" w14:textId="77777777" w:rsidR="008E44C6" w:rsidRPr="009F54B9" w:rsidRDefault="008E44C6" w:rsidP="008E44C6">
      <w:pPr>
        <w:pStyle w:val="ListParagraph"/>
        <w:numPr>
          <w:ilvl w:val="0"/>
          <w:numId w:val="31"/>
        </w:numPr>
        <w:pBdr>
          <w:bottom w:val="single" w:sz="4" w:space="1" w:color="auto"/>
        </w:pBdr>
        <w:autoSpaceDE w:val="0"/>
        <w:autoSpaceDN w:val="0"/>
        <w:adjustRightInd w:val="0"/>
        <w:spacing w:line="360" w:lineRule="auto"/>
        <w:rPr>
          <w:snapToGrid w:val="0"/>
          <w:kern w:val="22"/>
          <w:szCs w:val="22"/>
        </w:rPr>
      </w:pPr>
      <w:r w:rsidRPr="009F54B9">
        <w:rPr>
          <w:snapToGrid w:val="0"/>
          <w:kern w:val="22"/>
          <w:szCs w:val="22"/>
        </w:rPr>
        <w:t>Business impacts and dependencies on ecosystems create costs and benefits for business and society, generating risks but also creating opportunities.</w:t>
      </w:r>
    </w:p>
    <w:p w14:paraId="7AA4D97A" w14:textId="77777777" w:rsidR="008E44C6" w:rsidRPr="009F54B9" w:rsidRDefault="008E44C6" w:rsidP="007C5D98">
      <w:pPr>
        <w:rPr>
          <w:snapToGrid w:val="0"/>
          <w:kern w:val="22"/>
          <w:szCs w:val="22"/>
        </w:rPr>
      </w:pPr>
    </w:p>
    <w:p w14:paraId="21380672" w14:textId="77777777" w:rsidR="008E44C6" w:rsidRPr="009F54B9" w:rsidRDefault="008E44C6" w:rsidP="007C5D98">
      <w:pPr>
        <w:pBdr>
          <w:top w:val="single" w:sz="4" w:space="1" w:color="auto"/>
          <w:left w:val="single" w:sz="4" w:space="4" w:color="auto"/>
          <w:bottom w:val="single" w:sz="4" w:space="1" w:color="auto"/>
          <w:right w:val="single" w:sz="4" w:space="4" w:color="auto"/>
        </w:pBdr>
        <w:jc w:val="center"/>
        <w:rPr>
          <w:snapToGrid w:val="0"/>
          <w:kern w:val="22"/>
        </w:rPr>
      </w:pPr>
      <w:r w:rsidRPr="009F54B9">
        <w:rPr>
          <w:noProof/>
          <w:snapToGrid w:val="0"/>
          <w:color w:val="000000" w:themeColor="text1"/>
          <w:kern w:val="22"/>
          <w:szCs w:val="22"/>
          <w:lang w:eastAsia="zh-CN"/>
        </w:rPr>
        <w:drawing>
          <wp:inline distT="0" distB="0" distL="0" distR="0" wp14:anchorId="442DB3C5" wp14:editId="285656D2">
            <wp:extent cx="4464075" cy="2564500"/>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473774" cy="2570072"/>
                    </a:xfrm>
                    <a:prstGeom prst="rect">
                      <a:avLst/>
                    </a:prstGeom>
                    <a:noFill/>
                    <a:ln>
                      <a:noFill/>
                    </a:ln>
                  </pic:spPr>
                </pic:pic>
              </a:graphicData>
            </a:graphic>
          </wp:inline>
        </w:drawing>
      </w:r>
    </w:p>
    <w:p w14:paraId="7D5C1741" w14:textId="77777777" w:rsidR="008E44C6" w:rsidRPr="009F54B9" w:rsidRDefault="008E44C6" w:rsidP="007C5D98">
      <w:pPr>
        <w:pBdr>
          <w:top w:val="single" w:sz="4" w:space="1" w:color="auto"/>
          <w:left w:val="single" w:sz="4" w:space="4" w:color="auto"/>
          <w:bottom w:val="single" w:sz="4" w:space="1" w:color="auto"/>
          <w:right w:val="single" w:sz="4" w:space="4" w:color="auto"/>
        </w:pBdr>
        <w:jc w:val="center"/>
        <w:rPr>
          <w:snapToGrid w:val="0"/>
          <w:kern w:val="22"/>
          <w:szCs w:val="22"/>
        </w:rPr>
      </w:pPr>
      <w:bookmarkStart w:id="21" w:name="_Toc517688905"/>
      <w:r w:rsidRPr="009F54B9">
        <w:rPr>
          <w:snapToGrid w:val="0"/>
          <w:kern w:val="22"/>
        </w:rPr>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6</w:t>
      </w:r>
      <w:r w:rsidRPr="009F54B9">
        <w:rPr>
          <w:noProof/>
          <w:snapToGrid w:val="0"/>
          <w:kern w:val="22"/>
        </w:rPr>
        <w:fldChar w:fldCharType="end"/>
      </w:r>
      <w:r w:rsidRPr="009F54B9">
        <w:rPr>
          <w:snapToGrid w:val="0"/>
          <w:kern w:val="22"/>
          <w:szCs w:val="22"/>
        </w:rPr>
        <w:t>: Indicative materiality matrix of ecosystem impacts and dependencies for the value chain of barley used to produce beer</w:t>
      </w:r>
      <w:r w:rsidRPr="009F54B9">
        <w:rPr>
          <w:rStyle w:val="FootnoteReference"/>
          <w:snapToGrid w:val="0"/>
          <w:kern w:val="22"/>
          <w:szCs w:val="22"/>
        </w:rPr>
        <w:footnoteReference w:id="32"/>
      </w:r>
      <w:bookmarkEnd w:id="21"/>
    </w:p>
    <w:p w14:paraId="50F522A1" w14:textId="77777777" w:rsidR="008E44C6" w:rsidRPr="009F54B9" w:rsidRDefault="008E44C6" w:rsidP="00560C64">
      <w:pPr>
        <w:rPr>
          <w:snapToGrid w:val="0"/>
          <w:kern w:val="22"/>
          <w:szCs w:val="22"/>
        </w:rPr>
      </w:pPr>
    </w:p>
    <w:p w14:paraId="673E6ACE" w14:textId="77777777" w:rsidR="008E44C6" w:rsidRPr="009F54B9" w:rsidRDefault="008E44C6" w:rsidP="00560C64">
      <w:pPr>
        <w:rPr>
          <w:snapToGrid w:val="0"/>
          <w:spacing w:val="-2"/>
          <w:kern w:val="22"/>
          <w:szCs w:val="22"/>
        </w:rPr>
      </w:pPr>
      <w:r w:rsidRPr="009F54B9">
        <w:rPr>
          <w:snapToGrid w:val="0"/>
          <w:spacing w:val="-2"/>
          <w:kern w:val="22"/>
          <w:szCs w:val="22"/>
        </w:rPr>
        <w:t xml:space="preserve">All businesses both depend and impact, directly and indirectly, on ecosystems (Figures 2 and 3) and the associated services (Hanson </w:t>
      </w:r>
      <w:r w:rsidRPr="009F54B9">
        <w:rPr>
          <w:i/>
          <w:snapToGrid w:val="0"/>
          <w:spacing w:val="-2"/>
          <w:kern w:val="22"/>
          <w:szCs w:val="22"/>
        </w:rPr>
        <w:t>et al</w:t>
      </w:r>
      <w:r w:rsidRPr="009F54B9">
        <w:rPr>
          <w:snapToGrid w:val="0"/>
          <w:spacing w:val="-2"/>
          <w:kern w:val="22"/>
          <w:szCs w:val="22"/>
        </w:rPr>
        <w:t>., 2012</w:t>
      </w:r>
      <w:r w:rsidRPr="009F54B9">
        <w:rPr>
          <w:rStyle w:val="FootnoteReference"/>
          <w:snapToGrid w:val="0"/>
          <w:spacing w:val="-2"/>
          <w:kern w:val="22"/>
          <w:szCs w:val="22"/>
        </w:rPr>
        <w:footnoteReference w:id="33"/>
      </w:r>
      <w:r w:rsidRPr="009F54B9">
        <w:rPr>
          <w:snapToGrid w:val="0"/>
          <w:spacing w:val="-2"/>
          <w:kern w:val="22"/>
          <w:szCs w:val="22"/>
        </w:rPr>
        <w:t xml:space="preserve">; </w:t>
      </w:r>
      <w:proofErr w:type="spellStart"/>
      <w:r w:rsidRPr="009F54B9">
        <w:rPr>
          <w:snapToGrid w:val="0"/>
          <w:spacing w:val="-2"/>
          <w:kern w:val="22"/>
          <w:szCs w:val="22"/>
        </w:rPr>
        <w:t>Houdet</w:t>
      </w:r>
      <w:proofErr w:type="spellEnd"/>
      <w:r w:rsidRPr="009F54B9">
        <w:rPr>
          <w:snapToGrid w:val="0"/>
          <w:spacing w:val="-2"/>
          <w:kern w:val="22"/>
          <w:szCs w:val="22"/>
        </w:rPr>
        <w:t xml:space="preserve"> </w:t>
      </w:r>
      <w:r w:rsidRPr="009F54B9">
        <w:rPr>
          <w:i/>
          <w:snapToGrid w:val="0"/>
          <w:spacing w:val="-2"/>
          <w:kern w:val="22"/>
          <w:szCs w:val="22"/>
        </w:rPr>
        <w:t>et al</w:t>
      </w:r>
      <w:r w:rsidRPr="009F54B9">
        <w:rPr>
          <w:snapToGrid w:val="0"/>
          <w:spacing w:val="-2"/>
          <w:kern w:val="22"/>
          <w:szCs w:val="22"/>
        </w:rPr>
        <w:t>., 2012</w:t>
      </w:r>
      <w:r w:rsidRPr="009F54B9">
        <w:rPr>
          <w:rStyle w:val="FootnoteReference"/>
          <w:snapToGrid w:val="0"/>
          <w:spacing w:val="-2"/>
          <w:kern w:val="22"/>
          <w:szCs w:val="22"/>
        </w:rPr>
        <w:footnoteReference w:id="34"/>
      </w:r>
      <w:r w:rsidRPr="009F54B9">
        <w:rPr>
          <w:snapToGrid w:val="0"/>
          <w:spacing w:val="-2"/>
          <w:kern w:val="22"/>
          <w:szCs w:val="22"/>
        </w:rPr>
        <w:t>; TEEB 2012</w:t>
      </w:r>
      <w:r w:rsidRPr="009F54B9">
        <w:rPr>
          <w:rStyle w:val="FootnoteReference"/>
          <w:snapToGrid w:val="0"/>
          <w:spacing w:val="-2"/>
          <w:kern w:val="22"/>
          <w:szCs w:val="22"/>
        </w:rPr>
        <w:footnoteReference w:id="35"/>
      </w:r>
      <w:r w:rsidRPr="009F54B9">
        <w:rPr>
          <w:snapToGrid w:val="0"/>
          <w:spacing w:val="-2"/>
          <w:kern w:val="22"/>
          <w:szCs w:val="22"/>
        </w:rPr>
        <w:t>). This can be illustrated by the barley-to-beer value chain (Figure 6), which involves different impacts and dependencies on ecosystems at each step, from raw material production (e.g., water use) to end of use (e.g., solid waste). Yet, such interactions do not all have the same consequences as ecosystem components can be divided into renewable and non-renewable assets or stocks. While metals and minerals are non-renewable ecosystem assets (e.g. coal) whose exploitation can only lead to their eventual depletion, renewable ecosystem assets, such as water resources and populations of species, can (theoretically) be sustainably managed in perpetuity (i.e., concept of sustainable use of biodiversity).</w:t>
      </w:r>
    </w:p>
    <w:p w14:paraId="60944563" w14:textId="77777777" w:rsidR="008E44C6" w:rsidRPr="009F54B9" w:rsidRDefault="008E44C6" w:rsidP="00560C64">
      <w:pPr>
        <w:rPr>
          <w:snapToGrid w:val="0"/>
          <w:kern w:val="22"/>
          <w:szCs w:val="22"/>
        </w:rPr>
      </w:pPr>
    </w:p>
    <w:p w14:paraId="3336DE07" w14:textId="77777777" w:rsidR="008E44C6" w:rsidRPr="009F54B9" w:rsidRDefault="008E44C6" w:rsidP="0094765B">
      <w:pPr>
        <w:rPr>
          <w:snapToGrid w:val="0"/>
          <w:kern w:val="22"/>
          <w:szCs w:val="22"/>
        </w:rPr>
      </w:pPr>
      <w:r w:rsidRPr="009F54B9">
        <w:rPr>
          <w:snapToGrid w:val="0"/>
          <w:kern w:val="22"/>
          <w:szCs w:val="22"/>
        </w:rPr>
        <w:t xml:space="preserve">This inter-dependency between business and ecosystems creates costs and benefits for business and society, generating risks but also creating opportunities (Figure 7). Ecosystem impacts and/or </w:t>
      </w:r>
      <w:r w:rsidRPr="009F54B9">
        <w:rPr>
          <w:snapToGrid w:val="0"/>
          <w:kern w:val="22"/>
          <w:szCs w:val="22"/>
        </w:rPr>
        <w:lastRenderedPageBreak/>
        <w:t>dependencies can directly affect business operations, which can generate positive (e.g., lower input costs) or negative effects (e.g., discontinued supply of raw materials, water shortages) (Natural Capital Coalition 2016</w:t>
      </w:r>
      <w:r w:rsidRPr="009F54B9">
        <w:rPr>
          <w:rStyle w:val="FootnoteReference"/>
          <w:snapToGrid w:val="0"/>
          <w:kern w:val="22"/>
          <w:szCs w:val="22"/>
        </w:rPr>
        <w:footnoteReference w:id="36"/>
      </w:r>
      <w:r w:rsidRPr="009F54B9">
        <w:rPr>
          <w:snapToGrid w:val="0"/>
          <w:kern w:val="22"/>
          <w:szCs w:val="22"/>
        </w:rPr>
        <w:t>). Simultaneously, these impacts / dependencies can also positively (e.g., improved water quantity and quality due to business’ efforts to sustainably manage its watershed) or negatively (e.g., air emissions) impact on particular stakeholders or on society as a whole. Eventually, stakeholder and societal responses to these effects can create additional risks and opportunities to businesses.</w:t>
      </w:r>
    </w:p>
    <w:p w14:paraId="5AF07E12" w14:textId="77777777" w:rsidR="008E44C6" w:rsidRPr="009F54B9" w:rsidRDefault="008E44C6" w:rsidP="00560C64">
      <w:pPr>
        <w:rPr>
          <w:snapToGrid w:val="0"/>
          <w:kern w:val="22"/>
          <w:szCs w:val="22"/>
        </w:rPr>
      </w:pPr>
    </w:p>
    <w:p w14:paraId="572155F9" w14:textId="77777777" w:rsidR="008E44C6" w:rsidRPr="009F54B9" w:rsidRDefault="008E44C6" w:rsidP="00A2777A">
      <w:pPr>
        <w:pBdr>
          <w:top w:val="single" w:sz="4" w:space="1" w:color="auto"/>
          <w:left w:val="single" w:sz="4" w:space="4" w:color="auto"/>
          <w:bottom w:val="single" w:sz="4" w:space="1" w:color="auto"/>
          <w:right w:val="single" w:sz="4" w:space="4" w:color="auto"/>
        </w:pBdr>
        <w:jc w:val="center"/>
        <w:rPr>
          <w:snapToGrid w:val="0"/>
          <w:kern w:val="22"/>
        </w:rPr>
      </w:pPr>
      <w:r w:rsidRPr="009F54B9">
        <w:rPr>
          <w:noProof/>
          <w:snapToGrid w:val="0"/>
          <w:kern w:val="22"/>
          <w:szCs w:val="22"/>
          <w:lang w:eastAsia="zh-CN"/>
        </w:rPr>
        <w:drawing>
          <wp:inline distT="0" distB="0" distL="0" distR="0" wp14:anchorId="134D905B" wp14:editId="21A7B346">
            <wp:extent cx="4915507" cy="3003004"/>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933366" cy="3013915"/>
                    </a:xfrm>
                    <a:prstGeom prst="rect">
                      <a:avLst/>
                    </a:prstGeom>
                    <a:noFill/>
                    <a:ln>
                      <a:noFill/>
                    </a:ln>
                  </pic:spPr>
                </pic:pic>
              </a:graphicData>
            </a:graphic>
          </wp:inline>
        </w:drawing>
      </w:r>
      <w:bookmarkStart w:id="22" w:name="_Toc486485402"/>
    </w:p>
    <w:p w14:paraId="34EC1EB4" w14:textId="77777777" w:rsidR="008E44C6" w:rsidRPr="009F54B9" w:rsidRDefault="008E44C6" w:rsidP="00234117">
      <w:pPr>
        <w:pBdr>
          <w:top w:val="single" w:sz="4" w:space="1" w:color="auto"/>
          <w:left w:val="single" w:sz="4" w:space="4" w:color="auto"/>
          <w:bottom w:val="single" w:sz="4" w:space="1" w:color="auto"/>
          <w:right w:val="single" w:sz="4" w:space="4" w:color="auto"/>
        </w:pBdr>
        <w:jc w:val="center"/>
        <w:rPr>
          <w:snapToGrid w:val="0"/>
          <w:kern w:val="22"/>
          <w:szCs w:val="22"/>
        </w:rPr>
      </w:pPr>
      <w:bookmarkStart w:id="23" w:name="_Toc517688906"/>
      <w:r w:rsidRPr="009F54B9">
        <w:rPr>
          <w:snapToGrid w:val="0"/>
          <w:kern w:val="22"/>
        </w:rPr>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7</w:t>
      </w:r>
      <w:r w:rsidRPr="009F54B9">
        <w:rPr>
          <w:noProof/>
          <w:snapToGrid w:val="0"/>
          <w:kern w:val="22"/>
        </w:rPr>
        <w:fldChar w:fldCharType="end"/>
      </w:r>
      <w:r w:rsidRPr="009F54B9">
        <w:rPr>
          <w:snapToGrid w:val="0"/>
          <w:kern w:val="22"/>
          <w:szCs w:val="22"/>
        </w:rPr>
        <w:t>: Conceptual model between business and ecosystems / natural capital - dependencies and impacts, costs and benefits, risks and opportunities (Natural Capital Coalition 2016)</w:t>
      </w:r>
      <w:bookmarkEnd w:id="22"/>
      <w:r w:rsidRPr="009F54B9">
        <w:rPr>
          <w:rStyle w:val="FootnoteReference"/>
          <w:snapToGrid w:val="0"/>
          <w:kern w:val="22"/>
          <w:szCs w:val="22"/>
        </w:rPr>
        <w:footnoteReference w:id="37"/>
      </w:r>
      <w:bookmarkEnd w:id="23"/>
      <w:r w:rsidRPr="009F54B9">
        <w:rPr>
          <w:snapToGrid w:val="0"/>
          <w:kern w:val="22"/>
          <w:szCs w:val="22"/>
        </w:rPr>
        <w:br w:type="page"/>
      </w:r>
    </w:p>
    <w:p w14:paraId="6162B2C9" w14:textId="77777777" w:rsidR="008E44C6" w:rsidRPr="009F54B9" w:rsidRDefault="008E44C6" w:rsidP="008E44C6">
      <w:pPr>
        <w:pStyle w:val="Heading2"/>
        <w:keepNext w:val="0"/>
        <w:numPr>
          <w:ilvl w:val="1"/>
          <w:numId w:val="10"/>
        </w:numPr>
        <w:tabs>
          <w:tab w:val="clear" w:pos="720"/>
        </w:tabs>
        <w:autoSpaceDE w:val="0"/>
        <w:autoSpaceDN w:val="0"/>
        <w:adjustRightInd w:val="0"/>
        <w:spacing w:before="0"/>
        <w:jc w:val="both"/>
        <w:rPr>
          <w:smallCaps/>
          <w:snapToGrid w:val="0"/>
          <w:kern w:val="22"/>
          <w:szCs w:val="22"/>
        </w:rPr>
      </w:pPr>
      <w:bookmarkStart w:id="24" w:name="_Toc517690314"/>
      <w:r w:rsidRPr="009F54B9">
        <w:rPr>
          <w:smallCaps/>
          <w:snapToGrid w:val="0"/>
          <w:kern w:val="22"/>
          <w:szCs w:val="22"/>
        </w:rPr>
        <w:lastRenderedPageBreak/>
        <w:t>A value chain perspective</w:t>
      </w:r>
      <w:bookmarkEnd w:id="24"/>
    </w:p>
    <w:p w14:paraId="2271A93B" w14:textId="77777777" w:rsidR="008E44C6" w:rsidRPr="009F54B9" w:rsidRDefault="008E44C6" w:rsidP="00417942">
      <w:pPr>
        <w:rPr>
          <w:snapToGrid w:val="0"/>
          <w:color w:val="000000" w:themeColor="text1"/>
          <w:kern w:val="22"/>
          <w:szCs w:val="22"/>
          <w:shd w:val="clear" w:color="auto" w:fill="FFFFFF"/>
        </w:rPr>
      </w:pPr>
    </w:p>
    <w:p w14:paraId="7D75F899" w14:textId="77777777" w:rsidR="008E44C6" w:rsidRPr="009F54B9" w:rsidRDefault="008E44C6" w:rsidP="001E5D79">
      <w:pPr>
        <w:pBdr>
          <w:bottom w:val="single" w:sz="4" w:space="1" w:color="auto"/>
        </w:pBdr>
        <w:rPr>
          <w:snapToGrid w:val="0"/>
          <w:color w:val="000000" w:themeColor="text1"/>
          <w:kern w:val="22"/>
          <w:szCs w:val="22"/>
          <w:shd w:val="clear" w:color="auto" w:fill="FFFFFF"/>
        </w:rPr>
      </w:pPr>
      <w:r w:rsidRPr="009F54B9">
        <w:rPr>
          <w:snapToGrid w:val="0"/>
          <w:color w:val="000000" w:themeColor="text1"/>
          <w:kern w:val="22"/>
          <w:szCs w:val="22"/>
          <w:shd w:val="clear" w:color="auto" w:fill="FFFFFF"/>
        </w:rPr>
        <w:t>Key messages:</w:t>
      </w:r>
    </w:p>
    <w:p w14:paraId="31CF0051" w14:textId="77777777" w:rsidR="008E44C6" w:rsidRPr="009F54B9" w:rsidRDefault="008E44C6" w:rsidP="008E44C6">
      <w:pPr>
        <w:pStyle w:val="ListParagraph"/>
        <w:numPr>
          <w:ilvl w:val="0"/>
          <w:numId w:val="31"/>
        </w:numPr>
        <w:pBdr>
          <w:bottom w:val="single" w:sz="4" w:space="1" w:color="auto"/>
        </w:pBdr>
        <w:autoSpaceDE w:val="0"/>
        <w:autoSpaceDN w:val="0"/>
        <w:adjustRightInd w:val="0"/>
        <w:spacing w:line="360" w:lineRule="auto"/>
        <w:rPr>
          <w:snapToGrid w:val="0"/>
          <w:kern w:val="22"/>
          <w:szCs w:val="22"/>
        </w:rPr>
      </w:pPr>
      <w:r w:rsidRPr="009F54B9">
        <w:rPr>
          <w:snapToGrid w:val="0"/>
          <w:kern w:val="22"/>
          <w:szCs w:val="22"/>
        </w:rPr>
        <w:t>Manufacturing companies play a critical role in global supply / value chains, operating in close interactions with raw material producers and retailers;</w:t>
      </w:r>
    </w:p>
    <w:p w14:paraId="6D4BEB48" w14:textId="77777777" w:rsidR="008E44C6" w:rsidRPr="009F54B9" w:rsidRDefault="008E44C6" w:rsidP="008E44C6">
      <w:pPr>
        <w:pStyle w:val="ListParagraph"/>
        <w:numPr>
          <w:ilvl w:val="0"/>
          <w:numId w:val="31"/>
        </w:numPr>
        <w:pBdr>
          <w:bottom w:val="single" w:sz="4" w:space="1" w:color="auto"/>
        </w:pBdr>
        <w:autoSpaceDE w:val="0"/>
        <w:autoSpaceDN w:val="0"/>
        <w:adjustRightInd w:val="0"/>
        <w:spacing w:line="360" w:lineRule="auto"/>
        <w:rPr>
          <w:snapToGrid w:val="0"/>
          <w:kern w:val="22"/>
          <w:szCs w:val="22"/>
        </w:rPr>
      </w:pPr>
      <w:r w:rsidRPr="009F54B9">
        <w:rPr>
          <w:snapToGrid w:val="0"/>
          <w:kern w:val="22"/>
          <w:szCs w:val="22"/>
        </w:rPr>
        <w:t>Manufacturing companies are responsible for a significant share of global resource consumption and environmental impacts;</w:t>
      </w:r>
    </w:p>
    <w:p w14:paraId="148E0A6B" w14:textId="77777777" w:rsidR="008E44C6" w:rsidRPr="009F54B9" w:rsidRDefault="008E44C6" w:rsidP="008E44C6">
      <w:pPr>
        <w:pStyle w:val="ListParagraph"/>
        <w:numPr>
          <w:ilvl w:val="0"/>
          <w:numId w:val="31"/>
        </w:numPr>
        <w:pBdr>
          <w:bottom w:val="single" w:sz="4" w:space="1" w:color="auto"/>
        </w:pBdr>
        <w:autoSpaceDE w:val="0"/>
        <w:autoSpaceDN w:val="0"/>
        <w:adjustRightInd w:val="0"/>
        <w:spacing w:line="360" w:lineRule="auto"/>
        <w:rPr>
          <w:snapToGrid w:val="0"/>
          <w:color w:val="000000" w:themeColor="text1"/>
          <w:kern w:val="22"/>
          <w:szCs w:val="22"/>
          <w:shd w:val="clear" w:color="auto" w:fill="FFFFFF"/>
        </w:rPr>
      </w:pPr>
      <w:r w:rsidRPr="009F54B9">
        <w:rPr>
          <w:snapToGrid w:val="0"/>
          <w:kern w:val="22"/>
          <w:szCs w:val="22"/>
        </w:rPr>
        <w:t>Manufacturing impacts and dependencies on ecosystems are both direct (e.g., at the level of manufacturing plants) and indirect (e.g., at the level of suppliers, such as raw material producers and transport companies);</w:t>
      </w:r>
    </w:p>
    <w:p w14:paraId="283255A8" w14:textId="77777777" w:rsidR="008E44C6" w:rsidRPr="009F54B9" w:rsidRDefault="008E44C6" w:rsidP="008E44C6">
      <w:pPr>
        <w:pStyle w:val="ListParagraph"/>
        <w:numPr>
          <w:ilvl w:val="0"/>
          <w:numId w:val="31"/>
        </w:numPr>
        <w:pBdr>
          <w:bottom w:val="single" w:sz="4" w:space="1" w:color="auto"/>
        </w:pBdr>
        <w:autoSpaceDE w:val="0"/>
        <w:autoSpaceDN w:val="0"/>
        <w:adjustRightInd w:val="0"/>
        <w:spacing w:line="360" w:lineRule="auto"/>
        <w:rPr>
          <w:snapToGrid w:val="0"/>
          <w:color w:val="000000" w:themeColor="text1"/>
          <w:kern w:val="22"/>
          <w:szCs w:val="22"/>
          <w:shd w:val="clear" w:color="auto" w:fill="FFFFFF"/>
        </w:rPr>
      </w:pPr>
      <w:r w:rsidRPr="009F54B9">
        <w:rPr>
          <w:snapToGrid w:val="0"/>
          <w:kern w:val="22"/>
          <w:szCs w:val="22"/>
        </w:rPr>
        <w:t>Manufacturing companies are thus both direct and indirect drivers of ecosystem change and biodiversity loss.</w:t>
      </w:r>
    </w:p>
    <w:p w14:paraId="2E0CDD02" w14:textId="77777777" w:rsidR="008E44C6" w:rsidRPr="009F54B9" w:rsidRDefault="008E44C6" w:rsidP="00417942">
      <w:pPr>
        <w:rPr>
          <w:snapToGrid w:val="0"/>
          <w:color w:val="000000" w:themeColor="text1"/>
          <w:kern w:val="22"/>
          <w:szCs w:val="22"/>
          <w:shd w:val="clear" w:color="auto" w:fill="FFFFFF"/>
        </w:rPr>
      </w:pPr>
    </w:p>
    <w:p w14:paraId="3E875A70" w14:textId="77777777" w:rsidR="008E44C6" w:rsidRPr="009F54B9" w:rsidRDefault="008E44C6" w:rsidP="003B3137">
      <w:pPr>
        <w:rPr>
          <w:snapToGrid w:val="0"/>
          <w:color w:val="000000" w:themeColor="text1"/>
          <w:kern w:val="22"/>
          <w:szCs w:val="22"/>
          <w:shd w:val="clear" w:color="auto" w:fill="FFFFFF"/>
        </w:rPr>
      </w:pPr>
      <w:r w:rsidRPr="009F54B9">
        <w:rPr>
          <w:snapToGrid w:val="0"/>
          <w:color w:val="000000" w:themeColor="text1"/>
          <w:kern w:val="22"/>
          <w:szCs w:val="22"/>
          <w:shd w:val="clear" w:color="auto" w:fill="FFFFFF"/>
        </w:rPr>
        <w:t>Manufacturing industries have significant impacts on ecosystems and human health (UNEP 2011)</w:t>
      </w:r>
      <w:r w:rsidRPr="009F54B9">
        <w:rPr>
          <w:rStyle w:val="FootnoteReference"/>
          <w:snapToGrid w:val="0"/>
          <w:color w:val="000000" w:themeColor="text1"/>
          <w:kern w:val="22"/>
          <w:szCs w:val="22"/>
          <w:shd w:val="clear" w:color="auto" w:fill="FFFFFF"/>
        </w:rPr>
        <w:footnoteReference w:id="38"/>
      </w:r>
      <w:r w:rsidRPr="009F54B9">
        <w:rPr>
          <w:snapToGrid w:val="0"/>
          <w:color w:val="000000" w:themeColor="text1"/>
          <w:kern w:val="22"/>
          <w:szCs w:val="22"/>
          <w:shd w:val="clear" w:color="auto" w:fill="FFFFFF"/>
        </w:rPr>
        <w:t>. Manufacturing is responsible for around 35 per cent of global electricity use, over 20% of CO</w:t>
      </w:r>
      <w:r w:rsidRPr="009F54B9">
        <w:rPr>
          <w:snapToGrid w:val="0"/>
          <w:color w:val="000000" w:themeColor="text1"/>
          <w:kern w:val="22"/>
          <w:szCs w:val="22"/>
          <w:shd w:val="clear" w:color="auto" w:fill="FFFFFF"/>
          <w:vertAlign w:val="subscript"/>
        </w:rPr>
        <w:t>2</w:t>
      </w:r>
      <w:r w:rsidRPr="009F54B9">
        <w:rPr>
          <w:snapToGrid w:val="0"/>
          <w:color w:val="000000" w:themeColor="text1"/>
          <w:kern w:val="22"/>
          <w:szCs w:val="22"/>
          <w:shd w:val="clear" w:color="auto" w:fill="FFFFFF"/>
        </w:rPr>
        <w:t xml:space="preserve"> emissions and over a quarter of primary resource extraction. It also accounts for up to 17 per cent of air pollution-related health damage, with estimates of gross air pollution damage ranging from 1 to 5 per cent of global GDP. Water use by industry is expected to grow to over 20 per cent of global total demand by 2030 (UNEP 2011)</w:t>
      </w:r>
      <w:r w:rsidRPr="009F54B9">
        <w:rPr>
          <w:rStyle w:val="FootnoteReference"/>
          <w:snapToGrid w:val="0"/>
          <w:color w:val="000000" w:themeColor="text1"/>
          <w:kern w:val="22"/>
          <w:szCs w:val="22"/>
          <w:shd w:val="clear" w:color="auto" w:fill="FFFFFF"/>
        </w:rPr>
        <w:footnoteReference w:id="39"/>
      </w:r>
      <w:r w:rsidRPr="009F54B9">
        <w:rPr>
          <w:rFonts w:eastAsiaTheme="minorHAnsi"/>
          <w:snapToGrid w:val="0"/>
          <w:color w:val="000000"/>
          <w:kern w:val="22"/>
          <w:szCs w:val="22"/>
        </w:rPr>
        <w:t>.</w:t>
      </w:r>
      <w:r w:rsidRPr="009F54B9">
        <w:rPr>
          <w:snapToGrid w:val="0"/>
          <w:kern w:val="22"/>
          <w:szCs w:val="22"/>
        </w:rPr>
        <w:t xml:space="preserve">  </w:t>
      </w:r>
    </w:p>
    <w:p w14:paraId="69A543D1" w14:textId="77777777" w:rsidR="008E44C6" w:rsidRPr="009F54B9" w:rsidRDefault="008E44C6" w:rsidP="003B3137">
      <w:pPr>
        <w:rPr>
          <w:snapToGrid w:val="0"/>
          <w:color w:val="000000" w:themeColor="text1"/>
          <w:kern w:val="22"/>
          <w:szCs w:val="22"/>
          <w:shd w:val="clear" w:color="auto" w:fill="FFFFFF"/>
        </w:rPr>
      </w:pPr>
    </w:p>
    <w:p w14:paraId="04278D8F" w14:textId="77777777" w:rsidR="008E44C6" w:rsidRPr="009F54B9" w:rsidRDefault="008E44C6" w:rsidP="00417942">
      <w:pPr>
        <w:rPr>
          <w:snapToGrid w:val="0"/>
          <w:color w:val="000000" w:themeColor="text1"/>
          <w:kern w:val="22"/>
          <w:szCs w:val="22"/>
          <w:shd w:val="clear" w:color="auto" w:fill="FFFFFF"/>
        </w:rPr>
      </w:pPr>
      <w:r w:rsidRPr="009F54B9">
        <w:rPr>
          <w:snapToGrid w:val="0"/>
          <w:color w:val="000000" w:themeColor="text1"/>
          <w:kern w:val="22"/>
          <w:szCs w:val="22"/>
          <w:shd w:val="clear" w:color="auto" w:fill="FFFFFF"/>
        </w:rPr>
        <w:t xml:space="preserve">What makes the manufacturing sector unique with respect to its interactions with ecosystems? As illustrated in Table 5, the impacts and dependencies on ecosystem services vary across industries: The manufacturing sector is linked primarily to provisioning services (i.e. dependencies / impacts on raw materials for various manufacturing processes) and some regulating services (e.g., water regulation and purification services of wetlands for a beverage factory). However, the nature of relationships between ecosystems and manufacturing activities is not homogenous across industries. Due to the role of manufacturing in </w:t>
      </w:r>
      <w:r w:rsidRPr="009F54B9">
        <w:rPr>
          <w:snapToGrid w:val="0"/>
          <w:kern w:val="22"/>
          <w:szCs w:val="22"/>
        </w:rPr>
        <w:t xml:space="preserve">global value chains, manufacturing businesses are typically not in direct contact with raw material extraction / production and consumption, so that many of their impacts and dependencies on natural capital are indirect. </w:t>
      </w:r>
    </w:p>
    <w:p w14:paraId="7C6E5840" w14:textId="77777777" w:rsidR="008E44C6" w:rsidRPr="009F54B9" w:rsidRDefault="008E44C6" w:rsidP="0034676C">
      <w:pPr>
        <w:rPr>
          <w:snapToGrid w:val="0"/>
          <w:kern w:val="22"/>
          <w:szCs w:val="22"/>
        </w:rPr>
      </w:pPr>
    </w:p>
    <w:p w14:paraId="303C7D05" w14:textId="77777777" w:rsidR="008E44C6" w:rsidRPr="009F54B9" w:rsidRDefault="008E44C6" w:rsidP="00EF4767">
      <w:pPr>
        <w:rPr>
          <w:snapToGrid w:val="0"/>
          <w:color w:val="000000" w:themeColor="text1"/>
          <w:kern w:val="22"/>
          <w:szCs w:val="22"/>
          <w:shd w:val="clear" w:color="auto" w:fill="FFFFFF"/>
        </w:rPr>
      </w:pPr>
    </w:p>
    <w:p w14:paraId="1B9506B4" w14:textId="77777777" w:rsidR="008E44C6" w:rsidRPr="009F54B9" w:rsidRDefault="008E44C6" w:rsidP="00EF4767">
      <w:pPr>
        <w:pStyle w:val="Caption"/>
        <w:pBdr>
          <w:top w:val="single" w:sz="4" w:space="1" w:color="auto"/>
          <w:left w:val="single" w:sz="4" w:space="4" w:color="auto"/>
          <w:bottom w:val="single" w:sz="4" w:space="1" w:color="auto"/>
          <w:right w:val="single" w:sz="4" w:space="4" w:color="auto"/>
        </w:pBdr>
        <w:jc w:val="center"/>
        <w:rPr>
          <w:snapToGrid w:val="0"/>
          <w:color w:val="000000" w:themeColor="text1"/>
          <w:kern w:val="22"/>
          <w:szCs w:val="22"/>
        </w:rPr>
      </w:pPr>
      <w:bookmarkStart w:id="25" w:name="_Toc517688924"/>
      <w:r w:rsidRPr="009F54B9">
        <w:rPr>
          <w:snapToGrid w:val="0"/>
          <w:kern w:val="22"/>
          <w:szCs w:val="22"/>
        </w:rPr>
        <w:lastRenderedPageBreak/>
        <w:t xml:space="preserve">Table </w:t>
      </w:r>
      <w:r w:rsidRPr="009F54B9">
        <w:rPr>
          <w:snapToGrid w:val="0"/>
          <w:kern w:val="22"/>
          <w:szCs w:val="22"/>
        </w:rPr>
        <w:fldChar w:fldCharType="begin"/>
      </w:r>
      <w:r w:rsidRPr="009F54B9">
        <w:rPr>
          <w:snapToGrid w:val="0"/>
          <w:kern w:val="22"/>
          <w:szCs w:val="22"/>
        </w:rPr>
        <w:instrText xml:space="preserve"> SEQ Table \* ARABIC </w:instrText>
      </w:r>
      <w:r w:rsidRPr="009F54B9">
        <w:rPr>
          <w:snapToGrid w:val="0"/>
          <w:kern w:val="22"/>
          <w:szCs w:val="22"/>
        </w:rPr>
        <w:fldChar w:fldCharType="separate"/>
      </w:r>
      <w:r w:rsidRPr="009F54B9">
        <w:rPr>
          <w:noProof/>
          <w:snapToGrid w:val="0"/>
          <w:kern w:val="22"/>
          <w:szCs w:val="22"/>
        </w:rPr>
        <w:t>5</w:t>
      </w:r>
      <w:r w:rsidRPr="009F54B9">
        <w:rPr>
          <w:snapToGrid w:val="0"/>
          <w:kern w:val="22"/>
          <w:szCs w:val="22"/>
        </w:rPr>
        <w:fldChar w:fldCharType="end"/>
      </w:r>
      <w:r w:rsidRPr="009F54B9">
        <w:rPr>
          <w:snapToGrid w:val="0"/>
          <w:kern w:val="22"/>
          <w:szCs w:val="22"/>
        </w:rPr>
        <w:t xml:space="preserve">: Impacts and dependencies of different industries on ecosystem services according to the </w:t>
      </w:r>
      <w:r w:rsidRPr="009F54B9">
        <w:rPr>
          <w:snapToGrid w:val="0"/>
          <w:color w:val="000000" w:themeColor="text1"/>
          <w:kern w:val="22"/>
          <w:szCs w:val="22"/>
          <w:shd w:val="clear" w:color="auto" w:fill="FFFFFF"/>
        </w:rPr>
        <w:t>World Business Council on Sustainable Development (WBCSD</w:t>
      </w:r>
      <w:r w:rsidRPr="009F54B9">
        <w:rPr>
          <w:snapToGrid w:val="0"/>
          <w:kern w:val="22"/>
          <w:szCs w:val="22"/>
        </w:rPr>
        <w:t xml:space="preserve"> 2011)</w:t>
      </w:r>
      <w:r w:rsidRPr="009F54B9">
        <w:rPr>
          <w:rStyle w:val="FootnoteReference"/>
          <w:snapToGrid w:val="0"/>
          <w:kern w:val="22"/>
          <w:szCs w:val="22"/>
        </w:rPr>
        <w:footnoteReference w:id="40"/>
      </w:r>
      <w:bookmarkEnd w:id="25"/>
    </w:p>
    <w:p w14:paraId="3F2EF1B8" w14:textId="77777777" w:rsidR="008E44C6" w:rsidRPr="009F54B9" w:rsidRDefault="008E44C6" w:rsidP="00EF4767">
      <w:pPr>
        <w:pBdr>
          <w:top w:val="single" w:sz="4" w:space="1" w:color="auto"/>
          <w:left w:val="single" w:sz="4" w:space="4" w:color="auto"/>
          <w:bottom w:val="single" w:sz="4" w:space="1" w:color="auto"/>
          <w:right w:val="single" w:sz="4" w:space="4" w:color="auto"/>
        </w:pBdr>
        <w:jc w:val="center"/>
        <w:rPr>
          <w:snapToGrid w:val="0"/>
          <w:color w:val="000000" w:themeColor="text1"/>
          <w:kern w:val="22"/>
          <w:szCs w:val="22"/>
        </w:rPr>
      </w:pPr>
      <w:r w:rsidRPr="009F54B9">
        <w:rPr>
          <w:noProof/>
          <w:snapToGrid w:val="0"/>
          <w:color w:val="000000" w:themeColor="text1"/>
          <w:kern w:val="22"/>
          <w:szCs w:val="22"/>
          <w:lang w:eastAsia="zh-CN"/>
        </w:rPr>
        <w:drawing>
          <wp:inline distT="0" distB="0" distL="0" distR="0" wp14:anchorId="39955175" wp14:editId="3062C4DB">
            <wp:extent cx="4413384" cy="3723115"/>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416702" cy="3725914"/>
                    </a:xfrm>
                    <a:prstGeom prst="rect">
                      <a:avLst/>
                    </a:prstGeom>
                    <a:noFill/>
                    <a:ln>
                      <a:noFill/>
                    </a:ln>
                  </pic:spPr>
                </pic:pic>
              </a:graphicData>
            </a:graphic>
          </wp:inline>
        </w:drawing>
      </w:r>
    </w:p>
    <w:p w14:paraId="06FC00E1" w14:textId="77777777" w:rsidR="008E44C6" w:rsidRPr="009F54B9" w:rsidRDefault="008E44C6" w:rsidP="0034676C">
      <w:pPr>
        <w:rPr>
          <w:snapToGrid w:val="0"/>
          <w:kern w:val="22"/>
          <w:szCs w:val="22"/>
        </w:rPr>
      </w:pPr>
    </w:p>
    <w:p w14:paraId="0CBA73D6" w14:textId="77777777" w:rsidR="008E44C6" w:rsidRPr="009F54B9" w:rsidRDefault="008E44C6" w:rsidP="0034676C">
      <w:pPr>
        <w:rPr>
          <w:snapToGrid w:val="0"/>
          <w:color w:val="000000" w:themeColor="text1"/>
          <w:kern w:val="22"/>
          <w:szCs w:val="22"/>
          <w:shd w:val="clear" w:color="auto" w:fill="FFFFFF"/>
        </w:rPr>
      </w:pPr>
      <w:r w:rsidRPr="009F54B9">
        <w:rPr>
          <w:snapToGrid w:val="0"/>
          <w:kern w:val="22"/>
          <w:szCs w:val="22"/>
        </w:rPr>
        <w:t xml:space="preserve">As illustrated by the Environmental Profit &amp; Loss Statement of Puma (Figure 8), a </w:t>
      </w:r>
      <w:r w:rsidRPr="009F54B9">
        <w:rPr>
          <w:snapToGrid w:val="0"/>
          <w:kern w:val="22"/>
          <w:szCs w:val="22"/>
          <w:lang w:val="en-US"/>
        </w:rPr>
        <w:t>sport and lifestyle brands, the majority of environmental impacts (57%) occur at the level of tier 4 suppliers (i.e. raw material producers such as cotton farmers). Manufacturers (tier 1 - manufacturer, tier 2 – outsourced processors and tier 3 – raw material processors) involved in Puma’s supply chains account for a lower share of environmental impacts (about 37%). However, they all rely on tier 4 suppliers to produce the goods sold by Puma to consumers worldwide.</w:t>
      </w:r>
    </w:p>
    <w:p w14:paraId="67FA7FC7" w14:textId="77777777" w:rsidR="008E44C6" w:rsidRPr="009F54B9" w:rsidRDefault="008E44C6" w:rsidP="00417942">
      <w:pPr>
        <w:rPr>
          <w:snapToGrid w:val="0"/>
          <w:color w:val="000000" w:themeColor="text1"/>
          <w:kern w:val="22"/>
          <w:szCs w:val="22"/>
        </w:rPr>
      </w:pPr>
    </w:p>
    <w:p w14:paraId="1004E77D" w14:textId="77777777" w:rsidR="008E44C6" w:rsidRPr="009F54B9" w:rsidRDefault="008E44C6" w:rsidP="00B01D34">
      <w:pPr>
        <w:pBdr>
          <w:top w:val="single" w:sz="4" w:space="1" w:color="auto"/>
          <w:left w:val="single" w:sz="4" w:space="4" w:color="auto"/>
          <w:bottom w:val="single" w:sz="4" w:space="1" w:color="auto"/>
          <w:right w:val="single" w:sz="4" w:space="4" w:color="auto"/>
        </w:pBdr>
        <w:jc w:val="center"/>
        <w:rPr>
          <w:snapToGrid w:val="0"/>
          <w:color w:val="000000" w:themeColor="text1"/>
          <w:kern w:val="22"/>
          <w:szCs w:val="22"/>
          <w:shd w:val="clear" w:color="auto" w:fill="FFFFFF"/>
        </w:rPr>
      </w:pPr>
      <w:r w:rsidRPr="009F54B9">
        <w:rPr>
          <w:noProof/>
          <w:snapToGrid w:val="0"/>
          <w:color w:val="000000" w:themeColor="text1"/>
          <w:kern w:val="22"/>
          <w:szCs w:val="22"/>
          <w:shd w:val="clear" w:color="auto" w:fill="FFFFFF"/>
          <w:lang w:eastAsia="zh-CN"/>
        </w:rPr>
        <w:lastRenderedPageBreak/>
        <w:drawing>
          <wp:inline distT="0" distB="0" distL="0" distR="0" wp14:anchorId="5826C6BF" wp14:editId="62A36846">
            <wp:extent cx="2809875" cy="328552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811736" cy="3287704"/>
                    </a:xfrm>
                    <a:prstGeom prst="rect">
                      <a:avLst/>
                    </a:prstGeom>
                    <a:noFill/>
                    <a:ln>
                      <a:noFill/>
                    </a:ln>
                  </pic:spPr>
                </pic:pic>
              </a:graphicData>
            </a:graphic>
          </wp:inline>
        </w:drawing>
      </w:r>
    </w:p>
    <w:p w14:paraId="273152FF" w14:textId="77777777" w:rsidR="008E44C6" w:rsidRPr="009F54B9" w:rsidRDefault="008E44C6" w:rsidP="0034676C">
      <w:pPr>
        <w:pStyle w:val="Caption"/>
        <w:pBdr>
          <w:top w:val="single" w:sz="4" w:space="1" w:color="auto"/>
          <w:left w:val="single" w:sz="4" w:space="4" w:color="auto"/>
          <w:bottom w:val="single" w:sz="4" w:space="1" w:color="auto"/>
          <w:right w:val="single" w:sz="4" w:space="4" w:color="auto"/>
        </w:pBdr>
        <w:jc w:val="center"/>
        <w:rPr>
          <w:snapToGrid w:val="0"/>
          <w:color w:val="000000" w:themeColor="text1"/>
          <w:kern w:val="22"/>
          <w:szCs w:val="22"/>
          <w:shd w:val="clear" w:color="auto" w:fill="FFFFFF"/>
        </w:rPr>
      </w:pPr>
      <w:bookmarkStart w:id="26" w:name="_Toc517688907"/>
      <w:r w:rsidRPr="009F54B9">
        <w:rPr>
          <w:snapToGrid w:val="0"/>
          <w:kern w:val="22"/>
        </w:rPr>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8</w:t>
      </w:r>
      <w:r w:rsidRPr="009F54B9">
        <w:rPr>
          <w:noProof/>
          <w:snapToGrid w:val="0"/>
          <w:kern w:val="22"/>
        </w:rPr>
        <w:fldChar w:fldCharType="end"/>
      </w:r>
      <w:r w:rsidRPr="009F54B9">
        <w:rPr>
          <w:snapToGrid w:val="0"/>
          <w:kern w:val="22"/>
        </w:rPr>
        <w:t xml:space="preserve">: Share of environmental impacts of the </w:t>
      </w:r>
      <w:proofErr w:type="spellStart"/>
      <w:r w:rsidRPr="009F54B9">
        <w:rPr>
          <w:snapToGrid w:val="0"/>
          <w:kern w:val="22"/>
        </w:rPr>
        <w:t>Kering</w:t>
      </w:r>
      <w:proofErr w:type="spellEnd"/>
      <w:r w:rsidRPr="009F54B9">
        <w:rPr>
          <w:snapToGrid w:val="0"/>
          <w:kern w:val="22"/>
        </w:rPr>
        <w:t xml:space="preserve"> supply chains ranked according to supplier type (CGMA 2014)</w:t>
      </w:r>
      <w:r w:rsidRPr="009F54B9">
        <w:rPr>
          <w:rStyle w:val="FootnoteReference"/>
          <w:snapToGrid w:val="0"/>
          <w:kern w:val="22"/>
        </w:rPr>
        <w:footnoteReference w:id="41"/>
      </w:r>
      <w:bookmarkEnd w:id="26"/>
    </w:p>
    <w:p w14:paraId="2A49B709" w14:textId="77777777" w:rsidR="008E44C6" w:rsidRPr="009F54B9" w:rsidRDefault="008E44C6" w:rsidP="00874EB8">
      <w:pPr>
        <w:rPr>
          <w:snapToGrid w:val="0"/>
          <w:color w:val="000000" w:themeColor="text1"/>
          <w:kern w:val="22"/>
          <w:szCs w:val="22"/>
          <w:shd w:val="clear" w:color="auto" w:fill="FFFFFF"/>
        </w:rPr>
      </w:pPr>
      <w:r w:rsidRPr="009F54B9">
        <w:rPr>
          <w:snapToGrid w:val="0"/>
          <w:color w:val="000000" w:themeColor="text1"/>
          <w:kern w:val="22"/>
          <w:szCs w:val="22"/>
          <w:shd w:val="clear" w:color="auto" w:fill="FFFFFF"/>
        </w:rPr>
        <w:br w:type="page"/>
      </w:r>
    </w:p>
    <w:p w14:paraId="68FFA929" w14:textId="77777777" w:rsidR="008E44C6" w:rsidRPr="009F54B9" w:rsidRDefault="008E44C6" w:rsidP="008E44C6">
      <w:pPr>
        <w:pStyle w:val="Heading2"/>
        <w:keepNext w:val="0"/>
        <w:numPr>
          <w:ilvl w:val="1"/>
          <w:numId w:val="10"/>
        </w:numPr>
        <w:tabs>
          <w:tab w:val="clear" w:pos="720"/>
        </w:tabs>
        <w:autoSpaceDE w:val="0"/>
        <w:autoSpaceDN w:val="0"/>
        <w:adjustRightInd w:val="0"/>
        <w:spacing w:before="0"/>
        <w:jc w:val="both"/>
        <w:rPr>
          <w:smallCaps/>
          <w:snapToGrid w:val="0"/>
          <w:kern w:val="22"/>
          <w:szCs w:val="22"/>
        </w:rPr>
      </w:pPr>
      <w:bookmarkStart w:id="27" w:name="_Toc517690315"/>
      <w:r w:rsidRPr="009F54B9">
        <w:rPr>
          <w:smallCaps/>
          <w:snapToGrid w:val="0"/>
          <w:kern w:val="22"/>
          <w:szCs w:val="22"/>
        </w:rPr>
        <w:lastRenderedPageBreak/>
        <w:t>Dependencies on ecosystem services of manufacturing industries</w:t>
      </w:r>
      <w:bookmarkEnd w:id="27"/>
      <w:r w:rsidRPr="009F54B9">
        <w:rPr>
          <w:smallCaps/>
          <w:snapToGrid w:val="0"/>
          <w:kern w:val="22"/>
          <w:szCs w:val="22"/>
        </w:rPr>
        <w:t xml:space="preserve"> </w:t>
      </w:r>
    </w:p>
    <w:p w14:paraId="33098261" w14:textId="77777777" w:rsidR="008E44C6" w:rsidRPr="009F54B9" w:rsidRDefault="008E44C6" w:rsidP="004F5916">
      <w:pPr>
        <w:rPr>
          <w:snapToGrid w:val="0"/>
          <w:kern w:val="22"/>
        </w:rPr>
      </w:pPr>
    </w:p>
    <w:p w14:paraId="0EDBA014" w14:textId="77777777" w:rsidR="008E44C6" w:rsidRPr="009F54B9" w:rsidRDefault="008E44C6" w:rsidP="001E5D79">
      <w:pPr>
        <w:pBdr>
          <w:bottom w:val="single" w:sz="4" w:space="1" w:color="auto"/>
        </w:pBdr>
        <w:rPr>
          <w:snapToGrid w:val="0"/>
          <w:color w:val="000000" w:themeColor="text1"/>
          <w:kern w:val="22"/>
          <w:szCs w:val="22"/>
          <w:shd w:val="clear" w:color="auto" w:fill="FFFFFF"/>
        </w:rPr>
      </w:pPr>
      <w:r w:rsidRPr="009F54B9">
        <w:rPr>
          <w:snapToGrid w:val="0"/>
          <w:color w:val="000000" w:themeColor="text1"/>
          <w:kern w:val="22"/>
          <w:szCs w:val="22"/>
          <w:shd w:val="clear" w:color="auto" w:fill="FFFFFF"/>
        </w:rPr>
        <w:t>Key messages:</w:t>
      </w:r>
    </w:p>
    <w:p w14:paraId="1A98D4C4" w14:textId="77777777" w:rsidR="008E44C6" w:rsidRPr="009F54B9" w:rsidRDefault="008E44C6" w:rsidP="008E44C6">
      <w:pPr>
        <w:pStyle w:val="ListParagraph"/>
        <w:numPr>
          <w:ilvl w:val="0"/>
          <w:numId w:val="32"/>
        </w:numPr>
        <w:pBdr>
          <w:bottom w:val="single" w:sz="4" w:space="0" w:color="auto"/>
        </w:pBdr>
        <w:autoSpaceDE w:val="0"/>
        <w:autoSpaceDN w:val="0"/>
        <w:adjustRightInd w:val="0"/>
        <w:spacing w:line="360" w:lineRule="auto"/>
        <w:rPr>
          <w:snapToGrid w:val="0"/>
          <w:kern w:val="22"/>
        </w:rPr>
      </w:pPr>
      <w:r w:rsidRPr="009F54B9">
        <w:rPr>
          <w:snapToGrid w:val="0"/>
          <w:kern w:val="22"/>
        </w:rPr>
        <w:t>They are several classifications of ecosystem services, each with its implications for measurement, valuation and decision-making. A critical concept to move forward in biodiversity mainstreaming is that of a Final Ecosystem Goods and Services (FEGS), which refers to the final product ‘produced’ by ‘natural environments’ with which a human beneficiary or a company interacts directly.</w:t>
      </w:r>
    </w:p>
    <w:p w14:paraId="74273133" w14:textId="77777777" w:rsidR="008E44C6" w:rsidRPr="009F54B9" w:rsidRDefault="008E44C6" w:rsidP="008E44C6">
      <w:pPr>
        <w:pStyle w:val="ListParagraph"/>
        <w:numPr>
          <w:ilvl w:val="0"/>
          <w:numId w:val="32"/>
        </w:numPr>
        <w:pBdr>
          <w:bottom w:val="single" w:sz="4" w:space="0" w:color="auto"/>
        </w:pBdr>
        <w:autoSpaceDE w:val="0"/>
        <w:autoSpaceDN w:val="0"/>
        <w:adjustRightInd w:val="0"/>
        <w:spacing w:line="360" w:lineRule="auto"/>
        <w:rPr>
          <w:snapToGrid w:val="0"/>
          <w:kern w:val="22"/>
        </w:rPr>
      </w:pPr>
      <w:r w:rsidRPr="009F54B9">
        <w:rPr>
          <w:snapToGrid w:val="0"/>
          <w:kern w:val="22"/>
        </w:rPr>
        <w:t>Manufacturing companies have few direct interactions with the ‘natural’ environment: e.g., water extraction from an aquifer or river at a factory, ecosystems acting as recipients of air and water emissions from a manufacturing plant.</w:t>
      </w:r>
    </w:p>
    <w:p w14:paraId="1E97751B" w14:textId="77777777" w:rsidR="008E44C6" w:rsidRPr="009F54B9" w:rsidRDefault="008E44C6" w:rsidP="008E44C6">
      <w:pPr>
        <w:pStyle w:val="ListParagraph"/>
        <w:numPr>
          <w:ilvl w:val="0"/>
          <w:numId w:val="32"/>
        </w:numPr>
        <w:pBdr>
          <w:bottom w:val="single" w:sz="4" w:space="0" w:color="auto"/>
        </w:pBdr>
        <w:autoSpaceDE w:val="0"/>
        <w:autoSpaceDN w:val="0"/>
        <w:adjustRightInd w:val="0"/>
        <w:spacing w:line="360" w:lineRule="auto"/>
        <w:rPr>
          <w:snapToGrid w:val="0"/>
          <w:spacing w:val="-5"/>
          <w:kern w:val="22"/>
        </w:rPr>
      </w:pPr>
      <w:r w:rsidRPr="009F54B9">
        <w:rPr>
          <w:snapToGrid w:val="0"/>
          <w:spacing w:val="-5"/>
          <w:kern w:val="22"/>
        </w:rPr>
        <w:t>The concept of indirect dependencies on ecosystem services is particularly important for manufacturers. S</w:t>
      </w:r>
      <w:r w:rsidRPr="009F54B9">
        <w:rPr>
          <w:snapToGrid w:val="0"/>
          <w:color w:val="000000" w:themeColor="text1"/>
          <w:spacing w:val="-5"/>
          <w:kern w:val="22"/>
          <w:szCs w:val="22"/>
          <w:shd w:val="clear" w:color="auto" w:fill="FFFFFF"/>
        </w:rPr>
        <w:t xml:space="preserve">ome manufacturers rely on the supply of renewable, biological raw materials (e.g., fibres, foods) while others use genetic resources and associated traditional knowledge, including the pharmaceutical, agriculture, industrial biotechnology, cosmetics, botanicals, and food and beverage sectors. In this context, </w:t>
      </w:r>
      <w:r w:rsidRPr="009F54B9">
        <w:rPr>
          <w:snapToGrid w:val="0"/>
          <w:spacing w:val="-5"/>
          <w:kern w:val="22"/>
        </w:rPr>
        <w:t>FEGS are typically found at the suppliers of raw materials.</w:t>
      </w:r>
    </w:p>
    <w:p w14:paraId="33743EC9" w14:textId="77777777" w:rsidR="008E44C6" w:rsidRPr="009F54B9" w:rsidRDefault="008E44C6" w:rsidP="008E44C6">
      <w:pPr>
        <w:pStyle w:val="ListParagraph"/>
        <w:numPr>
          <w:ilvl w:val="0"/>
          <w:numId w:val="32"/>
        </w:numPr>
        <w:pBdr>
          <w:bottom w:val="single" w:sz="4" w:space="0" w:color="auto"/>
        </w:pBdr>
        <w:autoSpaceDE w:val="0"/>
        <w:autoSpaceDN w:val="0"/>
        <w:adjustRightInd w:val="0"/>
        <w:spacing w:line="360" w:lineRule="auto"/>
        <w:rPr>
          <w:snapToGrid w:val="0"/>
          <w:kern w:val="22"/>
        </w:rPr>
      </w:pPr>
      <w:r w:rsidRPr="009F54B9">
        <w:rPr>
          <w:snapToGrid w:val="0"/>
          <w:kern w:val="22"/>
        </w:rPr>
        <w:t>This spatial and temporal distance between manufacturing companies and FEGS may partially explain the lack of recognition of the importance of ecosystem services by many manufacturing industries.</w:t>
      </w:r>
    </w:p>
    <w:p w14:paraId="0D9984C8" w14:textId="77777777" w:rsidR="008E44C6" w:rsidRPr="009F54B9" w:rsidRDefault="008E44C6" w:rsidP="004F5916">
      <w:pPr>
        <w:rPr>
          <w:snapToGrid w:val="0"/>
          <w:kern w:val="22"/>
        </w:rPr>
      </w:pPr>
    </w:p>
    <w:p w14:paraId="5587A560" w14:textId="77777777" w:rsidR="008E44C6" w:rsidRPr="009F54B9" w:rsidRDefault="008E44C6" w:rsidP="00411AAD">
      <w:pPr>
        <w:rPr>
          <w:snapToGrid w:val="0"/>
          <w:kern w:val="22"/>
        </w:rPr>
      </w:pPr>
      <w:r w:rsidRPr="009F54B9">
        <w:rPr>
          <w:snapToGrid w:val="0"/>
          <w:kern w:val="22"/>
        </w:rPr>
        <w:t xml:space="preserve">Attempting to understand and quantify the dependencies on biodiversity and ecosystem services of the manufacturing sector is not straightforward. This implies choosing an ecosystem services classification system, which has direct consequences for measurement, valuation and decision-making. </w:t>
      </w:r>
    </w:p>
    <w:p w14:paraId="4FE040F8" w14:textId="77777777" w:rsidR="008E44C6" w:rsidRPr="009F54B9" w:rsidRDefault="008E44C6" w:rsidP="00411AAD">
      <w:pPr>
        <w:rPr>
          <w:snapToGrid w:val="0"/>
          <w:kern w:val="22"/>
        </w:rPr>
      </w:pPr>
    </w:p>
    <w:p w14:paraId="692955EA" w14:textId="77777777" w:rsidR="008E44C6" w:rsidRPr="009F54B9" w:rsidRDefault="008E44C6" w:rsidP="00411AAD">
      <w:pPr>
        <w:rPr>
          <w:snapToGrid w:val="0"/>
          <w:kern w:val="22"/>
          <w:szCs w:val="22"/>
        </w:rPr>
      </w:pPr>
      <w:r w:rsidRPr="009F54B9">
        <w:rPr>
          <w:snapToGrid w:val="0"/>
          <w:kern w:val="22"/>
          <w:szCs w:val="22"/>
        </w:rPr>
        <w:t>In 2005, the MA</w:t>
      </w:r>
      <w:r w:rsidRPr="009F54B9">
        <w:rPr>
          <w:rStyle w:val="FootnoteReference"/>
          <w:snapToGrid w:val="0"/>
          <w:kern w:val="22"/>
          <w:szCs w:val="22"/>
        </w:rPr>
        <w:footnoteReference w:id="42"/>
      </w:r>
      <w:r w:rsidRPr="009F54B9">
        <w:rPr>
          <w:snapToGrid w:val="0"/>
          <w:kern w:val="22"/>
          <w:szCs w:val="22"/>
        </w:rPr>
        <w:t xml:space="preserve"> proposed four general types of ecosystem services (Figure 9): </w:t>
      </w:r>
    </w:p>
    <w:p w14:paraId="71D1DA75" w14:textId="77777777" w:rsidR="008E44C6" w:rsidRPr="009F54B9" w:rsidRDefault="008E44C6" w:rsidP="008E44C6">
      <w:pPr>
        <w:pStyle w:val="ListParagraph"/>
        <w:numPr>
          <w:ilvl w:val="0"/>
          <w:numId w:val="13"/>
        </w:numPr>
        <w:autoSpaceDE w:val="0"/>
        <w:autoSpaceDN w:val="0"/>
        <w:adjustRightInd w:val="0"/>
        <w:spacing w:line="360" w:lineRule="auto"/>
        <w:rPr>
          <w:snapToGrid w:val="0"/>
          <w:kern w:val="22"/>
          <w:szCs w:val="22"/>
        </w:rPr>
      </w:pPr>
      <w:r w:rsidRPr="009F54B9">
        <w:rPr>
          <w:snapToGrid w:val="0"/>
          <w:kern w:val="22"/>
          <w:szCs w:val="22"/>
        </w:rPr>
        <w:t xml:space="preserve">Supporting services: The natural processes that underlie and maintain other ecosystem services (e.g., nutrient cycling, primary production); </w:t>
      </w:r>
    </w:p>
    <w:p w14:paraId="1AB69C4A" w14:textId="77777777" w:rsidR="008E44C6" w:rsidRPr="009F54B9" w:rsidRDefault="008E44C6" w:rsidP="008E44C6">
      <w:pPr>
        <w:pStyle w:val="ListParagraph"/>
        <w:numPr>
          <w:ilvl w:val="0"/>
          <w:numId w:val="13"/>
        </w:numPr>
        <w:autoSpaceDE w:val="0"/>
        <w:autoSpaceDN w:val="0"/>
        <w:adjustRightInd w:val="0"/>
        <w:spacing w:line="360" w:lineRule="auto"/>
        <w:rPr>
          <w:snapToGrid w:val="0"/>
          <w:kern w:val="22"/>
          <w:szCs w:val="22"/>
        </w:rPr>
      </w:pPr>
      <w:r w:rsidRPr="009F54B9">
        <w:rPr>
          <w:snapToGrid w:val="0"/>
          <w:kern w:val="22"/>
          <w:szCs w:val="22"/>
        </w:rPr>
        <w:t xml:space="preserve">Provisioning services: The goods or products from ecosystems used by people (e.g., water, timber, food); </w:t>
      </w:r>
    </w:p>
    <w:p w14:paraId="6A967801" w14:textId="77777777" w:rsidR="008E44C6" w:rsidRPr="009F54B9" w:rsidRDefault="008E44C6" w:rsidP="008E44C6">
      <w:pPr>
        <w:pStyle w:val="ListParagraph"/>
        <w:numPr>
          <w:ilvl w:val="0"/>
          <w:numId w:val="13"/>
        </w:numPr>
        <w:autoSpaceDE w:val="0"/>
        <w:autoSpaceDN w:val="0"/>
        <w:adjustRightInd w:val="0"/>
        <w:spacing w:line="360" w:lineRule="auto"/>
        <w:rPr>
          <w:snapToGrid w:val="0"/>
          <w:kern w:val="22"/>
          <w:szCs w:val="22"/>
        </w:rPr>
      </w:pPr>
      <w:r w:rsidRPr="009F54B9">
        <w:rPr>
          <w:snapToGrid w:val="0"/>
          <w:kern w:val="22"/>
          <w:szCs w:val="22"/>
        </w:rPr>
        <w:t xml:space="preserve">Regulating services: The benefits people receive from an ecosystem functioning to regulate natural processes (e.g., erosion control, temperance of flooding); </w:t>
      </w:r>
    </w:p>
    <w:p w14:paraId="2986B640" w14:textId="77777777" w:rsidR="008E44C6" w:rsidRPr="009F54B9" w:rsidRDefault="008E44C6" w:rsidP="008E44C6">
      <w:pPr>
        <w:pStyle w:val="ListParagraph"/>
        <w:numPr>
          <w:ilvl w:val="0"/>
          <w:numId w:val="13"/>
        </w:numPr>
        <w:autoSpaceDE w:val="0"/>
        <w:autoSpaceDN w:val="0"/>
        <w:adjustRightInd w:val="0"/>
        <w:spacing w:line="360" w:lineRule="auto"/>
        <w:rPr>
          <w:snapToGrid w:val="0"/>
          <w:kern w:val="22"/>
          <w:szCs w:val="22"/>
        </w:rPr>
      </w:pPr>
      <w:r w:rsidRPr="009F54B9">
        <w:rPr>
          <w:snapToGrid w:val="0"/>
          <w:kern w:val="22"/>
          <w:szCs w:val="22"/>
        </w:rPr>
        <w:t xml:space="preserve">Cultural services: The non-material human benefits from ecosystems (e.g., recreation, inspiration). </w:t>
      </w:r>
    </w:p>
    <w:p w14:paraId="300A80B4" w14:textId="77777777" w:rsidR="008E44C6" w:rsidRPr="009F54B9" w:rsidRDefault="008E44C6" w:rsidP="004F5916">
      <w:pPr>
        <w:rPr>
          <w:snapToGrid w:val="0"/>
          <w:kern w:val="22"/>
        </w:rPr>
      </w:pPr>
      <w:r w:rsidRPr="009F54B9">
        <w:rPr>
          <w:snapToGrid w:val="0"/>
          <w:kern w:val="22"/>
        </w:rPr>
        <w:t>These broad categories of ecosystem services quickly gained world-wide recognition, and have been explicitly mentioned in (or adopted by) various corporate valuation guidance documents, such as The Guide to Corporate Ecosystem Valuation (WBCSD 2011)</w:t>
      </w:r>
      <w:r w:rsidRPr="009F54B9">
        <w:rPr>
          <w:rStyle w:val="FootnoteReference"/>
          <w:snapToGrid w:val="0"/>
          <w:kern w:val="22"/>
        </w:rPr>
        <w:footnoteReference w:id="43"/>
      </w:r>
      <w:r w:rsidRPr="009F54B9">
        <w:rPr>
          <w:snapToGrid w:val="0"/>
          <w:kern w:val="22"/>
        </w:rPr>
        <w:t>.</w:t>
      </w:r>
    </w:p>
    <w:p w14:paraId="1DF84FDC" w14:textId="77777777" w:rsidR="008E44C6" w:rsidRPr="009F54B9" w:rsidRDefault="008E44C6" w:rsidP="004F5916">
      <w:pPr>
        <w:rPr>
          <w:snapToGrid w:val="0"/>
          <w:kern w:val="22"/>
        </w:rPr>
      </w:pPr>
    </w:p>
    <w:p w14:paraId="5A1C75ED" w14:textId="77777777" w:rsidR="008E44C6" w:rsidRPr="009F54B9" w:rsidRDefault="008E44C6" w:rsidP="00A5115C">
      <w:pPr>
        <w:pStyle w:val="Default"/>
        <w:pBdr>
          <w:top w:val="single" w:sz="4" w:space="1" w:color="auto"/>
          <w:left w:val="single" w:sz="4" w:space="4" w:color="auto"/>
          <w:bottom w:val="single" w:sz="4" w:space="1" w:color="auto"/>
          <w:right w:val="single" w:sz="4" w:space="4" w:color="auto"/>
        </w:pBdr>
        <w:jc w:val="center"/>
        <w:rPr>
          <w:snapToGrid w:val="0"/>
          <w:kern w:val="22"/>
          <w:sz w:val="22"/>
          <w:szCs w:val="22"/>
        </w:rPr>
      </w:pPr>
      <w:r w:rsidRPr="009F54B9">
        <w:rPr>
          <w:noProof/>
          <w:snapToGrid w:val="0"/>
          <w:kern w:val="22"/>
          <w:sz w:val="22"/>
          <w:szCs w:val="22"/>
          <w:lang w:val="en-GB" w:eastAsia="zh-CN"/>
        </w:rPr>
        <w:drawing>
          <wp:inline distT="0" distB="0" distL="0" distR="0" wp14:anchorId="31E42BEF" wp14:editId="197635E3">
            <wp:extent cx="5334635" cy="382270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34635" cy="3822700"/>
                    </a:xfrm>
                    <a:prstGeom prst="rect">
                      <a:avLst/>
                    </a:prstGeom>
                    <a:noFill/>
                  </pic:spPr>
                </pic:pic>
              </a:graphicData>
            </a:graphic>
          </wp:inline>
        </w:drawing>
      </w:r>
    </w:p>
    <w:p w14:paraId="10E4D81F" w14:textId="77777777" w:rsidR="008E44C6" w:rsidRPr="009F54B9" w:rsidRDefault="008E44C6" w:rsidP="00A5115C">
      <w:pPr>
        <w:pStyle w:val="Default"/>
        <w:pBdr>
          <w:top w:val="single" w:sz="4" w:space="1" w:color="auto"/>
          <w:left w:val="single" w:sz="4" w:space="4" w:color="auto"/>
          <w:bottom w:val="single" w:sz="4" w:space="1" w:color="auto"/>
          <w:right w:val="single" w:sz="4" w:space="4" w:color="auto"/>
        </w:pBdr>
        <w:jc w:val="center"/>
        <w:rPr>
          <w:snapToGrid w:val="0"/>
          <w:kern w:val="22"/>
          <w:sz w:val="22"/>
          <w:szCs w:val="22"/>
        </w:rPr>
      </w:pPr>
    </w:p>
    <w:p w14:paraId="3643DAA1" w14:textId="77777777" w:rsidR="008E44C6" w:rsidRPr="009F54B9" w:rsidRDefault="008E44C6" w:rsidP="00A5115C">
      <w:pPr>
        <w:keepNext/>
        <w:pBdr>
          <w:top w:val="single" w:sz="4" w:space="1" w:color="auto"/>
          <w:left w:val="single" w:sz="4" w:space="4" w:color="auto"/>
          <w:bottom w:val="single" w:sz="4" w:space="1" w:color="auto"/>
          <w:right w:val="single" w:sz="4" w:space="4" w:color="auto"/>
        </w:pBdr>
        <w:jc w:val="center"/>
        <w:rPr>
          <w:snapToGrid w:val="0"/>
          <w:kern w:val="22"/>
        </w:rPr>
      </w:pPr>
      <w:bookmarkStart w:id="28" w:name="_Toc517688908"/>
      <w:r w:rsidRPr="009F54B9">
        <w:rPr>
          <w:snapToGrid w:val="0"/>
          <w:kern w:val="22"/>
        </w:rPr>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9</w:t>
      </w:r>
      <w:r w:rsidRPr="009F54B9">
        <w:rPr>
          <w:noProof/>
          <w:snapToGrid w:val="0"/>
          <w:kern w:val="22"/>
        </w:rPr>
        <w:fldChar w:fldCharType="end"/>
      </w:r>
      <w:r w:rsidRPr="009F54B9">
        <w:rPr>
          <w:snapToGrid w:val="0"/>
          <w:kern w:val="22"/>
          <w:szCs w:val="22"/>
        </w:rPr>
        <w:t>: Linkages between ecosystem services and human well-being (MA 2005).</w:t>
      </w:r>
      <w:bookmarkEnd w:id="28"/>
    </w:p>
    <w:p w14:paraId="64272342" w14:textId="77777777" w:rsidR="008E44C6" w:rsidRPr="009F54B9" w:rsidRDefault="008E44C6" w:rsidP="004F5916">
      <w:pPr>
        <w:rPr>
          <w:i/>
          <w:iCs/>
          <w:snapToGrid w:val="0"/>
          <w:kern w:val="22"/>
          <w:szCs w:val="22"/>
        </w:rPr>
      </w:pPr>
    </w:p>
    <w:p w14:paraId="4C8093D6" w14:textId="77777777" w:rsidR="008E44C6" w:rsidRPr="009F54B9" w:rsidRDefault="008E44C6" w:rsidP="006209B0">
      <w:pPr>
        <w:rPr>
          <w:snapToGrid w:val="0"/>
          <w:spacing w:val="-3"/>
          <w:kern w:val="22"/>
        </w:rPr>
      </w:pPr>
      <w:r w:rsidRPr="009F54B9">
        <w:rPr>
          <w:snapToGrid w:val="0"/>
          <w:spacing w:val="-3"/>
          <w:kern w:val="22"/>
        </w:rPr>
        <w:t>Yet, numerous efforts were made to further detail and classify different types of “ecosystem services” for improved valuation, accounting and / or decision-making (</w:t>
      </w:r>
      <w:proofErr w:type="spellStart"/>
      <w:r w:rsidRPr="009F54B9">
        <w:rPr>
          <w:snapToGrid w:val="0"/>
          <w:spacing w:val="-3"/>
          <w:kern w:val="22"/>
        </w:rPr>
        <w:t>Liquete</w:t>
      </w:r>
      <w:proofErr w:type="spellEnd"/>
      <w:r w:rsidRPr="009F54B9">
        <w:rPr>
          <w:snapToGrid w:val="0"/>
          <w:spacing w:val="-3"/>
          <w:kern w:val="22"/>
        </w:rPr>
        <w:t xml:space="preserve">  </w:t>
      </w:r>
      <w:r w:rsidRPr="009F54B9">
        <w:rPr>
          <w:i/>
          <w:snapToGrid w:val="0"/>
          <w:spacing w:val="-3"/>
          <w:kern w:val="22"/>
        </w:rPr>
        <w:t>et al</w:t>
      </w:r>
      <w:r w:rsidRPr="009F54B9">
        <w:rPr>
          <w:snapToGrid w:val="0"/>
          <w:spacing w:val="-3"/>
          <w:kern w:val="22"/>
        </w:rPr>
        <w:t xml:space="preserve">., </w:t>
      </w:r>
      <w:r w:rsidRPr="009F54B9">
        <w:rPr>
          <w:snapToGrid w:val="0"/>
          <w:spacing w:val="-3"/>
          <w:kern w:val="22"/>
          <w:szCs w:val="22"/>
        </w:rPr>
        <w:t>2013</w:t>
      </w:r>
      <w:r w:rsidRPr="009F54B9">
        <w:rPr>
          <w:rStyle w:val="FootnoteReference"/>
          <w:snapToGrid w:val="0"/>
          <w:spacing w:val="-3"/>
          <w:kern w:val="22"/>
          <w:szCs w:val="22"/>
        </w:rPr>
        <w:footnoteReference w:id="44"/>
      </w:r>
      <w:r w:rsidRPr="009F54B9">
        <w:rPr>
          <w:snapToGrid w:val="0"/>
          <w:spacing w:val="-3"/>
          <w:kern w:val="22"/>
          <w:szCs w:val="22"/>
        </w:rPr>
        <w:t>)</w:t>
      </w:r>
      <w:r w:rsidRPr="009F54B9">
        <w:rPr>
          <w:rStyle w:val="FootnoteReference"/>
          <w:snapToGrid w:val="0"/>
          <w:spacing w:val="-3"/>
          <w:kern w:val="22"/>
          <w:szCs w:val="22"/>
        </w:rPr>
        <w:footnoteReference w:id="45"/>
      </w:r>
      <w:r w:rsidRPr="009F54B9">
        <w:rPr>
          <w:snapToGrid w:val="0"/>
          <w:spacing w:val="-3"/>
          <w:kern w:val="22"/>
          <w:szCs w:val="22"/>
        </w:rPr>
        <w:t>, including (but not limited</w:t>
      </w:r>
      <w:r w:rsidRPr="009F54B9">
        <w:rPr>
          <w:snapToGrid w:val="0"/>
          <w:spacing w:val="-3"/>
          <w:kern w:val="22"/>
        </w:rPr>
        <w:t xml:space="preserve"> to) The Economics of Ecosystems and Biodiversity (a 22-ecosystem-service “typology”; TEEB 2012</w:t>
      </w:r>
      <w:r w:rsidRPr="009F54B9">
        <w:rPr>
          <w:rStyle w:val="FootnoteReference"/>
          <w:snapToGrid w:val="0"/>
          <w:spacing w:val="-3"/>
          <w:kern w:val="22"/>
        </w:rPr>
        <w:footnoteReference w:id="46"/>
      </w:r>
      <w:r w:rsidRPr="009F54B9">
        <w:rPr>
          <w:snapToGrid w:val="0"/>
          <w:spacing w:val="-3"/>
          <w:kern w:val="22"/>
        </w:rPr>
        <w:t xml:space="preserve">) and The Common International Classification of Ecosystem Services (CICES) (Haines-Young and </w:t>
      </w:r>
      <w:proofErr w:type="spellStart"/>
      <w:r w:rsidRPr="009F54B9">
        <w:rPr>
          <w:snapToGrid w:val="0"/>
          <w:spacing w:val="-3"/>
          <w:kern w:val="22"/>
        </w:rPr>
        <w:t>Potschin</w:t>
      </w:r>
      <w:proofErr w:type="spellEnd"/>
      <w:r w:rsidRPr="009F54B9">
        <w:rPr>
          <w:snapToGrid w:val="0"/>
          <w:spacing w:val="-3"/>
          <w:kern w:val="22"/>
        </w:rPr>
        <w:t>, 2013</w:t>
      </w:r>
      <w:r w:rsidRPr="009F54B9">
        <w:rPr>
          <w:rStyle w:val="FootnoteReference"/>
          <w:snapToGrid w:val="0"/>
          <w:spacing w:val="-3"/>
          <w:kern w:val="22"/>
        </w:rPr>
        <w:footnoteReference w:id="47"/>
      </w:r>
      <w:r w:rsidRPr="009F54B9">
        <w:rPr>
          <w:snapToGrid w:val="0"/>
          <w:spacing w:val="-3"/>
          <w:kern w:val="22"/>
        </w:rPr>
        <w:t>). This notably involved the differentiation of the broad notion of “ecosystem services” into ecosystem processes and functions (sometimes referred to as “intermediate ecosystem services”) and “final ecosystem goods and services” (FEGS) (e.g., Boyd and Banzhaf, 2007</w:t>
      </w:r>
      <w:r w:rsidRPr="009F54B9">
        <w:rPr>
          <w:rStyle w:val="FootnoteReference"/>
          <w:snapToGrid w:val="0"/>
          <w:spacing w:val="-3"/>
          <w:kern w:val="22"/>
        </w:rPr>
        <w:footnoteReference w:id="48"/>
      </w:r>
      <w:r w:rsidRPr="009F54B9">
        <w:rPr>
          <w:snapToGrid w:val="0"/>
          <w:spacing w:val="-3"/>
          <w:kern w:val="22"/>
        </w:rPr>
        <w:t>)</w:t>
      </w:r>
      <w:r w:rsidRPr="009F54B9">
        <w:rPr>
          <w:rStyle w:val="FootnoteReference"/>
          <w:snapToGrid w:val="0"/>
          <w:spacing w:val="-3"/>
          <w:kern w:val="22"/>
        </w:rPr>
        <w:footnoteReference w:id="49"/>
      </w:r>
      <w:r w:rsidRPr="009F54B9">
        <w:rPr>
          <w:snapToGrid w:val="0"/>
          <w:spacing w:val="-3"/>
          <w:kern w:val="22"/>
        </w:rPr>
        <w:t>.</w:t>
      </w:r>
    </w:p>
    <w:p w14:paraId="7BB4520E" w14:textId="77777777" w:rsidR="008E44C6" w:rsidRPr="009F54B9" w:rsidRDefault="008E44C6" w:rsidP="006209B0">
      <w:pPr>
        <w:rPr>
          <w:snapToGrid w:val="0"/>
          <w:kern w:val="22"/>
        </w:rPr>
      </w:pPr>
    </w:p>
    <w:p w14:paraId="4FBCD0B5" w14:textId="77777777" w:rsidR="008E44C6" w:rsidRPr="009F54B9" w:rsidRDefault="008E44C6" w:rsidP="006209B0">
      <w:pPr>
        <w:rPr>
          <w:snapToGrid w:val="0"/>
          <w:kern w:val="22"/>
        </w:rPr>
      </w:pPr>
      <w:r w:rsidRPr="009F54B9">
        <w:rPr>
          <w:snapToGrid w:val="0"/>
          <w:kern w:val="22"/>
        </w:rPr>
        <w:t xml:space="preserve">FEGS are the final (i.e., end) product ‘produced’ by ‘natural’ environments with which a human beneficiary (or a company) interacts directly (Landers and </w:t>
      </w:r>
      <w:proofErr w:type="spellStart"/>
      <w:r w:rsidRPr="009F54B9">
        <w:rPr>
          <w:snapToGrid w:val="0"/>
          <w:kern w:val="22"/>
        </w:rPr>
        <w:t>Nahlik</w:t>
      </w:r>
      <w:proofErr w:type="spellEnd"/>
      <w:r w:rsidRPr="009F54B9">
        <w:rPr>
          <w:snapToGrid w:val="0"/>
          <w:kern w:val="22"/>
        </w:rPr>
        <w:t>, 2013</w:t>
      </w:r>
      <w:r w:rsidRPr="009F54B9">
        <w:rPr>
          <w:rStyle w:val="FootnoteReference"/>
          <w:snapToGrid w:val="0"/>
          <w:kern w:val="22"/>
        </w:rPr>
        <w:footnoteReference w:id="50"/>
      </w:r>
      <w:r w:rsidRPr="009F54B9">
        <w:rPr>
          <w:snapToGrid w:val="0"/>
          <w:kern w:val="22"/>
        </w:rPr>
        <w:t xml:space="preserve">). This means that the benefits of FEGS cannot be realized by companies without some varying amount of input of </w:t>
      </w:r>
      <w:r w:rsidR="00A53927" w:rsidRPr="009F54B9">
        <w:rPr>
          <w:snapToGrid w:val="0"/>
          <w:kern w:val="22"/>
        </w:rPr>
        <w:t>labour</w:t>
      </w:r>
      <w:r w:rsidRPr="009F54B9">
        <w:rPr>
          <w:snapToGrid w:val="0"/>
          <w:kern w:val="22"/>
        </w:rPr>
        <w:t xml:space="preserve"> and capital goods (i.e., to produce conventional goods and services) (Boyd and Banzhaf 2007</w:t>
      </w:r>
      <w:r w:rsidRPr="009F54B9">
        <w:rPr>
          <w:rStyle w:val="FootnoteReference"/>
          <w:snapToGrid w:val="0"/>
          <w:kern w:val="22"/>
        </w:rPr>
        <w:footnoteReference w:id="51"/>
      </w:r>
      <w:r w:rsidRPr="009F54B9">
        <w:rPr>
          <w:snapToGrid w:val="0"/>
          <w:kern w:val="22"/>
        </w:rPr>
        <w:t xml:space="preserve">) (Figures 10 and 11). FEGS are free in themselves. What companies pay for typically include rights of access / use and the costs of </w:t>
      </w:r>
      <w:r w:rsidR="00A53927" w:rsidRPr="009F54B9">
        <w:rPr>
          <w:snapToGrid w:val="0"/>
          <w:kern w:val="22"/>
        </w:rPr>
        <w:t>labour</w:t>
      </w:r>
      <w:r w:rsidRPr="009F54B9">
        <w:rPr>
          <w:snapToGrid w:val="0"/>
          <w:kern w:val="22"/>
        </w:rPr>
        <w:t xml:space="preserve"> and capital goods.</w:t>
      </w:r>
    </w:p>
    <w:p w14:paraId="199F7FB4" w14:textId="77777777" w:rsidR="008E44C6" w:rsidRPr="009F54B9" w:rsidRDefault="008E44C6" w:rsidP="006209B0">
      <w:pPr>
        <w:rPr>
          <w:snapToGrid w:val="0"/>
          <w:kern w:val="22"/>
        </w:rPr>
      </w:pPr>
    </w:p>
    <w:p w14:paraId="16F2EEF7" w14:textId="77777777" w:rsidR="008E44C6" w:rsidRPr="009F54B9" w:rsidRDefault="008E44C6" w:rsidP="006209B0">
      <w:pPr>
        <w:rPr>
          <w:snapToGrid w:val="0"/>
          <w:kern w:val="22"/>
        </w:rPr>
      </w:pPr>
      <w:r w:rsidRPr="009F54B9">
        <w:rPr>
          <w:snapToGrid w:val="0"/>
          <w:kern w:val="22"/>
        </w:rPr>
        <w:t xml:space="preserve">For instance, soils are the ecological foundation for producing food and </w:t>
      </w:r>
      <w:r w:rsidR="00A7580C">
        <w:rPr>
          <w:snapToGrid w:val="0"/>
          <w:kern w:val="22"/>
        </w:rPr>
        <w:t>fibre</w:t>
      </w:r>
      <w:r w:rsidRPr="009F54B9">
        <w:rPr>
          <w:snapToGrid w:val="0"/>
          <w:kern w:val="22"/>
        </w:rPr>
        <w:t xml:space="preserve"> and are FEGS. Soil “health” may be measured using several indicators (e.g., bulk density, reactive carbon, soil enzymes, earthworms, etc.) (Landers </w:t>
      </w:r>
      <w:r w:rsidRPr="009F54B9">
        <w:rPr>
          <w:i/>
          <w:snapToGrid w:val="0"/>
          <w:kern w:val="22"/>
        </w:rPr>
        <w:t>et al</w:t>
      </w:r>
      <w:r w:rsidRPr="009F54B9">
        <w:rPr>
          <w:snapToGrid w:val="0"/>
          <w:kern w:val="22"/>
        </w:rPr>
        <w:t>., 2016</w:t>
      </w:r>
      <w:r w:rsidRPr="009F54B9">
        <w:rPr>
          <w:rStyle w:val="FootnoteReference"/>
          <w:snapToGrid w:val="0"/>
          <w:kern w:val="22"/>
        </w:rPr>
        <w:footnoteReference w:id="52"/>
      </w:r>
      <w:r w:rsidRPr="009F54B9">
        <w:rPr>
          <w:snapToGrid w:val="0"/>
          <w:kern w:val="22"/>
        </w:rPr>
        <w:t xml:space="preserve">). Farmers (i.e. beneficiaries) directly interact with soil to produce various crops (i.e. benefits). This means that many renewable living resources (e.g., crops, cattle, fish farmed, tree plantations) originally considered to be ecosystem services are not FEGS. They are not naturally occurring in the environment, they require significant and quantifiable inputs of human </w:t>
      </w:r>
      <w:r w:rsidR="00A53927" w:rsidRPr="009F54B9">
        <w:rPr>
          <w:snapToGrid w:val="0"/>
          <w:kern w:val="22"/>
        </w:rPr>
        <w:t>labour</w:t>
      </w:r>
      <w:r w:rsidRPr="009F54B9">
        <w:rPr>
          <w:snapToGrid w:val="0"/>
          <w:kern w:val="22"/>
        </w:rPr>
        <w:t xml:space="preserve"> and capital and are already accounted for in business and national industrial accounts. </w:t>
      </w:r>
    </w:p>
    <w:p w14:paraId="00C633A7" w14:textId="77777777" w:rsidR="008E44C6" w:rsidRPr="009F54B9" w:rsidRDefault="008E44C6" w:rsidP="00D42109">
      <w:pPr>
        <w:rPr>
          <w:snapToGrid w:val="0"/>
          <w:kern w:val="22"/>
        </w:rPr>
      </w:pPr>
    </w:p>
    <w:p w14:paraId="4EB850CE" w14:textId="77777777" w:rsidR="008E44C6" w:rsidRPr="009F54B9" w:rsidRDefault="008E44C6" w:rsidP="00D42109">
      <w:pPr>
        <w:pBdr>
          <w:top w:val="single" w:sz="4" w:space="1" w:color="auto"/>
          <w:left w:val="single" w:sz="4" w:space="4" w:color="auto"/>
          <w:bottom w:val="single" w:sz="4" w:space="1" w:color="auto"/>
          <w:right w:val="single" w:sz="4" w:space="4" w:color="auto"/>
        </w:pBdr>
        <w:jc w:val="center"/>
        <w:rPr>
          <w:snapToGrid w:val="0"/>
          <w:kern w:val="22"/>
        </w:rPr>
      </w:pPr>
      <w:r w:rsidRPr="009F54B9">
        <w:rPr>
          <w:noProof/>
          <w:snapToGrid w:val="0"/>
          <w:kern w:val="22"/>
          <w:lang w:eastAsia="zh-CN"/>
        </w:rPr>
        <w:drawing>
          <wp:inline distT="0" distB="0" distL="0" distR="0" wp14:anchorId="66FDF292" wp14:editId="374FB237">
            <wp:extent cx="4352925" cy="371551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366221" cy="3726862"/>
                    </a:xfrm>
                    <a:prstGeom prst="rect">
                      <a:avLst/>
                    </a:prstGeom>
                    <a:noFill/>
                    <a:ln>
                      <a:noFill/>
                    </a:ln>
                  </pic:spPr>
                </pic:pic>
              </a:graphicData>
            </a:graphic>
          </wp:inline>
        </w:drawing>
      </w:r>
      <w:bookmarkStart w:id="29" w:name="_Toc486485398"/>
    </w:p>
    <w:p w14:paraId="1000BF17" w14:textId="77777777" w:rsidR="008E44C6" w:rsidRPr="009F54B9" w:rsidRDefault="008E44C6" w:rsidP="00D42109">
      <w:pPr>
        <w:pBdr>
          <w:top w:val="single" w:sz="4" w:space="1" w:color="auto"/>
          <w:left w:val="single" w:sz="4" w:space="4" w:color="auto"/>
          <w:bottom w:val="single" w:sz="4" w:space="1" w:color="auto"/>
          <w:right w:val="single" w:sz="4" w:space="4" w:color="auto"/>
        </w:pBdr>
        <w:jc w:val="center"/>
        <w:rPr>
          <w:snapToGrid w:val="0"/>
          <w:kern w:val="22"/>
        </w:rPr>
      </w:pPr>
      <w:bookmarkStart w:id="30" w:name="_Toc517688909"/>
      <w:r w:rsidRPr="009F54B9">
        <w:rPr>
          <w:snapToGrid w:val="0"/>
          <w:kern w:val="22"/>
        </w:rPr>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10</w:t>
      </w:r>
      <w:r w:rsidRPr="009F54B9">
        <w:rPr>
          <w:noProof/>
          <w:snapToGrid w:val="0"/>
          <w:kern w:val="22"/>
        </w:rPr>
        <w:fldChar w:fldCharType="end"/>
      </w:r>
      <w:r w:rsidRPr="009F54B9">
        <w:rPr>
          <w:snapToGrid w:val="0"/>
          <w:kern w:val="22"/>
        </w:rPr>
        <w:t xml:space="preserve">: Illustration of a production function between the environment and human well-being how Final Ecosystem Goods and Services (FEGS) can be used to delineate the ecological production function from the economic production function. The beneficiary is specific and inherent to the FEGS in the production function (Landers and </w:t>
      </w:r>
      <w:proofErr w:type="spellStart"/>
      <w:r w:rsidRPr="009F54B9">
        <w:rPr>
          <w:snapToGrid w:val="0"/>
          <w:kern w:val="22"/>
        </w:rPr>
        <w:t>Nahlik</w:t>
      </w:r>
      <w:proofErr w:type="spellEnd"/>
      <w:r w:rsidRPr="009F54B9">
        <w:rPr>
          <w:snapToGrid w:val="0"/>
          <w:kern w:val="22"/>
        </w:rPr>
        <w:t>, 2013</w:t>
      </w:r>
      <w:r w:rsidRPr="009F54B9">
        <w:rPr>
          <w:rStyle w:val="FootnoteReference"/>
          <w:snapToGrid w:val="0"/>
          <w:kern w:val="22"/>
        </w:rPr>
        <w:footnoteReference w:id="53"/>
      </w:r>
      <w:r w:rsidRPr="009F54B9">
        <w:rPr>
          <w:snapToGrid w:val="0"/>
          <w:kern w:val="22"/>
        </w:rPr>
        <w:t>: 5).</w:t>
      </w:r>
      <w:bookmarkEnd w:id="29"/>
      <w:bookmarkEnd w:id="30"/>
    </w:p>
    <w:p w14:paraId="07AF828A" w14:textId="77777777" w:rsidR="008E44C6" w:rsidRPr="009F54B9" w:rsidRDefault="008E44C6" w:rsidP="006209B0">
      <w:pPr>
        <w:rPr>
          <w:snapToGrid w:val="0"/>
          <w:kern w:val="22"/>
        </w:rPr>
      </w:pPr>
    </w:p>
    <w:p w14:paraId="732FAFE9" w14:textId="77777777" w:rsidR="008E44C6" w:rsidRPr="009F54B9" w:rsidRDefault="008E44C6" w:rsidP="00B972B1">
      <w:pPr>
        <w:rPr>
          <w:snapToGrid w:val="0"/>
          <w:kern w:val="22"/>
        </w:rPr>
      </w:pPr>
      <w:r w:rsidRPr="009F54B9">
        <w:rPr>
          <w:snapToGrid w:val="0"/>
          <w:kern w:val="22"/>
        </w:rPr>
        <w:lastRenderedPageBreak/>
        <w:t xml:space="preserve">What does this mean for the manufacturing sector and its dependencies on biodiversity and ecosystem services? </w:t>
      </w:r>
    </w:p>
    <w:p w14:paraId="077C7E4D" w14:textId="77777777" w:rsidR="008E44C6" w:rsidRPr="009F54B9" w:rsidRDefault="008E44C6" w:rsidP="008E44C6">
      <w:pPr>
        <w:pStyle w:val="ListParagraph"/>
        <w:numPr>
          <w:ilvl w:val="0"/>
          <w:numId w:val="18"/>
        </w:numPr>
        <w:autoSpaceDE w:val="0"/>
        <w:autoSpaceDN w:val="0"/>
        <w:adjustRightInd w:val="0"/>
        <w:spacing w:line="360" w:lineRule="auto"/>
        <w:rPr>
          <w:snapToGrid w:val="0"/>
          <w:spacing w:val="-2"/>
          <w:kern w:val="22"/>
        </w:rPr>
      </w:pPr>
      <w:r w:rsidRPr="009F54B9">
        <w:rPr>
          <w:snapToGrid w:val="0"/>
          <w:spacing w:val="-2"/>
          <w:kern w:val="22"/>
        </w:rPr>
        <w:t xml:space="preserve">Firstly, the concept of FEGS (notably that of an ecological end-point; Figures 10 and 11) highlights that manufacturing companies have few direct interactions with the ‘natural’ environment. FEGS are few (or often absent) at the level of manufacturing activities, as varying quantities of </w:t>
      </w:r>
      <w:r w:rsidR="00A53927" w:rsidRPr="009F54B9">
        <w:rPr>
          <w:snapToGrid w:val="0"/>
          <w:spacing w:val="-2"/>
          <w:kern w:val="22"/>
        </w:rPr>
        <w:t>labour</w:t>
      </w:r>
      <w:r w:rsidRPr="009F54B9">
        <w:rPr>
          <w:snapToGrid w:val="0"/>
          <w:spacing w:val="-2"/>
          <w:kern w:val="22"/>
        </w:rPr>
        <w:t xml:space="preserve"> and capital goods are required to capture the benefits from FEGS. FEGS are typically found interacting with suppliers of raw materials (i.e. resource extractors / producers).</w:t>
      </w:r>
    </w:p>
    <w:p w14:paraId="4E05FECD" w14:textId="77777777" w:rsidR="008E44C6" w:rsidRPr="009F54B9" w:rsidRDefault="008E44C6" w:rsidP="008E44C6">
      <w:pPr>
        <w:pStyle w:val="ListParagraph"/>
        <w:numPr>
          <w:ilvl w:val="0"/>
          <w:numId w:val="18"/>
        </w:numPr>
        <w:autoSpaceDE w:val="0"/>
        <w:autoSpaceDN w:val="0"/>
        <w:adjustRightInd w:val="0"/>
        <w:spacing w:line="360" w:lineRule="auto"/>
        <w:rPr>
          <w:snapToGrid w:val="0"/>
          <w:kern w:val="22"/>
        </w:rPr>
      </w:pPr>
      <w:r w:rsidRPr="009F54B9">
        <w:rPr>
          <w:snapToGrid w:val="0"/>
          <w:kern w:val="22"/>
        </w:rPr>
        <w:t>Secondly, the concept of FEGS enables us to explain, quantify and value the intricate inter-connectedness between natural ecosystems and the globali</w:t>
      </w:r>
      <w:r w:rsidR="007966B2">
        <w:rPr>
          <w:snapToGrid w:val="0"/>
          <w:kern w:val="22"/>
        </w:rPr>
        <w:t>z</w:t>
      </w:r>
      <w:r w:rsidRPr="009F54B9">
        <w:rPr>
          <w:snapToGrid w:val="0"/>
          <w:kern w:val="22"/>
        </w:rPr>
        <w:t xml:space="preserve">ed economy, including manufacturing industries and their global value chains. For instance, without FEGS exploited by Tier 4 suppliers throughout the world (e.g., cattle, crocodile, cashmere or cotton farmers), </w:t>
      </w:r>
      <w:proofErr w:type="spellStart"/>
      <w:r w:rsidRPr="009F54B9">
        <w:rPr>
          <w:snapToGrid w:val="0"/>
          <w:kern w:val="22"/>
        </w:rPr>
        <w:t>Kering</w:t>
      </w:r>
      <w:proofErr w:type="spellEnd"/>
      <w:r w:rsidRPr="009F54B9">
        <w:rPr>
          <w:snapToGrid w:val="0"/>
          <w:kern w:val="22"/>
        </w:rPr>
        <w:t>, a designer and retailer of luxury brands, would not be in a position to sell its products worldwide and make a profit from it. Accordingly, the concept of indirect dependencies on ecosystem services is particularly important for manufacturers. Many resources used by manufacturers are benefits derived from compound production between environmental and economic systems (e.g. leather, rubber, foods).</w:t>
      </w:r>
    </w:p>
    <w:p w14:paraId="570CEC77" w14:textId="77777777" w:rsidR="008E44C6" w:rsidRPr="009F54B9" w:rsidRDefault="008E44C6" w:rsidP="008E44C6">
      <w:pPr>
        <w:pStyle w:val="ListParagraph"/>
        <w:numPr>
          <w:ilvl w:val="0"/>
          <w:numId w:val="18"/>
        </w:numPr>
        <w:autoSpaceDE w:val="0"/>
        <w:autoSpaceDN w:val="0"/>
        <w:adjustRightInd w:val="0"/>
        <w:spacing w:line="360" w:lineRule="auto"/>
        <w:rPr>
          <w:snapToGrid w:val="0"/>
          <w:kern w:val="22"/>
        </w:rPr>
      </w:pPr>
      <w:r w:rsidRPr="009F54B9">
        <w:rPr>
          <w:snapToGrid w:val="0"/>
          <w:kern w:val="22"/>
        </w:rPr>
        <w:t>Thirdly, these limited direct interactions between manufacturers and ecosystem services may partially explain the lack of recognition of the importance of ecosystem services by many companies (e.g., there are very few valuation studies on the ecosystem dependencies of manufacturing activities / companies).</w:t>
      </w:r>
      <w:r w:rsidRPr="009F54B9">
        <w:rPr>
          <w:iCs/>
          <w:snapToGrid w:val="0"/>
          <w:kern w:val="22"/>
        </w:rPr>
        <w:t xml:space="preserve"> Humans do not protect or sustainably manage what they do not value. Humans cannot value what they do not measure. And humans do not measure what they cannot or do not see…</w:t>
      </w:r>
    </w:p>
    <w:p w14:paraId="25D883F3" w14:textId="77777777" w:rsidR="008E44C6" w:rsidRPr="009F54B9" w:rsidRDefault="008E44C6" w:rsidP="00B972B1">
      <w:pPr>
        <w:rPr>
          <w:snapToGrid w:val="0"/>
          <w:kern w:val="22"/>
        </w:rPr>
      </w:pPr>
    </w:p>
    <w:p w14:paraId="7E4AB845" w14:textId="77777777" w:rsidR="008E44C6" w:rsidRPr="009F54B9" w:rsidRDefault="008E44C6" w:rsidP="00CC1D05">
      <w:pPr>
        <w:pBdr>
          <w:top w:val="single" w:sz="4" w:space="1" w:color="auto"/>
          <w:left w:val="single" w:sz="4" w:space="4" w:color="auto"/>
          <w:bottom w:val="single" w:sz="4" w:space="1" w:color="auto"/>
          <w:right w:val="single" w:sz="4" w:space="4" w:color="auto"/>
        </w:pBdr>
        <w:jc w:val="center"/>
        <w:rPr>
          <w:snapToGrid w:val="0"/>
          <w:kern w:val="22"/>
        </w:rPr>
      </w:pPr>
      <w:r w:rsidRPr="009F54B9">
        <w:rPr>
          <w:noProof/>
          <w:snapToGrid w:val="0"/>
          <w:kern w:val="22"/>
          <w:lang w:eastAsia="zh-CN"/>
        </w:rPr>
        <w:lastRenderedPageBreak/>
        <w:drawing>
          <wp:inline distT="0" distB="0" distL="0" distR="0" wp14:anchorId="0774C665" wp14:editId="25EBBF13">
            <wp:extent cx="5320665" cy="38766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323830" cy="3878981"/>
                    </a:xfrm>
                    <a:prstGeom prst="rect">
                      <a:avLst/>
                    </a:prstGeom>
                    <a:noFill/>
                    <a:ln>
                      <a:noFill/>
                    </a:ln>
                  </pic:spPr>
                </pic:pic>
              </a:graphicData>
            </a:graphic>
          </wp:inline>
        </w:drawing>
      </w:r>
    </w:p>
    <w:p w14:paraId="138C3BB6" w14:textId="77777777" w:rsidR="008E44C6" w:rsidRPr="009F54B9" w:rsidRDefault="008E44C6" w:rsidP="006F5930">
      <w:pPr>
        <w:pStyle w:val="Caption"/>
        <w:pBdr>
          <w:top w:val="single" w:sz="4" w:space="1" w:color="auto"/>
          <w:left w:val="single" w:sz="4" w:space="4" w:color="auto"/>
          <w:bottom w:val="single" w:sz="4" w:space="1" w:color="auto"/>
          <w:right w:val="single" w:sz="4" w:space="4" w:color="auto"/>
        </w:pBdr>
        <w:jc w:val="center"/>
        <w:rPr>
          <w:snapToGrid w:val="0"/>
          <w:kern w:val="22"/>
        </w:rPr>
      </w:pPr>
      <w:bookmarkStart w:id="31" w:name="_Toc517688910"/>
      <w:r w:rsidRPr="009F54B9">
        <w:rPr>
          <w:snapToGrid w:val="0"/>
          <w:kern w:val="22"/>
        </w:rPr>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11</w:t>
      </w:r>
      <w:r w:rsidRPr="009F54B9">
        <w:rPr>
          <w:noProof/>
          <w:snapToGrid w:val="0"/>
          <w:kern w:val="22"/>
        </w:rPr>
        <w:fldChar w:fldCharType="end"/>
      </w:r>
      <w:r w:rsidRPr="009F54B9">
        <w:rPr>
          <w:snapToGrid w:val="0"/>
          <w:kern w:val="22"/>
        </w:rPr>
        <w:t xml:space="preserve">: Relationships among nature and economic systems (Landers </w:t>
      </w:r>
      <w:r w:rsidRPr="009F54B9">
        <w:rPr>
          <w:i/>
          <w:snapToGrid w:val="0"/>
          <w:kern w:val="22"/>
        </w:rPr>
        <w:t>et al</w:t>
      </w:r>
      <w:r w:rsidRPr="009F54B9">
        <w:rPr>
          <w:snapToGrid w:val="0"/>
          <w:kern w:val="22"/>
        </w:rPr>
        <w:t>., 2016)</w:t>
      </w:r>
      <w:r w:rsidRPr="009F54B9">
        <w:rPr>
          <w:rStyle w:val="FootnoteReference"/>
          <w:snapToGrid w:val="0"/>
          <w:kern w:val="22"/>
        </w:rPr>
        <w:footnoteReference w:id="54"/>
      </w:r>
      <w:bookmarkEnd w:id="31"/>
    </w:p>
    <w:p w14:paraId="05DB6659" w14:textId="77777777" w:rsidR="008E44C6" w:rsidRPr="009F54B9" w:rsidRDefault="008E44C6" w:rsidP="00952AD3">
      <w:pPr>
        <w:rPr>
          <w:snapToGrid w:val="0"/>
          <w:kern w:val="22"/>
        </w:rPr>
      </w:pPr>
    </w:p>
    <w:p w14:paraId="4CF224C5" w14:textId="77777777" w:rsidR="008E44C6" w:rsidRPr="009F54B9" w:rsidRDefault="008E44C6" w:rsidP="00952AD3">
      <w:pPr>
        <w:rPr>
          <w:snapToGrid w:val="0"/>
          <w:spacing w:val="-2"/>
          <w:kern w:val="22"/>
        </w:rPr>
      </w:pPr>
      <w:r w:rsidRPr="009F54B9">
        <w:rPr>
          <w:snapToGrid w:val="0"/>
          <w:spacing w:val="-2"/>
          <w:kern w:val="22"/>
        </w:rPr>
        <w:t xml:space="preserve">Table 6 </w:t>
      </w:r>
      <w:r w:rsidR="007B644B">
        <w:rPr>
          <w:snapToGrid w:val="0"/>
          <w:spacing w:val="-2"/>
          <w:kern w:val="22"/>
        </w:rPr>
        <w:t>summarize</w:t>
      </w:r>
      <w:r w:rsidRPr="009F54B9">
        <w:rPr>
          <w:snapToGrid w:val="0"/>
          <w:spacing w:val="-2"/>
          <w:kern w:val="22"/>
        </w:rPr>
        <w:t>s the main direct and indirect dependencies on FEGS of various manufacturing industries, classified according the UNSD industry classification mentioned in section 2.1. Direct dependencies of many manufacturing industries on ecosystem services are often limited to water and the presence of the environment as a recipient for emissions / discharges (apart from a few exceptions where manufacturers also own assets involved in the production or extraction of raw materials). Indirect dependencies linked to the activities of manufacturing suppliers are more diverse and complex, contingent to the type of raw material extracted or produced for manufacturing transformation. S</w:t>
      </w:r>
      <w:r w:rsidRPr="009F54B9">
        <w:rPr>
          <w:snapToGrid w:val="0"/>
          <w:color w:val="000000" w:themeColor="text1"/>
          <w:spacing w:val="-2"/>
          <w:kern w:val="22"/>
          <w:szCs w:val="22"/>
          <w:shd w:val="clear" w:color="auto" w:fill="FFFFFF"/>
        </w:rPr>
        <w:t>ome manufacturers rely on the supply of renewable, biological raw materials (e.g., fibres, foods) while others use genetic resources and associated traditional knowledge, including the pharmaceutical, agriculture, industrial biotechnology, cosmetics, botanicals, and food and beverage sectors</w:t>
      </w:r>
      <w:r w:rsidRPr="009F54B9">
        <w:rPr>
          <w:snapToGrid w:val="0"/>
          <w:color w:val="000000" w:themeColor="text1"/>
          <w:spacing w:val="-2"/>
          <w:kern w:val="22"/>
          <w:szCs w:val="22"/>
          <w:shd w:val="clear" w:color="auto" w:fill="FFFFFF"/>
          <w:vertAlign w:val="superscript"/>
        </w:rPr>
        <w:footnoteReference w:id="55"/>
      </w:r>
      <w:r w:rsidRPr="009F54B9">
        <w:rPr>
          <w:snapToGrid w:val="0"/>
          <w:color w:val="000000" w:themeColor="text1"/>
          <w:spacing w:val="-2"/>
          <w:kern w:val="22"/>
          <w:szCs w:val="22"/>
          <w:shd w:val="clear" w:color="auto" w:fill="FFFFFF"/>
          <w:vertAlign w:val="superscript"/>
        </w:rPr>
        <w:t>,</w:t>
      </w:r>
      <w:r w:rsidRPr="009F54B9">
        <w:rPr>
          <w:rStyle w:val="FootnoteReference"/>
          <w:snapToGrid w:val="0"/>
          <w:color w:val="000000" w:themeColor="text1"/>
          <w:spacing w:val="-2"/>
          <w:kern w:val="22"/>
          <w:szCs w:val="22"/>
          <w:shd w:val="clear" w:color="auto" w:fill="FFFFFF"/>
        </w:rPr>
        <w:footnoteReference w:id="56"/>
      </w:r>
      <w:r w:rsidRPr="009F54B9">
        <w:rPr>
          <w:snapToGrid w:val="0"/>
          <w:color w:val="000000" w:themeColor="text1"/>
          <w:spacing w:val="-2"/>
          <w:kern w:val="22"/>
          <w:szCs w:val="22"/>
          <w:shd w:val="clear" w:color="auto" w:fill="FFFFFF"/>
        </w:rPr>
        <w:t>.</w:t>
      </w:r>
    </w:p>
    <w:p w14:paraId="00797B80" w14:textId="77777777" w:rsidR="008E44C6" w:rsidRPr="009F54B9" w:rsidRDefault="008E44C6" w:rsidP="00952AD3">
      <w:pPr>
        <w:rPr>
          <w:snapToGrid w:val="0"/>
          <w:kern w:val="22"/>
        </w:rPr>
      </w:pPr>
    </w:p>
    <w:p w14:paraId="4F83A07C" w14:textId="77777777" w:rsidR="008E44C6" w:rsidRPr="009F54B9" w:rsidRDefault="008E44C6" w:rsidP="00242D2F">
      <w:pPr>
        <w:pStyle w:val="Caption"/>
        <w:pBdr>
          <w:top w:val="single" w:sz="4" w:space="1" w:color="auto"/>
          <w:left w:val="single" w:sz="4" w:space="4" w:color="auto"/>
          <w:bottom w:val="single" w:sz="4" w:space="1" w:color="auto"/>
          <w:right w:val="single" w:sz="4" w:space="4" w:color="auto"/>
        </w:pBdr>
        <w:jc w:val="center"/>
        <w:rPr>
          <w:snapToGrid w:val="0"/>
          <w:kern w:val="22"/>
        </w:rPr>
      </w:pPr>
      <w:bookmarkStart w:id="32" w:name="_Toc517688925"/>
      <w:r w:rsidRPr="009F54B9">
        <w:rPr>
          <w:snapToGrid w:val="0"/>
          <w:kern w:val="22"/>
        </w:rPr>
        <w:lastRenderedPageBreak/>
        <w:t xml:space="preserve">Table </w:t>
      </w:r>
      <w:r w:rsidRPr="009F54B9">
        <w:rPr>
          <w:snapToGrid w:val="0"/>
          <w:kern w:val="22"/>
        </w:rPr>
        <w:fldChar w:fldCharType="begin"/>
      </w:r>
      <w:r w:rsidRPr="009F54B9">
        <w:rPr>
          <w:snapToGrid w:val="0"/>
          <w:kern w:val="22"/>
        </w:rPr>
        <w:instrText xml:space="preserve"> SEQ Table \* ARABIC </w:instrText>
      </w:r>
      <w:r w:rsidRPr="009F54B9">
        <w:rPr>
          <w:snapToGrid w:val="0"/>
          <w:kern w:val="22"/>
        </w:rPr>
        <w:fldChar w:fldCharType="separate"/>
      </w:r>
      <w:r w:rsidRPr="009F54B9">
        <w:rPr>
          <w:noProof/>
          <w:snapToGrid w:val="0"/>
          <w:kern w:val="22"/>
        </w:rPr>
        <w:t>6</w:t>
      </w:r>
      <w:r w:rsidRPr="009F54B9">
        <w:rPr>
          <w:noProof/>
          <w:snapToGrid w:val="0"/>
          <w:kern w:val="22"/>
        </w:rPr>
        <w:fldChar w:fldCharType="end"/>
      </w:r>
      <w:r w:rsidRPr="009F54B9">
        <w:rPr>
          <w:snapToGrid w:val="0"/>
          <w:kern w:val="22"/>
        </w:rPr>
        <w:t>: Main direct and indirect dependencies on FEGS of manufacturing industries (UNSD industry classification)</w:t>
      </w:r>
      <w:bookmarkEnd w:id="32"/>
    </w:p>
    <w:p w14:paraId="07B09DBA" w14:textId="77777777" w:rsidR="008E44C6" w:rsidRPr="009F54B9" w:rsidRDefault="008E44C6" w:rsidP="00242D2F">
      <w:pPr>
        <w:pBdr>
          <w:top w:val="single" w:sz="4" w:space="1" w:color="auto"/>
          <w:left w:val="single" w:sz="4" w:space="4" w:color="auto"/>
          <w:bottom w:val="single" w:sz="4" w:space="1" w:color="auto"/>
          <w:right w:val="single" w:sz="4" w:space="4" w:color="auto"/>
        </w:pBdr>
        <w:jc w:val="center"/>
        <w:rPr>
          <w:i/>
          <w:iCs/>
          <w:snapToGrid w:val="0"/>
          <w:kern w:val="22"/>
          <w:szCs w:val="22"/>
        </w:rPr>
      </w:pPr>
      <w:r w:rsidRPr="009F54B9">
        <w:rPr>
          <w:noProof/>
          <w:snapToGrid w:val="0"/>
          <w:kern w:val="22"/>
          <w:lang w:eastAsia="zh-CN"/>
        </w:rPr>
        <w:drawing>
          <wp:inline distT="0" distB="0" distL="0" distR="0" wp14:anchorId="600E0016" wp14:editId="14263113">
            <wp:extent cx="5382360" cy="4988966"/>
            <wp:effectExtent l="0" t="0" r="889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384714" cy="4991148"/>
                    </a:xfrm>
                    <a:prstGeom prst="rect">
                      <a:avLst/>
                    </a:prstGeom>
                    <a:noFill/>
                    <a:ln>
                      <a:noFill/>
                    </a:ln>
                  </pic:spPr>
                </pic:pic>
              </a:graphicData>
            </a:graphic>
          </wp:inline>
        </w:drawing>
      </w:r>
    </w:p>
    <w:p w14:paraId="1D9F9DFF" w14:textId="77777777" w:rsidR="008E44C6" w:rsidRPr="009F54B9" w:rsidRDefault="008E44C6" w:rsidP="00C4347A">
      <w:pPr>
        <w:pBdr>
          <w:top w:val="single" w:sz="4" w:space="1" w:color="auto"/>
          <w:left w:val="single" w:sz="4" w:space="4" w:color="auto"/>
          <w:bottom w:val="single" w:sz="4" w:space="1" w:color="auto"/>
          <w:right w:val="single" w:sz="4" w:space="4" w:color="auto"/>
        </w:pBdr>
        <w:jc w:val="center"/>
        <w:rPr>
          <w:i/>
          <w:iCs/>
          <w:snapToGrid w:val="0"/>
          <w:kern w:val="22"/>
          <w:sz w:val="20"/>
          <w:szCs w:val="20"/>
        </w:rPr>
      </w:pPr>
      <w:r w:rsidRPr="009F54B9">
        <w:rPr>
          <w:i/>
          <w:iCs/>
          <w:snapToGrid w:val="0"/>
          <w:kern w:val="22"/>
          <w:sz w:val="20"/>
          <w:szCs w:val="20"/>
        </w:rPr>
        <w:t>* Rating of importance: 1 – limited, 2 – medium, 3 – critical; Qualitative assessment based on data from Eurostat Statistics</w:t>
      </w:r>
      <w:r w:rsidRPr="009F54B9">
        <w:rPr>
          <w:rStyle w:val="FootnoteReference"/>
          <w:i/>
          <w:iCs/>
          <w:snapToGrid w:val="0"/>
          <w:kern w:val="22"/>
          <w:sz w:val="20"/>
          <w:szCs w:val="20"/>
        </w:rPr>
        <w:footnoteReference w:id="57"/>
      </w:r>
    </w:p>
    <w:p w14:paraId="0F7D06AC" w14:textId="77777777" w:rsidR="008E44C6" w:rsidRPr="009F54B9" w:rsidRDefault="008E44C6" w:rsidP="004F5916">
      <w:pPr>
        <w:rPr>
          <w:i/>
          <w:iCs/>
          <w:snapToGrid w:val="0"/>
          <w:kern w:val="22"/>
          <w:szCs w:val="22"/>
        </w:rPr>
      </w:pPr>
    </w:p>
    <w:p w14:paraId="4A75AF74" w14:textId="77777777" w:rsidR="008E44C6" w:rsidRPr="009F54B9" w:rsidRDefault="008E44C6" w:rsidP="00874EB8">
      <w:pPr>
        <w:rPr>
          <w:snapToGrid w:val="0"/>
          <w:kern w:val="22"/>
        </w:rPr>
      </w:pPr>
      <w:r w:rsidRPr="009F54B9">
        <w:rPr>
          <w:snapToGrid w:val="0"/>
          <w:kern w:val="22"/>
        </w:rPr>
        <w:t xml:space="preserve">A case study from Dow Chemical presents a good illustration of the importance of the “presence of the environment” as a FEGS (i.e. as a recipient for wastewater) for manufacturing industries. The company funded a study to investigate a business decision made in 1995, where a constructed wetland was built instead of a sequencing batch reactor to solve a regulatory compliance issue  for a wastewater treatment system at the group’s Union Carbide Corp. plant in Seadrift, Texas (i.e. it was required to meet specific suspended solids requirements) (DiMuro </w:t>
      </w:r>
      <w:r w:rsidRPr="009F54B9">
        <w:rPr>
          <w:i/>
          <w:snapToGrid w:val="0"/>
          <w:kern w:val="22"/>
        </w:rPr>
        <w:t>et al</w:t>
      </w:r>
      <w:r w:rsidRPr="009F54B9">
        <w:rPr>
          <w:snapToGrid w:val="0"/>
          <w:kern w:val="22"/>
        </w:rPr>
        <w:t>., 2014)</w:t>
      </w:r>
      <w:r w:rsidRPr="009F54B9">
        <w:rPr>
          <w:rStyle w:val="FootnoteReference"/>
          <w:snapToGrid w:val="0"/>
          <w:kern w:val="22"/>
        </w:rPr>
        <w:footnoteReference w:id="58"/>
      </w:r>
      <w:r w:rsidRPr="009F54B9">
        <w:rPr>
          <w:snapToGrid w:val="0"/>
          <w:kern w:val="22"/>
        </w:rPr>
        <w:t>. The study highlighted that:</w:t>
      </w:r>
    </w:p>
    <w:p w14:paraId="1FD8CD1C" w14:textId="77777777" w:rsidR="008E44C6" w:rsidRPr="009F54B9" w:rsidRDefault="008E44C6" w:rsidP="008E44C6">
      <w:pPr>
        <w:pStyle w:val="ListParagraph"/>
        <w:numPr>
          <w:ilvl w:val="0"/>
          <w:numId w:val="19"/>
        </w:numPr>
        <w:autoSpaceDE w:val="0"/>
        <w:autoSpaceDN w:val="0"/>
        <w:adjustRightInd w:val="0"/>
        <w:spacing w:line="360" w:lineRule="auto"/>
        <w:rPr>
          <w:snapToGrid w:val="0"/>
          <w:kern w:val="22"/>
        </w:rPr>
      </w:pPr>
      <w:r w:rsidRPr="009F54B9">
        <w:rPr>
          <w:snapToGrid w:val="0"/>
          <w:kern w:val="22"/>
        </w:rPr>
        <w:t xml:space="preserve">The total net present value savings for implementing the constructed wetland instead of the sequencing batch reactor were around $282 million over the project's lifetime; </w:t>
      </w:r>
    </w:p>
    <w:p w14:paraId="5B416816" w14:textId="77777777" w:rsidR="008E44C6" w:rsidRPr="009F54B9" w:rsidRDefault="008E44C6" w:rsidP="008E44C6">
      <w:pPr>
        <w:pStyle w:val="ListParagraph"/>
        <w:numPr>
          <w:ilvl w:val="0"/>
          <w:numId w:val="19"/>
        </w:numPr>
        <w:autoSpaceDE w:val="0"/>
        <w:autoSpaceDN w:val="0"/>
        <w:adjustRightInd w:val="0"/>
        <w:spacing w:line="360" w:lineRule="auto"/>
        <w:rPr>
          <w:snapToGrid w:val="0"/>
          <w:kern w:val="22"/>
        </w:rPr>
      </w:pPr>
      <w:r w:rsidRPr="009F54B9">
        <w:rPr>
          <w:snapToGrid w:val="0"/>
          <w:kern w:val="22"/>
        </w:rPr>
        <w:t>Lower energy and material inputs of the constructed wetland resulted in lower potential impacts for fossil fuel use, acidification, smog formation, and ozone depletion;</w:t>
      </w:r>
    </w:p>
    <w:p w14:paraId="774307AE" w14:textId="77777777" w:rsidR="008E44C6" w:rsidRPr="009F54B9" w:rsidRDefault="008E44C6" w:rsidP="008E44C6">
      <w:pPr>
        <w:pStyle w:val="ListParagraph"/>
        <w:numPr>
          <w:ilvl w:val="0"/>
          <w:numId w:val="19"/>
        </w:numPr>
        <w:autoSpaceDE w:val="0"/>
        <w:autoSpaceDN w:val="0"/>
        <w:adjustRightInd w:val="0"/>
        <w:spacing w:line="360" w:lineRule="auto"/>
        <w:rPr>
          <w:snapToGrid w:val="0"/>
          <w:kern w:val="22"/>
        </w:rPr>
      </w:pPr>
      <w:r w:rsidRPr="009F54B9">
        <w:rPr>
          <w:snapToGrid w:val="0"/>
          <w:kern w:val="22"/>
        </w:rPr>
        <w:lastRenderedPageBreak/>
        <w:t>The upstream land burdens (for the sequencing batch reactor) and the on-site acreage of the constructed wetland were similar in magnitude and importance, contrary to the assumption that green infrastructure always requires greater land area.</w:t>
      </w:r>
    </w:p>
    <w:p w14:paraId="618A896E" w14:textId="77777777" w:rsidR="008E44C6" w:rsidRPr="009F54B9" w:rsidRDefault="008E44C6" w:rsidP="00874EB8">
      <w:pPr>
        <w:rPr>
          <w:iCs/>
          <w:snapToGrid w:val="0"/>
          <w:kern w:val="22"/>
          <w:szCs w:val="22"/>
        </w:rPr>
      </w:pPr>
    </w:p>
    <w:p w14:paraId="1AC73E78" w14:textId="77777777" w:rsidR="008E44C6" w:rsidRPr="009F54B9" w:rsidRDefault="008E44C6" w:rsidP="00874EB8">
      <w:pPr>
        <w:rPr>
          <w:snapToGrid w:val="0"/>
          <w:color w:val="000000" w:themeColor="text1"/>
          <w:kern w:val="22"/>
          <w:szCs w:val="22"/>
          <w:shd w:val="clear" w:color="auto" w:fill="FFFFFF"/>
        </w:rPr>
      </w:pPr>
      <w:r w:rsidRPr="009F54B9">
        <w:rPr>
          <w:snapToGrid w:val="0"/>
          <w:color w:val="000000" w:themeColor="text1"/>
          <w:kern w:val="22"/>
          <w:szCs w:val="22"/>
          <w:shd w:val="clear" w:color="auto" w:fill="FFFFFF"/>
        </w:rPr>
        <w:br w:type="page"/>
      </w:r>
    </w:p>
    <w:p w14:paraId="68B43E95" w14:textId="77777777" w:rsidR="008E44C6" w:rsidRPr="009F54B9" w:rsidRDefault="008E44C6" w:rsidP="008E44C6">
      <w:pPr>
        <w:pStyle w:val="Heading2"/>
        <w:keepNext w:val="0"/>
        <w:numPr>
          <w:ilvl w:val="1"/>
          <w:numId w:val="10"/>
        </w:numPr>
        <w:tabs>
          <w:tab w:val="clear" w:pos="720"/>
        </w:tabs>
        <w:autoSpaceDE w:val="0"/>
        <w:autoSpaceDN w:val="0"/>
        <w:adjustRightInd w:val="0"/>
        <w:spacing w:before="0"/>
        <w:jc w:val="both"/>
        <w:rPr>
          <w:smallCaps/>
          <w:snapToGrid w:val="0"/>
          <w:kern w:val="22"/>
          <w:szCs w:val="22"/>
        </w:rPr>
      </w:pPr>
      <w:bookmarkStart w:id="33" w:name="_Toc517690316"/>
      <w:r w:rsidRPr="009F54B9">
        <w:rPr>
          <w:smallCaps/>
          <w:snapToGrid w:val="0"/>
          <w:kern w:val="22"/>
          <w:szCs w:val="22"/>
        </w:rPr>
        <w:lastRenderedPageBreak/>
        <w:t>Environmental impacts of manufacturing industries</w:t>
      </w:r>
      <w:bookmarkEnd w:id="33"/>
      <w:r w:rsidRPr="009F54B9">
        <w:rPr>
          <w:smallCaps/>
          <w:snapToGrid w:val="0"/>
          <w:kern w:val="22"/>
          <w:szCs w:val="22"/>
        </w:rPr>
        <w:t xml:space="preserve"> </w:t>
      </w:r>
    </w:p>
    <w:p w14:paraId="65D1D4C9" w14:textId="77777777" w:rsidR="008E44C6" w:rsidRPr="009F54B9" w:rsidRDefault="008E44C6" w:rsidP="00C80918">
      <w:pPr>
        <w:rPr>
          <w:snapToGrid w:val="0"/>
          <w:kern w:val="22"/>
        </w:rPr>
      </w:pPr>
    </w:p>
    <w:p w14:paraId="3DDD0A1F" w14:textId="77777777" w:rsidR="008E44C6" w:rsidRPr="009F54B9" w:rsidRDefault="008E44C6" w:rsidP="001E5D79">
      <w:pPr>
        <w:pBdr>
          <w:bottom w:val="single" w:sz="4" w:space="1" w:color="auto"/>
        </w:pBdr>
        <w:rPr>
          <w:snapToGrid w:val="0"/>
          <w:color w:val="000000" w:themeColor="text1"/>
          <w:kern w:val="22"/>
          <w:szCs w:val="22"/>
          <w:shd w:val="clear" w:color="auto" w:fill="FFFFFF"/>
        </w:rPr>
      </w:pPr>
      <w:r w:rsidRPr="009F54B9">
        <w:rPr>
          <w:snapToGrid w:val="0"/>
          <w:color w:val="000000" w:themeColor="text1"/>
          <w:kern w:val="22"/>
          <w:szCs w:val="22"/>
          <w:shd w:val="clear" w:color="auto" w:fill="FFFFFF"/>
        </w:rPr>
        <w:t>Key messages:</w:t>
      </w:r>
    </w:p>
    <w:p w14:paraId="63DA1EB4" w14:textId="77777777" w:rsidR="008E44C6" w:rsidRPr="009F54B9" w:rsidRDefault="008E44C6" w:rsidP="008E44C6">
      <w:pPr>
        <w:pStyle w:val="ListParagraph"/>
        <w:numPr>
          <w:ilvl w:val="0"/>
          <w:numId w:val="33"/>
        </w:numPr>
        <w:pBdr>
          <w:bottom w:val="single" w:sz="4" w:space="1" w:color="auto"/>
        </w:pBdr>
        <w:autoSpaceDE w:val="0"/>
        <w:autoSpaceDN w:val="0"/>
        <w:adjustRightInd w:val="0"/>
        <w:spacing w:line="360" w:lineRule="auto"/>
        <w:rPr>
          <w:snapToGrid w:val="0"/>
          <w:kern w:val="22"/>
        </w:rPr>
      </w:pPr>
      <w:r w:rsidRPr="009F54B9">
        <w:rPr>
          <w:snapToGrid w:val="0"/>
          <w:kern w:val="22"/>
        </w:rPr>
        <w:t>All impact drivers interact with ecosystems (e.g., greenhouse gas emissions leading to climate change and hence changes in ecosystem processes and dynamics) and can lead to indirect changes in biodiversity patterns (e.g., climate change leading to changes in the spatial distribution of species);</w:t>
      </w:r>
    </w:p>
    <w:p w14:paraId="41D8B841" w14:textId="77777777" w:rsidR="008E44C6" w:rsidRPr="009F54B9" w:rsidRDefault="008E44C6" w:rsidP="008E44C6">
      <w:pPr>
        <w:pStyle w:val="ListParagraph"/>
        <w:numPr>
          <w:ilvl w:val="0"/>
          <w:numId w:val="33"/>
        </w:numPr>
        <w:pBdr>
          <w:bottom w:val="single" w:sz="4" w:space="1" w:color="auto"/>
        </w:pBdr>
        <w:autoSpaceDE w:val="0"/>
        <w:autoSpaceDN w:val="0"/>
        <w:adjustRightInd w:val="0"/>
        <w:spacing w:line="360" w:lineRule="auto"/>
        <w:rPr>
          <w:snapToGrid w:val="0"/>
          <w:kern w:val="22"/>
        </w:rPr>
      </w:pPr>
      <w:r w:rsidRPr="009F54B9">
        <w:rPr>
          <w:snapToGrid w:val="0"/>
          <w:kern w:val="22"/>
        </w:rPr>
        <w:t>Some impact drivers (e.g., resource extraction, land use change) lead to direct, immediate changes in biodiversity (i.e. loss of habitats and species).</w:t>
      </w:r>
    </w:p>
    <w:p w14:paraId="32217FCA" w14:textId="77777777" w:rsidR="008E44C6" w:rsidRPr="009F54B9" w:rsidRDefault="008E44C6" w:rsidP="008E44C6">
      <w:pPr>
        <w:pStyle w:val="ListParagraph"/>
        <w:numPr>
          <w:ilvl w:val="0"/>
          <w:numId w:val="33"/>
        </w:numPr>
        <w:pBdr>
          <w:bottom w:val="single" w:sz="4" w:space="1" w:color="auto"/>
        </w:pBdr>
        <w:autoSpaceDE w:val="0"/>
        <w:autoSpaceDN w:val="0"/>
        <w:adjustRightInd w:val="0"/>
        <w:spacing w:line="360" w:lineRule="auto"/>
        <w:rPr>
          <w:snapToGrid w:val="0"/>
          <w:kern w:val="22"/>
        </w:rPr>
      </w:pPr>
      <w:r w:rsidRPr="009F54B9">
        <w:rPr>
          <w:snapToGrid w:val="0"/>
          <w:kern w:val="22"/>
        </w:rPr>
        <w:t>Most governments and companies focus on measuring impact drivers rather than impacts in themselves;</w:t>
      </w:r>
    </w:p>
    <w:p w14:paraId="4A302A9E" w14:textId="77777777" w:rsidR="008E44C6" w:rsidRPr="009F54B9" w:rsidRDefault="008E44C6" w:rsidP="008E44C6">
      <w:pPr>
        <w:pStyle w:val="ListParagraph"/>
        <w:numPr>
          <w:ilvl w:val="0"/>
          <w:numId w:val="33"/>
        </w:numPr>
        <w:pBdr>
          <w:bottom w:val="single" w:sz="4" w:space="1" w:color="auto"/>
        </w:pBdr>
        <w:autoSpaceDE w:val="0"/>
        <w:autoSpaceDN w:val="0"/>
        <w:adjustRightInd w:val="0"/>
        <w:spacing w:line="360" w:lineRule="auto"/>
        <w:rPr>
          <w:snapToGrid w:val="0"/>
          <w:kern w:val="22"/>
        </w:rPr>
      </w:pPr>
      <w:r w:rsidRPr="009F54B9">
        <w:rPr>
          <w:noProof/>
          <w:snapToGrid w:val="0"/>
          <w:kern w:val="22"/>
        </w:rPr>
        <w:t xml:space="preserve">The impact drivers of each manufacturing industry vary widely, and are linked to the specificies of their production inputs (e.g., </w:t>
      </w:r>
      <w:r w:rsidRPr="009F54B9">
        <w:rPr>
          <w:rFonts w:eastAsia="Calibri"/>
          <w:snapToGrid w:val="0"/>
          <w:color w:val="000000"/>
          <w:kern w:val="22"/>
          <w:szCs w:val="22"/>
        </w:rPr>
        <w:t>renewable and non-renewable resource use)</w:t>
      </w:r>
      <w:r w:rsidRPr="009F54B9">
        <w:rPr>
          <w:noProof/>
          <w:snapToGrid w:val="0"/>
          <w:kern w:val="22"/>
        </w:rPr>
        <w:t xml:space="preserve"> and non-product outputs (e.g., air and water emissions);</w:t>
      </w:r>
    </w:p>
    <w:p w14:paraId="34DFDF1E" w14:textId="77777777" w:rsidR="008E44C6" w:rsidRPr="009F54B9" w:rsidRDefault="008E44C6" w:rsidP="008E44C6">
      <w:pPr>
        <w:pStyle w:val="ListParagraph"/>
        <w:numPr>
          <w:ilvl w:val="0"/>
          <w:numId w:val="33"/>
        </w:numPr>
        <w:pBdr>
          <w:bottom w:val="single" w:sz="4" w:space="1" w:color="auto"/>
        </w:pBdr>
        <w:autoSpaceDE w:val="0"/>
        <w:autoSpaceDN w:val="0"/>
        <w:adjustRightInd w:val="0"/>
        <w:spacing w:line="360" w:lineRule="auto"/>
        <w:rPr>
          <w:snapToGrid w:val="0"/>
          <w:kern w:val="22"/>
        </w:rPr>
      </w:pPr>
      <w:r w:rsidRPr="009F54B9">
        <w:rPr>
          <w:noProof/>
          <w:snapToGrid w:val="0"/>
          <w:kern w:val="22"/>
        </w:rPr>
        <w:t xml:space="preserve">Impact drivers linked to non-product outputs can be traced down to specific manufacturing plants throughout the world. For instance, 50% of total damage costs of air emissions can be attributed to only 147 facilities in Europe and 90% of these costs to only 1 529 facilities; though not all belong to the manufacturing sector. </w:t>
      </w:r>
    </w:p>
    <w:p w14:paraId="0B7F5513" w14:textId="77777777" w:rsidR="008E44C6" w:rsidRPr="009F54B9" w:rsidRDefault="008E44C6" w:rsidP="008E44C6">
      <w:pPr>
        <w:pStyle w:val="ListParagraph"/>
        <w:numPr>
          <w:ilvl w:val="0"/>
          <w:numId w:val="33"/>
        </w:numPr>
        <w:pBdr>
          <w:bottom w:val="single" w:sz="4" w:space="1" w:color="auto"/>
        </w:pBdr>
        <w:autoSpaceDE w:val="0"/>
        <w:autoSpaceDN w:val="0"/>
        <w:adjustRightInd w:val="0"/>
        <w:spacing w:line="360" w:lineRule="auto"/>
        <w:rPr>
          <w:noProof/>
          <w:snapToGrid w:val="0"/>
          <w:kern w:val="22"/>
        </w:rPr>
      </w:pPr>
      <w:r w:rsidRPr="009F54B9">
        <w:rPr>
          <w:noProof/>
          <w:snapToGrid w:val="0"/>
          <w:kern w:val="22"/>
        </w:rPr>
        <w:t>Some impact drivers linked to production inputs (</w:t>
      </w:r>
      <w:r w:rsidRPr="009F54B9">
        <w:rPr>
          <w:snapToGrid w:val="0"/>
          <w:kern w:val="22"/>
        </w:rPr>
        <w:t xml:space="preserve">indirect </w:t>
      </w:r>
      <w:r w:rsidRPr="009F54B9">
        <w:rPr>
          <w:noProof/>
          <w:snapToGrid w:val="0"/>
          <w:kern w:val="22"/>
        </w:rPr>
        <w:t xml:space="preserve">ecosystem dependencies) lead to direct biodiversity impacts and </w:t>
      </w:r>
      <w:r w:rsidRPr="009F54B9">
        <w:rPr>
          <w:snapToGrid w:val="0"/>
          <w:kern w:val="22"/>
        </w:rPr>
        <w:t>are attributable to suppliers of raw materials (e.g., deforestation due to agricultural supply chains)</w:t>
      </w:r>
      <w:r w:rsidRPr="009F54B9">
        <w:rPr>
          <w:noProof/>
          <w:snapToGrid w:val="0"/>
          <w:kern w:val="22"/>
        </w:rPr>
        <w:t xml:space="preserve">. </w:t>
      </w:r>
    </w:p>
    <w:p w14:paraId="2EEF5ED8" w14:textId="77777777" w:rsidR="008E44C6" w:rsidRPr="009F54B9" w:rsidRDefault="008E44C6" w:rsidP="00E07B67">
      <w:pPr>
        <w:rPr>
          <w:i/>
          <w:noProof/>
          <w:snapToGrid w:val="0"/>
          <w:kern w:val="22"/>
        </w:rPr>
      </w:pPr>
    </w:p>
    <w:p w14:paraId="30164D00" w14:textId="77777777" w:rsidR="008E44C6" w:rsidRPr="009F54B9" w:rsidRDefault="008E44C6" w:rsidP="00D51B4D">
      <w:pPr>
        <w:rPr>
          <w:snapToGrid w:val="0"/>
          <w:kern w:val="22"/>
        </w:rPr>
      </w:pPr>
    </w:p>
    <w:p w14:paraId="6294CC3E" w14:textId="77777777" w:rsidR="008E44C6" w:rsidRPr="009F54B9" w:rsidRDefault="008E44C6" w:rsidP="00D51B4D">
      <w:pPr>
        <w:pBdr>
          <w:top w:val="single" w:sz="4" w:space="1" w:color="auto"/>
          <w:left w:val="single" w:sz="4" w:space="4" w:color="auto"/>
          <w:bottom w:val="single" w:sz="4" w:space="1" w:color="auto"/>
          <w:right w:val="single" w:sz="4" w:space="4" w:color="auto"/>
        </w:pBdr>
        <w:jc w:val="center"/>
        <w:rPr>
          <w:snapToGrid w:val="0"/>
          <w:kern w:val="22"/>
        </w:rPr>
      </w:pPr>
      <w:r w:rsidRPr="009F54B9">
        <w:rPr>
          <w:noProof/>
          <w:snapToGrid w:val="0"/>
          <w:kern w:val="22"/>
          <w:lang w:eastAsia="zh-CN"/>
        </w:rPr>
        <w:drawing>
          <wp:inline distT="0" distB="0" distL="0" distR="0" wp14:anchorId="18355AA8" wp14:editId="51E38DB6">
            <wp:extent cx="5404591" cy="3391786"/>
            <wp:effectExtent l="0" t="0" r="571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12952" cy="3397033"/>
                    </a:xfrm>
                    <a:prstGeom prst="rect">
                      <a:avLst/>
                    </a:prstGeom>
                    <a:noFill/>
                    <a:ln>
                      <a:noFill/>
                    </a:ln>
                  </pic:spPr>
                </pic:pic>
              </a:graphicData>
            </a:graphic>
          </wp:inline>
        </w:drawing>
      </w:r>
    </w:p>
    <w:p w14:paraId="016C5F2A" w14:textId="77777777" w:rsidR="008E44C6" w:rsidRPr="009F54B9" w:rsidRDefault="008E44C6" w:rsidP="00D51B4D">
      <w:pPr>
        <w:pBdr>
          <w:top w:val="single" w:sz="4" w:space="1" w:color="auto"/>
          <w:left w:val="single" w:sz="4" w:space="4" w:color="auto"/>
          <w:bottom w:val="single" w:sz="4" w:space="1" w:color="auto"/>
          <w:right w:val="single" w:sz="4" w:space="4" w:color="auto"/>
        </w:pBdr>
        <w:jc w:val="center"/>
        <w:rPr>
          <w:snapToGrid w:val="0"/>
          <w:kern w:val="22"/>
        </w:rPr>
      </w:pPr>
      <w:bookmarkStart w:id="34" w:name="_Toc517688911"/>
      <w:r w:rsidRPr="009F54B9">
        <w:rPr>
          <w:snapToGrid w:val="0"/>
          <w:kern w:val="22"/>
        </w:rPr>
        <w:lastRenderedPageBreak/>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12</w:t>
      </w:r>
      <w:r w:rsidRPr="009F54B9">
        <w:rPr>
          <w:noProof/>
          <w:snapToGrid w:val="0"/>
          <w:kern w:val="22"/>
        </w:rPr>
        <w:fldChar w:fldCharType="end"/>
      </w:r>
      <w:r w:rsidRPr="009F54B9">
        <w:rPr>
          <w:snapToGrid w:val="0"/>
          <w:kern w:val="22"/>
        </w:rPr>
        <w:t xml:space="preserve">: </w:t>
      </w:r>
      <w:r w:rsidRPr="009F54B9">
        <w:rPr>
          <w:noProof/>
          <w:snapToGrid w:val="0"/>
          <w:kern w:val="22"/>
        </w:rPr>
        <w:t>Generic steps in impact pathways for a chemical industry; highlighting the difference between an impact driver, changes in ecosystem attributes and impacts on human wellbeing / business profitability (Natural Capital Coalition 2016)</w:t>
      </w:r>
      <w:r w:rsidRPr="009F54B9">
        <w:rPr>
          <w:rStyle w:val="FootnoteReference"/>
          <w:noProof/>
          <w:snapToGrid w:val="0"/>
          <w:kern w:val="22"/>
        </w:rPr>
        <w:footnoteReference w:id="59"/>
      </w:r>
      <w:bookmarkEnd w:id="34"/>
    </w:p>
    <w:p w14:paraId="358B6C4E" w14:textId="77777777" w:rsidR="008E44C6" w:rsidRPr="009F54B9" w:rsidRDefault="008E44C6" w:rsidP="00E07B67">
      <w:pPr>
        <w:rPr>
          <w:noProof/>
          <w:snapToGrid w:val="0"/>
          <w:kern w:val="22"/>
        </w:rPr>
      </w:pPr>
    </w:p>
    <w:p w14:paraId="40C6BFF5" w14:textId="77777777" w:rsidR="008E44C6" w:rsidRPr="009F54B9" w:rsidRDefault="008E44C6" w:rsidP="00D51B4D">
      <w:pPr>
        <w:rPr>
          <w:snapToGrid w:val="0"/>
          <w:kern w:val="22"/>
        </w:rPr>
      </w:pPr>
      <w:r w:rsidRPr="009F54B9">
        <w:rPr>
          <w:snapToGrid w:val="0"/>
          <w:kern w:val="22"/>
        </w:rPr>
        <w:t>Distinguishing between an impact driver and an actual impact is critical to understanding the environmental impacts of manufacturing industries (Figure 12). An impact driver can be:</w:t>
      </w:r>
    </w:p>
    <w:p w14:paraId="23BEF438" w14:textId="77777777" w:rsidR="008E44C6" w:rsidRPr="009F54B9" w:rsidRDefault="008E44C6" w:rsidP="008E44C6">
      <w:pPr>
        <w:pStyle w:val="ListParagraph"/>
        <w:numPr>
          <w:ilvl w:val="0"/>
          <w:numId w:val="34"/>
        </w:numPr>
        <w:autoSpaceDE w:val="0"/>
        <w:autoSpaceDN w:val="0"/>
        <w:adjustRightInd w:val="0"/>
        <w:spacing w:line="360" w:lineRule="auto"/>
        <w:rPr>
          <w:snapToGrid w:val="0"/>
          <w:kern w:val="22"/>
        </w:rPr>
      </w:pPr>
      <w:r w:rsidRPr="009F54B9">
        <w:rPr>
          <w:snapToGrid w:val="0"/>
          <w:kern w:val="22"/>
        </w:rPr>
        <w:t xml:space="preserve">A measurable quantity of an ecosystem component used as an input to production (e.g., volume of water used for cooling in a factory) or </w:t>
      </w:r>
    </w:p>
    <w:p w14:paraId="6FABD67E" w14:textId="77777777" w:rsidR="008E44C6" w:rsidRPr="009F54B9" w:rsidRDefault="008E44C6" w:rsidP="008E44C6">
      <w:pPr>
        <w:pStyle w:val="ListParagraph"/>
        <w:numPr>
          <w:ilvl w:val="0"/>
          <w:numId w:val="34"/>
        </w:numPr>
        <w:autoSpaceDE w:val="0"/>
        <w:autoSpaceDN w:val="0"/>
        <w:adjustRightInd w:val="0"/>
        <w:spacing w:line="360" w:lineRule="auto"/>
        <w:rPr>
          <w:snapToGrid w:val="0"/>
          <w:kern w:val="22"/>
        </w:rPr>
      </w:pPr>
      <w:r w:rsidRPr="009F54B9">
        <w:rPr>
          <w:snapToGrid w:val="0"/>
          <w:kern w:val="22"/>
        </w:rPr>
        <w:t xml:space="preserve">A measurable non-product output of a business activity (e.g., tons of greenhouse gas emissions). </w:t>
      </w:r>
    </w:p>
    <w:p w14:paraId="2E508AEC" w14:textId="77777777" w:rsidR="008E44C6" w:rsidRPr="009F54B9" w:rsidRDefault="008E44C6" w:rsidP="00D51B4D">
      <w:pPr>
        <w:ind w:left="58"/>
        <w:rPr>
          <w:snapToGrid w:val="0"/>
          <w:kern w:val="22"/>
        </w:rPr>
      </w:pPr>
      <w:r w:rsidRPr="009F54B9">
        <w:rPr>
          <w:snapToGrid w:val="0"/>
          <w:kern w:val="22"/>
        </w:rPr>
        <w:t xml:space="preserve">An impact is a change in the quantity or quality of an ecosystem component or attribute, which occurs as a consequence of an impact driver, and may lead to changes in human well-being or </w:t>
      </w:r>
      <w:r w:rsidR="001E4B78" w:rsidRPr="009F54B9">
        <w:rPr>
          <w:snapToGrid w:val="0"/>
          <w:kern w:val="22"/>
        </w:rPr>
        <w:t>organiz</w:t>
      </w:r>
      <w:r w:rsidR="006242BC" w:rsidRPr="009F54B9">
        <w:rPr>
          <w:snapToGrid w:val="0"/>
          <w:kern w:val="22"/>
        </w:rPr>
        <w:t>a</w:t>
      </w:r>
      <w:r w:rsidRPr="009F54B9">
        <w:rPr>
          <w:snapToGrid w:val="0"/>
          <w:kern w:val="22"/>
        </w:rPr>
        <w:t xml:space="preserve">tional viability / profitability. In other words, environmental impacts are the negative or positive effect of business activity on ecosystems, including biodiversity (e.g., decrease in the population of a plant species is a negative impact of land use change / habitat transformation, which are both impact drivers). In addition, a single impact driver may be associated with multiple impacts and several impact drivers may act in synergy and result in a specific ecosystem change. Table 7 presents a high level list of impact drivers. </w:t>
      </w:r>
    </w:p>
    <w:p w14:paraId="62EE4FFB" w14:textId="77777777" w:rsidR="008E44C6" w:rsidRPr="009F54B9" w:rsidRDefault="008E44C6" w:rsidP="00C80918">
      <w:pPr>
        <w:rPr>
          <w:snapToGrid w:val="0"/>
          <w:kern w:val="22"/>
        </w:rPr>
      </w:pPr>
    </w:p>
    <w:p w14:paraId="6B7F3EA0" w14:textId="77777777" w:rsidR="008E44C6" w:rsidRPr="009F54B9" w:rsidRDefault="008E44C6" w:rsidP="00FB3A79">
      <w:pPr>
        <w:pStyle w:val="Caption"/>
        <w:jc w:val="center"/>
        <w:rPr>
          <w:noProof/>
          <w:snapToGrid w:val="0"/>
          <w:kern w:val="22"/>
        </w:rPr>
      </w:pPr>
      <w:bookmarkStart w:id="35" w:name="_Toc517688926"/>
      <w:r w:rsidRPr="009F54B9">
        <w:rPr>
          <w:snapToGrid w:val="0"/>
          <w:kern w:val="22"/>
        </w:rPr>
        <w:t xml:space="preserve">Table </w:t>
      </w:r>
      <w:r w:rsidRPr="009F54B9">
        <w:rPr>
          <w:snapToGrid w:val="0"/>
          <w:kern w:val="22"/>
        </w:rPr>
        <w:fldChar w:fldCharType="begin"/>
      </w:r>
      <w:r w:rsidRPr="009F54B9">
        <w:rPr>
          <w:snapToGrid w:val="0"/>
          <w:kern w:val="22"/>
        </w:rPr>
        <w:instrText xml:space="preserve"> SEQ Table \* ARABIC </w:instrText>
      </w:r>
      <w:r w:rsidRPr="009F54B9">
        <w:rPr>
          <w:snapToGrid w:val="0"/>
          <w:kern w:val="22"/>
        </w:rPr>
        <w:fldChar w:fldCharType="separate"/>
      </w:r>
      <w:r w:rsidRPr="009F54B9">
        <w:rPr>
          <w:noProof/>
          <w:snapToGrid w:val="0"/>
          <w:kern w:val="22"/>
        </w:rPr>
        <w:t>7</w:t>
      </w:r>
      <w:r w:rsidRPr="009F54B9">
        <w:rPr>
          <w:noProof/>
          <w:snapToGrid w:val="0"/>
          <w:kern w:val="22"/>
        </w:rPr>
        <w:fldChar w:fldCharType="end"/>
      </w:r>
      <w:r w:rsidRPr="009F54B9">
        <w:rPr>
          <w:snapToGrid w:val="0"/>
          <w:kern w:val="22"/>
        </w:rPr>
        <w:t xml:space="preserve">: </w:t>
      </w:r>
      <w:r w:rsidRPr="009F54B9">
        <w:rPr>
          <w:noProof/>
          <w:snapToGrid w:val="0"/>
          <w:kern w:val="22"/>
        </w:rPr>
        <w:t>Examples of impact drivers linked to business inputs and outputs (adated from Natural Capital Coalition 2016)</w:t>
      </w:r>
      <w:r w:rsidRPr="009F54B9">
        <w:rPr>
          <w:rStyle w:val="FootnoteReference"/>
          <w:noProof/>
          <w:snapToGrid w:val="0"/>
          <w:kern w:val="22"/>
        </w:rPr>
        <w:footnoteReference w:id="60"/>
      </w:r>
      <w:bookmarkEnd w:id="35"/>
    </w:p>
    <w:tbl>
      <w:tblPr>
        <w:tblStyle w:val="LightShading4"/>
        <w:tblW w:w="0" w:type="auto"/>
        <w:tblBorders>
          <w:top w:val="single" w:sz="8" w:space="0" w:color="000000" w:themeColor="text1"/>
          <w:bottom w:val="single" w:sz="8" w:space="0" w:color="000000" w:themeColor="text1"/>
          <w:insideH w:val="single" w:sz="4" w:space="0" w:color="auto"/>
          <w:insideV w:val="single" w:sz="4" w:space="0" w:color="auto"/>
        </w:tblBorders>
        <w:shd w:val="clear" w:color="auto" w:fill="FFFFFF" w:themeFill="background1"/>
        <w:tblLook w:val="04A0" w:firstRow="1" w:lastRow="0" w:firstColumn="1" w:lastColumn="0" w:noHBand="0" w:noVBand="1"/>
      </w:tblPr>
      <w:tblGrid>
        <w:gridCol w:w="1585"/>
        <w:gridCol w:w="2246"/>
        <w:gridCol w:w="5185"/>
      </w:tblGrid>
      <w:tr w:rsidR="008E44C6" w:rsidRPr="00DF1117" w14:paraId="6DDBCBF5" w14:textId="77777777" w:rsidTr="009F54B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86" w:type="dxa"/>
            <w:tcBorders>
              <w:top w:val="single" w:sz="4" w:space="0" w:color="auto"/>
              <w:left w:val="single" w:sz="4" w:space="0" w:color="auto"/>
              <w:bottom w:val="single" w:sz="4" w:space="0" w:color="auto"/>
              <w:right w:val="single" w:sz="4" w:space="0" w:color="auto"/>
            </w:tcBorders>
            <w:shd w:val="clear" w:color="auto" w:fill="EEECE1" w:themeFill="background2"/>
          </w:tcPr>
          <w:p w14:paraId="0B92764A" w14:textId="77777777" w:rsidR="008E44C6" w:rsidRPr="009F54B9" w:rsidRDefault="008E44C6" w:rsidP="00AE39FB">
            <w:pPr>
              <w:spacing w:before="60"/>
              <w:jc w:val="left"/>
              <w:rPr>
                <w:rFonts w:eastAsia="Calibri"/>
                <w:snapToGrid w:val="0"/>
                <w:kern w:val="22"/>
              </w:rPr>
            </w:pPr>
            <w:r w:rsidRPr="009F54B9">
              <w:rPr>
                <w:rFonts w:eastAsia="Calibri"/>
                <w:snapToGrid w:val="0"/>
                <w:kern w:val="22"/>
              </w:rPr>
              <w:t xml:space="preserve">Business input or output </w:t>
            </w:r>
          </w:p>
        </w:tc>
        <w:tc>
          <w:tcPr>
            <w:tcW w:w="2248" w:type="dxa"/>
            <w:tcBorders>
              <w:top w:val="single" w:sz="4" w:space="0" w:color="auto"/>
              <w:left w:val="single" w:sz="4" w:space="0" w:color="auto"/>
              <w:bottom w:val="single" w:sz="4" w:space="0" w:color="auto"/>
              <w:right w:val="single" w:sz="4" w:space="0" w:color="auto"/>
            </w:tcBorders>
            <w:shd w:val="clear" w:color="auto" w:fill="EEECE1" w:themeFill="background2"/>
          </w:tcPr>
          <w:p w14:paraId="0CD0B998" w14:textId="77777777" w:rsidR="008E44C6" w:rsidRPr="009F54B9" w:rsidRDefault="008E44C6" w:rsidP="00AE39FB">
            <w:pPr>
              <w:spacing w:before="60"/>
              <w:jc w:val="left"/>
              <w:cnfStyle w:val="100000000000" w:firstRow="1" w:lastRow="0" w:firstColumn="0" w:lastColumn="0" w:oddVBand="0" w:evenVBand="0" w:oddHBand="0" w:evenHBand="0" w:firstRowFirstColumn="0" w:firstRowLastColumn="0" w:lastRowFirstColumn="0" w:lastRowLastColumn="0"/>
              <w:rPr>
                <w:rFonts w:eastAsia="Calibri"/>
                <w:snapToGrid w:val="0"/>
                <w:kern w:val="22"/>
              </w:rPr>
            </w:pPr>
            <w:r w:rsidRPr="009F54B9">
              <w:rPr>
                <w:rFonts w:eastAsia="Calibri"/>
                <w:snapToGrid w:val="0"/>
                <w:kern w:val="22"/>
              </w:rPr>
              <w:t>Impact driver category</w:t>
            </w:r>
          </w:p>
        </w:tc>
        <w:tc>
          <w:tcPr>
            <w:tcW w:w="5192" w:type="dxa"/>
            <w:tcBorders>
              <w:top w:val="single" w:sz="4" w:space="0" w:color="auto"/>
              <w:left w:val="single" w:sz="4" w:space="0" w:color="auto"/>
              <w:bottom w:val="single" w:sz="4" w:space="0" w:color="auto"/>
              <w:right w:val="single" w:sz="4" w:space="0" w:color="auto"/>
            </w:tcBorders>
            <w:shd w:val="clear" w:color="auto" w:fill="EEECE1" w:themeFill="background2"/>
          </w:tcPr>
          <w:p w14:paraId="3E6CC559" w14:textId="77777777" w:rsidR="008E44C6" w:rsidRPr="009F54B9" w:rsidRDefault="008E44C6" w:rsidP="00AE39FB">
            <w:pPr>
              <w:spacing w:before="60"/>
              <w:jc w:val="left"/>
              <w:cnfStyle w:val="100000000000" w:firstRow="1" w:lastRow="0" w:firstColumn="0" w:lastColumn="0" w:oddVBand="0" w:evenVBand="0" w:oddHBand="0" w:evenHBand="0" w:firstRowFirstColumn="0" w:firstRowLastColumn="0" w:lastRowFirstColumn="0" w:lastRowLastColumn="0"/>
              <w:rPr>
                <w:rFonts w:eastAsia="Calibri"/>
                <w:snapToGrid w:val="0"/>
                <w:kern w:val="22"/>
              </w:rPr>
            </w:pPr>
            <w:r w:rsidRPr="009F54B9">
              <w:rPr>
                <w:rFonts w:eastAsia="Calibri"/>
                <w:snapToGrid w:val="0"/>
                <w:kern w:val="22"/>
              </w:rPr>
              <w:t xml:space="preserve">Examples of specific, measurable impact drivers </w:t>
            </w:r>
          </w:p>
        </w:tc>
      </w:tr>
      <w:tr w:rsidR="008E44C6" w:rsidRPr="00DF1117" w14:paraId="2DFBB08A" w14:textId="77777777" w:rsidTr="000451C9">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158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42C7409" w14:textId="77777777" w:rsidR="008E44C6" w:rsidRPr="009F54B9" w:rsidRDefault="008E44C6" w:rsidP="000451C9">
            <w:pPr>
              <w:spacing w:before="60"/>
              <w:jc w:val="left"/>
              <w:rPr>
                <w:rFonts w:eastAsia="Calibri"/>
                <w:snapToGrid w:val="0"/>
                <w:kern w:val="22"/>
              </w:rPr>
            </w:pPr>
            <w:r w:rsidRPr="009F54B9">
              <w:rPr>
                <w:rFonts w:eastAsia="Calibri"/>
                <w:snapToGrid w:val="0"/>
                <w:kern w:val="22"/>
              </w:rPr>
              <w:t>Inputs</w:t>
            </w:r>
          </w:p>
        </w:tc>
        <w:tc>
          <w:tcPr>
            <w:tcW w:w="2248" w:type="dxa"/>
            <w:tcBorders>
              <w:top w:val="single" w:sz="4" w:space="0" w:color="auto"/>
              <w:left w:val="single" w:sz="4" w:space="0" w:color="auto"/>
              <w:bottom w:val="single" w:sz="4" w:space="0" w:color="auto"/>
              <w:right w:val="single" w:sz="4" w:space="0" w:color="auto"/>
            </w:tcBorders>
            <w:shd w:val="clear" w:color="auto" w:fill="FFFFFF" w:themeFill="background1"/>
          </w:tcPr>
          <w:p w14:paraId="586C44D3" w14:textId="77777777" w:rsidR="008E44C6" w:rsidRPr="009F54B9" w:rsidRDefault="008E44C6" w:rsidP="00FE4FFB">
            <w:pPr>
              <w:spacing w:before="60"/>
              <w:jc w:val="left"/>
              <w:cnfStyle w:val="000000100000" w:firstRow="0" w:lastRow="0" w:firstColumn="0" w:lastColumn="0" w:oddVBand="0" w:evenVBand="0" w:oddHBand="1" w:evenHBand="0" w:firstRowFirstColumn="0" w:firstRowLastColumn="0" w:lastRowFirstColumn="0" w:lastRowLastColumn="0"/>
              <w:rPr>
                <w:rFonts w:eastAsia="Calibri"/>
                <w:snapToGrid w:val="0"/>
                <w:kern w:val="22"/>
              </w:rPr>
            </w:pPr>
            <w:r w:rsidRPr="009F54B9">
              <w:rPr>
                <w:rFonts w:eastAsia="Calibri"/>
                <w:snapToGrid w:val="0"/>
                <w:kern w:val="22"/>
              </w:rPr>
              <w:t xml:space="preserve">Renewable and non-renewable resource use </w:t>
            </w:r>
          </w:p>
        </w:tc>
        <w:tc>
          <w:tcPr>
            <w:tcW w:w="5192" w:type="dxa"/>
            <w:tcBorders>
              <w:top w:val="single" w:sz="4" w:space="0" w:color="auto"/>
              <w:left w:val="single" w:sz="4" w:space="0" w:color="auto"/>
              <w:bottom w:val="single" w:sz="4" w:space="0" w:color="auto"/>
              <w:right w:val="single" w:sz="4" w:space="0" w:color="auto"/>
            </w:tcBorders>
            <w:shd w:val="clear" w:color="auto" w:fill="FFFFFF" w:themeFill="background1"/>
          </w:tcPr>
          <w:p w14:paraId="4C993E66" w14:textId="77777777" w:rsidR="008E44C6" w:rsidRPr="009F54B9" w:rsidRDefault="008E44C6" w:rsidP="00795D29">
            <w:pPr>
              <w:spacing w:before="60"/>
              <w:jc w:val="left"/>
              <w:cnfStyle w:val="000000100000" w:firstRow="0" w:lastRow="0" w:firstColumn="0" w:lastColumn="0" w:oddVBand="0" w:evenVBand="0" w:oddHBand="1" w:evenHBand="0" w:firstRowFirstColumn="0" w:firstRowLastColumn="0" w:lastRowFirstColumn="0" w:lastRowLastColumn="0"/>
              <w:rPr>
                <w:rFonts w:eastAsia="Calibri"/>
                <w:snapToGrid w:val="0"/>
                <w:kern w:val="22"/>
              </w:rPr>
            </w:pPr>
            <w:r w:rsidRPr="009F54B9">
              <w:rPr>
                <w:rFonts w:eastAsia="Calibri"/>
                <w:snapToGrid w:val="0"/>
                <w:kern w:val="22"/>
              </w:rPr>
              <w:t>Weight of wild-caught fish / mammal by species, weight of wild fruits by species, volume / weight of wood / fibre / animal parts harvested per species, weight of mineral extracted, volume of water extracted</w:t>
            </w:r>
          </w:p>
        </w:tc>
      </w:tr>
      <w:tr w:rsidR="008E44C6" w:rsidRPr="00DF1117" w14:paraId="16F3244C" w14:textId="77777777" w:rsidTr="000451C9">
        <w:trPr>
          <w:trHeight w:val="54"/>
        </w:trPr>
        <w:tc>
          <w:tcPr>
            <w:cnfStyle w:val="001000000000" w:firstRow="0" w:lastRow="0" w:firstColumn="1" w:lastColumn="0" w:oddVBand="0" w:evenVBand="0" w:oddHBand="0" w:evenHBand="0" w:firstRowFirstColumn="0" w:firstRowLastColumn="0" w:lastRowFirstColumn="0" w:lastRowLastColumn="0"/>
            <w:tcW w:w="1586"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BB05DAC" w14:textId="77777777" w:rsidR="008E44C6" w:rsidRPr="009F54B9" w:rsidRDefault="008E44C6" w:rsidP="000451C9">
            <w:pPr>
              <w:spacing w:before="60"/>
              <w:jc w:val="left"/>
              <w:rPr>
                <w:rFonts w:eastAsia="Calibri"/>
                <w:snapToGrid w:val="0"/>
                <w:kern w:val="22"/>
              </w:rPr>
            </w:pPr>
          </w:p>
        </w:tc>
        <w:tc>
          <w:tcPr>
            <w:tcW w:w="2248" w:type="dxa"/>
            <w:tcBorders>
              <w:top w:val="single" w:sz="4" w:space="0" w:color="auto"/>
              <w:left w:val="single" w:sz="4" w:space="0" w:color="auto"/>
              <w:bottom w:val="single" w:sz="4" w:space="0" w:color="auto"/>
              <w:right w:val="single" w:sz="4" w:space="0" w:color="auto"/>
            </w:tcBorders>
            <w:shd w:val="clear" w:color="auto" w:fill="FFFFFF" w:themeFill="background1"/>
          </w:tcPr>
          <w:p w14:paraId="28066A86" w14:textId="77777777" w:rsidR="008E44C6" w:rsidRPr="009F54B9" w:rsidRDefault="008E44C6" w:rsidP="000451C9">
            <w:pPr>
              <w:spacing w:before="60"/>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rPr>
            </w:pPr>
            <w:r w:rsidRPr="009F54B9">
              <w:rPr>
                <w:rFonts w:eastAsia="Calibri"/>
                <w:snapToGrid w:val="0"/>
                <w:kern w:val="22"/>
              </w:rPr>
              <w:t>Terrestrial ecosystem use</w:t>
            </w:r>
          </w:p>
        </w:tc>
        <w:tc>
          <w:tcPr>
            <w:tcW w:w="5192" w:type="dxa"/>
            <w:tcBorders>
              <w:top w:val="single" w:sz="4" w:space="0" w:color="auto"/>
              <w:left w:val="single" w:sz="4" w:space="0" w:color="auto"/>
              <w:bottom w:val="single" w:sz="4" w:space="0" w:color="auto"/>
              <w:right w:val="single" w:sz="4" w:space="0" w:color="auto"/>
            </w:tcBorders>
            <w:shd w:val="clear" w:color="auto" w:fill="FFFFFF" w:themeFill="background1"/>
          </w:tcPr>
          <w:p w14:paraId="193164C2" w14:textId="77777777" w:rsidR="008E44C6" w:rsidRPr="009F54B9" w:rsidRDefault="008E44C6" w:rsidP="000451C9">
            <w:pPr>
              <w:spacing w:before="60"/>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rPr>
            </w:pPr>
            <w:r w:rsidRPr="009F54B9">
              <w:rPr>
                <w:rFonts w:eastAsia="Calibri"/>
                <w:snapToGrid w:val="0"/>
                <w:kern w:val="22"/>
              </w:rPr>
              <w:t xml:space="preserve">Area of agriculture by type, area of forest plantation by type, area of open cast mine by type, etc. </w:t>
            </w:r>
          </w:p>
        </w:tc>
      </w:tr>
      <w:tr w:rsidR="008E44C6" w:rsidRPr="00DF1117" w14:paraId="5771C3D2" w14:textId="77777777" w:rsidTr="000451C9">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1586"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8C42578" w14:textId="77777777" w:rsidR="008E44C6" w:rsidRPr="009F54B9" w:rsidRDefault="008E44C6" w:rsidP="000451C9">
            <w:pPr>
              <w:spacing w:before="60"/>
              <w:jc w:val="left"/>
              <w:rPr>
                <w:rFonts w:eastAsia="Calibri"/>
                <w:snapToGrid w:val="0"/>
                <w:kern w:val="22"/>
              </w:rPr>
            </w:pPr>
          </w:p>
        </w:tc>
        <w:tc>
          <w:tcPr>
            <w:tcW w:w="2248" w:type="dxa"/>
            <w:tcBorders>
              <w:top w:val="single" w:sz="4" w:space="0" w:color="auto"/>
              <w:left w:val="single" w:sz="4" w:space="0" w:color="auto"/>
              <w:bottom w:val="single" w:sz="4" w:space="0" w:color="auto"/>
              <w:right w:val="single" w:sz="4" w:space="0" w:color="auto"/>
            </w:tcBorders>
            <w:shd w:val="clear" w:color="auto" w:fill="FFFFFF" w:themeFill="background1"/>
          </w:tcPr>
          <w:p w14:paraId="67DE265D" w14:textId="77777777" w:rsidR="008E44C6" w:rsidRPr="009F54B9" w:rsidRDefault="008E44C6" w:rsidP="000451C9">
            <w:pPr>
              <w:spacing w:before="60"/>
              <w:jc w:val="left"/>
              <w:cnfStyle w:val="000000100000" w:firstRow="0" w:lastRow="0" w:firstColumn="0" w:lastColumn="0" w:oddVBand="0" w:evenVBand="0" w:oddHBand="1" w:evenHBand="0" w:firstRowFirstColumn="0" w:firstRowLastColumn="0" w:lastRowFirstColumn="0" w:lastRowLastColumn="0"/>
              <w:rPr>
                <w:rFonts w:eastAsia="Calibri"/>
                <w:snapToGrid w:val="0"/>
                <w:kern w:val="22"/>
              </w:rPr>
            </w:pPr>
            <w:r w:rsidRPr="009F54B9">
              <w:rPr>
                <w:rFonts w:eastAsia="Calibri"/>
                <w:snapToGrid w:val="0"/>
                <w:kern w:val="22"/>
              </w:rPr>
              <w:t>Fresh water ecosystem use</w:t>
            </w:r>
          </w:p>
        </w:tc>
        <w:tc>
          <w:tcPr>
            <w:tcW w:w="5192" w:type="dxa"/>
            <w:tcBorders>
              <w:top w:val="single" w:sz="4" w:space="0" w:color="auto"/>
              <w:left w:val="single" w:sz="4" w:space="0" w:color="auto"/>
              <w:bottom w:val="single" w:sz="4" w:space="0" w:color="auto"/>
              <w:right w:val="single" w:sz="4" w:space="0" w:color="auto"/>
            </w:tcBorders>
            <w:shd w:val="clear" w:color="auto" w:fill="FFFFFF" w:themeFill="background1"/>
          </w:tcPr>
          <w:p w14:paraId="50729959" w14:textId="77777777" w:rsidR="008E44C6" w:rsidRPr="009F54B9" w:rsidRDefault="008E44C6" w:rsidP="000451C9">
            <w:pPr>
              <w:spacing w:before="60"/>
              <w:jc w:val="left"/>
              <w:cnfStyle w:val="000000100000" w:firstRow="0" w:lastRow="0" w:firstColumn="0" w:lastColumn="0" w:oddVBand="0" w:evenVBand="0" w:oddHBand="1" w:evenHBand="0" w:firstRowFirstColumn="0" w:firstRowLastColumn="0" w:lastRowFirstColumn="0" w:lastRowLastColumn="0"/>
              <w:rPr>
                <w:rFonts w:eastAsia="Calibri"/>
                <w:snapToGrid w:val="0"/>
                <w:kern w:val="22"/>
              </w:rPr>
            </w:pPr>
            <w:r w:rsidRPr="009F54B9">
              <w:rPr>
                <w:rFonts w:eastAsia="Calibri"/>
                <w:snapToGrid w:val="0"/>
                <w:kern w:val="22"/>
              </w:rPr>
              <w:t xml:space="preserve">Area of wetland, ponds, lakes, streams, rivers or peatland necessary to provide ecosystem services such as water purification, fish spawning etc., areas of infrastructure necessary to use rivers and lakes such as bridges, dams and flood barriers, etc. </w:t>
            </w:r>
          </w:p>
        </w:tc>
      </w:tr>
      <w:tr w:rsidR="008E44C6" w:rsidRPr="00DF1117" w14:paraId="2EBBD6FB" w14:textId="77777777" w:rsidTr="000451C9">
        <w:trPr>
          <w:trHeight w:val="54"/>
        </w:trPr>
        <w:tc>
          <w:tcPr>
            <w:cnfStyle w:val="001000000000" w:firstRow="0" w:lastRow="0" w:firstColumn="1" w:lastColumn="0" w:oddVBand="0" w:evenVBand="0" w:oddHBand="0" w:evenHBand="0" w:firstRowFirstColumn="0" w:firstRowLastColumn="0" w:lastRowFirstColumn="0" w:lastRowLastColumn="0"/>
            <w:tcW w:w="1586"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2723CFC" w14:textId="77777777" w:rsidR="008E44C6" w:rsidRPr="009F54B9" w:rsidRDefault="008E44C6" w:rsidP="000451C9">
            <w:pPr>
              <w:spacing w:before="60"/>
              <w:jc w:val="left"/>
              <w:rPr>
                <w:rFonts w:eastAsia="Calibri"/>
                <w:snapToGrid w:val="0"/>
                <w:kern w:val="22"/>
              </w:rPr>
            </w:pPr>
          </w:p>
        </w:tc>
        <w:tc>
          <w:tcPr>
            <w:tcW w:w="2248" w:type="dxa"/>
            <w:tcBorders>
              <w:top w:val="single" w:sz="4" w:space="0" w:color="auto"/>
              <w:left w:val="single" w:sz="4" w:space="0" w:color="auto"/>
              <w:bottom w:val="single" w:sz="4" w:space="0" w:color="auto"/>
              <w:right w:val="single" w:sz="4" w:space="0" w:color="auto"/>
            </w:tcBorders>
            <w:shd w:val="clear" w:color="auto" w:fill="FFFFFF" w:themeFill="background1"/>
          </w:tcPr>
          <w:p w14:paraId="339A6664" w14:textId="77777777" w:rsidR="008E44C6" w:rsidRPr="009F54B9" w:rsidRDefault="008E44C6" w:rsidP="000451C9">
            <w:pPr>
              <w:spacing w:before="60"/>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rPr>
            </w:pPr>
            <w:r w:rsidRPr="009F54B9">
              <w:rPr>
                <w:rFonts w:eastAsia="Calibri"/>
                <w:snapToGrid w:val="0"/>
                <w:kern w:val="22"/>
              </w:rPr>
              <w:t>Marine ecosystem use</w:t>
            </w:r>
          </w:p>
        </w:tc>
        <w:tc>
          <w:tcPr>
            <w:tcW w:w="5192" w:type="dxa"/>
            <w:tcBorders>
              <w:top w:val="single" w:sz="4" w:space="0" w:color="auto"/>
              <w:left w:val="single" w:sz="4" w:space="0" w:color="auto"/>
              <w:bottom w:val="single" w:sz="4" w:space="0" w:color="auto"/>
              <w:right w:val="single" w:sz="4" w:space="0" w:color="auto"/>
            </w:tcBorders>
            <w:shd w:val="clear" w:color="auto" w:fill="FFFFFF" w:themeFill="background1"/>
          </w:tcPr>
          <w:p w14:paraId="4556D1CF" w14:textId="77777777" w:rsidR="008E44C6" w:rsidRPr="009F54B9" w:rsidRDefault="008E44C6" w:rsidP="000451C9">
            <w:pPr>
              <w:spacing w:before="60"/>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rPr>
            </w:pPr>
            <w:r w:rsidRPr="009F54B9">
              <w:rPr>
                <w:rFonts w:eastAsia="Calibri"/>
                <w:snapToGrid w:val="0"/>
                <w:kern w:val="22"/>
              </w:rPr>
              <w:t xml:space="preserve">Area of aquaculture by type, area of seabed mining by type, etc. </w:t>
            </w:r>
          </w:p>
        </w:tc>
      </w:tr>
      <w:tr w:rsidR="008E44C6" w:rsidRPr="00DF1117" w14:paraId="14BB9CAF" w14:textId="77777777" w:rsidTr="000451C9">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58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7331A6C" w14:textId="77777777" w:rsidR="008E44C6" w:rsidRPr="009F54B9" w:rsidRDefault="008E44C6" w:rsidP="00E07B67">
            <w:pPr>
              <w:spacing w:before="60"/>
              <w:jc w:val="left"/>
              <w:rPr>
                <w:rFonts w:eastAsia="Calibri"/>
                <w:snapToGrid w:val="0"/>
                <w:kern w:val="22"/>
              </w:rPr>
            </w:pPr>
            <w:r w:rsidRPr="009F54B9">
              <w:rPr>
                <w:rFonts w:eastAsia="Calibri"/>
                <w:snapToGrid w:val="0"/>
                <w:kern w:val="22"/>
              </w:rPr>
              <w:t xml:space="preserve">Non-product outputs </w:t>
            </w:r>
          </w:p>
        </w:tc>
        <w:tc>
          <w:tcPr>
            <w:tcW w:w="2248" w:type="dxa"/>
            <w:tcBorders>
              <w:top w:val="single" w:sz="4" w:space="0" w:color="auto"/>
              <w:left w:val="single" w:sz="4" w:space="0" w:color="auto"/>
              <w:bottom w:val="single" w:sz="4" w:space="0" w:color="auto"/>
              <w:right w:val="single" w:sz="4" w:space="0" w:color="auto"/>
            </w:tcBorders>
            <w:shd w:val="clear" w:color="auto" w:fill="FFFFFF" w:themeFill="background1"/>
          </w:tcPr>
          <w:p w14:paraId="7E8986C2" w14:textId="77777777" w:rsidR="008E44C6" w:rsidRPr="009F54B9" w:rsidRDefault="008E44C6" w:rsidP="000451C9">
            <w:pPr>
              <w:spacing w:before="60"/>
              <w:jc w:val="left"/>
              <w:cnfStyle w:val="000000100000" w:firstRow="0" w:lastRow="0" w:firstColumn="0" w:lastColumn="0" w:oddVBand="0" w:evenVBand="0" w:oddHBand="1" w:evenHBand="0" w:firstRowFirstColumn="0" w:firstRowLastColumn="0" w:lastRowFirstColumn="0" w:lastRowLastColumn="0"/>
              <w:rPr>
                <w:rFonts w:eastAsia="Calibri"/>
                <w:snapToGrid w:val="0"/>
                <w:kern w:val="22"/>
              </w:rPr>
            </w:pPr>
            <w:r w:rsidRPr="009F54B9">
              <w:rPr>
                <w:rFonts w:eastAsia="Calibri"/>
                <w:snapToGrid w:val="0"/>
                <w:kern w:val="22"/>
              </w:rPr>
              <w:t>GHG emissions</w:t>
            </w:r>
          </w:p>
        </w:tc>
        <w:tc>
          <w:tcPr>
            <w:tcW w:w="5192" w:type="dxa"/>
            <w:tcBorders>
              <w:top w:val="single" w:sz="4" w:space="0" w:color="auto"/>
              <w:left w:val="single" w:sz="4" w:space="0" w:color="auto"/>
              <w:bottom w:val="single" w:sz="4" w:space="0" w:color="auto"/>
              <w:right w:val="single" w:sz="4" w:space="0" w:color="auto"/>
            </w:tcBorders>
            <w:shd w:val="clear" w:color="auto" w:fill="FFFFFF" w:themeFill="background1"/>
          </w:tcPr>
          <w:p w14:paraId="7D03C579" w14:textId="77777777" w:rsidR="008E44C6" w:rsidRPr="009F54B9" w:rsidRDefault="008E44C6" w:rsidP="000451C9">
            <w:pPr>
              <w:spacing w:before="60"/>
              <w:jc w:val="left"/>
              <w:cnfStyle w:val="000000100000" w:firstRow="0" w:lastRow="0" w:firstColumn="0" w:lastColumn="0" w:oddVBand="0" w:evenVBand="0" w:oddHBand="1" w:evenHBand="0" w:firstRowFirstColumn="0" w:firstRowLastColumn="0" w:lastRowFirstColumn="0" w:lastRowLastColumn="0"/>
              <w:rPr>
                <w:rFonts w:eastAsia="Calibri"/>
                <w:snapToGrid w:val="0"/>
                <w:kern w:val="22"/>
              </w:rPr>
            </w:pPr>
            <w:r w:rsidRPr="009F54B9">
              <w:rPr>
                <w:rFonts w:eastAsia="Calibri"/>
                <w:snapToGrid w:val="0"/>
                <w:kern w:val="22"/>
              </w:rPr>
              <w:t xml:space="preserve">Volume of carbon dioxide (CO2), methane (CH4), nitrous oxide (N2O), sulphur hexafluoride (SF6), hydrofluorocarbons (HFCs) and perfluorocarbons (PFCs), etc.  </w:t>
            </w:r>
          </w:p>
        </w:tc>
      </w:tr>
      <w:tr w:rsidR="008E44C6" w:rsidRPr="00DF1117" w14:paraId="231CBF7E" w14:textId="77777777" w:rsidTr="000451C9">
        <w:trPr>
          <w:trHeight w:val="45"/>
        </w:trPr>
        <w:tc>
          <w:tcPr>
            <w:cnfStyle w:val="001000000000" w:firstRow="0" w:lastRow="0" w:firstColumn="1" w:lastColumn="0" w:oddVBand="0" w:evenVBand="0" w:oddHBand="0" w:evenHBand="0" w:firstRowFirstColumn="0" w:firstRowLastColumn="0" w:lastRowFirstColumn="0" w:lastRowLastColumn="0"/>
            <w:tcW w:w="1586" w:type="dxa"/>
            <w:vMerge/>
            <w:tcBorders>
              <w:top w:val="single" w:sz="4" w:space="0" w:color="auto"/>
              <w:left w:val="single" w:sz="4" w:space="0" w:color="auto"/>
              <w:bottom w:val="single" w:sz="4" w:space="0" w:color="auto"/>
            </w:tcBorders>
            <w:shd w:val="clear" w:color="auto" w:fill="FFFFFF" w:themeFill="background1"/>
          </w:tcPr>
          <w:p w14:paraId="7C76A470" w14:textId="77777777" w:rsidR="008E44C6" w:rsidRPr="009F54B9" w:rsidRDefault="008E44C6" w:rsidP="000451C9">
            <w:pPr>
              <w:spacing w:before="60"/>
              <w:jc w:val="left"/>
              <w:rPr>
                <w:rFonts w:eastAsia="Calibri"/>
                <w:snapToGrid w:val="0"/>
                <w:kern w:val="22"/>
              </w:rPr>
            </w:pPr>
          </w:p>
        </w:tc>
        <w:tc>
          <w:tcPr>
            <w:tcW w:w="2248" w:type="dxa"/>
            <w:tcBorders>
              <w:top w:val="single" w:sz="4" w:space="0" w:color="auto"/>
              <w:bottom w:val="single" w:sz="4" w:space="0" w:color="auto"/>
            </w:tcBorders>
            <w:shd w:val="clear" w:color="auto" w:fill="FFFFFF" w:themeFill="background1"/>
          </w:tcPr>
          <w:p w14:paraId="6E8F45BC" w14:textId="77777777" w:rsidR="008E44C6" w:rsidRPr="009F54B9" w:rsidRDefault="008E44C6" w:rsidP="000451C9">
            <w:pPr>
              <w:spacing w:before="60"/>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rPr>
            </w:pPr>
            <w:r w:rsidRPr="009F54B9">
              <w:rPr>
                <w:rFonts w:eastAsia="Calibri"/>
                <w:snapToGrid w:val="0"/>
                <w:kern w:val="22"/>
              </w:rPr>
              <w:t xml:space="preserve">Non-GHG air pollutants </w:t>
            </w:r>
          </w:p>
        </w:tc>
        <w:tc>
          <w:tcPr>
            <w:tcW w:w="5192" w:type="dxa"/>
            <w:tcBorders>
              <w:top w:val="single" w:sz="4" w:space="0" w:color="auto"/>
              <w:bottom w:val="single" w:sz="4" w:space="0" w:color="auto"/>
              <w:right w:val="single" w:sz="4" w:space="0" w:color="auto"/>
            </w:tcBorders>
            <w:shd w:val="clear" w:color="auto" w:fill="FFFFFF" w:themeFill="background1"/>
          </w:tcPr>
          <w:p w14:paraId="0973309D" w14:textId="77777777" w:rsidR="008E44C6" w:rsidRPr="009F54B9" w:rsidRDefault="008E44C6" w:rsidP="000451C9">
            <w:pPr>
              <w:spacing w:before="60"/>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rPr>
            </w:pPr>
            <w:r w:rsidRPr="009F54B9">
              <w:rPr>
                <w:rFonts w:eastAsia="Calibri"/>
                <w:snapToGrid w:val="0"/>
                <w:kern w:val="22"/>
              </w:rPr>
              <w:t xml:space="preserve">Volume of fine particulate matter (PM2.5) and course particulate matter (PM10), volatile organic compounds (VOCs), mono-nitrogen oxides (NO and NO2, commonly referred to as NO2), sulphur dioxide (SO2), carbon monoxide (CO), etc. </w:t>
            </w:r>
          </w:p>
        </w:tc>
      </w:tr>
      <w:tr w:rsidR="008E44C6" w:rsidRPr="00DF1117" w14:paraId="6D21C7F7" w14:textId="77777777" w:rsidTr="000451C9">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586"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0EB110D" w14:textId="77777777" w:rsidR="008E44C6" w:rsidRPr="009F54B9" w:rsidRDefault="008E44C6" w:rsidP="000451C9">
            <w:pPr>
              <w:spacing w:before="60"/>
              <w:jc w:val="left"/>
              <w:rPr>
                <w:rFonts w:eastAsia="Calibri"/>
                <w:snapToGrid w:val="0"/>
                <w:kern w:val="22"/>
              </w:rPr>
            </w:pPr>
          </w:p>
        </w:tc>
        <w:tc>
          <w:tcPr>
            <w:tcW w:w="2248" w:type="dxa"/>
            <w:tcBorders>
              <w:top w:val="single" w:sz="4" w:space="0" w:color="auto"/>
              <w:left w:val="single" w:sz="4" w:space="0" w:color="auto"/>
              <w:bottom w:val="single" w:sz="4" w:space="0" w:color="auto"/>
              <w:right w:val="single" w:sz="4" w:space="0" w:color="auto"/>
            </w:tcBorders>
            <w:shd w:val="clear" w:color="auto" w:fill="FFFFFF" w:themeFill="background1"/>
          </w:tcPr>
          <w:p w14:paraId="74F9F61D" w14:textId="77777777" w:rsidR="008E44C6" w:rsidRPr="009F54B9" w:rsidRDefault="008E44C6" w:rsidP="000451C9">
            <w:pPr>
              <w:spacing w:before="60"/>
              <w:jc w:val="left"/>
              <w:cnfStyle w:val="000000100000" w:firstRow="0" w:lastRow="0" w:firstColumn="0" w:lastColumn="0" w:oddVBand="0" w:evenVBand="0" w:oddHBand="1" w:evenHBand="0" w:firstRowFirstColumn="0" w:firstRowLastColumn="0" w:lastRowFirstColumn="0" w:lastRowLastColumn="0"/>
              <w:rPr>
                <w:rFonts w:eastAsia="Calibri"/>
                <w:snapToGrid w:val="0"/>
                <w:kern w:val="22"/>
              </w:rPr>
            </w:pPr>
            <w:r w:rsidRPr="009F54B9">
              <w:rPr>
                <w:rFonts w:eastAsia="Calibri"/>
                <w:snapToGrid w:val="0"/>
                <w:kern w:val="22"/>
              </w:rPr>
              <w:t xml:space="preserve">Water pollutants </w:t>
            </w:r>
          </w:p>
        </w:tc>
        <w:tc>
          <w:tcPr>
            <w:tcW w:w="5192" w:type="dxa"/>
            <w:tcBorders>
              <w:top w:val="single" w:sz="4" w:space="0" w:color="auto"/>
              <w:left w:val="single" w:sz="4" w:space="0" w:color="auto"/>
              <w:bottom w:val="single" w:sz="4" w:space="0" w:color="auto"/>
              <w:right w:val="single" w:sz="4" w:space="0" w:color="auto"/>
            </w:tcBorders>
            <w:shd w:val="clear" w:color="auto" w:fill="FFFFFF" w:themeFill="background1"/>
          </w:tcPr>
          <w:p w14:paraId="3463A0EF" w14:textId="77777777" w:rsidR="008E44C6" w:rsidRPr="009F54B9" w:rsidRDefault="008E44C6" w:rsidP="000451C9">
            <w:pPr>
              <w:spacing w:before="60"/>
              <w:jc w:val="left"/>
              <w:cnfStyle w:val="000000100000" w:firstRow="0" w:lastRow="0" w:firstColumn="0" w:lastColumn="0" w:oddVBand="0" w:evenVBand="0" w:oddHBand="1" w:evenHBand="0" w:firstRowFirstColumn="0" w:firstRowLastColumn="0" w:lastRowFirstColumn="0" w:lastRowLastColumn="0"/>
              <w:rPr>
                <w:rFonts w:eastAsia="Calibri"/>
                <w:snapToGrid w:val="0"/>
                <w:kern w:val="22"/>
              </w:rPr>
            </w:pPr>
            <w:r w:rsidRPr="009F54B9">
              <w:rPr>
                <w:rFonts w:eastAsia="Calibri"/>
                <w:snapToGrid w:val="0"/>
                <w:kern w:val="22"/>
              </w:rPr>
              <w:t xml:space="preserve">Volume discharged to receiving water body of nutrients (e.g., nitrates and phosphates) or other substances (e.g., heavy metals and chemicals). </w:t>
            </w:r>
          </w:p>
        </w:tc>
      </w:tr>
      <w:tr w:rsidR="008E44C6" w:rsidRPr="00DF1117" w14:paraId="59A3B422" w14:textId="77777777" w:rsidTr="000451C9">
        <w:trPr>
          <w:trHeight w:val="45"/>
        </w:trPr>
        <w:tc>
          <w:tcPr>
            <w:cnfStyle w:val="001000000000" w:firstRow="0" w:lastRow="0" w:firstColumn="1" w:lastColumn="0" w:oddVBand="0" w:evenVBand="0" w:oddHBand="0" w:evenHBand="0" w:firstRowFirstColumn="0" w:firstRowLastColumn="0" w:lastRowFirstColumn="0" w:lastRowLastColumn="0"/>
            <w:tcW w:w="1586" w:type="dxa"/>
            <w:vMerge/>
            <w:tcBorders>
              <w:top w:val="single" w:sz="4" w:space="0" w:color="auto"/>
              <w:left w:val="single" w:sz="4" w:space="0" w:color="auto"/>
              <w:bottom w:val="single" w:sz="4" w:space="0" w:color="auto"/>
            </w:tcBorders>
            <w:shd w:val="clear" w:color="auto" w:fill="FFFFFF" w:themeFill="background1"/>
          </w:tcPr>
          <w:p w14:paraId="44013216" w14:textId="77777777" w:rsidR="008E44C6" w:rsidRPr="009F54B9" w:rsidRDefault="008E44C6" w:rsidP="000451C9">
            <w:pPr>
              <w:spacing w:before="60"/>
              <w:jc w:val="left"/>
              <w:rPr>
                <w:rFonts w:eastAsia="Calibri"/>
                <w:snapToGrid w:val="0"/>
                <w:kern w:val="22"/>
              </w:rPr>
            </w:pPr>
          </w:p>
        </w:tc>
        <w:tc>
          <w:tcPr>
            <w:tcW w:w="2248" w:type="dxa"/>
            <w:tcBorders>
              <w:top w:val="single" w:sz="4" w:space="0" w:color="auto"/>
              <w:bottom w:val="single" w:sz="4" w:space="0" w:color="auto"/>
            </w:tcBorders>
            <w:shd w:val="clear" w:color="auto" w:fill="FFFFFF" w:themeFill="background1"/>
          </w:tcPr>
          <w:p w14:paraId="7CEB4A6F" w14:textId="77777777" w:rsidR="008E44C6" w:rsidRPr="009F54B9" w:rsidRDefault="008E44C6" w:rsidP="000451C9">
            <w:pPr>
              <w:spacing w:before="60"/>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rPr>
            </w:pPr>
            <w:r w:rsidRPr="009F54B9">
              <w:rPr>
                <w:rFonts w:eastAsia="Calibri"/>
                <w:snapToGrid w:val="0"/>
                <w:kern w:val="22"/>
              </w:rPr>
              <w:t>Soil pollutants</w:t>
            </w:r>
          </w:p>
        </w:tc>
        <w:tc>
          <w:tcPr>
            <w:tcW w:w="5192" w:type="dxa"/>
            <w:tcBorders>
              <w:top w:val="single" w:sz="4" w:space="0" w:color="auto"/>
              <w:bottom w:val="single" w:sz="4" w:space="0" w:color="auto"/>
              <w:right w:val="single" w:sz="4" w:space="0" w:color="auto"/>
            </w:tcBorders>
            <w:shd w:val="clear" w:color="auto" w:fill="FFFFFF" w:themeFill="background1"/>
          </w:tcPr>
          <w:p w14:paraId="6993795C" w14:textId="77777777" w:rsidR="008E44C6" w:rsidRPr="009F54B9" w:rsidRDefault="008E44C6" w:rsidP="000451C9">
            <w:pPr>
              <w:spacing w:before="60"/>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rPr>
            </w:pPr>
            <w:r w:rsidRPr="009F54B9">
              <w:rPr>
                <w:rFonts w:eastAsia="Calibri"/>
                <w:snapToGrid w:val="0"/>
                <w:kern w:val="22"/>
              </w:rPr>
              <w:t xml:space="preserve">Volume of water matter discharged and retained in soil over a given period. </w:t>
            </w:r>
          </w:p>
        </w:tc>
      </w:tr>
      <w:tr w:rsidR="008E44C6" w:rsidRPr="00DF1117" w14:paraId="34C26789" w14:textId="77777777" w:rsidTr="000451C9">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1586"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84263E6" w14:textId="77777777" w:rsidR="008E44C6" w:rsidRPr="009F54B9" w:rsidRDefault="008E44C6" w:rsidP="000451C9">
            <w:pPr>
              <w:spacing w:before="60"/>
              <w:jc w:val="left"/>
              <w:rPr>
                <w:rFonts w:eastAsia="Calibri"/>
                <w:snapToGrid w:val="0"/>
                <w:kern w:val="22"/>
              </w:rPr>
            </w:pPr>
          </w:p>
        </w:tc>
        <w:tc>
          <w:tcPr>
            <w:tcW w:w="2248" w:type="dxa"/>
            <w:tcBorders>
              <w:top w:val="single" w:sz="4" w:space="0" w:color="auto"/>
              <w:left w:val="single" w:sz="4" w:space="0" w:color="auto"/>
              <w:bottom w:val="single" w:sz="4" w:space="0" w:color="auto"/>
              <w:right w:val="single" w:sz="4" w:space="0" w:color="auto"/>
            </w:tcBorders>
            <w:shd w:val="clear" w:color="auto" w:fill="FFFFFF" w:themeFill="background1"/>
          </w:tcPr>
          <w:p w14:paraId="25FF6FCF" w14:textId="77777777" w:rsidR="008E44C6" w:rsidRPr="009F54B9" w:rsidRDefault="008E44C6" w:rsidP="000451C9">
            <w:pPr>
              <w:spacing w:before="60"/>
              <w:jc w:val="left"/>
              <w:cnfStyle w:val="000000100000" w:firstRow="0" w:lastRow="0" w:firstColumn="0" w:lastColumn="0" w:oddVBand="0" w:evenVBand="0" w:oddHBand="1" w:evenHBand="0" w:firstRowFirstColumn="0" w:firstRowLastColumn="0" w:lastRowFirstColumn="0" w:lastRowLastColumn="0"/>
              <w:rPr>
                <w:rFonts w:eastAsia="Calibri"/>
                <w:snapToGrid w:val="0"/>
                <w:kern w:val="22"/>
              </w:rPr>
            </w:pPr>
            <w:r w:rsidRPr="009F54B9">
              <w:rPr>
                <w:rFonts w:eastAsia="Calibri"/>
                <w:snapToGrid w:val="0"/>
                <w:kern w:val="22"/>
              </w:rPr>
              <w:t xml:space="preserve">Solid waste </w:t>
            </w:r>
          </w:p>
        </w:tc>
        <w:tc>
          <w:tcPr>
            <w:tcW w:w="5192" w:type="dxa"/>
            <w:tcBorders>
              <w:top w:val="single" w:sz="4" w:space="0" w:color="auto"/>
              <w:left w:val="single" w:sz="4" w:space="0" w:color="auto"/>
              <w:bottom w:val="single" w:sz="4" w:space="0" w:color="auto"/>
              <w:right w:val="single" w:sz="4" w:space="0" w:color="auto"/>
            </w:tcBorders>
            <w:shd w:val="clear" w:color="auto" w:fill="FFFFFF" w:themeFill="background1"/>
          </w:tcPr>
          <w:p w14:paraId="53711869" w14:textId="77777777" w:rsidR="008E44C6" w:rsidRPr="009F54B9" w:rsidRDefault="008E44C6" w:rsidP="000451C9">
            <w:pPr>
              <w:spacing w:before="60"/>
              <w:jc w:val="left"/>
              <w:cnfStyle w:val="000000100000" w:firstRow="0" w:lastRow="0" w:firstColumn="0" w:lastColumn="0" w:oddVBand="0" w:evenVBand="0" w:oddHBand="1" w:evenHBand="0" w:firstRowFirstColumn="0" w:firstRowLastColumn="0" w:lastRowFirstColumn="0" w:lastRowLastColumn="0"/>
              <w:rPr>
                <w:rFonts w:eastAsia="Calibri"/>
                <w:snapToGrid w:val="0"/>
                <w:kern w:val="22"/>
              </w:rPr>
            </w:pPr>
            <w:r w:rsidRPr="009F54B9">
              <w:rPr>
                <w:rFonts w:eastAsia="Calibri"/>
                <w:snapToGrid w:val="0"/>
                <w:kern w:val="22"/>
              </w:rPr>
              <w:t xml:space="preserve">Volume of waste by classification (i.e., non-hazardous, hazardous and radioactive), by specific material constituents (e.g., lead, plastic), or by disposal method (e.g., landfill, incineration, recycling, specialist processing). </w:t>
            </w:r>
          </w:p>
        </w:tc>
      </w:tr>
      <w:tr w:rsidR="008E44C6" w:rsidRPr="00DF1117" w14:paraId="12153E43" w14:textId="77777777" w:rsidTr="000451C9">
        <w:trPr>
          <w:trHeight w:val="45"/>
        </w:trPr>
        <w:tc>
          <w:tcPr>
            <w:cnfStyle w:val="001000000000" w:firstRow="0" w:lastRow="0" w:firstColumn="1" w:lastColumn="0" w:oddVBand="0" w:evenVBand="0" w:oddHBand="0" w:evenHBand="0" w:firstRowFirstColumn="0" w:firstRowLastColumn="0" w:lastRowFirstColumn="0" w:lastRowLastColumn="0"/>
            <w:tcW w:w="1586" w:type="dxa"/>
            <w:vMerge/>
            <w:tcBorders>
              <w:top w:val="single" w:sz="4" w:space="0" w:color="auto"/>
              <w:left w:val="single" w:sz="4" w:space="0" w:color="auto"/>
              <w:bottom w:val="single" w:sz="4" w:space="0" w:color="auto"/>
            </w:tcBorders>
            <w:shd w:val="clear" w:color="auto" w:fill="FFFFFF" w:themeFill="background1"/>
          </w:tcPr>
          <w:p w14:paraId="210AC21F" w14:textId="77777777" w:rsidR="008E44C6" w:rsidRPr="009F54B9" w:rsidRDefault="008E44C6" w:rsidP="000451C9">
            <w:pPr>
              <w:spacing w:before="60"/>
              <w:jc w:val="left"/>
              <w:rPr>
                <w:rFonts w:eastAsia="Calibri"/>
                <w:snapToGrid w:val="0"/>
                <w:kern w:val="22"/>
              </w:rPr>
            </w:pPr>
          </w:p>
        </w:tc>
        <w:tc>
          <w:tcPr>
            <w:tcW w:w="2248" w:type="dxa"/>
            <w:tcBorders>
              <w:top w:val="single" w:sz="4" w:space="0" w:color="auto"/>
              <w:bottom w:val="single" w:sz="4" w:space="0" w:color="auto"/>
            </w:tcBorders>
            <w:shd w:val="clear" w:color="auto" w:fill="FFFFFF" w:themeFill="background1"/>
          </w:tcPr>
          <w:p w14:paraId="34C5E073" w14:textId="77777777" w:rsidR="008E44C6" w:rsidRPr="009F54B9" w:rsidRDefault="008E44C6" w:rsidP="000451C9">
            <w:pPr>
              <w:spacing w:before="60"/>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rPr>
            </w:pPr>
            <w:r w:rsidRPr="009F54B9">
              <w:rPr>
                <w:rFonts w:eastAsia="Calibri"/>
                <w:snapToGrid w:val="0"/>
                <w:kern w:val="22"/>
              </w:rPr>
              <w:t xml:space="preserve">Disturbances </w:t>
            </w:r>
          </w:p>
        </w:tc>
        <w:tc>
          <w:tcPr>
            <w:tcW w:w="5192" w:type="dxa"/>
            <w:tcBorders>
              <w:top w:val="single" w:sz="4" w:space="0" w:color="auto"/>
              <w:bottom w:val="single" w:sz="4" w:space="0" w:color="auto"/>
              <w:right w:val="single" w:sz="4" w:space="0" w:color="auto"/>
            </w:tcBorders>
            <w:shd w:val="clear" w:color="auto" w:fill="FFFFFF" w:themeFill="background1"/>
          </w:tcPr>
          <w:p w14:paraId="264076AB" w14:textId="77777777" w:rsidR="008E44C6" w:rsidRPr="009F54B9" w:rsidRDefault="008E44C6" w:rsidP="000451C9">
            <w:pPr>
              <w:spacing w:before="60"/>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rPr>
            </w:pPr>
            <w:r w:rsidRPr="009F54B9">
              <w:rPr>
                <w:rFonts w:eastAsia="Calibri"/>
                <w:snapToGrid w:val="0"/>
                <w:kern w:val="22"/>
              </w:rPr>
              <w:t xml:space="preserve">Decibels and duration of noise, lumens and duration of light etc., at site of impact. </w:t>
            </w:r>
          </w:p>
        </w:tc>
      </w:tr>
    </w:tbl>
    <w:p w14:paraId="54025666" w14:textId="77777777" w:rsidR="008E44C6" w:rsidRPr="009F54B9" w:rsidRDefault="008E44C6" w:rsidP="00FB3A79">
      <w:pPr>
        <w:rPr>
          <w:noProof/>
          <w:snapToGrid w:val="0"/>
          <w:kern w:val="22"/>
        </w:rPr>
      </w:pPr>
    </w:p>
    <w:p w14:paraId="78B95A86" w14:textId="77777777" w:rsidR="008E44C6" w:rsidRPr="009F54B9" w:rsidRDefault="008E44C6" w:rsidP="00FB3A79">
      <w:pPr>
        <w:rPr>
          <w:noProof/>
          <w:snapToGrid w:val="0"/>
          <w:kern w:val="22"/>
        </w:rPr>
      </w:pPr>
      <w:r w:rsidRPr="009F54B9">
        <w:rPr>
          <w:noProof/>
          <w:snapToGrid w:val="0"/>
          <w:kern w:val="22"/>
        </w:rPr>
        <w:t>Companies and governments tend to focus on measuring impact drivers rather than assessing impacts in themselves. While detailed accounts of environmental impact drivers and / or impacts per industry type are difficult to find (overlooking data gaps, most reports compile data at a national level or per type of environmental impact driver), there are evidence that some manufacturing industries generate more impact drivers (and hence supposedly impacts) than others. For instance, here are some statistics for the EU 27 states (AMEC 2014</w:t>
      </w:r>
      <w:r w:rsidRPr="009F54B9">
        <w:rPr>
          <w:rStyle w:val="FootnoteReference"/>
          <w:noProof/>
          <w:snapToGrid w:val="0"/>
          <w:kern w:val="22"/>
        </w:rPr>
        <w:footnoteReference w:id="61"/>
      </w:r>
      <w:r w:rsidRPr="009F54B9">
        <w:rPr>
          <w:noProof/>
          <w:snapToGrid w:val="0"/>
          <w:kern w:val="22"/>
        </w:rPr>
        <w:t>):</w:t>
      </w:r>
    </w:p>
    <w:p w14:paraId="79D2ADDA" w14:textId="77777777" w:rsidR="008E44C6" w:rsidRPr="009F54B9" w:rsidRDefault="008E44C6" w:rsidP="008E44C6">
      <w:pPr>
        <w:pStyle w:val="ListParagraph"/>
        <w:numPr>
          <w:ilvl w:val="0"/>
          <w:numId w:val="20"/>
        </w:numPr>
        <w:autoSpaceDE w:val="0"/>
        <w:autoSpaceDN w:val="0"/>
        <w:adjustRightInd w:val="0"/>
        <w:spacing w:line="360" w:lineRule="auto"/>
        <w:rPr>
          <w:noProof/>
          <w:snapToGrid w:val="0"/>
          <w:kern w:val="22"/>
        </w:rPr>
      </w:pPr>
      <w:r w:rsidRPr="009F54B9">
        <w:rPr>
          <w:noProof/>
          <w:snapToGrid w:val="0"/>
          <w:kern w:val="22"/>
        </w:rPr>
        <w:t>Air emissions in 2010:</w:t>
      </w:r>
    </w:p>
    <w:p w14:paraId="2264890C" w14:textId="77777777" w:rsidR="008E44C6" w:rsidRPr="009F54B9" w:rsidRDefault="008E44C6" w:rsidP="008E44C6">
      <w:pPr>
        <w:pStyle w:val="ListParagraph"/>
        <w:numPr>
          <w:ilvl w:val="1"/>
          <w:numId w:val="20"/>
        </w:numPr>
        <w:autoSpaceDE w:val="0"/>
        <w:autoSpaceDN w:val="0"/>
        <w:adjustRightInd w:val="0"/>
        <w:spacing w:line="360" w:lineRule="auto"/>
        <w:rPr>
          <w:noProof/>
          <w:snapToGrid w:val="0"/>
          <w:kern w:val="22"/>
        </w:rPr>
      </w:pPr>
      <w:r w:rsidRPr="009F54B9">
        <w:rPr>
          <w:noProof/>
          <w:snapToGrid w:val="0"/>
          <w:kern w:val="22"/>
        </w:rPr>
        <w:t xml:space="preserve">Arsenic: Most of the emissions (6.2 tonnes) were emitted by activities such as the production of non-ferrous metals (3.2 tonnes) and the production of pig iron and steel (2.5 tonnes). </w:t>
      </w:r>
    </w:p>
    <w:p w14:paraId="05EA46CA" w14:textId="77777777" w:rsidR="008E44C6" w:rsidRPr="009F54B9" w:rsidRDefault="008E44C6" w:rsidP="008E44C6">
      <w:pPr>
        <w:pStyle w:val="ListParagraph"/>
        <w:numPr>
          <w:ilvl w:val="1"/>
          <w:numId w:val="20"/>
        </w:numPr>
        <w:autoSpaceDE w:val="0"/>
        <w:autoSpaceDN w:val="0"/>
        <w:adjustRightInd w:val="0"/>
        <w:spacing w:line="360" w:lineRule="auto"/>
        <w:rPr>
          <w:noProof/>
          <w:snapToGrid w:val="0"/>
          <w:kern w:val="22"/>
        </w:rPr>
      </w:pPr>
      <w:r w:rsidRPr="009F54B9">
        <w:rPr>
          <w:noProof/>
          <w:snapToGrid w:val="0"/>
          <w:kern w:val="22"/>
        </w:rPr>
        <w:t>Lead: A total of 507.2 tonnes of lead were emitted by activities related to the production and processing of metals in the EU27 states, including the production of pig iron and steel (216 tonnes), metal ore roasting (37 tonnes) and the processing of non-ferrous metals (around 30 tonnes).</w:t>
      </w:r>
    </w:p>
    <w:p w14:paraId="07AA540E" w14:textId="77777777" w:rsidR="008E44C6" w:rsidRPr="009F54B9" w:rsidRDefault="008E44C6" w:rsidP="008E44C6">
      <w:pPr>
        <w:pStyle w:val="ListParagraph"/>
        <w:numPr>
          <w:ilvl w:val="1"/>
          <w:numId w:val="20"/>
        </w:numPr>
        <w:autoSpaceDE w:val="0"/>
        <w:autoSpaceDN w:val="0"/>
        <w:adjustRightInd w:val="0"/>
        <w:spacing w:line="360" w:lineRule="auto"/>
        <w:rPr>
          <w:noProof/>
          <w:snapToGrid w:val="0"/>
          <w:kern w:val="22"/>
        </w:rPr>
      </w:pPr>
      <w:r w:rsidRPr="009F54B9">
        <w:rPr>
          <w:noProof/>
          <w:snapToGrid w:val="0"/>
          <w:kern w:val="22"/>
        </w:rPr>
        <w:t>Polycyclic Aromatic Hydrocarbons (PAHs): The main source was the production of paper and cardboard (8 kt, 82% of total PAH emissions).</w:t>
      </w:r>
    </w:p>
    <w:p w14:paraId="2C67580E" w14:textId="77777777" w:rsidR="008E44C6" w:rsidRPr="009F54B9" w:rsidRDefault="008E44C6" w:rsidP="008E44C6">
      <w:pPr>
        <w:pStyle w:val="ListParagraph"/>
        <w:numPr>
          <w:ilvl w:val="1"/>
          <w:numId w:val="20"/>
        </w:numPr>
        <w:autoSpaceDE w:val="0"/>
        <w:autoSpaceDN w:val="0"/>
        <w:adjustRightInd w:val="0"/>
        <w:spacing w:line="360" w:lineRule="auto"/>
        <w:rPr>
          <w:noProof/>
          <w:snapToGrid w:val="0"/>
          <w:kern w:val="22"/>
        </w:rPr>
      </w:pPr>
      <w:r w:rsidRPr="009F54B9">
        <w:rPr>
          <w:noProof/>
          <w:snapToGrid w:val="0"/>
          <w:kern w:val="22"/>
        </w:rPr>
        <w:t xml:space="preserve">SOx emissions: The production and processing of metals contributed 5% of total emissions (202 kt) while the mineral industry gneerated 3% of total emissions (114 kt). The chemical industry (organic and inorganic chemicals) generated 50 kt. </w:t>
      </w:r>
    </w:p>
    <w:p w14:paraId="13A9E90E" w14:textId="77777777" w:rsidR="008E44C6" w:rsidRPr="009F54B9" w:rsidRDefault="008E44C6" w:rsidP="008E44C6">
      <w:pPr>
        <w:pStyle w:val="ListParagraph"/>
        <w:numPr>
          <w:ilvl w:val="0"/>
          <w:numId w:val="20"/>
        </w:numPr>
        <w:autoSpaceDE w:val="0"/>
        <w:autoSpaceDN w:val="0"/>
        <w:adjustRightInd w:val="0"/>
        <w:spacing w:line="360" w:lineRule="auto"/>
        <w:rPr>
          <w:noProof/>
          <w:snapToGrid w:val="0"/>
          <w:kern w:val="22"/>
        </w:rPr>
      </w:pPr>
      <w:r w:rsidRPr="009F54B9">
        <w:rPr>
          <w:noProof/>
          <w:snapToGrid w:val="0"/>
          <w:kern w:val="22"/>
        </w:rPr>
        <w:t>Water emissions in 2010:</w:t>
      </w:r>
    </w:p>
    <w:p w14:paraId="785E7B00" w14:textId="77777777" w:rsidR="008E44C6" w:rsidRPr="009F54B9" w:rsidRDefault="008E44C6" w:rsidP="008E44C6">
      <w:pPr>
        <w:pStyle w:val="ListParagraph"/>
        <w:numPr>
          <w:ilvl w:val="1"/>
          <w:numId w:val="20"/>
        </w:numPr>
        <w:autoSpaceDE w:val="0"/>
        <w:autoSpaceDN w:val="0"/>
        <w:adjustRightInd w:val="0"/>
        <w:spacing w:line="360" w:lineRule="auto"/>
        <w:rPr>
          <w:noProof/>
          <w:snapToGrid w:val="0"/>
          <w:kern w:val="22"/>
        </w:rPr>
      </w:pPr>
      <w:r w:rsidRPr="009F54B9">
        <w:rPr>
          <w:noProof/>
          <w:snapToGrid w:val="0"/>
          <w:kern w:val="22"/>
        </w:rPr>
        <w:t>Chlorides: The majority of the emissions (61%; (10 235 810 t) were emitted by a wide range of activities, including refineries, gasification, chemicals processes and metal processes.</w:t>
      </w:r>
    </w:p>
    <w:p w14:paraId="5BA1A2B0" w14:textId="77777777" w:rsidR="008E44C6" w:rsidRPr="009F54B9" w:rsidRDefault="008E44C6" w:rsidP="008E44C6">
      <w:pPr>
        <w:pStyle w:val="ListParagraph"/>
        <w:numPr>
          <w:ilvl w:val="1"/>
          <w:numId w:val="20"/>
        </w:numPr>
        <w:autoSpaceDE w:val="0"/>
        <w:autoSpaceDN w:val="0"/>
        <w:adjustRightInd w:val="0"/>
        <w:spacing w:line="360" w:lineRule="auto"/>
        <w:rPr>
          <w:noProof/>
          <w:snapToGrid w:val="0"/>
          <w:kern w:val="22"/>
        </w:rPr>
      </w:pPr>
      <w:r w:rsidRPr="009F54B9">
        <w:rPr>
          <w:noProof/>
          <w:snapToGrid w:val="0"/>
          <w:kern w:val="22"/>
        </w:rPr>
        <w:lastRenderedPageBreak/>
        <w:t>Cyanides: The majority of emissions (84%; 166 512 kg)) were from sources which include a wide range of types of installations such as refineries, metal processes and chemical processes.</w:t>
      </w:r>
    </w:p>
    <w:p w14:paraId="62EB2528" w14:textId="77777777" w:rsidR="008E44C6" w:rsidRPr="009F54B9" w:rsidRDefault="008E44C6" w:rsidP="008E44C6">
      <w:pPr>
        <w:pStyle w:val="ListParagraph"/>
        <w:numPr>
          <w:ilvl w:val="0"/>
          <w:numId w:val="20"/>
        </w:numPr>
        <w:autoSpaceDE w:val="0"/>
        <w:autoSpaceDN w:val="0"/>
        <w:adjustRightInd w:val="0"/>
        <w:spacing w:line="360" w:lineRule="auto"/>
        <w:rPr>
          <w:noProof/>
          <w:snapToGrid w:val="0"/>
          <w:kern w:val="22"/>
        </w:rPr>
      </w:pPr>
      <w:r w:rsidRPr="009F54B9">
        <w:rPr>
          <w:noProof/>
          <w:snapToGrid w:val="0"/>
          <w:kern w:val="22"/>
        </w:rPr>
        <w:t xml:space="preserve">Manufacturing water use (2011) (as an input impact driver) in European countries is dominated by the manufacture of petroleum, chemicals and chemical products as well as the manufacture of paper and paper products (Figure 13). The manufacture of food products also uses significant amounts of water. </w:t>
      </w:r>
    </w:p>
    <w:p w14:paraId="71FD6CF5" w14:textId="77777777" w:rsidR="008E44C6" w:rsidRPr="009F54B9" w:rsidRDefault="008E44C6" w:rsidP="00FB3A79">
      <w:pPr>
        <w:rPr>
          <w:noProof/>
          <w:snapToGrid w:val="0"/>
          <w:kern w:val="22"/>
        </w:rPr>
      </w:pPr>
    </w:p>
    <w:p w14:paraId="2249F5C2" w14:textId="77777777" w:rsidR="008E44C6" w:rsidRPr="009F54B9" w:rsidRDefault="008E44C6" w:rsidP="00C46698">
      <w:pPr>
        <w:pBdr>
          <w:top w:val="single" w:sz="4" w:space="1" w:color="auto"/>
          <w:left w:val="single" w:sz="4" w:space="4" w:color="auto"/>
          <w:bottom w:val="single" w:sz="4" w:space="1" w:color="auto"/>
          <w:right w:val="single" w:sz="4" w:space="4" w:color="auto"/>
        </w:pBdr>
        <w:rPr>
          <w:noProof/>
          <w:snapToGrid w:val="0"/>
          <w:kern w:val="22"/>
        </w:rPr>
      </w:pPr>
      <w:r w:rsidRPr="009F54B9">
        <w:rPr>
          <w:noProof/>
          <w:snapToGrid w:val="0"/>
          <w:kern w:val="22"/>
          <w:lang w:eastAsia="zh-CN"/>
        </w:rPr>
        <w:drawing>
          <wp:inline distT="0" distB="0" distL="0" distR="0" wp14:anchorId="21C05F2D" wp14:editId="6C1015F0">
            <wp:extent cx="5731510" cy="4720881"/>
            <wp:effectExtent l="0" t="0" r="2540" b="3810"/>
            <wp:docPr id="33" name="Picture 33" descr="http://ec.europa.eu/eurostat/statistics-explained/images/0/03/Water_use_in_the_manufacturing_industry_by_activity%2C_2011_%28m%C2%B3_per_inhabitant%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ec.europa.eu/eurostat/statistics-explained/images/0/03/Water_use_in_the_manufacturing_industry_by_activity%2C_2011_%28m%C2%B3_per_inhabitant%29.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31510" cy="4720881"/>
                    </a:xfrm>
                    <a:prstGeom prst="rect">
                      <a:avLst/>
                    </a:prstGeom>
                    <a:noFill/>
                    <a:ln>
                      <a:noFill/>
                    </a:ln>
                  </pic:spPr>
                </pic:pic>
              </a:graphicData>
            </a:graphic>
          </wp:inline>
        </w:drawing>
      </w:r>
    </w:p>
    <w:p w14:paraId="0A65C59B" w14:textId="77777777" w:rsidR="008E44C6" w:rsidRPr="009F54B9" w:rsidRDefault="008E44C6" w:rsidP="00C46698">
      <w:pPr>
        <w:pStyle w:val="Caption"/>
        <w:pBdr>
          <w:top w:val="single" w:sz="4" w:space="1" w:color="auto"/>
          <w:left w:val="single" w:sz="4" w:space="4" w:color="auto"/>
          <w:bottom w:val="single" w:sz="4" w:space="1" w:color="auto"/>
          <w:right w:val="single" w:sz="4" w:space="4" w:color="auto"/>
        </w:pBdr>
        <w:jc w:val="center"/>
        <w:rPr>
          <w:noProof/>
          <w:snapToGrid w:val="0"/>
          <w:kern w:val="22"/>
        </w:rPr>
      </w:pPr>
      <w:bookmarkStart w:id="36" w:name="_Toc517688912"/>
      <w:r w:rsidRPr="009F54B9">
        <w:rPr>
          <w:noProof/>
          <w:snapToGrid w:val="0"/>
          <w:kern w:val="22"/>
        </w:rPr>
        <w:t xml:space="preserve">Figure </w:t>
      </w:r>
      <w:r w:rsidRPr="009F54B9">
        <w:rPr>
          <w:noProof/>
          <w:snapToGrid w:val="0"/>
          <w:kern w:val="22"/>
        </w:rPr>
        <w:fldChar w:fldCharType="begin"/>
      </w:r>
      <w:r w:rsidRPr="009F54B9">
        <w:rPr>
          <w:noProof/>
          <w:snapToGrid w:val="0"/>
          <w:kern w:val="22"/>
        </w:rPr>
        <w:instrText xml:space="preserve"> SEQ Figure \* ARABIC </w:instrText>
      </w:r>
      <w:r w:rsidRPr="009F54B9">
        <w:rPr>
          <w:noProof/>
          <w:snapToGrid w:val="0"/>
          <w:kern w:val="22"/>
        </w:rPr>
        <w:fldChar w:fldCharType="separate"/>
      </w:r>
      <w:r w:rsidRPr="009F54B9">
        <w:rPr>
          <w:noProof/>
          <w:snapToGrid w:val="0"/>
          <w:kern w:val="22"/>
        </w:rPr>
        <w:t>13</w:t>
      </w:r>
      <w:r w:rsidRPr="009F54B9">
        <w:rPr>
          <w:noProof/>
          <w:snapToGrid w:val="0"/>
          <w:kern w:val="22"/>
        </w:rPr>
        <w:fldChar w:fldCharType="end"/>
      </w:r>
      <w:r w:rsidRPr="009F54B9">
        <w:rPr>
          <w:noProof/>
          <w:snapToGrid w:val="0"/>
          <w:kern w:val="22"/>
        </w:rPr>
        <w:t>: Water use in the manufacturing industry by activity in Europe countries, 2011 (m³ per inhabitant)</w:t>
      </w:r>
      <w:r w:rsidRPr="009F54B9">
        <w:rPr>
          <w:noProof/>
          <w:snapToGrid w:val="0"/>
          <w:kern w:val="22"/>
          <w:vertAlign w:val="superscript"/>
        </w:rPr>
        <w:footnoteReference w:id="62"/>
      </w:r>
      <w:bookmarkEnd w:id="36"/>
    </w:p>
    <w:p w14:paraId="7D5A92A3" w14:textId="77777777" w:rsidR="008E44C6" w:rsidRPr="009F54B9" w:rsidRDefault="008E44C6" w:rsidP="00C46698">
      <w:pPr>
        <w:pStyle w:val="Caption"/>
        <w:rPr>
          <w:noProof/>
          <w:snapToGrid w:val="0"/>
          <w:kern w:val="22"/>
        </w:rPr>
      </w:pPr>
    </w:p>
    <w:p w14:paraId="16B8746C" w14:textId="77777777" w:rsidR="008E44C6" w:rsidRPr="009F54B9" w:rsidRDefault="008E44C6" w:rsidP="00FB3A79">
      <w:pPr>
        <w:rPr>
          <w:noProof/>
          <w:snapToGrid w:val="0"/>
          <w:kern w:val="22"/>
        </w:rPr>
      </w:pPr>
      <w:r w:rsidRPr="009F54B9">
        <w:rPr>
          <w:noProof/>
          <w:snapToGrid w:val="0"/>
          <w:kern w:val="22"/>
        </w:rPr>
        <w:t xml:space="preserve">It is particularly important to </w:t>
      </w:r>
      <w:r w:rsidR="00C744AF">
        <w:rPr>
          <w:noProof/>
          <w:snapToGrid w:val="0"/>
          <w:kern w:val="22"/>
        </w:rPr>
        <w:t>recognize</w:t>
      </w:r>
      <w:r w:rsidRPr="009F54B9">
        <w:rPr>
          <w:noProof/>
          <w:snapToGrid w:val="0"/>
          <w:kern w:val="22"/>
        </w:rPr>
        <w:t xml:space="preserve"> that impact drivers linked to non-product outputs can be traced down to specific manufacturing plants throughout the world. For instance, 50% of total damage costs of air emissions can be attributed to only 147 facilities in Europe and 90% of these costs to only 1</w:t>
      </w:r>
      <w:r w:rsidR="0029242C">
        <w:rPr>
          <w:noProof/>
          <w:snapToGrid w:val="0"/>
          <w:kern w:val="22"/>
        </w:rPr>
        <w:t>,.</w:t>
      </w:r>
      <w:r w:rsidRPr="009F54B9">
        <w:rPr>
          <w:noProof/>
          <w:snapToGrid w:val="0"/>
          <w:kern w:val="22"/>
        </w:rPr>
        <w:t xml:space="preserve">529 facilities (EEA 2014) (Figures 14 and 15); though not all belong to the manufacturing sector. Overall, </w:t>
      </w:r>
      <w:r w:rsidRPr="009F54B9">
        <w:rPr>
          <w:noProof/>
          <w:snapToGrid w:val="0"/>
          <w:kern w:val="22"/>
        </w:rPr>
        <w:lastRenderedPageBreak/>
        <w:t xml:space="preserve">the combustion and production processes of manufacturing industries are second to the energy sector as the primary sources of damage costs due to air emissions in Europe (Figure 16). </w:t>
      </w:r>
    </w:p>
    <w:p w14:paraId="3D571ACB" w14:textId="77777777" w:rsidR="008E44C6" w:rsidRPr="009F54B9" w:rsidRDefault="008E44C6" w:rsidP="00FB3A79">
      <w:pPr>
        <w:rPr>
          <w:noProof/>
          <w:snapToGrid w:val="0"/>
          <w:kern w:val="22"/>
        </w:rPr>
      </w:pPr>
    </w:p>
    <w:p w14:paraId="51ABA321" w14:textId="77777777" w:rsidR="008E44C6" w:rsidRPr="009F54B9" w:rsidRDefault="008E44C6" w:rsidP="00DE46E1">
      <w:pPr>
        <w:pBdr>
          <w:top w:val="single" w:sz="4" w:space="1" w:color="auto"/>
          <w:left w:val="single" w:sz="4" w:space="1" w:color="auto"/>
          <w:bottom w:val="single" w:sz="4" w:space="1" w:color="auto"/>
          <w:right w:val="single" w:sz="4" w:space="1" w:color="auto"/>
        </w:pBdr>
        <w:jc w:val="center"/>
        <w:rPr>
          <w:noProof/>
          <w:snapToGrid w:val="0"/>
          <w:kern w:val="22"/>
        </w:rPr>
      </w:pPr>
      <w:r w:rsidRPr="009F54B9">
        <w:rPr>
          <w:noProof/>
          <w:snapToGrid w:val="0"/>
          <w:kern w:val="22"/>
          <w:lang w:eastAsia="zh-CN"/>
        </w:rPr>
        <w:drawing>
          <wp:inline distT="0" distB="0" distL="0" distR="0" wp14:anchorId="40269B2A" wp14:editId="241B6138">
            <wp:extent cx="4466782" cy="31146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467219" cy="3114980"/>
                    </a:xfrm>
                    <a:prstGeom prst="rect">
                      <a:avLst/>
                    </a:prstGeom>
                    <a:noFill/>
                    <a:ln>
                      <a:noFill/>
                    </a:ln>
                  </pic:spPr>
                </pic:pic>
              </a:graphicData>
            </a:graphic>
          </wp:inline>
        </w:drawing>
      </w:r>
    </w:p>
    <w:p w14:paraId="409E0A78" w14:textId="77777777" w:rsidR="008E44C6" w:rsidRPr="009F54B9" w:rsidRDefault="008E44C6" w:rsidP="00DE46E1">
      <w:pPr>
        <w:pStyle w:val="Caption"/>
        <w:pBdr>
          <w:top w:val="single" w:sz="4" w:space="1" w:color="auto"/>
          <w:left w:val="single" w:sz="4" w:space="1" w:color="auto"/>
          <w:bottom w:val="single" w:sz="4" w:space="1" w:color="auto"/>
          <w:right w:val="single" w:sz="4" w:space="1" w:color="auto"/>
        </w:pBdr>
        <w:jc w:val="center"/>
        <w:rPr>
          <w:noProof/>
          <w:snapToGrid w:val="0"/>
          <w:kern w:val="22"/>
        </w:rPr>
      </w:pPr>
      <w:bookmarkStart w:id="37" w:name="_Toc517688913"/>
      <w:r w:rsidRPr="009F54B9">
        <w:rPr>
          <w:snapToGrid w:val="0"/>
          <w:kern w:val="22"/>
        </w:rPr>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14</w:t>
      </w:r>
      <w:r w:rsidRPr="009F54B9">
        <w:rPr>
          <w:noProof/>
          <w:snapToGrid w:val="0"/>
          <w:kern w:val="22"/>
        </w:rPr>
        <w:fldChar w:fldCharType="end"/>
      </w:r>
      <w:r w:rsidRPr="009F54B9">
        <w:rPr>
          <w:noProof/>
          <w:snapToGrid w:val="0"/>
          <w:kern w:val="22"/>
        </w:rPr>
        <w:t>: Location of the 147 E-PRTR facilities that contributed 50 % of the total damage costs estimated for 2008–2012 in Europe (EEA 2014</w:t>
      </w:r>
      <w:r w:rsidRPr="009F54B9">
        <w:rPr>
          <w:rStyle w:val="FootnoteReference"/>
          <w:noProof/>
          <w:snapToGrid w:val="0"/>
          <w:kern w:val="22"/>
        </w:rPr>
        <w:footnoteReference w:id="63"/>
      </w:r>
      <w:r w:rsidRPr="009F54B9">
        <w:rPr>
          <w:noProof/>
          <w:snapToGrid w:val="0"/>
          <w:kern w:val="22"/>
        </w:rPr>
        <w:t>)</w:t>
      </w:r>
      <w:bookmarkEnd w:id="37"/>
    </w:p>
    <w:p w14:paraId="0A048380" w14:textId="77777777" w:rsidR="008E44C6" w:rsidRPr="009F54B9" w:rsidRDefault="008E44C6" w:rsidP="00FB3A79">
      <w:pPr>
        <w:rPr>
          <w:noProof/>
          <w:snapToGrid w:val="0"/>
          <w:kern w:val="22"/>
        </w:rPr>
      </w:pPr>
    </w:p>
    <w:p w14:paraId="6A357A2C" w14:textId="77777777" w:rsidR="008E44C6" w:rsidRPr="009F54B9" w:rsidRDefault="008E44C6" w:rsidP="00237ECF">
      <w:pPr>
        <w:pBdr>
          <w:top w:val="single" w:sz="4" w:space="1" w:color="auto"/>
          <w:left w:val="single" w:sz="4" w:space="4" w:color="auto"/>
          <w:bottom w:val="single" w:sz="4" w:space="1" w:color="auto"/>
          <w:right w:val="single" w:sz="4" w:space="4" w:color="auto"/>
        </w:pBdr>
        <w:jc w:val="center"/>
        <w:rPr>
          <w:noProof/>
          <w:snapToGrid w:val="0"/>
          <w:kern w:val="22"/>
        </w:rPr>
      </w:pPr>
      <w:r w:rsidRPr="009F54B9">
        <w:rPr>
          <w:noProof/>
          <w:snapToGrid w:val="0"/>
          <w:kern w:val="22"/>
          <w:lang w:eastAsia="zh-CN"/>
        </w:rPr>
        <w:drawing>
          <wp:inline distT="0" distB="0" distL="0" distR="0" wp14:anchorId="496D5558" wp14:editId="026FED0F">
            <wp:extent cx="5210175" cy="35147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10175" cy="3514725"/>
                    </a:xfrm>
                    <a:prstGeom prst="rect">
                      <a:avLst/>
                    </a:prstGeom>
                    <a:noFill/>
                    <a:ln>
                      <a:noFill/>
                    </a:ln>
                  </pic:spPr>
                </pic:pic>
              </a:graphicData>
            </a:graphic>
          </wp:inline>
        </w:drawing>
      </w:r>
    </w:p>
    <w:p w14:paraId="209CDE6D" w14:textId="77777777" w:rsidR="008E44C6" w:rsidRPr="009F54B9" w:rsidRDefault="008E44C6" w:rsidP="004A726A">
      <w:pPr>
        <w:pBdr>
          <w:top w:val="single" w:sz="4" w:space="1" w:color="auto"/>
          <w:left w:val="single" w:sz="4" w:space="4" w:color="auto"/>
          <w:bottom w:val="single" w:sz="4" w:space="1" w:color="auto"/>
          <w:right w:val="single" w:sz="4" w:space="4" w:color="auto"/>
        </w:pBdr>
        <w:jc w:val="center"/>
        <w:rPr>
          <w:noProof/>
          <w:snapToGrid w:val="0"/>
          <w:kern w:val="22"/>
        </w:rPr>
      </w:pPr>
      <w:bookmarkStart w:id="38" w:name="_Toc517688914"/>
      <w:r w:rsidRPr="009F54B9">
        <w:rPr>
          <w:noProof/>
          <w:snapToGrid w:val="0"/>
          <w:kern w:val="22"/>
        </w:rPr>
        <w:lastRenderedPageBreak/>
        <w:t xml:space="preserve">Figure </w:t>
      </w:r>
      <w:r w:rsidRPr="009F54B9">
        <w:rPr>
          <w:noProof/>
          <w:snapToGrid w:val="0"/>
          <w:kern w:val="22"/>
        </w:rPr>
        <w:fldChar w:fldCharType="begin"/>
      </w:r>
      <w:r w:rsidRPr="009F54B9">
        <w:rPr>
          <w:noProof/>
          <w:snapToGrid w:val="0"/>
          <w:kern w:val="22"/>
        </w:rPr>
        <w:instrText xml:space="preserve"> SEQ Figure \* ARABIC </w:instrText>
      </w:r>
      <w:r w:rsidRPr="009F54B9">
        <w:rPr>
          <w:noProof/>
          <w:snapToGrid w:val="0"/>
          <w:kern w:val="22"/>
        </w:rPr>
        <w:fldChar w:fldCharType="separate"/>
      </w:r>
      <w:r w:rsidRPr="009F54B9">
        <w:rPr>
          <w:noProof/>
          <w:snapToGrid w:val="0"/>
          <w:kern w:val="22"/>
        </w:rPr>
        <w:t>15</w:t>
      </w:r>
      <w:r w:rsidRPr="009F54B9">
        <w:rPr>
          <w:noProof/>
          <w:snapToGrid w:val="0"/>
          <w:kern w:val="22"/>
        </w:rPr>
        <w:fldChar w:fldCharType="end"/>
      </w:r>
      <w:r w:rsidRPr="009F54B9">
        <w:rPr>
          <w:noProof/>
          <w:snapToGrid w:val="0"/>
          <w:kern w:val="22"/>
        </w:rPr>
        <w:t>: Cumulative distribution of the estimated damage costs associated with emissions of selected pollutants from E-PRTR facilities in Europe, 2008–2012 (EEA 2014</w:t>
      </w:r>
      <w:r w:rsidRPr="009F54B9">
        <w:rPr>
          <w:rStyle w:val="FootnoteReference"/>
          <w:noProof/>
          <w:snapToGrid w:val="0"/>
          <w:kern w:val="22"/>
        </w:rPr>
        <w:footnoteReference w:id="64"/>
      </w:r>
      <w:r w:rsidRPr="009F54B9">
        <w:rPr>
          <w:noProof/>
          <w:snapToGrid w:val="0"/>
          <w:kern w:val="22"/>
        </w:rPr>
        <w:t>)</w:t>
      </w:r>
      <w:bookmarkEnd w:id="38"/>
    </w:p>
    <w:p w14:paraId="3D0DB96A" w14:textId="77777777" w:rsidR="008E44C6" w:rsidRPr="009F54B9" w:rsidRDefault="008E44C6" w:rsidP="00FB3A79">
      <w:pPr>
        <w:rPr>
          <w:noProof/>
          <w:snapToGrid w:val="0"/>
          <w:kern w:val="22"/>
        </w:rPr>
      </w:pPr>
    </w:p>
    <w:p w14:paraId="528EEBBA" w14:textId="77777777" w:rsidR="008E44C6" w:rsidRPr="009F54B9" w:rsidRDefault="008E44C6" w:rsidP="0035124E">
      <w:pPr>
        <w:pBdr>
          <w:top w:val="single" w:sz="4" w:space="1" w:color="auto"/>
          <w:left w:val="single" w:sz="4" w:space="4" w:color="auto"/>
          <w:bottom w:val="single" w:sz="4" w:space="1" w:color="auto"/>
          <w:right w:val="single" w:sz="4" w:space="4" w:color="auto"/>
        </w:pBdr>
        <w:jc w:val="center"/>
        <w:rPr>
          <w:noProof/>
          <w:snapToGrid w:val="0"/>
          <w:kern w:val="22"/>
        </w:rPr>
      </w:pPr>
      <w:r w:rsidRPr="009F54B9">
        <w:rPr>
          <w:noProof/>
          <w:snapToGrid w:val="0"/>
          <w:kern w:val="22"/>
          <w:lang w:eastAsia="zh-CN"/>
        </w:rPr>
        <w:drawing>
          <wp:inline distT="0" distB="0" distL="0" distR="0" wp14:anchorId="1AE614FE" wp14:editId="07C02521">
            <wp:extent cx="5324475" cy="31051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324475" cy="3105150"/>
                    </a:xfrm>
                    <a:prstGeom prst="rect">
                      <a:avLst/>
                    </a:prstGeom>
                    <a:noFill/>
                    <a:ln>
                      <a:noFill/>
                    </a:ln>
                  </pic:spPr>
                </pic:pic>
              </a:graphicData>
            </a:graphic>
          </wp:inline>
        </w:drawing>
      </w:r>
    </w:p>
    <w:p w14:paraId="4FF61EB4" w14:textId="77777777" w:rsidR="008E44C6" w:rsidRPr="009F54B9" w:rsidRDefault="008E44C6" w:rsidP="0035124E">
      <w:pPr>
        <w:pStyle w:val="Caption"/>
        <w:pBdr>
          <w:top w:val="single" w:sz="4" w:space="1" w:color="auto"/>
          <w:left w:val="single" w:sz="4" w:space="4" w:color="auto"/>
          <w:bottom w:val="single" w:sz="4" w:space="1" w:color="auto"/>
          <w:right w:val="single" w:sz="4" w:space="4" w:color="auto"/>
        </w:pBdr>
        <w:jc w:val="center"/>
        <w:rPr>
          <w:noProof/>
          <w:snapToGrid w:val="0"/>
          <w:kern w:val="22"/>
        </w:rPr>
      </w:pPr>
      <w:bookmarkStart w:id="39" w:name="_Toc517688915"/>
      <w:r w:rsidRPr="009F54B9">
        <w:rPr>
          <w:snapToGrid w:val="0"/>
          <w:kern w:val="22"/>
        </w:rPr>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16</w:t>
      </w:r>
      <w:r w:rsidRPr="009F54B9">
        <w:rPr>
          <w:noProof/>
          <w:snapToGrid w:val="0"/>
          <w:kern w:val="22"/>
        </w:rPr>
        <w:fldChar w:fldCharType="end"/>
      </w:r>
      <w:r w:rsidRPr="009F54B9">
        <w:rPr>
          <w:snapToGrid w:val="0"/>
          <w:kern w:val="22"/>
        </w:rPr>
        <w:t xml:space="preserve">: </w:t>
      </w:r>
      <w:r w:rsidRPr="009F54B9">
        <w:rPr>
          <w:snapToGrid w:val="0"/>
          <w:color w:val="000000"/>
          <w:kern w:val="22"/>
        </w:rPr>
        <w:t xml:space="preserve">Aggregated damage costs of air emissions in Europe by sector, 2008–2012 </w:t>
      </w:r>
      <w:r w:rsidRPr="009F54B9">
        <w:rPr>
          <w:noProof/>
          <w:snapToGrid w:val="0"/>
          <w:kern w:val="22"/>
        </w:rPr>
        <w:t>(EEA 2014</w:t>
      </w:r>
      <w:r w:rsidRPr="009F54B9">
        <w:rPr>
          <w:rStyle w:val="FootnoteReference"/>
          <w:noProof/>
          <w:snapToGrid w:val="0"/>
          <w:kern w:val="22"/>
        </w:rPr>
        <w:footnoteReference w:id="65"/>
      </w:r>
      <w:r w:rsidRPr="009F54B9">
        <w:rPr>
          <w:noProof/>
          <w:snapToGrid w:val="0"/>
          <w:kern w:val="22"/>
        </w:rPr>
        <w:t>)</w:t>
      </w:r>
      <w:bookmarkEnd w:id="39"/>
    </w:p>
    <w:p w14:paraId="3004BAF4" w14:textId="77777777" w:rsidR="008E44C6" w:rsidRPr="009F54B9" w:rsidRDefault="008E44C6" w:rsidP="00FB3A79">
      <w:pPr>
        <w:rPr>
          <w:snapToGrid w:val="0"/>
          <w:kern w:val="22"/>
        </w:rPr>
      </w:pPr>
    </w:p>
    <w:p w14:paraId="4084FB22" w14:textId="77777777" w:rsidR="008E44C6" w:rsidRPr="009F54B9" w:rsidRDefault="008E44C6" w:rsidP="00FB3A79">
      <w:pPr>
        <w:rPr>
          <w:noProof/>
          <w:snapToGrid w:val="0"/>
          <w:kern w:val="22"/>
        </w:rPr>
      </w:pPr>
      <w:r w:rsidRPr="009F54B9">
        <w:rPr>
          <w:snapToGrid w:val="0"/>
          <w:kern w:val="22"/>
        </w:rPr>
        <w:t xml:space="preserve">All impact drivers interact with ecosystems and may eventually lead to changes in biodiversity patterns, such as greenhouse gas emissions contributing to climate change and hence changes in the spatial distribution of species (e.g., </w:t>
      </w:r>
      <w:proofErr w:type="spellStart"/>
      <w:r w:rsidRPr="009F54B9">
        <w:rPr>
          <w:snapToGrid w:val="0"/>
          <w:kern w:val="22"/>
        </w:rPr>
        <w:t>Bellard</w:t>
      </w:r>
      <w:proofErr w:type="spellEnd"/>
      <w:r w:rsidRPr="009F54B9">
        <w:rPr>
          <w:snapToGrid w:val="0"/>
          <w:kern w:val="22"/>
        </w:rPr>
        <w:t xml:space="preserve"> </w:t>
      </w:r>
      <w:r w:rsidRPr="009F54B9">
        <w:rPr>
          <w:i/>
          <w:snapToGrid w:val="0"/>
          <w:kern w:val="22"/>
        </w:rPr>
        <w:t>et al</w:t>
      </w:r>
      <w:r w:rsidRPr="009F54B9">
        <w:rPr>
          <w:snapToGrid w:val="0"/>
          <w:kern w:val="22"/>
        </w:rPr>
        <w:t>., 2012</w:t>
      </w:r>
      <w:r w:rsidRPr="009F54B9">
        <w:rPr>
          <w:rStyle w:val="FootnoteReference"/>
          <w:snapToGrid w:val="0"/>
          <w:kern w:val="22"/>
        </w:rPr>
        <w:footnoteReference w:id="66"/>
      </w:r>
      <w:r w:rsidRPr="009F54B9">
        <w:rPr>
          <w:snapToGrid w:val="0"/>
          <w:kern w:val="22"/>
        </w:rPr>
        <w:t xml:space="preserve">) or water pollution changing aquatic biotic communities over time (e.g., Xu </w:t>
      </w:r>
      <w:r w:rsidRPr="009F54B9">
        <w:rPr>
          <w:i/>
          <w:snapToGrid w:val="0"/>
          <w:kern w:val="22"/>
        </w:rPr>
        <w:t>et al</w:t>
      </w:r>
      <w:r w:rsidRPr="009F54B9">
        <w:rPr>
          <w:snapToGrid w:val="0"/>
          <w:kern w:val="22"/>
        </w:rPr>
        <w:t>., 2014</w:t>
      </w:r>
      <w:r w:rsidRPr="009F54B9">
        <w:rPr>
          <w:rStyle w:val="FootnoteReference"/>
          <w:snapToGrid w:val="0"/>
          <w:kern w:val="22"/>
        </w:rPr>
        <w:footnoteReference w:id="67"/>
      </w:r>
      <w:r w:rsidRPr="009F54B9">
        <w:rPr>
          <w:snapToGrid w:val="0"/>
          <w:kern w:val="22"/>
        </w:rPr>
        <w:t xml:space="preserve">). However, some impact drivers (e.g., terrestrial land uses, freshwater and marine ecosystem uses) lead to direct, immediate changes in biodiversity (i.e. loss of habitats and species). In manufacturing, these impact drivers are typically linked to production inputs, and are thus linked to indirect </w:t>
      </w:r>
      <w:r w:rsidRPr="009F54B9">
        <w:rPr>
          <w:noProof/>
          <w:snapToGrid w:val="0"/>
          <w:kern w:val="22"/>
        </w:rPr>
        <w:t xml:space="preserve">ecosystem dependencies (see section 3.3 above). </w:t>
      </w:r>
    </w:p>
    <w:p w14:paraId="48A30EAF" w14:textId="77777777" w:rsidR="008E44C6" w:rsidRPr="009F54B9" w:rsidRDefault="008E44C6" w:rsidP="00FB3A79">
      <w:pPr>
        <w:rPr>
          <w:noProof/>
          <w:snapToGrid w:val="0"/>
          <w:kern w:val="22"/>
        </w:rPr>
      </w:pPr>
    </w:p>
    <w:p w14:paraId="3277266B" w14:textId="77777777" w:rsidR="008E44C6" w:rsidRPr="009F54B9" w:rsidRDefault="008E44C6" w:rsidP="00C87937">
      <w:pPr>
        <w:rPr>
          <w:snapToGrid w:val="0"/>
          <w:kern w:val="22"/>
        </w:rPr>
      </w:pPr>
      <w:r w:rsidRPr="009F54B9">
        <w:rPr>
          <w:noProof/>
          <w:snapToGrid w:val="0"/>
          <w:kern w:val="22"/>
        </w:rPr>
        <w:t>In other words, the most immediate biodiversity-specific impact drivers (i.e. changes in land use) are not expected to occur at the level of manufacturing activities (except for the building of factories located in or near sensitive ecosystems) but rather at the level of their suppliers (e.g., deforestation due to oil palm plantations; Germer and Sauerborn, 2008</w:t>
      </w:r>
      <w:r w:rsidRPr="009F54B9">
        <w:rPr>
          <w:rStyle w:val="FootnoteReference"/>
          <w:noProof/>
          <w:snapToGrid w:val="0"/>
          <w:kern w:val="22"/>
        </w:rPr>
        <w:footnoteReference w:id="68"/>
      </w:r>
      <w:r w:rsidRPr="009F54B9">
        <w:rPr>
          <w:noProof/>
          <w:snapToGrid w:val="0"/>
          <w:kern w:val="22"/>
        </w:rPr>
        <w:t>; World Bank and International Finance Corporation, 2011</w:t>
      </w:r>
      <w:r w:rsidRPr="009F54B9">
        <w:rPr>
          <w:rStyle w:val="FootnoteReference"/>
          <w:noProof/>
          <w:snapToGrid w:val="0"/>
          <w:kern w:val="22"/>
        </w:rPr>
        <w:footnoteReference w:id="69"/>
      </w:r>
      <w:r w:rsidRPr="009F54B9">
        <w:rPr>
          <w:noProof/>
          <w:snapToGrid w:val="0"/>
          <w:kern w:val="22"/>
        </w:rPr>
        <w:t xml:space="preserve">). Figure 17 illustrates perfectly this point: Kering’s impacts related to land-use change (and hence biodiversity loss) </w:t>
      </w:r>
      <w:r w:rsidRPr="009F54B9">
        <w:rPr>
          <w:snapToGrid w:val="0"/>
          <w:kern w:val="22"/>
        </w:rPr>
        <w:t xml:space="preserve">are the most significant externalities for the group (24%) and are largely found at the </w:t>
      </w:r>
      <w:r w:rsidRPr="009F54B9">
        <w:rPr>
          <w:snapToGrid w:val="0"/>
          <w:kern w:val="22"/>
        </w:rPr>
        <w:lastRenderedPageBreak/>
        <w:t xml:space="preserve">level of tier 4 suppliers (raw material production) where almost 50% of all impacts occur. </w:t>
      </w:r>
      <w:r w:rsidRPr="009F54B9">
        <w:rPr>
          <w:noProof/>
          <w:snapToGrid w:val="0"/>
          <w:kern w:val="22"/>
        </w:rPr>
        <w:t>Indeed, the overall value chain impacts of industries can be significant compared to their immediate locali</w:t>
      </w:r>
      <w:r w:rsidR="00C87937">
        <w:rPr>
          <w:noProof/>
          <w:snapToGrid w:val="0"/>
          <w:kern w:val="22"/>
        </w:rPr>
        <w:t>z</w:t>
      </w:r>
      <w:r w:rsidRPr="009F54B9">
        <w:rPr>
          <w:noProof/>
          <w:snapToGrid w:val="0"/>
          <w:kern w:val="22"/>
        </w:rPr>
        <w:t xml:space="preserve">ed impact drivers (e.g., Jungmichel </w:t>
      </w:r>
      <w:r w:rsidRPr="009F54B9">
        <w:rPr>
          <w:i/>
          <w:noProof/>
          <w:snapToGrid w:val="0"/>
          <w:kern w:val="22"/>
        </w:rPr>
        <w:t>et a</w:t>
      </w:r>
      <w:r w:rsidRPr="009F54B9">
        <w:rPr>
          <w:noProof/>
          <w:snapToGrid w:val="0"/>
          <w:kern w:val="22"/>
        </w:rPr>
        <w:t>l., 2017</w:t>
      </w:r>
      <w:r w:rsidRPr="009F54B9">
        <w:rPr>
          <w:rStyle w:val="FootnoteReference"/>
          <w:noProof/>
          <w:snapToGrid w:val="0"/>
          <w:kern w:val="22"/>
        </w:rPr>
        <w:footnoteReference w:id="70"/>
      </w:r>
      <w:r w:rsidRPr="009F54B9">
        <w:rPr>
          <w:noProof/>
          <w:snapToGrid w:val="0"/>
          <w:kern w:val="22"/>
        </w:rPr>
        <w:t>).</w:t>
      </w:r>
    </w:p>
    <w:p w14:paraId="20099E5B" w14:textId="77777777" w:rsidR="008E44C6" w:rsidRPr="009F54B9" w:rsidRDefault="008E44C6" w:rsidP="00FB3A79">
      <w:pPr>
        <w:rPr>
          <w:snapToGrid w:val="0"/>
          <w:kern w:val="22"/>
        </w:rPr>
      </w:pPr>
    </w:p>
    <w:p w14:paraId="2C0CC77A" w14:textId="77777777" w:rsidR="008E44C6" w:rsidRPr="009F54B9" w:rsidRDefault="008E44C6" w:rsidP="00FB3A79">
      <w:pPr>
        <w:rPr>
          <w:noProof/>
          <w:snapToGrid w:val="0"/>
          <w:kern w:val="22"/>
        </w:rPr>
      </w:pPr>
    </w:p>
    <w:p w14:paraId="014D5290" w14:textId="77777777" w:rsidR="008E44C6" w:rsidRPr="009F54B9" w:rsidRDefault="008E44C6" w:rsidP="00874EB8">
      <w:pPr>
        <w:rPr>
          <w:snapToGrid w:val="0"/>
          <w:color w:val="000000" w:themeColor="text1"/>
          <w:kern w:val="22"/>
          <w:szCs w:val="22"/>
          <w:shd w:val="clear" w:color="auto" w:fill="FFFFFF"/>
        </w:rPr>
      </w:pPr>
    </w:p>
    <w:p w14:paraId="0E651D7B" w14:textId="77777777" w:rsidR="008E44C6" w:rsidRPr="009F54B9" w:rsidRDefault="008E44C6" w:rsidP="00780A74">
      <w:pPr>
        <w:pBdr>
          <w:top w:val="single" w:sz="4" w:space="1" w:color="auto"/>
          <w:left w:val="single" w:sz="4" w:space="4" w:color="auto"/>
          <w:bottom w:val="single" w:sz="4" w:space="1" w:color="auto"/>
          <w:right w:val="single" w:sz="4" w:space="4" w:color="auto"/>
        </w:pBdr>
        <w:jc w:val="center"/>
        <w:rPr>
          <w:snapToGrid w:val="0"/>
          <w:color w:val="000000" w:themeColor="text1"/>
          <w:kern w:val="22"/>
          <w:szCs w:val="22"/>
          <w:shd w:val="clear" w:color="auto" w:fill="FFFFFF"/>
        </w:rPr>
      </w:pPr>
      <w:r w:rsidRPr="009F54B9">
        <w:rPr>
          <w:noProof/>
          <w:snapToGrid w:val="0"/>
          <w:kern w:val="22"/>
          <w:lang w:eastAsia="zh-CN"/>
        </w:rPr>
        <w:drawing>
          <wp:inline distT="0" distB="0" distL="0" distR="0" wp14:anchorId="0186A860" wp14:editId="25F61789">
            <wp:extent cx="5379085" cy="4343400"/>
            <wp:effectExtent l="0" t="0" r="0" b="0"/>
            <wp:docPr id="1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a:blip r:embed="rId68"/>
                    <a:stretch>
                      <a:fillRect/>
                    </a:stretch>
                  </pic:blipFill>
                  <pic:spPr>
                    <a:xfrm>
                      <a:off x="0" y="0"/>
                      <a:ext cx="5379692" cy="4343890"/>
                    </a:xfrm>
                    <a:prstGeom prst="rect">
                      <a:avLst/>
                    </a:prstGeom>
                  </pic:spPr>
                </pic:pic>
              </a:graphicData>
            </a:graphic>
          </wp:inline>
        </w:drawing>
      </w:r>
    </w:p>
    <w:p w14:paraId="5828AFE1" w14:textId="77777777" w:rsidR="008E44C6" w:rsidRPr="009F54B9" w:rsidRDefault="008E44C6" w:rsidP="00780A74">
      <w:pPr>
        <w:pStyle w:val="Caption"/>
        <w:pBdr>
          <w:top w:val="single" w:sz="4" w:space="1" w:color="auto"/>
          <w:left w:val="single" w:sz="4" w:space="4" w:color="auto"/>
          <w:bottom w:val="single" w:sz="4" w:space="1" w:color="auto"/>
          <w:right w:val="single" w:sz="4" w:space="4" w:color="auto"/>
        </w:pBdr>
        <w:jc w:val="center"/>
        <w:rPr>
          <w:snapToGrid w:val="0"/>
          <w:kern w:val="22"/>
        </w:rPr>
      </w:pPr>
      <w:bookmarkStart w:id="40" w:name="_Toc517688916"/>
      <w:r w:rsidRPr="009F54B9">
        <w:rPr>
          <w:snapToGrid w:val="0"/>
          <w:kern w:val="22"/>
        </w:rPr>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17</w:t>
      </w:r>
      <w:r w:rsidRPr="009F54B9">
        <w:rPr>
          <w:noProof/>
          <w:snapToGrid w:val="0"/>
          <w:kern w:val="22"/>
        </w:rPr>
        <w:fldChar w:fldCharType="end"/>
      </w:r>
      <w:r w:rsidRPr="009F54B9">
        <w:rPr>
          <w:snapToGrid w:val="0"/>
          <w:kern w:val="22"/>
        </w:rPr>
        <w:t xml:space="preserve">: 2016 Environmental Profit &amp; Loss of </w:t>
      </w:r>
      <w:proofErr w:type="spellStart"/>
      <w:r w:rsidRPr="009F54B9">
        <w:rPr>
          <w:snapToGrid w:val="0"/>
          <w:kern w:val="22"/>
        </w:rPr>
        <w:t>Kering</w:t>
      </w:r>
      <w:proofErr w:type="spellEnd"/>
      <w:r w:rsidRPr="009F54B9">
        <w:rPr>
          <w:snapToGrid w:val="0"/>
          <w:kern w:val="22"/>
        </w:rPr>
        <w:t>, highlighting that land use-related impacts are the most significant externalities for the group (24%) and are largely found at the level of tier 4 suppliers (raw material production) where almost 50% of all group impacts occur</w:t>
      </w:r>
      <w:r w:rsidRPr="009F54B9">
        <w:rPr>
          <w:rStyle w:val="FootnoteReference"/>
          <w:snapToGrid w:val="0"/>
          <w:kern w:val="22"/>
        </w:rPr>
        <w:footnoteReference w:id="71"/>
      </w:r>
      <w:bookmarkEnd w:id="40"/>
    </w:p>
    <w:p w14:paraId="2BF038EC" w14:textId="77777777" w:rsidR="008E44C6" w:rsidRPr="009F54B9" w:rsidRDefault="008E44C6" w:rsidP="00874EB8">
      <w:pPr>
        <w:rPr>
          <w:snapToGrid w:val="0"/>
          <w:color w:val="000000" w:themeColor="text1"/>
          <w:kern w:val="22"/>
          <w:szCs w:val="22"/>
          <w:shd w:val="clear" w:color="auto" w:fill="FFFFFF"/>
        </w:rPr>
      </w:pPr>
    </w:p>
    <w:p w14:paraId="39C4805D" w14:textId="77777777" w:rsidR="008E44C6" w:rsidRPr="009F54B9" w:rsidRDefault="008E44C6" w:rsidP="00874EB8">
      <w:pPr>
        <w:rPr>
          <w:snapToGrid w:val="0"/>
          <w:color w:val="000000" w:themeColor="text1"/>
          <w:kern w:val="22"/>
          <w:szCs w:val="22"/>
          <w:shd w:val="clear" w:color="auto" w:fill="FFFFFF"/>
        </w:rPr>
      </w:pPr>
      <w:r w:rsidRPr="009F54B9">
        <w:rPr>
          <w:snapToGrid w:val="0"/>
          <w:color w:val="000000" w:themeColor="text1"/>
          <w:kern w:val="22"/>
          <w:szCs w:val="22"/>
          <w:shd w:val="clear" w:color="auto" w:fill="FFFFFF"/>
        </w:rPr>
        <w:br w:type="page"/>
      </w:r>
    </w:p>
    <w:p w14:paraId="427D4654" w14:textId="77777777" w:rsidR="008E44C6" w:rsidRPr="009F54B9" w:rsidRDefault="008E44C6" w:rsidP="008E44C6">
      <w:pPr>
        <w:pStyle w:val="Heading2"/>
        <w:keepNext w:val="0"/>
        <w:numPr>
          <w:ilvl w:val="1"/>
          <w:numId w:val="10"/>
        </w:numPr>
        <w:tabs>
          <w:tab w:val="clear" w:pos="720"/>
        </w:tabs>
        <w:autoSpaceDE w:val="0"/>
        <w:autoSpaceDN w:val="0"/>
        <w:adjustRightInd w:val="0"/>
        <w:spacing w:before="0"/>
        <w:jc w:val="both"/>
        <w:rPr>
          <w:smallCaps/>
          <w:snapToGrid w:val="0"/>
          <w:kern w:val="22"/>
          <w:szCs w:val="22"/>
        </w:rPr>
      </w:pPr>
      <w:bookmarkStart w:id="41" w:name="_Toc517690317"/>
      <w:r w:rsidRPr="009F54B9">
        <w:rPr>
          <w:smallCaps/>
          <w:snapToGrid w:val="0"/>
          <w:kern w:val="22"/>
          <w:szCs w:val="22"/>
        </w:rPr>
        <w:lastRenderedPageBreak/>
        <w:t>Biodiversity at risk: Which manufacturing industries matter the most?</w:t>
      </w:r>
      <w:bookmarkEnd w:id="41"/>
    </w:p>
    <w:p w14:paraId="5AFFD67C" w14:textId="77777777" w:rsidR="008E44C6" w:rsidRPr="009F54B9" w:rsidRDefault="008E44C6" w:rsidP="003B3137">
      <w:pPr>
        <w:rPr>
          <w:snapToGrid w:val="0"/>
          <w:color w:val="000000" w:themeColor="text1"/>
          <w:kern w:val="22"/>
          <w:szCs w:val="22"/>
          <w:shd w:val="clear" w:color="auto" w:fill="FFFFFF"/>
        </w:rPr>
      </w:pPr>
    </w:p>
    <w:p w14:paraId="23D44850" w14:textId="77777777" w:rsidR="008E44C6" w:rsidRPr="009F54B9" w:rsidRDefault="008E44C6" w:rsidP="001E5D79">
      <w:pPr>
        <w:pBdr>
          <w:bottom w:val="single" w:sz="4" w:space="1" w:color="auto"/>
        </w:pBdr>
        <w:rPr>
          <w:snapToGrid w:val="0"/>
          <w:color w:val="000000" w:themeColor="text1"/>
          <w:kern w:val="22"/>
          <w:szCs w:val="22"/>
          <w:shd w:val="clear" w:color="auto" w:fill="FFFFFF"/>
        </w:rPr>
      </w:pPr>
      <w:r w:rsidRPr="009F54B9">
        <w:rPr>
          <w:snapToGrid w:val="0"/>
          <w:color w:val="000000" w:themeColor="text1"/>
          <w:kern w:val="22"/>
          <w:szCs w:val="22"/>
          <w:shd w:val="clear" w:color="auto" w:fill="FFFFFF"/>
        </w:rPr>
        <w:t>Key messages:</w:t>
      </w:r>
    </w:p>
    <w:p w14:paraId="21E6E2CE" w14:textId="77777777" w:rsidR="008E44C6" w:rsidRPr="009F54B9" w:rsidRDefault="008E44C6" w:rsidP="008E44C6">
      <w:pPr>
        <w:pStyle w:val="ListParagraph"/>
        <w:numPr>
          <w:ilvl w:val="0"/>
          <w:numId w:val="35"/>
        </w:numPr>
        <w:pBdr>
          <w:bottom w:val="single" w:sz="4" w:space="1" w:color="auto"/>
        </w:pBdr>
        <w:autoSpaceDE w:val="0"/>
        <w:autoSpaceDN w:val="0"/>
        <w:adjustRightInd w:val="0"/>
        <w:spacing w:line="360" w:lineRule="auto"/>
        <w:rPr>
          <w:snapToGrid w:val="0"/>
          <w:color w:val="000000" w:themeColor="text1"/>
          <w:kern w:val="22"/>
          <w:szCs w:val="22"/>
          <w:shd w:val="clear" w:color="auto" w:fill="FFFFFF"/>
        </w:rPr>
      </w:pPr>
      <w:r w:rsidRPr="009F54B9">
        <w:rPr>
          <w:snapToGrid w:val="0"/>
          <w:kern w:val="22"/>
        </w:rPr>
        <w:t>In the foreseeable future, major risks for biodiversity linked to the activities and growth of manufacturing industries include (a) point-source pollution (e.g., from chemical, metal or petroleum manufacturing); (b) land use changes linked to the supply of various manufacturing inputs (e.g., foods, beverages, textiles, rubber); and (c) the over-harvesting of wild species (e.g., fish, wood, natural and genetic materials);</w:t>
      </w:r>
    </w:p>
    <w:p w14:paraId="3197C617" w14:textId="77777777" w:rsidR="008E44C6" w:rsidRPr="009F54B9" w:rsidRDefault="008E44C6" w:rsidP="008E44C6">
      <w:pPr>
        <w:pStyle w:val="ListParagraph"/>
        <w:numPr>
          <w:ilvl w:val="0"/>
          <w:numId w:val="35"/>
        </w:numPr>
        <w:pBdr>
          <w:bottom w:val="single" w:sz="4" w:space="1" w:color="auto"/>
        </w:pBdr>
        <w:autoSpaceDE w:val="0"/>
        <w:autoSpaceDN w:val="0"/>
        <w:adjustRightInd w:val="0"/>
        <w:spacing w:line="360" w:lineRule="auto"/>
        <w:rPr>
          <w:snapToGrid w:val="0"/>
          <w:color w:val="000000" w:themeColor="text1"/>
          <w:kern w:val="22"/>
          <w:szCs w:val="22"/>
          <w:shd w:val="clear" w:color="auto" w:fill="FFFFFF"/>
        </w:rPr>
      </w:pPr>
      <w:r w:rsidRPr="009F54B9">
        <w:rPr>
          <w:snapToGrid w:val="0"/>
          <w:color w:val="000000" w:themeColor="text1"/>
          <w:kern w:val="22"/>
          <w:szCs w:val="22"/>
        </w:rPr>
        <w:t>Most databases and research initiatives tracking environmental impacts focus on impact drivers (e.g., air emissions, water use) not impacts (e.g., decrease in population of a species, % loss of a specific habitat type) per se.</w:t>
      </w:r>
    </w:p>
    <w:p w14:paraId="26971E40" w14:textId="77777777" w:rsidR="008E44C6" w:rsidRPr="009F54B9" w:rsidRDefault="008E44C6" w:rsidP="008E44C6">
      <w:pPr>
        <w:pStyle w:val="ListParagraph"/>
        <w:numPr>
          <w:ilvl w:val="0"/>
          <w:numId w:val="35"/>
        </w:numPr>
        <w:pBdr>
          <w:bottom w:val="single" w:sz="4" w:space="1" w:color="auto"/>
        </w:pBdr>
        <w:autoSpaceDE w:val="0"/>
        <w:autoSpaceDN w:val="0"/>
        <w:adjustRightInd w:val="0"/>
        <w:spacing w:line="360" w:lineRule="auto"/>
        <w:rPr>
          <w:snapToGrid w:val="0"/>
          <w:color w:val="000000" w:themeColor="text1"/>
          <w:kern w:val="22"/>
          <w:szCs w:val="22"/>
          <w:shd w:val="clear" w:color="auto" w:fill="FFFFFF"/>
        </w:rPr>
      </w:pPr>
      <w:r w:rsidRPr="009F54B9">
        <w:rPr>
          <w:snapToGrid w:val="0"/>
          <w:color w:val="000000" w:themeColor="text1"/>
          <w:kern w:val="22"/>
          <w:szCs w:val="22"/>
        </w:rPr>
        <w:t>To better inform policy and decision-making towards more effective biodiversity mainstreaming in the manufacturing sector, there is a need to assess and monitor the biodiversity impacts of manufacturing industries, individual companies and the associated supply chains.</w:t>
      </w:r>
    </w:p>
    <w:p w14:paraId="0E703214" w14:textId="77777777" w:rsidR="008E44C6" w:rsidRPr="009F54B9" w:rsidRDefault="008E44C6" w:rsidP="00B77CF3">
      <w:pPr>
        <w:rPr>
          <w:snapToGrid w:val="0"/>
          <w:kern w:val="22"/>
        </w:rPr>
      </w:pPr>
    </w:p>
    <w:p w14:paraId="013DDEEB" w14:textId="77777777" w:rsidR="008E44C6" w:rsidRPr="009F54B9" w:rsidRDefault="008E44C6" w:rsidP="00B77CF3">
      <w:pPr>
        <w:rPr>
          <w:snapToGrid w:val="0"/>
          <w:kern w:val="22"/>
        </w:rPr>
      </w:pPr>
      <w:r w:rsidRPr="009F54B9">
        <w:rPr>
          <w:snapToGrid w:val="0"/>
          <w:kern w:val="22"/>
        </w:rPr>
        <w:t>The manufacturing sector’s relevance to satisfy the ever</w:t>
      </w:r>
      <w:r w:rsidR="005E2290">
        <w:rPr>
          <w:snapToGrid w:val="0"/>
          <w:kern w:val="22"/>
        </w:rPr>
        <w:t xml:space="preserve"> </w:t>
      </w:r>
      <w:r w:rsidRPr="009F54B9">
        <w:rPr>
          <w:snapToGrid w:val="0"/>
          <w:kern w:val="22"/>
        </w:rPr>
        <w:t>growing demands of consumers worldwide cannot be overstated</w:t>
      </w:r>
      <w:r w:rsidRPr="009F54B9">
        <w:rPr>
          <w:rStyle w:val="FootnoteReference"/>
          <w:snapToGrid w:val="0"/>
          <w:kern w:val="22"/>
        </w:rPr>
        <w:footnoteReference w:id="72"/>
      </w:r>
      <w:r w:rsidRPr="009F54B9">
        <w:rPr>
          <w:snapToGrid w:val="0"/>
          <w:kern w:val="22"/>
        </w:rPr>
        <w:t>. While some countries may be become even more industrialised than others, there is room for various developing nations to attract more manufacturing companies as they become more engaged in the globali</w:t>
      </w:r>
      <w:r w:rsidR="007966B2">
        <w:rPr>
          <w:snapToGrid w:val="0"/>
          <w:kern w:val="22"/>
        </w:rPr>
        <w:t>z</w:t>
      </w:r>
      <w:r w:rsidRPr="009F54B9">
        <w:rPr>
          <w:snapToGrid w:val="0"/>
          <w:kern w:val="22"/>
        </w:rPr>
        <w:t>ed economy.</w:t>
      </w:r>
    </w:p>
    <w:p w14:paraId="3D9D92F2" w14:textId="77777777" w:rsidR="008E44C6" w:rsidRPr="009F54B9" w:rsidRDefault="008E44C6" w:rsidP="00B77CF3">
      <w:pPr>
        <w:rPr>
          <w:snapToGrid w:val="0"/>
          <w:kern w:val="22"/>
        </w:rPr>
      </w:pPr>
    </w:p>
    <w:p w14:paraId="611B22E2" w14:textId="77777777" w:rsidR="008E44C6" w:rsidRPr="009F54B9" w:rsidRDefault="008E44C6" w:rsidP="00B77CF3">
      <w:pPr>
        <w:rPr>
          <w:snapToGrid w:val="0"/>
          <w:kern w:val="22"/>
        </w:rPr>
      </w:pPr>
      <w:r w:rsidRPr="009F54B9">
        <w:rPr>
          <w:snapToGrid w:val="0"/>
          <w:kern w:val="22"/>
        </w:rPr>
        <w:t>This expected growing importance of the manufacturing sector may lead to two major risks for biodiversity:</w:t>
      </w:r>
    </w:p>
    <w:p w14:paraId="69161CA7" w14:textId="77777777" w:rsidR="008E44C6" w:rsidRPr="009F54B9" w:rsidRDefault="008E44C6" w:rsidP="00F11CF7">
      <w:pPr>
        <w:pStyle w:val="ListParagraph"/>
        <w:numPr>
          <w:ilvl w:val="0"/>
          <w:numId w:val="21"/>
        </w:numPr>
        <w:autoSpaceDE w:val="0"/>
        <w:autoSpaceDN w:val="0"/>
        <w:adjustRightInd w:val="0"/>
        <w:spacing w:line="360" w:lineRule="auto"/>
        <w:rPr>
          <w:snapToGrid w:val="0"/>
          <w:kern w:val="22"/>
        </w:rPr>
      </w:pPr>
      <w:r w:rsidRPr="009F54B9">
        <w:rPr>
          <w:b/>
          <w:snapToGrid w:val="0"/>
          <w:kern w:val="22"/>
        </w:rPr>
        <w:t>Manufacturing production challenges</w:t>
      </w:r>
      <w:r w:rsidRPr="009F54B9">
        <w:rPr>
          <w:snapToGrid w:val="0"/>
          <w:kern w:val="22"/>
        </w:rPr>
        <w:t>: Unless cleaner production technologies are adopted / mainstreamed worldwide, there is a risk of increased point source pollution linked to new factories being built in countries with less strict environmental regulations and / or less effective environmental compliance.</w:t>
      </w:r>
      <w:r w:rsidRPr="009F54B9">
        <w:rPr>
          <w:rStyle w:val="FootnoteReference"/>
          <w:snapToGrid w:val="0"/>
          <w:kern w:val="22"/>
        </w:rPr>
        <w:footnoteReference w:id="73"/>
      </w:r>
      <w:r w:rsidRPr="009F54B9">
        <w:rPr>
          <w:snapToGrid w:val="0"/>
          <w:kern w:val="22"/>
        </w:rPr>
        <w:t xml:space="preserve"> This risk applies particularly to the manufacturing industries with the biggest air and water emissions (e.g., manufacture of chemicals, metals, mineral products, steel and pig iron).</w:t>
      </w:r>
    </w:p>
    <w:p w14:paraId="105629BB" w14:textId="77777777" w:rsidR="008E44C6" w:rsidRPr="009F54B9" w:rsidRDefault="008E44C6" w:rsidP="008E44C6">
      <w:pPr>
        <w:pStyle w:val="ListParagraph"/>
        <w:numPr>
          <w:ilvl w:val="0"/>
          <w:numId w:val="21"/>
        </w:numPr>
        <w:autoSpaceDE w:val="0"/>
        <w:autoSpaceDN w:val="0"/>
        <w:adjustRightInd w:val="0"/>
        <w:spacing w:line="360" w:lineRule="auto"/>
        <w:rPr>
          <w:snapToGrid w:val="0"/>
          <w:kern w:val="22"/>
        </w:rPr>
      </w:pPr>
      <w:r w:rsidRPr="009F54B9">
        <w:rPr>
          <w:b/>
          <w:snapToGrid w:val="0"/>
          <w:kern w:val="22"/>
        </w:rPr>
        <w:t>Supply chain challenges</w:t>
      </w:r>
      <w:r w:rsidRPr="009F54B9">
        <w:rPr>
          <w:snapToGrid w:val="0"/>
          <w:kern w:val="22"/>
        </w:rPr>
        <w:t>: Unless the supply chains of manufacturing industries change the way manage their interactions with ecosystems (with wild species harvesting and land use change as the main impact drivers), significant further biodiversity loss is to be expected worldwide. Indeed, habitat loss and degradation create the biggest single source of pressure on biodiversity worldwide (Chaudhary</w:t>
      </w:r>
      <w:r w:rsidRPr="009F54B9">
        <w:rPr>
          <w:rStyle w:val="FootnoteReference"/>
          <w:snapToGrid w:val="0"/>
          <w:kern w:val="22"/>
        </w:rPr>
        <w:t xml:space="preserve"> </w:t>
      </w:r>
      <w:r w:rsidRPr="009F54B9">
        <w:rPr>
          <w:snapToGrid w:val="0"/>
          <w:kern w:val="22"/>
        </w:rPr>
        <w:t xml:space="preserve"> </w:t>
      </w:r>
      <w:r w:rsidRPr="009F54B9">
        <w:rPr>
          <w:i/>
          <w:snapToGrid w:val="0"/>
          <w:kern w:val="22"/>
        </w:rPr>
        <w:t>et al</w:t>
      </w:r>
      <w:r w:rsidRPr="009F54B9">
        <w:rPr>
          <w:snapToGrid w:val="0"/>
          <w:kern w:val="22"/>
        </w:rPr>
        <w:t>., 2015</w:t>
      </w:r>
      <w:r w:rsidRPr="009F54B9">
        <w:rPr>
          <w:rStyle w:val="FootnoteReference"/>
          <w:snapToGrid w:val="0"/>
          <w:kern w:val="22"/>
        </w:rPr>
        <w:footnoteReference w:id="74"/>
      </w:r>
      <w:r w:rsidRPr="009F54B9">
        <w:rPr>
          <w:snapToGrid w:val="0"/>
          <w:kern w:val="22"/>
        </w:rPr>
        <w:t>; SCBD 2010</w:t>
      </w:r>
      <w:r w:rsidRPr="009F54B9">
        <w:rPr>
          <w:rStyle w:val="FootnoteReference"/>
          <w:snapToGrid w:val="0"/>
          <w:kern w:val="22"/>
        </w:rPr>
        <w:footnoteReference w:id="75"/>
      </w:r>
      <w:r w:rsidRPr="009F54B9">
        <w:rPr>
          <w:snapToGrid w:val="0"/>
          <w:kern w:val="22"/>
        </w:rPr>
        <w:t xml:space="preserve">). For terrestrial ecosystems, </w:t>
      </w:r>
      <w:r w:rsidRPr="009F54B9">
        <w:rPr>
          <w:snapToGrid w:val="0"/>
          <w:kern w:val="22"/>
        </w:rPr>
        <w:lastRenderedPageBreak/>
        <w:t xml:space="preserve">habitat loss is largely accounted for by conversion of wild lands to agriculture, which amounts to some 30% of land globally. This means that industries that manufacture food products, beverages, textiles / leather (e.g., </w:t>
      </w:r>
      <w:proofErr w:type="spellStart"/>
      <w:r w:rsidRPr="009F54B9">
        <w:rPr>
          <w:snapToGrid w:val="0"/>
          <w:kern w:val="22"/>
        </w:rPr>
        <w:t>Aiama</w:t>
      </w:r>
      <w:proofErr w:type="spellEnd"/>
      <w:r w:rsidRPr="009F54B9">
        <w:rPr>
          <w:snapToGrid w:val="0"/>
          <w:kern w:val="22"/>
        </w:rPr>
        <w:t xml:space="preserve"> </w:t>
      </w:r>
      <w:r w:rsidRPr="009F54B9">
        <w:rPr>
          <w:i/>
          <w:snapToGrid w:val="0"/>
          <w:kern w:val="22"/>
        </w:rPr>
        <w:t>et al</w:t>
      </w:r>
      <w:r w:rsidRPr="009F54B9">
        <w:rPr>
          <w:snapToGrid w:val="0"/>
          <w:kern w:val="22"/>
        </w:rPr>
        <w:t>., 2016</w:t>
      </w:r>
      <w:r w:rsidRPr="009F54B9">
        <w:rPr>
          <w:rStyle w:val="FootnoteReference"/>
          <w:snapToGrid w:val="0"/>
          <w:kern w:val="22"/>
        </w:rPr>
        <w:footnoteReference w:id="76"/>
      </w:r>
      <w:r w:rsidRPr="009F54B9">
        <w:rPr>
          <w:snapToGrid w:val="0"/>
          <w:kern w:val="22"/>
        </w:rPr>
        <w:t xml:space="preserve">), paper, rubber, wood products and tobacco products will be indirectly responsible for a significant proportion of future habitat loss worldwide due to land-intensive resource needs. In some areas, habitat loss has also recently been partly driven by the demand for agro-fuels (e.g., Gao </w:t>
      </w:r>
      <w:r w:rsidRPr="009F54B9">
        <w:rPr>
          <w:i/>
          <w:snapToGrid w:val="0"/>
          <w:kern w:val="22"/>
        </w:rPr>
        <w:t>et al</w:t>
      </w:r>
      <w:r w:rsidRPr="009F54B9">
        <w:rPr>
          <w:snapToGrid w:val="0"/>
          <w:kern w:val="22"/>
        </w:rPr>
        <w:t>., 2011</w:t>
      </w:r>
      <w:r w:rsidRPr="009F54B9">
        <w:rPr>
          <w:rStyle w:val="FootnoteReference"/>
          <w:snapToGrid w:val="0"/>
          <w:kern w:val="22"/>
        </w:rPr>
        <w:footnoteReference w:id="77"/>
      </w:r>
      <w:r w:rsidRPr="009F54B9">
        <w:rPr>
          <w:snapToGrid w:val="0"/>
          <w:kern w:val="22"/>
        </w:rPr>
        <w:t>), thus indirectly implicating the chemical industry. To these risks, we can add the overexploitation of wild species (e.g., overfishing</w:t>
      </w:r>
      <w:r w:rsidRPr="009F54B9">
        <w:rPr>
          <w:rStyle w:val="FootnoteReference"/>
          <w:snapToGrid w:val="0"/>
          <w:kern w:val="22"/>
        </w:rPr>
        <w:footnoteReference w:id="78"/>
      </w:r>
      <w:r w:rsidRPr="009F54B9">
        <w:rPr>
          <w:snapToGrid w:val="0"/>
          <w:kern w:val="22"/>
        </w:rPr>
        <w:t>, deforestation</w:t>
      </w:r>
      <w:r w:rsidRPr="009F54B9">
        <w:rPr>
          <w:rStyle w:val="FootnoteReference"/>
          <w:snapToGrid w:val="0"/>
          <w:kern w:val="22"/>
        </w:rPr>
        <w:footnoteReference w:id="79"/>
      </w:r>
      <w:r w:rsidRPr="009F54B9">
        <w:rPr>
          <w:snapToGrid w:val="0"/>
          <w:kern w:val="22"/>
        </w:rPr>
        <w:t>) which remains a major challenge in many countries. Finally, diffuse / non-point pollution sources, typically linked to commercial agriculture (including fish farming</w:t>
      </w:r>
      <w:r w:rsidRPr="009F54B9">
        <w:rPr>
          <w:rStyle w:val="FootnoteReference"/>
          <w:snapToGrid w:val="0"/>
          <w:kern w:val="22"/>
        </w:rPr>
        <w:footnoteReference w:id="80"/>
      </w:r>
      <w:r w:rsidRPr="009F54B9">
        <w:rPr>
          <w:snapToGrid w:val="0"/>
          <w:kern w:val="22"/>
        </w:rPr>
        <w:t>), also need to be highlighted. They also present major risks to freshwater and marine ecosystems, and can be correlated with the global supply chains of various manufacturing industries (e.g., foods, beverages, furniture, textiles, rubber).</w:t>
      </w:r>
    </w:p>
    <w:p w14:paraId="548BB676" w14:textId="77777777" w:rsidR="008E44C6" w:rsidRPr="009F54B9" w:rsidRDefault="008E44C6" w:rsidP="00AE6870">
      <w:pPr>
        <w:rPr>
          <w:snapToGrid w:val="0"/>
          <w:color w:val="000000" w:themeColor="text1"/>
          <w:kern w:val="22"/>
          <w:szCs w:val="22"/>
        </w:rPr>
      </w:pPr>
    </w:p>
    <w:p w14:paraId="0EE3AA4E" w14:textId="77777777" w:rsidR="008E44C6" w:rsidRPr="009F54B9" w:rsidRDefault="008E44C6" w:rsidP="00AE6870">
      <w:pPr>
        <w:rPr>
          <w:snapToGrid w:val="0"/>
          <w:color w:val="000000" w:themeColor="text1"/>
          <w:kern w:val="22"/>
          <w:szCs w:val="22"/>
        </w:rPr>
      </w:pPr>
      <w:r w:rsidRPr="009F54B9">
        <w:rPr>
          <w:snapToGrid w:val="0"/>
          <w:color w:val="000000" w:themeColor="text1"/>
          <w:kern w:val="22"/>
          <w:szCs w:val="22"/>
        </w:rPr>
        <w:t xml:space="preserve">Identifying the industries within the manufacturing sector that will have the greatest potential impacts on biodiversity at the global, regional / national and local levels is challenging, notably due to the global nature of supply chains. Table 8 highlights the manufacturing industries with are expected to generate the main risks for biodiversity, at the level of their direct operations and at that of their supply chains. However, this is a high level generalisation. Specific factories, in any industry, may have significant or limited environmental impact drivers due to a number of factors, including location / receiving environment, business practices / (lack of) environmental compliance, technologies used, location and practices of suppliers. </w:t>
      </w:r>
    </w:p>
    <w:p w14:paraId="4F093938" w14:textId="77777777" w:rsidR="008E44C6" w:rsidRPr="009F54B9" w:rsidRDefault="008E44C6" w:rsidP="00FE34EA">
      <w:pPr>
        <w:rPr>
          <w:snapToGrid w:val="0"/>
          <w:kern w:val="22"/>
        </w:rPr>
      </w:pPr>
    </w:p>
    <w:p w14:paraId="2FE4ECBE" w14:textId="77777777" w:rsidR="008E44C6" w:rsidRPr="009F54B9" w:rsidRDefault="008E44C6" w:rsidP="00FE34EA">
      <w:pPr>
        <w:rPr>
          <w:snapToGrid w:val="0"/>
          <w:color w:val="000000" w:themeColor="text1"/>
          <w:kern w:val="22"/>
          <w:szCs w:val="22"/>
        </w:rPr>
      </w:pPr>
      <w:r w:rsidRPr="009F54B9">
        <w:rPr>
          <w:snapToGrid w:val="0"/>
          <w:color w:val="000000" w:themeColor="text1"/>
          <w:kern w:val="22"/>
          <w:szCs w:val="22"/>
        </w:rPr>
        <w:t xml:space="preserve">Besides, most databases and research initiatives focus on impact drivers (e.g., air emissions, water use) not impacts (e.g., decrease in population of a species, % loss of a specific habitat type) per se, which contributes to the challenge of matching specific manufacturing industries with the loss of specific biodiversity attributes. Table 9 highlights the most threatened forest biodiversity hotspots in 2011. While land use change - especially agriculture-driven - is the primary driver of habitat loss in these hotspots, which industries and companies, from which countries, have directly and indirectly contributed to such trends in deforestation? The lack of spatialized data sets on the land / resource / species intensity of global supply chains / manufactured products is indeed a major challenge to better inform policy and decision-making towards more effective biodiversity mainstreaming. </w:t>
      </w:r>
    </w:p>
    <w:p w14:paraId="7C5AEEDD" w14:textId="77777777" w:rsidR="008E44C6" w:rsidRPr="009F54B9" w:rsidRDefault="008E44C6" w:rsidP="00FE34EA">
      <w:pPr>
        <w:rPr>
          <w:snapToGrid w:val="0"/>
          <w:kern w:val="22"/>
        </w:rPr>
        <w:sectPr w:rsidR="008E44C6" w:rsidRPr="009F54B9" w:rsidSect="00A91EAB">
          <w:pgSz w:w="11906" w:h="16838"/>
          <w:pgMar w:top="1440" w:right="1440" w:bottom="1440" w:left="1440" w:header="709" w:footer="709" w:gutter="0"/>
          <w:cols w:space="708"/>
          <w:docGrid w:linePitch="360"/>
        </w:sectPr>
      </w:pPr>
    </w:p>
    <w:p w14:paraId="478A9D2E" w14:textId="77777777" w:rsidR="008E44C6" w:rsidRPr="009F54B9" w:rsidRDefault="008E44C6" w:rsidP="00627D07">
      <w:pPr>
        <w:pStyle w:val="Caption"/>
        <w:pBdr>
          <w:top w:val="single" w:sz="4" w:space="1" w:color="auto"/>
          <w:left w:val="single" w:sz="4" w:space="4" w:color="auto"/>
          <w:bottom w:val="single" w:sz="4" w:space="1" w:color="auto"/>
          <w:right w:val="single" w:sz="4" w:space="4" w:color="auto"/>
        </w:pBdr>
        <w:jc w:val="center"/>
        <w:rPr>
          <w:snapToGrid w:val="0"/>
          <w:color w:val="000000" w:themeColor="text1"/>
          <w:kern w:val="22"/>
          <w:szCs w:val="22"/>
          <w:shd w:val="clear" w:color="auto" w:fill="FFFFFF"/>
        </w:rPr>
      </w:pPr>
      <w:bookmarkStart w:id="42" w:name="_Toc517688927"/>
      <w:r w:rsidRPr="009F54B9">
        <w:rPr>
          <w:snapToGrid w:val="0"/>
          <w:kern w:val="22"/>
        </w:rPr>
        <w:lastRenderedPageBreak/>
        <w:t xml:space="preserve">Table </w:t>
      </w:r>
      <w:r w:rsidRPr="009F54B9">
        <w:rPr>
          <w:snapToGrid w:val="0"/>
          <w:kern w:val="22"/>
        </w:rPr>
        <w:fldChar w:fldCharType="begin"/>
      </w:r>
      <w:r w:rsidRPr="009F54B9">
        <w:rPr>
          <w:snapToGrid w:val="0"/>
          <w:kern w:val="22"/>
        </w:rPr>
        <w:instrText xml:space="preserve"> SEQ Table \* ARABIC </w:instrText>
      </w:r>
      <w:r w:rsidRPr="009F54B9">
        <w:rPr>
          <w:snapToGrid w:val="0"/>
          <w:kern w:val="22"/>
        </w:rPr>
        <w:fldChar w:fldCharType="separate"/>
      </w:r>
      <w:r w:rsidRPr="009F54B9">
        <w:rPr>
          <w:noProof/>
          <w:snapToGrid w:val="0"/>
          <w:kern w:val="22"/>
        </w:rPr>
        <w:t>8</w:t>
      </w:r>
      <w:r w:rsidRPr="009F54B9">
        <w:rPr>
          <w:noProof/>
          <w:snapToGrid w:val="0"/>
          <w:kern w:val="22"/>
        </w:rPr>
        <w:fldChar w:fldCharType="end"/>
      </w:r>
      <w:r w:rsidRPr="009F54B9">
        <w:rPr>
          <w:snapToGrid w:val="0"/>
          <w:kern w:val="22"/>
        </w:rPr>
        <w:t>: The manufacturing industries presenting major risk of future biodiversity loss</w:t>
      </w:r>
      <w:bookmarkEnd w:id="42"/>
    </w:p>
    <w:p w14:paraId="2BBCC228" w14:textId="77777777" w:rsidR="008E44C6" w:rsidRPr="009F54B9" w:rsidRDefault="008E44C6" w:rsidP="00627D07">
      <w:pPr>
        <w:pBdr>
          <w:top w:val="single" w:sz="4" w:space="1" w:color="auto"/>
          <w:left w:val="single" w:sz="4" w:space="4" w:color="auto"/>
          <w:bottom w:val="single" w:sz="4" w:space="1" w:color="auto"/>
          <w:right w:val="single" w:sz="4" w:space="4" w:color="auto"/>
        </w:pBdr>
        <w:jc w:val="center"/>
        <w:rPr>
          <w:snapToGrid w:val="0"/>
          <w:color w:val="000000" w:themeColor="text1"/>
          <w:kern w:val="22"/>
          <w:szCs w:val="22"/>
          <w:shd w:val="clear" w:color="auto" w:fill="FFFFFF"/>
        </w:rPr>
      </w:pPr>
      <w:r w:rsidRPr="009F54B9">
        <w:rPr>
          <w:noProof/>
          <w:snapToGrid w:val="0"/>
          <w:kern w:val="22"/>
          <w:lang w:eastAsia="zh-CN"/>
        </w:rPr>
        <w:drawing>
          <wp:inline distT="0" distB="0" distL="0" distR="0" wp14:anchorId="4FC5975E" wp14:editId="6A4CDB78">
            <wp:extent cx="6934200" cy="5353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937740" cy="5355783"/>
                    </a:xfrm>
                    <a:prstGeom prst="rect">
                      <a:avLst/>
                    </a:prstGeom>
                    <a:noFill/>
                    <a:ln>
                      <a:noFill/>
                    </a:ln>
                  </pic:spPr>
                </pic:pic>
              </a:graphicData>
            </a:graphic>
          </wp:inline>
        </w:drawing>
      </w:r>
    </w:p>
    <w:p w14:paraId="03714736" w14:textId="77777777" w:rsidR="008E44C6" w:rsidRPr="009F54B9" w:rsidRDefault="008E44C6" w:rsidP="00627D07">
      <w:pPr>
        <w:rPr>
          <w:snapToGrid w:val="0"/>
          <w:kern w:val="22"/>
          <w:szCs w:val="22"/>
        </w:rPr>
        <w:sectPr w:rsidR="008E44C6" w:rsidRPr="009F54B9" w:rsidSect="00627D07">
          <w:pgSz w:w="16838" w:h="11906" w:orient="landscape"/>
          <w:pgMar w:top="1440" w:right="1440" w:bottom="1440" w:left="1440" w:header="709" w:footer="709" w:gutter="0"/>
          <w:cols w:space="708"/>
          <w:docGrid w:linePitch="360"/>
        </w:sectPr>
      </w:pPr>
    </w:p>
    <w:p w14:paraId="2BC58B74" w14:textId="77777777" w:rsidR="008E44C6" w:rsidRPr="009F54B9" w:rsidRDefault="008E44C6" w:rsidP="00902194">
      <w:pPr>
        <w:pStyle w:val="Caption"/>
        <w:rPr>
          <w:b w:val="0"/>
          <w:bCs/>
          <w:snapToGrid w:val="0"/>
          <w:kern w:val="22"/>
        </w:rPr>
      </w:pPr>
    </w:p>
    <w:p w14:paraId="5483BAC1" w14:textId="77777777" w:rsidR="008E44C6" w:rsidRPr="009F54B9" w:rsidRDefault="008E44C6" w:rsidP="00344F41">
      <w:pPr>
        <w:jc w:val="center"/>
        <w:rPr>
          <w:b/>
          <w:bCs/>
          <w:snapToGrid w:val="0"/>
          <w:kern w:val="22"/>
        </w:rPr>
      </w:pPr>
      <w:bookmarkStart w:id="43" w:name="_Toc517688928"/>
      <w:r w:rsidRPr="009F54B9">
        <w:rPr>
          <w:b/>
          <w:bCs/>
          <w:snapToGrid w:val="0"/>
          <w:kern w:val="22"/>
        </w:rPr>
        <w:t xml:space="preserve">Table </w:t>
      </w:r>
      <w:r w:rsidRPr="009F54B9">
        <w:rPr>
          <w:b/>
          <w:bCs/>
          <w:snapToGrid w:val="0"/>
          <w:kern w:val="22"/>
        </w:rPr>
        <w:fldChar w:fldCharType="begin"/>
      </w:r>
      <w:r w:rsidRPr="009F54B9">
        <w:rPr>
          <w:b/>
          <w:bCs/>
          <w:snapToGrid w:val="0"/>
          <w:kern w:val="22"/>
        </w:rPr>
        <w:instrText xml:space="preserve"> SEQ Table \* ARABIC </w:instrText>
      </w:r>
      <w:r w:rsidRPr="009F54B9">
        <w:rPr>
          <w:b/>
          <w:bCs/>
          <w:snapToGrid w:val="0"/>
          <w:kern w:val="22"/>
        </w:rPr>
        <w:fldChar w:fldCharType="separate"/>
      </w:r>
      <w:r w:rsidRPr="009F54B9">
        <w:rPr>
          <w:b/>
          <w:bCs/>
          <w:snapToGrid w:val="0"/>
          <w:kern w:val="22"/>
        </w:rPr>
        <w:t>9</w:t>
      </w:r>
      <w:r w:rsidRPr="009F54B9">
        <w:rPr>
          <w:b/>
          <w:bCs/>
          <w:snapToGrid w:val="0"/>
          <w:kern w:val="22"/>
        </w:rPr>
        <w:fldChar w:fldCharType="end"/>
      </w:r>
      <w:r w:rsidRPr="009F54B9">
        <w:rPr>
          <w:b/>
          <w:bCs/>
          <w:snapToGrid w:val="0"/>
          <w:kern w:val="22"/>
        </w:rPr>
        <w:t>: The world</w:t>
      </w:r>
      <w:r w:rsidR="00BD3989" w:rsidRPr="009F54B9">
        <w:rPr>
          <w:b/>
          <w:bCs/>
          <w:snapToGrid w:val="0"/>
          <w:kern w:val="22"/>
        </w:rPr>
        <w:t>’</w:t>
      </w:r>
      <w:r w:rsidRPr="009F54B9">
        <w:rPr>
          <w:b/>
          <w:bCs/>
          <w:snapToGrid w:val="0"/>
          <w:kern w:val="22"/>
        </w:rPr>
        <w:t>s 10 most threatened forest biodiversity hotspots</w:t>
      </w:r>
      <w:r w:rsidRPr="009F54B9">
        <w:rPr>
          <w:rStyle w:val="FootnoteReference"/>
          <w:b/>
          <w:bCs/>
          <w:snapToGrid w:val="0"/>
          <w:kern w:val="22"/>
        </w:rPr>
        <w:footnoteReference w:id="81"/>
      </w:r>
      <w:r w:rsidRPr="009F54B9">
        <w:rPr>
          <w:b/>
          <w:bCs/>
          <w:snapToGrid w:val="0"/>
          <w:kern w:val="22"/>
        </w:rPr>
        <w:t xml:space="preserve"> – what manufacturing industries and companies are implicated through their supply chains?</w:t>
      </w:r>
      <w:bookmarkEnd w:id="43"/>
    </w:p>
    <w:tbl>
      <w:tblPr>
        <w:tblW w:w="0" w:type="auto"/>
        <w:jc w:val="center"/>
        <w:tblBorders>
          <w:top w:val="outset" w:sz="6" w:space="0" w:color="auto"/>
          <w:left w:val="outset" w:sz="6" w:space="0" w:color="auto"/>
          <w:bottom w:val="single" w:sz="12" w:space="0" w:color="888888"/>
          <w:right w:val="outset" w:sz="6" w:space="0" w:color="auto"/>
        </w:tblBorders>
        <w:tblCellMar>
          <w:left w:w="0" w:type="dxa"/>
          <w:right w:w="0" w:type="dxa"/>
        </w:tblCellMar>
        <w:tblLook w:val="04A0" w:firstRow="1" w:lastRow="0" w:firstColumn="1" w:lastColumn="0" w:noHBand="0" w:noVBand="1"/>
      </w:tblPr>
      <w:tblGrid>
        <w:gridCol w:w="673"/>
        <w:gridCol w:w="3410"/>
        <w:gridCol w:w="1473"/>
      </w:tblGrid>
      <w:tr w:rsidR="008E44C6" w:rsidRPr="00DF1117" w14:paraId="71186C82" w14:textId="77777777" w:rsidTr="00196AB9">
        <w:trPr>
          <w:jc w:val="center"/>
        </w:trPr>
        <w:tc>
          <w:tcPr>
            <w:tcW w:w="6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5CA0613E"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p>
        </w:tc>
        <w:tc>
          <w:tcPr>
            <w:tcW w:w="3410"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0FBF6D48"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bCs/>
                <w:snapToGrid w:val="0"/>
                <w:color w:val="000000" w:themeColor="text1"/>
                <w:kern w:val="22"/>
                <w:sz w:val="20"/>
                <w:szCs w:val="20"/>
                <w:lang w:eastAsia="en-GB"/>
              </w:rPr>
              <w:t>Hotspot</w:t>
            </w:r>
          </w:p>
        </w:tc>
        <w:tc>
          <w:tcPr>
            <w:tcW w:w="14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3DD009E5"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bCs/>
                <w:snapToGrid w:val="0"/>
                <w:color w:val="000000" w:themeColor="text1"/>
                <w:kern w:val="22"/>
                <w:sz w:val="20"/>
                <w:szCs w:val="20"/>
                <w:lang w:eastAsia="en-GB"/>
              </w:rPr>
              <w:t>Remaining habitat</w:t>
            </w:r>
          </w:p>
        </w:tc>
      </w:tr>
      <w:tr w:rsidR="008E44C6" w:rsidRPr="00DF1117" w14:paraId="4619DCC7" w14:textId="77777777" w:rsidTr="00196AB9">
        <w:trPr>
          <w:jc w:val="center"/>
        </w:trPr>
        <w:tc>
          <w:tcPr>
            <w:tcW w:w="6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51079AA8"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1</w:t>
            </w:r>
          </w:p>
        </w:tc>
        <w:tc>
          <w:tcPr>
            <w:tcW w:w="3410"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2BC4FA5F"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bCs/>
                <w:snapToGrid w:val="0"/>
                <w:color w:val="000000" w:themeColor="text1"/>
                <w:kern w:val="22"/>
                <w:sz w:val="20"/>
                <w:szCs w:val="20"/>
                <w:lang w:eastAsia="en-GB"/>
              </w:rPr>
              <w:t>Indo-Burma</w:t>
            </w:r>
            <w:r w:rsidRPr="009F54B9">
              <w:rPr>
                <w:snapToGrid w:val="0"/>
                <w:color w:val="000000" w:themeColor="text1"/>
                <w:kern w:val="22"/>
                <w:sz w:val="20"/>
                <w:szCs w:val="20"/>
                <w:lang w:eastAsia="en-GB"/>
              </w:rPr>
              <w:t> (Asia-Pacific)</w:t>
            </w:r>
          </w:p>
        </w:tc>
        <w:tc>
          <w:tcPr>
            <w:tcW w:w="14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3EC5D219"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5%</w:t>
            </w:r>
          </w:p>
        </w:tc>
      </w:tr>
      <w:tr w:rsidR="008E44C6" w:rsidRPr="00DF1117" w14:paraId="19BE891D" w14:textId="77777777" w:rsidTr="00196AB9">
        <w:trPr>
          <w:jc w:val="center"/>
        </w:trPr>
        <w:tc>
          <w:tcPr>
            <w:tcW w:w="6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69379402"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2</w:t>
            </w:r>
          </w:p>
        </w:tc>
        <w:tc>
          <w:tcPr>
            <w:tcW w:w="3410"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14360924"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bCs/>
                <w:snapToGrid w:val="0"/>
                <w:color w:val="000000" w:themeColor="text1"/>
                <w:kern w:val="22"/>
                <w:sz w:val="20"/>
                <w:szCs w:val="20"/>
                <w:lang w:eastAsia="en-GB"/>
              </w:rPr>
              <w:t>New Caledonia</w:t>
            </w:r>
            <w:r w:rsidRPr="009F54B9">
              <w:rPr>
                <w:snapToGrid w:val="0"/>
                <w:color w:val="000000" w:themeColor="text1"/>
                <w:kern w:val="22"/>
                <w:sz w:val="20"/>
                <w:szCs w:val="20"/>
                <w:lang w:eastAsia="en-GB"/>
              </w:rPr>
              <w:t>(Asia-Pacific)</w:t>
            </w:r>
          </w:p>
        </w:tc>
        <w:tc>
          <w:tcPr>
            <w:tcW w:w="14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78095994"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5%</w:t>
            </w:r>
          </w:p>
        </w:tc>
      </w:tr>
      <w:tr w:rsidR="008E44C6" w:rsidRPr="00DF1117" w14:paraId="09604FA1" w14:textId="77777777" w:rsidTr="00196AB9">
        <w:trPr>
          <w:jc w:val="center"/>
        </w:trPr>
        <w:tc>
          <w:tcPr>
            <w:tcW w:w="6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3D9EEB3C"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3</w:t>
            </w:r>
          </w:p>
        </w:tc>
        <w:tc>
          <w:tcPr>
            <w:tcW w:w="3410"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14B34480"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proofErr w:type="spellStart"/>
            <w:r w:rsidRPr="009F54B9">
              <w:rPr>
                <w:bCs/>
                <w:snapToGrid w:val="0"/>
                <w:color w:val="000000" w:themeColor="text1"/>
                <w:kern w:val="22"/>
                <w:sz w:val="20"/>
                <w:szCs w:val="20"/>
                <w:lang w:eastAsia="en-GB"/>
              </w:rPr>
              <w:t>Sundaland</w:t>
            </w:r>
            <w:proofErr w:type="spellEnd"/>
            <w:r w:rsidRPr="009F54B9">
              <w:rPr>
                <w:snapToGrid w:val="0"/>
                <w:color w:val="000000" w:themeColor="text1"/>
                <w:kern w:val="22"/>
                <w:sz w:val="20"/>
                <w:szCs w:val="20"/>
                <w:lang w:eastAsia="en-GB"/>
              </w:rPr>
              <w:t>  (Asia-Pacific)</w:t>
            </w:r>
          </w:p>
        </w:tc>
        <w:tc>
          <w:tcPr>
            <w:tcW w:w="14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3C57A4F6"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7%</w:t>
            </w:r>
          </w:p>
        </w:tc>
      </w:tr>
      <w:tr w:rsidR="008E44C6" w:rsidRPr="00DF1117" w14:paraId="0665AABE" w14:textId="77777777" w:rsidTr="00196AB9">
        <w:trPr>
          <w:jc w:val="center"/>
        </w:trPr>
        <w:tc>
          <w:tcPr>
            <w:tcW w:w="6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4EDB9A4C"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4</w:t>
            </w:r>
          </w:p>
        </w:tc>
        <w:tc>
          <w:tcPr>
            <w:tcW w:w="3410"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59BB2209"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bCs/>
                <w:snapToGrid w:val="0"/>
                <w:color w:val="000000" w:themeColor="text1"/>
                <w:kern w:val="22"/>
                <w:sz w:val="20"/>
                <w:szCs w:val="20"/>
                <w:lang w:eastAsia="en-GB"/>
              </w:rPr>
              <w:t>Philippines</w:t>
            </w:r>
            <w:r w:rsidRPr="009F54B9">
              <w:rPr>
                <w:snapToGrid w:val="0"/>
                <w:color w:val="000000" w:themeColor="text1"/>
                <w:kern w:val="22"/>
                <w:sz w:val="20"/>
                <w:szCs w:val="20"/>
                <w:lang w:eastAsia="en-GB"/>
              </w:rPr>
              <w:t> (Asia-Pacific)</w:t>
            </w:r>
          </w:p>
        </w:tc>
        <w:tc>
          <w:tcPr>
            <w:tcW w:w="14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7B159798"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7%</w:t>
            </w:r>
          </w:p>
        </w:tc>
      </w:tr>
      <w:tr w:rsidR="008E44C6" w:rsidRPr="00DF1117" w14:paraId="477D5F4F" w14:textId="77777777" w:rsidTr="00196AB9">
        <w:trPr>
          <w:jc w:val="center"/>
        </w:trPr>
        <w:tc>
          <w:tcPr>
            <w:tcW w:w="6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0553ECB4"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5</w:t>
            </w:r>
          </w:p>
        </w:tc>
        <w:tc>
          <w:tcPr>
            <w:tcW w:w="3410"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7FAC7946"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bCs/>
                <w:snapToGrid w:val="0"/>
                <w:color w:val="000000" w:themeColor="text1"/>
                <w:kern w:val="22"/>
                <w:sz w:val="20"/>
                <w:szCs w:val="20"/>
                <w:lang w:eastAsia="en-GB"/>
              </w:rPr>
              <w:t xml:space="preserve">Atlantic Forest </w:t>
            </w:r>
            <w:r w:rsidRPr="009F54B9">
              <w:rPr>
                <w:snapToGrid w:val="0"/>
                <w:color w:val="000000" w:themeColor="text1"/>
                <w:kern w:val="22"/>
                <w:sz w:val="20"/>
                <w:szCs w:val="20"/>
                <w:lang w:eastAsia="en-GB"/>
              </w:rPr>
              <w:t>(South America)</w:t>
            </w:r>
          </w:p>
        </w:tc>
        <w:tc>
          <w:tcPr>
            <w:tcW w:w="14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16B56200"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8%</w:t>
            </w:r>
          </w:p>
        </w:tc>
      </w:tr>
      <w:tr w:rsidR="008E44C6" w:rsidRPr="00DF1117" w14:paraId="6D94DF1E" w14:textId="77777777" w:rsidTr="00196AB9">
        <w:trPr>
          <w:jc w:val="center"/>
        </w:trPr>
        <w:tc>
          <w:tcPr>
            <w:tcW w:w="6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2FBE3437"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6</w:t>
            </w:r>
          </w:p>
        </w:tc>
        <w:tc>
          <w:tcPr>
            <w:tcW w:w="3410"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2EE5E5A4"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bCs/>
                <w:snapToGrid w:val="0"/>
                <w:color w:val="000000" w:themeColor="text1"/>
                <w:kern w:val="22"/>
                <w:sz w:val="20"/>
                <w:szCs w:val="20"/>
                <w:lang w:eastAsia="en-GB"/>
              </w:rPr>
              <w:t xml:space="preserve">Mountains of Southwest China </w:t>
            </w:r>
            <w:r w:rsidRPr="009F54B9">
              <w:rPr>
                <w:snapToGrid w:val="0"/>
                <w:color w:val="000000" w:themeColor="text1"/>
                <w:kern w:val="22"/>
                <w:sz w:val="20"/>
                <w:szCs w:val="20"/>
                <w:lang w:eastAsia="en-GB"/>
              </w:rPr>
              <w:t>(Asia-Pacific)</w:t>
            </w:r>
          </w:p>
        </w:tc>
        <w:tc>
          <w:tcPr>
            <w:tcW w:w="14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44A79F3E"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8%</w:t>
            </w:r>
          </w:p>
        </w:tc>
      </w:tr>
      <w:tr w:rsidR="008E44C6" w:rsidRPr="00DF1117" w14:paraId="78FF2909" w14:textId="77777777" w:rsidTr="00196AB9">
        <w:trPr>
          <w:jc w:val="center"/>
        </w:trPr>
        <w:tc>
          <w:tcPr>
            <w:tcW w:w="6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03407AB0"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7</w:t>
            </w:r>
          </w:p>
        </w:tc>
        <w:tc>
          <w:tcPr>
            <w:tcW w:w="3410"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5BAF5DEB"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bCs/>
                <w:snapToGrid w:val="0"/>
                <w:color w:val="000000" w:themeColor="text1"/>
                <w:kern w:val="22"/>
                <w:sz w:val="20"/>
                <w:szCs w:val="20"/>
                <w:lang w:eastAsia="en-GB"/>
              </w:rPr>
              <w:t>California Floristic Province</w:t>
            </w:r>
            <w:r w:rsidRPr="009F54B9">
              <w:rPr>
                <w:snapToGrid w:val="0"/>
                <w:color w:val="000000" w:themeColor="text1"/>
                <w:kern w:val="22"/>
                <w:sz w:val="20"/>
                <w:szCs w:val="20"/>
                <w:lang w:eastAsia="en-GB"/>
              </w:rPr>
              <w:t> (North America)</w:t>
            </w:r>
          </w:p>
        </w:tc>
        <w:tc>
          <w:tcPr>
            <w:tcW w:w="14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71B2F21D"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10%</w:t>
            </w:r>
          </w:p>
        </w:tc>
      </w:tr>
      <w:tr w:rsidR="008E44C6" w:rsidRPr="00DF1117" w14:paraId="177C9032" w14:textId="77777777" w:rsidTr="00196AB9">
        <w:trPr>
          <w:jc w:val="center"/>
        </w:trPr>
        <w:tc>
          <w:tcPr>
            <w:tcW w:w="6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6FD62AB0"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8</w:t>
            </w:r>
          </w:p>
        </w:tc>
        <w:tc>
          <w:tcPr>
            <w:tcW w:w="3410"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06309BDA"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bCs/>
                <w:snapToGrid w:val="0"/>
                <w:color w:val="000000" w:themeColor="text1"/>
                <w:kern w:val="22"/>
                <w:sz w:val="20"/>
                <w:szCs w:val="20"/>
                <w:lang w:eastAsia="en-GB"/>
              </w:rPr>
              <w:t xml:space="preserve">Coastal Forests of Eastern Africa </w:t>
            </w:r>
            <w:r w:rsidRPr="009F54B9">
              <w:rPr>
                <w:snapToGrid w:val="0"/>
                <w:color w:val="000000" w:themeColor="text1"/>
                <w:kern w:val="22"/>
                <w:sz w:val="20"/>
                <w:szCs w:val="20"/>
                <w:lang w:eastAsia="en-GB"/>
              </w:rPr>
              <w:t>(Africa)</w:t>
            </w:r>
          </w:p>
        </w:tc>
        <w:tc>
          <w:tcPr>
            <w:tcW w:w="14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11D79BB1"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10%</w:t>
            </w:r>
          </w:p>
        </w:tc>
      </w:tr>
      <w:tr w:rsidR="008E44C6" w:rsidRPr="00DF1117" w14:paraId="1C9B53B2" w14:textId="77777777" w:rsidTr="00196AB9">
        <w:trPr>
          <w:jc w:val="center"/>
        </w:trPr>
        <w:tc>
          <w:tcPr>
            <w:tcW w:w="6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20B49F2A"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9</w:t>
            </w:r>
          </w:p>
        </w:tc>
        <w:tc>
          <w:tcPr>
            <w:tcW w:w="3410"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4C4ACF4C"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bCs/>
                <w:snapToGrid w:val="0"/>
                <w:color w:val="000000" w:themeColor="text1"/>
                <w:kern w:val="22"/>
                <w:sz w:val="20"/>
                <w:szCs w:val="20"/>
                <w:lang w:eastAsia="en-GB"/>
              </w:rPr>
              <w:t>Madagascar &amp; Indian Ocean Islands</w:t>
            </w:r>
            <w:r w:rsidRPr="009F54B9">
              <w:rPr>
                <w:snapToGrid w:val="0"/>
                <w:color w:val="000000" w:themeColor="text1"/>
                <w:kern w:val="22"/>
                <w:sz w:val="20"/>
                <w:szCs w:val="20"/>
                <w:lang w:eastAsia="en-GB"/>
              </w:rPr>
              <w:t> (Africa)</w:t>
            </w:r>
          </w:p>
        </w:tc>
        <w:tc>
          <w:tcPr>
            <w:tcW w:w="14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6CFF638F"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10%</w:t>
            </w:r>
          </w:p>
        </w:tc>
      </w:tr>
      <w:tr w:rsidR="008E44C6" w:rsidRPr="00DF1117" w14:paraId="5F792FF7" w14:textId="77777777" w:rsidTr="00FE34EA">
        <w:trPr>
          <w:trHeight w:val="66"/>
          <w:jc w:val="center"/>
        </w:trPr>
        <w:tc>
          <w:tcPr>
            <w:tcW w:w="6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0DE69920"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10</w:t>
            </w:r>
          </w:p>
        </w:tc>
        <w:tc>
          <w:tcPr>
            <w:tcW w:w="3410"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628D22B6"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bCs/>
                <w:snapToGrid w:val="0"/>
                <w:color w:val="000000" w:themeColor="text1"/>
                <w:kern w:val="22"/>
                <w:sz w:val="20"/>
                <w:szCs w:val="20"/>
                <w:lang w:eastAsia="en-GB"/>
              </w:rPr>
              <w:t>Eastern Afromontane (Africa)</w:t>
            </w:r>
          </w:p>
        </w:tc>
        <w:tc>
          <w:tcPr>
            <w:tcW w:w="1473" w:type="dxa"/>
            <w:tcBorders>
              <w:top w:val="single" w:sz="12" w:space="0" w:color="888888"/>
              <w:left w:val="outset" w:sz="6" w:space="0" w:color="auto"/>
              <w:bottom w:val="outset" w:sz="6" w:space="0" w:color="auto"/>
              <w:right w:val="outset" w:sz="6" w:space="0" w:color="auto"/>
            </w:tcBorders>
            <w:shd w:val="clear" w:color="auto" w:fill="auto"/>
            <w:tcMar>
              <w:top w:w="135" w:type="dxa"/>
              <w:left w:w="225" w:type="dxa"/>
              <w:bottom w:w="105" w:type="dxa"/>
              <w:right w:w="225" w:type="dxa"/>
            </w:tcMar>
            <w:hideMark/>
          </w:tcPr>
          <w:p w14:paraId="5B7981E6" w14:textId="77777777" w:rsidR="008E44C6" w:rsidRPr="009F54B9" w:rsidRDefault="008E44C6" w:rsidP="00196AB9">
            <w:pPr>
              <w:spacing w:before="100" w:beforeAutospacing="1" w:after="100" w:afterAutospacing="1"/>
              <w:jc w:val="center"/>
              <w:rPr>
                <w:snapToGrid w:val="0"/>
                <w:color w:val="000000" w:themeColor="text1"/>
                <w:kern w:val="22"/>
                <w:sz w:val="20"/>
                <w:szCs w:val="20"/>
                <w:lang w:eastAsia="en-GB"/>
              </w:rPr>
            </w:pPr>
            <w:r w:rsidRPr="009F54B9">
              <w:rPr>
                <w:snapToGrid w:val="0"/>
                <w:color w:val="000000" w:themeColor="text1"/>
                <w:kern w:val="22"/>
                <w:sz w:val="20"/>
                <w:szCs w:val="20"/>
                <w:lang w:eastAsia="en-GB"/>
              </w:rPr>
              <w:t>11%</w:t>
            </w:r>
          </w:p>
        </w:tc>
      </w:tr>
    </w:tbl>
    <w:p w14:paraId="473207A6" w14:textId="77777777" w:rsidR="008E44C6" w:rsidRPr="009F54B9" w:rsidRDefault="008E44C6" w:rsidP="00627D07">
      <w:pPr>
        <w:rPr>
          <w:snapToGrid w:val="0"/>
          <w:color w:val="000000" w:themeColor="text1"/>
          <w:kern w:val="22"/>
          <w:szCs w:val="22"/>
        </w:rPr>
      </w:pPr>
    </w:p>
    <w:p w14:paraId="655C3AE0" w14:textId="77777777" w:rsidR="008E44C6" w:rsidRPr="009F54B9" w:rsidRDefault="008E44C6" w:rsidP="00627D07">
      <w:pPr>
        <w:rPr>
          <w:snapToGrid w:val="0"/>
          <w:color w:val="000000" w:themeColor="text1"/>
          <w:kern w:val="22"/>
          <w:szCs w:val="22"/>
        </w:rPr>
      </w:pPr>
    </w:p>
    <w:p w14:paraId="1E4B9FD5" w14:textId="77777777" w:rsidR="008E44C6" w:rsidRPr="009F54B9" w:rsidRDefault="008E44C6" w:rsidP="00FD5062">
      <w:pPr>
        <w:pStyle w:val="ListParagraph"/>
        <w:rPr>
          <w:snapToGrid w:val="0"/>
          <w:kern w:val="22"/>
          <w:szCs w:val="22"/>
        </w:rPr>
      </w:pPr>
      <w:r w:rsidRPr="009F54B9">
        <w:rPr>
          <w:snapToGrid w:val="0"/>
          <w:kern w:val="22"/>
          <w:szCs w:val="22"/>
        </w:rPr>
        <w:br w:type="page"/>
      </w:r>
    </w:p>
    <w:p w14:paraId="563F7CE7" w14:textId="77777777" w:rsidR="008E44C6" w:rsidRPr="009F54B9" w:rsidRDefault="008E44C6" w:rsidP="008E44C6">
      <w:pPr>
        <w:pStyle w:val="Heading1"/>
        <w:keepNext w:val="0"/>
        <w:numPr>
          <w:ilvl w:val="0"/>
          <w:numId w:val="10"/>
        </w:numPr>
        <w:tabs>
          <w:tab w:val="clear" w:pos="720"/>
          <w:tab w:val="left" w:pos="3686"/>
        </w:tabs>
        <w:autoSpaceDE w:val="0"/>
        <w:autoSpaceDN w:val="0"/>
        <w:adjustRightInd w:val="0"/>
        <w:spacing w:before="0" w:after="240"/>
        <w:jc w:val="both"/>
        <w:rPr>
          <w:caps w:val="0"/>
          <w:snapToGrid w:val="0"/>
          <w:kern w:val="22"/>
          <w:szCs w:val="22"/>
        </w:rPr>
      </w:pPr>
      <w:bookmarkStart w:id="44" w:name="_Toc517690318"/>
      <w:r w:rsidRPr="009F54B9">
        <w:rPr>
          <w:snapToGrid w:val="0"/>
          <w:kern w:val="22"/>
          <w:szCs w:val="22"/>
        </w:rPr>
        <w:lastRenderedPageBreak/>
        <w:t>Mainstreaming biodiversity in the manufacturing sector: Key approaches and challenges</w:t>
      </w:r>
      <w:bookmarkEnd w:id="44"/>
    </w:p>
    <w:p w14:paraId="5CA7918B" w14:textId="77777777" w:rsidR="008E44C6" w:rsidRPr="009F54B9" w:rsidRDefault="008E44C6" w:rsidP="00293FEF">
      <w:pPr>
        <w:rPr>
          <w:snapToGrid w:val="0"/>
          <w:kern w:val="22"/>
          <w:szCs w:val="22"/>
        </w:rPr>
      </w:pPr>
      <w:r w:rsidRPr="009F54B9">
        <w:rPr>
          <w:snapToGrid w:val="0"/>
          <w:kern w:val="22"/>
          <w:szCs w:val="22"/>
        </w:rPr>
        <w:t>Biodiversity mainstreaming refers to the process of embedding biodiversity considerations into policies, strategies and practices of public and private actors that impact or rely on biodiversity, so that it is conserved and / or sustainably used both locally and globally.  Under the</w:t>
      </w:r>
      <w:hyperlink r:id="rId70" w:tgtFrame="_blank" w:history="1"/>
      <w:r w:rsidRPr="009F54B9">
        <w:rPr>
          <w:snapToGrid w:val="0"/>
          <w:kern w:val="22"/>
          <w:szCs w:val="22"/>
        </w:rPr>
        <w:t xml:space="preserve"> CBD, the theme of mainstreaming biodiversity is supported by Article 6, subsection b, which states that each party “</w:t>
      </w:r>
      <w:r w:rsidRPr="009F54B9">
        <w:rPr>
          <w:iCs/>
          <w:snapToGrid w:val="0"/>
          <w:kern w:val="22"/>
          <w:szCs w:val="22"/>
        </w:rPr>
        <w:t>integrate, as far as possible and as appropriate, the conservation and sustainable use of biodiversity in plans, programs and sectoral and intersectoral policies”; as well as in Article 10, subsection a, which calls on the parties to “integrate, as far as possible and as appropriate the conservation and sustainable use of biological resources into national decision-making</w:t>
      </w:r>
      <w:r w:rsidRPr="009F54B9">
        <w:rPr>
          <w:snapToGrid w:val="0"/>
          <w:kern w:val="22"/>
          <w:szCs w:val="22"/>
        </w:rPr>
        <w:t>.”</w:t>
      </w:r>
      <w:r w:rsidRPr="009F54B9">
        <w:rPr>
          <w:rStyle w:val="FootnoteReference"/>
          <w:snapToGrid w:val="0"/>
          <w:kern w:val="22"/>
          <w:szCs w:val="22"/>
        </w:rPr>
        <w:footnoteReference w:id="82"/>
      </w:r>
      <w:r w:rsidRPr="009F54B9">
        <w:rPr>
          <w:snapToGrid w:val="0"/>
          <w:kern w:val="22"/>
          <w:szCs w:val="22"/>
        </w:rPr>
        <w:t xml:space="preserve"> This practically involves explicitly integrating renewable natural capital considerations into </w:t>
      </w:r>
      <w:r w:rsidR="001E4B78" w:rsidRPr="009F54B9">
        <w:rPr>
          <w:snapToGrid w:val="0"/>
          <w:kern w:val="22"/>
          <w:szCs w:val="22"/>
        </w:rPr>
        <w:t>organiz</w:t>
      </w:r>
      <w:r w:rsidR="006242BC" w:rsidRPr="009F54B9">
        <w:rPr>
          <w:snapToGrid w:val="0"/>
          <w:kern w:val="22"/>
          <w:szCs w:val="22"/>
        </w:rPr>
        <w:t>a</w:t>
      </w:r>
      <w:r w:rsidRPr="009F54B9">
        <w:rPr>
          <w:snapToGrid w:val="0"/>
          <w:kern w:val="22"/>
          <w:szCs w:val="22"/>
        </w:rPr>
        <w:t>tional/business, sectoral and/or cross-sectoral (e.g., IIED and UNEP-WCMC 2014</w:t>
      </w:r>
      <w:r w:rsidRPr="009F54B9">
        <w:rPr>
          <w:rStyle w:val="FootnoteReference"/>
          <w:snapToGrid w:val="0"/>
          <w:kern w:val="22"/>
          <w:szCs w:val="22"/>
        </w:rPr>
        <w:footnoteReference w:id="83"/>
      </w:r>
      <w:r w:rsidRPr="009F54B9">
        <w:rPr>
          <w:snapToGrid w:val="0"/>
          <w:kern w:val="22"/>
          <w:szCs w:val="22"/>
        </w:rPr>
        <w:t>; Secretariat of the Convention on Biological Diversity 2011</w:t>
      </w:r>
      <w:r w:rsidRPr="009F54B9">
        <w:rPr>
          <w:rStyle w:val="FootnoteReference"/>
          <w:snapToGrid w:val="0"/>
          <w:kern w:val="22"/>
          <w:szCs w:val="22"/>
        </w:rPr>
        <w:footnoteReference w:id="84"/>
      </w:r>
      <w:r w:rsidRPr="009F54B9">
        <w:rPr>
          <w:snapToGrid w:val="0"/>
          <w:kern w:val="22"/>
          <w:szCs w:val="22"/>
        </w:rPr>
        <w:t>):</w:t>
      </w:r>
    </w:p>
    <w:p w14:paraId="2387635B" w14:textId="77777777" w:rsidR="008E44C6" w:rsidRPr="009F54B9" w:rsidRDefault="008E44C6" w:rsidP="008E44C6">
      <w:pPr>
        <w:pStyle w:val="ListParagraph"/>
        <w:numPr>
          <w:ilvl w:val="0"/>
          <w:numId w:val="11"/>
        </w:numPr>
        <w:autoSpaceDE w:val="0"/>
        <w:autoSpaceDN w:val="0"/>
        <w:adjustRightInd w:val="0"/>
        <w:spacing w:line="360" w:lineRule="auto"/>
        <w:rPr>
          <w:snapToGrid w:val="0"/>
          <w:kern w:val="22"/>
          <w:szCs w:val="22"/>
        </w:rPr>
      </w:pPr>
      <w:r w:rsidRPr="009F54B9">
        <w:rPr>
          <w:snapToGrid w:val="0"/>
          <w:kern w:val="22"/>
          <w:szCs w:val="22"/>
        </w:rPr>
        <w:t>Legislations, regulations, standards, and guidelines;</w:t>
      </w:r>
    </w:p>
    <w:p w14:paraId="1BFB5614" w14:textId="77777777" w:rsidR="008E44C6" w:rsidRPr="009F54B9" w:rsidRDefault="008E44C6" w:rsidP="008E44C6">
      <w:pPr>
        <w:pStyle w:val="ListParagraph"/>
        <w:numPr>
          <w:ilvl w:val="0"/>
          <w:numId w:val="11"/>
        </w:numPr>
        <w:autoSpaceDE w:val="0"/>
        <w:autoSpaceDN w:val="0"/>
        <w:adjustRightInd w:val="0"/>
        <w:spacing w:line="360" w:lineRule="auto"/>
        <w:rPr>
          <w:snapToGrid w:val="0"/>
          <w:kern w:val="22"/>
          <w:szCs w:val="22"/>
        </w:rPr>
      </w:pPr>
      <w:r w:rsidRPr="009F54B9">
        <w:rPr>
          <w:snapToGrid w:val="0"/>
          <w:kern w:val="22"/>
          <w:szCs w:val="22"/>
        </w:rPr>
        <w:t>Policy documents;</w:t>
      </w:r>
    </w:p>
    <w:p w14:paraId="142203B4" w14:textId="77777777" w:rsidR="008E44C6" w:rsidRPr="009F54B9" w:rsidRDefault="008E44C6" w:rsidP="008E44C6">
      <w:pPr>
        <w:pStyle w:val="ListParagraph"/>
        <w:numPr>
          <w:ilvl w:val="0"/>
          <w:numId w:val="11"/>
        </w:numPr>
        <w:autoSpaceDE w:val="0"/>
        <w:autoSpaceDN w:val="0"/>
        <w:adjustRightInd w:val="0"/>
        <w:spacing w:line="360" w:lineRule="auto"/>
        <w:rPr>
          <w:snapToGrid w:val="0"/>
          <w:kern w:val="22"/>
          <w:szCs w:val="22"/>
        </w:rPr>
      </w:pPr>
      <w:r w:rsidRPr="009F54B9">
        <w:rPr>
          <w:snapToGrid w:val="0"/>
          <w:kern w:val="22"/>
          <w:szCs w:val="22"/>
        </w:rPr>
        <w:t>Strategies, plans and program of actions;</w:t>
      </w:r>
    </w:p>
    <w:p w14:paraId="77F4B9F9" w14:textId="77777777" w:rsidR="008E44C6" w:rsidRPr="009F54B9" w:rsidRDefault="008E44C6" w:rsidP="008E44C6">
      <w:pPr>
        <w:pStyle w:val="ListParagraph"/>
        <w:numPr>
          <w:ilvl w:val="0"/>
          <w:numId w:val="11"/>
        </w:numPr>
        <w:autoSpaceDE w:val="0"/>
        <w:autoSpaceDN w:val="0"/>
        <w:adjustRightInd w:val="0"/>
        <w:spacing w:line="360" w:lineRule="auto"/>
        <w:rPr>
          <w:snapToGrid w:val="0"/>
          <w:kern w:val="22"/>
          <w:szCs w:val="22"/>
        </w:rPr>
      </w:pPr>
      <w:r w:rsidRPr="009F54B9">
        <w:rPr>
          <w:snapToGrid w:val="0"/>
          <w:kern w:val="22"/>
          <w:szCs w:val="22"/>
        </w:rPr>
        <w:t>Action plans and budgets;</w:t>
      </w:r>
    </w:p>
    <w:p w14:paraId="028F7E65" w14:textId="77777777" w:rsidR="008E44C6" w:rsidRPr="009F54B9" w:rsidRDefault="008E44C6" w:rsidP="008E44C6">
      <w:pPr>
        <w:pStyle w:val="ListParagraph"/>
        <w:numPr>
          <w:ilvl w:val="0"/>
          <w:numId w:val="11"/>
        </w:numPr>
        <w:autoSpaceDE w:val="0"/>
        <w:autoSpaceDN w:val="0"/>
        <w:adjustRightInd w:val="0"/>
        <w:spacing w:line="360" w:lineRule="auto"/>
        <w:rPr>
          <w:snapToGrid w:val="0"/>
          <w:kern w:val="22"/>
          <w:szCs w:val="22"/>
        </w:rPr>
      </w:pPr>
      <w:r w:rsidRPr="009F54B9">
        <w:rPr>
          <w:snapToGrid w:val="0"/>
          <w:kern w:val="22"/>
          <w:szCs w:val="22"/>
        </w:rPr>
        <w:t>Service delivery and/or production processes; and</w:t>
      </w:r>
    </w:p>
    <w:p w14:paraId="55F0A2C3" w14:textId="77777777" w:rsidR="008E44C6" w:rsidRPr="009F54B9" w:rsidRDefault="008E44C6" w:rsidP="008E44C6">
      <w:pPr>
        <w:pStyle w:val="ListParagraph"/>
        <w:numPr>
          <w:ilvl w:val="0"/>
          <w:numId w:val="11"/>
        </w:numPr>
        <w:autoSpaceDE w:val="0"/>
        <w:autoSpaceDN w:val="0"/>
        <w:adjustRightInd w:val="0"/>
        <w:spacing w:line="360" w:lineRule="auto"/>
        <w:rPr>
          <w:snapToGrid w:val="0"/>
          <w:kern w:val="22"/>
          <w:szCs w:val="22"/>
        </w:rPr>
      </w:pPr>
      <w:r w:rsidRPr="009F54B9">
        <w:rPr>
          <w:snapToGrid w:val="0"/>
          <w:kern w:val="22"/>
          <w:szCs w:val="22"/>
        </w:rPr>
        <w:t>Performance indicators, monitoring and reporting systems.</w:t>
      </w:r>
    </w:p>
    <w:p w14:paraId="0BA0E3EB" w14:textId="77777777" w:rsidR="008E44C6" w:rsidRPr="009F54B9" w:rsidRDefault="008E44C6" w:rsidP="00D54FB2">
      <w:pPr>
        <w:rPr>
          <w:snapToGrid w:val="0"/>
          <w:kern w:val="22"/>
          <w:highlight w:val="yellow"/>
        </w:rPr>
      </w:pPr>
    </w:p>
    <w:p w14:paraId="36546705" w14:textId="77777777" w:rsidR="008E44C6" w:rsidRPr="009F54B9" w:rsidRDefault="008E44C6" w:rsidP="00D54FB2">
      <w:pPr>
        <w:rPr>
          <w:snapToGrid w:val="0"/>
          <w:kern w:val="22"/>
          <w:szCs w:val="22"/>
        </w:rPr>
      </w:pPr>
      <w:r w:rsidRPr="009F54B9">
        <w:rPr>
          <w:snapToGrid w:val="0"/>
          <w:kern w:val="22"/>
          <w:szCs w:val="22"/>
        </w:rPr>
        <w:t xml:space="preserve">This means that biodiversity mainstreaming will mean different things to different stakeholders. </w:t>
      </w:r>
    </w:p>
    <w:p w14:paraId="5F00EA94" w14:textId="77777777" w:rsidR="008E44C6" w:rsidRPr="009F54B9" w:rsidRDefault="008E44C6" w:rsidP="00D54FB2">
      <w:pPr>
        <w:rPr>
          <w:snapToGrid w:val="0"/>
          <w:kern w:val="22"/>
          <w:szCs w:val="22"/>
        </w:rPr>
      </w:pPr>
      <w:r w:rsidRPr="009F54B9">
        <w:rPr>
          <w:snapToGrid w:val="0"/>
          <w:kern w:val="22"/>
        </w:rPr>
        <w:t>For the Global Environmental Facility, biodiversity mainstreaming focuses primarily on the following activities:</w:t>
      </w:r>
      <w:r w:rsidRPr="009F54B9">
        <w:rPr>
          <w:i/>
          <w:snapToGrid w:val="0"/>
          <w:kern w:val="22"/>
        </w:rPr>
        <w:t xml:space="preserve"> “(</w:t>
      </w:r>
      <w:proofErr w:type="spellStart"/>
      <w:r w:rsidRPr="009F54B9">
        <w:rPr>
          <w:i/>
          <w:snapToGrid w:val="0"/>
          <w:kern w:val="22"/>
        </w:rPr>
        <w:t>i</w:t>
      </w:r>
      <w:proofErr w:type="spellEnd"/>
      <w:r w:rsidRPr="009F54B9">
        <w:rPr>
          <w:i/>
          <w:snapToGrid w:val="0"/>
          <w:kern w:val="22"/>
        </w:rPr>
        <w:t>) developing policy and regulatory frameworks that remove perverse subsidies and provide incentives for biodiversity-positive land and resource use that remains productive but that does not degrade biodiversity, (ii) spatial and land-use planning to ensure that land and resources are used appropriately to maximize production without undermining or degrading biodiversity; and (iii) improving and changing production practices to be more biodiversity-positive with a focus on sectors that have significant biodiversity impacts such as agriculture, forestry, fisheries, tourism, and extractives</w:t>
      </w:r>
      <w:r w:rsidRPr="009F54B9">
        <w:rPr>
          <w:snapToGrid w:val="0"/>
          <w:kern w:val="22"/>
        </w:rPr>
        <w:t>.”</w:t>
      </w:r>
      <w:r w:rsidRPr="009F54B9">
        <w:rPr>
          <w:snapToGrid w:val="0"/>
          <w:kern w:val="22"/>
          <w:szCs w:val="22"/>
          <w:vertAlign w:val="superscript"/>
        </w:rPr>
        <w:t xml:space="preserve"> </w:t>
      </w:r>
      <w:r w:rsidRPr="009F54B9">
        <w:rPr>
          <w:snapToGrid w:val="0"/>
          <w:kern w:val="22"/>
          <w:szCs w:val="22"/>
          <w:vertAlign w:val="superscript"/>
        </w:rPr>
        <w:footnoteReference w:id="85"/>
      </w:r>
      <w:r w:rsidRPr="009F54B9">
        <w:rPr>
          <w:snapToGrid w:val="0"/>
          <w:kern w:val="22"/>
          <w:szCs w:val="22"/>
          <w:vertAlign w:val="superscript"/>
        </w:rPr>
        <w:t xml:space="preserve"> </w:t>
      </w:r>
      <w:r w:rsidRPr="009F54B9">
        <w:rPr>
          <w:snapToGrid w:val="0"/>
          <w:kern w:val="22"/>
          <w:szCs w:val="22"/>
        </w:rPr>
        <w:t>According to the Natural Capital Coalition</w:t>
      </w:r>
      <w:r w:rsidRPr="009F54B9">
        <w:rPr>
          <w:rStyle w:val="FootnoteReference"/>
          <w:snapToGrid w:val="0"/>
          <w:kern w:val="22"/>
          <w:szCs w:val="22"/>
        </w:rPr>
        <w:footnoteReference w:id="86"/>
      </w:r>
      <w:r w:rsidRPr="009F54B9">
        <w:rPr>
          <w:snapToGrid w:val="0"/>
          <w:kern w:val="22"/>
          <w:szCs w:val="22"/>
        </w:rPr>
        <w:t>, from a business perspective, biodiversity mainstreaming into decision-making involves five key steps: measurement, valuation, decision-making, strategy and external disclosure (Figure 16).</w:t>
      </w:r>
    </w:p>
    <w:p w14:paraId="41341FB5" w14:textId="77777777" w:rsidR="008E44C6" w:rsidRPr="009F54B9" w:rsidRDefault="008E44C6" w:rsidP="00D54FB2">
      <w:pPr>
        <w:rPr>
          <w:snapToGrid w:val="0"/>
          <w:kern w:val="22"/>
          <w:szCs w:val="22"/>
        </w:rPr>
      </w:pPr>
    </w:p>
    <w:p w14:paraId="07B14AD5" w14:textId="77777777" w:rsidR="008E44C6" w:rsidRPr="009F54B9" w:rsidRDefault="008E44C6" w:rsidP="00915C2C">
      <w:pPr>
        <w:pBdr>
          <w:top w:val="single" w:sz="4" w:space="1" w:color="auto"/>
          <w:left w:val="single" w:sz="4" w:space="4" w:color="auto"/>
          <w:bottom w:val="single" w:sz="4" w:space="1" w:color="auto"/>
          <w:right w:val="single" w:sz="4" w:space="4" w:color="auto"/>
        </w:pBdr>
        <w:rPr>
          <w:snapToGrid w:val="0"/>
          <w:color w:val="000000" w:themeColor="text1"/>
          <w:kern w:val="22"/>
          <w:szCs w:val="22"/>
        </w:rPr>
      </w:pPr>
      <w:r w:rsidRPr="009F54B9">
        <w:rPr>
          <w:noProof/>
          <w:snapToGrid w:val="0"/>
          <w:color w:val="000000" w:themeColor="text1"/>
          <w:kern w:val="22"/>
          <w:szCs w:val="22"/>
          <w:lang w:eastAsia="zh-CN"/>
        </w:rPr>
        <w:lastRenderedPageBreak/>
        <w:drawing>
          <wp:inline distT="0" distB="0" distL="0" distR="0" wp14:anchorId="7CDEA33E" wp14:editId="0429809B">
            <wp:extent cx="5731510" cy="3275330"/>
            <wp:effectExtent l="0" t="0" r="2540" b="127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1"/>
                    <a:stretch>
                      <a:fillRect/>
                    </a:stretch>
                  </pic:blipFill>
                  <pic:spPr>
                    <a:xfrm>
                      <a:off x="0" y="0"/>
                      <a:ext cx="5731510" cy="3275330"/>
                    </a:xfrm>
                    <a:prstGeom prst="rect">
                      <a:avLst/>
                    </a:prstGeom>
                  </pic:spPr>
                </pic:pic>
              </a:graphicData>
            </a:graphic>
          </wp:inline>
        </w:drawing>
      </w:r>
    </w:p>
    <w:p w14:paraId="37908C52" w14:textId="77777777" w:rsidR="008E44C6" w:rsidRPr="009F54B9" w:rsidRDefault="008E44C6" w:rsidP="00915C2C">
      <w:pPr>
        <w:pStyle w:val="Caption"/>
        <w:pBdr>
          <w:top w:val="single" w:sz="4" w:space="1" w:color="auto"/>
          <w:left w:val="single" w:sz="4" w:space="4" w:color="auto"/>
          <w:bottom w:val="single" w:sz="4" w:space="1" w:color="auto"/>
          <w:right w:val="single" w:sz="4" w:space="4" w:color="auto"/>
        </w:pBdr>
        <w:jc w:val="center"/>
        <w:rPr>
          <w:snapToGrid w:val="0"/>
          <w:kern w:val="22"/>
        </w:rPr>
      </w:pPr>
      <w:bookmarkStart w:id="45" w:name="_Toc517688917"/>
      <w:r w:rsidRPr="009F54B9">
        <w:rPr>
          <w:snapToGrid w:val="0"/>
          <w:kern w:val="22"/>
        </w:rPr>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19</w:t>
      </w:r>
      <w:r w:rsidRPr="009F54B9">
        <w:rPr>
          <w:noProof/>
          <w:snapToGrid w:val="0"/>
          <w:kern w:val="22"/>
        </w:rPr>
        <w:fldChar w:fldCharType="end"/>
      </w:r>
      <w:r w:rsidRPr="009F54B9">
        <w:rPr>
          <w:snapToGrid w:val="0"/>
          <w:kern w:val="22"/>
        </w:rPr>
        <w:t>: Mainstreaming natural capital into business decisions according the Natural Capital Coalition</w:t>
      </w:r>
      <w:r w:rsidRPr="009F54B9">
        <w:rPr>
          <w:rStyle w:val="FootnoteReference"/>
          <w:snapToGrid w:val="0"/>
          <w:kern w:val="22"/>
        </w:rPr>
        <w:footnoteReference w:id="87"/>
      </w:r>
      <w:bookmarkEnd w:id="45"/>
    </w:p>
    <w:p w14:paraId="3F63EF72" w14:textId="77777777" w:rsidR="008E44C6" w:rsidRPr="009F54B9" w:rsidRDefault="008E44C6" w:rsidP="00D54FB2">
      <w:pPr>
        <w:rPr>
          <w:snapToGrid w:val="0"/>
          <w:kern w:val="22"/>
          <w:highlight w:val="yellow"/>
        </w:rPr>
      </w:pPr>
    </w:p>
    <w:p w14:paraId="77E5B117" w14:textId="77777777" w:rsidR="008E44C6" w:rsidRPr="009F54B9" w:rsidRDefault="008E44C6" w:rsidP="00D54FB2">
      <w:pPr>
        <w:rPr>
          <w:snapToGrid w:val="0"/>
          <w:kern w:val="22"/>
        </w:rPr>
      </w:pPr>
      <w:r w:rsidRPr="009F54B9">
        <w:rPr>
          <w:snapToGrid w:val="0"/>
          <w:kern w:val="22"/>
        </w:rPr>
        <w:t>Though each manufacturing industry has its specificities, notably do its different dependencies (section 3.3) and impacts (section 3.4) on biodiversity and ecosystem services, this section aims:</w:t>
      </w:r>
    </w:p>
    <w:p w14:paraId="41C7C6E7" w14:textId="77777777" w:rsidR="008E44C6" w:rsidRPr="009F54B9" w:rsidRDefault="008E44C6" w:rsidP="008E44C6">
      <w:pPr>
        <w:pStyle w:val="ListParagraph"/>
        <w:numPr>
          <w:ilvl w:val="0"/>
          <w:numId w:val="28"/>
        </w:numPr>
        <w:autoSpaceDE w:val="0"/>
        <w:autoSpaceDN w:val="0"/>
        <w:adjustRightInd w:val="0"/>
        <w:spacing w:line="360" w:lineRule="auto"/>
        <w:rPr>
          <w:snapToGrid w:val="0"/>
          <w:kern w:val="22"/>
        </w:rPr>
      </w:pPr>
      <w:r w:rsidRPr="009F54B9">
        <w:rPr>
          <w:snapToGrid w:val="0"/>
          <w:kern w:val="22"/>
        </w:rPr>
        <w:t>To discuss the links between the CBD objectives, Aichi Targets and the manufacturing sector (section 4.1);</w:t>
      </w:r>
    </w:p>
    <w:p w14:paraId="28265606" w14:textId="77777777" w:rsidR="008E44C6" w:rsidRPr="009F54B9" w:rsidRDefault="008E44C6" w:rsidP="008E44C6">
      <w:pPr>
        <w:pStyle w:val="ListParagraph"/>
        <w:numPr>
          <w:ilvl w:val="0"/>
          <w:numId w:val="28"/>
        </w:numPr>
        <w:autoSpaceDE w:val="0"/>
        <w:autoSpaceDN w:val="0"/>
        <w:adjustRightInd w:val="0"/>
        <w:spacing w:line="360" w:lineRule="auto"/>
        <w:rPr>
          <w:snapToGrid w:val="0"/>
          <w:kern w:val="22"/>
        </w:rPr>
      </w:pPr>
      <w:r w:rsidRPr="009F54B9">
        <w:rPr>
          <w:snapToGrid w:val="0"/>
          <w:kern w:val="22"/>
        </w:rPr>
        <w:t>To present the key challenges facing improved decision-making regarding biodiversity in the private sector in general (section 4.2);</w:t>
      </w:r>
    </w:p>
    <w:p w14:paraId="61BEF04E" w14:textId="77777777" w:rsidR="008E44C6" w:rsidRPr="009F54B9" w:rsidRDefault="008E44C6" w:rsidP="008E44C6">
      <w:pPr>
        <w:pStyle w:val="ListParagraph"/>
        <w:numPr>
          <w:ilvl w:val="0"/>
          <w:numId w:val="28"/>
        </w:numPr>
        <w:autoSpaceDE w:val="0"/>
        <w:autoSpaceDN w:val="0"/>
        <w:adjustRightInd w:val="0"/>
        <w:spacing w:line="360" w:lineRule="auto"/>
        <w:rPr>
          <w:snapToGrid w:val="0"/>
          <w:kern w:val="22"/>
        </w:rPr>
      </w:pPr>
      <w:r w:rsidRPr="009F54B9">
        <w:rPr>
          <w:snapToGrid w:val="0"/>
          <w:kern w:val="22"/>
        </w:rPr>
        <w:t>To highlight best practices in key mainstreaming approaches and tools and discuss their potential for the manufacturing sector (section 4.3);</w:t>
      </w:r>
    </w:p>
    <w:p w14:paraId="7515CF27" w14:textId="77777777" w:rsidR="008E44C6" w:rsidRPr="009F54B9" w:rsidRDefault="008E44C6" w:rsidP="008E44C6">
      <w:pPr>
        <w:pStyle w:val="ListParagraph"/>
        <w:numPr>
          <w:ilvl w:val="0"/>
          <w:numId w:val="28"/>
        </w:numPr>
        <w:autoSpaceDE w:val="0"/>
        <w:autoSpaceDN w:val="0"/>
        <w:adjustRightInd w:val="0"/>
        <w:spacing w:line="360" w:lineRule="auto"/>
        <w:rPr>
          <w:snapToGrid w:val="0"/>
          <w:kern w:val="22"/>
        </w:rPr>
      </w:pPr>
      <w:r w:rsidRPr="009F54B9">
        <w:rPr>
          <w:snapToGrid w:val="0"/>
          <w:kern w:val="22"/>
        </w:rPr>
        <w:t xml:space="preserve">To identify some potential policy recommendations for future CBD negotiations (section 4.4). </w:t>
      </w:r>
    </w:p>
    <w:p w14:paraId="60B8FDCE" w14:textId="77777777" w:rsidR="008E44C6" w:rsidRPr="009F54B9" w:rsidRDefault="008E44C6" w:rsidP="00D54FB2">
      <w:pPr>
        <w:rPr>
          <w:snapToGrid w:val="0"/>
          <w:kern w:val="22"/>
        </w:rPr>
      </w:pPr>
    </w:p>
    <w:p w14:paraId="33EDC4BE" w14:textId="77777777" w:rsidR="008E44C6" w:rsidRPr="009F54B9" w:rsidRDefault="008E44C6" w:rsidP="008E44C6">
      <w:pPr>
        <w:pStyle w:val="Heading2"/>
        <w:keepNext w:val="0"/>
        <w:numPr>
          <w:ilvl w:val="1"/>
          <w:numId w:val="10"/>
        </w:numPr>
        <w:tabs>
          <w:tab w:val="clear" w:pos="720"/>
        </w:tabs>
        <w:autoSpaceDE w:val="0"/>
        <w:autoSpaceDN w:val="0"/>
        <w:adjustRightInd w:val="0"/>
        <w:spacing w:before="0"/>
        <w:jc w:val="both"/>
        <w:rPr>
          <w:smallCaps/>
          <w:snapToGrid w:val="0"/>
          <w:kern w:val="22"/>
          <w:szCs w:val="22"/>
        </w:rPr>
      </w:pPr>
      <w:bookmarkStart w:id="46" w:name="_Toc517690319"/>
      <w:r w:rsidRPr="009F54B9">
        <w:rPr>
          <w:smallCaps/>
          <w:snapToGrid w:val="0"/>
          <w:kern w:val="22"/>
          <w:szCs w:val="22"/>
        </w:rPr>
        <w:t>The CBD and the private sector: A brief historical review</w:t>
      </w:r>
      <w:bookmarkEnd w:id="46"/>
    </w:p>
    <w:p w14:paraId="43A17EFF" w14:textId="77777777" w:rsidR="008E44C6" w:rsidRPr="009F54B9" w:rsidRDefault="008E44C6" w:rsidP="00615F0E">
      <w:pPr>
        <w:rPr>
          <w:i/>
          <w:snapToGrid w:val="0"/>
          <w:kern w:val="22"/>
        </w:rPr>
      </w:pPr>
    </w:p>
    <w:p w14:paraId="2591CB8A" w14:textId="77777777" w:rsidR="008E44C6" w:rsidRPr="009F54B9" w:rsidRDefault="008E44C6" w:rsidP="001E5D79">
      <w:pPr>
        <w:pBdr>
          <w:bottom w:val="single" w:sz="4" w:space="1" w:color="auto"/>
        </w:pBdr>
        <w:rPr>
          <w:snapToGrid w:val="0"/>
          <w:kern w:val="22"/>
        </w:rPr>
      </w:pPr>
      <w:r w:rsidRPr="009F54B9">
        <w:rPr>
          <w:snapToGrid w:val="0"/>
          <w:kern w:val="22"/>
        </w:rPr>
        <w:t>Key messages:</w:t>
      </w:r>
    </w:p>
    <w:p w14:paraId="653A2ADF" w14:textId="77777777" w:rsidR="008E44C6" w:rsidRPr="009F54B9" w:rsidRDefault="008E44C6" w:rsidP="008E44C6">
      <w:pPr>
        <w:pStyle w:val="ListParagraph"/>
        <w:numPr>
          <w:ilvl w:val="0"/>
          <w:numId w:val="37"/>
        </w:numPr>
        <w:pBdr>
          <w:bottom w:val="single" w:sz="4" w:space="1" w:color="auto"/>
        </w:pBdr>
        <w:autoSpaceDE w:val="0"/>
        <w:autoSpaceDN w:val="0"/>
        <w:adjustRightInd w:val="0"/>
        <w:spacing w:line="360" w:lineRule="auto"/>
        <w:rPr>
          <w:snapToGrid w:val="0"/>
          <w:kern w:val="22"/>
        </w:rPr>
      </w:pPr>
      <w:r w:rsidRPr="009F54B9">
        <w:rPr>
          <w:snapToGrid w:val="0"/>
          <w:kern w:val="22"/>
          <w:szCs w:val="22"/>
        </w:rPr>
        <w:t>The CBD formalised a private sector engagement process</w:t>
      </w:r>
      <w:r w:rsidRPr="009F54B9">
        <w:rPr>
          <w:snapToGrid w:val="0"/>
          <w:kern w:val="22"/>
        </w:rPr>
        <w:t xml:space="preserve"> in 2010, eight years after the inception of the convention;</w:t>
      </w:r>
    </w:p>
    <w:p w14:paraId="038BA0A1" w14:textId="77777777" w:rsidR="008E44C6" w:rsidRPr="009F54B9" w:rsidRDefault="008E44C6" w:rsidP="008E44C6">
      <w:pPr>
        <w:pStyle w:val="ListParagraph"/>
        <w:numPr>
          <w:ilvl w:val="0"/>
          <w:numId w:val="37"/>
        </w:numPr>
        <w:pBdr>
          <w:bottom w:val="single" w:sz="4" w:space="1" w:color="auto"/>
        </w:pBdr>
        <w:autoSpaceDE w:val="0"/>
        <w:autoSpaceDN w:val="0"/>
        <w:adjustRightInd w:val="0"/>
        <w:spacing w:line="360" w:lineRule="auto"/>
        <w:rPr>
          <w:snapToGrid w:val="0"/>
          <w:kern w:val="22"/>
        </w:rPr>
      </w:pPr>
      <w:r w:rsidRPr="009F54B9">
        <w:rPr>
          <w:snapToGrid w:val="0"/>
          <w:kern w:val="22"/>
          <w:szCs w:val="22"/>
        </w:rPr>
        <w:t>A comprehensive decision on mainstreaming and the integration of biodiversity within and across sectors (decision XIII/3) was taken at CoP 13 in 2016;</w:t>
      </w:r>
    </w:p>
    <w:p w14:paraId="1E9DFE62" w14:textId="77777777" w:rsidR="008E44C6" w:rsidRPr="009F54B9" w:rsidRDefault="008E44C6" w:rsidP="008E44C6">
      <w:pPr>
        <w:pStyle w:val="ListParagraph"/>
        <w:numPr>
          <w:ilvl w:val="0"/>
          <w:numId w:val="37"/>
        </w:numPr>
        <w:pBdr>
          <w:bottom w:val="single" w:sz="4" w:space="1" w:color="auto"/>
        </w:pBdr>
        <w:autoSpaceDE w:val="0"/>
        <w:autoSpaceDN w:val="0"/>
        <w:adjustRightInd w:val="0"/>
        <w:spacing w:line="360" w:lineRule="auto"/>
        <w:rPr>
          <w:snapToGrid w:val="0"/>
          <w:kern w:val="22"/>
        </w:rPr>
      </w:pPr>
      <w:r w:rsidRPr="009F54B9">
        <w:rPr>
          <w:snapToGrid w:val="0"/>
          <w:kern w:val="22"/>
          <w:szCs w:val="22"/>
        </w:rPr>
        <w:t>The SCBD is now undertaking many business-focused activities.</w:t>
      </w:r>
    </w:p>
    <w:p w14:paraId="2E34AA6D" w14:textId="77777777" w:rsidR="008E44C6" w:rsidRPr="009F54B9" w:rsidRDefault="008E44C6" w:rsidP="00615F0E">
      <w:pPr>
        <w:rPr>
          <w:snapToGrid w:val="0"/>
          <w:kern w:val="22"/>
        </w:rPr>
      </w:pPr>
    </w:p>
    <w:p w14:paraId="357AF39C" w14:textId="77777777" w:rsidR="008E44C6" w:rsidRPr="009F54B9" w:rsidRDefault="008E44C6" w:rsidP="00615F0E">
      <w:pPr>
        <w:rPr>
          <w:snapToGrid w:val="0"/>
          <w:kern w:val="22"/>
          <w:szCs w:val="22"/>
        </w:rPr>
      </w:pPr>
      <w:r w:rsidRPr="009F54B9">
        <w:rPr>
          <w:snapToGrid w:val="0"/>
          <w:kern w:val="22"/>
          <w:szCs w:val="22"/>
        </w:rPr>
        <w:t>Though there are many links between the initial CBD objectives set out in 1992 and the private</w:t>
      </w:r>
    </w:p>
    <w:p w14:paraId="48E0839C" w14:textId="77777777" w:rsidR="008E44C6" w:rsidRPr="009F54B9" w:rsidRDefault="008E44C6" w:rsidP="00615F0E">
      <w:pPr>
        <w:rPr>
          <w:snapToGrid w:val="0"/>
          <w:kern w:val="22"/>
          <w:szCs w:val="22"/>
        </w:rPr>
      </w:pPr>
      <w:r w:rsidRPr="009F54B9">
        <w:rPr>
          <w:snapToGrid w:val="0"/>
          <w:kern w:val="22"/>
          <w:szCs w:val="22"/>
        </w:rPr>
        <w:t>sector, it was only from 2010 that the CBD formalised a private sector engagement process. The Global Partnership for Business and Biodiversity (GPBB) stems from the business engagement decisions taken at COP 10 and COP 11. The COP 10 decision requested the CBD Secretariat to “encourage establishment of the national and regional business and biodiversity initiatives by facilitating a forum of dialogue among Parties and other Governments, business, and other stakeholders, with a particular focus on the global level” (decision X/21/3a), and invited Parties to “support the establishment of national and regional business and biodiversity initiatives and to strive towards a global partnership on business and biodiversity by inviting ongoing initiatives and other interested stakeholders to be part of the business and biodiversity initiative…” (decision X/21/1d).</w:t>
      </w:r>
    </w:p>
    <w:p w14:paraId="6825CCA3" w14:textId="77777777" w:rsidR="008E44C6" w:rsidRPr="009F54B9" w:rsidRDefault="008E44C6" w:rsidP="00615F0E">
      <w:pPr>
        <w:rPr>
          <w:snapToGrid w:val="0"/>
          <w:kern w:val="22"/>
          <w:szCs w:val="22"/>
        </w:rPr>
      </w:pPr>
    </w:p>
    <w:p w14:paraId="0D2888AC" w14:textId="77777777" w:rsidR="008E44C6" w:rsidRPr="009F54B9" w:rsidRDefault="008E44C6" w:rsidP="00615F0E">
      <w:pPr>
        <w:rPr>
          <w:snapToGrid w:val="0"/>
          <w:kern w:val="22"/>
          <w:szCs w:val="22"/>
        </w:rPr>
      </w:pPr>
      <w:r w:rsidRPr="009F54B9">
        <w:rPr>
          <w:snapToGrid w:val="0"/>
          <w:kern w:val="22"/>
          <w:szCs w:val="22"/>
        </w:rPr>
        <w:t>This was further reinforced at COP 11 with (decision XI/7/1) that “calls upon businesses to continue liaising with national governments, civil society organizations, academia and other stakeholders to formulate relevant actions for biodiversity conservation…” and (decision XI/7/5a) that requests that the Executive Secretary to “continue to facilitate dialogue among business, government and other stakeholders through ongoing support for national, regional and international business and biodiversity initiatives, using the Global Partnership as a framework”.</w:t>
      </w:r>
    </w:p>
    <w:p w14:paraId="670FE0D6" w14:textId="77777777" w:rsidR="008E44C6" w:rsidRPr="009F54B9" w:rsidRDefault="008E44C6" w:rsidP="00615F0E">
      <w:pPr>
        <w:rPr>
          <w:snapToGrid w:val="0"/>
          <w:kern w:val="22"/>
          <w:szCs w:val="22"/>
        </w:rPr>
      </w:pPr>
    </w:p>
    <w:p w14:paraId="67314DFA" w14:textId="77777777" w:rsidR="008E44C6" w:rsidRPr="009F54B9" w:rsidRDefault="008E44C6" w:rsidP="006242BC">
      <w:pPr>
        <w:rPr>
          <w:snapToGrid w:val="0"/>
          <w:kern w:val="22"/>
          <w:szCs w:val="22"/>
        </w:rPr>
      </w:pPr>
      <w:r w:rsidRPr="009F54B9">
        <w:rPr>
          <w:snapToGrid w:val="0"/>
          <w:kern w:val="22"/>
          <w:szCs w:val="22"/>
        </w:rPr>
        <w:t xml:space="preserve">More recently, at its thirteenth meeting in 2016, the Conference of the Parties adopted a comprehensive decision on mainstreaming and the integration of biodiversity within and across sectors (decision XIII/3). In addition, at the high-level segment of the United Nations Biodiversity Conference (Cancun, Mexico, 2016), Parties adopted the Cancun Declaration. The decision provided guidance to Parties on a number of matters, and also requested the Executive </w:t>
      </w:r>
      <w:r w:rsidRPr="009F54B9">
        <w:rPr>
          <w:snapToGrid w:val="0"/>
          <w:color w:val="000000" w:themeColor="text1"/>
          <w:kern w:val="22"/>
          <w:szCs w:val="22"/>
        </w:rPr>
        <w:t>Secretary</w:t>
      </w:r>
      <w:r w:rsidRPr="009F54B9">
        <w:rPr>
          <w:snapToGrid w:val="0"/>
          <w:kern w:val="22"/>
          <w:szCs w:val="22"/>
        </w:rPr>
        <w:t xml:space="preserve"> to continue collaboration with a number of partners. At its thirteenth meeting, the Conference of the Parties focussed on the sectors of agriculture, forestry, fisheries and tourism. It decided to focus, at its fourteenth meeting, on the sectors of energy and mining, infrastructure, manufacturing and processing, and health.</w:t>
      </w:r>
    </w:p>
    <w:p w14:paraId="698960A9" w14:textId="77777777" w:rsidR="008E44C6" w:rsidRPr="009F54B9" w:rsidRDefault="008E44C6" w:rsidP="00615F0E">
      <w:pPr>
        <w:rPr>
          <w:snapToGrid w:val="0"/>
          <w:kern w:val="22"/>
          <w:szCs w:val="22"/>
        </w:rPr>
      </w:pPr>
    </w:p>
    <w:p w14:paraId="564E225D" w14:textId="77777777" w:rsidR="008E44C6" w:rsidRPr="009F54B9" w:rsidRDefault="008E44C6" w:rsidP="00615F0E">
      <w:pPr>
        <w:rPr>
          <w:snapToGrid w:val="0"/>
          <w:kern w:val="22"/>
          <w:szCs w:val="22"/>
        </w:rPr>
      </w:pPr>
      <w:r w:rsidRPr="009F54B9">
        <w:rPr>
          <w:snapToGrid w:val="0"/>
          <w:kern w:val="22"/>
          <w:szCs w:val="22"/>
        </w:rPr>
        <w:t xml:space="preserve">In addition, at the COP 13 Business and Biodiversity Forum, business leaders were invited to sign the Business </w:t>
      </w:r>
      <w:r w:rsidRPr="009F54B9">
        <w:rPr>
          <w:snapToGrid w:val="0"/>
          <w:color w:val="000000" w:themeColor="text1"/>
          <w:kern w:val="22"/>
          <w:szCs w:val="22"/>
        </w:rPr>
        <w:t>and</w:t>
      </w:r>
      <w:r w:rsidRPr="009F54B9">
        <w:rPr>
          <w:snapToGrid w:val="0"/>
          <w:kern w:val="22"/>
          <w:szCs w:val="22"/>
        </w:rPr>
        <w:t xml:space="preserve"> Biodiversity Pledge</w:t>
      </w:r>
      <w:r w:rsidRPr="009F54B9">
        <w:rPr>
          <w:rStyle w:val="FootnoteReference"/>
          <w:snapToGrid w:val="0"/>
          <w:kern w:val="22"/>
          <w:szCs w:val="22"/>
        </w:rPr>
        <w:footnoteReference w:id="88"/>
      </w:r>
      <w:r w:rsidRPr="009F54B9">
        <w:rPr>
          <w:snapToGrid w:val="0"/>
          <w:kern w:val="22"/>
          <w:szCs w:val="22"/>
        </w:rPr>
        <w:t xml:space="preserve"> to convey their commitment in biodiversity conservation and sustainable use, and in taking actions to achieve the Strategic Plan for Biodiversity 2011-2020. Among the various business-focused activities now being carried out by the Secretariat of the Convention on Biological Diversity (SCBD) are efforts:</w:t>
      </w:r>
    </w:p>
    <w:p w14:paraId="0E892401" w14:textId="77777777" w:rsidR="008E44C6" w:rsidRPr="009F54B9" w:rsidRDefault="008E44C6" w:rsidP="008E44C6">
      <w:pPr>
        <w:pStyle w:val="ListParagraph"/>
        <w:numPr>
          <w:ilvl w:val="0"/>
          <w:numId w:val="36"/>
        </w:numPr>
        <w:spacing w:line="360" w:lineRule="auto"/>
        <w:rPr>
          <w:snapToGrid w:val="0"/>
          <w:kern w:val="22"/>
          <w:szCs w:val="22"/>
        </w:rPr>
      </w:pPr>
      <w:r w:rsidRPr="009F54B9">
        <w:rPr>
          <w:snapToGrid w:val="0"/>
          <w:kern w:val="22"/>
          <w:szCs w:val="22"/>
        </w:rPr>
        <w:t>To help in the formation of regulation through COP decisions;</w:t>
      </w:r>
    </w:p>
    <w:p w14:paraId="3E36E227" w14:textId="77777777" w:rsidR="008E44C6" w:rsidRPr="009F54B9" w:rsidRDefault="008E44C6" w:rsidP="008E44C6">
      <w:pPr>
        <w:pStyle w:val="ListParagraph"/>
        <w:numPr>
          <w:ilvl w:val="0"/>
          <w:numId w:val="36"/>
        </w:numPr>
        <w:spacing w:line="360" w:lineRule="auto"/>
        <w:rPr>
          <w:snapToGrid w:val="0"/>
          <w:kern w:val="22"/>
          <w:szCs w:val="22"/>
        </w:rPr>
      </w:pPr>
      <w:r w:rsidRPr="009F54B9">
        <w:rPr>
          <w:snapToGrid w:val="0"/>
          <w:kern w:val="22"/>
          <w:szCs w:val="22"/>
        </w:rPr>
        <w:t>To evaluate the effectiveness and use of various biodiversity-related tools and mechanisms;</w:t>
      </w:r>
    </w:p>
    <w:p w14:paraId="5A8EB6F3" w14:textId="77777777" w:rsidR="008E44C6" w:rsidRPr="009F54B9" w:rsidRDefault="008E44C6" w:rsidP="008E44C6">
      <w:pPr>
        <w:pStyle w:val="ListParagraph"/>
        <w:numPr>
          <w:ilvl w:val="0"/>
          <w:numId w:val="36"/>
        </w:numPr>
        <w:spacing w:line="360" w:lineRule="auto"/>
        <w:rPr>
          <w:snapToGrid w:val="0"/>
          <w:kern w:val="22"/>
          <w:szCs w:val="22"/>
        </w:rPr>
      </w:pPr>
      <w:r w:rsidRPr="009F54B9">
        <w:rPr>
          <w:snapToGrid w:val="0"/>
          <w:kern w:val="22"/>
          <w:szCs w:val="22"/>
        </w:rPr>
        <w:t>To facilitate the harmonization of biodiversity-related standards and guidelines where possible;</w:t>
      </w:r>
    </w:p>
    <w:p w14:paraId="300D7EBE" w14:textId="77777777" w:rsidR="008E44C6" w:rsidRPr="009F54B9" w:rsidRDefault="008E44C6" w:rsidP="008E44C6">
      <w:pPr>
        <w:pStyle w:val="ListParagraph"/>
        <w:numPr>
          <w:ilvl w:val="0"/>
          <w:numId w:val="36"/>
        </w:numPr>
        <w:spacing w:line="360" w:lineRule="auto"/>
        <w:rPr>
          <w:snapToGrid w:val="0"/>
          <w:kern w:val="22"/>
          <w:szCs w:val="22"/>
        </w:rPr>
      </w:pPr>
      <w:r w:rsidRPr="009F54B9">
        <w:rPr>
          <w:snapToGrid w:val="0"/>
          <w:kern w:val="22"/>
          <w:szCs w:val="22"/>
        </w:rPr>
        <w:t>To assess companies to understand and mainstream biodiversity; and</w:t>
      </w:r>
    </w:p>
    <w:p w14:paraId="10C3F92C" w14:textId="77777777" w:rsidR="008E44C6" w:rsidRPr="009F54B9" w:rsidRDefault="008E44C6" w:rsidP="008E44C6">
      <w:pPr>
        <w:pStyle w:val="ListParagraph"/>
        <w:numPr>
          <w:ilvl w:val="0"/>
          <w:numId w:val="36"/>
        </w:numPr>
        <w:spacing w:line="360" w:lineRule="auto"/>
        <w:rPr>
          <w:snapToGrid w:val="0"/>
          <w:kern w:val="22"/>
          <w:szCs w:val="22"/>
        </w:rPr>
      </w:pPr>
      <w:r w:rsidRPr="009F54B9">
        <w:rPr>
          <w:snapToGrid w:val="0"/>
          <w:kern w:val="22"/>
          <w:szCs w:val="22"/>
        </w:rPr>
        <w:t>To develop the Global Partnership for Business and Biodiversity (GPBB), which “is a network of networks, linking together the various National and Regional Initiatives such that they can share information and best practices, and cooperate on common projects, so as to encourage mainstreaming of biodiversity concerns by companies”</w:t>
      </w:r>
      <w:r w:rsidRPr="009F54B9">
        <w:rPr>
          <w:rStyle w:val="FootnoteReference"/>
          <w:snapToGrid w:val="0"/>
          <w:kern w:val="22"/>
          <w:szCs w:val="22"/>
        </w:rPr>
        <w:footnoteReference w:id="89"/>
      </w:r>
      <w:r w:rsidRPr="009F54B9">
        <w:rPr>
          <w:snapToGrid w:val="0"/>
          <w:kern w:val="22"/>
          <w:szCs w:val="22"/>
        </w:rPr>
        <w:t>.</w:t>
      </w:r>
    </w:p>
    <w:p w14:paraId="493ABEA9" w14:textId="77777777" w:rsidR="008E44C6" w:rsidRPr="009F54B9" w:rsidRDefault="008E44C6" w:rsidP="00615F0E">
      <w:pPr>
        <w:rPr>
          <w:snapToGrid w:val="0"/>
          <w:kern w:val="22"/>
          <w:szCs w:val="22"/>
        </w:rPr>
      </w:pPr>
    </w:p>
    <w:p w14:paraId="6DB143A4" w14:textId="77777777" w:rsidR="008E44C6" w:rsidRPr="009F54B9" w:rsidRDefault="008E44C6" w:rsidP="005A4019">
      <w:pPr>
        <w:rPr>
          <w:snapToGrid w:val="0"/>
          <w:kern w:val="22"/>
        </w:rPr>
      </w:pPr>
      <w:r w:rsidRPr="009F54B9">
        <w:rPr>
          <w:snapToGrid w:val="0"/>
          <w:kern w:val="22"/>
        </w:rPr>
        <w:br w:type="page"/>
      </w:r>
    </w:p>
    <w:p w14:paraId="447CDA25" w14:textId="77777777" w:rsidR="008E44C6" w:rsidRPr="009F54B9" w:rsidRDefault="008E44C6" w:rsidP="008E44C6">
      <w:pPr>
        <w:pStyle w:val="Heading2"/>
        <w:keepNext w:val="0"/>
        <w:numPr>
          <w:ilvl w:val="1"/>
          <w:numId w:val="10"/>
        </w:numPr>
        <w:tabs>
          <w:tab w:val="clear" w:pos="720"/>
        </w:tabs>
        <w:autoSpaceDE w:val="0"/>
        <w:autoSpaceDN w:val="0"/>
        <w:adjustRightInd w:val="0"/>
        <w:spacing w:before="0"/>
        <w:jc w:val="both"/>
        <w:rPr>
          <w:smallCaps/>
          <w:snapToGrid w:val="0"/>
          <w:kern w:val="22"/>
          <w:szCs w:val="22"/>
        </w:rPr>
      </w:pPr>
      <w:bookmarkStart w:id="47" w:name="_Toc517690320"/>
      <w:r w:rsidRPr="009F54B9">
        <w:rPr>
          <w:smallCaps/>
          <w:snapToGrid w:val="0"/>
          <w:kern w:val="22"/>
          <w:szCs w:val="22"/>
        </w:rPr>
        <w:lastRenderedPageBreak/>
        <w:t>What contributions to the CBD objectives by the manufacturing sector?</w:t>
      </w:r>
      <w:bookmarkEnd w:id="47"/>
    </w:p>
    <w:p w14:paraId="04C9A91E" w14:textId="77777777" w:rsidR="008E44C6" w:rsidRPr="009F54B9" w:rsidRDefault="008E44C6" w:rsidP="005A4019">
      <w:pPr>
        <w:rPr>
          <w:snapToGrid w:val="0"/>
          <w:kern w:val="22"/>
        </w:rPr>
      </w:pPr>
    </w:p>
    <w:p w14:paraId="4769980C" w14:textId="77777777" w:rsidR="008E44C6" w:rsidRPr="009F54B9" w:rsidRDefault="008E44C6" w:rsidP="001E5D79">
      <w:pPr>
        <w:pBdr>
          <w:bottom w:val="single" w:sz="4" w:space="1" w:color="auto"/>
        </w:pBdr>
        <w:rPr>
          <w:snapToGrid w:val="0"/>
          <w:kern w:val="22"/>
        </w:rPr>
      </w:pPr>
      <w:r w:rsidRPr="009F54B9">
        <w:rPr>
          <w:snapToGrid w:val="0"/>
          <w:kern w:val="22"/>
        </w:rPr>
        <w:t>Key messages:</w:t>
      </w:r>
    </w:p>
    <w:p w14:paraId="38FAEE62" w14:textId="77777777" w:rsidR="008E44C6" w:rsidRPr="009F54B9" w:rsidRDefault="008E44C6" w:rsidP="008E44C6">
      <w:pPr>
        <w:pStyle w:val="ListParagraph"/>
        <w:numPr>
          <w:ilvl w:val="0"/>
          <w:numId w:val="37"/>
        </w:numPr>
        <w:pBdr>
          <w:bottom w:val="single" w:sz="4" w:space="1" w:color="auto"/>
        </w:pBdr>
        <w:autoSpaceDE w:val="0"/>
        <w:autoSpaceDN w:val="0"/>
        <w:adjustRightInd w:val="0"/>
        <w:spacing w:line="360" w:lineRule="auto"/>
        <w:rPr>
          <w:snapToGrid w:val="0"/>
          <w:kern w:val="22"/>
          <w:szCs w:val="22"/>
        </w:rPr>
      </w:pPr>
      <w:r w:rsidRPr="009F54B9">
        <w:rPr>
          <w:snapToGrid w:val="0"/>
          <w:kern w:val="22"/>
          <w:szCs w:val="22"/>
        </w:rPr>
        <w:t>All CBD strategic goals and most of the Aichi targets within each strategic goal are relevant to the private sector in general and to the manufacturing industries in particular;</w:t>
      </w:r>
    </w:p>
    <w:p w14:paraId="0D980045" w14:textId="77777777" w:rsidR="008E44C6" w:rsidRPr="009F54B9" w:rsidRDefault="008E44C6" w:rsidP="008E44C6">
      <w:pPr>
        <w:pStyle w:val="ListParagraph"/>
        <w:numPr>
          <w:ilvl w:val="0"/>
          <w:numId w:val="37"/>
        </w:numPr>
        <w:pBdr>
          <w:bottom w:val="single" w:sz="4" w:space="1" w:color="auto"/>
        </w:pBdr>
        <w:autoSpaceDE w:val="0"/>
        <w:autoSpaceDN w:val="0"/>
        <w:adjustRightInd w:val="0"/>
        <w:spacing w:line="360" w:lineRule="auto"/>
        <w:rPr>
          <w:snapToGrid w:val="0"/>
          <w:kern w:val="22"/>
          <w:szCs w:val="22"/>
        </w:rPr>
      </w:pPr>
      <w:r w:rsidRPr="009F54B9">
        <w:rPr>
          <w:snapToGrid w:val="0"/>
          <w:kern w:val="22"/>
          <w:szCs w:val="22"/>
        </w:rPr>
        <w:t>However, the framing of these targets does not place the onus of action on the private sector, despite the fact that it is the primary driver of biodiversity loss worldwide;</w:t>
      </w:r>
    </w:p>
    <w:p w14:paraId="1B4F024D" w14:textId="77777777" w:rsidR="008E44C6" w:rsidRPr="009F54B9" w:rsidRDefault="008E44C6" w:rsidP="008E44C6">
      <w:pPr>
        <w:pStyle w:val="ListParagraph"/>
        <w:numPr>
          <w:ilvl w:val="0"/>
          <w:numId w:val="37"/>
        </w:numPr>
        <w:pBdr>
          <w:bottom w:val="single" w:sz="4" w:space="1" w:color="auto"/>
        </w:pBdr>
        <w:autoSpaceDE w:val="0"/>
        <w:autoSpaceDN w:val="0"/>
        <w:adjustRightInd w:val="0"/>
        <w:spacing w:line="360" w:lineRule="auto"/>
        <w:rPr>
          <w:snapToGrid w:val="0"/>
          <w:kern w:val="22"/>
          <w:szCs w:val="22"/>
        </w:rPr>
      </w:pPr>
      <w:r w:rsidRPr="009F54B9">
        <w:rPr>
          <w:snapToGrid w:val="0"/>
          <w:kern w:val="22"/>
          <w:szCs w:val="22"/>
        </w:rPr>
        <w:t>Reframing / specifying how the private sector, including each manufacturing industry, can contribute, in practice, to each Aichi Target should be a priority;</w:t>
      </w:r>
    </w:p>
    <w:p w14:paraId="41181665" w14:textId="77777777" w:rsidR="008E44C6" w:rsidRPr="009F54B9" w:rsidRDefault="008E44C6" w:rsidP="008E44C6">
      <w:pPr>
        <w:pStyle w:val="ListParagraph"/>
        <w:numPr>
          <w:ilvl w:val="0"/>
          <w:numId w:val="37"/>
        </w:numPr>
        <w:pBdr>
          <w:bottom w:val="single" w:sz="4" w:space="1" w:color="auto"/>
        </w:pBdr>
        <w:autoSpaceDE w:val="0"/>
        <w:autoSpaceDN w:val="0"/>
        <w:adjustRightInd w:val="0"/>
        <w:spacing w:line="360" w:lineRule="auto"/>
        <w:rPr>
          <w:snapToGrid w:val="0"/>
          <w:kern w:val="22"/>
          <w:szCs w:val="22"/>
        </w:rPr>
      </w:pPr>
      <w:r w:rsidRPr="009F54B9">
        <w:rPr>
          <w:snapToGrid w:val="0"/>
          <w:kern w:val="22"/>
          <w:szCs w:val="22"/>
        </w:rPr>
        <w:t>The development of industry specific targets and key performance indicators for inclusion in future national biodiversity strategies and action plans as well as the associated CBD national reporting initiatives should drive more effective CBD and member state engagement with the key actors in the manufacturing sector.</w:t>
      </w:r>
    </w:p>
    <w:p w14:paraId="541FF309" w14:textId="77777777" w:rsidR="008E44C6" w:rsidRPr="009F54B9" w:rsidRDefault="008E44C6" w:rsidP="005A4019">
      <w:pPr>
        <w:rPr>
          <w:snapToGrid w:val="0"/>
          <w:kern w:val="22"/>
          <w:szCs w:val="22"/>
        </w:rPr>
      </w:pPr>
    </w:p>
    <w:p w14:paraId="68BB9202" w14:textId="77777777" w:rsidR="008E44C6" w:rsidRPr="009F54B9" w:rsidRDefault="008E44C6" w:rsidP="005A4019">
      <w:pPr>
        <w:rPr>
          <w:snapToGrid w:val="0"/>
          <w:kern w:val="22"/>
        </w:rPr>
      </w:pPr>
      <w:r w:rsidRPr="009F54B9">
        <w:rPr>
          <w:snapToGrid w:val="0"/>
          <w:kern w:val="22"/>
        </w:rPr>
        <w:t>The CBD Aichi Targets are structured on five strategic goals</w:t>
      </w:r>
      <w:r w:rsidRPr="009F54B9">
        <w:rPr>
          <w:snapToGrid w:val="0"/>
          <w:kern w:val="22"/>
          <w:vertAlign w:val="superscript"/>
        </w:rPr>
        <w:footnoteReference w:id="90"/>
      </w:r>
      <w:r w:rsidRPr="009F54B9">
        <w:rPr>
          <w:snapToGrid w:val="0"/>
          <w:kern w:val="22"/>
        </w:rPr>
        <w:t>:</w:t>
      </w:r>
    </w:p>
    <w:p w14:paraId="7EDD4C96" w14:textId="77777777" w:rsidR="008E44C6" w:rsidRPr="009F54B9" w:rsidRDefault="00BE5BDF" w:rsidP="008E44C6">
      <w:pPr>
        <w:pStyle w:val="ListParagraph"/>
        <w:numPr>
          <w:ilvl w:val="0"/>
          <w:numId w:val="22"/>
        </w:numPr>
        <w:autoSpaceDE w:val="0"/>
        <w:autoSpaceDN w:val="0"/>
        <w:adjustRightInd w:val="0"/>
        <w:spacing w:line="360" w:lineRule="auto"/>
        <w:rPr>
          <w:snapToGrid w:val="0"/>
          <w:kern w:val="22"/>
        </w:rPr>
      </w:pPr>
      <w:hyperlink r:id="rId72" w:anchor="GoalA" w:history="1">
        <w:r w:rsidR="008E44C6" w:rsidRPr="009F54B9">
          <w:rPr>
            <w:snapToGrid w:val="0"/>
            <w:kern w:val="22"/>
          </w:rPr>
          <w:t>Strategic Goal A</w:t>
        </w:r>
      </w:hyperlink>
      <w:r w:rsidR="008E44C6" w:rsidRPr="009F54B9">
        <w:rPr>
          <w:snapToGrid w:val="0"/>
          <w:kern w:val="22"/>
        </w:rPr>
        <w:t>: Address the underlying causes of biodiversity loss by mainstreaming biodiversity across government and society;</w:t>
      </w:r>
    </w:p>
    <w:p w14:paraId="0AD00BFC" w14:textId="77777777" w:rsidR="008E44C6" w:rsidRPr="009F54B9" w:rsidRDefault="00BE5BDF" w:rsidP="008E44C6">
      <w:pPr>
        <w:pStyle w:val="ListParagraph"/>
        <w:numPr>
          <w:ilvl w:val="0"/>
          <w:numId w:val="22"/>
        </w:numPr>
        <w:autoSpaceDE w:val="0"/>
        <w:autoSpaceDN w:val="0"/>
        <w:adjustRightInd w:val="0"/>
        <w:spacing w:line="360" w:lineRule="auto"/>
        <w:rPr>
          <w:snapToGrid w:val="0"/>
          <w:kern w:val="22"/>
        </w:rPr>
      </w:pPr>
      <w:hyperlink r:id="rId73" w:anchor="GoalB" w:history="1">
        <w:r w:rsidR="008E44C6" w:rsidRPr="009F54B9">
          <w:rPr>
            <w:snapToGrid w:val="0"/>
            <w:kern w:val="22"/>
          </w:rPr>
          <w:t>Strategic Goal B</w:t>
        </w:r>
      </w:hyperlink>
      <w:r w:rsidR="008E44C6" w:rsidRPr="009F54B9">
        <w:rPr>
          <w:snapToGrid w:val="0"/>
          <w:kern w:val="22"/>
        </w:rPr>
        <w:t xml:space="preserve">: Reduce the direct pressures on biodiversity and promote sustainable use; </w:t>
      </w:r>
    </w:p>
    <w:p w14:paraId="6A686ED4" w14:textId="77777777" w:rsidR="008E44C6" w:rsidRPr="009F54B9" w:rsidRDefault="00BE5BDF" w:rsidP="008E44C6">
      <w:pPr>
        <w:pStyle w:val="ListParagraph"/>
        <w:numPr>
          <w:ilvl w:val="0"/>
          <w:numId w:val="22"/>
        </w:numPr>
        <w:autoSpaceDE w:val="0"/>
        <w:autoSpaceDN w:val="0"/>
        <w:adjustRightInd w:val="0"/>
        <w:spacing w:line="360" w:lineRule="auto"/>
        <w:rPr>
          <w:snapToGrid w:val="0"/>
          <w:kern w:val="22"/>
        </w:rPr>
      </w:pPr>
      <w:hyperlink r:id="rId74" w:anchor="GoalC" w:history="1">
        <w:r w:rsidR="008E44C6" w:rsidRPr="009F54B9">
          <w:rPr>
            <w:snapToGrid w:val="0"/>
            <w:kern w:val="22"/>
          </w:rPr>
          <w:t>Strategic Goal C</w:t>
        </w:r>
      </w:hyperlink>
      <w:r w:rsidR="008E44C6" w:rsidRPr="009F54B9">
        <w:rPr>
          <w:snapToGrid w:val="0"/>
          <w:kern w:val="22"/>
        </w:rPr>
        <w:t>: To improve the status of biodiversity by safeguarding ecosystems, species and genetic diversity;</w:t>
      </w:r>
    </w:p>
    <w:p w14:paraId="4370A244" w14:textId="77777777" w:rsidR="008E44C6" w:rsidRPr="009F54B9" w:rsidRDefault="00BE5BDF" w:rsidP="008E44C6">
      <w:pPr>
        <w:pStyle w:val="ListParagraph"/>
        <w:numPr>
          <w:ilvl w:val="0"/>
          <w:numId w:val="22"/>
        </w:numPr>
        <w:autoSpaceDE w:val="0"/>
        <w:autoSpaceDN w:val="0"/>
        <w:adjustRightInd w:val="0"/>
        <w:spacing w:line="360" w:lineRule="auto"/>
        <w:rPr>
          <w:snapToGrid w:val="0"/>
          <w:kern w:val="22"/>
        </w:rPr>
      </w:pPr>
      <w:hyperlink r:id="rId75" w:anchor="GoalD" w:history="1">
        <w:r w:rsidR="008E44C6" w:rsidRPr="009F54B9">
          <w:rPr>
            <w:snapToGrid w:val="0"/>
            <w:kern w:val="22"/>
          </w:rPr>
          <w:t>Strategic Goal D</w:t>
        </w:r>
      </w:hyperlink>
      <w:r w:rsidR="008E44C6" w:rsidRPr="009F54B9">
        <w:rPr>
          <w:snapToGrid w:val="0"/>
          <w:kern w:val="22"/>
        </w:rPr>
        <w:t xml:space="preserve">: Enhance the benefits to all from biodiversity and ecosystem services; </w:t>
      </w:r>
    </w:p>
    <w:p w14:paraId="530DF015" w14:textId="77777777" w:rsidR="008E44C6" w:rsidRPr="009F54B9" w:rsidRDefault="00BE5BDF" w:rsidP="008E44C6">
      <w:pPr>
        <w:pStyle w:val="ListParagraph"/>
        <w:numPr>
          <w:ilvl w:val="0"/>
          <w:numId w:val="22"/>
        </w:numPr>
        <w:autoSpaceDE w:val="0"/>
        <w:autoSpaceDN w:val="0"/>
        <w:adjustRightInd w:val="0"/>
        <w:spacing w:line="360" w:lineRule="auto"/>
        <w:rPr>
          <w:snapToGrid w:val="0"/>
          <w:kern w:val="22"/>
        </w:rPr>
      </w:pPr>
      <w:hyperlink r:id="rId76" w:anchor="GoalE" w:history="1">
        <w:r w:rsidR="008E44C6" w:rsidRPr="009F54B9">
          <w:rPr>
            <w:snapToGrid w:val="0"/>
            <w:kern w:val="22"/>
          </w:rPr>
          <w:t>Strategic Goal E</w:t>
        </w:r>
      </w:hyperlink>
      <w:r w:rsidR="008E44C6" w:rsidRPr="009F54B9">
        <w:rPr>
          <w:snapToGrid w:val="0"/>
          <w:kern w:val="22"/>
        </w:rPr>
        <w:t>: Enhance implementation through participatory planning, knowledge management and capacity building.</w:t>
      </w:r>
    </w:p>
    <w:p w14:paraId="58C02640" w14:textId="77777777" w:rsidR="008E44C6" w:rsidRPr="009F54B9" w:rsidRDefault="008E44C6" w:rsidP="00113D91">
      <w:pPr>
        <w:rPr>
          <w:snapToGrid w:val="0"/>
          <w:color w:val="000000" w:themeColor="text1"/>
          <w:kern w:val="22"/>
          <w:szCs w:val="22"/>
        </w:rPr>
      </w:pPr>
    </w:p>
    <w:p w14:paraId="5E88502C" w14:textId="77777777" w:rsidR="008E44C6" w:rsidRPr="009F54B9" w:rsidRDefault="008E44C6" w:rsidP="002F57F7">
      <w:pPr>
        <w:rPr>
          <w:snapToGrid w:val="0"/>
          <w:color w:val="000000" w:themeColor="text1"/>
          <w:kern w:val="22"/>
          <w:szCs w:val="22"/>
        </w:rPr>
      </w:pPr>
      <w:r w:rsidRPr="009F54B9">
        <w:rPr>
          <w:snapToGrid w:val="0"/>
          <w:color w:val="000000" w:themeColor="text1"/>
          <w:kern w:val="22"/>
          <w:szCs w:val="22"/>
        </w:rPr>
        <w:t>All strategic goals and most of the targets within each strategic goal are relevant to the private sector in general and to the manufacturing industries in particular. Target 8 states that “</w:t>
      </w:r>
      <w:r w:rsidRPr="009F54B9">
        <w:rPr>
          <w:iCs/>
          <w:snapToGrid w:val="0"/>
          <w:color w:val="000000" w:themeColor="text1"/>
          <w:kern w:val="22"/>
          <w:szCs w:val="22"/>
        </w:rPr>
        <w:t>by 2020, pollution, including from excess nutrients, has been brought to levels that are not detrimental to ecosystem function and biodiversity.</w:t>
      </w:r>
      <w:r w:rsidRPr="009F54B9">
        <w:rPr>
          <w:snapToGrid w:val="0"/>
          <w:color w:val="000000" w:themeColor="text1"/>
          <w:kern w:val="22"/>
          <w:szCs w:val="22"/>
        </w:rPr>
        <w:t>” This concerns the direct operations of all manufacturers and this is where most efforts have been made to date (e.g., emissions control measures, resource efficient production processes, waste management procedures)</w:t>
      </w:r>
      <w:r w:rsidRPr="009F54B9">
        <w:rPr>
          <w:rStyle w:val="FootnoteReference"/>
          <w:snapToGrid w:val="0"/>
          <w:color w:val="000000" w:themeColor="text1"/>
          <w:kern w:val="22"/>
          <w:szCs w:val="22"/>
        </w:rPr>
        <w:footnoteReference w:id="91"/>
      </w:r>
      <w:r w:rsidRPr="009F54B9">
        <w:rPr>
          <w:snapToGrid w:val="0"/>
          <w:color w:val="000000" w:themeColor="text1"/>
          <w:kern w:val="22"/>
          <w:szCs w:val="22"/>
        </w:rPr>
        <w:t>. However, few of the Aichi Targets are explicitly addressed to the private sector (i.e. formulated in such a way to request responses or contributions). Herewith a high level analysis of the business implications (e.g., gaps / challenges) of key Aichi Targets:</w:t>
      </w:r>
    </w:p>
    <w:p w14:paraId="2E78898B" w14:textId="77777777" w:rsidR="008E44C6" w:rsidRPr="009F54B9" w:rsidRDefault="008E44C6" w:rsidP="008E44C6">
      <w:pPr>
        <w:pStyle w:val="ListParagraph"/>
        <w:numPr>
          <w:ilvl w:val="0"/>
          <w:numId w:val="22"/>
        </w:numPr>
        <w:autoSpaceDE w:val="0"/>
        <w:autoSpaceDN w:val="0"/>
        <w:adjustRightInd w:val="0"/>
        <w:spacing w:line="360" w:lineRule="auto"/>
        <w:rPr>
          <w:snapToGrid w:val="0"/>
          <w:color w:val="000000" w:themeColor="text1"/>
          <w:kern w:val="22"/>
          <w:szCs w:val="22"/>
        </w:rPr>
      </w:pPr>
      <w:r w:rsidRPr="009F54B9">
        <w:rPr>
          <w:snapToGrid w:val="0"/>
          <w:color w:val="000000" w:themeColor="text1"/>
          <w:kern w:val="22"/>
          <w:szCs w:val="22"/>
        </w:rPr>
        <w:t>Target 1 states that “2020, at the latest, people are aware of the values of biodiversity and the steps</w:t>
      </w:r>
      <w:r w:rsidRPr="009F54B9">
        <w:rPr>
          <w:i/>
          <w:snapToGrid w:val="0"/>
          <w:color w:val="000000" w:themeColor="text1"/>
          <w:kern w:val="22"/>
          <w:szCs w:val="22"/>
        </w:rPr>
        <w:t xml:space="preserve"> </w:t>
      </w:r>
      <w:r w:rsidRPr="009F54B9">
        <w:rPr>
          <w:iCs/>
          <w:snapToGrid w:val="0"/>
          <w:color w:val="000000" w:themeColor="text1"/>
          <w:kern w:val="22"/>
          <w:szCs w:val="22"/>
        </w:rPr>
        <w:t xml:space="preserve">they can take to conserve and use it sustainably.” The need to </w:t>
      </w:r>
      <w:r w:rsidR="00C744AF" w:rsidRPr="009F54B9">
        <w:rPr>
          <w:iCs/>
          <w:snapToGrid w:val="0"/>
          <w:color w:val="000000" w:themeColor="text1"/>
          <w:kern w:val="22"/>
          <w:szCs w:val="22"/>
        </w:rPr>
        <w:t>recognize</w:t>
      </w:r>
      <w:r w:rsidRPr="009F54B9">
        <w:rPr>
          <w:iCs/>
          <w:snapToGrid w:val="0"/>
          <w:color w:val="000000" w:themeColor="text1"/>
          <w:kern w:val="22"/>
          <w:szCs w:val="22"/>
        </w:rPr>
        <w:t xml:space="preserve"> the values of biodiversity</w:t>
      </w:r>
      <w:r w:rsidRPr="009F54B9">
        <w:rPr>
          <w:snapToGrid w:val="0"/>
          <w:color w:val="000000" w:themeColor="text1"/>
          <w:kern w:val="22"/>
          <w:szCs w:val="22"/>
        </w:rPr>
        <w:t xml:space="preserve"> is also critical for the private sector. This lack of recognition may explain why there is limited quantitative information from the private sector (i.e. individual companies) on biodiversity </w:t>
      </w:r>
      <w:r w:rsidRPr="009F54B9">
        <w:rPr>
          <w:snapToGrid w:val="0"/>
          <w:color w:val="000000" w:themeColor="text1"/>
          <w:kern w:val="22"/>
          <w:szCs w:val="22"/>
        </w:rPr>
        <w:lastRenderedPageBreak/>
        <w:t>dependencies (section 3.3).Targeting the manufacturing sector, especially for its dependencies on ecosystem services through its supply chains, should be a priority.</w:t>
      </w:r>
    </w:p>
    <w:p w14:paraId="61416000" w14:textId="77777777" w:rsidR="008E44C6" w:rsidRPr="009F54B9" w:rsidRDefault="008E44C6" w:rsidP="008E44C6">
      <w:pPr>
        <w:pStyle w:val="ListParagraph"/>
        <w:numPr>
          <w:ilvl w:val="0"/>
          <w:numId w:val="22"/>
        </w:numPr>
        <w:autoSpaceDE w:val="0"/>
        <w:autoSpaceDN w:val="0"/>
        <w:adjustRightInd w:val="0"/>
        <w:spacing w:line="360" w:lineRule="auto"/>
        <w:rPr>
          <w:snapToGrid w:val="0"/>
          <w:color w:val="000000" w:themeColor="text1"/>
          <w:kern w:val="22"/>
          <w:szCs w:val="22"/>
        </w:rPr>
      </w:pPr>
      <w:r w:rsidRPr="009F54B9">
        <w:rPr>
          <w:snapToGrid w:val="0"/>
          <w:color w:val="000000" w:themeColor="text1"/>
          <w:kern w:val="22"/>
          <w:szCs w:val="22"/>
        </w:rPr>
        <w:t>Target 2 states that “By 2020, at the latest, biodiversity values have been integrated into national and local development and poverty reduction strategies and planning processes and are being incorporated into national accounting, as appropriate, and reporting systems.” The integration of biodiversity values in business strategies</w:t>
      </w:r>
      <w:r w:rsidRPr="009F54B9">
        <w:rPr>
          <w:rStyle w:val="FootnoteReference"/>
          <w:snapToGrid w:val="0"/>
          <w:color w:val="000000" w:themeColor="text1"/>
          <w:kern w:val="22"/>
          <w:szCs w:val="22"/>
        </w:rPr>
        <w:footnoteReference w:id="92"/>
      </w:r>
      <w:r w:rsidRPr="009F54B9">
        <w:rPr>
          <w:snapToGrid w:val="0"/>
          <w:color w:val="000000" w:themeColor="text1"/>
          <w:kern w:val="22"/>
          <w:szCs w:val="22"/>
        </w:rPr>
        <w:t>, planning and budgeting processes, accounting</w:t>
      </w:r>
      <w:r w:rsidRPr="009F54B9">
        <w:rPr>
          <w:rStyle w:val="FootnoteReference"/>
          <w:snapToGrid w:val="0"/>
          <w:color w:val="000000" w:themeColor="text1"/>
          <w:kern w:val="22"/>
          <w:szCs w:val="22"/>
        </w:rPr>
        <w:footnoteReference w:id="93"/>
      </w:r>
      <w:r w:rsidRPr="009F54B9">
        <w:rPr>
          <w:snapToGrid w:val="0"/>
          <w:color w:val="000000" w:themeColor="text1"/>
          <w:kern w:val="22"/>
          <w:szCs w:val="22"/>
        </w:rPr>
        <w:t xml:space="preserve"> and reporting systems</w:t>
      </w:r>
      <w:r w:rsidRPr="009F54B9">
        <w:rPr>
          <w:rStyle w:val="FootnoteReference"/>
          <w:snapToGrid w:val="0"/>
          <w:color w:val="000000" w:themeColor="text1"/>
          <w:kern w:val="22"/>
          <w:szCs w:val="22"/>
        </w:rPr>
        <w:footnoteReference w:id="94"/>
      </w:r>
      <w:r w:rsidRPr="009F54B9">
        <w:rPr>
          <w:snapToGrid w:val="0"/>
          <w:color w:val="000000" w:themeColor="text1"/>
          <w:kern w:val="22"/>
          <w:szCs w:val="22"/>
          <w:vertAlign w:val="superscript"/>
        </w:rPr>
        <w:t>,</w:t>
      </w:r>
      <w:r w:rsidRPr="009F54B9">
        <w:rPr>
          <w:rStyle w:val="FootnoteReference"/>
          <w:snapToGrid w:val="0"/>
          <w:color w:val="000000" w:themeColor="text1"/>
          <w:kern w:val="22"/>
          <w:szCs w:val="22"/>
        </w:rPr>
        <w:footnoteReference w:id="95"/>
      </w:r>
      <w:r w:rsidRPr="009F54B9">
        <w:rPr>
          <w:snapToGrid w:val="0"/>
          <w:color w:val="000000" w:themeColor="text1"/>
          <w:kern w:val="22"/>
          <w:szCs w:val="22"/>
        </w:rPr>
        <w:t xml:space="preserve"> should also be a priority. Besides, companies directly contribute data to national accounting systems as well as directly participle in many spatial planning processes at the local or national levels. For manufacturing companies, the challenge lies in doing so taking into account their supply chains.</w:t>
      </w:r>
    </w:p>
    <w:p w14:paraId="240CDD48" w14:textId="77777777" w:rsidR="008E44C6" w:rsidRPr="009F54B9" w:rsidRDefault="008E44C6" w:rsidP="008E44C6">
      <w:pPr>
        <w:pStyle w:val="ListParagraph"/>
        <w:numPr>
          <w:ilvl w:val="0"/>
          <w:numId w:val="22"/>
        </w:numPr>
        <w:autoSpaceDE w:val="0"/>
        <w:autoSpaceDN w:val="0"/>
        <w:adjustRightInd w:val="0"/>
        <w:spacing w:line="360" w:lineRule="auto"/>
        <w:rPr>
          <w:snapToGrid w:val="0"/>
          <w:color w:val="000000" w:themeColor="text1"/>
          <w:kern w:val="22"/>
          <w:szCs w:val="22"/>
        </w:rPr>
      </w:pPr>
      <w:r w:rsidRPr="009F54B9">
        <w:rPr>
          <w:snapToGrid w:val="0"/>
          <w:color w:val="000000" w:themeColor="text1"/>
          <w:kern w:val="22"/>
          <w:szCs w:val="22"/>
        </w:rPr>
        <w:t xml:space="preserve">Target 3 states that “By 2020, at the latest, incentives, including subsidies, harmful to biodiversity are eliminated, phased out or reformed in order to minimize or avoid negative impacts, and positive incentives for the conservation and sustainable use of biodiversity are developed and applied, consistent and in harmony with the Convention and other relevant international obligations, taking into account national socio economic conditions.” This target is particularly important for the manufacturing sector, especially in the age of </w:t>
      </w:r>
      <w:r w:rsidR="0098076F" w:rsidRPr="009F54B9">
        <w:rPr>
          <w:snapToGrid w:val="0"/>
          <w:color w:val="000000" w:themeColor="text1"/>
          <w:kern w:val="22"/>
          <w:szCs w:val="22"/>
        </w:rPr>
        <w:t>globalization</w:t>
      </w:r>
      <w:r w:rsidRPr="009F54B9">
        <w:rPr>
          <w:snapToGrid w:val="0"/>
          <w:color w:val="000000" w:themeColor="text1"/>
          <w:kern w:val="22"/>
          <w:szCs w:val="22"/>
        </w:rPr>
        <w:t xml:space="preserve"> where manufacturing industries are key components of global value chains. Incentives and subsidies influence many business decisions</w:t>
      </w:r>
      <w:r w:rsidRPr="009F54B9">
        <w:rPr>
          <w:rStyle w:val="FootnoteReference"/>
          <w:snapToGrid w:val="0"/>
          <w:color w:val="000000" w:themeColor="text1"/>
          <w:kern w:val="22"/>
          <w:szCs w:val="22"/>
        </w:rPr>
        <w:footnoteReference w:id="96"/>
      </w:r>
      <w:r w:rsidRPr="009F54B9">
        <w:rPr>
          <w:snapToGrid w:val="0"/>
          <w:color w:val="000000" w:themeColor="text1"/>
          <w:kern w:val="22"/>
          <w:szCs w:val="22"/>
        </w:rPr>
        <w:t xml:space="preserve"> (e.g., factory site selection), while trade deals play a critical role in enabling / preventing the easy transport of resources from raw material producers to manufacturers and final products to consumers. From this perspective, one may question the effectiveness, at a planetary level, of biodiversity mainstreaming approaches focused on single-industry solutions at the national or local level. The need for approaches that target global value chains cannot be overemphasised (see section 3).</w:t>
      </w:r>
    </w:p>
    <w:p w14:paraId="1C91E19C" w14:textId="77777777" w:rsidR="008E44C6" w:rsidRPr="009F54B9" w:rsidRDefault="008E44C6" w:rsidP="008E44C6">
      <w:pPr>
        <w:pStyle w:val="ListParagraph"/>
        <w:numPr>
          <w:ilvl w:val="0"/>
          <w:numId w:val="22"/>
        </w:numPr>
        <w:autoSpaceDE w:val="0"/>
        <w:autoSpaceDN w:val="0"/>
        <w:adjustRightInd w:val="0"/>
        <w:spacing w:line="360" w:lineRule="auto"/>
        <w:rPr>
          <w:snapToGrid w:val="0"/>
          <w:color w:val="000000" w:themeColor="text1"/>
          <w:kern w:val="22"/>
          <w:szCs w:val="22"/>
        </w:rPr>
      </w:pPr>
      <w:r w:rsidRPr="009F54B9">
        <w:rPr>
          <w:snapToGrid w:val="0"/>
          <w:color w:val="000000" w:themeColor="text1"/>
          <w:kern w:val="22"/>
          <w:szCs w:val="22"/>
        </w:rPr>
        <w:t xml:space="preserve">Aichi Target 4 states that “by 2020, at the latest, Governments, business and stakeholders at all levels have taken steps to achieve or have implemented plans for sustainable production and consumption and have kept the impacts of use of natural resources well within safe ecological limits.” This targets specifically mentions the private sector. However, the challenge lies in understanding what </w:t>
      </w:r>
      <w:r w:rsidRPr="009F54B9">
        <w:rPr>
          <w:snapToGrid w:val="0"/>
          <w:color w:val="000000" w:themeColor="text1"/>
          <w:kern w:val="22"/>
          <w:szCs w:val="22"/>
        </w:rPr>
        <w:lastRenderedPageBreak/>
        <w:t>sustainable production and consumption means for each manufacturing industry, and what are the responsibilities of manufacturing industries in global value chains, especially given that demand and product design are often beyond their direct control. Besides, from the perspective of a single manufacturing business, the concept of using natural resources well within safe ecological limits is not always straightforward. For instance, environmental impact assessments often fail to assess cumulative impacts at a regional or global level</w:t>
      </w:r>
      <w:r w:rsidRPr="009F54B9">
        <w:rPr>
          <w:rStyle w:val="FootnoteReference"/>
          <w:snapToGrid w:val="0"/>
          <w:color w:val="000000" w:themeColor="text1"/>
          <w:kern w:val="22"/>
          <w:szCs w:val="22"/>
        </w:rPr>
        <w:footnoteReference w:id="97"/>
      </w:r>
      <w:r w:rsidRPr="009F54B9">
        <w:rPr>
          <w:snapToGrid w:val="0"/>
          <w:color w:val="000000" w:themeColor="text1"/>
          <w:kern w:val="22"/>
          <w:szCs w:val="22"/>
        </w:rPr>
        <w:t xml:space="preserve">. One therefore needs to emphasise the importance of mainstreaming biodiversity through a global value chain approach, to address both factory level impacts and supplier-related uses of / impacts on biodiversity. </w:t>
      </w:r>
    </w:p>
    <w:p w14:paraId="2388D7F8" w14:textId="77777777" w:rsidR="008E44C6" w:rsidRPr="009F54B9" w:rsidRDefault="008E44C6" w:rsidP="008E44C6">
      <w:pPr>
        <w:pStyle w:val="ListParagraph"/>
        <w:numPr>
          <w:ilvl w:val="0"/>
          <w:numId w:val="22"/>
        </w:numPr>
        <w:autoSpaceDE w:val="0"/>
        <w:autoSpaceDN w:val="0"/>
        <w:adjustRightInd w:val="0"/>
        <w:spacing w:line="360" w:lineRule="auto"/>
        <w:rPr>
          <w:snapToGrid w:val="0"/>
          <w:color w:val="000000" w:themeColor="text1"/>
          <w:kern w:val="22"/>
          <w:szCs w:val="22"/>
        </w:rPr>
      </w:pPr>
      <w:r w:rsidRPr="009F54B9">
        <w:rPr>
          <w:snapToGrid w:val="0"/>
          <w:color w:val="000000" w:themeColor="text1"/>
          <w:kern w:val="22"/>
          <w:szCs w:val="22"/>
        </w:rPr>
        <w:t xml:space="preserve">Aichi Target 5 states that “by 2020, the rate of loss of all natural habitats, including forests, is at least halved and where feasible brought close to zero, and degradation and fragmentation is significantly reduced”. The role of manufacturing industries is twofold once more, first at the level of their direct operations (i.e. applying the impact mitigation hierarchy for the localisation, construction and management of factories) and then in terms of their sourcing policies (i.e. what materials to source in the context of the impact mitigation hierarch?). </w:t>
      </w:r>
    </w:p>
    <w:p w14:paraId="53D204B5" w14:textId="77777777" w:rsidR="008E44C6" w:rsidRPr="009F54B9" w:rsidRDefault="008E44C6" w:rsidP="008E44C6">
      <w:pPr>
        <w:pStyle w:val="ListParagraph"/>
        <w:numPr>
          <w:ilvl w:val="0"/>
          <w:numId w:val="22"/>
        </w:numPr>
        <w:autoSpaceDE w:val="0"/>
        <w:autoSpaceDN w:val="0"/>
        <w:adjustRightInd w:val="0"/>
        <w:spacing w:line="360" w:lineRule="auto"/>
        <w:rPr>
          <w:snapToGrid w:val="0"/>
          <w:color w:val="000000" w:themeColor="text1"/>
          <w:kern w:val="22"/>
          <w:szCs w:val="22"/>
        </w:rPr>
      </w:pPr>
      <w:r w:rsidRPr="009F54B9">
        <w:rPr>
          <w:snapToGrid w:val="0"/>
          <w:color w:val="000000" w:themeColor="text1"/>
          <w:kern w:val="22"/>
          <w:szCs w:val="22"/>
        </w:rPr>
        <w:t>Aichi Target 6</w:t>
      </w:r>
      <w:r w:rsidR="00892DA4">
        <w:rPr>
          <w:snapToGrid w:val="0"/>
          <w:color w:val="000000" w:themeColor="text1"/>
          <w:kern w:val="22"/>
          <w:szCs w:val="22"/>
        </w:rPr>
        <w:t xml:space="preserve"> </w:t>
      </w:r>
      <w:r w:rsidRPr="009F54B9">
        <w:rPr>
          <w:snapToGrid w:val="0"/>
          <w:color w:val="000000" w:themeColor="text1"/>
          <w:kern w:val="22"/>
          <w:szCs w:val="22"/>
        </w:rPr>
        <w:t>states that “by 2020 all fish and invertebrate stocks and aquatic plants are managed and harvested sustainably, legally and applying ecosystem based approaches, so that overfishing is avoided, recovery plans and measures are in place for all depleted species, fisheries have no significant adverse impacts on threatened species and vulnerable ecosystems and the impacts of fisheries on stocks, species and ecosystems are within safe ecological limits.” Companies involved in the processing and preserving of fish, crustaceans and molluscs should be directly involved here, as should retailers selling fish to consumers. However, the target places the onus on the owner of fish resources, typically nation states.</w:t>
      </w:r>
    </w:p>
    <w:p w14:paraId="3B0B75C3" w14:textId="77777777" w:rsidR="008E44C6" w:rsidRPr="009F54B9" w:rsidRDefault="008E44C6" w:rsidP="008E44C6">
      <w:pPr>
        <w:pStyle w:val="ListParagraph"/>
        <w:numPr>
          <w:ilvl w:val="0"/>
          <w:numId w:val="22"/>
        </w:numPr>
        <w:autoSpaceDE w:val="0"/>
        <w:autoSpaceDN w:val="0"/>
        <w:adjustRightInd w:val="0"/>
        <w:spacing w:line="360" w:lineRule="auto"/>
        <w:rPr>
          <w:snapToGrid w:val="0"/>
          <w:color w:val="000000" w:themeColor="text1"/>
          <w:kern w:val="22"/>
          <w:szCs w:val="22"/>
        </w:rPr>
      </w:pPr>
      <w:r w:rsidRPr="009F54B9">
        <w:rPr>
          <w:snapToGrid w:val="0"/>
          <w:color w:val="000000" w:themeColor="text1"/>
          <w:kern w:val="22"/>
          <w:szCs w:val="22"/>
        </w:rPr>
        <w:t>Aichi Target 7 states that “by 2020 areas under agriculture, aquaculture and forestry are managed sustainably, ensuring conservation of biodiversity.” Though this target directly concerns the suppliers of several manufacturing industries, their clients (e.g., manufacturers of foods, rubber products, beverages, textiles, wood products) have also a role to play in mainstreaming sustainable land use practices, notably through their choice of raw materials and / or the use of environmental considerations with respect to extraction / production processes in their contractual agreements with raw material extractors / producers / suppliers.</w:t>
      </w:r>
    </w:p>
    <w:p w14:paraId="41B183CB" w14:textId="77777777" w:rsidR="008E44C6" w:rsidRPr="009F54B9" w:rsidRDefault="008E44C6" w:rsidP="008E44C6">
      <w:pPr>
        <w:pStyle w:val="ListParagraph"/>
        <w:numPr>
          <w:ilvl w:val="0"/>
          <w:numId w:val="22"/>
        </w:numPr>
        <w:autoSpaceDE w:val="0"/>
        <w:autoSpaceDN w:val="0"/>
        <w:adjustRightInd w:val="0"/>
        <w:spacing w:line="360" w:lineRule="auto"/>
        <w:rPr>
          <w:snapToGrid w:val="0"/>
          <w:color w:val="000000" w:themeColor="text1"/>
          <w:kern w:val="22"/>
          <w:szCs w:val="22"/>
        </w:rPr>
      </w:pPr>
      <w:r w:rsidRPr="009F54B9">
        <w:rPr>
          <w:snapToGrid w:val="0"/>
          <w:color w:val="000000" w:themeColor="text1"/>
          <w:kern w:val="22"/>
          <w:szCs w:val="22"/>
        </w:rPr>
        <w:t>Aichi Target 9</w:t>
      </w:r>
      <w:r w:rsidR="000E4225">
        <w:rPr>
          <w:snapToGrid w:val="0"/>
          <w:color w:val="000000" w:themeColor="text1"/>
          <w:kern w:val="22"/>
          <w:szCs w:val="22"/>
        </w:rPr>
        <w:t xml:space="preserve"> </w:t>
      </w:r>
      <w:r w:rsidRPr="009F54B9">
        <w:rPr>
          <w:snapToGrid w:val="0"/>
          <w:color w:val="000000" w:themeColor="text1"/>
          <w:kern w:val="22"/>
          <w:szCs w:val="22"/>
        </w:rPr>
        <w:t xml:space="preserve">states that “by 2020, invasive alien species and pathways are identified and prioritized, priority species are controlled or eradicated, and measures are in place to manage </w:t>
      </w:r>
      <w:r w:rsidRPr="009F54B9">
        <w:rPr>
          <w:snapToGrid w:val="0"/>
          <w:color w:val="000000" w:themeColor="text1"/>
          <w:kern w:val="22"/>
          <w:szCs w:val="22"/>
        </w:rPr>
        <w:lastRenderedPageBreak/>
        <w:t>pathways to prevent their introduction and establishment.” Target 9 has similar implications for manufacturing industries than Target 8.</w:t>
      </w:r>
    </w:p>
    <w:p w14:paraId="5219E74D" w14:textId="77777777" w:rsidR="008E44C6" w:rsidRPr="009F54B9" w:rsidRDefault="008E44C6" w:rsidP="008E44C6">
      <w:pPr>
        <w:pStyle w:val="ListParagraph"/>
        <w:numPr>
          <w:ilvl w:val="0"/>
          <w:numId w:val="22"/>
        </w:numPr>
        <w:autoSpaceDE w:val="0"/>
        <w:autoSpaceDN w:val="0"/>
        <w:adjustRightInd w:val="0"/>
        <w:spacing w:line="360" w:lineRule="auto"/>
        <w:rPr>
          <w:snapToGrid w:val="0"/>
          <w:color w:val="000000" w:themeColor="text1"/>
          <w:kern w:val="22"/>
          <w:szCs w:val="22"/>
        </w:rPr>
      </w:pPr>
      <w:r w:rsidRPr="009F54B9">
        <w:rPr>
          <w:snapToGrid w:val="0"/>
          <w:color w:val="000000" w:themeColor="text1"/>
          <w:kern w:val="22"/>
          <w:szCs w:val="22"/>
        </w:rPr>
        <w:t>Manufacturing companies can also contribute to Aichi Targets 11</w:t>
      </w:r>
      <w:r w:rsidRPr="009F54B9">
        <w:rPr>
          <w:rStyle w:val="FootnoteReference"/>
          <w:snapToGrid w:val="0"/>
          <w:color w:val="000000" w:themeColor="text1"/>
          <w:kern w:val="22"/>
          <w:szCs w:val="22"/>
        </w:rPr>
        <w:footnoteReference w:id="98"/>
      </w:r>
      <w:r w:rsidRPr="009F54B9">
        <w:rPr>
          <w:snapToGrid w:val="0"/>
          <w:color w:val="000000" w:themeColor="text1"/>
          <w:kern w:val="22"/>
          <w:szCs w:val="22"/>
        </w:rPr>
        <w:t>, 12</w:t>
      </w:r>
      <w:r w:rsidRPr="009F54B9">
        <w:rPr>
          <w:rStyle w:val="FootnoteReference"/>
          <w:snapToGrid w:val="0"/>
          <w:color w:val="000000" w:themeColor="text1"/>
          <w:kern w:val="22"/>
          <w:szCs w:val="22"/>
        </w:rPr>
        <w:footnoteReference w:id="99"/>
      </w:r>
      <w:r w:rsidRPr="009F54B9">
        <w:rPr>
          <w:snapToGrid w:val="0"/>
          <w:color w:val="000000" w:themeColor="text1"/>
          <w:kern w:val="22"/>
          <w:szCs w:val="22"/>
        </w:rPr>
        <w:t>, 14</w:t>
      </w:r>
      <w:r w:rsidRPr="009F54B9">
        <w:rPr>
          <w:rStyle w:val="FootnoteReference"/>
          <w:snapToGrid w:val="0"/>
          <w:color w:val="000000" w:themeColor="text1"/>
          <w:kern w:val="22"/>
          <w:szCs w:val="22"/>
        </w:rPr>
        <w:footnoteReference w:id="100"/>
      </w:r>
      <w:r w:rsidRPr="009F54B9">
        <w:rPr>
          <w:snapToGrid w:val="0"/>
          <w:color w:val="000000" w:themeColor="text1"/>
          <w:kern w:val="22"/>
          <w:szCs w:val="22"/>
        </w:rPr>
        <w:t xml:space="preserve"> and 15</w:t>
      </w:r>
      <w:r w:rsidRPr="009F54B9">
        <w:rPr>
          <w:rStyle w:val="FootnoteReference"/>
          <w:snapToGrid w:val="0"/>
          <w:color w:val="000000" w:themeColor="text1"/>
          <w:kern w:val="22"/>
          <w:szCs w:val="22"/>
        </w:rPr>
        <w:footnoteReference w:id="101"/>
      </w:r>
      <w:r w:rsidRPr="009F54B9">
        <w:rPr>
          <w:snapToGrid w:val="0"/>
          <w:color w:val="000000" w:themeColor="text1"/>
          <w:kern w:val="22"/>
          <w:szCs w:val="22"/>
        </w:rPr>
        <w:t>, typically through:</w:t>
      </w:r>
    </w:p>
    <w:p w14:paraId="46CB45AC" w14:textId="77777777" w:rsidR="008E44C6" w:rsidRPr="009F54B9" w:rsidRDefault="008E44C6" w:rsidP="008E44C6">
      <w:pPr>
        <w:pStyle w:val="ListParagraph"/>
        <w:numPr>
          <w:ilvl w:val="1"/>
          <w:numId w:val="22"/>
        </w:numPr>
        <w:autoSpaceDE w:val="0"/>
        <w:autoSpaceDN w:val="0"/>
        <w:adjustRightInd w:val="0"/>
        <w:spacing w:line="360" w:lineRule="auto"/>
        <w:rPr>
          <w:snapToGrid w:val="0"/>
          <w:color w:val="000000" w:themeColor="text1"/>
          <w:kern w:val="22"/>
          <w:szCs w:val="22"/>
        </w:rPr>
      </w:pPr>
      <w:r w:rsidRPr="009F54B9">
        <w:rPr>
          <w:snapToGrid w:val="0"/>
          <w:color w:val="000000" w:themeColor="text1"/>
          <w:kern w:val="22"/>
          <w:szCs w:val="22"/>
        </w:rPr>
        <w:t>Voluntary measures involving corporate social responsibility spending to support species conservation, protected area management or ecosystem restoration work (e.g., in ecosystems surrounding manufacturing plants);</w:t>
      </w:r>
    </w:p>
    <w:p w14:paraId="7F3CA302" w14:textId="77777777" w:rsidR="008E44C6" w:rsidRPr="009F54B9" w:rsidRDefault="008E44C6" w:rsidP="008E44C6">
      <w:pPr>
        <w:pStyle w:val="ListParagraph"/>
        <w:numPr>
          <w:ilvl w:val="1"/>
          <w:numId w:val="22"/>
        </w:numPr>
        <w:autoSpaceDE w:val="0"/>
        <w:autoSpaceDN w:val="0"/>
        <w:adjustRightInd w:val="0"/>
        <w:spacing w:line="360" w:lineRule="auto"/>
        <w:rPr>
          <w:snapToGrid w:val="0"/>
          <w:color w:val="000000" w:themeColor="text1"/>
          <w:kern w:val="22"/>
          <w:szCs w:val="22"/>
        </w:rPr>
      </w:pPr>
      <w:r w:rsidRPr="009F54B9">
        <w:rPr>
          <w:snapToGrid w:val="0"/>
          <w:color w:val="000000" w:themeColor="text1"/>
          <w:kern w:val="22"/>
          <w:szCs w:val="22"/>
        </w:rPr>
        <w:t>The ambitious implementation of the impact mitigation hierarchy (i.e. the creation of new protected areas as part of offset measures</w:t>
      </w:r>
      <w:r w:rsidRPr="009F54B9">
        <w:rPr>
          <w:rStyle w:val="FootnoteReference"/>
          <w:snapToGrid w:val="0"/>
          <w:color w:val="000000" w:themeColor="text1"/>
          <w:kern w:val="22"/>
          <w:szCs w:val="22"/>
        </w:rPr>
        <w:footnoteReference w:id="102"/>
      </w:r>
      <w:r w:rsidRPr="009F54B9">
        <w:rPr>
          <w:snapToGrid w:val="0"/>
          <w:color w:val="000000" w:themeColor="text1"/>
          <w:kern w:val="22"/>
          <w:szCs w:val="22"/>
        </w:rPr>
        <w:t>);</w:t>
      </w:r>
    </w:p>
    <w:p w14:paraId="54468786" w14:textId="77777777" w:rsidR="008E44C6" w:rsidRPr="009F54B9" w:rsidRDefault="008E44C6" w:rsidP="008E44C6">
      <w:pPr>
        <w:pStyle w:val="ListParagraph"/>
        <w:numPr>
          <w:ilvl w:val="1"/>
          <w:numId w:val="22"/>
        </w:numPr>
        <w:autoSpaceDE w:val="0"/>
        <w:autoSpaceDN w:val="0"/>
        <w:adjustRightInd w:val="0"/>
        <w:spacing w:line="360" w:lineRule="auto"/>
        <w:rPr>
          <w:snapToGrid w:val="0"/>
          <w:color w:val="000000" w:themeColor="text1"/>
          <w:kern w:val="22"/>
          <w:szCs w:val="22"/>
        </w:rPr>
      </w:pPr>
      <w:r w:rsidRPr="009F54B9">
        <w:rPr>
          <w:snapToGrid w:val="0"/>
          <w:color w:val="000000" w:themeColor="text1"/>
          <w:kern w:val="22"/>
          <w:szCs w:val="22"/>
        </w:rPr>
        <w:t>Carbon offset projects with biodiversity co-benefits</w:t>
      </w:r>
      <w:r w:rsidRPr="009F54B9">
        <w:rPr>
          <w:rStyle w:val="FootnoteReference"/>
          <w:snapToGrid w:val="0"/>
          <w:color w:val="000000" w:themeColor="text1"/>
          <w:kern w:val="22"/>
          <w:szCs w:val="22"/>
        </w:rPr>
        <w:footnoteReference w:id="103"/>
      </w:r>
      <w:r w:rsidRPr="009F54B9">
        <w:rPr>
          <w:snapToGrid w:val="0"/>
          <w:color w:val="000000" w:themeColor="text1"/>
          <w:kern w:val="22"/>
          <w:szCs w:val="22"/>
        </w:rPr>
        <w:t>.</w:t>
      </w:r>
    </w:p>
    <w:p w14:paraId="30CA0D00" w14:textId="77777777" w:rsidR="008E44C6" w:rsidRPr="009F54B9" w:rsidRDefault="008E44C6" w:rsidP="008E44C6">
      <w:pPr>
        <w:pStyle w:val="ListParagraph"/>
        <w:numPr>
          <w:ilvl w:val="0"/>
          <w:numId w:val="22"/>
        </w:numPr>
        <w:autoSpaceDE w:val="0"/>
        <w:autoSpaceDN w:val="0"/>
        <w:adjustRightInd w:val="0"/>
        <w:spacing w:line="360" w:lineRule="auto"/>
        <w:rPr>
          <w:snapToGrid w:val="0"/>
          <w:color w:val="000000" w:themeColor="text1"/>
          <w:kern w:val="22"/>
          <w:szCs w:val="22"/>
        </w:rPr>
      </w:pPr>
      <w:r w:rsidRPr="009F54B9">
        <w:rPr>
          <w:snapToGrid w:val="0"/>
          <w:color w:val="000000" w:themeColor="text1"/>
          <w:kern w:val="22"/>
          <w:szCs w:val="22"/>
        </w:rPr>
        <w:t>By extension, manufacturing companies may contribute to Aichi Target 16 “By 2015, the Nagoya Protocol on Access to Genetic Resources and the Fair and Equitable Sharing of Benefits Arising from their Utilization is in force and operational, consistent with national legislation”. They may hold the rights over compounds developed from genetic resources and thus be involved in socio-economic activities aimed at sharing the benefits from the production and sale of such compounds.</w:t>
      </w:r>
    </w:p>
    <w:p w14:paraId="5261935D" w14:textId="77777777" w:rsidR="008E44C6" w:rsidRPr="009F54B9" w:rsidRDefault="008E44C6" w:rsidP="008E44C6">
      <w:pPr>
        <w:pStyle w:val="ListParagraph"/>
        <w:numPr>
          <w:ilvl w:val="0"/>
          <w:numId w:val="22"/>
        </w:numPr>
        <w:autoSpaceDE w:val="0"/>
        <w:autoSpaceDN w:val="0"/>
        <w:adjustRightInd w:val="0"/>
        <w:spacing w:line="360" w:lineRule="auto"/>
        <w:rPr>
          <w:snapToGrid w:val="0"/>
          <w:color w:val="000000" w:themeColor="text1"/>
          <w:kern w:val="22"/>
          <w:szCs w:val="22"/>
        </w:rPr>
      </w:pPr>
      <w:r w:rsidRPr="009F54B9">
        <w:rPr>
          <w:snapToGrid w:val="0"/>
          <w:color w:val="000000" w:themeColor="text1"/>
          <w:kern w:val="22"/>
          <w:szCs w:val="22"/>
        </w:rPr>
        <w:t>Aichi Target 19</w:t>
      </w:r>
      <w:r w:rsidRPr="009F54B9">
        <w:rPr>
          <w:rStyle w:val="FootnoteReference"/>
          <w:snapToGrid w:val="0"/>
          <w:color w:val="000000" w:themeColor="text1"/>
          <w:kern w:val="22"/>
          <w:szCs w:val="22"/>
        </w:rPr>
        <w:footnoteReference w:id="104"/>
      </w:r>
      <w:r w:rsidRPr="009F54B9">
        <w:rPr>
          <w:snapToGrid w:val="0"/>
          <w:color w:val="000000" w:themeColor="text1"/>
          <w:kern w:val="22"/>
          <w:szCs w:val="22"/>
        </w:rPr>
        <w:t xml:space="preserve"> is particularly important for manufacturing companies as end users of biodiversity information when making informed decisions about factory location, production technology (e.g., which technology has the biggest or lowest impact on biotic communities downstream) or material sourcing (e.g., which supplier is likely to extract or produce resources from biodiversity hotspot areas).</w:t>
      </w:r>
    </w:p>
    <w:p w14:paraId="045F32E0" w14:textId="77777777" w:rsidR="008E44C6" w:rsidRPr="009F54B9" w:rsidRDefault="008E44C6" w:rsidP="008E44C6">
      <w:pPr>
        <w:pStyle w:val="ListParagraph"/>
        <w:numPr>
          <w:ilvl w:val="0"/>
          <w:numId w:val="22"/>
        </w:numPr>
        <w:autoSpaceDE w:val="0"/>
        <w:autoSpaceDN w:val="0"/>
        <w:adjustRightInd w:val="0"/>
        <w:spacing w:line="360" w:lineRule="auto"/>
        <w:rPr>
          <w:snapToGrid w:val="0"/>
          <w:color w:val="000000" w:themeColor="text1"/>
          <w:kern w:val="22"/>
          <w:szCs w:val="22"/>
        </w:rPr>
      </w:pPr>
      <w:r w:rsidRPr="009F54B9">
        <w:rPr>
          <w:snapToGrid w:val="0"/>
          <w:color w:val="000000" w:themeColor="text1"/>
          <w:kern w:val="22"/>
          <w:szCs w:val="22"/>
        </w:rPr>
        <w:lastRenderedPageBreak/>
        <w:t>Finally, Target 20 may become important for the private sector as a whole: “By 2020, at the latest, the mobilization of financial resources for effectively implementing the Strategic Plan for Biodiversity 2011-2020 from all sources, and in accordance with the consolidated and agreed process in the Strategy for Resource Mobilization, should increase substantially from the current levels.” Assessing the nature and scale of financial support that may be expected from manufacturing industries may not be straightforward, but their key role in global supply chains, which drive biodiversity loss, will lead to increasing discussions on how they can meaningfully contribute to conservation and sustainable use at the level of whole landscapes.</w:t>
      </w:r>
    </w:p>
    <w:p w14:paraId="532F77EB" w14:textId="77777777" w:rsidR="008E44C6" w:rsidRPr="009F54B9" w:rsidRDefault="008E44C6" w:rsidP="00165E00">
      <w:pPr>
        <w:rPr>
          <w:snapToGrid w:val="0"/>
          <w:kern w:val="22"/>
        </w:rPr>
      </w:pPr>
    </w:p>
    <w:p w14:paraId="5F184338" w14:textId="77777777" w:rsidR="008E44C6" w:rsidRPr="009F54B9" w:rsidRDefault="008E44C6" w:rsidP="00165E00">
      <w:pPr>
        <w:rPr>
          <w:snapToGrid w:val="0"/>
          <w:kern w:val="22"/>
        </w:rPr>
      </w:pPr>
      <w:r w:rsidRPr="009F54B9">
        <w:rPr>
          <w:snapToGrid w:val="0"/>
          <w:kern w:val="22"/>
        </w:rPr>
        <w:t>To illustrate the lack of quantitative information on private sector contributions to each Aichi target, one can go to national reports of parties to the convention. For instance, the 3</w:t>
      </w:r>
      <w:r w:rsidRPr="009F54B9">
        <w:rPr>
          <w:snapToGrid w:val="0"/>
          <w:kern w:val="22"/>
          <w:vertAlign w:val="superscript"/>
        </w:rPr>
        <w:t>rd</w:t>
      </w:r>
      <w:r w:rsidRPr="009F54B9">
        <w:rPr>
          <w:snapToGrid w:val="0"/>
          <w:kern w:val="22"/>
        </w:rPr>
        <w:t xml:space="preserve"> national reports to the CBD of countries such as Australia</w:t>
      </w:r>
      <w:r w:rsidRPr="009F54B9">
        <w:rPr>
          <w:rStyle w:val="FootnoteReference"/>
          <w:snapToGrid w:val="0"/>
          <w:kern w:val="22"/>
        </w:rPr>
        <w:footnoteReference w:id="105"/>
      </w:r>
      <w:r w:rsidRPr="009F54B9">
        <w:rPr>
          <w:snapToGrid w:val="0"/>
          <w:kern w:val="22"/>
        </w:rPr>
        <w:t>, Brazil</w:t>
      </w:r>
      <w:r w:rsidRPr="009F54B9">
        <w:rPr>
          <w:rStyle w:val="FootnoteReference"/>
          <w:snapToGrid w:val="0"/>
          <w:kern w:val="22"/>
        </w:rPr>
        <w:footnoteReference w:id="106"/>
      </w:r>
      <w:r w:rsidRPr="009F54B9">
        <w:rPr>
          <w:snapToGrid w:val="0"/>
          <w:kern w:val="22"/>
        </w:rPr>
        <w:t>, Portugal</w:t>
      </w:r>
      <w:r w:rsidRPr="009F54B9">
        <w:rPr>
          <w:rStyle w:val="FootnoteReference"/>
          <w:snapToGrid w:val="0"/>
          <w:kern w:val="22"/>
        </w:rPr>
        <w:footnoteReference w:id="107"/>
      </w:r>
      <w:r w:rsidRPr="009F54B9">
        <w:rPr>
          <w:snapToGrid w:val="0"/>
          <w:kern w:val="22"/>
        </w:rPr>
        <w:t xml:space="preserve"> and South Africa</w:t>
      </w:r>
      <w:r w:rsidRPr="009F54B9">
        <w:rPr>
          <w:rStyle w:val="FootnoteReference"/>
          <w:snapToGrid w:val="0"/>
          <w:kern w:val="22"/>
        </w:rPr>
        <w:footnoteReference w:id="108"/>
      </w:r>
      <w:r w:rsidRPr="009F54B9">
        <w:rPr>
          <w:snapToGrid w:val="0"/>
          <w:kern w:val="22"/>
        </w:rPr>
        <w:t xml:space="preserve"> only provide narrated accounts of processes or initiatives involving the private sector (e.g., in response to Decision V/24 and the question “Has your country developed or explored mechanisms to involve the private sector in initiatives on the sustainable use of biodiversity?”).</w:t>
      </w:r>
    </w:p>
    <w:p w14:paraId="40D794CF" w14:textId="77777777" w:rsidR="008E44C6" w:rsidRPr="009F54B9" w:rsidRDefault="008E44C6" w:rsidP="000A1577">
      <w:pPr>
        <w:rPr>
          <w:snapToGrid w:val="0"/>
          <w:kern w:val="22"/>
          <w:szCs w:val="22"/>
        </w:rPr>
      </w:pPr>
      <w:r w:rsidRPr="009F54B9">
        <w:rPr>
          <w:snapToGrid w:val="0"/>
          <w:kern w:val="22"/>
          <w:szCs w:val="22"/>
        </w:rPr>
        <w:t>These gaps and opportunities call greater focus on reframing / specifying how the private sector, including each manufacturing industry, can contribute, in practice, to each Aichi Target. This would involve, for instance, collaborating on the development of industry specific targets and key performance indicators for inclusion in future national biodiversity strategies and action plans as well as the associated CBD national reporting initiatives. This would eventually lead to more effective CBD and member state engagement with the key actors in the manufacturing sector.</w:t>
      </w:r>
    </w:p>
    <w:p w14:paraId="29749E65" w14:textId="77777777" w:rsidR="008E44C6" w:rsidRPr="009F54B9" w:rsidRDefault="008E44C6" w:rsidP="00165E00">
      <w:pPr>
        <w:rPr>
          <w:snapToGrid w:val="0"/>
          <w:kern w:val="22"/>
          <w:szCs w:val="22"/>
        </w:rPr>
      </w:pPr>
    </w:p>
    <w:p w14:paraId="79ED5052" w14:textId="77777777" w:rsidR="008E44C6" w:rsidRPr="009F54B9" w:rsidRDefault="008E44C6" w:rsidP="00165E00">
      <w:pPr>
        <w:rPr>
          <w:snapToGrid w:val="0"/>
          <w:kern w:val="22"/>
          <w:szCs w:val="22"/>
        </w:rPr>
      </w:pPr>
      <w:r w:rsidRPr="009F54B9">
        <w:rPr>
          <w:snapToGrid w:val="0"/>
          <w:kern w:val="22"/>
          <w:szCs w:val="22"/>
        </w:rPr>
        <w:br w:type="page"/>
      </w:r>
    </w:p>
    <w:p w14:paraId="202F4C82" w14:textId="77777777" w:rsidR="008E44C6" w:rsidRPr="009F54B9" w:rsidRDefault="008E44C6" w:rsidP="008E44C6">
      <w:pPr>
        <w:pStyle w:val="Heading2"/>
        <w:keepNext w:val="0"/>
        <w:numPr>
          <w:ilvl w:val="1"/>
          <w:numId w:val="10"/>
        </w:numPr>
        <w:tabs>
          <w:tab w:val="clear" w:pos="720"/>
        </w:tabs>
        <w:autoSpaceDE w:val="0"/>
        <w:autoSpaceDN w:val="0"/>
        <w:adjustRightInd w:val="0"/>
        <w:spacing w:before="0"/>
        <w:jc w:val="both"/>
        <w:rPr>
          <w:smallCaps/>
          <w:snapToGrid w:val="0"/>
          <w:kern w:val="22"/>
          <w:szCs w:val="22"/>
        </w:rPr>
      </w:pPr>
      <w:bookmarkStart w:id="48" w:name="_Toc517690321"/>
      <w:r w:rsidRPr="009F54B9">
        <w:rPr>
          <w:smallCaps/>
          <w:snapToGrid w:val="0"/>
          <w:kern w:val="22"/>
          <w:szCs w:val="22"/>
        </w:rPr>
        <w:lastRenderedPageBreak/>
        <w:t>Understanding the importance of biodiversity in manufacturing: Measurement and valuation for improved decision-making</w:t>
      </w:r>
      <w:bookmarkEnd w:id="48"/>
    </w:p>
    <w:p w14:paraId="5196CE4C" w14:textId="77777777" w:rsidR="008E44C6" w:rsidRPr="009F54B9" w:rsidRDefault="008E44C6" w:rsidP="00165E00">
      <w:pPr>
        <w:rPr>
          <w:snapToGrid w:val="0"/>
          <w:kern w:val="22"/>
          <w:szCs w:val="22"/>
        </w:rPr>
      </w:pPr>
    </w:p>
    <w:p w14:paraId="217526DB" w14:textId="77777777" w:rsidR="008E44C6" w:rsidRPr="009F54B9" w:rsidRDefault="008E44C6" w:rsidP="001E5D79">
      <w:pPr>
        <w:pBdr>
          <w:bottom w:val="single" w:sz="4" w:space="1" w:color="auto"/>
        </w:pBdr>
        <w:rPr>
          <w:snapToGrid w:val="0"/>
          <w:kern w:val="22"/>
        </w:rPr>
      </w:pPr>
      <w:r w:rsidRPr="009F54B9">
        <w:rPr>
          <w:snapToGrid w:val="0"/>
          <w:kern w:val="22"/>
        </w:rPr>
        <w:t>Key messages:</w:t>
      </w:r>
    </w:p>
    <w:p w14:paraId="266072F5" w14:textId="77777777" w:rsidR="008E44C6" w:rsidRPr="009F54B9" w:rsidRDefault="008E44C6" w:rsidP="008E44C6">
      <w:pPr>
        <w:pStyle w:val="ListParagraph"/>
        <w:numPr>
          <w:ilvl w:val="0"/>
          <w:numId w:val="37"/>
        </w:numPr>
        <w:pBdr>
          <w:bottom w:val="single" w:sz="4" w:space="1" w:color="auto"/>
        </w:pBdr>
        <w:autoSpaceDE w:val="0"/>
        <w:autoSpaceDN w:val="0"/>
        <w:adjustRightInd w:val="0"/>
        <w:spacing w:line="360" w:lineRule="auto"/>
        <w:rPr>
          <w:snapToGrid w:val="0"/>
          <w:kern w:val="22"/>
          <w:szCs w:val="22"/>
        </w:rPr>
      </w:pPr>
      <w:r w:rsidRPr="009F54B9">
        <w:rPr>
          <w:snapToGrid w:val="0"/>
          <w:kern w:val="22"/>
          <w:szCs w:val="22"/>
        </w:rPr>
        <w:t xml:space="preserve">Much improved biodiversity measurement and valuation is needed for relevant, effective decision-making in the manufacturing sector; </w:t>
      </w:r>
    </w:p>
    <w:p w14:paraId="5D26DAD9" w14:textId="77777777" w:rsidR="008E44C6" w:rsidRPr="009F54B9" w:rsidRDefault="008E44C6" w:rsidP="008E44C6">
      <w:pPr>
        <w:pStyle w:val="ListParagraph"/>
        <w:numPr>
          <w:ilvl w:val="0"/>
          <w:numId w:val="37"/>
        </w:numPr>
        <w:pBdr>
          <w:bottom w:val="single" w:sz="4" w:space="1" w:color="auto"/>
        </w:pBdr>
        <w:autoSpaceDE w:val="0"/>
        <w:autoSpaceDN w:val="0"/>
        <w:adjustRightInd w:val="0"/>
        <w:spacing w:line="360" w:lineRule="auto"/>
        <w:rPr>
          <w:snapToGrid w:val="0"/>
          <w:kern w:val="22"/>
          <w:szCs w:val="22"/>
        </w:rPr>
      </w:pPr>
      <w:r w:rsidRPr="009F54B9">
        <w:rPr>
          <w:snapToGrid w:val="0"/>
          <w:kern w:val="22"/>
          <w:szCs w:val="22"/>
        </w:rPr>
        <w:t xml:space="preserve">This calls for the development of a </w:t>
      </w:r>
      <w:r w:rsidR="00650A94">
        <w:rPr>
          <w:snapToGrid w:val="0"/>
          <w:kern w:val="22"/>
          <w:szCs w:val="22"/>
        </w:rPr>
        <w:t>standardized</w:t>
      </w:r>
      <w:r w:rsidRPr="009F54B9">
        <w:rPr>
          <w:snapToGrid w:val="0"/>
          <w:kern w:val="22"/>
          <w:szCs w:val="22"/>
        </w:rPr>
        <w:t xml:space="preserve"> biodiversity measurement protocol for business, which would include global value chain dimensions;</w:t>
      </w:r>
    </w:p>
    <w:p w14:paraId="36A6995D" w14:textId="77777777" w:rsidR="008E44C6" w:rsidRPr="009F54B9" w:rsidRDefault="008E44C6" w:rsidP="008E44C6">
      <w:pPr>
        <w:pStyle w:val="ListParagraph"/>
        <w:numPr>
          <w:ilvl w:val="0"/>
          <w:numId w:val="37"/>
        </w:numPr>
        <w:pBdr>
          <w:bottom w:val="single" w:sz="4" w:space="1" w:color="auto"/>
        </w:pBdr>
        <w:autoSpaceDE w:val="0"/>
        <w:autoSpaceDN w:val="0"/>
        <w:adjustRightInd w:val="0"/>
        <w:spacing w:line="360" w:lineRule="auto"/>
        <w:rPr>
          <w:i/>
          <w:snapToGrid w:val="0"/>
          <w:kern w:val="22"/>
          <w:szCs w:val="22"/>
        </w:rPr>
      </w:pPr>
      <w:r w:rsidRPr="009F54B9">
        <w:rPr>
          <w:snapToGrid w:val="0"/>
          <w:kern w:val="22"/>
          <w:szCs w:val="22"/>
        </w:rPr>
        <w:t>This also requires more diverse and integrated value framing perspectives and initiatives so as to effectively convince all affected stakeholders (along global value chains) of the importance of biodiversity and of the need for its conservation and sustainable use</w:t>
      </w:r>
      <w:r w:rsidRPr="009F54B9">
        <w:rPr>
          <w:i/>
          <w:snapToGrid w:val="0"/>
          <w:kern w:val="22"/>
          <w:szCs w:val="22"/>
        </w:rPr>
        <w:t>.</w:t>
      </w:r>
    </w:p>
    <w:p w14:paraId="30565928" w14:textId="77777777" w:rsidR="008E44C6" w:rsidRPr="009F54B9" w:rsidRDefault="008E44C6" w:rsidP="000A791A">
      <w:pPr>
        <w:rPr>
          <w:snapToGrid w:val="0"/>
          <w:kern w:val="22"/>
          <w:szCs w:val="22"/>
        </w:rPr>
      </w:pPr>
    </w:p>
    <w:p w14:paraId="7BA71B3C" w14:textId="77777777" w:rsidR="008E44C6" w:rsidRPr="009F54B9" w:rsidRDefault="008E44C6" w:rsidP="00A87900">
      <w:pPr>
        <w:rPr>
          <w:snapToGrid w:val="0"/>
          <w:spacing w:val="-1"/>
          <w:kern w:val="22"/>
          <w:szCs w:val="22"/>
        </w:rPr>
      </w:pPr>
      <w:r w:rsidRPr="009F54B9">
        <w:rPr>
          <w:snapToGrid w:val="0"/>
          <w:spacing w:val="-1"/>
          <w:kern w:val="22"/>
          <w:szCs w:val="22"/>
        </w:rPr>
        <w:t xml:space="preserve">A good understanding of biodiversity and ecosystem services, their benefits and trade-offs in development pathways has been advocated to be prerequisite for win–win–win situations for people, business and nature (Cadman </w:t>
      </w:r>
      <w:r w:rsidRPr="009F54B9">
        <w:rPr>
          <w:i/>
          <w:snapToGrid w:val="0"/>
          <w:spacing w:val="-1"/>
          <w:kern w:val="22"/>
          <w:szCs w:val="22"/>
        </w:rPr>
        <w:t>et al</w:t>
      </w:r>
      <w:r w:rsidRPr="009F54B9">
        <w:rPr>
          <w:snapToGrid w:val="0"/>
          <w:spacing w:val="-1"/>
          <w:kern w:val="22"/>
          <w:szCs w:val="22"/>
        </w:rPr>
        <w:t>., 2010; TEEB 2010</w:t>
      </w:r>
      <w:r w:rsidRPr="009F54B9">
        <w:rPr>
          <w:snapToGrid w:val="0"/>
          <w:spacing w:val="-1"/>
          <w:kern w:val="22"/>
          <w:vertAlign w:val="superscript"/>
        </w:rPr>
        <w:footnoteReference w:id="109"/>
      </w:r>
      <w:r w:rsidRPr="009F54B9">
        <w:rPr>
          <w:snapToGrid w:val="0"/>
          <w:spacing w:val="-1"/>
          <w:kern w:val="22"/>
          <w:szCs w:val="22"/>
        </w:rPr>
        <w:t xml:space="preserve">). This is argued to be the case because a lack of knowledge can lead to wrong decisions and even conflicts or catastrophes. Companies are often not aware of the benefits they receive from biodiversity and ecosystem services and do now quantify the full extent of their environmental impacts. This has been argued to prevent them from integrating the values of nature into policy and decision-making as well as strategic planning and operational routines (e.g., </w:t>
      </w:r>
      <w:proofErr w:type="spellStart"/>
      <w:r w:rsidRPr="009F54B9">
        <w:rPr>
          <w:snapToGrid w:val="0"/>
          <w:spacing w:val="-1"/>
          <w:kern w:val="22"/>
          <w:szCs w:val="22"/>
        </w:rPr>
        <w:t>Houdet</w:t>
      </w:r>
      <w:proofErr w:type="spellEnd"/>
      <w:r w:rsidRPr="009F54B9">
        <w:rPr>
          <w:snapToGrid w:val="0"/>
          <w:spacing w:val="-1"/>
          <w:kern w:val="22"/>
          <w:szCs w:val="22"/>
        </w:rPr>
        <w:t xml:space="preserve"> </w:t>
      </w:r>
      <w:r w:rsidRPr="009F54B9">
        <w:rPr>
          <w:i/>
          <w:snapToGrid w:val="0"/>
          <w:spacing w:val="-1"/>
          <w:kern w:val="22"/>
          <w:szCs w:val="22"/>
        </w:rPr>
        <w:t>et al</w:t>
      </w:r>
      <w:r w:rsidRPr="009F54B9">
        <w:rPr>
          <w:snapToGrid w:val="0"/>
          <w:spacing w:val="-1"/>
          <w:kern w:val="22"/>
          <w:szCs w:val="22"/>
        </w:rPr>
        <w:t>., 2012)</w:t>
      </w:r>
      <w:r w:rsidRPr="009F54B9">
        <w:rPr>
          <w:rStyle w:val="FootnoteReference"/>
          <w:snapToGrid w:val="0"/>
          <w:spacing w:val="-1"/>
          <w:kern w:val="22"/>
          <w:szCs w:val="22"/>
        </w:rPr>
        <w:footnoteReference w:id="110"/>
      </w:r>
      <w:r w:rsidRPr="009F54B9">
        <w:rPr>
          <w:snapToGrid w:val="0"/>
          <w:spacing w:val="-1"/>
          <w:kern w:val="22"/>
          <w:szCs w:val="22"/>
        </w:rPr>
        <w:t xml:space="preserve">. </w:t>
      </w:r>
    </w:p>
    <w:p w14:paraId="54CCC67B" w14:textId="77777777" w:rsidR="008E44C6" w:rsidRPr="009F54B9" w:rsidRDefault="008E44C6" w:rsidP="00A87900">
      <w:pPr>
        <w:rPr>
          <w:snapToGrid w:val="0"/>
          <w:kern w:val="22"/>
          <w:szCs w:val="22"/>
        </w:rPr>
      </w:pPr>
    </w:p>
    <w:p w14:paraId="4EE735EC" w14:textId="77777777" w:rsidR="008E44C6" w:rsidRPr="009F54B9" w:rsidRDefault="008E44C6" w:rsidP="00235727">
      <w:pPr>
        <w:rPr>
          <w:snapToGrid w:val="0"/>
          <w:spacing w:val="-2"/>
          <w:kern w:val="22"/>
          <w:szCs w:val="22"/>
        </w:rPr>
      </w:pPr>
      <w:r w:rsidRPr="009F54B9">
        <w:rPr>
          <w:snapToGrid w:val="0"/>
          <w:spacing w:val="-2"/>
          <w:kern w:val="22"/>
          <w:szCs w:val="22"/>
        </w:rPr>
        <w:t xml:space="preserve">To address this, building the business case is often highlighted as a prerequisite for business to </w:t>
      </w:r>
      <w:r w:rsidR="00C744AF" w:rsidRPr="009F54B9">
        <w:rPr>
          <w:snapToGrid w:val="0"/>
          <w:spacing w:val="-2"/>
          <w:kern w:val="22"/>
          <w:szCs w:val="22"/>
        </w:rPr>
        <w:t>recognize</w:t>
      </w:r>
      <w:r w:rsidRPr="009F54B9">
        <w:rPr>
          <w:snapToGrid w:val="0"/>
          <w:spacing w:val="-2"/>
          <w:kern w:val="22"/>
          <w:szCs w:val="22"/>
        </w:rPr>
        <w:t xml:space="preserve"> biodiversity as a material (important) issue</w:t>
      </w:r>
      <w:r w:rsidRPr="009F54B9">
        <w:rPr>
          <w:rStyle w:val="FootnoteReference"/>
          <w:snapToGrid w:val="0"/>
          <w:spacing w:val="-2"/>
          <w:kern w:val="22"/>
          <w:szCs w:val="22"/>
        </w:rPr>
        <w:footnoteReference w:id="111"/>
      </w:r>
      <w:r w:rsidRPr="009F54B9">
        <w:rPr>
          <w:snapToGrid w:val="0"/>
          <w:spacing w:val="-2"/>
          <w:kern w:val="22"/>
          <w:szCs w:val="22"/>
        </w:rPr>
        <w:t>. This involves the framing of value propositions, such as reputational and brank risks, compliance and liability risks, cost savings and new business opportunities, according to the expected values and needs of the target business audience (e.g., a company executive versus an environmental manager) so as to convince it. Yet, making the business case requires the appropriate set of information. This is why there has been increasing interests worldwide in the measurement and valuation of ecosystems / environmental impacts / natural capital (</w:t>
      </w:r>
      <w:proofErr w:type="spellStart"/>
      <w:r w:rsidRPr="009F54B9">
        <w:rPr>
          <w:snapToGrid w:val="0"/>
          <w:spacing w:val="-2"/>
          <w:kern w:val="22"/>
          <w:szCs w:val="22"/>
        </w:rPr>
        <w:t>Waage</w:t>
      </w:r>
      <w:proofErr w:type="spellEnd"/>
      <w:r w:rsidRPr="009F54B9">
        <w:rPr>
          <w:snapToGrid w:val="0"/>
          <w:spacing w:val="-2"/>
          <w:kern w:val="22"/>
          <w:szCs w:val="22"/>
        </w:rPr>
        <w:t>, 2014</w:t>
      </w:r>
      <w:r w:rsidRPr="009F54B9">
        <w:rPr>
          <w:rStyle w:val="FootnoteReference"/>
          <w:snapToGrid w:val="0"/>
          <w:spacing w:val="-2"/>
          <w:kern w:val="22"/>
          <w:szCs w:val="22"/>
        </w:rPr>
        <w:footnoteReference w:id="112"/>
      </w:r>
      <w:r w:rsidRPr="009F54B9">
        <w:rPr>
          <w:snapToGrid w:val="0"/>
          <w:spacing w:val="-2"/>
          <w:kern w:val="22"/>
          <w:szCs w:val="22"/>
        </w:rPr>
        <w:t>; Natural Capital Coalition, 2014</w:t>
      </w:r>
      <w:r w:rsidRPr="009F54B9">
        <w:rPr>
          <w:rStyle w:val="FootnoteReference"/>
          <w:snapToGrid w:val="0"/>
          <w:spacing w:val="-2"/>
          <w:kern w:val="22"/>
          <w:szCs w:val="22"/>
        </w:rPr>
        <w:footnoteReference w:id="113"/>
      </w:r>
      <w:r w:rsidRPr="009F54B9">
        <w:rPr>
          <w:snapToGrid w:val="0"/>
          <w:spacing w:val="-2"/>
          <w:kern w:val="22"/>
          <w:szCs w:val="22"/>
        </w:rPr>
        <w:t>). These are marketed as a key vehicle to integrate ecological understanding and economic considerations to redress the traditional neglect of business dependencies and impacts on ecosystem services in both private and public policy, decision-making and operations (TEEB 2012</w:t>
      </w:r>
      <w:r w:rsidRPr="009F54B9">
        <w:rPr>
          <w:rStyle w:val="FootnoteReference"/>
          <w:snapToGrid w:val="0"/>
          <w:spacing w:val="-2"/>
          <w:kern w:val="22"/>
          <w:szCs w:val="22"/>
        </w:rPr>
        <w:footnoteReference w:id="114"/>
      </w:r>
      <w:r w:rsidRPr="009F54B9">
        <w:rPr>
          <w:snapToGrid w:val="0"/>
          <w:spacing w:val="-2"/>
          <w:kern w:val="22"/>
          <w:szCs w:val="22"/>
        </w:rPr>
        <w:t>).</w:t>
      </w:r>
    </w:p>
    <w:p w14:paraId="170C8564" w14:textId="77777777" w:rsidR="008E44C6" w:rsidRPr="009F54B9" w:rsidRDefault="008E44C6" w:rsidP="00235727">
      <w:pPr>
        <w:rPr>
          <w:snapToGrid w:val="0"/>
          <w:kern w:val="22"/>
          <w:szCs w:val="22"/>
        </w:rPr>
      </w:pPr>
    </w:p>
    <w:p w14:paraId="5665FAF5" w14:textId="77777777" w:rsidR="008E44C6" w:rsidRPr="009F54B9" w:rsidRDefault="008E44C6" w:rsidP="009F54B9">
      <w:pPr>
        <w:keepNext/>
        <w:spacing w:before="120" w:after="120"/>
        <w:rPr>
          <w:snapToGrid w:val="0"/>
          <w:kern w:val="22"/>
          <w:szCs w:val="22"/>
        </w:rPr>
      </w:pPr>
      <w:r w:rsidRPr="009F54B9">
        <w:rPr>
          <w:snapToGrid w:val="0"/>
          <w:kern w:val="22"/>
          <w:szCs w:val="22"/>
        </w:rPr>
        <w:lastRenderedPageBreak/>
        <w:t>From this perspective, it is critical to distinguish between measurement and valuation:</w:t>
      </w:r>
    </w:p>
    <w:p w14:paraId="21597A99" w14:textId="77777777" w:rsidR="008E44C6" w:rsidRPr="009F54B9" w:rsidRDefault="008E44C6" w:rsidP="008E44C6">
      <w:pPr>
        <w:pStyle w:val="ListParagraph"/>
        <w:numPr>
          <w:ilvl w:val="0"/>
          <w:numId w:val="23"/>
        </w:numPr>
        <w:autoSpaceDE w:val="0"/>
        <w:autoSpaceDN w:val="0"/>
        <w:adjustRightInd w:val="0"/>
        <w:spacing w:line="360" w:lineRule="auto"/>
        <w:rPr>
          <w:snapToGrid w:val="0"/>
          <w:kern w:val="22"/>
          <w:szCs w:val="22"/>
        </w:rPr>
      </w:pPr>
      <w:r w:rsidRPr="009F54B9">
        <w:rPr>
          <w:snapToGrid w:val="0"/>
          <w:kern w:val="22"/>
          <w:szCs w:val="22"/>
        </w:rPr>
        <w:t>Measurement is the process of determining the amounts, extent, and condition of ecosystem components, functions, processes and services, in physical terms.</w:t>
      </w:r>
    </w:p>
    <w:p w14:paraId="00C10126" w14:textId="77777777" w:rsidR="008E44C6" w:rsidRPr="009F54B9" w:rsidRDefault="008E44C6" w:rsidP="008E44C6">
      <w:pPr>
        <w:pStyle w:val="ListParagraph"/>
        <w:numPr>
          <w:ilvl w:val="0"/>
          <w:numId w:val="23"/>
        </w:numPr>
        <w:autoSpaceDE w:val="0"/>
        <w:autoSpaceDN w:val="0"/>
        <w:adjustRightInd w:val="0"/>
        <w:spacing w:line="360" w:lineRule="auto"/>
        <w:rPr>
          <w:snapToGrid w:val="0"/>
          <w:kern w:val="22"/>
          <w:szCs w:val="22"/>
        </w:rPr>
      </w:pPr>
      <w:r w:rsidRPr="009F54B9">
        <w:rPr>
          <w:snapToGrid w:val="0"/>
          <w:kern w:val="22"/>
          <w:szCs w:val="22"/>
        </w:rPr>
        <w:t xml:space="preserve">Valuation refers to the process of estimating the relative importance, worth, or usefulness of ecosystem benefits and costs to people (or to a business), in a particular context. As put by </w:t>
      </w:r>
      <w:proofErr w:type="spellStart"/>
      <w:r w:rsidRPr="009F54B9">
        <w:rPr>
          <w:snapToGrid w:val="0"/>
          <w:kern w:val="22"/>
          <w:szCs w:val="22"/>
        </w:rPr>
        <w:t>Dendoncker</w:t>
      </w:r>
      <w:proofErr w:type="spellEnd"/>
      <w:r w:rsidRPr="009F54B9">
        <w:rPr>
          <w:snapToGrid w:val="0"/>
          <w:kern w:val="22"/>
          <w:szCs w:val="22"/>
        </w:rPr>
        <w:t xml:space="preserve"> et al. (2013</w:t>
      </w:r>
      <w:r w:rsidRPr="009F54B9">
        <w:rPr>
          <w:rStyle w:val="FootnoteReference"/>
          <w:snapToGrid w:val="0"/>
          <w:kern w:val="22"/>
          <w:szCs w:val="22"/>
        </w:rPr>
        <w:footnoteReference w:id="115"/>
      </w:r>
      <w:r w:rsidRPr="009F54B9">
        <w:rPr>
          <w:snapToGrid w:val="0"/>
          <w:kern w:val="22"/>
          <w:szCs w:val="22"/>
        </w:rPr>
        <w:t>), valuation is “the act of assessing, appraising or measuring value, as value attribution, or as framing valuation”. Valuation may thus involve qualitative, quantitative, or monetary approaches, or a combination of these.</w:t>
      </w:r>
    </w:p>
    <w:p w14:paraId="0755BFD0" w14:textId="77777777" w:rsidR="008E44C6" w:rsidRPr="009F54B9" w:rsidRDefault="008E44C6" w:rsidP="000663E6">
      <w:pPr>
        <w:rPr>
          <w:snapToGrid w:val="0"/>
          <w:kern w:val="22"/>
          <w:szCs w:val="22"/>
        </w:rPr>
      </w:pPr>
      <w:r w:rsidRPr="009F54B9">
        <w:rPr>
          <w:snapToGrid w:val="0"/>
          <w:kern w:val="22"/>
          <w:szCs w:val="22"/>
        </w:rPr>
        <w:t>Measurement and valuation go hand in hand, with measurement being a first step towards valuation. There cannot be any ecosystem impact or dependency valuation without any prior ecosystem impact or dependency measurement:  i.e. you need to assess how much natural resource or ecosystem service you use or impact before you can value its importance in a specific business context.</w:t>
      </w:r>
    </w:p>
    <w:p w14:paraId="7FAC3A18" w14:textId="77777777" w:rsidR="008E44C6" w:rsidRPr="009F54B9" w:rsidRDefault="008E44C6" w:rsidP="000663E6">
      <w:pPr>
        <w:rPr>
          <w:snapToGrid w:val="0"/>
          <w:kern w:val="22"/>
          <w:szCs w:val="22"/>
        </w:rPr>
      </w:pPr>
    </w:p>
    <w:p w14:paraId="0D3DA485" w14:textId="77777777" w:rsidR="008E44C6" w:rsidRPr="009F54B9" w:rsidRDefault="008E44C6" w:rsidP="000663E6">
      <w:pPr>
        <w:rPr>
          <w:snapToGrid w:val="0"/>
          <w:kern w:val="22"/>
          <w:szCs w:val="22"/>
        </w:rPr>
      </w:pPr>
      <w:r w:rsidRPr="009F54B9">
        <w:rPr>
          <w:snapToGrid w:val="0"/>
          <w:kern w:val="22"/>
          <w:szCs w:val="22"/>
        </w:rPr>
        <w:t>Biodiversity has received very little attention in business measurement (e.g., lack of quantified biodiversity-focused data in sustainability reports</w:t>
      </w:r>
      <w:r w:rsidRPr="009F54B9">
        <w:rPr>
          <w:rStyle w:val="FootnoteReference"/>
          <w:snapToGrid w:val="0"/>
          <w:kern w:val="22"/>
          <w:szCs w:val="22"/>
        </w:rPr>
        <w:footnoteReference w:id="116"/>
      </w:r>
      <w:r w:rsidRPr="009F54B9">
        <w:rPr>
          <w:snapToGrid w:val="0"/>
          <w:kern w:val="22"/>
          <w:szCs w:val="22"/>
        </w:rPr>
        <w:t xml:space="preserve">) and valuation to date. One key reason for this may be the lack of </w:t>
      </w:r>
      <w:r w:rsidR="00650A94">
        <w:rPr>
          <w:snapToGrid w:val="0"/>
          <w:kern w:val="22"/>
          <w:szCs w:val="22"/>
        </w:rPr>
        <w:t>standardized</w:t>
      </w:r>
      <w:r w:rsidRPr="009F54B9">
        <w:rPr>
          <w:snapToGrid w:val="0"/>
          <w:kern w:val="22"/>
          <w:szCs w:val="22"/>
        </w:rPr>
        <w:t xml:space="preserve"> biodiversity measuring protocol for business, as is available for the measurement of greenhouse gas emissions</w:t>
      </w:r>
      <w:r w:rsidRPr="009F54B9">
        <w:rPr>
          <w:rStyle w:val="FootnoteReference"/>
          <w:snapToGrid w:val="0"/>
          <w:kern w:val="22"/>
          <w:szCs w:val="22"/>
        </w:rPr>
        <w:footnoteReference w:id="117"/>
      </w:r>
      <w:r w:rsidRPr="009F54B9">
        <w:rPr>
          <w:snapToGrid w:val="0"/>
          <w:kern w:val="22"/>
          <w:szCs w:val="22"/>
        </w:rPr>
        <w:t>. Addressing this gap will go a long way towards putting biodiversity on the table for discussion by board members of manufacturing industries: i.e. companies currently do not know how to measure their biodiversity impacts and dependencies in a cost-effective manner (i.e. actual biodiversity loss, for instance expressed in habitat or population loss; beyond indicators on impact drivers related to air / water emissions and solid waste).</w:t>
      </w:r>
    </w:p>
    <w:p w14:paraId="10DD2C81" w14:textId="77777777" w:rsidR="008E44C6" w:rsidRPr="009F54B9" w:rsidRDefault="008E44C6" w:rsidP="000663E6">
      <w:pPr>
        <w:rPr>
          <w:snapToGrid w:val="0"/>
          <w:kern w:val="22"/>
          <w:szCs w:val="22"/>
        </w:rPr>
      </w:pPr>
    </w:p>
    <w:p w14:paraId="10010E75" w14:textId="77777777" w:rsidR="008E44C6" w:rsidRPr="009F54B9" w:rsidRDefault="008E44C6" w:rsidP="00A41490">
      <w:pPr>
        <w:pBdr>
          <w:top w:val="single" w:sz="4" w:space="1" w:color="auto"/>
          <w:left w:val="single" w:sz="4" w:space="4" w:color="auto"/>
          <w:bottom w:val="single" w:sz="4" w:space="1" w:color="auto"/>
          <w:right w:val="single" w:sz="4" w:space="4" w:color="auto"/>
        </w:pBdr>
        <w:ind w:left="60"/>
        <w:jc w:val="center"/>
        <w:rPr>
          <w:snapToGrid w:val="0"/>
          <w:kern w:val="22"/>
        </w:rPr>
      </w:pPr>
      <w:r w:rsidRPr="009F54B9">
        <w:rPr>
          <w:noProof/>
          <w:snapToGrid w:val="0"/>
          <w:kern w:val="22"/>
          <w:lang w:eastAsia="zh-CN"/>
        </w:rPr>
        <w:lastRenderedPageBreak/>
        <w:drawing>
          <wp:inline distT="0" distB="0" distL="0" distR="0" wp14:anchorId="4737702F" wp14:editId="34D7858E">
            <wp:extent cx="5570709" cy="3314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579998" cy="3320227"/>
                    </a:xfrm>
                    <a:prstGeom prst="rect">
                      <a:avLst/>
                    </a:prstGeom>
                    <a:noFill/>
                    <a:ln>
                      <a:noFill/>
                    </a:ln>
                  </pic:spPr>
                </pic:pic>
              </a:graphicData>
            </a:graphic>
          </wp:inline>
        </w:drawing>
      </w:r>
    </w:p>
    <w:p w14:paraId="13945DD2" w14:textId="77777777" w:rsidR="008E44C6" w:rsidRPr="009F54B9" w:rsidRDefault="008E44C6" w:rsidP="00E64DC8">
      <w:pPr>
        <w:pStyle w:val="Caption"/>
        <w:pBdr>
          <w:top w:val="single" w:sz="4" w:space="1" w:color="auto"/>
          <w:left w:val="single" w:sz="4" w:space="4" w:color="auto"/>
          <w:bottom w:val="single" w:sz="4" w:space="1" w:color="auto"/>
          <w:right w:val="single" w:sz="4" w:space="4" w:color="auto"/>
        </w:pBdr>
        <w:ind w:left="60"/>
        <w:jc w:val="center"/>
        <w:rPr>
          <w:snapToGrid w:val="0"/>
          <w:spacing w:val="-6"/>
          <w:kern w:val="22"/>
        </w:rPr>
      </w:pPr>
      <w:bookmarkStart w:id="49" w:name="_Toc486485395"/>
      <w:bookmarkStart w:id="50" w:name="_Toc517688918"/>
      <w:r w:rsidRPr="009F54B9">
        <w:rPr>
          <w:snapToGrid w:val="0"/>
          <w:spacing w:val="-6"/>
          <w:kern w:val="22"/>
        </w:rPr>
        <w:t xml:space="preserve">Figure </w:t>
      </w:r>
      <w:r w:rsidRPr="009F54B9">
        <w:rPr>
          <w:snapToGrid w:val="0"/>
          <w:spacing w:val="-6"/>
          <w:kern w:val="22"/>
        </w:rPr>
        <w:fldChar w:fldCharType="begin"/>
      </w:r>
      <w:r w:rsidRPr="009F54B9">
        <w:rPr>
          <w:snapToGrid w:val="0"/>
          <w:spacing w:val="-6"/>
          <w:kern w:val="22"/>
        </w:rPr>
        <w:instrText xml:space="preserve"> SEQ Figure \* ARABIC </w:instrText>
      </w:r>
      <w:r w:rsidRPr="009F54B9">
        <w:rPr>
          <w:snapToGrid w:val="0"/>
          <w:spacing w:val="-6"/>
          <w:kern w:val="22"/>
        </w:rPr>
        <w:fldChar w:fldCharType="separate"/>
      </w:r>
      <w:r w:rsidRPr="009F54B9">
        <w:rPr>
          <w:noProof/>
          <w:snapToGrid w:val="0"/>
          <w:spacing w:val="-6"/>
          <w:kern w:val="22"/>
        </w:rPr>
        <w:t>20</w:t>
      </w:r>
      <w:r w:rsidRPr="009F54B9">
        <w:rPr>
          <w:noProof/>
          <w:snapToGrid w:val="0"/>
          <w:spacing w:val="-6"/>
          <w:kern w:val="22"/>
        </w:rPr>
        <w:fldChar w:fldCharType="end"/>
      </w:r>
      <w:r w:rsidRPr="009F54B9">
        <w:rPr>
          <w:snapToGrid w:val="0"/>
          <w:spacing w:val="-6"/>
          <w:kern w:val="22"/>
        </w:rPr>
        <w:t>: Methodological toolbox for an integrated valuation of ecosystem services which considers non-monetary and monetary valuation methods and the value-pluralism (Gómez-</w:t>
      </w:r>
      <w:proofErr w:type="spellStart"/>
      <w:r w:rsidRPr="009F54B9">
        <w:rPr>
          <w:snapToGrid w:val="0"/>
          <w:spacing w:val="-6"/>
          <w:kern w:val="22"/>
        </w:rPr>
        <w:t>Baggethun</w:t>
      </w:r>
      <w:proofErr w:type="spellEnd"/>
      <w:r w:rsidRPr="009F54B9">
        <w:rPr>
          <w:snapToGrid w:val="0"/>
          <w:spacing w:val="-6"/>
          <w:kern w:val="22"/>
        </w:rPr>
        <w:t xml:space="preserve"> </w:t>
      </w:r>
      <w:r w:rsidRPr="009F54B9">
        <w:rPr>
          <w:i/>
          <w:snapToGrid w:val="0"/>
          <w:spacing w:val="-6"/>
          <w:kern w:val="22"/>
        </w:rPr>
        <w:t>et al</w:t>
      </w:r>
      <w:r w:rsidRPr="009F54B9">
        <w:rPr>
          <w:snapToGrid w:val="0"/>
          <w:spacing w:val="-6"/>
          <w:kern w:val="22"/>
        </w:rPr>
        <w:t>., 2014</w:t>
      </w:r>
      <w:r w:rsidRPr="009F54B9">
        <w:rPr>
          <w:rStyle w:val="FootnoteReference"/>
          <w:snapToGrid w:val="0"/>
          <w:spacing w:val="-6"/>
          <w:kern w:val="22"/>
        </w:rPr>
        <w:footnoteReference w:id="118"/>
      </w:r>
      <w:r w:rsidRPr="009F54B9">
        <w:rPr>
          <w:snapToGrid w:val="0"/>
          <w:spacing w:val="-6"/>
          <w:kern w:val="22"/>
        </w:rPr>
        <w:t>)</w:t>
      </w:r>
      <w:bookmarkEnd w:id="49"/>
      <w:bookmarkEnd w:id="50"/>
    </w:p>
    <w:p w14:paraId="3DE0076C" w14:textId="77777777" w:rsidR="008E44C6" w:rsidRPr="009F54B9" w:rsidRDefault="008E44C6" w:rsidP="000663E6">
      <w:pPr>
        <w:rPr>
          <w:snapToGrid w:val="0"/>
          <w:kern w:val="22"/>
          <w:szCs w:val="22"/>
        </w:rPr>
      </w:pPr>
    </w:p>
    <w:p w14:paraId="568994AC" w14:textId="77777777" w:rsidR="008E44C6" w:rsidRPr="009F54B9" w:rsidRDefault="008E44C6" w:rsidP="005F5660">
      <w:pPr>
        <w:rPr>
          <w:snapToGrid w:val="0"/>
          <w:kern w:val="22"/>
          <w:szCs w:val="22"/>
        </w:rPr>
      </w:pPr>
      <w:r w:rsidRPr="009F54B9">
        <w:rPr>
          <w:snapToGrid w:val="0"/>
          <w:kern w:val="22"/>
          <w:szCs w:val="22"/>
        </w:rPr>
        <w:t xml:space="preserve">Another challenge is linked to existing misunderstandings about values, valuation processes, their uses and applications in real world settings. Many stakeholders focus on monistic valuation approaches (i.e. a single currency / indicator / value type is used to convince people) failing to </w:t>
      </w:r>
      <w:r w:rsidR="00C744AF">
        <w:rPr>
          <w:snapToGrid w:val="0"/>
          <w:kern w:val="22"/>
          <w:szCs w:val="22"/>
        </w:rPr>
        <w:t>recognize</w:t>
      </w:r>
      <w:r w:rsidRPr="009F54B9">
        <w:rPr>
          <w:snapToGrid w:val="0"/>
          <w:kern w:val="22"/>
          <w:szCs w:val="22"/>
        </w:rPr>
        <w:t xml:space="preserve"> the diversity of values that people adhere to and the associated valuation approaches / methods (Figure 20). Typically, many assume that monetary valuation (i.e. a single, monistic value framing perspective) is the only way to convince decision-makers in the private sector of the importance of biodiversity and its conservation / sustainable use. Yet, the overreliance on monetary value framing may not be successful in convincing everyone, including company management and employees, as it fails to </w:t>
      </w:r>
      <w:r w:rsidR="00C744AF">
        <w:rPr>
          <w:snapToGrid w:val="0"/>
          <w:kern w:val="22"/>
          <w:szCs w:val="22"/>
        </w:rPr>
        <w:t>recognize</w:t>
      </w:r>
      <w:r w:rsidRPr="009F54B9">
        <w:rPr>
          <w:snapToGrid w:val="0"/>
          <w:kern w:val="22"/>
          <w:szCs w:val="22"/>
        </w:rPr>
        <w:t xml:space="preserve"> that:</w:t>
      </w:r>
    </w:p>
    <w:p w14:paraId="77196D89"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szCs w:val="22"/>
        </w:rPr>
      </w:pPr>
      <w:r w:rsidRPr="009F54B9">
        <w:rPr>
          <w:snapToGrid w:val="0"/>
          <w:kern w:val="22"/>
          <w:szCs w:val="22"/>
        </w:rPr>
        <w:t>Not all biodiversity components have significant economic values (e.g., threatened species little known by the public and companies) while economic valuation methods have well researched limitations (e.g., TEEB 2010</w:t>
      </w:r>
      <w:r w:rsidRPr="009F54B9">
        <w:rPr>
          <w:rStyle w:val="FootnoteReference"/>
          <w:snapToGrid w:val="0"/>
          <w:kern w:val="22"/>
          <w:szCs w:val="22"/>
        </w:rPr>
        <w:footnoteReference w:id="119"/>
      </w:r>
      <w:r w:rsidRPr="009F54B9">
        <w:rPr>
          <w:snapToGrid w:val="0"/>
          <w:kern w:val="22"/>
          <w:szCs w:val="22"/>
        </w:rPr>
        <w:t>).</w:t>
      </w:r>
    </w:p>
    <w:p w14:paraId="258C25EB"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szCs w:val="22"/>
        </w:rPr>
      </w:pPr>
      <w:r w:rsidRPr="009F54B9">
        <w:rPr>
          <w:snapToGrid w:val="0"/>
          <w:kern w:val="22"/>
          <w:szCs w:val="22"/>
        </w:rPr>
        <w:t xml:space="preserve">The economic value of ecosystem services is often smaller to that of industrial projects in trade-off analysis (e.g., </w:t>
      </w:r>
      <w:proofErr w:type="spellStart"/>
      <w:r w:rsidRPr="009F54B9">
        <w:rPr>
          <w:snapToGrid w:val="0"/>
          <w:kern w:val="22"/>
          <w:szCs w:val="22"/>
        </w:rPr>
        <w:t>Houdet</w:t>
      </w:r>
      <w:proofErr w:type="spellEnd"/>
      <w:r w:rsidRPr="009F54B9">
        <w:rPr>
          <w:snapToGrid w:val="0"/>
          <w:kern w:val="22"/>
          <w:szCs w:val="22"/>
        </w:rPr>
        <w:t xml:space="preserve"> and </w:t>
      </w:r>
      <w:proofErr w:type="spellStart"/>
      <w:r w:rsidRPr="009F54B9">
        <w:rPr>
          <w:snapToGrid w:val="0"/>
          <w:kern w:val="22"/>
          <w:szCs w:val="22"/>
        </w:rPr>
        <w:t>Chikozho</w:t>
      </w:r>
      <w:proofErr w:type="spellEnd"/>
      <w:r w:rsidRPr="009F54B9">
        <w:rPr>
          <w:snapToGrid w:val="0"/>
          <w:kern w:val="22"/>
          <w:szCs w:val="22"/>
        </w:rPr>
        <w:t>, 2015</w:t>
      </w:r>
      <w:r w:rsidRPr="009F54B9">
        <w:rPr>
          <w:rStyle w:val="FootnoteReference"/>
          <w:snapToGrid w:val="0"/>
          <w:kern w:val="22"/>
          <w:szCs w:val="22"/>
        </w:rPr>
        <w:footnoteReference w:id="120"/>
      </w:r>
      <w:r w:rsidRPr="009F54B9">
        <w:rPr>
          <w:snapToGrid w:val="0"/>
          <w:kern w:val="22"/>
          <w:szCs w:val="22"/>
        </w:rPr>
        <w:t>), this approach thus often working against conservation or sustainable use interests.</w:t>
      </w:r>
    </w:p>
    <w:p w14:paraId="0C9779AC"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szCs w:val="22"/>
        </w:rPr>
      </w:pPr>
      <w:r w:rsidRPr="009F54B9">
        <w:rPr>
          <w:snapToGrid w:val="0"/>
          <w:kern w:val="22"/>
          <w:szCs w:val="22"/>
        </w:rPr>
        <w:t xml:space="preserve">Economic values do not equate to financial values (i.e. actual business revenues, expenses, assets and liabilities): Highly valuable ecosystem services in economic terms may not necessarily be captured or appropriated by business due to the lack of existing markets and / or enabling regulatory </w:t>
      </w:r>
      <w:r w:rsidRPr="009F54B9">
        <w:rPr>
          <w:snapToGrid w:val="0"/>
          <w:kern w:val="22"/>
          <w:szCs w:val="22"/>
        </w:rPr>
        <w:lastRenderedPageBreak/>
        <w:t xml:space="preserve">environments which allow the trade of exchangeable units related to such ecosystem services (e.g., market regulations enabling carbon credit trading) (Ruhl </w:t>
      </w:r>
      <w:r w:rsidRPr="009F54B9">
        <w:rPr>
          <w:i/>
          <w:snapToGrid w:val="0"/>
          <w:kern w:val="22"/>
          <w:szCs w:val="22"/>
        </w:rPr>
        <w:t>et al</w:t>
      </w:r>
      <w:r w:rsidRPr="009F54B9">
        <w:rPr>
          <w:snapToGrid w:val="0"/>
          <w:kern w:val="22"/>
          <w:szCs w:val="22"/>
        </w:rPr>
        <w:t>., 2017)</w:t>
      </w:r>
      <w:r w:rsidRPr="009F54B9">
        <w:rPr>
          <w:rStyle w:val="FootnoteReference"/>
          <w:snapToGrid w:val="0"/>
          <w:kern w:val="22"/>
          <w:szCs w:val="22"/>
        </w:rPr>
        <w:footnoteReference w:id="121"/>
      </w:r>
      <w:r w:rsidRPr="009F54B9">
        <w:rPr>
          <w:snapToGrid w:val="0"/>
          <w:kern w:val="22"/>
          <w:szCs w:val="22"/>
        </w:rPr>
        <w:t>. This implies that business do not readily change their viewpoints and practices based on the results of monetary valuation studies. They require tangible, demonstrable proof that revenue from biodiversity can be generated and captured for their own purposes for them to conserve or manage it sustainability.</w:t>
      </w:r>
    </w:p>
    <w:p w14:paraId="2A237209"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szCs w:val="22"/>
        </w:rPr>
      </w:pPr>
      <w:r w:rsidRPr="009F54B9">
        <w:rPr>
          <w:snapToGrid w:val="0"/>
          <w:kern w:val="22"/>
          <w:szCs w:val="22"/>
        </w:rPr>
        <w:t xml:space="preserve">The business case can be made through multiple value framing perspectives (e.g., Maze </w:t>
      </w:r>
      <w:r w:rsidRPr="009F54B9">
        <w:rPr>
          <w:i/>
          <w:snapToGrid w:val="0"/>
          <w:kern w:val="22"/>
          <w:szCs w:val="22"/>
        </w:rPr>
        <w:t>et al</w:t>
      </w:r>
      <w:r w:rsidRPr="009F54B9">
        <w:rPr>
          <w:snapToGrid w:val="0"/>
          <w:kern w:val="22"/>
          <w:szCs w:val="22"/>
        </w:rPr>
        <w:t>. 2016)</w:t>
      </w:r>
      <w:r w:rsidRPr="009F54B9">
        <w:rPr>
          <w:rStyle w:val="FootnoteReference"/>
          <w:snapToGrid w:val="0"/>
          <w:kern w:val="22"/>
          <w:szCs w:val="22"/>
        </w:rPr>
        <w:footnoteReference w:id="122"/>
      </w:r>
      <w:r w:rsidRPr="009F54B9">
        <w:rPr>
          <w:snapToGrid w:val="0"/>
          <w:kern w:val="22"/>
          <w:szCs w:val="22"/>
        </w:rPr>
        <w:t xml:space="preserve"> (Table 10) which can all contribute to changing social norms that may eventually lead to changes in (what is considered acceptable) business practices. This argument can be made in reference to relatively recent (from the perspective of the history of human species) changes in social norms regarding child labour or slavery where competing value perspectives have been used to drive meaningful change.</w:t>
      </w:r>
    </w:p>
    <w:p w14:paraId="2CDA7FBD" w14:textId="77777777" w:rsidR="008E44C6" w:rsidRPr="009F54B9" w:rsidRDefault="008E44C6" w:rsidP="00A07579">
      <w:pPr>
        <w:rPr>
          <w:snapToGrid w:val="0"/>
          <w:kern w:val="22"/>
          <w:szCs w:val="22"/>
        </w:rPr>
      </w:pPr>
    </w:p>
    <w:p w14:paraId="55633F8A" w14:textId="77777777" w:rsidR="008E44C6" w:rsidRPr="009F54B9" w:rsidRDefault="008E44C6" w:rsidP="00A07579">
      <w:pPr>
        <w:rPr>
          <w:snapToGrid w:val="0"/>
          <w:kern w:val="22"/>
          <w:szCs w:val="22"/>
        </w:rPr>
      </w:pPr>
    </w:p>
    <w:p w14:paraId="5B896EB8" w14:textId="77777777" w:rsidR="008E44C6" w:rsidRPr="009F54B9" w:rsidRDefault="008E44C6" w:rsidP="00A07579">
      <w:pPr>
        <w:rPr>
          <w:snapToGrid w:val="0"/>
          <w:kern w:val="22"/>
          <w:szCs w:val="22"/>
        </w:rPr>
      </w:pPr>
    </w:p>
    <w:p w14:paraId="42695DAA" w14:textId="77777777" w:rsidR="008E44C6" w:rsidRPr="009F54B9" w:rsidRDefault="008E44C6" w:rsidP="00A07579">
      <w:pPr>
        <w:pStyle w:val="Caption"/>
        <w:jc w:val="center"/>
        <w:rPr>
          <w:snapToGrid w:val="0"/>
          <w:kern w:val="22"/>
        </w:rPr>
      </w:pPr>
      <w:bookmarkStart w:id="51" w:name="_Toc486485405"/>
      <w:bookmarkStart w:id="52" w:name="_Toc517688929"/>
      <w:r w:rsidRPr="009F54B9">
        <w:rPr>
          <w:snapToGrid w:val="0"/>
          <w:kern w:val="22"/>
        </w:rPr>
        <w:t xml:space="preserve">Table </w:t>
      </w:r>
      <w:r w:rsidRPr="009F54B9">
        <w:rPr>
          <w:snapToGrid w:val="0"/>
          <w:kern w:val="22"/>
        </w:rPr>
        <w:fldChar w:fldCharType="begin"/>
      </w:r>
      <w:r w:rsidRPr="009F54B9">
        <w:rPr>
          <w:snapToGrid w:val="0"/>
          <w:kern w:val="22"/>
        </w:rPr>
        <w:instrText xml:space="preserve"> SEQ Table \* ARABIC </w:instrText>
      </w:r>
      <w:r w:rsidRPr="009F54B9">
        <w:rPr>
          <w:snapToGrid w:val="0"/>
          <w:kern w:val="22"/>
        </w:rPr>
        <w:fldChar w:fldCharType="separate"/>
      </w:r>
      <w:r w:rsidRPr="009F54B9">
        <w:rPr>
          <w:noProof/>
          <w:snapToGrid w:val="0"/>
          <w:kern w:val="22"/>
        </w:rPr>
        <w:t>10</w:t>
      </w:r>
      <w:r w:rsidRPr="009F54B9">
        <w:rPr>
          <w:noProof/>
          <w:snapToGrid w:val="0"/>
          <w:kern w:val="22"/>
        </w:rPr>
        <w:fldChar w:fldCharType="end"/>
      </w:r>
      <w:r w:rsidRPr="009F54B9">
        <w:rPr>
          <w:snapToGrid w:val="0"/>
          <w:kern w:val="22"/>
        </w:rPr>
        <w:t>: Different value perspectives in business natural capital valuation (Natural Capital Coalition 2016)</w:t>
      </w:r>
      <w:bookmarkEnd w:id="51"/>
      <w:bookmarkEnd w:id="52"/>
    </w:p>
    <w:tbl>
      <w:tblPr>
        <w:tblStyle w:val="LightShading1"/>
        <w:tblW w:w="0" w:type="auto"/>
        <w:jc w:val="center"/>
        <w:tblLook w:val="06A0" w:firstRow="1" w:lastRow="0" w:firstColumn="1" w:lastColumn="0" w:noHBand="1" w:noVBand="1"/>
      </w:tblPr>
      <w:tblGrid>
        <w:gridCol w:w="2235"/>
        <w:gridCol w:w="7007"/>
      </w:tblGrid>
      <w:tr w:rsidR="008E44C6" w:rsidRPr="00DF1117" w14:paraId="2498E36F" w14:textId="77777777" w:rsidTr="009F54B9">
        <w:trPr>
          <w:cnfStyle w:val="100000000000" w:firstRow="1" w:lastRow="0" w:firstColumn="0" w:lastColumn="0" w:oddVBand="0" w:evenVBand="0" w:oddHBand="0"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2235" w:type="dxa"/>
            <w:shd w:val="clear" w:color="auto" w:fill="EEECE1" w:themeFill="background2"/>
          </w:tcPr>
          <w:p w14:paraId="5F3B0DE9" w14:textId="77777777" w:rsidR="008E44C6" w:rsidRPr="009F54B9" w:rsidRDefault="008E44C6" w:rsidP="00306573">
            <w:pPr>
              <w:spacing w:before="60" w:after="60"/>
              <w:jc w:val="left"/>
              <w:rPr>
                <w:rFonts w:eastAsia="Calibri"/>
                <w:snapToGrid w:val="0"/>
                <w:kern w:val="22"/>
                <w:sz w:val="20"/>
                <w:szCs w:val="20"/>
              </w:rPr>
            </w:pPr>
            <w:r w:rsidRPr="009F54B9">
              <w:rPr>
                <w:rFonts w:eastAsia="Calibri"/>
                <w:snapToGrid w:val="0"/>
                <w:kern w:val="22"/>
                <w:sz w:val="20"/>
                <w:szCs w:val="20"/>
              </w:rPr>
              <w:t>Value perspective</w:t>
            </w:r>
          </w:p>
        </w:tc>
        <w:tc>
          <w:tcPr>
            <w:tcW w:w="7007" w:type="dxa"/>
            <w:shd w:val="clear" w:color="auto" w:fill="EEECE1" w:themeFill="background2"/>
          </w:tcPr>
          <w:p w14:paraId="77918499" w14:textId="77777777" w:rsidR="008E44C6" w:rsidRPr="009F54B9" w:rsidRDefault="008E44C6" w:rsidP="00306573">
            <w:pPr>
              <w:spacing w:before="60" w:after="60"/>
              <w:jc w:val="left"/>
              <w:cnfStyle w:val="100000000000" w:firstRow="1" w:lastRow="0" w:firstColumn="0" w:lastColumn="0" w:oddVBand="0" w:evenVBand="0" w:oddHBand="0" w:evenHBand="0" w:firstRowFirstColumn="0" w:firstRowLastColumn="0" w:lastRowFirstColumn="0" w:lastRowLastColumn="0"/>
              <w:rPr>
                <w:rFonts w:eastAsia="Calibri"/>
                <w:snapToGrid w:val="0"/>
                <w:kern w:val="22"/>
                <w:sz w:val="20"/>
                <w:szCs w:val="20"/>
              </w:rPr>
            </w:pPr>
            <w:r w:rsidRPr="009F54B9">
              <w:rPr>
                <w:rFonts w:eastAsia="Calibri"/>
                <w:snapToGrid w:val="0"/>
                <w:kern w:val="22"/>
                <w:sz w:val="20"/>
                <w:szCs w:val="20"/>
              </w:rPr>
              <w:t>Typically used to</w:t>
            </w:r>
          </w:p>
        </w:tc>
      </w:tr>
      <w:tr w:rsidR="008E44C6" w:rsidRPr="00DF1117" w14:paraId="4BD02B2E" w14:textId="77777777" w:rsidTr="009F54B9">
        <w:trPr>
          <w:cantSplit/>
          <w:jc w:val="center"/>
        </w:trPr>
        <w:tc>
          <w:tcPr>
            <w:cnfStyle w:val="001000000000" w:firstRow="0" w:lastRow="0" w:firstColumn="1" w:lastColumn="0" w:oddVBand="0" w:evenVBand="0" w:oddHBand="0" w:evenHBand="0" w:firstRowFirstColumn="0" w:firstRowLastColumn="0" w:lastRowFirstColumn="0" w:lastRowLastColumn="0"/>
            <w:tcW w:w="2235" w:type="dxa"/>
            <w:tcBorders>
              <w:top w:val="single" w:sz="8" w:space="0" w:color="000000" w:themeColor="text1"/>
              <w:bottom w:val="single" w:sz="4" w:space="0" w:color="auto"/>
            </w:tcBorders>
          </w:tcPr>
          <w:p w14:paraId="1859EAED" w14:textId="77777777" w:rsidR="008E44C6" w:rsidRPr="009F54B9" w:rsidRDefault="008E44C6" w:rsidP="00306573">
            <w:pPr>
              <w:spacing w:before="60"/>
              <w:jc w:val="left"/>
              <w:rPr>
                <w:rFonts w:eastAsia="Calibri"/>
                <w:snapToGrid w:val="0"/>
                <w:kern w:val="22"/>
                <w:sz w:val="20"/>
                <w:szCs w:val="20"/>
              </w:rPr>
            </w:pPr>
            <w:r w:rsidRPr="009F54B9">
              <w:rPr>
                <w:rFonts w:eastAsia="Calibri"/>
                <w:snapToGrid w:val="0"/>
                <w:kern w:val="22"/>
                <w:sz w:val="20"/>
                <w:szCs w:val="20"/>
              </w:rPr>
              <w:t>Business value</w:t>
            </w:r>
          </w:p>
        </w:tc>
        <w:tc>
          <w:tcPr>
            <w:tcW w:w="7007" w:type="dxa"/>
            <w:tcBorders>
              <w:top w:val="single" w:sz="8" w:space="0" w:color="000000" w:themeColor="text1"/>
              <w:bottom w:val="single" w:sz="4" w:space="0" w:color="auto"/>
            </w:tcBorders>
          </w:tcPr>
          <w:p w14:paraId="4C963228" w14:textId="77777777" w:rsidR="008E44C6" w:rsidRPr="009F54B9" w:rsidRDefault="008E44C6" w:rsidP="008E44C6">
            <w:pPr>
              <w:numPr>
                <w:ilvl w:val="0"/>
                <w:numId w:val="25"/>
              </w:numPr>
              <w:spacing w:before="60"/>
              <w:ind w:left="357" w:hanging="357"/>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sz w:val="20"/>
                <w:szCs w:val="20"/>
              </w:rPr>
            </w:pPr>
            <w:r w:rsidRPr="009F54B9">
              <w:rPr>
                <w:rFonts w:eastAsia="Calibri"/>
                <w:snapToGrid w:val="0"/>
                <w:kern w:val="22"/>
                <w:sz w:val="20"/>
                <w:szCs w:val="20"/>
              </w:rPr>
              <w:t>Assess how natural capital impacts and/or dependencies affect, positively or negatively, the financial performance of the company (i.e., the bottom line) and thus the value at risk.</w:t>
            </w:r>
          </w:p>
          <w:p w14:paraId="390EFAE1" w14:textId="77777777" w:rsidR="008E44C6" w:rsidRPr="009F54B9" w:rsidRDefault="008E44C6" w:rsidP="008E44C6">
            <w:pPr>
              <w:numPr>
                <w:ilvl w:val="0"/>
                <w:numId w:val="25"/>
              </w:numPr>
              <w:spacing w:before="60"/>
              <w:ind w:left="357" w:hanging="357"/>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sz w:val="20"/>
                <w:szCs w:val="20"/>
              </w:rPr>
            </w:pPr>
            <w:r w:rsidRPr="009F54B9">
              <w:rPr>
                <w:rFonts w:eastAsia="Calibri"/>
                <w:snapToGrid w:val="0"/>
                <w:kern w:val="22"/>
                <w:sz w:val="20"/>
                <w:szCs w:val="20"/>
              </w:rPr>
              <w:t>Assess company exposure to risks arising from its impacts and/or dependencies.</w:t>
            </w:r>
          </w:p>
          <w:p w14:paraId="0EBB551F" w14:textId="77777777" w:rsidR="008E44C6" w:rsidRPr="009F54B9" w:rsidRDefault="008E44C6" w:rsidP="008E44C6">
            <w:pPr>
              <w:numPr>
                <w:ilvl w:val="0"/>
                <w:numId w:val="25"/>
              </w:numPr>
              <w:spacing w:before="60"/>
              <w:ind w:left="357" w:hanging="357"/>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sz w:val="20"/>
                <w:szCs w:val="20"/>
              </w:rPr>
            </w:pPr>
            <w:r w:rsidRPr="009F54B9">
              <w:rPr>
                <w:rFonts w:eastAsia="Calibri"/>
                <w:snapToGrid w:val="0"/>
                <w:kern w:val="22"/>
                <w:sz w:val="20"/>
                <w:szCs w:val="20"/>
              </w:rPr>
              <w:t>Minimise company expenses or liabilities and maximise company revenues/receivables.</w:t>
            </w:r>
          </w:p>
          <w:p w14:paraId="43BD2F66" w14:textId="77777777" w:rsidR="008E44C6" w:rsidRPr="009F54B9" w:rsidRDefault="008E44C6" w:rsidP="008E44C6">
            <w:pPr>
              <w:numPr>
                <w:ilvl w:val="0"/>
                <w:numId w:val="25"/>
              </w:numPr>
              <w:spacing w:before="60"/>
              <w:ind w:left="357" w:hanging="357"/>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sz w:val="20"/>
                <w:szCs w:val="20"/>
              </w:rPr>
            </w:pPr>
            <w:r w:rsidRPr="009F54B9">
              <w:rPr>
                <w:rFonts w:eastAsia="Calibri"/>
                <w:snapToGrid w:val="0"/>
                <w:kern w:val="22"/>
                <w:sz w:val="20"/>
                <w:szCs w:val="20"/>
              </w:rPr>
              <w:t>Communicate to shareholders, budget control staff, management and creditors.</w:t>
            </w:r>
          </w:p>
        </w:tc>
      </w:tr>
      <w:tr w:rsidR="008E44C6" w:rsidRPr="00DF1117" w14:paraId="0464AC31" w14:textId="77777777" w:rsidTr="009F54B9">
        <w:trPr>
          <w:cantSplit/>
          <w:jc w:val="center"/>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bottom w:val="single" w:sz="4" w:space="0" w:color="auto"/>
            </w:tcBorders>
          </w:tcPr>
          <w:p w14:paraId="0C15565C" w14:textId="77777777" w:rsidR="008E44C6" w:rsidRPr="009F54B9" w:rsidRDefault="008E44C6" w:rsidP="00306573">
            <w:pPr>
              <w:spacing w:before="60" w:after="60"/>
              <w:jc w:val="left"/>
              <w:rPr>
                <w:rFonts w:eastAsia="Calibri"/>
                <w:snapToGrid w:val="0"/>
                <w:kern w:val="22"/>
                <w:sz w:val="20"/>
                <w:szCs w:val="20"/>
              </w:rPr>
            </w:pPr>
            <w:r w:rsidRPr="009F54B9">
              <w:rPr>
                <w:rFonts w:eastAsia="Calibri"/>
                <w:snapToGrid w:val="0"/>
                <w:kern w:val="22"/>
                <w:sz w:val="20"/>
                <w:szCs w:val="20"/>
              </w:rPr>
              <w:t>Societal value</w:t>
            </w:r>
          </w:p>
        </w:tc>
        <w:tc>
          <w:tcPr>
            <w:tcW w:w="7007" w:type="dxa"/>
            <w:tcBorders>
              <w:top w:val="single" w:sz="4" w:space="0" w:color="auto"/>
              <w:bottom w:val="single" w:sz="4" w:space="0" w:color="auto"/>
            </w:tcBorders>
          </w:tcPr>
          <w:p w14:paraId="299EC850" w14:textId="77777777" w:rsidR="008E44C6" w:rsidRPr="009F54B9" w:rsidRDefault="008E44C6" w:rsidP="008E44C6">
            <w:pPr>
              <w:numPr>
                <w:ilvl w:val="0"/>
                <w:numId w:val="26"/>
              </w:numPr>
              <w:spacing w:before="60"/>
              <w:ind w:left="357" w:hanging="357"/>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sz w:val="20"/>
                <w:szCs w:val="20"/>
              </w:rPr>
            </w:pPr>
            <w:r w:rsidRPr="009F54B9">
              <w:rPr>
                <w:rFonts w:eastAsia="Calibri"/>
                <w:snapToGrid w:val="0"/>
                <w:kern w:val="22"/>
                <w:sz w:val="20"/>
                <w:szCs w:val="20"/>
              </w:rPr>
              <w:t>Understand the significance of your natural capital impacts and dependencies to other/external stakeholders.</w:t>
            </w:r>
          </w:p>
          <w:p w14:paraId="4B776414" w14:textId="77777777" w:rsidR="008E44C6" w:rsidRPr="009F54B9" w:rsidRDefault="008E44C6" w:rsidP="008E44C6">
            <w:pPr>
              <w:numPr>
                <w:ilvl w:val="0"/>
                <w:numId w:val="26"/>
              </w:numPr>
              <w:spacing w:before="60"/>
              <w:ind w:left="357" w:hanging="357"/>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sz w:val="20"/>
                <w:szCs w:val="20"/>
              </w:rPr>
            </w:pPr>
            <w:r w:rsidRPr="009F54B9">
              <w:rPr>
                <w:rFonts w:eastAsia="Calibri"/>
                <w:snapToGrid w:val="0"/>
                <w:kern w:val="22"/>
                <w:sz w:val="20"/>
                <w:szCs w:val="20"/>
              </w:rPr>
              <w:t>Determine outcomes for society, assess which stakeholders are affected and how much, and assess net impacts to society.</w:t>
            </w:r>
          </w:p>
          <w:p w14:paraId="3E4723E4" w14:textId="77777777" w:rsidR="008E44C6" w:rsidRPr="009F54B9" w:rsidRDefault="008E44C6" w:rsidP="008E44C6">
            <w:pPr>
              <w:numPr>
                <w:ilvl w:val="0"/>
                <w:numId w:val="26"/>
              </w:numPr>
              <w:spacing w:before="60"/>
              <w:ind w:left="357" w:hanging="357"/>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sz w:val="20"/>
                <w:szCs w:val="20"/>
              </w:rPr>
            </w:pPr>
            <w:r w:rsidRPr="009F54B9">
              <w:rPr>
                <w:rFonts w:eastAsia="Calibri"/>
                <w:snapToGrid w:val="0"/>
                <w:kern w:val="22"/>
                <w:sz w:val="20"/>
                <w:szCs w:val="20"/>
              </w:rPr>
              <w:t>Investigate the potential nature and extent of future risks and opportunities, including license to operate, and reputational issues.</w:t>
            </w:r>
          </w:p>
          <w:p w14:paraId="4A38A663" w14:textId="77777777" w:rsidR="008E44C6" w:rsidRPr="009F54B9" w:rsidRDefault="008E44C6" w:rsidP="008E44C6">
            <w:pPr>
              <w:numPr>
                <w:ilvl w:val="0"/>
                <w:numId w:val="26"/>
              </w:numPr>
              <w:spacing w:before="60"/>
              <w:ind w:left="357" w:hanging="357"/>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sz w:val="20"/>
                <w:szCs w:val="20"/>
              </w:rPr>
            </w:pPr>
            <w:r w:rsidRPr="009F54B9">
              <w:rPr>
                <w:rFonts w:eastAsia="Calibri"/>
                <w:snapToGrid w:val="0"/>
                <w:kern w:val="22"/>
                <w:sz w:val="20"/>
                <w:szCs w:val="20"/>
              </w:rPr>
              <w:t>Assess risks and opportunities associated with environmental externalities, either positive or negative.</w:t>
            </w:r>
          </w:p>
          <w:p w14:paraId="7A540585" w14:textId="77777777" w:rsidR="008E44C6" w:rsidRPr="009F54B9" w:rsidRDefault="008E44C6" w:rsidP="008E44C6">
            <w:pPr>
              <w:numPr>
                <w:ilvl w:val="0"/>
                <w:numId w:val="26"/>
              </w:numPr>
              <w:spacing w:before="60"/>
              <w:ind w:left="357" w:hanging="357"/>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sz w:val="20"/>
                <w:szCs w:val="20"/>
              </w:rPr>
            </w:pPr>
            <w:r w:rsidRPr="009F54B9">
              <w:rPr>
                <w:rFonts w:eastAsia="Calibri"/>
                <w:snapToGrid w:val="0"/>
                <w:kern w:val="22"/>
                <w:sz w:val="20"/>
                <w:szCs w:val="20"/>
              </w:rPr>
              <w:t xml:space="preserve">Communicate to employees and external stakeholders (e.g., regulators, local communities, consumers, non-governmental </w:t>
            </w:r>
            <w:r w:rsidR="001E4B78" w:rsidRPr="009F54B9">
              <w:rPr>
                <w:rFonts w:eastAsia="Calibri"/>
                <w:snapToGrid w:val="0"/>
                <w:kern w:val="22"/>
                <w:sz w:val="20"/>
                <w:szCs w:val="20"/>
              </w:rPr>
              <w:t>organiz</w:t>
            </w:r>
            <w:r w:rsidR="006242BC" w:rsidRPr="009F54B9">
              <w:rPr>
                <w:rFonts w:eastAsia="Calibri"/>
                <w:snapToGrid w:val="0"/>
                <w:kern w:val="22"/>
                <w:sz w:val="20"/>
                <w:szCs w:val="20"/>
              </w:rPr>
              <w:t>a</w:t>
            </w:r>
            <w:r w:rsidRPr="009F54B9">
              <w:rPr>
                <w:rFonts w:eastAsia="Calibri"/>
                <w:snapToGrid w:val="0"/>
                <w:kern w:val="22"/>
                <w:sz w:val="20"/>
                <w:szCs w:val="20"/>
              </w:rPr>
              <w:t>tions, suppliers, contractors and clients).</w:t>
            </w:r>
          </w:p>
        </w:tc>
      </w:tr>
      <w:tr w:rsidR="008E44C6" w:rsidRPr="00DF1117" w14:paraId="53C176C6" w14:textId="77777777" w:rsidTr="009F54B9">
        <w:trPr>
          <w:cantSplit/>
          <w:jc w:val="center"/>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tcBorders>
          </w:tcPr>
          <w:p w14:paraId="252E846E" w14:textId="77777777" w:rsidR="008E44C6" w:rsidRPr="009F54B9" w:rsidRDefault="008E44C6" w:rsidP="0009735F">
            <w:pPr>
              <w:spacing w:before="60" w:after="60"/>
              <w:jc w:val="left"/>
              <w:rPr>
                <w:rFonts w:eastAsia="Calibri"/>
                <w:snapToGrid w:val="0"/>
                <w:kern w:val="22"/>
                <w:sz w:val="20"/>
                <w:szCs w:val="20"/>
              </w:rPr>
            </w:pPr>
            <w:r w:rsidRPr="009F54B9">
              <w:rPr>
                <w:rFonts w:eastAsia="Calibri"/>
                <w:snapToGrid w:val="0"/>
                <w:kern w:val="22"/>
                <w:sz w:val="20"/>
                <w:szCs w:val="20"/>
              </w:rPr>
              <w:t>Both value perspectives</w:t>
            </w:r>
          </w:p>
        </w:tc>
        <w:tc>
          <w:tcPr>
            <w:tcW w:w="7007" w:type="dxa"/>
            <w:tcBorders>
              <w:top w:val="single" w:sz="4" w:space="0" w:color="auto"/>
            </w:tcBorders>
          </w:tcPr>
          <w:p w14:paraId="049B4562" w14:textId="77777777" w:rsidR="008E44C6" w:rsidRPr="009F54B9" w:rsidRDefault="008E44C6" w:rsidP="008E44C6">
            <w:pPr>
              <w:numPr>
                <w:ilvl w:val="0"/>
                <w:numId w:val="27"/>
              </w:numPr>
              <w:spacing w:before="60"/>
              <w:ind w:left="357" w:hanging="357"/>
              <w:jc w:val="left"/>
              <w:cnfStyle w:val="000000000000" w:firstRow="0" w:lastRow="0" w:firstColumn="0" w:lastColumn="0" w:oddVBand="0" w:evenVBand="0" w:oddHBand="0" w:evenHBand="0" w:firstRowFirstColumn="0" w:firstRowLastColumn="0" w:lastRowFirstColumn="0" w:lastRowLastColumn="0"/>
              <w:rPr>
                <w:rFonts w:eastAsia="Calibri"/>
                <w:snapToGrid w:val="0"/>
                <w:kern w:val="22"/>
                <w:sz w:val="20"/>
                <w:szCs w:val="20"/>
              </w:rPr>
            </w:pPr>
            <w:r w:rsidRPr="009F54B9">
              <w:rPr>
                <w:rFonts w:eastAsia="Calibri"/>
                <w:snapToGrid w:val="0"/>
                <w:kern w:val="22"/>
                <w:sz w:val="20"/>
                <w:szCs w:val="20"/>
              </w:rPr>
              <w:t>Undertake a comprehensive natural capital assessment. Assessing societal values, in particular your future impacts on society, enables all potential business values to be considered as well.</w:t>
            </w:r>
          </w:p>
        </w:tc>
      </w:tr>
    </w:tbl>
    <w:p w14:paraId="3FF67048" w14:textId="77777777" w:rsidR="008E44C6" w:rsidRPr="009F54B9" w:rsidRDefault="008E44C6" w:rsidP="00A07579">
      <w:pPr>
        <w:rPr>
          <w:snapToGrid w:val="0"/>
          <w:kern w:val="22"/>
          <w:szCs w:val="22"/>
        </w:rPr>
      </w:pPr>
    </w:p>
    <w:p w14:paraId="6C3E58A3" w14:textId="77777777" w:rsidR="008E44C6" w:rsidRPr="009F54B9" w:rsidRDefault="008E44C6" w:rsidP="009F54B9">
      <w:pPr>
        <w:pStyle w:val="ListParagraph"/>
        <w:ind w:left="0"/>
        <w:rPr>
          <w:snapToGrid w:val="0"/>
          <w:kern w:val="22"/>
          <w:szCs w:val="22"/>
        </w:rPr>
      </w:pPr>
    </w:p>
    <w:p w14:paraId="2EDB674B" w14:textId="77777777" w:rsidR="008E44C6" w:rsidRPr="009F54B9" w:rsidRDefault="008E44C6" w:rsidP="006E2C77">
      <w:pPr>
        <w:rPr>
          <w:snapToGrid w:val="0"/>
          <w:kern w:val="22"/>
          <w:szCs w:val="22"/>
        </w:rPr>
      </w:pPr>
      <w:r w:rsidRPr="009F54B9">
        <w:rPr>
          <w:snapToGrid w:val="0"/>
          <w:kern w:val="22"/>
          <w:szCs w:val="22"/>
        </w:rPr>
        <w:lastRenderedPageBreak/>
        <w:t>While the Intergovernmental Science-Policy Platform on Biodiversity and Ecosystem Services (IPBES) scientific community acknowledges that decision making relies to a great extent on the instrumental values of nature’s values to people (Pascual et al., 2017</w:t>
      </w:r>
      <w:r w:rsidRPr="009F54B9">
        <w:rPr>
          <w:rStyle w:val="FootnoteReference"/>
          <w:snapToGrid w:val="0"/>
          <w:kern w:val="22"/>
          <w:szCs w:val="22"/>
        </w:rPr>
        <w:footnoteReference w:id="123"/>
      </w:r>
      <w:r w:rsidRPr="009F54B9">
        <w:rPr>
          <w:snapToGrid w:val="0"/>
          <w:kern w:val="22"/>
          <w:szCs w:val="22"/>
        </w:rPr>
        <w:t>), it supports the recent call for integrating the multiple values of ecosystem services and biodiversity in decision making. As argued by Gómez-</w:t>
      </w:r>
      <w:proofErr w:type="spellStart"/>
      <w:r w:rsidRPr="009F54B9">
        <w:rPr>
          <w:snapToGrid w:val="0"/>
          <w:kern w:val="22"/>
          <w:szCs w:val="22"/>
        </w:rPr>
        <w:t>Baggethun</w:t>
      </w:r>
      <w:proofErr w:type="spellEnd"/>
      <w:r w:rsidRPr="009F54B9">
        <w:rPr>
          <w:snapToGrid w:val="0"/>
          <w:kern w:val="22"/>
          <w:szCs w:val="22"/>
        </w:rPr>
        <w:t xml:space="preserve"> et al. (2014)</w:t>
      </w:r>
      <w:r w:rsidRPr="009F54B9">
        <w:rPr>
          <w:rStyle w:val="FootnoteReference"/>
          <w:snapToGrid w:val="0"/>
          <w:kern w:val="22"/>
          <w:szCs w:val="22"/>
        </w:rPr>
        <w:footnoteReference w:id="124"/>
      </w:r>
      <w:r w:rsidRPr="009F54B9">
        <w:rPr>
          <w:snapToGrid w:val="0"/>
          <w:kern w:val="22"/>
          <w:szCs w:val="22"/>
        </w:rPr>
        <w:t xml:space="preserve">, for more than a decade, the literature on ecosystem services valuation has stressed the importance of integrating social, ecological, and monetary aspects of the values of ecosystem services and biodiversity in decision-making, rather than relying only on monistic approaches dominated by a single worldview (Figure 21). Interdisciplinarity, </w:t>
      </w:r>
      <w:proofErr w:type="spellStart"/>
      <w:r w:rsidRPr="009F54B9">
        <w:rPr>
          <w:snapToGrid w:val="0"/>
          <w:kern w:val="22"/>
          <w:szCs w:val="22"/>
        </w:rPr>
        <w:t>transdisciplinarity</w:t>
      </w:r>
      <w:proofErr w:type="spellEnd"/>
      <w:r w:rsidRPr="009F54B9">
        <w:rPr>
          <w:snapToGrid w:val="0"/>
          <w:kern w:val="22"/>
          <w:szCs w:val="22"/>
        </w:rPr>
        <w:t>, and methodological pluralism are key elements in integrated ecosystem services valuation: “The process of synthesizing relevant sources of knowledge and information to elicit the various ways in which people conceptualize and appraise ecosystems services values, resulting in different valuation frames that are the basis for informed deliberation, agreement and decision” (Gómez-</w:t>
      </w:r>
      <w:proofErr w:type="spellStart"/>
      <w:r w:rsidRPr="009F54B9">
        <w:rPr>
          <w:snapToGrid w:val="0"/>
          <w:kern w:val="22"/>
          <w:szCs w:val="22"/>
        </w:rPr>
        <w:t>Baggethun</w:t>
      </w:r>
      <w:proofErr w:type="spellEnd"/>
      <w:r w:rsidRPr="009F54B9">
        <w:rPr>
          <w:snapToGrid w:val="0"/>
          <w:kern w:val="22"/>
          <w:szCs w:val="22"/>
        </w:rPr>
        <w:t xml:space="preserve"> et al., 2014: 20</w:t>
      </w:r>
      <w:r w:rsidRPr="009F54B9">
        <w:rPr>
          <w:rStyle w:val="FootnoteReference"/>
          <w:snapToGrid w:val="0"/>
          <w:kern w:val="22"/>
          <w:szCs w:val="22"/>
        </w:rPr>
        <w:footnoteReference w:id="125"/>
      </w:r>
      <w:r w:rsidRPr="009F54B9">
        <w:rPr>
          <w:snapToGrid w:val="0"/>
          <w:kern w:val="22"/>
          <w:szCs w:val="22"/>
        </w:rPr>
        <w:t>).</w:t>
      </w:r>
    </w:p>
    <w:p w14:paraId="32166850" w14:textId="77777777" w:rsidR="008E44C6" w:rsidRPr="009F54B9" w:rsidRDefault="008E44C6" w:rsidP="000663E6">
      <w:pPr>
        <w:rPr>
          <w:snapToGrid w:val="0"/>
          <w:kern w:val="22"/>
          <w:szCs w:val="22"/>
        </w:rPr>
      </w:pPr>
    </w:p>
    <w:p w14:paraId="20AC8428" w14:textId="77777777" w:rsidR="008E44C6" w:rsidRPr="009F54B9" w:rsidRDefault="008E44C6" w:rsidP="00DE13AB">
      <w:pPr>
        <w:pBdr>
          <w:top w:val="single" w:sz="4" w:space="1" w:color="auto"/>
          <w:left w:val="single" w:sz="4" w:space="4" w:color="auto"/>
          <w:bottom w:val="single" w:sz="4" w:space="1" w:color="auto"/>
          <w:right w:val="single" w:sz="4" w:space="4" w:color="auto"/>
        </w:pBdr>
        <w:rPr>
          <w:snapToGrid w:val="0"/>
          <w:kern w:val="22"/>
        </w:rPr>
      </w:pPr>
      <w:r w:rsidRPr="009F54B9">
        <w:rPr>
          <w:noProof/>
          <w:snapToGrid w:val="0"/>
          <w:kern w:val="22"/>
          <w:lang w:eastAsia="zh-CN"/>
        </w:rPr>
        <w:lastRenderedPageBreak/>
        <w:drawing>
          <wp:inline distT="0" distB="0" distL="0" distR="0" wp14:anchorId="4B2B6131" wp14:editId="5A3C6F03">
            <wp:extent cx="5731510" cy="4603622"/>
            <wp:effectExtent l="0" t="0" r="254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31510" cy="4603622"/>
                    </a:xfrm>
                    <a:prstGeom prst="rect">
                      <a:avLst/>
                    </a:prstGeom>
                    <a:noFill/>
                    <a:ln>
                      <a:noFill/>
                    </a:ln>
                  </pic:spPr>
                </pic:pic>
              </a:graphicData>
            </a:graphic>
          </wp:inline>
        </w:drawing>
      </w:r>
    </w:p>
    <w:p w14:paraId="1556A3C3" w14:textId="77777777" w:rsidR="008E44C6" w:rsidRPr="009F54B9" w:rsidRDefault="008E44C6" w:rsidP="00DE13AB">
      <w:pPr>
        <w:pStyle w:val="Caption"/>
        <w:pBdr>
          <w:top w:val="single" w:sz="4" w:space="1" w:color="auto"/>
          <w:left w:val="single" w:sz="4" w:space="4" w:color="auto"/>
          <w:bottom w:val="single" w:sz="4" w:space="1" w:color="auto"/>
          <w:right w:val="single" w:sz="4" w:space="4" w:color="auto"/>
        </w:pBdr>
        <w:jc w:val="center"/>
        <w:rPr>
          <w:snapToGrid w:val="0"/>
          <w:kern w:val="22"/>
        </w:rPr>
      </w:pPr>
      <w:bookmarkStart w:id="53" w:name="_Toc486485396"/>
      <w:bookmarkStart w:id="54" w:name="_Toc517688919"/>
      <w:r w:rsidRPr="009F54B9">
        <w:rPr>
          <w:snapToGrid w:val="0"/>
          <w:kern w:val="22"/>
        </w:rPr>
        <w:t xml:space="preserve">Figure </w:t>
      </w:r>
      <w:r w:rsidRPr="009F54B9">
        <w:rPr>
          <w:snapToGrid w:val="0"/>
          <w:kern w:val="22"/>
        </w:rPr>
        <w:fldChar w:fldCharType="begin"/>
      </w:r>
      <w:r w:rsidRPr="009F54B9">
        <w:rPr>
          <w:snapToGrid w:val="0"/>
          <w:kern w:val="22"/>
        </w:rPr>
        <w:instrText xml:space="preserve"> SEQ Figure \* ARABIC </w:instrText>
      </w:r>
      <w:r w:rsidRPr="009F54B9">
        <w:rPr>
          <w:snapToGrid w:val="0"/>
          <w:kern w:val="22"/>
        </w:rPr>
        <w:fldChar w:fldCharType="separate"/>
      </w:r>
      <w:r w:rsidRPr="009F54B9">
        <w:rPr>
          <w:noProof/>
          <w:snapToGrid w:val="0"/>
          <w:kern w:val="22"/>
        </w:rPr>
        <w:t>21</w:t>
      </w:r>
      <w:r w:rsidRPr="009F54B9">
        <w:rPr>
          <w:noProof/>
          <w:snapToGrid w:val="0"/>
          <w:kern w:val="22"/>
        </w:rPr>
        <w:fldChar w:fldCharType="end"/>
      </w:r>
      <w:r w:rsidRPr="009F54B9">
        <w:rPr>
          <w:snapToGrid w:val="0"/>
          <w:kern w:val="22"/>
        </w:rPr>
        <w:t xml:space="preserve">: From single world views in valuation towards pluralistic valuations (Pascual </w:t>
      </w:r>
      <w:r w:rsidRPr="009F54B9">
        <w:rPr>
          <w:i/>
          <w:snapToGrid w:val="0"/>
          <w:kern w:val="22"/>
        </w:rPr>
        <w:t>et al</w:t>
      </w:r>
      <w:r w:rsidRPr="009F54B9">
        <w:rPr>
          <w:snapToGrid w:val="0"/>
          <w:kern w:val="22"/>
        </w:rPr>
        <w:t>., 2017)</w:t>
      </w:r>
      <w:bookmarkEnd w:id="53"/>
      <w:bookmarkEnd w:id="54"/>
    </w:p>
    <w:p w14:paraId="37D53047" w14:textId="77777777" w:rsidR="008E44C6" w:rsidRPr="009F54B9" w:rsidRDefault="008E44C6" w:rsidP="000663E6">
      <w:pPr>
        <w:rPr>
          <w:snapToGrid w:val="0"/>
          <w:kern w:val="22"/>
          <w:szCs w:val="22"/>
        </w:rPr>
      </w:pPr>
    </w:p>
    <w:p w14:paraId="08A9F5BA" w14:textId="77777777" w:rsidR="008E44C6" w:rsidRPr="009F54B9" w:rsidRDefault="008E44C6" w:rsidP="00502699">
      <w:pPr>
        <w:rPr>
          <w:snapToGrid w:val="0"/>
          <w:kern w:val="22"/>
          <w:szCs w:val="22"/>
        </w:rPr>
      </w:pPr>
      <w:r w:rsidRPr="009F54B9">
        <w:rPr>
          <w:snapToGrid w:val="0"/>
          <w:kern w:val="22"/>
          <w:szCs w:val="22"/>
        </w:rPr>
        <w:t xml:space="preserve">To </w:t>
      </w:r>
      <w:r w:rsidR="007B644B">
        <w:rPr>
          <w:snapToGrid w:val="0"/>
          <w:kern w:val="22"/>
          <w:szCs w:val="22"/>
        </w:rPr>
        <w:t>summarize</w:t>
      </w:r>
      <w:r w:rsidRPr="009F54B9">
        <w:rPr>
          <w:snapToGrid w:val="0"/>
          <w:kern w:val="22"/>
          <w:szCs w:val="22"/>
        </w:rPr>
        <w:t>, biodiversity mainstreaming in the manufacturing sector is facing a dual challenge from a measurement and valuation perspective:</w:t>
      </w:r>
    </w:p>
    <w:p w14:paraId="7B44A38E"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szCs w:val="22"/>
        </w:rPr>
      </w:pPr>
      <w:r w:rsidRPr="009F54B9">
        <w:rPr>
          <w:snapToGrid w:val="0"/>
          <w:kern w:val="22"/>
          <w:szCs w:val="22"/>
        </w:rPr>
        <w:t xml:space="preserve">The need for a </w:t>
      </w:r>
      <w:r w:rsidR="00650A94">
        <w:rPr>
          <w:snapToGrid w:val="0"/>
          <w:kern w:val="22"/>
          <w:szCs w:val="22"/>
        </w:rPr>
        <w:t>standardized</w:t>
      </w:r>
      <w:r w:rsidRPr="009F54B9">
        <w:rPr>
          <w:snapToGrid w:val="0"/>
          <w:kern w:val="22"/>
          <w:szCs w:val="22"/>
        </w:rPr>
        <w:t xml:space="preserve"> biodiversity measurement protocol, which would include global value chain dimensions; and </w:t>
      </w:r>
    </w:p>
    <w:p w14:paraId="13436744"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szCs w:val="22"/>
        </w:rPr>
      </w:pPr>
      <w:r w:rsidRPr="009F54B9">
        <w:rPr>
          <w:snapToGrid w:val="0"/>
          <w:kern w:val="22"/>
          <w:szCs w:val="22"/>
        </w:rPr>
        <w:t xml:space="preserve">The need for more diverse and integrated value framing perspectives and initiatives so as to effectively convince all affected stakeholders (along global value chains) of the importance of biodiversity and of the need for its conservation and sustainable use. </w:t>
      </w:r>
    </w:p>
    <w:p w14:paraId="1BDD45BE" w14:textId="77777777" w:rsidR="008E44C6" w:rsidRPr="009F54B9" w:rsidRDefault="008E44C6" w:rsidP="00502699">
      <w:pPr>
        <w:rPr>
          <w:snapToGrid w:val="0"/>
          <w:kern w:val="22"/>
          <w:szCs w:val="22"/>
        </w:rPr>
      </w:pPr>
      <w:r w:rsidRPr="009F54B9">
        <w:rPr>
          <w:snapToGrid w:val="0"/>
          <w:kern w:val="22"/>
          <w:szCs w:val="22"/>
        </w:rPr>
        <w:t>Recognising these challenges, several projects have currently been launched, including by the Natural Capital Coalition - Cambridge Conservation Initiative partnership</w:t>
      </w:r>
      <w:r w:rsidRPr="009F54B9">
        <w:rPr>
          <w:rStyle w:val="FootnoteReference"/>
          <w:snapToGrid w:val="0"/>
          <w:kern w:val="22"/>
          <w:szCs w:val="22"/>
        </w:rPr>
        <w:footnoteReference w:id="126"/>
      </w:r>
      <w:r w:rsidRPr="009F54B9">
        <w:rPr>
          <w:snapToGrid w:val="0"/>
          <w:kern w:val="22"/>
          <w:szCs w:val="22"/>
        </w:rPr>
        <w:t xml:space="preserve"> and the South African National Biodiversity and Business Network</w:t>
      </w:r>
      <w:r w:rsidRPr="009F54B9">
        <w:rPr>
          <w:rStyle w:val="FootnoteReference"/>
          <w:snapToGrid w:val="0"/>
          <w:kern w:val="22"/>
          <w:szCs w:val="22"/>
        </w:rPr>
        <w:footnoteReference w:id="127"/>
      </w:r>
      <w:r w:rsidRPr="009F54B9">
        <w:rPr>
          <w:snapToGrid w:val="0"/>
          <w:kern w:val="22"/>
          <w:szCs w:val="22"/>
        </w:rPr>
        <w:t>.</w:t>
      </w:r>
    </w:p>
    <w:p w14:paraId="12C939AE" w14:textId="77777777" w:rsidR="008E44C6" w:rsidRPr="009F54B9" w:rsidRDefault="008E44C6" w:rsidP="00502699">
      <w:pPr>
        <w:rPr>
          <w:snapToGrid w:val="0"/>
          <w:kern w:val="22"/>
          <w:szCs w:val="22"/>
        </w:rPr>
      </w:pPr>
    </w:p>
    <w:p w14:paraId="4CB68FC4" w14:textId="77777777" w:rsidR="008E44C6" w:rsidRPr="009F54B9" w:rsidRDefault="008E44C6" w:rsidP="00502699">
      <w:pPr>
        <w:rPr>
          <w:snapToGrid w:val="0"/>
          <w:kern w:val="22"/>
          <w:szCs w:val="22"/>
        </w:rPr>
      </w:pPr>
      <w:r w:rsidRPr="009F54B9">
        <w:rPr>
          <w:snapToGrid w:val="0"/>
          <w:kern w:val="22"/>
          <w:szCs w:val="22"/>
        </w:rPr>
        <w:br w:type="page"/>
      </w:r>
    </w:p>
    <w:p w14:paraId="12B63DF4" w14:textId="77777777" w:rsidR="008E44C6" w:rsidRPr="009F54B9" w:rsidRDefault="008E44C6" w:rsidP="008E44C6">
      <w:pPr>
        <w:pStyle w:val="Heading2"/>
        <w:keepNext w:val="0"/>
        <w:numPr>
          <w:ilvl w:val="1"/>
          <w:numId w:val="10"/>
        </w:numPr>
        <w:tabs>
          <w:tab w:val="clear" w:pos="720"/>
        </w:tabs>
        <w:autoSpaceDE w:val="0"/>
        <w:autoSpaceDN w:val="0"/>
        <w:adjustRightInd w:val="0"/>
        <w:spacing w:before="0"/>
        <w:jc w:val="both"/>
        <w:rPr>
          <w:smallCaps/>
          <w:snapToGrid w:val="0"/>
          <w:kern w:val="22"/>
          <w:szCs w:val="22"/>
        </w:rPr>
      </w:pPr>
      <w:bookmarkStart w:id="55" w:name="_Toc517690322"/>
      <w:r w:rsidRPr="009F54B9">
        <w:rPr>
          <w:smallCaps/>
          <w:snapToGrid w:val="0"/>
          <w:kern w:val="22"/>
          <w:szCs w:val="22"/>
        </w:rPr>
        <w:lastRenderedPageBreak/>
        <w:t>Best practices in biodiversity mainstreaming: What opportunities in the manufacturing sector?</w:t>
      </w:r>
      <w:bookmarkEnd w:id="55"/>
    </w:p>
    <w:p w14:paraId="747374C2" w14:textId="77777777" w:rsidR="008E44C6" w:rsidRPr="009F54B9" w:rsidRDefault="008E44C6" w:rsidP="009F1215">
      <w:pPr>
        <w:rPr>
          <w:snapToGrid w:val="0"/>
          <w:kern w:val="22"/>
        </w:rPr>
      </w:pPr>
    </w:p>
    <w:p w14:paraId="0C531C62" w14:textId="77777777" w:rsidR="008E44C6" w:rsidRPr="009F54B9" w:rsidRDefault="008E44C6" w:rsidP="001E5D79">
      <w:pPr>
        <w:pBdr>
          <w:bottom w:val="single" w:sz="4" w:space="1" w:color="auto"/>
        </w:pBdr>
        <w:rPr>
          <w:snapToGrid w:val="0"/>
          <w:kern w:val="22"/>
        </w:rPr>
      </w:pPr>
      <w:r w:rsidRPr="009F54B9">
        <w:rPr>
          <w:snapToGrid w:val="0"/>
          <w:kern w:val="22"/>
        </w:rPr>
        <w:t>Key messages:</w:t>
      </w:r>
    </w:p>
    <w:p w14:paraId="6B749046" w14:textId="77777777" w:rsidR="008E44C6" w:rsidRPr="009F54B9" w:rsidRDefault="008E44C6" w:rsidP="008E44C6">
      <w:pPr>
        <w:pStyle w:val="ListParagraph"/>
        <w:numPr>
          <w:ilvl w:val="0"/>
          <w:numId w:val="38"/>
        </w:numPr>
        <w:pBdr>
          <w:bottom w:val="single" w:sz="4" w:space="1" w:color="auto"/>
        </w:pBdr>
        <w:autoSpaceDE w:val="0"/>
        <w:autoSpaceDN w:val="0"/>
        <w:adjustRightInd w:val="0"/>
        <w:spacing w:line="360" w:lineRule="auto"/>
        <w:rPr>
          <w:snapToGrid w:val="0"/>
          <w:kern w:val="22"/>
          <w:szCs w:val="22"/>
        </w:rPr>
      </w:pPr>
      <w:r w:rsidRPr="009F54B9">
        <w:rPr>
          <w:snapToGrid w:val="0"/>
          <w:kern w:val="22"/>
          <w:szCs w:val="22"/>
        </w:rPr>
        <w:t>Several key environmental management tools are progressively integrating biodiversity considerations, such as environmental management systems, environmental and social impact assessments, life-cycle impact assessments, environmental management accounting and reporting / disclosure, or externality valuation and disclosure;</w:t>
      </w:r>
    </w:p>
    <w:p w14:paraId="71CFC1DE" w14:textId="77777777" w:rsidR="008E44C6" w:rsidRPr="009F54B9" w:rsidRDefault="008E44C6" w:rsidP="008E44C6">
      <w:pPr>
        <w:pStyle w:val="ListParagraph"/>
        <w:numPr>
          <w:ilvl w:val="0"/>
          <w:numId w:val="38"/>
        </w:numPr>
        <w:pBdr>
          <w:bottom w:val="single" w:sz="4" w:space="1" w:color="auto"/>
        </w:pBdr>
        <w:autoSpaceDE w:val="0"/>
        <w:autoSpaceDN w:val="0"/>
        <w:adjustRightInd w:val="0"/>
        <w:spacing w:line="360" w:lineRule="auto"/>
        <w:rPr>
          <w:snapToGrid w:val="0"/>
          <w:kern w:val="22"/>
          <w:szCs w:val="22"/>
        </w:rPr>
      </w:pPr>
      <w:r w:rsidRPr="009F54B9">
        <w:rPr>
          <w:snapToGrid w:val="0"/>
          <w:kern w:val="22"/>
          <w:szCs w:val="22"/>
        </w:rPr>
        <w:t xml:space="preserve">Best practice case studies in biodiversity mainstreaming remain limited: Companies going beyond mere compliance should be </w:t>
      </w:r>
      <w:r w:rsidR="00C744AF">
        <w:rPr>
          <w:snapToGrid w:val="0"/>
          <w:kern w:val="22"/>
          <w:szCs w:val="22"/>
        </w:rPr>
        <w:t>recognize</w:t>
      </w:r>
      <w:r w:rsidRPr="009F54B9">
        <w:rPr>
          <w:snapToGrid w:val="0"/>
          <w:kern w:val="22"/>
          <w:szCs w:val="22"/>
        </w:rPr>
        <w:t>d, supported and rewarded;</w:t>
      </w:r>
    </w:p>
    <w:p w14:paraId="4A4D45FA" w14:textId="77777777" w:rsidR="008E44C6" w:rsidRPr="009F54B9" w:rsidRDefault="008E44C6" w:rsidP="008E44C6">
      <w:pPr>
        <w:pStyle w:val="ListParagraph"/>
        <w:numPr>
          <w:ilvl w:val="0"/>
          <w:numId w:val="38"/>
        </w:numPr>
        <w:pBdr>
          <w:bottom w:val="single" w:sz="4" w:space="1" w:color="auto"/>
        </w:pBdr>
        <w:autoSpaceDE w:val="0"/>
        <w:autoSpaceDN w:val="0"/>
        <w:adjustRightInd w:val="0"/>
        <w:spacing w:line="360" w:lineRule="auto"/>
        <w:rPr>
          <w:snapToGrid w:val="0"/>
          <w:spacing w:val="-5"/>
          <w:kern w:val="22"/>
          <w:szCs w:val="22"/>
        </w:rPr>
      </w:pPr>
      <w:r w:rsidRPr="009F54B9">
        <w:rPr>
          <w:snapToGrid w:val="0"/>
          <w:spacing w:val="-5"/>
          <w:kern w:val="22"/>
          <w:szCs w:val="22"/>
        </w:rPr>
        <w:t>Public policies must play a greater role in promoting best practices, including in terms of public procurement, financing rules and processes, disclosure requirements, trade agreements and fiscal reform.</w:t>
      </w:r>
    </w:p>
    <w:p w14:paraId="11826A0E" w14:textId="77777777" w:rsidR="008E44C6" w:rsidRPr="009F54B9" w:rsidRDefault="008E44C6" w:rsidP="001D7BE7">
      <w:pPr>
        <w:rPr>
          <w:snapToGrid w:val="0"/>
          <w:kern w:val="22"/>
        </w:rPr>
      </w:pPr>
    </w:p>
    <w:p w14:paraId="532B5395" w14:textId="77777777" w:rsidR="008E44C6" w:rsidRPr="009F54B9" w:rsidRDefault="008E44C6" w:rsidP="009F1215">
      <w:pPr>
        <w:rPr>
          <w:snapToGrid w:val="0"/>
          <w:kern w:val="22"/>
          <w:szCs w:val="22"/>
        </w:rPr>
      </w:pPr>
      <w:r w:rsidRPr="009F54B9">
        <w:rPr>
          <w:snapToGrid w:val="0"/>
          <w:kern w:val="22"/>
          <w:szCs w:val="22"/>
        </w:rPr>
        <w:t>As discussed in section 3 above, the interactions between manufacturing and biodiversity are complex and occur at multiple scales, across global value chains. The effective mainstreaming of biodiversity should thus involve managing biodiversity dependencies and impacts at each step of the value chain of products manufactured, from the production / extraction of raw materials upstream to the end-of-life of goods and services (e.g., disposal and recycling practices). The approaches and tools to do so may be industry specific (e.g., specific pollution or emissions standards for different manufacturing processes</w:t>
      </w:r>
      <w:r w:rsidRPr="009F54B9">
        <w:rPr>
          <w:rStyle w:val="FootnoteReference"/>
          <w:snapToGrid w:val="0"/>
          <w:kern w:val="22"/>
          <w:szCs w:val="22"/>
        </w:rPr>
        <w:footnoteReference w:id="128"/>
      </w:r>
      <w:r w:rsidRPr="009F54B9">
        <w:rPr>
          <w:snapToGrid w:val="0"/>
          <w:kern w:val="22"/>
          <w:szCs w:val="22"/>
        </w:rPr>
        <w:t xml:space="preserve">) or have broader scopes (e.g., corporate sustainability standards, no-net-loss approaches). </w:t>
      </w:r>
    </w:p>
    <w:p w14:paraId="40325352" w14:textId="77777777" w:rsidR="008E44C6" w:rsidRPr="009F54B9" w:rsidRDefault="008E44C6" w:rsidP="009F1215">
      <w:pPr>
        <w:rPr>
          <w:snapToGrid w:val="0"/>
          <w:kern w:val="22"/>
          <w:szCs w:val="22"/>
        </w:rPr>
      </w:pPr>
    </w:p>
    <w:p w14:paraId="65B3429C" w14:textId="77777777" w:rsidR="008E44C6" w:rsidRPr="009F54B9" w:rsidRDefault="008E44C6" w:rsidP="009F54B9">
      <w:pPr>
        <w:spacing w:after="120"/>
        <w:rPr>
          <w:snapToGrid w:val="0"/>
          <w:kern w:val="22"/>
          <w:szCs w:val="22"/>
        </w:rPr>
      </w:pPr>
      <w:r w:rsidRPr="009F54B9">
        <w:rPr>
          <w:snapToGrid w:val="0"/>
          <w:kern w:val="22"/>
          <w:szCs w:val="22"/>
        </w:rPr>
        <w:t>Herewith a selection of best practices from a variety of approaches and tools, within the manufacturing sector or beyond, highlighting why they should be supported in relevant manufacturing industries:</w:t>
      </w:r>
    </w:p>
    <w:p w14:paraId="290F4200"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szCs w:val="22"/>
        </w:rPr>
      </w:pPr>
      <w:r w:rsidRPr="009F54B9">
        <w:rPr>
          <w:i/>
          <w:snapToGrid w:val="0"/>
          <w:kern w:val="22"/>
          <w:szCs w:val="22"/>
        </w:rPr>
        <w:t>Environmental Management Systems</w:t>
      </w:r>
      <w:r w:rsidRPr="009F54B9">
        <w:rPr>
          <w:snapToGrid w:val="0"/>
          <w:kern w:val="22"/>
          <w:szCs w:val="22"/>
        </w:rPr>
        <w:t xml:space="preserve">: There has been significant advancements in embedding biodiversity considerations in Environmental Management Systems (e.g., ISO 14001, </w:t>
      </w:r>
      <w:r w:rsidRPr="009F54B9">
        <w:rPr>
          <w:snapToGrid w:val="0"/>
          <w:kern w:val="22"/>
        </w:rPr>
        <w:t>EU Eco-Management and Audit Scheme - EMAS</w:t>
      </w:r>
      <w:r w:rsidRPr="009F54B9">
        <w:rPr>
          <w:snapToGrid w:val="0"/>
          <w:kern w:val="22"/>
          <w:szCs w:val="22"/>
        </w:rPr>
        <w:t>)</w:t>
      </w:r>
      <w:r w:rsidRPr="009F54B9">
        <w:rPr>
          <w:rStyle w:val="FootnoteReference"/>
          <w:snapToGrid w:val="0"/>
          <w:kern w:val="22"/>
          <w:szCs w:val="22"/>
        </w:rPr>
        <w:footnoteReference w:id="129"/>
      </w:r>
      <w:r w:rsidRPr="009F54B9">
        <w:rPr>
          <w:snapToGrid w:val="0"/>
          <w:kern w:val="22"/>
          <w:szCs w:val="22"/>
        </w:rPr>
        <w:t xml:space="preserve">; </w:t>
      </w:r>
      <w:proofErr w:type="gramStart"/>
      <w:r w:rsidRPr="009F54B9">
        <w:rPr>
          <w:snapToGrid w:val="0"/>
          <w:kern w:val="22"/>
          <w:szCs w:val="22"/>
        </w:rPr>
        <w:t>typically</w:t>
      </w:r>
      <w:proofErr w:type="gramEnd"/>
      <w:r w:rsidRPr="009F54B9">
        <w:rPr>
          <w:snapToGrid w:val="0"/>
          <w:kern w:val="22"/>
          <w:szCs w:val="22"/>
        </w:rPr>
        <w:t xml:space="preserve"> with targets and key performance indicators for monitoring selected biodiversity attributes at the owned or leased sites of multinational companies. This can be correlated to a large extent with efforts made to improve the surface area and condition of habitats (as well as populations of threatened species) at the level of manufacturing plants (e.g., work done for General Motors and Cemex by the Wildlife Habitat Council; O’Gorman 2017</w:t>
      </w:r>
      <w:r w:rsidRPr="009F54B9">
        <w:rPr>
          <w:rStyle w:val="FootnoteReference"/>
          <w:snapToGrid w:val="0"/>
          <w:kern w:val="22"/>
          <w:szCs w:val="22"/>
        </w:rPr>
        <w:footnoteReference w:id="130"/>
      </w:r>
      <w:r w:rsidRPr="009F54B9">
        <w:rPr>
          <w:snapToGrid w:val="0"/>
          <w:kern w:val="22"/>
          <w:szCs w:val="22"/>
        </w:rPr>
        <w:t>; similar work in Germany</w:t>
      </w:r>
      <w:r w:rsidRPr="009F54B9">
        <w:rPr>
          <w:snapToGrid w:val="0"/>
          <w:kern w:val="22"/>
          <w:vertAlign w:val="superscript"/>
        </w:rPr>
        <w:footnoteReference w:id="131"/>
      </w:r>
      <w:r w:rsidRPr="009F54B9">
        <w:rPr>
          <w:snapToGrid w:val="0"/>
          <w:kern w:val="22"/>
          <w:szCs w:val="22"/>
        </w:rPr>
        <w:t>; sixty-two Toshiba company sites worldwide</w:t>
      </w:r>
      <w:r w:rsidRPr="009F54B9">
        <w:rPr>
          <w:rStyle w:val="FootnoteReference"/>
          <w:snapToGrid w:val="0"/>
          <w:kern w:val="22"/>
          <w:szCs w:val="22"/>
        </w:rPr>
        <w:footnoteReference w:id="132"/>
      </w:r>
      <w:r w:rsidRPr="009F54B9">
        <w:rPr>
          <w:snapToGrid w:val="0"/>
          <w:kern w:val="22"/>
          <w:szCs w:val="22"/>
        </w:rPr>
        <w:t xml:space="preserve">). Moreover, various other sectoral initiatives have developed useful site level guidelines and best practices that </w:t>
      </w:r>
      <w:r w:rsidRPr="009F54B9">
        <w:rPr>
          <w:snapToGrid w:val="0"/>
          <w:kern w:val="22"/>
          <w:szCs w:val="22"/>
        </w:rPr>
        <w:lastRenderedPageBreak/>
        <w:t>could be adapted to various manufacturing sectors to improve biodiversity management of factory sites (e.g., the Cross-Sector Biodiversity Initiative</w:t>
      </w:r>
      <w:r w:rsidRPr="009F54B9">
        <w:rPr>
          <w:snapToGrid w:val="0"/>
          <w:kern w:val="22"/>
          <w:vertAlign w:val="superscript"/>
        </w:rPr>
        <w:footnoteReference w:id="133"/>
      </w:r>
      <w:r w:rsidRPr="009F54B9">
        <w:rPr>
          <w:snapToGrid w:val="0"/>
          <w:kern w:val="22"/>
          <w:szCs w:val="22"/>
        </w:rPr>
        <w:t>, The Energy and Biodiversity Initiative</w:t>
      </w:r>
      <w:r w:rsidRPr="009F54B9">
        <w:rPr>
          <w:rStyle w:val="FootnoteReference"/>
          <w:snapToGrid w:val="0"/>
          <w:kern w:val="22"/>
          <w:szCs w:val="22"/>
        </w:rPr>
        <w:footnoteReference w:id="134"/>
      </w:r>
      <w:r w:rsidRPr="009F54B9">
        <w:rPr>
          <w:snapToGrid w:val="0"/>
          <w:kern w:val="22"/>
          <w:szCs w:val="22"/>
        </w:rPr>
        <w:t>).</w:t>
      </w:r>
    </w:p>
    <w:p w14:paraId="4963BFFC"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szCs w:val="22"/>
        </w:rPr>
      </w:pPr>
      <w:r w:rsidRPr="009F54B9">
        <w:rPr>
          <w:i/>
          <w:snapToGrid w:val="0"/>
          <w:kern w:val="22"/>
          <w:szCs w:val="22"/>
        </w:rPr>
        <w:t>Environmental and Social Impact Assessments and the Impact Mitigation Hierarchy</w:t>
      </w:r>
      <w:r w:rsidRPr="009F54B9">
        <w:rPr>
          <w:snapToGrid w:val="0"/>
          <w:kern w:val="22"/>
          <w:szCs w:val="22"/>
        </w:rPr>
        <w:t>: An increasing number of companies are adopting and / or applying no-net-loss / net-positive impact approached or policies based on the full implementation of the Impact Mitigation Hierarchy (from avoidance to offset measures), though no high profile example from the manufacturing sector has been identified to date. This may be voluntary or done in response to specific legislative contexts. While existing regulations are more likely than not to have affected projects involving manufacturing businesses (e.g., construction of a new factory), for instance in the context of the various wetland and species offset programs in the USA or the EU, most widely publicised examples relate to mining, oil / gas and infrastructure projects in non-OECD countries (e.g. Business and Biodiversity Offset Programme case studies</w:t>
      </w:r>
      <w:r w:rsidRPr="009F54B9">
        <w:rPr>
          <w:rStyle w:val="FootnoteReference"/>
          <w:snapToGrid w:val="0"/>
          <w:kern w:val="22"/>
          <w:szCs w:val="22"/>
        </w:rPr>
        <w:footnoteReference w:id="135"/>
      </w:r>
      <w:r w:rsidRPr="009F54B9">
        <w:rPr>
          <w:snapToGrid w:val="0"/>
          <w:kern w:val="22"/>
          <w:szCs w:val="22"/>
        </w:rPr>
        <w:t>) in response to environmental safeguards from financial institutions</w:t>
      </w:r>
      <w:r w:rsidRPr="009F54B9">
        <w:rPr>
          <w:snapToGrid w:val="0"/>
          <w:kern w:val="22"/>
          <w:vertAlign w:val="superscript"/>
        </w:rPr>
        <w:footnoteReference w:id="136"/>
      </w:r>
      <w:r w:rsidRPr="009F54B9">
        <w:rPr>
          <w:snapToGrid w:val="0"/>
          <w:kern w:val="22"/>
          <w:szCs w:val="22"/>
        </w:rPr>
        <w:t>. Whether or not these approaches actually deliver no-net-loss as it is commonly understood is debatable</w:t>
      </w:r>
      <w:r w:rsidRPr="009F54B9">
        <w:rPr>
          <w:rStyle w:val="FootnoteReference"/>
          <w:snapToGrid w:val="0"/>
          <w:kern w:val="22"/>
          <w:szCs w:val="22"/>
        </w:rPr>
        <w:footnoteReference w:id="137"/>
      </w:r>
      <w:r w:rsidRPr="009F54B9">
        <w:rPr>
          <w:snapToGrid w:val="0"/>
          <w:kern w:val="22"/>
          <w:szCs w:val="22"/>
        </w:rPr>
        <w:t xml:space="preserve">. Notably, the last step of this hierarchy, the offsetting phase, has been heavily criticised due to a number of issues, including (but not limited to) the scope of biodiversity attributes included in no-net-loss accounting (which varies according to the country), the associated units of exchanges for gain / loss calculation (e.g., Maron </w:t>
      </w:r>
      <w:r w:rsidRPr="009F54B9">
        <w:rPr>
          <w:i/>
          <w:snapToGrid w:val="0"/>
          <w:kern w:val="22"/>
          <w:szCs w:val="22"/>
        </w:rPr>
        <w:t>et al</w:t>
      </w:r>
      <w:r w:rsidRPr="009F54B9">
        <w:rPr>
          <w:snapToGrid w:val="0"/>
          <w:kern w:val="22"/>
          <w:szCs w:val="22"/>
        </w:rPr>
        <w:t>., 2018</w:t>
      </w:r>
      <w:r w:rsidRPr="009F54B9">
        <w:rPr>
          <w:rStyle w:val="FootnoteReference"/>
          <w:snapToGrid w:val="0"/>
          <w:kern w:val="22"/>
          <w:szCs w:val="22"/>
        </w:rPr>
        <w:footnoteReference w:id="138"/>
      </w:r>
      <w:r w:rsidRPr="009F54B9">
        <w:rPr>
          <w:snapToGrid w:val="0"/>
          <w:kern w:val="22"/>
          <w:szCs w:val="22"/>
        </w:rPr>
        <w:t xml:space="preserve">) and the impact leakages of offset measures based on averted loss principles (e.g., </w:t>
      </w:r>
      <w:proofErr w:type="spellStart"/>
      <w:r w:rsidRPr="009F54B9">
        <w:rPr>
          <w:snapToGrid w:val="0"/>
          <w:kern w:val="22"/>
          <w:szCs w:val="22"/>
        </w:rPr>
        <w:t>Moilanen</w:t>
      </w:r>
      <w:proofErr w:type="spellEnd"/>
      <w:r w:rsidRPr="009F54B9">
        <w:rPr>
          <w:snapToGrid w:val="0"/>
          <w:kern w:val="22"/>
          <w:szCs w:val="22"/>
        </w:rPr>
        <w:t xml:space="preserve"> and </w:t>
      </w:r>
      <w:proofErr w:type="spellStart"/>
      <w:r w:rsidRPr="009F54B9">
        <w:rPr>
          <w:snapToGrid w:val="0"/>
          <w:kern w:val="22"/>
          <w:szCs w:val="22"/>
        </w:rPr>
        <w:t>Laitila</w:t>
      </w:r>
      <w:proofErr w:type="spellEnd"/>
      <w:r w:rsidRPr="009F54B9">
        <w:rPr>
          <w:snapToGrid w:val="0"/>
          <w:kern w:val="22"/>
          <w:szCs w:val="22"/>
        </w:rPr>
        <w:t>, 2016</w:t>
      </w:r>
      <w:r w:rsidRPr="009F54B9">
        <w:rPr>
          <w:rStyle w:val="FootnoteReference"/>
          <w:snapToGrid w:val="0"/>
          <w:kern w:val="22"/>
          <w:szCs w:val="22"/>
        </w:rPr>
        <w:footnoteReference w:id="139"/>
      </w:r>
      <w:r w:rsidRPr="009F54B9">
        <w:rPr>
          <w:snapToGrid w:val="0"/>
          <w:kern w:val="22"/>
          <w:szCs w:val="22"/>
        </w:rPr>
        <w:t xml:space="preserve">). Nevertheless, there is potential for manufacturing industries to further explore no-net-loss / net-positive impact approaches throughout their value chains (i.e. for the historical and new residual impacts of their raw material suppliers, such as in the commercial agriculture and forestry sector; e.g. </w:t>
      </w:r>
      <w:proofErr w:type="spellStart"/>
      <w:r w:rsidRPr="009F54B9">
        <w:rPr>
          <w:snapToGrid w:val="0"/>
          <w:kern w:val="22"/>
          <w:szCs w:val="22"/>
        </w:rPr>
        <w:t>Aiama</w:t>
      </w:r>
      <w:proofErr w:type="spellEnd"/>
      <w:r w:rsidRPr="009F54B9">
        <w:rPr>
          <w:snapToGrid w:val="0"/>
          <w:kern w:val="22"/>
          <w:szCs w:val="22"/>
        </w:rPr>
        <w:t xml:space="preserve"> </w:t>
      </w:r>
      <w:r w:rsidRPr="009F54B9">
        <w:rPr>
          <w:i/>
          <w:snapToGrid w:val="0"/>
          <w:kern w:val="22"/>
          <w:szCs w:val="22"/>
        </w:rPr>
        <w:t>et al</w:t>
      </w:r>
      <w:r w:rsidRPr="009F54B9">
        <w:rPr>
          <w:snapToGrid w:val="0"/>
          <w:kern w:val="22"/>
          <w:szCs w:val="22"/>
        </w:rPr>
        <w:t>., 2015</w:t>
      </w:r>
      <w:r w:rsidRPr="009F54B9">
        <w:rPr>
          <w:rStyle w:val="FootnoteReference"/>
          <w:snapToGrid w:val="0"/>
          <w:kern w:val="22"/>
          <w:szCs w:val="22"/>
        </w:rPr>
        <w:footnoteReference w:id="140"/>
      </w:r>
      <w:r w:rsidRPr="009F54B9">
        <w:rPr>
          <w:snapToGrid w:val="0"/>
          <w:kern w:val="22"/>
          <w:szCs w:val="22"/>
        </w:rPr>
        <w:t xml:space="preserve">), not just at the level of their factories. This may become part of the discussions for supplier / commodity selection as well as the definitions of terms and conditions in contractual agreements. No-net-loss / </w:t>
      </w:r>
      <w:r w:rsidRPr="009F54B9">
        <w:rPr>
          <w:snapToGrid w:val="0"/>
          <w:kern w:val="22"/>
          <w:szCs w:val="22"/>
        </w:rPr>
        <w:lastRenderedPageBreak/>
        <w:t>net-positive impact approaches are consistent with achieving no (net) deforestation as understood by parties to the New York Declaration on Forests (2014) or the Amsterdam declarations on “imported deforestation” (2015).</w:t>
      </w:r>
    </w:p>
    <w:p w14:paraId="12C8F30D"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szCs w:val="22"/>
        </w:rPr>
      </w:pPr>
      <w:r w:rsidRPr="009F54B9">
        <w:rPr>
          <w:i/>
          <w:snapToGrid w:val="0"/>
          <w:kern w:val="22"/>
          <w:szCs w:val="22"/>
        </w:rPr>
        <w:t>Life-cycle assessments</w:t>
      </w:r>
      <w:r w:rsidRPr="009F54B9">
        <w:rPr>
          <w:snapToGrid w:val="0"/>
          <w:kern w:val="22"/>
          <w:szCs w:val="22"/>
        </w:rPr>
        <w:t xml:space="preserve">: Beyond site level approaches, the manufacturing sector should embrace product life cycle assessments which include biodiversity impacts (e.g., Curran </w:t>
      </w:r>
      <w:r w:rsidRPr="009F54B9">
        <w:rPr>
          <w:i/>
          <w:snapToGrid w:val="0"/>
          <w:kern w:val="22"/>
          <w:szCs w:val="22"/>
        </w:rPr>
        <w:t>et al</w:t>
      </w:r>
      <w:r w:rsidRPr="009F54B9">
        <w:rPr>
          <w:snapToGrid w:val="0"/>
          <w:kern w:val="22"/>
          <w:szCs w:val="22"/>
        </w:rPr>
        <w:t>., 2016</w:t>
      </w:r>
      <w:r w:rsidRPr="009F54B9">
        <w:rPr>
          <w:rStyle w:val="FootnoteReference"/>
          <w:snapToGrid w:val="0"/>
          <w:kern w:val="22"/>
          <w:szCs w:val="22"/>
        </w:rPr>
        <w:footnoteReference w:id="141"/>
      </w:r>
      <w:r w:rsidRPr="009F54B9">
        <w:rPr>
          <w:snapToGrid w:val="0"/>
          <w:kern w:val="22"/>
          <w:szCs w:val="22"/>
        </w:rPr>
        <w:t xml:space="preserve">; de Baan </w:t>
      </w:r>
      <w:r w:rsidRPr="009F54B9">
        <w:rPr>
          <w:i/>
          <w:snapToGrid w:val="0"/>
          <w:kern w:val="22"/>
          <w:szCs w:val="22"/>
        </w:rPr>
        <w:t>et al</w:t>
      </w:r>
      <w:r w:rsidRPr="009F54B9">
        <w:rPr>
          <w:snapToGrid w:val="0"/>
          <w:kern w:val="22"/>
          <w:szCs w:val="22"/>
        </w:rPr>
        <w:t>., 2013</w:t>
      </w:r>
      <w:r w:rsidRPr="009F54B9">
        <w:rPr>
          <w:rStyle w:val="FootnoteReference"/>
          <w:snapToGrid w:val="0"/>
          <w:kern w:val="22"/>
          <w:szCs w:val="22"/>
        </w:rPr>
        <w:footnoteReference w:id="142"/>
      </w:r>
      <w:r w:rsidRPr="009F54B9">
        <w:rPr>
          <w:snapToGrid w:val="0"/>
          <w:kern w:val="22"/>
          <w:szCs w:val="22"/>
        </w:rPr>
        <w:t>; Souza et al., 2015</w:t>
      </w:r>
      <w:r w:rsidRPr="009F54B9">
        <w:rPr>
          <w:rStyle w:val="FootnoteReference"/>
          <w:snapToGrid w:val="0"/>
          <w:kern w:val="22"/>
          <w:szCs w:val="22"/>
        </w:rPr>
        <w:footnoteReference w:id="143"/>
      </w:r>
      <w:r w:rsidRPr="009F54B9">
        <w:rPr>
          <w:snapToGrid w:val="0"/>
          <w:kern w:val="22"/>
          <w:szCs w:val="22"/>
        </w:rPr>
        <w:t>). These could be coupled to the support of labelling and certification schemes used for various commodities used in industrial production processes (e.g., Aluminium Stewardship Council</w:t>
      </w:r>
      <w:r w:rsidRPr="009F54B9">
        <w:rPr>
          <w:rStyle w:val="FootnoteReference"/>
          <w:snapToGrid w:val="0"/>
          <w:kern w:val="22"/>
          <w:szCs w:val="22"/>
        </w:rPr>
        <w:footnoteReference w:id="144"/>
      </w:r>
      <w:r w:rsidRPr="009F54B9">
        <w:rPr>
          <w:snapToGrid w:val="0"/>
          <w:kern w:val="22"/>
          <w:szCs w:val="22"/>
        </w:rPr>
        <w:t xml:space="preserve">; </w:t>
      </w:r>
      <w:proofErr w:type="spellStart"/>
      <w:r w:rsidRPr="009F54B9">
        <w:rPr>
          <w:snapToGrid w:val="0"/>
          <w:kern w:val="22"/>
          <w:szCs w:val="22"/>
        </w:rPr>
        <w:t>Gulbrandsen</w:t>
      </w:r>
      <w:proofErr w:type="spellEnd"/>
      <w:r w:rsidRPr="009F54B9">
        <w:rPr>
          <w:snapToGrid w:val="0"/>
          <w:kern w:val="22"/>
          <w:szCs w:val="22"/>
        </w:rPr>
        <w:t xml:space="preserve"> 2010</w:t>
      </w:r>
      <w:r w:rsidRPr="009F54B9">
        <w:rPr>
          <w:rStyle w:val="FootnoteReference"/>
          <w:snapToGrid w:val="0"/>
          <w:kern w:val="22"/>
          <w:szCs w:val="22"/>
        </w:rPr>
        <w:footnoteReference w:id="145"/>
      </w:r>
      <w:r w:rsidRPr="009F54B9">
        <w:rPr>
          <w:rFonts w:eastAsiaTheme="minorHAnsi"/>
          <w:snapToGrid w:val="0"/>
          <w:kern w:val="22"/>
          <w:szCs w:val="22"/>
        </w:rPr>
        <w:t xml:space="preserve">; </w:t>
      </w:r>
      <w:r w:rsidRPr="009F54B9">
        <w:rPr>
          <w:snapToGrid w:val="0"/>
          <w:kern w:val="22"/>
          <w:szCs w:val="22"/>
        </w:rPr>
        <w:t>KPMG 2012</w:t>
      </w:r>
      <w:r w:rsidRPr="009F54B9">
        <w:rPr>
          <w:rStyle w:val="FootnoteReference"/>
          <w:snapToGrid w:val="0"/>
          <w:kern w:val="22"/>
          <w:szCs w:val="22"/>
        </w:rPr>
        <w:footnoteReference w:id="146"/>
      </w:r>
      <w:r w:rsidRPr="009F54B9">
        <w:rPr>
          <w:snapToGrid w:val="0"/>
          <w:kern w:val="22"/>
          <w:szCs w:val="22"/>
        </w:rPr>
        <w:t>; UNEP-WCMC 2011</w:t>
      </w:r>
      <w:r w:rsidRPr="009F54B9">
        <w:rPr>
          <w:rStyle w:val="FootnoteReference"/>
          <w:snapToGrid w:val="0"/>
          <w:kern w:val="22"/>
          <w:szCs w:val="22"/>
        </w:rPr>
        <w:footnoteReference w:id="147"/>
      </w:r>
      <w:r w:rsidRPr="009F54B9">
        <w:rPr>
          <w:snapToGrid w:val="0"/>
          <w:kern w:val="22"/>
          <w:szCs w:val="22"/>
        </w:rPr>
        <w:t>). For instance, as of 2017, the</w:t>
      </w:r>
      <w:r w:rsidRPr="009F54B9">
        <w:rPr>
          <w:snapToGrid w:val="0"/>
          <w:kern w:val="22"/>
        </w:rPr>
        <w:t xml:space="preserve"> Roundtable on Sustainable Palm Oil had a membership of 763 consumer goods manufacturers, 536 processors and/or traders, 66 retailers and 174 producers</w:t>
      </w:r>
      <w:r w:rsidRPr="009F54B9">
        <w:rPr>
          <w:snapToGrid w:val="0"/>
          <w:color w:val="000000" w:themeColor="text1"/>
          <w:kern w:val="22"/>
          <w:szCs w:val="22"/>
        </w:rPr>
        <w:t>.</w:t>
      </w:r>
    </w:p>
    <w:p w14:paraId="4220FEA8"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szCs w:val="22"/>
        </w:rPr>
      </w:pPr>
      <w:r w:rsidRPr="009F54B9">
        <w:rPr>
          <w:i/>
          <w:snapToGrid w:val="0"/>
          <w:kern w:val="22"/>
          <w:szCs w:val="22"/>
        </w:rPr>
        <w:t>Environmental management accounting and reporting / disclosure</w:t>
      </w:r>
      <w:r w:rsidRPr="009F54B9">
        <w:rPr>
          <w:snapToGrid w:val="0"/>
          <w:kern w:val="22"/>
          <w:szCs w:val="22"/>
        </w:rPr>
        <w:t>: Environmental management accounting</w:t>
      </w:r>
      <w:r w:rsidRPr="009F54B9">
        <w:rPr>
          <w:rStyle w:val="FootnoteReference"/>
          <w:snapToGrid w:val="0"/>
          <w:kern w:val="22"/>
          <w:szCs w:val="22"/>
        </w:rPr>
        <w:footnoteReference w:id="148"/>
      </w:r>
      <w:r w:rsidRPr="009F54B9">
        <w:rPr>
          <w:snapToGrid w:val="0"/>
          <w:kern w:val="22"/>
          <w:szCs w:val="22"/>
        </w:rPr>
        <w:t>, in particular greenhouse gas accounting and reporting, has largely become mainstreamed in many countries. For instance, thousands of companies (including many manufacturing businesses) participate voluntarily in the Climate Disclosure Project</w:t>
      </w:r>
      <w:r w:rsidRPr="009F54B9">
        <w:rPr>
          <w:rStyle w:val="FootnoteReference"/>
          <w:snapToGrid w:val="0"/>
          <w:kern w:val="22"/>
          <w:szCs w:val="22"/>
        </w:rPr>
        <w:footnoteReference w:id="149"/>
      </w:r>
      <w:r w:rsidRPr="009F54B9">
        <w:rPr>
          <w:snapToGrid w:val="0"/>
          <w:kern w:val="22"/>
          <w:szCs w:val="22"/>
        </w:rPr>
        <w:t>, which has led to significant changes in their climate change policies and strategies so as to demonstrate improved climate performance over time. However, corporate biodiversity measurement is currently very limited (i.e. focused on high level principles and management approach discourses) despite the availability of some guidance documents (e.g., GRI 2007</w:t>
      </w:r>
      <w:r w:rsidRPr="009F54B9">
        <w:rPr>
          <w:rStyle w:val="FootnoteReference"/>
          <w:snapToGrid w:val="0"/>
          <w:kern w:val="22"/>
          <w:szCs w:val="22"/>
        </w:rPr>
        <w:footnoteReference w:id="150"/>
      </w:r>
      <w:r w:rsidRPr="009F54B9">
        <w:rPr>
          <w:snapToGrid w:val="0"/>
          <w:kern w:val="22"/>
          <w:szCs w:val="22"/>
        </w:rPr>
        <w:t xml:space="preserve">). Building a </w:t>
      </w:r>
      <w:r w:rsidR="00650A94">
        <w:rPr>
          <w:snapToGrid w:val="0"/>
          <w:kern w:val="22"/>
          <w:szCs w:val="22"/>
        </w:rPr>
        <w:t>standardized</w:t>
      </w:r>
      <w:r w:rsidRPr="009F54B9">
        <w:rPr>
          <w:snapToGrid w:val="0"/>
          <w:kern w:val="22"/>
          <w:szCs w:val="22"/>
        </w:rPr>
        <w:t xml:space="preserve"> biodiversity measurement protocol (including supply chain impacts; i.e. notion of different scope of greenhouse gas accounting) and mainstreaming the disclosure of biodiversity performance would go a long way in mainstreaming biodiversity in business strategies, as recently advocated at the </w:t>
      </w:r>
      <w:r w:rsidRPr="009F54B9">
        <w:rPr>
          <w:snapToGrid w:val="0"/>
          <w:kern w:val="22"/>
          <w:szCs w:val="22"/>
        </w:rPr>
        <w:lastRenderedPageBreak/>
        <w:t>2017 Biodiversity and Business Indaba of the South African National Biodiversity and Business Network</w:t>
      </w:r>
      <w:r w:rsidRPr="009F54B9">
        <w:rPr>
          <w:rStyle w:val="FootnoteReference"/>
          <w:snapToGrid w:val="0"/>
          <w:kern w:val="22"/>
          <w:szCs w:val="22"/>
        </w:rPr>
        <w:footnoteReference w:id="151"/>
      </w:r>
      <w:r w:rsidRPr="009F54B9">
        <w:rPr>
          <w:snapToGrid w:val="0"/>
          <w:kern w:val="22"/>
          <w:szCs w:val="22"/>
        </w:rPr>
        <w:t>. Manufacturing companies should be key targets for the pilot-testing of such tools. Any such measurement could benefit from quantitative targets and trends against which to assess progress.</w:t>
      </w:r>
    </w:p>
    <w:p w14:paraId="06D65112" w14:textId="77777777" w:rsidR="008E44C6" w:rsidRPr="009F54B9" w:rsidRDefault="008E44C6" w:rsidP="008E44C6">
      <w:pPr>
        <w:pStyle w:val="ListParagraph"/>
        <w:numPr>
          <w:ilvl w:val="0"/>
          <w:numId w:val="24"/>
        </w:numPr>
        <w:autoSpaceDE w:val="0"/>
        <w:autoSpaceDN w:val="0"/>
        <w:adjustRightInd w:val="0"/>
        <w:spacing w:line="360" w:lineRule="auto"/>
        <w:rPr>
          <w:snapToGrid w:val="0"/>
          <w:spacing w:val="-3"/>
          <w:kern w:val="22"/>
          <w:szCs w:val="22"/>
        </w:rPr>
      </w:pPr>
      <w:r w:rsidRPr="009F54B9">
        <w:rPr>
          <w:i/>
          <w:snapToGrid w:val="0"/>
          <w:spacing w:val="-3"/>
          <w:kern w:val="22"/>
          <w:szCs w:val="22"/>
        </w:rPr>
        <w:t>Externality valuation and disclosure</w:t>
      </w:r>
      <w:r w:rsidRPr="009F54B9">
        <w:rPr>
          <w:snapToGrid w:val="0"/>
          <w:spacing w:val="-3"/>
          <w:kern w:val="22"/>
          <w:szCs w:val="22"/>
        </w:rPr>
        <w:t>: The disclosure</w:t>
      </w:r>
      <w:r w:rsidRPr="009F54B9">
        <w:rPr>
          <w:rStyle w:val="FootnoteReference"/>
          <w:snapToGrid w:val="0"/>
          <w:spacing w:val="-3"/>
          <w:kern w:val="22"/>
          <w:szCs w:val="22"/>
        </w:rPr>
        <w:footnoteReference w:id="152"/>
      </w:r>
      <w:r w:rsidRPr="009F54B9">
        <w:rPr>
          <w:snapToGrid w:val="0"/>
          <w:spacing w:val="-3"/>
          <w:kern w:val="22"/>
          <w:szCs w:val="22"/>
        </w:rPr>
        <w:t xml:space="preserve"> of environmental externalities has been attempted by a very limited number of companies (e.g., the 1990 environmental report of BSO/Origin - </w:t>
      </w:r>
      <w:proofErr w:type="spellStart"/>
      <w:r w:rsidRPr="009F54B9">
        <w:rPr>
          <w:snapToGrid w:val="0"/>
          <w:spacing w:val="-3"/>
          <w:kern w:val="22"/>
          <w:szCs w:val="22"/>
        </w:rPr>
        <w:t>Huizing</w:t>
      </w:r>
      <w:proofErr w:type="spellEnd"/>
      <w:r w:rsidRPr="009F54B9">
        <w:rPr>
          <w:snapToGrid w:val="0"/>
          <w:spacing w:val="-3"/>
          <w:kern w:val="22"/>
          <w:szCs w:val="22"/>
        </w:rPr>
        <w:t xml:space="preserve"> and Dekker, 1992</w:t>
      </w:r>
      <w:r w:rsidRPr="009F54B9">
        <w:rPr>
          <w:rStyle w:val="FootnoteReference"/>
          <w:snapToGrid w:val="0"/>
          <w:spacing w:val="-3"/>
          <w:kern w:val="22"/>
          <w:szCs w:val="22"/>
        </w:rPr>
        <w:footnoteReference w:id="153"/>
      </w:r>
      <w:r w:rsidRPr="009F54B9">
        <w:rPr>
          <w:snapToGrid w:val="0"/>
          <w:spacing w:val="-3"/>
          <w:kern w:val="22"/>
          <w:szCs w:val="22"/>
        </w:rPr>
        <w:t xml:space="preserve">; Novo Nordisk - </w:t>
      </w:r>
      <w:r w:rsidRPr="009F54B9">
        <w:rPr>
          <w:rFonts w:eastAsiaTheme="minorHAnsi"/>
          <w:snapToGrid w:val="0"/>
          <w:spacing w:val="-3"/>
          <w:kern w:val="22"/>
          <w:szCs w:val="22"/>
        </w:rPr>
        <w:t>Danish Environmental Protection Agency 2014</w:t>
      </w:r>
      <w:r w:rsidRPr="009F54B9">
        <w:rPr>
          <w:rStyle w:val="FootnoteReference"/>
          <w:rFonts w:eastAsiaTheme="minorHAnsi"/>
          <w:snapToGrid w:val="0"/>
          <w:spacing w:val="-3"/>
          <w:kern w:val="22"/>
          <w:szCs w:val="22"/>
        </w:rPr>
        <w:footnoteReference w:id="154"/>
      </w:r>
      <w:r w:rsidRPr="009F54B9">
        <w:rPr>
          <w:snapToGrid w:val="0"/>
          <w:spacing w:val="-3"/>
          <w:kern w:val="22"/>
          <w:szCs w:val="22"/>
        </w:rPr>
        <w:t xml:space="preserve">). This should be encouraged, especially if valuations have comprehensive scopes, going beyond direct operations to include supply chains and the use and end-of-life of manufactured products. As demonstrated by </w:t>
      </w:r>
      <w:proofErr w:type="spellStart"/>
      <w:r w:rsidRPr="009F54B9">
        <w:rPr>
          <w:snapToGrid w:val="0"/>
          <w:spacing w:val="-3"/>
          <w:kern w:val="22"/>
          <w:szCs w:val="22"/>
        </w:rPr>
        <w:t>Kering</w:t>
      </w:r>
      <w:proofErr w:type="spellEnd"/>
      <w:r w:rsidRPr="009F54B9">
        <w:rPr>
          <w:rStyle w:val="FootnoteReference"/>
          <w:snapToGrid w:val="0"/>
          <w:spacing w:val="-3"/>
          <w:kern w:val="22"/>
          <w:szCs w:val="22"/>
        </w:rPr>
        <w:footnoteReference w:id="155"/>
      </w:r>
      <w:r w:rsidRPr="009F54B9">
        <w:rPr>
          <w:snapToGrid w:val="0"/>
          <w:spacing w:val="-3"/>
          <w:kern w:val="22"/>
          <w:szCs w:val="22"/>
        </w:rPr>
        <w:t>, the valuation of negative environmental externalities (including land use change as an impact driver) throughout its global supply chains can (a) be disclosed regularly (done almost on a yearly basis to show group trends), (b) drive sustainable innovation in product design, and (c) help secure raw material supply through direct engagement with raw material suppliers (e.g., to improve the sustainability of production processes and avoid unexpected costs due to resource shortages or changes in legislations). Focusing on the environmental reality of the global value chains of a whole group is visionary in a world where corporations tend to focus on the ‘positive spinning’ of selective environmental disclosures regarding events that occur at the level of direct operations (e.g., Lewis 2016</w:t>
      </w:r>
      <w:r w:rsidRPr="009F54B9">
        <w:rPr>
          <w:rStyle w:val="FootnoteReference"/>
          <w:snapToGrid w:val="0"/>
          <w:spacing w:val="-3"/>
          <w:kern w:val="22"/>
          <w:szCs w:val="22"/>
        </w:rPr>
        <w:footnoteReference w:id="156"/>
      </w:r>
      <w:r w:rsidRPr="009F54B9">
        <w:rPr>
          <w:snapToGrid w:val="0"/>
          <w:spacing w:val="-3"/>
          <w:kern w:val="22"/>
          <w:szCs w:val="22"/>
        </w:rPr>
        <w:t>; Lyon and Maxwell, 2011</w:t>
      </w:r>
      <w:r w:rsidRPr="009F54B9">
        <w:rPr>
          <w:rStyle w:val="FootnoteReference"/>
          <w:snapToGrid w:val="0"/>
          <w:spacing w:val="-3"/>
          <w:kern w:val="22"/>
          <w:szCs w:val="22"/>
        </w:rPr>
        <w:footnoteReference w:id="157"/>
      </w:r>
      <w:r w:rsidRPr="009F54B9">
        <w:rPr>
          <w:snapToGrid w:val="0"/>
          <w:spacing w:val="-3"/>
          <w:kern w:val="22"/>
          <w:szCs w:val="22"/>
        </w:rPr>
        <w:t>). There is much potential for all manufacturing industries to follow this approach.</w:t>
      </w:r>
    </w:p>
    <w:p w14:paraId="66F0D170"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szCs w:val="22"/>
        </w:rPr>
      </w:pPr>
      <w:r w:rsidRPr="009F54B9">
        <w:rPr>
          <w:snapToGrid w:val="0"/>
          <w:kern w:val="22"/>
          <w:szCs w:val="22"/>
        </w:rPr>
        <w:t>Last, but not least, to ensure biodiversity mainstreaming occurs in the manufacturing industries throughout the world, biodiversity-specific considerations (e.g., requirements preventing / restricting the use of threatened species or greenfield development in threatened ecosystems such as the ones listed on the IUCN Red List of Ecosystems</w:t>
      </w:r>
      <w:r w:rsidRPr="009F54B9">
        <w:rPr>
          <w:rStyle w:val="FootnoteReference"/>
          <w:snapToGrid w:val="0"/>
          <w:kern w:val="22"/>
          <w:szCs w:val="22"/>
        </w:rPr>
        <w:footnoteReference w:id="158"/>
      </w:r>
      <w:r w:rsidRPr="009F54B9">
        <w:rPr>
          <w:snapToGrid w:val="0"/>
          <w:kern w:val="22"/>
          <w:szCs w:val="22"/>
        </w:rPr>
        <w:t xml:space="preserve">) should be integrated in existing and future </w:t>
      </w:r>
      <w:r w:rsidRPr="009F54B9">
        <w:rPr>
          <w:snapToGrid w:val="0"/>
          <w:kern w:val="22"/>
          <w:szCs w:val="22"/>
        </w:rPr>
        <w:lastRenderedPageBreak/>
        <w:t xml:space="preserve">public policies (i.e. in the context of Inclusive Green Growth approaches: e.g., </w:t>
      </w:r>
      <w:r w:rsidRPr="009F54B9">
        <w:rPr>
          <w:rFonts w:eastAsiaTheme="minorHAnsi"/>
          <w:snapToGrid w:val="0"/>
          <w:kern w:val="22"/>
          <w:szCs w:val="22"/>
        </w:rPr>
        <w:t xml:space="preserve">AfDB </w:t>
      </w:r>
      <w:r w:rsidRPr="009F54B9">
        <w:rPr>
          <w:rFonts w:eastAsiaTheme="minorHAnsi"/>
          <w:i/>
          <w:iCs/>
          <w:snapToGrid w:val="0"/>
          <w:kern w:val="22"/>
          <w:szCs w:val="22"/>
        </w:rPr>
        <w:t>et al</w:t>
      </w:r>
      <w:r w:rsidRPr="009F54B9">
        <w:rPr>
          <w:rFonts w:eastAsiaTheme="minorHAnsi"/>
          <w:snapToGrid w:val="0"/>
          <w:kern w:val="22"/>
          <w:szCs w:val="22"/>
        </w:rPr>
        <w:t>., 2012</w:t>
      </w:r>
      <w:r w:rsidRPr="009F54B9">
        <w:rPr>
          <w:rStyle w:val="FootnoteReference"/>
          <w:rFonts w:eastAsiaTheme="minorHAnsi"/>
          <w:snapToGrid w:val="0"/>
          <w:kern w:val="22"/>
          <w:szCs w:val="22"/>
        </w:rPr>
        <w:footnoteReference w:id="159"/>
      </w:r>
      <w:r w:rsidRPr="009F54B9">
        <w:rPr>
          <w:rFonts w:eastAsiaTheme="minorHAnsi"/>
          <w:snapToGrid w:val="0"/>
          <w:kern w:val="22"/>
          <w:szCs w:val="22"/>
        </w:rPr>
        <w:t>; UKAID 2010</w:t>
      </w:r>
      <w:r w:rsidRPr="009F54B9">
        <w:rPr>
          <w:rStyle w:val="FootnoteReference"/>
          <w:rFonts w:eastAsiaTheme="minorHAnsi"/>
          <w:snapToGrid w:val="0"/>
          <w:kern w:val="22"/>
          <w:szCs w:val="22"/>
        </w:rPr>
        <w:footnoteReference w:id="160"/>
      </w:r>
      <w:r w:rsidRPr="009F54B9">
        <w:rPr>
          <w:rFonts w:eastAsiaTheme="minorHAnsi"/>
          <w:snapToGrid w:val="0"/>
          <w:kern w:val="22"/>
          <w:szCs w:val="22"/>
        </w:rPr>
        <w:t>; UNEP 2010</w:t>
      </w:r>
      <w:r w:rsidRPr="009F54B9">
        <w:rPr>
          <w:rStyle w:val="FootnoteReference"/>
          <w:rFonts w:eastAsiaTheme="minorHAnsi"/>
          <w:snapToGrid w:val="0"/>
          <w:kern w:val="22"/>
          <w:szCs w:val="22"/>
        </w:rPr>
        <w:footnoteReference w:id="161"/>
      </w:r>
      <w:r w:rsidRPr="009F54B9">
        <w:rPr>
          <w:rFonts w:eastAsiaTheme="minorHAnsi"/>
          <w:snapToGrid w:val="0"/>
          <w:kern w:val="22"/>
          <w:szCs w:val="22"/>
        </w:rPr>
        <w:t>,2011</w:t>
      </w:r>
      <w:r w:rsidRPr="009F54B9">
        <w:rPr>
          <w:rStyle w:val="FootnoteReference"/>
          <w:rFonts w:eastAsiaTheme="minorHAnsi"/>
          <w:snapToGrid w:val="0"/>
          <w:kern w:val="22"/>
          <w:szCs w:val="22"/>
        </w:rPr>
        <w:footnoteReference w:id="162"/>
      </w:r>
      <w:r w:rsidRPr="009F54B9">
        <w:rPr>
          <w:rFonts w:eastAsiaTheme="minorHAnsi"/>
          <w:snapToGrid w:val="0"/>
          <w:kern w:val="22"/>
          <w:szCs w:val="22"/>
        </w:rPr>
        <w:t>, 2013</w:t>
      </w:r>
      <w:r w:rsidRPr="009F54B9">
        <w:rPr>
          <w:rStyle w:val="FootnoteReference"/>
          <w:rFonts w:eastAsiaTheme="minorHAnsi"/>
          <w:snapToGrid w:val="0"/>
          <w:kern w:val="22"/>
          <w:szCs w:val="22"/>
        </w:rPr>
        <w:footnoteReference w:id="163"/>
      </w:r>
      <w:r w:rsidRPr="009F54B9">
        <w:rPr>
          <w:rFonts w:eastAsiaTheme="minorHAnsi"/>
          <w:snapToGrid w:val="0"/>
          <w:kern w:val="22"/>
          <w:szCs w:val="22"/>
        </w:rPr>
        <w:t>)</w:t>
      </w:r>
      <w:r w:rsidRPr="009F54B9">
        <w:rPr>
          <w:snapToGrid w:val="0"/>
          <w:kern w:val="22"/>
          <w:szCs w:val="22"/>
        </w:rPr>
        <w:t>, such as:</w:t>
      </w:r>
    </w:p>
    <w:p w14:paraId="3F9FB4D7" w14:textId="77777777" w:rsidR="008E44C6" w:rsidRPr="009F54B9" w:rsidRDefault="008E44C6" w:rsidP="008E44C6">
      <w:pPr>
        <w:pStyle w:val="ListParagraph"/>
        <w:numPr>
          <w:ilvl w:val="1"/>
          <w:numId w:val="30"/>
        </w:numPr>
        <w:autoSpaceDE w:val="0"/>
        <w:autoSpaceDN w:val="0"/>
        <w:adjustRightInd w:val="0"/>
        <w:spacing w:line="360" w:lineRule="auto"/>
        <w:rPr>
          <w:snapToGrid w:val="0"/>
          <w:kern w:val="22"/>
          <w:szCs w:val="22"/>
        </w:rPr>
      </w:pPr>
      <w:r w:rsidRPr="009F54B9">
        <w:rPr>
          <w:rFonts w:eastAsiaTheme="minorHAnsi"/>
          <w:snapToGrid w:val="0"/>
          <w:kern w:val="22"/>
          <w:szCs w:val="22"/>
        </w:rPr>
        <w:t>Project financing procedures that include best practice biodiversity provisions (e.g., no-net-loss targets in IFC performance standard 6</w:t>
      </w:r>
      <w:r w:rsidRPr="009F54B9">
        <w:rPr>
          <w:rStyle w:val="FootnoteReference"/>
          <w:rFonts w:eastAsiaTheme="minorHAnsi"/>
          <w:snapToGrid w:val="0"/>
          <w:kern w:val="22"/>
          <w:szCs w:val="22"/>
        </w:rPr>
        <w:footnoteReference w:id="164"/>
      </w:r>
      <w:r w:rsidRPr="009F54B9">
        <w:rPr>
          <w:rFonts w:eastAsiaTheme="minorHAnsi"/>
          <w:snapToGrid w:val="0"/>
          <w:kern w:val="22"/>
          <w:szCs w:val="22"/>
        </w:rPr>
        <w:t>);</w:t>
      </w:r>
    </w:p>
    <w:p w14:paraId="6CE97F4F" w14:textId="77777777" w:rsidR="008E44C6" w:rsidRPr="009F54B9" w:rsidRDefault="008E44C6" w:rsidP="008E44C6">
      <w:pPr>
        <w:pStyle w:val="ListParagraph"/>
        <w:numPr>
          <w:ilvl w:val="1"/>
          <w:numId w:val="30"/>
        </w:numPr>
        <w:autoSpaceDE w:val="0"/>
        <w:autoSpaceDN w:val="0"/>
        <w:adjustRightInd w:val="0"/>
        <w:spacing w:line="360" w:lineRule="auto"/>
        <w:rPr>
          <w:snapToGrid w:val="0"/>
          <w:kern w:val="22"/>
          <w:szCs w:val="22"/>
          <w:lang w:val="fr-FR"/>
        </w:rPr>
      </w:pPr>
      <w:proofErr w:type="spellStart"/>
      <w:r w:rsidRPr="009F54B9">
        <w:rPr>
          <w:snapToGrid w:val="0"/>
          <w:kern w:val="22"/>
          <w:szCs w:val="22"/>
          <w:lang w:val="fr-FR"/>
        </w:rPr>
        <w:t>Greener</w:t>
      </w:r>
      <w:proofErr w:type="spellEnd"/>
      <w:r w:rsidRPr="009F54B9">
        <w:rPr>
          <w:snapToGrid w:val="0"/>
          <w:kern w:val="22"/>
          <w:szCs w:val="22"/>
          <w:lang w:val="fr-FR"/>
        </w:rPr>
        <w:t xml:space="preserve"> public </w:t>
      </w:r>
      <w:proofErr w:type="spellStart"/>
      <w:r w:rsidRPr="009F54B9">
        <w:rPr>
          <w:snapToGrid w:val="0"/>
          <w:kern w:val="22"/>
          <w:szCs w:val="22"/>
          <w:lang w:val="fr-FR"/>
        </w:rPr>
        <w:t>procurement</w:t>
      </w:r>
      <w:proofErr w:type="spellEnd"/>
      <w:r w:rsidRPr="009F54B9">
        <w:rPr>
          <w:snapToGrid w:val="0"/>
          <w:kern w:val="22"/>
          <w:szCs w:val="22"/>
          <w:lang w:val="fr-FR"/>
        </w:rPr>
        <w:t xml:space="preserve"> (e.g., Grolleau </w:t>
      </w:r>
      <w:r w:rsidRPr="009F54B9">
        <w:rPr>
          <w:i/>
          <w:snapToGrid w:val="0"/>
          <w:kern w:val="22"/>
          <w:szCs w:val="22"/>
          <w:lang w:val="fr-FR"/>
        </w:rPr>
        <w:t>et al</w:t>
      </w:r>
      <w:r w:rsidRPr="009F54B9">
        <w:rPr>
          <w:snapToGrid w:val="0"/>
          <w:kern w:val="22"/>
          <w:szCs w:val="22"/>
          <w:lang w:val="fr-FR"/>
        </w:rPr>
        <w:t>., 2004</w:t>
      </w:r>
      <w:r w:rsidRPr="009F54B9">
        <w:rPr>
          <w:rStyle w:val="FootnoteReference"/>
          <w:snapToGrid w:val="0"/>
          <w:kern w:val="22"/>
          <w:szCs w:val="22"/>
        </w:rPr>
        <w:footnoteReference w:id="165"/>
      </w:r>
      <w:r w:rsidRPr="009F54B9">
        <w:rPr>
          <w:snapToGrid w:val="0"/>
          <w:kern w:val="22"/>
          <w:szCs w:val="22"/>
          <w:lang w:val="fr-FR"/>
        </w:rPr>
        <w:t xml:space="preserve">; </w:t>
      </w:r>
      <w:proofErr w:type="spellStart"/>
      <w:r w:rsidRPr="009F54B9">
        <w:rPr>
          <w:snapToGrid w:val="0"/>
          <w:kern w:val="22"/>
          <w:szCs w:val="22"/>
          <w:lang w:val="fr-FR"/>
        </w:rPr>
        <w:t>Lundberg</w:t>
      </w:r>
      <w:proofErr w:type="spellEnd"/>
      <w:r w:rsidRPr="009F54B9">
        <w:rPr>
          <w:snapToGrid w:val="0"/>
          <w:kern w:val="22"/>
          <w:szCs w:val="22"/>
          <w:lang w:val="fr-FR"/>
        </w:rPr>
        <w:t xml:space="preserve"> </w:t>
      </w:r>
      <w:r w:rsidRPr="009F54B9">
        <w:rPr>
          <w:i/>
          <w:snapToGrid w:val="0"/>
          <w:kern w:val="22"/>
          <w:szCs w:val="22"/>
          <w:lang w:val="fr-FR"/>
        </w:rPr>
        <w:t>et al</w:t>
      </w:r>
      <w:r w:rsidRPr="009F54B9">
        <w:rPr>
          <w:snapToGrid w:val="0"/>
          <w:kern w:val="22"/>
          <w:szCs w:val="22"/>
          <w:lang w:val="fr-FR"/>
        </w:rPr>
        <w:t>., 2009</w:t>
      </w:r>
      <w:r w:rsidRPr="009F54B9">
        <w:rPr>
          <w:rStyle w:val="FootnoteReference"/>
          <w:snapToGrid w:val="0"/>
          <w:kern w:val="22"/>
          <w:szCs w:val="22"/>
          <w:lang w:val="fr-FR"/>
        </w:rPr>
        <w:footnoteReference w:id="166"/>
      </w:r>
      <w:proofErr w:type="gramStart"/>
      <w:r w:rsidRPr="009F54B9">
        <w:rPr>
          <w:snapToGrid w:val="0"/>
          <w:kern w:val="22"/>
          <w:szCs w:val="22"/>
          <w:lang w:val="fr-FR"/>
        </w:rPr>
        <w:t>);</w:t>
      </w:r>
      <w:proofErr w:type="gramEnd"/>
    </w:p>
    <w:p w14:paraId="54C5E66B" w14:textId="77777777" w:rsidR="008E44C6" w:rsidRPr="009F54B9" w:rsidRDefault="008E44C6" w:rsidP="008E44C6">
      <w:pPr>
        <w:pStyle w:val="ListParagraph"/>
        <w:numPr>
          <w:ilvl w:val="1"/>
          <w:numId w:val="30"/>
        </w:numPr>
        <w:autoSpaceDE w:val="0"/>
        <w:autoSpaceDN w:val="0"/>
        <w:adjustRightInd w:val="0"/>
        <w:spacing w:line="360" w:lineRule="auto"/>
        <w:rPr>
          <w:snapToGrid w:val="0"/>
          <w:kern w:val="22"/>
          <w:szCs w:val="22"/>
        </w:rPr>
      </w:pPr>
      <w:r w:rsidRPr="009F54B9">
        <w:rPr>
          <w:snapToGrid w:val="0"/>
          <w:kern w:val="22"/>
          <w:szCs w:val="22"/>
        </w:rPr>
        <w:t xml:space="preserve">Environmental fiscal reform (e.g., </w:t>
      </w:r>
      <w:proofErr w:type="spellStart"/>
      <w:r w:rsidRPr="009F54B9">
        <w:rPr>
          <w:rFonts w:eastAsiaTheme="minorHAnsi"/>
          <w:snapToGrid w:val="0"/>
          <w:kern w:val="22"/>
          <w:szCs w:val="22"/>
        </w:rPr>
        <w:t>Schlegelmilch</w:t>
      </w:r>
      <w:proofErr w:type="spellEnd"/>
      <w:r w:rsidRPr="009F54B9">
        <w:rPr>
          <w:rFonts w:eastAsiaTheme="minorHAnsi"/>
          <w:snapToGrid w:val="0"/>
          <w:kern w:val="22"/>
          <w:szCs w:val="22"/>
        </w:rPr>
        <w:t xml:space="preserve"> and </w:t>
      </w:r>
      <w:proofErr w:type="spellStart"/>
      <w:r w:rsidRPr="009F54B9">
        <w:rPr>
          <w:rFonts w:eastAsiaTheme="minorHAnsi"/>
          <w:snapToGrid w:val="0"/>
          <w:kern w:val="22"/>
          <w:szCs w:val="22"/>
        </w:rPr>
        <w:t>Joas</w:t>
      </w:r>
      <w:proofErr w:type="spellEnd"/>
      <w:r w:rsidRPr="009F54B9">
        <w:rPr>
          <w:rFonts w:eastAsiaTheme="minorHAnsi"/>
          <w:snapToGrid w:val="0"/>
          <w:kern w:val="22"/>
          <w:szCs w:val="22"/>
        </w:rPr>
        <w:t>, 2015</w:t>
      </w:r>
      <w:r w:rsidRPr="009F54B9">
        <w:rPr>
          <w:rStyle w:val="FootnoteReference"/>
          <w:rFonts w:eastAsiaTheme="minorHAnsi"/>
          <w:snapToGrid w:val="0"/>
          <w:kern w:val="22"/>
          <w:szCs w:val="22"/>
        </w:rPr>
        <w:footnoteReference w:id="167"/>
      </w:r>
      <w:r w:rsidRPr="009F54B9">
        <w:rPr>
          <w:rFonts w:eastAsiaTheme="minorHAnsi"/>
          <w:snapToGrid w:val="0"/>
          <w:kern w:val="22"/>
          <w:szCs w:val="22"/>
        </w:rPr>
        <w:t xml:space="preserve">; </w:t>
      </w:r>
      <w:proofErr w:type="spellStart"/>
      <w:r w:rsidRPr="009F54B9">
        <w:rPr>
          <w:rFonts w:eastAsiaTheme="minorHAnsi"/>
          <w:snapToGrid w:val="0"/>
          <w:kern w:val="22"/>
          <w:szCs w:val="22"/>
        </w:rPr>
        <w:t>Slunge</w:t>
      </w:r>
      <w:proofErr w:type="spellEnd"/>
      <w:r w:rsidRPr="009F54B9">
        <w:rPr>
          <w:rFonts w:eastAsiaTheme="minorHAnsi"/>
          <w:snapToGrid w:val="0"/>
          <w:kern w:val="22"/>
          <w:szCs w:val="22"/>
        </w:rPr>
        <w:t xml:space="preserve"> and Sterner 2009</w:t>
      </w:r>
      <w:r w:rsidRPr="009F54B9">
        <w:rPr>
          <w:rStyle w:val="FootnoteReference"/>
          <w:rFonts w:eastAsiaTheme="minorHAnsi"/>
          <w:snapToGrid w:val="0"/>
          <w:kern w:val="22"/>
          <w:szCs w:val="22"/>
        </w:rPr>
        <w:footnoteReference w:id="168"/>
      </w:r>
      <w:r w:rsidRPr="009F54B9">
        <w:rPr>
          <w:rFonts w:eastAsiaTheme="minorHAnsi"/>
          <w:snapToGrid w:val="0"/>
          <w:kern w:val="22"/>
          <w:szCs w:val="22"/>
        </w:rPr>
        <w:t>), including the review of preserve subsidies for both pollutants and the support of activities (e.g., land use change) leading to biodiversity loss (CES 2012</w:t>
      </w:r>
      <w:r w:rsidRPr="009F54B9">
        <w:rPr>
          <w:rStyle w:val="FootnoteReference"/>
          <w:rFonts w:eastAsiaTheme="minorHAnsi"/>
          <w:snapToGrid w:val="0"/>
          <w:kern w:val="22"/>
          <w:szCs w:val="22"/>
        </w:rPr>
        <w:footnoteReference w:id="169"/>
      </w:r>
      <w:r w:rsidRPr="009F54B9">
        <w:rPr>
          <w:rFonts w:eastAsiaTheme="minorHAnsi"/>
          <w:snapToGrid w:val="0"/>
          <w:kern w:val="22"/>
          <w:szCs w:val="22"/>
        </w:rPr>
        <w:t>);</w:t>
      </w:r>
    </w:p>
    <w:p w14:paraId="4725864A" w14:textId="77777777" w:rsidR="008E44C6" w:rsidRPr="009F54B9" w:rsidRDefault="008E44C6" w:rsidP="008E44C6">
      <w:pPr>
        <w:pStyle w:val="ListParagraph"/>
        <w:numPr>
          <w:ilvl w:val="1"/>
          <w:numId w:val="30"/>
        </w:numPr>
        <w:autoSpaceDE w:val="0"/>
        <w:autoSpaceDN w:val="0"/>
        <w:adjustRightInd w:val="0"/>
        <w:spacing w:line="360" w:lineRule="auto"/>
        <w:rPr>
          <w:snapToGrid w:val="0"/>
          <w:kern w:val="22"/>
          <w:szCs w:val="22"/>
        </w:rPr>
      </w:pPr>
      <w:r w:rsidRPr="009F54B9">
        <w:rPr>
          <w:rFonts w:eastAsiaTheme="minorHAnsi"/>
          <w:snapToGrid w:val="0"/>
          <w:kern w:val="22"/>
          <w:szCs w:val="22"/>
        </w:rPr>
        <w:t xml:space="preserve">Greener </w:t>
      </w:r>
      <w:r w:rsidRPr="009F54B9">
        <w:rPr>
          <w:snapToGrid w:val="0"/>
          <w:kern w:val="22"/>
          <w:szCs w:val="22"/>
        </w:rPr>
        <w:t>trade agreements (Arnell 2003</w:t>
      </w:r>
      <w:r w:rsidRPr="009F54B9">
        <w:rPr>
          <w:rStyle w:val="FootnoteReference"/>
          <w:snapToGrid w:val="0"/>
          <w:kern w:val="22"/>
          <w:szCs w:val="22"/>
          <w:lang w:val="fr-FR"/>
        </w:rPr>
        <w:footnoteReference w:id="170"/>
      </w:r>
      <w:r w:rsidRPr="009F54B9">
        <w:rPr>
          <w:snapToGrid w:val="0"/>
          <w:kern w:val="22"/>
          <w:szCs w:val="22"/>
        </w:rPr>
        <w:t xml:space="preserve">; Berger </w:t>
      </w:r>
      <w:r w:rsidRPr="009F54B9">
        <w:rPr>
          <w:i/>
          <w:snapToGrid w:val="0"/>
          <w:kern w:val="22"/>
          <w:szCs w:val="22"/>
        </w:rPr>
        <w:t>et al</w:t>
      </w:r>
      <w:r w:rsidRPr="009F54B9">
        <w:rPr>
          <w:snapToGrid w:val="0"/>
          <w:kern w:val="22"/>
          <w:szCs w:val="22"/>
        </w:rPr>
        <w:t>., 2017</w:t>
      </w:r>
      <w:r w:rsidRPr="009F54B9">
        <w:rPr>
          <w:rStyle w:val="FootnoteReference"/>
          <w:snapToGrid w:val="0"/>
          <w:kern w:val="22"/>
          <w:szCs w:val="22"/>
        </w:rPr>
        <w:footnoteReference w:id="171"/>
      </w:r>
      <w:r w:rsidRPr="009F54B9">
        <w:rPr>
          <w:snapToGrid w:val="0"/>
          <w:kern w:val="22"/>
          <w:szCs w:val="22"/>
        </w:rPr>
        <w:t xml:space="preserve">; Mao </w:t>
      </w:r>
      <w:r w:rsidRPr="009F54B9">
        <w:rPr>
          <w:i/>
          <w:snapToGrid w:val="0"/>
          <w:kern w:val="22"/>
          <w:szCs w:val="22"/>
        </w:rPr>
        <w:t>et al</w:t>
      </w:r>
      <w:r w:rsidRPr="009F54B9">
        <w:rPr>
          <w:snapToGrid w:val="0"/>
          <w:kern w:val="22"/>
          <w:szCs w:val="22"/>
        </w:rPr>
        <w:t>., 2015</w:t>
      </w:r>
      <w:r w:rsidRPr="009F54B9">
        <w:rPr>
          <w:rStyle w:val="FootnoteReference"/>
          <w:snapToGrid w:val="0"/>
          <w:kern w:val="22"/>
          <w:szCs w:val="22"/>
          <w:lang w:val="fr-FR"/>
        </w:rPr>
        <w:footnoteReference w:id="172"/>
      </w:r>
      <w:r w:rsidRPr="009F54B9">
        <w:rPr>
          <w:snapToGrid w:val="0"/>
          <w:kern w:val="22"/>
          <w:szCs w:val="22"/>
        </w:rPr>
        <w:t>; Sheldon 2006</w:t>
      </w:r>
      <w:r w:rsidRPr="009F54B9">
        <w:rPr>
          <w:rStyle w:val="FootnoteReference"/>
          <w:snapToGrid w:val="0"/>
          <w:kern w:val="22"/>
          <w:szCs w:val="22"/>
        </w:rPr>
        <w:footnoteReference w:id="173"/>
      </w:r>
      <w:r w:rsidRPr="009F54B9">
        <w:rPr>
          <w:snapToGrid w:val="0"/>
          <w:kern w:val="22"/>
          <w:szCs w:val="22"/>
        </w:rPr>
        <w:t>).</w:t>
      </w:r>
    </w:p>
    <w:p w14:paraId="059DA28C" w14:textId="77777777" w:rsidR="008E44C6" w:rsidRPr="009F54B9" w:rsidRDefault="008E44C6" w:rsidP="009E0FF4">
      <w:pPr>
        <w:rPr>
          <w:snapToGrid w:val="0"/>
          <w:color w:val="000000" w:themeColor="text1"/>
          <w:kern w:val="22"/>
          <w:szCs w:val="22"/>
        </w:rPr>
      </w:pPr>
      <w:r w:rsidRPr="009F54B9">
        <w:rPr>
          <w:snapToGrid w:val="0"/>
          <w:color w:val="000000" w:themeColor="text1"/>
          <w:kern w:val="22"/>
          <w:szCs w:val="22"/>
        </w:rPr>
        <w:br w:type="page"/>
      </w:r>
    </w:p>
    <w:p w14:paraId="0B718A49" w14:textId="77777777" w:rsidR="008E44C6" w:rsidRPr="009F54B9" w:rsidRDefault="008E44C6" w:rsidP="008E44C6">
      <w:pPr>
        <w:pStyle w:val="Heading1"/>
        <w:keepNext w:val="0"/>
        <w:numPr>
          <w:ilvl w:val="0"/>
          <w:numId w:val="10"/>
        </w:numPr>
        <w:tabs>
          <w:tab w:val="clear" w:pos="720"/>
          <w:tab w:val="left" w:pos="3686"/>
        </w:tabs>
        <w:autoSpaceDE w:val="0"/>
        <w:autoSpaceDN w:val="0"/>
        <w:adjustRightInd w:val="0"/>
        <w:spacing w:before="0" w:after="240"/>
        <w:jc w:val="both"/>
        <w:rPr>
          <w:caps w:val="0"/>
          <w:snapToGrid w:val="0"/>
          <w:kern w:val="22"/>
          <w:szCs w:val="22"/>
        </w:rPr>
      </w:pPr>
      <w:bookmarkStart w:id="56" w:name="_Toc517690323"/>
      <w:r w:rsidRPr="009F54B9">
        <w:rPr>
          <w:snapToGrid w:val="0"/>
          <w:kern w:val="22"/>
          <w:szCs w:val="22"/>
        </w:rPr>
        <w:lastRenderedPageBreak/>
        <w:t>Policy recommendations</w:t>
      </w:r>
      <w:bookmarkEnd w:id="56"/>
    </w:p>
    <w:p w14:paraId="1DD2D98E" w14:textId="77777777" w:rsidR="008E44C6" w:rsidRPr="009F54B9" w:rsidRDefault="008E44C6" w:rsidP="009B3C35">
      <w:pPr>
        <w:rPr>
          <w:snapToGrid w:val="0"/>
          <w:kern w:val="22"/>
          <w:szCs w:val="22"/>
          <w:highlight w:val="yellow"/>
        </w:rPr>
      </w:pPr>
    </w:p>
    <w:p w14:paraId="3CF0D78E" w14:textId="77777777" w:rsidR="008E44C6" w:rsidRPr="009F54B9" w:rsidRDefault="008E44C6" w:rsidP="00562FA1">
      <w:pPr>
        <w:rPr>
          <w:snapToGrid w:val="0"/>
          <w:kern w:val="22"/>
        </w:rPr>
      </w:pPr>
      <w:r w:rsidRPr="009F54B9">
        <w:rPr>
          <w:snapToGrid w:val="0"/>
          <w:kern w:val="22"/>
        </w:rPr>
        <w:t>Effectively mainstreaming biodiversity conservation and sustainable use requires thinking beyond traditional environmental governance and management models. This is due to the nature of global value chains in which manufacturing companies play a significant, but limited role : e.g., no or very limited control over raw material extraction / harvesting, product needs and design influenced by retailers.</w:t>
      </w:r>
    </w:p>
    <w:p w14:paraId="7E8A3A8C" w14:textId="77777777" w:rsidR="008E44C6" w:rsidRPr="009F54B9" w:rsidRDefault="008E44C6" w:rsidP="009B3C35">
      <w:pPr>
        <w:rPr>
          <w:snapToGrid w:val="0"/>
          <w:kern w:val="22"/>
          <w:szCs w:val="22"/>
          <w:highlight w:val="yellow"/>
        </w:rPr>
      </w:pPr>
    </w:p>
    <w:p w14:paraId="17F51681" w14:textId="77777777" w:rsidR="008E44C6" w:rsidRPr="009F54B9" w:rsidRDefault="008E44C6" w:rsidP="004D1E17">
      <w:pPr>
        <w:rPr>
          <w:snapToGrid w:val="0"/>
          <w:kern w:val="22"/>
        </w:rPr>
      </w:pPr>
      <w:r w:rsidRPr="009F54B9">
        <w:rPr>
          <w:snapToGrid w:val="0"/>
          <w:kern w:val="22"/>
        </w:rPr>
        <w:t xml:space="preserve">The key challenges to address can be </w:t>
      </w:r>
      <w:r w:rsidR="007B644B">
        <w:rPr>
          <w:snapToGrid w:val="0"/>
          <w:kern w:val="22"/>
        </w:rPr>
        <w:t>summarize</w:t>
      </w:r>
      <w:r w:rsidRPr="009F54B9">
        <w:rPr>
          <w:snapToGrid w:val="0"/>
          <w:kern w:val="22"/>
        </w:rPr>
        <w:t>d into two inter-linked broad approaches:</w:t>
      </w:r>
    </w:p>
    <w:p w14:paraId="306D2044" w14:textId="77777777" w:rsidR="008E44C6" w:rsidRPr="009F54B9" w:rsidRDefault="008E44C6" w:rsidP="008E44C6">
      <w:pPr>
        <w:pStyle w:val="ListParagraph"/>
        <w:numPr>
          <w:ilvl w:val="0"/>
          <w:numId w:val="37"/>
        </w:numPr>
        <w:autoSpaceDE w:val="0"/>
        <w:autoSpaceDN w:val="0"/>
        <w:adjustRightInd w:val="0"/>
        <w:spacing w:line="360" w:lineRule="auto"/>
        <w:rPr>
          <w:snapToGrid w:val="0"/>
          <w:kern w:val="22"/>
          <w:szCs w:val="22"/>
        </w:rPr>
      </w:pPr>
      <w:r w:rsidRPr="009F54B9">
        <w:rPr>
          <w:snapToGrid w:val="0"/>
          <w:kern w:val="22"/>
          <w:szCs w:val="22"/>
        </w:rPr>
        <w:t xml:space="preserve">Supporting manufacturing companies </w:t>
      </w:r>
      <w:r w:rsidR="00C744AF">
        <w:rPr>
          <w:snapToGrid w:val="0"/>
          <w:kern w:val="22"/>
          <w:szCs w:val="22"/>
        </w:rPr>
        <w:t>recognize</w:t>
      </w:r>
      <w:r w:rsidRPr="009F54B9">
        <w:rPr>
          <w:snapToGrid w:val="0"/>
          <w:kern w:val="22"/>
          <w:szCs w:val="22"/>
        </w:rPr>
        <w:t>, measure, value, manage responsively and disclose (their performance related to) their direct and indirect dependencies and on impacts biodiversity throughout global value chains;</w:t>
      </w:r>
    </w:p>
    <w:p w14:paraId="657B9C87" w14:textId="77777777" w:rsidR="008E44C6" w:rsidRPr="009F54B9" w:rsidRDefault="008E44C6" w:rsidP="008E44C6">
      <w:pPr>
        <w:pStyle w:val="ListParagraph"/>
        <w:numPr>
          <w:ilvl w:val="0"/>
          <w:numId w:val="37"/>
        </w:numPr>
        <w:autoSpaceDE w:val="0"/>
        <w:autoSpaceDN w:val="0"/>
        <w:adjustRightInd w:val="0"/>
        <w:spacing w:line="360" w:lineRule="auto"/>
        <w:rPr>
          <w:snapToGrid w:val="0"/>
          <w:spacing w:val="-2"/>
          <w:kern w:val="22"/>
          <w:szCs w:val="22"/>
        </w:rPr>
      </w:pPr>
      <w:r w:rsidRPr="009F54B9">
        <w:rPr>
          <w:snapToGrid w:val="0"/>
          <w:spacing w:val="-2"/>
          <w:kern w:val="22"/>
          <w:szCs w:val="22"/>
        </w:rPr>
        <w:t>Designing, adopting and implementing enabling policy and legislative environments (i.e. both incentives and disincentives) that work across nations so as to effectively target the whole global value chains of manufactured products when striving for biodiversity mainstreaming best practices.</w:t>
      </w:r>
    </w:p>
    <w:p w14:paraId="5230E05A" w14:textId="77777777" w:rsidR="008E44C6" w:rsidRPr="009F54B9" w:rsidRDefault="008E44C6" w:rsidP="00BA52AE">
      <w:pPr>
        <w:rPr>
          <w:snapToGrid w:val="0"/>
          <w:kern w:val="22"/>
        </w:rPr>
      </w:pPr>
    </w:p>
    <w:p w14:paraId="381BB975" w14:textId="77777777" w:rsidR="008E44C6" w:rsidRPr="009F54B9" w:rsidRDefault="008E44C6" w:rsidP="009F54B9">
      <w:pPr>
        <w:spacing w:after="120"/>
        <w:rPr>
          <w:snapToGrid w:val="0"/>
          <w:kern w:val="22"/>
        </w:rPr>
      </w:pPr>
      <w:r w:rsidRPr="009F54B9">
        <w:rPr>
          <w:snapToGrid w:val="0"/>
          <w:kern w:val="22"/>
        </w:rPr>
        <w:t>More specifically, there is a new for manufacturing companies to:</w:t>
      </w:r>
    </w:p>
    <w:p w14:paraId="1AA69266"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rPr>
      </w:pPr>
      <w:r w:rsidRPr="009F54B9">
        <w:rPr>
          <w:snapToGrid w:val="0"/>
          <w:kern w:val="22"/>
        </w:rPr>
        <w:t>Better measure and value their biodiversity dependencies, with a focus on (a) the environment as a recipient of their emissions and (b) their indirect dependencies throughout their supply chains;</w:t>
      </w:r>
    </w:p>
    <w:p w14:paraId="034B252E"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rPr>
      </w:pPr>
      <w:r w:rsidRPr="009F54B9">
        <w:rPr>
          <w:snapToGrid w:val="0"/>
          <w:kern w:val="22"/>
        </w:rPr>
        <w:t>Better measure and value their biodiversity impacts, beyond the measurement of impact drivers (e.g.,  amounts of air emissions and solid waste, volumes of water emissions, amounts of resource used, extent of ecosystem used) towards actual biodiversity losses (or gains), with a focus on their indirect impacts throughout their supply chains (especially land use changes due to the agricultural and forestry sectors);</w:t>
      </w:r>
    </w:p>
    <w:p w14:paraId="74DE0C2E"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rPr>
      </w:pPr>
      <w:r w:rsidRPr="009F54B9">
        <w:rPr>
          <w:snapToGrid w:val="0"/>
          <w:kern w:val="22"/>
        </w:rPr>
        <w:t>Engage more with their whole value chains so as to promote the implementation of the impact mitigation hierarchy (ideally with no-net-loss or net-positive-impact targets) at each step of value added creation, from resource extraction / production to the end of life of goods sold (e.g., disposal, recycling);</w:t>
      </w:r>
    </w:p>
    <w:p w14:paraId="058642F1"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rPr>
      </w:pPr>
      <w:r w:rsidRPr="009F54B9">
        <w:rPr>
          <w:snapToGrid w:val="0"/>
          <w:kern w:val="22"/>
        </w:rPr>
        <w:t>Become more transparent to all stakeholders as regards to their direct and indirect biodiversity impacts and dependencies, including their socio-economic consequences for affected stakeholders (i.e. externalities), notably through regular, annual disclosures;</w:t>
      </w:r>
    </w:p>
    <w:p w14:paraId="0AC2D645"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rPr>
      </w:pPr>
      <w:r w:rsidRPr="009F54B9">
        <w:rPr>
          <w:snapToGrid w:val="0"/>
          <w:kern w:val="22"/>
        </w:rPr>
        <w:t>Collect and disclose quantified information about their contributions to all the Aichi Targets, where appropriate for their specific industry</w:t>
      </w:r>
      <w:r w:rsidRPr="009F54B9">
        <w:rPr>
          <w:rStyle w:val="FootnoteReference"/>
          <w:snapToGrid w:val="0"/>
          <w:kern w:val="22"/>
        </w:rPr>
        <w:footnoteReference w:id="174"/>
      </w:r>
      <w:r w:rsidRPr="009F54B9">
        <w:rPr>
          <w:snapToGrid w:val="0"/>
          <w:kern w:val="22"/>
        </w:rPr>
        <w:t>.</w:t>
      </w:r>
    </w:p>
    <w:p w14:paraId="6FA2C9D0" w14:textId="77777777" w:rsidR="008E44C6" w:rsidRPr="009F54B9" w:rsidRDefault="008E44C6" w:rsidP="00AF1169">
      <w:pPr>
        <w:rPr>
          <w:snapToGrid w:val="0"/>
          <w:kern w:val="22"/>
        </w:rPr>
      </w:pPr>
    </w:p>
    <w:p w14:paraId="53252BF8" w14:textId="77777777" w:rsidR="008E44C6" w:rsidRPr="009F54B9" w:rsidRDefault="008E44C6" w:rsidP="009F54B9">
      <w:pPr>
        <w:keepNext/>
        <w:spacing w:after="120"/>
        <w:rPr>
          <w:snapToGrid w:val="0"/>
          <w:kern w:val="22"/>
        </w:rPr>
      </w:pPr>
      <w:r w:rsidRPr="009F54B9">
        <w:rPr>
          <w:snapToGrid w:val="0"/>
          <w:kern w:val="22"/>
        </w:rPr>
        <w:t>In addition, parties could consider the following:</w:t>
      </w:r>
    </w:p>
    <w:p w14:paraId="5414A93A"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rPr>
      </w:pPr>
      <w:r w:rsidRPr="009F54B9">
        <w:rPr>
          <w:snapToGrid w:val="0"/>
          <w:kern w:val="22"/>
        </w:rPr>
        <w:t xml:space="preserve">Explore the potential for adapting the CBD strategic objectives and Aichi Targets to individual industries and whole product / commodity value chains (i.e. to make them SMART – specific, </w:t>
      </w:r>
      <w:r w:rsidRPr="009F54B9">
        <w:rPr>
          <w:snapToGrid w:val="0"/>
          <w:kern w:val="22"/>
        </w:rPr>
        <w:lastRenderedPageBreak/>
        <w:t xml:space="preserve">measureable, attainable, relevant, time bound – for manufacturing companies) and encourage companies in </w:t>
      </w:r>
      <w:r w:rsidRPr="009F54B9">
        <w:rPr>
          <w:snapToGrid w:val="0"/>
          <w:kern w:val="22"/>
          <w:szCs w:val="22"/>
        </w:rPr>
        <w:t>reporting on their Aichi Targets contributions;</w:t>
      </w:r>
    </w:p>
    <w:p w14:paraId="37ACF1A2"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rPr>
      </w:pPr>
      <w:r w:rsidRPr="009F54B9">
        <w:rPr>
          <w:snapToGrid w:val="0"/>
          <w:kern w:val="22"/>
          <w:szCs w:val="22"/>
        </w:rPr>
        <w:t>Formalise binding engagements with manufacturing industries on biodiversity conservation and sustainable use targets for direct operations as well as upstream (i.e. suppliers) and downstream (i.e.  use and end of life of manufactured products);</w:t>
      </w:r>
    </w:p>
    <w:p w14:paraId="00BEAC59"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rPr>
      </w:pPr>
      <w:r w:rsidRPr="009F54B9">
        <w:rPr>
          <w:snapToGrid w:val="0"/>
          <w:kern w:val="22"/>
        </w:rPr>
        <w:t xml:space="preserve">Support development of a </w:t>
      </w:r>
      <w:r w:rsidR="00650A94">
        <w:rPr>
          <w:snapToGrid w:val="0"/>
          <w:kern w:val="22"/>
        </w:rPr>
        <w:t>standardized</w:t>
      </w:r>
      <w:r w:rsidRPr="009F54B9">
        <w:rPr>
          <w:snapToGrid w:val="0"/>
          <w:kern w:val="22"/>
        </w:rPr>
        <w:t xml:space="preserve"> biodiversity measurement protocol, which would include global value chain dimensions (e.g., accounting for biodiversity losses / gains across different scopes, from direct operations to upstream and downstream dimensions);</w:t>
      </w:r>
    </w:p>
    <w:p w14:paraId="2DE6734D"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rPr>
      </w:pPr>
      <w:r w:rsidRPr="009F54B9">
        <w:rPr>
          <w:snapToGrid w:val="0"/>
          <w:kern w:val="22"/>
        </w:rPr>
        <w:t>Support relevant stakeholders (e.g., notably the IPBES</w:t>
      </w:r>
      <w:r w:rsidRPr="009F54B9">
        <w:rPr>
          <w:rStyle w:val="FootnoteReference"/>
          <w:snapToGrid w:val="0"/>
          <w:kern w:val="22"/>
        </w:rPr>
        <w:footnoteReference w:id="175"/>
      </w:r>
      <w:r w:rsidRPr="009F54B9">
        <w:rPr>
          <w:snapToGrid w:val="0"/>
          <w:kern w:val="22"/>
        </w:rPr>
        <w:t xml:space="preserve"> and NCC</w:t>
      </w:r>
      <w:r w:rsidRPr="009F54B9">
        <w:rPr>
          <w:rStyle w:val="FootnoteReference"/>
          <w:snapToGrid w:val="0"/>
          <w:kern w:val="22"/>
        </w:rPr>
        <w:footnoteReference w:id="176"/>
      </w:r>
      <w:r w:rsidRPr="009F54B9">
        <w:rPr>
          <w:snapToGrid w:val="0"/>
          <w:kern w:val="22"/>
        </w:rPr>
        <w:t>) in the development of more diverse and integrated value framing perspectives and initiatives so as to effectively convince all affected stakeholders (along global value chains) of the importance of biodiversity and of the need for its effective conservation and sustainable use;</w:t>
      </w:r>
    </w:p>
    <w:p w14:paraId="7CE227D0" w14:textId="77777777" w:rsidR="008E44C6" w:rsidRPr="009F54B9" w:rsidRDefault="008E44C6" w:rsidP="008E44C6">
      <w:pPr>
        <w:pStyle w:val="ListParagraph"/>
        <w:numPr>
          <w:ilvl w:val="0"/>
          <w:numId w:val="24"/>
        </w:numPr>
        <w:autoSpaceDE w:val="0"/>
        <w:autoSpaceDN w:val="0"/>
        <w:adjustRightInd w:val="0"/>
        <w:spacing w:line="360" w:lineRule="auto"/>
        <w:rPr>
          <w:snapToGrid w:val="0"/>
          <w:spacing w:val="-1"/>
          <w:kern w:val="22"/>
        </w:rPr>
      </w:pPr>
      <w:r w:rsidRPr="009F54B9">
        <w:rPr>
          <w:snapToGrid w:val="0"/>
          <w:spacing w:val="-1"/>
          <w:kern w:val="22"/>
        </w:rPr>
        <w:t>Effectively engage with environmental business associations (e.g., WBCSD), NGOs (e.g., Natural Capital Coalition, IUCN), multi-stakeholder initiatives (e.g. Aluminium Stewardship Council), industry leaders, as well as international and national industry bodies and professional associations to (a) raise the profile of biodiversity in manufacturing, (b) help develop the business case for each manufacturing industry and (c) prom</w:t>
      </w:r>
      <w:r w:rsidRPr="009F54B9">
        <w:rPr>
          <w:snapToGrid w:val="0"/>
          <w:spacing w:val="-1"/>
          <w:kern w:val="22"/>
          <w:szCs w:val="22"/>
        </w:rPr>
        <w:t>ote industry best practices (e.g., no-net-loss approaches, promotion of relevant labelling schemes, product life cycle assessments which include biodiversity impacts, embedding biodiversity targets in environmental management schemes);</w:t>
      </w:r>
    </w:p>
    <w:p w14:paraId="0B1E4FEA"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szCs w:val="22"/>
        </w:rPr>
      </w:pPr>
      <w:r w:rsidRPr="009F54B9">
        <w:rPr>
          <w:snapToGrid w:val="0"/>
          <w:kern w:val="22"/>
          <w:szCs w:val="22"/>
        </w:rPr>
        <w:t>Invite the financial sector to become more transparent with respect to their dealings with the manufacturing sector, including in terms of project finance, business finance and insurance products, with a focus on including biodiversity safeguards throughout their activities (e.g., project finance due diligence processes and disclosure requirements, biodiversity risk exposure disclosure to external stakeholders).</w:t>
      </w:r>
    </w:p>
    <w:p w14:paraId="24EC6ABF"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rPr>
      </w:pPr>
      <w:r w:rsidRPr="009F54B9">
        <w:rPr>
          <w:snapToGrid w:val="0"/>
          <w:kern w:val="22"/>
          <w:szCs w:val="22"/>
        </w:rPr>
        <w:t>Develop, adopt and enforce company disclosure requirements (adapted to different company sizes) for:</w:t>
      </w:r>
    </w:p>
    <w:p w14:paraId="1CC7F7B5" w14:textId="77777777" w:rsidR="008E44C6" w:rsidRPr="009F54B9" w:rsidRDefault="008E44C6" w:rsidP="008E44C6">
      <w:pPr>
        <w:pStyle w:val="ListParagraph"/>
        <w:numPr>
          <w:ilvl w:val="1"/>
          <w:numId w:val="24"/>
        </w:numPr>
        <w:autoSpaceDE w:val="0"/>
        <w:autoSpaceDN w:val="0"/>
        <w:adjustRightInd w:val="0"/>
        <w:spacing w:line="360" w:lineRule="auto"/>
        <w:rPr>
          <w:snapToGrid w:val="0"/>
          <w:kern w:val="22"/>
        </w:rPr>
      </w:pPr>
      <w:r w:rsidRPr="009F54B9">
        <w:rPr>
          <w:snapToGrid w:val="0"/>
          <w:kern w:val="22"/>
          <w:szCs w:val="22"/>
        </w:rPr>
        <w:t xml:space="preserve">Direct and indirect </w:t>
      </w:r>
      <w:r w:rsidRPr="009F54B9">
        <w:rPr>
          <w:snapToGrid w:val="0"/>
          <w:kern w:val="22"/>
        </w:rPr>
        <w:t>biodiversity impacts and dependencies, including their socio-economic consequences for affected stakeholders (i.e. externalities),</w:t>
      </w:r>
    </w:p>
    <w:p w14:paraId="3E7697D2" w14:textId="77777777" w:rsidR="008E44C6" w:rsidRPr="009F54B9" w:rsidRDefault="008E44C6" w:rsidP="008E44C6">
      <w:pPr>
        <w:pStyle w:val="ListParagraph"/>
        <w:numPr>
          <w:ilvl w:val="1"/>
          <w:numId w:val="24"/>
        </w:numPr>
        <w:autoSpaceDE w:val="0"/>
        <w:autoSpaceDN w:val="0"/>
        <w:adjustRightInd w:val="0"/>
        <w:spacing w:line="360" w:lineRule="auto"/>
        <w:rPr>
          <w:snapToGrid w:val="0"/>
          <w:kern w:val="22"/>
        </w:rPr>
      </w:pPr>
      <w:r w:rsidRPr="009F54B9">
        <w:rPr>
          <w:snapToGrid w:val="0"/>
          <w:kern w:val="22"/>
        </w:rPr>
        <w:t>Contributions to the Aichi Targets,</w:t>
      </w:r>
    </w:p>
    <w:p w14:paraId="66AB2E8D" w14:textId="77777777" w:rsidR="008E44C6" w:rsidRPr="009F54B9" w:rsidRDefault="008E44C6" w:rsidP="008E44C6">
      <w:pPr>
        <w:pStyle w:val="ListParagraph"/>
        <w:numPr>
          <w:ilvl w:val="1"/>
          <w:numId w:val="24"/>
        </w:numPr>
        <w:autoSpaceDE w:val="0"/>
        <w:autoSpaceDN w:val="0"/>
        <w:adjustRightInd w:val="0"/>
        <w:spacing w:line="360" w:lineRule="auto"/>
        <w:rPr>
          <w:snapToGrid w:val="0"/>
          <w:kern w:val="22"/>
        </w:rPr>
      </w:pPr>
      <w:r w:rsidRPr="009F54B9">
        <w:rPr>
          <w:snapToGrid w:val="0"/>
          <w:kern w:val="22"/>
        </w:rPr>
        <w:lastRenderedPageBreak/>
        <w:t>The development of national databases of biodiversity accounts that would track the biodiversity impacts and dependencies of both gross domestic product accounts and national imports / exports;</w:t>
      </w:r>
    </w:p>
    <w:p w14:paraId="5025BA34" w14:textId="77777777" w:rsidR="008E44C6" w:rsidRPr="009F54B9" w:rsidRDefault="008E44C6" w:rsidP="008E44C6">
      <w:pPr>
        <w:pStyle w:val="ListParagraph"/>
        <w:numPr>
          <w:ilvl w:val="0"/>
          <w:numId w:val="24"/>
        </w:numPr>
        <w:autoSpaceDE w:val="0"/>
        <w:autoSpaceDN w:val="0"/>
        <w:adjustRightInd w:val="0"/>
        <w:spacing w:line="360" w:lineRule="auto"/>
        <w:rPr>
          <w:snapToGrid w:val="0"/>
          <w:kern w:val="22"/>
        </w:rPr>
      </w:pPr>
      <w:r w:rsidRPr="009F54B9">
        <w:rPr>
          <w:snapToGrid w:val="0"/>
          <w:kern w:val="22"/>
          <w:szCs w:val="22"/>
        </w:rPr>
        <w:t>Develop, adopt and enforce biodiversity safeguard requirements (e.g., applying the impact mitigation hierarchy and making explicit references to various best practice tools / policies and international conventions such as the World Heritage Convention</w:t>
      </w:r>
      <w:r w:rsidRPr="009F54B9">
        <w:rPr>
          <w:rStyle w:val="FootnoteReference"/>
          <w:snapToGrid w:val="0"/>
          <w:kern w:val="22"/>
          <w:szCs w:val="22"/>
        </w:rPr>
        <w:footnoteReference w:id="177"/>
      </w:r>
      <w:r w:rsidRPr="009F54B9">
        <w:rPr>
          <w:snapToGrid w:val="0"/>
          <w:kern w:val="22"/>
          <w:szCs w:val="22"/>
        </w:rPr>
        <w:t xml:space="preserve"> and CITIES</w:t>
      </w:r>
      <w:r w:rsidRPr="009F54B9">
        <w:rPr>
          <w:rStyle w:val="FootnoteReference"/>
          <w:snapToGrid w:val="0"/>
          <w:kern w:val="22"/>
          <w:szCs w:val="22"/>
        </w:rPr>
        <w:footnoteReference w:id="178"/>
      </w:r>
      <w:r w:rsidRPr="009F54B9">
        <w:rPr>
          <w:snapToGrid w:val="0"/>
          <w:kern w:val="22"/>
          <w:szCs w:val="22"/>
        </w:rPr>
        <w:t>):</w:t>
      </w:r>
    </w:p>
    <w:p w14:paraId="526534B5" w14:textId="77777777" w:rsidR="008E44C6" w:rsidRPr="009F54B9" w:rsidRDefault="008E44C6" w:rsidP="008E44C6">
      <w:pPr>
        <w:pStyle w:val="ListParagraph"/>
        <w:numPr>
          <w:ilvl w:val="1"/>
          <w:numId w:val="24"/>
        </w:numPr>
        <w:autoSpaceDE w:val="0"/>
        <w:autoSpaceDN w:val="0"/>
        <w:adjustRightInd w:val="0"/>
        <w:spacing w:line="360" w:lineRule="auto"/>
        <w:rPr>
          <w:snapToGrid w:val="0"/>
          <w:kern w:val="22"/>
        </w:rPr>
      </w:pPr>
      <w:r w:rsidRPr="009F54B9">
        <w:rPr>
          <w:snapToGrid w:val="0"/>
          <w:kern w:val="22"/>
          <w:szCs w:val="22"/>
        </w:rPr>
        <w:t>All public procurement involving manufactured goods, including supply chain aspects;</w:t>
      </w:r>
    </w:p>
    <w:p w14:paraId="0FA3D91A" w14:textId="77777777" w:rsidR="008E44C6" w:rsidRPr="009F54B9" w:rsidRDefault="008E44C6" w:rsidP="008E44C6">
      <w:pPr>
        <w:pStyle w:val="ListParagraph"/>
        <w:numPr>
          <w:ilvl w:val="1"/>
          <w:numId w:val="24"/>
        </w:numPr>
        <w:autoSpaceDE w:val="0"/>
        <w:autoSpaceDN w:val="0"/>
        <w:adjustRightInd w:val="0"/>
        <w:spacing w:line="360" w:lineRule="auto"/>
        <w:rPr>
          <w:snapToGrid w:val="0"/>
          <w:kern w:val="22"/>
          <w:szCs w:val="22"/>
        </w:rPr>
      </w:pPr>
      <w:r w:rsidRPr="009F54B9">
        <w:rPr>
          <w:snapToGrid w:val="0"/>
          <w:kern w:val="22"/>
          <w:szCs w:val="22"/>
        </w:rPr>
        <w:t>International development aid (included climate related finance), including for the procurement of manufactured goods;</w:t>
      </w:r>
    </w:p>
    <w:p w14:paraId="1BCC69A7" w14:textId="77777777" w:rsidR="008E44C6" w:rsidRPr="009F54B9" w:rsidRDefault="008E44C6" w:rsidP="008E44C6">
      <w:pPr>
        <w:pStyle w:val="ListParagraph"/>
        <w:numPr>
          <w:ilvl w:val="1"/>
          <w:numId w:val="24"/>
        </w:numPr>
        <w:autoSpaceDE w:val="0"/>
        <w:autoSpaceDN w:val="0"/>
        <w:adjustRightInd w:val="0"/>
        <w:spacing w:line="360" w:lineRule="auto"/>
        <w:rPr>
          <w:snapToGrid w:val="0"/>
          <w:kern w:val="22"/>
          <w:szCs w:val="22"/>
        </w:rPr>
      </w:pPr>
      <w:r w:rsidRPr="009F54B9">
        <w:rPr>
          <w:snapToGrid w:val="0"/>
          <w:kern w:val="22"/>
          <w:szCs w:val="22"/>
        </w:rPr>
        <w:t>Forthcoming fiscal reforms, striving for the reversal / cancellation of perverse subsidies and (at least partial) shift of the tax burden from labour and income / capital to resource and ecosystem (e.g., land and marine surface area) use (which would be particularly relevant to manufacturing industries and their suppliers);</w:t>
      </w:r>
    </w:p>
    <w:p w14:paraId="0BFDEFC8" w14:textId="77777777" w:rsidR="008E44C6" w:rsidRPr="009F54B9" w:rsidRDefault="008E44C6" w:rsidP="008E44C6">
      <w:pPr>
        <w:pStyle w:val="ListParagraph"/>
        <w:numPr>
          <w:ilvl w:val="1"/>
          <w:numId w:val="24"/>
        </w:numPr>
        <w:autoSpaceDE w:val="0"/>
        <w:autoSpaceDN w:val="0"/>
        <w:adjustRightInd w:val="0"/>
        <w:spacing w:line="360" w:lineRule="auto"/>
        <w:rPr>
          <w:snapToGrid w:val="0"/>
          <w:kern w:val="22"/>
          <w:szCs w:val="22"/>
        </w:rPr>
      </w:pPr>
      <w:r w:rsidRPr="009F54B9">
        <w:rPr>
          <w:snapToGrid w:val="0"/>
          <w:kern w:val="22"/>
          <w:szCs w:val="22"/>
        </w:rPr>
        <w:t>Forthcoming trade agreement negotiations, with a focus on supporting mechanisms (e.g., performance / compliance based financing) to improve environmental regulations and compliance enforcement where appropriate.</w:t>
      </w:r>
    </w:p>
    <w:p w14:paraId="27E48368" w14:textId="77777777" w:rsidR="008E44C6" w:rsidRPr="009F54B9" w:rsidRDefault="008E44C6" w:rsidP="002B348B">
      <w:pPr>
        <w:pStyle w:val="ListParagraph"/>
        <w:ind w:left="780"/>
        <w:rPr>
          <w:snapToGrid w:val="0"/>
          <w:kern w:val="22"/>
        </w:rPr>
      </w:pPr>
    </w:p>
    <w:p w14:paraId="0491E5A8" w14:textId="77777777" w:rsidR="008E44C6" w:rsidRPr="009F54B9" w:rsidRDefault="008E44C6" w:rsidP="00442064">
      <w:pPr>
        <w:pStyle w:val="ListParagraph"/>
        <w:ind w:left="780"/>
        <w:rPr>
          <w:snapToGrid w:val="0"/>
          <w:kern w:val="22"/>
        </w:rPr>
      </w:pPr>
      <w:r w:rsidRPr="009F54B9">
        <w:rPr>
          <w:snapToGrid w:val="0"/>
          <w:kern w:val="22"/>
          <w:szCs w:val="22"/>
          <w:highlight w:val="yellow"/>
        </w:rPr>
        <w:br w:type="page"/>
      </w:r>
    </w:p>
    <w:p w14:paraId="6C240C56" w14:textId="77777777" w:rsidR="008E44C6" w:rsidRPr="009F54B9" w:rsidRDefault="008E44C6" w:rsidP="008E44C6">
      <w:pPr>
        <w:pStyle w:val="Heading1"/>
        <w:keepNext w:val="0"/>
        <w:numPr>
          <w:ilvl w:val="0"/>
          <w:numId w:val="10"/>
        </w:numPr>
        <w:tabs>
          <w:tab w:val="clear" w:pos="720"/>
          <w:tab w:val="left" w:pos="3686"/>
        </w:tabs>
        <w:autoSpaceDE w:val="0"/>
        <w:autoSpaceDN w:val="0"/>
        <w:adjustRightInd w:val="0"/>
        <w:spacing w:before="0" w:after="240"/>
        <w:jc w:val="both"/>
        <w:rPr>
          <w:caps w:val="0"/>
          <w:snapToGrid w:val="0"/>
          <w:kern w:val="22"/>
          <w:szCs w:val="22"/>
        </w:rPr>
      </w:pPr>
      <w:bookmarkStart w:id="57" w:name="_Toc517690324"/>
      <w:r w:rsidRPr="009F54B9">
        <w:rPr>
          <w:snapToGrid w:val="0"/>
          <w:kern w:val="22"/>
          <w:szCs w:val="22"/>
        </w:rPr>
        <w:lastRenderedPageBreak/>
        <w:t>Annex 1 – Further UNSD ISIC Rev. 4 classification details</w:t>
      </w:r>
      <w:bookmarkEnd w:id="57"/>
    </w:p>
    <w:p w14:paraId="3DFA22D3" w14:textId="77777777" w:rsidR="008E44C6" w:rsidRPr="009F54B9" w:rsidRDefault="008E44C6" w:rsidP="009B3C35">
      <w:pPr>
        <w:rPr>
          <w:snapToGrid w:val="0"/>
          <w:kern w:val="22"/>
          <w:szCs w:val="22"/>
        </w:rPr>
      </w:pPr>
    </w:p>
    <w:p w14:paraId="4016BB90" w14:textId="77777777" w:rsidR="008E44C6" w:rsidRPr="009F54B9" w:rsidRDefault="008E44C6" w:rsidP="00FF16AB">
      <w:pPr>
        <w:rPr>
          <w:snapToGrid w:val="0"/>
          <w:kern w:val="22"/>
          <w:szCs w:val="22"/>
        </w:rPr>
      </w:pPr>
      <w:r w:rsidRPr="009F54B9">
        <w:rPr>
          <w:snapToGrid w:val="0"/>
          <w:kern w:val="22"/>
          <w:szCs w:val="22"/>
        </w:rPr>
        <w:t>This Annex draws the International Standard Industrial Classification of All Economic Activities</w:t>
      </w:r>
      <w:r w:rsidRPr="009F54B9">
        <w:rPr>
          <w:snapToGrid w:val="0"/>
          <w:kern w:val="22"/>
          <w:sz w:val="20"/>
          <w:szCs w:val="20"/>
        </w:rPr>
        <w:t>.</w:t>
      </w:r>
      <w:r w:rsidRPr="009F54B9">
        <w:rPr>
          <w:rStyle w:val="FootnoteReference"/>
          <w:smallCaps/>
          <w:snapToGrid w:val="0"/>
          <w:kern w:val="22"/>
          <w:szCs w:val="22"/>
        </w:rPr>
        <w:footnoteReference w:id="179"/>
      </w:r>
    </w:p>
    <w:p w14:paraId="43266505" w14:textId="77777777" w:rsidR="008E44C6" w:rsidRPr="009F54B9" w:rsidRDefault="008E44C6" w:rsidP="009B3C35">
      <w:pPr>
        <w:rPr>
          <w:snapToGrid w:val="0"/>
          <w:kern w:val="22"/>
          <w:szCs w:val="22"/>
        </w:rPr>
      </w:pPr>
    </w:p>
    <w:p w14:paraId="32FE4543" w14:textId="77777777" w:rsidR="008E44C6" w:rsidRPr="009F54B9" w:rsidRDefault="008E44C6" w:rsidP="009F54B9">
      <w:pPr>
        <w:spacing w:after="120"/>
        <w:rPr>
          <w:snapToGrid w:val="0"/>
          <w:kern w:val="22"/>
          <w:szCs w:val="22"/>
        </w:rPr>
      </w:pPr>
      <w:r w:rsidRPr="009F54B9">
        <w:rPr>
          <w:b/>
          <w:snapToGrid w:val="0"/>
          <w:kern w:val="22"/>
          <w:szCs w:val="22"/>
        </w:rPr>
        <w:t>Division 10</w:t>
      </w:r>
      <w:r w:rsidRPr="009F54B9">
        <w:rPr>
          <w:snapToGrid w:val="0"/>
          <w:kern w:val="22"/>
          <w:szCs w:val="22"/>
        </w:rPr>
        <w:t xml:space="preserve"> - Manufacture of food products - includes the processing of the products of agriculture, forestry and fishing into food for humans or animals, and includes the production of various intermediate products that are not directly food products. This division is organized by activities dealing with different kinds of products: meat, fish, fruit and vegetables, fats and oils, milk products, grain mill products, animal feeds and other food products.</w:t>
      </w:r>
      <w:r w:rsidR="00E6475A">
        <w:rPr>
          <w:snapToGrid w:val="0"/>
          <w:kern w:val="22"/>
          <w:szCs w:val="22"/>
        </w:rPr>
        <w:t xml:space="preserve"> </w:t>
      </w:r>
      <w:r w:rsidRPr="009F54B9">
        <w:rPr>
          <w:snapToGrid w:val="0"/>
          <w:kern w:val="22"/>
          <w:szCs w:val="22"/>
        </w:rPr>
        <w:t>It includes the following Groups:</w:t>
      </w:r>
    </w:p>
    <w:p w14:paraId="5FB3EA03"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101 - Processing and preserving of meat;</w:t>
      </w:r>
    </w:p>
    <w:p w14:paraId="14256AA8"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102 - Processing and preserving of fish, crustaceans and molluscs;</w:t>
      </w:r>
    </w:p>
    <w:p w14:paraId="7A796247"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103 - Processing and preserving of fruit and vegetables;</w:t>
      </w:r>
    </w:p>
    <w:p w14:paraId="1DBC474A"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104 - Manufacture of vegetable and animal oils and fats;</w:t>
      </w:r>
    </w:p>
    <w:p w14:paraId="5B07A159"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105 - Manufacture of dairy products;</w:t>
      </w:r>
    </w:p>
    <w:p w14:paraId="4EC5A767"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106 - Manufacture of grain mill products, starches and starch products;</w:t>
      </w:r>
    </w:p>
    <w:p w14:paraId="0FB3EC9E"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107 - Manufacture of other food products;</w:t>
      </w:r>
    </w:p>
    <w:p w14:paraId="048926D8"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108 - Manufacture of prepared animal feeds.</w:t>
      </w:r>
    </w:p>
    <w:p w14:paraId="1CA3DDD9" w14:textId="77777777" w:rsidR="008E44C6" w:rsidRPr="009F54B9" w:rsidRDefault="008E44C6" w:rsidP="00D653F9">
      <w:pPr>
        <w:rPr>
          <w:snapToGrid w:val="0"/>
          <w:kern w:val="22"/>
          <w:szCs w:val="22"/>
        </w:rPr>
      </w:pPr>
    </w:p>
    <w:p w14:paraId="55829C35" w14:textId="77777777" w:rsidR="008E44C6" w:rsidRPr="009F54B9" w:rsidRDefault="008E44C6" w:rsidP="00544C8D">
      <w:pPr>
        <w:rPr>
          <w:snapToGrid w:val="0"/>
          <w:kern w:val="22"/>
          <w:szCs w:val="22"/>
        </w:rPr>
      </w:pPr>
      <w:r w:rsidRPr="009F54B9">
        <w:rPr>
          <w:b/>
          <w:snapToGrid w:val="0"/>
          <w:kern w:val="22"/>
          <w:szCs w:val="22"/>
        </w:rPr>
        <w:t>Division 11</w:t>
      </w:r>
      <w:r w:rsidRPr="009F54B9">
        <w:rPr>
          <w:snapToGrid w:val="0"/>
          <w:kern w:val="22"/>
          <w:szCs w:val="22"/>
        </w:rPr>
        <w:t xml:space="preserve"> includes the manufacture of beverages, such as non-alcoholic beverages and mineral water, manufacture of alcoholic beverages mainly through fermentation, beer and wine, and the manufacture of distilled alcoholic beverages. It is limited to the Group 110 - Manufacture of beverages. </w:t>
      </w:r>
    </w:p>
    <w:p w14:paraId="0EAF76F2" w14:textId="77777777" w:rsidR="008E44C6" w:rsidRPr="009F54B9" w:rsidRDefault="008E44C6" w:rsidP="00544C8D">
      <w:pPr>
        <w:rPr>
          <w:snapToGrid w:val="0"/>
          <w:kern w:val="22"/>
          <w:szCs w:val="22"/>
        </w:rPr>
      </w:pPr>
    </w:p>
    <w:p w14:paraId="7C72E5A5" w14:textId="77777777" w:rsidR="008E44C6" w:rsidRPr="009F54B9" w:rsidRDefault="008E44C6" w:rsidP="00544C8D">
      <w:pPr>
        <w:rPr>
          <w:snapToGrid w:val="0"/>
          <w:kern w:val="22"/>
          <w:szCs w:val="22"/>
        </w:rPr>
      </w:pPr>
      <w:r w:rsidRPr="009F54B9">
        <w:rPr>
          <w:b/>
          <w:snapToGrid w:val="0"/>
          <w:kern w:val="22"/>
          <w:szCs w:val="22"/>
        </w:rPr>
        <w:t>Division 12</w:t>
      </w:r>
      <w:r w:rsidRPr="009F54B9">
        <w:rPr>
          <w:snapToGrid w:val="0"/>
          <w:kern w:val="22"/>
          <w:szCs w:val="22"/>
        </w:rPr>
        <w:t xml:space="preserve"> includes the processing of an agricultural product, tobacco, into a form suitable for final consumption. It is limited to the Group 120 - Manufacture of tobacco products.</w:t>
      </w:r>
    </w:p>
    <w:p w14:paraId="5EE0F2EF" w14:textId="77777777" w:rsidR="008E44C6" w:rsidRPr="009F54B9" w:rsidRDefault="008E44C6" w:rsidP="00544C8D">
      <w:pPr>
        <w:rPr>
          <w:snapToGrid w:val="0"/>
          <w:kern w:val="22"/>
          <w:szCs w:val="22"/>
        </w:rPr>
      </w:pPr>
    </w:p>
    <w:p w14:paraId="76D4AEBC" w14:textId="77777777" w:rsidR="008E44C6" w:rsidRPr="009F54B9" w:rsidRDefault="008E44C6" w:rsidP="003648C3">
      <w:pPr>
        <w:rPr>
          <w:snapToGrid w:val="0"/>
          <w:kern w:val="22"/>
          <w:szCs w:val="22"/>
        </w:rPr>
      </w:pPr>
      <w:r w:rsidRPr="009F54B9">
        <w:rPr>
          <w:b/>
          <w:snapToGrid w:val="0"/>
          <w:kern w:val="22"/>
          <w:szCs w:val="22"/>
        </w:rPr>
        <w:t>Division 13</w:t>
      </w:r>
      <w:r w:rsidRPr="009F54B9">
        <w:rPr>
          <w:snapToGrid w:val="0"/>
          <w:kern w:val="22"/>
          <w:szCs w:val="22"/>
        </w:rPr>
        <w:t xml:space="preserve"> is divided into the following Groups:</w:t>
      </w:r>
    </w:p>
    <w:p w14:paraId="5840626C"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131 - Spinning, weaving and finishing of textiles;</w:t>
      </w:r>
    </w:p>
    <w:p w14:paraId="390CBA74"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139 - Manufacture of other textiles.</w:t>
      </w:r>
    </w:p>
    <w:p w14:paraId="3859B93A" w14:textId="77777777" w:rsidR="008E44C6" w:rsidRPr="009F54B9" w:rsidRDefault="008E44C6" w:rsidP="00544C8D">
      <w:pPr>
        <w:rPr>
          <w:snapToGrid w:val="0"/>
          <w:kern w:val="22"/>
          <w:szCs w:val="22"/>
        </w:rPr>
      </w:pPr>
      <w:r w:rsidRPr="009F54B9">
        <w:rPr>
          <w:snapToGrid w:val="0"/>
          <w:kern w:val="22"/>
          <w:szCs w:val="22"/>
        </w:rPr>
        <w:t>This division includes preparation and spinning of textile fibres as well as textile weaving, finishing of textiles and wearing apparel, manufacture of made-up textile articles, except apparel (e.g. household linen, blankets, rugs, cordage etc.).</w:t>
      </w:r>
    </w:p>
    <w:p w14:paraId="6523ABAD" w14:textId="77777777" w:rsidR="008E44C6" w:rsidRPr="009F54B9" w:rsidRDefault="008E44C6" w:rsidP="00992754">
      <w:pPr>
        <w:rPr>
          <w:snapToGrid w:val="0"/>
          <w:kern w:val="22"/>
          <w:szCs w:val="22"/>
        </w:rPr>
      </w:pPr>
    </w:p>
    <w:p w14:paraId="247E023D" w14:textId="77777777" w:rsidR="008E44C6" w:rsidRPr="009F54B9" w:rsidRDefault="008E44C6" w:rsidP="00992754">
      <w:pPr>
        <w:rPr>
          <w:snapToGrid w:val="0"/>
          <w:kern w:val="22"/>
          <w:szCs w:val="22"/>
        </w:rPr>
      </w:pPr>
      <w:r w:rsidRPr="009F54B9">
        <w:rPr>
          <w:b/>
          <w:snapToGrid w:val="0"/>
          <w:kern w:val="22"/>
          <w:szCs w:val="22"/>
        </w:rPr>
        <w:t>Division 14</w:t>
      </w:r>
      <w:r w:rsidRPr="009F54B9">
        <w:rPr>
          <w:snapToGrid w:val="0"/>
          <w:kern w:val="22"/>
          <w:szCs w:val="22"/>
        </w:rPr>
        <w:t xml:space="preserve"> is divided into the following Groups:</w:t>
      </w:r>
    </w:p>
    <w:p w14:paraId="11289157"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141 - Manufacture of wearing apparel, except fur apparel;</w:t>
      </w:r>
    </w:p>
    <w:p w14:paraId="5C5C6C67"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142 - Manufacture of articles of fur;</w:t>
      </w:r>
    </w:p>
    <w:p w14:paraId="60B7954A"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143 - Manufacture of knitted and crocheted apparel.</w:t>
      </w:r>
    </w:p>
    <w:p w14:paraId="7DE72AF8" w14:textId="77777777" w:rsidR="008E44C6" w:rsidRPr="009F54B9" w:rsidRDefault="008E44C6" w:rsidP="00992754">
      <w:pPr>
        <w:rPr>
          <w:snapToGrid w:val="0"/>
          <w:kern w:val="22"/>
          <w:szCs w:val="22"/>
        </w:rPr>
      </w:pPr>
      <w:r w:rsidRPr="009F54B9">
        <w:rPr>
          <w:snapToGrid w:val="0"/>
          <w:kern w:val="22"/>
          <w:szCs w:val="22"/>
        </w:rPr>
        <w:t>Division 14 includes all tailoring (ready-to-wear or made-to-measure), in all materials (e.g. leather, fabric, knitted and crocheted fabrics etc.), of all items of clothing (e.g. outerwear, underwear for men, women or children; work, city or casual clothing etc.) and accessories.</w:t>
      </w:r>
    </w:p>
    <w:p w14:paraId="28686C4C" w14:textId="77777777" w:rsidR="008E44C6" w:rsidRPr="009F54B9" w:rsidRDefault="008E44C6" w:rsidP="00544C8D">
      <w:pPr>
        <w:rPr>
          <w:snapToGrid w:val="0"/>
          <w:kern w:val="22"/>
          <w:szCs w:val="22"/>
        </w:rPr>
      </w:pPr>
    </w:p>
    <w:p w14:paraId="490F715B" w14:textId="77777777" w:rsidR="008E44C6" w:rsidRPr="009F54B9" w:rsidRDefault="008E44C6" w:rsidP="00C40007">
      <w:pPr>
        <w:rPr>
          <w:snapToGrid w:val="0"/>
          <w:kern w:val="22"/>
          <w:szCs w:val="22"/>
        </w:rPr>
      </w:pPr>
      <w:r w:rsidRPr="009F54B9">
        <w:rPr>
          <w:b/>
          <w:snapToGrid w:val="0"/>
          <w:kern w:val="22"/>
          <w:szCs w:val="22"/>
        </w:rPr>
        <w:lastRenderedPageBreak/>
        <w:t>Division 15</w:t>
      </w:r>
      <w:r w:rsidRPr="009F54B9">
        <w:rPr>
          <w:snapToGrid w:val="0"/>
          <w:kern w:val="22"/>
          <w:szCs w:val="22"/>
        </w:rPr>
        <w:t xml:space="preserve"> includes dressing and dyeing of fur and the transformation of hides into leather by tanning or curing and fabricating the leather into products for final consumption. It also includes the manufacture of similar products from other materials (imitation leathers or leather substitutes), such as rubber footwear, textile luggage etc. This Division is divided into the following Groups:</w:t>
      </w:r>
    </w:p>
    <w:p w14:paraId="707C906A"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151 - Tanning and dressing of leather; manufacture of luggage, handbags, saddlery and harness; dressing and dyeing of fur;</w:t>
      </w:r>
    </w:p>
    <w:p w14:paraId="75BD22F9"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152 - Manufacture of footwear.</w:t>
      </w:r>
    </w:p>
    <w:p w14:paraId="73F39D05" w14:textId="77777777" w:rsidR="008E44C6" w:rsidRPr="009F54B9" w:rsidRDefault="008E44C6" w:rsidP="00544C8D">
      <w:pPr>
        <w:rPr>
          <w:snapToGrid w:val="0"/>
          <w:kern w:val="22"/>
          <w:szCs w:val="22"/>
        </w:rPr>
      </w:pPr>
    </w:p>
    <w:p w14:paraId="63DBBEAD" w14:textId="77777777" w:rsidR="008E44C6" w:rsidRPr="009F54B9" w:rsidRDefault="008E44C6" w:rsidP="003115EE">
      <w:pPr>
        <w:rPr>
          <w:snapToGrid w:val="0"/>
          <w:kern w:val="22"/>
          <w:szCs w:val="22"/>
        </w:rPr>
      </w:pPr>
      <w:r w:rsidRPr="009F54B9">
        <w:rPr>
          <w:b/>
          <w:snapToGrid w:val="0"/>
          <w:kern w:val="22"/>
          <w:szCs w:val="22"/>
        </w:rPr>
        <w:t>Division 16</w:t>
      </w:r>
      <w:r w:rsidRPr="009F54B9">
        <w:rPr>
          <w:snapToGrid w:val="0"/>
          <w:kern w:val="22"/>
          <w:szCs w:val="22"/>
        </w:rPr>
        <w:t xml:space="preserve"> - manufacture of wood and of products of wood and cork, except furniture; manufacture of articles of straw and plaiting materials - is divided into the following Groups:</w:t>
      </w:r>
    </w:p>
    <w:p w14:paraId="002EE86A"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 xml:space="preserve">161 - Sawmilling and </w:t>
      </w:r>
      <w:proofErr w:type="spellStart"/>
      <w:r w:rsidRPr="009F54B9">
        <w:rPr>
          <w:snapToGrid w:val="0"/>
          <w:kern w:val="22"/>
          <w:szCs w:val="22"/>
        </w:rPr>
        <w:t>planing</w:t>
      </w:r>
      <w:proofErr w:type="spellEnd"/>
      <w:r w:rsidRPr="009F54B9">
        <w:rPr>
          <w:snapToGrid w:val="0"/>
          <w:kern w:val="22"/>
          <w:szCs w:val="22"/>
        </w:rPr>
        <w:t xml:space="preserve"> of wood;</w:t>
      </w:r>
    </w:p>
    <w:p w14:paraId="2296DDC3"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162 - Manufacture of products of wood, cork, straw and plaiting materials.</w:t>
      </w:r>
    </w:p>
    <w:p w14:paraId="10C63E9D" w14:textId="77777777" w:rsidR="008E44C6" w:rsidRPr="009F54B9" w:rsidRDefault="008E44C6" w:rsidP="003115EE">
      <w:pPr>
        <w:rPr>
          <w:snapToGrid w:val="0"/>
          <w:kern w:val="22"/>
          <w:szCs w:val="22"/>
        </w:rPr>
      </w:pPr>
      <w:r w:rsidRPr="009F54B9">
        <w:rPr>
          <w:snapToGrid w:val="0"/>
          <w:kern w:val="22"/>
          <w:szCs w:val="22"/>
        </w:rPr>
        <w:t xml:space="preserve">This division includes the manufacture of wood products, such as lumber, plywood, veneers, wood containers, wood flooring, wood trusses, and prefabricated wood buildings. The production processes include sawing, </w:t>
      </w:r>
      <w:proofErr w:type="spellStart"/>
      <w:r w:rsidRPr="009F54B9">
        <w:rPr>
          <w:snapToGrid w:val="0"/>
          <w:kern w:val="22"/>
          <w:szCs w:val="22"/>
        </w:rPr>
        <w:t>planing</w:t>
      </w:r>
      <w:proofErr w:type="spellEnd"/>
      <w:r w:rsidRPr="009F54B9">
        <w:rPr>
          <w:snapToGrid w:val="0"/>
          <w:kern w:val="22"/>
          <w:szCs w:val="22"/>
        </w:rPr>
        <w:t>, shaping, laminating, and assembling of wood products starting from logs that are cut into bolts, or lumber that may then be cut further, or shaped by lathes or other shaping tools. The lumber or other transformed wood shapes may also be subsequently planed or smoothed, and assembled into finished products, such as wood containers.</w:t>
      </w:r>
    </w:p>
    <w:p w14:paraId="205CB473" w14:textId="77777777" w:rsidR="008E44C6" w:rsidRPr="009F54B9" w:rsidRDefault="008E44C6" w:rsidP="00544C8D">
      <w:pPr>
        <w:rPr>
          <w:snapToGrid w:val="0"/>
          <w:kern w:val="22"/>
          <w:szCs w:val="22"/>
        </w:rPr>
      </w:pPr>
    </w:p>
    <w:p w14:paraId="1F836816" w14:textId="77777777" w:rsidR="008E44C6" w:rsidRPr="009F54B9" w:rsidRDefault="008E44C6" w:rsidP="003115EE">
      <w:pPr>
        <w:rPr>
          <w:snapToGrid w:val="0"/>
          <w:kern w:val="22"/>
          <w:szCs w:val="22"/>
        </w:rPr>
      </w:pPr>
      <w:r w:rsidRPr="009F54B9">
        <w:rPr>
          <w:b/>
          <w:snapToGrid w:val="0"/>
          <w:kern w:val="22"/>
          <w:szCs w:val="22"/>
        </w:rPr>
        <w:t>Division 17</w:t>
      </w:r>
      <w:r w:rsidRPr="009F54B9">
        <w:rPr>
          <w:snapToGrid w:val="0"/>
          <w:kern w:val="22"/>
          <w:szCs w:val="22"/>
        </w:rPr>
        <w:t xml:space="preserve"> contains the single Group 170 - Manufacture of paper and paper products. This division includes the manufacture of pulp, paper and converted paper products. The manufacture of these products is grouped together because they constitute a series of vertically connected processes. More than one activity is often carried out in a single unit. There are essentially three activities: The manufacture of pulp involves separating the cellulose </w:t>
      </w:r>
      <w:r w:rsidR="00A7580C">
        <w:rPr>
          <w:snapToGrid w:val="0"/>
          <w:kern w:val="22"/>
          <w:szCs w:val="22"/>
        </w:rPr>
        <w:t>fibre</w:t>
      </w:r>
      <w:r w:rsidRPr="009F54B9">
        <w:rPr>
          <w:snapToGrid w:val="0"/>
          <w:kern w:val="22"/>
          <w:szCs w:val="22"/>
        </w:rPr>
        <w:t xml:space="preserve">s from other impurities in wood or used paper. The manufacture of paper involves matting these </w:t>
      </w:r>
      <w:r w:rsidR="00A7580C">
        <w:rPr>
          <w:snapToGrid w:val="0"/>
          <w:kern w:val="22"/>
          <w:szCs w:val="22"/>
        </w:rPr>
        <w:t>fibre</w:t>
      </w:r>
      <w:r w:rsidRPr="009F54B9">
        <w:rPr>
          <w:snapToGrid w:val="0"/>
          <w:kern w:val="22"/>
          <w:szCs w:val="22"/>
        </w:rPr>
        <w:t>s into a sheet. Converted paper products are made from paper and other materials by various cutting and shaping techniques, including coating and laminating activities. The paper articles may be printed (e.g. wallpaper, gift wrap etc.), as long as the printing of information is not the main purpose.</w:t>
      </w:r>
    </w:p>
    <w:p w14:paraId="0F3CD256" w14:textId="77777777" w:rsidR="008E44C6" w:rsidRPr="009F54B9" w:rsidRDefault="008E44C6" w:rsidP="00544C8D">
      <w:pPr>
        <w:rPr>
          <w:snapToGrid w:val="0"/>
          <w:kern w:val="22"/>
          <w:szCs w:val="22"/>
        </w:rPr>
      </w:pPr>
    </w:p>
    <w:p w14:paraId="2B5DE584" w14:textId="77777777" w:rsidR="008E44C6" w:rsidRPr="009F54B9" w:rsidRDefault="008E44C6" w:rsidP="00A40A1B">
      <w:pPr>
        <w:rPr>
          <w:snapToGrid w:val="0"/>
          <w:kern w:val="22"/>
          <w:szCs w:val="22"/>
        </w:rPr>
      </w:pPr>
      <w:r w:rsidRPr="009F54B9">
        <w:rPr>
          <w:b/>
          <w:snapToGrid w:val="0"/>
          <w:kern w:val="22"/>
          <w:szCs w:val="22"/>
        </w:rPr>
        <w:t xml:space="preserve">Division 18 </w:t>
      </w:r>
      <w:r w:rsidRPr="009F54B9">
        <w:rPr>
          <w:snapToGrid w:val="0"/>
          <w:kern w:val="22"/>
          <w:szCs w:val="22"/>
        </w:rPr>
        <w:t>- printing and reproduction of recorded media - is divided into the following Groups:</w:t>
      </w:r>
    </w:p>
    <w:p w14:paraId="4C3ABC3D"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181 - Printing and service activities related to printing;</w:t>
      </w:r>
    </w:p>
    <w:p w14:paraId="04544E59"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182 - Reproduction of recorded media.</w:t>
      </w:r>
    </w:p>
    <w:p w14:paraId="314E6C2C" w14:textId="77777777" w:rsidR="008E44C6" w:rsidRPr="009F54B9" w:rsidRDefault="008E44C6" w:rsidP="00A40A1B">
      <w:pPr>
        <w:rPr>
          <w:snapToGrid w:val="0"/>
          <w:kern w:val="22"/>
          <w:szCs w:val="22"/>
        </w:rPr>
      </w:pPr>
      <w:r w:rsidRPr="009F54B9">
        <w:rPr>
          <w:snapToGrid w:val="0"/>
          <w:kern w:val="22"/>
          <w:szCs w:val="22"/>
        </w:rPr>
        <w:t>This division includes printing of products, such as newspapers, books, periodicals, business forms, greeting cards, and other materials, and associated support activities, such as bookbinding, plate-making services, and data imaging. The support activities included here are an integral part of the printing industry, and a product (a printing plate, a bound book, or a computer disk or file) that is an integral part of the printing industry is almost always provided by these operations. Processes used in printing include a variety of methods for transferring an image from a plate, screen, or computer file to a medium, such as paper, plastics, metal, textile articles, or wood.</w:t>
      </w:r>
    </w:p>
    <w:p w14:paraId="2898A489" w14:textId="77777777" w:rsidR="008E44C6" w:rsidRPr="009F54B9" w:rsidRDefault="008E44C6" w:rsidP="00A40A1B">
      <w:pPr>
        <w:rPr>
          <w:bCs/>
          <w:snapToGrid w:val="0"/>
          <w:kern w:val="22"/>
          <w:szCs w:val="22"/>
        </w:rPr>
      </w:pPr>
    </w:p>
    <w:p w14:paraId="02ECD95D" w14:textId="77777777" w:rsidR="008E44C6" w:rsidRPr="009F54B9" w:rsidRDefault="008E44C6" w:rsidP="004C44F4">
      <w:pPr>
        <w:rPr>
          <w:snapToGrid w:val="0"/>
          <w:kern w:val="22"/>
          <w:szCs w:val="22"/>
        </w:rPr>
      </w:pPr>
      <w:r w:rsidRPr="009F54B9">
        <w:rPr>
          <w:b/>
          <w:snapToGrid w:val="0"/>
          <w:kern w:val="22"/>
          <w:szCs w:val="22"/>
        </w:rPr>
        <w:t>Division 19</w:t>
      </w:r>
      <w:r w:rsidRPr="009F54B9">
        <w:rPr>
          <w:snapToGrid w:val="0"/>
          <w:kern w:val="22"/>
          <w:szCs w:val="22"/>
        </w:rPr>
        <w:t xml:space="preserve"> - manufacture of coke and refined petroleum products - is divided into the following Groups:</w:t>
      </w:r>
    </w:p>
    <w:p w14:paraId="535B8419"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191 - Manufacture of coke oven products;</w:t>
      </w:r>
    </w:p>
    <w:p w14:paraId="78E79F94"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192 - Manufacture of refined petroleum products.</w:t>
      </w:r>
    </w:p>
    <w:p w14:paraId="68E1E234" w14:textId="77777777" w:rsidR="008E44C6" w:rsidRPr="009F54B9" w:rsidRDefault="008E44C6" w:rsidP="00A40A1B">
      <w:pPr>
        <w:rPr>
          <w:snapToGrid w:val="0"/>
          <w:kern w:val="22"/>
          <w:szCs w:val="22"/>
        </w:rPr>
      </w:pPr>
      <w:r w:rsidRPr="009F54B9">
        <w:rPr>
          <w:snapToGrid w:val="0"/>
          <w:kern w:val="22"/>
          <w:szCs w:val="22"/>
        </w:rPr>
        <w:t>This division includes the transformation of crude petroleum and coal into usable products. The dominant process is petroleum refining, which involves the separation of crude petroleum into component products through such techniques as cracking and distillation. This division also includes the manufacture for own account of characteristic products (e.g. coke, butane, propane, petrol, kerosene, fuel oil etc.) as well as processing services (e.g. custom refining).</w:t>
      </w:r>
    </w:p>
    <w:p w14:paraId="3CAFE565" w14:textId="77777777" w:rsidR="008E44C6" w:rsidRPr="009F54B9" w:rsidRDefault="008E44C6" w:rsidP="00A40A1B">
      <w:pPr>
        <w:rPr>
          <w:snapToGrid w:val="0"/>
          <w:kern w:val="22"/>
          <w:szCs w:val="22"/>
        </w:rPr>
      </w:pPr>
      <w:r w:rsidRPr="009F54B9">
        <w:rPr>
          <w:snapToGrid w:val="0"/>
          <w:kern w:val="22"/>
          <w:szCs w:val="22"/>
        </w:rPr>
        <w:lastRenderedPageBreak/>
        <w:t>This division includes the manufacture of gases such as ethane, propane and butane as products of petroleum refineries.</w:t>
      </w:r>
    </w:p>
    <w:p w14:paraId="43001AE0" w14:textId="77777777" w:rsidR="008E44C6" w:rsidRPr="009F54B9" w:rsidRDefault="008E44C6" w:rsidP="00A40A1B">
      <w:pPr>
        <w:rPr>
          <w:bCs/>
          <w:snapToGrid w:val="0"/>
          <w:kern w:val="22"/>
          <w:szCs w:val="22"/>
        </w:rPr>
      </w:pPr>
    </w:p>
    <w:p w14:paraId="7613CC47" w14:textId="77777777" w:rsidR="008E44C6" w:rsidRPr="009F54B9" w:rsidRDefault="008E44C6" w:rsidP="004C44F4">
      <w:pPr>
        <w:rPr>
          <w:snapToGrid w:val="0"/>
          <w:color w:val="000000"/>
          <w:kern w:val="22"/>
          <w:szCs w:val="22"/>
        </w:rPr>
      </w:pPr>
      <w:r w:rsidRPr="009F54B9">
        <w:rPr>
          <w:b/>
          <w:snapToGrid w:val="0"/>
          <w:kern w:val="22"/>
          <w:szCs w:val="22"/>
        </w:rPr>
        <w:t>Division 20</w:t>
      </w:r>
      <w:r w:rsidRPr="009F54B9">
        <w:rPr>
          <w:snapToGrid w:val="0"/>
          <w:kern w:val="22"/>
          <w:szCs w:val="22"/>
        </w:rPr>
        <w:t xml:space="preserve"> - manufacture of chemicals and chemical products – contains the following Groups</w:t>
      </w:r>
      <w:r w:rsidRPr="009F54B9">
        <w:rPr>
          <w:snapToGrid w:val="0"/>
          <w:color w:val="000000"/>
          <w:kern w:val="22"/>
          <w:szCs w:val="22"/>
        </w:rPr>
        <w:t>:</w:t>
      </w:r>
    </w:p>
    <w:p w14:paraId="7090B5E1"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201 - Manufacture of basic chemicals, fertilizers and nitrogen compounds, plastics and synthetic rubber in primary forms;</w:t>
      </w:r>
    </w:p>
    <w:p w14:paraId="7A9E5CC4"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202 - Manufacture of other chemical products;</w:t>
      </w:r>
    </w:p>
    <w:p w14:paraId="2859B7ED"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203 - Manufacture of man-made fibres.</w:t>
      </w:r>
    </w:p>
    <w:p w14:paraId="14F1C828" w14:textId="77777777" w:rsidR="008E44C6" w:rsidRPr="009F54B9" w:rsidRDefault="008E44C6" w:rsidP="00A40A1B">
      <w:pPr>
        <w:shd w:val="clear" w:color="auto" w:fill="FFFFFF"/>
        <w:rPr>
          <w:snapToGrid w:val="0"/>
          <w:kern w:val="22"/>
          <w:szCs w:val="22"/>
        </w:rPr>
      </w:pPr>
      <w:r w:rsidRPr="009F54B9">
        <w:rPr>
          <w:snapToGrid w:val="0"/>
          <w:kern w:val="22"/>
          <w:szCs w:val="22"/>
        </w:rPr>
        <w:t>This division includes the transformation of organic and inorganic raw materials by a chemical process and the formation of products. It distinguishes the production of basic chemicals that constitute the first industry group from the production of intermediate and end products produced by further processing of basic chemicals that make up the remaining industry classes.</w:t>
      </w:r>
    </w:p>
    <w:p w14:paraId="1A985DD5" w14:textId="77777777" w:rsidR="008E44C6" w:rsidRPr="009F54B9" w:rsidRDefault="008E44C6" w:rsidP="004C44F4">
      <w:pPr>
        <w:shd w:val="clear" w:color="auto" w:fill="FFFFFF"/>
        <w:rPr>
          <w:b/>
          <w:snapToGrid w:val="0"/>
          <w:kern w:val="22"/>
          <w:szCs w:val="22"/>
        </w:rPr>
      </w:pPr>
    </w:p>
    <w:p w14:paraId="625469CD" w14:textId="77777777" w:rsidR="008E44C6" w:rsidRPr="009F54B9" w:rsidRDefault="008E44C6" w:rsidP="00A40A1B">
      <w:pPr>
        <w:shd w:val="clear" w:color="auto" w:fill="FFFFFF"/>
        <w:rPr>
          <w:snapToGrid w:val="0"/>
          <w:kern w:val="22"/>
          <w:szCs w:val="22"/>
        </w:rPr>
      </w:pPr>
      <w:r w:rsidRPr="009F54B9">
        <w:rPr>
          <w:b/>
          <w:snapToGrid w:val="0"/>
          <w:kern w:val="22"/>
          <w:szCs w:val="22"/>
        </w:rPr>
        <w:t>Division 21</w:t>
      </w:r>
      <w:r w:rsidRPr="009F54B9">
        <w:rPr>
          <w:rFonts w:ascii="Verdana" w:hAnsi="Verdana"/>
          <w:b/>
          <w:bCs/>
          <w:snapToGrid w:val="0"/>
          <w:color w:val="000000"/>
          <w:kern w:val="22"/>
          <w:sz w:val="17"/>
          <w:szCs w:val="17"/>
        </w:rPr>
        <w:t xml:space="preserve"> </w:t>
      </w:r>
      <w:r w:rsidRPr="009F54B9">
        <w:rPr>
          <w:snapToGrid w:val="0"/>
          <w:kern w:val="22"/>
          <w:szCs w:val="22"/>
        </w:rPr>
        <w:t>- manufacture of basic pharmaceutical products and pharmaceutical preparations - contains Group 210: Manufacture of pharmaceuticals, medicinal chemical and botanical products. This division includes the manufacture of basic pharmaceutical products and pharmaceutical preparations. This includes also the manufacture of medicinal chemical and botanical products.</w:t>
      </w:r>
    </w:p>
    <w:p w14:paraId="5B6BCADE" w14:textId="77777777" w:rsidR="008E44C6" w:rsidRPr="009F54B9" w:rsidRDefault="008E44C6" w:rsidP="004C44F4">
      <w:pPr>
        <w:shd w:val="clear" w:color="auto" w:fill="FFFFFF"/>
        <w:rPr>
          <w:snapToGrid w:val="0"/>
          <w:kern w:val="22"/>
          <w:szCs w:val="22"/>
        </w:rPr>
      </w:pPr>
    </w:p>
    <w:p w14:paraId="515287FB" w14:textId="77777777" w:rsidR="008E44C6" w:rsidRPr="009F54B9" w:rsidRDefault="008E44C6" w:rsidP="004C44F4">
      <w:pPr>
        <w:shd w:val="clear" w:color="auto" w:fill="FFFFFF"/>
        <w:rPr>
          <w:snapToGrid w:val="0"/>
          <w:kern w:val="22"/>
          <w:szCs w:val="22"/>
        </w:rPr>
      </w:pPr>
      <w:r w:rsidRPr="009F54B9">
        <w:rPr>
          <w:b/>
          <w:snapToGrid w:val="0"/>
          <w:kern w:val="22"/>
          <w:szCs w:val="22"/>
        </w:rPr>
        <w:t>Division 22</w:t>
      </w:r>
      <w:r w:rsidRPr="009F54B9">
        <w:rPr>
          <w:snapToGrid w:val="0"/>
          <w:kern w:val="22"/>
          <w:szCs w:val="22"/>
        </w:rPr>
        <w:t xml:space="preserve"> - Manufacture of rubber and plastics products - is divided into the following Groups:</w:t>
      </w:r>
    </w:p>
    <w:p w14:paraId="66378026"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221 - Manufacture of rubber products;</w:t>
      </w:r>
    </w:p>
    <w:p w14:paraId="7A3C1515"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222 - Manufacture of plastics products.</w:t>
      </w:r>
    </w:p>
    <w:p w14:paraId="6E01BA51" w14:textId="77777777" w:rsidR="008E44C6" w:rsidRPr="009F54B9" w:rsidRDefault="008E44C6" w:rsidP="00A40A1B">
      <w:pPr>
        <w:shd w:val="clear" w:color="auto" w:fill="FFFFFF"/>
        <w:rPr>
          <w:snapToGrid w:val="0"/>
          <w:kern w:val="22"/>
          <w:szCs w:val="22"/>
        </w:rPr>
      </w:pPr>
      <w:r w:rsidRPr="009F54B9">
        <w:rPr>
          <w:snapToGrid w:val="0"/>
          <w:kern w:val="22"/>
          <w:szCs w:val="22"/>
        </w:rPr>
        <w:t>This division includes the manufacture of rubber and plastics products. This division is characterized by the raw materials used in the manufacturing process. However, this does not imply that the manufacture of all products made of these materials is classified here.</w:t>
      </w:r>
    </w:p>
    <w:p w14:paraId="5355A0A6" w14:textId="77777777" w:rsidR="008E44C6" w:rsidRPr="009F54B9" w:rsidRDefault="008E44C6" w:rsidP="004C44F4">
      <w:pPr>
        <w:shd w:val="clear" w:color="auto" w:fill="FFFFFF"/>
        <w:rPr>
          <w:snapToGrid w:val="0"/>
          <w:kern w:val="22"/>
          <w:szCs w:val="22"/>
        </w:rPr>
      </w:pPr>
    </w:p>
    <w:p w14:paraId="1700D773" w14:textId="77777777" w:rsidR="008E44C6" w:rsidRPr="009F54B9" w:rsidRDefault="008E44C6" w:rsidP="004C44F4">
      <w:pPr>
        <w:shd w:val="clear" w:color="auto" w:fill="FFFFFF"/>
        <w:rPr>
          <w:snapToGrid w:val="0"/>
          <w:kern w:val="22"/>
          <w:szCs w:val="22"/>
        </w:rPr>
      </w:pPr>
      <w:r w:rsidRPr="009F54B9">
        <w:rPr>
          <w:b/>
          <w:snapToGrid w:val="0"/>
          <w:kern w:val="22"/>
          <w:szCs w:val="22"/>
        </w:rPr>
        <w:t>Division 23</w:t>
      </w:r>
      <w:r w:rsidRPr="009F54B9">
        <w:rPr>
          <w:snapToGrid w:val="0"/>
          <w:kern w:val="22"/>
          <w:szCs w:val="22"/>
        </w:rPr>
        <w:t xml:space="preserve"> - manufacture of other non-metallic mineral products – includes the following Groups:</w:t>
      </w:r>
    </w:p>
    <w:p w14:paraId="165613C6"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231 - Manufacture of glass and glass products;</w:t>
      </w:r>
    </w:p>
    <w:p w14:paraId="7F4140DB"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 xml:space="preserve">239 - Manufacture of non-metallic mineral products </w:t>
      </w:r>
      <w:proofErr w:type="spellStart"/>
      <w:r w:rsidRPr="009F54B9">
        <w:rPr>
          <w:snapToGrid w:val="0"/>
          <w:kern w:val="22"/>
          <w:szCs w:val="22"/>
        </w:rPr>
        <w:t>n.e.c.</w:t>
      </w:r>
      <w:proofErr w:type="spellEnd"/>
    </w:p>
    <w:p w14:paraId="05621F07" w14:textId="77777777" w:rsidR="008E44C6" w:rsidRPr="009F54B9" w:rsidRDefault="008E44C6" w:rsidP="00A40A1B">
      <w:pPr>
        <w:shd w:val="clear" w:color="auto" w:fill="FFFFFF"/>
        <w:rPr>
          <w:snapToGrid w:val="0"/>
          <w:kern w:val="22"/>
          <w:szCs w:val="22"/>
        </w:rPr>
      </w:pPr>
      <w:r w:rsidRPr="009F54B9">
        <w:rPr>
          <w:snapToGrid w:val="0"/>
          <w:kern w:val="22"/>
          <w:szCs w:val="22"/>
        </w:rPr>
        <w:t>This division includes manufacturing activities related to a single substance of mineral origin. This division includes the manufacture of glass and glass products (e.g. flat glass, hollow glass, fibres, technical glassware etc.), ceramic products, tiles and baked clay products, and cement and plaster, from raw materials to finished articles. The manufacture of shaped and finished stone and other mineral products is also included in this division.</w:t>
      </w:r>
    </w:p>
    <w:p w14:paraId="204D00A0" w14:textId="77777777" w:rsidR="008E44C6" w:rsidRPr="009F54B9" w:rsidRDefault="008E44C6" w:rsidP="00A40A1B">
      <w:pPr>
        <w:rPr>
          <w:b/>
          <w:snapToGrid w:val="0"/>
          <w:kern w:val="22"/>
          <w:szCs w:val="22"/>
        </w:rPr>
      </w:pPr>
    </w:p>
    <w:p w14:paraId="451DACA0" w14:textId="77777777" w:rsidR="008E44C6" w:rsidRPr="009F54B9" w:rsidRDefault="008E44C6" w:rsidP="000D01B7">
      <w:pPr>
        <w:shd w:val="clear" w:color="auto" w:fill="FFFFFF"/>
        <w:rPr>
          <w:snapToGrid w:val="0"/>
          <w:kern w:val="22"/>
          <w:szCs w:val="22"/>
        </w:rPr>
      </w:pPr>
      <w:r w:rsidRPr="009F54B9">
        <w:rPr>
          <w:b/>
          <w:snapToGrid w:val="0"/>
          <w:kern w:val="22"/>
          <w:szCs w:val="22"/>
        </w:rPr>
        <w:t>Division 24</w:t>
      </w:r>
      <w:r w:rsidRPr="009F54B9">
        <w:rPr>
          <w:snapToGrid w:val="0"/>
          <w:kern w:val="22"/>
          <w:szCs w:val="22"/>
        </w:rPr>
        <w:t xml:space="preserve"> - manufacture of basic metals – is broken down into the following Groups:</w:t>
      </w:r>
    </w:p>
    <w:p w14:paraId="1E74604D"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241 - Manufacture of basic iron and steel;</w:t>
      </w:r>
    </w:p>
    <w:p w14:paraId="719F2C35"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242 - Manufacture of basic precious and other non-ferrous metals;</w:t>
      </w:r>
    </w:p>
    <w:p w14:paraId="026FDCFA"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243 - Casting of metals.</w:t>
      </w:r>
    </w:p>
    <w:p w14:paraId="187D0FB5" w14:textId="77777777" w:rsidR="008E44C6" w:rsidRPr="009F54B9" w:rsidRDefault="008E44C6" w:rsidP="00A40A1B">
      <w:pPr>
        <w:shd w:val="clear" w:color="auto" w:fill="FFFFFF"/>
        <w:rPr>
          <w:snapToGrid w:val="0"/>
          <w:kern w:val="22"/>
          <w:szCs w:val="22"/>
        </w:rPr>
      </w:pPr>
      <w:r w:rsidRPr="009F54B9">
        <w:rPr>
          <w:snapToGrid w:val="0"/>
          <w:kern w:val="22"/>
          <w:szCs w:val="22"/>
        </w:rPr>
        <w:t xml:space="preserve">This division includes the activities of smelting and/or refining ferrous and non-ferrous metals from ore, pig or scrap, using </w:t>
      </w:r>
      <w:proofErr w:type="spellStart"/>
      <w:r w:rsidRPr="009F54B9">
        <w:rPr>
          <w:snapToGrid w:val="0"/>
          <w:kern w:val="22"/>
          <w:szCs w:val="22"/>
        </w:rPr>
        <w:t>electrometallurgic</w:t>
      </w:r>
      <w:proofErr w:type="spellEnd"/>
      <w:r w:rsidRPr="009F54B9">
        <w:rPr>
          <w:snapToGrid w:val="0"/>
          <w:kern w:val="22"/>
          <w:szCs w:val="22"/>
        </w:rPr>
        <w:t xml:space="preserve"> and other process metallurgic techniques. This division also includes the manufacture of metal alloys and super-alloys by introducing other chemical elements to pure metals. The output of smelting and refining, usually in ingot form, is used in rolling, drawing and extruding operations to make products such as plate, sheet, strip, bars, rods, wire, tubes, pipes and hollow profiles, and in molten form to make castings and other basic metal products.</w:t>
      </w:r>
    </w:p>
    <w:p w14:paraId="10D03EAB" w14:textId="77777777" w:rsidR="008E44C6" w:rsidRPr="009F54B9" w:rsidRDefault="008E44C6" w:rsidP="000D01B7">
      <w:pPr>
        <w:shd w:val="clear" w:color="auto" w:fill="FFFFFF"/>
        <w:rPr>
          <w:snapToGrid w:val="0"/>
          <w:kern w:val="22"/>
          <w:szCs w:val="22"/>
        </w:rPr>
      </w:pPr>
    </w:p>
    <w:p w14:paraId="2000DB2C" w14:textId="77777777" w:rsidR="008E44C6" w:rsidRPr="009F54B9" w:rsidRDefault="008E44C6" w:rsidP="009F54B9">
      <w:pPr>
        <w:keepNext/>
        <w:shd w:val="clear" w:color="auto" w:fill="FFFFFF"/>
        <w:rPr>
          <w:snapToGrid w:val="0"/>
          <w:kern w:val="22"/>
          <w:szCs w:val="22"/>
        </w:rPr>
      </w:pPr>
      <w:r w:rsidRPr="009F54B9">
        <w:rPr>
          <w:b/>
          <w:snapToGrid w:val="0"/>
          <w:kern w:val="22"/>
          <w:szCs w:val="22"/>
        </w:rPr>
        <w:lastRenderedPageBreak/>
        <w:t>Division 25</w:t>
      </w:r>
      <w:r w:rsidRPr="009F54B9">
        <w:rPr>
          <w:snapToGrid w:val="0"/>
          <w:kern w:val="22"/>
          <w:szCs w:val="22"/>
        </w:rPr>
        <w:t xml:space="preserve"> - manufacture of fabricated metal products, except machinery and equipment - includes three Groups:</w:t>
      </w:r>
    </w:p>
    <w:p w14:paraId="5BE4F189"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251 - Manufacture of structural metal products, tanks, reservoirs and steam generators;</w:t>
      </w:r>
    </w:p>
    <w:p w14:paraId="79130AB4"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252 - Manufacture of weapons and ammunition;</w:t>
      </w:r>
    </w:p>
    <w:p w14:paraId="6A8E97D8"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259 - Manufacture of other fabricated metal products; metalworking service activities.</w:t>
      </w:r>
    </w:p>
    <w:p w14:paraId="7B642E6E" w14:textId="77777777" w:rsidR="008E44C6" w:rsidRPr="009F54B9" w:rsidRDefault="008E44C6" w:rsidP="00A40A1B">
      <w:pPr>
        <w:shd w:val="clear" w:color="auto" w:fill="FFFFFF"/>
        <w:rPr>
          <w:snapToGrid w:val="0"/>
          <w:kern w:val="22"/>
          <w:szCs w:val="22"/>
        </w:rPr>
      </w:pPr>
      <w:r w:rsidRPr="009F54B9">
        <w:rPr>
          <w:snapToGrid w:val="0"/>
          <w:kern w:val="22"/>
          <w:szCs w:val="22"/>
        </w:rPr>
        <w:t>This division includes the manufacture of "pure" metal products (such as parts, containers and structures), usually with a static, immovable function, as opposed to the following divisions 26-30, which cover the manufacture of combinations or assemblies of such metal products (sometimes with other materials) into more complex units that, unless they are purely electrical, electronic or optical, work with moving parts. The manufacture of weapons and ammunition is also included in this division.</w:t>
      </w:r>
    </w:p>
    <w:p w14:paraId="4D56208E" w14:textId="77777777" w:rsidR="008E44C6" w:rsidRPr="009F54B9" w:rsidRDefault="008E44C6" w:rsidP="009273AD">
      <w:pPr>
        <w:shd w:val="clear" w:color="auto" w:fill="FFFFFF"/>
        <w:rPr>
          <w:snapToGrid w:val="0"/>
          <w:color w:val="000000"/>
          <w:kern w:val="22"/>
          <w:szCs w:val="22"/>
        </w:rPr>
      </w:pPr>
    </w:p>
    <w:p w14:paraId="7C2BC551" w14:textId="77777777" w:rsidR="008E44C6" w:rsidRPr="009F54B9" w:rsidRDefault="008E44C6" w:rsidP="009F54B9">
      <w:pPr>
        <w:shd w:val="clear" w:color="auto" w:fill="FFFFFF"/>
        <w:spacing w:after="120"/>
        <w:rPr>
          <w:snapToGrid w:val="0"/>
          <w:kern w:val="22"/>
          <w:szCs w:val="22"/>
        </w:rPr>
      </w:pPr>
      <w:r w:rsidRPr="009F54B9">
        <w:rPr>
          <w:b/>
          <w:snapToGrid w:val="0"/>
          <w:kern w:val="22"/>
          <w:szCs w:val="22"/>
        </w:rPr>
        <w:t xml:space="preserve">Division 26 </w:t>
      </w:r>
      <w:r w:rsidRPr="009F54B9">
        <w:rPr>
          <w:snapToGrid w:val="0"/>
          <w:kern w:val="22"/>
          <w:szCs w:val="22"/>
        </w:rPr>
        <w:t>- manufacture of computer, electronic and optical products - includes the manufacture of computers, computer peripherals, communications equipment, and similar electronic products, as well as the manufacture of components for such products. Production processes of this division are characterized by the design and use of integrated circuits and the application of highly specialized miniaturization technologies. The division also contains the manufacture of consumer electronics, measuring, testing, navigating, and control equipment, irradiation, electromedical and electrotherapeutic equipment, optical instruments and equipment, and the manufacture of magnetic and optical media. This Division includes several Groups:</w:t>
      </w:r>
    </w:p>
    <w:p w14:paraId="363DBD8C"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261 - Manufacture of electronic components and boards;</w:t>
      </w:r>
    </w:p>
    <w:p w14:paraId="799D66EB"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262 - Manufacture of computers and peripheral equipment;</w:t>
      </w:r>
    </w:p>
    <w:p w14:paraId="26823504"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263 - Manufacture of communication equipment;</w:t>
      </w:r>
    </w:p>
    <w:p w14:paraId="6C38A6CD"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264 - Manufacture of consumer electronics;</w:t>
      </w:r>
    </w:p>
    <w:p w14:paraId="54640A32"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265 - Manufacture of measuring, testing, navigating and control equipment; watches and clocks;</w:t>
      </w:r>
    </w:p>
    <w:p w14:paraId="1CE80698"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266 - Manufacture of irradiation, electromedical and electrotherapeutic equipment;</w:t>
      </w:r>
    </w:p>
    <w:p w14:paraId="0C51B450"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267 - Manufacture of optical instruments and photographic equipment;</w:t>
      </w:r>
    </w:p>
    <w:p w14:paraId="357F124B"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268 - Manufacture of magnetic and optical media.</w:t>
      </w:r>
    </w:p>
    <w:p w14:paraId="66ED87AF" w14:textId="77777777" w:rsidR="008E44C6" w:rsidRPr="009F54B9" w:rsidRDefault="008E44C6" w:rsidP="000D01B7">
      <w:pPr>
        <w:shd w:val="clear" w:color="auto" w:fill="FFFFFF"/>
        <w:rPr>
          <w:snapToGrid w:val="0"/>
          <w:kern w:val="22"/>
          <w:szCs w:val="22"/>
        </w:rPr>
      </w:pPr>
    </w:p>
    <w:p w14:paraId="417B2681" w14:textId="77777777" w:rsidR="008E44C6" w:rsidRPr="009F54B9" w:rsidRDefault="008E44C6" w:rsidP="000D01B7">
      <w:pPr>
        <w:shd w:val="clear" w:color="auto" w:fill="FFFFFF"/>
        <w:rPr>
          <w:snapToGrid w:val="0"/>
          <w:kern w:val="22"/>
          <w:szCs w:val="22"/>
        </w:rPr>
      </w:pPr>
      <w:r w:rsidRPr="009F54B9">
        <w:rPr>
          <w:b/>
          <w:snapToGrid w:val="0"/>
          <w:kern w:val="22"/>
          <w:szCs w:val="22"/>
        </w:rPr>
        <w:t>Division 27</w:t>
      </w:r>
      <w:r w:rsidRPr="009F54B9">
        <w:rPr>
          <w:snapToGrid w:val="0"/>
          <w:kern w:val="22"/>
          <w:szCs w:val="22"/>
        </w:rPr>
        <w:t xml:space="preserve"> - manufacture of electrical equipment - is divided into the following Groups:</w:t>
      </w:r>
    </w:p>
    <w:p w14:paraId="2C810C37"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271 - Manufacture of electric motors, generators, transformers and electricity distribution and control apparatus;</w:t>
      </w:r>
    </w:p>
    <w:p w14:paraId="6DBE5C4A"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272 - Manufacture of batteries and accumulators;</w:t>
      </w:r>
    </w:p>
    <w:p w14:paraId="3AE77992"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273 - Manufacture of wiring and wiring devices;</w:t>
      </w:r>
    </w:p>
    <w:p w14:paraId="5D2FA516"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274 - Manufacture of electric lighting equipment;</w:t>
      </w:r>
    </w:p>
    <w:p w14:paraId="07DD2F09"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275 - Manufacture of domestic appliances;</w:t>
      </w:r>
    </w:p>
    <w:p w14:paraId="4B623147"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279 - Manufacture of other electrical equipment.</w:t>
      </w:r>
    </w:p>
    <w:p w14:paraId="110955CD" w14:textId="77777777" w:rsidR="008E44C6" w:rsidRPr="009F54B9" w:rsidRDefault="008E44C6" w:rsidP="00A40A1B">
      <w:pPr>
        <w:shd w:val="clear" w:color="auto" w:fill="FFFFFF"/>
        <w:rPr>
          <w:snapToGrid w:val="0"/>
          <w:kern w:val="22"/>
          <w:szCs w:val="22"/>
        </w:rPr>
      </w:pPr>
      <w:r w:rsidRPr="009F54B9">
        <w:rPr>
          <w:snapToGrid w:val="0"/>
          <w:kern w:val="22"/>
          <w:szCs w:val="22"/>
        </w:rPr>
        <w:t>This division includes the manufacture of products that generate, distribute and use electrical power. Also included is the manufacture of electrical lighting, signalling equipment and electric household appliances.</w:t>
      </w:r>
    </w:p>
    <w:p w14:paraId="2E2D4741" w14:textId="77777777" w:rsidR="008E44C6" w:rsidRPr="009F54B9" w:rsidRDefault="008E44C6" w:rsidP="000D01B7">
      <w:pPr>
        <w:shd w:val="clear" w:color="auto" w:fill="FFFFFF"/>
        <w:rPr>
          <w:snapToGrid w:val="0"/>
          <w:kern w:val="22"/>
          <w:szCs w:val="22"/>
        </w:rPr>
      </w:pPr>
    </w:p>
    <w:p w14:paraId="1A1361C8" w14:textId="77777777" w:rsidR="008E44C6" w:rsidRPr="009F54B9" w:rsidRDefault="008E44C6" w:rsidP="009F54B9">
      <w:pPr>
        <w:keepNext/>
        <w:shd w:val="clear" w:color="auto" w:fill="FFFFFF"/>
        <w:adjustRightInd w:val="0"/>
        <w:spacing w:after="120"/>
        <w:rPr>
          <w:snapToGrid w:val="0"/>
          <w:kern w:val="22"/>
          <w:szCs w:val="22"/>
        </w:rPr>
      </w:pPr>
      <w:r w:rsidRPr="009F54B9">
        <w:rPr>
          <w:b/>
          <w:snapToGrid w:val="0"/>
          <w:kern w:val="22"/>
          <w:szCs w:val="22"/>
        </w:rPr>
        <w:t>Division 28</w:t>
      </w:r>
      <w:r w:rsidRPr="009F54B9">
        <w:rPr>
          <w:snapToGrid w:val="0"/>
          <w:kern w:val="22"/>
          <w:szCs w:val="22"/>
        </w:rPr>
        <w:t xml:space="preserve"> - manufacture of machinery and equipment </w:t>
      </w:r>
      <w:proofErr w:type="spellStart"/>
      <w:r w:rsidRPr="009F54B9">
        <w:rPr>
          <w:snapToGrid w:val="0"/>
          <w:kern w:val="22"/>
          <w:szCs w:val="22"/>
        </w:rPr>
        <w:t>n.e.c.</w:t>
      </w:r>
      <w:proofErr w:type="spellEnd"/>
      <w:r w:rsidRPr="009F54B9">
        <w:rPr>
          <w:snapToGrid w:val="0"/>
          <w:kern w:val="22"/>
          <w:szCs w:val="22"/>
        </w:rPr>
        <w:t xml:space="preserve"> – is broken down into the following Groups:</w:t>
      </w:r>
    </w:p>
    <w:p w14:paraId="749AEEF9" w14:textId="77777777" w:rsidR="008E44C6" w:rsidRPr="009F54B9" w:rsidRDefault="008E44C6" w:rsidP="009F54B9">
      <w:pPr>
        <w:pStyle w:val="ListParagraph"/>
        <w:keepNext/>
        <w:numPr>
          <w:ilvl w:val="0"/>
          <w:numId w:val="15"/>
        </w:numPr>
        <w:autoSpaceDE w:val="0"/>
        <w:autoSpaceDN w:val="0"/>
        <w:adjustRightInd w:val="0"/>
        <w:contextualSpacing w:val="0"/>
        <w:rPr>
          <w:snapToGrid w:val="0"/>
          <w:kern w:val="22"/>
          <w:szCs w:val="22"/>
        </w:rPr>
      </w:pPr>
      <w:r w:rsidRPr="009F54B9">
        <w:rPr>
          <w:snapToGrid w:val="0"/>
          <w:kern w:val="22"/>
          <w:szCs w:val="22"/>
        </w:rPr>
        <w:t>281 - Manufacture of general-purpose machinery;</w:t>
      </w:r>
    </w:p>
    <w:p w14:paraId="76CEC4EF"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282 - Manufacture of special-purpose machinery.</w:t>
      </w:r>
    </w:p>
    <w:p w14:paraId="7565F60A" w14:textId="77777777" w:rsidR="008E44C6" w:rsidRPr="009F54B9" w:rsidRDefault="008E44C6" w:rsidP="00A40A1B">
      <w:pPr>
        <w:shd w:val="clear" w:color="auto" w:fill="FFFFFF"/>
        <w:rPr>
          <w:snapToGrid w:val="0"/>
          <w:kern w:val="22"/>
          <w:szCs w:val="22"/>
        </w:rPr>
      </w:pPr>
    </w:p>
    <w:p w14:paraId="639CC927" w14:textId="77777777" w:rsidR="00266EA7" w:rsidRDefault="008E44C6" w:rsidP="00A40A1B">
      <w:pPr>
        <w:shd w:val="clear" w:color="auto" w:fill="FFFFFF"/>
        <w:rPr>
          <w:snapToGrid w:val="0"/>
          <w:kern w:val="22"/>
          <w:szCs w:val="22"/>
        </w:rPr>
      </w:pPr>
      <w:r w:rsidRPr="009F54B9">
        <w:rPr>
          <w:snapToGrid w:val="0"/>
          <w:kern w:val="22"/>
          <w:szCs w:val="22"/>
        </w:rPr>
        <w:t>This division includes the manufacture of machinery and equipment that act independently on materials either mechanically or thermally or perform operations on materials (such as handling, spraying, weighing or packing), including their mechanical components that produce and apply force, and any specially manufactured primary parts. This includes the manufacture of fixed and mobile or hand-held devices, regardless of whether they are designed for industrial, building and civil engineering, agricultural or home use. The manufacture of special equipment for passenger or freight transport within demarcated premises also belongs within this division.</w:t>
      </w:r>
    </w:p>
    <w:p w14:paraId="10DDD030" w14:textId="77777777" w:rsidR="008E44C6" w:rsidRPr="009F54B9" w:rsidRDefault="008E44C6" w:rsidP="00A40A1B">
      <w:pPr>
        <w:shd w:val="clear" w:color="auto" w:fill="FFFFFF"/>
        <w:rPr>
          <w:snapToGrid w:val="0"/>
          <w:kern w:val="22"/>
          <w:szCs w:val="22"/>
        </w:rPr>
      </w:pPr>
    </w:p>
    <w:p w14:paraId="28886DF2" w14:textId="77777777" w:rsidR="008E44C6" w:rsidRPr="009F54B9" w:rsidRDefault="008E44C6" w:rsidP="00A40A1B">
      <w:pPr>
        <w:shd w:val="clear" w:color="auto" w:fill="FFFFFF"/>
        <w:rPr>
          <w:snapToGrid w:val="0"/>
          <w:kern w:val="22"/>
          <w:szCs w:val="22"/>
        </w:rPr>
      </w:pPr>
      <w:r w:rsidRPr="009F54B9">
        <w:rPr>
          <w:snapToGrid w:val="0"/>
          <w:kern w:val="22"/>
          <w:szCs w:val="22"/>
        </w:rPr>
        <w:t>This division distinguishes between the manufacture of special-purpose machinery, i.e. machinery for exclusive use in an ISIC industry or a small cluster of ISIC industries, and general-purpose machinery, i.e. machinery that is being used in a wide range of ISIC industries. This division also includes the manufacture of other special-purpose machinery, not covered elsewhere in the classification, whether or not used in a manufacturing process, such as fairground amusement equipment, automatic bowling alley equipment, etc.</w:t>
      </w:r>
    </w:p>
    <w:p w14:paraId="14EEB2B6" w14:textId="77777777" w:rsidR="008E44C6" w:rsidRPr="009F54B9" w:rsidRDefault="008E44C6" w:rsidP="000D01B7">
      <w:pPr>
        <w:shd w:val="clear" w:color="auto" w:fill="FFFFFF"/>
        <w:rPr>
          <w:snapToGrid w:val="0"/>
          <w:kern w:val="22"/>
          <w:szCs w:val="22"/>
        </w:rPr>
      </w:pPr>
    </w:p>
    <w:p w14:paraId="244AA2C5" w14:textId="77777777" w:rsidR="008E44C6" w:rsidRPr="009F54B9" w:rsidRDefault="008E44C6" w:rsidP="009F54B9">
      <w:pPr>
        <w:shd w:val="clear" w:color="auto" w:fill="FFFFFF"/>
        <w:spacing w:after="120"/>
        <w:rPr>
          <w:snapToGrid w:val="0"/>
          <w:kern w:val="22"/>
          <w:szCs w:val="22"/>
        </w:rPr>
      </w:pPr>
      <w:r w:rsidRPr="009F54B9">
        <w:rPr>
          <w:b/>
          <w:snapToGrid w:val="0"/>
          <w:kern w:val="22"/>
          <w:szCs w:val="22"/>
        </w:rPr>
        <w:t>Division 29</w:t>
      </w:r>
      <w:r w:rsidRPr="009F54B9">
        <w:rPr>
          <w:snapToGrid w:val="0"/>
          <w:kern w:val="22"/>
          <w:szCs w:val="22"/>
        </w:rPr>
        <w:t xml:space="preserve"> - manufacture of motor vehicles, trailers and semi-trailers - is divided into the following Groups:</w:t>
      </w:r>
    </w:p>
    <w:p w14:paraId="5E533150" w14:textId="77777777" w:rsidR="008E44C6" w:rsidRPr="009F54B9" w:rsidRDefault="00BE5BDF" w:rsidP="008E44C6">
      <w:pPr>
        <w:pStyle w:val="ListParagraph"/>
        <w:numPr>
          <w:ilvl w:val="0"/>
          <w:numId w:val="15"/>
        </w:numPr>
        <w:autoSpaceDE w:val="0"/>
        <w:autoSpaceDN w:val="0"/>
        <w:adjustRightInd w:val="0"/>
        <w:spacing w:line="360" w:lineRule="auto"/>
        <w:rPr>
          <w:snapToGrid w:val="0"/>
          <w:kern w:val="22"/>
          <w:szCs w:val="22"/>
        </w:rPr>
      </w:pPr>
      <w:hyperlink r:id="rId79" w:history="1">
        <w:r w:rsidR="008E44C6" w:rsidRPr="009F54B9">
          <w:rPr>
            <w:snapToGrid w:val="0"/>
            <w:kern w:val="22"/>
            <w:szCs w:val="22"/>
          </w:rPr>
          <w:t>291</w:t>
        </w:r>
      </w:hyperlink>
      <w:r w:rsidR="008E44C6" w:rsidRPr="009F54B9">
        <w:rPr>
          <w:snapToGrid w:val="0"/>
          <w:kern w:val="22"/>
          <w:szCs w:val="22"/>
        </w:rPr>
        <w:t> - Manufacture of motor vehicles;</w:t>
      </w:r>
    </w:p>
    <w:p w14:paraId="3897AA6C" w14:textId="77777777" w:rsidR="008E44C6" w:rsidRPr="009F54B9" w:rsidRDefault="00BE5BDF" w:rsidP="008E44C6">
      <w:pPr>
        <w:pStyle w:val="ListParagraph"/>
        <w:numPr>
          <w:ilvl w:val="0"/>
          <w:numId w:val="15"/>
        </w:numPr>
        <w:autoSpaceDE w:val="0"/>
        <w:autoSpaceDN w:val="0"/>
        <w:adjustRightInd w:val="0"/>
        <w:spacing w:line="360" w:lineRule="auto"/>
        <w:rPr>
          <w:snapToGrid w:val="0"/>
          <w:kern w:val="22"/>
          <w:szCs w:val="22"/>
        </w:rPr>
      </w:pPr>
      <w:hyperlink r:id="rId80" w:history="1">
        <w:r w:rsidR="008E44C6" w:rsidRPr="009F54B9">
          <w:rPr>
            <w:snapToGrid w:val="0"/>
            <w:kern w:val="22"/>
            <w:szCs w:val="22"/>
          </w:rPr>
          <w:t>292</w:t>
        </w:r>
      </w:hyperlink>
      <w:r w:rsidR="008E44C6" w:rsidRPr="009F54B9">
        <w:rPr>
          <w:snapToGrid w:val="0"/>
          <w:kern w:val="22"/>
          <w:szCs w:val="22"/>
        </w:rPr>
        <w:t> - Manufacture of bodies (coachwork) for motor vehicles; manufacture of trailers and semi-trailers;</w:t>
      </w:r>
    </w:p>
    <w:p w14:paraId="2D71BB57" w14:textId="77777777" w:rsidR="008E44C6" w:rsidRPr="009F54B9" w:rsidRDefault="00BE5BDF" w:rsidP="008E44C6">
      <w:pPr>
        <w:pStyle w:val="ListParagraph"/>
        <w:numPr>
          <w:ilvl w:val="0"/>
          <w:numId w:val="15"/>
        </w:numPr>
        <w:autoSpaceDE w:val="0"/>
        <w:autoSpaceDN w:val="0"/>
        <w:adjustRightInd w:val="0"/>
        <w:spacing w:line="360" w:lineRule="auto"/>
        <w:rPr>
          <w:snapToGrid w:val="0"/>
          <w:kern w:val="22"/>
          <w:szCs w:val="22"/>
        </w:rPr>
      </w:pPr>
      <w:hyperlink r:id="rId81" w:history="1">
        <w:r w:rsidR="008E44C6" w:rsidRPr="009F54B9">
          <w:rPr>
            <w:snapToGrid w:val="0"/>
            <w:kern w:val="22"/>
            <w:szCs w:val="22"/>
          </w:rPr>
          <w:t>293</w:t>
        </w:r>
      </w:hyperlink>
      <w:r w:rsidR="008E44C6" w:rsidRPr="009F54B9">
        <w:rPr>
          <w:snapToGrid w:val="0"/>
          <w:kern w:val="22"/>
          <w:szCs w:val="22"/>
        </w:rPr>
        <w:t> - Manufacture of parts and accessories for motor vehicles.</w:t>
      </w:r>
    </w:p>
    <w:p w14:paraId="7F2CC4BB" w14:textId="77777777" w:rsidR="008E44C6" w:rsidRPr="009F54B9" w:rsidRDefault="008E44C6" w:rsidP="00A40A1B">
      <w:pPr>
        <w:shd w:val="clear" w:color="auto" w:fill="FFFFFF"/>
        <w:rPr>
          <w:snapToGrid w:val="0"/>
          <w:kern w:val="22"/>
          <w:szCs w:val="22"/>
        </w:rPr>
      </w:pPr>
      <w:r w:rsidRPr="009F54B9">
        <w:rPr>
          <w:snapToGrid w:val="0"/>
          <w:kern w:val="22"/>
          <w:szCs w:val="22"/>
        </w:rPr>
        <w:t>This division includes the manufacture of motor vehicles for transporting passengers or freight. The manufacture of various parts and accessories, as well as the manufacture of trailers and semi-trailers, is included here.</w:t>
      </w:r>
    </w:p>
    <w:p w14:paraId="738428C0" w14:textId="77777777" w:rsidR="008E44C6" w:rsidRPr="009F54B9" w:rsidRDefault="008E44C6" w:rsidP="000D01B7">
      <w:pPr>
        <w:shd w:val="clear" w:color="auto" w:fill="FFFFFF"/>
        <w:rPr>
          <w:snapToGrid w:val="0"/>
          <w:kern w:val="22"/>
          <w:szCs w:val="22"/>
        </w:rPr>
      </w:pPr>
    </w:p>
    <w:p w14:paraId="301C4077" w14:textId="77777777" w:rsidR="008E44C6" w:rsidRPr="009F54B9" w:rsidRDefault="008E44C6" w:rsidP="000D01B7">
      <w:pPr>
        <w:shd w:val="clear" w:color="auto" w:fill="FFFFFF"/>
        <w:rPr>
          <w:snapToGrid w:val="0"/>
          <w:kern w:val="22"/>
          <w:szCs w:val="22"/>
        </w:rPr>
      </w:pPr>
      <w:r w:rsidRPr="009F54B9">
        <w:rPr>
          <w:b/>
          <w:snapToGrid w:val="0"/>
          <w:kern w:val="22"/>
          <w:szCs w:val="22"/>
        </w:rPr>
        <w:t>Division 30</w:t>
      </w:r>
      <w:r w:rsidRPr="009F54B9">
        <w:rPr>
          <w:snapToGrid w:val="0"/>
          <w:kern w:val="22"/>
          <w:szCs w:val="22"/>
        </w:rPr>
        <w:t xml:space="preserve"> - manufacture of other transport equipment - is divided into the following Groups:</w:t>
      </w:r>
    </w:p>
    <w:p w14:paraId="46E1F2AA"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301 - Building of ships and boats;</w:t>
      </w:r>
    </w:p>
    <w:p w14:paraId="65275100"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302 - Manufacture of railway locomotives and rolling stock;</w:t>
      </w:r>
    </w:p>
    <w:p w14:paraId="305B66C2"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303 - Manufacture of air and spacecraft and related machinery;</w:t>
      </w:r>
    </w:p>
    <w:p w14:paraId="3D8200AF"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304 - Manufacture of military fighting vehicles;</w:t>
      </w:r>
    </w:p>
    <w:p w14:paraId="3F611C1B"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 xml:space="preserve">309 - Manufacture of transport equipment </w:t>
      </w:r>
      <w:proofErr w:type="spellStart"/>
      <w:r w:rsidRPr="009F54B9">
        <w:rPr>
          <w:snapToGrid w:val="0"/>
          <w:kern w:val="22"/>
          <w:szCs w:val="22"/>
        </w:rPr>
        <w:t>n.e.c.</w:t>
      </w:r>
      <w:proofErr w:type="spellEnd"/>
    </w:p>
    <w:p w14:paraId="0B800C2E" w14:textId="77777777" w:rsidR="008E44C6" w:rsidRPr="009F54B9" w:rsidRDefault="008E44C6" w:rsidP="00A40A1B">
      <w:pPr>
        <w:shd w:val="clear" w:color="auto" w:fill="FFFFFF"/>
        <w:rPr>
          <w:snapToGrid w:val="0"/>
          <w:kern w:val="22"/>
          <w:szCs w:val="22"/>
        </w:rPr>
      </w:pPr>
      <w:r w:rsidRPr="009F54B9">
        <w:rPr>
          <w:snapToGrid w:val="0"/>
          <w:kern w:val="22"/>
          <w:szCs w:val="22"/>
        </w:rPr>
        <w:t>This division includes the manufacture of transportation equipment such as ship building and boat manufacturing, the manufacture of railroad rolling stock and locomotives, air and spacecraft and the manufacture of parts thereof.</w:t>
      </w:r>
    </w:p>
    <w:p w14:paraId="4A60086B" w14:textId="77777777" w:rsidR="008E44C6" w:rsidRPr="009F54B9" w:rsidRDefault="008E44C6" w:rsidP="000D01B7">
      <w:pPr>
        <w:shd w:val="clear" w:color="auto" w:fill="FFFFFF"/>
        <w:rPr>
          <w:snapToGrid w:val="0"/>
          <w:kern w:val="22"/>
          <w:szCs w:val="22"/>
        </w:rPr>
      </w:pPr>
    </w:p>
    <w:p w14:paraId="612FC431" w14:textId="77777777" w:rsidR="008E44C6" w:rsidRPr="009F54B9" w:rsidRDefault="008E44C6" w:rsidP="00A40A1B">
      <w:pPr>
        <w:shd w:val="clear" w:color="auto" w:fill="FFFFFF"/>
        <w:rPr>
          <w:snapToGrid w:val="0"/>
          <w:kern w:val="22"/>
          <w:szCs w:val="22"/>
        </w:rPr>
      </w:pPr>
      <w:r w:rsidRPr="009F54B9">
        <w:rPr>
          <w:b/>
          <w:snapToGrid w:val="0"/>
          <w:kern w:val="22"/>
          <w:szCs w:val="22"/>
        </w:rPr>
        <w:t>Division 31</w:t>
      </w:r>
      <w:r w:rsidRPr="009F54B9">
        <w:rPr>
          <w:snapToGrid w:val="0"/>
          <w:kern w:val="22"/>
          <w:szCs w:val="22"/>
        </w:rPr>
        <w:t xml:space="preserve"> contains the Group 310 - Manufacture of furniture. This Group relates to the manufacture of furniture and related products of any material except stone, concrete and ceramic. The processes used in the manufacture of furniture are standard methods of forming materials and assembling components, including cutting, moulding and laminating. The design of the article, for both aesthetic and functional qualities, is an important aspect of the production process.</w:t>
      </w:r>
    </w:p>
    <w:p w14:paraId="0086650B" w14:textId="77777777" w:rsidR="008E44C6" w:rsidRPr="009F54B9" w:rsidRDefault="008E44C6" w:rsidP="000D01B7">
      <w:pPr>
        <w:shd w:val="clear" w:color="auto" w:fill="FFFFFF"/>
        <w:rPr>
          <w:snapToGrid w:val="0"/>
          <w:kern w:val="22"/>
          <w:szCs w:val="22"/>
        </w:rPr>
      </w:pPr>
    </w:p>
    <w:p w14:paraId="3EDF1749" w14:textId="77777777" w:rsidR="008E44C6" w:rsidRPr="009F54B9" w:rsidRDefault="008E44C6" w:rsidP="009F54B9">
      <w:pPr>
        <w:keepNext/>
        <w:shd w:val="clear" w:color="auto" w:fill="FFFFFF"/>
        <w:spacing w:after="120"/>
        <w:rPr>
          <w:snapToGrid w:val="0"/>
          <w:kern w:val="22"/>
          <w:szCs w:val="22"/>
        </w:rPr>
      </w:pPr>
      <w:r w:rsidRPr="009F54B9">
        <w:rPr>
          <w:b/>
          <w:snapToGrid w:val="0"/>
          <w:kern w:val="22"/>
          <w:szCs w:val="22"/>
        </w:rPr>
        <w:t>Division 32</w:t>
      </w:r>
      <w:r w:rsidRPr="009F54B9">
        <w:rPr>
          <w:snapToGrid w:val="0"/>
          <w:kern w:val="22"/>
          <w:szCs w:val="22"/>
        </w:rPr>
        <w:t xml:space="preserve"> - other manufacturing - is divided into the following Groups:</w:t>
      </w:r>
    </w:p>
    <w:p w14:paraId="0F8D1F85"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321 - Manufacture of jewellery, bijouterie and related articles;</w:t>
      </w:r>
    </w:p>
    <w:p w14:paraId="33FEE1A5"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322 - Manufacture of musical instruments;</w:t>
      </w:r>
    </w:p>
    <w:p w14:paraId="542356D9"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323 - Manufacture of sports goods;</w:t>
      </w:r>
    </w:p>
    <w:p w14:paraId="6AC7AFDA"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324 - Manufacture of games and toys;</w:t>
      </w:r>
    </w:p>
    <w:p w14:paraId="09B2230D"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lastRenderedPageBreak/>
        <w:t>325 - Manufacture of medical and dental instruments and supplies;</w:t>
      </w:r>
    </w:p>
    <w:p w14:paraId="11F77015"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 xml:space="preserve">329 - Other manufacturing </w:t>
      </w:r>
      <w:proofErr w:type="spellStart"/>
      <w:r w:rsidRPr="009F54B9">
        <w:rPr>
          <w:snapToGrid w:val="0"/>
          <w:kern w:val="22"/>
          <w:szCs w:val="22"/>
        </w:rPr>
        <w:t>n.e.c.</w:t>
      </w:r>
      <w:proofErr w:type="spellEnd"/>
    </w:p>
    <w:p w14:paraId="5C939E9C" w14:textId="77777777" w:rsidR="008E44C6" w:rsidRPr="009F54B9" w:rsidRDefault="008E44C6" w:rsidP="00A40A1B">
      <w:pPr>
        <w:shd w:val="clear" w:color="auto" w:fill="FFFFFF"/>
        <w:rPr>
          <w:snapToGrid w:val="0"/>
          <w:kern w:val="22"/>
          <w:szCs w:val="22"/>
        </w:rPr>
      </w:pPr>
      <w:r w:rsidRPr="009F54B9">
        <w:rPr>
          <w:snapToGrid w:val="0"/>
          <w:kern w:val="22"/>
          <w:szCs w:val="22"/>
        </w:rPr>
        <w:t>This division includes the manufacture of a variety of goods not covered in other parts of the classification. Since this is a residual division, production processes, input materials and use of the produced goods can vary widely and usual criteria for grouping classes into divisions have not been applied here.</w:t>
      </w:r>
    </w:p>
    <w:p w14:paraId="26389D5E" w14:textId="77777777" w:rsidR="008E44C6" w:rsidRPr="009F54B9" w:rsidRDefault="008E44C6" w:rsidP="000D01B7">
      <w:pPr>
        <w:shd w:val="clear" w:color="auto" w:fill="FFFFFF"/>
        <w:rPr>
          <w:snapToGrid w:val="0"/>
          <w:kern w:val="22"/>
          <w:szCs w:val="22"/>
        </w:rPr>
      </w:pPr>
    </w:p>
    <w:p w14:paraId="64F9D8B1" w14:textId="77777777" w:rsidR="008E44C6" w:rsidRPr="009F54B9" w:rsidRDefault="008E44C6" w:rsidP="009F54B9">
      <w:pPr>
        <w:keepNext/>
        <w:shd w:val="clear" w:color="auto" w:fill="FFFFFF"/>
        <w:spacing w:after="120"/>
        <w:rPr>
          <w:snapToGrid w:val="0"/>
          <w:kern w:val="22"/>
          <w:szCs w:val="22"/>
        </w:rPr>
      </w:pPr>
      <w:r w:rsidRPr="009F54B9">
        <w:rPr>
          <w:b/>
          <w:snapToGrid w:val="0"/>
          <w:kern w:val="22"/>
          <w:szCs w:val="22"/>
        </w:rPr>
        <w:t>Division 33</w:t>
      </w:r>
      <w:r w:rsidRPr="009F54B9">
        <w:rPr>
          <w:snapToGrid w:val="0"/>
          <w:kern w:val="22"/>
          <w:szCs w:val="22"/>
        </w:rPr>
        <w:t xml:space="preserve"> - repair and installation of machinery and equipment - is divided into the following Groups:</w:t>
      </w:r>
    </w:p>
    <w:p w14:paraId="5FFAEB52"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331 - Repair of fabricated metal products, machinery and equipment;</w:t>
      </w:r>
    </w:p>
    <w:p w14:paraId="38228DA5" w14:textId="77777777" w:rsidR="008E44C6" w:rsidRPr="009F54B9" w:rsidRDefault="008E44C6" w:rsidP="008E44C6">
      <w:pPr>
        <w:pStyle w:val="ListParagraph"/>
        <w:numPr>
          <w:ilvl w:val="0"/>
          <w:numId w:val="15"/>
        </w:numPr>
        <w:autoSpaceDE w:val="0"/>
        <w:autoSpaceDN w:val="0"/>
        <w:adjustRightInd w:val="0"/>
        <w:spacing w:line="360" w:lineRule="auto"/>
        <w:rPr>
          <w:snapToGrid w:val="0"/>
          <w:kern w:val="22"/>
          <w:szCs w:val="22"/>
        </w:rPr>
      </w:pPr>
      <w:r w:rsidRPr="009F54B9">
        <w:rPr>
          <w:snapToGrid w:val="0"/>
          <w:kern w:val="22"/>
          <w:szCs w:val="22"/>
        </w:rPr>
        <w:t>332 - Installation of industrial machinery and equipment.</w:t>
      </w:r>
    </w:p>
    <w:p w14:paraId="20A0B927" w14:textId="77777777" w:rsidR="008E44C6" w:rsidRDefault="008E44C6" w:rsidP="00A40A1B">
      <w:pPr>
        <w:shd w:val="clear" w:color="auto" w:fill="FFFFFF"/>
        <w:rPr>
          <w:snapToGrid w:val="0"/>
          <w:kern w:val="22"/>
          <w:szCs w:val="22"/>
        </w:rPr>
      </w:pPr>
      <w:r w:rsidRPr="009F54B9">
        <w:rPr>
          <w:snapToGrid w:val="0"/>
          <w:kern w:val="22"/>
          <w:szCs w:val="22"/>
        </w:rPr>
        <w:t>This division includes the specialized repair of goods produced in the manufacturing sector with the aim to restore machinery, equipment and other products to working order. The provision of general or routine maintenance (i.e. servicing) on such products to ensure they work efficiently and to prevent breakdown and unnecessary repairs is included.</w:t>
      </w:r>
    </w:p>
    <w:p w14:paraId="50EBC836" w14:textId="77777777" w:rsidR="004F2342" w:rsidRPr="009F54B9" w:rsidRDefault="004F2342" w:rsidP="00A40A1B">
      <w:pPr>
        <w:shd w:val="clear" w:color="auto" w:fill="FFFFFF"/>
        <w:rPr>
          <w:snapToGrid w:val="0"/>
          <w:kern w:val="22"/>
          <w:szCs w:val="22"/>
        </w:rPr>
      </w:pPr>
    </w:p>
    <w:p w14:paraId="006C9E8E" w14:textId="77777777" w:rsidR="008E44C6" w:rsidRPr="009F54B9" w:rsidRDefault="008E44C6" w:rsidP="00A40A1B">
      <w:pPr>
        <w:shd w:val="clear" w:color="auto" w:fill="FFFFFF"/>
        <w:rPr>
          <w:snapToGrid w:val="0"/>
          <w:kern w:val="22"/>
          <w:szCs w:val="22"/>
        </w:rPr>
      </w:pPr>
      <w:r w:rsidRPr="009F54B9">
        <w:rPr>
          <w:snapToGrid w:val="0"/>
          <w:kern w:val="22"/>
          <w:szCs w:val="22"/>
        </w:rPr>
        <w:t>This division does only include specialized repair and maintenance activities. A substantial amount of repair is also done by manufacturers of machinery, equipment and other goods, in which case the classification of units engaged in these repair and manufacturing activities is done according to the value-added principle which would often assign these combined activities to the manufacture of the good. The same principle is applied for combined trade and repair.</w:t>
      </w:r>
    </w:p>
    <w:p w14:paraId="620B6661" w14:textId="77777777" w:rsidR="008E44C6" w:rsidRPr="009F54B9" w:rsidRDefault="008E44C6" w:rsidP="000D01B7">
      <w:pPr>
        <w:shd w:val="clear" w:color="auto" w:fill="FFFFFF"/>
        <w:rPr>
          <w:snapToGrid w:val="0"/>
          <w:kern w:val="22"/>
          <w:szCs w:val="22"/>
        </w:rPr>
      </w:pPr>
    </w:p>
    <w:p w14:paraId="6A638B4D" w14:textId="77777777" w:rsidR="003752C3" w:rsidRPr="009F54B9" w:rsidRDefault="004F2342" w:rsidP="009F54B9">
      <w:pPr>
        <w:pStyle w:val="Para1"/>
        <w:numPr>
          <w:ilvl w:val="0"/>
          <w:numId w:val="0"/>
        </w:numPr>
        <w:spacing w:before="0" w:after="0"/>
        <w:jc w:val="center"/>
        <w:rPr>
          <w:snapToGrid w:val="0"/>
          <w:kern w:val="22"/>
          <w:lang w:eastAsia="ja-JP" w:bidi="th-TH"/>
        </w:rPr>
      </w:pPr>
      <w:r>
        <w:rPr>
          <w:snapToGrid w:val="0"/>
          <w:kern w:val="22"/>
          <w:lang w:eastAsia="ja-JP" w:bidi="th-TH"/>
        </w:rPr>
        <w:t>__________</w:t>
      </w:r>
    </w:p>
    <w:sectPr w:rsidR="003752C3" w:rsidRPr="009F54B9" w:rsidSect="009F54B9">
      <w:headerReference w:type="even" r:id="rId82"/>
      <w:headerReference w:type="default" r:id="rId83"/>
      <w:footerReference w:type="even" r:id="rId84"/>
      <w:footerReference w:type="first" r:id="rId85"/>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DE0FC" w14:textId="77777777" w:rsidR="001840F8" w:rsidRDefault="001840F8" w:rsidP="00CF1848">
      <w:r>
        <w:separator/>
      </w:r>
    </w:p>
  </w:endnote>
  <w:endnote w:type="continuationSeparator" w:id="0">
    <w:p w14:paraId="22C6C999" w14:textId="77777777" w:rsidR="001840F8" w:rsidRDefault="001840F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Lucida Sans Unicode">
    <w:panose1 w:val="020B0602030504020204"/>
    <w:charset w:val="00"/>
    <w:family w:val="swiss"/>
    <w:pitch w:val="variable"/>
    <w:sig w:usb0="80000AFF" w:usb1="0000396B" w:usb2="00000000" w:usb3="00000000" w:csb0="000000B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 w:name="Gotham Narrow Light">
    <w:altName w:val="Tahoma"/>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70DF9" w14:textId="77777777" w:rsidR="00036E04" w:rsidRDefault="00036E04" w:rsidP="009F54B9">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EA2F7" w14:textId="77777777" w:rsidR="00036E04" w:rsidRDefault="00036E04" w:rsidP="009F54B9">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CABED" w14:textId="77777777" w:rsidR="00335F6F" w:rsidRDefault="00335F6F" w:rsidP="00060510">
    <w:pPr>
      <w:pStyle w:val="Footer"/>
      <w:tabs>
        <w:tab w:val="clear" w:pos="4320"/>
        <w:tab w:val="clear" w:pos="8640"/>
      </w:tabs>
      <w:kinsoku w:val="0"/>
      <w:overflowPunct w:val="0"/>
      <w:autoSpaceDE w:val="0"/>
      <w:autoSpaceDN w:val="0"/>
      <w:ind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5311D" w14:textId="77777777" w:rsidR="00335F6F" w:rsidRDefault="00335F6F" w:rsidP="00060510">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850BB4" w14:textId="77777777" w:rsidR="001840F8" w:rsidRDefault="001840F8" w:rsidP="00CF1848">
      <w:r>
        <w:separator/>
      </w:r>
    </w:p>
  </w:footnote>
  <w:footnote w:type="continuationSeparator" w:id="0">
    <w:p w14:paraId="549391AF" w14:textId="77777777" w:rsidR="001840F8" w:rsidRDefault="001840F8" w:rsidP="00CF1848">
      <w:r>
        <w:continuationSeparator/>
      </w:r>
    </w:p>
  </w:footnote>
  <w:footnote w:id="1">
    <w:p w14:paraId="07E3FC24" w14:textId="77777777" w:rsidR="008D31D6" w:rsidRPr="009F54B9" w:rsidRDefault="008D31D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t>*</w:t>
      </w:r>
      <w:r w:rsidRPr="009F54B9">
        <w:rPr>
          <w:snapToGrid w:val="0"/>
          <w:kern w:val="18"/>
          <w:szCs w:val="18"/>
        </w:rPr>
        <w:t xml:space="preserve"> CBD/SBI/2/1.</w:t>
      </w:r>
    </w:p>
  </w:footnote>
  <w:footnote w:id="2">
    <w:p w14:paraId="504CAB86" w14:textId="77777777" w:rsidR="00C22D0E" w:rsidRPr="009F54B9" w:rsidRDefault="00C22D0E"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Hereinafter referred to </w:t>
      </w:r>
      <w:r w:rsidR="00607292" w:rsidRPr="009F54B9">
        <w:rPr>
          <w:snapToGrid w:val="0"/>
          <w:kern w:val="18"/>
          <w:szCs w:val="18"/>
        </w:rPr>
        <w:t xml:space="preserve">as “manufacturing industries”. </w:t>
      </w:r>
      <w:r w:rsidRPr="009F54B9">
        <w:rPr>
          <w:snapToGrid w:val="0"/>
          <w:kern w:val="18"/>
          <w:szCs w:val="18"/>
        </w:rPr>
        <w:t>Manufacturing includes the processing of the products of various raw material producers into diversified goods, including the products of agriculture, forestry and fishing.</w:t>
      </w:r>
    </w:p>
  </w:footnote>
  <w:footnote w:id="3">
    <w:p w14:paraId="285D013B"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United Nations Statistics Division (2017). International Standard Industrial Classification of All Economic Activities, Rev.4. </w:t>
      </w:r>
      <w:hyperlink r:id="rId1" w:history="1">
        <w:r w:rsidRPr="009F54B9">
          <w:rPr>
            <w:snapToGrid w:val="0"/>
            <w:kern w:val="18"/>
            <w:sz w:val="18"/>
            <w:szCs w:val="18"/>
          </w:rPr>
          <w:t>https://unstats.un.org/unsd/cr/registry/regcst.asp?Cl=27</w:t>
        </w:r>
      </w:hyperlink>
      <w:r w:rsidRPr="009F54B9">
        <w:rPr>
          <w:snapToGrid w:val="0"/>
          <w:kern w:val="18"/>
          <w:sz w:val="18"/>
          <w:szCs w:val="18"/>
        </w:rPr>
        <w:t xml:space="preserve">, accessed on </w:t>
      </w:r>
      <w:r w:rsidR="00E20AE6" w:rsidRPr="009F54B9">
        <w:rPr>
          <w:snapToGrid w:val="0"/>
          <w:kern w:val="18"/>
          <w:sz w:val="18"/>
          <w:szCs w:val="18"/>
        </w:rPr>
        <w:t xml:space="preserve">5 </w:t>
      </w:r>
      <w:r w:rsidRPr="009F54B9">
        <w:rPr>
          <w:snapToGrid w:val="0"/>
          <w:kern w:val="18"/>
          <w:sz w:val="18"/>
          <w:szCs w:val="18"/>
        </w:rPr>
        <w:t>January 2018.</w:t>
      </w:r>
    </w:p>
  </w:footnote>
  <w:footnote w:id="4">
    <w:p w14:paraId="13050E33"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w:t>
      </w:r>
      <w:hyperlink r:id="rId2" w:history="1">
        <w:r w:rsidRPr="009F54B9">
          <w:rPr>
            <w:snapToGrid w:val="0"/>
            <w:kern w:val="18"/>
            <w:szCs w:val="18"/>
          </w:rPr>
          <w:t>https://www.statista.com/statistics/236397/value-of-the-leading-global-textile-exporters-by-country/</w:t>
        </w:r>
      </w:hyperlink>
      <w:r w:rsidRPr="009F54B9">
        <w:rPr>
          <w:snapToGrid w:val="0"/>
          <w:kern w:val="18"/>
          <w:szCs w:val="18"/>
        </w:rPr>
        <w:t>, accessed February 19, 2018.</w:t>
      </w:r>
    </w:p>
  </w:footnote>
  <w:footnote w:id="5">
    <w:p w14:paraId="43FE853B"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snapToGrid w:val="0"/>
          <w:kern w:val="18"/>
          <w:szCs w:val="18"/>
          <w:vertAlign w:val="superscript"/>
        </w:rPr>
        <w:footnoteRef/>
      </w:r>
      <w:r w:rsidRPr="009F54B9">
        <w:rPr>
          <w:snapToGrid w:val="0"/>
          <w:kern w:val="18"/>
          <w:szCs w:val="18"/>
        </w:rPr>
        <w:t xml:space="preserve"> </w:t>
      </w:r>
      <w:proofErr w:type="spellStart"/>
      <w:r w:rsidRPr="009F54B9">
        <w:rPr>
          <w:snapToGrid w:val="0"/>
          <w:kern w:val="18"/>
          <w:szCs w:val="18"/>
        </w:rPr>
        <w:t>Roser</w:t>
      </w:r>
      <w:proofErr w:type="spellEnd"/>
      <w:r w:rsidRPr="009F54B9">
        <w:rPr>
          <w:snapToGrid w:val="0"/>
          <w:kern w:val="18"/>
          <w:szCs w:val="18"/>
        </w:rPr>
        <w:t>, C. (2016). “Faster, Better, Cheaper" in the History of Manufacturing: From the Stone Age to Lean Manufacturing and Beyond. Productivity Press, 417 Pages.</w:t>
      </w:r>
    </w:p>
  </w:footnote>
  <w:footnote w:id="6">
    <w:p w14:paraId="164A05F2"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w:t>
      </w:r>
      <w:hyperlink r:id="rId3" w:history="1">
        <w:r w:rsidRPr="009F54B9">
          <w:rPr>
            <w:snapToGrid w:val="0"/>
            <w:kern w:val="18"/>
            <w:szCs w:val="18"/>
          </w:rPr>
          <w:t>https://cen.acs.org/sections/global-top-50.html</w:t>
        </w:r>
      </w:hyperlink>
      <w:r w:rsidRPr="009F54B9">
        <w:rPr>
          <w:snapToGrid w:val="0"/>
          <w:kern w:val="18"/>
          <w:szCs w:val="18"/>
        </w:rPr>
        <w:t>, accessed February 19, 2018.</w:t>
      </w:r>
    </w:p>
  </w:footnote>
  <w:footnote w:id="7">
    <w:p w14:paraId="30D2E2C4"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w:t>
      </w:r>
      <w:hyperlink r:id="rId4" w:history="1">
        <w:r w:rsidRPr="009F54B9">
          <w:rPr>
            <w:rStyle w:val="Hyperlink"/>
            <w:snapToGrid w:val="0"/>
            <w:kern w:val="18"/>
            <w:szCs w:val="18"/>
          </w:rPr>
          <w:t>https://www.statista.com/statistics/226032/light-vehicle-producing-countries/</w:t>
        </w:r>
      </w:hyperlink>
      <w:r w:rsidRPr="009F54B9">
        <w:rPr>
          <w:snapToGrid w:val="0"/>
          <w:kern w:val="18"/>
          <w:szCs w:val="18"/>
        </w:rPr>
        <w:t xml:space="preserve">, accessed February 19, 2018.  </w:t>
      </w:r>
    </w:p>
  </w:footnote>
  <w:footnote w:id="8">
    <w:p w14:paraId="2552487B"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w:t>
      </w:r>
      <w:hyperlink r:id="rId5" w:history="1">
        <w:r w:rsidRPr="009F54B9">
          <w:rPr>
            <w:snapToGrid w:val="0"/>
            <w:kern w:val="18"/>
            <w:szCs w:val="18"/>
          </w:rPr>
          <w:t>http://wdi.worldbank.org/table/4.2#</w:t>
        </w:r>
      </w:hyperlink>
      <w:r w:rsidRPr="009F54B9">
        <w:rPr>
          <w:snapToGrid w:val="0"/>
          <w:kern w:val="18"/>
          <w:szCs w:val="18"/>
        </w:rPr>
        <w:t>, accessed on November 9, 2017.</w:t>
      </w:r>
    </w:p>
  </w:footnote>
  <w:footnote w:id="9">
    <w:p w14:paraId="60B350E7"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Levinson, M. (2017).  U.S. manufacturing in international perspective. Congressional Research Service, R42135, 19p.</w:t>
      </w:r>
    </w:p>
  </w:footnote>
  <w:footnote w:id="10">
    <w:p w14:paraId="5A338CED"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snapToGrid w:val="0"/>
          <w:kern w:val="18"/>
          <w:szCs w:val="18"/>
          <w:vertAlign w:val="superscript"/>
        </w:rPr>
        <w:footnoteRef/>
      </w:r>
      <w:r w:rsidRPr="009F54B9">
        <w:rPr>
          <w:snapToGrid w:val="0"/>
          <w:kern w:val="18"/>
          <w:szCs w:val="18"/>
        </w:rPr>
        <w:t xml:space="preserve"> URL: </w:t>
      </w:r>
      <w:hyperlink r:id="rId6" w:history="1">
        <w:r w:rsidRPr="009F54B9">
          <w:rPr>
            <w:snapToGrid w:val="0"/>
            <w:kern w:val="18"/>
            <w:szCs w:val="18"/>
          </w:rPr>
          <w:t>http://www.ilo.org/global/research/global-reports/global-employment-trends/2014/WCMS_234879/lang--en/index.htm</w:t>
        </w:r>
      </w:hyperlink>
      <w:r w:rsidRPr="009F54B9">
        <w:rPr>
          <w:snapToGrid w:val="0"/>
          <w:kern w:val="18"/>
          <w:szCs w:val="18"/>
        </w:rPr>
        <w:t>, accessed on November 9, 2017.</w:t>
      </w:r>
    </w:p>
  </w:footnote>
  <w:footnote w:id="11">
    <w:p w14:paraId="06B2463B"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World Bank national accounts data, and OECD National Accounts data files. URL: </w:t>
      </w:r>
      <w:hyperlink r:id="rId7" w:history="1">
        <w:r w:rsidRPr="009F54B9">
          <w:rPr>
            <w:snapToGrid w:val="0"/>
            <w:kern w:val="18"/>
            <w:szCs w:val="18"/>
          </w:rPr>
          <w:t>http://wdi.worldbank.org/table/4.2#</w:t>
        </w:r>
      </w:hyperlink>
      <w:r w:rsidRPr="009F54B9">
        <w:rPr>
          <w:snapToGrid w:val="0"/>
          <w:kern w:val="18"/>
          <w:szCs w:val="18"/>
        </w:rPr>
        <w:t>, accessed on January 6, 2018.</w:t>
      </w:r>
    </w:p>
  </w:footnote>
  <w:footnote w:id="12">
    <w:p w14:paraId="003CE8A7"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snapToGrid w:val="0"/>
          <w:kern w:val="18"/>
          <w:szCs w:val="18"/>
          <w:vertAlign w:val="superscript"/>
        </w:rPr>
        <w:footnoteRef/>
      </w:r>
      <w:r w:rsidRPr="009F54B9">
        <w:rPr>
          <w:snapToGrid w:val="0"/>
          <w:kern w:val="18"/>
          <w:szCs w:val="18"/>
        </w:rPr>
        <w:t xml:space="preserve"> McKinsey (2012). Manufacturing the future: The next era of global growth and innovation. URL: </w:t>
      </w:r>
      <w:hyperlink r:id="rId8" w:history="1">
        <w:r w:rsidRPr="009F54B9">
          <w:rPr>
            <w:snapToGrid w:val="0"/>
            <w:kern w:val="18"/>
            <w:szCs w:val="18"/>
          </w:rPr>
          <w:t>https://www.mckinsey.com/business-functions/operations/our-insights/the-future-of-manufacturing</w:t>
        </w:r>
      </w:hyperlink>
      <w:r w:rsidRPr="009F54B9">
        <w:rPr>
          <w:snapToGrid w:val="0"/>
          <w:kern w:val="18"/>
          <w:szCs w:val="18"/>
        </w:rPr>
        <w:t>, accessed on November 7, 2017.</w:t>
      </w:r>
    </w:p>
  </w:footnote>
  <w:footnote w:id="13">
    <w:p w14:paraId="3BB61061"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w:t>
      </w:r>
      <w:hyperlink r:id="rId9" w:history="1">
        <w:r w:rsidRPr="009F54B9">
          <w:rPr>
            <w:snapToGrid w:val="0"/>
            <w:kern w:val="18"/>
            <w:szCs w:val="18"/>
          </w:rPr>
          <w:t>http://ec.europa.eu/eurostat/statistics-explained/index.php/Manufacturing_statistics_-_NACE_Rev._2</w:t>
        </w:r>
      </w:hyperlink>
      <w:r w:rsidRPr="009F54B9">
        <w:rPr>
          <w:snapToGrid w:val="0"/>
          <w:kern w:val="18"/>
          <w:szCs w:val="18"/>
        </w:rPr>
        <w:t xml:space="preserve"> accessed on January 15, 2018.</w:t>
      </w:r>
    </w:p>
  </w:footnote>
  <w:footnote w:id="14">
    <w:p w14:paraId="529F3E8B"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PwC (2015). The World in 2050 Will the shift in global economic power continue? URL: </w:t>
      </w:r>
      <w:hyperlink r:id="rId10" w:history="1">
        <w:r w:rsidRPr="009F54B9">
          <w:rPr>
            <w:snapToGrid w:val="0"/>
            <w:kern w:val="18"/>
            <w:szCs w:val="18"/>
          </w:rPr>
          <w:t>https://www.pwc.com/gx/en/issues/the-economy/assets/world-in-2050-february-2015.pdf</w:t>
        </w:r>
      </w:hyperlink>
      <w:r w:rsidRPr="009F54B9">
        <w:rPr>
          <w:snapToGrid w:val="0"/>
          <w:kern w:val="18"/>
          <w:szCs w:val="18"/>
        </w:rPr>
        <w:t>, accessed on January 5, 2018.</w:t>
      </w:r>
    </w:p>
  </w:footnote>
  <w:footnote w:id="15">
    <w:p w14:paraId="422F3289"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Foresight (2013). The Future of Manufacturing: A new era of opportunity and challenge for the </w:t>
      </w:r>
      <w:r w:rsidR="002733F6" w:rsidRPr="009F54B9">
        <w:rPr>
          <w:snapToGrid w:val="0"/>
          <w:kern w:val="18"/>
          <w:szCs w:val="18"/>
        </w:rPr>
        <w:t>United Kingdom</w:t>
      </w:r>
      <w:r w:rsidRPr="009F54B9">
        <w:rPr>
          <w:snapToGrid w:val="0"/>
          <w:kern w:val="18"/>
          <w:szCs w:val="18"/>
        </w:rPr>
        <w:t xml:space="preserve"> Summary Report </w:t>
      </w:r>
      <w:proofErr w:type="gramStart"/>
      <w:r w:rsidRPr="009F54B9">
        <w:rPr>
          <w:snapToGrid w:val="0"/>
          <w:kern w:val="18"/>
          <w:szCs w:val="18"/>
        </w:rPr>
        <w:t>The</w:t>
      </w:r>
      <w:proofErr w:type="gramEnd"/>
      <w:r w:rsidRPr="009F54B9">
        <w:rPr>
          <w:snapToGrid w:val="0"/>
          <w:kern w:val="18"/>
          <w:szCs w:val="18"/>
        </w:rPr>
        <w:t xml:space="preserve"> Government Office for Science, London. URL: https://www.ifm.eng.cam.ac.uk/uploads/Resources/Future_of_Manufacturing_Report.pdf, accessed on January 5, 2018.</w:t>
      </w:r>
    </w:p>
  </w:footnote>
  <w:footnote w:id="16">
    <w:p w14:paraId="27B29C05"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r w:rsidRPr="009F54B9">
        <w:rPr>
          <w:bCs/>
          <w:snapToGrid w:val="0"/>
          <w:kern w:val="18"/>
          <w:szCs w:val="18"/>
        </w:rPr>
        <w:t>URL: http://wdi.worldbank.org/table/4.3#, accessed on January 6, 2018.</w:t>
      </w:r>
    </w:p>
  </w:footnote>
  <w:footnote w:id="17">
    <w:p w14:paraId="0A183506"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r w:rsidRPr="009F54B9">
        <w:rPr>
          <w:bCs/>
          <w:snapToGrid w:val="0"/>
          <w:kern w:val="18"/>
          <w:szCs w:val="18"/>
        </w:rPr>
        <w:t>Gao, Y. (2012). China as the workshop of the world: an analysis of the national and industry level of China in the international division of labour. Routledge, NY.</w:t>
      </w:r>
    </w:p>
  </w:footnote>
  <w:footnote w:id="18">
    <w:p w14:paraId="5DB6EC69"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UNCTAD (2016). </w:t>
      </w:r>
      <w:r w:rsidRPr="009F54B9">
        <w:rPr>
          <w:bCs/>
          <w:snapToGrid w:val="0"/>
          <w:kern w:val="18"/>
          <w:szCs w:val="18"/>
        </w:rPr>
        <w:t xml:space="preserve">The Trade and Development Report (TDR) 2016. URL: </w:t>
      </w:r>
      <w:hyperlink r:id="rId11" w:history="1">
        <w:r w:rsidRPr="009F54B9">
          <w:rPr>
            <w:snapToGrid w:val="0"/>
            <w:kern w:val="18"/>
            <w:szCs w:val="18"/>
          </w:rPr>
          <w:t>http://unctad.org/en/pages/PublicationWebflyer.aspx?publicationid=1610</w:t>
        </w:r>
      </w:hyperlink>
      <w:r w:rsidRPr="009F54B9">
        <w:rPr>
          <w:bCs/>
          <w:snapToGrid w:val="0"/>
          <w:kern w:val="18"/>
          <w:szCs w:val="18"/>
        </w:rPr>
        <w:t>, accessed on November 9, 2017.</w:t>
      </w:r>
    </w:p>
  </w:footnote>
  <w:footnote w:id="19">
    <w:p w14:paraId="4D98720D"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URL: </w:t>
      </w:r>
      <w:hyperlink r:id="rId12" w:history="1">
        <w:r w:rsidRPr="009F54B9">
          <w:rPr>
            <w:rStyle w:val="Hyperlink"/>
            <w:snapToGrid w:val="0"/>
            <w:kern w:val="18"/>
            <w:szCs w:val="18"/>
          </w:rPr>
          <w:t>https://home.kpmg.com/xx/en/home/campaigns/2016/05/kpmg-internationals-2016-global-manufacturing-outlook-competing-for-growth.html</w:t>
        </w:r>
      </w:hyperlink>
      <w:r w:rsidRPr="009F54B9">
        <w:rPr>
          <w:snapToGrid w:val="0"/>
          <w:kern w:val="18"/>
          <w:sz w:val="18"/>
          <w:szCs w:val="18"/>
        </w:rPr>
        <w:t>, accessed on November 7, 2017.</w:t>
      </w:r>
    </w:p>
  </w:footnote>
  <w:footnote w:id="20">
    <w:p w14:paraId="6C5C4ADD"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López-Gómez, C., O’Sullivan, E., Gregory, M., Fleury, A., Gomes, L. (2013). Emerging Trends in Global Manufacturing Industries. United Nations Industrial Development Organization.</w:t>
      </w:r>
    </w:p>
  </w:footnote>
  <w:footnote w:id="21">
    <w:p w14:paraId="2BB100F0"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López-Gómez, C., Leal-Ayala, D., Palladino, M., O’Sullivan, E. (2017). Emerging trends in global advanced manufacturing: Challenges, opportunities and policy responses. United Nations Industrial Development Organization.</w:t>
      </w:r>
    </w:p>
  </w:footnote>
  <w:footnote w:id="22">
    <w:p w14:paraId="407DCC62"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Advanced manufacturing technology is defined as computer-controlled or micro-electronics-based equipment used in the design, manufacture or handling of a product. OECD Frascati Manual, Sixth edition, 2012; URL: </w:t>
      </w:r>
      <w:hyperlink r:id="rId13" w:history="1">
        <w:r w:rsidRPr="009F54B9">
          <w:rPr>
            <w:snapToGrid w:val="0"/>
            <w:kern w:val="18"/>
            <w:sz w:val="18"/>
            <w:szCs w:val="18"/>
          </w:rPr>
          <w:t>https://stats.oecd.org/glossary/detail.asp?ID=52</w:t>
        </w:r>
      </w:hyperlink>
      <w:r w:rsidRPr="009F54B9">
        <w:rPr>
          <w:snapToGrid w:val="0"/>
          <w:kern w:val="18"/>
          <w:sz w:val="18"/>
          <w:szCs w:val="18"/>
        </w:rPr>
        <w:t>, accessed November 9, 2017.</w:t>
      </w:r>
    </w:p>
  </w:footnote>
  <w:footnote w:id="23">
    <w:p w14:paraId="3516933C"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Hallward-</w:t>
      </w:r>
      <w:proofErr w:type="spellStart"/>
      <w:r w:rsidRPr="009F54B9">
        <w:rPr>
          <w:snapToGrid w:val="0"/>
          <w:kern w:val="18"/>
          <w:sz w:val="18"/>
          <w:szCs w:val="18"/>
        </w:rPr>
        <w:t>Driemeier</w:t>
      </w:r>
      <w:proofErr w:type="spellEnd"/>
      <w:r w:rsidRPr="009F54B9">
        <w:rPr>
          <w:snapToGrid w:val="0"/>
          <w:kern w:val="18"/>
          <w:sz w:val="18"/>
          <w:szCs w:val="18"/>
        </w:rPr>
        <w:t xml:space="preserve">, M., Nayyar, G. (2018). Trouble in the Making? The Future of Manufacturing-Led Development. Washington, DC: World Bank. doi:10.1596/978-1-4648-1174-6. </w:t>
      </w:r>
    </w:p>
  </w:footnote>
  <w:footnote w:id="24">
    <w:p w14:paraId="3E1B3126"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Natural Capital Coalition (2016). Natural Capital Protocol. (Online) Available at: </w:t>
      </w:r>
      <w:hyperlink r:id="rId14" w:history="1">
        <w:r w:rsidRPr="009F54B9">
          <w:rPr>
            <w:rStyle w:val="Hyperlink"/>
            <w:snapToGrid w:val="0"/>
            <w:kern w:val="18"/>
            <w:szCs w:val="18"/>
          </w:rPr>
          <w:t>www.naturalcapitalcoalition.org/protocol</w:t>
        </w:r>
      </w:hyperlink>
      <w:r w:rsidRPr="009F54B9">
        <w:rPr>
          <w:snapToGrid w:val="0"/>
          <w:kern w:val="18"/>
          <w:szCs w:val="18"/>
        </w:rPr>
        <w:t>, accessed November 9, 2017.</w:t>
      </w:r>
    </w:p>
  </w:footnote>
  <w:footnote w:id="25">
    <w:p w14:paraId="34395C2B"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Atkinson, G., Pearce, D., (1995). “Measuring sustainable development.” In: Bromley, D. W., (ed.) Handbook of Environmental Economics. Blackwell, Oxford, </w:t>
      </w:r>
      <w:r w:rsidR="002733F6" w:rsidRPr="009F54B9">
        <w:rPr>
          <w:snapToGrid w:val="0"/>
          <w:kern w:val="18"/>
          <w:szCs w:val="18"/>
        </w:rPr>
        <w:t>United Kingdom</w:t>
      </w:r>
      <w:r w:rsidRPr="009F54B9">
        <w:rPr>
          <w:snapToGrid w:val="0"/>
          <w:kern w:val="18"/>
          <w:szCs w:val="18"/>
        </w:rPr>
        <w:t>, pp. 166-182.</w:t>
      </w:r>
    </w:p>
  </w:footnote>
  <w:footnote w:id="26">
    <w:p w14:paraId="17919D8A"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Jansson, A., Hammer, M., </w:t>
      </w:r>
      <w:proofErr w:type="spellStart"/>
      <w:r w:rsidRPr="009F54B9">
        <w:rPr>
          <w:snapToGrid w:val="0"/>
          <w:kern w:val="18"/>
          <w:szCs w:val="18"/>
        </w:rPr>
        <w:t>Folke</w:t>
      </w:r>
      <w:proofErr w:type="spellEnd"/>
      <w:r w:rsidRPr="009F54B9">
        <w:rPr>
          <w:snapToGrid w:val="0"/>
          <w:kern w:val="18"/>
          <w:szCs w:val="18"/>
        </w:rPr>
        <w:t>, C., Costanza, R. (1994). Investing in natural capital: The ecological economics approach to sustainability. Washington, D.C.: Island Press.</w:t>
      </w:r>
    </w:p>
  </w:footnote>
  <w:footnote w:id="27">
    <w:p w14:paraId="48556849"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Millennium Ecosystem Assessment (MA) (2005). Ecosystems and human well-being: Current state and trends. Island Press, Washington, DC.</w:t>
      </w:r>
    </w:p>
  </w:footnote>
  <w:footnote w:id="28">
    <w:p w14:paraId="0F8E985B"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Natural Capital Coalition (2016). Natural Capital Protocol. (Online) Available at: </w:t>
      </w:r>
      <w:hyperlink r:id="rId15" w:history="1">
        <w:r w:rsidRPr="009F54B9">
          <w:rPr>
            <w:rStyle w:val="Hyperlink"/>
            <w:snapToGrid w:val="0"/>
            <w:kern w:val="18"/>
            <w:szCs w:val="18"/>
          </w:rPr>
          <w:t>www.naturalcapitalcoalition.org/protocol</w:t>
        </w:r>
      </w:hyperlink>
      <w:r w:rsidRPr="009F54B9">
        <w:rPr>
          <w:snapToGrid w:val="0"/>
          <w:kern w:val="18"/>
          <w:szCs w:val="18"/>
        </w:rPr>
        <w:t>, accessed November 9, 2017.</w:t>
      </w:r>
    </w:p>
  </w:footnote>
  <w:footnote w:id="29">
    <w:p w14:paraId="6C779ABF"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"Ecosystem" means a dynamic complex of plant, animal and micro-organism communities and their non-living environment interacting as a functional unit (Article 2 of the Convention on Biological Diversity).</w:t>
      </w:r>
    </w:p>
  </w:footnote>
  <w:footnote w:id="30">
    <w:p w14:paraId="43787A5D"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Biodiversity is defined as the variability among living organisms from all sources including, inter alia, terrestrial, marine and other aquatic ecosystems and the ecological complexes of which they are part; this includes diversity within species, between species and of ecosystems.” URL: </w:t>
      </w:r>
      <w:hyperlink r:id="rId16" w:history="1">
        <w:r w:rsidRPr="009F54B9">
          <w:rPr>
            <w:snapToGrid w:val="0"/>
            <w:kern w:val="18"/>
            <w:sz w:val="18"/>
            <w:szCs w:val="18"/>
          </w:rPr>
          <w:t>https://www.cbd.int/convention/articles/default.shtml?a=cbd-02</w:t>
        </w:r>
      </w:hyperlink>
      <w:r w:rsidRPr="009F54B9">
        <w:rPr>
          <w:snapToGrid w:val="0"/>
          <w:kern w:val="18"/>
          <w:sz w:val="18"/>
          <w:szCs w:val="18"/>
        </w:rPr>
        <w:t>, accessed on January 5, 2018.</w:t>
      </w:r>
    </w:p>
  </w:footnote>
  <w:footnote w:id="31">
    <w:p w14:paraId="7FFB07B1"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w:t>
      </w:r>
      <w:proofErr w:type="spellStart"/>
      <w:r w:rsidRPr="009F54B9">
        <w:rPr>
          <w:snapToGrid w:val="0"/>
          <w:kern w:val="18"/>
          <w:sz w:val="18"/>
          <w:szCs w:val="18"/>
        </w:rPr>
        <w:t>Potschin</w:t>
      </w:r>
      <w:proofErr w:type="spellEnd"/>
      <w:r w:rsidRPr="009F54B9">
        <w:rPr>
          <w:snapToGrid w:val="0"/>
          <w:kern w:val="18"/>
          <w:sz w:val="18"/>
          <w:szCs w:val="18"/>
        </w:rPr>
        <w:t xml:space="preserve">, M., Haines-Young, R. (2011). Ecosystem services: Exploring a geographical perspective. Progress in Physical Geography 35(5): 575-594. </w:t>
      </w:r>
    </w:p>
  </w:footnote>
  <w:footnote w:id="32">
    <w:p w14:paraId="5C62FD32"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Natural Capital Coalition (2016b). Natural Capital Protocol – Food and Beverage Sector Guide. (Online) Available at: </w:t>
      </w:r>
      <w:hyperlink r:id="rId17" w:history="1">
        <w:r w:rsidRPr="009F54B9">
          <w:rPr>
            <w:rStyle w:val="Hyperlink"/>
            <w:snapToGrid w:val="0"/>
            <w:kern w:val="18"/>
            <w:szCs w:val="18"/>
          </w:rPr>
          <w:t>www.naturalcapitalcoalition.org/protocol</w:t>
        </w:r>
      </w:hyperlink>
      <w:r w:rsidRPr="009F54B9">
        <w:rPr>
          <w:snapToGrid w:val="0"/>
          <w:kern w:val="18"/>
          <w:sz w:val="18"/>
          <w:szCs w:val="18"/>
        </w:rPr>
        <w:t>, accessed November 7, 2017.</w:t>
      </w:r>
    </w:p>
  </w:footnote>
  <w:footnote w:id="33">
    <w:p w14:paraId="5C985695"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Hanson, C., Ranganathan, J., Iceland, C., </w:t>
      </w:r>
      <w:proofErr w:type="spellStart"/>
      <w:r w:rsidRPr="009F54B9">
        <w:rPr>
          <w:snapToGrid w:val="0"/>
          <w:kern w:val="18"/>
          <w:sz w:val="18"/>
          <w:szCs w:val="18"/>
        </w:rPr>
        <w:t>Finisdore</w:t>
      </w:r>
      <w:proofErr w:type="spellEnd"/>
      <w:r w:rsidRPr="009F54B9">
        <w:rPr>
          <w:snapToGrid w:val="0"/>
          <w:kern w:val="18"/>
          <w:sz w:val="18"/>
          <w:szCs w:val="18"/>
        </w:rPr>
        <w:t xml:space="preserve">, J. (2012). The corporate ecosystem services review: Guidelines for identifying business risks and opportunities arising from ecosystem change. World Resources Institute, Washington, DC, Version 2.0 (of same authors and report name from 2008). </w:t>
      </w:r>
    </w:p>
  </w:footnote>
  <w:footnote w:id="34">
    <w:p w14:paraId="5B3E6FCA"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w:t>
      </w:r>
      <w:proofErr w:type="spellStart"/>
      <w:r w:rsidRPr="009F54B9">
        <w:rPr>
          <w:snapToGrid w:val="0"/>
          <w:kern w:val="18"/>
          <w:sz w:val="18"/>
          <w:szCs w:val="18"/>
        </w:rPr>
        <w:t>Houdet</w:t>
      </w:r>
      <w:proofErr w:type="spellEnd"/>
      <w:r w:rsidRPr="009F54B9">
        <w:rPr>
          <w:snapToGrid w:val="0"/>
          <w:kern w:val="18"/>
          <w:sz w:val="18"/>
          <w:szCs w:val="18"/>
        </w:rPr>
        <w:t xml:space="preserve">, J., </w:t>
      </w:r>
      <w:proofErr w:type="spellStart"/>
      <w:r w:rsidRPr="009F54B9">
        <w:rPr>
          <w:snapToGrid w:val="0"/>
          <w:kern w:val="18"/>
          <w:sz w:val="18"/>
          <w:szCs w:val="18"/>
        </w:rPr>
        <w:t>Trommetter</w:t>
      </w:r>
      <w:proofErr w:type="spellEnd"/>
      <w:r w:rsidRPr="009F54B9">
        <w:rPr>
          <w:snapToGrid w:val="0"/>
          <w:kern w:val="18"/>
          <w:sz w:val="18"/>
          <w:szCs w:val="18"/>
        </w:rPr>
        <w:t>, M., Weber, J. (2012). Understanding changes in business strategies regarding biodiversity and ecosystem services. Ecological Economics 73: 37-46.</w:t>
      </w:r>
    </w:p>
  </w:footnote>
  <w:footnote w:id="35">
    <w:p w14:paraId="0553742D"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TEEB (2012). The Economics of Ecosystems and Biodiversity in Business and Enterprise. Edited by Joshua Bishop. Earthscan, London and New York.</w:t>
      </w:r>
    </w:p>
  </w:footnote>
  <w:footnote w:id="36">
    <w:p w14:paraId="6D9C8304"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Natural Capital Coalition (2016). Natural Capital Protocol. (Online) Available at: </w:t>
      </w:r>
      <w:hyperlink r:id="rId18" w:history="1">
        <w:r w:rsidRPr="009F54B9">
          <w:rPr>
            <w:rStyle w:val="Hyperlink"/>
            <w:snapToGrid w:val="0"/>
            <w:kern w:val="18"/>
            <w:szCs w:val="18"/>
          </w:rPr>
          <w:t>www.naturalcapitalcoalition.org/protocol</w:t>
        </w:r>
      </w:hyperlink>
      <w:r w:rsidRPr="009F54B9">
        <w:rPr>
          <w:snapToGrid w:val="0"/>
          <w:kern w:val="18"/>
          <w:szCs w:val="18"/>
        </w:rPr>
        <w:t>, accessed November 9, 2017.</w:t>
      </w:r>
    </w:p>
  </w:footnote>
  <w:footnote w:id="37">
    <w:p w14:paraId="285B11C9"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Natural Capital Coalition (2016). Natural Capital Protocol. (Online) Available at: </w:t>
      </w:r>
      <w:hyperlink r:id="rId19" w:history="1">
        <w:r w:rsidRPr="009F54B9">
          <w:rPr>
            <w:rStyle w:val="Hyperlink"/>
            <w:snapToGrid w:val="0"/>
            <w:kern w:val="18"/>
            <w:szCs w:val="18"/>
          </w:rPr>
          <w:t>www.naturalcapitalcoalition.org/protocol</w:t>
        </w:r>
      </w:hyperlink>
      <w:r w:rsidRPr="009F54B9">
        <w:rPr>
          <w:snapToGrid w:val="0"/>
          <w:kern w:val="18"/>
          <w:szCs w:val="18"/>
        </w:rPr>
        <w:t>, accessed November 9, 2017.</w:t>
      </w:r>
    </w:p>
  </w:footnote>
  <w:footnote w:id="38">
    <w:p w14:paraId="48C6240F"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UNEP (2011). Manufacturing: Investing in energy and resource efficiency.</w:t>
      </w:r>
    </w:p>
  </w:footnote>
  <w:footnote w:id="39">
    <w:p w14:paraId="74623DB2"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Ibid 21.</w:t>
      </w:r>
    </w:p>
  </w:footnote>
  <w:footnote w:id="40">
    <w:p w14:paraId="77E5C53B"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World Business Council on Sustainable Development (WBCSD), 2011. Guide to corporate ecosystem valuation. A framework for improving corporate decision-making, 76</w:t>
      </w:r>
      <w:r w:rsidR="00203E8E" w:rsidRPr="009F54B9">
        <w:rPr>
          <w:snapToGrid w:val="0"/>
          <w:kern w:val="18"/>
          <w:szCs w:val="18"/>
        </w:rPr>
        <w:t> </w:t>
      </w:r>
      <w:r w:rsidRPr="009F54B9">
        <w:rPr>
          <w:snapToGrid w:val="0"/>
          <w:kern w:val="18"/>
          <w:szCs w:val="18"/>
        </w:rPr>
        <w:t>p</w:t>
      </w:r>
      <w:r w:rsidR="00203E8E" w:rsidRPr="009F54B9">
        <w:rPr>
          <w:snapToGrid w:val="0"/>
          <w:kern w:val="18"/>
          <w:szCs w:val="18"/>
        </w:rPr>
        <w:t>p</w:t>
      </w:r>
      <w:r w:rsidRPr="009F54B9">
        <w:rPr>
          <w:snapToGrid w:val="0"/>
          <w:kern w:val="18"/>
          <w:szCs w:val="18"/>
        </w:rPr>
        <w:t>.</w:t>
      </w:r>
    </w:p>
    <w:p w14:paraId="44CC541B"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p>
  </w:footnote>
  <w:footnote w:id="41">
    <w:p w14:paraId="6DC36A65"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Chartered Global Management Accountant (2014). Rethinking the value chain. Accounting for natural capital in the value chain. CGMA briefing, 16p.</w:t>
      </w:r>
    </w:p>
  </w:footnote>
  <w:footnote w:id="42">
    <w:p w14:paraId="7CD595AE"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Millennium Ecosystem Assessment (MA) (2005). Ecosystems and human well-being: Current state and trends. Island Press, Washington, DC.</w:t>
      </w:r>
    </w:p>
  </w:footnote>
  <w:footnote w:id="43">
    <w:p w14:paraId="28DC311E"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World Business Council for Sustainable Development (WBCSD) (2011). Guide to corporate ecosystem valuation. World Business Council for Sustainable Development, International Union for the Conservation of Nature, ERM and PwC. Available online at: http://www.wbcsd.org/pages/edocument/edocumentdetails.aspx?id=104&amp;nosearchcontextkey=true. Accessed </w:t>
      </w:r>
      <w:proofErr w:type="gramStart"/>
      <w:r w:rsidRPr="009F54B9">
        <w:rPr>
          <w:snapToGrid w:val="0"/>
          <w:kern w:val="18"/>
          <w:sz w:val="18"/>
          <w:szCs w:val="18"/>
        </w:rPr>
        <w:t>December,</w:t>
      </w:r>
      <w:proofErr w:type="gramEnd"/>
      <w:r w:rsidRPr="009F54B9">
        <w:rPr>
          <w:snapToGrid w:val="0"/>
          <w:kern w:val="18"/>
          <w:sz w:val="18"/>
          <w:szCs w:val="18"/>
        </w:rPr>
        <w:t xml:space="preserve"> 2015.</w:t>
      </w:r>
    </w:p>
  </w:footnote>
  <w:footnote w:id="44">
    <w:p w14:paraId="22551DF2"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w:t>
      </w:r>
      <w:proofErr w:type="spellStart"/>
      <w:r w:rsidRPr="009F54B9">
        <w:rPr>
          <w:snapToGrid w:val="0"/>
          <w:kern w:val="18"/>
          <w:sz w:val="18"/>
          <w:szCs w:val="18"/>
        </w:rPr>
        <w:t>Liquete</w:t>
      </w:r>
      <w:proofErr w:type="spellEnd"/>
      <w:r w:rsidRPr="009F54B9">
        <w:rPr>
          <w:snapToGrid w:val="0"/>
          <w:kern w:val="18"/>
          <w:sz w:val="18"/>
          <w:szCs w:val="18"/>
        </w:rPr>
        <w:t xml:space="preserve">, C., </w:t>
      </w:r>
      <w:proofErr w:type="spellStart"/>
      <w:r w:rsidRPr="009F54B9">
        <w:rPr>
          <w:snapToGrid w:val="0"/>
          <w:kern w:val="18"/>
          <w:sz w:val="18"/>
          <w:szCs w:val="18"/>
        </w:rPr>
        <w:t>Piroddi</w:t>
      </w:r>
      <w:proofErr w:type="spellEnd"/>
      <w:r w:rsidRPr="009F54B9">
        <w:rPr>
          <w:snapToGrid w:val="0"/>
          <w:kern w:val="18"/>
          <w:sz w:val="18"/>
          <w:szCs w:val="18"/>
        </w:rPr>
        <w:t xml:space="preserve">, C., </w:t>
      </w:r>
      <w:proofErr w:type="spellStart"/>
      <w:r w:rsidRPr="009F54B9">
        <w:rPr>
          <w:snapToGrid w:val="0"/>
          <w:kern w:val="18"/>
          <w:sz w:val="18"/>
          <w:szCs w:val="18"/>
        </w:rPr>
        <w:t>Drakou</w:t>
      </w:r>
      <w:proofErr w:type="spellEnd"/>
      <w:r w:rsidRPr="009F54B9">
        <w:rPr>
          <w:snapToGrid w:val="0"/>
          <w:kern w:val="18"/>
          <w:sz w:val="18"/>
          <w:szCs w:val="18"/>
        </w:rPr>
        <w:t xml:space="preserve">, E.G., Gurney, L., </w:t>
      </w:r>
      <w:proofErr w:type="spellStart"/>
      <w:r w:rsidRPr="009F54B9">
        <w:rPr>
          <w:snapToGrid w:val="0"/>
          <w:kern w:val="18"/>
          <w:sz w:val="18"/>
          <w:szCs w:val="18"/>
        </w:rPr>
        <w:t>Katsanevakis</w:t>
      </w:r>
      <w:proofErr w:type="spellEnd"/>
      <w:r w:rsidRPr="009F54B9">
        <w:rPr>
          <w:snapToGrid w:val="0"/>
          <w:kern w:val="18"/>
          <w:sz w:val="18"/>
          <w:szCs w:val="18"/>
        </w:rPr>
        <w:t xml:space="preserve">, S., et al. (2013). Current status and future prospects for the assessment of marine and coastal ecosystem services: A systematic review. </w:t>
      </w:r>
      <w:proofErr w:type="spellStart"/>
      <w:r w:rsidRPr="009F54B9">
        <w:rPr>
          <w:snapToGrid w:val="0"/>
          <w:kern w:val="18"/>
          <w:sz w:val="18"/>
          <w:szCs w:val="18"/>
        </w:rPr>
        <w:t>PLoS</w:t>
      </w:r>
      <w:proofErr w:type="spellEnd"/>
      <w:r w:rsidRPr="009F54B9">
        <w:rPr>
          <w:snapToGrid w:val="0"/>
          <w:kern w:val="18"/>
          <w:sz w:val="18"/>
          <w:szCs w:val="18"/>
        </w:rPr>
        <w:t xml:space="preserve"> ONE 8(7): e67737. doi:10.1371/journal.pone.0067737</w:t>
      </w:r>
    </w:p>
  </w:footnote>
  <w:footnote w:id="45">
    <w:p w14:paraId="366AA2C8"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snapToGrid w:val="0"/>
          <w:kern w:val="18"/>
          <w:sz w:val="18"/>
          <w:szCs w:val="18"/>
          <w:vertAlign w:val="superscript"/>
        </w:rPr>
        <w:footnoteRef/>
      </w:r>
      <w:r w:rsidRPr="009F54B9">
        <w:rPr>
          <w:snapToGrid w:val="0"/>
          <w:kern w:val="18"/>
          <w:sz w:val="18"/>
          <w:szCs w:val="18"/>
        </w:rPr>
        <w:t xml:space="preserve"> Most of these efforts discarded the MA “supporting services” category (i.e. no direct link to beneficiaries or users to be classified as an ecosystem service) and have excluded abiotic services from their classification. </w:t>
      </w:r>
    </w:p>
  </w:footnote>
  <w:footnote w:id="46">
    <w:p w14:paraId="33F3B2A4"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TEEB (2012). The Economics of Ecosystems and Biodiversity in Business and Enterprise. Edited by Joshua Bishop. Earthscan, London and New York.</w:t>
      </w:r>
    </w:p>
  </w:footnote>
  <w:footnote w:id="47">
    <w:p w14:paraId="27190B35"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Haines-Young, R., </w:t>
      </w:r>
      <w:proofErr w:type="spellStart"/>
      <w:r w:rsidRPr="009F54B9">
        <w:rPr>
          <w:snapToGrid w:val="0"/>
          <w:kern w:val="18"/>
          <w:sz w:val="18"/>
          <w:szCs w:val="18"/>
        </w:rPr>
        <w:t>Potschin</w:t>
      </w:r>
      <w:proofErr w:type="spellEnd"/>
      <w:r w:rsidRPr="009F54B9">
        <w:rPr>
          <w:snapToGrid w:val="0"/>
          <w:kern w:val="18"/>
          <w:sz w:val="18"/>
          <w:szCs w:val="18"/>
        </w:rPr>
        <w:t xml:space="preserve">, M. (2013). Common International Classification of Ecosystem Services (CICES). Report to the European Environment Agency EEA/BSS/07/007 </w:t>
      </w:r>
    </w:p>
  </w:footnote>
  <w:footnote w:id="48">
    <w:p w14:paraId="06CFAAA0"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Boyd, J., Banzhaf, S. (2007). What are ecosystem services? The need for standardized environmental accounting units. Ecological Economics 63(2): 616-626.</w:t>
      </w:r>
    </w:p>
  </w:footnote>
  <w:footnote w:id="49">
    <w:p w14:paraId="67D182B5"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By doing so, one moves away from the general “ecosystem to human well-being” approach of the Millennium Ecosystem Assessment (2005) which implies that there is an environmental-human continuum and generates risks of double-counting in valuation, accounting and decision-making processes. As put by Landers and </w:t>
      </w:r>
      <w:proofErr w:type="spellStart"/>
      <w:r w:rsidRPr="009F54B9">
        <w:rPr>
          <w:snapToGrid w:val="0"/>
          <w:kern w:val="18"/>
          <w:sz w:val="18"/>
          <w:szCs w:val="18"/>
        </w:rPr>
        <w:t>Nahlik</w:t>
      </w:r>
      <w:proofErr w:type="spellEnd"/>
      <w:r w:rsidRPr="009F54B9">
        <w:rPr>
          <w:snapToGrid w:val="0"/>
          <w:kern w:val="18"/>
          <w:sz w:val="18"/>
          <w:szCs w:val="18"/>
        </w:rPr>
        <w:t xml:space="preserve"> (2013: 4), “unless both environmental and economic (i.e., labo</w:t>
      </w:r>
      <w:r w:rsidR="001E0CDA" w:rsidRPr="009F54B9">
        <w:rPr>
          <w:snapToGrid w:val="0"/>
          <w:kern w:val="18"/>
          <w:sz w:val="18"/>
          <w:szCs w:val="18"/>
        </w:rPr>
        <w:t>u</w:t>
      </w:r>
      <w:r w:rsidRPr="009F54B9">
        <w:rPr>
          <w:snapToGrid w:val="0"/>
          <w:kern w:val="18"/>
          <w:sz w:val="18"/>
          <w:szCs w:val="18"/>
        </w:rPr>
        <w:t>r, and capital goods) inputs are well-specified in the general production function, it is difficult (or impossible) to explicitly separate the goods and services provided by (or predominantly by) the environment from the investment humans make to realize the total economic value of those goods and services. For example, agricultural commodities (e.g., corn, cotton, etc.) have both an important ecological component and an important economic component that results in the overall production and availability of these goods.”</w:t>
      </w:r>
    </w:p>
  </w:footnote>
  <w:footnote w:id="50">
    <w:p w14:paraId="6B9037A3"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w:t>
      </w:r>
      <w:r w:rsidRPr="009F54B9">
        <w:rPr>
          <w:rFonts w:eastAsia="Times"/>
          <w:snapToGrid w:val="0"/>
          <w:kern w:val="18"/>
          <w:sz w:val="18"/>
          <w:szCs w:val="18"/>
        </w:rPr>
        <w:t xml:space="preserve">Landers, D.H., </w:t>
      </w:r>
      <w:proofErr w:type="spellStart"/>
      <w:r w:rsidRPr="009F54B9">
        <w:rPr>
          <w:rFonts w:eastAsia="Times"/>
          <w:snapToGrid w:val="0"/>
          <w:kern w:val="18"/>
          <w:sz w:val="18"/>
          <w:szCs w:val="18"/>
        </w:rPr>
        <w:t>Nahlik</w:t>
      </w:r>
      <w:proofErr w:type="spellEnd"/>
      <w:r w:rsidRPr="009F54B9">
        <w:rPr>
          <w:rFonts w:eastAsia="Times"/>
          <w:snapToGrid w:val="0"/>
          <w:kern w:val="18"/>
          <w:sz w:val="18"/>
          <w:szCs w:val="18"/>
        </w:rPr>
        <w:t>, A.M. (2013). Final Ecosystem Goods and Services Classification System (FEGS-CS). EPA/600/R-13/ORD-004914. US Environmental Protection Agency, Office of Research and Development: Washington, DC.</w:t>
      </w:r>
    </w:p>
  </w:footnote>
  <w:footnote w:id="51">
    <w:p w14:paraId="16B358E9"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Boyd, J., Banzhaf, S. (2007). What are ecosystem services? The need for standardized environmental accounting units. Ecological Economics 63(2): 616-626.</w:t>
      </w:r>
    </w:p>
  </w:footnote>
  <w:footnote w:id="52">
    <w:p w14:paraId="79669D4F"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Landers, D., </w:t>
      </w:r>
      <w:proofErr w:type="spellStart"/>
      <w:r w:rsidRPr="009F54B9">
        <w:rPr>
          <w:snapToGrid w:val="0"/>
          <w:kern w:val="18"/>
          <w:szCs w:val="18"/>
        </w:rPr>
        <w:t>Nahlik</w:t>
      </w:r>
      <w:proofErr w:type="spellEnd"/>
      <w:r w:rsidRPr="009F54B9">
        <w:rPr>
          <w:snapToGrid w:val="0"/>
          <w:kern w:val="18"/>
          <w:szCs w:val="18"/>
        </w:rPr>
        <w:t xml:space="preserve">, A., Johnson, M. (2016). Are carrots, corn and cattle really provided by Nature- If not, how can we appropriately identify the goods and services derived from agroecosystems? ACES 2016, Jacksonville, FL, December 05 - 09, 2016. </w:t>
      </w:r>
    </w:p>
  </w:footnote>
  <w:footnote w:id="53">
    <w:p w14:paraId="70ADE884"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Landers, D.H., </w:t>
      </w:r>
      <w:proofErr w:type="spellStart"/>
      <w:r w:rsidRPr="009F54B9">
        <w:rPr>
          <w:snapToGrid w:val="0"/>
          <w:kern w:val="18"/>
          <w:szCs w:val="18"/>
        </w:rPr>
        <w:t>Nahlik</w:t>
      </w:r>
      <w:proofErr w:type="spellEnd"/>
      <w:r w:rsidRPr="009F54B9">
        <w:rPr>
          <w:snapToGrid w:val="0"/>
          <w:kern w:val="18"/>
          <w:szCs w:val="18"/>
        </w:rPr>
        <w:t>, A.M. (2013). Final Ecosystem Goods and Services Classification System (FEGS-CS). EPA/600/R-13/ORD-004914. US Environmental Protection Agency, Office of Research and Development: Washington, DC.</w:t>
      </w:r>
    </w:p>
  </w:footnote>
  <w:footnote w:id="54">
    <w:p w14:paraId="5ABE03DE"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snapToGrid w:val="0"/>
          <w:kern w:val="18"/>
          <w:szCs w:val="18"/>
          <w:vertAlign w:val="superscript"/>
        </w:rPr>
        <w:footnoteRef/>
      </w:r>
      <w:r w:rsidRPr="009F54B9">
        <w:rPr>
          <w:snapToGrid w:val="0"/>
          <w:kern w:val="18"/>
          <w:szCs w:val="18"/>
        </w:rPr>
        <w:t xml:space="preserve"> Landers, D., </w:t>
      </w:r>
      <w:proofErr w:type="spellStart"/>
      <w:r w:rsidRPr="009F54B9">
        <w:rPr>
          <w:snapToGrid w:val="0"/>
          <w:kern w:val="18"/>
          <w:szCs w:val="18"/>
        </w:rPr>
        <w:t>Nahlik</w:t>
      </w:r>
      <w:proofErr w:type="spellEnd"/>
      <w:r w:rsidRPr="009F54B9">
        <w:rPr>
          <w:snapToGrid w:val="0"/>
          <w:kern w:val="18"/>
          <w:szCs w:val="18"/>
        </w:rPr>
        <w:t>, A., Johnson, M. (2016). Are carrots, corn and cattle really provided by Nature- If not, how can we appropriately identify the goods and services derived from agroecosystems? ACES 2016, Jacksonville, FL, December 05 - 09, 2016.</w:t>
      </w:r>
    </w:p>
  </w:footnote>
  <w:footnote w:id="55">
    <w:p w14:paraId="46A7357D"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A series of briefs and factsheets on these sectors have been prepared by the Secretariat in the Series “Bioscience at a Crossroads”; URL: </w:t>
      </w:r>
      <w:hyperlink r:id="rId20" w:history="1">
        <w:r w:rsidRPr="009F54B9">
          <w:rPr>
            <w:snapToGrid w:val="0"/>
            <w:kern w:val="18"/>
            <w:szCs w:val="18"/>
          </w:rPr>
          <w:t>https://www.cbd.int/abs/resources/factsheets.shtml</w:t>
        </w:r>
      </w:hyperlink>
      <w:r w:rsidRPr="009F54B9">
        <w:rPr>
          <w:snapToGrid w:val="0"/>
          <w:kern w:val="18"/>
          <w:szCs w:val="18"/>
        </w:rPr>
        <w:t>; accessed on November 9, 2017.</w:t>
      </w:r>
    </w:p>
  </w:footnote>
  <w:footnote w:id="56">
    <w:p w14:paraId="17BBCE16" w14:textId="77777777" w:rsidR="008E44C6" w:rsidRPr="009F54B9" w:rsidRDefault="008E44C6" w:rsidP="009F54B9">
      <w:pPr>
        <w:pStyle w:val="Para10"/>
        <w:numPr>
          <w:ilvl w:val="0"/>
          <w:numId w:val="0"/>
        </w:numPr>
        <w:suppressLineNumbers/>
        <w:suppressAutoHyphens/>
        <w:kinsoku w:val="0"/>
        <w:overflowPunct w:val="0"/>
        <w:autoSpaceDE w:val="0"/>
        <w:autoSpaceDN w:val="0"/>
        <w:adjustRightInd w:val="0"/>
        <w:snapToGrid w:val="0"/>
        <w:spacing w:before="0" w:after="60"/>
        <w:jc w:val="left"/>
        <w:rPr>
          <w:kern w:val="18"/>
          <w:sz w:val="18"/>
        </w:rPr>
      </w:pPr>
      <w:r w:rsidRPr="009F54B9">
        <w:rPr>
          <w:rStyle w:val="FootnoteReference"/>
          <w:kern w:val="18"/>
          <w:sz w:val="18"/>
        </w:rPr>
        <w:footnoteRef/>
      </w:r>
      <w:r w:rsidRPr="009F54B9">
        <w:rPr>
          <w:kern w:val="18"/>
          <w:sz w:val="18"/>
        </w:rPr>
        <w:t xml:space="preserve"> </w:t>
      </w:r>
      <w:r w:rsidRPr="009F54B9">
        <w:rPr>
          <w:color w:val="00000A"/>
          <w:kern w:val="18"/>
          <w:sz w:val="18"/>
          <w:lang w:eastAsia="en-ZA"/>
        </w:rPr>
        <w:t>“</w:t>
      </w:r>
      <w:proofErr w:type="spellStart"/>
      <w:r w:rsidRPr="009F54B9">
        <w:rPr>
          <w:color w:val="00000A"/>
          <w:kern w:val="18"/>
          <w:sz w:val="18"/>
          <w:lang w:eastAsia="en-ZA"/>
        </w:rPr>
        <w:t>BioTrade</w:t>
      </w:r>
      <w:proofErr w:type="spellEnd"/>
      <w:r w:rsidRPr="009F54B9">
        <w:rPr>
          <w:color w:val="00000A"/>
          <w:kern w:val="18"/>
          <w:sz w:val="18"/>
          <w:lang w:eastAsia="en-ZA"/>
        </w:rPr>
        <w:t>” refers to those activities of collection, production, transformation, and commercialization of goods and services derived from native biodiversity under the criteria of environmental, social and economic sustainability. The revenue in 2012 for bio-trade companies was US$ 5.2 million. However, the market potential is estimated by UNCTAD at US$ 141 billion.</w:t>
      </w:r>
    </w:p>
  </w:footnote>
  <w:footnote w:id="57">
    <w:p w14:paraId="1ADDD505"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w:t>
      </w:r>
      <w:hyperlink r:id="rId21" w:history="1">
        <w:r w:rsidRPr="009F54B9">
          <w:rPr>
            <w:snapToGrid w:val="0"/>
            <w:kern w:val="18"/>
            <w:szCs w:val="18"/>
          </w:rPr>
          <w:t>http://ec.europa.eu/eurostat/statistics-explained/index.php/File:Water_use_in_the_manufacturing_industry_by_activity,_2011_(m%C2%B3_per_inhabitant).png</w:t>
        </w:r>
      </w:hyperlink>
      <w:r w:rsidRPr="009F54B9">
        <w:rPr>
          <w:snapToGrid w:val="0"/>
          <w:kern w:val="18"/>
          <w:szCs w:val="18"/>
        </w:rPr>
        <w:t xml:space="preserve">, accessed on January 10, 2018. </w:t>
      </w:r>
    </w:p>
  </w:footnote>
  <w:footnote w:id="58">
    <w:p w14:paraId="4B41EF0B"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r w:rsidRPr="009F54B9">
        <w:rPr>
          <w:snapToGrid w:val="0"/>
          <w:color w:val="000000" w:themeColor="text1"/>
          <w:kern w:val="18"/>
          <w:szCs w:val="18"/>
          <w:shd w:val="clear" w:color="auto" w:fill="FFFFFF"/>
        </w:rPr>
        <w:t xml:space="preserve">DiMuro, J.L., Guertin, F.M., </w:t>
      </w:r>
      <w:proofErr w:type="spellStart"/>
      <w:r w:rsidRPr="009F54B9">
        <w:rPr>
          <w:snapToGrid w:val="0"/>
          <w:color w:val="000000" w:themeColor="text1"/>
          <w:kern w:val="18"/>
          <w:szCs w:val="18"/>
          <w:shd w:val="clear" w:color="auto" w:fill="FFFFFF"/>
        </w:rPr>
        <w:t>Helling</w:t>
      </w:r>
      <w:proofErr w:type="spellEnd"/>
      <w:r w:rsidRPr="009F54B9">
        <w:rPr>
          <w:snapToGrid w:val="0"/>
          <w:color w:val="000000" w:themeColor="text1"/>
          <w:kern w:val="18"/>
          <w:szCs w:val="18"/>
          <w:shd w:val="clear" w:color="auto" w:fill="FFFFFF"/>
        </w:rPr>
        <w:t>, R.K., Perkins, J.L., Romer, S. (2014), A financial and environmental analysis of constructed wetlands for industrial wastewater treatment. Journal of Industrial Ecology 18, 631–640. doi:10.1111/jiec.12129</w:t>
      </w:r>
    </w:p>
  </w:footnote>
  <w:footnote w:id="59">
    <w:p w14:paraId="3B7C44C0"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Natural Capital Coalition (2016). Natural Capital Protocol. (Online) Available at: </w:t>
      </w:r>
      <w:hyperlink r:id="rId22" w:history="1">
        <w:r w:rsidRPr="009F54B9">
          <w:rPr>
            <w:rStyle w:val="Hyperlink"/>
            <w:snapToGrid w:val="0"/>
            <w:kern w:val="18"/>
            <w:szCs w:val="18"/>
          </w:rPr>
          <w:t>www.naturalcapitalcoalition.org/protocol</w:t>
        </w:r>
      </w:hyperlink>
      <w:r w:rsidRPr="009F54B9">
        <w:rPr>
          <w:snapToGrid w:val="0"/>
          <w:kern w:val="18"/>
          <w:szCs w:val="18"/>
        </w:rPr>
        <w:t>, accessed November 9, 2017.</w:t>
      </w:r>
    </w:p>
  </w:footnote>
  <w:footnote w:id="60">
    <w:p w14:paraId="296645BB"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Natural Capital Coalition (2016). Natural Capital Protocol. (Online) Available at: </w:t>
      </w:r>
      <w:hyperlink r:id="rId23" w:history="1">
        <w:r w:rsidRPr="009F54B9">
          <w:rPr>
            <w:rStyle w:val="Hyperlink"/>
            <w:snapToGrid w:val="0"/>
            <w:kern w:val="18"/>
            <w:szCs w:val="18"/>
          </w:rPr>
          <w:t>www.naturalcapitalcoalition.org/protocol</w:t>
        </w:r>
      </w:hyperlink>
      <w:r w:rsidRPr="009F54B9">
        <w:rPr>
          <w:snapToGrid w:val="0"/>
          <w:kern w:val="18"/>
          <w:szCs w:val="18"/>
        </w:rPr>
        <w:t>, accessed November 9, 2017.</w:t>
      </w:r>
    </w:p>
  </w:footnote>
  <w:footnote w:id="61">
    <w:p w14:paraId="538DD174"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AMEC Environment &amp; Infrastructure </w:t>
      </w:r>
      <w:r w:rsidR="002733F6" w:rsidRPr="006265E8">
        <w:rPr>
          <w:snapToGrid w:val="0"/>
          <w:kern w:val="18"/>
          <w:szCs w:val="18"/>
        </w:rPr>
        <w:t>United Kingdom</w:t>
      </w:r>
      <w:r w:rsidRPr="009F54B9">
        <w:rPr>
          <w:snapToGrid w:val="0"/>
          <w:kern w:val="18"/>
          <w:szCs w:val="18"/>
        </w:rPr>
        <w:t xml:space="preserve"> Limited (2014). Contribution of industry to pollutant emissions to air and water. In partnership with Bio Intelligence Service, Milieu, IEEP and REC. European Commission (DG Environment), 293p.</w:t>
      </w:r>
    </w:p>
  </w:footnote>
  <w:footnote w:id="62">
    <w:p w14:paraId="02A923AA"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w:t>
      </w:r>
      <w:hyperlink r:id="rId24" w:history="1">
        <w:r w:rsidRPr="009F54B9">
          <w:rPr>
            <w:rStyle w:val="Hyperlink"/>
            <w:snapToGrid w:val="0"/>
            <w:kern w:val="18"/>
            <w:szCs w:val="18"/>
          </w:rPr>
          <w:t>http://ec.europa.eu/eurostat/statistics-explained/index.php/File:Water_use_in_the_manufacturing_industry_by_activity,_2011_(m%C2%B3_per_inhabitant).png</w:t>
        </w:r>
      </w:hyperlink>
      <w:r w:rsidRPr="009F54B9">
        <w:rPr>
          <w:snapToGrid w:val="0"/>
          <w:kern w:val="18"/>
          <w:szCs w:val="18"/>
        </w:rPr>
        <w:t>, accessed on January 5, 2018.</w:t>
      </w:r>
    </w:p>
  </w:footnote>
  <w:footnote w:id="63">
    <w:p w14:paraId="2DC9E00A"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r w:rsidRPr="009F54B9">
        <w:rPr>
          <w:snapToGrid w:val="0"/>
          <w:color w:val="000000"/>
          <w:kern w:val="18"/>
          <w:szCs w:val="18"/>
        </w:rPr>
        <w:t>E</w:t>
      </w:r>
      <w:r w:rsidRPr="009F54B9">
        <w:rPr>
          <w:snapToGrid w:val="0"/>
          <w:kern w:val="18"/>
          <w:szCs w:val="18"/>
        </w:rPr>
        <w:t>uropean Environment Agency (2014). Costs of air pollution from European industrial facilities 2008–2012 — an updated assessment. EEA Technical Report, No 20/2014, 76p.</w:t>
      </w:r>
    </w:p>
  </w:footnote>
  <w:footnote w:id="64">
    <w:p w14:paraId="34A4AAB7"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r w:rsidRPr="009F54B9">
        <w:rPr>
          <w:snapToGrid w:val="0"/>
          <w:color w:val="000000"/>
          <w:kern w:val="18"/>
          <w:szCs w:val="18"/>
        </w:rPr>
        <w:t>E</w:t>
      </w:r>
      <w:r w:rsidRPr="009F54B9">
        <w:rPr>
          <w:snapToGrid w:val="0"/>
          <w:kern w:val="18"/>
          <w:szCs w:val="18"/>
        </w:rPr>
        <w:t>uropean Environment Agency (2014). Costs of air pollution from European industrial facilities 2008–2012 — an updated assessment. EEA Technical Report, No 20/2014, 76p.</w:t>
      </w:r>
    </w:p>
  </w:footnote>
  <w:footnote w:id="65">
    <w:p w14:paraId="2C35F91C"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r w:rsidRPr="009F54B9">
        <w:rPr>
          <w:snapToGrid w:val="0"/>
          <w:color w:val="000000"/>
          <w:kern w:val="18"/>
          <w:szCs w:val="18"/>
        </w:rPr>
        <w:t>E</w:t>
      </w:r>
      <w:r w:rsidRPr="009F54B9">
        <w:rPr>
          <w:snapToGrid w:val="0"/>
          <w:kern w:val="18"/>
          <w:szCs w:val="18"/>
        </w:rPr>
        <w:t>uropean Environment Agency (2014). Costs of air pollution from European industrial facilities 2008–2012 — an updated assessment. EEA Technical Report, No 20/2014, 76p.</w:t>
      </w:r>
    </w:p>
  </w:footnote>
  <w:footnote w:id="66">
    <w:p w14:paraId="2DA27DB7"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proofErr w:type="spellStart"/>
      <w:r w:rsidRPr="009F54B9">
        <w:rPr>
          <w:snapToGrid w:val="0"/>
          <w:kern w:val="18"/>
          <w:szCs w:val="18"/>
        </w:rPr>
        <w:t>Bellard</w:t>
      </w:r>
      <w:proofErr w:type="spellEnd"/>
      <w:r w:rsidRPr="009F54B9">
        <w:rPr>
          <w:snapToGrid w:val="0"/>
          <w:kern w:val="18"/>
          <w:szCs w:val="18"/>
        </w:rPr>
        <w:t xml:space="preserve">, C., </w:t>
      </w:r>
      <w:proofErr w:type="spellStart"/>
      <w:r w:rsidRPr="009F54B9">
        <w:rPr>
          <w:snapToGrid w:val="0"/>
          <w:kern w:val="18"/>
          <w:szCs w:val="18"/>
        </w:rPr>
        <w:t>Bertelsmeier</w:t>
      </w:r>
      <w:proofErr w:type="spellEnd"/>
      <w:r w:rsidRPr="009F54B9">
        <w:rPr>
          <w:snapToGrid w:val="0"/>
          <w:kern w:val="18"/>
          <w:szCs w:val="18"/>
        </w:rPr>
        <w:t xml:space="preserve">, C., </w:t>
      </w:r>
      <w:proofErr w:type="spellStart"/>
      <w:r w:rsidRPr="009F54B9">
        <w:rPr>
          <w:snapToGrid w:val="0"/>
          <w:kern w:val="18"/>
          <w:szCs w:val="18"/>
        </w:rPr>
        <w:t>Leadley</w:t>
      </w:r>
      <w:proofErr w:type="spellEnd"/>
      <w:r w:rsidRPr="009F54B9">
        <w:rPr>
          <w:snapToGrid w:val="0"/>
          <w:kern w:val="18"/>
          <w:szCs w:val="18"/>
        </w:rPr>
        <w:t xml:space="preserve">, P., </w:t>
      </w:r>
      <w:proofErr w:type="spellStart"/>
      <w:r w:rsidRPr="009F54B9">
        <w:rPr>
          <w:snapToGrid w:val="0"/>
          <w:kern w:val="18"/>
          <w:szCs w:val="18"/>
        </w:rPr>
        <w:t>Thuiller</w:t>
      </w:r>
      <w:proofErr w:type="spellEnd"/>
      <w:r w:rsidRPr="009F54B9">
        <w:rPr>
          <w:snapToGrid w:val="0"/>
          <w:kern w:val="18"/>
          <w:szCs w:val="18"/>
        </w:rPr>
        <w:t xml:space="preserve">, W., &amp; </w:t>
      </w:r>
      <w:proofErr w:type="spellStart"/>
      <w:r w:rsidRPr="009F54B9">
        <w:rPr>
          <w:snapToGrid w:val="0"/>
          <w:kern w:val="18"/>
          <w:szCs w:val="18"/>
        </w:rPr>
        <w:t>Courchamp</w:t>
      </w:r>
      <w:proofErr w:type="spellEnd"/>
      <w:r w:rsidRPr="009F54B9">
        <w:rPr>
          <w:snapToGrid w:val="0"/>
          <w:kern w:val="18"/>
          <w:szCs w:val="18"/>
        </w:rPr>
        <w:t>, F. (2012). Impacts of climate change on the future of biodiversity. Ecology Letters, 15(4), 365–377. http://doi.org/10.1111/j.1461-0248.2011.01736.x</w:t>
      </w:r>
    </w:p>
  </w:footnote>
  <w:footnote w:id="67">
    <w:p w14:paraId="4DBDA774"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Xu, M., Wang, Z., </w:t>
      </w:r>
      <w:proofErr w:type="spellStart"/>
      <w:r w:rsidRPr="009F54B9">
        <w:rPr>
          <w:snapToGrid w:val="0"/>
          <w:kern w:val="18"/>
          <w:szCs w:val="18"/>
        </w:rPr>
        <w:t>Duan</w:t>
      </w:r>
      <w:proofErr w:type="spellEnd"/>
      <w:r w:rsidRPr="009F54B9">
        <w:rPr>
          <w:snapToGrid w:val="0"/>
          <w:kern w:val="18"/>
          <w:szCs w:val="18"/>
        </w:rPr>
        <w:t xml:space="preserve">, X., Pan, B. (2014). Effects of pollution on aquatic ecology and water quality bio-assessment. </w:t>
      </w:r>
      <w:proofErr w:type="spellStart"/>
      <w:r w:rsidRPr="009F54B9">
        <w:rPr>
          <w:snapToGrid w:val="0"/>
          <w:kern w:val="18"/>
          <w:szCs w:val="18"/>
        </w:rPr>
        <w:t>Hydrobiologia</w:t>
      </w:r>
      <w:proofErr w:type="spellEnd"/>
      <w:r w:rsidRPr="009F54B9">
        <w:rPr>
          <w:snapToGrid w:val="0"/>
          <w:kern w:val="18"/>
          <w:szCs w:val="18"/>
        </w:rPr>
        <w:t xml:space="preserve"> 729. 10.1007/s10750-013-1504-y.</w:t>
      </w:r>
    </w:p>
  </w:footnote>
  <w:footnote w:id="68">
    <w:p w14:paraId="7FCDDC09"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proofErr w:type="spellStart"/>
      <w:r w:rsidRPr="009F54B9">
        <w:rPr>
          <w:snapToGrid w:val="0"/>
          <w:kern w:val="18"/>
          <w:szCs w:val="18"/>
        </w:rPr>
        <w:t>Germer</w:t>
      </w:r>
      <w:proofErr w:type="spellEnd"/>
      <w:r w:rsidRPr="009F54B9">
        <w:rPr>
          <w:snapToGrid w:val="0"/>
          <w:kern w:val="18"/>
          <w:szCs w:val="18"/>
        </w:rPr>
        <w:t xml:space="preserve">, J. &amp; </w:t>
      </w:r>
      <w:proofErr w:type="spellStart"/>
      <w:r w:rsidRPr="009F54B9">
        <w:rPr>
          <w:snapToGrid w:val="0"/>
          <w:kern w:val="18"/>
          <w:szCs w:val="18"/>
        </w:rPr>
        <w:t>Sauerborn</w:t>
      </w:r>
      <w:proofErr w:type="spellEnd"/>
      <w:r w:rsidRPr="009F54B9">
        <w:rPr>
          <w:snapToGrid w:val="0"/>
          <w:kern w:val="18"/>
          <w:szCs w:val="18"/>
        </w:rPr>
        <w:t xml:space="preserve">, J. (2008). Estimation of the impact of oil palm plantation establishment on greenhouse gas balance. Environ Dev Sustain 10: 697. </w:t>
      </w:r>
    </w:p>
  </w:footnote>
  <w:footnote w:id="69">
    <w:p w14:paraId="177F4FBD"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World Bank and International Finance Corporation (2011). The World Bank Group Framework and IFC Strategy for Engagement in the Palm Oil Sector. 91p. URL: </w:t>
      </w:r>
      <w:hyperlink r:id="rId25" w:history="1">
        <w:r w:rsidRPr="009F54B9">
          <w:rPr>
            <w:snapToGrid w:val="0"/>
            <w:kern w:val="18"/>
            <w:szCs w:val="18"/>
          </w:rPr>
          <w:t>https://www.ifc.org/wps/wcm/connect/159dce004ea3bd0fb359f71dc0e8434d/WBG+Framework+and+IFC+Strategy_FINAL_FOR+WEB.pdf?MOD=AJPERES</w:t>
        </w:r>
      </w:hyperlink>
      <w:r w:rsidRPr="009F54B9">
        <w:rPr>
          <w:snapToGrid w:val="0"/>
          <w:kern w:val="18"/>
          <w:szCs w:val="18"/>
        </w:rPr>
        <w:t xml:space="preserve">, accessed on January 5, 2018. </w:t>
      </w:r>
    </w:p>
  </w:footnote>
  <w:footnote w:id="70">
    <w:p w14:paraId="0A22D2EA"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proofErr w:type="spellStart"/>
      <w:r w:rsidRPr="009F54B9">
        <w:rPr>
          <w:snapToGrid w:val="0"/>
          <w:kern w:val="18"/>
          <w:szCs w:val="18"/>
        </w:rPr>
        <w:t>Jungmichel</w:t>
      </w:r>
      <w:proofErr w:type="spellEnd"/>
      <w:r w:rsidRPr="009F54B9">
        <w:rPr>
          <w:snapToGrid w:val="0"/>
          <w:kern w:val="18"/>
          <w:szCs w:val="18"/>
        </w:rPr>
        <w:t xml:space="preserve">, N., </w:t>
      </w:r>
      <w:proofErr w:type="spellStart"/>
      <w:r w:rsidRPr="009F54B9">
        <w:rPr>
          <w:snapToGrid w:val="0"/>
          <w:kern w:val="18"/>
          <w:szCs w:val="18"/>
        </w:rPr>
        <w:t>Schampel</w:t>
      </w:r>
      <w:proofErr w:type="spellEnd"/>
      <w:r w:rsidRPr="009F54B9">
        <w:rPr>
          <w:snapToGrid w:val="0"/>
          <w:kern w:val="18"/>
          <w:szCs w:val="18"/>
        </w:rPr>
        <w:t xml:space="preserve">, C., Weiss, D. (2017). Atlas on Environmental Impacts - Supply Chains – Environmental Impacts and Hot Spots in the Supply Chain. Analysis of environmental impacts in eight selected German industries along the global value chain from resource extraction to companies’ own sites. Berlin/Hamburg: </w:t>
      </w:r>
      <w:proofErr w:type="spellStart"/>
      <w:r w:rsidRPr="009F54B9">
        <w:rPr>
          <w:snapToGrid w:val="0"/>
          <w:kern w:val="18"/>
          <w:szCs w:val="18"/>
        </w:rPr>
        <w:t>adelphi</w:t>
      </w:r>
      <w:proofErr w:type="spellEnd"/>
      <w:r w:rsidRPr="009F54B9">
        <w:rPr>
          <w:snapToGrid w:val="0"/>
          <w:kern w:val="18"/>
          <w:szCs w:val="18"/>
        </w:rPr>
        <w:t>/</w:t>
      </w:r>
      <w:proofErr w:type="spellStart"/>
      <w:r w:rsidRPr="009F54B9">
        <w:rPr>
          <w:snapToGrid w:val="0"/>
          <w:kern w:val="18"/>
          <w:szCs w:val="18"/>
        </w:rPr>
        <w:t>Systain</w:t>
      </w:r>
      <w:proofErr w:type="spellEnd"/>
      <w:r w:rsidRPr="009F54B9">
        <w:rPr>
          <w:snapToGrid w:val="0"/>
          <w:kern w:val="18"/>
          <w:szCs w:val="18"/>
        </w:rPr>
        <w:t>, 52p.</w:t>
      </w:r>
    </w:p>
  </w:footnote>
  <w:footnote w:id="71">
    <w:p w14:paraId="750218E5"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http://www.kering.com/en/sustainability/results, accessed on January 5, 2018.</w:t>
      </w:r>
    </w:p>
  </w:footnote>
  <w:footnote w:id="72">
    <w:p w14:paraId="6C820ABD"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r w:rsidRPr="009F54B9">
        <w:rPr>
          <w:iCs/>
          <w:snapToGrid w:val="0"/>
          <w:color w:val="000000"/>
          <w:kern w:val="18"/>
          <w:szCs w:val="18"/>
          <w:bdr w:val="none" w:sz="0" w:space="0" w:color="auto" w:frame="1"/>
          <w:shd w:val="clear" w:color="auto" w:fill="FFFFFF"/>
        </w:rPr>
        <w:t>Yet, the share of manufacturing in GDP compared to that other sectors (especially the services sector) is not expected to rise globally.</w:t>
      </w:r>
    </w:p>
  </w:footnote>
  <w:footnote w:id="73">
    <w:p w14:paraId="53E2F71C"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proofErr w:type="spellStart"/>
      <w:r w:rsidRPr="009F54B9">
        <w:rPr>
          <w:snapToGrid w:val="0"/>
          <w:kern w:val="18"/>
          <w:szCs w:val="18"/>
        </w:rPr>
        <w:t>Mulatu</w:t>
      </w:r>
      <w:proofErr w:type="spellEnd"/>
      <w:r w:rsidRPr="009F54B9">
        <w:rPr>
          <w:snapToGrid w:val="0"/>
          <w:kern w:val="18"/>
          <w:szCs w:val="18"/>
        </w:rPr>
        <w:t xml:space="preserve">, A., </w:t>
      </w:r>
      <w:proofErr w:type="spellStart"/>
      <w:r w:rsidRPr="009F54B9">
        <w:rPr>
          <w:snapToGrid w:val="0"/>
          <w:kern w:val="18"/>
          <w:szCs w:val="18"/>
        </w:rPr>
        <w:t>Gerlagh</w:t>
      </w:r>
      <w:proofErr w:type="spellEnd"/>
      <w:r w:rsidRPr="009F54B9">
        <w:rPr>
          <w:snapToGrid w:val="0"/>
          <w:kern w:val="18"/>
          <w:szCs w:val="18"/>
        </w:rPr>
        <w:t xml:space="preserve">, R., Rigby, D., </w:t>
      </w:r>
      <w:proofErr w:type="spellStart"/>
      <w:r w:rsidRPr="009F54B9">
        <w:rPr>
          <w:snapToGrid w:val="0"/>
          <w:kern w:val="18"/>
          <w:szCs w:val="18"/>
        </w:rPr>
        <w:t>Wossink</w:t>
      </w:r>
      <w:proofErr w:type="spellEnd"/>
      <w:r w:rsidRPr="009F54B9">
        <w:rPr>
          <w:snapToGrid w:val="0"/>
          <w:kern w:val="18"/>
          <w:szCs w:val="18"/>
        </w:rPr>
        <w:t>, A. (2010). Environmental regulation and industrial location in Europe. Environmental and Resource Economics 45:4, 459–479.</w:t>
      </w:r>
    </w:p>
  </w:footnote>
  <w:footnote w:id="74">
    <w:p w14:paraId="452ED027"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Chaudhary, A., </w:t>
      </w:r>
      <w:proofErr w:type="spellStart"/>
      <w:r w:rsidRPr="009F54B9">
        <w:rPr>
          <w:snapToGrid w:val="0"/>
          <w:kern w:val="18"/>
          <w:szCs w:val="18"/>
        </w:rPr>
        <w:t>Verones</w:t>
      </w:r>
      <w:proofErr w:type="spellEnd"/>
      <w:r w:rsidRPr="009F54B9">
        <w:rPr>
          <w:snapToGrid w:val="0"/>
          <w:kern w:val="18"/>
          <w:szCs w:val="18"/>
        </w:rPr>
        <w:t xml:space="preserve">, F., de Baan, L., Hellweg, S. (2015). Quantifying land use impacts on biodiversity: Combining species–area models and vulnerability indicators. </w:t>
      </w:r>
      <w:r w:rsidRPr="009F54B9">
        <w:rPr>
          <w:iCs/>
          <w:snapToGrid w:val="0"/>
          <w:kern w:val="18"/>
          <w:szCs w:val="18"/>
        </w:rPr>
        <w:t xml:space="preserve">Environ. Sci. Technol. </w:t>
      </w:r>
      <w:r w:rsidRPr="009F54B9">
        <w:rPr>
          <w:snapToGrid w:val="0"/>
          <w:kern w:val="18"/>
          <w:szCs w:val="18"/>
        </w:rPr>
        <w:t>49(16), 9987–9995.</w:t>
      </w:r>
    </w:p>
  </w:footnote>
  <w:footnote w:id="75">
    <w:p w14:paraId="2FF43FFC"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Secretariat of the Convention on Biological Diversity (2010). Global Biodiversity Outlook 3. Montréal, 94p.</w:t>
      </w:r>
    </w:p>
  </w:footnote>
  <w:footnote w:id="76">
    <w:p w14:paraId="48477BE4"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proofErr w:type="spellStart"/>
      <w:r w:rsidRPr="009F54B9">
        <w:rPr>
          <w:snapToGrid w:val="0"/>
          <w:kern w:val="18"/>
          <w:szCs w:val="18"/>
        </w:rPr>
        <w:t>Aiama</w:t>
      </w:r>
      <w:proofErr w:type="spellEnd"/>
      <w:r w:rsidRPr="009F54B9">
        <w:rPr>
          <w:snapToGrid w:val="0"/>
          <w:kern w:val="18"/>
          <w:szCs w:val="18"/>
        </w:rPr>
        <w:t xml:space="preserve">, D., Carbone, G., </w:t>
      </w:r>
      <w:proofErr w:type="spellStart"/>
      <w:r w:rsidRPr="009F54B9">
        <w:rPr>
          <w:snapToGrid w:val="0"/>
          <w:kern w:val="18"/>
          <w:szCs w:val="18"/>
        </w:rPr>
        <w:t>Cator</w:t>
      </w:r>
      <w:proofErr w:type="spellEnd"/>
      <w:r w:rsidRPr="009F54B9">
        <w:rPr>
          <w:snapToGrid w:val="0"/>
          <w:kern w:val="18"/>
          <w:szCs w:val="18"/>
        </w:rPr>
        <w:t xml:space="preserve">, D., </w:t>
      </w:r>
      <w:proofErr w:type="spellStart"/>
      <w:r w:rsidRPr="009F54B9">
        <w:rPr>
          <w:snapToGrid w:val="0"/>
          <w:kern w:val="18"/>
          <w:szCs w:val="18"/>
        </w:rPr>
        <w:t>Challender</w:t>
      </w:r>
      <w:proofErr w:type="spellEnd"/>
      <w:r w:rsidRPr="009F54B9">
        <w:rPr>
          <w:snapToGrid w:val="0"/>
          <w:kern w:val="18"/>
          <w:szCs w:val="18"/>
        </w:rPr>
        <w:t>, D. (2016). Biodiversity risks and opportunities in the apparel sector. IUCN, Gland, 41p.</w:t>
      </w:r>
    </w:p>
  </w:footnote>
  <w:footnote w:id="77">
    <w:p w14:paraId="7968AF65"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Gao, Y., </w:t>
      </w:r>
      <w:proofErr w:type="spellStart"/>
      <w:r w:rsidRPr="009F54B9">
        <w:rPr>
          <w:snapToGrid w:val="0"/>
          <w:kern w:val="18"/>
          <w:szCs w:val="18"/>
        </w:rPr>
        <w:t>Skutsch</w:t>
      </w:r>
      <w:proofErr w:type="spellEnd"/>
      <w:r w:rsidRPr="009F54B9">
        <w:rPr>
          <w:snapToGrid w:val="0"/>
          <w:kern w:val="18"/>
          <w:szCs w:val="18"/>
        </w:rPr>
        <w:t xml:space="preserve">, M., </w:t>
      </w:r>
      <w:proofErr w:type="spellStart"/>
      <w:r w:rsidRPr="009F54B9">
        <w:rPr>
          <w:snapToGrid w:val="0"/>
          <w:kern w:val="18"/>
          <w:szCs w:val="18"/>
        </w:rPr>
        <w:t>Masera</w:t>
      </w:r>
      <w:proofErr w:type="spellEnd"/>
      <w:r w:rsidRPr="009F54B9">
        <w:rPr>
          <w:snapToGrid w:val="0"/>
          <w:kern w:val="18"/>
          <w:szCs w:val="18"/>
        </w:rPr>
        <w:t>, O and Pacheco, P. (2011) A global analysis of deforestation due to biofuel development. Working Paper 68. CIFOR, Bogor, Indonesia, 100p.</w:t>
      </w:r>
    </w:p>
  </w:footnote>
  <w:footnote w:id="78">
    <w:p w14:paraId="401DA02A"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snapToGrid w:val="0"/>
          <w:kern w:val="18"/>
          <w:szCs w:val="18"/>
          <w:vertAlign w:val="superscript"/>
        </w:rPr>
        <w:footnoteRef/>
      </w:r>
      <w:r w:rsidRPr="009F54B9">
        <w:rPr>
          <w:snapToGrid w:val="0"/>
          <w:kern w:val="18"/>
          <w:szCs w:val="18"/>
          <w:vertAlign w:val="superscript"/>
        </w:rPr>
        <w:t xml:space="preserve"> </w:t>
      </w:r>
      <w:r w:rsidRPr="009F54B9">
        <w:rPr>
          <w:snapToGrid w:val="0"/>
          <w:kern w:val="18"/>
          <w:szCs w:val="18"/>
        </w:rPr>
        <w:t xml:space="preserve">E.g. Pauly. D., Watson, R., Alder, J. (2005). Global trends in world fisheries: Impacts on marine ecosystems and food security. Phil. Trans. R. Soc. B 360, 5-12; Srinivasan, U.T., Cheung, W.W.L., Watson, R., </w:t>
      </w:r>
      <w:proofErr w:type="spellStart"/>
      <w:r w:rsidRPr="009F54B9">
        <w:rPr>
          <w:snapToGrid w:val="0"/>
          <w:kern w:val="18"/>
          <w:szCs w:val="18"/>
        </w:rPr>
        <w:t>Sumaila</w:t>
      </w:r>
      <w:proofErr w:type="spellEnd"/>
      <w:r w:rsidRPr="009F54B9">
        <w:rPr>
          <w:snapToGrid w:val="0"/>
          <w:kern w:val="18"/>
          <w:szCs w:val="18"/>
        </w:rPr>
        <w:t xml:space="preserve">, U.R. (2010). Food security implications of global marine catch losses due to overfishing. </w:t>
      </w:r>
      <w:hyperlink r:id="rId26" w:tooltip="Journal of Bioeconomics" w:history="1">
        <w:r w:rsidRPr="009F54B9">
          <w:rPr>
            <w:snapToGrid w:val="0"/>
            <w:kern w:val="18"/>
            <w:szCs w:val="18"/>
          </w:rPr>
          <w:t xml:space="preserve">Journal of </w:t>
        </w:r>
        <w:proofErr w:type="spellStart"/>
        <w:r w:rsidRPr="009F54B9">
          <w:rPr>
            <w:snapToGrid w:val="0"/>
            <w:kern w:val="18"/>
            <w:szCs w:val="18"/>
          </w:rPr>
          <w:t>Bioeconomics</w:t>
        </w:r>
        <w:proofErr w:type="spellEnd"/>
      </w:hyperlink>
      <w:r w:rsidRPr="009F54B9">
        <w:rPr>
          <w:snapToGrid w:val="0"/>
          <w:kern w:val="18"/>
          <w:szCs w:val="18"/>
        </w:rPr>
        <w:t xml:space="preserve"> 12(3), 183-200.  </w:t>
      </w:r>
    </w:p>
  </w:footnote>
  <w:footnote w:id="79">
    <w:p w14:paraId="4B964971" w14:textId="77777777" w:rsidR="008E44C6" w:rsidRPr="009F54B9" w:rsidRDefault="008E44C6" w:rsidP="009F54B9">
      <w:pPr>
        <w:suppressLineNumbers/>
        <w:shd w:val="clear" w:color="auto" w:fill="FFFFFF"/>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w:t>
      </w:r>
      <w:r w:rsidRPr="009F54B9">
        <w:rPr>
          <w:rFonts w:eastAsia="Times"/>
          <w:snapToGrid w:val="0"/>
          <w:kern w:val="18"/>
          <w:sz w:val="18"/>
          <w:szCs w:val="18"/>
        </w:rPr>
        <w:t xml:space="preserve">Bianchi, C.A., Haig, S.M., (2013). Deforestation trends of tropical dry forests in central Brazil. </w:t>
      </w:r>
      <w:proofErr w:type="spellStart"/>
      <w:r w:rsidRPr="009F54B9">
        <w:rPr>
          <w:rFonts w:eastAsia="Times"/>
          <w:snapToGrid w:val="0"/>
          <w:kern w:val="18"/>
          <w:sz w:val="18"/>
          <w:szCs w:val="18"/>
        </w:rPr>
        <w:t>Biotropica</w:t>
      </w:r>
      <w:proofErr w:type="spellEnd"/>
      <w:r w:rsidRPr="009F54B9">
        <w:rPr>
          <w:rFonts w:eastAsia="Times"/>
          <w:snapToGrid w:val="0"/>
          <w:kern w:val="18"/>
          <w:sz w:val="18"/>
          <w:szCs w:val="18"/>
        </w:rPr>
        <w:t xml:space="preserve"> 45: 395–400; </w:t>
      </w:r>
      <w:proofErr w:type="spellStart"/>
      <w:r w:rsidRPr="009F54B9">
        <w:rPr>
          <w:rFonts w:eastAsia="Times"/>
          <w:snapToGrid w:val="0"/>
          <w:kern w:val="18"/>
          <w:sz w:val="18"/>
          <w:szCs w:val="18"/>
        </w:rPr>
        <w:t>Meyfroidt</w:t>
      </w:r>
      <w:proofErr w:type="spellEnd"/>
      <w:r w:rsidRPr="009F54B9">
        <w:rPr>
          <w:rFonts w:eastAsia="Times"/>
          <w:snapToGrid w:val="0"/>
          <w:kern w:val="18"/>
          <w:sz w:val="18"/>
          <w:szCs w:val="18"/>
        </w:rPr>
        <w:t xml:space="preserve">, P., </w:t>
      </w:r>
      <w:proofErr w:type="spellStart"/>
      <w:r w:rsidRPr="009F54B9">
        <w:rPr>
          <w:rFonts w:eastAsia="Times"/>
          <w:snapToGrid w:val="0"/>
          <w:kern w:val="18"/>
          <w:sz w:val="18"/>
          <w:szCs w:val="18"/>
        </w:rPr>
        <w:t>Rudel</w:t>
      </w:r>
      <w:proofErr w:type="spellEnd"/>
      <w:r w:rsidRPr="009F54B9">
        <w:rPr>
          <w:rFonts w:eastAsia="Times"/>
          <w:snapToGrid w:val="0"/>
          <w:kern w:val="18"/>
          <w:sz w:val="18"/>
          <w:szCs w:val="18"/>
        </w:rPr>
        <w:t xml:space="preserve">, T.K., </w:t>
      </w:r>
      <w:proofErr w:type="spellStart"/>
      <w:r w:rsidRPr="009F54B9">
        <w:rPr>
          <w:rFonts w:eastAsia="Times"/>
          <w:snapToGrid w:val="0"/>
          <w:kern w:val="18"/>
          <w:sz w:val="18"/>
          <w:szCs w:val="18"/>
        </w:rPr>
        <w:t>Lambin</w:t>
      </w:r>
      <w:proofErr w:type="spellEnd"/>
      <w:r w:rsidRPr="009F54B9">
        <w:rPr>
          <w:rFonts w:eastAsia="Times"/>
          <w:snapToGrid w:val="0"/>
          <w:kern w:val="18"/>
          <w:sz w:val="18"/>
          <w:szCs w:val="18"/>
        </w:rPr>
        <w:t>, E.F. (2010). Forest transitions, trade, and the global displacement of land use. Proceedings of the National Academy of Sciences 107(49), 20917-20922.</w:t>
      </w:r>
    </w:p>
  </w:footnote>
  <w:footnote w:id="80">
    <w:p w14:paraId="5F8C5A40"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articlecitationpages"/>
          <w:snapToGrid w:val="0"/>
          <w:kern w:val="18"/>
          <w:szCs w:val="18"/>
          <w:vertAlign w:val="superscript"/>
        </w:rPr>
        <w:footnoteRef/>
      </w:r>
      <w:r w:rsidRPr="009F54B9">
        <w:rPr>
          <w:snapToGrid w:val="0"/>
          <w:kern w:val="18"/>
          <w:szCs w:val="18"/>
          <w:vertAlign w:val="superscript"/>
        </w:rPr>
        <w:t xml:space="preserve"> </w:t>
      </w:r>
      <w:r w:rsidRPr="009F54B9">
        <w:rPr>
          <w:snapToGrid w:val="0"/>
          <w:kern w:val="18"/>
          <w:szCs w:val="18"/>
        </w:rPr>
        <w:t xml:space="preserve">e.g., Handy, R.D., </w:t>
      </w:r>
      <w:proofErr w:type="spellStart"/>
      <w:r w:rsidRPr="009F54B9">
        <w:rPr>
          <w:snapToGrid w:val="0"/>
          <w:kern w:val="18"/>
          <w:szCs w:val="18"/>
        </w:rPr>
        <w:t>Poxton</w:t>
      </w:r>
      <w:proofErr w:type="spellEnd"/>
      <w:r w:rsidRPr="009F54B9">
        <w:rPr>
          <w:snapToGrid w:val="0"/>
          <w:kern w:val="18"/>
          <w:szCs w:val="18"/>
        </w:rPr>
        <w:t xml:space="preserve">, M.G., 1993. Nitrogen pollution in </w:t>
      </w:r>
      <w:proofErr w:type="spellStart"/>
      <w:r w:rsidRPr="009F54B9">
        <w:rPr>
          <w:snapToGrid w:val="0"/>
          <w:kern w:val="18"/>
          <w:szCs w:val="18"/>
        </w:rPr>
        <w:t>mariculture</w:t>
      </w:r>
      <w:proofErr w:type="spellEnd"/>
      <w:r w:rsidRPr="009F54B9">
        <w:rPr>
          <w:snapToGrid w:val="0"/>
          <w:kern w:val="18"/>
          <w:szCs w:val="18"/>
        </w:rPr>
        <w:t xml:space="preserve">: Toxicity and excretion of nitrogenous compounds by marine fish. </w:t>
      </w:r>
      <w:hyperlink r:id="rId27" w:tooltip="Reviews in Fish Biology and Fisheries" w:history="1">
        <w:r w:rsidRPr="009F54B9">
          <w:rPr>
            <w:snapToGrid w:val="0"/>
            <w:kern w:val="18"/>
            <w:szCs w:val="18"/>
          </w:rPr>
          <w:t>Reviews in Fish Biology and Fisheries</w:t>
        </w:r>
      </w:hyperlink>
      <w:r w:rsidRPr="009F54B9">
        <w:rPr>
          <w:snapToGrid w:val="0"/>
          <w:kern w:val="18"/>
          <w:szCs w:val="18"/>
        </w:rPr>
        <w:t xml:space="preserve"> 3(3), 205-241.</w:t>
      </w:r>
    </w:p>
  </w:footnote>
  <w:footnote w:id="81">
    <w:p w14:paraId="266F402A"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Adapted from URL: </w:t>
      </w:r>
      <w:hyperlink r:id="rId28" w:history="1">
        <w:r w:rsidRPr="009F54B9">
          <w:rPr>
            <w:rStyle w:val="Hyperlink"/>
            <w:snapToGrid w:val="0"/>
            <w:kern w:val="18"/>
            <w:szCs w:val="18"/>
          </w:rPr>
          <w:t>https://www.conservation.org/NewsRoom/pressreleases/Pages/The-Worlds-10-Most-Threatened-Forest-Hotspots.aspx</w:t>
        </w:r>
      </w:hyperlink>
      <w:r w:rsidRPr="009F54B9">
        <w:rPr>
          <w:snapToGrid w:val="0"/>
          <w:kern w:val="18"/>
          <w:szCs w:val="18"/>
        </w:rPr>
        <w:t>, accessed on February 19, 2018.</w:t>
      </w:r>
    </w:p>
  </w:footnote>
  <w:footnote w:id="82">
    <w:p w14:paraId="14FD48DA"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Accessed on November 26, 2017; URL: http://cop13.mx/en/mainstreaming-biodiversity/</w:t>
      </w:r>
    </w:p>
  </w:footnote>
  <w:footnote w:id="83">
    <w:p w14:paraId="53E09282"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IIED, UNEP – WCMC, 2014. Mainstreaming biodiversity and development: Discussion Paper. NBSAPs 2.0: Mainstreaming Biodiversity and Development project, 68p.</w:t>
      </w:r>
    </w:p>
  </w:footnote>
  <w:footnote w:id="84">
    <w:p w14:paraId="696171B8"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Secretariat of the Convention on Biological Diversity, 2011. NBSAP training modules version 2.1 – Module 3. Mainstreaming biodiversity into national sectoral and cross-sectoral strategies, policies, plans and programs. Montreal, 39p.</w:t>
      </w:r>
    </w:p>
  </w:footnote>
  <w:footnote w:id="85">
    <w:p w14:paraId="5A54A0A5"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Accessed on November 26, 2017; URL: https://www.thegef.org/news/un-biodiversity-conference-cop13-mainstreaming-biodiversity-well-being</w:t>
      </w:r>
    </w:p>
  </w:footnote>
  <w:footnote w:id="86">
    <w:p w14:paraId="7BA3BCFE"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Natural Capital Coalition (2016). Natural Capital Protocol. (Online) Available at: </w:t>
      </w:r>
      <w:hyperlink r:id="rId29" w:history="1">
        <w:r w:rsidRPr="009F54B9">
          <w:rPr>
            <w:rStyle w:val="Hyperlink"/>
            <w:snapToGrid w:val="0"/>
            <w:kern w:val="18"/>
            <w:szCs w:val="18"/>
          </w:rPr>
          <w:t>www.naturalcapitalcoalition.org/protocol</w:t>
        </w:r>
      </w:hyperlink>
      <w:r w:rsidRPr="009F54B9">
        <w:rPr>
          <w:snapToGrid w:val="0"/>
          <w:kern w:val="18"/>
          <w:szCs w:val="18"/>
        </w:rPr>
        <w:t>, accessed November 9, 2017.</w:t>
      </w:r>
    </w:p>
  </w:footnote>
  <w:footnote w:id="87">
    <w:p w14:paraId="5396616C"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Natural Capital Coalition (2016). Natural Capital Protocol. (Online) Available at: </w:t>
      </w:r>
      <w:hyperlink r:id="rId30" w:history="1">
        <w:r w:rsidRPr="009F54B9">
          <w:rPr>
            <w:rStyle w:val="Hyperlink"/>
            <w:snapToGrid w:val="0"/>
            <w:kern w:val="18"/>
            <w:szCs w:val="18"/>
          </w:rPr>
          <w:t>www.naturalcapitalcoalition.org/protocol</w:t>
        </w:r>
      </w:hyperlink>
      <w:r w:rsidRPr="009F54B9">
        <w:rPr>
          <w:snapToGrid w:val="0"/>
          <w:kern w:val="18"/>
          <w:szCs w:val="18"/>
        </w:rPr>
        <w:t>, accessed November 9, 2017.</w:t>
      </w:r>
    </w:p>
  </w:footnote>
  <w:footnote w:id="88">
    <w:p w14:paraId="4B243D88"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Accessed January 24, 2017 at URL: </w:t>
      </w:r>
      <w:hyperlink r:id="rId31" w:history="1">
        <w:r w:rsidRPr="009F54B9">
          <w:rPr>
            <w:rStyle w:val="Hyperlink"/>
            <w:snapToGrid w:val="0"/>
            <w:kern w:val="18"/>
            <w:szCs w:val="18"/>
          </w:rPr>
          <w:t>https://www.cbd.int/business/pledges/pledge.pdf</w:t>
        </w:r>
      </w:hyperlink>
      <w:r w:rsidRPr="009F54B9">
        <w:rPr>
          <w:snapToGrid w:val="0"/>
          <w:kern w:val="18"/>
          <w:szCs w:val="18"/>
        </w:rPr>
        <w:t xml:space="preserve"> </w:t>
      </w:r>
    </w:p>
  </w:footnote>
  <w:footnote w:id="89">
    <w:p w14:paraId="48596751"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Accessed January 24, 2017 at URL: </w:t>
      </w:r>
      <w:hyperlink r:id="rId32" w:history="1">
        <w:r w:rsidRPr="009F54B9">
          <w:rPr>
            <w:rStyle w:val="Hyperlink"/>
            <w:snapToGrid w:val="0"/>
            <w:kern w:val="18"/>
            <w:szCs w:val="18"/>
          </w:rPr>
          <w:t>https://www.cbd.int/business/gp/structure.shtml</w:t>
        </w:r>
      </w:hyperlink>
      <w:r w:rsidRPr="009F54B9">
        <w:rPr>
          <w:snapToGrid w:val="0"/>
          <w:kern w:val="18"/>
          <w:szCs w:val="18"/>
        </w:rPr>
        <w:t xml:space="preserve"> </w:t>
      </w:r>
    </w:p>
  </w:footnote>
  <w:footnote w:id="90">
    <w:p w14:paraId="28DD7142"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snapToGrid w:val="0"/>
          <w:kern w:val="18"/>
          <w:szCs w:val="18"/>
          <w:vertAlign w:val="superscript"/>
        </w:rPr>
        <w:footnoteRef/>
      </w:r>
      <w:r w:rsidRPr="009F54B9">
        <w:rPr>
          <w:snapToGrid w:val="0"/>
          <w:kern w:val="18"/>
          <w:szCs w:val="18"/>
          <w:vertAlign w:val="superscript"/>
        </w:rPr>
        <w:t xml:space="preserve"> </w:t>
      </w:r>
      <w:r w:rsidRPr="009F54B9">
        <w:rPr>
          <w:snapToGrid w:val="0"/>
          <w:kern w:val="18"/>
          <w:szCs w:val="18"/>
        </w:rPr>
        <w:t xml:space="preserve">URL: </w:t>
      </w:r>
      <w:hyperlink r:id="rId33" w:history="1">
        <w:r w:rsidRPr="009F54B9">
          <w:rPr>
            <w:snapToGrid w:val="0"/>
            <w:kern w:val="18"/>
            <w:szCs w:val="18"/>
          </w:rPr>
          <w:t>https://www.cbd.int/sp/elements/</w:t>
        </w:r>
      </w:hyperlink>
      <w:r w:rsidRPr="009F54B9">
        <w:rPr>
          <w:snapToGrid w:val="0"/>
          <w:kern w:val="18"/>
          <w:szCs w:val="18"/>
        </w:rPr>
        <w:t>, accessed on December 5, 2017.</w:t>
      </w:r>
    </w:p>
  </w:footnote>
  <w:footnote w:id="91">
    <w:p w14:paraId="524EBADB"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snapToGrid w:val="0"/>
          <w:color w:val="000000" w:themeColor="text1"/>
          <w:kern w:val="18"/>
          <w:sz w:val="18"/>
          <w:szCs w:val="18"/>
          <w:shd w:val="clear" w:color="auto" w:fill="FFFFFF"/>
          <w:vertAlign w:val="superscript"/>
        </w:rPr>
        <w:footnoteRef/>
      </w:r>
      <w:r w:rsidRPr="009F54B9">
        <w:rPr>
          <w:snapToGrid w:val="0"/>
          <w:color w:val="000000" w:themeColor="text1"/>
          <w:kern w:val="18"/>
          <w:sz w:val="18"/>
          <w:szCs w:val="18"/>
          <w:shd w:val="clear" w:color="auto" w:fill="FFFFFF"/>
        </w:rPr>
        <w:t xml:space="preserve"> By focus on minimising or reducing their emissions, manufacturing companies are also contributing to   Target 10, which states that “by 2015, the multiple anthropogenic pressures on coral reefs, and other vulnerable ecosystems impacted by climate change or ocean acidification are minimized, so as to maintain their integrity and functioning.”</w:t>
      </w:r>
    </w:p>
  </w:footnote>
  <w:footnote w:id="92">
    <w:p w14:paraId="31634125"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rFonts w:eastAsia="Times"/>
          <w:snapToGrid w:val="0"/>
          <w:kern w:val="18"/>
          <w:sz w:val="18"/>
          <w:szCs w:val="18"/>
        </w:rPr>
        <w:footnoteRef/>
      </w:r>
      <w:r w:rsidRPr="009F54B9">
        <w:rPr>
          <w:snapToGrid w:val="0"/>
          <w:kern w:val="18"/>
          <w:sz w:val="18"/>
          <w:szCs w:val="18"/>
        </w:rPr>
        <w:t xml:space="preserve"> </w:t>
      </w:r>
      <w:proofErr w:type="spellStart"/>
      <w:r w:rsidRPr="009F54B9">
        <w:rPr>
          <w:snapToGrid w:val="0"/>
          <w:color w:val="000000" w:themeColor="text1"/>
          <w:kern w:val="18"/>
          <w:sz w:val="18"/>
          <w:szCs w:val="18"/>
          <w:shd w:val="clear" w:color="auto" w:fill="FFFFFF"/>
        </w:rPr>
        <w:t>Houdet</w:t>
      </w:r>
      <w:proofErr w:type="spellEnd"/>
      <w:r w:rsidRPr="009F54B9">
        <w:rPr>
          <w:snapToGrid w:val="0"/>
          <w:color w:val="000000" w:themeColor="text1"/>
          <w:kern w:val="18"/>
          <w:sz w:val="18"/>
          <w:szCs w:val="18"/>
          <w:shd w:val="clear" w:color="auto" w:fill="FFFFFF"/>
        </w:rPr>
        <w:t xml:space="preserve">, J., </w:t>
      </w:r>
      <w:proofErr w:type="spellStart"/>
      <w:r w:rsidRPr="009F54B9">
        <w:rPr>
          <w:snapToGrid w:val="0"/>
          <w:color w:val="000000" w:themeColor="text1"/>
          <w:kern w:val="18"/>
          <w:sz w:val="18"/>
          <w:szCs w:val="18"/>
          <w:shd w:val="clear" w:color="auto" w:fill="FFFFFF"/>
        </w:rPr>
        <w:t>Trommetter</w:t>
      </w:r>
      <w:proofErr w:type="spellEnd"/>
      <w:r w:rsidRPr="009F54B9">
        <w:rPr>
          <w:snapToGrid w:val="0"/>
          <w:color w:val="000000" w:themeColor="text1"/>
          <w:kern w:val="18"/>
          <w:sz w:val="18"/>
          <w:szCs w:val="18"/>
          <w:shd w:val="clear" w:color="auto" w:fill="FFFFFF"/>
        </w:rPr>
        <w:t>, M., Weber, J., 2012. Understanding changes in business strategies regarding biodiversity and ecosystem services, Ecological Economics 73, 37-46.</w:t>
      </w:r>
    </w:p>
  </w:footnote>
  <w:footnote w:id="93">
    <w:p w14:paraId="47C6FD43"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w:t>
      </w:r>
      <w:proofErr w:type="spellStart"/>
      <w:r w:rsidRPr="009F54B9">
        <w:rPr>
          <w:snapToGrid w:val="0"/>
          <w:color w:val="000000" w:themeColor="text1"/>
          <w:kern w:val="18"/>
          <w:sz w:val="18"/>
          <w:szCs w:val="18"/>
          <w:shd w:val="clear" w:color="auto" w:fill="FFFFFF"/>
        </w:rPr>
        <w:t>Houdet</w:t>
      </w:r>
      <w:proofErr w:type="spellEnd"/>
      <w:r w:rsidRPr="009F54B9">
        <w:rPr>
          <w:snapToGrid w:val="0"/>
          <w:color w:val="000000" w:themeColor="text1"/>
          <w:kern w:val="18"/>
          <w:sz w:val="18"/>
          <w:szCs w:val="18"/>
          <w:shd w:val="clear" w:color="auto" w:fill="FFFFFF"/>
        </w:rPr>
        <w:t xml:space="preserve">, J., </w:t>
      </w:r>
      <w:proofErr w:type="spellStart"/>
      <w:r w:rsidRPr="009F54B9">
        <w:rPr>
          <w:snapToGrid w:val="0"/>
          <w:color w:val="000000" w:themeColor="text1"/>
          <w:kern w:val="18"/>
          <w:sz w:val="18"/>
          <w:szCs w:val="18"/>
          <w:shd w:val="clear" w:color="auto" w:fill="FFFFFF"/>
        </w:rPr>
        <w:t>Germaneau</w:t>
      </w:r>
      <w:proofErr w:type="spellEnd"/>
      <w:r w:rsidRPr="009F54B9">
        <w:rPr>
          <w:snapToGrid w:val="0"/>
          <w:color w:val="000000" w:themeColor="text1"/>
          <w:kern w:val="18"/>
          <w:sz w:val="18"/>
          <w:szCs w:val="18"/>
          <w:shd w:val="clear" w:color="auto" w:fill="FFFFFF"/>
        </w:rPr>
        <w:t>, C., 2014. Accounting for biodiversity and ecosystem services from an EMA perspective. Towards a standardised Biodiversity Footprint methodology. Jones, M. (Ed.), Accounting for biodiversity. Routledge, 52-80.</w:t>
      </w:r>
    </w:p>
  </w:footnote>
  <w:footnote w:id="94">
    <w:p w14:paraId="37EEBE7E"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w:t>
      </w:r>
      <w:proofErr w:type="spellStart"/>
      <w:r w:rsidRPr="009F54B9">
        <w:rPr>
          <w:snapToGrid w:val="0"/>
          <w:color w:val="000000" w:themeColor="text1"/>
          <w:kern w:val="18"/>
          <w:sz w:val="18"/>
          <w:szCs w:val="18"/>
          <w:shd w:val="clear" w:color="auto" w:fill="FFFFFF"/>
        </w:rPr>
        <w:t>Houdet</w:t>
      </w:r>
      <w:proofErr w:type="spellEnd"/>
      <w:r w:rsidRPr="009F54B9">
        <w:rPr>
          <w:snapToGrid w:val="0"/>
          <w:color w:val="000000" w:themeColor="text1"/>
          <w:kern w:val="18"/>
          <w:sz w:val="18"/>
          <w:szCs w:val="18"/>
          <w:shd w:val="clear" w:color="auto" w:fill="FFFFFF"/>
        </w:rPr>
        <w:t xml:space="preserve">, J., Burritt, R., Farrell, K. N., Martin-Ortega, J., </w:t>
      </w:r>
      <w:proofErr w:type="spellStart"/>
      <w:r w:rsidRPr="009F54B9">
        <w:rPr>
          <w:snapToGrid w:val="0"/>
          <w:color w:val="000000" w:themeColor="text1"/>
          <w:kern w:val="18"/>
          <w:sz w:val="18"/>
          <w:szCs w:val="18"/>
          <w:shd w:val="clear" w:color="auto" w:fill="FFFFFF"/>
        </w:rPr>
        <w:t>Ramin</w:t>
      </w:r>
      <w:proofErr w:type="spellEnd"/>
      <w:r w:rsidRPr="009F54B9">
        <w:rPr>
          <w:snapToGrid w:val="0"/>
          <w:color w:val="000000" w:themeColor="text1"/>
          <w:kern w:val="18"/>
          <w:sz w:val="18"/>
          <w:szCs w:val="18"/>
          <w:shd w:val="clear" w:color="auto" w:fill="FFFFFF"/>
        </w:rPr>
        <w:t xml:space="preserve">, K., Spurgeon, J., Atkins, J., Steuerman, D., Jones, M., </w:t>
      </w:r>
      <w:proofErr w:type="spellStart"/>
      <w:r w:rsidRPr="009F54B9">
        <w:rPr>
          <w:snapToGrid w:val="0"/>
          <w:color w:val="000000" w:themeColor="text1"/>
          <w:kern w:val="18"/>
          <w:sz w:val="18"/>
          <w:szCs w:val="18"/>
          <w:shd w:val="clear" w:color="auto" w:fill="FFFFFF"/>
        </w:rPr>
        <w:t>Maleganos</w:t>
      </w:r>
      <w:proofErr w:type="spellEnd"/>
      <w:r w:rsidRPr="009F54B9">
        <w:rPr>
          <w:snapToGrid w:val="0"/>
          <w:color w:val="000000" w:themeColor="text1"/>
          <w:kern w:val="18"/>
          <w:sz w:val="18"/>
          <w:szCs w:val="18"/>
          <w:shd w:val="clear" w:color="auto" w:fill="FFFFFF"/>
        </w:rPr>
        <w:t xml:space="preserve">, J., Ding, H., Ochieng, C., Naicker, K., </w:t>
      </w:r>
      <w:proofErr w:type="spellStart"/>
      <w:r w:rsidRPr="009F54B9">
        <w:rPr>
          <w:snapToGrid w:val="0"/>
          <w:color w:val="000000" w:themeColor="text1"/>
          <w:kern w:val="18"/>
          <w:sz w:val="18"/>
          <w:szCs w:val="18"/>
          <w:shd w:val="clear" w:color="auto" w:fill="FFFFFF"/>
        </w:rPr>
        <w:t>Chikozho</w:t>
      </w:r>
      <w:proofErr w:type="spellEnd"/>
      <w:r w:rsidRPr="009F54B9">
        <w:rPr>
          <w:snapToGrid w:val="0"/>
          <w:color w:val="000000" w:themeColor="text1"/>
          <w:kern w:val="18"/>
          <w:sz w:val="18"/>
          <w:szCs w:val="18"/>
          <w:shd w:val="clear" w:color="auto" w:fill="FFFFFF"/>
        </w:rPr>
        <w:t xml:space="preserve">, C., </w:t>
      </w:r>
      <w:proofErr w:type="spellStart"/>
      <w:r w:rsidRPr="009F54B9">
        <w:rPr>
          <w:snapToGrid w:val="0"/>
          <w:color w:val="000000" w:themeColor="text1"/>
          <w:kern w:val="18"/>
          <w:sz w:val="18"/>
          <w:szCs w:val="18"/>
          <w:shd w:val="clear" w:color="auto" w:fill="FFFFFF"/>
        </w:rPr>
        <w:t>Finisdore</w:t>
      </w:r>
      <w:proofErr w:type="spellEnd"/>
      <w:r w:rsidRPr="009F54B9">
        <w:rPr>
          <w:snapToGrid w:val="0"/>
          <w:color w:val="000000" w:themeColor="text1"/>
          <w:kern w:val="18"/>
          <w:sz w:val="18"/>
          <w:szCs w:val="18"/>
          <w:shd w:val="clear" w:color="auto" w:fill="FFFFFF"/>
        </w:rPr>
        <w:t xml:space="preserve">, J., Sukhdev, P., 2014. What natural capital disclosure for integrated reporting? Designing &amp; modelling an Integrated Financial – Natural Capital Accounting and Reporting Framework. </w:t>
      </w:r>
      <w:proofErr w:type="spellStart"/>
      <w:r w:rsidRPr="009F54B9">
        <w:rPr>
          <w:snapToGrid w:val="0"/>
          <w:color w:val="000000" w:themeColor="text1"/>
          <w:kern w:val="18"/>
          <w:sz w:val="18"/>
          <w:szCs w:val="18"/>
          <w:shd w:val="clear" w:color="auto" w:fill="FFFFFF"/>
        </w:rPr>
        <w:t>Synergiz</w:t>
      </w:r>
      <w:proofErr w:type="spellEnd"/>
      <w:r w:rsidRPr="009F54B9">
        <w:rPr>
          <w:snapToGrid w:val="0"/>
          <w:color w:val="000000" w:themeColor="text1"/>
          <w:kern w:val="18"/>
          <w:sz w:val="18"/>
          <w:szCs w:val="18"/>
          <w:shd w:val="clear" w:color="auto" w:fill="FFFFFF"/>
        </w:rPr>
        <w:t xml:space="preserve"> – ACTS, Working Paper 2014-01, 62 p.</w:t>
      </w:r>
    </w:p>
  </w:footnote>
  <w:footnote w:id="95">
    <w:p w14:paraId="5D0EC8BB"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w:t>
      </w:r>
      <w:proofErr w:type="spellStart"/>
      <w:r w:rsidRPr="009F54B9">
        <w:rPr>
          <w:snapToGrid w:val="0"/>
          <w:color w:val="000000" w:themeColor="text1"/>
          <w:kern w:val="18"/>
          <w:sz w:val="18"/>
          <w:szCs w:val="18"/>
          <w:shd w:val="clear" w:color="auto" w:fill="FFFFFF"/>
        </w:rPr>
        <w:t>Houdet</w:t>
      </w:r>
      <w:proofErr w:type="spellEnd"/>
      <w:r w:rsidRPr="009F54B9">
        <w:rPr>
          <w:snapToGrid w:val="0"/>
          <w:color w:val="000000" w:themeColor="text1"/>
          <w:kern w:val="18"/>
          <w:sz w:val="18"/>
          <w:szCs w:val="18"/>
          <w:shd w:val="clear" w:color="auto" w:fill="FFFFFF"/>
        </w:rPr>
        <w:t xml:space="preserve">, J., </w:t>
      </w:r>
      <w:proofErr w:type="spellStart"/>
      <w:r w:rsidRPr="009F54B9">
        <w:rPr>
          <w:snapToGrid w:val="0"/>
          <w:color w:val="000000" w:themeColor="text1"/>
          <w:kern w:val="18"/>
          <w:sz w:val="18"/>
          <w:szCs w:val="18"/>
          <w:shd w:val="clear" w:color="auto" w:fill="FFFFFF"/>
        </w:rPr>
        <w:t>Trommetter</w:t>
      </w:r>
      <w:proofErr w:type="spellEnd"/>
      <w:r w:rsidRPr="009F54B9">
        <w:rPr>
          <w:snapToGrid w:val="0"/>
          <w:color w:val="000000" w:themeColor="text1"/>
          <w:kern w:val="18"/>
          <w:sz w:val="18"/>
          <w:szCs w:val="18"/>
          <w:shd w:val="clear" w:color="auto" w:fill="FFFFFF"/>
        </w:rPr>
        <w:t xml:space="preserve">, M., Weber, J., 2010. Promoting business reporting standards for biodiversity and ecosystem services. The Biodiversity Accountability Framework. </w:t>
      </w:r>
      <w:proofErr w:type="spellStart"/>
      <w:r w:rsidRPr="009F54B9">
        <w:rPr>
          <w:snapToGrid w:val="0"/>
          <w:color w:val="000000" w:themeColor="text1"/>
          <w:kern w:val="18"/>
          <w:sz w:val="18"/>
          <w:szCs w:val="18"/>
          <w:shd w:val="clear" w:color="auto" w:fill="FFFFFF"/>
        </w:rPr>
        <w:t>Orée</w:t>
      </w:r>
      <w:proofErr w:type="spellEnd"/>
      <w:r w:rsidRPr="009F54B9">
        <w:rPr>
          <w:snapToGrid w:val="0"/>
          <w:color w:val="000000" w:themeColor="text1"/>
          <w:kern w:val="18"/>
          <w:sz w:val="18"/>
          <w:szCs w:val="18"/>
          <w:shd w:val="clear" w:color="auto" w:fill="FFFFFF"/>
        </w:rPr>
        <w:t xml:space="preserve"> - FRB, 16p.</w:t>
      </w:r>
    </w:p>
  </w:footnote>
  <w:footnote w:id="96">
    <w:p w14:paraId="1B37896C" w14:textId="77777777" w:rsidR="008E44C6" w:rsidRPr="003D281C"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9F54B9">
        <w:rPr>
          <w:rStyle w:val="FootnoteReference"/>
          <w:snapToGrid w:val="0"/>
          <w:kern w:val="18"/>
          <w:sz w:val="18"/>
          <w:szCs w:val="18"/>
        </w:rPr>
        <w:footnoteRef/>
      </w:r>
      <w:r w:rsidRPr="009F54B9">
        <w:rPr>
          <w:snapToGrid w:val="0"/>
          <w:kern w:val="18"/>
          <w:szCs w:val="18"/>
        </w:rPr>
        <w:t xml:space="preserve"> </w:t>
      </w:r>
      <w:r w:rsidRPr="009F54B9">
        <w:rPr>
          <w:snapToGrid w:val="0"/>
          <w:color w:val="000000" w:themeColor="text1"/>
          <w:kern w:val="18"/>
          <w:szCs w:val="18"/>
          <w:shd w:val="clear" w:color="auto" w:fill="FFFFFF"/>
        </w:rPr>
        <w:t xml:space="preserve">Centre </w:t>
      </w:r>
      <w:proofErr w:type="spellStart"/>
      <w:r w:rsidRPr="009F54B9">
        <w:rPr>
          <w:snapToGrid w:val="0"/>
          <w:color w:val="000000" w:themeColor="text1"/>
          <w:kern w:val="18"/>
          <w:szCs w:val="18"/>
          <w:shd w:val="clear" w:color="auto" w:fill="FFFFFF"/>
        </w:rPr>
        <w:t>d’analyse</w:t>
      </w:r>
      <w:proofErr w:type="spellEnd"/>
      <w:r w:rsidRPr="009F54B9">
        <w:rPr>
          <w:snapToGrid w:val="0"/>
          <w:color w:val="000000" w:themeColor="text1"/>
          <w:kern w:val="18"/>
          <w:szCs w:val="18"/>
          <w:shd w:val="clear" w:color="auto" w:fill="FFFFFF"/>
        </w:rPr>
        <w:t xml:space="preserve"> </w:t>
      </w:r>
      <w:proofErr w:type="spellStart"/>
      <w:r w:rsidRPr="009F54B9">
        <w:rPr>
          <w:snapToGrid w:val="0"/>
          <w:color w:val="000000" w:themeColor="text1"/>
          <w:kern w:val="18"/>
          <w:szCs w:val="18"/>
          <w:shd w:val="clear" w:color="auto" w:fill="FFFFFF"/>
        </w:rPr>
        <w:t>stratégique</w:t>
      </w:r>
      <w:proofErr w:type="spellEnd"/>
      <w:r w:rsidRPr="009F54B9">
        <w:rPr>
          <w:snapToGrid w:val="0"/>
          <w:color w:val="000000" w:themeColor="text1"/>
          <w:kern w:val="18"/>
          <w:szCs w:val="18"/>
          <w:shd w:val="clear" w:color="auto" w:fill="FFFFFF"/>
        </w:rPr>
        <w:t xml:space="preserve"> (2012). </w:t>
      </w:r>
      <w:r w:rsidRPr="003D281C">
        <w:rPr>
          <w:snapToGrid w:val="0"/>
          <w:color w:val="000000" w:themeColor="text1"/>
          <w:kern w:val="18"/>
          <w:szCs w:val="18"/>
          <w:shd w:val="clear" w:color="auto" w:fill="FFFFFF"/>
          <w:lang w:val="fr-FR"/>
        </w:rPr>
        <w:t>Les aides publiques dommageables à la biodiversité, rapport de la mission présidée par Guillaume Sainteny, Paris, La Documentation française, 414 p.</w:t>
      </w:r>
    </w:p>
  </w:footnote>
  <w:footnote w:id="97">
    <w:p w14:paraId="3C9FC5C2"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E.g., </w:t>
      </w:r>
      <w:proofErr w:type="spellStart"/>
      <w:r w:rsidRPr="009F54B9">
        <w:rPr>
          <w:snapToGrid w:val="0"/>
          <w:color w:val="000000" w:themeColor="text1"/>
          <w:kern w:val="18"/>
          <w:szCs w:val="18"/>
          <w:shd w:val="clear" w:color="auto" w:fill="FFFFFF"/>
        </w:rPr>
        <w:t>Rudel</w:t>
      </w:r>
      <w:proofErr w:type="spellEnd"/>
      <w:r w:rsidRPr="009F54B9">
        <w:rPr>
          <w:snapToGrid w:val="0"/>
          <w:color w:val="000000" w:themeColor="text1"/>
          <w:kern w:val="18"/>
          <w:szCs w:val="18"/>
          <w:shd w:val="clear" w:color="auto" w:fill="FFFFFF"/>
        </w:rPr>
        <w:t xml:space="preserve">, T. K. (2011). Local actions, global effects? Understanding the circumstances in which locally beneficial environmental actions cumulate to have global effects. Ecology and Society 16(2): </w:t>
      </w:r>
      <w:proofErr w:type="gramStart"/>
      <w:r w:rsidRPr="009F54B9">
        <w:rPr>
          <w:snapToGrid w:val="0"/>
          <w:color w:val="000000" w:themeColor="text1"/>
          <w:kern w:val="18"/>
          <w:szCs w:val="18"/>
          <w:shd w:val="clear" w:color="auto" w:fill="FFFFFF"/>
        </w:rPr>
        <w:t xml:space="preserve">19;  </w:t>
      </w:r>
      <w:proofErr w:type="spellStart"/>
      <w:r w:rsidRPr="009F54B9">
        <w:rPr>
          <w:snapToGrid w:val="0"/>
          <w:kern w:val="18"/>
          <w:szCs w:val="18"/>
        </w:rPr>
        <w:t>Spyce</w:t>
      </w:r>
      <w:proofErr w:type="spellEnd"/>
      <w:proofErr w:type="gramEnd"/>
      <w:r w:rsidRPr="009F54B9">
        <w:rPr>
          <w:snapToGrid w:val="0"/>
          <w:kern w:val="18"/>
          <w:szCs w:val="18"/>
        </w:rPr>
        <w:t xml:space="preserve">, A., M. Weber, </w:t>
      </w:r>
      <w:proofErr w:type="spellStart"/>
      <w:r w:rsidRPr="009F54B9">
        <w:rPr>
          <w:snapToGrid w:val="0"/>
          <w:kern w:val="18"/>
          <w:szCs w:val="18"/>
        </w:rPr>
        <w:t>Adamowicz</w:t>
      </w:r>
      <w:proofErr w:type="spellEnd"/>
      <w:r w:rsidRPr="009F54B9">
        <w:rPr>
          <w:snapToGrid w:val="0"/>
          <w:kern w:val="18"/>
          <w:szCs w:val="18"/>
        </w:rPr>
        <w:t xml:space="preserve">, W. (2012). Cumulative effects planning: finding the balance using choice experiments. Ecology and Society 17(1): 22.  </w:t>
      </w:r>
    </w:p>
  </w:footnote>
  <w:footnote w:id="98">
    <w:p w14:paraId="58726EEE"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r w:rsidRPr="009F54B9">
        <w:rPr>
          <w:snapToGrid w:val="0"/>
          <w:color w:val="000000" w:themeColor="text1"/>
          <w:kern w:val="18"/>
          <w:szCs w:val="18"/>
          <w:shd w:val="clear" w:color="auto" w:fill="FFFFFF"/>
        </w:rPr>
        <w:t>Aichi Target 11: By 2020, at least 17 per cent of terrestrial and inland water, and 10 per cent of coastal and marine areas, especially areas of particular importance for biodiversity and ecosystem services, are conserved through effectively and equitably managed, ecologically representative and well connected systems of protected areas and other effective area-based conservation measures, and integrated into the wider landscapes and seascapes.</w:t>
      </w:r>
    </w:p>
  </w:footnote>
  <w:footnote w:id="99">
    <w:p w14:paraId="391676EE"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color w:val="000000" w:themeColor="text1"/>
          <w:kern w:val="18"/>
          <w:szCs w:val="18"/>
          <w:shd w:val="clear" w:color="auto" w:fill="FFFFFF"/>
        </w:rPr>
        <w:t xml:space="preserve"> Aichi Target 12: By 2020 the extinction of known threatened species has been prevented and their conservation status, particularly of those most in decline, has been improved and sustained.</w:t>
      </w:r>
    </w:p>
  </w:footnote>
  <w:footnote w:id="100">
    <w:p w14:paraId="2DDD5377"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snapToGrid w:val="0"/>
          <w:kern w:val="18"/>
          <w:sz w:val="18"/>
          <w:szCs w:val="18"/>
          <w:shd w:val="clear" w:color="auto" w:fill="FFFFFF"/>
          <w:vertAlign w:val="superscript"/>
        </w:rPr>
        <w:footnoteRef/>
      </w:r>
      <w:r w:rsidRPr="009F54B9">
        <w:rPr>
          <w:snapToGrid w:val="0"/>
          <w:color w:val="000000" w:themeColor="text1"/>
          <w:kern w:val="18"/>
          <w:sz w:val="18"/>
          <w:szCs w:val="18"/>
          <w:shd w:val="clear" w:color="auto" w:fill="FFFFFF"/>
        </w:rPr>
        <w:t xml:space="preserve"> Target 14: By 2020, ecosystems that provide essential services, including services related to water, and contribute to health, livelihoods and well-being, are restored and safeguarded, taking into account the needs of women, indigenous and local communities, and the poor and vulnerable.</w:t>
      </w:r>
    </w:p>
  </w:footnote>
  <w:footnote w:id="101">
    <w:p w14:paraId="1ED7CF41"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r w:rsidRPr="009F54B9">
        <w:rPr>
          <w:snapToGrid w:val="0"/>
          <w:color w:val="000000" w:themeColor="text1"/>
          <w:kern w:val="18"/>
          <w:szCs w:val="18"/>
          <w:shd w:val="clear" w:color="auto" w:fill="FFFFFF"/>
        </w:rPr>
        <w:t>Target 15: By 2020,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w:t>
      </w:r>
    </w:p>
  </w:footnote>
  <w:footnote w:id="102">
    <w:p w14:paraId="5836ADFA"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r w:rsidRPr="009F54B9">
        <w:rPr>
          <w:snapToGrid w:val="0"/>
          <w:color w:val="000000" w:themeColor="text1"/>
          <w:kern w:val="18"/>
          <w:szCs w:val="18"/>
          <w:shd w:val="clear" w:color="auto" w:fill="FFFFFF"/>
        </w:rPr>
        <w:t xml:space="preserve">E.g., Hughes, J., Ahuja, L., </w:t>
      </w:r>
      <w:proofErr w:type="spellStart"/>
      <w:r w:rsidRPr="009F54B9">
        <w:rPr>
          <w:snapToGrid w:val="0"/>
          <w:color w:val="000000" w:themeColor="text1"/>
          <w:kern w:val="18"/>
          <w:szCs w:val="18"/>
          <w:shd w:val="clear" w:color="auto" w:fill="FFFFFF"/>
        </w:rPr>
        <w:t>Brownlie</w:t>
      </w:r>
      <w:proofErr w:type="spellEnd"/>
      <w:r w:rsidRPr="009F54B9">
        <w:rPr>
          <w:snapToGrid w:val="0"/>
          <w:color w:val="000000" w:themeColor="text1"/>
          <w:kern w:val="18"/>
          <w:szCs w:val="18"/>
          <w:shd w:val="clear" w:color="auto" w:fill="FFFFFF"/>
        </w:rPr>
        <w:t xml:space="preserve">, S., Botha, M., </w:t>
      </w:r>
      <w:proofErr w:type="spellStart"/>
      <w:r w:rsidRPr="009F54B9">
        <w:rPr>
          <w:snapToGrid w:val="0"/>
          <w:color w:val="000000" w:themeColor="text1"/>
          <w:kern w:val="18"/>
          <w:szCs w:val="18"/>
          <w:shd w:val="clear" w:color="auto" w:fill="FFFFFF"/>
        </w:rPr>
        <w:t>Desmet</w:t>
      </w:r>
      <w:proofErr w:type="spellEnd"/>
      <w:r w:rsidRPr="009F54B9">
        <w:rPr>
          <w:snapToGrid w:val="0"/>
          <w:color w:val="000000" w:themeColor="text1"/>
          <w:kern w:val="18"/>
          <w:szCs w:val="18"/>
          <w:shd w:val="clear" w:color="auto" w:fill="FFFFFF"/>
        </w:rPr>
        <w:t xml:space="preserve">, P., Heather-Clark, S. (2015). Using biodiversity plans to guide mitigation and offsets for a zinc mine in </w:t>
      </w:r>
      <w:proofErr w:type="spellStart"/>
      <w:r w:rsidRPr="009F54B9">
        <w:rPr>
          <w:snapToGrid w:val="0"/>
          <w:color w:val="000000" w:themeColor="text1"/>
          <w:kern w:val="18"/>
          <w:szCs w:val="18"/>
          <w:shd w:val="clear" w:color="auto" w:fill="FFFFFF"/>
        </w:rPr>
        <w:t>Nortehrn</w:t>
      </w:r>
      <w:proofErr w:type="spellEnd"/>
      <w:r w:rsidRPr="009F54B9">
        <w:rPr>
          <w:snapToGrid w:val="0"/>
          <w:color w:val="000000" w:themeColor="text1"/>
          <w:kern w:val="18"/>
          <w:szCs w:val="18"/>
          <w:shd w:val="clear" w:color="auto" w:fill="FFFFFF"/>
        </w:rPr>
        <w:t xml:space="preserve"> Cape, South Africa. IAIA15 Conference Proceedings. URL: </w:t>
      </w:r>
      <w:hyperlink r:id="rId34" w:history="1">
        <w:r w:rsidRPr="009F54B9">
          <w:rPr>
            <w:snapToGrid w:val="0"/>
            <w:color w:val="000000" w:themeColor="text1"/>
            <w:kern w:val="18"/>
            <w:szCs w:val="18"/>
            <w:shd w:val="clear" w:color="auto" w:fill="FFFFFF"/>
          </w:rPr>
          <w:t>http://conferences.iaia.org/2015/Final-Papers/Huges,%20Jessica%20-%20Using%20Biodiversity%20Plans%20to%20Guide%20Mitigation%20and%20Offsets%20for%20a%20Zinc%20Mine%20in%20Northern%20Cape,%20South%20Africa.pdf</w:t>
        </w:r>
      </w:hyperlink>
      <w:r w:rsidRPr="009F54B9">
        <w:rPr>
          <w:snapToGrid w:val="0"/>
          <w:color w:val="000000" w:themeColor="text1"/>
          <w:kern w:val="18"/>
          <w:szCs w:val="18"/>
          <w:shd w:val="clear" w:color="auto" w:fill="FFFFFF"/>
        </w:rPr>
        <w:t>, accessed on January 5, 2018.</w:t>
      </w:r>
    </w:p>
  </w:footnote>
  <w:footnote w:id="103">
    <w:p w14:paraId="44BD46F5"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shd w:val="clear" w:color="auto" w:fill="FFFFFF"/>
        </w:rPr>
      </w:pPr>
      <w:r w:rsidRPr="009F54B9">
        <w:rPr>
          <w:rStyle w:val="FootnoteReference"/>
          <w:b/>
          <w:snapToGrid w:val="0"/>
          <w:kern w:val="18"/>
          <w:sz w:val="18"/>
          <w:szCs w:val="18"/>
        </w:rPr>
        <w:footnoteRef/>
      </w:r>
      <w:r w:rsidRPr="009F54B9">
        <w:rPr>
          <w:b/>
          <w:snapToGrid w:val="0"/>
          <w:kern w:val="18"/>
          <w:szCs w:val="18"/>
        </w:rPr>
        <w:t xml:space="preserve"> </w:t>
      </w:r>
      <w:r w:rsidRPr="009F54B9">
        <w:rPr>
          <w:snapToGrid w:val="0"/>
          <w:kern w:val="18"/>
          <w:szCs w:val="18"/>
        </w:rPr>
        <w:t>E.g</w:t>
      </w:r>
      <w:r w:rsidRPr="009F54B9">
        <w:rPr>
          <w:snapToGrid w:val="0"/>
          <w:color w:val="000000" w:themeColor="text1"/>
          <w:kern w:val="18"/>
          <w:szCs w:val="18"/>
          <w:shd w:val="clear" w:color="auto" w:fill="FFFFFF"/>
        </w:rPr>
        <w:t xml:space="preserve">., Bryan, B.A., </w:t>
      </w:r>
      <w:proofErr w:type="spellStart"/>
      <w:r w:rsidRPr="009F54B9">
        <w:rPr>
          <w:snapToGrid w:val="0"/>
          <w:color w:val="000000" w:themeColor="text1"/>
          <w:kern w:val="18"/>
          <w:szCs w:val="18"/>
          <w:shd w:val="clear" w:color="auto" w:fill="FFFFFF"/>
        </w:rPr>
        <w:t>Runting</w:t>
      </w:r>
      <w:proofErr w:type="spellEnd"/>
      <w:r w:rsidRPr="009F54B9">
        <w:rPr>
          <w:snapToGrid w:val="0"/>
          <w:color w:val="000000" w:themeColor="text1"/>
          <w:kern w:val="18"/>
          <w:szCs w:val="18"/>
          <w:shd w:val="clear" w:color="auto" w:fill="FFFFFF"/>
        </w:rPr>
        <w:t xml:space="preserve">, R.K., Capon, T., Perring, M.P., Cunningham, S.C., </w:t>
      </w:r>
      <w:proofErr w:type="spellStart"/>
      <w:r w:rsidRPr="009F54B9">
        <w:rPr>
          <w:snapToGrid w:val="0"/>
          <w:color w:val="000000" w:themeColor="text1"/>
          <w:kern w:val="18"/>
          <w:szCs w:val="18"/>
          <w:shd w:val="clear" w:color="auto" w:fill="FFFFFF"/>
        </w:rPr>
        <w:t>Kragt</w:t>
      </w:r>
      <w:proofErr w:type="spellEnd"/>
      <w:r w:rsidRPr="009F54B9">
        <w:rPr>
          <w:snapToGrid w:val="0"/>
          <w:color w:val="000000" w:themeColor="text1"/>
          <w:kern w:val="18"/>
          <w:szCs w:val="18"/>
          <w:shd w:val="clear" w:color="auto" w:fill="FFFFFF"/>
        </w:rPr>
        <w:t>, M.E., Nolan, M., Law, E.A., Renwick, A.R., Eber, S., Christian, R., Wilson, K.A. (2016). Designer policy for carbon and biodiversity co-benefits under global change. Nature Climate Change 6, 301-305.</w:t>
      </w:r>
    </w:p>
  </w:footnote>
  <w:footnote w:id="104">
    <w:p w14:paraId="2C57F780"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shd w:val="clear" w:color="auto" w:fill="FFFFFF"/>
        </w:rPr>
      </w:pPr>
      <w:r w:rsidRPr="009F54B9">
        <w:rPr>
          <w:snapToGrid w:val="0"/>
          <w:color w:val="000000" w:themeColor="text1"/>
          <w:kern w:val="18"/>
          <w:szCs w:val="18"/>
          <w:shd w:val="clear" w:color="auto" w:fill="FFFFFF"/>
        </w:rPr>
        <w:footnoteRef/>
      </w:r>
      <w:r w:rsidRPr="009F54B9">
        <w:rPr>
          <w:snapToGrid w:val="0"/>
          <w:color w:val="000000" w:themeColor="text1"/>
          <w:kern w:val="18"/>
          <w:szCs w:val="18"/>
          <w:shd w:val="clear" w:color="auto" w:fill="FFFFFF"/>
        </w:rPr>
        <w:t xml:space="preserve"> By 2020, knowledge, the science base and technologies relating to biodiversity, its values, functioning, status and trends, and the consequences of its loss, are improved, widely shared and transferred, and applied.</w:t>
      </w:r>
    </w:p>
  </w:footnote>
  <w:footnote w:id="105">
    <w:p w14:paraId="45BEC2D1"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shd w:val="clear" w:color="auto" w:fill="FFFFFF"/>
        </w:rPr>
      </w:pPr>
      <w:r w:rsidRPr="009F54B9">
        <w:rPr>
          <w:snapToGrid w:val="0"/>
          <w:color w:val="000000" w:themeColor="text1"/>
          <w:kern w:val="18"/>
          <w:szCs w:val="18"/>
          <w:shd w:val="clear" w:color="auto" w:fill="FFFFFF"/>
          <w:vertAlign w:val="superscript"/>
        </w:rPr>
        <w:footnoteRef/>
      </w:r>
      <w:r w:rsidRPr="009F54B9">
        <w:rPr>
          <w:snapToGrid w:val="0"/>
          <w:color w:val="000000" w:themeColor="text1"/>
          <w:kern w:val="18"/>
          <w:szCs w:val="18"/>
          <w:shd w:val="clear" w:color="auto" w:fill="FFFFFF"/>
        </w:rPr>
        <w:t xml:space="preserve"> URL: </w:t>
      </w:r>
      <w:hyperlink r:id="rId35" w:history="1">
        <w:r w:rsidRPr="009F54B9">
          <w:rPr>
            <w:snapToGrid w:val="0"/>
            <w:color w:val="000000" w:themeColor="text1"/>
            <w:kern w:val="18"/>
            <w:szCs w:val="18"/>
            <w:shd w:val="clear" w:color="auto" w:fill="FFFFFF"/>
          </w:rPr>
          <w:t>https://www.cbd.int/doc/world/au/au-nr-03-en.pdf</w:t>
        </w:r>
      </w:hyperlink>
      <w:r w:rsidRPr="009F54B9">
        <w:rPr>
          <w:snapToGrid w:val="0"/>
          <w:color w:val="000000" w:themeColor="text1"/>
          <w:kern w:val="18"/>
          <w:szCs w:val="18"/>
          <w:shd w:val="clear" w:color="auto" w:fill="FFFFFF"/>
        </w:rPr>
        <w:t>, accessed on February 22, 2018.</w:t>
      </w:r>
    </w:p>
  </w:footnote>
  <w:footnote w:id="106">
    <w:p w14:paraId="4244932F"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shd w:val="clear" w:color="auto" w:fill="FFFFFF"/>
        </w:rPr>
      </w:pPr>
      <w:r w:rsidRPr="009F54B9">
        <w:rPr>
          <w:snapToGrid w:val="0"/>
          <w:color w:val="000000" w:themeColor="text1"/>
          <w:kern w:val="18"/>
          <w:szCs w:val="18"/>
          <w:shd w:val="clear" w:color="auto" w:fill="FFFFFF"/>
          <w:vertAlign w:val="superscript"/>
        </w:rPr>
        <w:footnoteRef/>
      </w:r>
      <w:r w:rsidRPr="009F54B9">
        <w:rPr>
          <w:snapToGrid w:val="0"/>
          <w:color w:val="000000" w:themeColor="text1"/>
          <w:kern w:val="18"/>
          <w:szCs w:val="18"/>
          <w:shd w:val="clear" w:color="auto" w:fill="FFFFFF"/>
          <w:vertAlign w:val="superscript"/>
        </w:rPr>
        <w:t xml:space="preserve"> </w:t>
      </w:r>
      <w:r w:rsidRPr="009F54B9">
        <w:rPr>
          <w:snapToGrid w:val="0"/>
          <w:color w:val="000000" w:themeColor="text1"/>
          <w:kern w:val="18"/>
          <w:szCs w:val="18"/>
          <w:shd w:val="clear" w:color="auto" w:fill="FFFFFF"/>
        </w:rPr>
        <w:t>URL: https://www.cbd.int/doc/world/br/br-nr-03-en.pdf, accessed on February 22, 2018.</w:t>
      </w:r>
    </w:p>
  </w:footnote>
  <w:footnote w:id="107">
    <w:p w14:paraId="5BCF41F2"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shd w:val="clear" w:color="auto" w:fill="FFFFFF"/>
        </w:rPr>
      </w:pPr>
      <w:r w:rsidRPr="009F54B9">
        <w:rPr>
          <w:snapToGrid w:val="0"/>
          <w:color w:val="000000" w:themeColor="text1"/>
          <w:kern w:val="18"/>
          <w:szCs w:val="18"/>
          <w:shd w:val="clear" w:color="auto" w:fill="FFFFFF"/>
          <w:vertAlign w:val="superscript"/>
        </w:rPr>
        <w:footnoteRef/>
      </w:r>
      <w:r w:rsidRPr="009F54B9">
        <w:rPr>
          <w:snapToGrid w:val="0"/>
          <w:color w:val="000000" w:themeColor="text1"/>
          <w:kern w:val="18"/>
          <w:szCs w:val="18"/>
          <w:shd w:val="clear" w:color="auto" w:fill="FFFFFF"/>
        </w:rPr>
        <w:t xml:space="preserve"> URL: </w:t>
      </w:r>
      <w:hyperlink r:id="rId36" w:history="1">
        <w:r w:rsidRPr="009F54B9">
          <w:rPr>
            <w:snapToGrid w:val="0"/>
            <w:color w:val="000000" w:themeColor="text1"/>
            <w:kern w:val="18"/>
            <w:szCs w:val="18"/>
            <w:shd w:val="clear" w:color="auto" w:fill="FFFFFF"/>
          </w:rPr>
          <w:t>https://www.cbd.int/doc/world/pt/pt-nr-03-en.pdf</w:t>
        </w:r>
      </w:hyperlink>
      <w:r w:rsidRPr="009F54B9">
        <w:rPr>
          <w:snapToGrid w:val="0"/>
          <w:color w:val="000000" w:themeColor="text1"/>
          <w:kern w:val="18"/>
          <w:szCs w:val="18"/>
          <w:shd w:val="clear" w:color="auto" w:fill="FFFFFF"/>
        </w:rPr>
        <w:t>, accessed on February 22, 2018.</w:t>
      </w:r>
    </w:p>
  </w:footnote>
  <w:footnote w:id="108">
    <w:p w14:paraId="3921D2E1"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snapToGrid w:val="0"/>
          <w:color w:val="000000" w:themeColor="text1"/>
          <w:kern w:val="18"/>
          <w:szCs w:val="18"/>
          <w:shd w:val="clear" w:color="auto" w:fill="FFFFFF"/>
          <w:vertAlign w:val="superscript"/>
        </w:rPr>
        <w:footnoteRef/>
      </w:r>
      <w:r w:rsidRPr="009F54B9">
        <w:rPr>
          <w:snapToGrid w:val="0"/>
          <w:color w:val="000000" w:themeColor="text1"/>
          <w:kern w:val="18"/>
          <w:szCs w:val="18"/>
          <w:shd w:val="clear" w:color="auto" w:fill="FFFFFF"/>
        </w:rPr>
        <w:t xml:space="preserve"> URL: </w:t>
      </w:r>
      <w:hyperlink r:id="rId37" w:history="1">
        <w:r w:rsidRPr="009F54B9">
          <w:rPr>
            <w:snapToGrid w:val="0"/>
            <w:color w:val="000000" w:themeColor="text1"/>
            <w:kern w:val="18"/>
            <w:szCs w:val="18"/>
            <w:shd w:val="clear" w:color="auto" w:fill="FFFFFF"/>
          </w:rPr>
          <w:t>https://www.cbd.int/doc/world/za/za-nr-03-en.pdf</w:t>
        </w:r>
      </w:hyperlink>
      <w:r w:rsidRPr="009F54B9">
        <w:rPr>
          <w:snapToGrid w:val="0"/>
          <w:color w:val="000000" w:themeColor="text1"/>
          <w:kern w:val="18"/>
          <w:szCs w:val="18"/>
          <w:shd w:val="clear" w:color="auto" w:fill="FFFFFF"/>
        </w:rPr>
        <w:t>, accessed on February 22, 2018.</w:t>
      </w:r>
    </w:p>
  </w:footnote>
  <w:footnote w:id="109">
    <w:p w14:paraId="61A3E624"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E</w:t>
      </w:r>
      <w:r w:rsidRPr="009F54B9">
        <w:rPr>
          <w:snapToGrid w:val="0"/>
          <w:color w:val="000000" w:themeColor="text1"/>
          <w:kern w:val="18"/>
          <w:sz w:val="18"/>
          <w:szCs w:val="18"/>
          <w:shd w:val="clear" w:color="auto" w:fill="FFFFFF"/>
        </w:rPr>
        <w:t xml:space="preserve">.g., Cadman, M., Petersen, C., Driver, A., </w:t>
      </w:r>
      <w:proofErr w:type="spellStart"/>
      <w:r w:rsidRPr="009F54B9">
        <w:rPr>
          <w:snapToGrid w:val="0"/>
          <w:color w:val="000000" w:themeColor="text1"/>
          <w:kern w:val="18"/>
          <w:sz w:val="18"/>
          <w:szCs w:val="18"/>
          <w:shd w:val="clear" w:color="auto" w:fill="FFFFFF"/>
        </w:rPr>
        <w:t>Sekhran</w:t>
      </w:r>
      <w:proofErr w:type="spellEnd"/>
      <w:r w:rsidRPr="009F54B9">
        <w:rPr>
          <w:snapToGrid w:val="0"/>
          <w:color w:val="000000" w:themeColor="text1"/>
          <w:kern w:val="18"/>
          <w:sz w:val="18"/>
          <w:szCs w:val="18"/>
          <w:shd w:val="clear" w:color="auto" w:fill="FFFFFF"/>
        </w:rPr>
        <w:t xml:space="preserve">, N., Maze, K., </w:t>
      </w:r>
      <w:proofErr w:type="spellStart"/>
      <w:r w:rsidRPr="009F54B9">
        <w:rPr>
          <w:snapToGrid w:val="0"/>
          <w:color w:val="000000" w:themeColor="text1"/>
          <w:kern w:val="18"/>
          <w:sz w:val="18"/>
          <w:szCs w:val="18"/>
          <w:shd w:val="clear" w:color="auto" w:fill="FFFFFF"/>
        </w:rPr>
        <w:t>Munzhedzi</w:t>
      </w:r>
      <w:proofErr w:type="spellEnd"/>
      <w:r w:rsidRPr="009F54B9">
        <w:rPr>
          <w:snapToGrid w:val="0"/>
          <w:color w:val="000000" w:themeColor="text1"/>
          <w:kern w:val="18"/>
          <w:sz w:val="18"/>
          <w:szCs w:val="18"/>
          <w:shd w:val="clear" w:color="auto" w:fill="FFFFFF"/>
        </w:rPr>
        <w:t xml:space="preserve">, S. (2010). Biodiversity for Development: South Africa’s landscape approach to conserving biodiversity and promoting ecosystem resilience. South African National Biodiversity Institute, Pretoria; </w:t>
      </w:r>
      <w:r w:rsidRPr="009F54B9">
        <w:rPr>
          <w:snapToGrid w:val="0"/>
          <w:kern w:val="18"/>
          <w:sz w:val="18"/>
          <w:szCs w:val="18"/>
        </w:rPr>
        <w:t>TEEB, 2010. The Economics of Ecosystems and Biodiversity: Ecological and Economic Foundations. UNEP/</w:t>
      </w:r>
      <w:proofErr w:type="spellStart"/>
      <w:r w:rsidRPr="009F54B9">
        <w:rPr>
          <w:snapToGrid w:val="0"/>
          <w:kern w:val="18"/>
          <w:sz w:val="18"/>
          <w:szCs w:val="18"/>
        </w:rPr>
        <w:t>Earthprint</w:t>
      </w:r>
      <w:proofErr w:type="spellEnd"/>
      <w:r w:rsidRPr="009F54B9">
        <w:rPr>
          <w:snapToGrid w:val="0"/>
          <w:kern w:val="18"/>
          <w:sz w:val="18"/>
          <w:szCs w:val="18"/>
        </w:rPr>
        <w:t>: London.</w:t>
      </w:r>
    </w:p>
  </w:footnote>
  <w:footnote w:id="110">
    <w:p w14:paraId="67C0DC33"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proofErr w:type="spellStart"/>
      <w:r w:rsidRPr="009F54B9">
        <w:rPr>
          <w:snapToGrid w:val="0"/>
          <w:color w:val="000000" w:themeColor="text1"/>
          <w:kern w:val="18"/>
          <w:szCs w:val="18"/>
          <w:shd w:val="clear" w:color="auto" w:fill="FFFFFF"/>
        </w:rPr>
        <w:t>Houdet</w:t>
      </w:r>
      <w:proofErr w:type="spellEnd"/>
      <w:r w:rsidRPr="009F54B9">
        <w:rPr>
          <w:snapToGrid w:val="0"/>
          <w:color w:val="000000" w:themeColor="text1"/>
          <w:kern w:val="18"/>
          <w:szCs w:val="18"/>
          <w:shd w:val="clear" w:color="auto" w:fill="FFFFFF"/>
        </w:rPr>
        <w:t xml:space="preserve">, J., </w:t>
      </w:r>
      <w:proofErr w:type="spellStart"/>
      <w:r w:rsidRPr="009F54B9">
        <w:rPr>
          <w:snapToGrid w:val="0"/>
          <w:color w:val="000000" w:themeColor="text1"/>
          <w:kern w:val="18"/>
          <w:szCs w:val="18"/>
          <w:shd w:val="clear" w:color="auto" w:fill="FFFFFF"/>
        </w:rPr>
        <w:t>Trommetter</w:t>
      </w:r>
      <w:proofErr w:type="spellEnd"/>
      <w:r w:rsidRPr="009F54B9">
        <w:rPr>
          <w:snapToGrid w:val="0"/>
          <w:color w:val="000000" w:themeColor="text1"/>
          <w:kern w:val="18"/>
          <w:szCs w:val="18"/>
          <w:shd w:val="clear" w:color="auto" w:fill="FFFFFF"/>
        </w:rPr>
        <w:t>, M., Weber, J. (2012). Understanding changes in business strategies regarding biodiversity and ecosystem services. Ecological Economics 73: 37-46.</w:t>
      </w:r>
    </w:p>
  </w:footnote>
  <w:footnote w:id="111">
    <w:p w14:paraId="6CCC8AA8"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E.g., </w:t>
      </w:r>
      <w:r w:rsidRPr="009F54B9">
        <w:rPr>
          <w:snapToGrid w:val="0"/>
          <w:color w:val="000000" w:themeColor="text1"/>
          <w:kern w:val="18"/>
          <w:szCs w:val="18"/>
          <w:shd w:val="clear" w:color="auto" w:fill="FFFFFF"/>
        </w:rPr>
        <w:t>IIED – UNEP WCMC (2014). Developing a ‘business case’ for biodiversity Tips and tasks for influencing government and the private sector. 16p.; SANBI (2017). The business case for biodiversity stewardship. A report produced for the Department of Environmental Affairs. Developed by Cumming, T., Driver, A., Pillay, P., Martindale, G., Purnell, K., McCann, K. &amp; Maree, K. South African National Biodiversity Institute, Pretoria; UNEP Finance Initiative (2007). Biodiversity and ecosystem services: A financial sector briefing, 12p.</w:t>
      </w:r>
    </w:p>
  </w:footnote>
  <w:footnote w:id="112">
    <w:p w14:paraId="7DF05214"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proofErr w:type="spellStart"/>
      <w:r w:rsidRPr="009F54B9">
        <w:rPr>
          <w:snapToGrid w:val="0"/>
          <w:kern w:val="18"/>
          <w:szCs w:val="18"/>
        </w:rPr>
        <w:t>Waage</w:t>
      </w:r>
      <w:proofErr w:type="spellEnd"/>
      <w:r w:rsidRPr="009F54B9">
        <w:rPr>
          <w:snapToGrid w:val="0"/>
          <w:kern w:val="18"/>
          <w:szCs w:val="18"/>
        </w:rPr>
        <w:t>, S. (2014). Making sense of new approaches to business risk and opportunity assessment. BSR.</w:t>
      </w:r>
    </w:p>
  </w:footnote>
  <w:footnote w:id="113">
    <w:p w14:paraId="0789BDA2"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Natural Capital Coalition (2014). Valuing natural capital in business. Towards a harmonised protocol. ICAEW: London.</w:t>
      </w:r>
    </w:p>
  </w:footnote>
  <w:footnote w:id="114">
    <w:p w14:paraId="4A3CA6C6"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TEEB (2012). The Economics of Ecosystems and Biodiversity in Business and Enterprise. Edited by Joshua Bishop. Earthscan, London and New York.</w:t>
      </w:r>
    </w:p>
  </w:footnote>
  <w:footnote w:id="115">
    <w:p w14:paraId="13D6D93E"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spacing w:val="-1"/>
          <w:kern w:val="18"/>
          <w:szCs w:val="18"/>
        </w:rPr>
      </w:pPr>
      <w:r w:rsidRPr="009F54B9">
        <w:rPr>
          <w:rStyle w:val="FootnoteReference"/>
          <w:snapToGrid w:val="0"/>
          <w:spacing w:val="-1"/>
          <w:kern w:val="18"/>
          <w:sz w:val="18"/>
          <w:szCs w:val="18"/>
        </w:rPr>
        <w:footnoteRef/>
      </w:r>
      <w:r w:rsidRPr="009F54B9">
        <w:rPr>
          <w:snapToGrid w:val="0"/>
          <w:spacing w:val="-1"/>
          <w:kern w:val="18"/>
          <w:szCs w:val="18"/>
        </w:rPr>
        <w:t xml:space="preserve"> </w:t>
      </w:r>
      <w:proofErr w:type="spellStart"/>
      <w:r w:rsidRPr="009F54B9">
        <w:rPr>
          <w:snapToGrid w:val="0"/>
          <w:spacing w:val="-1"/>
          <w:kern w:val="18"/>
          <w:szCs w:val="18"/>
        </w:rPr>
        <w:t>Dendoncker</w:t>
      </w:r>
      <w:proofErr w:type="spellEnd"/>
      <w:r w:rsidRPr="009F54B9">
        <w:rPr>
          <w:snapToGrid w:val="0"/>
          <w:spacing w:val="-1"/>
          <w:kern w:val="18"/>
          <w:szCs w:val="18"/>
        </w:rPr>
        <w:t>, N., Keene, H., Jacobs, S., Gómez-</w:t>
      </w:r>
      <w:proofErr w:type="spellStart"/>
      <w:r w:rsidRPr="009F54B9">
        <w:rPr>
          <w:snapToGrid w:val="0"/>
          <w:spacing w:val="-1"/>
          <w:kern w:val="18"/>
          <w:szCs w:val="18"/>
        </w:rPr>
        <w:t>Baggethun</w:t>
      </w:r>
      <w:proofErr w:type="spellEnd"/>
      <w:r w:rsidRPr="009F54B9">
        <w:rPr>
          <w:snapToGrid w:val="0"/>
          <w:spacing w:val="-1"/>
          <w:kern w:val="18"/>
          <w:szCs w:val="18"/>
        </w:rPr>
        <w:t xml:space="preserve">, E. (2013). Inclusive ecosystem services valuation. In S. Jacobs, N. </w:t>
      </w:r>
      <w:proofErr w:type="spellStart"/>
      <w:r w:rsidRPr="009F54B9">
        <w:rPr>
          <w:snapToGrid w:val="0"/>
          <w:spacing w:val="-1"/>
          <w:kern w:val="18"/>
          <w:szCs w:val="18"/>
        </w:rPr>
        <w:t>Dendoncker</w:t>
      </w:r>
      <w:proofErr w:type="spellEnd"/>
      <w:r w:rsidRPr="009F54B9">
        <w:rPr>
          <w:snapToGrid w:val="0"/>
          <w:spacing w:val="-1"/>
          <w:kern w:val="18"/>
          <w:szCs w:val="18"/>
        </w:rPr>
        <w:t xml:space="preserve"> and H. Keene (eds), Ecosystem services: Global issues, local practices, San Diego and Waltham, US: Elsevier, pp. 3-12.</w:t>
      </w:r>
    </w:p>
  </w:footnote>
  <w:footnote w:id="116">
    <w:p w14:paraId="3458D4CC"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E.g., Guan, Y. (2014). Reporting on Biodiversity and Ecosystem Services under the GRI – Case Study in the Global Forest Sector. Master thesis, 91p. URL: </w:t>
      </w:r>
      <w:hyperlink r:id="rId38" w:history="1">
        <w:r w:rsidRPr="009F54B9">
          <w:rPr>
            <w:rStyle w:val="Hyperlink"/>
            <w:snapToGrid w:val="0"/>
            <w:kern w:val="18"/>
            <w:szCs w:val="18"/>
          </w:rPr>
          <w:t>https://helda.helsinki.fi/bitstream/handle/10138/154155/reportin.pdf;sequence=1</w:t>
        </w:r>
      </w:hyperlink>
      <w:r w:rsidRPr="009F54B9">
        <w:rPr>
          <w:snapToGrid w:val="0"/>
          <w:kern w:val="18"/>
          <w:sz w:val="18"/>
          <w:szCs w:val="18"/>
        </w:rPr>
        <w:t xml:space="preserve">, accessed on January 12, 2018. ; </w:t>
      </w:r>
      <w:proofErr w:type="spellStart"/>
      <w:r w:rsidRPr="009F54B9">
        <w:rPr>
          <w:snapToGrid w:val="0"/>
          <w:color w:val="000000" w:themeColor="text1"/>
          <w:kern w:val="18"/>
          <w:sz w:val="18"/>
          <w:szCs w:val="18"/>
          <w:shd w:val="clear" w:color="auto" w:fill="FFFFFF"/>
        </w:rPr>
        <w:t>Houdet</w:t>
      </w:r>
      <w:proofErr w:type="spellEnd"/>
      <w:r w:rsidRPr="009F54B9">
        <w:rPr>
          <w:snapToGrid w:val="0"/>
          <w:color w:val="000000" w:themeColor="text1"/>
          <w:kern w:val="18"/>
          <w:sz w:val="18"/>
          <w:szCs w:val="18"/>
          <w:shd w:val="clear" w:color="auto" w:fill="FFFFFF"/>
        </w:rPr>
        <w:t xml:space="preserve">, J., </w:t>
      </w:r>
      <w:proofErr w:type="spellStart"/>
      <w:r w:rsidRPr="009F54B9">
        <w:rPr>
          <w:snapToGrid w:val="0"/>
          <w:color w:val="000000" w:themeColor="text1"/>
          <w:kern w:val="18"/>
          <w:sz w:val="18"/>
          <w:szCs w:val="18"/>
          <w:shd w:val="clear" w:color="auto" w:fill="FFFFFF"/>
        </w:rPr>
        <w:t>Trommetter</w:t>
      </w:r>
      <w:proofErr w:type="spellEnd"/>
      <w:r w:rsidRPr="009F54B9">
        <w:rPr>
          <w:snapToGrid w:val="0"/>
          <w:color w:val="000000" w:themeColor="text1"/>
          <w:kern w:val="18"/>
          <w:sz w:val="18"/>
          <w:szCs w:val="18"/>
          <w:shd w:val="clear" w:color="auto" w:fill="FFFFFF"/>
        </w:rPr>
        <w:t xml:space="preserve">, M., Weber, J., 2010. Promoting business reporting standards for biodiversity and ecosystem services. The Biodiversity Accountability Framework. </w:t>
      </w:r>
      <w:proofErr w:type="spellStart"/>
      <w:r w:rsidRPr="009F54B9">
        <w:rPr>
          <w:snapToGrid w:val="0"/>
          <w:color w:val="000000" w:themeColor="text1"/>
          <w:kern w:val="18"/>
          <w:sz w:val="18"/>
          <w:szCs w:val="18"/>
          <w:shd w:val="clear" w:color="auto" w:fill="FFFFFF"/>
        </w:rPr>
        <w:t>Orée</w:t>
      </w:r>
      <w:proofErr w:type="spellEnd"/>
      <w:r w:rsidRPr="009F54B9">
        <w:rPr>
          <w:snapToGrid w:val="0"/>
          <w:color w:val="000000" w:themeColor="text1"/>
          <w:kern w:val="18"/>
          <w:sz w:val="18"/>
          <w:szCs w:val="18"/>
          <w:shd w:val="clear" w:color="auto" w:fill="FFFFFF"/>
        </w:rPr>
        <w:t xml:space="preserve"> - FRB, 16p.</w:t>
      </w:r>
    </w:p>
  </w:footnote>
  <w:footnote w:id="117">
    <w:p w14:paraId="4EE87591"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w:t>
      </w:r>
      <w:hyperlink r:id="rId39" w:history="1">
        <w:r w:rsidRPr="009F54B9">
          <w:rPr>
            <w:rStyle w:val="Hyperlink"/>
            <w:snapToGrid w:val="0"/>
            <w:kern w:val="18"/>
            <w:szCs w:val="18"/>
          </w:rPr>
          <w:t>http://www.ghgprotocol.org/</w:t>
        </w:r>
      </w:hyperlink>
      <w:r w:rsidRPr="009F54B9">
        <w:rPr>
          <w:snapToGrid w:val="0"/>
          <w:kern w:val="18"/>
          <w:szCs w:val="18"/>
        </w:rPr>
        <w:t>, accessed on January 12, 2018.</w:t>
      </w:r>
    </w:p>
  </w:footnote>
  <w:footnote w:id="118">
    <w:p w14:paraId="46F32540"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Gómez-</w:t>
      </w:r>
      <w:proofErr w:type="spellStart"/>
      <w:r w:rsidRPr="009F54B9">
        <w:rPr>
          <w:snapToGrid w:val="0"/>
          <w:kern w:val="18"/>
          <w:szCs w:val="18"/>
        </w:rPr>
        <w:t>Baggethun</w:t>
      </w:r>
      <w:proofErr w:type="spellEnd"/>
      <w:r w:rsidRPr="009F54B9">
        <w:rPr>
          <w:snapToGrid w:val="0"/>
          <w:kern w:val="18"/>
          <w:szCs w:val="18"/>
        </w:rPr>
        <w:t xml:space="preserve">, E., Martín Lopez, B., Barton, D., </w:t>
      </w:r>
      <w:proofErr w:type="spellStart"/>
      <w:r w:rsidRPr="009F54B9">
        <w:rPr>
          <w:snapToGrid w:val="0"/>
          <w:kern w:val="18"/>
          <w:szCs w:val="18"/>
        </w:rPr>
        <w:t>Braat</w:t>
      </w:r>
      <w:proofErr w:type="spellEnd"/>
      <w:r w:rsidRPr="009F54B9">
        <w:rPr>
          <w:snapToGrid w:val="0"/>
          <w:kern w:val="18"/>
          <w:szCs w:val="18"/>
        </w:rPr>
        <w:t xml:space="preserve">, L., </w:t>
      </w:r>
      <w:proofErr w:type="spellStart"/>
      <w:r w:rsidRPr="009F54B9">
        <w:rPr>
          <w:snapToGrid w:val="0"/>
          <w:kern w:val="18"/>
          <w:szCs w:val="18"/>
        </w:rPr>
        <w:t>Saarikoski</w:t>
      </w:r>
      <w:proofErr w:type="spellEnd"/>
      <w:r w:rsidRPr="009F54B9">
        <w:rPr>
          <w:snapToGrid w:val="0"/>
          <w:kern w:val="18"/>
          <w:szCs w:val="18"/>
        </w:rPr>
        <w:t>, H., Kelemen, M., García-</w:t>
      </w:r>
      <w:proofErr w:type="spellStart"/>
      <w:r w:rsidRPr="009F54B9">
        <w:rPr>
          <w:snapToGrid w:val="0"/>
          <w:kern w:val="18"/>
          <w:szCs w:val="18"/>
        </w:rPr>
        <w:t>Llorente</w:t>
      </w:r>
      <w:proofErr w:type="spellEnd"/>
      <w:r w:rsidRPr="009F54B9">
        <w:rPr>
          <w:snapToGrid w:val="0"/>
          <w:kern w:val="18"/>
          <w:szCs w:val="18"/>
        </w:rPr>
        <w:t xml:space="preserve">, E., van den Bergh, J., Arias, P., Berry, P., </w:t>
      </w:r>
      <w:proofErr w:type="spellStart"/>
      <w:r w:rsidRPr="009F54B9">
        <w:rPr>
          <w:snapToGrid w:val="0"/>
          <w:kern w:val="18"/>
          <w:szCs w:val="18"/>
        </w:rPr>
        <w:t>Potschin</w:t>
      </w:r>
      <w:proofErr w:type="spellEnd"/>
      <w:r w:rsidRPr="009F54B9">
        <w:rPr>
          <w:snapToGrid w:val="0"/>
          <w:kern w:val="18"/>
          <w:szCs w:val="18"/>
        </w:rPr>
        <w:t xml:space="preserve">, L.M., Keene, H., Dunford, R., </w:t>
      </w:r>
      <w:proofErr w:type="spellStart"/>
      <w:r w:rsidRPr="009F54B9">
        <w:rPr>
          <w:snapToGrid w:val="0"/>
          <w:kern w:val="18"/>
          <w:szCs w:val="18"/>
        </w:rPr>
        <w:t>Schröter-Schlaack</w:t>
      </w:r>
      <w:proofErr w:type="spellEnd"/>
      <w:r w:rsidRPr="009F54B9">
        <w:rPr>
          <w:snapToGrid w:val="0"/>
          <w:kern w:val="18"/>
          <w:szCs w:val="18"/>
        </w:rPr>
        <w:t xml:space="preserve">, C., Harrison, P. (2014). State-of-the-art report on integrated valuation of ecosystem services. European Commission FP7 </w:t>
      </w:r>
      <w:proofErr w:type="spellStart"/>
      <w:r w:rsidRPr="009F54B9">
        <w:rPr>
          <w:snapToGrid w:val="0"/>
          <w:kern w:val="18"/>
          <w:szCs w:val="18"/>
        </w:rPr>
        <w:t>FP7</w:t>
      </w:r>
      <w:proofErr w:type="spellEnd"/>
      <w:r w:rsidRPr="009F54B9">
        <w:rPr>
          <w:snapToGrid w:val="0"/>
          <w:kern w:val="18"/>
          <w:szCs w:val="18"/>
        </w:rPr>
        <w:t xml:space="preserve"> </w:t>
      </w:r>
      <w:proofErr w:type="spellStart"/>
      <w:r w:rsidRPr="009F54B9">
        <w:rPr>
          <w:snapToGrid w:val="0"/>
          <w:kern w:val="18"/>
          <w:szCs w:val="18"/>
        </w:rPr>
        <w:t>OpenNESS</w:t>
      </w:r>
      <w:proofErr w:type="spellEnd"/>
      <w:r w:rsidRPr="009F54B9">
        <w:rPr>
          <w:snapToGrid w:val="0"/>
          <w:kern w:val="18"/>
          <w:szCs w:val="18"/>
        </w:rPr>
        <w:t xml:space="preserve"> Project Deliverable 4.1., 33p.</w:t>
      </w:r>
    </w:p>
  </w:footnote>
  <w:footnote w:id="119">
    <w:p w14:paraId="78E8DF77"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spacing w:val="-2"/>
          <w:kern w:val="18"/>
          <w:sz w:val="18"/>
          <w:szCs w:val="18"/>
        </w:rPr>
      </w:pPr>
      <w:r w:rsidRPr="009F54B9">
        <w:rPr>
          <w:rStyle w:val="FootnoteReference"/>
          <w:snapToGrid w:val="0"/>
          <w:spacing w:val="-2"/>
          <w:kern w:val="18"/>
          <w:sz w:val="18"/>
          <w:szCs w:val="18"/>
        </w:rPr>
        <w:footnoteRef/>
      </w:r>
      <w:r w:rsidRPr="009F54B9">
        <w:rPr>
          <w:snapToGrid w:val="0"/>
          <w:spacing w:val="-2"/>
          <w:kern w:val="18"/>
          <w:sz w:val="18"/>
          <w:szCs w:val="18"/>
        </w:rPr>
        <w:t xml:space="preserve"> TEEB, 2010. The Economics of Ecosystems and Biodiversity: Ecological and Economic Foundations. UNEP/</w:t>
      </w:r>
      <w:proofErr w:type="spellStart"/>
      <w:r w:rsidRPr="009F54B9">
        <w:rPr>
          <w:snapToGrid w:val="0"/>
          <w:spacing w:val="-2"/>
          <w:kern w:val="18"/>
          <w:sz w:val="18"/>
          <w:szCs w:val="18"/>
        </w:rPr>
        <w:t>Earthprint</w:t>
      </w:r>
      <w:proofErr w:type="spellEnd"/>
      <w:r w:rsidRPr="009F54B9">
        <w:rPr>
          <w:snapToGrid w:val="0"/>
          <w:spacing w:val="-2"/>
          <w:kern w:val="18"/>
          <w:sz w:val="18"/>
          <w:szCs w:val="18"/>
        </w:rPr>
        <w:t>: London.</w:t>
      </w:r>
    </w:p>
  </w:footnote>
  <w:footnote w:id="120">
    <w:p w14:paraId="18D1C28E"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proofErr w:type="spellStart"/>
      <w:r w:rsidRPr="009F54B9">
        <w:rPr>
          <w:snapToGrid w:val="0"/>
          <w:kern w:val="18"/>
          <w:szCs w:val="18"/>
        </w:rPr>
        <w:t>Houdet</w:t>
      </w:r>
      <w:proofErr w:type="spellEnd"/>
      <w:r w:rsidRPr="009F54B9">
        <w:rPr>
          <w:snapToGrid w:val="0"/>
          <w:kern w:val="18"/>
          <w:szCs w:val="18"/>
        </w:rPr>
        <w:t xml:space="preserve">, J., </w:t>
      </w:r>
      <w:proofErr w:type="spellStart"/>
      <w:r w:rsidRPr="009F54B9">
        <w:rPr>
          <w:snapToGrid w:val="0"/>
          <w:kern w:val="18"/>
          <w:szCs w:val="18"/>
        </w:rPr>
        <w:t>Chikozho</w:t>
      </w:r>
      <w:proofErr w:type="spellEnd"/>
      <w:r w:rsidRPr="009F54B9">
        <w:rPr>
          <w:snapToGrid w:val="0"/>
          <w:kern w:val="18"/>
          <w:szCs w:val="18"/>
        </w:rPr>
        <w:t>, C. (2015). The Valuation of ecosystem services in South African Environmental Impact Assessments. Review of selected mining case studies and implications for policy. The Journal of Corporate Citizenship Issue 60, 58-79.</w:t>
      </w:r>
    </w:p>
  </w:footnote>
  <w:footnote w:id="121">
    <w:p w14:paraId="422191D6"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Ruhl, J.B., Kant, S.E., </w:t>
      </w:r>
      <w:proofErr w:type="spellStart"/>
      <w:r w:rsidRPr="009F54B9">
        <w:rPr>
          <w:snapToGrid w:val="0"/>
          <w:kern w:val="18"/>
          <w:szCs w:val="18"/>
        </w:rPr>
        <w:t>Lant</w:t>
      </w:r>
      <w:proofErr w:type="spellEnd"/>
      <w:r w:rsidRPr="009F54B9">
        <w:rPr>
          <w:snapToGrid w:val="0"/>
          <w:kern w:val="18"/>
          <w:szCs w:val="18"/>
        </w:rPr>
        <w:t>, C.L. (2007). The law and policy of ecosystem services. Island Press, 360p.</w:t>
      </w:r>
    </w:p>
  </w:footnote>
  <w:footnote w:id="122">
    <w:p w14:paraId="1CE486D3"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Maze, K., Barnett, M., Botts, E.A., Stephens, A., Freedman, M., Guenther, L. (2016). Making the case for biodiversity in South Africa: Re-framing biodiversity communications. </w:t>
      </w:r>
      <w:proofErr w:type="spellStart"/>
      <w:r w:rsidRPr="009F54B9">
        <w:rPr>
          <w:snapToGrid w:val="0"/>
          <w:kern w:val="18"/>
          <w:szCs w:val="18"/>
        </w:rPr>
        <w:t>Bothalia</w:t>
      </w:r>
      <w:proofErr w:type="spellEnd"/>
      <w:r w:rsidRPr="009F54B9">
        <w:rPr>
          <w:snapToGrid w:val="0"/>
          <w:kern w:val="18"/>
          <w:szCs w:val="18"/>
        </w:rPr>
        <w:t xml:space="preserve"> 46(1), a2039. http://dx.doi. org/10.4102/abc.v46i1.2039</w:t>
      </w:r>
    </w:p>
  </w:footnote>
  <w:footnote w:id="123">
    <w:p w14:paraId="06151C74"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spacing w:val="-3"/>
          <w:kern w:val="18"/>
          <w:sz w:val="18"/>
          <w:szCs w:val="18"/>
        </w:rPr>
      </w:pPr>
      <w:r w:rsidRPr="009F54B9">
        <w:rPr>
          <w:rStyle w:val="FootnoteReference"/>
          <w:snapToGrid w:val="0"/>
          <w:spacing w:val="-3"/>
          <w:kern w:val="18"/>
          <w:sz w:val="18"/>
          <w:szCs w:val="18"/>
        </w:rPr>
        <w:footnoteRef/>
      </w:r>
      <w:r w:rsidRPr="009F54B9">
        <w:rPr>
          <w:snapToGrid w:val="0"/>
          <w:spacing w:val="-3"/>
          <w:kern w:val="18"/>
          <w:sz w:val="18"/>
          <w:szCs w:val="18"/>
        </w:rPr>
        <w:t xml:space="preserve"> </w:t>
      </w:r>
      <w:r w:rsidRPr="009F54B9">
        <w:rPr>
          <w:rFonts w:eastAsia="Times"/>
          <w:snapToGrid w:val="0"/>
          <w:spacing w:val="-3"/>
          <w:kern w:val="18"/>
          <w:sz w:val="18"/>
          <w:szCs w:val="18"/>
        </w:rPr>
        <w:t xml:space="preserve">Pascual, U., </w:t>
      </w:r>
      <w:proofErr w:type="spellStart"/>
      <w:r w:rsidRPr="009F54B9">
        <w:rPr>
          <w:rFonts w:eastAsia="Times"/>
          <w:snapToGrid w:val="0"/>
          <w:spacing w:val="-3"/>
          <w:kern w:val="18"/>
          <w:sz w:val="18"/>
          <w:szCs w:val="18"/>
        </w:rPr>
        <w:t>Balvanera</w:t>
      </w:r>
      <w:proofErr w:type="spellEnd"/>
      <w:r w:rsidRPr="009F54B9">
        <w:rPr>
          <w:rFonts w:eastAsia="Times"/>
          <w:snapToGrid w:val="0"/>
          <w:spacing w:val="-3"/>
          <w:kern w:val="18"/>
          <w:sz w:val="18"/>
          <w:szCs w:val="18"/>
        </w:rPr>
        <w:t xml:space="preserve">, P., Diaz, D., Pataki, P., Roth, E., </w:t>
      </w:r>
      <w:proofErr w:type="spellStart"/>
      <w:r w:rsidRPr="009F54B9">
        <w:rPr>
          <w:rFonts w:eastAsia="Times"/>
          <w:snapToGrid w:val="0"/>
          <w:spacing w:val="-3"/>
          <w:kern w:val="18"/>
          <w:sz w:val="18"/>
          <w:szCs w:val="18"/>
        </w:rPr>
        <w:t>Stenseke</w:t>
      </w:r>
      <w:proofErr w:type="spellEnd"/>
      <w:r w:rsidRPr="009F54B9">
        <w:rPr>
          <w:rFonts w:eastAsia="Times"/>
          <w:snapToGrid w:val="0"/>
          <w:spacing w:val="-3"/>
          <w:kern w:val="18"/>
          <w:sz w:val="18"/>
          <w:szCs w:val="18"/>
        </w:rPr>
        <w:t xml:space="preserve">, M., Watson, R.T., </w:t>
      </w:r>
      <w:proofErr w:type="spellStart"/>
      <w:r w:rsidRPr="009F54B9">
        <w:rPr>
          <w:rFonts w:eastAsia="Times"/>
          <w:snapToGrid w:val="0"/>
          <w:spacing w:val="-3"/>
          <w:kern w:val="18"/>
          <w:sz w:val="18"/>
          <w:szCs w:val="18"/>
        </w:rPr>
        <w:t>Dessane</w:t>
      </w:r>
      <w:proofErr w:type="spellEnd"/>
      <w:r w:rsidRPr="009F54B9">
        <w:rPr>
          <w:rFonts w:eastAsia="Times"/>
          <w:snapToGrid w:val="0"/>
          <w:spacing w:val="-3"/>
          <w:kern w:val="18"/>
          <w:sz w:val="18"/>
          <w:szCs w:val="18"/>
        </w:rPr>
        <w:t xml:space="preserve">, E.B., </w:t>
      </w:r>
      <w:proofErr w:type="spellStart"/>
      <w:r w:rsidRPr="009F54B9">
        <w:rPr>
          <w:rFonts w:eastAsia="Times"/>
          <w:snapToGrid w:val="0"/>
          <w:spacing w:val="-3"/>
          <w:kern w:val="18"/>
          <w:sz w:val="18"/>
          <w:szCs w:val="18"/>
        </w:rPr>
        <w:t>Islar</w:t>
      </w:r>
      <w:proofErr w:type="spellEnd"/>
      <w:r w:rsidRPr="009F54B9">
        <w:rPr>
          <w:rFonts w:eastAsia="Times"/>
          <w:snapToGrid w:val="0"/>
          <w:spacing w:val="-3"/>
          <w:kern w:val="18"/>
          <w:sz w:val="18"/>
          <w:szCs w:val="18"/>
        </w:rPr>
        <w:t xml:space="preserve">, M., Kelemen, E., Maris, V., </w:t>
      </w:r>
      <w:proofErr w:type="spellStart"/>
      <w:r w:rsidRPr="009F54B9">
        <w:rPr>
          <w:rFonts w:eastAsia="Times"/>
          <w:snapToGrid w:val="0"/>
          <w:spacing w:val="-3"/>
          <w:kern w:val="18"/>
          <w:sz w:val="18"/>
          <w:szCs w:val="18"/>
        </w:rPr>
        <w:t>Quaas</w:t>
      </w:r>
      <w:proofErr w:type="spellEnd"/>
      <w:r w:rsidRPr="009F54B9">
        <w:rPr>
          <w:rFonts w:eastAsia="Times"/>
          <w:snapToGrid w:val="0"/>
          <w:spacing w:val="-3"/>
          <w:kern w:val="18"/>
          <w:sz w:val="18"/>
          <w:szCs w:val="18"/>
        </w:rPr>
        <w:t xml:space="preserve">, M., Subramanian, S.M., </w:t>
      </w:r>
      <w:proofErr w:type="spellStart"/>
      <w:r w:rsidRPr="009F54B9">
        <w:rPr>
          <w:rFonts w:eastAsia="Times"/>
          <w:snapToGrid w:val="0"/>
          <w:spacing w:val="-3"/>
          <w:kern w:val="18"/>
          <w:sz w:val="18"/>
          <w:szCs w:val="18"/>
        </w:rPr>
        <w:t>Wittmer</w:t>
      </w:r>
      <w:proofErr w:type="spellEnd"/>
      <w:r w:rsidRPr="009F54B9">
        <w:rPr>
          <w:rFonts w:eastAsia="Times"/>
          <w:snapToGrid w:val="0"/>
          <w:spacing w:val="-3"/>
          <w:kern w:val="18"/>
          <w:sz w:val="18"/>
          <w:szCs w:val="18"/>
        </w:rPr>
        <w:t xml:space="preserve">, H., </w:t>
      </w:r>
      <w:proofErr w:type="spellStart"/>
      <w:r w:rsidRPr="009F54B9">
        <w:rPr>
          <w:rFonts w:eastAsia="Times"/>
          <w:snapToGrid w:val="0"/>
          <w:spacing w:val="-3"/>
          <w:kern w:val="18"/>
          <w:sz w:val="18"/>
          <w:szCs w:val="18"/>
        </w:rPr>
        <w:t>Adlan</w:t>
      </w:r>
      <w:proofErr w:type="spellEnd"/>
      <w:r w:rsidRPr="009F54B9">
        <w:rPr>
          <w:rFonts w:eastAsia="Times"/>
          <w:snapToGrid w:val="0"/>
          <w:spacing w:val="-3"/>
          <w:kern w:val="18"/>
          <w:sz w:val="18"/>
          <w:szCs w:val="18"/>
        </w:rPr>
        <w:t xml:space="preserve">, A., </w:t>
      </w:r>
      <w:proofErr w:type="spellStart"/>
      <w:r w:rsidRPr="009F54B9">
        <w:rPr>
          <w:rFonts w:eastAsia="Times"/>
          <w:snapToGrid w:val="0"/>
          <w:spacing w:val="-3"/>
          <w:kern w:val="18"/>
          <w:sz w:val="18"/>
          <w:szCs w:val="18"/>
        </w:rPr>
        <w:t>Ahn</w:t>
      </w:r>
      <w:proofErr w:type="spellEnd"/>
      <w:r w:rsidRPr="009F54B9">
        <w:rPr>
          <w:rFonts w:eastAsia="Times"/>
          <w:snapToGrid w:val="0"/>
          <w:spacing w:val="-3"/>
          <w:kern w:val="18"/>
          <w:sz w:val="18"/>
          <w:szCs w:val="18"/>
        </w:rPr>
        <w:t>, S., Al-</w:t>
      </w:r>
      <w:proofErr w:type="spellStart"/>
      <w:r w:rsidRPr="009F54B9">
        <w:rPr>
          <w:rFonts w:eastAsia="Times"/>
          <w:snapToGrid w:val="0"/>
          <w:spacing w:val="-3"/>
          <w:kern w:val="18"/>
          <w:sz w:val="18"/>
          <w:szCs w:val="18"/>
        </w:rPr>
        <w:t>Hafedh</w:t>
      </w:r>
      <w:proofErr w:type="spellEnd"/>
      <w:r w:rsidRPr="009F54B9">
        <w:rPr>
          <w:rFonts w:eastAsia="Times"/>
          <w:snapToGrid w:val="0"/>
          <w:spacing w:val="-3"/>
          <w:kern w:val="18"/>
          <w:sz w:val="18"/>
          <w:szCs w:val="18"/>
        </w:rPr>
        <w:t xml:space="preserve">, Y.S., </w:t>
      </w:r>
      <w:proofErr w:type="spellStart"/>
      <w:r w:rsidRPr="009F54B9">
        <w:rPr>
          <w:rFonts w:eastAsia="Times"/>
          <w:snapToGrid w:val="0"/>
          <w:spacing w:val="-3"/>
          <w:kern w:val="18"/>
          <w:sz w:val="18"/>
          <w:szCs w:val="18"/>
        </w:rPr>
        <w:t>Amankwah</w:t>
      </w:r>
      <w:proofErr w:type="spellEnd"/>
      <w:r w:rsidRPr="009F54B9">
        <w:rPr>
          <w:rFonts w:eastAsia="Times"/>
          <w:snapToGrid w:val="0"/>
          <w:spacing w:val="-3"/>
          <w:kern w:val="18"/>
          <w:sz w:val="18"/>
          <w:szCs w:val="18"/>
        </w:rPr>
        <w:t xml:space="preserve">, E., </w:t>
      </w:r>
      <w:proofErr w:type="spellStart"/>
      <w:r w:rsidRPr="009F54B9">
        <w:rPr>
          <w:rFonts w:eastAsia="Times"/>
          <w:snapToGrid w:val="0"/>
          <w:spacing w:val="-3"/>
          <w:kern w:val="18"/>
          <w:sz w:val="18"/>
          <w:szCs w:val="18"/>
        </w:rPr>
        <w:t>Asah</w:t>
      </w:r>
      <w:proofErr w:type="spellEnd"/>
      <w:r w:rsidRPr="009F54B9">
        <w:rPr>
          <w:rFonts w:eastAsia="Times"/>
          <w:snapToGrid w:val="0"/>
          <w:spacing w:val="-3"/>
          <w:kern w:val="18"/>
          <w:sz w:val="18"/>
          <w:szCs w:val="18"/>
        </w:rPr>
        <w:t xml:space="preserve">, S.T., Berry, P., </w:t>
      </w:r>
      <w:proofErr w:type="spellStart"/>
      <w:r w:rsidRPr="009F54B9">
        <w:rPr>
          <w:rFonts w:eastAsia="Times"/>
          <w:snapToGrid w:val="0"/>
          <w:spacing w:val="-3"/>
          <w:kern w:val="18"/>
          <w:sz w:val="18"/>
          <w:szCs w:val="18"/>
        </w:rPr>
        <w:t>Bilgin</w:t>
      </w:r>
      <w:proofErr w:type="spellEnd"/>
      <w:r w:rsidRPr="009F54B9">
        <w:rPr>
          <w:rFonts w:eastAsia="Times"/>
          <w:snapToGrid w:val="0"/>
          <w:spacing w:val="-3"/>
          <w:kern w:val="18"/>
          <w:sz w:val="18"/>
          <w:szCs w:val="18"/>
        </w:rPr>
        <w:t>, A., Breslow, S.J., Bullock, C., Caceres, D., Daly-Hassen, H., Figueroa, E., Golden, C.D., Gomez-</w:t>
      </w:r>
      <w:proofErr w:type="spellStart"/>
      <w:r w:rsidRPr="009F54B9">
        <w:rPr>
          <w:rFonts w:eastAsia="Times"/>
          <w:snapToGrid w:val="0"/>
          <w:spacing w:val="-3"/>
          <w:kern w:val="18"/>
          <w:sz w:val="18"/>
          <w:szCs w:val="18"/>
        </w:rPr>
        <w:t>Baggethun</w:t>
      </w:r>
      <w:proofErr w:type="spellEnd"/>
      <w:r w:rsidRPr="009F54B9">
        <w:rPr>
          <w:rFonts w:eastAsia="Times"/>
          <w:snapToGrid w:val="0"/>
          <w:spacing w:val="-3"/>
          <w:kern w:val="18"/>
          <w:sz w:val="18"/>
          <w:szCs w:val="18"/>
        </w:rPr>
        <w:t xml:space="preserve">, E., Gonzalez-Jimenez, D., </w:t>
      </w:r>
      <w:proofErr w:type="spellStart"/>
      <w:r w:rsidRPr="009F54B9">
        <w:rPr>
          <w:rFonts w:eastAsia="Times"/>
          <w:snapToGrid w:val="0"/>
          <w:spacing w:val="-3"/>
          <w:kern w:val="18"/>
          <w:sz w:val="18"/>
          <w:szCs w:val="18"/>
        </w:rPr>
        <w:t>Houdet</w:t>
      </w:r>
      <w:proofErr w:type="spellEnd"/>
      <w:r w:rsidRPr="009F54B9">
        <w:rPr>
          <w:rFonts w:eastAsia="Times"/>
          <w:snapToGrid w:val="0"/>
          <w:spacing w:val="-3"/>
          <w:kern w:val="18"/>
          <w:sz w:val="18"/>
          <w:szCs w:val="18"/>
        </w:rPr>
        <w:t xml:space="preserve">, J., </w:t>
      </w:r>
      <w:proofErr w:type="spellStart"/>
      <w:r w:rsidRPr="009F54B9">
        <w:rPr>
          <w:rFonts w:eastAsia="Times"/>
          <w:snapToGrid w:val="0"/>
          <w:spacing w:val="-3"/>
          <w:kern w:val="18"/>
          <w:sz w:val="18"/>
          <w:szCs w:val="18"/>
        </w:rPr>
        <w:t>Keune</w:t>
      </w:r>
      <w:proofErr w:type="spellEnd"/>
      <w:r w:rsidRPr="009F54B9">
        <w:rPr>
          <w:rFonts w:eastAsia="Times"/>
          <w:snapToGrid w:val="0"/>
          <w:spacing w:val="-3"/>
          <w:kern w:val="18"/>
          <w:sz w:val="18"/>
          <w:szCs w:val="18"/>
        </w:rPr>
        <w:t xml:space="preserve">, H., Kumar, R., Ma, K., May, P.H., Mead, A., O’Farrell, P., Pandit, R., </w:t>
      </w:r>
      <w:proofErr w:type="spellStart"/>
      <w:r w:rsidRPr="009F54B9">
        <w:rPr>
          <w:rFonts w:eastAsia="Times"/>
          <w:snapToGrid w:val="0"/>
          <w:spacing w:val="-3"/>
          <w:kern w:val="18"/>
          <w:sz w:val="18"/>
          <w:szCs w:val="18"/>
        </w:rPr>
        <w:t>Pengue</w:t>
      </w:r>
      <w:proofErr w:type="spellEnd"/>
      <w:r w:rsidRPr="009F54B9">
        <w:rPr>
          <w:rFonts w:eastAsia="Times"/>
          <w:snapToGrid w:val="0"/>
          <w:spacing w:val="-3"/>
          <w:kern w:val="18"/>
          <w:sz w:val="18"/>
          <w:szCs w:val="18"/>
        </w:rPr>
        <w:t xml:space="preserve">, W., </w:t>
      </w:r>
      <w:proofErr w:type="spellStart"/>
      <w:r w:rsidRPr="009F54B9">
        <w:rPr>
          <w:rFonts w:eastAsia="Times"/>
          <w:snapToGrid w:val="0"/>
          <w:spacing w:val="-3"/>
          <w:kern w:val="18"/>
          <w:sz w:val="18"/>
          <w:szCs w:val="18"/>
        </w:rPr>
        <w:t>Pichis-Madruga</w:t>
      </w:r>
      <w:proofErr w:type="spellEnd"/>
      <w:r w:rsidRPr="009F54B9">
        <w:rPr>
          <w:rFonts w:eastAsia="Times"/>
          <w:snapToGrid w:val="0"/>
          <w:spacing w:val="-3"/>
          <w:kern w:val="18"/>
          <w:sz w:val="18"/>
          <w:szCs w:val="18"/>
        </w:rPr>
        <w:t>, R., Popa, F., Preston, S., Pacheco-</w:t>
      </w:r>
      <w:proofErr w:type="spellStart"/>
      <w:r w:rsidRPr="009F54B9">
        <w:rPr>
          <w:rFonts w:eastAsia="Times"/>
          <w:snapToGrid w:val="0"/>
          <w:spacing w:val="-3"/>
          <w:kern w:val="18"/>
          <w:sz w:val="18"/>
          <w:szCs w:val="18"/>
        </w:rPr>
        <w:t>Balanza</w:t>
      </w:r>
      <w:proofErr w:type="spellEnd"/>
      <w:r w:rsidRPr="009F54B9">
        <w:rPr>
          <w:rFonts w:eastAsia="Times"/>
          <w:snapToGrid w:val="0"/>
          <w:spacing w:val="-3"/>
          <w:kern w:val="18"/>
          <w:sz w:val="18"/>
          <w:szCs w:val="18"/>
        </w:rPr>
        <w:t xml:space="preserve">, D., </w:t>
      </w:r>
      <w:proofErr w:type="spellStart"/>
      <w:r w:rsidRPr="009F54B9">
        <w:rPr>
          <w:rFonts w:eastAsia="Times"/>
          <w:snapToGrid w:val="0"/>
          <w:spacing w:val="-3"/>
          <w:kern w:val="18"/>
          <w:sz w:val="18"/>
          <w:szCs w:val="18"/>
        </w:rPr>
        <w:t>Saarikoski</w:t>
      </w:r>
      <w:proofErr w:type="spellEnd"/>
      <w:r w:rsidRPr="009F54B9">
        <w:rPr>
          <w:rFonts w:eastAsia="Times"/>
          <w:snapToGrid w:val="0"/>
          <w:spacing w:val="-3"/>
          <w:kern w:val="18"/>
          <w:sz w:val="18"/>
          <w:szCs w:val="18"/>
        </w:rPr>
        <w:t xml:space="preserve">, H., </w:t>
      </w:r>
      <w:proofErr w:type="spellStart"/>
      <w:r w:rsidRPr="009F54B9">
        <w:rPr>
          <w:rFonts w:eastAsia="Times"/>
          <w:snapToGrid w:val="0"/>
          <w:spacing w:val="-3"/>
          <w:kern w:val="18"/>
          <w:sz w:val="18"/>
          <w:szCs w:val="18"/>
        </w:rPr>
        <w:t>Strassburg</w:t>
      </w:r>
      <w:proofErr w:type="spellEnd"/>
      <w:r w:rsidRPr="009F54B9">
        <w:rPr>
          <w:rFonts w:eastAsia="Times"/>
          <w:snapToGrid w:val="0"/>
          <w:spacing w:val="-3"/>
          <w:kern w:val="18"/>
          <w:sz w:val="18"/>
          <w:szCs w:val="18"/>
        </w:rPr>
        <w:t xml:space="preserve">, B.B., van den Belt, M., Verma, M., Wickson, F., </w:t>
      </w:r>
      <w:proofErr w:type="spellStart"/>
      <w:r w:rsidRPr="009F54B9">
        <w:rPr>
          <w:rFonts w:eastAsia="Times"/>
          <w:snapToGrid w:val="0"/>
          <w:spacing w:val="-3"/>
          <w:kern w:val="18"/>
          <w:sz w:val="18"/>
          <w:szCs w:val="18"/>
        </w:rPr>
        <w:t>Yag</w:t>
      </w:r>
      <w:proofErr w:type="spellEnd"/>
      <w:r w:rsidRPr="009F54B9">
        <w:rPr>
          <w:rFonts w:eastAsia="Times"/>
          <w:snapToGrid w:val="0"/>
          <w:spacing w:val="-3"/>
          <w:kern w:val="18"/>
          <w:sz w:val="18"/>
          <w:szCs w:val="18"/>
        </w:rPr>
        <w:t>, N., (2017). The value of nature’s contributions to people: the IPBES approach. Current Opinion in Environmental Sustainability 26: 7–16.</w:t>
      </w:r>
    </w:p>
  </w:footnote>
  <w:footnote w:id="124">
    <w:p w14:paraId="72F152C6"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Gómez-</w:t>
      </w:r>
      <w:proofErr w:type="spellStart"/>
      <w:r w:rsidRPr="009F54B9">
        <w:rPr>
          <w:snapToGrid w:val="0"/>
          <w:kern w:val="18"/>
          <w:szCs w:val="18"/>
        </w:rPr>
        <w:t>Baggethun</w:t>
      </w:r>
      <w:proofErr w:type="spellEnd"/>
      <w:r w:rsidRPr="009F54B9">
        <w:rPr>
          <w:snapToGrid w:val="0"/>
          <w:kern w:val="18"/>
          <w:szCs w:val="18"/>
        </w:rPr>
        <w:t xml:space="preserve">, E., Martín Lopez, B., Barton, D., </w:t>
      </w:r>
      <w:proofErr w:type="spellStart"/>
      <w:r w:rsidRPr="009F54B9">
        <w:rPr>
          <w:snapToGrid w:val="0"/>
          <w:kern w:val="18"/>
          <w:szCs w:val="18"/>
        </w:rPr>
        <w:t>Braat</w:t>
      </w:r>
      <w:proofErr w:type="spellEnd"/>
      <w:r w:rsidRPr="009F54B9">
        <w:rPr>
          <w:snapToGrid w:val="0"/>
          <w:kern w:val="18"/>
          <w:szCs w:val="18"/>
        </w:rPr>
        <w:t xml:space="preserve">, L., </w:t>
      </w:r>
      <w:proofErr w:type="spellStart"/>
      <w:r w:rsidRPr="009F54B9">
        <w:rPr>
          <w:snapToGrid w:val="0"/>
          <w:kern w:val="18"/>
          <w:szCs w:val="18"/>
        </w:rPr>
        <w:t>Saarikoski</w:t>
      </w:r>
      <w:proofErr w:type="spellEnd"/>
      <w:r w:rsidRPr="009F54B9">
        <w:rPr>
          <w:snapToGrid w:val="0"/>
          <w:kern w:val="18"/>
          <w:szCs w:val="18"/>
        </w:rPr>
        <w:t>, H., Kelemen, M., García-</w:t>
      </w:r>
      <w:proofErr w:type="spellStart"/>
      <w:r w:rsidRPr="009F54B9">
        <w:rPr>
          <w:snapToGrid w:val="0"/>
          <w:kern w:val="18"/>
          <w:szCs w:val="18"/>
        </w:rPr>
        <w:t>Llorente</w:t>
      </w:r>
      <w:proofErr w:type="spellEnd"/>
      <w:r w:rsidRPr="009F54B9">
        <w:rPr>
          <w:snapToGrid w:val="0"/>
          <w:kern w:val="18"/>
          <w:szCs w:val="18"/>
        </w:rPr>
        <w:t xml:space="preserve">, E., van den Bergh, J., Arias, P., Berry, P., </w:t>
      </w:r>
      <w:proofErr w:type="spellStart"/>
      <w:r w:rsidRPr="009F54B9">
        <w:rPr>
          <w:snapToGrid w:val="0"/>
          <w:kern w:val="18"/>
          <w:szCs w:val="18"/>
        </w:rPr>
        <w:t>Potschin</w:t>
      </w:r>
      <w:proofErr w:type="spellEnd"/>
      <w:r w:rsidRPr="009F54B9">
        <w:rPr>
          <w:snapToGrid w:val="0"/>
          <w:kern w:val="18"/>
          <w:szCs w:val="18"/>
        </w:rPr>
        <w:t xml:space="preserve">, L.M., Keene, H., Dunford, R., </w:t>
      </w:r>
      <w:proofErr w:type="spellStart"/>
      <w:r w:rsidRPr="009F54B9">
        <w:rPr>
          <w:snapToGrid w:val="0"/>
          <w:kern w:val="18"/>
          <w:szCs w:val="18"/>
        </w:rPr>
        <w:t>Schröter-Schlaack</w:t>
      </w:r>
      <w:proofErr w:type="spellEnd"/>
      <w:r w:rsidRPr="009F54B9">
        <w:rPr>
          <w:snapToGrid w:val="0"/>
          <w:kern w:val="18"/>
          <w:szCs w:val="18"/>
        </w:rPr>
        <w:t xml:space="preserve">, C., Harrison, P. (2014). State-of-the-art report on integrated valuation of ecosystem services. European Commission FP7 </w:t>
      </w:r>
      <w:proofErr w:type="spellStart"/>
      <w:r w:rsidRPr="009F54B9">
        <w:rPr>
          <w:snapToGrid w:val="0"/>
          <w:kern w:val="18"/>
          <w:szCs w:val="18"/>
        </w:rPr>
        <w:t>FP7</w:t>
      </w:r>
      <w:proofErr w:type="spellEnd"/>
      <w:r w:rsidRPr="009F54B9">
        <w:rPr>
          <w:snapToGrid w:val="0"/>
          <w:kern w:val="18"/>
          <w:szCs w:val="18"/>
        </w:rPr>
        <w:t xml:space="preserve"> </w:t>
      </w:r>
      <w:proofErr w:type="spellStart"/>
      <w:r w:rsidRPr="009F54B9">
        <w:rPr>
          <w:snapToGrid w:val="0"/>
          <w:kern w:val="18"/>
          <w:szCs w:val="18"/>
        </w:rPr>
        <w:t>OpenNESS</w:t>
      </w:r>
      <w:proofErr w:type="spellEnd"/>
      <w:r w:rsidRPr="009F54B9">
        <w:rPr>
          <w:snapToGrid w:val="0"/>
          <w:kern w:val="18"/>
          <w:szCs w:val="18"/>
        </w:rPr>
        <w:t xml:space="preserve"> Project Deliverable 4.1., 33p.</w:t>
      </w:r>
    </w:p>
  </w:footnote>
  <w:footnote w:id="125">
    <w:p w14:paraId="2F015E75"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Gómez-</w:t>
      </w:r>
      <w:proofErr w:type="spellStart"/>
      <w:r w:rsidRPr="009F54B9">
        <w:rPr>
          <w:snapToGrid w:val="0"/>
          <w:kern w:val="18"/>
          <w:szCs w:val="18"/>
        </w:rPr>
        <w:t>Baggethun</w:t>
      </w:r>
      <w:proofErr w:type="spellEnd"/>
      <w:r w:rsidRPr="009F54B9">
        <w:rPr>
          <w:snapToGrid w:val="0"/>
          <w:kern w:val="18"/>
          <w:szCs w:val="18"/>
        </w:rPr>
        <w:t xml:space="preserve">, E., Martín Lopez, B., Barton, D., </w:t>
      </w:r>
      <w:proofErr w:type="spellStart"/>
      <w:r w:rsidRPr="009F54B9">
        <w:rPr>
          <w:snapToGrid w:val="0"/>
          <w:kern w:val="18"/>
          <w:szCs w:val="18"/>
        </w:rPr>
        <w:t>Braat</w:t>
      </w:r>
      <w:proofErr w:type="spellEnd"/>
      <w:r w:rsidRPr="009F54B9">
        <w:rPr>
          <w:snapToGrid w:val="0"/>
          <w:kern w:val="18"/>
          <w:szCs w:val="18"/>
        </w:rPr>
        <w:t xml:space="preserve">, L., </w:t>
      </w:r>
      <w:proofErr w:type="spellStart"/>
      <w:r w:rsidRPr="009F54B9">
        <w:rPr>
          <w:snapToGrid w:val="0"/>
          <w:kern w:val="18"/>
          <w:szCs w:val="18"/>
        </w:rPr>
        <w:t>Saarikoski</w:t>
      </w:r>
      <w:proofErr w:type="spellEnd"/>
      <w:r w:rsidRPr="009F54B9">
        <w:rPr>
          <w:snapToGrid w:val="0"/>
          <w:kern w:val="18"/>
          <w:szCs w:val="18"/>
        </w:rPr>
        <w:t>, H., Kelemen, M., García-</w:t>
      </w:r>
      <w:proofErr w:type="spellStart"/>
      <w:r w:rsidRPr="009F54B9">
        <w:rPr>
          <w:snapToGrid w:val="0"/>
          <w:kern w:val="18"/>
          <w:szCs w:val="18"/>
        </w:rPr>
        <w:t>Llorente</w:t>
      </w:r>
      <w:proofErr w:type="spellEnd"/>
      <w:r w:rsidRPr="009F54B9">
        <w:rPr>
          <w:snapToGrid w:val="0"/>
          <w:kern w:val="18"/>
          <w:szCs w:val="18"/>
        </w:rPr>
        <w:t xml:space="preserve">, E., van den Bergh, J., Arias, P., Berry, P., </w:t>
      </w:r>
      <w:proofErr w:type="spellStart"/>
      <w:r w:rsidRPr="009F54B9">
        <w:rPr>
          <w:snapToGrid w:val="0"/>
          <w:kern w:val="18"/>
          <w:szCs w:val="18"/>
        </w:rPr>
        <w:t>Potschin</w:t>
      </w:r>
      <w:proofErr w:type="spellEnd"/>
      <w:r w:rsidRPr="009F54B9">
        <w:rPr>
          <w:snapToGrid w:val="0"/>
          <w:kern w:val="18"/>
          <w:szCs w:val="18"/>
        </w:rPr>
        <w:t xml:space="preserve">, L.M., Keene, H., Dunford, R., </w:t>
      </w:r>
      <w:proofErr w:type="spellStart"/>
      <w:r w:rsidRPr="009F54B9">
        <w:rPr>
          <w:snapToGrid w:val="0"/>
          <w:kern w:val="18"/>
          <w:szCs w:val="18"/>
        </w:rPr>
        <w:t>Schröter-Schlaack</w:t>
      </w:r>
      <w:proofErr w:type="spellEnd"/>
      <w:r w:rsidRPr="009F54B9">
        <w:rPr>
          <w:snapToGrid w:val="0"/>
          <w:kern w:val="18"/>
          <w:szCs w:val="18"/>
        </w:rPr>
        <w:t xml:space="preserve">, C., Harrison, P. (2014). State-of-the-art report on integrated valuation of ecosystem services. European Commission FP7 </w:t>
      </w:r>
      <w:proofErr w:type="spellStart"/>
      <w:r w:rsidRPr="009F54B9">
        <w:rPr>
          <w:snapToGrid w:val="0"/>
          <w:kern w:val="18"/>
          <w:szCs w:val="18"/>
        </w:rPr>
        <w:t>FP7</w:t>
      </w:r>
      <w:proofErr w:type="spellEnd"/>
      <w:r w:rsidRPr="009F54B9">
        <w:rPr>
          <w:snapToGrid w:val="0"/>
          <w:kern w:val="18"/>
          <w:szCs w:val="18"/>
        </w:rPr>
        <w:t xml:space="preserve"> </w:t>
      </w:r>
      <w:proofErr w:type="spellStart"/>
      <w:r w:rsidRPr="009F54B9">
        <w:rPr>
          <w:snapToGrid w:val="0"/>
          <w:kern w:val="18"/>
          <w:szCs w:val="18"/>
        </w:rPr>
        <w:t>OpenNESS</w:t>
      </w:r>
      <w:proofErr w:type="spellEnd"/>
      <w:r w:rsidRPr="009F54B9">
        <w:rPr>
          <w:snapToGrid w:val="0"/>
          <w:kern w:val="18"/>
          <w:szCs w:val="18"/>
        </w:rPr>
        <w:t xml:space="preserve"> Project Deliverable 4.1., 33p.</w:t>
      </w:r>
    </w:p>
  </w:footnote>
  <w:footnote w:id="126">
    <w:p w14:paraId="629170F7"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w:t>
      </w:r>
      <w:hyperlink r:id="rId40" w:history="1">
        <w:r w:rsidRPr="009F54B9">
          <w:rPr>
            <w:snapToGrid w:val="0"/>
            <w:kern w:val="18"/>
            <w:szCs w:val="18"/>
          </w:rPr>
          <w:t>https://naturalcapitalcoalition.org/projects/biodiversity/</w:t>
        </w:r>
      </w:hyperlink>
      <w:r w:rsidRPr="009F54B9">
        <w:rPr>
          <w:snapToGrid w:val="0"/>
          <w:kern w:val="18"/>
          <w:szCs w:val="18"/>
        </w:rPr>
        <w:t>, accessed January 12, 2018.</w:t>
      </w:r>
    </w:p>
  </w:footnote>
  <w:footnote w:id="127">
    <w:p w14:paraId="00A791FF"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w:t>
      </w:r>
      <w:hyperlink r:id="rId41" w:history="1">
        <w:r w:rsidRPr="009F54B9">
          <w:rPr>
            <w:rStyle w:val="Hyperlink"/>
            <w:snapToGrid w:val="0"/>
            <w:kern w:val="18"/>
            <w:szCs w:val="18"/>
          </w:rPr>
          <w:t>https://www.ewt.org.za/BUSINESSDEVELOPMENT/business.html</w:t>
        </w:r>
      </w:hyperlink>
      <w:r w:rsidRPr="009F54B9">
        <w:rPr>
          <w:snapToGrid w:val="0"/>
          <w:kern w:val="18"/>
          <w:szCs w:val="18"/>
        </w:rPr>
        <w:t>, accessed January 12, 2018.</w:t>
      </w:r>
    </w:p>
  </w:footnote>
  <w:footnote w:id="128">
    <w:p w14:paraId="37988415"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These approaches (e.g., clean technologies, resource efficiency, emissions reduction / avoidance, circular economy, industrial ecology) are not included here, as they are specific to production processes and / or industries and relate mostly to indirect drivers of biodiversity loss.</w:t>
      </w:r>
    </w:p>
  </w:footnote>
  <w:footnote w:id="129">
    <w:p w14:paraId="710FE60E"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E.g., </w:t>
      </w:r>
      <w:proofErr w:type="spellStart"/>
      <w:r w:rsidRPr="009F54B9">
        <w:rPr>
          <w:snapToGrid w:val="0"/>
          <w:kern w:val="18"/>
          <w:szCs w:val="18"/>
        </w:rPr>
        <w:t>Hammerl</w:t>
      </w:r>
      <w:proofErr w:type="spellEnd"/>
      <w:r w:rsidRPr="009F54B9">
        <w:rPr>
          <w:snapToGrid w:val="0"/>
          <w:kern w:val="18"/>
          <w:szCs w:val="18"/>
        </w:rPr>
        <w:t xml:space="preserve">, M., </w:t>
      </w:r>
      <w:proofErr w:type="spellStart"/>
      <w:r w:rsidRPr="009F54B9">
        <w:rPr>
          <w:snapToGrid w:val="0"/>
          <w:kern w:val="18"/>
          <w:szCs w:val="18"/>
        </w:rPr>
        <w:t>Hormann</w:t>
      </w:r>
      <w:proofErr w:type="spellEnd"/>
      <w:r w:rsidRPr="009F54B9">
        <w:rPr>
          <w:snapToGrid w:val="0"/>
          <w:kern w:val="18"/>
          <w:szCs w:val="18"/>
        </w:rPr>
        <w:t>, S. (2016). The ISO management system and the protection of biological diversity. Lake Constance Foundation (LCF) and Global Nature Fund (GNF), Germany, 72p.</w:t>
      </w:r>
    </w:p>
  </w:footnote>
  <w:footnote w:id="130">
    <w:p w14:paraId="09F996E2"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O’Gorman, M. (2017). The experience of the Wildlife Habitat Council. Presentation at a SBSTTA 21 side-event: Mainstreaming in the manufacturing sector. December 11, 2017.</w:t>
      </w:r>
    </w:p>
  </w:footnote>
  <w:footnote w:id="131">
    <w:p w14:paraId="471E0FE0"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w:t>
      </w:r>
      <w:hyperlink r:id="rId42" w:history="1">
        <w:r w:rsidRPr="009F54B9">
          <w:rPr>
            <w:snapToGrid w:val="0"/>
            <w:kern w:val="18"/>
            <w:szCs w:val="18"/>
          </w:rPr>
          <w:t>http://www.business-biodiversity.eu/en/company-premises</w:t>
        </w:r>
      </w:hyperlink>
      <w:r w:rsidRPr="009F54B9">
        <w:rPr>
          <w:snapToGrid w:val="0"/>
          <w:kern w:val="18"/>
          <w:szCs w:val="18"/>
        </w:rPr>
        <w:t>, accessed on January 5, 2018.</w:t>
      </w:r>
    </w:p>
  </w:footnote>
  <w:footnote w:id="132">
    <w:p w14:paraId="6753F1EB"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https://www.toshiba.co.jp/env/en/vision/biodiversity.htm, accessed on January 5, 2018.</w:t>
      </w:r>
    </w:p>
  </w:footnote>
  <w:footnote w:id="133">
    <w:p w14:paraId="1A74B3A4"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spacing w:val="-2"/>
          <w:kern w:val="18"/>
          <w:szCs w:val="18"/>
        </w:rPr>
      </w:pPr>
      <w:r w:rsidRPr="009F54B9">
        <w:rPr>
          <w:rStyle w:val="FootnoteReference"/>
          <w:snapToGrid w:val="0"/>
          <w:spacing w:val="-2"/>
          <w:kern w:val="18"/>
          <w:sz w:val="18"/>
          <w:szCs w:val="18"/>
        </w:rPr>
        <w:footnoteRef/>
      </w:r>
      <w:r w:rsidRPr="009F54B9">
        <w:rPr>
          <w:snapToGrid w:val="0"/>
          <w:spacing w:val="-2"/>
          <w:kern w:val="18"/>
          <w:szCs w:val="18"/>
        </w:rPr>
        <w:t xml:space="preserve"> The Cross-Sector Biodiversity Initiative is a partnership between </w:t>
      </w:r>
      <w:hyperlink r:id="rId43" w:history="1">
        <w:r w:rsidRPr="009F54B9">
          <w:rPr>
            <w:snapToGrid w:val="0"/>
            <w:spacing w:val="-2"/>
            <w:kern w:val="18"/>
            <w:szCs w:val="18"/>
          </w:rPr>
          <w:t>IPIECA</w:t>
        </w:r>
      </w:hyperlink>
      <w:r w:rsidRPr="009F54B9">
        <w:rPr>
          <w:snapToGrid w:val="0"/>
          <w:spacing w:val="-2"/>
          <w:kern w:val="18"/>
          <w:szCs w:val="18"/>
        </w:rPr>
        <w:t>, the </w:t>
      </w:r>
      <w:hyperlink r:id="rId44" w:history="1">
        <w:r w:rsidRPr="009F54B9">
          <w:rPr>
            <w:snapToGrid w:val="0"/>
            <w:spacing w:val="-2"/>
            <w:kern w:val="18"/>
            <w:szCs w:val="18"/>
          </w:rPr>
          <w:t>International Council on Mining and Metals</w:t>
        </w:r>
      </w:hyperlink>
      <w:r w:rsidRPr="009F54B9">
        <w:rPr>
          <w:snapToGrid w:val="0"/>
          <w:spacing w:val="-2"/>
          <w:kern w:val="18"/>
          <w:szCs w:val="18"/>
        </w:rPr>
        <w:t> (ICMM) and the </w:t>
      </w:r>
      <w:hyperlink r:id="rId45" w:history="1">
        <w:r w:rsidRPr="009F54B9">
          <w:rPr>
            <w:snapToGrid w:val="0"/>
            <w:spacing w:val="-2"/>
            <w:kern w:val="18"/>
            <w:szCs w:val="18"/>
          </w:rPr>
          <w:t>Equator Principles Association</w:t>
        </w:r>
      </w:hyperlink>
      <w:r w:rsidRPr="009F54B9">
        <w:rPr>
          <w:snapToGrid w:val="0"/>
          <w:spacing w:val="-2"/>
          <w:kern w:val="18"/>
          <w:szCs w:val="18"/>
        </w:rPr>
        <w:t xml:space="preserve">,  the European Bank for Reconstruction and Development (EBRD), the International Finance Corporation (IFC) and the Inter-American Development Bank (IDB)  to develop and share good practices related to biodiversity and ecosystem services in the extractive industries. URL: </w:t>
      </w:r>
      <w:hyperlink r:id="rId46" w:history="1">
        <w:r w:rsidRPr="009F54B9">
          <w:rPr>
            <w:rStyle w:val="Hyperlink"/>
            <w:snapToGrid w:val="0"/>
            <w:spacing w:val="-2"/>
            <w:kern w:val="18"/>
            <w:szCs w:val="18"/>
          </w:rPr>
          <w:t>http://www.csbi.org.uk/</w:t>
        </w:r>
      </w:hyperlink>
      <w:r w:rsidRPr="009F54B9">
        <w:rPr>
          <w:snapToGrid w:val="0"/>
          <w:spacing w:val="-2"/>
          <w:kern w:val="18"/>
          <w:szCs w:val="18"/>
        </w:rPr>
        <w:t>, accessed on January 5, 2018.</w:t>
      </w:r>
    </w:p>
  </w:footnote>
  <w:footnote w:id="134">
    <w:p w14:paraId="0A1C6A4E"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http://www.theebi.org/, accessed on January 5, 2018.</w:t>
      </w:r>
    </w:p>
  </w:footnote>
  <w:footnote w:id="135">
    <w:p w14:paraId="7F26F000"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 </w:t>
      </w:r>
      <w:hyperlink r:id="rId47" w:history="1">
        <w:r w:rsidRPr="009F54B9">
          <w:rPr>
            <w:snapToGrid w:val="0"/>
            <w:kern w:val="18"/>
            <w:szCs w:val="18"/>
          </w:rPr>
          <w:t>http://bbop.forest-trends.org/pages/pilot_projects</w:t>
        </w:r>
      </w:hyperlink>
      <w:r w:rsidRPr="009F54B9">
        <w:rPr>
          <w:snapToGrid w:val="0"/>
          <w:kern w:val="18"/>
          <w:szCs w:val="18"/>
        </w:rPr>
        <w:t>, accessed on January 9, 2018.; Business and Biodiversity Offsets Programme (BBOP) (2013). To no net loss and beyond: An overview of the Business and Biodiversity Offsets Programme (BBOP). BBOP: Washington, D.C., USA.</w:t>
      </w:r>
    </w:p>
  </w:footnote>
  <w:footnote w:id="136">
    <w:p w14:paraId="13D21CA6"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Rainey, H. J., Pollard, E. H., </w:t>
      </w:r>
      <w:proofErr w:type="spellStart"/>
      <w:r w:rsidRPr="009F54B9">
        <w:rPr>
          <w:snapToGrid w:val="0"/>
          <w:kern w:val="18"/>
          <w:sz w:val="18"/>
          <w:szCs w:val="18"/>
        </w:rPr>
        <w:t>Dutson</w:t>
      </w:r>
      <w:proofErr w:type="spellEnd"/>
      <w:r w:rsidRPr="009F54B9">
        <w:rPr>
          <w:snapToGrid w:val="0"/>
          <w:kern w:val="18"/>
          <w:sz w:val="18"/>
          <w:szCs w:val="18"/>
        </w:rPr>
        <w:t xml:space="preserve">, G., </w:t>
      </w:r>
      <w:proofErr w:type="spellStart"/>
      <w:r w:rsidRPr="009F54B9">
        <w:rPr>
          <w:snapToGrid w:val="0"/>
          <w:kern w:val="18"/>
          <w:sz w:val="18"/>
          <w:szCs w:val="18"/>
        </w:rPr>
        <w:t>Ekstrom</w:t>
      </w:r>
      <w:proofErr w:type="spellEnd"/>
      <w:r w:rsidRPr="009F54B9">
        <w:rPr>
          <w:snapToGrid w:val="0"/>
          <w:kern w:val="18"/>
          <w:sz w:val="18"/>
          <w:szCs w:val="18"/>
        </w:rPr>
        <w:t>, J. M., Livingstone, S. R., Temple, H. J., Pilgrim, J. D. (2015). A review of corporate goals of No Net Loss and Net Positive Impact on biodiversity. Oryx, 49(2), 232-238.</w:t>
      </w:r>
    </w:p>
  </w:footnote>
  <w:footnote w:id="137">
    <w:p w14:paraId="7EA1CE76"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Maron, M., </w:t>
      </w:r>
      <w:proofErr w:type="spellStart"/>
      <w:r w:rsidRPr="009F54B9">
        <w:rPr>
          <w:snapToGrid w:val="0"/>
          <w:kern w:val="18"/>
          <w:szCs w:val="18"/>
        </w:rPr>
        <w:t>Brownlie</w:t>
      </w:r>
      <w:proofErr w:type="spellEnd"/>
      <w:r w:rsidRPr="009F54B9">
        <w:rPr>
          <w:snapToGrid w:val="0"/>
          <w:kern w:val="18"/>
          <w:szCs w:val="18"/>
        </w:rPr>
        <w:t xml:space="preserve">, S., Bull, J.W., Evans, M.C., von </w:t>
      </w:r>
      <w:proofErr w:type="spellStart"/>
      <w:r w:rsidRPr="009F54B9">
        <w:rPr>
          <w:snapToGrid w:val="0"/>
          <w:kern w:val="18"/>
          <w:szCs w:val="18"/>
        </w:rPr>
        <w:t>Hase</w:t>
      </w:r>
      <w:proofErr w:type="spellEnd"/>
      <w:r w:rsidRPr="009F54B9">
        <w:rPr>
          <w:snapToGrid w:val="0"/>
          <w:kern w:val="18"/>
          <w:szCs w:val="18"/>
        </w:rPr>
        <w:t xml:space="preserve">, A., </w:t>
      </w:r>
      <w:proofErr w:type="spellStart"/>
      <w:r w:rsidRPr="009F54B9">
        <w:rPr>
          <w:snapToGrid w:val="0"/>
          <w:kern w:val="18"/>
          <w:szCs w:val="18"/>
        </w:rPr>
        <w:t>Quétier</w:t>
      </w:r>
      <w:proofErr w:type="spellEnd"/>
      <w:r w:rsidRPr="009F54B9">
        <w:rPr>
          <w:snapToGrid w:val="0"/>
          <w:kern w:val="18"/>
          <w:szCs w:val="18"/>
        </w:rPr>
        <w:t>, F., Watson, J.E., Gordon, A. (2018). The many meanings of no net loss in environmental policy. Nature Sustainability, 1(1), p.19.</w:t>
      </w:r>
    </w:p>
  </w:footnote>
  <w:footnote w:id="138">
    <w:p w14:paraId="207A93FC"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Maron, M., </w:t>
      </w:r>
      <w:proofErr w:type="spellStart"/>
      <w:r w:rsidRPr="009F54B9">
        <w:rPr>
          <w:snapToGrid w:val="0"/>
          <w:kern w:val="18"/>
          <w:szCs w:val="18"/>
        </w:rPr>
        <w:t>Brownlie</w:t>
      </w:r>
      <w:proofErr w:type="spellEnd"/>
      <w:r w:rsidRPr="009F54B9">
        <w:rPr>
          <w:snapToGrid w:val="0"/>
          <w:kern w:val="18"/>
          <w:szCs w:val="18"/>
        </w:rPr>
        <w:t xml:space="preserve">, S., Bull, J.W., Evans, M.C., von </w:t>
      </w:r>
      <w:proofErr w:type="spellStart"/>
      <w:r w:rsidRPr="009F54B9">
        <w:rPr>
          <w:snapToGrid w:val="0"/>
          <w:kern w:val="18"/>
          <w:szCs w:val="18"/>
        </w:rPr>
        <w:t>Hase</w:t>
      </w:r>
      <w:proofErr w:type="spellEnd"/>
      <w:r w:rsidRPr="009F54B9">
        <w:rPr>
          <w:snapToGrid w:val="0"/>
          <w:kern w:val="18"/>
          <w:szCs w:val="18"/>
        </w:rPr>
        <w:t xml:space="preserve">, A., </w:t>
      </w:r>
      <w:proofErr w:type="spellStart"/>
      <w:r w:rsidRPr="009F54B9">
        <w:rPr>
          <w:snapToGrid w:val="0"/>
          <w:kern w:val="18"/>
          <w:szCs w:val="18"/>
        </w:rPr>
        <w:t>Quétier</w:t>
      </w:r>
      <w:proofErr w:type="spellEnd"/>
      <w:r w:rsidRPr="009F54B9">
        <w:rPr>
          <w:snapToGrid w:val="0"/>
          <w:kern w:val="18"/>
          <w:szCs w:val="18"/>
        </w:rPr>
        <w:t>, F., Watson, J.E.M., Gordon, A. (2018). The many meanings of no net loss in environmental policy. Nature Sustainability 1, 19–27 (2018).</w:t>
      </w:r>
    </w:p>
  </w:footnote>
  <w:footnote w:id="139">
    <w:p w14:paraId="198BDBA1"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w:t>
      </w:r>
      <w:proofErr w:type="spellStart"/>
      <w:r w:rsidRPr="009F54B9">
        <w:rPr>
          <w:snapToGrid w:val="0"/>
          <w:kern w:val="18"/>
          <w:szCs w:val="18"/>
        </w:rPr>
        <w:t>Moilanen</w:t>
      </w:r>
      <w:proofErr w:type="spellEnd"/>
      <w:r w:rsidRPr="009F54B9">
        <w:rPr>
          <w:snapToGrid w:val="0"/>
          <w:kern w:val="18"/>
          <w:szCs w:val="18"/>
        </w:rPr>
        <w:t xml:space="preserve">, A., </w:t>
      </w:r>
      <w:proofErr w:type="spellStart"/>
      <w:r w:rsidRPr="009F54B9">
        <w:rPr>
          <w:snapToGrid w:val="0"/>
          <w:kern w:val="18"/>
          <w:szCs w:val="18"/>
        </w:rPr>
        <w:t>Laitila</w:t>
      </w:r>
      <w:proofErr w:type="spellEnd"/>
      <w:r w:rsidRPr="009F54B9">
        <w:rPr>
          <w:snapToGrid w:val="0"/>
          <w:kern w:val="18"/>
          <w:szCs w:val="18"/>
        </w:rPr>
        <w:t>, J. (2016). FORUM: Indirect leakage leads to a failure of avoided loss biodiversity offsetting. The Journal of Applied Ecology, 53(1), 106–111.</w:t>
      </w:r>
    </w:p>
  </w:footnote>
  <w:footnote w:id="140">
    <w:p w14:paraId="257561FE"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w:t>
      </w:r>
      <w:proofErr w:type="spellStart"/>
      <w:r w:rsidRPr="009F54B9">
        <w:rPr>
          <w:snapToGrid w:val="0"/>
          <w:kern w:val="18"/>
          <w:sz w:val="18"/>
          <w:szCs w:val="18"/>
        </w:rPr>
        <w:t>Aiama</w:t>
      </w:r>
      <w:proofErr w:type="spellEnd"/>
      <w:r w:rsidRPr="009F54B9">
        <w:rPr>
          <w:snapToGrid w:val="0"/>
          <w:kern w:val="18"/>
          <w:sz w:val="18"/>
          <w:szCs w:val="18"/>
        </w:rPr>
        <w:t xml:space="preserve">, D., Edwards, S., Bos, G., </w:t>
      </w:r>
      <w:proofErr w:type="spellStart"/>
      <w:r w:rsidRPr="009F54B9">
        <w:rPr>
          <w:snapToGrid w:val="0"/>
          <w:kern w:val="18"/>
          <w:sz w:val="18"/>
          <w:szCs w:val="18"/>
        </w:rPr>
        <w:t>Ekstrom</w:t>
      </w:r>
      <w:proofErr w:type="spellEnd"/>
      <w:r w:rsidRPr="009F54B9">
        <w:rPr>
          <w:snapToGrid w:val="0"/>
          <w:kern w:val="18"/>
          <w:sz w:val="18"/>
          <w:szCs w:val="18"/>
        </w:rPr>
        <w:t xml:space="preserve">, J., Krueger, L., </w:t>
      </w:r>
      <w:proofErr w:type="spellStart"/>
      <w:r w:rsidRPr="009F54B9">
        <w:rPr>
          <w:snapToGrid w:val="0"/>
          <w:kern w:val="18"/>
          <w:sz w:val="18"/>
          <w:szCs w:val="18"/>
        </w:rPr>
        <w:t>Quétier</w:t>
      </w:r>
      <w:proofErr w:type="spellEnd"/>
      <w:r w:rsidRPr="009F54B9">
        <w:rPr>
          <w:snapToGrid w:val="0"/>
          <w:kern w:val="18"/>
          <w:sz w:val="18"/>
          <w:szCs w:val="18"/>
        </w:rPr>
        <w:t xml:space="preserve">, F., </w:t>
      </w:r>
      <w:proofErr w:type="spellStart"/>
      <w:r w:rsidRPr="009F54B9">
        <w:rPr>
          <w:snapToGrid w:val="0"/>
          <w:kern w:val="18"/>
          <w:sz w:val="18"/>
          <w:szCs w:val="18"/>
        </w:rPr>
        <w:t>Savy</w:t>
      </w:r>
      <w:proofErr w:type="spellEnd"/>
      <w:r w:rsidRPr="009F54B9">
        <w:rPr>
          <w:snapToGrid w:val="0"/>
          <w:kern w:val="18"/>
          <w:sz w:val="18"/>
          <w:szCs w:val="18"/>
        </w:rPr>
        <w:t xml:space="preserve">, C., </w:t>
      </w:r>
      <w:proofErr w:type="spellStart"/>
      <w:r w:rsidRPr="009F54B9">
        <w:rPr>
          <w:snapToGrid w:val="0"/>
          <w:kern w:val="18"/>
          <w:sz w:val="18"/>
          <w:szCs w:val="18"/>
        </w:rPr>
        <w:t>Semroc</w:t>
      </w:r>
      <w:proofErr w:type="spellEnd"/>
      <w:r w:rsidRPr="009F54B9">
        <w:rPr>
          <w:snapToGrid w:val="0"/>
          <w:kern w:val="18"/>
          <w:sz w:val="18"/>
          <w:szCs w:val="18"/>
        </w:rPr>
        <w:t xml:space="preserve">, B., </w:t>
      </w:r>
      <w:proofErr w:type="spellStart"/>
      <w:r w:rsidRPr="009F54B9">
        <w:rPr>
          <w:snapToGrid w:val="0"/>
          <w:kern w:val="18"/>
          <w:sz w:val="18"/>
          <w:szCs w:val="18"/>
        </w:rPr>
        <w:t>Sneary</w:t>
      </w:r>
      <w:proofErr w:type="spellEnd"/>
      <w:r w:rsidRPr="009F54B9">
        <w:rPr>
          <w:snapToGrid w:val="0"/>
          <w:kern w:val="18"/>
          <w:sz w:val="18"/>
          <w:szCs w:val="18"/>
        </w:rPr>
        <w:t xml:space="preserve">, M., </w:t>
      </w:r>
      <w:proofErr w:type="spellStart"/>
      <w:r w:rsidRPr="009F54B9">
        <w:rPr>
          <w:snapToGrid w:val="0"/>
          <w:kern w:val="18"/>
          <w:sz w:val="18"/>
          <w:szCs w:val="18"/>
        </w:rPr>
        <w:t>Bennun</w:t>
      </w:r>
      <w:proofErr w:type="spellEnd"/>
      <w:r w:rsidRPr="009F54B9">
        <w:rPr>
          <w:snapToGrid w:val="0"/>
          <w:kern w:val="18"/>
          <w:sz w:val="18"/>
          <w:szCs w:val="18"/>
        </w:rPr>
        <w:t>, L. (2015). No net loss and net positive impact approaches for biodiversity: exploring the potential application of these approaches in the commercial agriculture and forestry sectors. IUCN: Gland, Switzerland.</w:t>
      </w:r>
    </w:p>
  </w:footnote>
  <w:footnote w:id="141">
    <w:p w14:paraId="233D1116"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color w:val="000000"/>
          <w:kern w:val="18"/>
          <w:sz w:val="18"/>
          <w:szCs w:val="18"/>
        </w:rPr>
      </w:pPr>
      <w:r w:rsidRPr="009F54B9">
        <w:rPr>
          <w:rStyle w:val="articlecitationpages"/>
          <w:snapToGrid w:val="0"/>
          <w:kern w:val="18"/>
          <w:sz w:val="18"/>
          <w:szCs w:val="18"/>
        </w:rPr>
        <w:footnoteRef/>
      </w:r>
      <w:r w:rsidRPr="003D281C">
        <w:rPr>
          <w:snapToGrid w:val="0"/>
          <w:kern w:val="18"/>
          <w:sz w:val="18"/>
          <w:szCs w:val="18"/>
          <w:lang w:val="fr-FR"/>
        </w:rPr>
        <w:t xml:space="preserve"> </w:t>
      </w:r>
      <w:proofErr w:type="spellStart"/>
      <w:r w:rsidRPr="003D281C">
        <w:rPr>
          <w:snapToGrid w:val="0"/>
          <w:kern w:val="18"/>
          <w:sz w:val="18"/>
          <w:szCs w:val="18"/>
          <w:lang w:val="fr-FR"/>
        </w:rPr>
        <w:t>Curran</w:t>
      </w:r>
      <w:proofErr w:type="spellEnd"/>
      <w:r w:rsidRPr="003D281C">
        <w:rPr>
          <w:snapToGrid w:val="0"/>
          <w:kern w:val="18"/>
          <w:sz w:val="18"/>
          <w:szCs w:val="18"/>
          <w:lang w:val="fr-FR"/>
        </w:rPr>
        <w:t xml:space="preserve">, M., de Souza, D.M., </w:t>
      </w:r>
      <w:proofErr w:type="spellStart"/>
      <w:r w:rsidRPr="003D281C">
        <w:rPr>
          <w:snapToGrid w:val="0"/>
          <w:kern w:val="18"/>
          <w:sz w:val="18"/>
          <w:szCs w:val="18"/>
          <w:lang w:val="fr-FR"/>
        </w:rPr>
        <w:t>Antón</w:t>
      </w:r>
      <w:proofErr w:type="spellEnd"/>
      <w:r w:rsidRPr="003D281C">
        <w:rPr>
          <w:snapToGrid w:val="0"/>
          <w:kern w:val="18"/>
          <w:sz w:val="18"/>
          <w:szCs w:val="18"/>
          <w:lang w:val="fr-FR"/>
        </w:rPr>
        <w:t xml:space="preserve">, A., Teixeira, R.F.M., </w:t>
      </w:r>
      <w:proofErr w:type="spellStart"/>
      <w:r w:rsidRPr="003D281C">
        <w:rPr>
          <w:snapToGrid w:val="0"/>
          <w:kern w:val="18"/>
          <w:sz w:val="18"/>
          <w:szCs w:val="18"/>
          <w:lang w:val="fr-FR"/>
        </w:rPr>
        <w:t>Michelsen</w:t>
      </w:r>
      <w:proofErr w:type="spellEnd"/>
      <w:r w:rsidRPr="003D281C">
        <w:rPr>
          <w:snapToGrid w:val="0"/>
          <w:kern w:val="18"/>
          <w:sz w:val="18"/>
          <w:szCs w:val="18"/>
          <w:lang w:val="fr-FR"/>
        </w:rPr>
        <w:t>, O.</w:t>
      </w:r>
      <w:proofErr w:type="gramStart"/>
      <w:r w:rsidRPr="003D281C">
        <w:rPr>
          <w:snapToGrid w:val="0"/>
          <w:kern w:val="18"/>
          <w:sz w:val="18"/>
          <w:szCs w:val="18"/>
          <w:lang w:val="fr-FR"/>
        </w:rPr>
        <w:t>,  Vidal</w:t>
      </w:r>
      <w:proofErr w:type="gramEnd"/>
      <w:r w:rsidRPr="003D281C">
        <w:rPr>
          <w:snapToGrid w:val="0"/>
          <w:kern w:val="18"/>
          <w:sz w:val="18"/>
          <w:szCs w:val="18"/>
          <w:lang w:val="fr-FR"/>
        </w:rPr>
        <w:t>-</w:t>
      </w:r>
      <w:proofErr w:type="spellStart"/>
      <w:r w:rsidRPr="003D281C">
        <w:rPr>
          <w:snapToGrid w:val="0"/>
          <w:kern w:val="18"/>
          <w:sz w:val="18"/>
          <w:szCs w:val="18"/>
          <w:lang w:val="fr-FR"/>
        </w:rPr>
        <w:t>Legaz</w:t>
      </w:r>
      <w:proofErr w:type="spellEnd"/>
      <w:r w:rsidRPr="003D281C">
        <w:rPr>
          <w:snapToGrid w:val="0"/>
          <w:kern w:val="18"/>
          <w:sz w:val="18"/>
          <w:szCs w:val="18"/>
          <w:lang w:val="fr-FR"/>
        </w:rPr>
        <w:t xml:space="preserve">, B., Sala, S., </w:t>
      </w:r>
      <w:proofErr w:type="spellStart"/>
      <w:r w:rsidRPr="003D281C">
        <w:rPr>
          <w:snapToGrid w:val="0"/>
          <w:kern w:val="18"/>
          <w:sz w:val="18"/>
          <w:szCs w:val="18"/>
          <w:lang w:val="fr-FR"/>
        </w:rPr>
        <w:t>Milà</w:t>
      </w:r>
      <w:proofErr w:type="spellEnd"/>
      <w:r w:rsidRPr="003D281C">
        <w:rPr>
          <w:snapToGrid w:val="0"/>
          <w:kern w:val="18"/>
          <w:sz w:val="18"/>
          <w:szCs w:val="18"/>
          <w:lang w:val="fr-FR"/>
        </w:rPr>
        <w:t xml:space="preserve"> i </w:t>
      </w:r>
      <w:proofErr w:type="spellStart"/>
      <w:r w:rsidRPr="003D281C">
        <w:rPr>
          <w:snapToGrid w:val="0"/>
          <w:kern w:val="18"/>
          <w:sz w:val="18"/>
          <w:szCs w:val="18"/>
          <w:lang w:val="fr-FR"/>
        </w:rPr>
        <w:t>Canals</w:t>
      </w:r>
      <w:proofErr w:type="spellEnd"/>
      <w:r w:rsidRPr="003D281C">
        <w:rPr>
          <w:snapToGrid w:val="0"/>
          <w:kern w:val="18"/>
          <w:sz w:val="18"/>
          <w:szCs w:val="18"/>
          <w:lang w:val="fr-FR"/>
        </w:rPr>
        <w:t xml:space="preserve">, L. (2016). </w:t>
      </w:r>
      <w:r w:rsidRPr="009F54B9">
        <w:rPr>
          <w:snapToGrid w:val="0"/>
          <w:kern w:val="18"/>
          <w:sz w:val="18"/>
          <w:szCs w:val="18"/>
        </w:rPr>
        <w:t>How well does LCA model land use impacts on biodiversity? A comparison with approaches from ecology and conservation. Environmental Science &amp; Technology 50 (6), 2782-2795.</w:t>
      </w:r>
    </w:p>
  </w:footnote>
  <w:footnote w:id="142">
    <w:p w14:paraId="78C53B3A"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articlecitationpages"/>
          <w:snapToGrid w:val="0"/>
          <w:kern w:val="18"/>
          <w:sz w:val="18"/>
          <w:szCs w:val="18"/>
        </w:rPr>
        <w:footnoteRef/>
      </w:r>
      <w:r w:rsidRPr="009F54B9">
        <w:rPr>
          <w:snapToGrid w:val="0"/>
          <w:kern w:val="18"/>
          <w:sz w:val="18"/>
          <w:szCs w:val="18"/>
        </w:rPr>
        <w:t xml:space="preserve"> de Baan, L., </w:t>
      </w:r>
      <w:proofErr w:type="spellStart"/>
      <w:r w:rsidRPr="009F54B9">
        <w:rPr>
          <w:snapToGrid w:val="0"/>
          <w:kern w:val="18"/>
          <w:sz w:val="18"/>
          <w:szCs w:val="18"/>
        </w:rPr>
        <w:t>Alkemade</w:t>
      </w:r>
      <w:proofErr w:type="spellEnd"/>
      <w:r w:rsidRPr="009F54B9">
        <w:rPr>
          <w:snapToGrid w:val="0"/>
          <w:kern w:val="18"/>
          <w:sz w:val="18"/>
          <w:szCs w:val="18"/>
        </w:rPr>
        <w:t xml:space="preserve">, R., </w:t>
      </w:r>
      <w:proofErr w:type="spellStart"/>
      <w:r w:rsidRPr="009F54B9">
        <w:rPr>
          <w:snapToGrid w:val="0"/>
          <w:kern w:val="18"/>
          <w:sz w:val="18"/>
          <w:szCs w:val="18"/>
        </w:rPr>
        <w:t>Koellner</w:t>
      </w:r>
      <w:proofErr w:type="spellEnd"/>
      <w:r w:rsidRPr="009F54B9">
        <w:rPr>
          <w:snapToGrid w:val="0"/>
          <w:kern w:val="18"/>
          <w:sz w:val="18"/>
          <w:szCs w:val="18"/>
        </w:rPr>
        <w:t xml:space="preserve">, T. (2013). Land use impacts on biodiversity in LCA: a global approach. </w:t>
      </w:r>
      <w:hyperlink r:id="rId48" w:tooltip="The International Journal of Life Cycle Assessment" w:history="1">
        <w:r w:rsidRPr="009F54B9">
          <w:rPr>
            <w:snapToGrid w:val="0"/>
            <w:kern w:val="18"/>
            <w:sz w:val="18"/>
            <w:szCs w:val="18"/>
          </w:rPr>
          <w:t>The International Journal of Life Cycle Assessment</w:t>
        </w:r>
      </w:hyperlink>
      <w:r w:rsidRPr="009F54B9">
        <w:rPr>
          <w:snapToGrid w:val="0"/>
          <w:kern w:val="18"/>
          <w:sz w:val="18"/>
          <w:szCs w:val="18"/>
        </w:rPr>
        <w:t xml:space="preserve"> 18 (6), 1216-1230.</w:t>
      </w:r>
    </w:p>
  </w:footnote>
  <w:footnote w:id="143">
    <w:p w14:paraId="417E0FCA"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Souza, D.M., Teixeira, R.F., Ostermann, O.P. (2015). Assessing biodiversity loss due to land use with Life Cycle Assessment: are we there yet? </w:t>
      </w:r>
      <w:hyperlink r:id="rId49" w:tooltip="Global change biology." w:history="1">
        <w:r w:rsidRPr="009F54B9">
          <w:rPr>
            <w:snapToGrid w:val="0"/>
            <w:kern w:val="18"/>
            <w:sz w:val="18"/>
            <w:szCs w:val="18"/>
          </w:rPr>
          <w:t>Glob Chang Biol.</w:t>
        </w:r>
      </w:hyperlink>
      <w:r w:rsidRPr="009F54B9">
        <w:rPr>
          <w:snapToGrid w:val="0"/>
          <w:kern w:val="18"/>
          <w:sz w:val="18"/>
          <w:szCs w:val="18"/>
        </w:rPr>
        <w:t xml:space="preserve"> 21(1):32-47.</w:t>
      </w:r>
    </w:p>
  </w:footnote>
  <w:footnote w:id="144">
    <w:p w14:paraId="1C308BA1"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The Aluminium Stewardship Initiative (ASI) is a global, multi-stakeholder, non-profit standards setting and certification organisation.  It is the result of producers, users and stakeholders in the aluminium value chain coming together with a commitment to maximising the contribution of aluminium to a sustainable society. URL: </w:t>
      </w:r>
      <w:hyperlink r:id="rId50" w:history="1">
        <w:r w:rsidRPr="009F54B9">
          <w:rPr>
            <w:rStyle w:val="Hyperlink"/>
            <w:snapToGrid w:val="0"/>
            <w:kern w:val="18"/>
            <w:szCs w:val="18"/>
          </w:rPr>
          <w:t>https://aluminium-stewardship.org/about-asi/</w:t>
        </w:r>
      </w:hyperlink>
      <w:r w:rsidRPr="009F54B9">
        <w:rPr>
          <w:snapToGrid w:val="0"/>
          <w:kern w:val="18"/>
          <w:szCs w:val="18"/>
        </w:rPr>
        <w:t>, accessed on January 15, 2018.</w:t>
      </w:r>
    </w:p>
  </w:footnote>
  <w:footnote w:id="145">
    <w:p w14:paraId="0D6971C3"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w:t>
      </w:r>
      <w:proofErr w:type="spellStart"/>
      <w:r w:rsidRPr="009F54B9">
        <w:rPr>
          <w:snapToGrid w:val="0"/>
          <w:kern w:val="18"/>
          <w:sz w:val="18"/>
          <w:szCs w:val="18"/>
        </w:rPr>
        <w:t>Gulbrandsen</w:t>
      </w:r>
      <w:proofErr w:type="spellEnd"/>
      <w:r w:rsidRPr="009F54B9">
        <w:rPr>
          <w:snapToGrid w:val="0"/>
          <w:kern w:val="18"/>
          <w:sz w:val="18"/>
          <w:szCs w:val="18"/>
        </w:rPr>
        <w:t xml:space="preserve">, L.H. (2010). Transnational environmental governance: The emergence and effects of the certification of forests and fisheries. Edward Elgar: Cheltenham, </w:t>
      </w:r>
      <w:r w:rsidR="002733F6" w:rsidRPr="006265E8">
        <w:rPr>
          <w:snapToGrid w:val="0"/>
          <w:kern w:val="18"/>
          <w:sz w:val="18"/>
          <w:szCs w:val="18"/>
        </w:rPr>
        <w:t>United Kingdom</w:t>
      </w:r>
      <w:r w:rsidRPr="009F54B9">
        <w:rPr>
          <w:snapToGrid w:val="0"/>
          <w:kern w:val="18"/>
          <w:sz w:val="18"/>
          <w:szCs w:val="18"/>
        </w:rPr>
        <w:t>.</w:t>
      </w:r>
    </w:p>
  </w:footnote>
  <w:footnote w:id="146">
    <w:p w14:paraId="213E0A40"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KPMG (2012). Certification and biodiversity. Exploring improvements in the effectiveness of certification schemes on biodiversity. 59p.</w:t>
      </w:r>
    </w:p>
  </w:footnote>
  <w:footnote w:id="147">
    <w:p w14:paraId="641C0CDE"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UNEP-WCMC (2011). Review of the biodiversity requirements of standards and certification schemes: A snapshot of current practices. Secretariat of the Convention on Biological Diversity, Montréal, Canada. Technical Series No. 63, 30p.</w:t>
      </w:r>
    </w:p>
  </w:footnote>
  <w:footnote w:id="148">
    <w:p w14:paraId="232695C3"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International Federation of Accountants (IFAC) (2005). Environmental Management Accounting International Guidance Document. New York, 92p.</w:t>
      </w:r>
    </w:p>
  </w:footnote>
  <w:footnote w:id="149">
    <w:p w14:paraId="1A4C3003"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w:t>
      </w:r>
      <w:hyperlink r:id="rId51" w:history="1">
        <w:r w:rsidRPr="009F54B9">
          <w:rPr>
            <w:snapToGrid w:val="0"/>
            <w:kern w:val="18"/>
            <w:szCs w:val="18"/>
          </w:rPr>
          <w:t>https://www.cdp.net/en</w:t>
        </w:r>
      </w:hyperlink>
      <w:r w:rsidRPr="009F54B9">
        <w:rPr>
          <w:snapToGrid w:val="0"/>
          <w:kern w:val="18"/>
          <w:szCs w:val="18"/>
        </w:rPr>
        <w:t>, accessed on January 5, 2018.</w:t>
      </w:r>
    </w:p>
  </w:footnote>
  <w:footnote w:id="150">
    <w:p w14:paraId="77DA9237"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Global Reporting Initiative (2017). Biodiversity – A GRI reporting resource. 50p.</w:t>
      </w:r>
    </w:p>
  </w:footnote>
  <w:footnote w:id="151">
    <w:p w14:paraId="172851DA"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w:t>
      </w:r>
      <w:hyperlink r:id="rId52" w:history="1">
        <w:r w:rsidRPr="009F54B9">
          <w:rPr>
            <w:rStyle w:val="Hyperlink"/>
            <w:snapToGrid w:val="0"/>
            <w:kern w:val="18"/>
            <w:szCs w:val="18"/>
          </w:rPr>
          <w:t>https://www.ewt.org.za/BUSINESSDEVELOPMENT/business.html</w:t>
        </w:r>
      </w:hyperlink>
      <w:r w:rsidRPr="009F54B9">
        <w:rPr>
          <w:snapToGrid w:val="0"/>
          <w:kern w:val="18"/>
          <w:szCs w:val="18"/>
        </w:rPr>
        <w:t>, accessed January 12, 2018.</w:t>
      </w:r>
    </w:p>
  </w:footnote>
  <w:footnote w:id="152">
    <w:p w14:paraId="00D8D411"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Though many companies have valued some of their natural capital impacts and / or dependencies, disclosure is almost inexistent.</w:t>
      </w:r>
    </w:p>
  </w:footnote>
  <w:footnote w:id="153">
    <w:p w14:paraId="194C48AD"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w:t>
      </w:r>
      <w:proofErr w:type="spellStart"/>
      <w:r w:rsidRPr="009F54B9">
        <w:rPr>
          <w:snapToGrid w:val="0"/>
          <w:kern w:val="18"/>
          <w:sz w:val="18"/>
          <w:szCs w:val="18"/>
        </w:rPr>
        <w:t>Huizing</w:t>
      </w:r>
      <w:proofErr w:type="spellEnd"/>
      <w:r w:rsidRPr="009F54B9">
        <w:rPr>
          <w:snapToGrid w:val="0"/>
          <w:kern w:val="18"/>
          <w:sz w:val="18"/>
          <w:szCs w:val="18"/>
        </w:rPr>
        <w:t>, A., Dekker, C. (1992). Helping to pull our planet out of the red: An environment report of BSO/Origin. Accounting, Organizations and Society 17(5), 449-458.</w:t>
      </w:r>
    </w:p>
  </w:footnote>
  <w:footnote w:id="154">
    <w:p w14:paraId="1E8CC6AE"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Danish Environmental Protection Agency (2014). Novo Nordisk’s environmental profit and loss account, 32p.</w:t>
      </w:r>
    </w:p>
  </w:footnote>
  <w:footnote w:id="155">
    <w:p w14:paraId="19AEB82C"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http://www.kering.com/en/sustainability/results, accessed on January 5, 2018.</w:t>
      </w:r>
    </w:p>
  </w:footnote>
  <w:footnote w:id="156">
    <w:p w14:paraId="5EDC3F98"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Lewis, J.K. (2016). Corporate Social Responsibility/Sustainability Reporting among the Fortune Global 250: Greenwashing or green supply chain? Faculty and Staff - Articles &amp; Papers. Paper 56, 15p.</w:t>
      </w:r>
    </w:p>
  </w:footnote>
  <w:footnote w:id="157">
    <w:p w14:paraId="428096FA"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Lyon, T.P., Maxwell, J. W. (2011). Greenwash: Corporate Environmental Disclosure under threat of audit. Journal of Economics &amp; Management Strategy, 20: 3-41.</w:t>
      </w:r>
    </w:p>
  </w:footnote>
  <w:footnote w:id="158">
    <w:p w14:paraId="5A2CD46D"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https://iucnrle.org/, accessed on January 12, 2018.</w:t>
      </w:r>
    </w:p>
  </w:footnote>
  <w:footnote w:id="159">
    <w:p w14:paraId="04DE511D"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AfDB, Development Centre of the Organisation for Economic Cooperation and Development, UNDP and UNECA (2012). African Economic Outlook 2012. African Development Bank Group: Tunis, Tunisia.</w:t>
      </w:r>
    </w:p>
  </w:footnote>
  <w:footnote w:id="160">
    <w:p w14:paraId="5FDA6E25"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UKAID (2010). Opportunities for low carbon investment in Tanzania: An assessment of future emissions growth and low carbon reduction potential. London.</w:t>
      </w:r>
    </w:p>
  </w:footnote>
  <w:footnote w:id="161">
    <w:p w14:paraId="59C06C83"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United Nations Environment Programme (UNEP) (2010). Assessing the environmental impacts of consumption and production: Priority products and materials. A report of the working group on the environmental impacts of products and materials to the International Panel for Sustainable Resource Management. </w:t>
      </w:r>
      <w:proofErr w:type="spellStart"/>
      <w:r w:rsidRPr="009F54B9">
        <w:rPr>
          <w:snapToGrid w:val="0"/>
          <w:kern w:val="18"/>
          <w:sz w:val="18"/>
          <w:szCs w:val="18"/>
        </w:rPr>
        <w:t>Hertwich</w:t>
      </w:r>
      <w:proofErr w:type="spellEnd"/>
      <w:r w:rsidRPr="009F54B9">
        <w:rPr>
          <w:snapToGrid w:val="0"/>
          <w:kern w:val="18"/>
          <w:sz w:val="18"/>
          <w:szCs w:val="18"/>
        </w:rPr>
        <w:t xml:space="preserve">, E., van der </w:t>
      </w:r>
      <w:proofErr w:type="spellStart"/>
      <w:r w:rsidRPr="009F54B9">
        <w:rPr>
          <w:snapToGrid w:val="0"/>
          <w:kern w:val="18"/>
          <w:sz w:val="18"/>
          <w:szCs w:val="18"/>
        </w:rPr>
        <w:t>Voet</w:t>
      </w:r>
      <w:proofErr w:type="spellEnd"/>
      <w:r w:rsidRPr="009F54B9">
        <w:rPr>
          <w:snapToGrid w:val="0"/>
          <w:kern w:val="18"/>
          <w:sz w:val="18"/>
          <w:szCs w:val="18"/>
        </w:rPr>
        <w:t xml:space="preserve">, E., Suh, S., </w:t>
      </w:r>
      <w:proofErr w:type="spellStart"/>
      <w:r w:rsidRPr="009F54B9">
        <w:rPr>
          <w:snapToGrid w:val="0"/>
          <w:kern w:val="18"/>
          <w:sz w:val="18"/>
          <w:szCs w:val="18"/>
        </w:rPr>
        <w:t>Tukker</w:t>
      </w:r>
      <w:proofErr w:type="spellEnd"/>
      <w:r w:rsidRPr="009F54B9">
        <w:rPr>
          <w:snapToGrid w:val="0"/>
          <w:kern w:val="18"/>
          <w:sz w:val="18"/>
          <w:szCs w:val="18"/>
        </w:rPr>
        <w:t xml:space="preserve">, A., </w:t>
      </w:r>
      <w:proofErr w:type="spellStart"/>
      <w:r w:rsidRPr="009F54B9">
        <w:rPr>
          <w:snapToGrid w:val="0"/>
          <w:kern w:val="18"/>
          <w:sz w:val="18"/>
          <w:szCs w:val="18"/>
        </w:rPr>
        <w:t>Huijbregts</w:t>
      </w:r>
      <w:proofErr w:type="spellEnd"/>
      <w:r w:rsidRPr="009F54B9">
        <w:rPr>
          <w:snapToGrid w:val="0"/>
          <w:kern w:val="18"/>
          <w:sz w:val="18"/>
          <w:szCs w:val="18"/>
        </w:rPr>
        <w:t xml:space="preserve"> M., </w:t>
      </w:r>
      <w:proofErr w:type="spellStart"/>
      <w:r w:rsidRPr="009F54B9">
        <w:rPr>
          <w:snapToGrid w:val="0"/>
          <w:kern w:val="18"/>
          <w:sz w:val="18"/>
          <w:szCs w:val="18"/>
        </w:rPr>
        <w:t>Kazmierczyk</w:t>
      </w:r>
      <w:proofErr w:type="spellEnd"/>
      <w:r w:rsidRPr="009F54B9">
        <w:rPr>
          <w:snapToGrid w:val="0"/>
          <w:kern w:val="18"/>
          <w:sz w:val="18"/>
          <w:szCs w:val="18"/>
        </w:rPr>
        <w:t xml:space="preserve">, P., </w:t>
      </w:r>
      <w:proofErr w:type="spellStart"/>
      <w:r w:rsidRPr="009F54B9">
        <w:rPr>
          <w:snapToGrid w:val="0"/>
          <w:kern w:val="18"/>
          <w:sz w:val="18"/>
          <w:szCs w:val="18"/>
        </w:rPr>
        <w:t>Lenzen</w:t>
      </w:r>
      <w:proofErr w:type="spellEnd"/>
      <w:r w:rsidRPr="009F54B9">
        <w:rPr>
          <w:snapToGrid w:val="0"/>
          <w:kern w:val="18"/>
          <w:sz w:val="18"/>
          <w:szCs w:val="18"/>
        </w:rPr>
        <w:t xml:space="preserve">, M., McNeely, J., </w:t>
      </w:r>
      <w:proofErr w:type="spellStart"/>
      <w:r w:rsidRPr="009F54B9">
        <w:rPr>
          <w:snapToGrid w:val="0"/>
          <w:kern w:val="18"/>
          <w:sz w:val="18"/>
          <w:szCs w:val="18"/>
        </w:rPr>
        <w:t>Moriguchi</w:t>
      </w:r>
      <w:proofErr w:type="spellEnd"/>
      <w:r w:rsidRPr="009F54B9">
        <w:rPr>
          <w:snapToGrid w:val="0"/>
          <w:kern w:val="18"/>
          <w:sz w:val="18"/>
          <w:szCs w:val="18"/>
        </w:rPr>
        <w:t>, Y. Paris, 112p.</w:t>
      </w:r>
    </w:p>
  </w:footnote>
  <w:footnote w:id="162">
    <w:p w14:paraId="460FCD15"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United Nations Environment Programme (UNEP) (2011). Low carbon development strategies: A primer on framing Nationally Appropriate Mitigation Actions (NAMAs) in developing countries. </w:t>
      </w:r>
      <w:proofErr w:type="spellStart"/>
      <w:r w:rsidRPr="009F54B9">
        <w:rPr>
          <w:snapToGrid w:val="0"/>
          <w:kern w:val="18"/>
          <w:sz w:val="18"/>
          <w:szCs w:val="18"/>
        </w:rPr>
        <w:t>Søren</w:t>
      </w:r>
      <w:proofErr w:type="spellEnd"/>
      <w:r w:rsidRPr="009F54B9">
        <w:rPr>
          <w:snapToGrid w:val="0"/>
          <w:kern w:val="18"/>
          <w:sz w:val="18"/>
          <w:szCs w:val="18"/>
        </w:rPr>
        <w:t xml:space="preserve"> </w:t>
      </w:r>
      <w:proofErr w:type="spellStart"/>
      <w:r w:rsidRPr="009F54B9">
        <w:rPr>
          <w:snapToGrid w:val="0"/>
          <w:kern w:val="18"/>
          <w:sz w:val="18"/>
          <w:szCs w:val="18"/>
        </w:rPr>
        <w:t>Lütken</w:t>
      </w:r>
      <w:proofErr w:type="spellEnd"/>
      <w:r w:rsidRPr="009F54B9">
        <w:rPr>
          <w:snapToGrid w:val="0"/>
          <w:kern w:val="18"/>
          <w:sz w:val="18"/>
          <w:szCs w:val="18"/>
        </w:rPr>
        <w:t xml:space="preserve">, </w:t>
      </w:r>
      <w:proofErr w:type="spellStart"/>
      <w:r w:rsidRPr="009F54B9">
        <w:rPr>
          <w:snapToGrid w:val="0"/>
          <w:kern w:val="18"/>
          <w:sz w:val="18"/>
          <w:szCs w:val="18"/>
        </w:rPr>
        <w:t>Jørgen</w:t>
      </w:r>
      <w:proofErr w:type="spellEnd"/>
      <w:r w:rsidRPr="009F54B9">
        <w:rPr>
          <w:snapToGrid w:val="0"/>
          <w:kern w:val="18"/>
          <w:sz w:val="18"/>
          <w:szCs w:val="18"/>
        </w:rPr>
        <w:t xml:space="preserve"> </w:t>
      </w:r>
      <w:proofErr w:type="spellStart"/>
      <w:r w:rsidRPr="009F54B9">
        <w:rPr>
          <w:snapToGrid w:val="0"/>
          <w:kern w:val="18"/>
          <w:sz w:val="18"/>
          <w:szCs w:val="18"/>
        </w:rPr>
        <w:t>Fenhann</w:t>
      </w:r>
      <w:proofErr w:type="spellEnd"/>
      <w:r w:rsidRPr="009F54B9">
        <w:rPr>
          <w:snapToGrid w:val="0"/>
          <w:kern w:val="18"/>
          <w:sz w:val="18"/>
          <w:szCs w:val="18"/>
        </w:rPr>
        <w:t xml:space="preserve">, Miriam </w:t>
      </w:r>
      <w:proofErr w:type="spellStart"/>
      <w:r w:rsidRPr="009F54B9">
        <w:rPr>
          <w:snapToGrid w:val="0"/>
          <w:kern w:val="18"/>
          <w:sz w:val="18"/>
          <w:szCs w:val="18"/>
        </w:rPr>
        <w:t>Hinostroza</w:t>
      </w:r>
      <w:proofErr w:type="spellEnd"/>
      <w:r w:rsidRPr="009F54B9">
        <w:rPr>
          <w:snapToGrid w:val="0"/>
          <w:kern w:val="18"/>
          <w:sz w:val="18"/>
          <w:szCs w:val="18"/>
        </w:rPr>
        <w:t xml:space="preserve">, Sudhir Sharma, Karen Holm Olsen, UNEP </w:t>
      </w:r>
      <w:proofErr w:type="spellStart"/>
      <w:r w:rsidRPr="009F54B9">
        <w:rPr>
          <w:snapToGrid w:val="0"/>
          <w:kern w:val="18"/>
          <w:sz w:val="18"/>
          <w:szCs w:val="18"/>
        </w:rPr>
        <w:t>Risø</w:t>
      </w:r>
      <w:proofErr w:type="spellEnd"/>
      <w:r w:rsidRPr="009F54B9">
        <w:rPr>
          <w:snapToGrid w:val="0"/>
          <w:kern w:val="18"/>
          <w:sz w:val="18"/>
          <w:szCs w:val="18"/>
        </w:rPr>
        <w:t xml:space="preserve"> Centre Energy, Climate and Sustainable Development, Denmark.</w:t>
      </w:r>
    </w:p>
  </w:footnote>
  <w:footnote w:id="163">
    <w:p w14:paraId="673B8341"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United Nations Environment Programme (UNEP) (2013). Green economy scoping study: South African Green Economy Modelling Report (SAGEM) – Focus on Natural Resource Management, Agriculture, Transport and Energy Sectors, 128p.</w:t>
      </w:r>
    </w:p>
  </w:footnote>
  <w:footnote w:id="164">
    <w:p w14:paraId="712752A4"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w:t>
      </w:r>
      <w:hyperlink r:id="rId53" w:history="1">
        <w:r w:rsidRPr="009F54B9">
          <w:rPr>
            <w:snapToGrid w:val="0"/>
            <w:kern w:val="18"/>
            <w:szCs w:val="18"/>
          </w:rPr>
          <w:t>http://www.ifc.org/wps/wcm/connect/Topics_Ext_Content/IFC_External_Corporate_Site/Sustainability-At-IFC/Policies-Standards/Performance-Standards</w:t>
        </w:r>
      </w:hyperlink>
      <w:r w:rsidRPr="009F54B9">
        <w:rPr>
          <w:snapToGrid w:val="0"/>
          <w:kern w:val="18"/>
          <w:szCs w:val="18"/>
        </w:rPr>
        <w:t>, accessed on February 15, 2018.</w:t>
      </w:r>
    </w:p>
  </w:footnote>
  <w:footnote w:id="165">
    <w:p w14:paraId="0C9A4B5A"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3D281C">
        <w:rPr>
          <w:snapToGrid w:val="0"/>
          <w:kern w:val="18"/>
          <w:sz w:val="18"/>
          <w:szCs w:val="18"/>
          <w:lang w:val="fr-FR"/>
        </w:rPr>
        <w:t xml:space="preserve"> Grolleau, G., Mzoughi, N., Nouira, C. (2004). </w:t>
      </w:r>
      <w:r w:rsidRPr="009F54B9">
        <w:rPr>
          <w:snapToGrid w:val="0"/>
          <w:kern w:val="18"/>
          <w:sz w:val="18"/>
          <w:szCs w:val="18"/>
        </w:rPr>
        <w:t>Public purchasing and eco-labelling schemes: Making the connection and reinforcing policy coherence. Journal of Interdisciplinary Economics 15(2), 131-151.</w:t>
      </w:r>
    </w:p>
  </w:footnote>
  <w:footnote w:id="166">
    <w:p w14:paraId="16497338"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Lundberg, S., </w:t>
      </w:r>
      <w:proofErr w:type="spellStart"/>
      <w:r w:rsidRPr="009F54B9">
        <w:rPr>
          <w:snapToGrid w:val="0"/>
          <w:kern w:val="18"/>
          <w:sz w:val="18"/>
          <w:szCs w:val="18"/>
        </w:rPr>
        <w:t>Marklund</w:t>
      </w:r>
      <w:proofErr w:type="spellEnd"/>
      <w:r w:rsidRPr="009F54B9">
        <w:rPr>
          <w:snapToGrid w:val="0"/>
          <w:kern w:val="18"/>
          <w:sz w:val="18"/>
          <w:szCs w:val="18"/>
        </w:rPr>
        <w:t xml:space="preserve">, P.O., </w:t>
      </w:r>
      <w:proofErr w:type="spellStart"/>
      <w:r w:rsidRPr="009F54B9">
        <w:rPr>
          <w:snapToGrid w:val="0"/>
          <w:kern w:val="18"/>
          <w:sz w:val="18"/>
          <w:szCs w:val="18"/>
        </w:rPr>
        <w:t>Brännlund</w:t>
      </w:r>
      <w:proofErr w:type="spellEnd"/>
      <w:r w:rsidRPr="009F54B9">
        <w:rPr>
          <w:snapToGrid w:val="0"/>
          <w:kern w:val="18"/>
          <w:sz w:val="18"/>
          <w:szCs w:val="18"/>
        </w:rPr>
        <w:t xml:space="preserve">, R. (2009). Assessment of Green Public Procurement as a policy tool: Cost-efficiency and competition considerations, </w:t>
      </w:r>
      <w:proofErr w:type="spellStart"/>
      <w:r w:rsidRPr="009F54B9">
        <w:rPr>
          <w:snapToGrid w:val="0"/>
          <w:kern w:val="18"/>
          <w:sz w:val="18"/>
          <w:szCs w:val="18"/>
        </w:rPr>
        <w:t>Umeå</w:t>
      </w:r>
      <w:proofErr w:type="spellEnd"/>
      <w:r w:rsidRPr="009F54B9">
        <w:rPr>
          <w:snapToGrid w:val="0"/>
          <w:kern w:val="18"/>
          <w:sz w:val="18"/>
          <w:szCs w:val="18"/>
        </w:rPr>
        <w:t xml:space="preserve"> Economic Studies No 775.</w:t>
      </w:r>
    </w:p>
  </w:footnote>
  <w:footnote w:id="167">
    <w:p w14:paraId="1AD5F5AD" w14:textId="77777777" w:rsidR="008E44C6" w:rsidRPr="009F54B9"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rPr>
      </w:pPr>
      <w:r w:rsidRPr="009F54B9">
        <w:rPr>
          <w:rStyle w:val="FootnoteReference"/>
          <w:snapToGrid w:val="0"/>
          <w:kern w:val="18"/>
          <w:sz w:val="18"/>
          <w:szCs w:val="18"/>
        </w:rPr>
        <w:footnoteRef/>
      </w:r>
      <w:r w:rsidRPr="009F54B9">
        <w:rPr>
          <w:snapToGrid w:val="0"/>
          <w:kern w:val="18"/>
          <w:sz w:val="18"/>
          <w:szCs w:val="18"/>
        </w:rPr>
        <w:t xml:space="preserve"> </w:t>
      </w:r>
      <w:proofErr w:type="spellStart"/>
      <w:r w:rsidRPr="009F54B9">
        <w:rPr>
          <w:snapToGrid w:val="0"/>
          <w:kern w:val="18"/>
          <w:sz w:val="18"/>
          <w:szCs w:val="18"/>
        </w:rPr>
        <w:t>Schlegelmilch</w:t>
      </w:r>
      <w:proofErr w:type="spellEnd"/>
      <w:r w:rsidRPr="009F54B9">
        <w:rPr>
          <w:snapToGrid w:val="0"/>
          <w:kern w:val="18"/>
          <w:sz w:val="18"/>
          <w:szCs w:val="18"/>
        </w:rPr>
        <w:t xml:space="preserve">, K., </w:t>
      </w:r>
      <w:proofErr w:type="spellStart"/>
      <w:r w:rsidRPr="009F54B9">
        <w:rPr>
          <w:snapToGrid w:val="0"/>
          <w:kern w:val="18"/>
          <w:sz w:val="18"/>
          <w:szCs w:val="18"/>
        </w:rPr>
        <w:t>Joas</w:t>
      </w:r>
      <w:proofErr w:type="spellEnd"/>
      <w:r w:rsidRPr="009F54B9">
        <w:rPr>
          <w:snapToGrid w:val="0"/>
          <w:kern w:val="18"/>
          <w:sz w:val="18"/>
          <w:szCs w:val="18"/>
        </w:rPr>
        <w:t>, A. (2015). Fiscal considerations in the design of green tax reforms. Green Growth Knowledge Platform (GGKP) Third Annual Conference. Fiscal Policies and the Green Economy Transition: Generating Knowledge – Creating Impact 29-30 January, 2015, University of Venice, Venice, Italy.</w:t>
      </w:r>
    </w:p>
  </w:footnote>
  <w:footnote w:id="168">
    <w:p w14:paraId="1D3EA885" w14:textId="77777777" w:rsidR="008E44C6" w:rsidRPr="003D281C" w:rsidRDefault="008E44C6" w:rsidP="009F54B9">
      <w:pPr>
        <w:suppressLineNumbers/>
        <w:suppressAutoHyphens/>
        <w:kinsoku w:val="0"/>
        <w:overflowPunct w:val="0"/>
        <w:autoSpaceDE w:val="0"/>
        <w:autoSpaceDN w:val="0"/>
        <w:adjustRightInd w:val="0"/>
        <w:snapToGrid w:val="0"/>
        <w:spacing w:after="60"/>
        <w:jc w:val="left"/>
        <w:rPr>
          <w:snapToGrid w:val="0"/>
          <w:kern w:val="18"/>
          <w:sz w:val="18"/>
          <w:szCs w:val="18"/>
          <w:lang w:val="fr-FR"/>
        </w:rPr>
      </w:pPr>
      <w:r w:rsidRPr="009F54B9">
        <w:rPr>
          <w:rStyle w:val="FootnoteReference"/>
          <w:snapToGrid w:val="0"/>
          <w:kern w:val="18"/>
          <w:sz w:val="18"/>
          <w:szCs w:val="18"/>
        </w:rPr>
        <w:footnoteRef/>
      </w:r>
      <w:r w:rsidRPr="009F54B9">
        <w:rPr>
          <w:snapToGrid w:val="0"/>
          <w:kern w:val="18"/>
          <w:sz w:val="18"/>
          <w:szCs w:val="18"/>
        </w:rPr>
        <w:t xml:space="preserve"> </w:t>
      </w:r>
      <w:proofErr w:type="spellStart"/>
      <w:r w:rsidRPr="009F54B9">
        <w:rPr>
          <w:snapToGrid w:val="0"/>
          <w:kern w:val="18"/>
          <w:sz w:val="18"/>
          <w:szCs w:val="18"/>
        </w:rPr>
        <w:t>Slunge</w:t>
      </w:r>
      <w:proofErr w:type="spellEnd"/>
      <w:r w:rsidRPr="009F54B9">
        <w:rPr>
          <w:snapToGrid w:val="0"/>
          <w:kern w:val="18"/>
          <w:sz w:val="18"/>
          <w:szCs w:val="18"/>
        </w:rPr>
        <w:t xml:space="preserve">, D., Sterner, T. (2009). Environmental Fiscal Reform in East and Southern Africa and its effects on income distribution. </w:t>
      </w:r>
      <w:r w:rsidRPr="003D281C">
        <w:rPr>
          <w:snapToGrid w:val="0"/>
          <w:kern w:val="18"/>
          <w:sz w:val="18"/>
          <w:szCs w:val="18"/>
          <w:lang w:val="fr-FR"/>
        </w:rPr>
        <w:t>Rivista di Politica Economica July-October, 91-120.</w:t>
      </w:r>
    </w:p>
  </w:footnote>
  <w:footnote w:id="169">
    <w:p w14:paraId="07D3B26A" w14:textId="77777777" w:rsidR="008E44C6" w:rsidRPr="003D281C"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9F54B9">
        <w:rPr>
          <w:rStyle w:val="FootnoteReference"/>
          <w:snapToGrid w:val="0"/>
          <w:kern w:val="18"/>
          <w:sz w:val="18"/>
          <w:szCs w:val="18"/>
        </w:rPr>
        <w:footnoteRef/>
      </w:r>
      <w:r w:rsidRPr="003D281C">
        <w:rPr>
          <w:snapToGrid w:val="0"/>
          <w:kern w:val="18"/>
          <w:szCs w:val="18"/>
          <w:lang w:val="fr-FR"/>
        </w:rPr>
        <w:t xml:space="preserve"> </w:t>
      </w:r>
      <w:r w:rsidRPr="003D281C">
        <w:rPr>
          <w:snapToGrid w:val="0"/>
          <w:color w:val="000000" w:themeColor="text1"/>
          <w:kern w:val="18"/>
          <w:szCs w:val="18"/>
          <w:shd w:val="clear" w:color="auto" w:fill="FFFFFF"/>
          <w:lang w:val="fr-FR"/>
        </w:rPr>
        <w:t xml:space="preserve">Centre d’analyse stratégique (2012). Les aides publiques dommageables à la biodiversité, rapport de la mission présidée par Guillaume Sainteny, Paris, </w:t>
      </w:r>
      <w:r w:rsidRPr="009F54B9">
        <w:rPr>
          <w:snapToGrid w:val="0"/>
          <w:color w:val="000000" w:themeColor="text1"/>
          <w:kern w:val="18"/>
          <w:szCs w:val="18"/>
          <w:shd w:val="clear" w:color="auto" w:fill="FFFFFF"/>
          <w:lang w:val="fr-FR"/>
        </w:rPr>
        <w:t>La Documentation française</w:t>
      </w:r>
      <w:r w:rsidRPr="003D281C">
        <w:rPr>
          <w:snapToGrid w:val="0"/>
          <w:color w:val="000000" w:themeColor="text1"/>
          <w:kern w:val="18"/>
          <w:szCs w:val="18"/>
          <w:shd w:val="clear" w:color="auto" w:fill="FFFFFF"/>
          <w:lang w:val="fr-FR"/>
        </w:rPr>
        <w:t>, 414 p.</w:t>
      </w:r>
    </w:p>
  </w:footnote>
  <w:footnote w:id="170">
    <w:p w14:paraId="5F70338B"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Arnell, P. (2003), Greening trade and investment: environmental protection without protectionism by Eric </w:t>
      </w:r>
      <w:proofErr w:type="spellStart"/>
      <w:r w:rsidRPr="009F54B9">
        <w:rPr>
          <w:snapToGrid w:val="0"/>
          <w:kern w:val="18"/>
          <w:szCs w:val="18"/>
        </w:rPr>
        <w:t>Neumayer</w:t>
      </w:r>
      <w:proofErr w:type="spellEnd"/>
      <w:r w:rsidRPr="009F54B9">
        <w:rPr>
          <w:snapToGrid w:val="0"/>
          <w:kern w:val="18"/>
          <w:szCs w:val="18"/>
        </w:rPr>
        <w:t xml:space="preserve">, 2001. Earthscan, 228 pp, ISBN 1-85383-788-1. Corp. Soc. </w:t>
      </w:r>
      <w:proofErr w:type="spellStart"/>
      <w:r w:rsidRPr="009F54B9">
        <w:rPr>
          <w:snapToGrid w:val="0"/>
          <w:kern w:val="18"/>
          <w:szCs w:val="18"/>
        </w:rPr>
        <w:t>Responsib</w:t>
      </w:r>
      <w:proofErr w:type="spellEnd"/>
      <w:r w:rsidRPr="009F54B9">
        <w:rPr>
          <w:snapToGrid w:val="0"/>
          <w:kern w:val="18"/>
          <w:szCs w:val="18"/>
        </w:rPr>
        <w:t xml:space="preserve">. Environ. </w:t>
      </w:r>
      <w:proofErr w:type="spellStart"/>
      <w:r w:rsidRPr="009F54B9">
        <w:rPr>
          <w:snapToGrid w:val="0"/>
          <w:kern w:val="18"/>
          <w:szCs w:val="18"/>
        </w:rPr>
        <w:t>Mgmt</w:t>
      </w:r>
      <w:proofErr w:type="spellEnd"/>
      <w:r w:rsidRPr="009F54B9">
        <w:rPr>
          <w:snapToGrid w:val="0"/>
          <w:kern w:val="18"/>
          <w:szCs w:val="18"/>
        </w:rPr>
        <w:t>, 10: 111–112. doi:10.1002/csr.34</w:t>
      </w:r>
    </w:p>
  </w:footnote>
  <w:footnote w:id="171">
    <w:p w14:paraId="6E764DAF"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spacing w:val="-3"/>
          <w:kern w:val="18"/>
          <w:szCs w:val="18"/>
        </w:rPr>
      </w:pPr>
      <w:r w:rsidRPr="009F54B9">
        <w:rPr>
          <w:rStyle w:val="FootnoteReference"/>
          <w:snapToGrid w:val="0"/>
          <w:spacing w:val="-3"/>
          <w:kern w:val="18"/>
          <w:sz w:val="18"/>
          <w:szCs w:val="18"/>
        </w:rPr>
        <w:footnoteRef/>
      </w:r>
      <w:r w:rsidRPr="009F54B9">
        <w:rPr>
          <w:snapToGrid w:val="0"/>
          <w:spacing w:val="-3"/>
          <w:kern w:val="18"/>
          <w:szCs w:val="18"/>
        </w:rPr>
        <w:t xml:space="preserve"> Berger, A., Brandi, C., Bruhn, D., Chi, M. (2017). Towards “Greening” Trade? Tracking Environmental Provisions in the Preferential Trade Agreements of Emerging Markets. Discussion Paper / </w:t>
      </w:r>
      <w:r w:rsidRPr="009F54B9">
        <w:rPr>
          <w:snapToGrid w:val="0"/>
          <w:spacing w:val="-3"/>
          <w:kern w:val="18"/>
          <w:szCs w:val="18"/>
          <w:lang w:val="de-DE"/>
        </w:rPr>
        <w:t>Deutsches Institut für Entwicklungspolitik</w:t>
      </w:r>
      <w:r w:rsidRPr="009F54B9">
        <w:rPr>
          <w:snapToGrid w:val="0"/>
          <w:spacing w:val="-3"/>
          <w:kern w:val="18"/>
          <w:szCs w:val="18"/>
        </w:rPr>
        <w:t xml:space="preserve"> ISSN 1860-0441</w:t>
      </w:r>
    </w:p>
  </w:footnote>
  <w:footnote w:id="172">
    <w:p w14:paraId="4B8F2BE2"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Mao, X., Song, P., </w:t>
      </w:r>
      <w:proofErr w:type="spellStart"/>
      <w:r w:rsidRPr="009F54B9">
        <w:rPr>
          <w:snapToGrid w:val="0"/>
          <w:kern w:val="18"/>
          <w:szCs w:val="18"/>
        </w:rPr>
        <w:t>Kørnøv</w:t>
      </w:r>
      <w:proofErr w:type="spellEnd"/>
      <w:r w:rsidRPr="009F54B9">
        <w:rPr>
          <w:snapToGrid w:val="0"/>
          <w:kern w:val="18"/>
          <w:szCs w:val="18"/>
        </w:rPr>
        <w:t xml:space="preserve">, L., </w:t>
      </w:r>
      <w:proofErr w:type="spellStart"/>
      <w:r w:rsidRPr="009F54B9">
        <w:rPr>
          <w:snapToGrid w:val="0"/>
          <w:kern w:val="18"/>
          <w:szCs w:val="18"/>
        </w:rPr>
        <w:t>Corsetti</w:t>
      </w:r>
      <w:proofErr w:type="spellEnd"/>
      <w:r w:rsidRPr="009F54B9">
        <w:rPr>
          <w:snapToGrid w:val="0"/>
          <w:kern w:val="18"/>
          <w:szCs w:val="18"/>
        </w:rPr>
        <w:t>, G. (2015). A review of EIAs on trade policy in China: Exploring the way for economic policy EIAs. Environmental Impact Assessment Review. 50, 53-65. DOI: </w:t>
      </w:r>
      <w:hyperlink r:id="rId54" w:history="1">
        <w:r w:rsidRPr="009F54B9">
          <w:rPr>
            <w:snapToGrid w:val="0"/>
            <w:kern w:val="18"/>
            <w:szCs w:val="18"/>
          </w:rPr>
          <w:t>http://dx.doi.org/10.1016/j.eiar.2014.08.010</w:t>
        </w:r>
      </w:hyperlink>
    </w:p>
  </w:footnote>
  <w:footnote w:id="173">
    <w:p w14:paraId="4E9359F0"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Sheldon, I. (2006), Trade and Environmental Policy: A Race to the Bottom? Journal of Agricultural Economics, 57: 365–392. doi:10.1111/j.1477-9552.2006.00056.x</w:t>
      </w:r>
    </w:p>
  </w:footnote>
  <w:footnote w:id="174">
    <w:p w14:paraId="05EE280E"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snapToGrid w:val="0"/>
          <w:kern w:val="18"/>
          <w:szCs w:val="18"/>
          <w:vertAlign w:val="superscript"/>
        </w:rPr>
        <w:footnoteRef/>
      </w:r>
      <w:r w:rsidRPr="009F54B9">
        <w:rPr>
          <w:snapToGrid w:val="0"/>
          <w:kern w:val="18"/>
          <w:szCs w:val="18"/>
        </w:rPr>
        <w:t xml:space="preserve"> See section 4.2 for a short analysis of the relevance of individual Aichi Targets for the manufacturing sector.</w:t>
      </w:r>
    </w:p>
  </w:footnote>
  <w:footnote w:id="175">
    <w:p w14:paraId="1C8348BA"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The Intergovernmental Science-Policy Platform on Biodiversity and Ecosystem Services (IPBES) is the intergovernmental body which assesses the state of biodiversity and of the ecosystem services it provides to society, in response to requests from decision makers; URL: </w:t>
      </w:r>
      <w:hyperlink r:id="rId55" w:history="1">
        <w:r w:rsidRPr="009F54B9">
          <w:rPr>
            <w:snapToGrid w:val="0"/>
            <w:kern w:val="18"/>
            <w:szCs w:val="18"/>
          </w:rPr>
          <w:t>https://www.ipbes.net/</w:t>
        </w:r>
      </w:hyperlink>
      <w:r w:rsidRPr="009F54B9">
        <w:rPr>
          <w:snapToGrid w:val="0"/>
          <w:kern w:val="18"/>
          <w:szCs w:val="18"/>
        </w:rPr>
        <w:t>, accessed on February 20, 2018.</w:t>
      </w:r>
    </w:p>
  </w:footnote>
  <w:footnote w:id="176">
    <w:p w14:paraId="7389BE6A"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The Natural Capital Coalition is a unique global multi-stakeholder collaboration that brings together leading initiatives and organizations to harmonize approaches to natural capital; URL: </w:t>
      </w:r>
      <w:hyperlink r:id="rId56" w:history="1">
        <w:r w:rsidRPr="009F54B9">
          <w:rPr>
            <w:rStyle w:val="Hyperlink"/>
            <w:snapToGrid w:val="0"/>
            <w:kern w:val="18"/>
            <w:szCs w:val="18"/>
          </w:rPr>
          <w:t>http://naturalcapitalcoalition.org/</w:t>
        </w:r>
      </w:hyperlink>
      <w:r w:rsidRPr="009F54B9">
        <w:rPr>
          <w:snapToGrid w:val="0"/>
          <w:kern w:val="18"/>
          <w:szCs w:val="18"/>
        </w:rPr>
        <w:t>, accessed on February 20, 2018.</w:t>
      </w:r>
    </w:p>
  </w:footnote>
  <w:footnote w:id="177">
    <w:p w14:paraId="065AE737"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w:t>
      </w:r>
      <w:hyperlink r:id="rId57" w:history="1">
        <w:r w:rsidRPr="009F54B9">
          <w:rPr>
            <w:rStyle w:val="Hyperlink"/>
            <w:snapToGrid w:val="0"/>
            <w:kern w:val="18"/>
            <w:szCs w:val="18"/>
          </w:rPr>
          <w:t>http://whc.unesco.org/en/convention/</w:t>
        </w:r>
      </w:hyperlink>
      <w:r w:rsidRPr="009F54B9">
        <w:rPr>
          <w:snapToGrid w:val="0"/>
          <w:kern w:val="18"/>
          <w:szCs w:val="18"/>
        </w:rPr>
        <w:t>, accessed on February 20, 2018.</w:t>
      </w:r>
    </w:p>
  </w:footnote>
  <w:footnote w:id="178">
    <w:p w14:paraId="6864E273"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URL: </w:t>
      </w:r>
      <w:hyperlink r:id="rId58" w:history="1">
        <w:r w:rsidRPr="009F54B9">
          <w:rPr>
            <w:rStyle w:val="Hyperlink"/>
            <w:snapToGrid w:val="0"/>
            <w:kern w:val="18"/>
            <w:szCs w:val="18"/>
          </w:rPr>
          <w:t>https://www.cites.org/</w:t>
        </w:r>
      </w:hyperlink>
      <w:r w:rsidRPr="009F54B9">
        <w:rPr>
          <w:snapToGrid w:val="0"/>
          <w:kern w:val="18"/>
          <w:szCs w:val="18"/>
        </w:rPr>
        <w:t>, accessed on February 20, 2018.</w:t>
      </w:r>
    </w:p>
  </w:footnote>
  <w:footnote w:id="179">
    <w:p w14:paraId="01503BD5" w14:textId="77777777" w:rsidR="008E44C6" w:rsidRPr="009F54B9" w:rsidRDefault="008E44C6" w:rsidP="009F54B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9F54B9">
        <w:rPr>
          <w:rStyle w:val="FootnoteReference"/>
          <w:snapToGrid w:val="0"/>
          <w:kern w:val="18"/>
          <w:sz w:val="18"/>
          <w:szCs w:val="18"/>
        </w:rPr>
        <w:footnoteRef/>
      </w:r>
      <w:r w:rsidRPr="009F54B9">
        <w:rPr>
          <w:snapToGrid w:val="0"/>
          <w:kern w:val="18"/>
          <w:szCs w:val="18"/>
        </w:rPr>
        <w:t xml:space="preserve"> United Nations Statistics Division (2017). International Standard Industrial Classification of All Economic Activities, Rev.4. </w:t>
      </w:r>
      <w:hyperlink r:id="rId59" w:history="1">
        <w:r w:rsidRPr="009F54B9">
          <w:rPr>
            <w:snapToGrid w:val="0"/>
            <w:kern w:val="18"/>
            <w:szCs w:val="18"/>
          </w:rPr>
          <w:t>https://unstats.un.org/unsd/cr/registry/regcst.asp?Cl=27</w:t>
        </w:r>
      </w:hyperlink>
      <w:r w:rsidRPr="009F54B9">
        <w:rPr>
          <w:snapToGrid w:val="0"/>
          <w:kern w:val="18"/>
          <w:szCs w:val="18"/>
        </w:rPr>
        <w:t>, accessed on January 5,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lang w:val="fr-FR"/>
      </w:rPr>
      <w:alias w:val="Subject"/>
      <w:tag w:val=""/>
      <w:id w:val="-1344626142"/>
      <w:placeholder>
        <w:docPart w:val="59621F1191504419BF3EB8B7E14D776B"/>
      </w:placeholder>
      <w:dataBinding w:prefixMappings="xmlns:ns0='http://purl.org/dc/elements/1.1/' xmlns:ns1='http://schemas.openxmlformats.org/package/2006/metadata/core-properties' " w:xpath="/ns1:coreProperties[1]/ns0:subject[1]" w:storeItemID="{6C3C8BC8-F283-45AE-878A-BAB7291924A1}"/>
      <w:text/>
    </w:sdtPr>
    <w:sdtEndPr/>
    <w:sdtContent>
      <w:p w14:paraId="7E141CFD" w14:textId="77777777" w:rsidR="003613BC" w:rsidRPr="009A2442" w:rsidRDefault="003613BC" w:rsidP="009F54B9">
        <w:pPr>
          <w:pStyle w:val="Header"/>
          <w:tabs>
            <w:tab w:val="clear" w:pos="4320"/>
            <w:tab w:val="clear" w:pos="8640"/>
          </w:tabs>
          <w:kinsoku w:val="0"/>
          <w:overflowPunct w:val="0"/>
          <w:autoSpaceDE w:val="0"/>
          <w:autoSpaceDN w:val="0"/>
          <w:jc w:val="left"/>
          <w:rPr>
            <w:kern w:val="22"/>
            <w:lang w:val="fr-FR"/>
          </w:rPr>
        </w:pPr>
        <w:r>
          <w:rPr>
            <w:kern w:val="22"/>
            <w:lang w:val="en-US"/>
          </w:rPr>
          <w:t>CBD/SBI/2/INF/31</w:t>
        </w:r>
      </w:p>
    </w:sdtContent>
  </w:sdt>
  <w:p w14:paraId="64A9021B" w14:textId="77777777" w:rsidR="003613BC" w:rsidRPr="009A2442" w:rsidRDefault="003613BC" w:rsidP="009F54B9">
    <w:pPr>
      <w:pStyle w:val="Header"/>
      <w:tabs>
        <w:tab w:val="clear" w:pos="4320"/>
        <w:tab w:val="clear" w:pos="8640"/>
      </w:tabs>
      <w:kinsoku w:val="0"/>
      <w:overflowPunct w:val="0"/>
      <w:autoSpaceDE w:val="0"/>
      <w:autoSpaceDN w:val="0"/>
      <w:jc w:val="left"/>
      <w:rPr>
        <w:kern w:val="22"/>
        <w:lang w:val="fr-FR"/>
      </w:rPr>
    </w:pPr>
    <w:r w:rsidRPr="009A2442">
      <w:rPr>
        <w:kern w:val="22"/>
        <w:lang w:val="fr-FR"/>
      </w:rPr>
      <w:t xml:space="preserve">Page </w:t>
    </w:r>
    <w:r w:rsidRPr="00060510">
      <w:rPr>
        <w:kern w:val="22"/>
      </w:rPr>
      <w:fldChar w:fldCharType="begin"/>
    </w:r>
    <w:r w:rsidRPr="009A2442">
      <w:rPr>
        <w:kern w:val="22"/>
        <w:lang w:val="fr-FR"/>
      </w:rPr>
      <w:instrText xml:space="preserve"> PAGE   \* MERGEFORMAT </w:instrText>
    </w:r>
    <w:r w:rsidRPr="00060510">
      <w:rPr>
        <w:kern w:val="22"/>
      </w:rPr>
      <w:fldChar w:fldCharType="separate"/>
    </w:r>
    <w:r w:rsidR="00FD393B">
      <w:rPr>
        <w:noProof/>
        <w:kern w:val="22"/>
        <w:lang w:val="fr-FR"/>
      </w:rPr>
      <w:t>ii</w:t>
    </w:r>
    <w:r w:rsidRPr="00060510">
      <w:rPr>
        <w:noProof/>
        <w:kern w:val="22"/>
      </w:rPr>
      <w:fldChar w:fldCharType="end"/>
    </w:r>
  </w:p>
  <w:p w14:paraId="42C2B647" w14:textId="77777777" w:rsidR="00473696" w:rsidRPr="003613BC" w:rsidRDefault="00473696" w:rsidP="009F54B9">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lang w:val="fr-FR"/>
      </w:rPr>
      <w:alias w:val="Subject"/>
      <w:tag w:val=""/>
      <w:id w:val="-1858719271"/>
      <w:placeholder>
        <w:docPart w:val="57593E5AD57745308D3CFC6812AEB452"/>
      </w:placeholder>
      <w:dataBinding w:prefixMappings="xmlns:ns0='http://purl.org/dc/elements/1.1/' xmlns:ns1='http://schemas.openxmlformats.org/package/2006/metadata/core-properties' " w:xpath="/ns1:coreProperties[1]/ns0:subject[1]" w:storeItemID="{6C3C8BC8-F283-45AE-878A-BAB7291924A1}"/>
      <w:text/>
    </w:sdtPr>
    <w:sdtEndPr/>
    <w:sdtContent>
      <w:p w14:paraId="626C5F30" w14:textId="77777777" w:rsidR="003613BC" w:rsidRPr="009A2442" w:rsidRDefault="003613BC" w:rsidP="003613BC">
        <w:pPr>
          <w:pStyle w:val="Header"/>
          <w:tabs>
            <w:tab w:val="clear" w:pos="4320"/>
            <w:tab w:val="clear" w:pos="8640"/>
          </w:tabs>
          <w:kinsoku w:val="0"/>
          <w:overflowPunct w:val="0"/>
          <w:autoSpaceDE w:val="0"/>
          <w:autoSpaceDN w:val="0"/>
          <w:jc w:val="right"/>
          <w:rPr>
            <w:kern w:val="22"/>
            <w:lang w:val="fr-FR"/>
          </w:rPr>
        </w:pPr>
        <w:r>
          <w:rPr>
            <w:kern w:val="22"/>
            <w:lang w:val="en-US"/>
          </w:rPr>
          <w:t>CBD/SBI/2/INF/31</w:t>
        </w:r>
      </w:p>
    </w:sdtContent>
  </w:sdt>
  <w:p w14:paraId="728CA713" w14:textId="77777777" w:rsidR="003613BC" w:rsidRPr="009A2442" w:rsidRDefault="003613BC" w:rsidP="003613BC">
    <w:pPr>
      <w:pStyle w:val="Header"/>
      <w:tabs>
        <w:tab w:val="clear" w:pos="4320"/>
        <w:tab w:val="clear" w:pos="8640"/>
      </w:tabs>
      <w:kinsoku w:val="0"/>
      <w:overflowPunct w:val="0"/>
      <w:autoSpaceDE w:val="0"/>
      <w:autoSpaceDN w:val="0"/>
      <w:jc w:val="right"/>
      <w:rPr>
        <w:kern w:val="22"/>
        <w:lang w:val="fr-FR"/>
      </w:rPr>
    </w:pPr>
    <w:r w:rsidRPr="009A2442">
      <w:rPr>
        <w:kern w:val="22"/>
        <w:lang w:val="fr-FR"/>
      </w:rPr>
      <w:t xml:space="preserve">Page </w:t>
    </w:r>
    <w:r w:rsidRPr="00060510">
      <w:rPr>
        <w:kern w:val="22"/>
      </w:rPr>
      <w:fldChar w:fldCharType="begin"/>
    </w:r>
    <w:r w:rsidRPr="009A2442">
      <w:rPr>
        <w:kern w:val="22"/>
        <w:lang w:val="fr-FR"/>
      </w:rPr>
      <w:instrText xml:space="preserve"> PAGE   \* MERGEFORMAT </w:instrText>
    </w:r>
    <w:r w:rsidRPr="00060510">
      <w:rPr>
        <w:kern w:val="22"/>
      </w:rPr>
      <w:fldChar w:fldCharType="separate"/>
    </w:r>
    <w:r w:rsidR="00FD393B">
      <w:rPr>
        <w:noProof/>
        <w:kern w:val="22"/>
        <w:lang w:val="fr-FR"/>
      </w:rPr>
      <w:t>31</w:t>
    </w:r>
    <w:r w:rsidRPr="00060510">
      <w:rPr>
        <w:noProof/>
        <w:kern w:val="22"/>
      </w:rPr>
      <w:fldChar w:fldCharType="end"/>
    </w:r>
  </w:p>
  <w:p w14:paraId="18F280A9" w14:textId="77777777" w:rsidR="00CB5FD4" w:rsidRDefault="00CB5FD4" w:rsidP="009F54B9">
    <w:pPr>
      <w:pStyle w:val="Header"/>
      <w:tabs>
        <w:tab w:val="clear" w:pos="4320"/>
        <w:tab w:val="clear" w:pos="8640"/>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A9AC1" w14:textId="77777777" w:rsidR="00CB5FD4" w:rsidRDefault="00CB5FD4" w:rsidP="009F54B9">
    <w:pPr>
      <w:pStyle w:val="Header"/>
      <w:tabs>
        <w:tab w:val="clear" w:pos="4320"/>
        <w:tab w:val="clear" w:pos="8640"/>
      </w:tabs>
      <w:kinsoku w:val="0"/>
      <w:overflowPunct w:val="0"/>
      <w:autoSpaceDE w:val="0"/>
      <w:autoSpaceDN w:val="0"/>
      <w:adjustRightInd w:val="0"/>
      <w:snapToGrid w:v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90E6D85" w14:textId="77777777" w:rsidR="00335F6F" w:rsidRPr="009A2442" w:rsidRDefault="00A07C7D" w:rsidP="00060510">
        <w:pPr>
          <w:pStyle w:val="Header"/>
          <w:tabs>
            <w:tab w:val="clear" w:pos="4320"/>
            <w:tab w:val="clear" w:pos="8640"/>
          </w:tabs>
          <w:kinsoku w:val="0"/>
          <w:overflowPunct w:val="0"/>
          <w:autoSpaceDE w:val="0"/>
          <w:autoSpaceDN w:val="0"/>
          <w:adjustRightInd w:val="0"/>
          <w:snapToGrid w:val="0"/>
          <w:jc w:val="left"/>
          <w:rPr>
            <w:noProof/>
            <w:kern w:val="22"/>
            <w:lang w:val="fr-FR"/>
          </w:rPr>
        </w:pPr>
        <w:r>
          <w:rPr>
            <w:noProof/>
            <w:kern w:val="22"/>
            <w:lang w:val="en-US"/>
          </w:rPr>
          <w:t>CBD/SBI/2/INF/31</w:t>
        </w:r>
      </w:p>
    </w:sdtContent>
  </w:sdt>
  <w:p w14:paraId="498C55FE" w14:textId="77777777" w:rsidR="00335F6F" w:rsidRPr="009A2442" w:rsidRDefault="00335F6F" w:rsidP="00060510">
    <w:pPr>
      <w:pStyle w:val="Header"/>
      <w:tabs>
        <w:tab w:val="clear" w:pos="4320"/>
        <w:tab w:val="clear" w:pos="8640"/>
      </w:tabs>
      <w:kinsoku w:val="0"/>
      <w:overflowPunct w:val="0"/>
      <w:autoSpaceDE w:val="0"/>
      <w:autoSpaceDN w:val="0"/>
      <w:adjustRightInd w:val="0"/>
      <w:snapToGrid w:val="0"/>
      <w:jc w:val="left"/>
      <w:rPr>
        <w:noProof/>
        <w:kern w:val="22"/>
        <w:lang w:val="fr-FR"/>
      </w:rPr>
    </w:pPr>
    <w:r w:rsidRPr="009A2442">
      <w:rPr>
        <w:noProof/>
        <w:kern w:val="22"/>
        <w:lang w:val="fr-FR"/>
      </w:rPr>
      <w:t xml:space="preserve">Page </w:t>
    </w:r>
    <w:r w:rsidRPr="00060510">
      <w:rPr>
        <w:noProof/>
        <w:kern w:val="22"/>
      </w:rPr>
      <w:fldChar w:fldCharType="begin"/>
    </w:r>
    <w:r w:rsidRPr="009A2442">
      <w:rPr>
        <w:noProof/>
        <w:kern w:val="22"/>
        <w:lang w:val="fr-FR"/>
      </w:rPr>
      <w:instrText xml:space="preserve"> PAGE   \* MERGEFORMAT </w:instrText>
    </w:r>
    <w:r w:rsidRPr="00060510">
      <w:rPr>
        <w:noProof/>
        <w:kern w:val="22"/>
      </w:rPr>
      <w:fldChar w:fldCharType="separate"/>
    </w:r>
    <w:r w:rsidR="00FD393B">
      <w:rPr>
        <w:noProof/>
        <w:kern w:val="22"/>
        <w:lang w:val="fr-FR"/>
      </w:rPr>
      <w:t>52</w:t>
    </w:r>
    <w:r w:rsidRPr="00060510">
      <w:rPr>
        <w:noProof/>
        <w:kern w:val="22"/>
      </w:rPr>
      <w:fldChar w:fldCharType="end"/>
    </w:r>
  </w:p>
  <w:p w14:paraId="27CBC079" w14:textId="77777777" w:rsidR="00335F6F" w:rsidRPr="009A2442" w:rsidRDefault="00335F6F" w:rsidP="00060510">
    <w:pPr>
      <w:pStyle w:val="Header"/>
      <w:tabs>
        <w:tab w:val="clear" w:pos="4320"/>
        <w:tab w:val="clear" w:pos="8640"/>
      </w:tabs>
      <w:kinsoku w:val="0"/>
      <w:overflowPunct w:val="0"/>
      <w:autoSpaceDE w:val="0"/>
      <w:autoSpaceDN w:val="0"/>
      <w:adjustRightInd w:val="0"/>
      <w:snapToGrid w:val="0"/>
      <w:jc w:val="left"/>
      <w:rPr>
        <w:noProof/>
        <w:kern w:val="22"/>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A5FB32A" w14:textId="77777777" w:rsidR="00335F6F" w:rsidRPr="009A2442" w:rsidRDefault="00A07C7D" w:rsidP="00060510">
        <w:pPr>
          <w:pStyle w:val="Header"/>
          <w:tabs>
            <w:tab w:val="clear" w:pos="4320"/>
            <w:tab w:val="clear" w:pos="8640"/>
          </w:tabs>
          <w:kinsoku w:val="0"/>
          <w:overflowPunct w:val="0"/>
          <w:autoSpaceDE w:val="0"/>
          <w:autoSpaceDN w:val="0"/>
          <w:jc w:val="right"/>
          <w:rPr>
            <w:kern w:val="22"/>
            <w:lang w:val="fr-FR"/>
          </w:rPr>
        </w:pPr>
        <w:r>
          <w:rPr>
            <w:kern w:val="22"/>
            <w:lang w:val="en-US"/>
          </w:rPr>
          <w:t>CBD/SBI/2/INF/31</w:t>
        </w:r>
      </w:p>
    </w:sdtContent>
  </w:sdt>
  <w:p w14:paraId="44695E60" w14:textId="77777777" w:rsidR="00335F6F" w:rsidRPr="009A2442" w:rsidRDefault="00335F6F" w:rsidP="00060510">
    <w:pPr>
      <w:pStyle w:val="Header"/>
      <w:tabs>
        <w:tab w:val="clear" w:pos="4320"/>
        <w:tab w:val="clear" w:pos="8640"/>
      </w:tabs>
      <w:kinsoku w:val="0"/>
      <w:overflowPunct w:val="0"/>
      <w:autoSpaceDE w:val="0"/>
      <w:autoSpaceDN w:val="0"/>
      <w:jc w:val="right"/>
      <w:rPr>
        <w:kern w:val="22"/>
        <w:lang w:val="fr-FR"/>
      </w:rPr>
    </w:pPr>
    <w:r w:rsidRPr="009A2442">
      <w:rPr>
        <w:kern w:val="22"/>
        <w:lang w:val="fr-FR"/>
      </w:rPr>
      <w:t xml:space="preserve">Page </w:t>
    </w:r>
    <w:r w:rsidRPr="00060510">
      <w:rPr>
        <w:kern w:val="22"/>
      </w:rPr>
      <w:fldChar w:fldCharType="begin"/>
    </w:r>
    <w:r w:rsidRPr="009A2442">
      <w:rPr>
        <w:kern w:val="22"/>
        <w:lang w:val="fr-FR"/>
      </w:rPr>
      <w:instrText xml:space="preserve"> PAGE   \* MERGEFORMAT </w:instrText>
    </w:r>
    <w:r w:rsidRPr="00060510">
      <w:rPr>
        <w:kern w:val="22"/>
      </w:rPr>
      <w:fldChar w:fldCharType="separate"/>
    </w:r>
    <w:r w:rsidR="009F54B9">
      <w:rPr>
        <w:noProof/>
        <w:kern w:val="22"/>
        <w:lang w:val="fr-FR"/>
      </w:rPr>
      <w:t>67</w:t>
    </w:r>
    <w:r w:rsidRPr="00060510">
      <w:rPr>
        <w:noProof/>
        <w:kern w:val="22"/>
      </w:rPr>
      <w:fldChar w:fldCharType="end"/>
    </w:r>
  </w:p>
  <w:p w14:paraId="19565621" w14:textId="77777777" w:rsidR="00335F6F" w:rsidRPr="009A2442" w:rsidRDefault="00335F6F" w:rsidP="00060510">
    <w:pPr>
      <w:pStyle w:val="Header"/>
      <w:tabs>
        <w:tab w:val="clear" w:pos="4320"/>
        <w:tab w:val="clear" w:pos="8640"/>
      </w:tabs>
      <w:kinsoku w:val="0"/>
      <w:overflowPunct w:val="0"/>
      <w:autoSpaceDE w:val="0"/>
      <w:autoSpaceDN w:val="0"/>
      <w:jc w:val="right"/>
      <w:rPr>
        <w:kern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A0A7A"/>
    <w:multiLevelType w:val="hybridMultilevel"/>
    <w:tmpl w:val="14BE20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BFF5474"/>
    <w:multiLevelType w:val="hybridMultilevel"/>
    <w:tmpl w:val="5B82F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A50E8"/>
    <w:multiLevelType w:val="hybridMultilevel"/>
    <w:tmpl w:val="4F1448D4"/>
    <w:lvl w:ilvl="0" w:tplc="1C090001">
      <w:start w:val="1"/>
      <w:numFmt w:val="bullet"/>
      <w:lvlText w:val=""/>
      <w:lvlJc w:val="left"/>
      <w:pPr>
        <w:ind w:left="502"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1785310"/>
    <w:multiLevelType w:val="hybridMultilevel"/>
    <w:tmpl w:val="AD4CD9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3FE3E82"/>
    <w:multiLevelType w:val="hybridMultilevel"/>
    <w:tmpl w:val="7EFAAF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5B0456F"/>
    <w:multiLevelType w:val="hybridMultilevel"/>
    <w:tmpl w:val="E83E1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E0316F"/>
    <w:multiLevelType w:val="hybridMultilevel"/>
    <w:tmpl w:val="512090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B8C0E5B"/>
    <w:multiLevelType w:val="hybridMultilevel"/>
    <w:tmpl w:val="D9645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437EB3"/>
    <w:multiLevelType w:val="hybridMultilevel"/>
    <w:tmpl w:val="F5D22C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39E1A6B"/>
    <w:multiLevelType w:val="hybridMultilevel"/>
    <w:tmpl w:val="78E8D4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16F1D49"/>
    <w:multiLevelType w:val="hybridMultilevel"/>
    <w:tmpl w:val="524EFE90"/>
    <w:lvl w:ilvl="0" w:tplc="1C090001">
      <w:start w:val="1"/>
      <w:numFmt w:val="bullet"/>
      <w:lvlText w:val=""/>
      <w:lvlJc w:val="left"/>
      <w:pPr>
        <w:ind w:left="780" w:hanging="360"/>
      </w:pPr>
      <w:rPr>
        <w:rFonts w:ascii="Symbol" w:hAnsi="Symbol" w:hint="default"/>
      </w:rPr>
    </w:lvl>
    <w:lvl w:ilvl="1" w:tplc="1C090003">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3" w15:restartNumberingAfterBreak="0">
    <w:nsid w:val="35037105"/>
    <w:multiLevelType w:val="hybridMultilevel"/>
    <w:tmpl w:val="48F2F4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9843750"/>
    <w:multiLevelType w:val="hybridMultilevel"/>
    <w:tmpl w:val="4B2EAA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6" w15:restartNumberingAfterBreak="0">
    <w:nsid w:val="3DF3475B"/>
    <w:multiLevelType w:val="hybridMultilevel"/>
    <w:tmpl w:val="99DAE8E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ED7041C"/>
    <w:multiLevelType w:val="hybridMultilevel"/>
    <w:tmpl w:val="B92666C2"/>
    <w:styleLink w:val="ImportedStyle2"/>
    <w:lvl w:ilvl="0" w:tplc="B8F29A38">
      <w:start w:val="1"/>
      <w:numFmt w:val="upperRoman"/>
      <w:lvlText w:val="%1."/>
      <w:lvlJc w:val="left"/>
      <w:pPr>
        <w:tabs>
          <w:tab w:val="num" w:pos="720"/>
        </w:tabs>
        <w:ind w:left="1080" w:hanging="720"/>
      </w:pPr>
      <w:rPr>
        <w:rFonts w:hAnsi="Arial Unicode MS"/>
        <w:b/>
        <w:bCs/>
        <w:caps w:val="0"/>
        <w:smallCaps w:val="0"/>
        <w:strike w:val="0"/>
        <w:dstrike w:val="0"/>
        <w:color w:val="000000"/>
        <w:spacing w:val="0"/>
        <w:w w:val="100"/>
        <w:kern w:val="0"/>
        <w:position w:val="0"/>
        <w:highlight w:val="none"/>
        <w:vertAlign w:val="baseline"/>
      </w:rPr>
    </w:lvl>
    <w:lvl w:ilvl="1" w:tplc="FE188A62">
      <w:start w:val="1"/>
      <w:numFmt w:val="lowerLetter"/>
      <w:lvlText w:val="%2."/>
      <w:lvlJc w:val="left"/>
      <w:pPr>
        <w:tabs>
          <w:tab w:val="num" w:pos="1440"/>
        </w:tabs>
        <w:ind w:left="1800" w:hanging="720"/>
      </w:pPr>
      <w:rPr>
        <w:rFonts w:hAnsi="Arial Unicode MS"/>
        <w:b/>
        <w:bCs/>
        <w:caps w:val="0"/>
        <w:smallCaps w:val="0"/>
        <w:strike w:val="0"/>
        <w:dstrike w:val="0"/>
        <w:color w:val="000000"/>
        <w:spacing w:val="0"/>
        <w:w w:val="100"/>
        <w:kern w:val="0"/>
        <w:position w:val="0"/>
        <w:highlight w:val="none"/>
        <w:vertAlign w:val="baseline"/>
      </w:rPr>
    </w:lvl>
    <w:lvl w:ilvl="2" w:tplc="61068F0E">
      <w:start w:val="1"/>
      <w:numFmt w:val="lowerRoman"/>
      <w:lvlText w:val="%3."/>
      <w:lvlJc w:val="left"/>
      <w:pPr>
        <w:tabs>
          <w:tab w:val="num" w:pos="2160"/>
        </w:tabs>
        <w:ind w:left="2520" w:hanging="634"/>
      </w:pPr>
      <w:rPr>
        <w:rFonts w:hAnsi="Arial Unicode MS"/>
        <w:b/>
        <w:bCs/>
        <w:caps w:val="0"/>
        <w:smallCaps w:val="0"/>
        <w:strike w:val="0"/>
        <w:dstrike w:val="0"/>
        <w:color w:val="000000"/>
        <w:spacing w:val="0"/>
        <w:w w:val="100"/>
        <w:kern w:val="0"/>
        <w:position w:val="0"/>
        <w:highlight w:val="none"/>
        <w:vertAlign w:val="baseline"/>
      </w:rPr>
    </w:lvl>
    <w:lvl w:ilvl="3" w:tplc="967814A8">
      <w:start w:val="1"/>
      <w:numFmt w:val="decimal"/>
      <w:lvlText w:val="%4."/>
      <w:lvlJc w:val="left"/>
      <w:pPr>
        <w:tabs>
          <w:tab w:val="num" w:pos="2880"/>
        </w:tabs>
        <w:ind w:left="3240" w:hanging="720"/>
      </w:pPr>
      <w:rPr>
        <w:rFonts w:hAnsi="Arial Unicode MS"/>
        <w:b/>
        <w:bCs/>
        <w:caps w:val="0"/>
        <w:smallCaps w:val="0"/>
        <w:strike w:val="0"/>
        <w:dstrike w:val="0"/>
        <w:color w:val="000000"/>
        <w:spacing w:val="0"/>
        <w:w w:val="100"/>
        <w:kern w:val="0"/>
        <w:position w:val="0"/>
        <w:highlight w:val="none"/>
        <w:vertAlign w:val="baseline"/>
      </w:rPr>
    </w:lvl>
    <w:lvl w:ilvl="4" w:tplc="F800A4E0">
      <w:start w:val="1"/>
      <w:numFmt w:val="lowerLetter"/>
      <w:lvlText w:val="%5."/>
      <w:lvlJc w:val="left"/>
      <w:pPr>
        <w:tabs>
          <w:tab w:val="num" w:pos="3600"/>
        </w:tabs>
        <w:ind w:left="3960" w:hanging="720"/>
      </w:pPr>
      <w:rPr>
        <w:rFonts w:hAnsi="Arial Unicode MS"/>
        <w:b/>
        <w:bCs/>
        <w:caps w:val="0"/>
        <w:smallCaps w:val="0"/>
        <w:strike w:val="0"/>
        <w:dstrike w:val="0"/>
        <w:color w:val="000000"/>
        <w:spacing w:val="0"/>
        <w:w w:val="100"/>
        <w:kern w:val="0"/>
        <w:position w:val="0"/>
        <w:highlight w:val="none"/>
        <w:vertAlign w:val="baseline"/>
      </w:rPr>
    </w:lvl>
    <w:lvl w:ilvl="5" w:tplc="C596C5A6">
      <w:start w:val="1"/>
      <w:numFmt w:val="lowerRoman"/>
      <w:lvlText w:val="%6."/>
      <w:lvlJc w:val="left"/>
      <w:pPr>
        <w:tabs>
          <w:tab w:val="num" w:pos="4320"/>
        </w:tabs>
        <w:ind w:left="4680" w:hanging="634"/>
      </w:pPr>
      <w:rPr>
        <w:rFonts w:hAnsi="Arial Unicode MS"/>
        <w:b/>
        <w:bCs/>
        <w:caps w:val="0"/>
        <w:smallCaps w:val="0"/>
        <w:strike w:val="0"/>
        <w:dstrike w:val="0"/>
        <w:color w:val="000000"/>
        <w:spacing w:val="0"/>
        <w:w w:val="100"/>
        <w:kern w:val="0"/>
        <w:position w:val="0"/>
        <w:highlight w:val="none"/>
        <w:vertAlign w:val="baseline"/>
      </w:rPr>
    </w:lvl>
    <w:lvl w:ilvl="6" w:tplc="01742BF8">
      <w:start w:val="1"/>
      <w:numFmt w:val="decimal"/>
      <w:lvlText w:val="%7."/>
      <w:lvlJc w:val="left"/>
      <w:pPr>
        <w:tabs>
          <w:tab w:val="num" w:pos="5040"/>
        </w:tabs>
        <w:ind w:left="5400" w:hanging="720"/>
      </w:pPr>
      <w:rPr>
        <w:rFonts w:hAnsi="Arial Unicode MS"/>
        <w:b/>
        <w:bCs/>
        <w:caps w:val="0"/>
        <w:smallCaps w:val="0"/>
        <w:strike w:val="0"/>
        <w:dstrike w:val="0"/>
        <w:color w:val="000000"/>
        <w:spacing w:val="0"/>
        <w:w w:val="100"/>
        <w:kern w:val="0"/>
        <w:position w:val="0"/>
        <w:highlight w:val="none"/>
        <w:vertAlign w:val="baseline"/>
      </w:rPr>
    </w:lvl>
    <w:lvl w:ilvl="7" w:tplc="16F4066C">
      <w:start w:val="1"/>
      <w:numFmt w:val="lowerLetter"/>
      <w:lvlText w:val="%8."/>
      <w:lvlJc w:val="left"/>
      <w:pPr>
        <w:tabs>
          <w:tab w:val="num" w:pos="5760"/>
        </w:tabs>
        <w:ind w:left="6120" w:hanging="720"/>
      </w:pPr>
      <w:rPr>
        <w:rFonts w:hAnsi="Arial Unicode MS"/>
        <w:b/>
        <w:bCs/>
        <w:caps w:val="0"/>
        <w:smallCaps w:val="0"/>
        <w:strike w:val="0"/>
        <w:dstrike w:val="0"/>
        <w:color w:val="000000"/>
        <w:spacing w:val="0"/>
        <w:w w:val="100"/>
        <w:kern w:val="0"/>
        <w:position w:val="0"/>
        <w:highlight w:val="none"/>
        <w:vertAlign w:val="baseline"/>
      </w:rPr>
    </w:lvl>
    <w:lvl w:ilvl="8" w:tplc="DA90498C">
      <w:start w:val="1"/>
      <w:numFmt w:val="lowerRoman"/>
      <w:lvlText w:val="%9."/>
      <w:lvlJc w:val="left"/>
      <w:pPr>
        <w:tabs>
          <w:tab w:val="num" w:pos="6480"/>
        </w:tabs>
        <w:ind w:left="6840" w:hanging="634"/>
      </w:pPr>
      <w:rPr>
        <w:rFonts w:hAnsi="Arial Unicode MS"/>
        <w:b/>
        <w:bCs/>
        <w:caps w:val="0"/>
        <w:smallCaps w:val="0"/>
        <w:strike w:val="0"/>
        <w:dstrike w:val="0"/>
        <w:color w:val="000000"/>
        <w:spacing w:val="0"/>
        <w:w w:val="100"/>
        <w:kern w:val="0"/>
        <w:position w:val="0"/>
        <w:highlight w:val="none"/>
        <w:vertAlign w:val="baseline"/>
      </w:rPr>
    </w:lvl>
  </w:abstractNum>
  <w:abstractNum w:abstractNumId="18" w15:restartNumberingAfterBreak="0">
    <w:nsid w:val="40165948"/>
    <w:multiLevelType w:val="hybridMultilevel"/>
    <w:tmpl w:val="F6861DCC"/>
    <w:lvl w:ilvl="0" w:tplc="9D1253A4">
      <w:start w:val="1"/>
      <w:numFmt w:val="decimal"/>
      <w:pStyle w:val="Para1"/>
      <w:lvlText w:val="%1."/>
      <w:lvlJc w:val="left"/>
      <w:pPr>
        <w:ind w:left="81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7B002D"/>
    <w:multiLevelType w:val="hybridMultilevel"/>
    <w:tmpl w:val="6F1039BA"/>
    <w:lvl w:ilvl="0" w:tplc="632ABA94">
      <w:start w:val="4"/>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EE6A08"/>
    <w:multiLevelType w:val="hybridMultilevel"/>
    <w:tmpl w:val="180A7EBE"/>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2"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F192C85"/>
    <w:multiLevelType w:val="hybridMultilevel"/>
    <w:tmpl w:val="5DC0F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53E66A2"/>
    <w:multiLevelType w:val="multilevel"/>
    <w:tmpl w:val="18BE9A92"/>
    <w:lvl w:ilvl="0">
      <w:start w:val="1"/>
      <w:numFmt w:val="decimal"/>
      <w:lvlText w:val="%1."/>
      <w:lvlJc w:val="left"/>
      <w:pPr>
        <w:ind w:left="360" w:hanging="360"/>
      </w:pPr>
      <w:rPr>
        <w:rFonts w:hint="default"/>
        <w:strike w:val="0"/>
      </w:rPr>
    </w:lvl>
    <w:lvl w:ilvl="1">
      <w:start w:val="1"/>
      <w:numFmt w:val="decimal"/>
      <w:lvlText w:val="%1.%2."/>
      <w:lvlJc w:val="left"/>
      <w:pPr>
        <w:ind w:left="792" w:hanging="432"/>
      </w:pPr>
      <w:rPr>
        <w:i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5555F84"/>
    <w:multiLevelType w:val="hybridMultilevel"/>
    <w:tmpl w:val="503CA44A"/>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27" w15:restartNumberingAfterBreak="0">
    <w:nsid w:val="5814421D"/>
    <w:multiLevelType w:val="hybridMultilevel"/>
    <w:tmpl w:val="34FE4C0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19560B2"/>
    <w:multiLevelType w:val="hybridMultilevel"/>
    <w:tmpl w:val="B6824CF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0" w15:restartNumberingAfterBreak="0">
    <w:nsid w:val="695C2D88"/>
    <w:multiLevelType w:val="hybridMultilevel"/>
    <w:tmpl w:val="0ECCE9E0"/>
    <w:lvl w:ilvl="0" w:tplc="632ABA94">
      <w:start w:val="4"/>
      <w:numFmt w:val="bullet"/>
      <w:lvlText w:val="-"/>
      <w:lvlJc w:val="left"/>
      <w:pPr>
        <w:ind w:left="720" w:hanging="360"/>
      </w:pPr>
      <w:rPr>
        <w:rFonts w:ascii="Arial" w:eastAsia="Times New Roman"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C3F0308"/>
    <w:multiLevelType w:val="hybridMultilevel"/>
    <w:tmpl w:val="D84A3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E76249"/>
    <w:multiLevelType w:val="hybridMultilevel"/>
    <w:tmpl w:val="9C3E971E"/>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34" w15:restartNumberingAfterBreak="0">
    <w:nsid w:val="70315877"/>
    <w:multiLevelType w:val="hybridMultilevel"/>
    <w:tmpl w:val="0CFC9F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2FC6EEC"/>
    <w:multiLevelType w:val="hybridMultilevel"/>
    <w:tmpl w:val="22520F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73E6837"/>
    <w:multiLevelType w:val="hybridMultilevel"/>
    <w:tmpl w:val="A5DA063A"/>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37" w15:restartNumberingAfterBreak="0">
    <w:nsid w:val="7AC51EE0"/>
    <w:multiLevelType w:val="hybridMultilevel"/>
    <w:tmpl w:val="582271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1"/>
  </w:num>
  <w:num w:numId="2">
    <w:abstractNumId w:val="22"/>
  </w:num>
  <w:num w:numId="3">
    <w:abstractNumId w:val="20"/>
  </w:num>
  <w:num w:numId="4">
    <w:abstractNumId w:val="32"/>
  </w:num>
  <w:num w:numId="5">
    <w:abstractNumId w:val="29"/>
  </w:num>
  <w:num w:numId="6">
    <w:abstractNumId w:val="24"/>
  </w:num>
  <w:num w:numId="7">
    <w:abstractNumId w:val="15"/>
  </w:num>
  <w:num w:numId="8">
    <w:abstractNumId w:val="17"/>
  </w:num>
  <w:num w:numId="9">
    <w:abstractNumId w:val="18"/>
  </w:num>
  <w:num w:numId="10">
    <w:abstractNumId w:val="25"/>
  </w:num>
  <w:num w:numId="11">
    <w:abstractNumId w:val="16"/>
  </w:num>
  <w:num w:numId="12">
    <w:abstractNumId w:val="10"/>
  </w:num>
  <w:num w:numId="13">
    <w:abstractNumId w:val="33"/>
  </w:num>
  <w:num w:numId="14">
    <w:abstractNumId w:val="26"/>
  </w:num>
  <w:num w:numId="15">
    <w:abstractNumId w:val="14"/>
  </w:num>
  <w:num w:numId="16">
    <w:abstractNumId w:val="3"/>
  </w:num>
  <w:num w:numId="17">
    <w:abstractNumId w:val="13"/>
  </w:num>
  <w:num w:numId="18">
    <w:abstractNumId w:val="6"/>
  </w:num>
  <w:num w:numId="19">
    <w:abstractNumId w:val="35"/>
  </w:num>
  <w:num w:numId="20">
    <w:abstractNumId w:val="27"/>
  </w:num>
  <w:num w:numId="21">
    <w:abstractNumId w:val="4"/>
  </w:num>
  <w:num w:numId="22">
    <w:abstractNumId w:val="28"/>
  </w:num>
  <w:num w:numId="23">
    <w:abstractNumId w:val="0"/>
  </w:num>
  <w:num w:numId="24">
    <w:abstractNumId w:val="12"/>
  </w:num>
  <w:num w:numId="25">
    <w:abstractNumId w:val="8"/>
  </w:num>
  <w:num w:numId="26">
    <w:abstractNumId w:val="37"/>
  </w:num>
  <w:num w:numId="27">
    <w:abstractNumId w:val="2"/>
  </w:num>
  <w:num w:numId="28">
    <w:abstractNumId w:val="36"/>
  </w:num>
  <w:num w:numId="29">
    <w:abstractNumId w:val="19"/>
  </w:num>
  <w:num w:numId="30">
    <w:abstractNumId w:val="30"/>
  </w:num>
  <w:num w:numId="31">
    <w:abstractNumId w:val="5"/>
  </w:num>
  <w:num w:numId="32">
    <w:abstractNumId w:val="23"/>
  </w:num>
  <w:num w:numId="33">
    <w:abstractNumId w:val="1"/>
  </w:num>
  <w:num w:numId="34">
    <w:abstractNumId w:val="21"/>
  </w:num>
  <w:num w:numId="35">
    <w:abstractNumId w:val="9"/>
  </w:num>
  <w:num w:numId="36">
    <w:abstractNumId w:val="34"/>
  </w:num>
  <w:num w:numId="37">
    <w:abstractNumId w:val="7"/>
  </w:num>
  <w:num w:numId="38">
    <w:abstractNumId w:val="3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1857"/>
    <w:rsid w:val="00004346"/>
    <w:rsid w:val="00005DA1"/>
    <w:rsid w:val="0003516D"/>
    <w:rsid w:val="0003635E"/>
    <w:rsid w:val="00036E04"/>
    <w:rsid w:val="00050D9F"/>
    <w:rsid w:val="000536BF"/>
    <w:rsid w:val="000564AE"/>
    <w:rsid w:val="00060510"/>
    <w:rsid w:val="00070D30"/>
    <w:rsid w:val="000710DE"/>
    <w:rsid w:val="00076549"/>
    <w:rsid w:val="00076EFB"/>
    <w:rsid w:val="00080CF1"/>
    <w:rsid w:val="0009201C"/>
    <w:rsid w:val="0009735F"/>
    <w:rsid w:val="000A1577"/>
    <w:rsid w:val="000B011D"/>
    <w:rsid w:val="000C2AD6"/>
    <w:rsid w:val="000C4ADC"/>
    <w:rsid w:val="000D074E"/>
    <w:rsid w:val="000D1078"/>
    <w:rsid w:val="000D4D91"/>
    <w:rsid w:val="000D5074"/>
    <w:rsid w:val="000D7F40"/>
    <w:rsid w:val="000E0879"/>
    <w:rsid w:val="000E4225"/>
    <w:rsid w:val="000E5227"/>
    <w:rsid w:val="000E673A"/>
    <w:rsid w:val="000F07B2"/>
    <w:rsid w:val="000F4D33"/>
    <w:rsid w:val="000F7193"/>
    <w:rsid w:val="000F74F5"/>
    <w:rsid w:val="0010028E"/>
    <w:rsid w:val="001043B8"/>
    <w:rsid w:val="00105372"/>
    <w:rsid w:val="00105759"/>
    <w:rsid w:val="00116500"/>
    <w:rsid w:val="00121B6F"/>
    <w:rsid w:val="00123118"/>
    <w:rsid w:val="00131E7A"/>
    <w:rsid w:val="0015219C"/>
    <w:rsid w:val="001553E9"/>
    <w:rsid w:val="00160693"/>
    <w:rsid w:val="00162409"/>
    <w:rsid w:val="00163B8F"/>
    <w:rsid w:val="00171F21"/>
    <w:rsid w:val="00172AF6"/>
    <w:rsid w:val="0017507C"/>
    <w:rsid w:val="00176CEE"/>
    <w:rsid w:val="00183389"/>
    <w:rsid w:val="001840F8"/>
    <w:rsid w:val="00185119"/>
    <w:rsid w:val="00186DD8"/>
    <w:rsid w:val="00190893"/>
    <w:rsid w:val="001943B6"/>
    <w:rsid w:val="001A0FF0"/>
    <w:rsid w:val="001B136A"/>
    <w:rsid w:val="001B6909"/>
    <w:rsid w:val="001C4633"/>
    <w:rsid w:val="001C5A6A"/>
    <w:rsid w:val="001E095B"/>
    <w:rsid w:val="001E0CDA"/>
    <w:rsid w:val="001E325B"/>
    <w:rsid w:val="001E4B78"/>
    <w:rsid w:val="001E52C1"/>
    <w:rsid w:val="001F6F78"/>
    <w:rsid w:val="001F756E"/>
    <w:rsid w:val="00200328"/>
    <w:rsid w:val="00202407"/>
    <w:rsid w:val="00203E8E"/>
    <w:rsid w:val="00217DEE"/>
    <w:rsid w:val="00224B1A"/>
    <w:rsid w:val="002261E6"/>
    <w:rsid w:val="0022664E"/>
    <w:rsid w:val="00232EA6"/>
    <w:rsid w:val="0024682C"/>
    <w:rsid w:val="002653E4"/>
    <w:rsid w:val="00266EA7"/>
    <w:rsid w:val="00271971"/>
    <w:rsid w:val="002733F6"/>
    <w:rsid w:val="00276B34"/>
    <w:rsid w:val="00281B6E"/>
    <w:rsid w:val="0029242C"/>
    <w:rsid w:val="002A2C4E"/>
    <w:rsid w:val="002A3114"/>
    <w:rsid w:val="002A732D"/>
    <w:rsid w:val="002B0AAE"/>
    <w:rsid w:val="002E2945"/>
    <w:rsid w:val="002E2B02"/>
    <w:rsid w:val="002E2E65"/>
    <w:rsid w:val="002E7488"/>
    <w:rsid w:val="002E77A8"/>
    <w:rsid w:val="002F0C08"/>
    <w:rsid w:val="002F36FF"/>
    <w:rsid w:val="002F48A5"/>
    <w:rsid w:val="002F4C5E"/>
    <w:rsid w:val="00301618"/>
    <w:rsid w:val="00301C64"/>
    <w:rsid w:val="00301D05"/>
    <w:rsid w:val="003049F3"/>
    <w:rsid w:val="003124A0"/>
    <w:rsid w:val="00335F6F"/>
    <w:rsid w:val="00336C46"/>
    <w:rsid w:val="00347C9B"/>
    <w:rsid w:val="00357F5D"/>
    <w:rsid w:val="003613BC"/>
    <w:rsid w:val="003727BE"/>
    <w:rsid w:val="00372F74"/>
    <w:rsid w:val="003752C3"/>
    <w:rsid w:val="003819B2"/>
    <w:rsid w:val="003819F7"/>
    <w:rsid w:val="00381D9C"/>
    <w:rsid w:val="00391801"/>
    <w:rsid w:val="00393755"/>
    <w:rsid w:val="00395FE5"/>
    <w:rsid w:val="003B2EA1"/>
    <w:rsid w:val="003D281C"/>
    <w:rsid w:val="003D32BB"/>
    <w:rsid w:val="003D4A65"/>
    <w:rsid w:val="003F0A08"/>
    <w:rsid w:val="003F7224"/>
    <w:rsid w:val="004014EE"/>
    <w:rsid w:val="00422D5C"/>
    <w:rsid w:val="004255D2"/>
    <w:rsid w:val="00427D21"/>
    <w:rsid w:val="0044240C"/>
    <w:rsid w:val="00444195"/>
    <w:rsid w:val="0045179F"/>
    <w:rsid w:val="00456383"/>
    <w:rsid w:val="004644C2"/>
    <w:rsid w:val="00467F9C"/>
    <w:rsid w:val="004703B2"/>
    <w:rsid w:val="00470581"/>
    <w:rsid w:val="0047361E"/>
    <w:rsid w:val="00473696"/>
    <w:rsid w:val="00474575"/>
    <w:rsid w:val="004745FE"/>
    <w:rsid w:val="004B2D22"/>
    <w:rsid w:val="004C04D2"/>
    <w:rsid w:val="004C4F5F"/>
    <w:rsid w:val="004E2A30"/>
    <w:rsid w:val="004F2342"/>
    <w:rsid w:val="004F41FB"/>
    <w:rsid w:val="00516E78"/>
    <w:rsid w:val="00525B49"/>
    <w:rsid w:val="005342BB"/>
    <w:rsid w:val="00534681"/>
    <w:rsid w:val="005367F1"/>
    <w:rsid w:val="00536DE1"/>
    <w:rsid w:val="00537ED9"/>
    <w:rsid w:val="005569DF"/>
    <w:rsid w:val="00557E1B"/>
    <w:rsid w:val="00562340"/>
    <w:rsid w:val="00563A3B"/>
    <w:rsid w:val="005735AA"/>
    <w:rsid w:val="005757D4"/>
    <w:rsid w:val="005773D8"/>
    <w:rsid w:val="00590353"/>
    <w:rsid w:val="00592D59"/>
    <w:rsid w:val="005A023B"/>
    <w:rsid w:val="005A0CE2"/>
    <w:rsid w:val="005A272F"/>
    <w:rsid w:val="005A71E1"/>
    <w:rsid w:val="005B0F85"/>
    <w:rsid w:val="005B7A98"/>
    <w:rsid w:val="005D1C4A"/>
    <w:rsid w:val="005D524A"/>
    <w:rsid w:val="005E2290"/>
    <w:rsid w:val="005E4CAC"/>
    <w:rsid w:val="005E68C4"/>
    <w:rsid w:val="005F3451"/>
    <w:rsid w:val="005F52D5"/>
    <w:rsid w:val="005F5660"/>
    <w:rsid w:val="00605EC4"/>
    <w:rsid w:val="0060669D"/>
    <w:rsid w:val="00606ED1"/>
    <w:rsid w:val="00607292"/>
    <w:rsid w:val="00610610"/>
    <w:rsid w:val="006122BA"/>
    <w:rsid w:val="0061280D"/>
    <w:rsid w:val="00617546"/>
    <w:rsid w:val="006242BC"/>
    <w:rsid w:val="006265E8"/>
    <w:rsid w:val="006304A3"/>
    <w:rsid w:val="0063514B"/>
    <w:rsid w:val="00641DB8"/>
    <w:rsid w:val="00650A94"/>
    <w:rsid w:val="00652947"/>
    <w:rsid w:val="006532BE"/>
    <w:rsid w:val="00657EE3"/>
    <w:rsid w:val="00663432"/>
    <w:rsid w:val="00670456"/>
    <w:rsid w:val="00680FAC"/>
    <w:rsid w:val="00683331"/>
    <w:rsid w:val="006835CC"/>
    <w:rsid w:val="0069072F"/>
    <w:rsid w:val="006941D7"/>
    <w:rsid w:val="00696530"/>
    <w:rsid w:val="006A1E03"/>
    <w:rsid w:val="006A2210"/>
    <w:rsid w:val="006A3443"/>
    <w:rsid w:val="006B2290"/>
    <w:rsid w:val="006C2825"/>
    <w:rsid w:val="006D40B3"/>
    <w:rsid w:val="006D6992"/>
    <w:rsid w:val="006E1051"/>
    <w:rsid w:val="006E2403"/>
    <w:rsid w:val="006E4113"/>
    <w:rsid w:val="006F2724"/>
    <w:rsid w:val="006F5573"/>
    <w:rsid w:val="00704B84"/>
    <w:rsid w:val="00717D88"/>
    <w:rsid w:val="00720882"/>
    <w:rsid w:val="00725ABA"/>
    <w:rsid w:val="007316F8"/>
    <w:rsid w:val="00733869"/>
    <w:rsid w:val="00736906"/>
    <w:rsid w:val="00757746"/>
    <w:rsid w:val="0076536C"/>
    <w:rsid w:val="00767266"/>
    <w:rsid w:val="00777C99"/>
    <w:rsid w:val="00781C31"/>
    <w:rsid w:val="00784056"/>
    <w:rsid w:val="007942D3"/>
    <w:rsid w:val="007966B2"/>
    <w:rsid w:val="007A0861"/>
    <w:rsid w:val="007A4E56"/>
    <w:rsid w:val="007A6A72"/>
    <w:rsid w:val="007B644B"/>
    <w:rsid w:val="007B6C09"/>
    <w:rsid w:val="007B7E3A"/>
    <w:rsid w:val="007C09F7"/>
    <w:rsid w:val="007C1501"/>
    <w:rsid w:val="007D512F"/>
    <w:rsid w:val="007D513C"/>
    <w:rsid w:val="007E09DA"/>
    <w:rsid w:val="007E7BB4"/>
    <w:rsid w:val="007F5E54"/>
    <w:rsid w:val="00800D7D"/>
    <w:rsid w:val="008041A9"/>
    <w:rsid w:val="008178B6"/>
    <w:rsid w:val="00817AE1"/>
    <w:rsid w:val="00826469"/>
    <w:rsid w:val="00827F87"/>
    <w:rsid w:val="008368FF"/>
    <w:rsid w:val="00852220"/>
    <w:rsid w:val="00853A1F"/>
    <w:rsid w:val="00865B74"/>
    <w:rsid w:val="008670BB"/>
    <w:rsid w:val="00891766"/>
    <w:rsid w:val="00892DA4"/>
    <w:rsid w:val="008962DE"/>
    <w:rsid w:val="008B2B5E"/>
    <w:rsid w:val="008B3C9C"/>
    <w:rsid w:val="008B722E"/>
    <w:rsid w:val="008C45CD"/>
    <w:rsid w:val="008D31D6"/>
    <w:rsid w:val="008D5AA2"/>
    <w:rsid w:val="008E10C9"/>
    <w:rsid w:val="008E44C6"/>
    <w:rsid w:val="008E511B"/>
    <w:rsid w:val="008F0FA2"/>
    <w:rsid w:val="00903291"/>
    <w:rsid w:val="00913A4E"/>
    <w:rsid w:val="009147A1"/>
    <w:rsid w:val="00922363"/>
    <w:rsid w:val="00923DC7"/>
    <w:rsid w:val="00927317"/>
    <w:rsid w:val="00930BA1"/>
    <w:rsid w:val="00930BA8"/>
    <w:rsid w:val="0093169E"/>
    <w:rsid w:val="009321BA"/>
    <w:rsid w:val="00934722"/>
    <w:rsid w:val="00940B69"/>
    <w:rsid w:val="009475F0"/>
    <w:rsid w:val="009505C9"/>
    <w:rsid w:val="0095167A"/>
    <w:rsid w:val="009530BC"/>
    <w:rsid w:val="00961A32"/>
    <w:rsid w:val="00970936"/>
    <w:rsid w:val="0098076F"/>
    <w:rsid w:val="00985113"/>
    <w:rsid w:val="00986510"/>
    <w:rsid w:val="00995D90"/>
    <w:rsid w:val="00997BC9"/>
    <w:rsid w:val="009A2442"/>
    <w:rsid w:val="009A6E87"/>
    <w:rsid w:val="009A768E"/>
    <w:rsid w:val="009B595E"/>
    <w:rsid w:val="009B60B4"/>
    <w:rsid w:val="009B6BDE"/>
    <w:rsid w:val="009C1EA6"/>
    <w:rsid w:val="009C37D3"/>
    <w:rsid w:val="009C3E11"/>
    <w:rsid w:val="009E6E5C"/>
    <w:rsid w:val="009F54B9"/>
    <w:rsid w:val="00A0070A"/>
    <w:rsid w:val="00A07C7D"/>
    <w:rsid w:val="00A07FBB"/>
    <w:rsid w:val="00A32CCF"/>
    <w:rsid w:val="00A3389C"/>
    <w:rsid w:val="00A374D2"/>
    <w:rsid w:val="00A47DD9"/>
    <w:rsid w:val="00A53927"/>
    <w:rsid w:val="00A55EB3"/>
    <w:rsid w:val="00A64BD9"/>
    <w:rsid w:val="00A65CE2"/>
    <w:rsid w:val="00A71C6D"/>
    <w:rsid w:val="00A73F4F"/>
    <w:rsid w:val="00A7570F"/>
    <w:rsid w:val="00A7580C"/>
    <w:rsid w:val="00A822CD"/>
    <w:rsid w:val="00A9173F"/>
    <w:rsid w:val="00A9356C"/>
    <w:rsid w:val="00A93801"/>
    <w:rsid w:val="00A945FA"/>
    <w:rsid w:val="00AB0818"/>
    <w:rsid w:val="00AC48D5"/>
    <w:rsid w:val="00AC71A6"/>
    <w:rsid w:val="00AD1A69"/>
    <w:rsid w:val="00AD491A"/>
    <w:rsid w:val="00AE3075"/>
    <w:rsid w:val="00AE52F4"/>
    <w:rsid w:val="00AF1F1D"/>
    <w:rsid w:val="00B14636"/>
    <w:rsid w:val="00B3369F"/>
    <w:rsid w:val="00B3722D"/>
    <w:rsid w:val="00B4161A"/>
    <w:rsid w:val="00B42CD0"/>
    <w:rsid w:val="00B70948"/>
    <w:rsid w:val="00B7269C"/>
    <w:rsid w:val="00B75E8C"/>
    <w:rsid w:val="00B81277"/>
    <w:rsid w:val="00B926CC"/>
    <w:rsid w:val="00BA1128"/>
    <w:rsid w:val="00BA5023"/>
    <w:rsid w:val="00BB2D2D"/>
    <w:rsid w:val="00BB3DA1"/>
    <w:rsid w:val="00BB515D"/>
    <w:rsid w:val="00BB74D1"/>
    <w:rsid w:val="00BB7F3C"/>
    <w:rsid w:val="00BD3989"/>
    <w:rsid w:val="00BD721B"/>
    <w:rsid w:val="00BE189F"/>
    <w:rsid w:val="00BE3AF4"/>
    <w:rsid w:val="00BE5BDF"/>
    <w:rsid w:val="00BE676B"/>
    <w:rsid w:val="00BE79A6"/>
    <w:rsid w:val="00BF5265"/>
    <w:rsid w:val="00BF5828"/>
    <w:rsid w:val="00BF6AF7"/>
    <w:rsid w:val="00C05106"/>
    <w:rsid w:val="00C10793"/>
    <w:rsid w:val="00C10BDA"/>
    <w:rsid w:val="00C22787"/>
    <w:rsid w:val="00C2297D"/>
    <w:rsid w:val="00C22D0E"/>
    <w:rsid w:val="00C300C5"/>
    <w:rsid w:val="00C32D32"/>
    <w:rsid w:val="00C43128"/>
    <w:rsid w:val="00C443BD"/>
    <w:rsid w:val="00C461F7"/>
    <w:rsid w:val="00C518C8"/>
    <w:rsid w:val="00C51E54"/>
    <w:rsid w:val="00C547EF"/>
    <w:rsid w:val="00C70630"/>
    <w:rsid w:val="00C744AF"/>
    <w:rsid w:val="00C85AC8"/>
    <w:rsid w:val="00C86890"/>
    <w:rsid w:val="00C87937"/>
    <w:rsid w:val="00C9161D"/>
    <w:rsid w:val="00CA37EE"/>
    <w:rsid w:val="00CA74B5"/>
    <w:rsid w:val="00CB0BEA"/>
    <w:rsid w:val="00CB5FD4"/>
    <w:rsid w:val="00CD676D"/>
    <w:rsid w:val="00CE2857"/>
    <w:rsid w:val="00CE491F"/>
    <w:rsid w:val="00CF0253"/>
    <w:rsid w:val="00CF02B2"/>
    <w:rsid w:val="00CF1848"/>
    <w:rsid w:val="00CF24DF"/>
    <w:rsid w:val="00D06F12"/>
    <w:rsid w:val="00D10778"/>
    <w:rsid w:val="00D12044"/>
    <w:rsid w:val="00D15ED3"/>
    <w:rsid w:val="00D2150E"/>
    <w:rsid w:val="00D22ACA"/>
    <w:rsid w:val="00D3133C"/>
    <w:rsid w:val="00D35000"/>
    <w:rsid w:val="00D4164D"/>
    <w:rsid w:val="00D43930"/>
    <w:rsid w:val="00D46106"/>
    <w:rsid w:val="00D5227D"/>
    <w:rsid w:val="00D606FA"/>
    <w:rsid w:val="00D64696"/>
    <w:rsid w:val="00D70CB6"/>
    <w:rsid w:val="00D74E58"/>
    <w:rsid w:val="00D75C5E"/>
    <w:rsid w:val="00D76A18"/>
    <w:rsid w:val="00D772EB"/>
    <w:rsid w:val="00D8636C"/>
    <w:rsid w:val="00D86DB5"/>
    <w:rsid w:val="00D93A8D"/>
    <w:rsid w:val="00D95F7A"/>
    <w:rsid w:val="00D97BA3"/>
    <w:rsid w:val="00DA7B2F"/>
    <w:rsid w:val="00DB1DAD"/>
    <w:rsid w:val="00DB65C6"/>
    <w:rsid w:val="00DC2843"/>
    <w:rsid w:val="00DD118C"/>
    <w:rsid w:val="00DD3E1A"/>
    <w:rsid w:val="00DE3C05"/>
    <w:rsid w:val="00DE3D80"/>
    <w:rsid w:val="00DE5673"/>
    <w:rsid w:val="00DF0F56"/>
    <w:rsid w:val="00DF1117"/>
    <w:rsid w:val="00DF1E43"/>
    <w:rsid w:val="00DF4C93"/>
    <w:rsid w:val="00DF608A"/>
    <w:rsid w:val="00E07399"/>
    <w:rsid w:val="00E16D2F"/>
    <w:rsid w:val="00E20AE6"/>
    <w:rsid w:val="00E23487"/>
    <w:rsid w:val="00E32BFC"/>
    <w:rsid w:val="00E44486"/>
    <w:rsid w:val="00E543F9"/>
    <w:rsid w:val="00E5745E"/>
    <w:rsid w:val="00E60FDF"/>
    <w:rsid w:val="00E6475A"/>
    <w:rsid w:val="00E66235"/>
    <w:rsid w:val="00E67620"/>
    <w:rsid w:val="00E7683A"/>
    <w:rsid w:val="00E76F1D"/>
    <w:rsid w:val="00E80E2C"/>
    <w:rsid w:val="00E830F0"/>
    <w:rsid w:val="00E83C24"/>
    <w:rsid w:val="00E84B31"/>
    <w:rsid w:val="00E90419"/>
    <w:rsid w:val="00E9318D"/>
    <w:rsid w:val="00EA6D40"/>
    <w:rsid w:val="00EB0A54"/>
    <w:rsid w:val="00EB50CF"/>
    <w:rsid w:val="00EC74C2"/>
    <w:rsid w:val="00ED0967"/>
    <w:rsid w:val="00ED7BD5"/>
    <w:rsid w:val="00EF09FA"/>
    <w:rsid w:val="00EF2626"/>
    <w:rsid w:val="00F01382"/>
    <w:rsid w:val="00F0458D"/>
    <w:rsid w:val="00F11CF7"/>
    <w:rsid w:val="00F16D8F"/>
    <w:rsid w:val="00F5762A"/>
    <w:rsid w:val="00F656A9"/>
    <w:rsid w:val="00F70BE6"/>
    <w:rsid w:val="00F77AF8"/>
    <w:rsid w:val="00F841C8"/>
    <w:rsid w:val="00F9092F"/>
    <w:rsid w:val="00F92DA7"/>
    <w:rsid w:val="00F94774"/>
    <w:rsid w:val="00FB37EA"/>
    <w:rsid w:val="00FC53DB"/>
    <w:rsid w:val="00FC7F5C"/>
    <w:rsid w:val="00FD393B"/>
    <w:rsid w:val="00FD61AA"/>
    <w:rsid w:val="00FE35B0"/>
    <w:rsid w:val="00FE4589"/>
    <w:rsid w:val="00FE641E"/>
    <w:rsid w:val="00FF2920"/>
    <w:rsid w:val="00FF35A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9381EE9"/>
  <w15:docId w15:val="{94517670-63EC-D348-9616-8D4BF2A58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uiPriority w:val="9"/>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2"/>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8E44C6"/>
    <w:pPr>
      <w:tabs>
        <w:tab w:val="left" w:pos="880"/>
        <w:tab w:val="right" w:leader="dot" w:pos="9016"/>
        <w:tab w:val="right" w:leader="dot" w:pos="9356"/>
      </w:tabs>
      <w:ind w:left="1440" w:hanging="720"/>
      <w:jc w:val="left"/>
    </w:pPr>
    <w:rPr>
      <w:noProof/>
      <w:szCs w:val="22"/>
    </w:rPr>
  </w:style>
  <w:style w:type="paragraph" w:styleId="TOC3">
    <w:name w:val="toc 3"/>
    <w:basedOn w:val="Normal"/>
    <w:next w:val="Normal"/>
    <w:autoRedefine/>
    <w:uiPriority w:val="39"/>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2">
    <w:name w:val="Style2"/>
    <w:basedOn w:val="Normal"/>
    <w:autoRedefine/>
    <w:rsid w:val="00070D30"/>
    <w:rPr>
      <w:rFonts w:ascii="Lucida Sans Unicode" w:hAnsi="Lucida Sans Unicode" w:cs="Angsana New"/>
      <w:noProof/>
      <w:color w:val="0000FF"/>
      <w:lang w:val="en-US"/>
    </w:rPr>
  </w:style>
  <w:style w:type="paragraph" w:styleId="CommentSubject">
    <w:name w:val="annotation subject"/>
    <w:basedOn w:val="CommentText"/>
    <w:next w:val="CommentText"/>
    <w:link w:val="CommentSubjectChar"/>
    <w:uiPriority w:val="99"/>
    <w:rsid w:val="00070D30"/>
    <w:pPr>
      <w:spacing w:after="0" w:line="240" w:lineRule="auto"/>
    </w:pPr>
    <w:rPr>
      <w:b/>
      <w:bCs/>
      <w:sz w:val="20"/>
      <w:szCs w:val="20"/>
      <w:lang w:eastAsia="x-none"/>
    </w:rPr>
  </w:style>
  <w:style w:type="character" w:customStyle="1" w:styleId="CommentSubjectChar">
    <w:name w:val="Comment Subject Char"/>
    <w:basedOn w:val="CommentTextChar"/>
    <w:link w:val="CommentSubject"/>
    <w:uiPriority w:val="99"/>
    <w:rsid w:val="00070D30"/>
    <w:rPr>
      <w:rFonts w:ascii="Times New Roman" w:eastAsia="Times New Roman" w:hAnsi="Times New Roman" w:cs="Times New Roman"/>
      <w:b/>
      <w:bCs/>
      <w:sz w:val="20"/>
      <w:szCs w:val="20"/>
      <w:lang w:val="en-GB" w:eastAsia="x-none"/>
    </w:rPr>
  </w:style>
  <w:style w:type="paragraph" w:customStyle="1" w:styleId="bodytextnoindent">
    <w:name w:val="body text (no indent)"/>
    <w:basedOn w:val="Normal"/>
    <w:rsid w:val="00070D30"/>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070D30"/>
    <w:rPr>
      <w:rFonts w:cs="Angsana New"/>
      <w:i/>
      <w:iCs/>
    </w:rPr>
  </w:style>
  <w:style w:type="character" w:customStyle="1" w:styleId="BodyText2Char">
    <w:name w:val="Body Text 2 Char"/>
    <w:basedOn w:val="DefaultParagraphFont"/>
    <w:link w:val="BodyText2"/>
    <w:rsid w:val="00070D30"/>
    <w:rPr>
      <w:rFonts w:ascii="Times New Roman" w:eastAsia="Times New Roman" w:hAnsi="Times New Roman" w:cs="Angsana New"/>
      <w:i/>
      <w:iCs/>
      <w:sz w:val="22"/>
      <w:lang w:val="en-GB"/>
    </w:rPr>
  </w:style>
  <w:style w:type="paragraph" w:styleId="BodyText3">
    <w:name w:val="Body Text 3"/>
    <w:basedOn w:val="Normal"/>
    <w:link w:val="BodyText3Char"/>
    <w:rsid w:val="00070D30"/>
    <w:pPr>
      <w:jc w:val="center"/>
    </w:pPr>
    <w:rPr>
      <w:rFonts w:cs="Angsana New"/>
      <w:sz w:val="28"/>
    </w:rPr>
  </w:style>
  <w:style w:type="character" w:customStyle="1" w:styleId="BodyText3Char">
    <w:name w:val="Body Text 3 Char"/>
    <w:basedOn w:val="DefaultParagraphFont"/>
    <w:link w:val="BodyText3"/>
    <w:rsid w:val="00070D30"/>
    <w:rPr>
      <w:rFonts w:ascii="Times New Roman" w:eastAsia="Times New Roman" w:hAnsi="Times New Roman" w:cs="Angsana New"/>
      <w:sz w:val="28"/>
      <w:lang w:val="en-GB"/>
    </w:rPr>
  </w:style>
  <w:style w:type="paragraph" w:styleId="BodyTextIndent2">
    <w:name w:val="Body Text Indent 2"/>
    <w:basedOn w:val="Normal"/>
    <w:link w:val="BodyTextIndent2Char"/>
    <w:rsid w:val="00070D30"/>
    <w:pPr>
      <w:ind w:firstLine="720"/>
    </w:pPr>
    <w:rPr>
      <w:rFonts w:cs="Angsana New"/>
    </w:rPr>
  </w:style>
  <w:style w:type="character" w:customStyle="1" w:styleId="BodyTextIndent2Char">
    <w:name w:val="Body Text Indent 2 Char"/>
    <w:basedOn w:val="DefaultParagraphFont"/>
    <w:link w:val="BodyTextIndent2"/>
    <w:rsid w:val="00070D30"/>
    <w:rPr>
      <w:rFonts w:ascii="Times New Roman" w:eastAsia="Times New Roman" w:hAnsi="Times New Roman" w:cs="Angsana New"/>
      <w:sz w:val="22"/>
      <w:lang w:val="en-GB"/>
    </w:rPr>
  </w:style>
  <w:style w:type="paragraph" w:customStyle="1" w:styleId="Bodytextitalic">
    <w:name w:val="Body text italic"/>
    <w:basedOn w:val="BodyText"/>
    <w:rsid w:val="00070D30"/>
    <w:rPr>
      <w:rFonts w:cs="Angsana New"/>
      <w:i/>
      <w:iCs w:val="0"/>
    </w:rPr>
  </w:style>
  <w:style w:type="paragraph" w:customStyle="1" w:styleId="boxbody">
    <w:name w:val="boxbody"/>
    <w:basedOn w:val="Normal"/>
    <w:rsid w:val="00070D30"/>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070D30"/>
    <w:pPr>
      <w:tabs>
        <w:tab w:val="clear" w:pos="720"/>
        <w:tab w:val="left" w:pos="900"/>
      </w:tabs>
    </w:pPr>
    <w:rPr>
      <w:rFonts w:eastAsia="Batang"/>
      <w:b w:val="0"/>
      <w:bCs w:val="0"/>
      <w:szCs w:val="20"/>
    </w:rPr>
  </w:style>
  <w:style w:type="paragraph" w:customStyle="1" w:styleId="Heading2noletter">
    <w:name w:val="Heading 2 (no letter)"/>
    <w:basedOn w:val="Heading2"/>
    <w:rsid w:val="00070D30"/>
    <w:pPr>
      <w:tabs>
        <w:tab w:val="clear" w:pos="720"/>
      </w:tabs>
    </w:pPr>
  </w:style>
  <w:style w:type="character" w:customStyle="1" w:styleId="Heading2CharChar">
    <w:name w:val="Heading 2 Char Char"/>
    <w:rsid w:val="00070D30"/>
    <w:rPr>
      <w:rFonts w:ascii="Arial" w:hAnsi="Arial" w:cs="Arial"/>
      <w:b/>
      <w:bCs/>
      <w:i/>
      <w:iCs/>
      <w:noProof w:val="0"/>
      <w:sz w:val="28"/>
      <w:szCs w:val="28"/>
      <w:lang w:val="en-US" w:eastAsia="en-US" w:bidi="ar-SA"/>
    </w:rPr>
  </w:style>
  <w:style w:type="paragraph" w:customStyle="1" w:styleId="Heading-plain0">
    <w:name w:val="Heading-plain"/>
    <w:basedOn w:val="Normal"/>
    <w:rsid w:val="00070D30"/>
    <w:pPr>
      <w:spacing w:before="120" w:after="120"/>
      <w:jc w:val="center"/>
      <w:outlineLvl w:val="0"/>
    </w:pPr>
    <w:rPr>
      <w:rFonts w:cs="Angsana New"/>
      <w:i/>
      <w:szCs w:val="20"/>
    </w:rPr>
  </w:style>
  <w:style w:type="paragraph" w:customStyle="1" w:styleId="Heading-plainbold">
    <w:name w:val="Heading-plain bold"/>
    <w:basedOn w:val="BodyText"/>
    <w:rsid w:val="00070D30"/>
    <w:pPr>
      <w:ind w:firstLine="0"/>
      <w:jc w:val="center"/>
    </w:pPr>
    <w:rPr>
      <w:rFonts w:cs="Angsana New"/>
      <w:b/>
      <w:bCs/>
      <w:i/>
      <w:iCs w:val="0"/>
    </w:rPr>
  </w:style>
  <w:style w:type="paragraph" w:customStyle="1" w:styleId="Heading-plainitalic">
    <w:name w:val="Heading-plain italic"/>
    <w:basedOn w:val="Heading-plainbold"/>
    <w:rsid w:val="00070D30"/>
    <w:rPr>
      <w:b w:val="0"/>
      <w:bCs w:val="0"/>
    </w:rPr>
  </w:style>
  <w:style w:type="paragraph" w:styleId="NormalWeb">
    <w:name w:val="Normal (Web)"/>
    <w:basedOn w:val="Normal"/>
    <w:uiPriority w:val="99"/>
    <w:rsid w:val="00070D30"/>
    <w:pPr>
      <w:spacing w:before="100" w:beforeAutospacing="1" w:after="100" w:afterAutospacing="1"/>
      <w:jc w:val="left"/>
    </w:pPr>
    <w:rPr>
      <w:rFonts w:ascii="Verdana" w:hAnsi="Verdana" w:cs="Angsana New"/>
      <w:color w:val="000000"/>
      <w:sz w:val="18"/>
      <w:szCs w:val="18"/>
      <w:lang w:val="en-US"/>
    </w:rPr>
  </w:style>
  <w:style w:type="paragraph" w:customStyle="1" w:styleId="Para1">
    <w:name w:val="Para 1"/>
    <w:basedOn w:val="BodyText"/>
    <w:rsid w:val="00070D30"/>
    <w:pPr>
      <w:numPr>
        <w:numId w:val="9"/>
      </w:numPr>
    </w:pPr>
    <w:rPr>
      <w:rFonts w:eastAsia="MS Mincho" w:cs="Angsana New"/>
      <w:bCs/>
      <w:iCs w:val="0"/>
      <w:szCs w:val="22"/>
    </w:rPr>
  </w:style>
  <w:style w:type="character" w:customStyle="1" w:styleId="Para1Char0">
    <w:name w:val="Para 1 Char"/>
    <w:rsid w:val="00070D30"/>
    <w:rPr>
      <w:rFonts w:eastAsia="MS Mincho"/>
      <w:bCs/>
      <w:iCs/>
      <w:sz w:val="22"/>
      <w:szCs w:val="22"/>
      <w:lang w:val="en-GB" w:eastAsia="en-US" w:bidi="ar-SA"/>
    </w:rPr>
  </w:style>
  <w:style w:type="paragraph" w:customStyle="1" w:styleId="Paraofficial">
    <w:name w:val="Para official"/>
    <w:basedOn w:val="Normal"/>
    <w:rsid w:val="00070D30"/>
    <w:pPr>
      <w:framePr w:hSpace="187" w:vSpace="187" w:wrap="notBeside" w:vAnchor="text" w:hAnchor="text" w:y="1"/>
      <w:numPr>
        <w:numId w:val="5"/>
      </w:numPr>
      <w:spacing w:before="240" w:after="240"/>
      <w:jc w:val="left"/>
    </w:pPr>
    <w:rPr>
      <w:rFonts w:cs="Angsana New"/>
      <w:szCs w:val="20"/>
    </w:rPr>
  </w:style>
  <w:style w:type="paragraph" w:customStyle="1" w:styleId="ColorfulShading-Accent11">
    <w:name w:val="Colorful Shading - Accent 11"/>
    <w:hidden/>
    <w:uiPriority w:val="99"/>
    <w:semiHidden/>
    <w:rsid w:val="00070D30"/>
    <w:rPr>
      <w:rFonts w:ascii="Times New Roman" w:eastAsia="Times New Roman" w:hAnsi="Times New Roman" w:cs="Angsana New"/>
      <w:sz w:val="22"/>
      <w:lang w:val="en-GB"/>
    </w:rPr>
  </w:style>
  <w:style w:type="paragraph" w:customStyle="1" w:styleId="Para1-Annex">
    <w:name w:val="Para1-Annex"/>
    <w:basedOn w:val="Normal"/>
    <w:rsid w:val="00070D30"/>
    <w:pPr>
      <w:numPr>
        <w:numId w:val="6"/>
      </w:numPr>
      <w:spacing w:after="120"/>
    </w:pPr>
    <w:rPr>
      <w:szCs w:val="22"/>
      <w:lang w:val="en-US"/>
    </w:rPr>
  </w:style>
  <w:style w:type="paragraph" w:customStyle="1" w:styleId="para20">
    <w:name w:val="para2"/>
    <w:basedOn w:val="para2a"/>
    <w:rsid w:val="00070D30"/>
  </w:style>
  <w:style w:type="paragraph" w:customStyle="1" w:styleId="Para40">
    <w:name w:val="Para4"/>
    <w:basedOn w:val="Para3"/>
    <w:rsid w:val="00070D30"/>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070D30"/>
    <w:pPr>
      <w:numPr>
        <w:numId w:val="7"/>
      </w:numPr>
      <w:spacing w:after="120" w:line="240" w:lineRule="exact"/>
    </w:pPr>
    <w:rPr>
      <w:rFonts w:cs="Angsana New"/>
      <w:szCs w:val="20"/>
      <w:lang w:val="en-US"/>
    </w:rPr>
  </w:style>
  <w:style w:type="character" w:styleId="Strong">
    <w:name w:val="Strong"/>
    <w:uiPriority w:val="22"/>
    <w:qFormat/>
    <w:rsid w:val="00070D30"/>
    <w:rPr>
      <w:b/>
      <w:bCs/>
    </w:rPr>
  </w:style>
  <w:style w:type="paragraph" w:customStyle="1" w:styleId="StyleBodyTextTimesNewRoman11ptCharChar">
    <w:name w:val="Style Body Text + Times New Roman 11 pt Char Char"/>
    <w:basedOn w:val="BodyText"/>
    <w:rsid w:val="00070D30"/>
    <w:rPr>
      <w:rFonts w:cs="Angsana New"/>
      <w:iCs w:val="0"/>
      <w:snapToGrid w:val="0"/>
      <w:color w:val="000000"/>
      <w:szCs w:val="22"/>
      <w:lang w:val="en-US"/>
    </w:rPr>
  </w:style>
  <w:style w:type="character" w:customStyle="1" w:styleId="StyleBodyTextTimesNewRoman11ptCharCharChar">
    <w:name w:val="Style Body Text + Times New Roman 11 pt Char Char Char"/>
    <w:rsid w:val="00070D30"/>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070D30"/>
    <w:pPr>
      <w:tabs>
        <w:tab w:val="num" w:pos="360"/>
      </w:tabs>
      <w:spacing w:after="120"/>
    </w:pPr>
    <w:rPr>
      <w:rFonts w:cs="Angsana New"/>
      <w:snapToGrid w:val="0"/>
      <w:szCs w:val="20"/>
    </w:rPr>
  </w:style>
  <w:style w:type="paragraph" w:customStyle="1" w:styleId="StylePara1Italic">
    <w:name w:val="Style Para1 + Italic"/>
    <w:basedOn w:val="Normal"/>
    <w:rsid w:val="00070D30"/>
    <w:pPr>
      <w:spacing w:before="120" w:after="120"/>
    </w:pPr>
    <w:rPr>
      <w:i/>
      <w:iCs/>
      <w:snapToGrid w:val="0"/>
      <w:szCs w:val="18"/>
    </w:rPr>
  </w:style>
  <w:style w:type="paragraph" w:customStyle="1" w:styleId="ColorfulShading-Accent31">
    <w:name w:val="Colorful Shading - Accent 31"/>
    <w:basedOn w:val="Normal"/>
    <w:uiPriority w:val="34"/>
    <w:qFormat/>
    <w:rsid w:val="00070D30"/>
    <w:pPr>
      <w:ind w:left="720"/>
      <w:contextualSpacing/>
    </w:pPr>
    <w:rPr>
      <w:rFonts w:cs="Angsana New"/>
    </w:rPr>
  </w:style>
  <w:style w:type="paragraph" w:customStyle="1" w:styleId="para2a">
    <w:name w:val="para 2 (a)"/>
    <w:basedOn w:val="Normal"/>
    <w:qFormat/>
    <w:rsid w:val="00070D30"/>
    <w:pPr>
      <w:spacing w:after="120"/>
    </w:pPr>
    <w:rPr>
      <w:rFonts w:eastAsia="MS Mincho" w:cs="Angsana New"/>
      <w:snapToGrid w:val="0"/>
      <w:szCs w:val="18"/>
    </w:rPr>
  </w:style>
  <w:style w:type="paragraph" w:customStyle="1" w:styleId="SubtleEmphasis1">
    <w:name w:val="Subtle Emphasis1"/>
    <w:basedOn w:val="Normal"/>
    <w:uiPriority w:val="34"/>
    <w:qFormat/>
    <w:rsid w:val="00070D30"/>
    <w:pPr>
      <w:ind w:left="720"/>
      <w:contextualSpacing/>
    </w:pPr>
    <w:rPr>
      <w:rFonts w:cs="Angsana New"/>
    </w:rPr>
  </w:style>
  <w:style w:type="paragraph" w:customStyle="1" w:styleId="Body">
    <w:name w:val="Body"/>
    <w:rsid w:val="00070D30"/>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en-US" w:eastAsia="en-SG"/>
    </w:rPr>
  </w:style>
  <w:style w:type="paragraph" w:customStyle="1" w:styleId="recommendation">
    <w:name w:val="recommendation"/>
    <w:basedOn w:val="Heading2"/>
    <w:qFormat/>
    <w:rsid w:val="00070D30"/>
    <w:pPr>
      <w:tabs>
        <w:tab w:val="clear" w:pos="720"/>
      </w:tabs>
      <w:spacing w:before="240" w:after="60" w:line="276" w:lineRule="auto"/>
      <w:jc w:val="left"/>
    </w:pPr>
    <w:rPr>
      <w:i/>
      <w:snapToGrid w:val="0"/>
      <w:kern w:val="2"/>
      <w:szCs w:val="22"/>
      <w:lang w:val="en-US"/>
    </w:rPr>
  </w:style>
  <w:style w:type="paragraph" w:customStyle="1" w:styleId="SubtleEmphasis2">
    <w:name w:val="Subtle Emphasis2"/>
    <w:basedOn w:val="Normal"/>
    <w:uiPriority w:val="34"/>
    <w:qFormat/>
    <w:rsid w:val="00070D30"/>
    <w:pPr>
      <w:spacing w:after="240"/>
      <w:ind w:left="720"/>
      <w:contextualSpacing/>
      <w:jc w:val="left"/>
    </w:pPr>
    <w:rPr>
      <w:rFonts w:ascii="Calibri" w:eastAsia="Calibri" w:hAnsi="Calibri"/>
      <w:sz w:val="24"/>
    </w:rPr>
  </w:style>
  <w:style w:type="paragraph" w:customStyle="1" w:styleId="Default">
    <w:name w:val="Default"/>
    <w:rsid w:val="00070D30"/>
    <w:pPr>
      <w:autoSpaceDE w:val="0"/>
      <w:autoSpaceDN w:val="0"/>
      <w:adjustRightInd w:val="0"/>
    </w:pPr>
    <w:rPr>
      <w:rFonts w:ascii="Calibri" w:eastAsia="Calibri" w:hAnsi="Calibri" w:cs="Calibri"/>
      <w:color w:val="000000"/>
      <w:lang w:val="en-US"/>
    </w:rPr>
  </w:style>
  <w:style w:type="paragraph" w:customStyle="1" w:styleId="ColorfulGrid-Accent61">
    <w:name w:val="Colorful Grid - Accent 61"/>
    <w:hidden/>
    <w:uiPriority w:val="66"/>
    <w:rsid w:val="00070D30"/>
    <w:rPr>
      <w:rFonts w:ascii="Times New Roman" w:eastAsia="Times New Roman" w:hAnsi="Times New Roman" w:cs="Angsana New"/>
      <w:sz w:val="22"/>
      <w:lang w:val="en-GB"/>
    </w:rPr>
  </w:style>
  <w:style w:type="paragraph" w:customStyle="1" w:styleId="SubtleEmphasis3">
    <w:name w:val="Subtle Emphasis3"/>
    <w:basedOn w:val="Normal"/>
    <w:uiPriority w:val="34"/>
    <w:qFormat/>
    <w:rsid w:val="00070D30"/>
    <w:pPr>
      <w:ind w:left="720"/>
      <w:contextualSpacing/>
    </w:pPr>
    <w:rPr>
      <w:rFonts w:cs="Angsana New"/>
    </w:rPr>
  </w:style>
  <w:style w:type="paragraph" w:customStyle="1" w:styleId="SubtleEmphasis4">
    <w:name w:val="Subtle Emphasis4"/>
    <w:basedOn w:val="Normal"/>
    <w:uiPriority w:val="34"/>
    <w:qFormat/>
    <w:rsid w:val="00070D30"/>
    <w:pPr>
      <w:ind w:left="720"/>
    </w:pPr>
    <w:rPr>
      <w:rFonts w:cs="Angsana New"/>
    </w:rPr>
  </w:style>
  <w:style w:type="paragraph" w:customStyle="1" w:styleId="SubtleEmphasis5">
    <w:name w:val="Subtle Emphasis5"/>
    <w:basedOn w:val="Normal"/>
    <w:uiPriority w:val="72"/>
    <w:qFormat/>
    <w:rsid w:val="00070D30"/>
    <w:pPr>
      <w:ind w:left="720"/>
    </w:pPr>
    <w:rPr>
      <w:rFonts w:cs="Angsana New"/>
    </w:rPr>
  </w:style>
  <w:style w:type="numbering" w:customStyle="1" w:styleId="ImportedStyle2">
    <w:name w:val="Imported Style 2"/>
    <w:rsid w:val="00070D30"/>
    <w:pPr>
      <w:numPr>
        <w:numId w:val="8"/>
      </w:numPr>
    </w:pPr>
  </w:style>
  <w:style w:type="character" w:customStyle="1" w:styleId="apple-converted-space">
    <w:name w:val="apple-converted-space"/>
    <w:rsid w:val="00070D30"/>
    <w:rPr>
      <w:lang w:val="fr-FR"/>
    </w:rPr>
  </w:style>
  <w:style w:type="table" w:customStyle="1" w:styleId="TableGrid1">
    <w:name w:val="Table Grid1"/>
    <w:basedOn w:val="TableNormal"/>
    <w:next w:val="TableGrid"/>
    <w:uiPriority w:val="59"/>
    <w:rsid w:val="00070D30"/>
    <w:rPr>
      <w:rFonts w:ascii="Calibri" w:eastAsia="Calibri" w:hAnsi="Calibri"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70D30"/>
    <w:rPr>
      <w:rFonts w:ascii="Calibri" w:eastAsia="Calibri" w:hAnsi="Calibri"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70D30"/>
    <w:rPr>
      <w:sz w:val="24"/>
      <w:lang w:eastAsia="x-none"/>
    </w:rPr>
  </w:style>
  <w:style w:type="character" w:customStyle="1" w:styleId="DocumentMapChar">
    <w:name w:val="Document Map Char"/>
    <w:basedOn w:val="DefaultParagraphFont"/>
    <w:link w:val="DocumentMap"/>
    <w:rsid w:val="00070D30"/>
    <w:rPr>
      <w:rFonts w:ascii="Times New Roman" w:eastAsia="Times New Roman" w:hAnsi="Times New Roman" w:cs="Times New Roman"/>
      <w:lang w:val="en-GB" w:eastAsia="x-none"/>
    </w:rPr>
  </w:style>
  <w:style w:type="paragraph" w:styleId="Revision">
    <w:name w:val="Revision"/>
    <w:hidden/>
    <w:uiPriority w:val="99"/>
    <w:unhideWhenUsed/>
    <w:rsid w:val="00070D30"/>
    <w:rPr>
      <w:rFonts w:ascii="Times New Roman" w:eastAsia="Times New Roman" w:hAnsi="Times New Roman" w:cs="Angsana New"/>
      <w:sz w:val="22"/>
      <w:lang w:val="en-GB"/>
    </w:rPr>
  </w:style>
  <w:style w:type="character" w:customStyle="1" w:styleId="UnresolvedMention1">
    <w:name w:val="Unresolved Mention1"/>
    <w:basedOn w:val="DefaultParagraphFont"/>
    <w:uiPriority w:val="99"/>
    <w:semiHidden/>
    <w:unhideWhenUsed/>
    <w:rsid w:val="00422D5C"/>
    <w:rPr>
      <w:color w:val="808080"/>
      <w:shd w:val="clear" w:color="auto" w:fill="E6E6E6"/>
    </w:rPr>
  </w:style>
  <w:style w:type="character" w:customStyle="1" w:styleId="ListParagraphChar">
    <w:name w:val="List Paragraph Char"/>
    <w:basedOn w:val="DefaultParagraphFont"/>
    <w:link w:val="ListParagraph"/>
    <w:uiPriority w:val="34"/>
    <w:locked/>
    <w:rsid w:val="008E44C6"/>
    <w:rPr>
      <w:rFonts w:ascii="Times New Roman" w:eastAsia="Times New Roman" w:hAnsi="Times New Roman" w:cs="Times New Roman"/>
      <w:sz w:val="22"/>
      <w:lang w:val="en-GB"/>
    </w:rPr>
  </w:style>
  <w:style w:type="paragraph" w:customStyle="1" w:styleId="GCSNormalBodyText">
    <w:name w:val="GCS Normal Body Text"/>
    <w:basedOn w:val="Normal"/>
    <w:qFormat/>
    <w:rsid w:val="008E44C6"/>
    <w:pPr>
      <w:keepLines/>
      <w:autoSpaceDE w:val="0"/>
      <w:autoSpaceDN w:val="0"/>
      <w:adjustRightInd w:val="0"/>
      <w:spacing w:after="120" w:line="360" w:lineRule="auto"/>
    </w:pPr>
    <w:rPr>
      <w:rFonts w:ascii="Trebuchet MS" w:eastAsia="Times" w:hAnsi="Trebuchet MS"/>
      <w:color w:val="00000A"/>
      <w:sz w:val="20"/>
      <w:szCs w:val="20"/>
      <w:lang w:eastAsia="en-ZA"/>
    </w:rPr>
  </w:style>
  <w:style w:type="paragraph" w:styleId="TOCHeading">
    <w:name w:val="TOC Heading"/>
    <w:basedOn w:val="Heading1"/>
    <w:next w:val="Normal"/>
    <w:uiPriority w:val="39"/>
    <w:unhideWhenUsed/>
    <w:qFormat/>
    <w:rsid w:val="008E44C6"/>
    <w:pPr>
      <w:keepNext w:val="0"/>
      <w:tabs>
        <w:tab w:val="clear" w:pos="720"/>
      </w:tabs>
      <w:autoSpaceDE w:val="0"/>
      <w:autoSpaceDN w:val="0"/>
      <w:adjustRightInd w:val="0"/>
      <w:spacing w:before="0" w:after="240" w:line="259" w:lineRule="auto"/>
      <w:ind w:left="360" w:hanging="360"/>
      <w:jc w:val="both"/>
      <w:outlineLvl w:val="9"/>
    </w:pPr>
    <w:rPr>
      <w:rFonts w:ascii="Arial" w:hAnsi="Arial" w:cs="Arial"/>
      <w:caps w:val="0"/>
      <w:color w:val="00000A"/>
      <w:sz w:val="24"/>
      <w:lang w:val="en-US" w:eastAsia="en-ZA"/>
    </w:rPr>
  </w:style>
  <w:style w:type="paragraph" w:styleId="Bibliography">
    <w:name w:val="Bibliography"/>
    <w:basedOn w:val="Normal"/>
    <w:next w:val="Normal"/>
    <w:uiPriority w:val="37"/>
    <w:unhideWhenUsed/>
    <w:rsid w:val="008E44C6"/>
    <w:pPr>
      <w:autoSpaceDE w:val="0"/>
      <w:autoSpaceDN w:val="0"/>
      <w:adjustRightInd w:val="0"/>
      <w:spacing w:line="360" w:lineRule="auto"/>
    </w:pPr>
    <w:rPr>
      <w:rFonts w:ascii="Arial" w:hAnsi="Arial" w:cs="Arial"/>
      <w:color w:val="00000A"/>
      <w:lang w:val="en-ZA" w:eastAsia="en-ZA"/>
    </w:rPr>
  </w:style>
  <w:style w:type="paragraph" w:customStyle="1" w:styleId="Text">
    <w:name w:val="Text"/>
    <w:basedOn w:val="Normal"/>
    <w:rsid w:val="008E44C6"/>
    <w:pPr>
      <w:widowControl w:val="0"/>
      <w:overflowPunct w:val="0"/>
      <w:autoSpaceDE w:val="0"/>
      <w:autoSpaceDN w:val="0"/>
      <w:adjustRightInd w:val="0"/>
      <w:spacing w:line="252" w:lineRule="auto"/>
      <w:ind w:firstLine="202"/>
      <w:textAlignment w:val="baseline"/>
    </w:pPr>
    <w:rPr>
      <w:color w:val="00000A"/>
      <w:sz w:val="20"/>
      <w:szCs w:val="20"/>
      <w:lang w:val="en-US" w:eastAsia="de-DE"/>
    </w:rPr>
  </w:style>
  <w:style w:type="paragraph" w:customStyle="1" w:styleId="References">
    <w:name w:val="References"/>
    <w:basedOn w:val="Normal"/>
    <w:rsid w:val="008E44C6"/>
    <w:pPr>
      <w:tabs>
        <w:tab w:val="left" w:pos="360"/>
      </w:tabs>
      <w:overflowPunct w:val="0"/>
      <w:autoSpaceDE w:val="0"/>
      <w:autoSpaceDN w:val="0"/>
      <w:adjustRightInd w:val="0"/>
      <w:spacing w:line="360" w:lineRule="auto"/>
      <w:ind w:left="360" w:hanging="360"/>
      <w:textAlignment w:val="baseline"/>
    </w:pPr>
    <w:rPr>
      <w:color w:val="00000A"/>
      <w:sz w:val="16"/>
      <w:szCs w:val="20"/>
      <w:lang w:val="en-US" w:eastAsia="de-DE"/>
    </w:rPr>
  </w:style>
  <w:style w:type="paragraph" w:styleId="NoSpacing">
    <w:name w:val="No Spacing"/>
    <w:link w:val="NoSpacingChar"/>
    <w:uiPriority w:val="1"/>
    <w:qFormat/>
    <w:rsid w:val="008E44C6"/>
    <w:rPr>
      <w:sz w:val="22"/>
      <w:szCs w:val="22"/>
      <w:lang w:val="en-US" w:eastAsia="ja-JP"/>
    </w:rPr>
  </w:style>
  <w:style w:type="character" w:customStyle="1" w:styleId="NoSpacingChar">
    <w:name w:val="No Spacing Char"/>
    <w:basedOn w:val="DefaultParagraphFont"/>
    <w:link w:val="NoSpacing"/>
    <w:uiPriority w:val="1"/>
    <w:rsid w:val="008E44C6"/>
    <w:rPr>
      <w:sz w:val="22"/>
      <w:szCs w:val="22"/>
      <w:lang w:val="en-US" w:eastAsia="ja-JP"/>
    </w:rPr>
  </w:style>
  <w:style w:type="paragraph" w:customStyle="1" w:styleId="Reference0">
    <w:name w:val="Reference"/>
    <w:basedOn w:val="Normal"/>
    <w:link w:val="ReferenceChar"/>
    <w:qFormat/>
    <w:rsid w:val="008E44C6"/>
    <w:pPr>
      <w:autoSpaceDE w:val="0"/>
      <w:autoSpaceDN w:val="0"/>
      <w:adjustRightInd w:val="0"/>
      <w:spacing w:line="276" w:lineRule="auto"/>
      <w:ind w:left="357" w:hanging="357"/>
    </w:pPr>
    <w:rPr>
      <w:rFonts w:ascii="Arial" w:hAnsi="Arial" w:cs="Arial"/>
      <w:color w:val="00000A"/>
      <w:sz w:val="20"/>
      <w:lang w:val="en-ZA" w:eastAsia="en-ZA"/>
    </w:rPr>
  </w:style>
  <w:style w:type="character" w:customStyle="1" w:styleId="ReferenceChar">
    <w:name w:val="Reference Char"/>
    <w:basedOn w:val="DefaultParagraphFont"/>
    <w:link w:val="Reference0"/>
    <w:rsid w:val="008E44C6"/>
    <w:rPr>
      <w:rFonts w:ascii="Arial" w:eastAsia="Times New Roman" w:hAnsi="Arial" w:cs="Arial"/>
      <w:color w:val="00000A"/>
      <w:sz w:val="20"/>
      <w:lang w:val="en-ZA" w:eastAsia="en-ZA"/>
    </w:rPr>
  </w:style>
  <w:style w:type="table" w:customStyle="1" w:styleId="LightShading1">
    <w:name w:val="Light Shading1"/>
    <w:basedOn w:val="TableNormal"/>
    <w:next w:val="LightShading"/>
    <w:uiPriority w:val="60"/>
    <w:rsid w:val="008E44C6"/>
    <w:rPr>
      <w:rFonts w:eastAsiaTheme="minorHAnsi"/>
      <w:color w:val="000000"/>
      <w:sz w:val="22"/>
      <w:szCs w:val="22"/>
      <w:lang w:val="en-Z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8E44C6"/>
    <w:rPr>
      <w:rFonts w:eastAsiaTheme="minorHAnsi"/>
      <w:color w:val="000000" w:themeColor="text1" w:themeShade="BF"/>
      <w:sz w:val="22"/>
      <w:szCs w:val="22"/>
      <w:lang w:val="en-Z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next w:val="LightShading"/>
    <w:uiPriority w:val="60"/>
    <w:rsid w:val="008E44C6"/>
    <w:rPr>
      <w:rFonts w:eastAsiaTheme="minorHAnsi"/>
      <w:color w:val="000000"/>
      <w:sz w:val="22"/>
      <w:szCs w:val="22"/>
      <w:lang w:val="en-Z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
    <w:name w:val="Light Shading3"/>
    <w:basedOn w:val="TableNormal"/>
    <w:next w:val="LightShading"/>
    <w:uiPriority w:val="60"/>
    <w:rsid w:val="008E44C6"/>
    <w:rPr>
      <w:rFonts w:eastAsiaTheme="minorHAnsi"/>
      <w:color w:val="000000"/>
      <w:sz w:val="22"/>
      <w:szCs w:val="22"/>
      <w:lang w:val="en-Z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
    <w:name w:val="Light Shading4"/>
    <w:basedOn w:val="TableNormal"/>
    <w:next w:val="LightShading"/>
    <w:uiPriority w:val="60"/>
    <w:rsid w:val="008E44C6"/>
    <w:rPr>
      <w:rFonts w:eastAsiaTheme="minorHAnsi"/>
      <w:color w:val="000000"/>
      <w:sz w:val="22"/>
      <w:szCs w:val="22"/>
      <w:lang w:val="en-Z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5">
    <w:name w:val="Light Shading5"/>
    <w:basedOn w:val="TableNormal"/>
    <w:next w:val="LightShading"/>
    <w:uiPriority w:val="60"/>
    <w:rsid w:val="008E44C6"/>
    <w:rPr>
      <w:rFonts w:eastAsiaTheme="minorHAnsi"/>
      <w:color w:val="000000"/>
      <w:sz w:val="22"/>
      <w:szCs w:val="22"/>
      <w:lang w:val="en-Z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6">
    <w:name w:val="Light Shading6"/>
    <w:basedOn w:val="TableNormal"/>
    <w:next w:val="LightShading"/>
    <w:uiPriority w:val="60"/>
    <w:rsid w:val="008E44C6"/>
    <w:rPr>
      <w:rFonts w:eastAsiaTheme="minorHAnsi"/>
      <w:color w:val="000000"/>
      <w:sz w:val="22"/>
      <w:szCs w:val="22"/>
      <w:lang w:val="en-Z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7">
    <w:name w:val="Light Shading7"/>
    <w:basedOn w:val="TableNormal"/>
    <w:next w:val="LightShading"/>
    <w:uiPriority w:val="60"/>
    <w:rsid w:val="008E44C6"/>
    <w:rPr>
      <w:rFonts w:eastAsiaTheme="minorHAnsi"/>
      <w:color w:val="000000"/>
      <w:sz w:val="22"/>
      <w:szCs w:val="22"/>
      <w:lang w:val="en-Z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8">
    <w:name w:val="Light Shading8"/>
    <w:basedOn w:val="TableNormal"/>
    <w:next w:val="LightShading"/>
    <w:uiPriority w:val="60"/>
    <w:rsid w:val="008E44C6"/>
    <w:rPr>
      <w:rFonts w:eastAsiaTheme="minorHAnsi"/>
      <w:color w:val="000000"/>
      <w:sz w:val="22"/>
      <w:szCs w:val="22"/>
      <w:lang w:val="en-Z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ableofFigures">
    <w:name w:val="table of figures"/>
    <w:basedOn w:val="Normal"/>
    <w:next w:val="Normal"/>
    <w:uiPriority w:val="99"/>
    <w:unhideWhenUsed/>
    <w:rsid w:val="008E44C6"/>
    <w:pPr>
      <w:autoSpaceDE w:val="0"/>
      <w:autoSpaceDN w:val="0"/>
      <w:adjustRightInd w:val="0"/>
      <w:spacing w:line="360" w:lineRule="auto"/>
    </w:pPr>
    <w:rPr>
      <w:rFonts w:ascii="Arial" w:hAnsi="Arial" w:cs="Arial"/>
      <w:color w:val="00000A"/>
      <w:lang w:val="en-ZA" w:eastAsia="en-ZA"/>
    </w:rPr>
  </w:style>
  <w:style w:type="table" w:customStyle="1" w:styleId="LightShading9">
    <w:name w:val="Light Shading9"/>
    <w:basedOn w:val="TableNormal"/>
    <w:next w:val="LightShading"/>
    <w:uiPriority w:val="60"/>
    <w:rsid w:val="008E44C6"/>
    <w:rPr>
      <w:rFonts w:eastAsiaTheme="minorHAnsi"/>
      <w:color w:val="000000"/>
      <w:sz w:val="22"/>
      <w:szCs w:val="22"/>
      <w:lang w:val="en-Z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tyle1">
    <w:name w:val="Style1"/>
    <w:basedOn w:val="TableNormal"/>
    <w:uiPriority w:val="99"/>
    <w:rsid w:val="008E44C6"/>
    <w:rPr>
      <w:rFonts w:eastAsiaTheme="minorHAnsi"/>
      <w:sz w:val="22"/>
      <w:szCs w:val="22"/>
      <w:lang w:val="en-ZA"/>
    </w:rPr>
    <w:tblPr/>
  </w:style>
  <w:style w:type="character" w:customStyle="1" w:styleId="nlmarticle-title">
    <w:name w:val="nlm_article-title"/>
    <w:basedOn w:val="DefaultParagraphFont"/>
    <w:rsid w:val="008E44C6"/>
  </w:style>
  <w:style w:type="character" w:customStyle="1" w:styleId="text0">
    <w:name w:val="text"/>
    <w:basedOn w:val="DefaultParagraphFont"/>
    <w:rsid w:val="008E44C6"/>
  </w:style>
  <w:style w:type="character" w:customStyle="1" w:styleId="currentpage">
    <w:name w:val="currentpage"/>
    <w:basedOn w:val="DefaultParagraphFont"/>
    <w:rsid w:val="008E44C6"/>
  </w:style>
  <w:style w:type="paragraph" w:customStyle="1" w:styleId="StylePara1Before0pt">
    <w:name w:val="Style Para1 + Before:  0 pt"/>
    <w:basedOn w:val="Para10"/>
    <w:rsid w:val="008E44C6"/>
    <w:pPr>
      <w:numPr>
        <w:numId w:val="12"/>
      </w:numPr>
      <w:tabs>
        <w:tab w:val="clear" w:pos="360"/>
      </w:tabs>
    </w:pPr>
    <w:rPr>
      <w:szCs w:val="20"/>
    </w:rPr>
  </w:style>
  <w:style w:type="character" w:customStyle="1" w:styleId="A6">
    <w:name w:val="A6"/>
    <w:uiPriority w:val="99"/>
    <w:rsid w:val="008E44C6"/>
    <w:rPr>
      <w:rFonts w:cs="Gotham Narrow Light"/>
      <w:color w:val="000000"/>
      <w:sz w:val="20"/>
      <w:szCs w:val="20"/>
    </w:rPr>
  </w:style>
  <w:style w:type="paragraph" w:customStyle="1" w:styleId="Pa4">
    <w:name w:val="Pa4"/>
    <w:basedOn w:val="Default"/>
    <w:next w:val="Default"/>
    <w:uiPriority w:val="99"/>
    <w:rsid w:val="008E44C6"/>
    <w:pPr>
      <w:spacing w:line="241" w:lineRule="atLeast"/>
    </w:pPr>
    <w:rPr>
      <w:rFonts w:ascii="Gotham Narrow Light" w:eastAsiaTheme="minorHAnsi" w:hAnsi="Gotham Narrow Light" w:cstheme="minorBidi"/>
      <w:color w:val="auto"/>
      <w:lang w:val="en-ZA"/>
    </w:rPr>
  </w:style>
  <w:style w:type="paragraph" w:customStyle="1" w:styleId="Pa3">
    <w:name w:val="Pa3"/>
    <w:basedOn w:val="Default"/>
    <w:next w:val="Default"/>
    <w:uiPriority w:val="99"/>
    <w:rsid w:val="008E44C6"/>
    <w:pPr>
      <w:spacing w:line="361" w:lineRule="atLeast"/>
    </w:pPr>
    <w:rPr>
      <w:rFonts w:ascii="Verdana" w:eastAsiaTheme="minorHAnsi" w:hAnsi="Verdana" w:cstheme="minorBidi"/>
      <w:color w:val="auto"/>
      <w:lang w:val="en-ZA"/>
    </w:rPr>
  </w:style>
  <w:style w:type="character" w:customStyle="1" w:styleId="hlfld-title">
    <w:name w:val="hlfld-title"/>
    <w:basedOn w:val="DefaultParagraphFont"/>
    <w:rsid w:val="008E44C6"/>
  </w:style>
  <w:style w:type="character" w:customStyle="1" w:styleId="hlfld-contribauthor">
    <w:name w:val="hlfld-contribauthor"/>
    <w:basedOn w:val="DefaultParagraphFont"/>
    <w:rsid w:val="008E44C6"/>
  </w:style>
  <w:style w:type="character" w:customStyle="1" w:styleId="nlmxref-aff">
    <w:name w:val="nlm_xref-aff"/>
    <w:basedOn w:val="DefaultParagraphFont"/>
    <w:rsid w:val="008E44C6"/>
  </w:style>
  <w:style w:type="character" w:styleId="HTMLCite">
    <w:name w:val="HTML Cite"/>
    <w:basedOn w:val="DefaultParagraphFont"/>
    <w:uiPriority w:val="99"/>
    <w:semiHidden/>
    <w:unhideWhenUsed/>
    <w:rsid w:val="008E44C6"/>
    <w:rPr>
      <w:i/>
      <w:iCs/>
    </w:rPr>
  </w:style>
  <w:style w:type="character" w:customStyle="1" w:styleId="citationyear">
    <w:name w:val="citation_year"/>
    <w:basedOn w:val="DefaultParagraphFont"/>
    <w:rsid w:val="008E44C6"/>
  </w:style>
  <w:style w:type="character" w:customStyle="1" w:styleId="citationvolume">
    <w:name w:val="citation_volume"/>
    <w:basedOn w:val="DefaultParagraphFont"/>
    <w:rsid w:val="008E44C6"/>
  </w:style>
  <w:style w:type="character" w:customStyle="1" w:styleId="js-separator">
    <w:name w:val="js-separator"/>
    <w:basedOn w:val="DefaultParagraphFont"/>
    <w:rsid w:val="008E44C6"/>
  </w:style>
  <w:style w:type="character" w:styleId="Emphasis">
    <w:name w:val="Emphasis"/>
    <w:basedOn w:val="DefaultParagraphFont"/>
    <w:uiPriority w:val="20"/>
    <w:qFormat/>
    <w:rsid w:val="008E44C6"/>
    <w:rPr>
      <w:i/>
      <w:iCs/>
    </w:rPr>
  </w:style>
  <w:style w:type="character" w:customStyle="1" w:styleId="journaltitle">
    <w:name w:val="journaltitle"/>
    <w:basedOn w:val="DefaultParagraphFont"/>
    <w:rsid w:val="008E44C6"/>
  </w:style>
  <w:style w:type="paragraph" w:customStyle="1" w:styleId="icon--meta-keyline-before">
    <w:name w:val="icon--meta-keyline-before"/>
    <w:basedOn w:val="Normal"/>
    <w:rsid w:val="008E44C6"/>
    <w:pPr>
      <w:spacing w:before="100" w:beforeAutospacing="1" w:after="100" w:afterAutospacing="1"/>
      <w:jc w:val="left"/>
    </w:pPr>
    <w:rPr>
      <w:sz w:val="24"/>
      <w:lang w:val="en-ZA" w:eastAsia="en-ZA"/>
    </w:rPr>
  </w:style>
  <w:style w:type="character" w:customStyle="1" w:styleId="articlecitationyear">
    <w:name w:val="articlecitation_year"/>
    <w:basedOn w:val="DefaultParagraphFont"/>
    <w:rsid w:val="008E44C6"/>
  </w:style>
  <w:style w:type="character" w:customStyle="1" w:styleId="articlecitationvolume">
    <w:name w:val="articlecitation_volume"/>
    <w:basedOn w:val="DefaultParagraphFont"/>
    <w:rsid w:val="008E44C6"/>
  </w:style>
  <w:style w:type="character" w:customStyle="1" w:styleId="articlecitationpages">
    <w:name w:val="articlecitation_pages"/>
    <w:basedOn w:val="DefaultParagraphFont"/>
    <w:rsid w:val="008E44C6"/>
  </w:style>
  <w:style w:type="character" w:customStyle="1" w:styleId="u-inline-block">
    <w:name w:val="u-inline-block"/>
    <w:basedOn w:val="DefaultParagraphFont"/>
    <w:rsid w:val="008E44C6"/>
  </w:style>
  <w:style w:type="character" w:customStyle="1" w:styleId="authorsname">
    <w:name w:val="authors__name"/>
    <w:basedOn w:val="DefaultParagraphFont"/>
    <w:rsid w:val="008E44C6"/>
  </w:style>
  <w:style w:type="character" w:customStyle="1" w:styleId="authorscontact">
    <w:name w:val="authors__contact"/>
    <w:basedOn w:val="DefaultParagraphFont"/>
    <w:rsid w:val="008E44C6"/>
  </w:style>
  <w:style w:type="character" w:customStyle="1" w:styleId="ng-binding">
    <w:name w:val="ng-binding"/>
    <w:basedOn w:val="DefaultParagraphFont"/>
    <w:rsid w:val="008E44C6"/>
  </w:style>
  <w:style w:type="character" w:customStyle="1" w:styleId="breakoutnumber">
    <w:name w:val="breakoutnumber"/>
    <w:basedOn w:val="DefaultParagraphFont"/>
    <w:rsid w:val="008E44C6"/>
  </w:style>
  <w:style w:type="character" w:customStyle="1" w:styleId="highwire-citation-authors">
    <w:name w:val="highwire-citation-authors"/>
    <w:basedOn w:val="DefaultParagraphFont"/>
    <w:rsid w:val="008E44C6"/>
  </w:style>
  <w:style w:type="character" w:customStyle="1" w:styleId="highwire-citation-author">
    <w:name w:val="highwire-citation-author"/>
    <w:basedOn w:val="DefaultParagraphFont"/>
    <w:rsid w:val="008E44C6"/>
  </w:style>
  <w:style w:type="character" w:customStyle="1" w:styleId="highwire-cite-metadata-journal">
    <w:name w:val="highwire-cite-metadata-journal"/>
    <w:basedOn w:val="DefaultParagraphFont"/>
    <w:rsid w:val="008E44C6"/>
  </w:style>
  <w:style w:type="character" w:customStyle="1" w:styleId="highwire-cite-metadata-print-date">
    <w:name w:val="highwire-cite-metadata-print-date"/>
    <w:basedOn w:val="DefaultParagraphFont"/>
    <w:rsid w:val="008E44C6"/>
  </w:style>
  <w:style w:type="character" w:customStyle="1" w:styleId="highwire-cite-metadata-volume">
    <w:name w:val="highwire-cite-metadata-volume"/>
    <w:basedOn w:val="DefaultParagraphFont"/>
    <w:rsid w:val="008E44C6"/>
  </w:style>
  <w:style w:type="character" w:customStyle="1" w:styleId="highwire-cite-metadata-doi">
    <w:name w:val="highwire-cite-metadata-doi"/>
    <w:basedOn w:val="DefaultParagraphFont"/>
    <w:rsid w:val="008E44C6"/>
  </w:style>
  <w:style w:type="character" w:customStyle="1" w:styleId="label">
    <w:name w:val="label"/>
    <w:basedOn w:val="DefaultParagraphFont"/>
    <w:rsid w:val="008E44C6"/>
  </w:style>
  <w:style w:type="character" w:customStyle="1" w:styleId="highwire-cite-metadata-date">
    <w:name w:val="highwire-cite-metadata-date"/>
    <w:basedOn w:val="DefaultParagraphFont"/>
    <w:rsid w:val="008E44C6"/>
  </w:style>
  <w:style w:type="character" w:customStyle="1" w:styleId="nlm-given-names">
    <w:name w:val="nlm-given-names"/>
    <w:basedOn w:val="DefaultParagraphFont"/>
    <w:rsid w:val="008E44C6"/>
  </w:style>
  <w:style w:type="character" w:customStyle="1" w:styleId="nlm-surname">
    <w:name w:val="nlm-surname"/>
    <w:basedOn w:val="DefaultParagraphFont"/>
    <w:rsid w:val="008E44C6"/>
  </w:style>
  <w:style w:type="character" w:customStyle="1" w:styleId="highwire-cite-metadata-issue">
    <w:name w:val="highwire-cite-metadata-issue"/>
    <w:basedOn w:val="DefaultParagraphFont"/>
    <w:rsid w:val="008E44C6"/>
  </w:style>
  <w:style w:type="character" w:customStyle="1" w:styleId="highwire-cite-metadata-pages">
    <w:name w:val="highwire-cite-metadata-pages"/>
    <w:basedOn w:val="DefaultParagraphFont"/>
    <w:rsid w:val="008E4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8815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c/b23c/f96f/93d4a6e1f9d48a55f9e287a4/sbi-02-04-add4-en.pdf" TargetMode="External"/><Relationship Id="rId18" Type="http://schemas.openxmlformats.org/officeDocument/2006/relationships/header" Target="header3.xml"/><Relationship Id="rId26" Type="http://schemas.openxmlformats.org/officeDocument/2006/relationships/hyperlink" Target="https://unstats.un.org/unsd/cr/registry/regcs.asp?Cl=27&amp;Lg=1&amp;Co=16" TargetMode="External"/><Relationship Id="rId39" Type="http://schemas.openxmlformats.org/officeDocument/2006/relationships/hyperlink" Target="https://unstats.un.org/unsd/cr/registry/regcs.asp?Cl=27&amp;Lg=1&amp;Co=29" TargetMode="External"/><Relationship Id="rId21" Type="http://schemas.openxmlformats.org/officeDocument/2006/relationships/hyperlink" Target="https://unstats.un.org/unsd/cr/registry/regcs.asp?Cl=27&amp;Lg=1&amp;Co=11" TargetMode="External"/><Relationship Id="rId34" Type="http://schemas.openxmlformats.org/officeDocument/2006/relationships/hyperlink" Target="https://unstats.un.org/unsd/cr/registry/regcs.asp?Cl=27&amp;Lg=1&amp;Co=24" TargetMode="External"/><Relationship Id="rId42" Type="http://schemas.openxmlformats.org/officeDocument/2006/relationships/hyperlink" Target="https://unstats.un.org/unsd/cr/registry/regcs.asp?Cl=27&amp;Lg=1&amp;Co=32" TargetMode="External"/><Relationship Id="rId47" Type="http://schemas.openxmlformats.org/officeDocument/2006/relationships/image" Target="media/image8.emf"/><Relationship Id="rId50" Type="http://schemas.openxmlformats.org/officeDocument/2006/relationships/hyperlink" Target="http://ec.europa.eu/eurostat/statistics-explained/index.php/Glossary:Non-financial_business_economy" TargetMode="External"/><Relationship Id="rId55" Type="http://schemas.openxmlformats.org/officeDocument/2006/relationships/image" Target="media/image11.emf"/><Relationship Id="rId63" Type="http://schemas.openxmlformats.org/officeDocument/2006/relationships/image" Target="media/image19.emf"/><Relationship Id="rId68" Type="http://schemas.openxmlformats.org/officeDocument/2006/relationships/image" Target="media/image24.png"/><Relationship Id="rId76" Type="http://schemas.openxmlformats.org/officeDocument/2006/relationships/hyperlink" Target="https://www.cbd.int/sp/targets/" TargetMode="External"/><Relationship Id="rId84" Type="http://schemas.openxmlformats.org/officeDocument/2006/relationships/footer" Target="footer3.xml"/><Relationship Id="rId7" Type="http://schemas.openxmlformats.org/officeDocument/2006/relationships/footnotes" Target="footnotes.xml"/><Relationship Id="rId71" Type="http://schemas.openxmlformats.org/officeDocument/2006/relationships/image" Target="media/image26.png"/><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unstats.un.org/unsd/cr/registry/regcs.asp?Cl=27&amp;Lg=1&amp;Co=19" TargetMode="External"/><Relationship Id="rId11" Type="http://schemas.openxmlformats.org/officeDocument/2006/relationships/image" Target="media/image3.emf"/><Relationship Id="rId24" Type="http://schemas.openxmlformats.org/officeDocument/2006/relationships/hyperlink" Target="https://unstats.un.org/unsd/cr/registry/regcs.asp?Cl=27&amp;Lg=1&amp;Co=14" TargetMode="External"/><Relationship Id="rId32" Type="http://schemas.openxmlformats.org/officeDocument/2006/relationships/hyperlink" Target="https://unstats.un.org/unsd/cr/registry/regcs.asp?Cl=27&amp;Lg=1&amp;Co=22" TargetMode="External"/><Relationship Id="rId37" Type="http://schemas.openxmlformats.org/officeDocument/2006/relationships/hyperlink" Target="https://unstats.un.org/unsd/cr/registry/regcs.asp?Cl=27&amp;Lg=1&amp;Co=27" TargetMode="External"/><Relationship Id="rId40" Type="http://schemas.openxmlformats.org/officeDocument/2006/relationships/hyperlink" Target="https://unstats.un.org/unsd/cr/registry/regcs.asp?Cl=27&amp;Lg=1&amp;Co=30" TargetMode="External"/><Relationship Id="rId45" Type="http://schemas.openxmlformats.org/officeDocument/2006/relationships/image" Target="media/image6.emf"/><Relationship Id="rId53" Type="http://schemas.openxmlformats.org/officeDocument/2006/relationships/image" Target="media/image9.png"/><Relationship Id="rId58" Type="http://schemas.openxmlformats.org/officeDocument/2006/relationships/image" Target="media/image14.emf"/><Relationship Id="rId66" Type="http://schemas.openxmlformats.org/officeDocument/2006/relationships/image" Target="media/image22.emf"/><Relationship Id="rId74" Type="http://schemas.openxmlformats.org/officeDocument/2006/relationships/hyperlink" Target="https://www.cbd.int/sp/targets/" TargetMode="External"/><Relationship Id="rId79" Type="http://schemas.openxmlformats.org/officeDocument/2006/relationships/hyperlink" Target="https://unstats.un.org/unsd/cr/registry/regcs.asp?Cl=27&amp;Lg=1&amp;Co=291" TargetMode="External"/><Relationship Id="rId87" Type="http://schemas.openxmlformats.org/officeDocument/2006/relationships/glossaryDocument" Target="glossary/document.xml"/><Relationship Id="rId5" Type="http://schemas.openxmlformats.org/officeDocument/2006/relationships/settings" Target="settings.xml"/><Relationship Id="rId61" Type="http://schemas.openxmlformats.org/officeDocument/2006/relationships/image" Target="media/image17.emf"/><Relationship Id="rId82" Type="http://schemas.openxmlformats.org/officeDocument/2006/relationships/header" Target="header4.xml"/><Relationship Id="rId19" Type="http://schemas.openxmlformats.org/officeDocument/2006/relationships/image" Target="media/image4.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hyperlink" Target="https://unstats.un.org/unsd/cr/registry/regcs.asp?Cl=27&amp;Lg=1&amp;Co=12" TargetMode="External"/><Relationship Id="rId27" Type="http://schemas.openxmlformats.org/officeDocument/2006/relationships/hyperlink" Target="https://unstats.un.org/unsd/cr/registry/regcs.asp?Cl=27&amp;Lg=1&amp;Co=17" TargetMode="External"/><Relationship Id="rId30" Type="http://schemas.openxmlformats.org/officeDocument/2006/relationships/hyperlink" Target="https://unstats.un.org/unsd/cr/registry/regcs.asp?Cl=27&amp;Lg=1&amp;Co=20" TargetMode="External"/><Relationship Id="rId35" Type="http://schemas.openxmlformats.org/officeDocument/2006/relationships/hyperlink" Target="https://unstats.un.org/unsd/cr/registry/regcs.asp?Cl=27&amp;Lg=1&amp;Co=25" TargetMode="External"/><Relationship Id="rId43" Type="http://schemas.openxmlformats.org/officeDocument/2006/relationships/hyperlink" Target="https://unstats.un.org/unsd/cr/registry/regcs.asp?Cl=27&amp;Lg=1&amp;Co=33" TargetMode="External"/><Relationship Id="rId48" Type="http://schemas.openxmlformats.org/officeDocument/2006/relationships/hyperlink" Target="http://ec.europa.eu/eurostat/statistics-explained/index.php/Glossary:Enterprise" TargetMode="External"/><Relationship Id="rId56" Type="http://schemas.openxmlformats.org/officeDocument/2006/relationships/image" Target="media/image12.emf"/><Relationship Id="rId64" Type="http://schemas.openxmlformats.org/officeDocument/2006/relationships/image" Target="media/image20.png"/><Relationship Id="rId69" Type="http://schemas.openxmlformats.org/officeDocument/2006/relationships/image" Target="media/image25.emf"/><Relationship Id="rId77" Type="http://schemas.openxmlformats.org/officeDocument/2006/relationships/image" Target="media/image27.emf"/><Relationship Id="rId8" Type="http://schemas.openxmlformats.org/officeDocument/2006/relationships/endnotes" Target="endnotes.xml"/><Relationship Id="rId51" Type="http://schemas.openxmlformats.org/officeDocument/2006/relationships/hyperlink" Target="http://ec.europa.eu/eurostat/statistics-explained/index.php/Glossary:Persons_employed_-_SBS" TargetMode="External"/><Relationship Id="rId72" Type="http://schemas.openxmlformats.org/officeDocument/2006/relationships/hyperlink" Target="https://www.cbd.int/sp/targets/" TargetMode="External"/><Relationship Id="rId80" Type="http://schemas.openxmlformats.org/officeDocument/2006/relationships/hyperlink" Target="https://unstats.un.org/unsd/cr/registry/regcs.asp?Cl=27&amp;Lg=1&amp;Co=292" TargetMode="External"/><Relationship Id="rId85" Type="http://schemas.openxmlformats.org/officeDocument/2006/relationships/footer" Target="footer4.xml"/><Relationship Id="rId3" Type="http://schemas.openxmlformats.org/officeDocument/2006/relationships/numbering" Target="numbering.xml"/><Relationship Id="rId12" Type="http://schemas.openxmlformats.org/officeDocument/2006/relationships/hyperlink" Target="https://www.cbd.int/doc/decisions/cop-13/cop-13-dec-03-en.pdf" TargetMode="External"/><Relationship Id="rId17" Type="http://schemas.openxmlformats.org/officeDocument/2006/relationships/footer" Target="footer2.xml"/><Relationship Id="rId25" Type="http://schemas.openxmlformats.org/officeDocument/2006/relationships/hyperlink" Target="https://unstats.un.org/unsd/cr/registry/regcs.asp?Cl=27&amp;Lg=1&amp;Co=15" TargetMode="External"/><Relationship Id="rId33" Type="http://schemas.openxmlformats.org/officeDocument/2006/relationships/hyperlink" Target="https://unstats.un.org/unsd/cr/registry/regcs.asp?Cl=27&amp;Lg=1&amp;Co=23" TargetMode="External"/><Relationship Id="rId38" Type="http://schemas.openxmlformats.org/officeDocument/2006/relationships/hyperlink" Target="https://unstats.un.org/unsd/cr/registry/regcs.asp?Cl=27&amp;Lg=1&amp;Co=28" TargetMode="External"/><Relationship Id="rId46" Type="http://schemas.openxmlformats.org/officeDocument/2006/relationships/image" Target="media/image7.emf"/><Relationship Id="rId59" Type="http://schemas.openxmlformats.org/officeDocument/2006/relationships/image" Target="media/image15.png"/><Relationship Id="rId67" Type="http://schemas.openxmlformats.org/officeDocument/2006/relationships/image" Target="media/image23.emf"/><Relationship Id="rId20" Type="http://schemas.openxmlformats.org/officeDocument/2006/relationships/hyperlink" Target="https://unstats.un.org/unsd/cr/registry/regcs.asp?Cl=27&amp;Lg=1&amp;Co=10" TargetMode="External"/><Relationship Id="rId41" Type="http://schemas.openxmlformats.org/officeDocument/2006/relationships/hyperlink" Target="https://unstats.un.org/unsd/cr/registry/regcs.asp?Cl=27&amp;Lg=1&amp;Co=31" TargetMode="External"/><Relationship Id="rId54" Type="http://schemas.openxmlformats.org/officeDocument/2006/relationships/image" Target="media/image10.png"/><Relationship Id="rId62" Type="http://schemas.openxmlformats.org/officeDocument/2006/relationships/image" Target="media/image18.emf"/><Relationship Id="rId70" Type="http://schemas.openxmlformats.org/officeDocument/2006/relationships/hyperlink" Target="http://cop13.mx/en/convention-on-biological-diversity/" TargetMode="External"/><Relationship Id="rId75" Type="http://schemas.openxmlformats.org/officeDocument/2006/relationships/hyperlink" Target="https://www.cbd.int/sp/targets/" TargetMode="External"/><Relationship Id="rId83" Type="http://schemas.openxmlformats.org/officeDocument/2006/relationships/header" Target="header5.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unstats.un.org/unsd/cr/registry/regcs.asp?Cl=27&amp;Lg=1&amp;Co=13" TargetMode="External"/><Relationship Id="rId28" Type="http://schemas.openxmlformats.org/officeDocument/2006/relationships/hyperlink" Target="https://unstats.un.org/unsd/cr/registry/regcs.asp?Cl=27&amp;Lg=1&amp;Co=18" TargetMode="External"/><Relationship Id="rId36" Type="http://schemas.openxmlformats.org/officeDocument/2006/relationships/hyperlink" Target="https://unstats.un.org/unsd/cr/registry/regcs.asp?Cl=27&amp;Lg=1&amp;Co=26" TargetMode="External"/><Relationship Id="rId49" Type="http://schemas.openxmlformats.org/officeDocument/2006/relationships/hyperlink" Target="http://ec.europa.eu/eurostat/statistics-explained/index.php/Glossary:EU-28" TargetMode="External"/><Relationship Id="rId57" Type="http://schemas.openxmlformats.org/officeDocument/2006/relationships/image" Target="media/image13.emf"/><Relationship Id="rId10" Type="http://schemas.openxmlformats.org/officeDocument/2006/relationships/image" Target="media/image2.emf"/><Relationship Id="rId31" Type="http://schemas.openxmlformats.org/officeDocument/2006/relationships/hyperlink" Target="https://unstats.un.org/unsd/cr/registry/regcs.asp?Cl=27&amp;Lg=1&amp;Co=21" TargetMode="External"/><Relationship Id="rId44" Type="http://schemas.openxmlformats.org/officeDocument/2006/relationships/image" Target="media/image5.emf"/><Relationship Id="rId52" Type="http://schemas.openxmlformats.org/officeDocument/2006/relationships/hyperlink" Target="http://ec.europa.eu/eurostat/statistics-explained/index.php/Glossary:Value_added" TargetMode="External"/><Relationship Id="rId60" Type="http://schemas.openxmlformats.org/officeDocument/2006/relationships/image" Target="media/image16.emf"/><Relationship Id="rId65" Type="http://schemas.openxmlformats.org/officeDocument/2006/relationships/image" Target="media/image21.emf"/><Relationship Id="rId73" Type="http://schemas.openxmlformats.org/officeDocument/2006/relationships/hyperlink" Target="https://www.cbd.int/sp/targets/" TargetMode="External"/><Relationship Id="rId78" Type="http://schemas.openxmlformats.org/officeDocument/2006/relationships/image" Target="media/image28.emf"/><Relationship Id="rId81" Type="http://schemas.openxmlformats.org/officeDocument/2006/relationships/hyperlink" Target="https://unstats.un.org/unsd/cr/registry/regcs.asp?Cl=27&amp;Lg=1&amp;Co=293" TargetMode="External"/><Relationship Id="rId86"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stats.oecd.org/glossary/detail.asp?ID=52" TargetMode="External"/><Relationship Id="rId18" Type="http://schemas.openxmlformats.org/officeDocument/2006/relationships/hyperlink" Target="http://www.naturalcapitalcoalition.org/protocol" TargetMode="External"/><Relationship Id="rId26" Type="http://schemas.openxmlformats.org/officeDocument/2006/relationships/hyperlink" Target="https://link.springer.com/journal/10818" TargetMode="External"/><Relationship Id="rId39" Type="http://schemas.openxmlformats.org/officeDocument/2006/relationships/hyperlink" Target="http://www.ghgprotocol.org/" TargetMode="External"/><Relationship Id="rId21" Type="http://schemas.openxmlformats.org/officeDocument/2006/relationships/hyperlink" Target="http://ec.europa.eu/eurostat/statistics-explained/index.php/File:Water_use_in_the_manufacturing_industry_by_activity,_2011_(m%C2%B3_per_inhabitant).png" TargetMode="External"/><Relationship Id="rId34" Type="http://schemas.openxmlformats.org/officeDocument/2006/relationships/hyperlink" Target="http://conferences.iaia.org/2015/Final-Papers/Huges,%20Jessica%20-%20Using%20Biodiversity%20Plans%20to%20Guide%20Mitigation%20and%20Offsets%20for%20a%20Zinc%20Mine%20in%20Northern%20Cape,%20South%20Africa.pdf" TargetMode="External"/><Relationship Id="rId42" Type="http://schemas.openxmlformats.org/officeDocument/2006/relationships/hyperlink" Target="http://www.business-biodiversity.eu/en/company-premises" TargetMode="External"/><Relationship Id="rId47" Type="http://schemas.openxmlformats.org/officeDocument/2006/relationships/hyperlink" Target="http://bbop.forest-trends.org/pages/pilot_projects" TargetMode="External"/><Relationship Id="rId50" Type="http://schemas.openxmlformats.org/officeDocument/2006/relationships/hyperlink" Target="https://aluminium-stewardship.org/about-asi/" TargetMode="External"/><Relationship Id="rId55" Type="http://schemas.openxmlformats.org/officeDocument/2006/relationships/hyperlink" Target="https://www.ipbes.net/" TargetMode="External"/><Relationship Id="rId7" Type="http://schemas.openxmlformats.org/officeDocument/2006/relationships/hyperlink" Target="http://wdi.worldbank.org/table/4.2" TargetMode="External"/><Relationship Id="rId12" Type="http://schemas.openxmlformats.org/officeDocument/2006/relationships/hyperlink" Target="https://home.kpmg.com/xx/en/home/campaigns/2016/05/kpmg-internationals-2016-global-manufacturing-outlook-competing-for-growth.html" TargetMode="External"/><Relationship Id="rId17" Type="http://schemas.openxmlformats.org/officeDocument/2006/relationships/hyperlink" Target="http://www.naturalcapitalcoalition.org/protocol" TargetMode="External"/><Relationship Id="rId25" Type="http://schemas.openxmlformats.org/officeDocument/2006/relationships/hyperlink" Target="https://www.ifc.org/wps/wcm/connect/159dce004ea3bd0fb359f71dc0e8434d/WBG+Framework+and+IFC+Strategy_FINAL_FOR+WEB.pdf?MOD=AJPERES" TargetMode="External"/><Relationship Id="rId33" Type="http://schemas.openxmlformats.org/officeDocument/2006/relationships/hyperlink" Target="https://www.cbd.int/sp/elements/" TargetMode="External"/><Relationship Id="rId38" Type="http://schemas.openxmlformats.org/officeDocument/2006/relationships/hyperlink" Target="https://helda.helsinki.fi/bitstream/handle/10138/154155/reportin.pdf;sequence=1" TargetMode="External"/><Relationship Id="rId46" Type="http://schemas.openxmlformats.org/officeDocument/2006/relationships/hyperlink" Target="http://www.csbi.org.uk/" TargetMode="External"/><Relationship Id="rId59" Type="http://schemas.openxmlformats.org/officeDocument/2006/relationships/hyperlink" Target="https://unstats.un.org/unsd/cr/registry/regcst.asp?Cl=27" TargetMode="External"/><Relationship Id="rId2" Type="http://schemas.openxmlformats.org/officeDocument/2006/relationships/hyperlink" Target="https://www.statista.com/statistics/236397/value-of-the-leading-global-textile-exporters-by-country/" TargetMode="External"/><Relationship Id="rId16" Type="http://schemas.openxmlformats.org/officeDocument/2006/relationships/hyperlink" Target="https://www.cbd.int/convention/articles/default.shtml?a=cbd-02" TargetMode="External"/><Relationship Id="rId20" Type="http://schemas.openxmlformats.org/officeDocument/2006/relationships/hyperlink" Target="https://www.cbd.int/abs/resources/factsheets.shtml" TargetMode="External"/><Relationship Id="rId29" Type="http://schemas.openxmlformats.org/officeDocument/2006/relationships/hyperlink" Target="http://www.naturalcapitalcoalition.org/protocol" TargetMode="External"/><Relationship Id="rId41" Type="http://schemas.openxmlformats.org/officeDocument/2006/relationships/hyperlink" Target="https://www.ewt.org.za/BUSINESSDEVELOPMENT/business.html" TargetMode="External"/><Relationship Id="rId54" Type="http://schemas.openxmlformats.org/officeDocument/2006/relationships/hyperlink" Target="http://dx.doi.org/10.1016/j.eiar.2014.08.010" TargetMode="External"/><Relationship Id="rId1" Type="http://schemas.openxmlformats.org/officeDocument/2006/relationships/hyperlink" Target="https://unstats.un.org/unsd/cr/registry/regcst.asp?Cl=27" TargetMode="External"/><Relationship Id="rId6" Type="http://schemas.openxmlformats.org/officeDocument/2006/relationships/hyperlink" Target="http://www.ilo.org/global/research/global-reports/global-employment-trends/2014/WCMS_234879/lang--en/index.htm" TargetMode="External"/><Relationship Id="rId11" Type="http://schemas.openxmlformats.org/officeDocument/2006/relationships/hyperlink" Target="http://unctad.org/en/pages/PublicationWebflyer.aspx?publicationid=1610" TargetMode="External"/><Relationship Id="rId24" Type="http://schemas.openxmlformats.org/officeDocument/2006/relationships/hyperlink" Target="http://ec.europa.eu/eurostat/statistics-explained/index.php/File:Water_use_in_the_manufacturing_industry_by_activity,_2011_(m%C2%B3_per_inhabitant).png" TargetMode="External"/><Relationship Id="rId32" Type="http://schemas.openxmlformats.org/officeDocument/2006/relationships/hyperlink" Target="https://www.cbd.int/business/gp/structure.shtml" TargetMode="External"/><Relationship Id="rId37" Type="http://schemas.openxmlformats.org/officeDocument/2006/relationships/hyperlink" Target="https://www.cbd.int/doc/world/za/za-nr-03-en.pdf" TargetMode="External"/><Relationship Id="rId40" Type="http://schemas.openxmlformats.org/officeDocument/2006/relationships/hyperlink" Target="https://naturalcapitalcoalition.org/projects/biodiversity/" TargetMode="External"/><Relationship Id="rId45" Type="http://schemas.openxmlformats.org/officeDocument/2006/relationships/hyperlink" Target="http://www.equator-principles.com/" TargetMode="External"/><Relationship Id="rId53" Type="http://schemas.openxmlformats.org/officeDocument/2006/relationships/hyperlink" Target="http://www.ifc.org/wps/wcm/connect/Topics_Ext_Content/IFC_External_Corporate_Site/Sustainability-At-IFC/Policies-Standards/Performance-Standards" TargetMode="External"/><Relationship Id="rId58" Type="http://schemas.openxmlformats.org/officeDocument/2006/relationships/hyperlink" Target="https://www.cites.org/" TargetMode="External"/><Relationship Id="rId5" Type="http://schemas.openxmlformats.org/officeDocument/2006/relationships/hyperlink" Target="http://wdi.worldbank.org/table/4.2" TargetMode="External"/><Relationship Id="rId15" Type="http://schemas.openxmlformats.org/officeDocument/2006/relationships/hyperlink" Target="http://www.naturalcapitalcoalition.org/protocol" TargetMode="External"/><Relationship Id="rId23" Type="http://schemas.openxmlformats.org/officeDocument/2006/relationships/hyperlink" Target="http://www.naturalcapitalcoalition.org/protocol" TargetMode="External"/><Relationship Id="rId28" Type="http://schemas.openxmlformats.org/officeDocument/2006/relationships/hyperlink" Target="https://www.conservation.org/NewsRoom/pressreleases/Pages/The-Worlds-10-Most-Threatened-Forest-Hotspots.aspx" TargetMode="External"/><Relationship Id="rId36" Type="http://schemas.openxmlformats.org/officeDocument/2006/relationships/hyperlink" Target="https://www.cbd.int/doc/world/pt/pt-nr-03-en.pdf" TargetMode="External"/><Relationship Id="rId49" Type="http://schemas.openxmlformats.org/officeDocument/2006/relationships/hyperlink" Target="https://www.ncbi.nlm.nih.gov/pubmed/25143302" TargetMode="External"/><Relationship Id="rId57" Type="http://schemas.openxmlformats.org/officeDocument/2006/relationships/hyperlink" Target="http://whc.unesco.org/en/convention/" TargetMode="External"/><Relationship Id="rId10" Type="http://schemas.openxmlformats.org/officeDocument/2006/relationships/hyperlink" Target="https://www.pwc.com/gx/en/issues/the-economy/assets/world-in-2050-february-2015.pdf" TargetMode="External"/><Relationship Id="rId19" Type="http://schemas.openxmlformats.org/officeDocument/2006/relationships/hyperlink" Target="http://www.naturalcapitalcoalition.org/protocol" TargetMode="External"/><Relationship Id="rId31" Type="http://schemas.openxmlformats.org/officeDocument/2006/relationships/hyperlink" Target="https://www.cbd.int/business/pledges/pledge.pdf" TargetMode="External"/><Relationship Id="rId44" Type="http://schemas.openxmlformats.org/officeDocument/2006/relationships/hyperlink" Target="http://www.icmm.com/en-gb" TargetMode="External"/><Relationship Id="rId52" Type="http://schemas.openxmlformats.org/officeDocument/2006/relationships/hyperlink" Target="https://www.ewt.org.za/BUSINESSDEVELOPMENT/business.html" TargetMode="External"/><Relationship Id="rId4" Type="http://schemas.openxmlformats.org/officeDocument/2006/relationships/hyperlink" Target="https://www.statista.com/statistics/226032/light-vehicle-producing-countries/" TargetMode="External"/><Relationship Id="rId9" Type="http://schemas.openxmlformats.org/officeDocument/2006/relationships/hyperlink" Target="http://ec.europa.eu/eurostat/statistics-explained/index.php/Manufacturing_statistics_-_NACE_Rev._2" TargetMode="External"/><Relationship Id="rId14" Type="http://schemas.openxmlformats.org/officeDocument/2006/relationships/hyperlink" Target="http://www.naturalcapitalcoalition.org/protocol" TargetMode="External"/><Relationship Id="rId22" Type="http://schemas.openxmlformats.org/officeDocument/2006/relationships/hyperlink" Target="http://www.naturalcapitalcoalition.org/protocol" TargetMode="External"/><Relationship Id="rId27" Type="http://schemas.openxmlformats.org/officeDocument/2006/relationships/hyperlink" Target="https://link.springer.com/journal/11160" TargetMode="External"/><Relationship Id="rId30" Type="http://schemas.openxmlformats.org/officeDocument/2006/relationships/hyperlink" Target="http://www.naturalcapitalcoalition.org/protocol" TargetMode="External"/><Relationship Id="rId35" Type="http://schemas.openxmlformats.org/officeDocument/2006/relationships/hyperlink" Target="https://www.cbd.int/doc/world/au/au-nr-03-en.pdf" TargetMode="External"/><Relationship Id="rId43" Type="http://schemas.openxmlformats.org/officeDocument/2006/relationships/hyperlink" Target="http://www.ipieca.org/" TargetMode="External"/><Relationship Id="rId48" Type="http://schemas.openxmlformats.org/officeDocument/2006/relationships/hyperlink" Target="https://link.springer.com/journal/11367" TargetMode="External"/><Relationship Id="rId56" Type="http://schemas.openxmlformats.org/officeDocument/2006/relationships/hyperlink" Target="http://naturalcapitalcoalition.org/" TargetMode="External"/><Relationship Id="rId8" Type="http://schemas.openxmlformats.org/officeDocument/2006/relationships/hyperlink" Target="https://www.mckinsey.com/business-functions/operations/our-insights/the-future-of-manufacturing" TargetMode="External"/><Relationship Id="rId51" Type="http://schemas.openxmlformats.org/officeDocument/2006/relationships/hyperlink" Target="https://www.cdp.net/en" TargetMode="External"/><Relationship Id="rId3" Type="http://schemas.openxmlformats.org/officeDocument/2006/relationships/hyperlink" Target="https://cen.acs.org/sections/global-top-50.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59621F1191504419BF3EB8B7E14D776B"/>
        <w:category>
          <w:name w:val="General"/>
          <w:gallery w:val="placeholder"/>
        </w:category>
        <w:types>
          <w:type w:val="bbPlcHdr"/>
        </w:types>
        <w:behaviors>
          <w:behavior w:val="content"/>
        </w:behaviors>
        <w:guid w:val="{E62FE71A-DDAD-4A5B-8CB3-CE41621F3E76}"/>
      </w:docPartPr>
      <w:docPartBody>
        <w:p w:rsidR="00D00FE9" w:rsidRDefault="00007432" w:rsidP="00007432">
          <w:pPr>
            <w:pStyle w:val="59621F1191504419BF3EB8B7E14D776B"/>
          </w:pPr>
          <w:r w:rsidRPr="006D0F48">
            <w:rPr>
              <w:rStyle w:val="PlaceholderText"/>
            </w:rPr>
            <w:t>[Subject]</w:t>
          </w:r>
        </w:p>
      </w:docPartBody>
    </w:docPart>
    <w:docPart>
      <w:docPartPr>
        <w:name w:val="57593E5AD57745308D3CFC6812AEB452"/>
        <w:category>
          <w:name w:val="General"/>
          <w:gallery w:val="placeholder"/>
        </w:category>
        <w:types>
          <w:type w:val="bbPlcHdr"/>
        </w:types>
        <w:behaviors>
          <w:behavior w:val="content"/>
        </w:behaviors>
        <w:guid w:val="{C5FB32C3-20B2-49D6-B79F-AB2E963D5624}"/>
      </w:docPartPr>
      <w:docPartBody>
        <w:p w:rsidR="00D00FE9" w:rsidRDefault="00007432" w:rsidP="00007432">
          <w:pPr>
            <w:pStyle w:val="57593E5AD57745308D3CFC6812AEB452"/>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Lucida Sans Unicode">
    <w:panose1 w:val="020B0602030504020204"/>
    <w:charset w:val="00"/>
    <w:family w:val="swiss"/>
    <w:pitch w:val="variable"/>
    <w:sig w:usb0="80000AFF" w:usb1="0000396B" w:usb2="00000000" w:usb3="00000000" w:csb0="000000B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 w:name="Gotham Narrow Light">
    <w:altName w:val="Tahoma"/>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7432"/>
    <w:rsid w:val="000E3BD1"/>
    <w:rsid w:val="002F6287"/>
    <w:rsid w:val="00500A2B"/>
    <w:rsid w:val="0058288D"/>
    <w:rsid w:val="006801B3"/>
    <w:rsid w:val="007C158F"/>
    <w:rsid w:val="00810A55"/>
    <w:rsid w:val="008C6619"/>
    <w:rsid w:val="008D420E"/>
    <w:rsid w:val="0098146B"/>
    <w:rsid w:val="0098642F"/>
    <w:rsid w:val="00D00FE9"/>
    <w:rsid w:val="00E46E7F"/>
    <w:rsid w:val="00EB7EB2"/>
    <w:rsid w:val="00F120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07432"/>
    <w:rPr>
      <w:color w:val="808080"/>
    </w:rPr>
  </w:style>
  <w:style w:type="paragraph" w:customStyle="1" w:styleId="59621F1191504419BF3EB8B7E14D776B">
    <w:name w:val="59621F1191504419BF3EB8B7E14D776B"/>
    <w:rsid w:val="00007432"/>
    <w:rPr>
      <w:lang w:val="en-GB" w:eastAsia="zh-CN"/>
    </w:rPr>
  </w:style>
  <w:style w:type="paragraph" w:customStyle="1" w:styleId="57593E5AD57745308D3CFC6812AEB452">
    <w:name w:val="57593E5AD57745308D3CFC6812AEB452"/>
    <w:rsid w:val="00007432"/>
    <w:rPr>
      <w:lang w:val="en-GB"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2018-06-30T00:00:00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4C8816-1B81-486D-998B-E0C369EA0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68</Pages>
  <Words>18714</Words>
  <Characters>106676</Characters>
  <Application>Microsoft Office Word</Application>
  <DocSecurity>0</DocSecurity>
  <Lines>888</Lines>
  <Paragraphs>250</Paragraphs>
  <ScaleCrop>false</ScaleCrop>
  <HeadingPairs>
    <vt:vector size="2" baseType="variant">
      <vt:variant>
        <vt:lpstr>Title</vt:lpstr>
      </vt:variant>
      <vt:variant>
        <vt:i4>1</vt:i4>
      </vt:variant>
    </vt:vector>
  </HeadingPairs>
  <TitlesOfParts>
    <vt:vector size="1" baseType="lpstr">
      <vt:lpstr>Mainstreaming biodiversity in the manufacturing and processing sector – analytical note</vt:lpstr>
    </vt:vector>
  </TitlesOfParts>
  <Company>SCBD</Company>
  <LinksUpToDate>false</LinksUpToDate>
  <CharactersWithSpaces>125140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biodiversity in the manufacturing and processing sector – analytical note</dc:title>
  <dc:subject>CBD/SBI/2/INF/31</dc:subject>
  <dc:creator>SCBD</dc:creator>
  <cp:lastModifiedBy>Veronique Lefebvre</cp:lastModifiedBy>
  <cp:revision>4</cp:revision>
  <dcterms:created xsi:type="dcterms:W3CDTF">2019-03-17T15:28:00Z</dcterms:created>
  <dcterms:modified xsi:type="dcterms:W3CDTF">2019-03-17T15:29:00Z</dcterms:modified>
  <cp:contentStatus>GENERAL</cp:contentStatus>
</cp:coreProperties>
</file>