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2FD00814" w14:textId="77777777" w:rsidTr="00CF1848">
        <w:trPr>
          <w:trHeight w:val="709"/>
        </w:trPr>
        <w:tc>
          <w:tcPr>
            <w:tcW w:w="976" w:type="dxa"/>
            <w:tcBorders>
              <w:bottom w:val="single" w:sz="12" w:space="0" w:color="auto"/>
            </w:tcBorders>
          </w:tcPr>
          <w:p w14:paraId="2FD00811" w14:textId="77777777" w:rsidR="00C9161D" w:rsidRDefault="00C9161D">
            <w:r>
              <w:rPr>
                <w:noProof/>
                <w:lang w:val="en-US"/>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Default="00C9161D">
            <w:r>
              <w:rPr>
                <w:noProof/>
                <w:lang w:val="en-US"/>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rsidRPr="002427D3" w14:paraId="2FD0081E" w14:textId="77777777" w:rsidTr="00CF1848">
        <w:tc>
          <w:tcPr>
            <w:tcW w:w="6117" w:type="dxa"/>
            <w:gridSpan w:val="2"/>
            <w:tcBorders>
              <w:top w:val="single" w:sz="12" w:space="0" w:color="auto"/>
              <w:bottom w:val="single" w:sz="36" w:space="0" w:color="auto"/>
            </w:tcBorders>
            <w:vAlign w:val="center"/>
          </w:tcPr>
          <w:p w14:paraId="2FD00815" w14:textId="0FF16F01" w:rsidR="00C9161D" w:rsidRDefault="00220A33" w:rsidP="00C9161D">
            <w:r w:rsidRPr="008D1AD1">
              <w:rPr>
                <w:noProof/>
                <w:snapToGrid w:val="0"/>
                <w:szCs w:val="22"/>
                <w:lang w:val="es-419"/>
              </w:rPr>
              <w:drawing>
                <wp:inline distT="0" distB="0" distL="0" distR="0" wp14:anchorId="3C3C3B4D" wp14:editId="6DBBCCD1">
                  <wp:extent cx="2910205" cy="1081405"/>
                  <wp:effectExtent l="0" t="0" r="4445"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0205" cy="108140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2427D3" w:rsidRDefault="00C9161D" w:rsidP="00176CEE">
            <w:pPr>
              <w:ind w:left="1215"/>
              <w:rPr>
                <w:szCs w:val="22"/>
                <w:lang w:val="es-ES"/>
              </w:rPr>
            </w:pPr>
            <w:r w:rsidRPr="002427D3">
              <w:rPr>
                <w:szCs w:val="22"/>
                <w:lang w:val="es-ES"/>
              </w:rPr>
              <w:t>Distr.</w:t>
            </w:r>
          </w:p>
          <w:p w14:paraId="2FD00817" w14:textId="63129775" w:rsidR="00C9161D" w:rsidRPr="002427D3" w:rsidRDefault="002427D3" w:rsidP="00176CEE">
            <w:pPr>
              <w:ind w:left="1215"/>
              <w:rPr>
                <w:szCs w:val="22"/>
                <w:lang w:val="es-ES"/>
              </w:rPr>
            </w:pPr>
            <w:sdt>
              <w:sdtPr>
                <w:rPr>
                  <w:caps/>
                  <w:szCs w:val="22"/>
                  <w:lang w:val="es-ES"/>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sidRPr="002427D3">
                  <w:rPr>
                    <w:caps/>
                    <w:szCs w:val="22"/>
                    <w:lang w:val="es-ES"/>
                  </w:rPr>
                  <w:t>LIMIT</w:t>
                </w:r>
                <w:r w:rsidR="00220A33" w:rsidRPr="002427D3">
                  <w:rPr>
                    <w:caps/>
                    <w:szCs w:val="22"/>
                    <w:lang w:val="es-ES"/>
                  </w:rPr>
                  <w:t>A</w:t>
                </w:r>
                <w:r w:rsidR="00F6586C" w:rsidRPr="002427D3">
                  <w:rPr>
                    <w:caps/>
                    <w:szCs w:val="22"/>
                    <w:lang w:val="es-ES"/>
                  </w:rPr>
                  <w:t>D</w:t>
                </w:r>
                <w:r w:rsidR="00220A33" w:rsidRPr="002427D3">
                  <w:rPr>
                    <w:caps/>
                    <w:szCs w:val="22"/>
                    <w:lang w:val="es-ES"/>
                  </w:rPr>
                  <w:t>A</w:t>
                </w:r>
              </w:sdtContent>
            </w:sdt>
          </w:p>
          <w:p w14:paraId="2FD00818" w14:textId="77777777" w:rsidR="00C9161D" w:rsidRPr="002427D3" w:rsidRDefault="00C9161D" w:rsidP="00176CEE">
            <w:pPr>
              <w:ind w:left="1215"/>
              <w:rPr>
                <w:szCs w:val="22"/>
                <w:lang w:val="es-ES"/>
              </w:rPr>
            </w:pPr>
          </w:p>
          <w:p w14:paraId="2FD00819" w14:textId="2A62C552" w:rsidR="00C9161D" w:rsidRPr="002427D3" w:rsidRDefault="002427D3" w:rsidP="00176CEE">
            <w:pPr>
              <w:ind w:left="1215"/>
              <w:rPr>
                <w:szCs w:val="22"/>
                <w:lang w:val="es-ES"/>
              </w:rPr>
            </w:pPr>
            <w:sdt>
              <w:sdtPr>
                <w:rPr>
                  <w:lang w:val="es-E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AE4715" w:rsidRPr="002427D3">
                  <w:rPr>
                    <w:lang w:val="es-ES"/>
                  </w:rPr>
                  <w:t>CBD/CP-MOP/9/L.6</w:t>
                </w:r>
              </w:sdtContent>
            </w:sdt>
          </w:p>
          <w:p w14:paraId="2FD0081A" w14:textId="4CB93DEB" w:rsidR="00C9161D" w:rsidRPr="00220A33" w:rsidRDefault="00D95FDD" w:rsidP="00176CEE">
            <w:pPr>
              <w:ind w:left="1215"/>
              <w:rPr>
                <w:szCs w:val="22"/>
                <w:lang w:val="es-AR"/>
              </w:rPr>
            </w:pPr>
            <w:r w:rsidRPr="00220A33">
              <w:rPr>
                <w:szCs w:val="22"/>
                <w:lang w:val="es-AR"/>
              </w:rPr>
              <w:t>22</w:t>
            </w:r>
            <w:r w:rsidR="00F6586C" w:rsidRPr="00220A33">
              <w:rPr>
                <w:szCs w:val="22"/>
                <w:lang w:val="es-AR"/>
              </w:rPr>
              <w:t xml:space="preserve"> </w:t>
            </w:r>
            <w:r w:rsidR="00220A33" w:rsidRPr="00220A33">
              <w:rPr>
                <w:szCs w:val="22"/>
                <w:lang w:val="es-AR"/>
              </w:rPr>
              <w:t>de noviembre de</w:t>
            </w:r>
            <w:r w:rsidR="00F6586C" w:rsidRPr="00220A33">
              <w:rPr>
                <w:szCs w:val="22"/>
                <w:lang w:val="es-AR"/>
              </w:rPr>
              <w:t xml:space="preserve"> 2018</w:t>
            </w:r>
          </w:p>
          <w:p w14:paraId="2FD0081B" w14:textId="77777777" w:rsidR="00C9161D" w:rsidRPr="00220A33" w:rsidRDefault="00C9161D" w:rsidP="00176CEE">
            <w:pPr>
              <w:ind w:left="1215"/>
              <w:rPr>
                <w:szCs w:val="22"/>
                <w:lang w:val="es-AR"/>
              </w:rPr>
            </w:pPr>
          </w:p>
          <w:p w14:paraId="2953E746" w14:textId="1E93FDCD" w:rsidR="00220A33" w:rsidRDefault="00220A33" w:rsidP="00176CEE">
            <w:pPr>
              <w:ind w:left="1215"/>
              <w:rPr>
                <w:szCs w:val="22"/>
                <w:lang w:val="es-AR"/>
              </w:rPr>
            </w:pPr>
            <w:r>
              <w:rPr>
                <w:szCs w:val="22"/>
                <w:lang w:val="es-AR"/>
              </w:rPr>
              <w:t>ESPAÑOL</w:t>
            </w:r>
          </w:p>
          <w:p w14:paraId="2FD0081C" w14:textId="1844FABD" w:rsidR="00C9161D" w:rsidRPr="00220A33" w:rsidRDefault="006B2290" w:rsidP="00176CEE">
            <w:pPr>
              <w:ind w:left="1215"/>
              <w:rPr>
                <w:szCs w:val="22"/>
                <w:lang w:val="es-AR"/>
              </w:rPr>
            </w:pPr>
            <w:r w:rsidRPr="00220A33">
              <w:rPr>
                <w:szCs w:val="22"/>
                <w:lang w:val="es-AR"/>
              </w:rPr>
              <w:t xml:space="preserve">ORIGINAL: </w:t>
            </w:r>
            <w:r w:rsidR="00220A33">
              <w:rPr>
                <w:szCs w:val="22"/>
                <w:lang w:val="es-AR"/>
              </w:rPr>
              <w:t>INGLÉS</w:t>
            </w:r>
          </w:p>
          <w:p w14:paraId="2FD0081D" w14:textId="77777777" w:rsidR="00C9161D" w:rsidRPr="00220A33" w:rsidRDefault="00C9161D">
            <w:pPr>
              <w:rPr>
                <w:lang w:val="es-AR"/>
              </w:rPr>
            </w:pPr>
          </w:p>
        </w:tc>
      </w:tr>
    </w:tbl>
    <w:p w14:paraId="6651DEAF" w14:textId="77777777" w:rsidR="00325197" w:rsidRDefault="00325197" w:rsidP="00325197">
      <w:pPr>
        <w:pStyle w:val="Cornernotation"/>
        <w:suppressLineNumbers/>
        <w:suppressAutoHyphens/>
        <w:kinsoku w:val="0"/>
        <w:overflowPunct w:val="0"/>
        <w:autoSpaceDE w:val="0"/>
        <w:autoSpaceDN w:val="0"/>
        <w:spacing w:before="120"/>
        <w:ind w:left="187" w:right="4423" w:hanging="187"/>
        <w:rPr>
          <w:snapToGrid w:val="0"/>
          <w:kern w:val="22"/>
          <w:szCs w:val="22"/>
          <w:lang w:val="es-419"/>
        </w:rPr>
      </w:pPr>
      <w:r>
        <w:rPr>
          <w:snapToGrid w:val="0"/>
          <w:szCs w:val="22"/>
          <w:lang w:val="es-419"/>
        </w:rPr>
        <w:t xml:space="preserve">CONFERENCIA DE LAS PARTES EN EL CONVENIO SOBRE LA DIVERSIDAD BIOLÓGICA </w:t>
      </w:r>
      <w:r w:rsidRPr="0033715C">
        <w:rPr>
          <w:snapToGrid w:val="0"/>
          <w:szCs w:val="22"/>
          <w:lang w:val="es-419"/>
        </w:rPr>
        <w:t>QUE ACTÚA COMO REUNIÓN DE LAS PARTES EN EL PROTOCOLO DE CARTAGENA SOBRE SEGURIDAD DE LA BIOTECNOLOGÍ</w:t>
      </w:r>
      <w:r>
        <w:rPr>
          <w:snapToGrid w:val="0"/>
          <w:szCs w:val="22"/>
          <w:lang w:val="es-419"/>
        </w:rPr>
        <w:t>A</w:t>
      </w:r>
    </w:p>
    <w:p w14:paraId="6DD8D1C3" w14:textId="77777777" w:rsidR="00325197" w:rsidRDefault="00325197" w:rsidP="00325197">
      <w:pPr>
        <w:pStyle w:val="Cornernotation"/>
        <w:suppressLineNumbers/>
        <w:suppressAutoHyphens/>
        <w:kinsoku w:val="0"/>
        <w:overflowPunct w:val="0"/>
        <w:autoSpaceDE w:val="0"/>
        <w:autoSpaceDN w:val="0"/>
        <w:ind w:left="187" w:right="4421" w:hanging="187"/>
        <w:rPr>
          <w:snapToGrid w:val="0"/>
          <w:kern w:val="22"/>
          <w:szCs w:val="22"/>
          <w:lang w:val="es-419"/>
        </w:rPr>
      </w:pPr>
      <w:r>
        <w:rPr>
          <w:snapToGrid w:val="0"/>
          <w:szCs w:val="22"/>
          <w:lang w:val="es-419"/>
        </w:rPr>
        <w:t>Novena reunión</w:t>
      </w:r>
    </w:p>
    <w:p w14:paraId="31F41F26" w14:textId="77777777" w:rsidR="00325197" w:rsidRPr="002427D3" w:rsidRDefault="00325197" w:rsidP="00325197">
      <w:pPr>
        <w:pStyle w:val="Cornernotation"/>
        <w:suppressLineNumbers/>
        <w:suppressAutoHyphens/>
        <w:kinsoku w:val="0"/>
        <w:overflowPunct w:val="0"/>
        <w:autoSpaceDE w:val="0"/>
        <w:autoSpaceDN w:val="0"/>
        <w:ind w:left="187" w:right="4423" w:hanging="187"/>
        <w:rPr>
          <w:snapToGrid w:val="0"/>
          <w:szCs w:val="22"/>
          <w:lang w:val="es-AR"/>
        </w:rPr>
      </w:pPr>
      <w:bookmarkStart w:id="0" w:name="_GoBack"/>
      <w:r w:rsidRPr="002427D3">
        <w:rPr>
          <w:snapToGrid w:val="0"/>
          <w:szCs w:val="22"/>
          <w:lang w:val="es-AR"/>
        </w:rPr>
        <w:t>Sharm el-</w:t>
      </w:r>
      <w:proofErr w:type="spellStart"/>
      <w:r w:rsidRPr="002427D3">
        <w:rPr>
          <w:snapToGrid w:val="0"/>
          <w:szCs w:val="22"/>
          <w:lang w:val="es-AR"/>
        </w:rPr>
        <w:t>Sheikh</w:t>
      </w:r>
      <w:proofErr w:type="spellEnd"/>
      <w:r w:rsidRPr="002427D3">
        <w:rPr>
          <w:snapToGrid w:val="0"/>
          <w:szCs w:val="22"/>
          <w:lang w:val="es-AR"/>
        </w:rPr>
        <w:t xml:space="preserve"> (Egipto), 17 a 29 de noviembre de 2018</w:t>
      </w:r>
    </w:p>
    <w:p w14:paraId="2FD00822" w14:textId="7D5BD1A3" w:rsidR="00172AF6" w:rsidRPr="002427D3" w:rsidRDefault="00325197" w:rsidP="00325197">
      <w:pPr>
        <w:pStyle w:val="Cornernotation"/>
        <w:ind w:right="3973"/>
        <w:rPr>
          <w:lang w:val="es-AR"/>
        </w:rPr>
      </w:pPr>
      <w:r w:rsidRPr="002427D3">
        <w:rPr>
          <w:snapToGrid w:val="0"/>
          <w:szCs w:val="22"/>
          <w:lang w:val="es-AR"/>
        </w:rPr>
        <w:t>Tema 10 del programa</w:t>
      </w:r>
    </w:p>
    <w:bookmarkEnd w:id="0"/>
    <w:p w14:paraId="2FD00823" w14:textId="77777777" w:rsidR="00C9161D" w:rsidRPr="00C9161D" w:rsidRDefault="00C9161D" w:rsidP="00C9161D"/>
    <w:p w14:paraId="2FD00824" w14:textId="22DEDFB2" w:rsidR="00C9161D" w:rsidRPr="00D8640E" w:rsidRDefault="002427D3" w:rsidP="00172AF6">
      <w:pPr>
        <w:spacing w:before="120" w:after="240"/>
        <w:jc w:val="center"/>
        <w:rPr>
          <w:b/>
          <w:caps/>
          <w:lang w:val="es-AR"/>
        </w:rPr>
      </w:pPr>
      <w:sdt>
        <w:sdtPr>
          <w:rPr>
            <w:b/>
            <w:bCs/>
            <w:iCs/>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D8640E" w:rsidRPr="00D8640E">
            <w:rPr>
              <w:b/>
              <w:bCs/>
              <w:iCs/>
              <w:lang w:val="es-ES"/>
            </w:rPr>
            <w:t>EVALUACIÓN Y REVISIÓN DE LA EFICACIA DEL PROTOCOLO DE CARTAGENA (ARTÍCULO 35)</w:t>
          </w:r>
        </w:sdtContent>
      </w:sdt>
      <w:r w:rsidR="00105372" w:rsidRPr="00D8640E">
        <w:rPr>
          <w:b/>
          <w:caps/>
          <w:lang w:val="es-AR"/>
        </w:rPr>
        <w:t xml:space="preserve"> </w:t>
      </w:r>
    </w:p>
    <w:p w14:paraId="2FD00825" w14:textId="1F1B6304" w:rsidR="00F6586C" w:rsidRPr="00EB30F7" w:rsidRDefault="00797DC7" w:rsidP="00F6586C">
      <w:pPr>
        <w:pStyle w:val="Style1"/>
        <w:rPr>
          <w:i w:val="0"/>
          <w:lang w:val="es-AR"/>
        </w:rPr>
      </w:pPr>
      <w:r w:rsidRPr="00EB30F7">
        <w:rPr>
          <w:i w:val="0"/>
          <w:szCs w:val="22"/>
          <w:lang w:val="es-ES"/>
        </w:rPr>
        <w:t>Proyecto de decisión presentado por la Presidencia del Grupo de Trabajo I</w:t>
      </w:r>
    </w:p>
    <w:p w14:paraId="6E2BDB10" w14:textId="77777777" w:rsidR="00047DB9" w:rsidRPr="00512A6C" w:rsidRDefault="00047DB9" w:rsidP="00047DB9">
      <w:pPr>
        <w:pStyle w:val="Para1"/>
        <w:numPr>
          <w:ilvl w:val="0"/>
          <w:numId w:val="0"/>
        </w:numPr>
        <w:kinsoku w:val="0"/>
        <w:overflowPunct w:val="0"/>
        <w:autoSpaceDE w:val="0"/>
        <w:autoSpaceDN w:val="0"/>
        <w:ind w:firstLine="709"/>
        <w:rPr>
          <w:lang w:val="es-ES"/>
        </w:rPr>
      </w:pPr>
      <w:r w:rsidRPr="00512A6C">
        <w:rPr>
          <w:i/>
          <w:lang w:val="es-ES"/>
        </w:rPr>
        <w:t>La Conferencia de las Partes que actúa como reunión de las Partes en el Protocolo de Cartagena sobre Seguridad de la Biotecnología,</w:t>
      </w:r>
    </w:p>
    <w:p w14:paraId="7ECD31EE" w14:textId="237FF70A" w:rsidR="003F1ABD" w:rsidRPr="00047DB9" w:rsidRDefault="00047DB9" w:rsidP="00047DB9">
      <w:pPr>
        <w:pStyle w:val="Para1"/>
        <w:numPr>
          <w:ilvl w:val="0"/>
          <w:numId w:val="0"/>
        </w:numPr>
        <w:kinsoku w:val="0"/>
        <w:overflowPunct w:val="0"/>
        <w:autoSpaceDE w:val="0"/>
        <w:autoSpaceDN w:val="0"/>
        <w:ind w:firstLine="709"/>
        <w:rPr>
          <w:lang w:val="es-AR"/>
        </w:rPr>
      </w:pPr>
      <w:r w:rsidRPr="00C01171">
        <w:rPr>
          <w:i/>
          <w:szCs w:val="24"/>
          <w:lang w:val="es-ES"/>
        </w:rPr>
        <w:t>Recordando</w:t>
      </w:r>
      <w:r w:rsidRPr="00C01171">
        <w:rPr>
          <w:szCs w:val="24"/>
          <w:lang w:val="es-ES"/>
        </w:rPr>
        <w:t xml:space="preserve"> la decisión BS-V/16, por la cual se adoptó el Plan Estratégico para el Protocolo de Cartagena sobre Seguridad de la Biotecnología en el período 2011-2020,</w:t>
      </w:r>
    </w:p>
    <w:p w14:paraId="210171F9" w14:textId="280EA007" w:rsidR="003F1ABD" w:rsidRPr="00047DB9" w:rsidRDefault="00047DB9" w:rsidP="003F1ABD">
      <w:pPr>
        <w:pStyle w:val="Para1"/>
        <w:numPr>
          <w:ilvl w:val="0"/>
          <w:numId w:val="2"/>
        </w:numPr>
        <w:tabs>
          <w:tab w:val="clear" w:pos="360"/>
        </w:tabs>
        <w:kinsoku w:val="0"/>
        <w:overflowPunct w:val="0"/>
        <w:autoSpaceDE w:val="0"/>
        <w:autoSpaceDN w:val="0"/>
        <w:ind w:firstLine="720"/>
        <w:rPr>
          <w:lang w:val="es-AR"/>
        </w:rPr>
      </w:pPr>
      <w:r w:rsidRPr="00C01171">
        <w:rPr>
          <w:i/>
          <w:szCs w:val="24"/>
          <w:lang w:val="es-ES"/>
        </w:rPr>
        <w:t>Reitera</w:t>
      </w:r>
      <w:r w:rsidRPr="00C01171">
        <w:rPr>
          <w:szCs w:val="24"/>
          <w:lang w:val="es-ES"/>
        </w:rPr>
        <w:t xml:space="preserve"> su invitación a las Partes a que, durante el tiempo que resta del Plan Estratégico para el Protocolo de Cartagena sobre Seguridad de la Biotecnología en el período 2011-2020, consideren dar prioridad a los objetivos operacionales referidos a la elaboración de legislación sobre seguridad de la biotecnología, la evaluación del riesgo, la detección e identificación de organismos vivos modificados y la concienciación del público, en vista de su importancia crítica para facilitar la aplicación del Protocolo</w:t>
      </w:r>
      <w:r w:rsidR="003F1ABD" w:rsidRPr="00047DB9">
        <w:rPr>
          <w:lang w:val="es-AR"/>
        </w:rPr>
        <w:t>;</w:t>
      </w:r>
    </w:p>
    <w:p w14:paraId="4F7E1055" w14:textId="32F73C4C" w:rsidR="003F1ABD" w:rsidRPr="00047DB9" w:rsidRDefault="00047DB9" w:rsidP="003F1ABD">
      <w:pPr>
        <w:pStyle w:val="Para1"/>
        <w:numPr>
          <w:ilvl w:val="0"/>
          <w:numId w:val="2"/>
        </w:numPr>
        <w:tabs>
          <w:tab w:val="clear" w:pos="360"/>
        </w:tabs>
        <w:kinsoku w:val="0"/>
        <w:overflowPunct w:val="0"/>
        <w:autoSpaceDE w:val="0"/>
        <w:autoSpaceDN w:val="0"/>
        <w:ind w:firstLine="720"/>
        <w:rPr>
          <w:lang w:val="es-AR"/>
        </w:rPr>
      </w:pPr>
      <w:r w:rsidRPr="00C01171">
        <w:rPr>
          <w:i/>
          <w:szCs w:val="24"/>
          <w:lang w:val="es-ES"/>
        </w:rPr>
        <w:t>Decide</w:t>
      </w:r>
      <w:r w:rsidRPr="00C01171">
        <w:rPr>
          <w:szCs w:val="24"/>
          <w:lang w:val="es-ES"/>
        </w:rPr>
        <w:t xml:space="preserve"> que la cuarta evaluación y revisión del Protocolo de Cartagena se combinará con la evaluación final del Plan Estratégico para el Protocolo de Cartagena en el período 2011-2020</w:t>
      </w:r>
      <w:r w:rsidR="003F1ABD" w:rsidRPr="00047DB9">
        <w:rPr>
          <w:lang w:val="es-AR"/>
        </w:rPr>
        <w:t>;</w:t>
      </w:r>
    </w:p>
    <w:p w14:paraId="32457388" w14:textId="16BAD0EE" w:rsidR="003F1ABD" w:rsidRPr="00047DB9" w:rsidRDefault="00047DB9" w:rsidP="003F1ABD">
      <w:pPr>
        <w:pStyle w:val="Para1"/>
        <w:numPr>
          <w:ilvl w:val="0"/>
          <w:numId w:val="2"/>
        </w:numPr>
        <w:tabs>
          <w:tab w:val="clear" w:pos="360"/>
        </w:tabs>
        <w:kinsoku w:val="0"/>
        <w:overflowPunct w:val="0"/>
        <w:autoSpaceDE w:val="0"/>
        <w:autoSpaceDN w:val="0"/>
        <w:ind w:firstLine="720"/>
        <w:rPr>
          <w:i/>
          <w:lang w:val="es-AR"/>
        </w:rPr>
      </w:pPr>
      <w:r w:rsidRPr="00C01171">
        <w:rPr>
          <w:i/>
          <w:color w:val="000000"/>
          <w:szCs w:val="24"/>
          <w:lang w:val="es-ES"/>
        </w:rPr>
        <w:t>Pide</w:t>
      </w:r>
      <w:r w:rsidRPr="00C01171">
        <w:rPr>
          <w:szCs w:val="24"/>
          <w:lang w:val="es-ES"/>
        </w:rPr>
        <w:t xml:space="preserve"> a la Secretaria Ejecutiva que</w:t>
      </w:r>
      <w:r w:rsidR="003F1ABD" w:rsidRPr="00047DB9">
        <w:rPr>
          <w:lang w:val="es-AR"/>
        </w:rPr>
        <w:t>:</w:t>
      </w:r>
    </w:p>
    <w:p w14:paraId="2D6DFC67" w14:textId="13E151A9" w:rsidR="003F1ABD" w:rsidRPr="00047DB9" w:rsidRDefault="003F1ABD" w:rsidP="003F1ABD">
      <w:pPr>
        <w:pStyle w:val="Para1"/>
        <w:numPr>
          <w:ilvl w:val="0"/>
          <w:numId w:val="0"/>
        </w:numPr>
        <w:kinsoku w:val="0"/>
        <w:overflowPunct w:val="0"/>
        <w:autoSpaceDE w:val="0"/>
        <w:autoSpaceDN w:val="0"/>
        <w:ind w:firstLine="709"/>
        <w:rPr>
          <w:lang w:val="es-AR"/>
        </w:rPr>
      </w:pPr>
      <w:r w:rsidRPr="00047DB9">
        <w:rPr>
          <w:lang w:val="es-AR"/>
        </w:rPr>
        <w:t>a)</w:t>
      </w:r>
      <w:r w:rsidRPr="00047DB9">
        <w:rPr>
          <w:lang w:val="es-AR"/>
        </w:rPr>
        <w:tab/>
      </w:r>
      <w:r w:rsidR="00047DB9" w:rsidRPr="00C01171">
        <w:rPr>
          <w:szCs w:val="24"/>
          <w:lang w:val="es-ES"/>
        </w:rPr>
        <w:t>continúe mejorando la herramienta de análisis en línea de informes nacionales a fin de facilitar la recopilación, agregación y análisis de los datos de los cuartos informes nacionales y otras fuentes y su comparación con los datos de referencia pertinentes obtenidos durante el segundo ciclo nacional de presentación de informes</w:t>
      </w:r>
      <w:r w:rsidRPr="00047DB9">
        <w:rPr>
          <w:lang w:val="es-AR"/>
        </w:rPr>
        <w:t>;</w:t>
      </w:r>
    </w:p>
    <w:p w14:paraId="6F78C6A5" w14:textId="0947A0FF" w:rsidR="003F1ABD" w:rsidRPr="00047DB9" w:rsidRDefault="003F1ABD" w:rsidP="003F1ABD">
      <w:pPr>
        <w:pStyle w:val="Para1"/>
        <w:numPr>
          <w:ilvl w:val="0"/>
          <w:numId w:val="0"/>
        </w:numPr>
        <w:kinsoku w:val="0"/>
        <w:overflowPunct w:val="0"/>
        <w:autoSpaceDE w:val="0"/>
        <w:autoSpaceDN w:val="0"/>
        <w:ind w:firstLine="709"/>
        <w:rPr>
          <w:lang w:val="es-AR"/>
        </w:rPr>
      </w:pPr>
      <w:r w:rsidRPr="00047DB9">
        <w:rPr>
          <w:lang w:val="es-AR"/>
        </w:rPr>
        <w:t>b)</w:t>
      </w:r>
      <w:r w:rsidRPr="00047DB9">
        <w:rPr>
          <w:lang w:val="es-AR"/>
        </w:rPr>
        <w:tab/>
      </w:r>
      <w:r w:rsidR="00047DB9" w:rsidRPr="00C01171">
        <w:rPr>
          <w:szCs w:val="24"/>
          <w:lang w:val="es-ES"/>
        </w:rPr>
        <w:t>analice y realice una síntesis de la información sobre la aplicación del Protocolo utilizando, entre otras cosas, los cuartos informes nacionales como fuente primaria, el Centro de Intercambio de Información sobre Seguridad de la Biotecnología y la experiencia adquirida en los proyectos de creación de capacidad y el Comité de Cumplimento, según proceda, para facilitar la cuarta evaluación y revisión del Protocolo conjuntamente con la evaluación final del Plan Estratégico, y que ponga esa información a disposición del Grupo de Enlace sobre Creación de Capacidad y el Comité de Cumplimiento</w:t>
      </w:r>
      <w:r w:rsidRPr="00047DB9">
        <w:rPr>
          <w:lang w:val="es-AR"/>
        </w:rPr>
        <w:t>;</w:t>
      </w:r>
    </w:p>
    <w:p w14:paraId="07698FDF" w14:textId="673E8D2C" w:rsidR="003F1ABD" w:rsidRPr="006E0573" w:rsidRDefault="006E0573" w:rsidP="003F1ABD">
      <w:pPr>
        <w:pStyle w:val="Para1"/>
        <w:numPr>
          <w:ilvl w:val="0"/>
          <w:numId w:val="2"/>
        </w:numPr>
        <w:tabs>
          <w:tab w:val="clear" w:pos="360"/>
        </w:tabs>
        <w:kinsoku w:val="0"/>
        <w:overflowPunct w:val="0"/>
        <w:autoSpaceDE w:val="0"/>
        <w:autoSpaceDN w:val="0"/>
        <w:ind w:firstLine="720"/>
        <w:rPr>
          <w:lang w:val="es-AR"/>
        </w:rPr>
      </w:pPr>
      <w:r w:rsidRPr="00C01171">
        <w:rPr>
          <w:i/>
          <w:szCs w:val="24"/>
          <w:lang w:val="es-ES"/>
        </w:rPr>
        <w:t>Pide</w:t>
      </w:r>
      <w:r w:rsidRPr="00C01171">
        <w:rPr>
          <w:szCs w:val="24"/>
          <w:lang w:val="es-ES"/>
        </w:rPr>
        <w:t xml:space="preserve"> al Grupo de Enlace sobre Creación de Capacidad y al Comité de Cumplimiento que, trabajando de manera complementaria y sin duplicar esfuerzos, contribuyan a la cuarta evaluación y revisión </w:t>
      </w:r>
      <w:r w:rsidRPr="00C01171">
        <w:rPr>
          <w:szCs w:val="24"/>
          <w:lang w:val="es-ES"/>
        </w:rPr>
        <w:lastRenderedPageBreak/>
        <w:t>del Protocolo de Cartagena y la evaluación final del Plan Estratégico, y que presenten sus conclusiones al Órgano Subsidiario sobre la Aplicación para su consideración</w:t>
      </w:r>
      <w:r w:rsidR="003F1ABD" w:rsidRPr="006E0573">
        <w:rPr>
          <w:lang w:val="es-AR"/>
        </w:rPr>
        <w:t>;</w:t>
      </w:r>
    </w:p>
    <w:p w14:paraId="77C10F16" w14:textId="53BBDFEB" w:rsidR="003F1ABD" w:rsidRPr="007F30FF" w:rsidRDefault="007F30FF" w:rsidP="003F1ABD">
      <w:pPr>
        <w:pStyle w:val="Para1"/>
        <w:numPr>
          <w:ilvl w:val="0"/>
          <w:numId w:val="2"/>
        </w:numPr>
        <w:tabs>
          <w:tab w:val="clear" w:pos="360"/>
        </w:tabs>
        <w:kinsoku w:val="0"/>
        <w:overflowPunct w:val="0"/>
        <w:autoSpaceDE w:val="0"/>
        <w:autoSpaceDN w:val="0"/>
        <w:ind w:firstLine="720"/>
        <w:rPr>
          <w:lang w:val="es-AR"/>
        </w:rPr>
      </w:pPr>
      <w:r w:rsidRPr="00C01171">
        <w:rPr>
          <w:i/>
          <w:szCs w:val="24"/>
          <w:lang w:val="es-ES"/>
        </w:rPr>
        <w:t>Pide</w:t>
      </w:r>
      <w:r w:rsidRPr="00C01171">
        <w:rPr>
          <w:szCs w:val="24"/>
          <w:lang w:val="es-ES"/>
        </w:rPr>
        <w:t xml:space="preserve"> al Órgano Subsidiario sobre la Aplicación que, en su tercera reunión, considere la información proporcionada por el Grupo de Enlace y el Comité de Cumplimiento y las conclusiones a las que arribaron, y que presente sus resultados y recomendaciones a la Conferencia de las Partes que actúa como reunión de las Partes en el Protocolo de Cartagena en su décima reunión con miras a facilitar la cuarta evaluación y revisión del Protocolo de Cartagena y la evaluación final del Plan Estratégico para el Protocolo de Cartagena sobre Seguridad de la Biotecnología en el período 2011-2020</w:t>
      </w:r>
      <w:r w:rsidR="003F1ABD" w:rsidRPr="007F30FF">
        <w:rPr>
          <w:lang w:val="es-AR"/>
        </w:rPr>
        <w:t>.</w:t>
      </w:r>
    </w:p>
    <w:p w14:paraId="2FD00827" w14:textId="446CBE38" w:rsidR="00B3369F" w:rsidRPr="00C9161D" w:rsidRDefault="003F1ABD" w:rsidP="003F1ABD">
      <w:pPr>
        <w:jc w:val="center"/>
      </w:pPr>
      <w:r w:rsidRPr="00C9161D">
        <w:t>______</w:t>
      </w:r>
    </w:p>
    <w:sectPr w:rsidR="00B3369F" w:rsidRPr="00C9161D" w:rsidSect="007B078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B2EE9C" w14:textId="77777777" w:rsidR="0043443D" w:rsidRDefault="0043443D" w:rsidP="00CF1848">
      <w:r>
        <w:separator/>
      </w:r>
    </w:p>
  </w:endnote>
  <w:endnote w:type="continuationSeparator" w:id="0">
    <w:p w14:paraId="28B039F4" w14:textId="77777777" w:rsidR="0043443D" w:rsidRDefault="0043443D"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F01A2E" w14:textId="77777777" w:rsidR="0043443D" w:rsidRDefault="0043443D" w:rsidP="00CF1848">
      <w:r>
        <w:separator/>
      </w:r>
    </w:p>
  </w:footnote>
  <w:footnote w:type="continuationSeparator" w:id="0">
    <w:p w14:paraId="1C04FC3F" w14:textId="77777777" w:rsidR="0043443D" w:rsidRDefault="0043443D"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75CE34CE" w:rsidR="00534681" w:rsidRPr="007B078D" w:rsidRDefault="00AE4715" w:rsidP="00534681">
        <w:pPr>
          <w:pStyle w:val="Header"/>
          <w:rPr>
            <w:lang w:val="fr-FR"/>
          </w:rPr>
        </w:pPr>
        <w:r>
          <w:rPr>
            <w:lang w:val="fr-FR"/>
          </w:rPr>
          <w:t>CBD/CP-MOP/9/L.6</w:t>
        </w:r>
      </w:p>
    </w:sdtContent>
  </w:sdt>
  <w:p w14:paraId="2FD00833" w14:textId="77777777" w:rsidR="00534681" w:rsidRPr="007B078D" w:rsidRDefault="00534681" w:rsidP="00534681">
    <w:pPr>
      <w:pStyle w:val="Header"/>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7B078D">
      <w:rPr>
        <w:noProof/>
        <w:lang w:val="fr-FR"/>
      </w:rPr>
      <w:t>2</w:t>
    </w:r>
    <w:r>
      <w:rPr>
        <w:noProof/>
      </w:rPr>
      <w:fldChar w:fldCharType="end"/>
    </w:r>
  </w:p>
  <w:p w14:paraId="2FD00834" w14:textId="77777777" w:rsidR="00534681" w:rsidRPr="007B078D"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59D180F3" w:rsidR="009505C9" w:rsidRPr="007B078D" w:rsidRDefault="00AE4715" w:rsidP="009505C9">
        <w:pPr>
          <w:pStyle w:val="Header"/>
          <w:jc w:val="right"/>
          <w:rPr>
            <w:lang w:val="fr-FR"/>
          </w:rPr>
        </w:pPr>
        <w:r>
          <w:rPr>
            <w:lang w:val="fr-FR"/>
          </w:rPr>
          <w:t>CBD/CP-MOP/9/L.6</w:t>
        </w:r>
      </w:p>
    </w:sdtContent>
  </w:sdt>
  <w:p w14:paraId="2FD00836" w14:textId="77777777" w:rsidR="009505C9" w:rsidRPr="007B078D" w:rsidRDefault="009505C9" w:rsidP="009505C9">
    <w:pPr>
      <w:pStyle w:val="Header"/>
      <w:jc w:val="right"/>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7B078D">
      <w:rPr>
        <w:noProof/>
        <w:lang w:val="fr-FR"/>
      </w:rPr>
      <w:t>1</w:t>
    </w:r>
    <w:r>
      <w:rPr>
        <w:noProof/>
      </w:rPr>
      <w:fldChar w:fldCharType="end"/>
    </w:r>
  </w:p>
  <w:p w14:paraId="2FD00837" w14:textId="77777777" w:rsidR="009505C9" w:rsidRPr="007B078D"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47DB9"/>
    <w:rsid w:val="000E673A"/>
    <w:rsid w:val="000F4914"/>
    <w:rsid w:val="000F74F5"/>
    <w:rsid w:val="00105372"/>
    <w:rsid w:val="00131E7A"/>
    <w:rsid w:val="0014645A"/>
    <w:rsid w:val="00172AF6"/>
    <w:rsid w:val="00176CEE"/>
    <w:rsid w:val="00186DD8"/>
    <w:rsid w:val="00220A33"/>
    <w:rsid w:val="002427D3"/>
    <w:rsid w:val="00273079"/>
    <w:rsid w:val="00325197"/>
    <w:rsid w:val="00372F74"/>
    <w:rsid w:val="0039178A"/>
    <w:rsid w:val="003D6DF7"/>
    <w:rsid w:val="003F1ABD"/>
    <w:rsid w:val="003F7224"/>
    <w:rsid w:val="00415D3B"/>
    <w:rsid w:val="00427D21"/>
    <w:rsid w:val="0043443D"/>
    <w:rsid w:val="004644C2"/>
    <w:rsid w:val="00467F9C"/>
    <w:rsid w:val="00534681"/>
    <w:rsid w:val="00547A39"/>
    <w:rsid w:val="006122BA"/>
    <w:rsid w:val="00615A2F"/>
    <w:rsid w:val="00647FD5"/>
    <w:rsid w:val="0068672C"/>
    <w:rsid w:val="006B2290"/>
    <w:rsid w:val="006C47B1"/>
    <w:rsid w:val="006E0573"/>
    <w:rsid w:val="00717056"/>
    <w:rsid w:val="00717D88"/>
    <w:rsid w:val="0077626F"/>
    <w:rsid w:val="007942D3"/>
    <w:rsid w:val="00797DC7"/>
    <w:rsid w:val="007B078D"/>
    <w:rsid w:val="007B6C09"/>
    <w:rsid w:val="007E09DA"/>
    <w:rsid w:val="007F30FF"/>
    <w:rsid w:val="008178B6"/>
    <w:rsid w:val="00854247"/>
    <w:rsid w:val="00865B74"/>
    <w:rsid w:val="00930BA1"/>
    <w:rsid w:val="0093169E"/>
    <w:rsid w:val="009505C9"/>
    <w:rsid w:val="009D40AF"/>
    <w:rsid w:val="00AC3393"/>
    <w:rsid w:val="00AE4715"/>
    <w:rsid w:val="00B3369F"/>
    <w:rsid w:val="00C443BD"/>
    <w:rsid w:val="00C9161D"/>
    <w:rsid w:val="00CF1848"/>
    <w:rsid w:val="00D12044"/>
    <w:rsid w:val="00D76A18"/>
    <w:rsid w:val="00D8640E"/>
    <w:rsid w:val="00D95FDD"/>
    <w:rsid w:val="00DD118C"/>
    <w:rsid w:val="00E66235"/>
    <w:rsid w:val="00E83C24"/>
    <w:rsid w:val="00E9318D"/>
    <w:rsid w:val="00EB30F7"/>
    <w:rsid w:val="00EB7A6B"/>
    <w:rsid w:val="00ED72FA"/>
    <w:rsid w:val="00F6586C"/>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FD00811"/>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500A2B"/>
    <w:rsid w:val="0058288D"/>
    <w:rsid w:val="006801B3"/>
    <w:rsid w:val="007663B1"/>
    <w:rsid w:val="007D21D1"/>
    <w:rsid w:val="00810A55"/>
    <w:rsid w:val="008C6619"/>
    <w:rsid w:val="008D420E"/>
    <w:rsid w:val="0098642F"/>
    <w:rsid w:val="00AC6411"/>
    <w:rsid w:val="00D21178"/>
    <w:rsid w:val="00FC38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21D1"/>
  </w:style>
  <w:style w:type="paragraph" w:customStyle="1" w:styleId="1E0BCB097ADA4F51BFA2CB78578C4758">
    <w:name w:val="1E0BCB097ADA4F51BFA2CB78578C4758"/>
    <w:rsid w:val="007D21D1"/>
    <w:pPr>
      <w:spacing w:after="160" w:line="259" w:lineRule="auto"/>
    </w:pPr>
    <w:rPr>
      <w:lang w:val="es-AR" w:eastAsia="es-A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B1932F-3D74-4F9E-B93B-E46D361AA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514</Words>
  <Characters>2930</Characters>
  <Application>Microsoft Office Word</Application>
  <DocSecurity>0</DocSecurity>
  <Lines>24</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ASSESSMENT AND REVIEW OF THE EFFECTIVENESS OF THE CARTAGENA PROTOCOL (ARTICLE 35)</vt:lpstr>
      <vt:lpstr>ASSESSMENT AND REVIEW OF THE EFFECTIVENESS OF THE CARTAGENA PROTOCOL (ARTICLE 35)</vt:lpstr>
    </vt:vector>
  </TitlesOfParts>
  <Company>SCBD</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EVALUACIÓN Y REVISIÓN DE LA EFICACIA DEL PROTOCOLO DE CARTAGENA (ARTÍCULO 35)</dc:title>
  <dc:subject>CBD/CP-MOP/9/L.6</dc:subject>
  <dc:creator>SCBD</dc:creator>
  <cp:lastModifiedBy>Teresa Mazza</cp:lastModifiedBy>
  <cp:revision>12</cp:revision>
  <cp:lastPrinted>2018-11-22T18:10:00Z</cp:lastPrinted>
  <dcterms:created xsi:type="dcterms:W3CDTF">2018-11-22T19:37:00Z</dcterms:created>
  <dcterms:modified xsi:type="dcterms:W3CDTF">2018-11-22T19:57:00Z</dcterms:modified>
  <cp:contentStatus>LIMITADA</cp:contentStatus>
</cp:coreProperties>
</file>