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1B9106AD" w14:textId="72DB1E05" w:rsidR="006D3DA5" w:rsidRPr="006D3DA5" w:rsidRDefault="006D3DA5" w:rsidP="00B9064C">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CP/MOP/11/</w:t>
            </w:r>
            <w:r>
              <w:rPr>
                <w:rFonts w:eastAsiaTheme="minorEastAsia" w:hint="eastAsia"/>
                <w:sz w:val="24"/>
                <w:szCs w:val="22"/>
                <w:lang w:eastAsia="zh-CN"/>
              </w:rPr>
              <w:t>3</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66EE6DE9" w14:textId="2C0B3342"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6D3DA5">
              <w:rPr>
                <w:rFonts w:eastAsia="Times New Roman"/>
                <w:sz w:val="24"/>
              </w:rPr>
              <w:t>2 May 2024</w:t>
            </w:r>
          </w:p>
          <w:p w14:paraId="63FB77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F619BB" w:rsidRDefault="006D3DA5" w:rsidP="006D3DA5">
      <w:pPr>
        <w:pStyle w:val="Cornernotation"/>
        <w:spacing w:before="120"/>
        <w:ind w:left="0" w:right="4262" w:firstLine="0"/>
        <w:rPr>
          <w:bCs/>
          <w:szCs w:val="24"/>
          <w:lang w:eastAsia="zh-CN"/>
        </w:rPr>
      </w:pPr>
      <w:r w:rsidRPr="00F619BB">
        <w:rPr>
          <w:rFonts w:hint="eastAsia"/>
          <w:bCs/>
          <w:szCs w:val="24"/>
          <w:lang w:val="en-GB" w:eastAsia="zh-CN"/>
        </w:rPr>
        <w:t>作为卡塔赫纳生物安全议定书缔约方会议</w:t>
      </w:r>
      <w:r w:rsidRPr="00F619BB">
        <w:rPr>
          <w:bCs/>
          <w:szCs w:val="24"/>
          <w:lang w:val="en-GB" w:eastAsia="zh-CN"/>
        </w:rPr>
        <w:br/>
      </w:r>
      <w:r w:rsidRPr="00F619BB">
        <w:rPr>
          <w:rFonts w:hint="eastAsia"/>
          <w:bCs/>
          <w:szCs w:val="24"/>
          <w:lang w:val="en-GB" w:eastAsia="zh-CN"/>
        </w:rPr>
        <w:t>的生物多样性公约缔约方大会</w:t>
      </w:r>
    </w:p>
    <w:p w14:paraId="07D00A0F" w14:textId="77777777" w:rsidR="006D3DA5" w:rsidRPr="00F619BB" w:rsidRDefault="006D3DA5" w:rsidP="006D3DA5">
      <w:pPr>
        <w:pStyle w:val="Cornernotation"/>
        <w:rPr>
          <w:bCs/>
          <w:szCs w:val="24"/>
          <w:lang w:eastAsia="zh-CN"/>
        </w:rPr>
      </w:pPr>
      <w:r>
        <w:rPr>
          <w:rFonts w:hint="eastAsia"/>
          <w:bCs/>
          <w:szCs w:val="24"/>
          <w:lang w:eastAsia="zh-CN"/>
        </w:rPr>
        <w:t>第十一次会议</w:t>
      </w:r>
    </w:p>
    <w:p w14:paraId="6AF9B55F" w14:textId="531E9F6A" w:rsidR="006D3DA5" w:rsidRDefault="006D3DA5" w:rsidP="006D3DA5">
      <w:pPr>
        <w:rPr>
          <w:sz w:val="24"/>
          <w:szCs w:val="24"/>
          <w:lang w:eastAsia="zh-CN"/>
        </w:rPr>
      </w:pPr>
      <w:bookmarkStart w:id="3" w:name="_Hlk170896575"/>
      <w:r w:rsidRPr="00F619BB">
        <w:rPr>
          <w:rFonts w:hint="eastAsia"/>
          <w:sz w:val="24"/>
          <w:szCs w:val="24"/>
          <w:lang w:eastAsia="zh-CN"/>
        </w:rPr>
        <w:t>2024</w:t>
      </w:r>
      <w:r w:rsidRPr="00F619BB">
        <w:rPr>
          <w:rFonts w:hint="eastAsia"/>
          <w:sz w:val="24"/>
          <w:szCs w:val="24"/>
          <w:lang w:eastAsia="zh-CN"/>
        </w:rPr>
        <w:t>年</w:t>
      </w:r>
      <w:r w:rsidRPr="00F619BB">
        <w:rPr>
          <w:rFonts w:hint="eastAsia"/>
          <w:sz w:val="24"/>
          <w:szCs w:val="24"/>
          <w:lang w:eastAsia="zh-CN"/>
        </w:rPr>
        <w:t>10</w:t>
      </w:r>
      <w:r w:rsidRPr="00F619BB">
        <w:rPr>
          <w:rFonts w:hint="eastAsia"/>
          <w:sz w:val="24"/>
          <w:szCs w:val="24"/>
          <w:lang w:eastAsia="zh-CN"/>
        </w:rPr>
        <w:t>月</w:t>
      </w:r>
      <w:r w:rsidRPr="00F619BB">
        <w:rPr>
          <w:rFonts w:hint="eastAsia"/>
          <w:sz w:val="24"/>
          <w:szCs w:val="24"/>
          <w:lang w:eastAsia="zh-CN"/>
        </w:rPr>
        <w:t>21</w:t>
      </w:r>
      <w:r w:rsidRPr="00F619BB">
        <w:rPr>
          <w:rFonts w:hint="eastAsia"/>
          <w:sz w:val="24"/>
          <w:szCs w:val="24"/>
          <w:lang w:eastAsia="zh-CN"/>
        </w:rPr>
        <w:t>日至</w:t>
      </w:r>
      <w:r w:rsidRPr="00F619BB">
        <w:rPr>
          <w:rFonts w:hint="eastAsia"/>
          <w:sz w:val="24"/>
          <w:szCs w:val="24"/>
          <w:lang w:eastAsia="zh-CN"/>
        </w:rPr>
        <w:t>11</w:t>
      </w:r>
      <w:r w:rsidRPr="00F619BB">
        <w:rPr>
          <w:rFonts w:hint="eastAsia"/>
          <w:sz w:val="24"/>
          <w:szCs w:val="24"/>
          <w:lang w:eastAsia="zh-CN"/>
        </w:rPr>
        <w:t>月</w:t>
      </w:r>
      <w:r w:rsidRPr="00F619BB">
        <w:rPr>
          <w:rFonts w:hint="eastAsia"/>
          <w:sz w:val="24"/>
          <w:szCs w:val="24"/>
          <w:lang w:eastAsia="zh-CN"/>
        </w:rPr>
        <w:t>1</w:t>
      </w:r>
      <w:r w:rsidRPr="00F619BB">
        <w:rPr>
          <w:rFonts w:hint="eastAsia"/>
          <w:sz w:val="24"/>
          <w:szCs w:val="24"/>
          <w:lang w:eastAsia="zh-CN"/>
        </w:rPr>
        <w:t>日，哥伦比亚卡利</w:t>
      </w:r>
      <w:bookmarkEnd w:id="3"/>
    </w:p>
    <w:p w14:paraId="135126AC" w14:textId="1BD3BCB8" w:rsidR="006D3DA5" w:rsidRDefault="006D3DA5" w:rsidP="006D3DA5">
      <w:pPr>
        <w:rPr>
          <w:sz w:val="24"/>
          <w:szCs w:val="24"/>
          <w:lang w:eastAsia="zh-CN"/>
        </w:rPr>
      </w:pPr>
      <w:r>
        <w:rPr>
          <w:rFonts w:hint="eastAsia"/>
          <w:sz w:val="24"/>
          <w:szCs w:val="24"/>
          <w:lang w:eastAsia="zh-CN"/>
        </w:rPr>
        <w:t>临时议程</w:t>
      </w:r>
      <w:r w:rsidRPr="006D3DA5">
        <w:rPr>
          <w:sz w:val="24"/>
          <w:szCs w:val="24"/>
          <w:vertAlign w:val="superscript"/>
          <w:lang w:eastAsia="zh-CN"/>
        </w:rPr>
        <w:footnoteReference w:customMarkFollows="1" w:id="2"/>
        <w:t>*</w:t>
      </w:r>
      <w:r>
        <w:rPr>
          <w:rFonts w:hint="eastAsia"/>
          <w:sz w:val="24"/>
          <w:szCs w:val="24"/>
          <w:lang w:eastAsia="zh-CN"/>
        </w:rPr>
        <w:t>项目</w:t>
      </w:r>
      <w:r>
        <w:rPr>
          <w:rFonts w:hint="eastAsia"/>
          <w:sz w:val="24"/>
          <w:szCs w:val="24"/>
          <w:lang w:eastAsia="zh-CN"/>
        </w:rPr>
        <w:t>5</w:t>
      </w:r>
    </w:p>
    <w:p w14:paraId="74C6AC90" w14:textId="036B5C4F" w:rsidR="006D3DA5" w:rsidRPr="006D3DA5" w:rsidRDefault="006D3DA5" w:rsidP="006D3DA5">
      <w:pPr>
        <w:rPr>
          <w:b/>
          <w:bCs/>
          <w:sz w:val="24"/>
          <w:szCs w:val="24"/>
          <w:lang w:eastAsia="zh-CN"/>
        </w:rPr>
      </w:pPr>
      <w:r w:rsidRPr="006D3DA5">
        <w:rPr>
          <w:rFonts w:hint="eastAsia"/>
          <w:b/>
          <w:bCs/>
          <w:sz w:val="24"/>
          <w:szCs w:val="24"/>
          <w:lang w:val="en-GB" w:eastAsia="zh-CN"/>
        </w:rPr>
        <w:t>履约委员会的报告</w:t>
      </w:r>
    </w:p>
    <w:p w14:paraId="6015C4B6" w14:textId="77777777" w:rsidR="006D3DA5" w:rsidRDefault="006D3DA5">
      <w:pPr>
        <w:rPr>
          <w:lang w:eastAsia="zh-CN"/>
        </w:rPr>
      </w:pPr>
    </w:p>
    <w:p w14:paraId="16FCF577" w14:textId="318EC061" w:rsidR="00A96B21" w:rsidRPr="00B44172" w:rsidRDefault="00000000" w:rsidP="009A3AD0">
      <w:pPr>
        <w:pStyle w:val="CBDTitle"/>
        <w:tabs>
          <w:tab w:val="clear" w:pos="567"/>
          <w:tab w:val="clear" w:pos="1134"/>
          <w:tab w:val="clear" w:pos="1701"/>
          <w:tab w:val="clear" w:pos="2268"/>
          <w:tab w:val="clear" w:pos="2835"/>
          <w:tab w:val="clear" w:pos="3402"/>
        </w:tabs>
        <w:spacing w:before="120" w:line="240" w:lineRule="atLeast"/>
        <w:ind w:left="490"/>
        <w:rPr>
          <w:szCs w:val="28"/>
          <w:lang w:eastAsia="zh-CN"/>
        </w:rPr>
      </w:pPr>
      <w:sdt>
        <w:sdtPr>
          <w:rPr>
            <w:szCs w:val="28"/>
            <w:lang w:eastAsia="zh-CN"/>
          </w:rPr>
          <w:alias w:val="Title"/>
          <w:tag w:val=""/>
          <w:id w:val="-1975355689"/>
          <w:placeholder>
            <w:docPart w:val="237CCC0F54AA4AF4A20E5CC603275771"/>
          </w:placeholder>
          <w:dataBinding w:prefixMappings="xmlns:ns0='http://purl.org/dc/elements/1.1/' xmlns:ns1='http://schemas.openxmlformats.org/package/2006/metadata/core-properties' " w:xpath="/ns1:coreProperties[1]/ns0:title[1]" w:storeItemID="{6C3C8BC8-F283-45AE-878A-BAB7291924A1}"/>
          <w:text/>
        </w:sdtPr>
        <w:sdtContent>
          <w:r w:rsidR="009A3AD0" w:rsidRPr="009A3AD0">
            <w:rPr>
              <w:rFonts w:hint="eastAsia"/>
              <w:szCs w:val="28"/>
              <w:lang w:eastAsia="zh-CN"/>
            </w:rPr>
            <w:t>卡塔赫纳生物安全议定书履约委员会第十八和第十九次会议工作报告</w:t>
          </w:r>
        </w:sdtContent>
      </w:sdt>
    </w:p>
    <w:p w14:paraId="4F222A40" w14:textId="1358DC83" w:rsidR="00E666C9" w:rsidRPr="006D3DA5" w:rsidRDefault="005810F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810FB">
        <w:rPr>
          <w:rFonts w:hint="eastAsia"/>
          <w:sz w:val="24"/>
          <w:szCs w:val="24"/>
          <w:lang w:val="en-US" w:eastAsia="zh-CN"/>
        </w:rPr>
        <w:t>在作为卡塔赫纳生物安全议定书缔约方会议的生物多样性公约缔约方大会第十</w:t>
      </w:r>
      <w:r w:rsidR="00145C32">
        <w:rPr>
          <w:rFonts w:hint="eastAsia"/>
          <w:sz w:val="24"/>
          <w:szCs w:val="24"/>
          <w:lang w:val="en-US" w:eastAsia="zh-CN"/>
        </w:rPr>
        <w:t>次</w:t>
      </w:r>
      <w:r w:rsidRPr="005810FB">
        <w:rPr>
          <w:rFonts w:hint="eastAsia"/>
          <w:sz w:val="24"/>
          <w:szCs w:val="24"/>
          <w:lang w:val="en-US" w:eastAsia="zh-CN"/>
        </w:rPr>
        <w:t>会议之后的闭会期间，履约委员会举行了两次会议：</w:t>
      </w:r>
      <w:r w:rsidRPr="005810FB">
        <w:rPr>
          <w:rFonts w:hint="eastAsia"/>
          <w:sz w:val="24"/>
          <w:szCs w:val="24"/>
          <w:lang w:val="en-US" w:eastAsia="zh-CN"/>
        </w:rPr>
        <w:t xml:space="preserve">2023 </w:t>
      </w:r>
      <w:r w:rsidRPr="005810FB">
        <w:rPr>
          <w:rFonts w:hint="eastAsia"/>
          <w:sz w:val="24"/>
          <w:szCs w:val="24"/>
          <w:lang w:val="en-US" w:eastAsia="zh-CN"/>
        </w:rPr>
        <w:t>年</w:t>
      </w:r>
      <w:r w:rsidRPr="005810FB">
        <w:rPr>
          <w:rFonts w:hint="eastAsia"/>
          <w:sz w:val="24"/>
          <w:szCs w:val="24"/>
          <w:lang w:val="en-US" w:eastAsia="zh-CN"/>
        </w:rPr>
        <w:t xml:space="preserve"> 10 </w:t>
      </w:r>
      <w:r w:rsidRPr="005810FB">
        <w:rPr>
          <w:rFonts w:hint="eastAsia"/>
          <w:sz w:val="24"/>
          <w:szCs w:val="24"/>
          <w:lang w:val="en-US" w:eastAsia="zh-CN"/>
        </w:rPr>
        <w:t>月</w:t>
      </w:r>
      <w:r w:rsidRPr="005810FB">
        <w:rPr>
          <w:rFonts w:hint="eastAsia"/>
          <w:sz w:val="24"/>
          <w:szCs w:val="24"/>
          <w:lang w:val="en-US" w:eastAsia="zh-CN"/>
        </w:rPr>
        <w:t xml:space="preserve"> 24 </w:t>
      </w:r>
      <w:r w:rsidRPr="005810FB">
        <w:rPr>
          <w:rFonts w:hint="eastAsia"/>
          <w:sz w:val="24"/>
          <w:szCs w:val="24"/>
          <w:lang w:val="en-US" w:eastAsia="zh-CN"/>
        </w:rPr>
        <w:t>日至</w:t>
      </w:r>
      <w:r w:rsidRPr="005810FB">
        <w:rPr>
          <w:rFonts w:hint="eastAsia"/>
          <w:sz w:val="24"/>
          <w:szCs w:val="24"/>
          <w:lang w:val="en-US" w:eastAsia="zh-CN"/>
        </w:rPr>
        <w:t xml:space="preserve"> 26 </w:t>
      </w:r>
      <w:r w:rsidRPr="005810FB">
        <w:rPr>
          <w:rFonts w:hint="eastAsia"/>
          <w:sz w:val="24"/>
          <w:szCs w:val="24"/>
          <w:lang w:val="en-US" w:eastAsia="zh-CN"/>
        </w:rPr>
        <w:t>日的第十八次会议，</w:t>
      </w:r>
      <w:r w:rsidRPr="005810FB">
        <w:rPr>
          <w:rFonts w:hint="eastAsia"/>
          <w:sz w:val="24"/>
          <w:szCs w:val="24"/>
          <w:lang w:val="en-US" w:eastAsia="zh-CN"/>
        </w:rPr>
        <w:t xml:space="preserve">2024 </w:t>
      </w:r>
      <w:r w:rsidRPr="005810FB">
        <w:rPr>
          <w:rFonts w:hint="eastAsia"/>
          <w:sz w:val="24"/>
          <w:szCs w:val="24"/>
          <w:lang w:val="en-US" w:eastAsia="zh-CN"/>
        </w:rPr>
        <w:t>年</w:t>
      </w:r>
      <w:r w:rsidRPr="005810FB">
        <w:rPr>
          <w:rFonts w:hint="eastAsia"/>
          <w:sz w:val="24"/>
          <w:szCs w:val="24"/>
          <w:lang w:val="en-US" w:eastAsia="zh-CN"/>
        </w:rPr>
        <w:t xml:space="preserve"> 4 </w:t>
      </w:r>
      <w:r w:rsidRPr="005810FB">
        <w:rPr>
          <w:rFonts w:hint="eastAsia"/>
          <w:sz w:val="24"/>
          <w:szCs w:val="24"/>
          <w:lang w:val="en-US" w:eastAsia="zh-CN"/>
        </w:rPr>
        <w:t>月</w:t>
      </w:r>
      <w:r w:rsidRPr="005810FB">
        <w:rPr>
          <w:rFonts w:hint="eastAsia"/>
          <w:sz w:val="24"/>
          <w:szCs w:val="24"/>
          <w:lang w:val="en-US" w:eastAsia="zh-CN"/>
        </w:rPr>
        <w:t xml:space="preserve"> 30 </w:t>
      </w:r>
      <w:r w:rsidRPr="005810FB">
        <w:rPr>
          <w:rFonts w:hint="eastAsia"/>
          <w:sz w:val="24"/>
          <w:szCs w:val="24"/>
          <w:lang w:val="en-US" w:eastAsia="zh-CN"/>
        </w:rPr>
        <w:t>日至</w:t>
      </w:r>
      <w:r w:rsidRPr="005810FB">
        <w:rPr>
          <w:rFonts w:hint="eastAsia"/>
          <w:sz w:val="24"/>
          <w:szCs w:val="24"/>
          <w:lang w:val="en-US" w:eastAsia="zh-CN"/>
        </w:rPr>
        <w:t xml:space="preserve"> 5 </w:t>
      </w:r>
      <w:r w:rsidRPr="005810FB">
        <w:rPr>
          <w:rFonts w:hint="eastAsia"/>
          <w:sz w:val="24"/>
          <w:szCs w:val="24"/>
          <w:lang w:val="en-US" w:eastAsia="zh-CN"/>
        </w:rPr>
        <w:t>月</w:t>
      </w:r>
      <w:r w:rsidRPr="005810FB">
        <w:rPr>
          <w:rFonts w:hint="eastAsia"/>
          <w:sz w:val="24"/>
          <w:szCs w:val="24"/>
          <w:lang w:val="en-US" w:eastAsia="zh-CN"/>
        </w:rPr>
        <w:t xml:space="preserve"> 2 </w:t>
      </w:r>
      <w:r w:rsidRPr="005810FB">
        <w:rPr>
          <w:rFonts w:hint="eastAsia"/>
          <w:sz w:val="24"/>
          <w:szCs w:val="24"/>
          <w:lang w:val="en-US" w:eastAsia="zh-CN"/>
        </w:rPr>
        <w:t>日的第十九次会议。两次会议均在加拿大蒙特利尔秘书处的办公场所举行。</w:t>
      </w:r>
      <w:r w:rsidR="00F07324" w:rsidRPr="006D3DA5">
        <w:rPr>
          <w:sz w:val="24"/>
          <w:szCs w:val="24"/>
          <w:lang w:eastAsia="zh-CN"/>
        </w:rPr>
        <w:t xml:space="preserve"> </w:t>
      </w:r>
    </w:p>
    <w:p w14:paraId="3185F33F" w14:textId="63F7E87C" w:rsidR="00AC54E9" w:rsidRPr="006D3DA5" w:rsidRDefault="005810F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810FB">
        <w:rPr>
          <w:rFonts w:hint="eastAsia"/>
          <w:sz w:val="24"/>
          <w:szCs w:val="24"/>
          <w:lang w:val="en-US" w:eastAsia="zh-CN"/>
        </w:rPr>
        <w:t>本文件载有关于这两次会议的讨论情况和成果的合并报告。委员会向作为议定书缔约方会议的缔约方大会提出的建议载于本报告附件。</w:t>
      </w:r>
      <w:r w:rsidR="0058297B" w:rsidRPr="006D3DA5">
        <w:rPr>
          <w:sz w:val="24"/>
          <w:szCs w:val="24"/>
          <w:lang w:eastAsia="zh-CN"/>
        </w:rPr>
        <w:t xml:space="preserve"> </w:t>
      </w:r>
    </w:p>
    <w:p w14:paraId="580A92E2" w14:textId="12BE14FD" w:rsidR="00454FFB" w:rsidRPr="006D3DA5" w:rsidRDefault="0051529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529B">
        <w:rPr>
          <w:rFonts w:hint="eastAsia"/>
          <w:sz w:val="24"/>
          <w:szCs w:val="24"/>
          <w:lang w:val="en-US" w:eastAsia="zh-CN"/>
        </w:rPr>
        <w:t>委员会在其第十八次会议上根据</w:t>
      </w:r>
      <w:r w:rsidR="002E0632">
        <w:rPr>
          <w:rFonts w:hint="eastAsia"/>
          <w:sz w:val="24"/>
          <w:szCs w:val="24"/>
          <w:lang w:val="en-US" w:eastAsia="zh-CN"/>
        </w:rPr>
        <w:t>履约</w:t>
      </w:r>
      <w:r w:rsidRPr="0051529B">
        <w:rPr>
          <w:rFonts w:hint="eastAsia"/>
          <w:sz w:val="24"/>
          <w:szCs w:val="24"/>
          <w:lang w:val="en-US" w:eastAsia="zh-CN"/>
        </w:rPr>
        <w:t>委员会会议议事规则第</w:t>
      </w:r>
      <w:r w:rsidRPr="0051529B">
        <w:rPr>
          <w:rFonts w:hint="eastAsia"/>
          <w:sz w:val="24"/>
          <w:szCs w:val="24"/>
          <w:lang w:val="en-US" w:eastAsia="zh-CN"/>
        </w:rPr>
        <w:t xml:space="preserve"> 12 </w:t>
      </w:r>
      <w:r w:rsidRPr="0051529B">
        <w:rPr>
          <w:rFonts w:hint="eastAsia"/>
          <w:sz w:val="24"/>
          <w:szCs w:val="24"/>
          <w:lang w:val="en-US" w:eastAsia="zh-CN"/>
        </w:rPr>
        <w:t>条，再次选举</w:t>
      </w:r>
      <w:r w:rsidRPr="0051529B">
        <w:rPr>
          <w:rFonts w:hint="eastAsia"/>
          <w:sz w:val="24"/>
          <w:szCs w:val="24"/>
          <w:lang w:val="en-US" w:eastAsia="zh-CN"/>
        </w:rPr>
        <w:t xml:space="preserve"> </w:t>
      </w:r>
      <w:proofErr w:type="spellStart"/>
      <w:r w:rsidRPr="0051529B">
        <w:rPr>
          <w:rFonts w:hint="eastAsia"/>
          <w:sz w:val="24"/>
          <w:szCs w:val="24"/>
          <w:lang w:val="en-US" w:eastAsia="zh-CN"/>
        </w:rPr>
        <w:t>Rigobert</w:t>
      </w:r>
      <w:proofErr w:type="spellEnd"/>
      <w:r w:rsidRPr="0051529B">
        <w:rPr>
          <w:rFonts w:hint="eastAsia"/>
          <w:sz w:val="24"/>
          <w:szCs w:val="24"/>
          <w:lang w:val="en-US" w:eastAsia="zh-CN"/>
        </w:rPr>
        <w:t xml:space="preserve"> </w:t>
      </w:r>
      <w:proofErr w:type="spellStart"/>
      <w:r w:rsidRPr="0051529B">
        <w:rPr>
          <w:rFonts w:hint="eastAsia"/>
          <w:sz w:val="24"/>
          <w:szCs w:val="24"/>
          <w:lang w:val="en-US" w:eastAsia="zh-CN"/>
        </w:rPr>
        <w:t>Ntep</w:t>
      </w:r>
      <w:proofErr w:type="spellEnd"/>
      <w:r w:rsidRPr="0051529B">
        <w:rPr>
          <w:rFonts w:hint="eastAsia"/>
          <w:sz w:val="24"/>
          <w:szCs w:val="24"/>
          <w:lang w:val="en-US" w:eastAsia="zh-CN"/>
        </w:rPr>
        <w:t xml:space="preserve"> </w:t>
      </w:r>
      <w:r w:rsidRPr="0051529B">
        <w:rPr>
          <w:rFonts w:hint="eastAsia"/>
          <w:sz w:val="24"/>
          <w:szCs w:val="24"/>
          <w:lang w:val="en-US" w:eastAsia="zh-CN"/>
        </w:rPr>
        <w:t>为主席，再次选举</w:t>
      </w:r>
      <w:r w:rsidRPr="0051529B">
        <w:rPr>
          <w:rFonts w:hint="eastAsia"/>
          <w:sz w:val="24"/>
          <w:szCs w:val="24"/>
          <w:lang w:val="en-US" w:eastAsia="zh-CN"/>
        </w:rPr>
        <w:t xml:space="preserve"> Jimena Nieto Carrasco </w:t>
      </w:r>
      <w:r w:rsidRPr="0051529B">
        <w:rPr>
          <w:rFonts w:hint="eastAsia"/>
          <w:sz w:val="24"/>
          <w:szCs w:val="24"/>
          <w:lang w:val="en-US" w:eastAsia="zh-CN"/>
        </w:rPr>
        <w:t>为副主席，二人均为连任第二任。</w:t>
      </w:r>
      <w:r w:rsidR="00454FFB" w:rsidRPr="006D3DA5">
        <w:rPr>
          <w:sz w:val="24"/>
          <w:szCs w:val="24"/>
          <w:lang w:eastAsia="zh-CN"/>
        </w:rPr>
        <w:t xml:space="preserve"> </w:t>
      </w:r>
    </w:p>
    <w:p w14:paraId="0B9A3078" w14:textId="531050F3" w:rsidR="00181944" w:rsidRPr="00AC66FE" w:rsidRDefault="0051529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rFonts w:eastAsia="楷体"/>
          <w:iCs/>
          <w:sz w:val="24"/>
          <w:szCs w:val="24"/>
          <w:lang w:eastAsia="zh-CN"/>
        </w:rPr>
      </w:pPr>
      <w:r w:rsidRPr="0051529B">
        <w:rPr>
          <w:rFonts w:hint="eastAsia"/>
          <w:sz w:val="24"/>
          <w:szCs w:val="24"/>
          <w:lang w:val="en-US" w:eastAsia="zh-CN"/>
        </w:rPr>
        <w:t>委员会回顾，由于作为议定书缔约方会议的缔约方大会推迟召开会议，委员会成员的任期已数次延长，因此所有成员的任期都应于</w:t>
      </w:r>
      <w:r w:rsidRPr="0051529B">
        <w:rPr>
          <w:rFonts w:hint="eastAsia"/>
          <w:sz w:val="24"/>
          <w:szCs w:val="24"/>
          <w:lang w:val="en-US" w:eastAsia="zh-CN"/>
        </w:rPr>
        <w:t xml:space="preserve"> 2024 </w:t>
      </w:r>
      <w:r w:rsidRPr="0051529B">
        <w:rPr>
          <w:rFonts w:hint="eastAsia"/>
          <w:sz w:val="24"/>
          <w:szCs w:val="24"/>
          <w:lang w:val="en-US" w:eastAsia="zh-CN"/>
        </w:rPr>
        <w:t>年</w:t>
      </w:r>
      <w:r w:rsidRPr="0051529B">
        <w:rPr>
          <w:rFonts w:hint="eastAsia"/>
          <w:sz w:val="24"/>
          <w:szCs w:val="24"/>
          <w:lang w:val="en-US" w:eastAsia="zh-CN"/>
        </w:rPr>
        <w:t xml:space="preserve"> 12 </w:t>
      </w:r>
      <w:r w:rsidRPr="0051529B">
        <w:rPr>
          <w:rFonts w:hint="eastAsia"/>
          <w:sz w:val="24"/>
          <w:szCs w:val="24"/>
          <w:lang w:val="en-US" w:eastAsia="zh-CN"/>
        </w:rPr>
        <w:t>月</w:t>
      </w:r>
      <w:r w:rsidRPr="0051529B">
        <w:rPr>
          <w:rFonts w:hint="eastAsia"/>
          <w:sz w:val="24"/>
          <w:szCs w:val="24"/>
          <w:lang w:val="en-US" w:eastAsia="zh-CN"/>
        </w:rPr>
        <w:t xml:space="preserve"> 31 </w:t>
      </w:r>
      <w:r w:rsidRPr="0051529B">
        <w:rPr>
          <w:rFonts w:hint="eastAsia"/>
          <w:sz w:val="24"/>
          <w:szCs w:val="24"/>
          <w:lang w:val="en-US" w:eastAsia="zh-CN"/>
        </w:rPr>
        <w:t>日结束。委员会获悉，为了保持任期交错，将请作为议定书缔约方会议的缔约方大会将五名成员的任期延长至</w:t>
      </w:r>
      <w:r w:rsidRPr="0051529B">
        <w:rPr>
          <w:rFonts w:hint="eastAsia"/>
          <w:sz w:val="24"/>
          <w:szCs w:val="24"/>
          <w:lang w:val="en-US" w:eastAsia="zh-CN"/>
        </w:rPr>
        <w:t xml:space="preserve"> 2026 </w:t>
      </w:r>
      <w:r w:rsidRPr="0051529B">
        <w:rPr>
          <w:rFonts w:hint="eastAsia"/>
          <w:sz w:val="24"/>
          <w:szCs w:val="24"/>
          <w:lang w:val="en-US" w:eastAsia="zh-CN"/>
        </w:rPr>
        <w:t>年</w:t>
      </w:r>
      <w:r w:rsidRPr="0051529B">
        <w:rPr>
          <w:rFonts w:hint="eastAsia"/>
          <w:sz w:val="24"/>
          <w:szCs w:val="24"/>
          <w:lang w:val="en-US" w:eastAsia="zh-CN"/>
        </w:rPr>
        <w:t xml:space="preserve"> 12 </w:t>
      </w:r>
      <w:r w:rsidRPr="0051529B">
        <w:rPr>
          <w:rFonts w:hint="eastAsia"/>
          <w:sz w:val="24"/>
          <w:szCs w:val="24"/>
          <w:lang w:val="en-US" w:eastAsia="zh-CN"/>
        </w:rPr>
        <w:t>月</w:t>
      </w:r>
      <w:r w:rsidRPr="0051529B">
        <w:rPr>
          <w:rFonts w:hint="eastAsia"/>
          <w:sz w:val="24"/>
          <w:szCs w:val="24"/>
          <w:lang w:val="en-US" w:eastAsia="zh-CN"/>
        </w:rPr>
        <w:t xml:space="preserve"> 31 </w:t>
      </w:r>
      <w:r w:rsidRPr="0051529B">
        <w:rPr>
          <w:rFonts w:hint="eastAsia"/>
          <w:sz w:val="24"/>
          <w:szCs w:val="24"/>
          <w:lang w:val="en-US" w:eastAsia="zh-CN"/>
        </w:rPr>
        <w:t>日。</w:t>
      </w:r>
      <w:r w:rsidR="00181944" w:rsidRPr="006D3DA5">
        <w:rPr>
          <w:sz w:val="24"/>
          <w:szCs w:val="24"/>
          <w:lang w:eastAsia="zh-CN"/>
        </w:rPr>
        <w:t xml:space="preserve"> </w:t>
      </w:r>
    </w:p>
    <w:p w14:paraId="7DB1AC20" w14:textId="2D33E1E2" w:rsidR="00733CE3" w:rsidRPr="006D3DA5" w:rsidRDefault="000067C1"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0067C1">
        <w:rPr>
          <w:rFonts w:hint="eastAsia"/>
          <w:sz w:val="24"/>
          <w:szCs w:val="24"/>
          <w:lang w:val="en-US" w:eastAsia="zh-CN"/>
        </w:rPr>
        <w:t>委员会第十八次会议审议了作为议定书缔约方会议的缔约方大会第十次会议就履约相关项目取得的成果，并欢迎作为议定书缔约方会议的缔约方大会对其建议给予的</w:t>
      </w:r>
      <w:r w:rsidR="00145C32">
        <w:rPr>
          <w:rFonts w:hint="eastAsia"/>
          <w:sz w:val="24"/>
          <w:szCs w:val="24"/>
          <w:lang w:val="en-US" w:eastAsia="zh-CN"/>
        </w:rPr>
        <w:t>肯定</w:t>
      </w:r>
      <w:r w:rsidRPr="000067C1">
        <w:rPr>
          <w:rFonts w:hint="eastAsia"/>
          <w:sz w:val="24"/>
          <w:szCs w:val="24"/>
          <w:lang w:val="en-US" w:eastAsia="zh-CN"/>
        </w:rPr>
        <w:t>和做出的有限修改，指出这反映了委员会工作的质量。</w:t>
      </w:r>
      <w:r w:rsidR="005834F7" w:rsidRPr="006D3DA5">
        <w:rPr>
          <w:sz w:val="24"/>
          <w:szCs w:val="24"/>
          <w:lang w:eastAsia="zh-CN"/>
        </w:rPr>
        <w:t xml:space="preserve"> </w:t>
      </w:r>
    </w:p>
    <w:p w14:paraId="35969123" w14:textId="07AB752E" w:rsidR="00BF1B87" w:rsidRPr="006D3DA5" w:rsidRDefault="000067C1"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0067C1">
        <w:rPr>
          <w:rFonts w:hint="eastAsia"/>
          <w:sz w:val="24"/>
          <w:szCs w:val="24"/>
          <w:lang w:val="en-US" w:eastAsia="zh-CN"/>
        </w:rPr>
        <w:t>委员会在同一次会议上审查了一般性的履约问题，并审议了秘书处根据作为议定书缔约方会议的缔约方大会第</w:t>
      </w:r>
      <w:r w:rsidRPr="000067C1">
        <w:rPr>
          <w:rFonts w:hint="eastAsia"/>
          <w:sz w:val="24"/>
          <w:szCs w:val="24"/>
          <w:lang w:val="en-US" w:eastAsia="zh-CN"/>
        </w:rPr>
        <w:t xml:space="preserve"> CP-10/2 </w:t>
      </w:r>
      <w:r w:rsidRPr="000067C1">
        <w:rPr>
          <w:rFonts w:hint="eastAsia"/>
          <w:sz w:val="24"/>
          <w:szCs w:val="24"/>
          <w:lang w:val="en-US" w:eastAsia="zh-CN"/>
        </w:rPr>
        <w:t>号决定开展的调查所取得的结果。委员会决定针对缔约方的履约情况采取几项后续行动，特别侧重于采取必要措施</w:t>
      </w:r>
      <w:r w:rsidR="00145C32">
        <w:rPr>
          <w:rFonts w:hint="eastAsia"/>
          <w:sz w:val="24"/>
          <w:szCs w:val="24"/>
          <w:lang w:val="en-US" w:eastAsia="zh-CN"/>
        </w:rPr>
        <w:t>执行</w:t>
      </w:r>
      <w:r w:rsidRPr="000067C1">
        <w:rPr>
          <w:rFonts w:hint="eastAsia"/>
          <w:sz w:val="24"/>
          <w:szCs w:val="24"/>
          <w:lang w:val="en-US" w:eastAsia="zh-CN"/>
        </w:rPr>
        <w:t>《议定书》的义务和提交国家报告的义务。</w:t>
      </w:r>
      <w:r w:rsidR="00BD5FFE" w:rsidRPr="006D3DA5">
        <w:rPr>
          <w:sz w:val="24"/>
          <w:szCs w:val="24"/>
          <w:lang w:eastAsia="zh-CN"/>
        </w:rPr>
        <w:t xml:space="preserve"> </w:t>
      </w:r>
    </w:p>
    <w:p w14:paraId="1833908A" w14:textId="66A5E1B8" w:rsidR="005A4576" w:rsidRPr="006D3DA5" w:rsidRDefault="0062350C"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62350C">
        <w:rPr>
          <w:rFonts w:hint="eastAsia"/>
          <w:sz w:val="24"/>
          <w:szCs w:val="24"/>
          <w:lang w:val="en-US" w:eastAsia="zh-CN"/>
        </w:rPr>
        <w:lastRenderedPageBreak/>
        <w:t>委员会还在第十八次会议上邀请其成员与各自区域的缔约方接触，商讨委员会确定的履约问题，例如指定国家联络点、提交国家报告和通过生物安全信息交换所提交信息</w:t>
      </w:r>
      <w:r w:rsidR="00145C32">
        <w:rPr>
          <w:rFonts w:hint="eastAsia"/>
          <w:sz w:val="24"/>
          <w:szCs w:val="24"/>
          <w:lang w:val="en-US" w:eastAsia="zh-CN"/>
        </w:rPr>
        <w:t>的问题</w:t>
      </w:r>
      <w:r w:rsidRPr="0062350C">
        <w:rPr>
          <w:rFonts w:hint="eastAsia"/>
          <w:sz w:val="24"/>
          <w:szCs w:val="24"/>
          <w:lang w:val="en-US" w:eastAsia="zh-CN"/>
        </w:rPr>
        <w:t>。</w:t>
      </w:r>
      <w:r w:rsidR="005A4576" w:rsidRPr="006D3DA5">
        <w:rPr>
          <w:sz w:val="24"/>
          <w:szCs w:val="24"/>
          <w:lang w:eastAsia="zh-CN"/>
        </w:rPr>
        <w:t xml:space="preserve"> </w:t>
      </w:r>
    </w:p>
    <w:p w14:paraId="505CB3E7" w14:textId="4A0D08B4" w:rsidR="00BD5FFE" w:rsidRPr="006D3DA5" w:rsidRDefault="0062350C"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62350C">
        <w:rPr>
          <w:rFonts w:hint="eastAsia"/>
          <w:sz w:val="24"/>
          <w:szCs w:val="24"/>
          <w:lang w:val="en-US" w:eastAsia="zh-CN"/>
        </w:rPr>
        <w:t>委员会强调，除了指定国家联络点的义务外，缔约方还有义务根据《议定书》第</w:t>
      </w:r>
      <w:r w:rsidRPr="0062350C">
        <w:rPr>
          <w:rFonts w:hint="eastAsia"/>
          <w:sz w:val="24"/>
          <w:szCs w:val="24"/>
          <w:lang w:val="en-US" w:eastAsia="zh-CN"/>
        </w:rPr>
        <w:t xml:space="preserve"> 19 </w:t>
      </w:r>
      <w:r w:rsidRPr="0062350C">
        <w:rPr>
          <w:rFonts w:hint="eastAsia"/>
          <w:sz w:val="24"/>
          <w:szCs w:val="24"/>
          <w:lang w:val="en-US" w:eastAsia="zh-CN"/>
        </w:rPr>
        <w:t>条随时向秘书处通报其国家联络点联系信息的任何变化。委员会要求执行秘书对两个长期未指定国家联络点的缔约方</w:t>
      </w:r>
      <w:r w:rsidR="00E37A8B">
        <w:rPr>
          <w:rFonts w:hint="eastAsia"/>
          <w:sz w:val="24"/>
          <w:szCs w:val="24"/>
          <w:lang w:val="en-US" w:eastAsia="zh-CN"/>
        </w:rPr>
        <w:t>实行跟进</w:t>
      </w:r>
      <w:r w:rsidRPr="0062350C">
        <w:rPr>
          <w:rFonts w:hint="eastAsia"/>
          <w:sz w:val="24"/>
          <w:szCs w:val="24"/>
          <w:lang w:val="en-US" w:eastAsia="zh-CN"/>
        </w:rPr>
        <w:t>。委员会在第十九次会议上注意到这两个缔约方（马绍尔群岛、圣文森特和格林纳丁斯）缺乏进展，决定将此作为违约个案，对这两个缔约方</w:t>
      </w:r>
      <w:r w:rsidR="00E37A8B">
        <w:rPr>
          <w:rFonts w:hint="eastAsia"/>
          <w:sz w:val="24"/>
          <w:szCs w:val="24"/>
          <w:lang w:val="en-US" w:eastAsia="zh-CN"/>
        </w:rPr>
        <w:t>实行跟进</w:t>
      </w:r>
      <w:r w:rsidRPr="0062350C">
        <w:rPr>
          <w:rFonts w:hint="eastAsia"/>
          <w:sz w:val="24"/>
          <w:szCs w:val="24"/>
          <w:lang w:val="en-US" w:eastAsia="zh-CN"/>
        </w:rPr>
        <w:t>。</w:t>
      </w:r>
    </w:p>
    <w:p w14:paraId="74A2F2A0" w14:textId="012F8ECC" w:rsidR="00710F3E" w:rsidRPr="006D3DA5" w:rsidRDefault="0062350C"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62350C">
        <w:rPr>
          <w:rFonts w:hint="eastAsia"/>
          <w:sz w:val="24"/>
          <w:szCs w:val="24"/>
          <w:lang w:val="en-US" w:eastAsia="zh-CN"/>
        </w:rPr>
        <w:t>委员会在审查违约个案时对既</w:t>
      </w:r>
      <w:r w:rsidR="00145C32" w:rsidRPr="0062350C">
        <w:rPr>
          <w:rFonts w:hint="eastAsia"/>
          <w:sz w:val="24"/>
          <w:szCs w:val="24"/>
          <w:lang w:val="en-US" w:eastAsia="zh-CN"/>
        </w:rPr>
        <w:t>未</w:t>
      </w:r>
      <w:r w:rsidRPr="0062350C">
        <w:rPr>
          <w:rFonts w:hint="eastAsia"/>
          <w:sz w:val="24"/>
          <w:szCs w:val="24"/>
          <w:lang w:val="en-US" w:eastAsia="zh-CN"/>
        </w:rPr>
        <w:t>提交第三次国家报告，也未提交第四次国家报告的缔约方的违约行为表示关切。委员会在第十八次会议上商定，委员会主席将致函有关缔约方的国家联络点，如果未收到回复且未提交报告，委员会主席将致函这些缔约方的外交部，并抄送议定书国家联络点和公约国家联络点，敦促有关缔约方提交国家报告。继这些函件之后，有两个缔约方提交了第四次国家报告。</w:t>
      </w:r>
      <w:r w:rsidR="00AA7DF0" w:rsidRPr="006D3DA5">
        <w:rPr>
          <w:sz w:val="24"/>
          <w:szCs w:val="24"/>
          <w:lang w:eastAsia="zh-CN"/>
        </w:rPr>
        <w:t xml:space="preserve"> </w:t>
      </w:r>
    </w:p>
    <w:p w14:paraId="2B4E2E60" w14:textId="1885CF3A" w:rsidR="00A24E3E" w:rsidRPr="006D3DA5" w:rsidRDefault="003D4EA7"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3D4EA7">
        <w:rPr>
          <w:rFonts w:hint="eastAsia"/>
          <w:sz w:val="24"/>
          <w:szCs w:val="24"/>
          <w:lang w:val="en-US" w:eastAsia="zh-CN"/>
        </w:rPr>
        <w:t>委员会第十九次会议要求其主席联系其余七个尚未提交第三次或第四次国家报告的缔约方（伯利兹、利比亚、瑙鲁、巴布亚新几内亚、卡塔尔、塞舌尔和阿拉伯叙利亚共和国），告知它们委员会已建议作为议定书缔约方会议的缔约方大会，在其第十一次会议上根据第</w:t>
      </w:r>
      <w:r w:rsidRPr="003D4EA7">
        <w:rPr>
          <w:rFonts w:hint="eastAsia"/>
          <w:sz w:val="24"/>
          <w:szCs w:val="24"/>
          <w:lang w:val="en-US" w:eastAsia="zh-CN"/>
        </w:rPr>
        <w:t xml:space="preserve"> BS-I/7 </w:t>
      </w:r>
      <w:r w:rsidRPr="003D4EA7">
        <w:rPr>
          <w:rFonts w:hint="eastAsia"/>
          <w:sz w:val="24"/>
          <w:szCs w:val="24"/>
          <w:lang w:val="en-US" w:eastAsia="zh-CN"/>
        </w:rPr>
        <w:t>号决定附件所载卡塔赫纳生物安全议定书履约程序和机制第六节第</w:t>
      </w:r>
      <w:r w:rsidRPr="003D4EA7">
        <w:rPr>
          <w:rFonts w:hint="eastAsia"/>
          <w:sz w:val="24"/>
          <w:szCs w:val="24"/>
          <w:lang w:val="en-US" w:eastAsia="zh-CN"/>
        </w:rPr>
        <w:t xml:space="preserve"> 2(b)</w:t>
      </w:r>
      <w:r w:rsidRPr="003D4EA7">
        <w:rPr>
          <w:rFonts w:hint="eastAsia"/>
          <w:sz w:val="24"/>
          <w:szCs w:val="24"/>
          <w:lang w:val="en-US" w:eastAsia="zh-CN"/>
        </w:rPr>
        <w:t>段向这些缔约方发出</w:t>
      </w:r>
      <w:r w:rsidR="00FD6B5B">
        <w:rPr>
          <w:rFonts w:hint="eastAsia"/>
          <w:sz w:val="24"/>
          <w:szCs w:val="24"/>
          <w:lang w:val="en-US" w:eastAsia="zh-CN"/>
        </w:rPr>
        <w:t>告诫</w:t>
      </w:r>
      <w:r w:rsidRPr="003D4EA7">
        <w:rPr>
          <w:rFonts w:hint="eastAsia"/>
          <w:sz w:val="24"/>
          <w:szCs w:val="24"/>
          <w:lang w:val="en-US" w:eastAsia="zh-CN"/>
        </w:rPr>
        <w:t>，除非它们在作为议定书缔约方会议的缔约方大会第十一次会议之前提交第四次国家报告。</w:t>
      </w:r>
    </w:p>
    <w:p w14:paraId="3484C62F" w14:textId="54960D94" w:rsidR="007B223A" w:rsidRPr="006D3DA5" w:rsidRDefault="00E3445E"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E3445E">
        <w:rPr>
          <w:rFonts w:hint="eastAsia"/>
          <w:sz w:val="24"/>
          <w:szCs w:val="24"/>
          <w:lang w:val="en-US" w:eastAsia="zh-CN"/>
        </w:rPr>
        <w:t>委员会在同次会议上强调，在审议关于</w:t>
      </w:r>
      <w:r w:rsidR="00145C32">
        <w:rPr>
          <w:rFonts w:hint="eastAsia"/>
          <w:sz w:val="24"/>
          <w:szCs w:val="24"/>
          <w:lang w:val="en-US" w:eastAsia="zh-CN"/>
        </w:rPr>
        <w:t>向</w:t>
      </w:r>
      <w:r w:rsidRPr="00E3445E">
        <w:rPr>
          <w:rFonts w:hint="eastAsia"/>
          <w:sz w:val="24"/>
          <w:szCs w:val="24"/>
          <w:lang w:val="en-US" w:eastAsia="zh-CN"/>
        </w:rPr>
        <w:t>这些缔约方</w:t>
      </w:r>
      <w:r w:rsidR="00145C32">
        <w:rPr>
          <w:rFonts w:hint="eastAsia"/>
          <w:sz w:val="24"/>
          <w:szCs w:val="24"/>
          <w:lang w:val="en-US" w:eastAsia="zh-CN"/>
        </w:rPr>
        <w:t>发出</w:t>
      </w:r>
      <w:r w:rsidR="00145C32">
        <w:rPr>
          <w:rFonts w:hint="eastAsia"/>
          <w:sz w:val="24"/>
          <w:szCs w:val="24"/>
          <w:lang w:val="en-US" w:eastAsia="zh-CN"/>
        </w:rPr>
        <w:t>告诫</w:t>
      </w:r>
      <w:r w:rsidRPr="00E3445E">
        <w:rPr>
          <w:rFonts w:hint="eastAsia"/>
          <w:sz w:val="24"/>
          <w:szCs w:val="24"/>
          <w:lang w:val="en-US" w:eastAsia="zh-CN"/>
        </w:rPr>
        <w:t>的建议时，必须确保考虑到</w:t>
      </w:r>
      <w:r>
        <w:rPr>
          <w:rFonts w:hint="eastAsia"/>
          <w:sz w:val="24"/>
          <w:szCs w:val="24"/>
          <w:lang w:val="en-US" w:eastAsia="zh-CN"/>
        </w:rPr>
        <w:t>有关</w:t>
      </w:r>
      <w:r w:rsidRPr="00E3445E">
        <w:rPr>
          <w:rFonts w:hint="eastAsia"/>
          <w:sz w:val="24"/>
          <w:szCs w:val="24"/>
          <w:lang w:val="en-US" w:eastAsia="zh-CN"/>
        </w:rPr>
        <w:t>委员会在提出该建议之前所采取步骤的背景资料。委员会请秘书处编写一份信息文件，</w:t>
      </w:r>
      <w:r>
        <w:rPr>
          <w:rFonts w:hint="eastAsia"/>
          <w:sz w:val="24"/>
          <w:szCs w:val="24"/>
          <w:lang w:val="en-US" w:eastAsia="zh-CN"/>
        </w:rPr>
        <w:t>用于</w:t>
      </w:r>
      <w:r w:rsidRPr="00E3445E">
        <w:rPr>
          <w:rFonts w:hint="eastAsia"/>
          <w:sz w:val="24"/>
          <w:szCs w:val="24"/>
          <w:lang w:val="en-US" w:eastAsia="zh-CN"/>
        </w:rPr>
        <w:t>支持作为议定书缔约方会议的缔约方大会第十一次会议审议</w:t>
      </w:r>
      <w:r>
        <w:rPr>
          <w:rFonts w:hint="eastAsia"/>
          <w:sz w:val="24"/>
          <w:szCs w:val="24"/>
          <w:lang w:val="en-US" w:eastAsia="zh-CN"/>
        </w:rPr>
        <w:t>这项</w:t>
      </w:r>
      <w:r w:rsidRPr="00E3445E">
        <w:rPr>
          <w:rFonts w:hint="eastAsia"/>
          <w:sz w:val="24"/>
          <w:szCs w:val="24"/>
          <w:lang w:val="en-US" w:eastAsia="zh-CN"/>
        </w:rPr>
        <w:t>建议。</w:t>
      </w:r>
      <w:r w:rsidR="0018369B" w:rsidRPr="006D3DA5">
        <w:rPr>
          <w:rStyle w:val="FootnoteReference"/>
          <w:sz w:val="24"/>
          <w:szCs w:val="24"/>
        </w:rPr>
        <w:footnoteReference w:id="3"/>
      </w:r>
      <w:r w:rsidR="007B223A" w:rsidRPr="006D3DA5">
        <w:rPr>
          <w:sz w:val="24"/>
          <w:szCs w:val="24"/>
          <w:lang w:eastAsia="zh-CN"/>
        </w:rPr>
        <w:t xml:space="preserve"> </w:t>
      </w:r>
    </w:p>
    <w:p w14:paraId="0E4F3289" w14:textId="1ECE7FB1" w:rsidR="00F05CCC" w:rsidRPr="006D3DA5" w:rsidRDefault="00AB65A1"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eastAsia="zh-CN"/>
        </w:rPr>
      </w:pPr>
      <w:r w:rsidRPr="00AB65A1">
        <w:rPr>
          <w:rFonts w:hint="eastAsia"/>
          <w:sz w:val="24"/>
          <w:szCs w:val="24"/>
          <w:lang w:val="en-US" w:eastAsia="zh-CN"/>
        </w:rPr>
        <w:t>委员会第十八次会议审查了缔约方不履行义务，未采取必要措施执行《议定书》的个案。委员会在此背景下审议了正在积极考虑制定履约行动计划的缔约方的最新进展</w:t>
      </w:r>
      <w:r w:rsidRPr="00AB65A1">
        <w:rPr>
          <w:sz w:val="24"/>
          <w:szCs w:val="24"/>
          <w:lang w:val="en-US" w:eastAsia="zh-CN"/>
        </w:rPr>
        <w:t>情况</w:t>
      </w:r>
      <w:r w:rsidRPr="00AB65A1">
        <w:rPr>
          <w:rFonts w:hint="eastAsia"/>
          <w:sz w:val="24"/>
          <w:szCs w:val="24"/>
          <w:lang w:val="en-US" w:eastAsia="zh-CN"/>
        </w:rPr>
        <w:t>，决定邀请这些缔约方在第十九次会议上与委员会进行非正式的在线交流，讨论取得的进展以及在执行计划方面遇到的任何挑战。委员会第十九次会议期间与四个缔约方进行了非正式的在线交流。委员会一致认为，这些交流是有益的，今后应继续这种做法。</w:t>
      </w:r>
      <w:r w:rsidR="00B64CBC" w:rsidRPr="006D3DA5">
        <w:rPr>
          <w:sz w:val="24"/>
          <w:szCs w:val="24"/>
          <w:lang w:eastAsia="zh-CN"/>
        </w:rPr>
        <w:t xml:space="preserve"> </w:t>
      </w:r>
    </w:p>
    <w:p w14:paraId="7F4EC15A" w14:textId="1208E8B5" w:rsidR="00BF21A3" w:rsidRPr="006D3DA5" w:rsidRDefault="0002153E"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02153E">
        <w:rPr>
          <w:rFonts w:hint="eastAsia"/>
          <w:sz w:val="24"/>
          <w:szCs w:val="24"/>
          <w:lang w:val="en-US" w:eastAsia="zh-CN"/>
        </w:rPr>
        <w:t>委员会讨论了联合国环境规划署（环境规划署）可通过其法律和环境援助平台提供的资助，用于制定为执行《议定书》所必需的法律措施。环境规划署的代表在线参加了第十八次会议并提供了更多信息。随后向所有提交了行动计划的缔约方提供了详细信息，说明申请资助的机会。委员会第十九次会议高兴地看到，通过在线交流联系的三个缔约方正处于通过环境规划署法律和环境援助平台获得资助的后期阶段。委员会认识到，尽管有机会获得用于制定立法的资金，但其中一些缔约方仍需要进一步的支持来加强其《议定书》执行工作。委员会指出，在缔约方提到的与制定了生物安全措施后颁布这些措施相关的挑战中，包括缺乏政治意愿和没有把生物安全作为优先事项。</w:t>
      </w:r>
    </w:p>
    <w:p w14:paraId="20355163" w14:textId="1B93C3E7" w:rsidR="00363709" w:rsidRPr="00AC66FE" w:rsidRDefault="00CA6525"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rFonts w:eastAsia="楷体"/>
          <w:bCs/>
          <w:sz w:val="24"/>
          <w:szCs w:val="24"/>
          <w:lang w:eastAsia="zh-CN"/>
        </w:rPr>
      </w:pPr>
      <w:r w:rsidRPr="00CA6525">
        <w:rPr>
          <w:rFonts w:hint="eastAsia"/>
          <w:sz w:val="24"/>
          <w:szCs w:val="24"/>
          <w:lang w:val="en-US" w:eastAsia="zh-CN"/>
        </w:rPr>
        <w:lastRenderedPageBreak/>
        <w:t>委员会讨论了如何需要额外资源的问题。委员会确认，有机会通过全球环境基金</w:t>
      </w:r>
      <w:r w:rsidRPr="00CA6525">
        <w:rPr>
          <w:rFonts w:hint="eastAsia"/>
          <w:sz w:val="24"/>
          <w:szCs w:val="24"/>
          <w:lang w:val="en-US" w:eastAsia="zh-CN"/>
        </w:rPr>
        <w:t xml:space="preserve"> </w:t>
      </w:r>
      <w:r w:rsidRPr="00CA6525">
        <w:rPr>
          <w:rFonts w:hint="eastAsia"/>
          <w:sz w:val="24"/>
          <w:szCs w:val="24"/>
          <w:lang w:val="en-US" w:eastAsia="zh-CN"/>
        </w:rPr>
        <w:t>（全环基金）获得资金，同时也认识到这方面的局限性，造成这些局限性的主要原因是缺乏信息和能力，以及从全环基金获得资金的过程很长。</w:t>
      </w:r>
      <w:r w:rsidR="00363709" w:rsidRPr="006D3DA5">
        <w:rPr>
          <w:sz w:val="24"/>
          <w:szCs w:val="24"/>
          <w:lang w:eastAsia="zh-CN"/>
        </w:rPr>
        <w:t xml:space="preserve"> </w:t>
      </w:r>
    </w:p>
    <w:p w14:paraId="0495BF7F" w14:textId="06A899C3" w:rsidR="00A33175" w:rsidRPr="006D3DA5" w:rsidRDefault="00A24E9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A24E9B">
        <w:rPr>
          <w:rFonts w:hint="eastAsia"/>
          <w:sz w:val="24"/>
          <w:szCs w:val="24"/>
          <w:lang w:eastAsia="zh-CN"/>
        </w:rPr>
        <w:t>委员会第十八次会议根据从更多国家报告中提取的信息，查明了更多据报告未采取必要措施执行《议定书》的缔约方。委员会要求这些缔约方制定一项履约行动计划。</w:t>
      </w:r>
      <w:r w:rsidR="00A33175" w:rsidRPr="006D3DA5">
        <w:rPr>
          <w:sz w:val="24"/>
          <w:szCs w:val="24"/>
          <w:lang w:eastAsia="zh-CN"/>
        </w:rPr>
        <w:t xml:space="preserve"> </w:t>
      </w:r>
    </w:p>
    <w:p w14:paraId="41999188" w14:textId="6CBF995D" w:rsidR="00E126DD" w:rsidRPr="006D3DA5" w:rsidRDefault="00A24E9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A24E9B">
        <w:rPr>
          <w:rFonts w:hint="eastAsia"/>
          <w:sz w:val="24"/>
          <w:szCs w:val="24"/>
          <w:lang w:val="en-US" w:eastAsia="zh-CN"/>
        </w:rPr>
        <w:t>委员会第十八次会议之后，又有五个缔约方提交了履约行动计划，使正在审议之中的行动计划总数达到</w:t>
      </w:r>
      <w:r w:rsidRPr="00A24E9B">
        <w:rPr>
          <w:rFonts w:hint="eastAsia"/>
          <w:sz w:val="24"/>
          <w:szCs w:val="24"/>
          <w:lang w:val="en-US" w:eastAsia="zh-CN"/>
        </w:rPr>
        <w:t xml:space="preserve"> 11 </w:t>
      </w:r>
      <w:r w:rsidRPr="00A24E9B">
        <w:rPr>
          <w:rFonts w:hint="eastAsia"/>
          <w:sz w:val="24"/>
          <w:szCs w:val="24"/>
          <w:lang w:val="en-US" w:eastAsia="zh-CN"/>
        </w:rPr>
        <w:t>个。委员会第十九次会议对提交这些计划表示欢迎，商定由秘书处就计划所述各项行动向缔约方了解情况。</w:t>
      </w:r>
      <w:r w:rsidR="00F10D96" w:rsidRPr="006D3DA5">
        <w:rPr>
          <w:sz w:val="24"/>
          <w:szCs w:val="24"/>
          <w:lang w:eastAsia="zh-CN"/>
        </w:rPr>
        <w:t xml:space="preserve"> </w:t>
      </w:r>
      <w:r w:rsidR="004A6AC0" w:rsidRPr="006D3DA5">
        <w:rPr>
          <w:sz w:val="24"/>
          <w:szCs w:val="24"/>
          <w:lang w:eastAsia="zh-CN"/>
        </w:rPr>
        <w:t xml:space="preserve"> </w:t>
      </w:r>
    </w:p>
    <w:p w14:paraId="2E420D01" w14:textId="510F7E82" w:rsidR="00AF2AAC" w:rsidRPr="006D3DA5" w:rsidRDefault="00C73BB8"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kern w:val="22"/>
          <w:sz w:val="24"/>
          <w:szCs w:val="24"/>
          <w:lang w:eastAsia="zh-CN"/>
        </w:rPr>
      </w:pPr>
      <w:r w:rsidRPr="00C73BB8">
        <w:rPr>
          <w:rFonts w:hint="eastAsia"/>
          <w:sz w:val="24"/>
          <w:szCs w:val="24"/>
          <w:lang w:val="en-US" w:eastAsia="zh-CN"/>
        </w:rPr>
        <w:t>委员会第十九次会议强调了向正在审议其履约行动计划的缔约方提供资助的重要性。</w:t>
      </w:r>
      <w:r w:rsidR="00AF2AAC" w:rsidRPr="006D3DA5">
        <w:rPr>
          <w:sz w:val="24"/>
          <w:szCs w:val="24"/>
          <w:lang w:eastAsia="zh-CN"/>
        </w:rPr>
        <w:t xml:space="preserve"> </w:t>
      </w:r>
    </w:p>
    <w:p w14:paraId="1D3F38B3" w14:textId="1A9B73C9" w:rsidR="0035136F" w:rsidRPr="006D3DA5" w:rsidRDefault="00C73BB8"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C73BB8">
        <w:rPr>
          <w:rFonts w:hint="eastAsia"/>
          <w:sz w:val="24"/>
          <w:szCs w:val="24"/>
          <w:lang w:val="en-US" w:eastAsia="zh-CN"/>
        </w:rPr>
        <w:t>一些被要求制定履约行动计划的缔约方提供了信息，说明采取措施执行《议定书》方面的进展情况。委员会第十九次会议对其中一个缔约方在生物安全信息交换所公布其措施表示欢迎，并决定在就国家报告中的信息与生物安全信息交换所信息不一致的情况进行交流时，对那些尚未公布其措施的其他缔约方</w:t>
      </w:r>
      <w:r w:rsidR="00E37A8B">
        <w:rPr>
          <w:rFonts w:hint="eastAsia"/>
          <w:sz w:val="24"/>
          <w:szCs w:val="24"/>
          <w:lang w:val="en-US" w:eastAsia="zh-CN"/>
        </w:rPr>
        <w:t>实行跟进</w:t>
      </w:r>
      <w:r w:rsidRPr="00C73BB8">
        <w:rPr>
          <w:rFonts w:hint="eastAsia"/>
          <w:sz w:val="24"/>
          <w:szCs w:val="24"/>
          <w:lang w:val="en-US" w:eastAsia="zh-CN"/>
        </w:rPr>
        <w:t>。</w:t>
      </w:r>
      <w:r w:rsidR="00802ADA" w:rsidRPr="006D3DA5">
        <w:rPr>
          <w:sz w:val="24"/>
          <w:szCs w:val="24"/>
          <w:lang w:eastAsia="zh-CN"/>
        </w:rPr>
        <w:t xml:space="preserve"> </w:t>
      </w:r>
    </w:p>
    <w:p w14:paraId="1DE52AD9" w14:textId="0ECF464B" w:rsidR="00533D8D" w:rsidRPr="006D3DA5" w:rsidRDefault="00E37A8B"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E37A8B">
        <w:rPr>
          <w:rFonts w:hint="eastAsia"/>
          <w:sz w:val="24"/>
          <w:szCs w:val="24"/>
          <w:lang w:val="en-US" w:eastAsia="zh-CN"/>
        </w:rPr>
        <w:t>委员会决定对那些尚未提交履约行动计划的缔约方</w:t>
      </w:r>
      <w:r>
        <w:rPr>
          <w:rFonts w:hint="eastAsia"/>
          <w:sz w:val="24"/>
          <w:szCs w:val="24"/>
          <w:lang w:val="en-US" w:eastAsia="zh-CN"/>
        </w:rPr>
        <w:t>实行跟进</w:t>
      </w:r>
      <w:r w:rsidRPr="00E37A8B">
        <w:rPr>
          <w:rFonts w:hint="eastAsia"/>
          <w:sz w:val="24"/>
          <w:szCs w:val="24"/>
          <w:lang w:val="en-US" w:eastAsia="zh-CN"/>
        </w:rPr>
        <w:t>。</w:t>
      </w:r>
      <w:r w:rsidR="00F53AE3" w:rsidRPr="006D3DA5">
        <w:rPr>
          <w:sz w:val="24"/>
          <w:szCs w:val="24"/>
          <w:lang w:eastAsia="zh-CN"/>
        </w:rPr>
        <w:t xml:space="preserve"> </w:t>
      </w:r>
    </w:p>
    <w:p w14:paraId="15442E8B" w14:textId="5AF274B6" w:rsidR="00430FBF" w:rsidRPr="006D3DA5" w:rsidRDefault="00E26BF3"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E26BF3">
        <w:rPr>
          <w:rFonts w:hint="eastAsia"/>
          <w:sz w:val="24"/>
          <w:szCs w:val="24"/>
          <w:lang w:val="en-US" w:eastAsia="zh-CN"/>
        </w:rPr>
        <w:t>委员会成员在第十八和第十九次会议的其他事项下讨论了生物技术的新发展。委员会回顾了第十六次会议关于该主题的讨论。</w:t>
      </w:r>
      <w:r w:rsidRPr="00E26BF3">
        <w:rPr>
          <w:sz w:val="24"/>
          <w:szCs w:val="24"/>
          <w:vertAlign w:val="superscript"/>
          <w:lang w:val="en-US"/>
        </w:rPr>
        <w:footnoteReference w:id="4"/>
      </w:r>
      <w:r w:rsidRPr="00E26BF3">
        <w:rPr>
          <w:rFonts w:hint="eastAsia"/>
          <w:sz w:val="24"/>
          <w:szCs w:val="24"/>
          <w:lang w:val="en-US" w:eastAsia="zh-CN"/>
        </w:rPr>
        <w:t xml:space="preserve"> </w:t>
      </w:r>
      <w:r w:rsidRPr="00E26BF3">
        <w:rPr>
          <w:rFonts w:hint="eastAsia"/>
          <w:sz w:val="24"/>
          <w:szCs w:val="24"/>
          <w:lang w:val="en-US" w:eastAsia="zh-CN"/>
        </w:rPr>
        <w:t>委员会注意到，合成生物学特设技术专家组在其</w:t>
      </w:r>
      <w:r w:rsidRPr="00E26BF3">
        <w:rPr>
          <w:rFonts w:hint="eastAsia"/>
          <w:sz w:val="24"/>
          <w:szCs w:val="24"/>
          <w:lang w:val="en-US" w:eastAsia="zh-CN"/>
        </w:rPr>
        <w:t xml:space="preserve"> 2017 </w:t>
      </w:r>
      <w:r w:rsidRPr="00E26BF3">
        <w:rPr>
          <w:rFonts w:hint="eastAsia"/>
          <w:sz w:val="24"/>
          <w:szCs w:val="24"/>
          <w:lang w:val="en-US" w:eastAsia="zh-CN"/>
        </w:rPr>
        <w:t>年</w:t>
      </w:r>
      <w:r w:rsidRPr="00E26BF3">
        <w:rPr>
          <w:rFonts w:hint="eastAsia"/>
          <w:sz w:val="24"/>
          <w:szCs w:val="24"/>
          <w:lang w:val="en-US" w:eastAsia="zh-CN"/>
        </w:rPr>
        <w:t xml:space="preserve"> 12 </w:t>
      </w:r>
      <w:r w:rsidRPr="00E26BF3">
        <w:rPr>
          <w:rFonts w:hint="eastAsia"/>
          <w:sz w:val="24"/>
          <w:szCs w:val="24"/>
          <w:lang w:val="en-US" w:eastAsia="zh-CN"/>
        </w:rPr>
        <w:t>月会议的报告中得出结论认为，大多数通过合成生物学技术已经开发或目前正在研发之中的生物体，包括含有工程基因驱动的生物体，都</w:t>
      </w:r>
      <w:r w:rsidR="00145C32">
        <w:rPr>
          <w:rFonts w:hint="eastAsia"/>
          <w:sz w:val="24"/>
          <w:szCs w:val="24"/>
          <w:lang w:val="en-US" w:eastAsia="zh-CN"/>
        </w:rPr>
        <w:t>符合</w:t>
      </w:r>
      <w:r w:rsidRPr="00E26BF3">
        <w:rPr>
          <w:rFonts w:hint="eastAsia"/>
          <w:sz w:val="24"/>
          <w:szCs w:val="24"/>
          <w:lang w:val="en-US" w:eastAsia="zh-CN"/>
        </w:rPr>
        <w:t>《卡塔赫纳议定书》规定的“活体改性生物体”的定义。</w:t>
      </w:r>
      <w:r w:rsidRPr="00E26BF3">
        <w:rPr>
          <w:sz w:val="24"/>
          <w:szCs w:val="24"/>
          <w:vertAlign w:val="superscript"/>
          <w:lang w:val="en-US"/>
        </w:rPr>
        <w:footnoteReference w:id="5"/>
      </w:r>
      <w:r w:rsidRPr="00E26BF3">
        <w:rPr>
          <w:rFonts w:hint="eastAsia"/>
          <w:sz w:val="24"/>
          <w:szCs w:val="24"/>
          <w:lang w:val="en-US" w:eastAsia="zh-CN"/>
        </w:rPr>
        <w:t xml:space="preserve"> </w:t>
      </w:r>
      <w:r w:rsidRPr="00E26BF3">
        <w:rPr>
          <w:rFonts w:hint="eastAsia"/>
          <w:sz w:val="24"/>
          <w:szCs w:val="24"/>
          <w:lang w:val="en-US" w:eastAsia="zh-CN"/>
        </w:rPr>
        <w:t>委员会还指出，技术专家组在</w:t>
      </w:r>
      <w:r w:rsidRPr="00E26BF3">
        <w:rPr>
          <w:rFonts w:hint="eastAsia"/>
          <w:sz w:val="24"/>
          <w:szCs w:val="24"/>
          <w:lang w:val="en-US" w:eastAsia="zh-CN"/>
        </w:rPr>
        <w:t xml:space="preserve"> 2019 </w:t>
      </w:r>
      <w:r w:rsidRPr="00E26BF3">
        <w:rPr>
          <w:rFonts w:hint="eastAsia"/>
          <w:sz w:val="24"/>
          <w:szCs w:val="24"/>
          <w:lang w:val="en-US" w:eastAsia="zh-CN"/>
        </w:rPr>
        <w:t>年</w:t>
      </w:r>
      <w:r w:rsidRPr="00E26BF3">
        <w:rPr>
          <w:rFonts w:hint="eastAsia"/>
          <w:sz w:val="24"/>
          <w:szCs w:val="24"/>
          <w:lang w:val="en-US" w:eastAsia="zh-CN"/>
        </w:rPr>
        <w:t xml:space="preserve"> 6 </w:t>
      </w:r>
      <w:r w:rsidRPr="00E26BF3">
        <w:rPr>
          <w:rFonts w:hint="eastAsia"/>
          <w:sz w:val="24"/>
          <w:szCs w:val="24"/>
          <w:lang w:val="en-US" w:eastAsia="zh-CN"/>
        </w:rPr>
        <w:t>月举行的会议上商定，其结论仍然有效。</w:t>
      </w:r>
      <w:r w:rsidRPr="00E26BF3">
        <w:rPr>
          <w:sz w:val="24"/>
          <w:szCs w:val="24"/>
          <w:vertAlign w:val="superscript"/>
          <w:lang w:val="en-US"/>
        </w:rPr>
        <w:footnoteReference w:id="6"/>
      </w:r>
    </w:p>
    <w:p w14:paraId="5867BE1E" w14:textId="159A4EBE" w:rsidR="006538F9" w:rsidRPr="00AC66FE" w:rsidRDefault="00DB5CB6" w:rsidP="00B4417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rFonts w:eastAsia="楷体"/>
          <w:iCs/>
          <w:sz w:val="24"/>
          <w:szCs w:val="24"/>
          <w:lang w:eastAsia="zh-CN"/>
        </w:rPr>
      </w:pPr>
      <w:r w:rsidRPr="00DB5CB6">
        <w:rPr>
          <w:rFonts w:hint="eastAsia"/>
          <w:sz w:val="24"/>
          <w:szCs w:val="24"/>
          <w:lang w:val="en-US" w:eastAsia="zh-CN"/>
        </w:rPr>
        <w:t>委员会成员对以下情况表示关切：对《卡塔赫纳议定书》的“活体改性生物体”定义存在不同的解释，以及缔约方对包括基因组编辑在内的生物技术新发展采取的立法方法各有不同。委员会一致认为，委员会自己无法解决这个问题，但必须提请作为议定书缔约方会议的缔约方大会</w:t>
      </w:r>
      <w:r w:rsidR="00145C32">
        <w:rPr>
          <w:rFonts w:hint="eastAsia"/>
          <w:sz w:val="24"/>
          <w:szCs w:val="24"/>
          <w:lang w:val="en-US" w:eastAsia="zh-CN"/>
        </w:rPr>
        <w:t>关注</w:t>
      </w:r>
      <w:r w:rsidRPr="00DB5CB6">
        <w:rPr>
          <w:rFonts w:hint="eastAsia"/>
          <w:sz w:val="24"/>
          <w:szCs w:val="24"/>
          <w:lang w:val="en-US" w:eastAsia="zh-CN"/>
        </w:rPr>
        <w:t>此事。委员会决定，建议作为议定书缔约方会议的缔约方大会在其第十一次会议上进一步审议这一问题。</w:t>
      </w:r>
    </w:p>
    <w:p w14:paraId="6780187E" w14:textId="2B9A0536" w:rsidR="005834F7" w:rsidRPr="002E0632" w:rsidRDefault="002E0632" w:rsidP="002E0632">
      <w:pPr>
        <w:pStyle w:val="CBDNormalNumbe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2E0632">
        <w:rPr>
          <w:rFonts w:hint="eastAsia"/>
          <w:sz w:val="24"/>
          <w:szCs w:val="24"/>
          <w:lang w:val="en-US" w:eastAsia="zh-CN"/>
        </w:rPr>
        <w:t>委员会第十八和第十九次会议工作报告全文</w:t>
      </w:r>
      <w:r w:rsidRPr="002E0632">
        <w:rPr>
          <w:sz w:val="24"/>
          <w:szCs w:val="24"/>
          <w:vertAlign w:val="superscript"/>
          <w:lang w:val="en-US"/>
        </w:rPr>
        <w:footnoteReference w:id="7"/>
      </w:r>
      <w:r w:rsidRPr="002E0632">
        <w:rPr>
          <w:rFonts w:hint="eastAsia"/>
          <w:sz w:val="24"/>
          <w:szCs w:val="24"/>
          <w:lang w:val="en-US" w:eastAsia="zh-CN"/>
        </w:rPr>
        <w:t>以及每次会议的工作文件可在秘书处</w:t>
      </w:r>
      <w:hyperlink r:id="rId14" w:history="1">
        <w:r w:rsidRPr="002E0632">
          <w:rPr>
            <w:rStyle w:val="Hyperlink"/>
            <w:rFonts w:hint="eastAsia"/>
            <w:sz w:val="24"/>
            <w:szCs w:val="24"/>
            <w:lang w:val="en-US" w:eastAsia="zh-CN"/>
          </w:rPr>
          <w:t>网站</w:t>
        </w:r>
      </w:hyperlink>
      <w:r w:rsidRPr="002E0632">
        <w:rPr>
          <w:rFonts w:hint="eastAsia"/>
          <w:sz w:val="24"/>
          <w:szCs w:val="24"/>
          <w:lang w:val="en-US" w:eastAsia="zh-CN"/>
        </w:rPr>
        <w:t>上查阅。</w:t>
      </w:r>
    </w:p>
    <w:p w14:paraId="673B9E44" w14:textId="77777777" w:rsidR="002B559C" w:rsidRPr="006D3DA5" w:rsidRDefault="002B559C" w:rsidP="00B44172">
      <w:pPr>
        <w:pStyle w:val="Para1"/>
        <w:numPr>
          <w:ilvl w:val="0"/>
          <w:numId w:val="0"/>
        </w:numPr>
        <w:tabs>
          <w:tab w:val="clear" w:pos="567"/>
          <w:tab w:val="clear" w:pos="1134"/>
          <w:tab w:val="clear" w:pos="1701"/>
          <w:tab w:val="clear" w:pos="2268"/>
        </w:tabs>
        <w:spacing w:line="240" w:lineRule="atLeast"/>
        <w:ind w:left="490"/>
        <w:rPr>
          <w:sz w:val="24"/>
          <w:szCs w:val="24"/>
          <w:lang w:eastAsia="zh-CN"/>
        </w:rPr>
        <w:sectPr w:rsidR="002B559C" w:rsidRPr="006D3DA5" w:rsidSect="00C10E36">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7533854B" w14:textId="50C8C3F6" w:rsidR="002B559C" w:rsidRPr="00A54FA0" w:rsidRDefault="002E0632" w:rsidP="00B44172">
      <w:pPr>
        <w:pStyle w:val="Annex"/>
        <w:spacing w:before="120" w:after="120" w:line="240" w:lineRule="atLeast"/>
        <w:ind w:left="490"/>
        <w:rPr>
          <w:lang w:eastAsia="zh-CN"/>
        </w:rPr>
      </w:pPr>
      <w:r>
        <w:rPr>
          <w:rFonts w:hint="eastAsia"/>
          <w:lang w:eastAsia="zh-CN"/>
        </w:rPr>
        <w:lastRenderedPageBreak/>
        <w:t>附件</w:t>
      </w:r>
    </w:p>
    <w:p w14:paraId="548D9258" w14:textId="35F25368" w:rsidR="00E1597C" w:rsidRDefault="002E0632" w:rsidP="002E0632">
      <w:pPr>
        <w:pStyle w:val="CBDTitle"/>
        <w:tabs>
          <w:tab w:val="clear" w:pos="567"/>
          <w:tab w:val="clear" w:pos="1134"/>
          <w:tab w:val="clear" w:pos="1701"/>
          <w:tab w:val="clear" w:pos="2268"/>
          <w:tab w:val="clear" w:pos="2835"/>
          <w:tab w:val="clear" w:pos="3402"/>
        </w:tabs>
        <w:spacing w:before="120" w:after="120" w:line="240" w:lineRule="atLeast"/>
        <w:ind w:left="490"/>
        <w:rPr>
          <w:lang w:eastAsia="zh-CN"/>
        </w:rPr>
      </w:pPr>
      <w:r w:rsidRPr="002E0632">
        <w:rPr>
          <w:rFonts w:hint="eastAsia"/>
          <w:lang w:val="en-US" w:eastAsia="zh-CN"/>
        </w:rPr>
        <w:t>履约委员会向作为卡塔赫纳生物安全议定书缔约方会议的缔约方大会第十一次会议提出的建议</w:t>
      </w:r>
      <w:r w:rsidR="00451465">
        <w:rPr>
          <w:rStyle w:val="FootnoteReference"/>
          <w:lang w:eastAsia="zh-CN"/>
        </w:rPr>
        <w:footnoteReference w:customMarkFollows="1" w:id="8"/>
        <w:t>*</w:t>
      </w:r>
    </w:p>
    <w:p w14:paraId="1CA27006" w14:textId="137BF32F" w:rsidR="003C5884" w:rsidRPr="002E0632" w:rsidRDefault="002E0632" w:rsidP="002E0632">
      <w:pPr>
        <w:pStyle w:val="CBDH1"/>
        <w:tabs>
          <w:tab w:val="clear" w:pos="567"/>
          <w:tab w:val="clear" w:pos="1134"/>
          <w:tab w:val="clear" w:pos="1701"/>
          <w:tab w:val="clear" w:pos="2268"/>
          <w:tab w:val="clear" w:pos="2835"/>
          <w:tab w:val="clear" w:pos="3402"/>
        </w:tabs>
        <w:spacing w:before="120" w:line="240" w:lineRule="atLeast"/>
        <w:ind w:left="490" w:hanging="490"/>
        <w:rPr>
          <w:sz w:val="24"/>
          <w:szCs w:val="24"/>
        </w:rPr>
      </w:pPr>
      <w:r w:rsidRPr="002E0632">
        <w:rPr>
          <w:rFonts w:hint="eastAsia"/>
          <w:sz w:val="24"/>
          <w:szCs w:val="24"/>
          <w:lang w:eastAsia="zh-CN"/>
        </w:rPr>
        <w:t>一</w:t>
      </w:r>
      <w:r w:rsidR="00575EA6" w:rsidRPr="002E0632">
        <w:rPr>
          <w:sz w:val="24"/>
          <w:szCs w:val="24"/>
        </w:rPr>
        <w:t>.</w:t>
      </w:r>
      <w:r w:rsidR="00575EA6" w:rsidRPr="002E0632">
        <w:rPr>
          <w:sz w:val="24"/>
          <w:szCs w:val="24"/>
        </w:rPr>
        <w:tab/>
      </w:r>
      <w:r w:rsidRPr="002E0632">
        <w:rPr>
          <w:rFonts w:hint="eastAsia"/>
          <w:sz w:val="24"/>
          <w:szCs w:val="24"/>
          <w:lang w:eastAsia="zh-CN"/>
        </w:rPr>
        <w:t>履约问题</w:t>
      </w:r>
    </w:p>
    <w:p w14:paraId="6494DB10" w14:textId="29F4FDD0" w:rsidR="00082553" w:rsidRPr="003A7416" w:rsidRDefault="00C03174" w:rsidP="003A7416">
      <w:pPr>
        <w:pStyle w:val="CBDNormalNumber"/>
        <w:numPr>
          <w:ilvl w:val="0"/>
          <w:numId w:val="13"/>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3A7416">
        <w:rPr>
          <w:rFonts w:hint="eastAsia"/>
          <w:sz w:val="24"/>
          <w:szCs w:val="24"/>
          <w:lang w:val="en-US" w:eastAsia="zh-CN"/>
        </w:rPr>
        <w:t>委员会认识到，以生物技术的新发展为背景，明确《卡塔赫纳生物安全议定书》下对“活体改性生物”一词的定义的适用性，将为履约委员会</w:t>
      </w:r>
      <w:r w:rsidR="003A7416" w:rsidRPr="003A7416">
        <w:rPr>
          <w:rFonts w:hint="eastAsia"/>
          <w:sz w:val="24"/>
          <w:szCs w:val="24"/>
          <w:lang w:val="en-US" w:eastAsia="zh-CN"/>
        </w:rPr>
        <w:t>行使</w:t>
      </w:r>
      <w:r w:rsidRPr="003A7416">
        <w:rPr>
          <w:rFonts w:hint="eastAsia"/>
          <w:sz w:val="24"/>
          <w:szCs w:val="24"/>
          <w:lang w:val="en-US" w:eastAsia="zh-CN"/>
        </w:rPr>
        <w:t>职责，审查缔约方对《议定书》</w:t>
      </w:r>
      <w:r w:rsidR="003A7416" w:rsidRPr="003A7416">
        <w:rPr>
          <w:rFonts w:hint="eastAsia"/>
          <w:sz w:val="24"/>
          <w:szCs w:val="24"/>
          <w:lang w:val="en-US" w:eastAsia="zh-CN"/>
        </w:rPr>
        <w:t>下的</w:t>
      </w:r>
      <w:r w:rsidRPr="003A7416">
        <w:rPr>
          <w:rFonts w:hint="eastAsia"/>
          <w:sz w:val="24"/>
          <w:szCs w:val="24"/>
          <w:lang w:val="en-US" w:eastAsia="zh-CN"/>
        </w:rPr>
        <w:t>义务的履行情况</w:t>
      </w:r>
      <w:r w:rsidR="003A7416" w:rsidRPr="003A7416">
        <w:rPr>
          <w:rFonts w:hint="eastAsia"/>
          <w:sz w:val="24"/>
          <w:szCs w:val="24"/>
          <w:lang w:val="en-US" w:eastAsia="zh-CN"/>
        </w:rPr>
        <w:t>奠定</w:t>
      </w:r>
      <w:r w:rsidRPr="003A7416">
        <w:rPr>
          <w:rFonts w:hint="eastAsia"/>
          <w:sz w:val="24"/>
          <w:szCs w:val="24"/>
          <w:lang w:val="en-US" w:eastAsia="zh-CN"/>
        </w:rPr>
        <w:t>基础，因此建议作为议定书缔约方会议的缔约方大会第十一次会议进一步审议对《卡塔赫纳议定书》下的“活体改性生物”定义的不同解释所产生的影响，以及缔约方对包括基因组编辑在内的生物技术新发展所采取的各不相同的立法方法所产生的影响。</w:t>
      </w:r>
    </w:p>
    <w:p w14:paraId="5D7252C8" w14:textId="136510D7" w:rsidR="00383BAF" w:rsidRPr="006D3DA5" w:rsidRDefault="00C03174" w:rsidP="003A7416">
      <w:pPr>
        <w:pStyle w:val="CBDNormalNumber"/>
        <w:numPr>
          <w:ilvl w:val="0"/>
          <w:numId w:val="13"/>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C03174">
        <w:rPr>
          <w:rFonts w:hint="eastAsia"/>
          <w:sz w:val="24"/>
          <w:szCs w:val="24"/>
          <w:lang w:val="en-US" w:eastAsia="zh-CN"/>
        </w:rPr>
        <w:t>履约委员会还建议作为议定书缔约方会议的缔约方大会第十一次会议通过大致如下的决定草案：</w:t>
      </w:r>
    </w:p>
    <w:p w14:paraId="46B1DBD3" w14:textId="28579DCD" w:rsidR="006C3795" w:rsidRPr="00AC66FE" w:rsidRDefault="003E75CB" w:rsidP="002E0632">
      <w:pPr>
        <w:pStyle w:val="CBDH2"/>
        <w:tabs>
          <w:tab w:val="clear" w:pos="567"/>
          <w:tab w:val="clear" w:pos="1134"/>
          <w:tab w:val="clear" w:pos="1701"/>
          <w:tab w:val="clear" w:pos="2268"/>
          <w:tab w:val="clear" w:pos="2835"/>
          <w:tab w:val="clear" w:pos="3402"/>
          <w:tab w:val="clear" w:pos="3969"/>
        </w:tabs>
        <w:spacing w:line="240" w:lineRule="atLeast"/>
        <w:ind w:left="0" w:firstLine="0"/>
        <w:rPr>
          <w:rFonts w:ascii="楷体" w:eastAsia="楷体" w:hAnsi="楷体"/>
          <w:b w:val="0"/>
          <w:bCs/>
          <w:szCs w:val="24"/>
        </w:rPr>
      </w:pPr>
      <w:r w:rsidRPr="006D3DA5">
        <w:rPr>
          <w:szCs w:val="24"/>
          <w:lang w:eastAsia="zh-CN"/>
        </w:rPr>
        <w:tab/>
      </w:r>
      <w:proofErr w:type="spellStart"/>
      <w:r w:rsidR="00AC66FE" w:rsidRPr="00AC66FE">
        <w:rPr>
          <w:rFonts w:ascii="楷体" w:eastAsia="楷体" w:hAnsi="楷体" w:hint="eastAsia"/>
          <w:b w:val="0"/>
          <w:bCs/>
          <w:szCs w:val="24"/>
          <w:lang w:val="en-US"/>
        </w:rPr>
        <w:t>一般性问题</w:t>
      </w:r>
      <w:proofErr w:type="spellEnd"/>
    </w:p>
    <w:p w14:paraId="68DC18B3" w14:textId="3785F182" w:rsidR="009760E7" w:rsidRPr="00AC66FE" w:rsidRDefault="00AC66FE" w:rsidP="002E0632">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楷体"/>
          <w:bCs/>
          <w:iCs/>
          <w:snapToGrid w:val="0"/>
          <w:kern w:val="22"/>
          <w:sz w:val="24"/>
          <w:szCs w:val="24"/>
          <w:lang w:eastAsia="zh-CN"/>
          <w14:ligatures w14:val="standardContextual"/>
        </w:rPr>
      </w:pPr>
      <w:r w:rsidRPr="00AC66FE">
        <w:rPr>
          <w:rFonts w:eastAsia="楷体" w:hint="eastAsia"/>
          <w:bCs/>
          <w:iCs/>
          <w:sz w:val="24"/>
          <w:szCs w:val="24"/>
          <w:lang w:eastAsia="zh-CN"/>
        </w:rPr>
        <w:t>作为卡塔赫纳生物安全议定书缔约方会议的缔约方大会</w:t>
      </w:r>
      <w:r w:rsidR="00E05688">
        <w:rPr>
          <w:rFonts w:eastAsia="楷体" w:hint="eastAsia"/>
          <w:bCs/>
          <w:iCs/>
          <w:sz w:val="24"/>
          <w:szCs w:val="24"/>
          <w:lang w:eastAsia="zh-CN"/>
        </w:rPr>
        <w:t>，</w:t>
      </w:r>
    </w:p>
    <w:p w14:paraId="45B96931" w14:textId="6454C6F5" w:rsidR="004F4E38" w:rsidRPr="006D3DA5" w:rsidRDefault="003B1A6D" w:rsidP="002E0632">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w:t>
      </w:r>
      <w:r w:rsidR="006261EF" w:rsidRPr="006D3DA5">
        <w:rPr>
          <w:sz w:val="24"/>
          <w:szCs w:val="24"/>
          <w:lang w:eastAsia="zh-CN"/>
        </w:rPr>
        <w:tab/>
      </w:r>
      <w:r w:rsidR="00AC66FE" w:rsidRPr="00AC66FE">
        <w:rPr>
          <w:rFonts w:eastAsia="楷体" w:hint="eastAsia"/>
          <w:iCs/>
          <w:sz w:val="24"/>
          <w:szCs w:val="24"/>
          <w:lang w:val="en-US" w:eastAsia="zh-CN"/>
        </w:rPr>
        <w:t>提醒</w:t>
      </w:r>
      <w:r w:rsidR="00AC66FE" w:rsidRPr="00AC66FE">
        <w:rPr>
          <w:rFonts w:hint="eastAsia"/>
          <w:sz w:val="24"/>
          <w:szCs w:val="24"/>
          <w:lang w:val="en-US" w:eastAsia="zh-CN"/>
        </w:rPr>
        <w:t>缔约方履行《卡塔赫纳生物安全议定书》下的义务的重要性；</w:t>
      </w:r>
      <w:r w:rsidR="000C072A" w:rsidRPr="006D3DA5">
        <w:rPr>
          <w:rStyle w:val="FootnoteReference"/>
          <w:sz w:val="24"/>
          <w:szCs w:val="24"/>
        </w:rPr>
        <w:footnoteReference w:id="9"/>
      </w:r>
    </w:p>
    <w:p w14:paraId="750552AA" w14:textId="577D51E6" w:rsidR="004F4E38" w:rsidRPr="00AC66FE" w:rsidRDefault="003B1A6D" w:rsidP="002E0632">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2</w:t>
      </w:r>
      <w:r w:rsidR="00530312" w:rsidRPr="006D3DA5">
        <w:rPr>
          <w:sz w:val="24"/>
          <w:szCs w:val="24"/>
          <w:lang w:eastAsia="zh-CN"/>
        </w:rPr>
        <w:t>.</w:t>
      </w:r>
      <w:r w:rsidR="005724A5" w:rsidRPr="006D3DA5">
        <w:rPr>
          <w:sz w:val="24"/>
          <w:szCs w:val="24"/>
          <w:lang w:eastAsia="zh-CN"/>
        </w:rPr>
        <w:tab/>
      </w:r>
      <w:r w:rsidR="00AC66FE" w:rsidRPr="00AC66FE">
        <w:rPr>
          <w:rFonts w:eastAsia="楷体" w:hint="eastAsia"/>
          <w:iCs/>
          <w:sz w:val="24"/>
          <w:szCs w:val="24"/>
          <w:lang w:eastAsia="zh-CN"/>
        </w:rPr>
        <w:t>又提醒</w:t>
      </w:r>
      <w:r w:rsidR="00AC66FE" w:rsidRPr="00AC66FE">
        <w:rPr>
          <w:rFonts w:hint="eastAsia"/>
          <w:sz w:val="24"/>
          <w:szCs w:val="24"/>
          <w:lang w:eastAsia="zh-CN"/>
        </w:rPr>
        <w:t>缔约方</w:t>
      </w:r>
      <w:r w:rsidR="00AC66FE">
        <w:rPr>
          <w:rFonts w:hint="eastAsia"/>
          <w:sz w:val="24"/>
          <w:szCs w:val="24"/>
          <w:lang w:eastAsia="zh-CN"/>
        </w:rPr>
        <w:t>，它们有</w:t>
      </w:r>
      <w:r w:rsidR="00AC66FE" w:rsidRPr="00AC66FE">
        <w:rPr>
          <w:rFonts w:hint="eastAsia"/>
          <w:sz w:val="24"/>
          <w:szCs w:val="24"/>
          <w:lang w:eastAsia="zh-CN"/>
        </w:rPr>
        <w:t>义务指定国家联络点并随时更新其国家联络点的信息</w:t>
      </w:r>
      <w:r w:rsidR="00AC66FE">
        <w:rPr>
          <w:rFonts w:hint="eastAsia"/>
          <w:sz w:val="24"/>
          <w:szCs w:val="24"/>
          <w:lang w:eastAsia="zh-CN"/>
        </w:rPr>
        <w:t>；</w:t>
      </w:r>
    </w:p>
    <w:p w14:paraId="3B23A327" w14:textId="0B553029" w:rsidR="00667180" w:rsidRPr="006D3DA5" w:rsidRDefault="00530312" w:rsidP="002E0632">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005724A5" w:rsidRPr="00AC66FE">
        <w:rPr>
          <w:rFonts w:eastAsia="楷体"/>
          <w:iCs/>
          <w:sz w:val="24"/>
          <w:szCs w:val="24"/>
          <w:lang w:eastAsia="zh-CN"/>
        </w:rPr>
        <w:tab/>
      </w:r>
      <w:r w:rsidR="00AC66FE" w:rsidRPr="00AC66FE">
        <w:rPr>
          <w:rFonts w:eastAsia="楷体" w:hint="eastAsia"/>
          <w:iCs/>
          <w:sz w:val="24"/>
          <w:szCs w:val="24"/>
          <w:lang w:eastAsia="zh-CN"/>
        </w:rPr>
        <w:t>请</w:t>
      </w:r>
      <w:r w:rsidR="00AC66FE" w:rsidRPr="00AC66FE">
        <w:rPr>
          <w:rFonts w:hint="eastAsia"/>
          <w:sz w:val="24"/>
          <w:szCs w:val="24"/>
          <w:lang w:eastAsia="zh-CN"/>
        </w:rPr>
        <w:t>缔约方在接到要求时充分合作，提供与履行《议定书》下的义务有关的信息；</w:t>
      </w:r>
    </w:p>
    <w:p w14:paraId="7F9B471F" w14:textId="313A987D" w:rsidR="00C4775B" w:rsidRPr="006D3DA5" w:rsidRDefault="00530312" w:rsidP="002E0632">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4.</w:t>
      </w:r>
      <w:r w:rsidR="005724A5" w:rsidRPr="00AC66FE">
        <w:rPr>
          <w:rFonts w:eastAsia="楷体"/>
          <w:iCs/>
          <w:sz w:val="24"/>
          <w:szCs w:val="24"/>
          <w:lang w:eastAsia="zh-CN"/>
        </w:rPr>
        <w:tab/>
      </w:r>
      <w:r w:rsidR="00AC66FE" w:rsidRPr="00AC66FE">
        <w:rPr>
          <w:rFonts w:eastAsia="楷体" w:hint="eastAsia"/>
          <w:iCs/>
          <w:sz w:val="24"/>
          <w:szCs w:val="24"/>
          <w:lang w:eastAsia="zh-CN"/>
        </w:rPr>
        <w:t>赞赏地注意到</w:t>
      </w:r>
      <w:r w:rsidR="00AC66FE" w:rsidRPr="00AC66FE">
        <w:rPr>
          <w:rFonts w:hint="eastAsia"/>
          <w:sz w:val="24"/>
          <w:szCs w:val="24"/>
          <w:lang w:eastAsia="zh-CN"/>
        </w:rPr>
        <w:t>缔约方为履行《议定书》下的义务而努力，向生物安全信息交换所提供信息，并敦促缔约方确保这些信息与国家报告中提供的信息相一致；</w:t>
      </w:r>
    </w:p>
    <w:p w14:paraId="0304617B" w14:textId="676E1CDD" w:rsidR="00C4775B" w:rsidRPr="006D3DA5" w:rsidRDefault="00530312" w:rsidP="002E0632">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5.</w:t>
      </w:r>
      <w:r w:rsidR="005724A5" w:rsidRPr="00AC66FE">
        <w:rPr>
          <w:rFonts w:eastAsia="楷体"/>
          <w:iCs/>
          <w:sz w:val="24"/>
          <w:szCs w:val="24"/>
          <w:lang w:eastAsia="zh-CN"/>
        </w:rPr>
        <w:tab/>
      </w:r>
      <w:r w:rsidR="003163DD" w:rsidRPr="003163DD">
        <w:rPr>
          <w:rFonts w:eastAsia="楷体" w:hint="eastAsia"/>
          <w:iCs/>
          <w:sz w:val="24"/>
          <w:szCs w:val="24"/>
          <w:lang w:eastAsia="zh-CN"/>
        </w:rPr>
        <w:t>鼓励</w:t>
      </w:r>
      <w:r w:rsidR="003163DD" w:rsidRPr="003163DD">
        <w:rPr>
          <w:rFonts w:hint="eastAsia"/>
          <w:sz w:val="24"/>
          <w:szCs w:val="24"/>
          <w:lang w:eastAsia="zh-CN"/>
        </w:rPr>
        <w:t>缔约方使用第五次国家报告格式中的自由文本字段来解释所提供的答复，并邀请那些在履行某些义务方面遇到挑战的缔约方在这些自由文本字段中分享信息，说明所遇到的挑战；</w:t>
      </w:r>
      <w:r w:rsidR="00C4775B" w:rsidRPr="006D3DA5">
        <w:rPr>
          <w:sz w:val="24"/>
          <w:szCs w:val="24"/>
          <w:lang w:eastAsia="zh-CN"/>
        </w:rPr>
        <w:t xml:space="preserve"> </w:t>
      </w:r>
    </w:p>
    <w:p w14:paraId="68414A1A" w14:textId="2D9FAD89" w:rsidR="004F4E38" w:rsidRPr="00AC66FE" w:rsidRDefault="00530312" w:rsidP="002E0632">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6</w:t>
      </w:r>
      <w:r w:rsidR="00E94187" w:rsidRPr="006D3DA5">
        <w:rPr>
          <w:sz w:val="24"/>
          <w:szCs w:val="24"/>
          <w:lang w:eastAsia="zh-CN"/>
        </w:rPr>
        <w:t>.</w:t>
      </w:r>
      <w:r w:rsidR="005724A5" w:rsidRPr="006D3DA5">
        <w:rPr>
          <w:sz w:val="24"/>
          <w:szCs w:val="24"/>
          <w:lang w:eastAsia="zh-CN"/>
        </w:rPr>
        <w:tab/>
      </w:r>
      <w:r w:rsidR="003163DD" w:rsidRPr="003163DD">
        <w:rPr>
          <w:rFonts w:eastAsia="楷体" w:hint="eastAsia"/>
          <w:iCs/>
          <w:sz w:val="24"/>
          <w:szCs w:val="24"/>
          <w:lang w:eastAsia="zh-CN"/>
        </w:rPr>
        <w:t>回顾</w:t>
      </w:r>
      <w:r w:rsidR="003163DD" w:rsidRPr="003163DD">
        <w:rPr>
          <w:rFonts w:hint="eastAsia"/>
          <w:sz w:val="24"/>
          <w:szCs w:val="24"/>
          <w:lang w:eastAsia="zh-CN"/>
        </w:rPr>
        <w:t>已敦促那些在履行《议定书》下的一项或多项义务时面临困难的缔约方向履约委员会寻求协助；</w:t>
      </w:r>
    </w:p>
    <w:p w14:paraId="4A77BD77" w14:textId="43E9EF3B" w:rsidR="00C00D64" w:rsidRPr="006D3DA5" w:rsidRDefault="005945DD" w:rsidP="002E0632">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7.</w:t>
      </w:r>
      <w:r w:rsidR="00AA4380" w:rsidRPr="00AC66FE">
        <w:rPr>
          <w:rFonts w:eastAsia="楷体"/>
          <w:iCs/>
          <w:sz w:val="24"/>
          <w:szCs w:val="24"/>
          <w:lang w:eastAsia="zh-CN"/>
        </w:rPr>
        <w:tab/>
      </w:r>
      <w:r w:rsidR="00C870FF" w:rsidRPr="00C870FF">
        <w:rPr>
          <w:rFonts w:eastAsia="楷体" w:hint="eastAsia"/>
          <w:iCs/>
          <w:sz w:val="24"/>
          <w:szCs w:val="24"/>
          <w:lang w:eastAsia="zh-CN"/>
        </w:rPr>
        <w:t>认识到</w:t>
      </w:r>
      <w:r w:rsidR="00C870FF" w:rsidRPr="00C870FF">
        <w:rPr>
          <w:rFonts w:hint="eastAsia"/>
          <w:sz w:val="24"/>
          <w:szCs w:val="24"/>
          <w:lang w:eastAsia="zh-CN"/>
        </w:rPr>
        <w:t>履约行动计划有助于推动制定执行《议定书》的措施，以及履约委员会为协助向缔约方提供这方面的支持所起的作用；</w:t>
      </w:r>
    </w:p>
    <w:p w14:paraId="73BCE243" w14:textId="3523D53F" w:rsidR="00441B79" w:rsidRPr="006D3DA5" w:rsidRDefault="005945DD" w:rsidP="002E0632">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8.</w:t>
      </w:r>
      <w:r w:rsidR="00AA4380" w:rsidRPr="00AC66FE">
        <w:rPr>
          <w:rFonts w:eastAsia="楷体"/>
          <w:iCs/>
          <w:sz w:val="24"/>
          <w:szCs w:val="24"/>
          <w:lang w:eastAsia="zh-CN"/>
        </w:rPr>
        <w:tab/>
      </w:r>
      <w:r w:rsidR="00C870FF" w:rsidRPr="00C870FF">
        <w:rPr>
          <w:rFonts w:eastAsia="楷体" w:hint="eastAsia"/>
          <w:iCs/>
          <w:sz w:val="24"/>
          <w:szCs w:val="24"/>
          <w:lang w:eastAsia="zh-CN"/>
        </w:rPr>
        <w:t>欢迎</w:t>
      </w:r>
      <w:r w:rsidR="00C870FF" w:rsidRPr="00C870FF">
        <w:rPr>
          <w:rFonts w:hint="eastAsia"/>
          <w:sz w:val="24"/>
          <w:szCs w:val="24"/>
          <w:lang w:eastAsia="zh-CN"/>
        </w:rPr>
        <w:t>联合国环境规划署通过其法律和环境援助平台向正在积极考虑制定履约行动计划的缔约方提供制定生物安全立法</w:t>
      </w:r>
      <w:r w:rsidR="003A7416">
        <w:rPr>
          <w:rFonts w:hint="eastAsia"/>
          <w:sz w:val="24"/>
          <w:szCs w:val="24"/>
          <w:lang w:eastAsia="zh-CN"/>
        </w:rPr>
        <w:t>方面</w:t>
      </w:r>
      <w:r w:rsidR="00C870FF" w:rsidRPr="00C870FF">
        <w:rPr>
          <w:rFonts w:hint="eastAsia"/>
          <w:sz w:val="24"/>
          <w:szCs w:val="24"/>
          <w:lang w:eastAsia="zh-CN"/>
        </w:rPr>
        <w:t>的支持；</w:t>
      </w:r>
    </w:p>
    <w:p w14:paraId="08105890" w14:textId="283B9CC3" w:rsidR="00C870FF" w:rsidRDefault="005945DD" w:rsidP="002E0632">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lastRenderedPageBreak/>
        <w:t>9.</w:t>
      </w:r>
      <w:r w:rsidR="00AA4380" w:rsidRPr="006D3DA5">
        <w:rPr>
          <w:sz w:val="24"/>
          <w:szCs w:val="24"/>
          <w:lang w:eastAsia="zh-CN"/>
        </w:rPr>
        <w:tab/>
      </w:r>
      <w:r w:rsidR="00C870FF" w:rsidRPr="00C870FF">
        <w:rPr>
          <w:rFonts w:eastAsia="楷体" w:hint="eastAsia"/>
          <w:iCs/>
          <w:sz w:val="24"/>
          <w:szCs w:val="24"/>
          <w:lang w:eastAsia="zh-CN"/>
        </w:rPr>
        <w:t>敦促</w:t>
      </w:r>
      <w:r w:rsidR="00C870FF" w:rsidRPr="00C870FF">
        <w:rPr>
          <w:iCs/>
          <w:sz w:val="24"/>
          <w:szCs w:val="24"/>
          <w:lang w:eastAsia="zh-CN"/>
        </w:rPr>
        <w:t>缔约方并邀请其他国家政府提供自愿资金，用于支持已制定了履约行动计划的</w:t>
      </w:r>
      <w:r w:rsidR="00C870FF" w:rsidRPr="00C870FF">
        <w:rPr>
          <w:iCs/>
          <w:sz w:val="24"/>
          <w:szCs w:val="24"/>
          <w:lang w:eastAsia="zh-CN"/>
        </w:rPr>
        <w:t xml:space="preserve"> 11 </w:t>
      </w:r>
      <w:r w:rsidR="00C870FF" w:rsidRPr="00C870FF">
        <w:rPr>
          <w:iCs/>
          <w:sz w:val="24"/>
          <w:szCs w:val="24"/>
          <w:lang w:eastAsia="zh-CN"/>
        </w:rPr>
        <w:t>个缔约方，</w:t>
      </w:r>
      <w:r w:rsidR="00C870FF" w:rsidRPr="006D3DA5">
        <w:rPr>
          <w:rStyle w:val="FootnoteReference"/>
          <w:sz w:val="24"/>
          <w:szCs w:val="24"/>
        </w:rPr>
        <w:footnoteReference w:id="10"/>
      </w:r>
      <w:r w:rsidR="00C870FF" w:rsidRPr="00C870FF">
        <w:rPr>
          <w:iCs/>
          <w:sz w:val="24"/>
          <w:szCs w:val="24"/>
          <w:lang w:eastAsia="zh-CN"/>
        </w:rPr>
        <w:t>并支持任何其他按照委员会的要求制定和执行履约行动计划的缔约方；</w:t>
      </w:r>
      <w:r w:rsidR="008F0CE2" w:rsidRPr="00AC66FE">
        <w:rPr>
          <w:rFonts w:eastAsia="楷体"/>
          <w:iCs/>
          <w:sz w:val="24"/>
          <w:szCs w:val="24"/>
          <w:lang w:eastAsia="zh-CN"/>
        </w:rPr>
        <w:t xml:space="preserve"> </w:t>
      </w:r>
    </w:p>
    <w:p w14:paraId="30A58DC5" w14:textId="0B264B54" w:rsidR="0043549D" w:rsidRPr="00AC66FE" w:rsidRDefault="005945DD" w:rsidP="002E0632">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10.</w:t>
      </w:r>
      <w:r w:rsidR="00AA4380" w:rsidRPr="00AC66FE">
        <w:rPr>
          <w:rFonts w:eastAsia="楷体"/>
          <w:iCs/>
          <w:sz w:val="24"/>
          <w:szCs w:val="24"/>
          <w:lang w:eastAsia="zh-CN"/>
        </w:rPr>
        <w:tab/>
      </w:r>
      <w:r w:rsidR="00E05688" w:rsidRPr="00E05688">
        <w:rPr>
          <w:rFonts w:eastAsia="楷体" w:hint="eastAsia"/>
          <w:iCs/>
          <w:sz w:val="24"/>
          <w:szCs w:val="24"/>
          <w:lang w:eastAsia="zh-CN"/>
        </w:rPr>
        <w:t>敦促</w:t>
      </w:r>
      <w:r w:rsidR="00E05688" w:rsidRPr="00E05688">
        <w:rPr>
          <w:rFonts w:hint="eastAsia"/>
          <w:sz w:val="24"/>
          <w:szCs w:val="24"/>
          <w:lang w:eastAsia="zh-CN"/>
        </w:rPr>
        <w:t>符合条件的缔约方在为资源透明分配制度下的国家拨款做方案规划时优先考虑生物安全项目；</w:t>
      </w:r>
    </w:p>
    <w:p w14:paraId="19E441CF" w14:textId="7BE45C2B" w:rsidR="00703D05" w:rsidRPr="006D3DA5" w:rsidRDefault="005945DD" w:rsidP="002E0632">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11.</w:t>
      </w:r>
      <w:r w:rsidR="00AA4380" w:rsidRPr="00AC66FE">
        <w:rPr>
          <w:rFonts w:eastAsia="楷体"/>
          <w:iCs/>
          <w:sz w:val="24"/>
          <w:szCs w:val="24"/>
          <w:lang w:eastAsia="zh-CN"/>
        </w:rPr>
        <w:tab/>
      </w:r>
      <w:r w:rsidR="00E05688" w:rsidRPr="00E05688">
        <w:rPr>
          <w:rFonts w:eastAsia="楷体" w:hint="eastAsia"/>
          <w:iCs/>
          <w:sz w:val="24"/>
          <w:szCs w:val="24"/>
          <w:lang w:eastAsia="zh-CN"/>
        </w:rPr>
        <w:t>提醒</w:t>
      </w:r>
      <w:r w:rsidR="00E05688" w:rsidRPr="00E05688">
        <w:rPr>
          <w:rFonts w:hint="eastAsia"/>
          <w:sz w:val="24"/>
          <w:szCs w:val="24"/>
          <w:lang w:eastAsia="zh-CN"/>
        </w:rPr>
        <w:t>缔约方注意《议定书》第</w:t>
      </w:r>
      <w:r w:rsidR="00E05688" w:rsidRPr="00E05688">
        <w:rPr>
          <w:rFonts w:hint="eastAsia"/>
          <w:sz w:val="24"/>
          <w:szCs w:val="24"/>
          <w:lang w:eastAsia="zh-CN"/>
        </w:rPr>
        <w:t xml:space="preserve"> 23 </w:t>
      </w:r>
      <w:r w:rsidR="00E05688" w:rsidRPr="00E05688">
        <w:rPr>
          <w:rFonts w:hint="eastAsia"/>
          <w:sz w:val="24"/>
          <w:szCs w:val="24"/>
          <w:lang w:eastAsia="zh-CN"/>
        </w:rPr>
        <w:t>条，包括其中</w:t>
      </w:r>
      <w:r w:rsidR="00E228F5">
        <w:rPr>
          <w:rFonts w:hint="eastAsia"/>
          <w:sz w:val="24"/>
          <w:szCs w:val="24"/>
          <w:lang w:eastAsia="zh-CN"/>
        </w:rPr>
        <w:t>与</w:t>
      </w:r>
      <w:r w:rsidR="00E05688" w:rsidRPr="00E05688">
        <w:rPr>
          <w:rFonts w:hint="eastAsia"/>
          <w:sz w:val="24"/>
          <w:szCs w:val="24"/>
          <w:lang w:eastAsia="zh-CN"/>
        </w:rPr>
        <w:t>公众意识和教育</w:t>
      </w:r>
      <w:r w:rsidR="00E228F5">
        <w:rPr>
          <w:rFonts w:hint="eastAsia"/>
          <w:sz w:val="24"/>
          <w:szCs w:val="24"/>
          <w:lang w:eastAsia="zh-CN"/>
        </w:rPr>
        <w:t>有关</w:t>
      </w:r>
      <w:r w:rsidR="00E05688" w:rsidRPr="00E05688">
        <w:rPr>
          <w:rFonts w:hint="eastAsia"/>
          <w:sz w:val="24"/>
          <w:szCs w:val="24"/>
          <w:lang w:eastAsia="zh-CN"/>
        </w:rPr>
        <w:t>的规定，以及该条协助遵守《议定书》的潜力，同时回顾秘书处已制定了材料和工具，可在生物安全信息交换所查阅。</w:t>
      </w:r>
    </w:p>
    <w:p w14:paraId="0FDD644E" w14:textId="51195E79" w:rsidR="00A82585" w:rsidRPr="00AC66FE" w:rsidRDefault="00FD6B5B" w:rsidP="002E0632">
      <w:pPr>
        <w:pStyle w:val="CBDH2"/>
        <w:tabs>
          <w:tab w:val="clear" w:pos="567"/>
          <w:tab w:val="clear" w:pos="1134"/>
          <w:tab w:val="clear" w:pos="1701"/>
          <w:tab w:val="clear" w:pos="2268"/>
          <w:tab w:val="clear" w:pos="2835"/>
          <w:tab w:val="clear" w:pos="3402"/>
          <w:tab w:val="clear" w:pos="3969"/>
        </w:tabs>
        <w:spacing w:line="240" w:lineRule="atLeast"/>
        <w:ind w:left="490" w:firstLine="0"/>
        <w:rPr>
          <w:rFonts w:eastAsia="楷体"/>
          <w:b w:val="0"/>
          <w:bCs/>
          <w:iCs/>
          <w:szCs w:val="24"/>
          <w:lang w:eastAsia="zh-CN"/>
        </w:rPr>
      </w:pPr>
      <w:r>
        <w:rPr>
          <w:rFonts w:eastAsia="楷体" w:hint="eastAsia"/>
          <w:b w:val="0"/>
          <w:bCs/>
          <w:iCs/>
          <w:szCs w:val="24"/>
          <w:lang w:val="en-US" w:eastAsia="zh-CN"/>
        </w:rPr>
        <w:t>告诫</w:t>
      </w:r>
    </w:p>
    <w:p w14:paraId="3856BE3A" w14:textId="7927B4A5" w:rsidR="009760E7" w:rsidRPr="00AC66FE" w:rsidRDefault="00E05688" w:rsidP="002E0632">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楷体"/>
          <w:bCs/>
          <w:iCs/>
          <w:snapToGrid w:val="0"/>
          <w:kern w:val="22"/>
          <w:sz w:val="24"/>
          <w:szCs w:val="24"/>
          <w:lang w:eastAsia="zh-CN"/>
          <w14:ligatures w14:val="standardContextual"/>
        </w:rPr>
      </w:pPr>
      <w:r w:rsidRPr="00E05688">
        <w:rPr>
          <w:rFonts w:eastAsia="楷体" w:hint="eastAsia"/>
          <w:bCs/>
          <w:iCs/>
          <w:sz w:val="24"/>
          <w:szCs w:val="24"/>
          <w:lang w:eastAsia="zh-CN"/>
        </w:rPr>
        <w:t>作为卡塔赫纳生物安全议定书缔约方会议的缔约方大会，</w:t>
      </w:r>
    </w:p>
    <w:p w14:paraId="6E8B0AD3" w14:textId="1D566522" w:rsidR="00703D05" w:rsidRPr="006D3DA5" w:rsidRDefault="00E05688" w:rsidP="002E0632">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E05688">
        <w:rPr>
          <w:rFonts w:eastAsia="楷体" w:hint="eastAsia"/>
          <w:iCs/>
          <w:sz w:val="24"/>
          <w:szCs w:val="24"/>
          <w:lang w:val="en-US" w:eastAsia="zh-CN"/>
        </w:rPr>
        <w:t>回顾</w:t>
      </w:r>
      <w:r w:rsidRPr="00E05688">
        <w:rPr>
          <w:rFonts w:hint="eastAsia"/>
          <w:sz w:val="24"/>
          <w:szCs w:val="24"/>
          <w:lang w:val="en-US" w:eastAsia="zh-CN"/>
        </w:rPr>
        <w:t>《卡塔赫纳生物安全议定书》</w:t>
      </w:r>
      <w:r w:rsidR="00FD6B5B" w:rsidRPr="006D3DA5">
        <w:rPr>
          <w:rStyle w:val="FootnoteReference"/>
          <w:sz w:val="24"/>
          <w:szCs w:val="24"/>
        </w:rPr>
        <w:footnoteReference w:id="11"/>
      </w:r>
      <w:r w:rsidRPr="00E05688">
        <w:rPr>
          <w:rFonts w:hint="eastAsia"/>
          <w:sz w:val="24"/>
          <w:szCs w:val="24"/>
          <w:lang w:val="en-US" w:eastAsia="zh-CN"/>
        </w:rPr>
        <w:t>第</w:t>
      </w:r>
      <w:r w:rsidRPr="00E05688">
        <w:rPr>
          <w:rFonts w:hint="eastAsia"/>
          <w:sz w:val="24"/>
          <w:szCs w:val="24"/>
          <w:lang w:val="en-US" w:eastAsia="zh-CN"/>
        </w:rPr>
        <w:t xml:space="preserve"> 33 </w:t>
      </w:r>
      <w:r w:rsidRPr="00E05688">
        <w:rPr>
          <w:rFonts w:hint="eastAsia"/>
          <w:sz w:val="24"/>
          <w:szCs w:val="24"/>
          <w:lang w:val="en-US" w:eastAsia="zh-CN"/>
        </w:rPr>
        <w:t>条，</w:t>
      </w:r>
    </w:p>
    <w:p w14:paraId="672B28F3" w14:textId="08C89928" w:rsidR="00703D05" w:rsidRPr="006D3DA5" w:rsidRDefault="00FD6B5B" w:rsidP="002E0632">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楷体" w:hint="eastAsia"/>
          <w:iCs/>
          <w:sz w:val="24"/>
          <w:szCs w:val="24"/>
          <w:lang w:val="en-US" w:eastAsia="zh-CN"/>
        </w:rPr>
        <w:t>又回顾</w:t>
      </w:r>
      <w:r w:rsidRPr="00FD6B5B">
        <w:rPr>
          <w:rFonts w:hint="eastAsia"/>
          <w:sz w:val="24"/>
          <w:szCs w:val="24"/>
          <w:lang w:val="en-US" w:eastAsia="zh-CN"/>
        </w:rPr>
        <w:t xml:space="preserve">2004 </w:t>
      </w:r>
      <w:r w:rsidRPr="00FD6B5B">
        <w:rPr>
          <w:rFonts w:hint="eastAsia"/>
          <w:sz w:val="24"/>
          <w:szCs w:val="24"/>
          <w:lang w:val="en-US" w:eastAsia="zh-CN"/>
        </w:rPr>
        <w:t>年</w:t>
      </w:r>
      <w:r w:rsidRPr="00FD6B5B">
        <w:rPr>
          <w:rFonts w:hint="eastAsia"/>
          <w:sz w:val="24"/>
          <w:szCs w:val="24"/>
          <w:lang w:val="en-US" w:eastAsia="zh-CN"/>
        </w:rPr>
        <w:t xml:space="preserve"> 2 </w:t>
      </w:r>
      <w:r w:rsidRPr="00FD6B5B">
        <w:rPr>
          <w:rFonts w:hint="eastAsia"/>
          <w:sz w:val="24"/>
          <w:szCs w:val="24"/>
          <w:lang w:val="en-US" w:eastAsia="zh-CN"/>
        </w:rPr>
        <w:t>月</w:t>
      </w:r>
      <w:r w:rsidRPr="00FD6B5B">
        <w:rPr>
          <w:rFonts w:hint="eastAsia"/>
          <w:sz w:val="24"/>
          <w:szCs w:val="24"/>
          <w:lang w:val="en-US" w:eastAsia="zh-CN"/>
        </w:rPr>
        <w:t xml:space="preserve"> 27 </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 xml:space="preserve"> BS-I/7 </w:t>
      </w:r>
      <w:r w:rsidRPr="00FD6B5B">
        <w:rPr>
          <w:rFonts w:hint="eastAsia"/>
          <w:sz w:val="24"/>
          <w:szCs w:val="24"/>
          <w:lang w:val="en-US" w:eastAsia="zh-CN"/>
        </w:rPr>
        <w:t>号决定附件所载《卡塔赫纳议定书》履约程序和机制第六节第</w:t>
      </w:r>
      <w:r w:rsidRPr="00FD6B5B">
        <w:rPr>
          <w:rFonts w:hint="eastAsia"/>
          <w:sz w:val="24"/>
          <w:szCs w:val="24"/>
          <w:lang w:val="en-US" w:eastAsia="zh-CN"/>
        </w:rPr>
        <w:t xml:space="preserve"> 2(b) </w:t>
      </w:r>
      <w:r w:rsidRPr="00FD6B5B">
        <w:rPr>
          <w:rFonts w:hint="eastAsia"/>
          <w:sz w:val="24"/>
          <w:szCs w:val="24"/>
          <w:lang w:val="en-US" w:eastAsia="zh-CN"/>
        </w:rPr>
        <w:t>段，</w:t>
      </w:r>
      <w:r w:rsidR="00703D05" w:rsidRPr="006D3DA5">
        <w:rPr>
          <w:sz w:val="24"/>
          <w:szCs w:val="24"/>
          <w:lang w:eastAsia="zh-CN"/>
        </w:rPr>
        <w:t xml:space="preserve"> </w:t>
      </w:r>
    </w:p>
    <w:p w14:paraId="7DCEEC7B" w14:textId="252DFF9D" w:rsidR="00703D05" w:rsidRPr="006D3DA5" w:rsidRDefault="00FD6B5B" w:rsidP="002E0632">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FD6B5B">
        <w:rPr>
          <w:rFonts w:eastAsia="楷体" w:hint="eastAsia"/>
          <w:iCs/>
          <w:kern w:val="22"/>
          <w:sz w:val="24"/>
          <w:szCs w:val="24"/>
          <w:lang w:val="en-US" w:eastAsia="zh-CN"/>
        </w:rPr>
        <w:t>遗憾地注意到</w:t>
      </w:r>
      <w:r w:rsidRPr="00FD6B5B">
        <w:rPr>
          <w:rFonts w:hint="eastAsia"/>
          <w:kern w:val="22"/>
          <w:sz w:val="24"/>
          <w:szCs w:val="24"/>
          <w:lang w:val="en-US" w:eastAsia="zh-CN"/>
        </w:rPr>
        <w:t>伯利兹、利比亚、瑙鲁、巴布亚新几内亚、卡塔尔、塞舌尔和阿拉伯叙利亚共和国</w:t>
      </w:r>
      <w:r w:rsidRPr="00FD6B5B">
        <w:rPr>
          <w:kern w:val="22"/>
          <w:sz w:val="24"/>
          <w:szCs w:val="24"/>
          <w:vertAlign w:val="superscript"/>
          <w:lang w:val="en-US"/>
        </w:rPr>
        <w:footnoteReference w:id="12"/>
      </w:r>
      <w:r w:rsidRPr="00FD6B5B">
        <w:rPr>
          <w:rFonts w:hint="eastAsia"/>
          <w:kern w:val="22"/>
          <w:sz w:val="24"/>
          <w:szCs w:val="24"/>
          <w:lang w:val="en-US" w:eastAsia="zh-CN"/>
        </w:rPr>
        <w:t>尚未提交其第三或第四次国家报告，</w:t>
      </w:r>
      <w:r w:rsidR="00703D05" w:rsidRPr="006D3DA5">
        <w:rPr>
          <w:kern w:val="22"/>
          <w:sz w:val="24"/>
          <w:szCs w:val="24"/>
          <w:lang w:val="en-GB" w:eastAsia="zh-CN"/>
        </w:rPr>
        <w:t xml:space="preserve"> </w:t>
      </w:r>
    </w:p>
    <w:p w14:paraId="065334B5" w14:textId="5F0D5B61" w:rsidR="00703D05" w:rsidRPr="006D3DA5" w:rsidRDefault="00FD6B5B" w:rsidP="002E0632">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楷体" w:hint="eastAsia"/>
          <w:iCs/>
          <w:sz w:val="24"/>
          <w:szCs w:val="24"/>
          <w:lang w:val="en-US" w:eastAsia="zh-CN"/>
        </w:rPr>
        <w:t>注意到</w:t>
      </w:r>
      <w:r w:rsidRPr="00FD6B5B">
        <w:rPr>
          <w:rFonts w:hint="eastAsia"/>
          <w:sz w:val="24"/>
          <w:szCs w:val="24"/>
          <w:lang w:val="en-US" w:eastAsia="zh-CN"/>
        </w:rPr>
        <w:t>履约委员会和执行秘书已根据</w:t>
      </w:r>
      <w:r w:rsidRPr="00FD6B5B">
        <w:rPr>
          <w:rFonts w:hint="eastAsia"/>
          <w:sz w:val="24"/>
          <w:szCs w:val="24"/>
          <w:lang w:val="en-US" w:eastAsia="zh-CN"/>
        </w:rPr>
        <w:t xml:space="preserve">2010 </w:t>
      </w:r>
      <w:r w:rsidRPr="00FD6B5B">
        <w:rPr>
          <w:rFonts w:hint="eastAsia"/>
          <w:sz w:val="24"/>
          <w:szCs w:val="24"/>
          <w:lang w:val="en-US" w:eastAsia="zh-CN"/>
        </w:rPr>
        <w:t>年</w:t>
      </w:r>
      <w:r w:rsidRPr="00FD6B5B">
        <w:rPr>
          <w:rFonts w:hint="eastAsia"/>
          <w:sz w:val="24"/>
          <w:szCs w:val="24"/>
          <w:lang w:val="en-US" w:eastAsia="zh-CN"/>
        </w:rPr>
        <w:t xml:space="preserve"> 10 </w:t>
      </w:r>
      <w:r w:rsidRPr="00FD6B5B">
        <w:rPr>
          <w:rFonts w:hint="eastAsia"/>
          <w:sz w:val="24"/>
          <w:szCs w:val="24"/>
          <w:lang w:val="en-US" w:eastAsia="zh-CN"/>
        </w:rPr>
        <w:t>月</w:t>
      </w:r>
      <w:r w:rsidRPr="00FD6B5B">
        <w:rPr>
          <w:rFonts w:hint="eastAsia"/>
          <w:sz w:val="24"/>
          <w:szCs w:val="24"/>
          <w:lang w:val="en-US" w:eastAsia="zh-CN"/>
        </w:rPr>
        <w:t xml:space="preserve"> 15 </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 xml:space="preserve">BS-V/1 </w:t>
      </w:r>
      <w:r w:rsidRPr="00FD6B5B">
        <w:rPr>
          <w:rFonts w:hint="eastAsia"/>
          <w:sz w:val="24"/>
          <w:szCs w:val="24"/>
          <w:lang w:val="en-US" w:eastAsia="zh-CN"/>
        </w:rPr>
        <w:t>号决定多次与伯利兹、利比亚、瑙鲁、巴布亚新几内亚、卡塔尔、塞舌尔和阿拉伯叙利亚共和国</w:t>
      </w:r>
      <w:r w:rsidRPr="00FD6B5B">
        <w:rPr>
          <w:rFonts w:hint="eastAsia"/>
          <w:sz w:val="24"/>
          <w:szCs w:val="24"/>
          <w:vertAlign w:val="superscript"/>
          <w:lang w:val="en-US" w:eastAsia="zh-CN"/>
        </w:rPr>
        <w:t>4</w:t>
      </w:r>
      <w:r w:rsidRPr="00FD6B5B">
        <w:rPr>
          <w:rFonts w:hint="eastAsia"/>
          <w:sz w:val="24"/>
          <w:szCs w:val="24"/>
          <w:lang w:val="en-US" w:eastAsia="zh-CN"/>
        </w:rPr>
        <w:t xml:space="preserve"> </w:t>
      </w:r>
      <w:r w:rsidRPr="00FD6B5B">
        <w:rPr>
          <w:rFonts w:hint="eastAsia"/>
          <w:sz w:val="24"/>
          <w:szCs w:val="24"/>
          <w:lang w:val="en-US" w:eastAsia="zh-CN"/>
        </w:rPr>
        <w:t>联系，包括向这些缔约方提供编写报告的支持，</w:t>
      </w:r>
    </w:p>
    <w:p w14:paraId="4119A758" w14:textId="38F35AC5" w:rsidR="00703D05" w:rsidRPr="006D3DA5" w:rsidRDefault="00703D05" w:rsidP="002E0632">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1.</w:t>
      </w:r>
      <w:r w:rsidR="00A82585" w:rsidRPr="006D3DA5">
        <w:rPr>
          <w:kern w:val="22"/>
          <w:sz w:val="24"/>
          <w:szCs w:val="24"/>
          <w:lang w:val="en-GB" w:eastAsia="zh-CN"/>
        </w:rPr>
        <w:tab/>
      </w:r>
      <w:r w:rsidR="00FD6B5B" w:rsidRPr="00FD6B5B">
        <w:rPr>
          <w:rFonts w:eastAsia="楷体" w:hint="eastAsia"/>
          <w:iCs/>
          <w:kern w:val="22"/>
          <w:sz w:val="24"/>
          <w:szCs w:val="24"/>
          <w:lang w:val="en-US" w:eastAsia="zh-CN"/>
        </w:rPr>
        <w:t>向</w:t>
      </w:r>
      <w:r w:rsidR="00FD6B5B" w:rsidRPr="00FD6B5B">
        <w:rPr>
          <w:rFonts w:hint="eastAsia"/>
          <w:sz w:val="24"/>
          <w:szCs w:val="24"/>
          <w:lang w:val="en-US" w:eastAsia="zh-CN"/>
        </w:rPr>
        <w:t>伯利兹、利比亚、瑙鲁、巴布亚新几内亚、卡塔尔、塞舌尔和阿拉伯叙利亚共和国</w:t>
      </w:r>
      <w:r w:rsidR="00FD6B5B" w:rsidRPr="00FD6B5B">
        <w:rPr>
          <w:rFonts w:eastAsia="楷体" w:hint="eastAsia"/>
          <w:iCs/>
          <w:kern w:val="22"/>
          <w:sz w:val="24"/>
          <w:szCs w:val="24"/>
          <w:lang w:val="en-US" w:eastAsia="zh-CN"/>
        </w:rPr>
        <w:t>发出</w:t>
      </w:r>
      <w:r w:rsidR="00FD6B5B" w:rsidRPr="00FD6B5B">
        <w:rPr>
          <w:rFonts w:eastAsia="楷体" w:hint="eastAsia"/>
          <w:iCs/>
          <w:kern w:val="22"/>
          <w:sz w:val="24"/>
          <w:szCs w:val="24"/>
          <w:lang w:val="en-US" w:eastAsia="zh-CN"/>
        </w:rPr>
        <w:t>告诫</w:t>
      </w:r>
      <w:r w:rsidR="00FD6B5B" w:rsidRPr="00FD6B5B">
        <w:rPr>
          <w:rFonts w:hint="eastAsia"/>
          <w:sz w:val="24"/>
          <w:szCs w:val="24"/>
          <w:lang w:val="en-US" w:eastAsia="zh-CN"/>
        </w:rPr>
        <w:t>；</w:t>
      </w:r>
      <w:r w:rsidR="00FD6B5B" w:rsidRPr="00FD6B5B">
        <w:rPr>
          <w:rFonts w:hint="eastAsia"/>
          <w:sz w:val="24"/>
          <w:szCs w:val="24"/>
          <w:vertAlign w:val="superscript"/>
          <w:lang w:val="en-US" w:eastAsia="zh-CN"/>
        </w:rPr>
        <w:t>4</w:t>
      </w:r>
    </w:p>
    <w:p w14:paraId="1035BF87" w14:textId="7D2CF663" w:rsidR="00703D05" w:rsidRPr="006D3DA5" w:rsidRDefault="00703D05" w:rsidP="002E0632">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2.</w:t>
      </w:r>
      <w:r w:rsidR="00A82585" w:rsidRPr="006D3DA5">
        <w:rPr>
          <w:kern w:val="22"/>
          <w:sz w:val="24"/>
          <w:szCs w:val="24"/>
          <w:lang w:val="en-GB" w:eastAsia="zh-CN"/>
        </w:rPr>
        <w:tab/>
      </w:r>
      <w:r w:rsidR="00FD6B5B" w:rsidRPr="00FD6B5B">
        <w:rPr>
          <w:rFonts w:eastAsia="楷体" w:hint="eastAsia"/>
          <w:iCs/>
          <w:kern w:val="22"/>
          <w:sz w:val="24"/>
          <w:szCs w:val="24"/>
          <w:lang w:val="en-US" w:eastAsia="zh-CN"/>
        </w:rPr>
        <w:t>请</w:t>
      </w:r>
      <w:r w:rsidR="00FD6B5B" w:rsidRPr="00FD6B5B">
        <w:rPr>
          <w:rFonts w:hint="eastAsia"/>
          <w:sz w:val="24"/>
          <w:szCs w:val="24"/>
          <w:lang w:val="en-US" w:eastAsia="zh-CN"/>
        </w:rPr>
        <w:t>伯利兹、利比亚、瑙鲁、巴布亚新几内亚、卡塔尔、塞舌尔和阿拉伯叙利亚共和国</w:t>
      </w:r>
      <w:r w:rsidR="00FD6B5B" w:rsidRPr="00FD6B5B">
        <w:rPr>
          <w:rFonts w:hint="eastAsia"/>
          <w:sz w:val="24"/>
          <w:szCs w:val="24"/>
          <w:vertAlign w:val="superscript"/>
          <w:lang w:val="en-US" w:eastAsia="zh-CN"/>
        </w:rPr>
        <w:t>4</w:t>
      </w:r>
      <w:r w:rsidR="00FD6B5B" w:rsidRPr="00FD6B5B">
        <w:rPr>
          <w:rFonts w:hint="eastAsia"/>
          <w:sz w:val="24"/>
          <w:szCs w:val="24"/>
          <w:lang w:val="en-US" w:eastAsia="zh-CN"/>
        </w:rPr>
        <w:t>作为一个紧迫事项提交第四次国家报告；</w:t>
      </w:r>
    </w:p>
    <w:p w14:paraId="79014860" w14:textId="41F7878C" w:rsidR="00703D05" w:rsidRPr="006D3DA5" w:rsidRDefault="00703D05" w:rsidP="002E0632">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00A82585" w:rsidRPr="006D3DA5">
        <w:rPr>
          <w:sz w:val="24"/>
          <w:szCs w:val="24"/>
          <w:lang w:eastAsia="zh-CN"/>
        </w:rPr>
        <w:tab/>
      </w:r>
      <w:r w:rsidR="00E228F5" w:rsidRPr="00E228F5">
        <w:rPr>
          <w:rFonts w:eastAsia="楷体" w:hint="eastAsia"/>
          <w:iCs/>
          <w:sz w:val="24"/>
          <w:szCs w:val="24"/>
          <w:lang w:val="en-US" w:eastAsia="zh-CN"/>
        </w:rPr>
        <w:t>鼓励</w:t>
      </w:r>
      <w:r w:rsidR="00E228F5" w:rsidRPr="00E228F5">
        <w:rPr>
          <w:rFonts w:hint="eastAsia"/>
          <w:sz w:val="24"/>
          <w:szCs w:val="24"/>
          <w:lang w:val="en-US" w:eastAsia="zh-CN"/>
        </w:rPr>
        <w:t>伯利兹、利比亚、瑙鲁、巴布亚新几内亚、卡塔尔、塞舌尔和阿拉伯叙利亚共和国</w:t>
      </w:r>
      <w:r w:rsidR="00E228F5" w:rsidRPr="00E228F5">
        <w:rPr>
          <w:rFonts w:hint="eastAsia"/>
          <w:sz w:val="24"/>
          <w:szCs w:val="24"/>
          <w:vertAlign w:val="superscript"/>
          <w:lang w:val="en-US" w:eastAsia="zh-CN"/>
        </w:rPr>
        <w:t>4</w:t>
      </w:r>
      <w:r w:rsidR="00E228F5" w:rsidRPr="00E228F5">
        <w:rPr>
          <w:rFonts w:hint="eastAsia"/>
          <w:sz w:val="24"/>
          <w:szCs w:val="24"/>
          <w:lang w:val="en-US" w:eastAsia="zh-CN"/>
        </w:rPr>
        <w:t>如果在编写报告时需要支持，根据</w:t>
      </w:r>
      <w:r w:rsidR="00E228F5" w:rsidRPr="00E228F5">
        <w:rPr>
          <w:rFonts w:hint="eastAsia"/>
          <w:sz w:val="24"/>
          <w:szCs w:val="24"/>
          <w:lang w:val="en-US" w:eastAsia="zh-CN"/>
        </w:rPr>
        <w:t xml:space="preserve"> BS-V/1 </w:t>
      </w:r>
      <w:r w:rsidR="00E228F5" w:rsidRPr="00E228F5">
        <w:rPr>
          <w:rFonts w:hint="eastAsia"/>
          <w:sz w:val="24"/>
          <w:szCs w:val="24"/>
          <w:lang w:val="en-US" w:eastAsia="zh-CN"/>
        </w:rPr>
        <w:t>号决定寻求履约委员会的协助。</w:t>
      </w:r>
    </w:p>
    <w:p w14:paraId="5258CB67" w14:textId="58ED31C4" w:rsidR="00452273" w:rsidRPr="006D3DA5" w:rsidRDefault="00E228F5" w:rsidP="002E0632">
      <w:pPr>
        <w:pStyle w:val="CBDH1"/>
        <w:tabs>
          <w:tab w:val="clear" w:pos="567"/>
          <w:tab w:val="clear" w:pos="1134"/>
          <w:tab w:val="clear" w:pos="1701"/>
          <w:tab w:val="clear" w:pos="2268"/>
          <w:tab w:val="clear" w:pos="2835"/>
          <w:tab w:val="clear" w:pos="3402"/>
        </w:tabs>
        <w:spacing w:before="120" w:line="240" w:lineRule="atLeast"/>
        <w:ind w:left="490" w:hanging="490"/>
        <w:rPr>
          <w:sz w:val="24"/>
          <w:szCs w:val="24"/>
          <w:lang w:eastAsia="zh-CN"/>
        </w:rPr>
      </w:pPr>
      <w:r>
        <w:rPr>
          <w:rFonts w:hint="eastAsia"/>
          <w:sz w:val="24"/>
          <w:szCs w:val="24"/>
          <w:lang w:eastAsia="zh-CN"/>
        </w:rPr>
        <w:t>二</w:t>
      </w:r>
      <w:r w:rsidR="00575EA6" w:rsidRPr="006D3DA5">
        <w:rPr>
          <w:sz w:val="24"/>
          <w:szCs w:val="24"/>
          <w:lang w:eastAsia="zh-CN"/>
        </w:rPr>
        <w:t>.</w:t>
      </w:r>
      <w:r w:rsidR="00575EA6" w:rsidRPr="006D3DA5">
        <w:rPr>
          <w:sz w:val="24"/>
          <w:szCs w:val="24"/>
          <w:lang w:eastAsia="zh-CN"/>
        </w:rPr>
        <w:tab/>
      </w:r>
      <w:r w:rsidRPr="00E228F5">
        <w:rPr>
          <w:rFonts w:hint="eastAsia"/>
          <w:sz w:val="24"/>
          <w:szCs w:val="24"/>
          <w:lang w:val="en-US" w:eastAsia="zh-CN"/>
        </w:rPr>
        <w:t>生物安全信息交换所的</w:t>
      </w:r>
      <w:r>
        <w:rPr>
          <w:rFonts w:hint="eastAsia"/>
          <w:sz w:val="24"/>
          <w:szCs w:val="24"/>
          <w:lang w:val="en-US" w:eastAsia="zh-CN"/>
        </w:rPr>
        <w:t>运行</w:t>
      </w:r>
      <w:r w:rsidRPr="00E228F5">
        <w:rPr>
          <w:rFonts w:hint="eastAsia"/>
          <w:sz w:val="24"/>
          <w:szCs w:val="24"/>
          <w:lang w:val="en-US" w:eastAsia="zh-CN"/>
        </w:rPr>
        <w:t>和活动</w:t>
      </w:r>
    </w:p>
    <w:p w14:paraId="4FA37892" w14:textId="1241085F" w:rsidR="00A82585" w:rsidRPr="006D3DA5" w:rsidRDefault="00BD1FB9" w:rsidP="006369D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bookmarkStart w:id="6" w:name="_Hlk165901011"/>
      <w:r w:rsidRPr="00BD1FB9">
        <w:rPr>
          <w:rFonts w:hint="eastAsia"/>
          <w:sz w:val="24"/>
          <w:szCs w:val="24"/>
          <w:lang w:val="en-US" w:eastAsia="zh-CN"/>
        </w:rPr>
        <w:t>履约委员会进一步建议作为议定书缔约方会议的缔约方大会第十一次会议通过一项包括以下内容的决定：</w:t>
      </w:r>
    </w:p>
    <w:bookmarkEnd w:id="6"/>
    <w:p w14:paraId="15DA05EA" w14:textId="2970B5FC" w:rsidR="003766F2" w:rsidRPr="00AC66FE" w:rsidRDefault="00BD1FB9" w:rsidP="002E0632">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楷体"/>
          <w:bCs/>
          <w:iCs/>
          <w:snapToGrid w:val="0"/>
          <w:kern w:val="22"/>
          <w:sz w:val="24"/>
          <w:szCs w:val="24"/>
          <w:lang w:eastAsia="zh-CN"/>
          <w14:ligatures w14:val="standardContextual"/>
        </w:rPr>
      </w:pPr>
      <w:r w:rsidRPr="00BD1FB9">
        <w:rPr>
          <w:rFonts w:eastAsia="楷体" w:hint="eastAsia"/>
          <w:bCs/>
          <w:iCs/>
          <w:sz w:val="24"/>
          <w:szCs w:val="24"/>
          <w:lang w:eastAsia="zh-CN"/>
        </w:rPr>
        <w:t>作为卡塔赫纳生物安全议定书缔约方会议的缔约方大会</w:t>
      </w:r>
      <w:r>
        <w:rPr>
          <w:rFonts w:eastAsia="楷体" w:hint="eastAsia"/>
          <w:bCs/>
          <w:iCs/>
          <w:sz w:val="24"/>
          <w:szCs w:val="24"/>
          <w:lang w:eastAsia="zh-CN"/>
        </w:rPr>
        <w:t>，</w:t>
      </w:r>
    </w:p>
    <w:p w14:paraId="2D74C33A" w14:textId="1FC9F1C4" w:rsidR="002E62F2" w:rsidRPr="006D3DA5" w:rsidRDefault="006D62DA" w:rsidP="006369D8">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w:t>
      </w:r>
      <w:r w:rsidR="00D81616" w:rsidRPr="006D3DA5">
        <w:rPr>
          <w:sz w:val="24"/>
          <w:szCs w:val="24"/>
          <w:lang w:eastAsia="zh-CN"/>
        </w:rPr>
        <w:tab/>
      </w:r>
      <w:r w:rsidR="001014E6" w:rsidRPr="001014E6">
        <w:rPr>
          <w:rFonts w:eastAsia="楷体" w:hint="eastAsia"/>
          <w:iCs/>
          <w:sz w:val="24"/>
          <w:szCs w:val="24"/>
          <w:lang w:eastAsia="zh-CN"/>
        </w:rPr>
        <w:t>敦促</w:t>
      </w:r>
      <w:r w:rsidR="001014E6" w:rsidRPr="001014E6">
        <w:rPr>
          <w:rFonts w:hint="eastAsia"/>
          <w:sz w:val="24"/>
          <w:szCs w:val="24"/>
          <w:lang w:eastAsia="zh-CN"/>
        </w:rPr>
        <w:t>缔约方在生物安全信息交换所系统地提供所有要求的信息，包括执行《议定书》的法律措施、关于进口或释放改性活生物体的决定以及意外和非法越境转移的案件；</w:t>
      </w:r>
    </w:p>
    <w:p w14:paraId="2069D83B" w14:textId="65523035" w:rsidR="00F7582C" w:rsidRPr="00280218" w:rsidRDefault="006D62DA" w:rsidP="002E0632">
      <w:pPr>
        <w:pStyle w:val="StylePara1Kernat11pt"/>
        <w:tabs>
          <w:tab w:val="clear" w:pos="567"/>
          <w:tab w:val="clear" w:pos="1134"/>
          <w:tab w:val="clear" w:pos="1701"/>
          <w:tab w:val="clear" w:pos="2268"/>
        </w:tabs>
        <w:spacing w:line="240" w:lineRule="atLeast"/>
        <w:ind w:left="490" w:firstLine="490"/>
        <w:rPr>
          <w:szCs w:val="22"/>
          <w:lang w:eastAsia="zh-CN"/>
        </w:rPr>
      </w:pPr>
      <w:r w:rsidRPr="006D3DA5">
        <w:rPr>
          <w:sz w:val="24"/>
          <w:szCs w:val="24"/>
          <w:lang w:eastAsia="zh-CN"/>
        </w:rPr>
        <w:lastRenderedPageBreak/>
        <w:t>2.</w:t>
      </w:r>
      <w:r w:rsidR="00D81616" w:rsidRPr="006D3DA5">
        <w:rPr>
          <w:sz w:val="24"/>
          <w:szCs w:val="24"/>
          <w:lang w:eastAsia="zh-CN"/>
        </w:rPr>
        <w:tab/>
      </w:r>
      <w:r w:rsidR="002A2815" w:rsidRPr="002A2815">
        <w:rPr>
          <w:rFonts w:eastAsia="楷体" w:hint="eastAsia"/>
          <w:iCs/>
          <w:sz w:val="24"/>
          <w:szCs w:val="24"/>
          <w:lang w:eastAsia="zh-CN"/>
        </w:rPr>
        <w:t>请</w:t>
      </w:r>
      <w:r w:rsidR="002A2815" w:rsidRPr="002A2815">
        <w:rPr>
          <w:rFonts w:hint="eastAsia"/>
          <w:sz w:val="24"/>
          <w:szCs w:val="24"/>
          <w:lang w:eastAsia="zh-CN"/>
        </w:rPr>
        <w:t>缔约方审查在生物安全信息交换所公布的本国记录的准确性，包括核实：</w:t>
      </w:r>
      <w:r w:rsidR="002A2815" w:rsidRPr="002A2815">
        <w:rPr>
          <w:rFonts w:hint="eastAsia"/>
          <w:sz w:val="24"/>
          <w:szCs w:val="24"/>
          <w:lang w:eastAsia="zh-CN"/>
        </w:rPr>
        <w:t xml:space="preserve">(a) </w:t>
      </w:r>
      <w:r w:rsidR="002A2815" w:rsidRPr="002A2815">
        <w:rPr>
          <w:rFonts w:hint="eastAsia"/>
          <w:sz w:val="24"/>
          <w:szCs w:val="24"/>
          <w:lang w:eastAsia="zh-CN"/>
        </w:rPr>
        <w:t>在生物安全信息交换所提供信息是最新和完整的；</w:t>
      </w:r>
      <w:r w:rsidR="002A2815" w:rsidRPr="002A2815">
        <w:rPr>
          <w:rFonts w:hint="eastAsia"/>
          <w:sz w:val="24"/>
          <w:szCs w:val="24"/>
          <w:lang w:eastAsia="zh-CN"/>
        </w:rPr>
        <w:t xml:space="preserve"> (b) </w:t>
      </w:r>
      <w:r w:rsidR="002A2815" w:rsidRPr="002A2815">
        <w:rPr>
          <w:rFonts w:hint="eastAsia"/>
          <w:sz w:val="24"/>
          <w:szCs w:val="24"/>
          <w:lang w:eastAsia="zh-CN"/>
        </w:rPr>
        <w:t>载有信息的实际文件已正确上传，如果提供的是文件链接，则链接是有效和最新的，同时注意到履约委员会将在其第二十次会议上审查生物安全信息交换所信息的完备性。</w:t>
      </w:r>
    </w:p>
    <w:p w14:paraId="26BF23B2" w14:textId="77777777" w:rsidR="006D3DA5" w:rsidRDefault="006D3DA5" w:rsidP="00280218">
      <w:pPr>
        <w:pStyle w:val="Para1"/>
        <w:numPr>
          <w:ilvl w:val="0"/>
          <w:numId w:val="0"/>
        </w:numPr>
        <w:ind w:left="567"/>
        <w:jc w:val="center"/>
        <w:rPr>
          <w:lang w:eastAsia="zh-CN"/>
        </w:rPr>
      </w:pPr>
    </w:p>
    <w:p w14:paraId="5995B7F9" w14:textId="4113916F" w:rsidR="002B559C" w:rsidRPr="004701EE" w:rsidRDefault="00ED3849" w:rsidP="00280218">
      <w:pPr>
        <w:pStyle w:val="Para1"/>
        <w:numPr>
          <w:ilvl w:val="0"/>
          <w:numId w:val="0"/>
        </w:numPr>
        <w:ind w:left="567"/>
        <w:jc w:val="center"/>
      </w:pPr>
      <w:r>
        <w:t>__________</w:t>
      </w:r>
    </w:p>
    <w:sectPr w:rsidR="002B559C" w:rsidRPr="004701EE" w:rsidSect="00C10E3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FE22F" w14:textId="77777777" w:rsidR="008B7AD8" w:rsidRDefault="008B7AD8" w:rsidP="00A96B21">
      <w:r>
        <w:separator/>
      </w:r>
    </w:p>
  </w:endnote>
  <w:endnote w:type="continuationSeparator" w:id="0">
    <w:p w14:paraId="56FBFF4B" w14:textId="77777777" w:rsidR="008B7AD8" w:rsidRDefault="008B7AD8" w:rsidP="00A96B21">
      <w:r>
        <w:continuationSeparator/>
      </w:r>
    </w:p>
  </w:endnote>
  <w:endnote w:type="continuationNotice" w:id="1">
    <w:p w14:paraId="21E506CD" w14:textId="77777777" w:rsidR="008B7AD8" w:rsidRDefault="008B7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CFDE1" w14:textId="77777777" w:rsidR="008B7AD8" w:rsidRDefault="008B7AD8" w:rsidP="00A96B21">
      <w:r>
        <w:separator/>
      </w:r>
    </w:p>
  </w:footnote>
  <w:footnote w:type="continuationSeparator" w:id="0">
    <w:p w14:paraId="2671AEDB" w14:textId="77777777" w:rsidR="008B7AD8" w:rsidRDefault="008B7AD8" w:rsidP="00A96B21">
      <w:r>
        <w:continuationSeparator/>
      </w:r>
    </w:p>
  </w:footnote>
  <w:footnote w:type="continuationNotice" w:id="1">
    <w:p w14:paraId="2D3DA0B9" w14:textId="77777777" w:rsidR="008B7AD8" w:rsidRDefault="008B7AD8"/>
  </w:footnote>
  <w:footnote w:id="2">
    <w:p w14:paraId="24FB8F53" w14:textId="3F775B79" w:rsidR="006D3DA5" w:rsidRPr="007D36A0" w:rsidRDefault="006D3DA5" w:rsidP="006D3DA5">
      <w:pPr>
        <w:pStyle w:val="Footnote"/>
      </w:pPr>
      <w:r w:rsidRPr="007D36A0">
        <w:rPr>
          <w:rStyle w:val="FootnoteReference"/>
        </w:rPr>
        <w:t>*</w:t>
      </w:r>
      <w:r w:rsidRPr="007D36A0">
        <w:t xml:space="preserve"> CBD/CP/MOP/11/1</w:t>
      </w:r>
      <w:r w:rsidR="00145C32">
        <w:rPr>
          <w:rFonts w:hint="eastAsia"/>
          <w:lang w:eastAsia="zh-CN"/>
        </w:rPr>
        <w:t>。</w:t>
      </w:r>
    </w:p>
  </w:footnote>
  <w:footnote w:id="3">
    <w:p w14:paraId="7A19DAB0" w14:textId="0E96499C" w:rsidR="0018369B" w:rsidRPr="007D36A0" w:rsidRDefault="0018369B">
      <w:pPr>
        <w:pStyle w:val="FootnoteText"/>
        <w:rPr>
          <w:szCs w:val="18"/>
        </w:rPr>
      </w:pPr>
      <w:r w:rsidRPr="006702A1">
        <w:rPr>
          <w:rStyle w:val="FootnoteReference"/>
          <w:szCs w:val="18"/>
        </w:rPr>
        <w:footnoteRef/>
      </w:r>
      <w:r w:rsidRPr="006702A1">
        <w:rPr>
          <w:szCs w:val="18"/>
        </w:rPr>
        <w:t xml:space="preserve"> </w:t>
      </w:r>
      <w:r w:rsidRPr="00B01767">
        <w:rPr>
          <w:szCs w:val="18"/>
        </w:rPr>
        <w:t>CBD/CP/MOP/11/INF/</w:t>
      </w:r>
      <w:r w:rsidR="0098064E" w:rsidRPr="006702A1">
        <w:rPr>
          <w:szCs w:val="18"/>
        </w:rPr>
        <w:t>2</w:t>
      </w:r>
      <w:r w:rsidR="00E3445E">
        <w:rPr>
          <w:rFonts w:hint="eastAsia"/>
          <w:szCs w:val="18"/>
          <w:lang w:eastAsia="zh-CN"/>
        </w:rPr>
        <w:t>。</w:t>
      </w:r>
    </w:p>
  </w:footnote>
  <w:footnote w:id="4">
    <w:p w14:paraId="75A3796C" w14:textId="4D441596" w:rsidR="00E26BF3" w:rsidRPr="00A04F96" w:rsidRDefault="00E26BF3" w:rsidP="00E26BF3">
      <w:pPr>
        <w:pStyle w:val="FootnoteText"/>
        <w:rPr>
          <w:szCs w:val="18"/>
          <w:lang w:val="es-ES"/>
        </w:rPr>
      </w:pPr>
      <w:r w:rsidRPr="007D36A0">
        <w:rPr>
          <w:rStyle w:val="FootnoteReference"/>
          <w:szCs w:val="18"/>
        </w:rPr>
        <w:footnoteRef/>
      </w:r>
      <w:r w:rsidRPr="00A04F96">
        <w:rPr>
          <w:szCs w:val="18"/>
          <w:lang w:val="es-ES"/>
        </w:rPr>
        <w:t xml:space="preserve"> CBD/CP/CC/16/7</w:t>
      </w:r>
      <w:r>
        <w:rPr>
          <w:rFonts w:hint="eastAsia"/>
          <w:szCs w:val="18"/>
          <w:lang w:val="es-ES" w:eastAsia="zh-CN"/>
        </w:rPr>
        <w:t>，第</w:t>
      </w:r>
      <w:r w:rsidRPr="00A04F96">
        <w:rPr>
          <w:szCs w:val="18"/>
          <w:lang w:val="es-ES"/>
        </w:rPr>
        <w:t>33</w:t>
      </w:r>
      <w:r>
        <w:rPr>
          <w:rFonts w:hint="eastAsia"/>
          <w:szCs w:val="18"/>
          <w:lang w:val="es-ES" w:eastAsia="zh-CN"/>
        </w:rPr>
        <w:t>段。</w:t>
      </w:r>
    </w:p>
  </w:footnote>
  <w:footnote w:id="5">
    <w:p w14:paraId="1B7619F3" w14:textId="747D9EBB" w:rsidR="00E26BF3" w:rsidRPr="00C03174" w:rsidRDefault="00E26BF3" w:rsidP="00E26BF3">
      <w:pPr>
        <w:pStyle w:val="FootnoteText"/>
        <w:rPr>
          <w:szCs w:val="18"/>
          <w:lang w:val="es-ES"/>
        </w:rPr>
      </w:pPr>
      <w:r w:rsidRPr="007D36A0">
        <w:rPr>
          <w:rStyle w:val="FootnoteReference"/>
          <w:szCs w:val="18"/>
        </w:rPr>
        <w:footnoteRef/>
      </w:r>
      <w:r w:rsidRPr="007D36A0">
        <w:rPr>
          <w:szCs w:val="18"/>
          <w:lang w:val="es-ES"/>
        </w:rPr>
        <w:t xml:space="preserve"> CBD/SYNBIO/AHTEG/2017/1/3</w:t>
      </w:r>
      <w:r>
        <w:rPr>
          <w:rFonts w:hint="eastAsia"/>
          <w:szCs w:val="18"/>
          <w:lang w:val="es-ES" w:eastAsia="zh-CN"/>
        </w:rPr>
        <w:t>，第</w:t>
      </w:r>
      <w:r w:rsidRPr="00C03174">
        <w:rPr>
          <w:szCs w:val="18"/>
          <w:lang w:val="es-ES"/>
        </w:rPr>
        <w:t>28</w:t>
      </w:r>
      <w:r>
        <w:rPr>
          <w:rFonts w:hint="eastAsia"/>
          <w:szCs w:val="18"/>
          <w:lang w:val="it-IT" w:eastAsia="zh-CN"/>
        </w:rPr>
        <w:t>段。</w:t>
      </w:r>
    </w:p>
  </w:footnote>
  <w:footnote w:id="6">
    <w:p w14:paraId="1CCE408B" w14:textId="5FCB5F07" w:rsidR="00E26BF3" w:rsidRPr="00C03174" w:rsidRDefault="00E26BF3" w:rsidP="00E26BF3">
      <w:pPr>
        <w:pStyle w:val="FootnoteText"/>
        <w:rPr>
          <w:szCs w:val="18"/>
          <w:lang w:val="es-ES"/>
        </w:rPr>
      </w:pPr>
      <w:r w:rsidRPr="007D36A0">
        <w:rPr>
          <w:rStyle w:val="FootnoteReference"/>
          <w:szCs w:val="18"/>
        </w:rPr>
        <w:footnoteRef/>
      </w:r>
      <w:r w:rsidRPr="00C03174">
        <w:rPr>
          <w:szCs w:val="18"/>
          <w:lang w:val="es-ES"/>
        </w:rPr>
        <w:t xml:space="preserve"> CBD/SYNBIO/AHTEG/2019/1/3</w:t>
      </w:r>
      <w:r w:rsidRPr="00C03174">
        <w:rPr>
          <w:rFonts w:hint="eastAsia"/>
          <w:szCs w:val="18"/>
          <w:lang w:val="es-ES" w:eastAsia="zh-CN"/>
        </w:rPr>
        <w:t>，</w:t>
      </w:r>
      <w:r>
        <w:rPr>
          <w:rFonts w:hint="eastAsia"/>
          <w:szCs w:val="18"/>
          <w:lang w:val="it-IT" w:eastAsia="zh-CN"/>
        </w:rPr>
        <w:t>附件一</w:t>
      </w:r>
      <w:r w:rsidRPr="00C03174">
        <w:rPr>
          <w:rFonts w:hint="eastAsia"/>
          <w:szCs w:val="18"/>
          <w:lang w:val="es-ES" w:eastAsia="zh-CN"/>
        </w:rPr>
        <w:t>，</w:t>
      </w:r>
      <w:r>
        <w:rPr>
          <w:rFonts w:hint="eastAsia"/>
          <w:szCs w:val="18"/>
          <w:lang w:val="it-IT" w:eastAsia="zh-CN"/>
        </w:rPr>
        <w:t>第</w:t>
      </w:r>
      <w:r w:rsidRPr="00C03174">
        <w:rPr>
          <w:szCs w:val="18"/>
          <w:lang w:val="es-ES"/>
        </w:rPr>
        <w:t>19</w:t>
      </w:r>
      <w:r>
        <w:rPr>
          <w:rFonts w:hint="eastAsia"/>
          <w:szCs w:val="18"/>
          <w:lang w:val="it-IT" w:eastAsia="zh-CN"/>
        </w:rPr>
        <w:t>段。</w:t>
      </w:r>
    </w:p>
  </w:footnote>
  <w:footnote w:id="7">
    <w:p w14:paraId="1D60BB8C" w14:textId="77777777" w:rsidR="002E0632" w:rsidRPr="00B01767" w:rsidRDefault="002E0632" w:rsidP="002E0632">
      <w:pPr>
        <w:pStyle w:val="FootnoteText"/>
        <w:rPr>
          <w:lang w:eastAsia="zh-CN"/>
        </w:rPr>
      </w:pPr>
      <w:r>
        <w:rPr>
          <w:rStyle w:val="FootnoteReference"/>
        </w:rPr>
        <w:footnoteRef/>
      </w:r>
      <w:r>
        <w:rPr>
          <w:lang w:eastAsia="zh-CN"/>
        </w:rPr>
        <w:t xml:space="preserve"> </w:t>
      </w:r>
      <w:r>
        <w:rPr>
          <w:rFonts w:hint="eastAsia"/>
          <w:lang w:eastAsia="zh-CN"/>
        </w:rPr>
        <w:t>分别为</w:t>
      </w:r>
      <w:hyperlink r:id="rId1" w:history="1">
        <w:r w:rsidRPr="00D00229">
          <w:rPr>
            <w:rStyle w:val="Hyperlink"/>
            <w:lang w:eastAsia="zh-CN"/>
          </w:rPr>
          <w:t>CBD/CP/CC/18/5</w:t>
        </w:r>
      </w:hyperlink>
      <w:r>
        <w:rPr>
          <w:lang w:eastAsia="zh-CN"/>
        </w:rPr>
        <w:t xml:space="preserve"> </w:t>
      </w:r>
      <w:r>
        <w:rPr>
          <w:rFonts w:hint="eastAsia"/>
          <w:lang w:eastAsia="zh-CN"/>
        </w:rPr>
        <w:t>和</w:t>
      </w:r>
      <w:r>
        <w:rPr>
          <w:lang w:eastAsia="zh-CN"/>
        </w:rPr>
        <w:t xml:space="preserve"> </w:t>
      </w:r>
      <w:hyperlink r:id="rId2" w:history="1">
        <w:r w:rsidRPr="0034342D">
          <w:rPr>
            <w:rStyle w:val="Hyperlink"/>
            <w:lang w:eastAsia="zh-CN"/>
          </w:rPr>
          <w:t>CBD/CP/CC/19/5</w:t>
        </w:r>
      </w:hyperlink>
      <w:r>
        <w:rPr>
          <w:rFonts w:hint="eastAsia"/>
          <w:lang w:eastAsia="zh-CN"/>
        </w:rPr>
        <w:t>号文件。</w:t>
      </w:r>
      <w:r w:rsidRPr="00D00229">
        <w:rPr>
          <w:lang w:eastAsia="zh-CN"/>
        </w:rPr>
        <w:t xml:space="preserve"> </w:t>
      </w:r>
    </w:p>
  </w:footnote>
  <w:footnote w:id="8">
    <w:p w14:paraId="4E8021B2" w14:textId="519A2A9F" w:rsidR="00451465" w:rsidRPr="00451465" w:rsidRDefault="00451465" w:rsidP="002E0632">
      <w:pPr>
        <w:pStyle w:val="FootnoteText"/>
        <w:rPr>
          <w:lang w:eastAsia="zh-CN"/>
        </w:rPr>
      </w:pPr>
      <w:r>
        <w:rPr>
          <w:rStyle w:val="FootnoteReference"/>
          <w:lang w:eastAsia="zh-CN"/>
        </w:rPr>
        <w:t>*</w:t>
      </w:r>
      <w:r>
        <w:rPr>
          <w:lang w:eastAsia="zh-CN"/>
        </w:rPr>
        <w:t xml:space="preserve"> </w:t>
      </w:r>
      <w:r w:rsidR="002E0632">
        <w:rPr>
          <w:rFonts w:hint="eastAsia"/>
          <w:lang w:eastAsia="zh-CN"/>
        </w:rPr>
        <w:t>按照作为议定书缔约方会议的缔约方大会以前各次会议的做法，可把这些建议分配到与其关系最为密切的议程项目下审议。</w:t>
      </w:r>
    </w:p>
  </w:footnote>
  <w:footnote w:id="9">
    <w:p w14:paraId="5BD4BC71" w14:textId="4371323B" w:rsidR="000C072A" w:rsidRDefault="000C072A" w:rsidP="002E0632">
      <w:pPr>
        <w:pStyle w:val="FootnoteText"/>
        <w:rPr>
          <w:lang w:eastAsia="zh-CN"/>
        </w:rPr>
      </w:pPr>
      <w:r>
        <w:rPr>
          <w:rStyle w:val="FootnoteReference"/>
        </w:rPr>
        <w:footnoteRef/>
      </w:r>
      <w:r>
        <w:rPr>
          <w:lang w:eastAsia="zh-CN"/>
        </w:rPr>
        <w:t xml:space="preserve"> </w:t>
      </w:r>
      <w:r w:rsidR="002E0632">
        <w:rPr>
          <w:rFonts w:hint="eastAsia"/>
          <w:lang w:eastAsia="zh-CN"/>
        </w:rPr>
        <w:t>联合国，《条约汇编》，第</w:t>
      </w:r>
      <w:r w:rsidR="002E0632">
        <w:rPr>
          <w:rFonts w:hint="eastAsia"/>
          <w:lang w:eastAsia="zh-CN"/>
        </w:rPr>
        <w:t>2226</w:t>
      </w:r>
      <w:r w:rsidR="002E0632">
        <w:rPr>
          <w:rFonts w:hint="eastAsia"/>
          <w:lang w:eastAsia="zh-CN"/>
        </w:rPr>
        <w:t>卷，第</w:t>
      </w:r>
      <w:r w:rsidR="002E0632">
        <w:rPr>
          <w:rFonts w:hint="eastAsia"/>
          <w:lang w:eastAsia="zh-CN"/>
        </w:rPr>
        <w:t>30619</w:t>
      </w:r>
      <w:r w:rsidR="002E0632">
        <w:rPr>
          <w:rFonts w:hint="eastAsia"/>
          <w:lang w:eastAsia="zh-CN"/>
        </w:rPr>
        <w:t>号。</w:t>
      </w:r>
    </w:p>
  </w:footnote>
  <w:footnote w:id="10">
    <w:p w14:paraId="11F9AB33" w14:textId="46CCD806" w:rsidR="00C870FF" w:rsidRDefault="00C870FF" w:rsidP="00C870FF">
      <w:pPr>
        <w:pStyle w:val="FootnoteText"/>
        <w:rPr>
          <w:lang w:eastAsia="zh-CN"/>
        </w:rPr>
      </w:pPr>
      <w:r>
        <w:rPr>
          <w:rStyle w:val="FootnoteReference"/>
        </w:rPr>
        <w:footnoteRef/>
      </w:r>
      <w:r>
        <w:rPr>
          <w:lang w:eastAsia="zh-CN"/>
        </w:rPr>
        <w:t xml:space="preserve"> </w:t>
      </w:r>
      <w:r w:rsidR="00E05688" w:rsidRPr="00E05688">
        <w:rPr>
          <w:rFonts w:hint="eastAsia"/>
          <w:szCs w:val="18"/>
          <w:lang w:eastAsia="zh-CN"/>
        </w:rPr>
        <w:t>巴巴多斯、布隆迪、几内亚、吉尔吉斯斯坦、黎巴嫩、摩洛哥、阿曼、萨摩亚、苏里南、特立尼达和多巴哥和突尼斯</w:t>
      </w:r>
      <w:r w:rsidR="00E05688">
        <w:rPr>
          <w:rFonts w:hint="eastAsia"/>
          <w:szCs w:val="18"/>
          <w:lang w:eastAsia="zh-CN"/>
        </w:rPr>
        <w:t>。</w:t>
      </w:r>
    </w:p>
  </w:footnote>
  <w:footnote w:id="11">
    <w:p w14:paraId="16727B8E" w14:textId="77777777" w:rsidR="00FD6B5B" w:rsidRDefault="00FD6B5B" w:rsidP="00FD6B5B">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2226</w:t>
      </w:r>
      <w:r>
        <w:rPr>
          <w:rFonts w:hint="eastAsia"/>
          <w:lang w:eastAsia="zh-CN"/>
        </w:rPr>
        <w:t>卷，第</w:t>
      </w:r>
      <w:r>
        <w:rPr>
          <w:rFonts w:hint="eastAsia"/>
          <w:lang w:eastAsia="zh-CN"/>
        </w:rPr>
        <w:t>30619</w:t>
      </w:r>
      <w:r>
        <w:rPr>
          <w:rFonts w:hint="eastAsia"/>
          <w:lang w:eastAsia="zh-CN"/>
        </w:rPr>
        <w:t>号。</w:t>
      </w:r>
    </w:p>
  </w:footnote>
  <w:footnote w:id="12">
    <w:p w14:paraId="3BE99FAF" w14:textId="360D660F" w:rsidR="00FD6B5B" w:rsidRDefault="00FD6B5B" w:rsidP="00FD6B5B">
      <w:pPr>
        <w:pStyle w:val="FootnoteText"/>
        <w:rPr>
          <w:lang w:eastAsia="zh-CN"/>
        </w:rPr>
      </w:pPr>
      <w:r>
        <w:rPr>
          <w:rStyle w:val="FootnoteReference"/>
        </w:rPr>
        <w:footnoteRef/>
      </w:r>
      <w:r>
        <w:rPr>
          <w:lang w:eastAsia="zh-CN"/>
        </w:rPr>
        <w:t xml:space="preserve"> </w:t>
      </w:r>
      <w:r>
        <w:rPr>
          <w:rFonts w:hint="eastAsia"/>
          <w:lang w:eastAsia="zh-CN"/>
        </w:rPr>
        <w:t>将在作为卡塔赫纳生物安全议定书缔约方会议的缔约方大会第十一次会议之前更新缔约方名单。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1CB9FD73" w14:textId="6EBFE09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34FC4" w:rsidRPr="002B559C">
          <w:rPr>
            <w:szCs w:val="20"/>
            <w:lang w:val="fr-FR"/>
          </w:rPr>
          <w:t>CBD/</w:t>
        </w:r>
        <w:r w:rsidR="00C34FC4">
          <w:rPr>
            <w:szCs w:val="20"/>
            <w:lang w:val="fr-FR"/>
          </w:rPr>
          <w:t>CP/MOP/11/3</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72CE832" w14:textId="16C27076" w:rsidR="002B559C" w:rsidRPr="002B559C" w:rsidRDefault="00C34FC4" w:rsidP="002B559C">
        <w:pPr>
          <w:pStyle w:val="Header"/>
          <w:spacing w:after="240"/>
          <w:jc w:val="right"/>
          <w:rPr>
            <w:szCs w:val="20"/>
            <w:lang w:val="fr-FR"/>
          </w:rPr>
        </w:pPr>
        <w:r>
          <w:rPr>
            <w:szCs w:val="20"/>
            <w:lang w:val="fr-FR"/>
          </w:rPr>
          <w:t>CBD/CP/MOP/11/3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2"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4"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4"/>
  </w:num>
  <w:num w:numId="2" w16cid:durableId="402872035">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5"/>
  </w:num>
  <w:num w:numId="4" w16cid:durableId="1463033526">
    <w:abstractNumId w:val="5"/>
  </w:num>
  <w:num w:numId="5" w16cid:durableId="552229469">
    <w:abstractNumId w:val="6"/>
  </w:num>
  <w:num w:numId="6" w16cid:durableId="2067416366">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1"/>
  </w:num>
  <w:num w:numId="8" w16cid:durableId="498815910">
    <w:abstractNumId w:val="3"/>
  </w:num>
  <w:num w:numId="9" w16cid:durableId="1584290606">
    <w:abstractNumId w:val="0"/>
  </w:num>
  <w:num w:numId="10" w16cid:durableId="2126803623">
    <w:abstractNumId w:val="2"/>
  </w:num>
  <w:num w:numId="11" w16cid:durableId="1975141519">
    <w:abstractNumId w:val="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3117"/>
    <w:rsid w:val="00283852"/>
    <w:rsid w:val="00287485"/>
    <w:rsid w:val="00290917"/>
    <w:rsid w:val="00291E4E"/>
    <w:rsid w:val="00295149"/>
    <w:rsid w:val="00297D97"/>
    <w:rsid w:val="002A2815"/>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163DD"/>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87D41"/>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11C4"/>
    <w:rsid w:val="00502516"/>
    <w:rsid w:val="00503F0D"/>
    <w:rsid w:val="0050490E"/>
    <w:rsid w:val="0050578A"/>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5FCD"/>
    <w:rsid w:val="00912311"/>
    <w:rsid w:val="009123E0"/>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769C6"/>
    <w:rsid w:val="00A82585"/>
    <w:rsid w:val="00A85510"/>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1864"/>
    <w:rsid w:val="00AB28B3"/>
    <w:rsid w:val="00AB65A1"/>
    <w:rsid w:val="00AC15ED"/>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2075"/>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3BB8"/>
    <w:rsid w:val="00C74CAC"/>
    <w:rsid w:val="00C76856"/>
    <w:rsid w:val="00C76BB3"/>
    <w:rsid w:val="00C808CF"/>
    <w:rsid w:val="00C822E0"/>
    <w:rsid w:val="00C8563E"/>
    <w:rsid w:val="00C85FE9"/>
    <w:rsid w:val="00C870FF"/>
    <w:rsid w:val="00C87359"/>
    <w:rsid w:val="00C87D40"/>
    <w:rsid w:val="00C900F9"/>
    <w:rsid w:val="00C92D92"/>
    <w:rsid w:val="00C92F8C"/>
    <w:rsid w:val="00C936AF"/>
    <w:rsid w:val="00C9562B"/>
    <w:rsid w:val="00C96053"/>
    <w:rsid w:val="00CA2F39"/>
    <w:rsid w:val="00CA34DA"/>
    <w:rsid w:val="00CA4695"/>
    <w:rsid w:val="00CA4A08"/>
    <w:rsid w:val="00CA59F1"/>
    <w:rsid w:val="00CA6525"/>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1EE4"/>
    <w:rsid w:val="00D35B06"/>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4486"/>
    <w:rsid w:val="00D97BD4"/>
    <w:rsid w:val="00DA32DE"/>
    <w:rsid w:val="00DA33C0"/>
    <w:rsid w:val="00DA3656"/>
    <w:rsid w:val="00DA3674"/>
    <w:rsid w:val="00DA3ED5"/>
    <w:rsid w:val="00DA72C1"/>
    <w:rsid w:val="00DB1286"/>
    <w:rsid w:val="00DB1B5C"/>
    <w:rsid w:val="00DB1C47"/>
    <w:rsid w:val="00DB1CF2"/>
    <w:rsid w:val="00DB27AB"/>
    <w:rsid w:val="00DB5CB6"/>
    <w:rsid w:val="00DB5F52"/>
    <w:rsid w:val="00DB790E"/>
    <w:rsid w:val="00DC03A3"/>
    <w:rsid w:val="00DC33BC"/>
    <w:rsid w:val="00DC3461"/>
    <w:rsid w:val="00DC3F70"/>
    <w:rsid w:val="00DC6B5D"/>
    <w:rsid w:val="00DC77CE"/>
    <w:rsid w:val="00DC7D60"/>
    <w:rsid w:val="00DD1B28"/>
    <w:rsid w:val="00DD35CB"/>
    <w:rsid w:val="00DD3722"/>
    <w:rsid w:val="00DD4DFB"/>
    <w:rsid w:val="00DE2B20"/>
    <w:rsid w:val="00DE6506"/>
    <w:rsid w:val="00DF06AF"/>
    <w:rsid w:val="00DF1720"/>
    <w:rsid w:val="00DF21EE"/>
    <w:rsid w:val="00DF2D47"/>
    <w:rsid w:val="00E02556"/>
    <w:rsid w:val="00E03B2E"/>
    <w:rsid w:val="00E05688"/>
    <w:rsid w:val="00E103DE"/>
    <w:rsid w:val="00E11ECB"/>
    <w:rsid w:val="00E12540"/>
    <w:rsid w:val="00E126DD"/>
    <w:rsid w:val="00E12D49"/>
    <w:rsid w:val="00E13307"/>
    <w:rsid w:val="00E13E26"/>
    <w:rsid w:val="00E141E9"/>
    <w:rsid w:val="00E14ACC"/>
    <w:rsid w:val="00E1597C"/>
    <w:rsid w:val="00E218A7"/>
    <w:rsid w:val="00E228F5"/>
    <w:rsid w:val="00E239D5"/>
    <w:rsid w:val="00E26645"/>
    <w:rsid w:val="00E26BF3"/>
    <w:rsid w:val="00E305C3"/>
    <w:rsid w:val="00E31563"/>
    <w:rsid w:val="00E32358"/>
    <w:rsid w:val="00E3287F"/>
    <w:rsid w:val="00E3445E"/>
    <w:rsid w:val="00E35CE8"/>
    <w:rsid w:val="00E37A8B"/>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6B6D"/>
    <w:rsid w:val="00EC7271"/>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82C"/>
    <w:rsid w:val="00F75F90"/>
    <w:rsid w:val="00F76061"/>
    <w:rsid w:val="00F772BA"/>
    <w:rsid w:val="00F77862"/>
    <w:rsid w:val="00F801F7"/>
    <w:rsid w:val="00F8021E"/>
    <w:rsid w:val="00F8469E"/>
    <w:rsid w:val="00F87A84"/>
    <w:rsid w:val="00F941ED"/>
    <w:rsid w:val="00F942A2"/>
    <w:rsid w:val="00F9498F"/>
    <w:rsid w:val="00F94FBC"/>
    <w:rsid w:val="00F9503E"/>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62F7"/>
    <w:rsid w:val="00FD6B5B"/>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宋体"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art34_info.s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5b97/1cf0/8d51b75b52d943e843a388f8/cp-cc-19-05-en.pdf" TargetMode="External"/><Relationship Id="rId1" Type="http://schemas.openxmlformats.org/officeDocument/2006/relationships/hyperlink" Target="https://www.cbd.int/doc/c/12ea/4242/e51012d8e683fb7fde470d21/cp-cc-18-0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7CCC0F54AA4AF4A20E5CC603275771"/>
        <w:category>
          <w:name w:val="General"/>
          <w:gallery w:val="placeholder"/>
        </w:category>
        <w:types>
          <w:type w:val="bbPlcHdr"/>
        </w:types>
        <w:behaviors>
          <w:behavior w:val="content"/>
        </w:behaviors>
        <w:guid w:val="{1BD752EC-A7AB-4F6C-900C-B1CCC015D763}"/>
      </w:docPartPr>
      <w:docPartBody>
        <w:p w:rsidR="007B7812" w:rsidRDefault="00473D6F">
          <w:pPr>
            <w:pStyle w:val="237CCC0F54AA4AF4A20E5CC6032757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812"/>
    <w:rsid w:val="00084129"/>
    <w:rsid w:val="000C5F56"/>
    <w:rsid w:val="000C637F"/>
    <w:rsid w:val="000F2C90"/>
    <w:rsid w:val="00210197"/>
    <w:rsid w:val="00221590"/>
    <w:rsid w:val="00227D83"/>
    <w:rsid w:val="00283D76"/>
    <w:rsid w:val="0029645A"/>
    <w:rsid w:val="002A3170"/>
    <w:rsid w:val="002E699B"/>
    <w:rsid w:val="00353A3C"/>
    <w:rsid w:val="00370DD9"/>
    <w:rsid w:val="003F411A"/>
    <w:rsid w:val="00422498"/>
    <w:rsid w:val="00426360"/>
    <w:rsid w:val="00473D6F"/>
    <w:rsid w:val="00490BA0"/>
    <w:rsid w:val="005011C4"/>
    <w:rsid w:val="00502A5D"/>
    <w:rsid w:val="00566CB3"/>
    <w:rsid w:val="005A01E3"/>
    <w:rsid w:val="005F03DF"/>
    <w:rsid w:val="007843AA"/>
    <w:rsid w:val="007A5E5C"/>
    <w:rsid w:val="007B7812"/>
    <w:rsid w:val="00823680"/>
    <w:rsid w:val="008D3219"/>
    <w:rsid w:val="008D3495"/>
    <w:rsid w:val="008F4124"/>
    <w:rsid w:val="00931F65"/>
    <w:rsid w:val="00955896"/>
    <w:rsid w:val="009D668D"/>
    <w:rsid w:val="00AD4777"/>
    <w:rsid w:val="00AE4538"/>
    <w:rsid w:val="00B02075"/>
    <w:rsid w:val="00B41CD8"/>
    <w:rsid w:val="00B46077"/>
    <w:rsid w:val="00BC04A7"/>
    <w:rsid w:val="00C063A8"/>
    <w:rsid w:val="00C77A23"/>
    <w:rsid w:val="00D94486"/>
    <w:rsid w:val="00DF21EE"/>
    <w:rsid w:val="00E00B22"/>
    <w:rsid w:val="00EE1438"/>
    <w:rsid w:val="00F21C46"/>
    <w:rsid w:val="00F23253"/>
    <w:rsid w:val="00F261F6"/>
    <w:rsid w:val="00FB3A54"/>
    <w:rsid w:val="00FD62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7CCC0F54AA4AF4A20E5CC603275771">
    <w:name w:val="237CCC0F54AA4AF4A20E5CC6032757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127</TotalTime>
  <Pages>6</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卡塔赫纳生物安全议定书履约委员会第十八和第十九次会议工作报告</vt:lpstr>
    </vt:vector>
  </TitlesOfParts>
  <Company/>
  <LinksUpToDate>false</LinksUpToDate>
  <CharactersWithSpaces>4903</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卡塔赫纳生物安全议定书履约委员会第十八和第十九次会议工作报告</dc:title>
  <dc:subject>CBD/CP/MOP/11/3</dc:subject>
  <dc:creator>kathryn.garforth</dc:creator>
  <cp:keywords>Conference of the Parties to the Convention on Biological Diversity serving as the meeting of the Parties to the Cartagena Protocol on Biosafety</cp:keywords>
  <dc:description/>
  <cp:lastModifiedBy>Steve Pei</cp:lastModifiedBy>
  <cp:revision>21</cp:revision>
  <cp:lastPrinted>2024-08-29T20:39:00Z</cp:lastPrinted>
  <dcterms:created xsi:type="dcterms:W3CDTF">2024-08-27T23:14:00Z</dcterms:created>
  <dcterms:modified xsi:type="dcterms:W3CDTF">2024-08-29T20:42:00Z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