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D52EF5" w14:paraId="222C8939" w14:textId="77777777" w:rsidTr="00415489">
        <w:tc>
          <w:tcPr>
            <w:tcW w:w="852" w:type="dxa"/>
            <w:tcBorders>
              <w:top w:val="nil"/>
              <w:bottom w:val="single" w:sz="12" w:space="0" w:color="000000"/>
              <w:right w:val="nil"/>
            </w:tcBorders>
          </w:tcPr>
          <w:p w14:paraId="48765D80" w14:textId="77777777" w:rsidR="00433B20" w:rsidRPr="00D52EF5" w:rsidRDefault="00E419B5" w:rsidP="00433B20">
            <w:pPr>
              <w:pStyle w:val="BodyText2"/>
              <w:rPr>
                <w:b/>
                <w:snapToGrid w:val="0"/>
                <w:kern w:val="22"/>
                <w:lang w:val="es-ES_tradnl" w:eastAsia="en-CA"/>
              </w:rPr>
            </w:pPr>
            <w:r w:rsidRPr="00D52EF5">
              <w:rPr>
                <w:b/>
                <w:noProof/>
                <w:snapToGrid w:val="0"/>
                <w:kern w:val="22"/>
                <w:lang w:val="fr-FR" w:eastAsia="fr-FR"/>
              </w:rPr>
              <w:drawing>
                <wp:inline distT="0" distB="0" distL="0" distR="0" wp14:anchorId="6F0F4B99" wp14:editId="38D41C13">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FEDDC46" w14:textId="16748ABE" w:rsidR="00433B20" w:rsidRPr="00D52EF5" w:rsidRDefault="00BA348F" w:rsidP="00094C9B">
            <w:pPr>
              <w:rPr>
                <w:snapToGrid w:val="0"/>
                <w:kern w:val="22"/>
                <w:lang w:val="es-ES_tradnl" w:eastAsia="en-CA"/>
              </w:rPr>
            </w:pPr>
            <w:r w:rsidRPr="00D52EF5">
              <w:rPr>
                <w:noProof/>
                <w:kern w:val="22"/>
                <w:lang w:val="fr-FR" w:eastAsia="fr-FR"/>
              </w:rPr>
              <w:drawing>
                <wp:inline distT="0" distB="0" distL="0" distR="0" wp14:anchorId="413836FC" wp14:editId="47E6FDE3">
                  <wp:extent cx="781050" cy="449104"/>
                  <wp:effectExtent l="0" t="0" r="6350" b="825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558" cy="449396"/>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3287565" w14:textId="77777777" w:rsidR="00433B20" w:rsidRPr="00D52EF5" w:rsidRDefault="00433B20" w:rsidP="00094C9B">
            <w:pPr>
              <w:jc w:val="right"/>
              <w:rPr>
                <w:rFonts w:ascii="Univers" w:hAnsi="Univers"/>
                <w:b/>
                <w:snapToGrid w:val="0"/>
                <w:kern w:val="22"/>
                <w:sz w:val="32"/>
                <w:lang w:val="es-ES_tradnl"/>
              </w:rPr>
            </w:pPr>
            <w:r w:rsidRPr="00D52EF5">
              <w:rPr>
                <w:rFonts w:ascii="Univers" w:hAnsi="Univers"/>
                <w:b/>
                <w:snapToGrid w:val="0"/>
                <w:kern w:val="22"/>
                <w:sz w:val="32"/>
                <w:lang w:val="es-ES_tradnl"/>
              </w:rPr>
              <w:t>CBD</w:t>
            </w:r>
          </w:p>
        </w:tc>
      </w:tr>
      <w:tr w:rsidR="00AD1731" w:rsidRPr="009918D7" w14:paraId="689C851F" w14:textId="77777777" w:rsidTr="00415489">
        <w:trPr>
          <w:trHeight w:val="1693"/>
        </w:trPr>
        <w:tc>
          <w:tcPr>
            <w:tcW w:w="6086" w:type="dxa"/>
            <w:gridSpan w:val="3"/>
            <w:tcBorders>
              <w:top w:val="nil"/>
              <w:bottom w:val="single" w:sz="36" w:space="0" w:color="000000"/>
            </w:tcBorders>
          </w:tcPr>
          <w:p w14:paraId="219907E8" w14:textId="77777777" w:rsidR="00AD1731" w:rsidRPr="00D52EF5" w:rsidRDefault="00AD1731" w:rsidP="00186147">
            <w:pPr>
              <w:rPr>
                <w:snapToGrid w:val="0"/>
                <w:kern w:val="22"/>
                <w:lang w:val="es-ES_tradnl"/>
              </w:rPr>
            </w:pPr>
          </w:p>
          <w:p w14:paraId="06D10B9A" w14:textId="77777777" w:rsidR="00AD1731" w:rsidRPr="00D52EF5" w:rsidRDefault="006D5C4E" w:rsidP="00186147">
            <w:pPr>
              <w:rPr>
                <w:snapToGrid w:val="0"/>
                <w:kern w:val="22"/>
                <w:lang w:val="es-ES_tradnl"/>
              </w:rPr>
            </w:pPr>
            <w:r w:rsidRPr="00D52EF5">
              <w:rPr>
                <w:noProof/>
                <w:snapToGrid w:val="0"/>
                <w:kern w:val="22"/>
                <w:lang w:val="fr-FR" w:eastAsia="fr-FR"/>
              </w:rPr>
              <w:drawing>
                <wp:inline distT="0" distB="0" distL="0" distR="0" wp14:anchorId="2B804650" wp14:editId="73162282">
                  <wp:extent cx="2905760" cy="1076960"/>
                  <wp:effectExtent l="19050" t="0" r="8890"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14:paraId="1CB6CEE4" w14:textId="77777777" w:rsidR="00AD1731" w:rsidRPr="00D52EF5" w:rsidRDefault="00AD1731" w:rsidP="00186147">
            <w:pPr>
              <w:rPr>
                <w:rFonts w:ascii="Univers" w:hAnsi="Univers"/>
                <w:snapToGrid w:val="0"/>
                <w:kern w:val="22"/>
                <w:sz w:val="24"/>
                <w:lang w:val="es-ES_tradnl"/>
              </w:rPr>
            </w:pPr>
          </w:p>
        </w:tc>
        <w:tc>
          <w:tcPr>
            <w:tcW w:w="1144" w:type="dxa"/>
            <w:tcBorders>
              <w:top w:val="nil"/>
              <w:bottom w:val="single" w:sz="36" w:space="0" w:color="000000"/>
            </w:tcBorders>
          </w:tcPr>
          <w:p w14:paraId="2C2BC04B" w14:textId="77777777" w:rsidR="00AD1731" w:rsidRPr="00D52EF5" w:rsidRDefault="00AD1731" w:rsidP="00186147">
            <w:pPr>
              <w:pStyle w:val="Header"/>
              <w:tabs>
                <w:tab w:val="clear" w:pos="4320"/>
                <w:tab w:val="clear" w:pos="8640"/>
              </w:tabs>
              <w:rPr>
                <w:bCs/>
                <w:snapToGrid w:val="0"/>
                <w:kern w:val="22"/>
                <w:sz w:val="32"/>
                <w:szCs w:val="32"/>
                <w:lang w:val="es-ES_tradnl"/>
              </w:rPr>
            </w:pPr>
          </w:p>
        </w:tc>
        <w:tc>
          <w:tcPr>
            <w:tcW w:w="2977" w:type="dxa"/>
            <w:tcBorders>
              <w:top w:val="nil"/>
              <w:bottom w:val="single" w:sz="36" w:space="0" w:color="000000"/>
            </w:tcBorders>
          </w:tcPr>
          <w:p w14:paraId="257CD151" w14:textId="77777777" w:rsidR="00AD1731" w:rsidRPr="00D52EF5" w:rsidRDefault="00AD1731" w:rsidP="006F4060">
            <w:pPr>
              <w:ind w:left="318"/>
              <w:rPr>
                <w:rFonts w:cs="Times New Roman"/>
                <w:snapToGrid w:val="0"/>
                <w:kern w:val="22"/>
                <w:szCs w:val="22"/>
                <w:lang w:val="es-ES_tradnl"/>
              </w:rPr>
            </w:pPr>
            <w:proofErr w:type="spellStart"/>
            <w:r w:rsidRPr="00D52EF5">
              <w:rPr>
                <w:rFonts w:cs="Times New Roman"/>
                <w:snapToGrid w:val="0"/>
                <w:kern w:val="22"/>
                <w:szCs w:val="22"/>
                <w:lang w:val="es-ES_tradnl"/>
              </w:rPr>
              <w:t>Distr</w:t>
            </w:r>
            <w:proofErr w:type="spellEnd"/>
            <w:r w:rsidRPr="00D52EF5">
              <w:rPr>
                <w:rFonts w:cs="Times New Roman"/>
                <w:snapToGrid w:val="0"/>
                <w:kern w:val="22"/>
                <w:szCs w:val="22"/>
                <w:lang w:val="es-ES_tradnl"/>
              </w:rPr>
              <w:t>.</w:t>
            </w:r>
          </w:p>
          <w:p w14:paraId="4076E29F" w14:textId="77777777" w:rsidR="00AD1731" w:rsidRPr="00D52EF5" w:rsidRDefault="000B7660" w:rsidP="006F4060">
            <w:pPr>
              <w:ind w:left="318"/>
              <w:rPr>
                <w:rFonts w:cs="Times New Roman"/>
                <w:snapToGrid w:val="0"/>
                <w:kern w:val="22"/>
                <w:szCs w:val="22"/>
                <w:lang w:val="es-ES_tradnl"/>
              </w:rPr>
            </w:pPr>
            <w:r w:rsidRPr="00D52EF5">
              <w:rPr>
                <w:rFonts w:cs="Times New Roman"/>
                <w:snapToGrid w:val="0"/>
                <w:kern w:val="22"/>
                <w:szCs w:val="22"/>
                <w:lang w:val="es-ES_tradnl"/>
              </w:rPr>
              <w:t>GENERAL</w:t>
            </w:r>
          </w:p>
          <w:p w14:paraId="2BE0D191" w14:textId="77777777" w:rsidR="00AD1731" w:rsidRPr="00D52EF5" w:rsidRDefault="00AD1731" w:rsidP="006F4060">
            <w:pPr>
              <w:ind w:left="318"/>
              <w:rPr>
                <w:rFonts w:cs="Times New Roman"/>
                <w:snapToGrid w:val="0"/>
                <w:kern w:val="22"/>
                <w:szCs w:val="22"/>
                <w:lang w:val="es-ES_tradnl"/>
              </w:rPr>
            </w:pPr>
          </w:p>
          <w:sdt>
            <w:sdtPr>
              <w:rPr>
                <w:rFonts w:cs="Times New Roman"/>
                <w:snapToGrid w:val="0"/>
                <w:kern w:val="22"/>
                <w:szCs w:val="22"/>
                <w:lang w:val="es-ES_tradnl"/>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EndPr/>
            <w:sdtContent>
              <w:p w14:paraId="6AD47F6A" w14:textId="77777777" w:rsidR="00AD1731" w:rsidRPr="00D52EF5" w:rsidRDefault="009A1DD3" w:rsidP="006F4060">
                <w:pPr>
                  <w:ind w:left="318"/>
                  <w:rPr>
                    <w:rFonts w:cs="Times New Roman"/>
                    <w:snapToGrid w:val="0"/>
                    <w:kern w:val="22"/>
                    <w:szCs w:val="22"/>
                    <w:lang w:val="es-ES_tradnl"/>
                  </w:rPr>
                </w:pPr>
                <w:r w:rsidRPr="00D52EF5">
                  <w:rPr>
                    <w:rFonts w:cs="Times New Roman"/>
                    <w:snapToGrid w:val="0"/>
                    <w:kern w:val="22"/>
                    <w:szCs w:val="22"/>
                    <w:lang w:val="es-ES_tradnl"/>
                  </w:rPr>
                  <w:t>CBD/SBI/3</w:t>
                </w:r>
                <w:r w:rsidR="00BB24D0" w:rsidRPr="00D52EF5">
                  <w:rPr>
                    <w:rFonts w:cs="Times New Roman"/>
                    <w:snapToGrid w:val="0"/>
                    <w:kern w:val="22"/>
                    <w:szCs w:val="22"/>
                    <w:lang w:val="es-ES_tradnl"/>
                  </w:rPr>
                  <w:t>/</w:t>
                </w:r>
                <w:r w:rsidRPr="00D52EF5">
                  <w:rPr>
                    <w:rFonts w:cs="Times New Roman"/>
                    <w:snapToGrid w:val="0"/>
                    <w:kern w:val="22"/>
                    <w:szCs w:val="22"/>
                    <w:lang w:val="es-ES_tradnl"/>
                  </w:rPr>
                  <w:t>5/Add.1</w:t>
                </w:r>
              </w:p>
            </w:sdtContent>
          </w:sdt>
          <w:p w14:paraId="7528FA3E" w14:textId="05A7C052" w:rsidR="00AD1731" w:rsidRPr="00D52EF5" w:rsidRDefault="00973BE3" w:rsidP="006F4060">
            <w:pPr>
              <w:ind w:left="318"/>
              <w:rPr>
                <w:rFonts w:cs="Times New Roman"/>
                <w:snapToGrid w:val="0"/>
                <w:kern w:val="22"/>
                <w:szCs w:val="22"/>
                <w:lang w:val="es-ES_tradnl"/>
              </w:rPr>
            </w:pPr>
            <w:r w:rsidRPr="00D52EF5">
              <w:rPr>
                <w:rFonts w:cs="Times New Roman"/>
                <w:snapToGrid w:val="0"/>
                <w:kern w:val="22"/>
                <w:szCs w:val="22"/>
                <w:lang w:val="es-ES_tradnl"/>
              </w:rPr>
              <w:t>8 de junio</w:t>
            </w:r>
            <w:r w:rsidR="006D5C4E" w:rsidRPr="00D52EF5">
              <w:rPr>
                <w:rFonts w:cs="Times New Roman"/>
                <w:snapToGrid w:val="0"/>
                <w:kern w:val="22"/>
                <w:szCs w:val="22"/>
                <w:lang w:val="es-ES_tradnl"/>
              </w:rPr>
              <w:t xml:space="preserve"> de</w:t>
            </w:r>
            <w:r w:rsidR="009A1DD3" w:rsidRPr="00D52EF5">
              <w:rPr>
                <w:rFonts w:cs="Times New Roman"/>
                <w:snapToGrid w:val="0"/>
                <w:kern w:val="22"/>
                <w:szCs w:val="22"/>
                <w:lang w:val="es-ES_tradnl"/>
              </w:rPr>
              <w:t xml:space="preserve"> 2020</w:t>
            </w:r>
          </w:p>
          <w:p w14:paraId="40151CBA" w14:textId="77777777" w:rsidR="00AD1731" w:rsidRPr="00D52EF5" w:rsidRDefault="00AD1731" w:rsidP="006F4060">
            <w:pPr>
              <w:ind w:left="318"/>
              <w:rPr>
                <w:rFonts w:cs="Times New Roman"/>
                <w:snapToGrid w:val="0"/>
                <w:kern w:val="22"/>
                <w:szCs w:val="22"/>
                <w:lang w:val="es-ES_tradnl"/>
              </w:rPr>
            </w:pPr>
          </w:p>
          <w:p w14:paraId="04FBDD52" w14:textId="77777777" w:rsidR="006D5C4E" w:rsidRPr="00D52EF5" w:rsidRDefault="006D5C4E" w:rsidP="006F4060">
            <w:pPr>
              <w:ind w:left="318"/>
              <w:rPr>
                <w:rFonts w:cs="Times New Roman"/>
                <w:snapToGrid w:val="0"/>
                <w:kern w:val="22"/>
                <w:szCs w:val="22"/>
                <w:lang w:val="es-ES_tradnl"/>
              </w:rPr>
            </w:pPr>
            <w:r w:rsidRPr="00D52EF5">
              <w:rPr>
                <w:rFonts w:cs="Times New Roman"/>
                <w:snapToGrid w:val="0"/>
                <w:kern w:val="22"/>
                <w:szCs w:val="22"/>
                <w:lang w:val="es-ES_tradnl"/>
              </w:rPr>
              <w:t>ESPAÑOL</w:t>
            </w:r>
          </w:p>
          <w:p w14:paraId="4D664CC8" w14:textId="77777777" w:rsidR="00AD1731" w:rsidRPr="00D52EF5" w:rsidRDefault="00AD1731" w:rsidP="006D5C4E">
            <w:pPr>
              <w:ind w:left="318"/>
              <w:rPr>
                <w:rFonts w:cs="Times New Roman"/>
                <w:snapToGrid w:val="0"/>
                <w:kern w:val="22"/>
                <w:szCs w:val="22"/>
                <w:u w:val="single"/>
                <w:lang w:val="es-ES_tradnl"/>
              </w:rPr>
            </w:pPr>
            <w:r w:rsidRPr="00D52EF5">
              <w:rPr>
                <w:rFonts w:cs="Times New Roman"/>
                <w:snapToGrid w:val="0"/>
                <w:kern w:val="22"/>
                <w:szCs w:val="22"/>
                <w:lang w:val="es-ES_tradnl"/>
              </w:rPr>
              <w:t xml:space="preserve">ORIGINAL: </w:t>
            </w:r>
            <w:r w:rsidR="006D5C4E" w:rsidRPr="00D52EF5">
              <w:rPr>
                <w:rFonts w:cs="Times New Roman"/>
                <w:snapToGrid w:val="0"/>
                <w:kern w:val="22"/>
                <w:szCs w:val="22"/>
                <w:lang w:val="es-ES_tradnl"/>
              </w:rPr>
              <w:t>I</w:t>
            </w:r>
            <w:r w:rsidRPr="00D52EF5">
              <w:rPr>
                <w:rFonts w:cs="Times New Roman"/>
                <w:snapToGrid w:val="0"/>
                <w:kern w:val="22"/>
                <w:szCs w:val="22"/>
                <w:lang w:val="es-ES_tradnl"/>
              </w:rPr>
              <w:t>NGL</w:t>
            </w:r>
            <w:r w:rsidR="006D5C4E" w:rsidRPr="00D52EF5">
              <w:rPr>
                <w:rFonts w:cs="Times New Roman"/>
                <w:snapToGrid w:val="0"/>
                <w:kern w:val="22"/>
                <w:szCs w:val="22"/>
                <w:lang w:val="es-ES_tradnl"/>
              </w:rPr>
              <w:t>É</w:t>
            </w:r>
            <w:r w:rsidRPr="00D52EF5">
              <w:rPr>
                <w:rFonts w:cs="Times New Roman"/>
                <w:snapToGrid w:val="0"/>
                <w:kern w:val="22"/>
                <w:szCs w:val="22"/>
                <w:lang w:val="es-ES_tradnl"/>
              </w:rPr>
              <w:t>S</w:t>
            </w:r>
          </w:p>
        </w:tc>
      </w:tr>
    </w:tbl>
    <w:p w14:paraId="57ABE8C0" w14:textId="77777777" w:rsidR="006D5C4E" w:rsidRPr="00D52EF5" w:rsidRDefault="006D5C4E" w:rsidP="006D5C4E">
      <w:pPr>
        <w:pStyle w:val="Cornernotation"/>
        <w:tabs>
          <w:tab w:val="left" w:pos="5940"/>
        </w:tabs>
        <w:kinsoku w:val="0"/>
        <w:overflowPunct w:val="0"/>
        <w:autoSpaceDE w:val="0"/>
        <w:autoSpaceDN w:val="0"/>
        <w:ind w:left="227" w:right="3702" w:hanging="227"/>
        <w:rPr>
          <w:rFonts w:ascii="Batang" w:eastAsia="Batang"/>
          <w:color w:val="000000"/>
          <w:kern w:val="22"/>
          <w:lang w:val="es-ES_tradnl"/>
        </w:rPr>
      </w:pPr>
      <w:r w:rsidRPr="00D52EF5">
        <w:rPr>
          <w:lang w:val="es-ES_tradnl"/>
        </w:rPr>
        <w:t>ÓRGANO SUBSIDIARIO SOBRE LA APLICACIÓN</w:t>
      </w:r>
    </w:p>
    <w:p w14:paraId="790CFC91" w14:textId="10E89AAB" w:rsidR="006D5C4E" w:rsidRPr="00D52EF5" w:rsidRDefault="005C266C" w:rsidP="006D5C4E">
      <w:pPr>
        <w:pStyle w:val="Cornernotation"/>
        <w:kinsoku w:val="0"/>
        <w:overflowPunct w:val="0"/>
        <w:autoSpaceDE w:val="0"/>
        <w:autoSpaceDN w:val="0"/>
        <w:ind w:left="227" w:right="3970" w:hanging="227"/>
        <w:rPr>
          <w:color w:val="000000"/>
          <w:kern w:val="22"/>
          <w:lang w:val="es-ES_tradnl"/>
        </w:rPr>
      </w:pPr>
      <w:r w:rsidRPr="00D52EF5">
        <w:rPr>
          <w:color w:val="000000"/>
          <w:kern w:val="22"/>
          <w:lang w:val="es-ES_tradnl"/>
        </w:rPr>
        <w:t>Tercera</w:t>
      </w:r>
      <w:r w:rsidR="006D5C4E" w:rsidRPr="00D52EF5">
        <w:rPr>
          <w:color w:val="000000"/>
          <w:kern w:val="22"/>
          <w:lang w:val="es-ES_tradnl"/>
        </w:rPr>
        <w:t xml:space="preserve"> reunión</w:t>
      </w:r>
    </w:p>
    <w:p w14:paraId="02423952" w14:textId="5E53A3F8" w:rsidR="00AD1731" w:rsidRPr="00D52EF5" w:rsidRDefault="00973BE3" w:rsidP="006D5C4E">
      <w:pPr>
        <w:rPr>
          <w:color w:val="000000"/>
          <w:kern w:val="22"/>
          <w:lang w:val="es-ES_tradnl"/>
        </w:rPr>
      </w:pPr>
      <w:r w:rsidRPr="00D52EF5">
        <w:rPr>
          <w:color w:val="000000"/>
          <w:kern w:val="22"/>
          <w:lang w:val="es-ES_tradnl"/>
        </w:rPr>
        <w:t>Ciudad de Quebec</w:t>
      </w:r>
      <w:r w:rsidR="006D5C4E" w:rsidRPr="00D52EF5">
        <w:rPr>
          <w:color w:val="000000"/>
          <w:kern w:val="22"/>
          <w:lang w:val="es-ES_tradnl"/>
        </w:rPr>
        <w:t xml:space="preserve"> </w:t>
      </w:r>
      <w:r w:rsidR="00D55035">
        <w:rPr>
          <w:color w:val="000000"/>
          <w:kern w:val="22"/>
          <w:lang w:val="es-ES_tradnl"/>
        </w:rPr>
        <w:t>(a confirmar), Canadá</w:t>
      </w:r>
      <w:r w:rsidR="006D5C4E" w:rsidRPr="00D52EF5">
        <w:rPr>
          <w:color w:val="000000"/>
          <w:kern w:val="22"/>
          <w:lang w:val="es-ES_tradnl"/>
        </w:rPr>
        <w:t xml:space="preserve">, </w:t>
      </w:r>
      <w:r w:rsidRPr="00D52EF5">
        <w:rPr>
          <w:color w:val="000000"/>
          <w:kern w:val="22"/>
          <w:lang w:val="es-ES_tradnl"/>
        </w:rPr>
        <w:t>9</w:t>
      </w:r>
      <w:r w:rsidR="006D5C4E" w:rsidRPr="00D52EF5">
        <w:rPr>
          <w:color w:val="000000"/>
          <w:kern w:val="22"/>
          <w:lang w:val="es-ES_tradnl"/>
        </w:rPr>
        <w:t xml:space="preserve"> a </w:t>
      </w:r>
      <w:r w:rsidRPr="00D52EF5">
        <w:rPr>
          <w:color w:val="000000"/>
          <w:kern w:val="22"/>
          <w:lang w:val="es-ES_tradnl"/>
        </w:rPr>
        <w:t>14</w:t>
      </w:r>
      <w:r w:rsidR="006D5C4E" w:rsidRPr="00D52EF5">
        <w:rPr>
          <w:color w:val="000000"/>
          <w:kern w:val="22"/>
          <w:lang w:val="es-ES_tradnl"/>
        </w:rPr>
        <w:t xml:space="preserve"> de </w:t>
      </w:r>
      <w:r w:rsidRPr="00D52EF5">
        <w:rPr>
          <w:color w:val="000000"/>
          <w:kern w:val="22"/>
          <w:lang w:val="es-ES_tradnl"/>
        </w:rPr>
        <w:t>noviembre</w:t>
      </w:r>
      <w:r w:rsidR="006D5C4E" w:rsidRPr="00D52EF5">
        <w:rPr>
          <w:color w:val="000000"/>
          <w:kern w:val="22"/>
          <w:lang w:val="es-ES_tradnl"/>
        </w:rPr>
        <w:t xml:space="preserve"> de </w:t>
      </w:r>
      <w:r w:rsidR="005C266C" w:rsidRPr="00D52EF5">
        <w:rPr>
          <w:color w:val="000000"/>
          <w:kern w:val="22"/>
          <w:lang w:val="es-ES_tradnl"/>
        </w:rPr>
        <w:t>2020</w:t>
      </w:r>
    </w:p>
    <w:p w14:paraId="0B160FC9" w14:textId="476F5283" w:rsidR="005C266C" w:rsidRPr="00D52EF5" w:rsidRDefault="005C266C" w:rsidP="006D5C4E">
      <w:pPr>
        <w:rPr>
          <w:snapToGrid w:val="0"/>
          <w:lang w:val="es-ES_tradnl"/>
        </w:rPr>
      </w:pPr>
      <w:r w:rsidRPr="00D52EF5">
        <w:rPr>
          <w:color w:val="000000"/>
          <w:kern w:val="22"/>
          <w:lang w:val="es-ES_tradnl"/>
        </w:rPr>
        <w:t xml:space="preserve">Tema 6 del </w:t>
      </w:r>
      <w:r w:rsidRPr="00D52EF5">
        <w:rPr>
          <w:snapToGrid w:val="0"/>
          <w:szCs w:val="22"/>
          <w:lang w:val="es-ES_tradnl" w:bidi="th-TH"/>
        </w:rPr>
        <w:t>programa provisional</w:t>
      </w:r>
      <w:bookmarkStart w:id="0" w:name="_Hlk35353706"/>
      <w:r w:rsidR="001C56C0" w:rsidRPr="00D52EF5">
        <w:rPr>
          <w:rStyle w:val="FootnoteReference"/>
          <w:snapToGrid w:val="0"/>
          <w:kern w:val="22"/>
          <w:szCs w:val="22"/>
          <w:lang w:val="es-ES_tradnl"/>
        </w:rPr>
        <w:footnoteReference w:customMarkFollows="1" w:id="2"/>
        <w:t>*</w:t>
      </w:r>
      <w:bookmarkEnd w:id="0"/>
    </w:p>
    <w:p w14:paraId="3DE7D581" w14:textId="70E9390E" w:rsidR="00AE2CEC" w:rsidRPr="00D52EF5" w:rsidRDefault="00AE2CEC" w:rsidP="00AE2CEC">
      <w:pPr>
        <w:pStyle w:val="Para1"/>
        <w:keepNext/>
        <w:suppressLineNumbers/>
        <w:suppressAutoHyphens/>
        <w:spacing w:before="240"/>
        <w:jc w:val="center"/>
        <w:rPr>
          <w:b/>
          <w:bCs/>
          <w:caps/>
          <w:lang w:val="es-ES_tradnl"/>
        </w:rPr>
      </w:pPr>
      <w:r w:rsidRPr="00D52EF5">
        <w:rPr>
          <w:b/>
          <w:bCs/>
          <w:caps/>
          <w:lang w:val="es-ES_tradnl"/>
        </w:rPr>
        <w:t>Evaluación y revisión de la Estrategia para la Movilización de Recursos y la Meta 20 de Aichi para la Diversidad Biológica</w:t>
      </w:r>
    </w:p>
    <w:sdt>
      <w:sdtPr>
        <w:rPr>
          <w:b/>
          <w:bCs/>
          <w:caps/>
          <w:lang w:val="es-ES_tradnl"/>
        </w:rPr>
        <w:alias w:val="Title"/>
        <w:tag w:val=""/>
        <w:id w:val="-2063553269"/>
        <w:placeholder>
          <w:docPart w:val="FFED35D8C170664893CCB0DB52C7E928"/>
        </w:placeholder>
        <w:dataBinding w:prefixMappings="xmlns:ns0='http://purl.org/dc/elements/1.1/' xmlns:ns1='http://schemas.openxmlformats.org/package/2006/metadata/core-properties' " w:xpath="/ns1:coreProperties[1]/ns0:title[1]" w:storeItemID="{6C3C8BC8-F283-45AE-878A-BAB7291924A1}"/>
        <w:text/>
      </w:sdtPr>
      <w:sdtEndPr/>
      <w:sdtContent>
        <w:p w14:paraId="3837EAEC" w14:textId="14114603" w:rsidR="00AE2CEC" w:rsidRPr="00D52EF5" w:rsidRDefault="00AE2CEC" w:rsidP="00AE2CEC">
          <w:pPr>
            <w:pStyle w:val="Para1"/>
            <w:suppressLineNumbers/>
            <w:suppressAutoHyphens/>
            <w:jc w:val="center"/>
            <w:rPr>
              <w:b/>
              <w:bCs/>
              <w:caps/>
              <w:lang w:val="es-ES_tradnl"/>
            </w:rPr>
          </w:pPr>
          <w:r w:rsidRPr="00D52EF5">
            <w:rPr>
              <w:b/>
              <w:bCs/>
              <w:caps/>
              <w:lang w:val="es-ES_tradnl"/>
            </w:rPr>
            <w:t xml:space="preserve">Resumen del </w:t>
          </w:r>
          <w:r w:rsidR="00B704B4" w:rsidRPr="00D52EF5">
            <w:rPr>
              <w:b/>
              <w:bCs/>
              <w:caps/>
              <w:lang w:val="es-ES_tradnl"/>
            </w:rPr>
            <w:t xml:space="preserve">PRIMER </w:t>
          </w:r>
          <w:r w:rsidRPr="00D52EF5">
            <w:rPr>
              <w:b/>
              <w:bCs/>
              <w:caps/>
              <w:lang w:val="es-ES_tradnl"/>
            </w:rPr>
            <w:t>informe del panel de expertos</w:t>
          </w:r>
          <w:r w:rsidR="00B704B4" w:rsidRPr="00D52EF5">
            <w:rPr>
              <w:b/>
              <w:bCs/>
              <w:caps/>
              <w:lang w:val="es-ES_tradnl"/>
            </w:rPr>
            <w:t xml:space="preserve"> SOBRE LA MOVILIZACIÓN DE RECURSOS</w:t>
          </w:r>
        </w:p>
      </w:sdtContent>
    </w:sdt>
    <w:p w14:paraId="7A2AF85D" w14:textId="77777777" w:rsidR="00AE2CEC" w:rsidRPr="00D52EF5" w:rsidRDefault="00AE2CEC" w:rsidP="00AE2CEC">
      <w:pPr>
        <w:pStyle w:val="Heading1"/>
        <w:suppressLineNumbers/>
        <w:tabs>
          <w:tab w:val="clear" w:pos="720"/>
        </w:tabs>
        <w:suppressAutoHyphens/>
        <w:rPr>
          <w:lang w:val="es-ES_tradnl"/>
        </w:rPr>
      </w:pPr>
      <w:r w:rsidRPr="00D52EF5">
        <w:rPr>
          <w:lang w:val="es-ES_tradnl"/>
        </w:rPr>
        <w:t>I.</w:t>
      </w:r>
      <w:r w:rsidRPr="00D52EF5">
        <w:rPr>
          <w:lang w:val="es-ES_tradnl"/>
        </w:rPr>
        <w:tab/>
        <w:t>IntroducCiÓn</w:t>
      </w:r>
    </w:p>
    <w:p w14:paraId="4D43BF6A" w14:textId="2D5462E5" w:rsidR="00CF1568" w:rsidRPr="00D52EF5" w:rsidRDefault="008A522D" w:rsidP="003A01BE">
      <w:pPr>
        <w:pStyle w:val="Para1"/>
        <w:numPr>
          <w:ilvl w:val="0"/>
          <w:numId w:val="13"/>
        </w:numPr>
        <w:suppressLineNumbers/>
        <w:tabs>
          <w:tab w:val="clear" w:pos="360"/>
        </w:tabs>
        <w:suppressAutoHyphens/>
        <w:spacing w:before="120"/>
        <w:rPr>
          <w:szCs w:val="22"/>
          <w:lang w:val="es-ES_tradnl"/>
        </w:rPr>
      </w:pPr>
      <w:r w:rsidRPr="00D52EF5">
        <w:rPr>
          <w:lang w:val="es-ES_tradnl"/>
        </w:rPr>
        <w:t>En la decimocuarta reunión de la Conferencia de las Partes</w:t>
      </w:r>
      <w:r w:rsidR="00CF1568" w:rsidRPr="00D52EF5">
        <w:rPr>
          <w:lang w:val="es-ES_tradnl"/>
        </w:rPr>
        <w:t xml:space="preserve"> (Sharm El-</w:t>
      </w:r>
      <w:proofErr w:type="spellStart"/>
      <w:r w:rsidR="00CF1568" w:rsidRPr="00D52EF5">
        <w:rPr>
          <w:lang w:val="es-ES_tradnl"/>
        </w:rPr>
        <w:t>Sheikh</w:t>
      </w:r>
      <w:proofErr w:type="spellEnd"/>
      <w:r w:rsidR="00CF1568" w:rsidRPr="00D52EF5">
        <w:rPr>
          <w:lang w:val="es-ES_tradnl"/>
        </w:rPr>
        <w:t>, Eg</w:t>
      </w:r>
      <w:r w:rsidRPr="00D52EF5">
        <w:rPr>
          <w:lang w:val="es-ES_tradnl"/>
        </w:rPr>
        <w:t>i</w:t>
      </w:r>
      <w:r w:rsidR="00CF1568" w:rsidRPr="00D52EF5">
        <w:rPr>
          <w:lang w:val="es-ES_tradnl"/>
        </w:rPr>
        <w:t>pt</w:t>
      </w:r>
      <w:r w:rsidRPr="00D52EF5">
        <w:rPr>
          <w:lang w:val="es-ES_tradnl"/>
        </w:rPr>
        <w:t>o</w:t>
      </w:r>
      <w:r w:rsidR="00CF1568" w:rsidRPr="00D52EF5">
        <w:rPr>
          <w:lang w:val="es-ES_tradnl"/>
        </w:rPr>
        <w:t>),</w:t>
      </w:r>
      <w:r w:rsidRPr="00D52EF5">
        <w:rPr>
          <w:lang w:val="es-ES_tradnl"/>
        </w:rPr>
        <w:t xml:space="preserve"> </w:t>
      </w:r>
      <w:r w:rsidR="006145AF" w:rsidRPr="00D52EF5">
        <w:rPr>
          <w:lang w:val="es-ES_tradnl"/>
        </w:rPr>
        <w:t>las Parte</w:t>
      </w:r>
      <w:r w:rsidR="007917D2" w:rsidRPr="00D52EF5">
        <w:rPr>
          <w:lang w:val="es-ES_tradnl"/>
        </w:rPr>
        <w:t xml:space="preserve">s </w:t>
      </w:r>
      <w:r w:rsidRPr="00D52EF5">
        <w:rPr>
          <w:lang w:val="es-ES_tradnl"/>
        </w:rPr>
        <w:t>afirmaron que la movilización de recursos formaría parte integrante del marco mundial de la diversidad biológica posterior a 2020, y decidi</w:t>
      </w:r>
      <w:r w:rsidR="007917D2" w:rsidRPr="00D52EF5">
        <w:rPr>
          <w:lang w:val="es-ES_tradnl"/>
        </w:rPr>
        <w:t>eron</w:t>
      </w:r>
      <w:r w:rsidRPr="00D52EF5">
        <w:rPr>
          <w:lang w:val="es-ES_tradnl"/>
        </w:rPr>
        <w:t xml:space="preserve"> comenzar los preparativos </w:t>
      </w:r>
      <w:r w:rsidR="00CA2F7E" w:rsidRPr="00D52EF5">
        <w:rPr>
          <w:lang w:val="es-ES_tradnl"/>
        </w:rPr>
        <w:t>para es</w:t>
      </w:r>
      <w:r w:rsidRPr="00D52EF5">
        <w:rPr>
          <w:lang w:val="es-ES_tradnl"/>
        </w:rPr>
        <w:t xml:space="preserve">e componente en una etapa temprana del proceso de </w:t>
      </w:r>
      <w:r w:rsidR="00B10250" w:rsidRPr="00D52EF5">
        <w:rPr>
          <w:lang w:val="es-ES_tradnl"/>
        </w:rPr>
        <w:t>prepar</w:t>
      </w:r>
      <w:r w:rsidRPr="00D52EF5">
        <w:rPr>
          <w:lang w:val="es-ES_tradnl"/>
        </w:rPr>
        <w:t xml:space="preserve">ación del marco, de manera plenamente coherente y coordinada con el proceso general </w:t>
      </w:r>
      <w:r w:rsidR="007917D2" w:rsidRPr="00D52EF5">
        <w:rPr>
          <w:lang w:val="es-ES_tradnl"/>
        </w:rPr>
        <w:t xml:space="preserve">de formulación del </w:t>
      </w:r>
      <w:r w:rsidRPr="00D52EF5">
        <w:rPr>
          <w:lang w:val="es-ES_tradnl"/>
        </w:rPr>
        <w:t>marco posterior a 2020</w:t>
      </w:r>
      <w:r w:rsidR="00CF1568" w:rsidRPr="00D52EF5">
        <w:rPr>
          <w:lang w:val="es-ES_tradnl"/>
        </w:rPr>
        <w:t xml:space="preserve"> (</w:t>
      </w:r>
      <w:r w:rsidR="00A55245" w:rsidRPr="00D52EF5">
        <w:rPr>
          <w:lang w:val="es-ES_tradnl"/>
        </w:rPr>
        <w:t xml:space="preserve">decisión </w:t>
      </w:r>
      <w:r w:rsidR="00DD6B41">
        <w:fldChar w:fldCharType="begin"/>
      </w:r>
      <w:r w:rsidR="00DD6B41" w:rsidRPr="00DD6B41">
        <w:rPr>
          <w:lang w:val="es-ES_tradnl"/>
        </w:rPr>
        <w:instrText xml:space="preserve"> HYPERLINK "https://www.cbd.int/doc/decisions/cop-14/cop-14-dec-22-es.pdf" </w:instrText>
      </w:r>
      <w:r w:rsidR="00DD6B41">
        <w:fldChar w:fldCharType="separate"/>
      </w:r>
      <w:r w:rsidR="00A55245" w:rsidRPr="00D52EF5">
        <w:rPr>
          <w:rStyle w:val="Hyperlink"/>
          <w:lang w:val="es-ES_tradnl"/>
        </w:rPr>
        <w:t>14/22</w:t>
      </w:r>
      <w:r w:rsidR="00DD6B41">
        <w:rPr>
          <w:rStyle w:val="Hyperlink"/>
          <w:lang w:val="es-ES_tradnl"/>
        </w:rPr>
        <w:fldChar w:fldCharType="end"/>
      </w:r>
      <w:r w:rsidRPr="00D52EF5">
        <w:rPr>
          <w:lang w:val="es-ES_tradnl"/>
        </w:rPr>
        <w:t>, párr</w:t>
      </w:r>
      <w:r w:rsidR="008D17D9" w:rsidRPr="00D52EF5">
        <w:rPr>
          <w:lang w:val="es-ES_tradnl"/>
        </w:rPr>
        <w:t xml:space="preserve">. 14). En la misma decisión, </w:t>
      </w:r>
      <w:r w:rsidR="008D17D9" w:rsidRPr="00D52EF5">
        <w:rPr>
          <w:szCs w:val="22"/>
          <w:lang w:val="es-ES_tradnl"/>
        </w:rPr>
        <w:t xml:space="preserve">la Conferencia de las Partes solicitó al </w:t>
      </w:r>
      <w:r w:rsidR="00485B73" w:rsidRPr="00D52EF5">
        <w:rPr>
          <w:szCs w:val="22"/>
          <w:lang w:val="es-ES_tradnl"/>
        </w:rPr>
        <w:t>Secretario</w:t>
      </w:r>
      <w:r w:rsidR="008D17D9" w:rsidRPr="00D52EF5">
        <w:rPr>
          <w:szCs w:val="22"/>
          <w:lang w:val="es-ES_tradnl"/>
        </w:rPr>
        <w:t xml:space="preserve"> Ejecutivo que contratara un panel de expertos que elaborara los correspondientes análisis e informes para someter a consideración del </w:t>
      </w:r>
      <w:r w:rsidR="003A01BE" w:rsidRPr="00D52EF5">
        <w:rPr>
          <w:szCs w:val="22"/>
          <w:lang w:val="es-ES_tradnl"/>
        </w:rPr>
        <w:t xml:space="preserve">Grupo de Trabajo de </w:t>
      </w:r>
      <w:r w:rsidR="00485B73" w:rsidRPr="00D52EF5">
        <w:rPr>
          <w:szCs w:val="22"/>
          <w:lang w:val="es-ES_tradnl"/>
        </w:rPr>
        <w:t>Composición</w:t>
      </w:r>
      <w:r w:rsidR="003A01BE" w:rsidRPr="00D52EF5">
        <w:rPr>
          <w:szCs w:val="22"/>
          <w:lang w:val="es-ES_tradnl"/>
        </w:rPr>
        <w:t xml:space="preserve"> Abierta sobre el Marco Mundial de la Diversidad </w:t>
      </w:r>
      <w:r w:rsidR="00485B73" w:rsidRPr="00D52EF5">
        <w:rPr>
          <w:szCs w:val="22"/>
          <w:lang w:val="es-ES_tradnl"/>
        </w:rPr>
        <w:t>Biológica</w:t>
      </w:r>
      <w:r w:rsidR="007917D2" w:rsidRPr="00D52EF5">
        <w:rPr>
          <w:szCs w:val="22"/>
          <w:lang w:val="es-ES_tradnl"/>
        </w:rPr>
        <w:t xml:space="preserve"> posterior a 2020 y de la C</w:t>
      </w:r>
      <w:r w:rsidR="003A01BE" w:rsidRPr="00D52EF5">
        <w:rPr>
          <w:szCs w:val="22"/>
          <w:lang w:val="es-ES_tradnl"/>
        </w:rPr>
        <w:t>onferencia de las Partes en su decimoquinta reunión</w:t>
      </w:r>
      <w:r w:rsidR="00CF1568" w:rsidRPr="00D52EF5">
        <w:rPr>
          <w:szCs w:val="22"/>
          <w:lang w:val="es-ES_tradnl"/>
        </w:rPr>
        <w:t xml:space="preserve"> (decisi</w:t>
      </w:r>
      <w:r w:rsidR="006E0A0E" w:rsidRPr="00D52EF5">
        <w:rPr>
          <w:szCs w:val="22"/>
          <w:lang w:val="es-ES_tradnl"/>
        </w:rPr>
        <w:t>ó</w:t>
      </w:r>
      <w:r w:rsidR="00CF1568" w:rsidRPr="00D52EF5">
        <w:rPr>
          <w:szCs w:val="22"/>
          <w:lang w:val="es-ES_tradnl"/>
        </w:rPr>
        <w:t>n 14/22, p</w:t>
      </w:r>
      <w:r w:rsidR="006E0A0E" w:rsidRPr="00D52EF5">
        <w:rPr>
          <w:szCs w:val="22"/>
          <w:lang w:val="es-ES_tradnl"/>
        </w:rPr>
        <w:t>árr</w:t>
      </w:r>
      <w:r w:rsidR="003A01BE" w:rsidRPr="00D52EF5">
        <w:rPr>
          <w:szCs w:val="22"/>
          <w:lang w:val="es-ES_tradnl"/>
        </w:rPr>
        <w:t>. 15).</w:t>
      </w:r>
    </w:p>
    <w:p w14:paraId="3B131814" w14:textId="5E741A83" w:rsidR="00CF1568" w:rsidRPr="00D52EF5" w:rsidRDefault="003A01BE" w:rsidP="00CF1568">
      <w:pPr>
        <w:pStyle w:val="Para1"/>
        <w:numPr>
          <w:ilvl w:val="0"/>
          <w:numId w:val="13"/>
        </w:numPr>
        <w:suppressLineNumbers/>
        <w:tabs>
          <w:tab w:val="clear" w:pos="360"/>
        </w:tabs>
        <w:suppressAutoHyphens/>
        <w:spacing w:before="120"/>
        <w:rPr>
          <w:lang w:val="es-ES_tradnl"/>
        </w:rPr>
      </w:pPr>
      <w:r w:rsidRPr="00D52EF5">
        <w:rPr>
          <w:szCs w:val="22"/>
          <w:lang w:val="es-ES_tradnl"/>
        </w:rPr>
        <w:t>E</w:t>
      </w:r>
      <w:r w:rsidR="00B808CD" w:rsidRPr="00D52EF5">
        <w:rPr>
          <w:szCs w:val="22"/>
          <w:lang w:val="es-ES_tradnl"/>
        </w:rPr>
        <w:t>n e</w:t>
      </w:r>
      <w:r w:rsidRPr="00D52EF5">
        <w:rPr>
          <w:szCs w:val="22"/>
          <w:lang w:val="es-ES_tradnl"/>
        </w:rPr>
        <w:t xml:space="preserve">l presente documento </w:t>
      </w:r>
      <w:r w:rsidR="00B808CD" w:rsidRPr="00D52EF5">
        <w:rPr>
          <w:szCs w:val="22"/>
          <w:lang w:val="es-ES_tradnl"/>
        </w:rPr>
        <w:t>se resume</w:t>
      </w:r>
      <w:r w:rsidR="00CF1568" w:rsidRPr="00D52EF5">
        <w:rPr>
          <w:szCs w:val="22"/>
          <w:lang w:val="es-ES_tradnl"/>
        </w:rPr>
        <w:t xml:space="preserve"> </w:t>
      </w:r>
      <w:r w:rsidRPr="00D52EF5">
        <w:rPr>
          <w:szCs w:val="22"/>
          <w:lang w:val="es-ES_tradnl"/>
        </w:rPr>
        <w:t>la versión</w:t>
      </w:r>
      <w:r w:rsidR="00CF1568" w:rsidRPr="00D52EF5">
        <w:rPr>
          <w:szCs w:val="22"/>
          <w:lang w:val="es-ES_tradnl"/>
        </w:rPr>
        <w:t xml:space="preserve"> final </w:t>
      </w:r>
      <w:r w:rsidRPr="00D52EF5">
        <w:rPr>
          <w:szCs w:val="22"/>
          <w:lang w:val="es-ES_tradnl"/>
        </w:rPr>
        <w:t>del</w:t>
      </w:r>
      <w:r w:rsidR="00CF1568" w:rsidRPr="00D52EF5">
        <w:rPr>
          <w:szCs w:val="22"/>
          <w:lang w:val="es-ES_tradnl"/>
        </w:rPr>
        <w:t xml:space="preserve"> </w:t>
      </w:r>
      <w:r w:rsidRPr="00D52EF5">
        <w:rPr>
          <w:b/>
          <w:bCs/>
          <w:szCs w:val="22"/>
          <w:lang w:val="es-ES_tradnl"/>
        </w:rPr>
        <w:t>p</w:t>
      </w:r>
      <w:r w:rsidR="00CF1568" w:rsidRPr="00D52EF5">
        <w:rPr>
          <w:b/>
          <w:bCs/>
          <w:szCs w:val="22"/>
          <w:lang w:val="es-ES_tradnl"/>
        </w:rPr>
        <w:t>r</w:t>
      </w:r>
      <w:r w:rsidRPr="00D52EF5">
        <w:rPr>
          <w:b/>
          <w:bCs/>
          <w:szCs w:val="22"/>
          <w:lang w:val="es-ES_tradnl"/>
        </w:rPr>
        <w:t>imer informe</w:t>
      </w:r>
      <w:r w:rsidR="00CF1568" w:rsidRPr="00D52EF5">
        <w:rPr>
          <w:rStyle w:val="FootnoteReference"/>
          <w:szCs w:val="22"/>
          <w:lang w:val="es-ES_tradnl"/>
        </w:rPr>
        <w:footnoteReference w:id="3"/>
      </w:r>
      <w:r w:rsidR="00CF1568" w:rsidRPr="00D52EF5">
        <w:rPr>
          <w:szCs w:val="22"/>
          <w:lang w:val="es-ES_tradnl"/>
        </w:rPr>
        <w:t xml:space="preserve"> </w:t>
      </w:r>
      <w:r w:rsidRPr="00D52EF5">
        <w:rPr>
          <w:szCs w:val="22"/>
          <w:lang w:val="es-ES_tradnl"/>
        </w:rPr>
        <w:t xml:space="preserve">del citado </w:t>
      </w:r>
      <w:r w:rsidR="007917D2" w:rsidRPr="00D52EF5">
        <w:rPr>
          <w:szCs w:val="22"/>
          <w:lang w:val="es-ES_tradnl"/>
        </w:rPr>
        <w:t>Panel de Expertos</w:t>
      </w:r>
      <w:r w:rsidRPr="00D52EF5">
        <w:rPr>
          <w:szCs w:val="22"/>
          <w:lang w:val="es-ES_tradnl"/>
        </w:rPr>
        <w:t xml:space="preserve"> en cumplimiento de su mandato</w:t>
      </w:r>
      <w:r w:rsidR="00CF1568" w:rsidRPr="00D52EF5">
        <w:rPr>
          <w:szCs w:val="22"/>
          <w:lang w:val="es-ES_tradnl"/>
        </w:rPr>
        <w:t xml:space="preserve">, </w:t>
      </w:r>
      <w:r w:rsidRPr="00D52EF5">
        <w:rPr>
          <w:szCs w:val="22"/>
          <w:lang w:val="es-ES_tradnl"/>
        </w:rPr>
        <w:t xml:space="preserve">y </w:t>
      </w:r>
      <w:r w:rsidR="00BF520A" w:rsidRPr="00D52EF5">
        <w:rPr>
          <w:szCs w:val="22"/>
          <w:lang w:val="es-ES_tradnl"/>
        </w:rPr>
        <w:t xml:space="preserve">se </w:t>
      </w:r>
      <w:r w:rsidRPr="00D52EF5">
        <w:rPr>
          <w:szCs w:val="22"/>
          <w:lang w:val="es-ES_tradnl"/>
        </w:rPr>
        <w:t>responde a l</w:t>
      </w:r>
      <w:r w:rsidR="00BF520A" w:rsidRPr="00D52EF5">
        <w:rPr>
          <w:szCs w:val="22"/>
          <w:lang w:val="es-ES_tradnl"/>
        </w:rPr>
        <w:t xml:space="preserve">o </w:t>
      </w:r>
      <w:r w:rsidR="007917D2" w:rsidRPr="00D52EF5">
        <w:rPr>
          <w:szCs w:val="22"/>
          <w:lang w:val="es-ES_tradnl"/>
        </w:rPr>
        <w:t>solicitado</w:t>
      </w:r>
      <w:r w:rsidR="00BF520A" w:rsidRPr="00D52EF5">
        <w:rPr>
          <w:szCs w:val="22"/>
          <w:lang w:val="es-ES_tradnl"/>
        </w:rPr>
        <w:t xml:space="preserve"> </w:t>
      </w:r>
      <w:r w:rsidRPr="00D52EF5">
        <w:rPr>
          <w:szCs w:val="22"/>
          <w:lang w:val="es-ES_tradnl"/>
        </w:rPr>
        <w:t>e</w:t>
      </w:r>
      <w:r w:rsidR="00BF520A" w:rsidRPr="00D52EF5">
        <w:rPr>
          <w:szCs w:val="22"/>
          <w:lang w:val="es-ES_tradnl"/>
        </w:rPr>
        <w:t>n</w:t>
      </w:r>
      <w:r w:rsidRPr="00D52EF5">
        <w:rPr>
          <w:szCs w:val="22"/>
          <w:lang w:val="es-ES_tradnl"/>
        </w:rPr>
        <w:t xml:space="preserve"> los párrafos</w:t>
      </w:r>
      <w:r w:rsidR="00CF1568" w:rsidRPr="00D52EF5">
        <w:rPr>
          <w:szCs w:val="22"/>
          <w:lang w:val="es-ES_tradnl"/>
        </w:rPr>
        <w:t xml:space="preserve"> 15 a) </w:t>
      </w:r>
      <w:r w:rsidRPr="00D52EF5">
        <w:rPr>
          <w:szCs w:val="22"/>
          <w:lang w:val="es-ES_tradnl"/>
        </w:rPr>
        <w:t>y</w:t>
      </w:r>
      <w:r w:rsidR="00CF1568" w:rsidRPr="00D52EF5">
        <w:rPr>
          <w:szCs w:val="22"/>
          <w:lang w:val="es-ES_tradnl"/>
        </w:rPr>
        <w:t xml:space="preserve"> 15 b) </w:t>
      </w:r>
      <w:r w:rsidRPr="00D52EF5">
        <w:rPr>
          <w:szCs w:val="22"/>
          <w:lang w:val="es-ES_tradnl"/>
        </w:rPr>
        <w:t>de la decisión, a saber</w:t>
      </w:r>
      <w:r w:rsidR="00CF1568" w:rsidRPr="00D52EF5">
        <w:rPr>
          <w:szCs w:val="22"/>
          <w:lang w:val="es-ES_tradnl"/>
        </w:rPr>
        <w:t>:</w:t>
      </w:r>
    </w:p>
    <w:p w14:paraId="668F978C" w14:textId="73FF9B00" w:rsidR="00CF1568" w:rsidRPr="00D52EF5" w:rsidRDefault="007917D2" w:rsidP="00CF1568">
      <w:pPr>
        <w:pStyle w:val="ListParagraph"/>
        <w:numPr>
          <w:ilvl w:val="0"/>
          <w:numId w:val="17"/>
        </w:numPr>
        <w:suppressLineNumbers/>
        <w:suppressAutoHyphens/>
        <w:spacing w:before="120" w:after="120"/>
        <w:ind w:left="0" w:firstLine="720"/>
        <w:rPr>
          <w:szCs w:val="22"/>
          <w:lang w:val="es-ES_tradnl"/>
        </w:rPr>
      </w:pPr>
      <w:r w:rsidRPr="00D52EF5">
        <w:rPr>
          <w:szCs w:val="22"/>
          <w:lang w:val="es-ES_tradnl"/>
        </w:rPr>
        <w:t>e</w:t>
      </w:r>
      <w:r w:rsidR="003A01BE" w:rsidRPr="00D52EF5">
        <w:rPr>
          <w:szCs w:val="22"/>
          <w:lang w:val="es-ES_tradnl"/>
        </w:rPr>
        <w:t xml:space="preserve">valuar la estructura, el contenido y la eficacia de la Estrategia para la </w:t>
      </w:r>
      <w:r w:rsidR="00C31192" w:rsidRPr="00D52EF5">
        <w:rPr>
          <w:szCs w:val="22"/>
          <w:lang w:val="es-ES_tradnl"/>
        </w:rPr>
        <w:t>Movilización de R</w:t>
      </w:r>
      <w:r w:rsidR="003A01BE" w:rsidRPr="00D52EF5">
        <w:rPr>
          <w:szCs w:val="22"/>
          <w:lang w:val="es-ES_tradnl"/>
        </w:rPr>
        <w:t>ecursos indicando en la mayor medida posible las carencias para el logro de las metas</w:t>
      </w:r>
      <w:r w:rsidR="0057088C" w:rsidRPr="00D52EF5">
        <w:rPr>
          <w:szCs w:val="22"/>
          <w:lang w:val="es-ES_tradnl"/>
        </w:rPr>
        <w:t>, y</w:t>
      </w:r>
    </w:p>
    <w:p w14:paraId="307AFCAC" w14:textId="08AC3818" w:rsidR="00CF1568" w:rsidRPr="00D52EF5" w:rsidRDefault="007917D2" w:rsidP="00FD59B1">
      <w:pPr>
        <w:pStyle w:val="ListParagraph"/>
        <w:numPr>
          <w:ilvl w:val="0"/>
          <w:numId w:val="17"/>
        </w:numPr>
        <w:suppressLineNumbers/>
        <w:suppressAutoHyphens/>
        <w:spacing w:before="120" w:after="120"/>
        <w:ind w:left="0" w:firstLine="720"/>
        <w:rPr>
          <w:szCs w:val="22"/>
          <w:lang w:val="es-ES_tradnl"/>
        </w:rPr>
      </w:pPr>
      <w:r w:rsidRPr="00D52EF5">
        <w:rPr>
          <w:szCs w:val="22"/>
          <w:lang w:val="es-ES_tradnl"/>
        </w:rPr>
        <w:t>e</w:t>
      </w:r>
      <w:r w:rsidR="003A01BE" w:rsidRPr="00D52EF5">
        <w:rPr>
          <w:szCs w:val="22"/>
          <w:lang w:val="es-ES_tradnl"/>
        </w:rPr>
        <w:t xml:space="preserve">xaminar las experiencias en </w:t>
      </w:r>
      <w:r w:rsidR="00BF520A" w:rsidRPr="00D52EF5">
        <w:rPr>
          <w:szCs w:val="22"/>
          <w:lang w:val="es-ES_tradnl"/>
        </w:rPr>
        <w:t xml:space="preserve">torno a la consecución </w:t>
      </w:r>
      <w:r w:rsidR="003A01BE" w:rsidRPr="00D52EF5">
        <w:rPr>
          <w:szCs w:val="22"/>
          <w:lang w:val="es-ES_tradnl"/>
        </w:rPr>
        <w:t xml:space="preserve">de la Meta 20 de Aichi para la Diversidad Biológica y </w:t>
      </w:r>
      <w:r w:rsidR="00BF520A" w:rsidRPr="00D52EF5">
        <w:rPr>
          <w:szCs w:val="22"/>
          <w:lang w:val="es-ES_tradnl"/>
        </w:rPr>
        <w:t xml:space="preserve">a </w:t>
      </w:r>
      <w:r w:rsidR="003A01BE" w:rsidRPr="00D52EF5">
        <w:rPr>
          <w:szCs w:val="22"/>
          <w:lang w:val="es-ES_tradnl"/>
        </w:rPr>
        <w:t>la implement</w:t>
      </w:r>
      <w:r w:rsidR="00C31192" w:rsidRPr="00D52EF5">
        <w:rPr>
          <w:szCs w:val="22"/>
          <w:lang w:val="es-ES_tradnl"/>
        </w:rPr>
        <w:t>ación de la Estrategia para la Movilización de R</w:t>
      </w:r>
      <w:r w:rsidR="003A01BE" w:rsidRPr="00D52EF5">
        <w:rPr>
          <w:szCs w:val="22"/>
          <w:lang w:val="es-ES_tradnl"/>
        </w:rPr>
        <w:t>ecurs</w:t>
      </w:r>
      <w:r w:rsidRPr="00D52EF5">
        <w:rPr>
          <w:szCs w:val="22"/>
          <w:lang w:val="es-ES_tradnl"/>
        </w:rPr>
        <w:t>os, así como</w:t>
      </w:r>
      <w:r w:rsidR="003A01BE" w:rsidRPr="00D52EF5">
        <w:rPr>
          <w:szCs w:val="22"/>
          <w:lang w:val="es-ES_tradnl"/>
        </w:rPr>
        <w:t xml:space="preserve"> su idoneidad, y</w:t>
      </w:r>
      <w:r w:rsidRPr="00D52EF5">
        <w:rPr>
          <w:szCs w:val="22"/>
          <w:lang w:val="es-ES_tradnl"/>
        </w:rPr>
        <w:t>,</w:t>
      </w:r>
      <w:r w:rsidR="003A01BE" w:rsidRPr="00D52EF5">
        <w:rPr>
          <w:szCs w:val="22"/>
          <w:lang w:val="es-ES_tradnl"/>
        </w:rPr>
        <w:t xml:space="preserve"> </w:t>
      </w:r>
      <w:r w:rsidR="001544F4" w:rsidRPr="00D52EF5">
        <w:rPr>
          <w:szCs w:val="22"/>
          <w:lang w:val="es-ES_tradnl"/>
        </w:rPr>
        <w:t>basándose en</w:t>
      </w:r>
      <w:r w:rsidR="00BF520A" w:rsidRPr="00D52EF5">
        <w:rPr>
          <w:szCs w:val="22"/>
          <w:lang w:val="es-ES_tradnl"/>
        </w:rPr>
        <w:t xml:space="preserve"> </w:t>
      </w:r>
      <w:r w:rsidRPr="00D52EF5">
        <w:rPr>
          <w:szCs w:val="22"/>
          <w:lang w:val="es-ES_tradnl"/>
        </w:rPr>
        <w:t>dich</w:t>
      </w:r>
      <w:r w:rsidR="00BF520A" w:rsidRPr="00D52EF5">
        <w:rPr>
          <w:szCs w:val="22"/>
          <w:lang w:val="es-ES_tradnl"/>
        </w:rPr>
        <w:t>as</w:t>
      </w:r>
      <w:r w:rsidR="001544F4" w:rsidRPr="00D52EF5">
        <w:rPr>
          <w:szCs w:val="22"/>
          <w:lang w:val="es-ES_tradnl"/>
        </w:rPr>
        <w:t xml:space="preserve"> </w:t>
      </w:r>
      <w:r w:rsidRPr="00D52EF5">
        <w:rPr>
          <w:szCs w:val="22"/>
          <w:lang w:val="es-ES_tradnl"/>
        </w:rPr>
        <w:t xml:space="preserve">experiencias </w:t>
      </w:r>
      <w:r w:rsidR="001544F4" w:rsidRPr="00D52EF5">
        <w:rPr>
          <w:szCs w:val="22"/>
          <w:lang w:val="es-ES_tradnl"/>
        </w:rPr>
        <w:t xml:space="preserve">y en </w:t>
      </w:r>
      <w:r w:rsidR="003A01BE" w:rsidRPr="00D52EF5">
        <w:rPr>
          <w:szCs w:val="22"/>
          <w:lang w:val="es-ES_tradnl"/>
        </w:rPr>
        <w:t xml:space="preserve">las </w:t>
      </w:r>
      <w:r w:rsidR="001544F4" w:rsidRPr="00D52EF5">
        <w:rPr>
          <w:szCs w:val="22"/>
          <w:lang w:val="es-ES_tradnl"/>
        </w:rPr>
        <w:t>relativas a la</w:t>
      </w:r>
      <w:r w:rsidR="00AF0B3A" w:rsidRPr="00D52EF5">
        <w:rPr>
          <w:szCs w:val="22"/>
          <w:lang w:val="es-ES_tradnl"/>
        </w:rPr>
        <w:t xml:space="preserve"> </w:t>
      </w:r>
      <w:r w:rsidR="003A01BE" w:rsidRPr="00D52EF5">
        <w:rPr>
          <w:szCs w:val="22"/>
          <w:lang w:val="es-ES_tradnl"/>
        </w:rPr>
        <w:t xml:space="preserve">aplicación de otros acuerdos ambientales multilaterales pertinentes, iniciativas de interesados directos </w:t>
      </w:r>
      <w:r w:rsidR="00AF0B3A" w:rsidRPr="00D52EF5">
        <w:rPr>
          <w:szCs w:val="22"/>
          <w:lang w:val="es-ES_tradnl"/>
        </w:rPr>
        <w:t>de los sectores público y privado</w:t>
      </w:r>
      <w:r w:rsidRPr="00D52EF5">
        <w:rPr>
          <w:szCs w:val="22"/>
          <w:lang w:val="es-ES_tradnl"/>
        </w:rPr>
        <w:t xml:space="preserve"> e iniciativas</w:t>
      </w:r>
      <w:r w:rsidR="003A01BE" w:rsidRPr="00D52EF5">
        <w:rPr>
          <w:szCs w:val="22"/>
          <w:lang w:val="es-ES_tradnl"/>
        </w:rPr>
        <w:t xml:space="preserve"> emprendidas por pueblos i</w:t>
      </w:r>
      <w:r w:rsidR="001544F4" w:rsidRPr="00D52EF5">
        <w:rPr>
          <w:szCs w:val="22"/>
          <w:lang w:val="es-ES_tradnl"/>
        </w:rPr>
        <w:t>ndígenas y comunidades locales,</w:t>
      </w:r>
      <w:r w:rsidR="00AF0B3A" w:rsidRPr="00D52EF5">
        <w:rPr>
          <w:szCs w:val="22"/>
          <w:lang w:val="es-ES_tradnl"/>
        </w:rPr>
        <w:t xml:space="preserve"> examinar</w:t>
      </w:r>
      <w:r w:rsidR="001544F4" w:rsidRPr="00D52EF5">
        <w:rPr>
          <w:szCs w:val="22"/>
          <w:lang w:val="es-ES_tradnl"/>
        </w:rPr>
        <w:t xml:space="preserve"> la</w:t>
      </w:r>
      <w:r w:rsidR="00BC791D" w:rsidRPr="00D52EF5">
        <w:rPr>
          <w:szCs w:val="22"/>
          <w:lang w:val="es-ES_tradnl"/>
        </w:rPr>
        <w:t xml:space="preserve"> necesidad de tomar </w:t>
      </w:r>
      <w:r w:rsidRPr="00D52EF5">
        <w:rPr>
          <w:szCs w:val="22"/>
          <w:lang w:val="es-ES_tradnl"/>
        </w:rPr>
        <w:t xml:space="preserve">las </w:t>
      </w:r>
      <w:r w:rsidR="001544F4" w:rsidRPr="00D52EF5">
        <w:rPr>
          <w:szCs w:val="22"/>
          <w:lang w:val="es-ES_tradnl"/>
        </w:rPr>
        <w:t>medidas</w:t>
      </w:r>
      <w:r w:rsidR="00C15FE3" w:rsidRPr="00D52EF5">
        <w:rPr>
          <w:szCs w:val="22"/>
          <w:lang w:val="es-ES_tradnl"/>
        </w:rPr>
        <w:t xml:space="preserve"> </w:t>
      </w:r>
      <w:r w:rsidRPr="00D52EF5">
        <w:rPr>
          <w:szCs w:val="22"/>
          <w:lang w:val="es-ES_tradnl"/>
        </w:rPr>
        <w:t>pertinentes</w:t>
      </w:r>
      <w:r w:rsidR="003A01BE" w:rsidRPr="00D52EF5">
        <w:rPr>
          <w:szCs w:val="22"/>
          <w:lang w:val="es-ES_tradnl"/>
        </w:rPr>
        <w:t xml:space="preserve">, </w:t>
      </w:r>
      <w:r w:rsidR="00AF0B3A" w:rsidRPr="00D52EF5">
        <w:rPr>
          <w:szCs w:val="22"/>
          <w:lang w:val="es-ES_tradnl"/>
        </w:rPr>
        <w:t xml:space="preserve">a partir de </w:t>
      </w:r>
      <w:r w:rsidR="003A01BE" w:rsidRPr="00D52EF5">
        <w:rPr>
          <w:szCs w:val="22"/>
          <w:lang w:val="es-ES_tradnl"/>
        </w:rPr>
        <w:t xml:space="preserve">la información </w:t>
      </w:r>
      <w:r w:rsidR="00AF0B3A" w:rsidRPr="00D52EF5">
        <w:rPr>
          <w:szCs w:val="22"/>
          <w:lang w:val="es-ES_tradnl"/>
        </w:rPr>
        <w:t>facilit</w:t>
      </w:r>
      <w:r w:rsidR="003A01BE" w:rsidRPr="00D52EF5">
        <w:rPr>
          <w:szCs w:val="22"/>
          <w:lang w:val="es-ES_tradnl"/>
        </w:rPr>
        <w:t>ad</w:t>
      </w:r>
      <w:r w:rsidR="00D54356" w:rsidRPr="00D52EF5">
        <w:rPr>
          <w:szCs w:val="22"/>
          <w:lang w:val="es-ES_tradnl"/>
        </w:rPr>
        <w:t>a por las Partes a través del m</w:t>
      </w:r>
      <w:r w:rsidR="003A01BE" w:rsidRPr="00D52EF5">
        <w:rPr>
          <w:szCs w:val="22"/>
          <w:lang w:val="es-ES_tradnl"/>
        </w:rPr>
        <w:t>arco de presentación de informes financieros</w:t>
      </w:r>
      <w:r w:rsidRPr="00D52EF5">
        <w:rPr>
          <w:szCs w:val="22"/>
          <w:lang w:val="es-ES_tradnl"/>
        </w:rPr>
        <w:t xml:space="preserve"> y, entre otras cosas,</w:t>
      </w:r>
      <w:r w:rsidR="001544F4" w:rsidRPr="00D52EF5">
        <w:rPr>
          <w:szCs w:val="22"/>
          <w:lang w:val="es-ES_tradnl"/>
        </w:rPr>
        <w:t xml:space="preserve"> de</w:t>
      </w:r>
      <w:r w:rsidR="00AF0B3A" w:rsidRPr="00D52EF5">
        <w:rPr>
          <w:szCs w:val="22"/>
          <w:lang w:val="es-ES_tradnl"/>
        </w:rPr>
        <w:t xml:space="preserve"> </w:t>
      </w:r>
      <w:r w:rsidR="003A01BE" w:rsidRPr="00D52EF5">
        <w:rPr>
          <w:szCs w:val="22"/>
          <w:lang w:val="es-ES_tradnl"/>
        </w:rPr>
        <w:t xml:space="preserve">las respectivas necesidades de recursos </w:t>
      </w:r>
      <w:r w:rsidR="001544F4" w:rsidRPr="00D52EF5">
        <w:rPr>
          <w:szCs w:val="22"/>
          <w:lang w:val="es-ES_tradnl"/>
        </w:rPr>
        <w:t xml:space="preserve">indicadas, y </w:t>
      </w:r>
      <w:r w:rsidR="000E5617" w:rsidRPr="00D52EF5">
        <w:rPr>
          <w:szCs w:val="22"/>
          <w:lang w:val="es-ES_tradnl"/>
        </w:rPr>
        <w:t>de</w:t>
      </w:r>
      <w:r w:rsidR="00875CE0" w:rsidRPr="00D52EF5">
        <w:rPr>
          <w:szCs w:val="22"/>
          <w:lang w:val="es-ES_tradnl"/>
        </w:rPr>
        <w:t xml:space="preserve"> </w:t>
      </w:r>
      <w:r w:rsidR="003A01BE" w:rsidRPr="00D52EF5">
        <w:rPr>
          <w:szCs w:val="22"/>
          <w:lang w:val="es-ES_tradnl"/>
        </w:rPr>
        <w:t>otras fuentes pertinentes</w:t>
      </w:r>
      <w:r w:rsidR="00CF1568" w:rsidRPr="00D52EF5">
        <w:rPr>
          <w:szCs w:val="22"/>
          <w:lang w:val="es-ES_tradnl"/>
        </w:rPr>
        <w:t>.</w:t>
      </w:r>
    </w:p>
    <w:p w14:paraId="793C1A90" w14:textId="25739DED" w:rsidR="00CF1568" w:rsidRPr="00D52EF5" w:rsidRDefault="001438E1" w:rsidP="00CF1568">
      <w:pPr>
        <w:pStyle w:val="Para1"/>
        <w:numPr>
          <w:ilvl w:val="0"/>
          <w:numId w:val="13"/>
        </w:numPr>
        <w:suppressLineNumbers/>
        <w:tabs>
          <w:tab w:val="clear" w:pos="360"/>
        </w:tabs>
        <w:suppressAutoHyphens/>
        <w:spacing w:before="120"/>
        <w:rPr>
          <w:lang w:val="es-ES_tradnl"/>
        </w:rPr>
      </w:pPr>
      <w:r w:rsidRPr="00D52EF5">
        <w:rPr>
          <w:lang w:val="es-ES_tradnl"/>
        </w:rPr>
        <w:t>Para complementar la tarea</w:t>
      </w:r>
      <w:r w:rsidR="00015C6A" w:rsidRPr="00D52EF5">
        <w:rPr>
          <w:lang w:val="es-ES_tradnl"/>
        </w:rPr>
        <w:t xml:space="preserve"> del </w:t>
      </w:r>
      <w:r w:rsidR="00AF5962" w:rsidRPr="00D52EF5">
        <w:rPr>
          <w:lang w:val="es-ES_tradnl"/>
        </w:rPr>
        <w:t>Panel de</w:t>
      </w:r>
      <w:r w:rsidR="00015C6A" w:rsidRPr="00D52EF5">
        <w:rPr>
          <w:lang w:val="es-ES_tradnl"/>
        </w:rPr>
        <w:t xml:space="preserve"> </w:t>
      </w:r>
      <w:r w:rsidR="00AF5962" w:rsidRPr="00D52EF5">
        <w:rPr>
          <w:lang w:val="es-ES_tradnl"/>
        </w:rPr>
        <w:t>E</w:t>
      </w:r>
      <w:r w:rsidR="00015C6A" w:rsidRPr="00D52EF5">
        <w:rPr>
          <w:lang w:val="es-ES_tradnl"/>
        </w:rPr>
        <w:t xml:space="preserve">xpertos, el 8 de octubre de 2019 se publicó la notificación </w:t>
      </w:r>
      <w:r w:rsidR="00DD6B41">
        <w:fldChar w:fldCharType="begin"/>
      </w:r>
      <w:r w:rsidR="00DD6B41" w:rsidRPr="00DD6B41">
        <w:rPr>
          <w:lang w:val="es-ES_tradnl"/>
        </w:rPr>
        <w:instrText xml:space="preserve"> HYPERLINK "https://www.cbd.int/doc/notifications/2019/ntf-2019-086-resource-mobilization-en.pdf" </w:instrText>
      </w:r>
      <w:r w:rsidR="00DD6B41">
        <w:fldChar w:fldCharType="separate"/>
      </w:r>
      <w:r w:rsidR="00015C6A" w:rsidRPr="00D52EF5">
        <w:rPr>
          <w:rStyle w:val="Hyperlink"/>
          <w:lang w:val="es-ES_tradnl"/>
        </w:rPr>
        <w:t>2019-086</w:t>
      </w:r>
      <w:r w:rsidR="00DD6B41">
        <w:rPr>
          <w:rStyle w:val="Hyperlink"/>
          <w:lang w:val="es-ES_tradnl"/>
        </w:rPr>
        <w:fldChar w:fldCharType="end"/>
      </w:r>
      <w:r w:rsidR="00015C6A" w:rsidRPr="00D52EF5">
        <w:rPr>
          <w:lang w:val="es-ES_tradnl"/>
        </w:rPr>
        <w:t xml:space="preserve">, una convocatoria </w:t>
      </w:r>
      <w:r w:rsidR="00482B9E" w:rsidRPr="00D52EF5">
        <w:rPr>
          <w:lang w:val="es-ES_tradnl"/>
        </w:rPr>
        <w:t>a aportar</w:t>
      </w:r>
      <w:r w:rsidR="00015C6A" w:rsidRPr="00D52EF5">
        <w:rPr>
          <w:lang w:val="es-ES_tradnl"/>
        </w:rPr>
        <w:t xml:space="preserve"> datos sobre la movilización de recursos</w:t>
      </w:r>
      <w:r w:rsidR="00CF1568" w:rsidRPr="00D52EF5">
        <w:rPr>
          <w:lang w:val="es-ES_tradnl"/>
        </w:rPr>
        <w:t xml:space="preserve">; </w:t>
      </w:r>
      <w:r w:rsidR="00AE2CEC" w:rsidRPr="00D52EF5">
        <w:rPr>
          <w:lang w:val="es-ES_tradnl"/>
        </w:rPr>
        <w:t xml:space="preserve">pueden consultarse las </w:t>
      </w:r>
      <w:r w:rsidR="00482B9E" w:rsidRPr="00D52EF5">
        <w:rPr>
          <w:lang w:val="es-ES_tradnl"/>
        </w:rPr>
        <w:t>respuestas</w:t>
      </w:r>
      <w:r w:rsidR="00AE2CEC" w:rsidRPr="00D52EF5">
        <w:rPr>
          <w:lang w:val="es-ES_tradnl"/>
        </w:rPr>
        <w:t xml:space="preserve"> en </w:t>
      </w:r>
      <w:r w:rsidR="00DD6B41">
        <w:fldChar w:fldCharType="begin"/>
      </w:r>
      <w:r w:rsidR="00DD6B41" w:rsidRPr="00DD6B41">
        <w:rPr>
          <w:lang w:val="es-ES_tradnl"/>
        </w:rPr>
        <w:instrText xml:space="preserve"> HYPERLINK "https://www.cbd.int/financial/rm2020.shtml" </w:instrText>
      </w:r>
      <w:r w:rsidR="00DD6B41">
        <w:fldChar w:fldCharType="separate"/>
      </w:r>
      <w:r w:rsidR="00CF1568" w:rsidRPr="00D52EF5">
        <w:rPr>
          <w:rStyle w:val="Hyperlink"/>
          <w:szCs w:val="22"/>
          <w:lang w:val="es-ES_tradnl"/>
        </w:rPr>
        <w:t>https://www.cbd.int/financial/rm2020.shtml</w:t>
      </w:r>
      <w:r w:rsidR="00DD6B41">
        <w:rPr>
          <w:rStyle w:val="Hyperlink"/>
          <w:szCs w:val="22"/>
          <w:lang w:val="es-ES_tradnl"/>
        </w:rPr>
        <w:fldChar w:fldCharType="end"/>
      </w:r>
      <w:r w:rsidR="00CF1568" w:rsidRPr="00D52EF5">
        <w:rPr>
          <w:lang w:val="es-ES_tradnl"/>
        </w:rPr>
        <w:t xml:space="preserve">. </w:t>
      </w:r>
      <w:r w:rsidR="00AE2CEC" w:rsidRPr="00D52EF5">
        <w:rPr>
          <w:lang w:val="es-ES_tradnl"/>
        </w:rPr>
        <w:t xml:space="preserve">En </w:t>
      </w:r>
      <w:r w:rsidR="00B92599" w:rsidRPr="00D52EF5">
        <w:rPr>
          <w:lang w:val="es-ES_tradnl"/>
        </w:rPr>
        <w:t xml:space="preserve">el </w:t>
      </w:r>
      <w:r w:rsidR="00AE2CEC" w:rsidRPr="00D52EF5">
        <w:rPr>
          <w:lang w:val="es-ES_tradnl"/>
        </w:rPr>
        <w:t>anexo IV al documento de información complementario que incluye el informe completo figura un l</w:t>
      </w:r>
      <w:r w:rsidR="00542FA6" w:rsidRPr="00D52EF5">
        <w:rPr>
          <w:lang w:val="es-ES_tradnl"/>
        </w:rPr>
        <w:t xml:space="preserve">istado de </w:t>
      </w:r>
      <w:r w:rsidR="00B92599" w:rsidRPr="00D52EF5">
        <w:rPr>
          <w:lang w:val="es-ES_tradnl"/>
        </w:rPr>
        <w:t xml:space="preserve">las </w:t>
      </w:r>
      <w:r w:rsidR="00542FA6" w:rsidRPr="00D52EF5">
        <w:rPr>
          <w:lang w:val="es-ES_tradnl"/>
        </w:rPr>
        <w:t xml:space="preserve">fuentes de </w:t>
      </w:r>
      <w:r w:rsidR="00482B9E" w:rsidRPr="00D52EF5">
        <w:rPr>
          <w:lang w:val="es-ES_tradnl"/>
        </w:rPr>
        <w:t>l</w:t>
      </w:r>
      <w:r w:rsidR="00B92599" w:rsidRPr="00D52EF5">
        <w:rPr>
          <w:lang w:val="es-ES_tradnl"/>
        </w:rPr>
        <w:t xml:space="preserve">a </w:t>
      </w:r>
      <w:r w:rsidR="00B92599" w:rsidRPr="00D52EF5">
        <w:rPr>
          <w:lang w:val="es-ES_tradnl"/>
        </w:rPr>
        <w:lastRenderedPageBreak/>
        <w:t>información utilizada</w:t>
      </w:r>
      <w:r w:rsidR="00AF5962" w:rsidRPr="00D52EF5">
        <w:rPr>
          <w:lang w:val="es-ES_tradnl"/>
        </w:rPr>
        <w:t xml:space="preserve"> por el Panel</w:t>
      </w:r>
      <w:r w:rsidR="00AE2CEC" w:rsidRPr="00D52EF5">
        <w:rPr>
          <w:lang w:val="es-ES_tradnl"/>
        </w:rPr>
        <w:t xml:space="preserve"> de </w:t>
      </w:r>
      <w:r w:rsidR="00AF5962" w:rsidRPr="00D52EF5">
        <w:rPr>
          <w:lang w:val="es-ES_tradnl"/>
        </w:rPr>
        <w:t>E</w:t>
      </w:r>
      <w:r w:rsidR="00AE2CEC" w:rsidRPr="00D52EF5">
        <w:rPr>
          <w:lang w:val="es-ES_tradnl"/>
        </w:rPr>
        <w:t xml:space="preserve">xpertos </w:t>
      </w:r>
      <w:r w:rsidR="00B92599" w:rsidRPr="00D52EF5">
        <w:rPr>
          <w:lang w:val="es-ES_tradnl"/>
        </w:rPr>
        <w:t>para elaborar</w:t>
      </w:r>
      <w:r w:rsidR="00AE2CEC" w:rsidRPr="00D52EF5">
        <w:rPr>
          <w:lang w:val="es-ES_tradnl"/>
        </w:rPr>
        <w:t xml:space="preserve"> este primer informe</w:t>
      </w:r>
      <w:r w:rsidR="00CF1568" w:rsidRPr="00D52EF5">
        <w:rPr>
          <w:lang w:val="es-ES_tradnl"/>
        </w:rPr>
        <w:t xml:space="preserve">, </w:t>
      </w:r>
      <w:r w:rsidR="00B92599" w:rsidRPr="00D52EF5">
        <w:rPr>
          <w:lang w:val="es-ES_tradnl"/>
        </w:rPr>
        <w:t xml:space="preserve">y que </w:t>
      </w:r>
      <w:r w:rsidR="00445417" w:rsidRPr="00D52EF5">
        <w:rPr>
          <w:lang w:val="es-ES_tradnl"/>
        </w:rPr>
        <w:t>le fuera facilitada</w:t>
      </w:r>
      <w:r w:rsidR="00B92599" w:rsidRPr="00D52EF5">
        <w:rPr>
          <w:lang w:val="es-ES_tradnl"/>
        </w:rPr>
        <w:t xml:space="preserve"> por escrito, en </w:t>
      </w:r>
      <w:r w:rsidR="00BC7167" w:rsidRPr="00D52EF5">
        <w:rPr>
          <w:lang w:val="es-ES_tradnl"/>
        </w:rPr>
        <w:t xml:space="preserve">reuniones </w:t>
      </w:r>
      <w:r w:rsidR="00542FA6" w:rsidRPr="00D52EF5">
        <w:rPr>
          <w:lang w:val="es-ES_tradnl"/>
        </w:rPr>
        <w:t>y verbal</w:t>
      </w:r>
      <w:r w:rsidR="00B92599" w:rsidRPr="00D52EF5">
        <w:rPr>
          <w:lang w:val="es-ES_tradnl"/>
        </w:rPr>
        <w:t>mente</w:t>
      </w:r>
      <w:r w:rsidR="00CF1568" w:rsidRPr="00D52EF5">
        <w:rPr>
          <w:lang w:val="es-ES_tradnl"/>
        </w:rPr>
        <w:t>.</w:t>
      </w:r>
    </w:p>
    <w:p w14:paraId="11D3FC7A" w14:textId="2B037929" w:rsidR="00CF1568" w:rsidRPr="00D52EF5" w:rsidRDefault="00CF1568" w:rsidP="00CF1568">
      <w:pPr>
        <w:pStyle w:val="Heading1"/>
        <w:suppressLineNumbers/>
        <w:tabs>
          <w:tab w:val="clear" w:pos="720"/>
        </w:tabs>
        <w:suppressAutoHyphens/>
        <w:ind w:left="1701" w:hanging="561"/>
        <w:jc w:val="left"/>
        <w:rPr>
          <w:lang w:val="es-ES_tradnl"/>
        </w:rPr>
      </w:pPr>
      <w:r w:rsidRPr="00D52EF5">
        <w:rPr>
          <w:lang w:val="es-ES_tradnl"/>
        </w:rPr>
        <w:t>II.</w:t>
      </w:r>
      <w:r w:rsidRPr="00D52EF5">
        <w:rPr>
          <w:lang w:val="es-ES_tradnl"/>
        </w:rPr>
        <w:tab/>
      </w:r>
      <w:r w:rsidR="00542FA6" w:rsidRPr="00D52EF5">
        <w:rPr>
          <w:lang w:val="es-ES_tradnl"/>
        </w:rPr>
        <w:t>EVALUACIÓN DE LA E</w:t>
      </w:r>
      <w:r w:rsidR="00542FA6" w:rsidRPr="00D52EF5">
        <w:rPr>
          <w:rFonts w:ascii="Times New Roman Bold" w:hAnsi="Times New Roman Bold"/>
          <w:lang w:val="es-ES_tradnl"/>
        </w:rPr>
        <w:t>structurA</w:t>
      </w:r>
      <w:r w:rsidRPr="00D52EF5">
        <w:rPr>
          <w:rFonts w:ascii="Times New Roman Bold" w:hAnsi="Times New Roman Bold"/>
          <w:lang w:val="es-ES_tradnl"/>
        </w:rPr>
        <w:t xml:space="preserve">, </w:t>
      </w:r>
      <w:r w:rsidR="00542FA6" w:rsidRPr="00D52EF5">
        <w:rPr>
          <w:rFonts w:ascii="Times New Roman Bold" w:hAnsi="Times New Roman Bold"/>
          <w:lang w:val="es-ES_tradnl"/>
        </w:rPr>
        <w:t xml:space="preserve">EL </w:t>
      </w:r>
      <w:r w:rsidRPr="00D52EF5">
        <w:rPr>
          <w:rFonts w:ascii="Times New Roman Bold" w:hAnsi="Times New Roman Bold"/>
          <w:lang w:val="es-ES_tradnl"/>
        </w:rPr>
        <w:t>conten</w:t>
      </w:r>
      <w:r w:rsidR="00542FA6" w:rsidRPr="00D52EF5">
        <w:rPr>
          <w:rFonts w:ascii="Times New Roman Bold" w:hAnsi="Times New Roman Bold"/>
          <w:lang w:val="es-ES_tradnl"/>
        </w:rPr>
        <w:t>IDO Y LA EFICACIA DE LA ES</w:t>
      </w:r>
      <w:r w:rsidRPr="00D52EF5">
        <w:rPr>
          <w:rFonts w:ascii="Times New Roman Bold" w:hAnsi="Times New Roman Bold"/>
          <w:lang w:val="es-ES_tradnl"/>
        </w:rPr>
        <w:t>trateg</w:t>
      </w:r>
      <w:r w:rsidR="00542FA6" w:rsidRPr="00D52EF5">
        <w:rPr>
          <w:rFonts w:ascii="Times New Roman Bold" w:hAnsi="Times New Roman Bold"/>
          <w:lang w:val="es-ES_tradnl"/>
        </w:rPr>
        <w:t>IA DE MOVILIZACIÓN DE RECURSOS</w:t>
      </w:r>
    </w:p>
    <w:p w14:paraId="0C899908" w14:textId="4687FC2A" w:rsidR="00CF1568" w:rsidRPr="00D52EF5" w:rsidRDefault="0071191A" w:rsidP="00CF1568">
      <w:pPr>
        <w:pStyle w:val="Para1"/>
        <w:numPr>
          <w:ilvl w:val="0"/>
          <w:numId w:val="13"/>
        </w:numPr>
        <w:suppressLineNumbers/>
        <w:tabs>
          <w:tab w:val="clear" w:pos="360"/>
        </w:tabs>
        <w:suppressAutoHyphens/>
        <w:spacing w:before="120"/>
        <w:rPr>
          <w:lang w:val="es-ES_tradnl"/>
        </w:rPr>
      </w:pPr>
      <w:r w:rsidRPr="00D52EF5">
        <w:rPr>
          <w:lang w:val="es-ES_tradnl"/>
        </w:rPr>
        <w:t>El enfoque</w:t>
      </w:r>
      <w:r w:rsidR="00241C7E" w:rsidRPr="00D52EF5">
        <w:rPr>
          <w:lang w:val="es-ES_tradnl"/>
        </w:rPr>
        <w:t xml:space="preserve"> del Convenio respecto de la movilización de recursos fue evolucionando en las </w:t>
      </w:r>
      <w:r w:rsidR="00485B73" w:rsidRPr="00D52EF5">
        <w:rPr>
          <w:lang w:val="es-ES_tradnl"/>
        </w:rPr>
        <w:t>sucesivas</w:t>
      </w:r>
      <w:r w:rsidR="00241C7E" w:rsidRPr="00D52EF5">
        <w:rPr>
          <w:lang w:val="es-ES_tradnl"/>
        </w:rPr>
        <w:t xml:space="preserve"> reuniones de la</w:t>
      </w:r>
      <w:r w:rsidR="00CF1568" w:rsidRPr="00D52EF5">
        <w:rPr>
          <w:lang w:val="es-ES_tradnl"/>
        </w:rPr>
        <w:t xml:space="preserve"> Conferenc</w:t>
      </w:r>
      <w:r w:rsidR="00241C7E" w:rsidRPr="00D52EF5">
        <w:rPr>
          <w:lang w:val="es-ES_tradnl"/>
        </w:rPr>
        <w:t>ia de las</w:t>
      </w:r>
      <w:r w:rsidR="00CF1568" w:rsidRPr="00D52EF5">
        <w:rPr>
          <w:lang w:val="es-ES_tradnl"/>
        </w:rPr>
        <w:t xml:space="preserve"> Partes</w:t>
      </w:r>
      <w:r w:rsidR="002A73B1" w:rsidRPr="00D52EF5">
        <w:rPr>
          <w:lang w:val="es-ES_tradnl"/>
        </w:rPr>
        <w:t>:</w:t>
      </w:r>
      <w:r w:rsidR="00CF1568" w:rsidRPr="00D52EF5">
        <w:rPr>
          <w:lang w:val="es-ES_tradnl"/>
        </w:rPr>
        <w:t xml:space="preserve"> </w:t>
      </w:r>
      <w:r w:rsidR="002A73B1" w:rsidRPr="00D52EF5">
        <w:rPr>
          <w:lang w:val="es-ES_tradnl"/>
        </w:rPr>
        <w:t xml:space="preserve">comenzó en </w:t>
      </w:r>
      <w:r w:rsidR="00C31192" w:rsidRPr="00D52EF5">
        <w:rPr>
          <w:lang w:val="es-ES_tradnl"/>
        </w:rPr>
        <w:t>la</w:t>
      </w:r>
      <w:r w:rsidR="00241C7E" w:rsidRPr="00D52EF5">
        <w:rPr>
          <w:lang w:val="es-ES_tradnl"/>
        </w:rPr>
        <w:t xml:space="preserve"> novena reunión, en la que se adoptó la </w:t>
      </w:r>
      <w:r w:rsidR="00C31192" w:rsidRPr="00D52EF5">
        <w:rPr>
          <w:lang w:val="es-ES_tradnl"/>
        </w:rPr>
        <w:t>E</w:t>
      </w:r>
      <w:r w:rsidR="006D5082" w:rsidRPr="00D52EF5">
        <w:rPr>
          <w:lang w:val="es-ES_tradnl"/>
        </w:rPr>
        <w:t xml:space="preserve">strategia para la </w:t>
      </w:r>
      <w:r w:rsidR="00C31192" w:rsidRPr="00D52EF5">
        <w:rPr>
          <w:lang w:val="es-ES_tradnl"/>
        </w:rPr>
        <w:t>M</w:t>
      </w:r>
      <w:r w:rsidR="006D5082" w:rsidRPr="00D52EF5">
        <w:rPr>
          <w:lang w:val="es-ES_tradnl"/>
        </w:rPr>
        <w:t xml:space="preserve">ovilización de </w:t>
      </w:r>
      <w:r w:rsidR="00C31192" w:rsidRPr="00D52EF5">
        <w:rPr>
          <w:lang w:val="es-ES_tradnl"/>
        </w:rPr>
        <w:t>R</w:t>
      </w:r>
      <w:r w:rsidR="006D5082" w:rsidRPr="00D52EF5">
        <w:rPr>
          <w:lang w:val="es-ES_tradnl"/>
        </w:rPr>
        <w:t>ecursos</w:t>
      </w:r>
      <w:r w:rsidR="00CF1568" w:rsidRPr="00D52EF5">
        <w:rPr>
          <w:rStyle w:val="FootnoteReference"/>
          <w:lang w:val="es-ES_tradnl"/>
        </w:rPr>
        <w:footnoteReference w:id="4"/>
      </w:r>
      <w:r w:rsidR="005670EE" w:rsidRPr="00D52EF5">
        <w:rPr>
          <w:lang w:val="es-ES_tradnl"/>
        </w:rPr>
        <w:t>. E</w:t>
      </w:r>
      <w:r w:rsidR="00482FF5" w:rsidRPr="00D52EF5">
        <w:rPr>
          <w:lang w:val="es-ES_tradnl"/>
        </w:rPr>
        <w:t xml:space="preserve">n </w:t>
      </w:r>
      <w:r w:rsidR="00F16AD8" w:rsidRPr="00D52EF5">
        <w:rPr>
          <w:lang w:val="es-ES_tradnl"/>
        </w:rPr>
        <w:t>la</w:t>
      </w:r>
      <w:r w:rsidR="00482FF5" w:rsidRPr="00D52EF5">
        <w:rPr>
          <w:lang w:val="es-ES_tradnl"/>
        </w:rPr>
        <w:t xml:space="preserve"> décima reunión </w:t>
      </w:r>
      <w:r w:rsidR="005670EE" w:rsidRPr="00D52EF5">
        <w:rPr>
          <w:lang w:val="es-ES_tradnl"/>
        </w:rPr>
        <w:t xml:space="preserve">se adoptó el </w:t>
      </w:r>
      <w:r w:rsidR="00482FF5" w:rsidRPr="00D52EF5">
        <w:rPr>
          <w:lang w:val="es-ES_tradnl"/>
        </w:rPr>
        <w:t>Plan Estratégico para la Diversidad Biológica 2011-2020</w:t>
      </w:r>
      <w:r w:rsidR="00CF1568" w:rsidRPr="00D52EF5">
        <w:rPr>
          <w:lang w:val="es-ES_tradnl"/>
        </w:rPr>
        <w:t xml:space="preserve">, </w:t>
      </w:r>
      <w:r w:rsidR="00F676FE" w:rsidRPr="00D52EF5">
        <w:rPr>
          <w:lang w:val="es-ES_tradnl"/>
        </w:rPr>
        <w:t>con inclusión d</w:t>
      </w:r>
      <w:r w:rsidR="00F16AD8" w:rsidRPr="00D52EF5">
        <w:rPr>
          <w:lang w:val="es-ES_tradnl"/>
        </w:rPr>
        <w:t>e</w:t>
      </w:r>
      <w:r w:rsidR="005670EE" w:rsidRPr="00D52EF5">
        <w:rPr>
          <w:lang w:val="es-ES_tradnl"/>
        </w:rPr>
        <w:t xml:space="preserve"> </w:t>
      </w:r>
      <w:r w:rsidR="00482FF5" w:rsidRPr="00D52EF5">
        <w:rPr>
          <w:lang w:val="es-ES_tradnl"/>
        </w:rPr>
        <w:t xml:space="preserve">las </w:t>
      </w:r>
      <w:r w:rsidR="002A73B1" w:rsidRPr="00D52EF5">
        <w:rPr>
          <w:lang w:val="es-ES_tradnl"/>
        </w:rPr>
        <w:t xml:space="preserve">20 </w:t>
      </w:r>
      <w:r w:rsidR="00482FF5" w:rsidRPr="00D52EF5">
        <w:rPr>
          <w:lang w:val="es-ES_tradnl"/>
        </w:rPr>
        <w:t>Metas de</w:t>
      </w:r>
      <w:r w:rsidR="00CF1568" w:rsidRPr="00D52EF5">
        <w:rPr>
          <w:lang w:val="es-ES_tradnl"/>
        </w:rPr>
        <w:t xml:space="preserve"> Aichi </w:t>
      </w:r>
      <w:r w:rsidR="00482FF5" w:rsidRPr="00D52EF5">
        <w:rPr>
          <w:lang w:val="es-ES_tradnl"/>
        </w:rPr>
        <w:t xml:space="preserve">para la Diversidad </w:t>
      </w:r>
      <w:r w:rsidR="00CF1568" w:rsidRPr="00D52EF5">
        <w:rPr>
          <w:lang w:val="es-ES_tradnl"/>
        </w:rPr>
        <w:t>Bio</w:t>
      </w:r>
      <w:r w:rsidR="00482FF5" w:rsidRPr="00D52EF5">
        <w:rPr>
          <w:lang w:val="es-ES_tradnl"/>
        </w:rPr>
        <w:t>lógica</w:t>
      </w:r>
      <w:r w:rsidR="00CF1568" w:rsidRPr="00D52EF5">
        <w:rPr>
          <w:rStyle w:val="FootnoteReference"/>
          <w:lang w:val="es-ES_tradnl"/>
        </w:rPr>
        <w:footnoteReference w:id="5"/>
      </w:r>
      <w:r w:rsidR="005670EE" w:rsidRPr="00D52EF5">
        <w:rPr>
          <w:lang w:val="es-ES_tradnl"/>
        </w:rPr>
        <w:t>; y</w:t>
      </w:r>
      <w:r w:rsidR="00F16AD8" w:rsidRPr="00D52EF5">
        <w:rPr>
          <w:lang w:val="es-ES_tradnl"/>
        </w:rPr>
        <w:t xml:space="preserve"> en la</w:t>
      </w:r>
      <w:r w:rsidR="00482FF5" w:rsidRPr="00D52EF5">
        <w:rPr>
          <w:lang w:val="es-ES_tradnl"/>
        </w:rPr>
        <w:t xml:space="preserve"> decim</w:t>
      </w:r>
      <w:r w:rsidR="005670EE" w:rsidRPr="00D52EF5">
        <w:rPr>
          <w:lang w:val="es-ES_tradnl"/>
        </w:rPr>
        <w:t>o</w:t>
      </w:r>
      <w:r w:rsidR="00482FF5" w:rsidRPr="00D52EF5">
        <w:rPr>
          <w:lang w:val="es-ES_tradnl"/>
        </w:rPr>
        <w:t>segunda reunión</w:t>
      </w:r>
      <w:r w:rsidR="002F187A" w:rsidRPr="00D52EF5">
        <w:rPr>
          <w:lang w:val="es-ES_tradnl"/>
        </w:rPr>
        <w:t>, se adoptaron</w:t>
      </w:r>
      <w:r w:rsidR="00482FF5" w:rsidRPr="00D52EF5">
        <w:rPr>
          <w:lang w:val="es-ES_tradnl"/>
        </w:rPr>
        <w:t xml:space="preserve"> un</w:t>
      </w:r>
      <w:r w:rsidR="00CF1568" w:rsidRPr="00D52EF5">
        <w:rPr>
          <w:lang w:val="es-ES_tradnl"/>
        </w:rPr>
        <w:t>a serie</w:t>
      </w:r>
      <w:r w:rsidR="00482FF5" w:rsidRPr="00D52EF5">
        <w:rPr>
          <w:lang w:val="es-ES_tradnl"/>
        </w:rPr>
        <w:t xml:space="preserve"> de metas </w:t>
      </w:r>
      <w:r w:rsidR="00CF1568" w:rsidRPr="00D52EF5">
        <w:rPr>
          <w:lang w:val="es-ES_tradnl"/>
        </w:rPr>
        <w:t>(</w:t>
      </w:r>
      <w:r w:rsidR="00482FF5" w:rsidRPr="00D52EF5">
        <w:rPr>
          <w:lang w:val="es-ES_tradnl"/>
        </w:rPr>
        <w:t>véa</w:t>
      </w:r>
      <w:r w:rsidR="00CF1568" w:rsidRPr="00D52EF5">
        <w:rPr>
          <w:lang w:val="es-ES_tradnl"/>
        </w:rPr>
        <w:t>se</w:t>
      </w:r>
      <w:r w:rsidR="00482FF5" w:rsidRPr="00D52EF5">
        <w:rPr>
          <w:lang w:val="es-ES_tradnl"/>
        </w:rPr>
        <w:t xml:space="preserve"> en anexo </w:t>
      </w:r>
      <w:r w:rsidR="00482FF5" w:rsidRPr="00D52EF5">
        <w:rPr>
          <w:i/>
          <w:lang w:val="es-ES_tradnl"/>
        </w:rPr>
        <w:t>infra</w:t>
      </w:r>
      <w:r w:rsidR="00CF1568" w:rsidRPr="00D52EF5">
        <w:rPr>
          <w:lang w:val="es-ES_tradnl"/>
        </w:rPr>
        <w:t xml:space="preserve">), </w:t>
      </w:r>
      <w:r w:rsidR="005670EE" w:rsidRPr="00D52EF5">
        <w:rPr>
          <w:lang w:val="es-ES_tradnl"/>
        </w:rPr>
        <w:t>además d</w:t>
      </w:r>
      <w:r w:rsidR="007E3E9E" w:rsidRPr="00D52EF5">
        <w:rPr>
          <w:lang w:val="es-ES_tradnl"/>
        </w:rPr>
        <w:t xml:space="preserve">el marco </w:t>
      </w:r>
      <w:r w:rsidR="0005567D" w:rsidRPr="00D52EF5">
        <w:rPr>
          <w:lang w:val="es-ES_tradnl"/>
        </w:rPr>
        <w:t>de presentación de informes financieros del C</w:t>
      </w:r>
      <w:r w:rsidR="00CF1568" w:rsidRPr="00D52EF5">
        <w:rPr>
          <w:lang w:val="es-ES_tradnl"/>
        </w:rPr>
        <w:t>D</w:t>
      </w:r>
      <w:r w:rsidR="0005567D" w:rsidRPr="00D52EF5">
        <w:rPr>
          <w:lang w:val="es-ES_tradnl"/>
        </w:rPr>
        <w:t>B</w:t>
      </w:r>
      <w:r w:rsidR="00CF1568" w:rsidRPr="00D52EF5">
        <w:rPr>
          <w:rStyle w:val="FootnoteReference"/>
          <w:lang w:val="es-ES_tradnl"/>
        </w:rPr>
        <w:footnoteReference w:id="6"/>
      </w:r>
      <w:r w:rsidR="0005567D" w:rsidRPr="00D52EF5">
        <w:rPr>
          <w:lang w:val="es-ES_tradnl"/>
        </w:rPr>
        <w:t>.</w:t>
      </w:r>
      <w:r w:rsidR="00CF1568" w:rsidRPr="00D52EF5">
        <w:rPr>
          <w:lang w:val="es-ES_tradnl"/>
        </w:rPr>
        <w:t xml:space="preserve"> As</w:t>
      </w:r>
      <w:r w:rsidR="005670EE" w:rsidRPr="00D52EF5">
        <w:rPr>
          <w:lang w:val="es-ES_tradnl"/>
        </w:rPr>
        <w:t>í pues, hay cierto grado de s</w:t>
      </w:r>
      <w:r w:rsidR="00B30C63" w:rsidRPr="00D52EF5">
        <w:rPr>
          <w:lang w:val="es-ES_tradnl"/>
        </w:rPr>
        <w:t>olapamiento</w:t>
      </w:r>
      <w:r w:rsidR="005670EE" w:rsidRPr="00D52EF5">
        <w:rPr>
          <w:lang w:val="es-ES_tradnl"/>
        </w:rPr>
        <w:t xml:space="preserve"> entre los temas a los que </w:t>
      </w:r>
      <w:r w:rsidR="00B6725E" w:rsidRPr="00D52EF5">
        <w:rPr>
          <w:lang w:val="es-ES_tradnl"/>
        </w:rPr>
        <w:t>remiten</w:t>
      </w:r>
      <w:r w:rsidR="005670EE" w:rsidRPr="00D52EF5">
        <w:rPr>
          <w:lang w:val="es-ES_tradnl"/>
        </w:rPr>
        <w:t xml:space="preserve"> los objetivos y </w:t>
      </w:r>
      <w:r w:rsidR="00DB4B1D" w:rsidRPr="00D52EF5">
        <w:rPr>
          <w:lang w:val="es-ES_tradnl"/>
        </w:rPr>
        <w:t>objetivos secundarios d</w:t>
      </w:r>
      <w:r w:rsidR="00CF1568" w:rsidRPr="00D52EF5">
        <w:rPr>
          <w:lang w:val="es-ES_tradnl"/>
        </w:rPr>
        <w:t xml:space="preserve">e </w:t>
      </w:r>
      <w:r w:rsidR="00C31192" w:rsidRPr="00D52EF5">
        <w:rPr>
          <w:lang w:val="es-ES_tradnl"/>
        </w:rPr>
        <w:t>la E</w:t>
      </w:r>
      <w:r w:rsidR="00CF1568" w:rsidRPr="00D52EF5">
        <w:rPr>
          <w:lang w:val="es-ES_tradnl"/>
        </w:rPr>
        <w:t>strateg</w:t>
      </w:r>
      <w:r w:rsidR="00DB4B1D" w:rsidRPr="00D52EF5">
        <w:rPr>
          <w:lang w:val="es-ES_tradnl"/>
        </w:rPr>
        <w:t xml:space="preserve">ia para la </w:t>
      </w:r>
      <w:r w:rsidR="00C31192" w:rsidRPr="00D52EF5">
        <w:rPr>
          <w:lang w:val="es-ES_tradnl"/>
        </w:rPr>
        <w:t>M</w:t>
      </w:r>
      <w:r w:rsidR="00DB4B1D" w:rsidRPr="00D52EF5">
        <w:rPr>
          <w:lang w:val="es-ES_tradnl"/>
        </w:rPr>
        <w:t xml:space="preserve">ovilización de </w:t>
      </w:r>
      <w:r w:rsidR="00C31192" w:rsidRPr="00D52EF5">
        <w:rPr>
          <w:lang w:val="es-ES_tradnl"/>
        </w:rPr>
        <w:t>R</w:t>
      </w:r>
      <w:r w:rsidR="00DB4B1D" w:rsidRPr="00D52EF5">
        <w:rPr>
          <w:lang w:val="es-ES_tradnl"/>
        </w:rPr>
        <w:t>ecursos, y l</w:t>
      </w:r>
      <w:r w:rsidR="00B6725E" w:rsidRPr="00D52EF5">
        <w:rPr>
          <w:lang w:val="es-ES_tradnl"/>
        </w:rPr>
        <w:t xml:space="preserve">as metas </w:t>
      </w:r>
      <w:r w:rsidR="002F187A" w:rsidRPr="00D52EF5">
        <w:rPr>
          <w:lang w:val="es-ES_tradnl"/>
        </w:rPr>
        <w:t xml:space="preserve">en materia de movilización de recursos </w:t>
      </w:r>
      <w:r w:rsidR="00B6725E" w:rsidRPr="00D52EF5">
        <w:rPr>
          <w:lang w:val="es-ES_tradnl"/>
        </w:rPr>
        <w:t>enmarcadas en</w:t>
      </w:r>
      <w:r w:rsidR="00DB4B1D" w:rsidRPr="00D52EF5">
        <w:rPr>
          <w:lang w:val="es-ES_tradnl"/>
        </w:rPr>
        <w:t xml:space="preserve"> la Meta 20 de Aichi</w:t>
      </w:r>
      <w:r w:rsidR="00CF1568" w:rsidRPr="00D52EF5">
        <w:rPr>
          <w:lang w:val="es-ES_tradnl"/>
        </w:rPr>
        <w:t xml:space="preserve">. </w:t>
      </w:r>
      <w:r w:rsidR="00DB4B1D" w:rsidRPr="00D52EF5">
        <w:rPr>
          <w:lang w:val="es-ES_tradnl"/>
        </w:rPr>
        <w:t xml:space="preserve">El cuadro siguiente </w:t>
      </w:r>
      <w:r w:rsidR="002F187A" w:rsidRPr="00D52EF5">
        <w:rPr>
          <w:lang w:val="es-ES_tradnl"/>
        </w:rPr>
        <w:t>ofrece</w:t>
      </w:r>
      <w:r w:rsidR="00CB6566" w:rsidRPr="00D52EF5">
        <w:rPr>
          <w:lang w:val="es-ES_tradnl"/>
        </w:rPr>
        <w:t xml:space="preserve"> un</w:t>
      </w:r>
      <w:r w:rsidR="002F187A" w:rsidRPr="00D52EF5">
        <w:rPr>
          <w:lang w:val="es-ES_tradnl"/>
        </w:rPr>
        <w:t xml:space="preserve"> punto de</w:t>
      </w:r>
      <w:r w:rsidR="00CB6566" w:rsidRPr="00D52EF5">
        <w:rPr>
          <w:lang w:val="es-ES_tradnl"/>
        </w:rPr>
        <w:t xml:space="preserve"> referencia para poder</w:t>
      </w:r>
      <w:r w:rsidR="00DB4B1D" w:rsidRPr="00D52EF5">
        <w:rPr>
          <w:lang w:val="es-ES_tradnl"/>
        </w:rPr>
        <w:t xml:space="preserve"> precisar dónde se tratan los diferentes temas</w:t>
      </w:r>
      <w:r w:rsidR="00CF1568" w:rsidRPr="00D52EF5">
        <w:rPr>
          <w:lang w:val="es-ES_tradnl"/>
        </w:rPr>
        <w:t>.</w:t>
      </w:r>
    </w:p>
    <w:p w14:paraId="15C0910A" w14:textId="6B8BFEB7" w:rsidR="00CF1568" w:rsidRPr="00D52EF5" w:rsidRDefault="00DB4B1D" w:rsidP="00CF1568">
      <w:pPr>
        <w:pStyle w:val="Para1"/>
        <w:keepNext/>
        <w:suppressLineNumbers/>
        <w:suppressAutoHyphens/>
        <w:rPr>
          <w:b/>
          <w:lang w:val="es-ES_tradnl"/>
        </w:rPr>
      </w:pPr>
      <w:r w:rsidRPr="00D52EF5">
        <w:rPr>
          <w:b/>
          <w:lang w:val="es-ES_tradnl"/>
        </w:rPr>
        <w:t>Cuadro 1. Relac</w:t>
      </w:r>
      <w:r w:rsidR="00CF1568" w:rsidRPr="00D52EF5">
        <w:rPr>
          <w:b/>
          <w:lang w:val="es-ES_tradnl"/>
        </w:rPr>
        <w:t>i</w:t>
      </w:r>
      <w:r w:rsidRPr="00D52EF5">
        <w:rPr>
          <w:b/>
          <w:lang w:val="es-ES_tradnl"/>
        </w:rPr>
        <w:t>ó</w:t>
      </w:r>
      <w:r w:rsidR="00CF1568" w:rsidRPr="00D52EF5">
        <w:rPr>
          <w:b/>
          <w:lang w:val="es-ES_tradnl"/>
        </w:rPr>
        <w:t>n</w:t>
      </w:r>
      <w:r w:rsidRPr="00D52EF5">
        <w:rPr>
          <w:b/>
          <w:lang w:val="es-ES_tradnl"/>
        </w:rPr>
        <w:t xml:space="preserve"> entre los temas</w:t>
      </w:r>
      <w:r w:rsidR="00CF1568" w:rsidRPr="00D52EF5">
        <w:rPr>
          <w:b/>
          <w:lang w:val="es-ES_tradnl"/>
        </w:rPr>
        <w:t xml:space="preserve">, </w:t>
      </w:r>
      <w:r w:rsidRPr="00D52EF5">
        <w:rPr>
          <w:b/>
          <w:lang w:val="es-ES_tradnl"/>
        </w:rPr>
        <w:t xml:space="preserve">los objetivos de la </w:t>
      </w:r>
      <w:r w:rsidR="0000683B">
        <w:rPr>
          <w:b/>
          <w:lang w:val="es-ES_tradnl"/>
        </w:rPr>
        <w:t>e</w:t>
      </w:r>
      <w:r w:rsidRPr="00D52EF5">
        <w:rPr>
          <w:b/>
          <w:lang w:val="es-ES_tradnl"/>
        </w:rPr>
        <w:t xml:space="preserve">strategia </w:t>
      </w:r>
      <w:r w:rsidR="0000683B">
        <w:rPr>
          <w:b/>
          <w:lang w:val="es-ES_tradnl"/>
        </w:rPr>
        <w:t>de</w:t>
      </w:r>
      <w:r w:rsidR="00B6725E" w:rsidRPr="00D52EF5">
        <w:rPr>
          <w:b/>
          <w:lang w:val="es-ES_tradnl"/>
        </w:rPr>
        <w:t xml:space="preserve"> </w:t>
      </w:r>
      <w:r w:rsidR="0000683B">
        <w:rPr>
          <w:b/>
          <w:lang w:val="es-ES_tradnl"/>
        </w:rPr>
        <w:t>m</w:t>
      </w:r>
      <w:r w:rsidR="00B6725E" w:rsidRPr="00D52EF5">
        <w:rPr>
          <w:b/>
          <w:lang w:val="es-ES_tradnl"/>
        </w:rPr>
        <w:t xml:space="preserve">ovilización de </w:t>
      </w:r>
      <w:r w:rsidR="0000683B">
        <w:rPr>
          <w:b/>
          <w:lang w:val="es-ES_tradnl"/>
        </w:rPr>
        <w:t>r</w:t>
      </w:r>
      <w:r w:rsidRPr="00D52EF5">
        <w:rPr>
          <w:b/>
          <w:lang w:val="es-ES_tradnl"/>
        </w:rPr>
        <w:t xml:space="preserve">ecursos y las metas enmarcadas en la Meta 20 de </w:t>
      </w:r>
      <w:r w:rsidR="00CF1568" w:rsidRPr="00D52EF5">
        <w:rPr>
          <w:b/>
          <w:lang w:val="es-ES_tradnl"/>
        </w:rPr>
        <w:t xml:space="preserve">Aichi </w:t>
      </w:r>
      <w:r w:rsidRPr="00D52EF5">
        <w:rPr>
          <w:b/>
          <w:lang w:val="es-ES_tradnl"/>
        </w:rPr>
        <w:t>para la Diversidad Biológica</w:t>
      </w:r>
    </w:p>
    <w:tbl>
      <w:tblPr>
        <w:tblStyle w:val="TableGrid"/>
        <w:tblW w:w="0" w:type="auto"/>
        <w:jc w:val="center"/>
        <w:tblLook w:val="04A0" w:firstRow="1" w:lastRow="0" w:firstColumn="1" w:lastColumn="0" w:noHBand="0" w:noVBand="1"/>
      </w:tblPr>
      <w:tblGrid>
        <w:gridCol w:w="5793"/>
        <w:gridCol w:w="1999"/>
        <w:gridCol w:w="1784"/>
      </w:tblGrid>
      <w:tr w:rsidR="00CF1568" w:rsidRPr="00DD6B41" w14:paraId="1CF0996C" w14:textId="77777777" w:rsidTr="0067248E">
        <w:trPr>
          <w:cantSplit/>
          <w:tblHeader/>
          <w:jc w:val="center"/>
        </w:trPr>
        <w:tc>
          <w:tcPr>
            <w:tcW w:w="5920" w:type="dxa"/>
            <w:vAlign w:val="bottom"/>
          </w:tcPr>
          <w:p w14:paraId="5D455AB9" w14:textId="48B64126" w:rsidR="00CF1568" w:rsidRPr="0000683B" w:rsidRDefault="00AF50B7" w:rsidP="0067248E">
            <w:pPr>
              <w:pStyle w:val="Para1"/>
              <w:keepNext/>
              <w:suppressLineNumbers/>
              <w:suppressAutoHyphens/>
              <w:spacing w:after="0"/>
              <w:jc w:val="center"/>
              <w:rPr>
                <w:rFonts w:ascii="Times New Roman" w:hAnsi="Times New Roman" w:cs="Times New Roman"/>
                <w:i/>
                <w:sz w:val="20"/>
                <w:szCs w:val="20"/>
                <w:lang w:val="es-ES_tradnl"/>
              </w:rPr>
            </w:pPr>
            <w:r w:rsidRPr="0000683B">
              <w:rPr>
                <w:rFonts w:ascii="Times New Roman" w:hAnsi="Times New Roman" w:cs="Times New Roman"/>
                <w:i/>
                <w:sz w:val="20"/>
                <w:szCs w:val="20"/>
                <w:lang w:val="es-ES_tradnl"/>
              </w:rPr>
              <w:t>Tema</w:t>
            </w:r>
          </w:p>
          <w:p w14:paraId="1788EAE7" w14:textId="084F1781" w:rsidR="00AF50B7" w:rsidRPr="0000683B" w:rsidRDefault="00AF50B7" w:rsidP="0067248E">
            <w:pPr>
              <w:pStyle w:val="Para1"/>
              <w:keepNext/>
              <w:suppressLineNumbers/>
              <w:suppressAutoHyphens/>
              <w:spacing w:after="0"/>
              <w:jc w:val="center"/>
              <w:rPr>
                <w:rFonts w:ascii="Times New Roman" w:hAnsi="Times New Roman" w:cs="Times New Roman"/>
                <w:i/>
                <w:sz w:val="20"/>
                <w:szCs w:val="20"/>
                <w:lang w:val="es-ES_tradnl"/>
              </w:rPr>
            </w:pPr>
          </w:p>
        </w:tc>
        <w:tc>
          <w:tcPr>
            <w:tcW w:w="2021" w:type="dxa"/>
            <w:vAlign w:val="bottom"/>
          </w:tcPr>
          <w:p w14:paraId="31D992C4" w14:textId="028D9EE5" w:rsidR="00CF1568" w:rsidRPr="0000683B" w:rsidRDefault="00291A18" w:rsidP="00AF50B7">
            <w:pPr>
              <w:pStyle w:val="Para1"/>
              <w:keepNext/>
              <w:suppressLineNumbers/>
              <w:suppressAutoHyphens/>
              <w:spacing w:after="0"/>
              <w:jc w:val="center"/>
              <w:rPr>
                <w:rFonts w:ascii="Times New Roman" w:hAnsi="Times New Roman" w:cs="Times New Roman"/>
                <w:i/>
                <w:sz w:val="20"/>
                <w:szCs w:val="20"/>
                <w:lang w:val="es-ES_tradnl"/>
              </w:rPr>
            </w:pPr>
            <w:r w:rsidRPr="0000683B">
              <w:rPr>
                <w:rFonts w:ascii="Times New Roman" w:hAnsi="Times New Roman" w:cs="Times New Roman"/>
                <w:i/>
                <w:sz w:val="20"/>
                <w:szCs w:val="20"/>
                <w:lang w:val="es-ES_tradnl"/>
              </w:rPr>
              <w:t>Objetivo</w:t>
            </w:r>
            <w:r w:rsidR="00CF1568" w:rsidRPr="0000683B">
              <w:rPr>
                <w:rFonts w:ascii="Times New Roman" w:hAnsi="Times New Roman" w:cs="Times New Roman"/>
                <w:i/>
                <w:sz w:val="20"/>
                <w:szCs w:val="20"/>
                <w:lang w:val="es-ES_tradnl"/>
              </w:rPr>
              <w:t xml:space="preserve">(s) </w:t>
            </w:r>
            <w:r w:rsidR="00C31192" w:rsidRPr="0000683B">
              <w:rPr>
                <w:rFonts w:ascii="Times New Roman" w:hAnsi="Times New Roman" w:cs="Times New Roman"/>
                <w:i/>
                <w:sz w:val="20"/>
                <w:szCs w:val="20"/>
                <w:lang w:val="es-ES_tradnl"/>
              </w:rPr>
              <w:t>de la E</w:t>
            </w:r>
            <w:r w:rsidR="00AF50B7" w:rsidRPr="0000683B">
              <w:rPr>
                <w:rFonts w:ascii="Times New Roman" w:hAnsi="Times New Roman" w:cs="Times New Roman"/>
                <w:i/>
                <w:sz w:val="20"/>
                <w:szCs w:val="20"/>
                <w:lang w:val="es-ES_tradnl"/>
              </w:rPr>
              <w:t xml:space="preserve">strategia </w:t>
            </w:r>
            <w:r w:rsidR="00CC3EAE" w:rsidRPr="0000683B">
              <w:rPr>
                <w:rFonts w:ascii="Times New Roman" w:hAnsi="Times New Roman" w:cs="Times New Roman"/>
                <w:i/>
                <w:sz w:val="20"/>
                <w:szCs w:val="20"/>
                <w:lang w:val="es-ES_tradnl"/>
              </w:rPr>
              <w:t>para la</w:t>
            </w:r>
            <w:r w:rsidR="00C31192" w:rsidRPr="0000683B">
              <w:rPr>
                <w:rFonts w:ascii="Times New Roman" w:hAnsi="Times New Roman" w:cs="Times New Roman"/>
                <w:i/>
                <w:sz w:val="20"/>
                <w:szCs w:val="20"/>
                <w:lang w:val="es-ES_tradnl"/>
              </w:rPr>
              <w:t xml:space="preserve"> Movilización de R</w:t>
            </w:r>
            <w:r w:rsidR="00AF50B7" w:rsidRPr="0000683B">
              <w:rPr>
                <w:rFonts w:ascii="Times New Roman" w:hAnsi="Times New Roman" w:cs="Times New Roman"/>
                <w:i/>
                <w:sz w:val="20"/>
                <w:szCs w:val="20"/>
                <w:lang w:val="es-ES_tradnl"/>
              </w:rPr>
              <w:t>ecursos</w:t>
            </w:r>
            <w:r w:rsidR="00CF1568" w:rsidRPr="0000683B">
              <w:rPr>
                <w:rFonts w:ascii="Times New Roman" w:hAnsi="Times New Roman" w:cs="Times New Roman"/>
                <w:i/>
                <w:sz w:val="20"/>
                <w:szCs w:val="20"/>
                <w:lang w:val="es-ES_tradnl"/>
              </w:rPr>
              <w:t xml:space="preserve"> </w:t>
            </w:r>
          </w:p>
          <w:p w14:paraId="7AA85138" w14:textId="3149D548" w:rsidR="00CC3EAE" w:rsidRPr="0000683B" w:rsidRDefault="00CC3EAE" w:rsidP="00AF50B7">
            <w:pPr>
              <w:pStyle w:val="Para1"/>
              <w:keepNext/>
              <w:suppressLineNumbers/>
              <w:suppressAutoHyphens/>
              <w:spacing w:after="0"/>
              <w:jc w:val="center"/>
              <w:rPr>
                <w:rFonts w:ascii="Times New Roman" w:hAnsi="Times New Roman" w:cs="Times New Roman"/>
                <w:i/>
                <w:sz w:val="20"/>
                <w:szCs w:val="20"/>
                <w:lang w:val="es-ES_tradnl"/>
              </w:rPr>
            </w:pPr>
          </w:p>
        </w:tc>
        <w:tc>
          <w:tcPr>
            <w:tcW w:w="1801" w:type="dxa"/>
            <w:vAlign w:val="bottom"/>
          </w:tcPr>
          <w:p w14:paraId="7887F3AF" w14:textId="67BDE761" w:rsidR="00AF50B7" w:rsidRPr="0000683B" w:rsidRDefault="00291A18" w:rsidP="0067248E">
            <w:pPr>
              <w:pStyle w:val="Para1"/>
              <w:keepNext/>
              <w:suppressLineNumbers/>
              <w:suppressAutoHyphens/>
              <w:spacing w:after="0"/>
              <w:jc w:val="center"/>
              <w:rPr>
                <w:rFonts w:ascii="Times New Roman" w:hAnsi="Times New Roman" w:cs="Times New Roman"/>
                <w:i/>
                <w:sz w:val="20"/>
                <w:szCs w:val="20"/>
                <w:lang w:val="es-ES_tradnl"/>
              </w:rPr>
            </w:pPr>
            <w:r w:rsidRPr="0000683B">
              <w:rPr>
                <w:rFonts w:ascii="Times New Roman" w:hAnsi="Times New Roman" w:cs="Times New Roman"/>
                <w:i/>
                <w:sz w:val="20"/>
                <w:szCs w:val="20"/>
                <w:lang w:val="es-ES_tradnl"/>
              </w:rPr>
              <w:t>Meta</w:t>
            </w:r>
            <w:r w:rsidR="00CF1568" w:rsidRPr="0000683B">
              <w:rPr>
                <w:rFonts w:ascii="Times New Roman" w:hAnsi="Times New Roman" w:cs="Times New Roman"/>
                <w:i/>
                <w:sz w:val="20"/>
                <w:szCs w:val="20"/>
                <w:lang w:val="es-ES_tradnl"/>
              </w:rPr>
              <w:t xml:space="preserve">(s) </w:t>
            </w:r>
            <w:r w:rsidR="00AF50B7" w:rsidRPr="0000683B">
              <w:rPr>
                <w:rFonts w:ascii="Times New Roman" w:hAnsi="Times New Roman" w:cs="Times New Roman"/>
                <w:i/>
                <w:sz w:val="20"/>
                <w:szCs w:val="20"/>
                <w:lang w:val="es-ES_tradnl"/>
              </w:rPr>
              <w:t>enmarcadas en la Meta 20 de Aichi para la Diversidad Biológica</w:t>
            </w:r>
          </w:p>
          <w:p w14:paraId="2640BF1E" w14:textId="129C7A30" w:rsidR="00CF1568" w:rsidRPr="0000683B" w:rsidRDefault="00CF1568" w:rsidP="0067248E">
            <w:pPr>
              <w:pStyle w:val="Para1"/>
              <w:keepNext/>
              <w:suppressLineNumbers/>
              <w:suppressAutoHyphens/>
              <w:spacing w:after="0"/>
              <w:jc w:val="center"/>
              <w:rPr>
                <w:rFonts w:ascii="Times New Roman" w:hAnsi="Times New Roman" w:cs="Times New Roman"/>
                <w:i/>
                <w:sz w:val="20"/>
                <w:szCs w:val="20"/>
                <w:lang w:val="es-ES_tradnl"/>
              </w:rPr>
            </w:pPr>
            <w:r w:rsidRPr="0000683B">
              <w:rPr>
                <w:rFonts w:ascii="Times New Roman" w:hAnsi="Times New Roman" w:cs="Times New Roman"/>
                <w:i/>
                <w:sz w:val="20"/>
                <w:szCs w:val="20"/>
                <w:lang w:val="es-ES_tradnl"/>
              </w:rPr>
              <w:t xml:space="preserve"> </w:t>
            </w:r>
          </w:p>
        </w:tc>
      </w:tr>
      <w:tr w:rsidR="00CF1568" w:rsidRPr="00D52EF5" w14:paraId="4EC54FFF" w14:textId="77777777" w:rsidTr="0067248E">
        <w:trPr>
          <w:cantSplit/>
          <w:jc w:val="center"/>
        </w:trPr>
        <w:tc>
          <w:tcPr>
            <w:tcW w:w="5920" w:type="dxa"/>
          </w:tcPr>
          <w:p w14:paraId="553A8E90" w14:textId="514D5531" w:rsidR="00CF1568" w:rsidRPr="00B61E66" w:rsidRDefault="00CC3EAE" w:rsidP="00EA535B">
            <w:pPr>
              <w:pStyle w:val="Para1"/>
              <w:keepNext/>
              <w:suppressLineNumbers/>
              <w:suppressAutoHyphens/>
              <w:spacing w:after="0"/>
              <w:jc w:val="left"/>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 xml:space="preserve">Mejora de la base </w:t>
            </w:r>
            <w:r w:rsidR="00EA535B" w:rsidRPr="00B61E66">
              <w:rPr>
                <w:rFonts w:ascii="Times New Roman" w:hAnsi="Times New Roman" w:cs="Times New Roman"/>
                <w:sz w:val="20"/>
                <w:szCs w:val="20"/>
                <w:lang w:val="es-ES_tradnl"/>
              </w:rPr>
              <w:t xml:space="preserve">de información </w:t>
            </w:r>
            <w:r w:rsidRPr="00B61E66">
              <w:rPr>
                <w:rFonts w:ascii="Times New Roman" w:hAnsi="Times New Roman" w:cs="Times New Roman"/>
                <w:sz w:val="20"/>
                <w:szCs w:val="20"/>
                <w:lang w:val="es-ES_tradnl"/>
              </w:rPr>
              <w:t xml:space="preserve">y </w:t>
            </w:r>
            <w:r w:rsidR="00EA535B" w:rsidRPr="00B61E66">
              <w:rPr>
                <w:rFonts w:ascii="Times New Roman" w:hAnsi="Times New Roman" w:cs="Times New Roman"/>
                <w:sz w:val="20"/>
                <w:szCs w:val="20"/>
                <w:lang w:val="es-ES_tradnl"/>
              </w:rPr>
              <w:t xml:space="preserve">de </w:t>
            </w:r>
            <w:r w:rsidRPr="00B61E66">
              <w:rPr>
                <w:rFonts w:ascii="Times New Roman" w:hAnsi="Times New Roman" w:cs="Times New Roman"/>
                <w:sz w:val="20"/>
                <w:szCs w:val="20"/>
                <w:lang w:val="es-ES_tradnl"/>
              </w:rPr>
              <w:t>la</w:t>
            </w:r>
            <w:r w:rsidR="00EA535B" w:rsidRPr="00B61E66">
              <w:rPr>
                <w:rFonts w:ascii="Times New Roman" w:hAnsi="Times New Roman" w:cs="Times New Roman"/>
                <w:sz w:val="20"/>
                <w:szCs w:val="20"/>
                <w:lang w:val="es-ES_tradnl"/>
              </w:rPr>
              <w:t xml:space="preserve"> presentación de informes</w:t>
            </w:r>
            <w:r w:rsidR="00CF1568" w:rsidRPr="00B61E66">
              <w:rPr>
                <w:rFonts w:ascii="Times New Roman" w:hAnsi="Times New Roman" w:cs="Times New Roman"/>
                <w:sz w:val="20"/>
                <w:szCs w:val="20"/>
                <w:lang w:val="es-ES_tradnl"/>
              </w:rPr>
              <w:t xml:space="preserve"> </w:t>
            </w:r>
          </w:p>
        </w:tc>
        <w:tc>
          <w:tcPr>
            <w:tcW w:w="2021" w:type="dxa"/>
          </w:tcPr>
          <w:p w14:paraId="427C0B58" w14:textId="77777777" w:rsidR="00CF1568" w:rsidRPr="00B61E66" w:rsidRDefault="00CF1568" w:rsidP="0067248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1</w:t>
            </w:r>
          </w:p>
        </w:tc>
        <w:tc>
          <w:tcPr>
            <w:tcW w:w="1801" w:type="dxa"/>
          </w:tcPr>
          <w:p w14:paraId="2BCC116D" w14:textId="169C8E06" w:rsidR="00CF1568" w:rsidRPr="00B61E66" w:rsidRDefault="00CC3EAE" w:rsidP="0067248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 xml:space="preserve">1 </w:t>
            </w:r>
            <w:r w:rsidR="00CF1568" w:rsidRPr="00B61E66">
              <w:rPr>
                <w:rFonts w:ascii="Times New Roman" w:hAnsi="Times New Roman" w:cs="Times New Roman"/>
                <w:sz w:val="20"/>
                <w:szCs w:val="20"/>
                <w:lang w:val="es-ES_tradnl"/>
              </w:rPr>
              <w:t>c)</w:t>
            </w:r>
          </w:p>
        </w:tc>
      </w:tr>
      <w:tr w:rsidR="00CF1568" w:rsidRPr="00D52EF5" w14:paraId="515A45E0" w14:textId="77777777" w:rsidTr="0067248E">
        <w:trPr>
          <w:cantSplit/>
          <w:jc w:val="center"/>
        </w:trPr>
        <w:tc>
          <w:tcPr>
            <w:tcW w:w="5920" w:type="dxa"/>
          </w:tcPr>
          <w:p w14:paraId="029ADBD5" w14:textId="76653390" w:rsidR="00CF1568" w:rsidRPr="00B61E66" w:rsidRDefault="00CC3EAE" w:rsidP="00CC3EAE">
            <w:pPr>
              <w:pStyle w:val="Para1"/>
              <w:keepNext/>
              <w:suppressLineNumbers/>
              <w:suppressAutoHyphens/>
              <w:spacing w:after="0"/>
              <w:jc w:val="left"/>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 xml:space="preserve">Flujos internacionales de financiación </w:t>
            </w:r>
            <w:r w:rsidR="00CF1568" w:rsidRPr="00B61E66">
              <w:rPr>
                <w:rFonts w:ascii="Times New Roman" w:hAnsi="Times New Roman" w:cs="Times New Roman"/>
                <w:sz w:val="20"/>
                <w:szCs w:val="20"/>
                <w:lang w:val="es-ES_tradnl"/>
              </w:rPr>
              <w:t>p</w:t>
            </w:r>
            <w:r w:rsidRPr="00B61E66">
              <w:rPr>
                <w:rFonts w:ascii="Times New Roman" w:hAnsi="Times New Roman" w:cs="Times New Roman"/>
                <w:sz w:val="20"/>
                <w:szCs w:val="20"/>
                <w:lang w:val="es-ES_tradnl"/>
              </w:rPr>
              <w:t>ú</w:t>
            </w:r>
            <w:r w:rsidR="00CF1568" w:rsidRPr="00B61E66">
              <w:rPr>
                <w:rFonts w:ascii="Times New Roman" w:hAnsi="Times New Roman" w:cs="Times New Roman"/>
                <w:sz w:val="20"/>
                <w:szCs w:val="20"/>
                <w:lang w:val="es-ES_tradnl"/>
              </w:rPr>
              <w:t>blic</w:t>
            </w:r>
            <w:r w:rsidRPr="00B61E66">
              <w:rPr>
                <w:rFonts w:ascii="Times New Roman" w:hAnsi="Times New Roman" w:cs="Times New Roman"/>
                <w:sz w:val="20"/>
                <w:szCs w:val="20"/>
                <w:lang w:val="es-ES_tradnl"/>
              </w:rPr>
              <w:t>a</w:t>
            </w:r>
            <w:r w:rsidR="00CF1568" w:rsidRPr="00B61E66">
              <w:rPr>
                <w:rFonts w:ascii="Times New Roman" w:hAnsi="Times New Roman" w:cs="Times New Roman"/>
                <w:sz w:val="20"/>
                <w:szCs w:val="20"/>
                <w:lang w:val="es-ES_tradnl"/>
              </w:rPr>
              <w:t xml:space="preserve"> </w:t>
            </w:r>
            <w:r w:rsidRPr="00B61E66">
              <w:rPr>
                <w:rFonts w:ascii="Times New Roman" w:hAnsi="Times New Roman" w:cs="Times New Roman"/>
                <w:sz w:val="20"/>
                <w:szCs w:val="20"/>
                <w:lang w:val="es-ES_tradnl"/>
              </w:rPr>
              <w:t>y</w:t>
            </w:r>
            <w:r w:rsidR="00CF1568" w:rsidRPr="00B61E66">
              <w:rPr>
                <w:rFonts w:ascii="Times New Roman" w:hAnsi="Times New Roman" w:cs="Times New Roman"/>
                <w:sz w:val="20"/>
                <w:szCs w:val="20"/>
                <w:lang w:val="es-ES_tradnl"/>
              </w:rPr>
              <w:t xml:space="preserve"> priva</w:t>
            </w:r>
            <w:r w:rsidRPr="00B61E66">
              <w:rPr>
                <w:rFonts w:ascii="Times New Roman" w:hAnsi="Times New Roman" w:cs="Times New Roman"/>
                <w:sz w:val="20"/>
                <w:szCs w:val="20"/>
                <w:lang w:val="es-ES_tradnl"/>
              </w:rPr>
              <w:t>da</w:t>
            </w:r>
          </w:p>
        </w:tc>
        <w:tc>
          <w:tcPr>
            <w:tcW w:w="2021" w:type="dxa"/>
          </w:tcPr>
          <w:p w14:paraId="09F026F7" w14:textId="77777777" w:rsidR="00CF1568" w:rsidRPr="00B61E66" w:rsidRDefault="00CF1568" w:rsidP="0067248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3, 6</w:t>
            </w:r>
          </w:p>
        </w:tc>
        <w:tc>
          <w:tcPr>
            <w:tcW w:w="1801" w:type="dxa"/>
          </w:tcPr>
          <w:p w14:paraId="5D138821" w14:textId="3CD8A2D5" w:rsidR="00CF1568" w:rsidRPr="00B61E66" w:rsidRDefault="00CC3EAE" w:rsidP="0067248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 xml:space="preserve">1 </w:t>
            </w:r>
            <w:r w:rsidR="00CF1568" w:rsidRPr="00B61E66">
              <w:rPr>
                <w:rFonts w:ascii="Times New Roman" w:hAnsi="Times New Roman" w:cs="Times New Roman"/>
                <w:sz w:val="20"/>
                <w:szCs w:val="20"/>
                <w:lang w:val="es-ES_tradnl"/>
              </w:rPr>
              <w:t>a)</w:t>
            </w:r>
          </w:p>
        </w:tc>
      </w:tr>
      <w:tr w:rsidR="00CF1568" w:rsidRPr="00D52EF5" w14:paraId="05ACF1B6" w14:textId="77777777" w:rsidTr="0067248E">
        <w:trPr>
          <w:cantSplit/>
          <w:jc w:val="center"/>
        </w:trPr>
        <w:tc>
          <w:tcPr>
            <w:tcW w:w="5920" w:type="dxa"/>
          </w:tcPr>
          <w:p w14:paraId="0F378283" w14:textId="486B2305" w:rsidR="00CF1568" w:rsidRPr="00B61E66" w:rsidRDefault="00EA535B" w:rsidP="00EA535B">
            <w:pPr>
              <w:pStyle w:val="Para1"/>
              <w:keepNext/>
              <w:suppressLineNumbers/>
              <w:suppressAutoHyphens/>
              <w:spacing w:after="0"/>
              <w:jc w:val="left"/>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Flujos nacionale</w:t>
            </w:r>
            <w:r w:rsidR="00CC3EAE" w:rsidRPr="00B61E66">
              <w:rPr>
                <w:rFonts w:ascii="Times New Roman" w:hAnsi="Times New Roman" w:cs="Times New Roman"/>
                <w:sz w:val="20"/>
                <w:szCs w:val="20"/>
                <w:lang w:val="es-ES_tradnl"/>
              </w:rPr>
              <w:t xml:space="preserve">s de financiación pública y privada </w:t>
            </w:r>
          </w:p>
        </w:tc>
        <w:tc>
          <w:tcPr>
            <w:tcW w:w="2021" w:type="dxa"/>
          </w:tcPr>
          <w:p w14:paraId="5F9690CA" w14:textId="77777777" w:rsidR="00CF1568" w:rsidRPr="00B61E66" w:rsidRDefault="00CF1568" w:rsidP="0067248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2</w:t>
            </w:r>
          </w:p>
        </w:tc>
        <w:tc>
          <w:tcPr>
            <w:tcW w:w="1801" w:type="dxa"/>
          </w:tcPr>
          <w:p w14:paraId="2E3D6DE0" w14:textId="5DB98E49" w:rsidR="00CF1568" w:rsidRPr="00B61E66" w:rsidRDefault="00CF1568" w:rsidP="00CC3EA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1 c)-</w:t>
            </w:r>
            <w:r w:rsidR="00CC3EAE" w:rsidRPr="00B61E66">
              <w:rPr>
                <w:rFonts w:ascii="Times New Roman" w:hAnsi="Times New Roman" w:cs="Times New Roman"/>
                <w:sz w:val="20"/>
                <w:szCs w:val="20"/>
                <w:lang w:val="es-ES_tradnl"/>
              </w:rPr>
              <w:t xml:space="preserve"> </w:t>
            </w:r>
            <w:r w:rsidRPr="00B61E66">
              <w:rPr>
                <w:rFonts w:ascii="Times New Roman" w:hAnsi="Times New Roman" w:cs="Times New Roman"/>
                <w:sz w:val="20"/>
                <w:szCs w:val="20"/>
                <w:lang w:val="es-ES_tradnl"/>
              </w:rPr>
              <w:t>e)</w:t>
            </w:r>
          </w:p>
        </w:tc>
      </w:tr>
      <w:tr w:rsidR="00CF1568" w:rsidRPr="00D52EF5" w14:paraId="44771475" w14:textId="77777777" w:rsidTr="0067248E">
        <w:trPr>
          <w:cantSplit/>
          <w:jc w:val="center"/>
        </w:trPr>
        <w:tc>
          <w:tcPr>
            <w:tcW w:w="5920" w:type="dxa"/>
          </w:tcPr>
          <w:p w14:paraId="56C18398" w14:textId="694F9558" w:rsidR="00CF1568" w:rsidRPr="00B61E66" w:rsidRDefault="007943CA" w:rsidP="00EA535B">
            <w:pPr>
              <w:pStyle w:val="Para1"/>
              <w:keepNext/>
              <w:suppressLineNumbers/>
              <w:suppressAutoHyphens/>
              <w:spacing w:after="0"/>
              <w:jc w:val="left"/>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La integración</w:t>
            </w:r>
            <w:r w:rsidR="00EA535B" w:rsidRPr="00B61E66">
              <w:rPr>
                <w:rFonts w:ascii="Times New Roman" w:hAnsi="Times New Roman" w:cs="Times New Roman"/>
                <w:sz w:val="20"/>
                <w:szCs w:val="20"/>
                <w:lang w:val="es-ES_tradnl"/>
              </w:rPr>
              <w:t xml:space="preserve"> </w:t>
            </w:r>
            <w:r w:rsidR="005C51EB" w:rsidRPr="00B61E66">
              <w:rPr>
                <w:rFonts w:ascii="Times New Roman" w:hAnsi="Times New Roman" w:cs="Times New Roman"/>
                <w:sz w:val="20"/>
                <w:szCs w:val="20"/>
                <w:lang w:val="es-ES_tradnl"/>
              </w:rPr>
              <w:t xml:space="preserve">de </w:t>
            </w:r>
            <w:r w:rsidR="00EA535B" w:rsidRPr="00B61E66">
              <w:rPr>
                <w:rFonts w:ascii="Times New Roman" w:hAnsi="Times New Roman" w:cs="Times New Roman"/>
                <w:sz w:val="20"/>
                <w:szCs w:val="20"/>
                <w:lang w:val="es-ES_tradnl"/>
              </w:rPr>
              <w:t xml:space="preserve">la diversidad biológica </w:t>
            </w:r>
            <w:r w:rsidRPr="00B61E66">
              <w:rPr>
                <w:rFonts w:ascii="Times New Roman" w:hAnsi="Times New Roman" w:cs="Times New Roman"/>
                <w:sz w:val="20"/>
                <w:szCs w:val="20"/>
                <w:lang w:val="es-ES_tradnl"/>
              </w:rPr>
              <w:t>c</w:t>
            </w:r>
            <w:r w:rsidR="00EA535B" w:rsidRPr="00B61E66">
              <w:rPr>
                <w:rFonts w:ascii="Times New Roman" w:hAnsi="Times New Roman" w:cs="Times New Roman"/>
                <w:sz w:val="20"/>
                <w:szCs w:val="20"/>
                <w:lang w:val="es-ES_tradnl"/>
              </w:rPr>
              <w:t xml:space="preserve">omo herramienta para aumentar los fondos que se le dedican </w:t>
            </w:r>
          </w:p>
        </w:tc>
        <w:tc>
          <w:tcPr>
            <w:tcW w:w="2021" w:type="dxa"/>
          </w:tcPr>
          <w:p w14:paraId="58E24C10" w14:textId="77777777" w:rsidR="00CF1568" w:rsidRPr="00B61E66" w:rsidRDefault="00CF1568" w:rsidP="0067248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4, 5</w:t>
            </w:r>
          </w:p>
        </w:tc>
        <w:tc>
          <w:tcPr>
            <w:tcW w:w="1801" w:type="dxa"/>
          </w:tcPr>
          <w:p w14:paraId="7C8CE696" w14:textId="329481C7" w:rsidR="00CF1568" w:rsidRPr="00B61E66" w:rsidRDefault="00CF1568" w:rsidP="00CC3EAE">
            <w:pPr>
              <w:pStyle w:val="Para1"/>
              <w:keepNext/>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1 b)</w:t>
            </w:r>
          </w:p>
        </w:tc>
      </w:tr>
      <w:tr w:rsidR="00CF1568" w:rsidRPr="00D52EF5" w14:paraId="19E61AF4" w14:textId="77777777" w:rsidTr="0067248E">
        <w:trPr>
          <w:cantSplit/>
          <w:trHeight w:val="164"/>
          <w:jc w:val="center"/>
        </w:trPr>
        <w:tc>
          <w:tcPr>
            <w:tcW w:w="5920" w:type="dxa"/>
          </w:tcPr>
          <w:p w14:paraId="2758B209" w14:textId="4C84689A" w:rsidR="00CF1568" w:rsidRPr="00B61E66" w:rsidRDefault="00CF1568" w:rsidP="00A917F8">
            <w:pPr>
              <w:pStyle w:val="Para1"/>
              <w:suppressLineNumbers/>
              <w:suppressAutoHyphens/>
              <w:spacing w:after="60"/>
              <w:jc w:val="left"/>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Mo</w:t>
            </w:r>
            <w:r w:rsidR="007943CA" w:rsidRPr="00B61E66">
              <w:rPr>
                <w:rFonts w:ascii="Times New Roman" w:hAnsi="Times New Roman" w:cs="Times New Roman"/>
                <w:sz w:val="20"/>
                <w:szCs w:val="20"/>
                <w:lang w:val="es-ES_tradnl"/>
              </w:rPr>
              <w:t xml:space="preserve">vilización de recursos </w:t>
            </w:r>
            <w:r w:rsidR="00A917F8" w:rsidRPr="00B61E66">
              <w:rPr>
                <w:rFonts w:ascii="Times New Roman" w:hAnsi="Times New Roman" w:cs="Times New Roman"/>
                <w:sz w:val="20"/>
                <w:szCs w:val="20"/>
                <w:lang w:val="es-ES_tradnl"/>
              </w:rPr>
              <w:t>a través d</w:t>
            </w:r>
            <w:r w:rsidR="007943CA" w:rsidRPr="00B61E66">
              <w:rPr>
                <w:rFonts w:ascii="Times New Roman" w:hAnsi="Times New Roman" w:cs="Times New Roman"/>
                <w:sz w:val="20"/>
                <w:szCs w:val="20"/>
                <w:lang w:val="es-ES_tradnl"/>
              </w:rPr>
              <w:t>el acceso a los recursos biológicos y la participación en los beneficios</w:t>
            </w:r>
            <w:r w:rsidR="00A917F8" w:rsidRPr="00B61E66">
              <w:rPr>
                <w:rFonts w:ascii="Times New Roman" w:hAnsi="Times New Roman" w:cs="Times New Roman"/>
                <w:sz w:val="20"/>
                <w:szCs w:val="20"/>
                <w:lang w:val="es-ES_tradnl"/>
              </w:rPr>
              <w:t xml:space="preserve">, y de los pueblos indígenas y las comunidades </w:t>
            </w:r>
            <w:r w:rsidRPr="00B61E66">
              <w:rPr>
                <w:rFonts w:ascii="Times New Roman" w:hAnsi="Times New Roman" w:cs="Times New Roman"/>
                <w:sz w:val="20"/>
                <w:szCs w:val="20"/>
                <w:lang w:val="es-ES_tradnl"/>
              </w:rPr>
              <w:t>local</w:t>
            </w:r>
            <w:r w:rsidR="00A917F8" w:rsidRPr="00B61E66">
              <w:rPr>
                <w:rFonts w:ascii="Times New Roman" w:hAnsi="Times New Roman" w:cs="Times New Roman"/>
                <w:sz w:val="20"/>
                <w:szCs w:val="20"/>
                <w:lang w:val="es-ES_tradnl"/>
              </w:rPr>
              <w:t>es y sus conocimientos</w:t>
            </w:r>
          </w:p>
        </w:tc>
        <w:tc>
          <w:tcPr>
            <w:tcW w:w="2021" w:type="dxa"/>
          </w:tcPr>
          <w:p w14:paraId="10B2BB78" w14:textId="77777777" w:rsidR="00CF1568" w:rsidRPr="00B61E66" w:rsidRDefault="00CF1568" w:rsidP="0067248E">
            <w:pPr>
              <w:pStyle w:val="Para1"/>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7</w:t>
            </w:r>
          </w:p>
        </w:tc>
        <w:tc>
          <w:tcPr>
            <w:tcW w:w="1801" w:type="dxa"/>
          </w:tcPr>
          <w:p w14:paraId="33CEA6E9" w14:textId="0643816B" w:rsidR="00CF1568" w:rsidRPr="00B61E66" w:rsidRDefault="00CF1568" w:rsidP="00CC3EAE">
            <w:pPr>
              <w:pStyle w:val="Para1"/>
              <w:suppressLineNumbers/>
              <w:suppressAutoHyphens/>
              <w:spacing w:after="0"/>
              <w:jc w:val="center"/>
              <w:rPr>
                <w:rFonts w:ascii="Times New Roman" w:hAnsi="Times New Roman" w:cs="Times New Roman"/>
                <w:sz w:val="20"/>
                <w:szCs w:val="20"/>
                <w:lang w:val="es-ES_tradnl"/>
              </w:rPr>
            </w:pPr>
            <w:r w:rsidRPr="00B61E66">
              <w:rPr>
                <w:rFonts w:ascii="Times New Roman" w:hAnsi="Times New Roman" w:cs="Times New Roman"/>
                <w:sz w:val="20"/>
                <w:szCs w:val="20"/>
                <w:lang w:val="es-ES_tradnl"/>
              </w:rPr>
              <w:t>1 d)</w:t>
            </w:r>
          </w:p>
        </w:tc>
      </w:tr>
    </w:tbl>
    <w:p w14:paraId="2BA4C21B" w14:textId="2D21421D" w:rsidR="00CF1568" w:rsidRPr="00D52EF5" w:rsidRDefault="008278A3" w:rsidP="00CF1568">
      <w:pPr>
        <w:pStyle w:val="Para1"/>
        <w:numPr>
          <w:ilvl w:val="0"/>
          <w:numId w:val="13"/>
        </w:numPr>
        <w:suppressLineNumbers/>
        <w:tabs>
          <w:tab w:val="clear" w:pos="360"/>
        </w:tabs>
        <w:suppressAutoHyphens/>
        <w:adjustRightInd w:val="0"/>
        <w:snapToGrid w:val="0"/>
        <w:spacing w:before="120"/>
        <w:rPr>
          <w:kern w:val="22"/>
          <w:szCs w:val="22"/>
          <w:lang w:val="es-ES_tradnl"/>
        </w:rPr>
      </w:pPr>
      <w:r w:rsidRPr="00D52EF5">
        <w:rPr>
          <w:szCs w:val="22"/>
          <w:lang w:val="es-ES_tradnl"/>
        </w:rPr>
        <w:t>L</w:t>
      </w:r>
      <w:r w:rsidR="00C31192" w:rsidRPr="00D52EF5">
        <w:rPr>
          <w:szCs w:val="22"/>
          <w:lang w:val="es-ES_tradnl"/>
        </w:rPr>
        <w:t xml:space="preserve">a </w:t>
      </w:r>
      <w:r w:rsidRPr="00D52EF5">
        <w:rPr>
          <w:szCs w:val="22"/>
          <w:lang w:val="es-ES_tradnl"/>
        </w:rPr>
        <w:t xml:space="preserve">estructura de la </w:t>
      </w:r>
      <w:r w:rsidR="00C31192" w:rsidRPr="00D52EF5">
        <w:rPr>
          <w:szCs w:val="22"/>
          <w:lang w:val="es-ES_tradnl"/>
        </w:rPr>
        <w:t>E</w:t>
      </w:r>
      <w:r w:rsidR="00EF51A4" w:rsidRPr="00D52EF5">
        <w:rPr>
          <w:szCs w:val="22"/>
          <w:lang w:val="es-ES_tradnl"/>
        </w:rPr>
        <w:t xml:space="preserve">strategia para la </w:t>
      </w:r>
      <w:r w:rsidR="00C31192" w:rsidRPr="00D52EF5">
        <w:rPr>
          <w:szCs w:val="22"/>
          <w:lang w:val="es-ES_tradnl"/>
        </w:rPr>
        <w:t>Movilización de R</w:t>
      </w:r>
      <w:r w:rsidR="00EF51A4" w:rsidRPr="00D52EF5">
        <w:rPr>
          <w:szCs w:val="22"/>
          <w:lang w:val="es-ES_tradnl"/>
        </w:rPr>
        <w:t xml:space="preserve">ecursos </w:t>
      </w:r>
      <w:r w:rsidRPr="00D52EF5">
        <w:rPr>
          <w:szCs w:val="22"/>
          <w:lang w:val="es-ES_tradnl"/>
        </w:rPr>
        <w:t>consta de</w:t>
      </w:r>
      <w:r w:rsidR="00EF51A4" w:rsidRPr="00D52EF5">
        <w:rPr>
          <w:szCs w:val="22"/>
          <w:lang w:val="es-ES_tradnl"/>
        </w:rPr>
        <w:t xml:space="preserve"> cinco s</w:t>
      </w:r>
      <w:r w:rsidR="00CF1568" w:rsidRPr="00D52EF5">
        <w:rPr>
          <w:szCs w:val="22"/>
          <w:lang w:val="es-ES_tradnl"/>
        </w:rPr>
        <w:t>ec</w:t>
      </w:r>
      <w:r w:rsidR="00EF51A4" w:rsidRPr="00D52EF5">
        <w:rPr>
          <w:szCs w:val="22"/>
          <w:lang w:val="es-ES_tradnl"/>
        </w:rPr>
        <w:t>c</w:t>
      </w:r>
      <w:r w:rsidR="00CF1568" w:rsidRPr="00D52EF5">
        <w:rPr>
          <w:szCs w:val="22"/>
          <w:lang w:val="es-ES_tradnl"/>
        </w:rPr>
        <w:t>ion</w:t>
      </w:r>
      <w:r w:rsidR="00EF51A4" w:rsidRPr="00D52EF5">
        <w:rPr>
          <w:szCs w:val="22"/>
          <w:lang w:val="es-ES_tradnl"/>
        </w:rPr>
        <w:t>e</w:t>
      </w:r>
      <w:r w:rsidR="00157753" w:rsidRPr="00D52EF5">
        <w:rPr>
          <w:szCs w:val="22"/>
          <w:lang w:val="es-ES_tradnl"/>
        </w:rPr>
        <w:t>s:</w:t>
      </w:r>
      <w:r w:rsidR="00CF1568" w:rsidRPr="00D52EF5">
        <w:rPr>
          <w:szCs w:val="22"/>
          <w:lang w:val="es-ES_tradnl"/>
        </w:rPr>
        <w:t xml:space="preserve"> </w:t>
      </w:r>
      <w:r w:rsidR="00157753" w:rsidRPr="00D52EF5">
        <w:rPr>
          <w:szCs w:val="22"/>
          <w:lang w:val="es-ES_tradnl"/>
        </w:rPr>
        <w:t xml:space="preserve">urgencia, </w:t>
      </w:r>
      <w:r w:rsidR="00EF51A4" w:rsidRPr="00D52EF5">
        <w:rPr>
          <w:szCs w:val="22"/>
          <w:lang w:val="es-ES_tradnl"/>
        </w:rPr>
        <w:t>misión</w:t>
      </w:r>
      <w:r w:rsidR="00157753" w:rsidRPr="00D52EF5">
        <w:rPr>
          <w:szCs w:val="22"/>
          <w:lang w:val="es-ES_tradnl"/>
        </w:rPr>
        <w:t xml:space="preserve">, </w:t>
      </w:r>
      <w:r w:rsidR="00EF51A4" w:rsidRPr="00D52EF5">
        <w:rPr>
          <w:szCs w:val="22"/>
          <w:lang w:val="es-ES_tradnl"/>
        </w:rPr>
        <w:t>principios de orientación</w:t>
      </w:r>
      <w:r w:rsidR="00157753" w:rsidRPr="00D52EF5">
        <w:rPr>
          <w:szCs w:val="22"/>
          <w:lang w:val="es-ES_tradnl"/>
        </w:rPr>
        <w:t xml:space="preserve">, </w:t>
      </w:r>
      <w:r w:rsidR="00EF51A4" w:rsidRPr="00D52EF5">
        <w:rPr>
          <w:szCs w:val="22"/>
          <w:lang w:val="es-ES_tradnl"/>
        </w:rPr>
        <w:t xml:space="preserve">objetivos estratégicos </w:t>
      </w:r>
      <w:r w:rsidR="00CF1568" w:rsidRPr="00D52EF5">
        <w:rPr>
          <w:szCs w:val="22"/>
          <w:lang w:val="es-ES_tradnl"/>
        </w:rPr>
        <w:t>(</w:t>
      </w:r>
      <w:r w:rsidR="00EF51A4" w:rsidRPr="00D52EF5">
        <w:rPr>
          <w:szCs w:val="22"/>
          <w:lang w:val="es-ES_tradnl"/>
        </w:rPr>
        <w:t>ocho</w:t>
      </w:r>
      <w:r w:rsidR="005C51EB" w:rsidRPr="00D52EF5">
        <w:rPr>
          <w:szCs w:val="22"/>
          <w:lang w:val="es-ES_tradnl"/>
        </w:rPr>
        <w:t xml:space="preserve"> en total</w:t>
      </w:r>
      <w:r w:rsidR="00CF1568" w:rsidRPr="00D52EF5">
        <w:rPr>
          <w:szCs w:val="22"/>
          <w:lang w:val="es-ES_tradnl"/>
        </w:rPr>
        <w:t xml:space="preserve">), </w:t>
      </w:r>
      <w:r w:rsidR="00EF51A4" w:rsidRPr="00D52EF5">
        <w:rPr>
          <w:szCs w:val="22"/>
          <w:lang w:val="es-ES_tradnl"/>
        </w:rPr>
        <w:t xml:space="preserve">y </w:t>
      </w:r>
      <w:r w:rsidR="00157753" w:rsidRPr="00D52EF5">
        <w:rPr>
          <w:szCs w:val="22"/>
          <w:lang w:val="es-ES_tradnl"/>
        </w:rPr>
        <w:t>aplic</w:t>
      </w:r>
      <w:r w:rsidR="00EF51A4" w:rsidRPr="00D52EF5">
        <w:rPr>
          <w:szCs w:val="22"/>
          <w:lang w:val="es-ES_tradnl"/>
        </w:rPr>
        <w:t>ación</w:t>
      </w:r>
      <w:r w:rsidR="00CF1568" w:rsidRPr="00D52EF5">
        <w:rPr>
          <w:szCs w:val="22"/>
          <w:lang w:val="es-ES_tradnl"/>
        </w:rPr>
        <w:t>.</w:t>
      </w:r>
    </w:p>
    <w:p w14:paraId="6AB759E0" w14:textId="69E19EAA" w:rsidR="00CF1568" w:rsidRPr="00D52EF5" w:rsidRDefault="001C3973" w:rsidP="00CF1568">
      <w:pPr>
        <w:pStyle w:val="Para1"/>
        <w:numPr>
          <w:ilvl w:val="0"/>
          <w:numId w:val="13"/>
        </w:numPr>
        <w:suppressLineNumbers/>
        <w:tabs>
          <w:tab w:val="clear" w:pos="360"/>
        </w:tabs>
        <w:suppressAutoHyphens/>
        <w:adjustRightInd w:val="0"/>
        <w:snapToGrid w:val="0"/>
        <w:spacing w:before="120"/>
        <w:rPr>
          <w:kern w:val="22"/>
          <w:szCs w:val="22"/>
          <w:lang w:val="es-ES_tradnl"/>
        </w:rPr>
      </w:pPr>
      <w:r w:rsidRPr="00D52EF5">
        <w:rPr>
          <w:lang w:val="es-ES_tradnl"/>
        </w:rPr>
        <w:t xml:space="preserve">Al examinar la </w:t>
      </w:r>
      <w:r w:rsidR="00050404" w:rsidRPr="00D52EF5">
        <w:rPr>
          <w:lang w:val="es-ES_tradnl"/>
        </w:rPr>
        <w:t>E</w:t>
      </w:r>
      <w:r w:rsidR="00E44F29" w:rsidRPr="00D52EF5">
        <w:rPr>
          <w:lang w:val="es-ES_tradnl"/>
        </w:rPr>
        <w:t>strategia para la Movilización de R</w:t>
      </w:r>
      <w:r w:rsidRPr="00D52EF5">
        <w:rPr>
          <w:lang w:val="es-ES_tradnl"/>
        </w:rPr>
        <w:t>ecursos en su conjunto, las Partes en el Convenio y otros actores interesados</w:t>
      </w:r>
      <w:r w:rsidR="00CF1568" w:rsidRPr="00D52EF5">
        <w:rPr>
          <w:lang w:val="es-ES_tradnl"/>
        </w:rPr>
        <w:t xml:space="preserve"> (</w:t>
      </w:r>
      <w:r w:rsidRPr="00D52EF5">
        <w:rPr>
          <w:lang w:val="es-ES_tradnl"/>
        </w:rPr>
        <w:t>entre otros, los pueblos indígenas y las comunidades locales</w:t>
      </w:r>
      <w:r w:rsidR="00CF1568" w:rsidRPr="00D52EF5">
        <w:rPr>
          <w:lang w:val="es-ES_tradnl"/>
        </w:rPr>
        <w:t xml:space="preserve">) </w:t>
      </w:r>
      <w:r w:rsidR="00CB4F73" w:rsidRPr="00D52EF5">
        <w:rPr>
          <w:lang w:val="es-ES_tradnl"/>
        </w:rPr>
        <w:t>que resp</w:t>
      </w:r>
      <w:r w:rsidR="00D1794B" w:rsidRPr="00D52EF5">
        <w:rPr>
          <w:lang w:val="es-ES_tradnl"/>
        </w:rPr>
        <w:t xml:space="preserve">ondieron a la convocatoria para presentar </w:t>
      </w:r>
      <w:r w:rsidR="00CB4F73" w:rsidRPr="00D52EF5">
        <w:rPr>
          <w:lang w:val="es-ES_tradnl"/>
        </w:rPr>
        <w:t xml:space="preserve">datos antes citada opinaron que tanto la estructura </w:t>
      </w:r>
      <w:r w:rsidR="00CF1568" w:rsidRPr="00D52EF5">
        <w:rPr>
          <w:lang w:val="es-ES_tradnl"/>
        </w:rPr>
        <w:t xml:space="preserve">fundamental </w:t>
      </w:r>
      <w:r w:rsidR="00CB4F73" w:rsidRPr="00D52EF5">
        <w:rPr>
          <w:lang w:val="es-ES_tradnl"/>
        </w:rPr>
        <w:t xml:space="preserve">como el contenido de </w:t>
      </w:r>
      <w:r w:rsidR="006D3E98" w:rsidRPr="00D52EF5">
        <w:rPr>
          <w:lang w:val="es-ES_tradnl"/>
        </w:rPr>
        <w:t>l</w:t>
      </w:r>
      <w:r w:rsidR="00CB4F73" w:rsidRPr="00D52EF5">
        <w:rPr>
          <w:lang w:val="es-ES_tradnl"/>
        </w:rPr>
        <w:t xml:space="preserve">a </w:t>
      </w:r>
      <w:r w:rsidR="00E44F29" w:rsidRPr="00D52EF5">
        <w:rPr>
          <w:lang w:val="es-ES_tradnl"/>
        </w:rPr>
        <w:t>Estrategia</w:t>
      </w:r>
      <w:r w:rsidR="00CB4F73" w:rsidRPr="00D52EF5">
        <w:rPr>
          <w:lang w:val="es-ES_tradnl"/>
        </w:rPr>
        <w:t xml:space="preserve"> eran fundamentalmente </w:t>
      </w:r>
      <w:r w:rsidR="00CF1568" w:rsidRPr="00D52EF5">
        <w:rPr>
          <w:lang w:val="es-ES_tradnl"/>
        </w:rPr>
        <w:t>s</w:t>
      </w:r>
      <w:r w:rsidR="00CB4F73" w:rsidRPr="00D52EF5">
        <w:rPr>
          <w:lang w:val="es-ES_tradnl"/>
        </w:rPr>
        <w:t>ólidos y seguían siendo pertinentes</w:t>
      </w:r>
      <w:r w:rsidR="00CF1568" w:rsidRPr="00D52EF5">
        <w:rPr>
          <w:lang w:val="es-ES_tradnl"/>
        </w:rPr>
        <w:t xml:space="preserve">. </w:t>
      </w:r>
      <w:r w:rsidR="00CB4F73" w:rsidRPr="00D52EF5">
        <w:rPr>
          <w:lang w:val="es-ES_tradnl"/>
        </w:rPr>
        <w:t xml:space="preserve">Ahora bien, en otros casos se aludió a </w:t>
      </w:r>
      <w:r w:rsidR="00CB4F73" w:rsidRPr="00D52EF5">
        <w:rPr>
          <w:szCs w:val="22"/>
          <w:lang w:val="es-ES_tradnl"/>
        </w:rPr>
        <w:t>que</w:t>
      </w:r>
      <w:r w:rsidR="00E44F29" w:rsidRPr="00D52EF5">
        <w:rPr>
          <w:szCs w:val="22"/>
          <w:lang w:val="es-ES_tradnl"/>
        </w:rPr>
        <w:t>,</w:t>
      </w:r>
      <w:r w:rsidR="00CB4F73" w:rsidRPr="00D52EF5">
        <w:rPr>
          <w:szCs w:val="22"/>
          <w:lang w:val="es-ES_tradnl"/>
        </w:rPr>
        <w:t xml:space="preserve"> como vehículo para la efectividad de las decisiones de la Conferencia de las Partes sobr</w:t>
      </w:r>
      <w:r w:rsidR="006D3E98" w:rsidRPr="00D52EF5">
        <w:rPr>
          <w:szCs w:val="22"/>
          <w:lang w:val="es-ES_tradnl"/>
        </w:rPr>
        <w:t>e movilización de recursos, su</w:t>
      </w:r>
      <w:r w:rsidR="00E44F29" w:rsidRPr="00D52EF5">
        <w:rPr>
          <w:szCs w:val="22"/>
          <w:lang w:val="es-ES_tradnl"/>
        </w:rPr>
        <w:t xml:space="preserve"> utilidad era</w:t>
      </w:r>
      <w:r w:rsidR="00CB4F73" w:rsidRPr="00D52EF5">
        <w:rPr>
          <w:szCs w:val="22"/>
          <w:lang w:val="es-ES_tradnl"/>
        </w:rPr>
        <w:t>, en el mejor de los ca</w:t>
      </w:r>
      <w:r w:rsidR="00E44F29" w:rsidRPr="00D52EF5">
        <w:rPr>
          <w:szCs w:val="22"/>
          <w:lang w:val="es-ES_tradnl"/>
        </w:rPr>
        <w:t>s</w:t>
      </w:r>
      <w:r w:rsidR="00CB4F73" w:rsidRPr="00D52EF5">
        <w:rPr>
          <w:szCs w:val="22"/>
          <w:lang w:val="es-ES_tradnl"/>
        </w:rPr>
        <w:t>os, limitada</w:t>
      </w:r>
      <w:r w:rsidR="00CF1568" w:rsidRPr="00D52EF5">
        <w:rPr>
          <w:szCs w:val="22"/>
          <w:lang w:val="es-ES_tradnl"/>
        </w:rPr>
        <w:t xml:space="preserve">. </w:t>
      </w:r>
      <w:r w:rsidR="00CB4F73" w:rsidRPr="00D52EF5">
        <w:rPr>
          <w:szCs w:val="22"/>
          <w:lang w:val="es-ES_tradnl"/>
        </w:rPr>
        <w:t xml:space="preserve">Por ejemplo, </w:t>
      </w:r>
      <w:r w:rsidR="00CF1568" w:rsidRPr="00D52EF5">
        <w:rPr>
          <w:szCs w:val="22"/>
          <w:lang w:val="es-ES_tradnl"/>
        </w:rPr>
        <w:t>Benin</w:t>
      </w:r>
      <w:r w:rsidR="00CB4F73" w:rsidRPr="00D52EF5">
        <w:rPr>
          <w:szCs w:val="22"/>
          <w:lang w:val="es-ES_tradnl"/>
        </w:rPr>
        <w:t xml:space="preserve"> señaló que “su </w:t>
      </w:r>
      <w:r w:rsidR="00ED639D" w:rsidRPr="00D52EF5">
        <w:rPr>
          <w:szCs w:val="22"/>
          <w:lang w:val="es-ES_tradnl"/>
        </w:rPr>
        <w:t>utilidad</w:t>
      </w:r>
      <w:r w:rsidR="004C3EF6" w:rsidRPr="00D52EF5">
        <w:rPr>
          <w:szCs w:val="22"/>
          <w:lang w:val="es-ES_tradnl"/>
        </w:rPr>
        <w:t xml:space="preserve"> s</w:t>
      </w:r>
      <w:r w:rsidR="00ED639D" w:rsidRPr="00D52EF5">
        <w:rPr>
          <w:szCs w:val="22"/>
          <w:lang w:val="es-ES_tradnl"/>
        </w:rPr>
        <w:t>igue</w:t>
      </w:r>
      <w:r w:rsidR="004C3EF6" w:rsidRPr="00D52EF5">
        <w:rPr>
          <w:szCs w:val="22"/>
          <w:lang w:val="es-ES_tradnl"/>
        </w:rPr>
        <w:t xml:space="preserve"> sin demostrarse</w:t>
      </w:r>
      <w:r w:rsidR="00CB4F73" w:rsidRPr="00D52EF5">
        <w:rPr>
          <w:szCs w:val="22"/>
          <w:lang w:val="es-ES_tradnl"/>
        </w:rPr>
        <w:t>” en los países pobres</w:t>
      </w:r>
      <w:r w:rsidR="00CF1568" w:rsidRPr="00D52EF5">
        <w:rPr>
          <w:szCs w:val="22"/>
          <w:lang w:val="es-ES_tradnl"/>
        </w:rPr>
        <w:t xml:space="preserve">, </w:t>
      </w:r>
      <w:r w:rsidR="00CB4F73" w:rsidRPr="00D52EF5">
        <w:rPr>
          <w:szCs w:val="22"/>
          <w:lang w:val="es-ES_tradnl"/>
        </w:rPr>
        <w:t xml:space="preserve">y Etiopía dijo que la </w:t>
      </w:r>
      <w:r w:rsidR="002A73B1" w:rsidRPr="00D52EF5">
        <w:rPr>
          <w:szCs w:val="22"/>
          <w:lang w:val="es-ES_tradnl"/>
        </w:rPr>
        <w:t>e</w:t>
      </w:r>
      <w:r w:rsidR="00CB4F73" w:rsidRPr="00D52EF5">
        <w:rPr>
          <w:szCs w:val="22"/>
          <w:lang w:val="es-ES_tradnl"/>
        </w:rPr>
        <w:t xml:space="preserve">strategia </w:t>
      </w:r>
      <w:r w:rsidR="00CF1568" w:rsidRPr="00D52EF5">
        <w:rPr>
          <w:szCs w:val="22"/>
          <w:lang w:val="es-ES_tradnl"/>
        </w:rPr>
        <w:t>“</w:t>
      </w:r>
      <w:r w:rsidR="00CB4F73" w:rsidRPr="00D52EF5">
        <w:rPr>
          <w:szCs w:val="22"/>
          <w:lang w:val="es-ES_tradnl"/>
        </w:rPr>
        <w:t xml:space="preserve">no prevé mecanismos vinculantes para movilizar efectivamente los recursos necesarios para conseguir las metas </w:t>
      </w:r>
      <w:r w:rsidR="00CF1568" w:rsidRPr="00D52EF5">
        <w:rPr>
          <w:szCs w:val="22"/>
          <w:lang w:val="es-ES_tradnl"/>
        </w:rPr>
        <w:t xml:space="preserve">…”. </w:t>
      </w:r>
      <w:r w:rsidR="00CB4F73" w:rsidRPr="00D52EF5">
        <w:rPr>
          <w:szCs w:val="22"/>
          <w:lang w:val="es-ES_tradnl"/>
        </w:rPr>
        <w:t xml:space="preserve">La Unión </w:t>
      </w:r>
      <w:r w:rsidR="00CF1568" w:rsidRPr="00D52EF5">
        <w:rPr>
          <w:kern w:val="22"/>
          <w:szCs w:val="22"/>
          <w:lang w:val="es-ES_tradnl"/>
        </w:rPr>
        <w:t>Europea</w:t>
      </w:r>
      <w:r w:rsidR="00CB4F73" w:rsidRPr="00D52EF5">
        <w:rPr>
          <w:kern w:val="22"/>
          <w:szCs w:val="22"/>
          <w:lang w:val="es-ES_tradnl"/>
        </w:rPr>
        <w:t xml:space="preserve"> </w:t>
      </w:r>
      <w:r w:rsidR="00ED639D" w:rsidRPr="00D52EF5">
        <w:rPr>
          <w:kern w:val="22"/>
          <w:szCs w:val="22"/>
          <w:lang w:val="es-ES_tradnl"/>
        </w:rPr>
        <w:t xml:space="preserve">también </w:t>
      </w:r>
      <w:r w:rsidR="008C475F" w:rsidRPr="00D52EF5">
        <w:rPr>
          <w:kern w:val="22"/>
          <w:szCs w:val="22"/>
          <w:lang w:val="es-ES_tradnl"/>
        </w:rPr>
        <w:t>aludió a las limitaciones</w:t>
      </w:r>
      <w:r w:rsidR="00ED639D" w:rsidRPr="00D52EF5">
        <w:rPr>
          <w:kern w:val="22"/>
          <w:szCs w:val="22"/>
          <w:lang w:val="es-ES_tradnl"/>
        </w:rPr>
        <w:t xml:space="preserve"> de su utilidad</w:t>
      </w:r>
      <w:r w:rsidR="008C475F" w:rsidRPr="00D52EF5">
        <w:rPr>
          <w:kern w:val="22"/>
          <w:szCs w:val="22"/>
          <w:lang w:val="es-ES_tradnl"/>
        </w:rPr>
        <w:t xml:space="preserve"> y</w:t>
      </w:r>
      <w:r w:rsidR="00ED639D" w:rsidRPr="00D52EF5">
        <w:rPr>
          <w:kern w:val="22"/>
          <w:szCs w:val="22"/>
          <w:lang w:val="es-ES_tradnl"/>
        </w:rPr>
        <w:t xml:space="preserve"> a</w:t>
      </w:r>
      <w:r w:rsidR="008C475F" w:rsidRPr="00D52EF5">
        <w:rPr>
          <w:kern w:val="22"/>
          <w:szCs w:val="22"/>
          <w:lang w:val="es-ES_tradnl"/>
        </w:rPr>
        <w:t xml:space="preserve"> </w:t>
      </w:r>
      <w:r w:rsidR="00F01C0D" w:rsidRPr="00D52EF5">
        <w:rPr>
          <w:kern w:val="22"/>
          <w:szCs w:val="22"/>
          <w:lang w:val="es-ES_tradnl"/>
        </w:rPr>
        <w:t>su</w:t>
      </w:r>
      <w:r w:rsidR="008C475F" w:rsidRPr="00D52EF5">
        <w:rPr>
          <w:kern w:val="22"/>
          <w:szCs w:val="22"/>
          <w:lang w:val="es-ES_tradnl"/>
        </w:rPr>
        <w:t xml:space="preserve"> insuficiente operatividad</w:t>
      </w:r>
      <w:r w:rsidR="00CF1568" w:rsidRPr="00D52EF5">
        <w:rPr>
          <w:kern w:val="22"/>
          <w:szCs w:val="22"/>
          <w:lang w:val="es-ES_tradnl"/>
        </w:rPr>
        <w:t>.</w:t>
      </w:r>
    </w:p>
    <w:p w14:paraId="16FFDEF0" w14:textId="6A8CC9E6" w:rsidR="00CF1568" w:rsidRPr="00D52EF5" w:rsidRDefault="008C475F" w:rsidP="00CF1568">
      <w:pPr>
        <w:pStyle w:val="Para1"/>
        <w:numPr>
          <w:ilvl w:val="0"/>
          <w:numId w:val="13"/>
        </w:numPr>
        <w:suppressLineNumbers/>
        <w:tabs>
          <w:tab w:val="clear" w:pos="360"/>
        </w:tabs>
        <w:suppressAutoHyphens/>
        <w:spacing w:before="120"/>
        <w:rPr>
          <w:lang w:val="es-ES_tradnl"/>
        </w:rPr>
      </w:pPr>
      <w:r w:rsidRPr="00D52EF5">
        <w:rPr>
          <w:lang w:val="es-ES_tradnl"/>
        </w:rPr>
        <w:lastRenderedPageBreak/>
        <w:t>También se señaló que</w:t>
      </w:r>
      <w:r w:rsidR="00E85631" w:rsidRPr="00D52EF5">
        <w:rPr>
          <w:lang w:val="es-ES_tradnl"/>
        </w:rPr>
        <w:t>,</w:t>
      </w:r>
      <w:r w:rsidRPr="00D52EF5">
        <w:rPr>
          <w:lang w:val="es-ES_tradnl"/>
        </w:rPr>
        <w:t xml:space="preserve"> para movilizar todos los recursos </w:t>
      </w:r>
      <w:r w:rsidR="00E85631" w:rsidRPr="00D52EF5">
        <w:rPr>
          <w:lang w:val="es-ES_tradnl"/>
        </w:rPr>
        <w:t>pertinentes</w:t>
      </w:r>
      <w:r w:rsidR="008B16C7" w:rsidRPr="00D52EF5">
        <w:rPr>
          <w:lang w:val="es-ES_tradnl"/>
        </w:rPr>
        <w:t xml:space="preserve"> </w:t>
      </w:r>
      <w:r w:rsidRPr="00D52EF5">
        <w:rPr>
          <w:lang w:val="es-ES_tradnl"/>
        </w:rPr>
        <w:t>en la medida y por las vías necesarias para resolver efectiva y sosteniblemente la crisis mundial de la diversidad biológica</w:t>
      </w:r>
      <w:r w:rsidR="00CF1568" w:rsidRPr="00D52EF5">
        <w:rPr>
          <w:lang w:val="es-ES_tradnl"/>
        </w:rPr>
        <w:t xml:space="preserve">, </w:t>
      </w:r>
      <w:r w:rsidRPr="00D52EF5">
        <w:rPr>
          <w:lang w:val="es-ES_tradnl"/>
        </w:rPr>
        <w:t>la movilización de</w:t>
      </w:r>
      <w:r w:rsidR="008B16C7" w:rsidRPr="00D52EF5">
        <w:rPr>
          <w:lang w:val="es-ES_tradnl"/>
        </w:rPr>
        <w:t xml:space="preserve"> recursos d</w:t>
      </w:r>
      <w:r w:rsidRPr="00D52EF5">
        <w:rPr>
          <w:lang w:val="es-ES_tradnl"/>
        </w:rPr>
        <w:t xml:space="preserve">el marco posterior a </w:t>
      </w:r>
      <w:r w:rsidR="00CF1568" w:rsidRPr="00D52EF5">
        <w:rPr>
          <w:lang w:val="es-ES_tradnl"/>
        </w:rPr>
        <w:t>2020</w:t>
      </w:r>
      <w:r w:rsidRPr="00D52EF5">
        <w:rPr>
          <w:lang w:val="es-ES_tradnl"/>
        </w:rPr>
        <w:t xml:space="preserve"> tendría que </w:t>
      </w:r>
      <w:r w:rsidR="00E85631" w:rsidRPr="00D52EF5">
        <w:rPr>
          <w:lang w:val="es-ES_tradnl"/>
        </w:rPr>
        <w:t>abarc</w:t>
      </w:r>
      <w:r w:rsidRPr="00D52EF5">
        <w:rPr>
          <w:lang w:val="es-ES_tradnl"/>
        </w:rPr>
        <w:t xml:space="preserve">ar la </w:t>
      </w:r>
      <w:r w:rsidR="008B16C7" w:rsidRPr="00D52EF5">
        <w:rPr>
          <w:lang w:val="es-ES_tradnl"/>
        </w:rPr>
        <w:t xml:space="preserve">total </w:t>
      </w:r>
      <w:r w:rsidR="00E85631" w:rsidRPr="00D52EF5">
        <w:rPr>
          <w:lang w:val="es-ES_tradnl"/>
        </w:rPr>
        <w:t>solución</w:t>
      </w:r>
      <w:r w:rsidRPr="00D52EF5">
        <w:rPr>
          <w:lang w:val="es-ES_tradnl"/>
        </w:rPr>
        <w:t xml:space="preserve"> de las subvenciones e incentivos </w:t>
      </w:r>
      <w:r w:rsidR="00F65B14" w:rsidRPr="00D52EF5">
        <w:rPr>
          <w:lang w:val="es-ES_tradnl"/>
        </w:rPr>
        <w:t>perjudiciale</w:t>
      </w:r>
      <w:r w:rsidR="00731B80" w:rsidRPr="00D52EF5">
        <w:rPr>
          <w:lang w:val="es-ES_tradnl"/>
        </w:rPr>
        <w:t>s</w:t>
      </w:r>
      <w:r w:rsidR="00F706A6" w:rsidRPr="00D52EF5">
        <w:rPr>
          <w:lang w:val="es-ES_tradnl"/>
        </w:rPr>
        <w:t>,</w:t>
      </w:r>
      <w:r w:rsidR="00CF1568" w:rsidRPr="00D52EF5">
        <w:rPr>
          <w:lang w:val="es-ES_tradnl"/>
        </w:rPr>
        <w:t xml:space="preserve"> </w:t>
      </w:r>
      <w:r w:rsidR="00731B80" w:rsidRPr="00D52EF5">
        <w:rPr>
          <w:lang w:val="es-ES_tradnl"/>
        </w:rPr>
        <w:t xml:space="preserve">a los que se alude en la </w:t>
      </w:r>
      <w:r w:rsidR="00AF50B7" w:rsidRPr="00D52EF5">
        <w:rPr>
          <w:lang w:val="es-ES_tradnl"/>
        </w:rPr>
        <w:t xml:space="preserve">Meta 3 de </w:t>
      </w:r>
      <w:r w:rsidR="00CF1568" w:rsidRPr="00D52EF5">
        <w:rPr>
          <w:lang w:val="es-ES_tradnl"/>
        </w:rPr>
        <w:t>Aichi</w:t>
      </w:r>
      <w:r w:rsidR="00731B80" w:rsidRPr="00D52EF5">
        <w:rPr>
          <w:lang w:val="es-ES_tradnl"/>
        </w:rPr>
        <w:t xml:space="preserve">, pero no en los objetivos de la propia Estrategia para la </w:t>
      </w:r>
      <w:r w:rsidR="00C31192" w:rsidRPr="00D52EF5">
        <w:rPr>
          <w:lang w:val="es-ES_tradnl"/>
        </w:rPr>
        <w:t>M</w:t>
      </w:r>
      <w:r w:rsidR="00731B80" w:rsidRPr="00D52EF5">
        <w:rPr>
          <w:lang w:val="es-ES_tradnl"/>
        </w:rPr>
        <w:t xml:space="preserve">ovilización de </w:t>
      </w:r>
      <w:r w:rsidR="00C31192" w:rsidRPr="00D52EF5">
        <w:rPr>
          <w:lang w:val="es-ES_tradnl"/>
        </w:rPr>
        <w:t>R</w:t>
      </w:r>
      <w:r w:rsidR="00731B80" w:rsidRPr="00D52EF5">
        <w:rPr>
          <w:lang w:val="es-ES_tradnl"/>
        </w:rPr>
        <w:t>ecursos</w:t>
      </w:r>
      <w:r w:rsidR="00CF1568" w:rsidRPr="00D52EF5">
        <w:rPr>
          <w:lang w:val="es-ES_tradnl"/>
        </w:rPr>
        <w:t>.</w:t>
      </w:r>
    </w:p>
    <w:p w14:paraId="71185AA0" w14:textId="3EC54D66" w:rsidR="00CF1568" w:rsidRPr="00D52EF5" w:rsidRDefault="00CF1568" w:rsidP="00CF1568">
      <w:pPr>
        <w:pStyle w:val="Para1"/>
        <w:numPr>
          <w:ilvl w:val="0"/>
          <w:numId w:val="13"/>
        </w:numPr>
        <w:suppressLineNumbers/>
        <w:tabs>
          <w:tab w:val="clear" w:pos="360"/>
        </w:tabs>
        <w:suppressAutoHyphens/>
        <w:spacing w:before="120"/>
        <w:rPr>
          <w:szCs w:val="22"/>
          <w:lang w:val="es-ES_tradnl"/>
        </w:rPr>
      </w:pPr>
      <w:r w:rsidRPr="00D52EF5">
        <w:rPr>
          <w:szCs w:val="22"/>
          <w:lang w:val="es-ES_tradnl"/>
        </w:rPr>
        <w:t>Otr</w:t>
      </w:r>
      <w:r w:rsidR="00F706A6" w:rsidRPr="00D52EF5">
        <w:rPr>
          <w:szCs w:val="22"/>
          <w:lang w:val="es-ES_tradnl"/>
        </w:rPr>
        <w:t>a</w:t>
      </w:r>
      <w:r w:rsidRPr="00D52EF5">
        <w:rPr>
          <w:szCs w:val="22"/>
          <w:lang w:val="es-ES_tradnl"/>
        </w:rPr>
        <w:t>s</w:t>
      </w:r>
      <w:r w:rsidR="00F706A6" w:rsidRPr="00D52EF5">
        <w:rPr>
          <w:szCs w:val="22"/>
          <w:lang w:val="es-ES_tradnl"/>
        </w:rPr>
        <w:t xml:space="preserve"> Partes</w:t>
      </w:r>
      <w:r w:rsidRPr="00D52EF5">
        <w:rPr>
          <w:szCs w:val="22"/>
          <w:lang w:val="es-ES_tradnl"/>
        </w:rPr>
        <w:t xml:space="preserve"> </w:t>
      </w:r>
      <w:r w:rsidR="002A73B1" w:rsidRPr="00D52EF5">
        <w:rPr>
          <w:szCs w:val="22"/>
          <w:lang w:val="es-ES_tradnl"/>
        </w:rPr>
        <w:t xml:space="preserve">opinaron </w:t>
      </w:r>
      <w:r w:rsidR="00F706A6" w:rsidRPr="00D52EF5">
        <w:rPr>
          <w:szCs w:val="22"/>
          <w:lang w:val="es-ES_tradnl"/>
        </w:rPr>
        <w:t xml:space="preserve">que la </w:t>
      </w:r>
      <w:r w:rsidR="002A73B1" w:rsidRPr="00D52EF5">
        <w:rPr>
          <w:szCs w:val="22"/>
          <w:lang w:val="es-ES_tradnl"/>
        </w:rPr>
        <w:t>e</w:t>
      </w:r>
      <w:r w:rsidR="00652682" w:rsidRPr="00D52EF5">
        <w:rPr>
          <w:szCs w:val="22"/>
          <w:lang w:val="es-ES_tradnl"/>
        </w:rPr>
        <w:t xml:space="preserve">strategia </w:t>
      </w:r>
      <w:r w:rsidR="00F706A6" w:rsidRPr="00D52EF5">
        <w:rPr>
          <w:szCs w:val="22"/>
          <w:lang w:val="es-ES_tradnl"/>
        </w:rPr>
        <w:t>para la Movilización de R</w:t>
      </w:r>
      <w:r w:rsidR="00652682" w:rsidRPr="00D52EF5">
        <w:rPr>
          <w:szCs w:val="22"/>
          <w:lang w:val="es-ES_tradnl"/>
        </w:rPr>
        <w:t xml:space="preserve">ecursos vigente </w:t>
      </w:r>
      <w:r w:rsidR="00652682" w:rsidRPr="00D52EF5">
        <w:rPr>
          <w:lang w:val="es-ES_tradnl"/>
        </w:rPr>
        <w:t>subestima el posible papel de los actores no estatales</w:t>
      </w:r>
      <w:r w:rsidR="00652682" w:rsidRPr="00D52EF5">
        <w:rPr>
          <w:szCs w:val="22"/>
          <w:lang w:val="es-ES_tradnl"/>
        </w:rPr>
        <w:t xml:space="preserve"> </w:t>
      </w:r>
      <w:r w:rsidR="0076442B" w:rsidRPr="00D52EF5">
        <w:rPr>
          <w:szCs w:val="22"/>
          <w:lang w:val="es-ES_tradnl"/>
        </w:rPr>
        <w:t xml:space="preserve">en la materia, </w:t>
      </w:r>
      <w:r w:rsidR="00652682" w:rsidRPr="00D52EF5">
        <w:rPr>
          <w:szCs w:val="22"/>
          <w:lang w:val="es-ES_tradnl"/>
        </w:rPr>
        <w:t>y en particular del sector privado</w:t>
      </w:r>
      <w:r w:rsidRPr="00D52EF5">
        <w:rPr>
          <w:szCs w:val="22"/>
          <w:lang w:val="es-ES_tradnl"/>
        </w:rPr>
        <w:t xml:space="preserve">, </w:t>
      </w:r>
      <w:r w:rsidR="00652682" w:rsidRPr="00D52EF5">
        <w:rPr>
          <w:szCs w:val="22"/>
          <w:lang w:val="es-ES_tradnl"/>
        </w:rPr>
        <w:t>y</w:t>
      </w:r>
      <w:r w:rsidR="00F706A6" w:rsidRPr="00D52EF5">
        <w:rPr>
          <w:szCs w:val="22"/>
          <w:lang w:val="es-ES_tradnl"/>
        </w:rPr>
        <w:t xml:space="preserve"> recomendaron que al actualizar</w:t>
      </w:r>
      <w:r w:rsidR="00652682" w:rsidRPr="00D52EF5">
        <w:rPr>
          <w:szCs w:val="22"/>
          <w:lang w:val="es-ES_tradnl"/>
        </w:rPr>
        <w:t xml:space="preserve">la se examinara con más detenimiento la importancia del uso </w:t>
      </w:r>
      <w:r w:rsidRPr="00D52EF5">
        <w:rPr>
          <w:szCs w:val="22"/>
          <w:lang w:val="es-ES_tradnl"/>
        </w:rPr>
        <w:t>innova</w:t>
      </w:r>
      <w:r w:rsidR="00652682" w:rsidRPr="00D52EF5">
        <w:rPr>
          <w:szCs w:val="22"/>
          <w:lang w:val="es-ES_tradnl"/>
        </w:rPr>
        <w:t xml:space="preserve">dor de las finanzas públicas para </w:t>
      </w:r>
      <w:r w:rsidR="0076442B" w:rsidRPr="00D52EF5">
        <w:rPr>
          <w:szCs w:val="22"/>
          <w:lang w:val="es-ES_tradnl"/>
        </w:rPr>
        <w:t>activar</w:t>
      </w:r>
      <w:r w:rsidR="00652682" w:rsidRPr="00D52EF5">
        <w:rPr>
          <w:szCs w:val="22"/>
          <w:lang w:val="es-ES_tradnl"/>
        </w:rPr>
        <w:t xml:space="preserve"> la inversión privada e</w:t>
      </w:r>
      <w:r w:rsidRPr="00D52EF5">
        <w:rPr>
          <w:szCs w:val="22"/>
          <w:lang w:val="es-ES_tradnl"/>
        </w:rPr>
        <w:t xml:space="preserve">n </w:t>
      </w:r>
      <w:r w:rsidR="00652682" w:rsidRPr="00D52EF5">
        <w:rPr>
          <w:szCs w:val="22"/>
          <w:lang w:val="es-ES_tradnl"/>
        </w:rPr>
        <w:t>la conservació</w:t>
      </w:r>
      <w:r w:rsidRPr="00D52EF5">
        <w:rPr>
          <w:szCs w:val="22"/>
          <w:lang w:val="es-ES_tradnl"/>
        </w:rPr>
        <w:t>n (</w:t>
      </w:r>
      <w:r w:rsidR="008E1945" w:rsidRPr="00D52EF5">
        <w:rPr>
          <w:szCs w:val="22"/>
          <w:lang w:val="es-ES_tradnl"/>
        </w:rPr>
        <w:t>como las alianzas público-privadas</w:t>
      </w:r>
      <w:r w:rsidRPr="00D52EF5">
        <w:rPr>
          <w:szCs w:val="22"/>
          <w:lang w:val="es-ES_tradnl"/>
        </w:rPr>
        <w:t xml:space="preserve">, </w:t>
      </w:r>
      <w:r w:rsidR="008E1945" w:rsidRPr="00D52EF5">
        <w:rPr>
          <w:szCs w:val="22"/>
          <w:lang w:val="es-ES_tradnl"/>
        </w:rPr>
        <w:t>la financiación combinada</w:t>
      </w:r>
      <w:r w:rsidR="003F69C3" w:rsidRPr="00D52EF5">
        <w:rPr>
          <w:szCs w:val="22"/>
          <w:lang w:val="es-ES_tradnl"/>
        </w:rPr>
        <w:t>, et</w:t>
      </w:r>
      <w:r w:rsidR="0076442B" w:rsidRPr="00D52EF5">
        <w:rPr>
          <w:szCs w:val="22"/>
          <w:lang w:val="es-ES_tradnl"/>
        </w:rPr>
        <w:t>c</w:t>
      </w:r>
      <w:r w:rsidR="003F69C3" w:rsidRPr="00D52EF5">
        <w:rPr>
          <w:szCs w:val="22"/>
          <w:lang w:val="es-ES_tradnl"/>
        </w:rPr>
        <w:t xml:space="preserve">.); </w:t>
      </w:r>
      <w:r w:rsidR="00F636B6" w:rsidRPr="00D52EF5">
        <w:rPr>
          <w:szCs w:val="22"/>
          <w:lang w:val="es-ES_tradnl"/>
        </w:rPr>
        <w:t>el apalancamiento de las plataformas mundiales de partes interesadas a fin de impulsar la cooperación y aportar soluciones innovadoras para ampliar la financiación de la conservación; y las sinergias con los Objetivos de Desarrollo Sostenible y la financiación para hacer frente al cambio climático, que propicien estrategias ventajosas para todas las partes.</w:t>
      </w:r>
    </w:p>
    <w:p w14:paraId="4E59AA3B" w14:textId="70B0989C" w:rsidR="00CF1568" w:rsidRPr="00D52EF5" w:rsidRDefault="009A6EB4" w:rsidP="00CF1568">
      <w:pPr>
        <w:pStyle w:val="Para1"/>
        <w:numPr>
          <w:ilvl w:val="0"/>
          <w:numId w:val="13"/>
        </w:numPr>
        <w:suppressLineNumbers/>
        <w:tabs>
          <w:tab w:val="clear" w:pos="360"/>
        </w:tabs>
        <w:suppressAutoHyphens/>
        <w:spacing w:before="120"/>
        <w:rPr>
          <w:lang w:val="es-ES_tradnl"/>
        </w:rPr>
      </w:pPr>
      <w:r w:rsidRPr="00D52EF5">
        <w:rPr>
          <w:lang w:val="es-ES_tradnl"/>
        </w:rPr>
        <w:t>Según el Banco Mundial, la E</w:t>
      </w:r>
      <w:r w:rsidR="00CF1568" w:rsidRPr="00D52EF5">
        <w:rPr>
          <w:lang w:val="es-ES_tradnl"/>
        </w:rPr>
        <w:t>strateg</w:t>
      </w:r>
      <w:r w:rsidR="00002093" w:rsidRPr="00D52EF5">
        <w:rPr>
          <w:lang w:val="es-ES_tradnl"/>
        </w:rPr>
        <w:t xml:space="preserve">ia </w:t>
      </w:r>
      <w:r w:rsidRPr="00D52EF5">
        <w:rPr>
          <w:lang w:val="es-ES_tradnl"/>
        </w:rPr>
        <w:t>para la Movilización de R</w:t>
      </w:r>
      <w:r w:rsidR="00002093" w:rsidRPr="00D52EF5">
        <w:rPr>
          <w:lang w:val="es-ES_tradnl"/>
        </w:rPr>
        <w:t xml:space="preserve">ecursos tiene </w:t>
      </w:r>
      <w:r w:rsidR="00485B73" w:rsidRPr="00D52EF5">
        <w:rPr>
          <w:lang w:val="es-ES_tradnl"/>
        </w:rPr>
        <w:t>deficiencias</w:t>
      </w:r>
      <w:r w:rsidR="00EA2E50" w:rsidRPr="00D52EF5">
        <w:rPr>
          <w:lang w:val="es-ES_tradnl"/>
        </w:rPr>
        <w:t>, entre ell</w:t>
      </w:r>
      <w:r w:rsidR="00E16512" w:rsidRPr="00D52EF5">
        <w:rPr>
          <w:lang w:val="es-ES_tradnl"/>
        </w:rPr>
        <w:t>a</w:t>
      </w:r>
      <w:r w:rsidR="00002093" w:rsidRPr="00D52EF5">
        <w:rPr>
          <w:lang w:val="es-ES_tradnl"/>
        </w:rPr>
        <w:t xml:space="preserve">s: </w:t>
      </w:r>
      <w:r w:rsidR="00CF1568" w:rsidRPr="00D52EF5">
        <w:rPr>
          <w:lang w:val="es-ES_tradnl"/>
        </w:rPr>
        <w:t>a) </w:t>
      </w:r>
      <w:r w:rsidR="00002093" w:rsidRPr="00D52EF5">
        <w:rPr>
          <w:lang w:val="es-ES_tradnl"/>
        </w:rPr>
        <w:t>la falta de una meta cuantitativa para la movilización de recursos</w:t>
      </w:r>
      <w:r w:rsidR="00AF50B7" w:rsidRPr="00D52EF5">
        <w:rPr>
          <w:lang w:val="es-ES_tradnl"/>
        </w:rPr>
        <w:t xml:space="preserve"> (e</w:t>
      </w:r>
      <w:r w:rsidR="00CF1568" w:rsidRPr="00D52EF5">
        <w:rPr>
          <w:lang w:val="es-ES_tradnl"/>
        </w:rPr>
        <w:t xml:space="preserve">n </w:t>
      </w:r>
      <w:r w:rsidR="00AF50B7" w:rsidRPr="00D52EF5">
        <w:rPr>
          <w:lang w:val="es-ES_tradnl"/>
        </w:rPr>
        <w:t>la</w:t>
      </w:r>
      <w:r w:rsidR="00CF1568" w:rsidRPr="00D52EF5">
        <w:rPr>
          <w:lang w:val="es-ES_tradnl"/>
        </w:rPr>
        <w:t xml:space="preserve"> </w:t>
      </w:r>
      <w:r w:rsidR="00AF50B7" w:rsidRPr="00D52EF5">
        <w:rPr>
          <w:lang w:val="es-ES_tradnl"/>
        </w:rPr>
        <w:t>Es</w:t>
      </w:r>
      <w:r w:rsidR="00CF1568" w:rsidRPr="00D52EF5">
        <w:rPr>
          <w:lang w:val="es-ES_tradnl"/>
        </w:rPr>
        <w:t>trateg</w:t>
      </w:r>
      <w:r w:rsidR="00AF50B7" w:rsidRPr="00D52EF5">
        <w:rPr>
          <w:lang w:val="es-ES_tradnl"/>
        </w:rPr>
        <w:t>ia y en la Meta 20 de</w:t>
      </w:r>
      <w:r w:rsidR="00002093" w:rsidRPr="00D52EF5">
        <w:rPr>
          <w:lang w:val="es-ES_tradnl"/>
        </w:rPr>
        <w:t xml:space="preserve"> Aichi); </w:t>
      </w:r>
      <w:r w:rsidR="00CF1568" w:rsidRPr="00D52EF5">
        <w:rPr>
          <w:lang w:val="es-ES_tradnl"/>
        </w:rPr>
        <w:t>b) </w:t>
      </w:r>
      <w:r w:rsidR="00002093" w:rsidRPr="00D52EF5">
        <w:rPr>
          <w:lang w:val="es-ES_tradnl"/>
        </w:rPr>
        <w:t xml:space="preserve">la ausencia de una definición de </w:t>
      </w:r>
      <w:r w:rsidR="00F40EBD" w:rsidRPr="00D52EF5">
        <w:rPr>
          <w:lang w:val="es-ES_tradnl"/>
        </w:rPr>
        <w:t>“</w:t>
      </w:r>
      <w:r w:rsidR="00EA2E50" w:rsidRPr="00D52EF5">
        <w:rPr>
          <w:lang w:val="es-ES_tradnl"/>
        </w:rPr>
        <w:t>financiación en relació</w:t>
      </w:r>
      <w:r w:rsidR="00E45CCB" w:rsidRPr="00D52EF5">
        <w:rPr>
          <w:lang w:val="es-ES_tradnl"/>
        </w:rPr>
        <w:t>n con</w:t>
      </w:r>
      <w:r w:rsidR="00002093" w:rsidRPr="00D52EF5">
        <w:rPr>
          <w:lang w:val="es-ES_tradnl"/>
        </w:rPr>
        <w:t xml:space="preserve"> la diversidad biológica</w:t>
      </w:r>
      <w:r w:rsidR="00F40EBD" w:rsidRPr="00D52EF5">
        <w:rPr>
          <w:lang w:val="es-ES_tradnl"/>
        </w:rPr>
        <w:t>”</w:t>
      </w:r>
      <w:r w:rsidR="00CF1568" w:rsidRPr="00D52EF5">
        <w:rPr>
          <w:lang w:val="es-ES_tradnl"/>
        </w:rPr>
        <w:t xml:space="preserve">, </w:t>
      </w:r>
      <w:r w:rsidR="00002093" w:rsidRPr="00D52EF5">
        <w:rPr>
          <w:lang w:val="es-ES_tradnl"/>
        </w:rPr>
        <w:t>tanto privada como pública</w:t>
      </w:r>
      <w:r w:rsidR="00CF1568" w:rsidRPr="00D52EF5">
        <w:rPr>
          <w:lang w:val="es-ES_tradnl"/>
        </w:rPr>
        <w:t xml:space="preserve">, </w:t>
      </w:r>
      <w:r w:rsidR="00F40EBD" w:rsidRPr="00D52EF5">
        <w:rPr>
          <w:lang w:val="es-ES_tradnl"/>
        </w:rPr>
        <w:t xml:space="preserve">y </w:t>
      </w:r>
      <w:r w:rsidR="001D769F" w:rsidRPr="00D52EF5">
        <w:rPr>
          <w:lang w:val="es-ES_tradnl"/>
        </w:rPr>
        <w:t>de</w:t>
      </w:r>
      <w:r w:rsidR="00E45CCB" w:rsidRPr="00D52EF5">
        <w:rPr>
          <w:lang w:val="es-ES_tradnl"/>
        </w:rPr>
        <w:t xml:space="preserve"> lo que constituye el</w:t>
      </w:r>
      <w:r w:rsidR="00002093" w:rsidRPr="00D52EF5">
        <w:rPr>
          <w:lang w:val="es-ES_tradnl"/>
        </w:rPr>
        <w:t xml:space="preserve"> “sector privado”</w:t>
      </w:r>
      <w:r w:rsidR="00CF1568" w:rsidRPr="00D52EF5">
        <w:rPr>
          <w:lang w:val="es-ES_tradnl"/>
        </w:rPr>
        <w:t>; c) </w:t>
      </w:r>
      <w:r w:rsidR="00455812" w:rsidRPr="00D52EF5">
        <w:rPr>
          <w:lang w:val="es-ES_tradnl"/>
        </w:rPr>
        <w:t xml:space="preserve">la </w:t>
      </w:r>
      <w:r w:rsidR="00CF1568" w:rsidRPr="00D52EF5">
        <w:rPr>
          <w:lang w:val="es-ES_tradnl"/>
        </w:rPr>
        <w:t>a</w:t>
      </w:r>
      <w:r w:rsidR="00002093" w:rsidRPr="00D52EF5">
        <w:rPr>
          <w:lang w:val="es-ES_tradnl"/>
        </w:rPr>
        <w:t>usencia de un plan de acción de movilización de recursos con plazos concretos</w:t>
      </w:r>
      <w:r w:rsidR="00CF1568" w:rsidRPr="00D52EF5">
        <w:rPr>
          <w:lang w:val="es-ES_tradnl"/>
        </w:rPr>
        <w:t>; d) </w:t>
      </w:r>
      <w:r w:rsidR="00455812" w:rsidRPr="00D52EF5">
        <w:rPr>
          <w:lang w:val="es-ES_tradnl"/>
        </w:rPr>
        <w:t xml:space="preserve">la </w:t>
      </w:r>
      <w:r w:rsidR="00E45CCB" w:rsidRPr="00D52EF5">
        <w:rPr>
          <w:lang w:val="es-ES_tradnl"/>
        </w:rPr>
        <w:t>falta</w:t>
      </w:r>
      <w:r w:rsidR="00002093" w:rsidRPr="00D52EF5">
        <w:rPr>
          <w:lang w:val="es-ES_tradnl"/>
        </w:rPr>
        <w:t xml:space="preserve"> de una indicación sobre la forma en que podrían repartirse lo</w:t>
      </w:r>
      <w:r w:rsidR="00DF485B" w:rsidRPr="00D52EF5">
        <w:rPr>
          <w:lang w:val="es-ES_tradnl"/>
        </w:rPr>
        <w:t>s recursos entre los cinco objetivos estraté</w:t>
      </w:r>
      <w:r w:rsidR="00CF1568" w:rsidRPr="00D52EF5">
        <w:rPr>
          <w:lang w:val="es-ES_tradnl"/>
        </w:rPr>
        <w:t xml:space="preserve">gicos </w:t>
      </w:r>
      <w:r w:rsidR="00DF485B" w:rsidRPr="00D52EF5">
        <w:rPr>
          <w:lang w:val="es-ES_tradnl"/>
        </w:rPr>
        <w:t>del Plan Estratégico para la Diversidad Biológica</w:t>
      </w:r>
      <w:r w:rsidR="00CF1568" w:rsidRPr="00D52EF5">
        <w:rPr>
          <w:lang w:val="es-ES_tradnl"/>
        </w:rPr>
        <w:t>; e) </w:t>
      </w:r>
      <w:r w:rsidR="00455812" w:rsidRPr="00D52EF5">
        <w:rPr>
          <w:lang w:val="es-ES_tradnl"/>
        </w:rPr>
        <w:t xml:space="preserve">la </w:t>
      </w:r>
      <w:r w:rsidR="00721325" w:rsidRPr="00D52EF5">
        <w:rPr>
          <w:lang w:val="es-ES_tradnl"/>
        </w:rPr>
        <w:t>falta</w:t>
      </w:r>
      <w:r w:rsidR="008B18A1" w:rsidRPr="00D52EF5">
        <w:rPr>
          <w:lang w:val="es-ES_tradnl"/>
        </w:rPr>
        <w:t xml:space="preserve"> de</w:t>
      </w:r>
      <w:r w:rsidR="00DF485B" w:rsidRPr="00D52EF5">
        <w:rPr>
          <w:lang w:val="es-ES_tradnl"/>
        </w:rPr>
        <w:t xml:space="preserve"> </w:t>
      </w:r>
      <w:r w:rsidR="00455812" w:rsidRPr="00D52EF5">
        <w:rPr>
          <w:lang w:val="es-ES_tradnl"/>
        </w:rPr>
        <w:t xml:space="preserve">suficiente </w:t>
      </w:r>
      <w:r w:rsidR="008B18A1" w:rsidRPr="00D52EF5">
        <w:rPr>
          <w:lang w:val="es-ES_tradnl"/>
        </w:rPr>
        <w:t>relieve a</w:t>
      </w:r>
      <w:r w:rsidR="00DF485B" w:rsidRPr="00D52EF5">
        <w:rPr>
          <w:lang w:val="es-ES_tradnl"/>
        </w:rPr>
        <w:t xml:space="preserve"> la necesidad de reducir las inversiones </w:t>
      </w:r>
      <w:r w:rsidR="00CF1568" w:rsidRPr="00D52EF5">
        <w:rPr>
          <w:lang w:val="es-ES_tradnl"/>
        </w:rPr>
        <w:t>(p</w:t>
      </w:r>
      <w:r w:rsidR="00DF485B" w:rsidRPr="00D52EF5">
        <w:rPr>
          <w:lang w:val="es-ES_tradnl"/>
        </w:rPr>
        <w:t>ú</w:t>
      </w:r>
      <w:r w:rsidR="00CF1568" w:rsidRPr="00D52EF5">
        <w:rPr>
          <w:lang w:val="es-ES_tradnl"/>
        </w:rPr>
        <w:t>blic</w:t>
      </w:r>
      <w:r w:rsidR="00DF485B" w:rsidRPr="00D52EF5">
        <w:rPr>
          <w:lang w:val="es-ES_tradnl"/>
        </w:rPr>
        <w:t>as</w:t>
      </w:r>
      <w:r w:rsidR="00CF1568" w:rsidRPr="00D52EF5">
        <w:rPr>
          <w:lang w:val="es-ES_tradnl"/>
        </w:rPr>
        <w:t xml:space="preserve"> </w:t>
      </w:r>
      <w:r w:rsidR="00DF485B" w:rsidRPr="00D52EF5">
        <w:rPr>
          <w:lang w:val="es-ES_tradnl"/>
        </w:rPr>
        <w:t>y</w:t>
      </w:r>
      <w:r w:rsidR="00CF1568" w:rsidRPr="00D52EF5">
        <w:rPr>
          <w:lang w:val="es-ES_tradnl"/>
        </w:rPr>
        <w:t xml:space="preserve"> priva</w:t>
      </w:r>
      <w:r w:rsidR="00DF485B" w:rsidRPr="00D52EF5">
        <w:rPr>
          <w:lang w:val="es-ES_tradnl"/>
        </w:rPr>
        <w:t>das</w:t>
      </w:r>
      <w:r w:rsidR="00CF1568" w:rsidRPr="00D52EF5">
        <w:rPr>
          <w:lang w:val="es-ES_tradnl"/>
        </w:rPr>
        <w:t xml:space="preserve">) </w:t>
      </w:r>
      <w:r w:rsidR="00DF485B" w:rsidRPr="00D52EF5">
        <w:rPr>
          <w:lang w:val="es-ES_tradnl"/>
        </w:rPr>
        <w:t>perjudiciales para la diversidad biológica y en el aumento de las inversiones que le son favorables</w:t>
      </w:r>
      <w:r w:rsidR="00CF1568" w:rsidRPr="00D52EF5">
        <w:rPr>
          <w:lang w:val="es-ES_tradnl"/>
        </w:rPr>
        <w:t>; g) </w:t>
      </w:r>
      <w:r w:rsidR="00455812" w:rsidRPr="00D52EF5">
        <w:rPr>
          <w:lang w:val="es-ES_tradnl"/>
        </w:rPr>
        <w:t xml:space="preserve">la </w:t>
      </w:r>
      <w:r w:rsidR="00CF1568" w:rsidRPr="00D52EF5">
        <w:rPr>
          <w:lang w:val="es-ES_tradnl"/>
        </w:rPr>
        <w:t>omis</w:t>
      </w:r>
      <w:r w:rsidR="00721325" w:rsidRPr="00D52EF5">
        <w:rPr>
          <w:lang w:val="es-ES_tradnl"/>
        </w:rPr>
        <w:t>ión de referencia alguna</w:t>
      </w:r>
      <w:r w:rsidR="00DF485B" w:rsidRPr="00D52EF5">
        <w:rPr>
          <w:lang w:val="es-ES_tradnl"/>
        </w:rPr>
        <w:t xml:space="preserve"> a los mercados financieros y al sector bancario</w:t>
      </w:r>
      <w:r w:rsidR="00CF1568" w:rsidRPr="00D52EF5">
        <w:rPr>
          <w:lang w:val="es-ES_tradnl"/>
        </w:rPr>
        <w:t xml:space="preserve">; </w:t>
      </w:r>
      <w:r w:rsidR="00DF485B" w:rsidRPr="00D52EF5">
        <w:rPr>
          <w:lang w:val="es-ES_tradnl"/>
        </w:rPr>
        <w:t xml:space="preserve">y h) </w:t>
      </w:r>
      <w:r w:rsidR="00455812" w:rsidRPr="00D52EF5">
        <w:rPr>
          <w:lang w:val="es-ES_tradnl"/>
        </w:rPr>
        <w:t xml:space="preserve">la </w:t>
      </w:r>
      <w:r w:rsidR="00DF485B" w:rsidRPr="00D52EF5">
        <w:rPr>
          <w:lang w:val="es-ES_tradnl"/>
        </w:rPr>
        <w:t>falta de claridad sobre las responsabilidades de cada grupo de partes interesadas</w:t>
      </w:r>
      <w:r w:rsidR="00CF1568" w:rsidRPr="00D52EF5">
        <w:rPr>
          <w:lang w:val="es-ES_tradnl"/>
        </w:rPr>
        <w:t>.</w:t>
      </w:r>
    </w:p>
    <w:p w14:paraId="60E467E2" w14:textId="62E57E72" w:rsidR="00CF1568" w:rsidRPr="00D52EF5" w:rsidRDefault="00EA1ED2" w:rsidP="00CF1568">
      <w:pPr>
        <w:pStyle w:val="Para1"/>
        <w:numPr>
          <w:ilvl w:val="0"/>
          <w:numId w:val="13"/>
        </w:numPr>
        <w:suppressLineNumbers/>
        <w:tabs>
          <w:tab w:val="clear" w:pos="360"/>
        </w:tabs>
        <w:suppressAutoHyphens/>
        <w:spacing w:before="120"/>
        <w:rPr>
          <w:lang w:val="es-ES_tradnl"/>
        </w:rPr>
      </w:pPr>
      <w:r w:rsidRPr="00D52EF5">
        <w:rPr>
          <w:lang w:val="es-ES_tradnl"/>
        </w:rPr>
        <w:t>A continuación se ofrece una evaluación más pormenorizada de la evolución hacia la consecución de los objetivos d</w:t>
      </w:r>
      <w:r w:rsidR="00CF1568" w:rsidRPr="00D52EF5">
        <w:rPr>
          <w:lang w:val="es-ES_tradnl"/>
        </w:rPr>
        <w:t xml:space="preserve">e </w:t>
      </w:r>
      <w:r w:rsidRPr="00D52EF5">
        <w:rPr>
          <w:lang w:val="es-ES_tradnl"/>
        </w:rPr>
        <w:t xml:space="preserve">la </w:t>
      </w:r>
      <w:r w:rsidR="00721325" w:rsidRPr="00D52EF5">
        <w:rPr>
          <w:lang w:val="es-ES_tradnl"/>
        </w:rPr>
        <w:t>E</w:t>
      </w:r>
      <w:r w:rsidR="00CF1568" w:rsidRPr="00D52EF5">
        <w:rPr>
          <w:lang w:val="es-ES_tradnl"/>
        </w:rPr>
        <w:t>strateg</w:t>
      </w:r>
      <w:r w:rsidRPr="00D52EF5">
        <w:rPr>
          <w:lang w:val="es-ES_tradnl"/>
        </w:rPr>
        <w:t>ia para la</w:t>
      </w:r>
      <w:r w:rsidR="00C31192" w:rsidRPr="00D52EF5">
        <w:rPr>
          <w:lang w:val="es-ES_tradnl"/>
        </w:rPr>
        <w:t xml:space="preserve"> </w:t>
      </w:r>
      <w:r w:rsidR="00721325" w:rsidRPr="00D52EF5">
        <w:rPr>
          <w:lang w:val="es-ES_tradnl"/>
        </w:rPr>
        <w:t>Movilizaci</w:t>
      </w:r>
      <w:r w:rsidRPr="00D52EF5">
        <w:rPr>
          <w:lang w:val="es-ES_tradnl"/>
        </w:rPr>
        <w:t xml:space="preserve">ón de </w:t>
      </w:r>
      <w:r w:rsidR="00721325" w:rsidRPr="00D52EF5">
        <w:rPr>
          <w:lang w:val="es-ES_tradnl"/>
        </w:rPr>
        <w:t>R</w:t>
      </w:r>
      <w:r w:rsidRPr="00D52EF5">
        <w:rPr>
          <w:lang w:val="es-ES_tradnl"/>
        </w:rPr>
        <w:t>ecursos</w:t>
      </w:r>
      <w:r w:rsidR="00CF1568" w:rsidRPr="00D52EF5">
        <w:rPr>
          <w:lang w:val="es-ES_tradnl"/>
        </w:rPr>
        <w:t xml:space="preserve">, </w:t>
      </w:r>
      <w:r w:rsidRPr="00D52EF5">
        <w:rPr>
          <w:lang w:val="es-ES_tradnl"/>
        </w:rPr>
        <w:t xml:space="preserve">en la que se señalan </w:t>
      </w:r>
      <w:r w:rsidR="00721325" w:rsidRPr="00D52EF5">
        <w:rPr>
          <w:lang w:val="es-ES_tradnl"/>
        </w:rPr>
        <w:t>lo</w:t>
      </w:r>
      <w:r w:rsidR="00BF5BAF" w:rsidRPr="00D52EF5">
        <w:rPr>
          <w:lang w:val="es-ES_tradnl"/>
        </w:rPr>
        <w:t xml:space="preserve">s </w:t>
      </w:r>
      <w:r w:rsidR="00721325" w:rsidRPr="00D52EF5">
        <w:rPr>
          <w:lang w:val="es-ES_tradnl"/>
        </w:rPr>
        <w:t xml:space="preserve">elementos faltantes señalados </w:t>
      </w:r>
      <w:r w:rsidR="00BF5BAF" w:rsidRPr="00D52EF5">
        <w:rPr>
          <w:lang w:val="es-ES_tradnl"/>
        </w:rPr>
        <w:t>y</w:t>
      </w:r>
      <w:r w:rsidR="00721325" w:rsidRPr="00D52EF5">
        <w:rPr>
          <w:lang w:val="es-ES_tradnl"/>
        </w:rPr>
        <w:t xml:space="preserve"> se incluyen</w:t>
      </w:r>
      <w:r w:rsidR="00BF5BAF" w:rsidRPr="00D52EF5">
        <w:rPr>
          <w:lang w:val="es-ES_tradnl"/>
        </w:rPr>
        <w:t xml:space="preserve"> propuestas iniciales </w:t>
      </w:r>
      <w:r w:rsidR="008B2086" w:rsidRPr="00D52EF5">
        <w:rPr>
          <w:lang w:val="es-ES_tradnl"/>
        </w:rPr>
        <w:t>sobre</w:t>
      </w:r>
      <w:r w:rsidR="00721325" w:rsidRPr="00D52EF5">
        <w:rPr>
          <w:lang w:val="es-ES_tradnl"/>
        </w:rPr>
        <w:t xml:space="preserve"> la adición de</w:t>
      </w:r>
      <w:r w:rsidRPr="00D52EF5">
        <w:rPr>
          <w:lang w:val="es-ES_tradnl"/>
        </w:rPr>
        <w:t xml:space="preserve"> posibles medidas</w:t>
      </w:r>
      <w:r w:rsidR="00CF1568" w:rsidRPr="00D52EF5">
        <w:rPr>
          <w:lang w:val="es-ES_tradnl"/>
        </w:rPr>
        <w:t>.</w:t>
      </w:r>
    </w:p>
    <w:p w14:paraId="357229C3" w14:textId="7A96ED73" w:rsidR="00CF1568" w:rsidRPr="00D52EF5" w:rsidRDefault="00233930" w:rsidP="00CF1568">
      <w:pPr>
        <w:pStyle w:val="Heading4"/>
        <w:suppressLineNumbers/>
        <w:suppressAutoHyphens/>
        <w:rPr>
          <w:i w:val="0"/>
          <w:lang w:val="es-ES_tradnl"/>
        </w:rPr>
      </w:pPr>
      <w:r w:rsidRPr="00D52EF5">
        <w:rPr>
          <w:i w:val="0"/>
          <w:lang w:val="es-ES_tradnl"/>
        </w:rPr>
        <w:t>Objetivo</w:t>
      </w:r>
      <w:r w:rsidR="00CF1568" w:rsidRPr="00D52EF5">
        <w:rPr>
          <w:i w:val="0"/>
          <w:lang w:val="es-ES_tradnl"/>
        </w:rPr>
        <w:t xml:space="preserve"> 1: </w:t>
      </w:r>
      <w:r w:rsidRPr="00D52EF5">
        <w:rPr>
          <w:i w:val="0"/>
          <w:lang w:val="es-ES_tradnl"/>
        </w:rPr>
        <w:t>Mejorar la base de información sobre las necesidades, deficiencias y prioridades de financiamiento</w:t>
      </w:r>
    </w:p>
    <w:p w14:paraId="77B8DD73" w14:textId="1CC7C41F" w:rsidR="00CF1568" w:rsidRPr="00D52EF5" w:rsidRDefault="00F5250A" w:rsidP="0018454A">
      <w:pPr>
        <w:pStyle w:val="Para1"/>
        <w:numPr>
          <w:ilvl w:val="0"/>
          <w:numId w:val="13"/>
        </w:numPr>
        <w:suppressLineNumbers/>
        <w:tabs>
          <w:tab w:val="clear" w:pos="360"/>
        </w:tabs>
        <w:suppressAutoHyphens/>
        <w:spacing w:before="120"/>
        <w:rPr>
          <w:lang w:val="es-ES_tradnl"/>
        </w:rPr>
      </w:pPr>
      <w:r w:rsidRPr="00D52EF5">
        <w:rPr>
          <w:lang w:val="es-ES_tradnl"/>
        </w:rPr>
        <w:t>Con la importante adición de</w:t>
      </w:r>
      <w:r w:rsidR="00806B5F" w:rsidRPr="00D52EF5">
        <w:rPr>
          <w:lang w:val="es-ES_tradnl"/>
        </w:rPr>
        <w:t xml:space="preserve"> las</w:t>
      </w:r>
      <w:r w:rsidRPr="00D52EF5">
        <w:rPr>
          <w:lang w:val="es-ES_tradnl"/>
        </w:rPr>
        <w:t xml:space="preserve"> metas </w:t>
      </w:r>
      <w:r w:rsidR="0012328A" w:rsidRPr="00D52EF5">
        <w:rPr>
          <w:lang w:val="es-ES_tradnl"/>
        </w:rPr>
        <w:t>para</w:t>
      </w:r>
      <w:r w:rsidRPr="00D52EF5">
        <w:rPr>
          <w:lang w:val="es-ES_tradnl"/>
        </w:rPr>
        <w:t xml:space="preserve"> la movilización de recursos adoptadas en</w:t>
      </w:r>
      <w:r w:rsidR="00C448B2" w:rsidRPr="00D52EF5">
        <w:rPr>
          <w:lang w:val="es-ES_tradnl"/>
        </w:rPr>
        <w:t xml:space="preserve"> virtud de</w:t>
      </w:r>
      <w:r w:rsidRPr="00D52EF5">
        <w:rPr>
          <w:lang w:val="es-ES_tradnl"/>
        </w:rPr>
        <w:t xml:space="preserve"> la </w:t>
      </w:r>
      <w:r w:rsidR="0018454A" w:rsidRPr="00D52EF5">
        <w:rPr>
          <w:lang w:val="es-ES_tradnl"/>
        </w:rPr>
        <w:t xml:space="preserve">decisión </w:t>
      </w:r>
      <w:r w:rsidR="00DD6B41">
        <w:fldChar w:fldCharType="begin"/>
      </w:r>
      <w:r w:rsidR="00DD6B41" w:rsidRPr="00DD6B41">
        <w:rPr>
          <w:lang w:val="es-ES_tradnl"/>
        </w:rPr>
        <w:instrText>HYPERLINK "https://www.cbd.int/doc/decisions/cop-12/cop-12-dec-03-es.pdf"</w:instrText>
      </w:r>
      <w:r w:rsidR="00DD6B41">
        <w:fldChar w:fldCharType="separate"/>
      </w:r>
      <w:r w:rsidR="0018454A" w:rsidRPr="00D52EF5">
        <w:rPr>
          <w:rStyle w:val="Hyperlink"/>
          <w:lang w:val="es-ES_tradnl"/>
        </w:rPr>
        <w:t>XII/3</w:t>
      </w:r>
      <w:r w:rsidR="00DD6B41">
        <w:rPr>
          <w:rStyle w:val="Hyperlink"/>
          <w:lang w:val="es-ES_tradnl"/>
        </w:rPr>
        <w:fldChar w:fldCharType="end"/>
      </w:r>
      <w:r w:rsidR="00CF1568" w:rsidRPr="00D52EF5">
        <w:rPr>
          <w:lang w:val="es-ES_tradnl"/>
        </w:rPr>
        <w:t xml:space="preserve"> </w:t>
      </w:r>
      <w:r w:rsidRPr="00D52EF5">
        <w:rPr>
          <w:lang w:val="es-ES_tradnl"/>
        </w:rPr>
        <w:t xml:space="preserve">y </w:t>
      </w:r>
      <w:r w:rsidR="00260152" w:rsidRPr="00D52EF5">
        <w:rPr>
          <w:lang w:val="es-ES_tradnl"/>
        </w:rPr>
        <w:t>d</w:t>
      </w:r>
      <w:r w:rsidRPr="00D52EF5">
        <w:rPr>
          <w:lang w:val="es-ES_tradnl"/>
        </w:rPr>
        <w:t>el marco para la presentación de informes financieros complementario</w:t>
      </w:r>
      <w:r w:rsidR="00CF1568" w:rsidRPr="00D52EF5">
        <w:rPr>
          <w:lang w:val="es-ES_tradnl"/>
        </w:rPr>
        <w:t>,</w:t>
      </w:r>
      <w:r w:rsidRPr="00D52EF5">
        <w:rPr>
          <w:lang w:val="es-ES_tradnl"/>
        </w:rPr>
        <w:t xml:space="preserve"> </w:t>
      </w:r>
      <w:r w:rsidR="00C448B2" w:rsidRPr="00D52EF5">
        <w:rPr>
          <w:lang w:val="es-ES_tradnl"/>
        </w:rPr>
        <w:t>así como</w:t>
      </w:r>
      <w:r w:rsidRPr="00D52EF5">
        <w:rPr>
          <w:lang w:val="es-ES_tradnl"/>
        </w:rPr>
        <w:t xml:space="preserve"> de información procedente</w:t>
      </w:r>
      <w:r w:rsidR="00C448B2" w:rsidRPr="00D52EF5">
        <w:rPr>
          <w:lang w:val="es-ES_tradnl"/>
        </w:rPr>
        <w:t xml:space="preserve"> de, entre otras fuentes, </w:t>
      </w:r>
      <w:r w:rsidRPr="00D52EF5">
        <w:rPr>
          <w:lang w:val="es-ES_tradnl"/>
        </w:rPr>
        <w:t xml:space="preserve">el segundo informe del </w:t>
      </w:r>
      <w:r w:rsidRPr="00D52EF5">
        <w:rPr>
          <w:iCs/>
          <w:lang w:val="es-ES_tradnl"/>
        </w:rPr>
        <w:t>Grupo de alto nivel sobre evaluación mundial de los recursos para la implementación del Plan Estratégic</w:t>
      </w:r>
      <w:r w:rsidR="0012328A" w:rsidRPr="00D52EF5">
        <w:rPr>
          <w:iCs/>
          <w:lang w:val="es-ES_tradnl"/>
        </w:rPr>
        <w:t>o</w:t>
      </w:r>
      <w:r w:rsidR="002A73B1" w:rsidRPr="00D52EF5">
        <w:rPr>
          <w:iCs/>
          <w:lang w:val="es-ES_tradnl"/>
        </w:rPr>
        <w:t xml:space="preserve"> para la movilización de recursos</w:t>
      </w:r>
      <w:r w:rsidR="00CF1568" w:rsidRPr="00D52EF5">
        <w:rPr>
          <w:rStyle w:val="FootnoteReference"/>
          <w:lang w:val="es-ES_tradnl"/>
        </w:rPr>
        <w:footnoteReference w:id="7"/>
      </w:r>
      <w:r w:rsidR="002A73B1" w:rsidRPr="00D52EF5">
        <w:rPr>
          <w:iCs/>
          <w:lang w:val="es-ES_tradnl"/>
        </w:rPr>
        <w:t>, el Fondo para el Medio Ambiente Mundial</w:t>
      </w:r>
      <w:r w:rsidR="00C448B2" w:rsidRPr="00D52EF5">
        <w:rPr>
          <w:lang w:val="es-ES_tradnl"/>
        </w:rPr>
        <w:t xml:space="preserve"> (</w:t>
      </w:r>
      <w:r w:rsidR="006C4752" w:rsidRPr="00D52EF5">
        <w:rPr>
          <w:lang w:val="es-ES_tradnl"/>
        </w:rPr>
        <w:t>FMAM</w:t>
      </w:r>
      <w:r w:rsidR="00C448B2" w:rsidRPr="00D52EF5">
        <w:rPr>
          <w:lang w:val="es-ES_tradnl"/>
        </w:rPr>
        <w:t>)</w:t>
      </w:r>
      <w:r w:rsidR="00FB0952" w:rsidRPr="00D52EF5">
        <w:rPr>
          <w:lang w:val="es-ES_tradnl"/>
        </w:rPr>
        <w:t>,</w:t>
      </w:r>
      <w:r w:rsidRPr="00D52EF5">
        <w:rPr>
          <w:lang w:val="es-ES_tradnl"/>
        </w:rPr>
        <w:t xml:space="preserve"> </w:t>
      </w:r>
      <w:r w:rsidR="00FB0952" w:rsidRPr="00D52EF5">
        <w:rPr>
          <w:lang w:val="es-ES_tradnl"/>
        </w:rPr>
        <w:t>la</w:t>
      </w:r>
      <w:r w:rsidR="006C4752" w:rsidRPr="00D52EF5">
        <w:rPr>
          <w:lang w:val="es-ES_tradnl"/>
        </w:rPr>
        <w:t xml:space="preserve"> Iniciativa para la Financiación de la Biodiversidad (BIOFIN)</w:t>
      </w:r>
      <w:r w:rsidRPr="00D52EF5">
        <w:rPr>
          <w:lang w:val="es-ES_tradnl"/>
        </w:rPr>
        <w:t xml:space="preserve"> y el Programa de las Naciones Unidas para el Desarrollo</w:t>
      </w:r>
      <w:r w:rsidR="00CF1568" w:rsidRPr="00D52EF5">
        <w:rPr>
          <w:lang w:val="es-ES_tradnl"/>
        </w:rPr>
        <w:t xml:space="preserve"> (P</w:t>
      </w:r>
      <w:r w:rsidRPr="00D52EF5">
        <w:rPr>
          <w:lang w:val="es-ES_tradnl"/>
        </w:rPr>
        <w:t>NUD</w:t>
      </w:r>
      <w:r w:rsidR="00CF1568" w:rsidRPr="00D52EF5">
        <w:rPr>
          <w:lang w:val="es-ES_tradnl"/>
        </w:rPr>
        <w:t xml:space="preserve">), </w:t>
      </w:r>
      <w:r w:rsidRPr="00D52EF5">
        <w:rPr>
          <w:lang w:val="es-ES_tradnl"/>
        </w:rPr>
        <w:t xml:space="preserve">en teoría, </w:t>
      </w:r>
      <w:r w:rsidR="00292C95" w:rsidRPr="00D52EF5">
        <w:rPr>
          <w:lang w:val="es-ES_tradnl"/>
        </w:rPr>
        <w:t xml:space="preserve">ya se cuenta con </w:t>
      </w:r>
      <w:r w:rsidRPr="00D52EF5">
        <w:rPr>
          <w:lang w:val="es-ES_tradnl"/>
        </w:rPr>
        <w:t xml:space="preserve">las herramientas esenciales con </w:t>
      </w:r>
      <w:r w:rsidR="0086113F" w:rsidRPr="00D52EF5">
        <w:rPr>
          <w:lang w:val="es-ES_tradnl"/>
        </w:rPr>
        <w:t>las que atender a</w:t>
      </w:r>
      <w:r w:rsidRPr="00D52EF5">
        <w:rPr>
          <w:lang w:val="es-ES_tradnl"/>
        </w:rPr>
        <w:t xml:space="preserve"> los </w:t>
      </w:r>
      <w:r w:rsidR="0086113F" w:rsidRPr="00D52EF5">
        <w:rPr>
          <w:lang w:val="es-ES_tradnl"/>
        </w:rPr>
        <w:t>aspec</w:t>
      </w:r>
      <w:r w:rsidRPr="00D52EF5">
        <w:rPr>
          <w:lang w:val="es-ES_tradnl"/>
        </w:rPr>
        <w:t xml:space="preserve">tos fundamentales del objetivo </w:t>
      </w:r>
      <w:r w:rsidR="00CF1568" w:rsidRPr="00D52EF5">
        <w:rPr>
          <w:lang w:val="es-ES_tradnl"/>
        </w:rPr>
        <w:t xml:space="preserve">1. </w:t>
      </w:r>
      <w:r w:rsidR="00292C95" w:rsidRPr="00D52EF5">
        <w:rPr>
          <w:lang w:val="es-ES_tradnl"/>
        </w:rPr>
        <w:t xml:space="preserve">Sin embargo, </w:t>
      </w:r>
      <w:r w:rsidR="002A3CD2" w:rsidRPr="00D52EF5">
        <w:rPr>
          <w:lang w:val="es-ES_tradnl"/>
        </w:rPr>
        <w:t xml:space="preserve">la consecución </w:t>
      </w:r>
      <w:r w:rsidR="00292C95" w:rsidRPr="00D52EF5">
        <w:rPr>
          <w:lang w:val="es-ES_tradnl"/>
        </w:rPr>
        <w:t xml:space="preserve">general del objetivo </w:t>
      </w:r>
      <w:r w:rsidR="00CF1568" w:rsidRPr="00D52EF5">
        <w:rPr>
          <w:lang w:val="es-ES_tradnl"/>
        </w:rPr>
        <w:t>1 ha</w:t>
      </w:r>
      <w:r w:rsidR="00292C95" w:rsidRPr="00D52EF5">
        <w:rPr>
          <w:lang w:val="es-ES_tradnl"/>
        </w:rPr>
        <w:t xml:space="preserve"> </w:t>
      </w:r>
      <w:r w:rsidR="00CF1568" w:rsidRPr="00D52EF5">
        <w:rPr>
          <w:lang w:val="es-ES_tradnl"/>
        </w:rPr>
        <w:t>s</w:t>
      </w:r>
      <w:r w:rsidR="00292C95" w:rsidRPr="00D52EF5">
        <w:rPr>
          <w:lang w:val="es-ES_tradnl"/>
        </w:rPr>
        <w:t>ido limitad</w:t>
      </w:r>
      <w:r w:rsidR="0086113F" w:rsidRPr="00D52EF5">
        <w:rPr>
          <w:lang w:val="es-ES_tradnl"/>
        </w:rPr>
        <w:t>a</w:t>
      </w:r>
      <w:r w:rsidR="00CF1568" w:rsidRPr="00D52EF5">
        <w:rPr>
          <w:lang w:val="es-ES_tradnl"/>
        </w:rPr>
        <w:t xml:space="preserve">, </w:t>
      </w:r>
      <w:r w:rsidR="00292C95" w:rsidRPr="00D52EF5">
        <w:rPr>
          <w:lang w:val="es-ES_tradnl"/>
        </w:rPr>
        <w:t xml:space="preserve">ya que solo </w:t>
      </w:r>
      <w:r w:rsidR="002F618F" w:rsidRPr="00D52EF5">
        <w:rPr>
          <w:lang w:val="es-ES_tradnl"/>
        </w:rPr>
        <w:t>la mitad de las Partes ha facili</w:t>
      </w:r>
      <w:r w:rsidR="00292C95" w:rsidRPr="00D52EF5">
        <w:rPr>
          <w:lang w:val="es-ES_tradnl"/>
        </w:rPr>
        <w:t>tado información sobre la financiación</w:t>
      </w:r>
      <w:r w:rsidR="00CF1568" w:rsidRPr="00D52EF5">
        <w:rPr>
          <w:lang w:val="es-ES_tradnl"/>
        </w:rPr>
        <w:t xml:space="preserve">, </w:t>
      </w:r>
      <w:r w:rsidR="002A3CD2" w:rsidRPr="00D52EF5">
        <w:rPr>
          <w:lang w:val="es-ES_tradnl"/>
        </w:rPr>
        <w:t xml:space="preserve">una </w:t>
      </w:r>
      <w:r w:rsidR="00485B73" w:rsidRPr="00D52EF5">
        <w:rPr>
          <w:lang w:val="es-ES_tradnl"/>
        </w:rPr>
        <w:t>mínima</w:t>
      </w:r>
      <w:r w:rsidR="002A3CD2" w:rsidRPr="00D52EF5">
        <w:rPr>
          <w:lang w:val="es-ES_tradnl"/>
        </w:rPr>
        <w:t xml:space="preserve"> fracción</w:t>
      </w:r>
      <w:r w:rsidR="00292C95" w:rsidRPr="00D52EF5">
        <w:rPr>
          <w:lang w:val="es-ES_tradnl"/>
        </w:rPr>
        <w:t xml:space="preserve"> de l</w:t>
      </w:r>
      <w:r w:rsidR="002A3CD2" w:rsidRPr="00D52EF5">
        <w:rPr>
          <w:lang w:val="es-ES_tradnl"/>
        </w:rPr>
        <w:t>a</w:t>
      </w:r>
      <w:r w:rsidR="00292C95" w:rsidRPr="00D52EF5">
        <w:rPr>
          <w:lang w:val="es-ES_tradnl"/>
        </w:rPr>
        <w:t>s Partes beneficiarias reconocidas notificar</w:t>
      </w:r>
      <w:r w:rsidR="002A3CD2" w:rsidRPr="00D52EF5">
        <w:rPr>
          <w:lang w:val="es-ES_tradnl"/>
        </w:rPr>
        <w:t>o</w:t>
      </w:r>
      <w:r w:rsidR="00292C95" w:rsidRPr="00D52EF5">
        <w:rPr>
          <w:lang w:val="es-ES_tradnl"/>
        </w:rPr>
        <w:t>n sus necesidades y prioridades, y menos del</w:t>
      </w:r>
      <w:r w:rsidR="00204592" w:rsidRPr="00D52EF5">
        <w:rPr>
          <w:lang w:val="es-ES_tradnl"/>
        </w:rPr>
        <w:t xml:space="preserve"> </w:t>
      </w:r>
      <w:r w:rsidR="00292C95" w:rsidRPr="00D52EF5">
        <w:rPr>
          <w:lang w:val="es-ES_tradnl"/>
        </w:rPr>
        <w:t xml:space="preserve">mínimo </w:t>
      </w:r>
      <w:r w:rsidR="00754773" w:rsidRPr="00D52EF5">
        <w:rPr>
          <w:lang w:val="es-ES_tradnl"/>
        </w:rPr>
        <w:t xml:space="preserve">exigido </w:t>
      </w:r>
      <w:r w:rsidR="00292C95" w:rsidRPr="00D52EF5">
        <w:rPr>
          <w:lang w:val="es-ES_tradnl"/>
        </w:rPr>
        <w:t>d</w:t>
      </w:r>
      <w:bookmarkStart w:id="1" w:name="_GoBack"/>
      <w:bookmarkEnd w:id="1"/>
      <w:r w:rsidR="00754773" w:rsidRPr="00D52EF5">
        <w:rPr>
          <w:lang w:val="es-ES_tradnl"/>
        </w:rPr>
        <w:t>el</w:t>
      </w:r>
      <w:r w:rsidR="00292C95" w:rsidRPr="00D52EF5">
        <w:rPr>
          <w:lang w:val="es-ES_tradnl"/>
        </w:rPr>
        <w:t xml:space="preserve"> 75</w:t>
      </w:r>
      <w:r w:rsidR="009920AC" w:rsidRPr="00D52EF5">
        <w:rPr>
          <w:lang w:val="es-ES_tradnl"/>
        </w:rPr>
        <w:t>%</w:t>
      </w:r>
      <w:r w:rsidR="003236C5" w:rsidRPr="00D52EF5">
        <w:rPr>
          <w:lang w:val="es-ES_tradnl"/>
        </w:rPr>
        <w:t xml:space="preserve"> de la</w:t>
      </w:r>
      <w:r w:rsidR="00414E73" w:rsidRPr="00D52EF5">
        <w:rPr>
          <w:lang w:val="es-ES_tradnl"/>
        </w:rPr>
        <w:t>s Partes,</w:t>
      </w:r>
      <w:r w:rsidR="003236C5" w:rsidRPr="00D52EF5">
        <w:rPr>
          <w:lang w:val="es-ES_tradnl"/>
        </w:rPr>
        <w:t xml:space="preserve"> sobre</w:t>
      </w:r>
      <w:r w:rsidR="00292C95" w:rsidRPr="00D52EF5">
        <w:rPr>
          <w:lang w:val="es-ES_tradnl"/>
        </w:rPr>
        <w:t xml:space="preserve"> las metas</w:t>
      </w:r>
      <w:r w:rsidR="00CF1568" w:rsidRPr="00D52EF5">
        <w:rPr>
          <w:lang w:val="es-ES_tradnl"/>
        </w:rPr>
        <w:t xml:space="preserve">. </w:t>
      </w:r>
      <w:r w:rsidR="00414E73" w:rsidRPr="00D52EF5">
        <w:rPr>
          <w:lang w:val="es-ES_tradnl"/>
        </w:rPr>
        <w:t>Dado</w:t>
      </w:r>
      <w:r w:rsidR="00DA453A" w:rsidRPr="00D52EF5">
        <w:rPr>
          <w:lang w:val="es-ES_tradnl"/>
        </w:rPr>
        <w:t xml:space="preserve"> l</w:t>
      </w:r>
      <w:r w:rsidR="00414E73" w:rsidRPr="00D52EF5">
        <w:rPr>
          <w:lang w:val="es-ES_tradnl"/>
        </w:rPr>
        <w:t>o</w:t>
      </w:r>
      <w:r w:rsidR="00DA453A" w:rsidRPr="00D52EF5">
        <w:rPr>
          <w:lang w:val="es-ES_tradnl"/>
        </w:rPr>
        <w:t xml:space="preserve"> limita</w:t>
      </w:r>
      <w:r w:rsidR="00414E73" w:rsidRPr="00D52EF5">
        <w:rPr>
          <w:lang w:val="es-ES_tradnl"/>
        </w:rPr>
        <w:t>do de</w:t>
      </w:r>
      <w:r w:rsidR="00DA453A" w:rsidRPr="00D52EF5">
        <w:rPr>
          <w:lang w:val="es-ES_tradnl"/>
        </w:rPr>
        <w:t xml:space="preserve"> los </w:t>
      </w:r>
      <w:r w:rsidR="00292C95" w:rsidRPr="00D52EF5">
        <w:rPr>
          <w:lang w:val="es-ES_tradnl"/>
        </w:rPr>
        <w:t>datos facilitados en virtud del marco de presentación de informes financieros vigente</w:t>
      </w:r>
      <w:r w:rsidR="00DA453A" w:rsidRPr="00D52EF5">
        <w:rPr>
          <w:lang w:val="es-ES_tradnl"/>
        </w:rPr>
        <w:t xml:space="preserve">, </w:t>
      </w:r>
      <w:r w:rsidR="00A33A96" w:rsidRPr="00D52EF5">
        <w:rPr>
          <w:lang w:val="es-ES_tradnl"/>
        </w:rPr>
        <w:t xml:space="preserve">es </w:t>
      </w:r>
      <w:r w:rsidR="006040E8" w:rsidRPr="00D52EF5">
        <w:rPr>
          <w:lang w:val="es-ES_tradnl"/>
        </w:rPr>
        <w:t>muy probable</w:t>
      </w:r>
      <w:r w:rsidR="00A33A96" w:rsidRPr="00D52EF5">
        <w:rPr>
          <w:lang w:val="es-ES_tradnl"/>
        </w:rPr>
        <w:t xml:space="preserve"> que</w:t>
      </w:r>
      <w:r w:rsidR="006040E8" w:rsidRPr="00D52EF5">
        <w:rPr>
          <w:lang w:val="es-ES_tradnl"/>
        </w:rPr>
        <w:t xml:space="preserve"> </w:t>
      </w:r>
      <w:r w:rsidR="00D43057" w:rsidRPr="00D52EF5">
        <w:rPr>
          <w:lang w:val="es-ES_tradnl"/>
        </w:rPr>
        <w:t xml:space="preserve">estos </w:t>
      </w:r>
      <w:r w:rsidR="00B3602B" w:rsidRPr="00D52EF5">
        <w:rPr>
          <w:lang w:val="es-ES_tradnl"/>
        </w:rPr>
        <w:t xml:space="preserve">no proporcionen una base de referencia </w:t>
      </w:r>
      <w:r w:rsidR="00DA453A" w:rsidRPr="00D52EF5">
        <w:rPr>
          <w:lang w:val="es-ES_tradnl"/>
        </w:rPr>
        <w:t>sólida</w:t>
      </w:r>
      <w:r w:rsidR="00B3602B" w:rsidRPr="00D52EF5">
        <w:rPr>
          <w:lang w:val="es-ES_tradnl"/>
        </w:rPr>
        <w:t xml:space="preserve"> para los años</w:t>
      </w:r>
      <w:r w:rsidR="00CF1568" w:rsidRPr="00D52EF5">
        <w:rPr>
          <w:lang w:val="es-ES_tradnl"/>
        </w:rPr>
        <w:t xml:space="preserve"> futur</w:t>
      </w:r>
      <w:r w:rsidR="00B3602B" w:rsidRPr="00D52EF5">
        <w:rPr>
          <w:lang w:val="es-ES_tradnl"/>
        </w:rPr>
        <w:t>o</w:t>
      </w:r>
      <w:r w:rsidR="00CF1568" w:rsidRPr="00D52EF5">
        <w:rPr>
          <w:lang w:val="es-ES_tradnl"/>
        </w:rPr>
        <w:t>s</w:t>
      </w:r>
      <w:r w:rsidR="00376FDB" w:rsidRPr="00D52EF5">
        <w:rPr>
          <w:lang w:val="es-ES_tradnl"/>
        </w:rPr>
        <w:t xml:space="preserve"> en relación con el m</w:t>
      </w:r>
      <w:r w:rsidR="006040E8" w:rsidRPr="00D52EF5">
        <w:rPr>
          <w:lang w:val="es-ES_tradnl"/>
        </w:rPr>
        <w:t xml:space="preserve">arco </w:t>
      </w:r>
      <w:r w:rsidR="00376FDB" w:rsidRPr="00D52EF5">
        <w:rPr>
          <w:lang w:val="es-ES_tradnl"/>
        </w:rPr>
        <w:t>mundial de la d</w:t>
      </w:r>
      <w:r w:rsidR="006040E8" w:rsidRPr="00D52EF5">
        <w:rPr>
          <w:lang w:val="es-ES_tradnl"/>
        </w:rPr>
        <w:t xml:space="preserve">iversidad </w:t>
      </w:r>
      <w:r w:rsidR="00485B73" w:rsidRPr="00D52EF5">
        <w:rPr>
          <w:lang w:val="es-ES_tradnl"/>
        </w:rPr>
        <w:t>biológica</w:t>
      </w:r>
      <w:r w:rsidR="006040E8" w:rsidRPr="00D52EF5">
        <w:rPr>
          <w:lang w:val="es-ES_tradnl"/>
        </w:rPr>
        <w:t xml:space="preserve"> posterior a 2020</w:t>
      </w:r>
      <w:r w:rsidR="00CF1568" w:rsidRPr="00D52EF5">
        <w:rPr>
          <w:lang w:val="es-ES_tradnl"/>
        </w:rPr>
        <w:t>.</w:t>
      </w:r>
    </w:p>
    <w:p w14:paraId="0A148D27" w14:textId="1B8A4060" w:rsidR="00CF1568" w:rsidRPr="00D52EF5" w:rsidRDefault="00C77854" w:rsidP="00CF1568">
      <w:pPr>
        <w:pStyle w:val="Para1"/>
        <w:numPr>
          <w:ilvl w:val="0"/>
          <w:numId w:val="13"/>
        </w:numPr>
        <w:suppressLineNumbers/>
        <w:tabs>
          <w:tab w:val="clear" w:pos="360"/>
        </w:tabs>
        <w:suppressAutoHyphens/>
        <w:spacing w:before="120"/>
        <w:rPr>
          <w:lang w:val="es-ES_tradnl"/>
        </w:rPr>
      </w:pPr>
      <w:r w:rsidRPr="00D52EF5">
        <w:rPr>
          <w:lang w:val="es-ES_tradnl"/>
        </w:rPr>
        <w:t>E</w:t>
      </w:r>
      <w:r w:rsidR="00485B73" w:rsidRPr="00D52EF5">
        <w:rPr>
          <w:lang w:val="es-ES_tradnl"/>
        </w:rPr>
        <w:t>n</w:t>
      </w:r>
      <w:r w:rsidR="002A435A" w:rsidRPr="00D52EF5">
        <w:rPr>
          <w:lang w:val="es-ES_tradnl"/>
        </w:rPr>
        <w:t xml:space="preserve"> e</w:t>
      </w:r>
      <w:r w:rsidRPr="00D52EF5">
        <w:rPr>
          <w:lang w:val="es-ES_tradnl"/>
        </w:rPr>
        <w:t xml:space="preserve">l </w:t>
      </w:r>
      <w:r w:rsidR="002A435A" w:rsidRPr="00D52EF5">
        <w:rPr>
          <w:lang w:val="es-ES_tradnl"/>
        </w:rPr>
        <w:t xml:space="preserve">caso del </w:t>
      </w:r>
      <w:r w:rsidRPr="00D52EF5">
        <w:rPr>
          <w:lang w:val="es-ES_tradnl"/>
        </w:rPr>
        <w:t xml:space="preserve">objetivo secundario </w:t>
      </w:r>
      <w:r w:rsidR="00CF1568" w:rsidRPr="00D52EF5">
        <w:rPr>
          <w:lang w:val="es-ES_tradnl"/>
        </w:rPr>
        <w:t>1.2</w:t>
      </w:r>
      <w:r w:rsidRPr="00D52EF5">
        <w:rPr>
          <w:lang w:val="es-ES_tradnl"/>
        </w:rPr>
        <w:t xml:space="preserve">, en cambio, </w:t>
      </w:r>
      <w:r w:rsidR="002A435A" w:rsidRPr="00D52EF5">
        <w:rPr>
          <w:lang w:val="es-ES_tradnl"/>
        </w:rPr>
        <w:t>se obtuvieron</w:t>
      </w:r>
      <w:r w:rsidRPr="00D52EF5">
        <w:rPr>
          <w:lang w:val="es-ES_tradnl"/>
        </w:rPr>
        <w:t xml:space="preserve"> mejores resultados, ya que varias organizaciones internacionales (tales como la</w:t>
      </w:r>
      <w:r w:rsidR="006C1874" w:rsidRPr="00D52EF5">
        <w:rPr>
          <w:lang w:val="es-ES_tradnl"/>
        </w:rPr>
        <w:t xml:space="preserve"> Organización de Cooperación y Desarrollo Económicos</w:t>
      </w:r>
      <w:r w:rsidR="00CF1568" w:rsidRPr="00D52EF5">
        <w:rPr>
          <w:lang w:val="es-ES_tradnl"/>
        </w:rPr>
        <w:t xml:space="preserve"> </w:t>
      </w:r>
      <w:r w:rsidR="002A73B1" w:rsidRPr="00D52EF5">
        <w:rPr>
          <w:lang w:val="es-ES_tradnl"/>
        </w:rPr>
        <w:t>(</w:t>
      </w:r>
      <w:r w:rsidR="00CF1568" w:rsidRPr="00D52EF5">
        <w:rPr>
          <w:lang w:val="es-ES_tradnl"/>
        </w:rPr>
        <w:t>OCD</w:t>
      </w:r>
      <w:r w:rsidRPr="00D52EF5">
        <w:rPr>
          <w:lang w:val="es-ES_tradnl"/>
        </w:rPr>
        <w:t>E</w:t>
      </w:r>
      <w:r w:rsidR="002A73B1" w:rsidRPr="00D52EF5">
        <w:rPr>
          <w:lang w:val="es-ES_tradnl"/>
        </w:rPr>
        <w:t>)</w:t>
      </w:r>
      <w:r w:rsidR="00CF1568" w:rsidRPr="00D52EF5">
        <w:rPr>
          <w:lang w:val="es-ES_tradnl"/>
        </w:rPr>
        <w:t xml:space="preserve">; </w:t>
      </w:r>
      <w:r w:rsidRPr="00D52EF5">
        <w:rPr>
          <w:lang w:val="es-ES_tradnl"/>
        </w:rPr>
        <w:t>el FMAM</w:t>
      </w:r>
      <w:r w:rsidR="00CF1568" w:rsidRPr="00D52EF5">
        <w:rPr>
          <w:lang w:val="es-ES_tradnl"/>
        </w:rPr>
        <w:t xml:space="preserve">; </w:t>
      </w:r>
      <w:r w:rsidRPr="00D52EF5">
        <w:rPr>
          <w:lang w:val="es-ES_tradnl"/>
        </w:rPr>
        <w:t xml:space="preserve">el </w:t>
      </w:r>
      <w:r w:rsidR="006C1874" w:rsidRPr="00D52EF5">
        <w:rPr>
          <w:lang w:val="es-ES_tradnl"/>
        </w:rPr>
        <w:t xml:space="preserve">Programa de las Naciones Unidas para el Desarrollo </w:t>
      </w:r>
      <w:r w:rsidR="002A73B1" w:rsidRPr="00D52EF5">
        <w:rPr>
          <w:lang w:val="es-ES_tradnl"/>
        </w:rPr>
        <w:t>(</w:t>
      </w:r>
      <w:r w:rsidRPr="00D52EF5">
        <w:rPr>
          <w:lang w:val="es-ES_tradnl"/>
        </w:rPr>
        <w:t>PN</w:t>
      </w:r>
      <w:r w:rsidR="00CF1568" w:rsidRPr="00D52EF5">
        <w:rPr>
          <w:lang w:val="es-ES_tradnl"/>
        </w:rPr>
        <w:t>UD</w:t>
      </w:r>
      <w:r w:rsidR="002A73B1" w:rsidRPr="00D52EF5">
        <w:rPr>
          <w:lang w:val="es-ES_tradnl"/>
        </w:rPr>
        <w:t>)</w:t>
      </w:r>
      <w:r w:rsidR="00CF1568" w:rsidRPr="00D52EF5">
        <w:rPr>
          <w:lang w:val="es-ES_tradnl"/>
        </w:rPr>
        <w:t xml:space="preserve">; </w:t>
      </w:r>
      <w:r w:rsidRPr="00D52EF5">
        <w:rPr>
          <w:lang w:val="es-ES_tradnl"/>
        </w:rPr>
        <w:t>y el Programa de las Naciones Unidas para el Medio Ambiente</w:t>
      </w:r>
      <w:r w:rsidR="00CF1568" w:rsidRPr="00D52EF5">
        <w:rPr>
          <w:lang w:val="es-ES_tradnl"/>
        </w:rPr>
        <w:t xml:space="preserve"> </w:t>
      </w:r>
      <w:r w:rsidR="002A73B1" w:rsidRPr="00D52EF5">
        <w:rPr>
          <w:lang w:val="es-ES_tradnl"/>
        </w:rPr>
        <w:t>(</w:t>
      </w:r>
      <w:r w:rsidR="00CF1568" w:rsidRPr="00D52EF5">
        <w:rPr>
          <w:lang w:val="es-ES_tradnl"/>
        </w:rPr>
        <w:t>P</w:t>
      </w:r>
      <w:r w:rsidRPr="00D52EF5">
        <w:rPr>
          <w:lang w:val="es-ES_tradnl"/>
        </w:rPr>
        <w:t>NUMA</w:t>
      </w:r>
      <w:r w:rsidR="00CF1568" w:rsidRPr="00D52EF5">
        <w:rPr>
          <w:lang w:val="es-ES_tradnl"/>
        </w:rPr>
        <w:t>)</w:t>
      </w:r>
      <w:r w:rsidR="002A73B1" w:rsidRPr="00D52EF5">
        <w:rPr>
          <w:lang w:val="es-ES_tradnl"/>
        </w:rPr>
        <w:t>)</w:t>
      </w:r>
      <w:r w:rsidR="002A435A" w:rsidRPr="00D52EF5">
        <w:rPr>
          <w:lang w:val="es-ES_tradnl"/>
        </w:rPr>
        <w:t>,</w:t>
      </w:r>
      <w:r w:rsidR="00CF1568" w:rsidRPr="00D52EF5">
        <w:rPr>
          <w:lang w:val="es-ES_tradnl"/>
        </w:rPr>
        <w:t xml:space="preserve"> as</w:t>
      </w:r>
      <w:r w:rsidRPr="00D52EF5">
        <w:rPr>
          <w:lang w:val="es-ES_tradnl"/>
        </w:rPr>
        <w:t xml:space="preserve">í como algunas organizaciones no </w:t>
      </w:r>
      <w:r w:rsidRPr="00D52EF5">
        <w:rPr>
          <w:lang w:val="es-ES_tradnl"/>
        </w:rPr>
        <w:lastRenderedPageBreak/>
        <w:t>gubernamentales y académicos, ha</w:t>
      </w:r>
      <w:r w:rsidR="002A435A" w:rsidRPr="00D52EF5">
        <w:rPr>
          <w:lang w:val="es-ES_tradnl"/>
        </w:rPr>
        <w:t>n</w:t>
      </w:r>
      <w:r w:rsidRPr="00D52EF5">
        <w:rPr>
          <w:lang w:val="es-ES_tradnl"/>
        </w:rPr>
        <w:t xml:space="preserve"> emprendido e</w:t>
      </w:r>
      <w:r w:rsidR="002C3776" w:rsidRPr="00D52EF5">
        <w:rPr>
          <w:lang w:val="es-ES_tradnl"/>
        </w:rPr>
        <w:t>studios para evaluar los</w:t>
      </w:r>
      <w:r w:rsidR="00CF1568" w:rsidRPr="00D52EF5">
        <w:rPr>
          <w:lang w:val="es-ES_tradnl"/>
        </w:rPr>
        <w:t xml:space="preserve"> cost</w:t>
      </w:r>
      <w:r w:rsidR="002C3776" w:rsidRPr="00D52EF5">
        <w:rPr>
          <w:lang w:val="es-ES_tradnl"/>
        </w:rPr>
        <w:t>o</w:t>
      </w:r>
      <w:r w:rsidR="00CF1568" w:rsidRPr="00D52EF5">
        <w:rPr>
          <w:lang w:val="es-ES_tradnl"/>
        </w:rPr>
        <w:t xml:space="preserve">s </w:t>
      </w:r>
      <w:r w:rsidR="002C3776" w:rsidRPr="00D52EF5">
        <w:rPr>
          <w:lang w:val="es-ES_tradnl"/>
        </w:rPr>
        <w:t xml:space="preserve">económicos de la pérdida de biodiversidad y </w:t>
      </w:r>
      <w:r w:rsidR="002A435A" w:rsidRPr="00D52EF5">
        <w:rPr>
          <w:lang w:val="es-ES_tradnl"/>
        </w:rPr>
        <w:t xml:space="preserve">de </w:t>
      </w:r>
      <w:r w:rsidR="002C3776" w:rsidRPr="00D52EF5">
        <w:rPr>
          <w:lang w:val="es-ES_tradnl"/>
        </w:rPr>
        <w:t>los serv</w:t>
      </w:r>
      <w:r w:rsidR="002A435A" w:rsidRPr="00D52EF5">
        <w:rPr>
          <w:lang w:val="es-ES_tradnl"/>
        </w:rPr>
        <w:t xml:space="preserve">icios de los </w:t>
      </w:r>
      <w:r w:rsidR="00485B73" w:rsidRPr="00D52EF5">
        <w:rPr>
          <w:lang w:val="es-ES_tradnl"/>
        </w:rPr>
        <w:t>ecosistemas</w:t>
      </w:r>
      <w:r w:rsidR="00CF1568" w:rsidRPr="00D52EF5">
        <w:rPr>
          <w:lang w:val="es-ES_tradnl"/>
        </w:rPr>
        <w:t xml:space="preserve">, </w:t>
      </w:r>
      <w:r w:rsidR="002C3776" w:rsidRPr="00D52EF5">
        <w:rPr>
          <w:lang w:val="es-ES_tradnl"/>
        </w:rPr>
        <w:t>y sobre las ventajas de actuar</w:t>
      </w:r>
      <w:r w:rsidR="00CF1568" w:rsidRPr="00D52EF5">
        <w:rPr>
          <w:lang w:val="es-ES_tradnl"/>
        </w:rPr>
        <w:t>.</w:t>
      </w:r>
    </w:p>
    <w:p w14:paraId="5177B4C2" w14:textId="18AD04E0" w:rsidR="00CF1568" w:rsidRPr="00D52EF5" w:rsidRDefault="002A435A" w:rsidP="00CF1568">
      <w:pPr>
        <w:pStyle w:val="Para1"/>
        <w:numPr>
          <w:ilvl w:val="0"/>
          <w:numId w:val="13"/>
        </w:numPr>
        <w:suppressLineNumbers/>
        <w:tabs>
          <w:tab w:val="clear" w:pos="360"/>
        </w:tabs>
        <w:suppressAutoHyphens/>
        <w:spacing w:before="120"/>
        <w:rPr>
          <w:lang w:val="es-ES_tradnl"/>
        </w:rPr>
      </w:pPr>
      <w:r w:rsidRPr="00D52EF5">
        <w:rPr>
          <w:lang w:val="es-ES_tradnl"/>
        </w:rPr>
        <w:t>Las inquietudes</w:t>
      </w:r>
      <w:r w:rsidR="00FF1A53" w:rsidRPr="00D52EF5">
        <w:rPr>
          <w:lang w:val="es-ES_tradnl"/>
        </w:rPr>
        <w:t xml:space="preserve"> en torno a </w:t>
      </w:r>
      <w:r w:rsidR="00557F06" w:rsidRPr="00D52EF5">
        <w:rPr>
          <w:lang w:val="es-ES_tradnl"/>
        </w:rPr>
        <w:t xml:space="preserve">la necesidad de un método sólido y transparente para </w:t>
      </w:r>
      <w:r w:rsidR="00A41AEF" w:rsidRPr="00D52EF5">
        <w:rPr>
          <w:lang w:val="es-ES_tradnl"/>
        </w:rPr>
        <w:t xml:space="preserve">notificar </w:t>
      </w:r>
      <w:r w:rsidR="00557F06" w:rsidRPr="00D52EF5">
        <w:rPr>
          <w:lang w:val="es-ES_tradnl"/>
        </w:rPr>
        <w:t>la movilización de recursos</w:t>
      </w:r>
      <w:r w:rsidR="00FF1A53" w:rsidRPr="00D52EF5">
        <w:rPr>
          <w:lang w:val="es-ES_tradnl"/>
        </w:rPr>
        <w:t xml:space="preserve"> se especificaron</w:t>
      </w:r>
      <w:r w:rsidR="00557F06" w:rsidRPr="00D52EF5">
        <w:rPr>
          <w:lang w:val="es-ES_tradnl"/>
        </w:rPr>
        <w:t>, por ejemplo, en</w:t>
      </w:r>
      <w:r w:rsidR="0083210C" w:rsidRPr="00D52EF5">
        <w:rPr>
          <w:lang w:val="es-ES_tradnl"/>
        </w:rPr>
        <w:t xml:space="preserve"> un taller celebrado en ciudad de México </w:t>
      </w:r>
      <w:r w:rsidR="00557F06" w:rsidRPr="00D52EF5">
        <w:rPr>
          <w:lang w:val="es-ES_tradnl"/>
        </w:rPr>
        <w:t>en 2015</w:t>
      </w:r>
      <w:r w:rsidR="00CF1568" w:rsidRPr="00D52EF5">
        <w:rPr>
          <w:lang w:val="es-ES_tradnl"/>
        </w:rPr>
        <w:t xml:space="preserve">, </w:t>
      </w:r>
      <w:r w:rsidR="00FF1A53" w:rsidRPr="00D52EF5">
        <w:rPr>
          <w:lang w:val="es-ES_tradnl"/>
        </w:rPr>
        <w:t xml:space="preserve">pero queda trabajo por hacer </w:t>
      </w:r>
      <w:r w:rsidR="00381A3F" w:rsidRPr="00D52EF5">
        <w:rPr>
          <w:lang w:val="es-ES_tradnl"/>
        </w:rPr>
        <w:t>para</w:t>
      </w:r>
      <w:r w:rsidR="00557F06" w:rsidRPr="00D52EF5">
        <w:rPr>
          <w:lang w:val="es-ES_tradnl"/>
        </w:rPr>
        <w:t xml:space="preserve"> elab</w:t>
      </w:r>
      <w:r w:rsidR="00CF1568" w:rsidRPr="00D52EF5">
        <w:rPr>
          <w:lang w:val="es-ES_tradnl"/>
        </w:rPr>
        <w:t>o</w:t>
      </w:r>
      <w:r w:rsidR="00557F06" w:rsidRPr="00D52EF5">
        <w:rPr>
          <w:lang w:val="es-ES_tradnl"/>
        </w:rPr>
        <w:t>ra</w:t>
      </w:r>
      <w:r w:rsidR="00381A3F" w:rsidRPr="00D52EF5">
        <w:rPr>
          <w:lang w:val="es-ES_tradnl"/>
        </w:rPr>
        <w:t>r</w:t>
      </w:r>
      <w:r w:rsidR="00557F06" w:rsidRPr="00D52EF5">
        <w:rPr>
          <w:lang w:val="es-ES_tradnl"/>
        </w:rPr>
        <w:t xml:space="preserve"> orientaciones voluntarias convenidas que faciliten la presentación de los informes financieros</w:t>
      </w:r>
      <w:r w:rsidR="00CF1568" w:rsidRPr="00D52EF5">
        <w:rPr>
          <w:lang w:val="es-ES_tradnl"/>
        </w:rPr>
        <w:t xml:space="preserve">. </w:t>
      </w:r>
      <w:r w:rsidR="000A4C4D" w:rsidRPr="00D52EF5">
        <w:rPr>
          <w:lang w:val="es-ES_tradnl"/>
        </w:rPr>
        <w:t xml:space="preserve">Quedan algunos inconvenientes </w:t>
      </w:r>
      <w:r w:rsidR="00815485" w:rsidRPr="00D52EF5">
        <w:rPr>
          <w:lang w:val="es-ES_tradnl"/>
        </w:rPr>
        <w:t>en relación con</w:t>
      </w:r>
      <w:r w:rsidR="000A4C4D" w:rsidRPr="00D52EF5">
        <w:rPr>
          <w:lang w:val="es-ES_tradnl"/>
        </w:rPr>
        <w:t xml:space="preserve"> los marcadores de Rí</w:t>
      </w:r>
      <w:r w:rsidR="00CF1568" w:rsidRPr="00D52EF5">
        <w:rPr>
          <w:lang w:val="es-ES_tradnl"/>
        </w:rPr>
        <w:t xml:space="preserve">o </w:t>
      </w:r>
      <w:r w:rsidR="00A41AEF" w:rsidRPr="00D52EF5">
        <w:rPr>
          <w:lang w:val="es-ES_tradnl"/>
        </w:rPr>
        <w:t>respecto del</w:t>
      </w:r>
      <w:r w:rsidR="00CF1568" w:rsidRPr="00D52EF5">
        <w:rPr>
          <w:lang w:val="es-ES_tradnl"/>
        </w:rPr>
        <w:t xml:space="preserve"> Convenio. </w:t>
      </w:r>
      <w:r w:rsidR="000A4C4D" w:rsidRPr="00D52EF5">
        <w:rPr>
          <w:lang w:val="es-ES_tradnl"/>
        </w:rPr>
        <w:t xml:space="preserve">Las </w:t>
      </w:r>
      <w:r w:rsidR="00381A3F" w:rsidRPr="00D52EF5">
        <w:rPr>
          <w:lang w:val="es-ES_tradnl"/>
        </w:rPr>
        <w:t>directric</w:t>
      </w:r>
      <w:r w:rsidR="000A4C4D" w:rsidRPr="00D52EF5">
        <w:rPr>
          <w:lang w:val="es-ES_tradnl"/>
        </w:rPr>
        <w:t xml:space="preserve">es revisadas </w:t>
      </w:r>
      <w:r w:rsidR="00815485" w:rsidRPr="00D52EF5">
        <w:rPr>
          <w:lang w:val="es-ES_tradnl"/>
        </w:rPr>
        <w:t xml:space="preserve">sobre los </w:t>
      </w:r>
      <w:r w:rsidR="000A4C4D" w:rsidRPr="00D52EF5">
        <w:rPr>
          <w:lang w:val="es-ES_tradnl"/>
        </w:rPr>
        <w:t xml:space="preserve">marcadores de Río </w:t>
      </w:r>
      <w:r w:rsidR="00815485" w:rsidRPr="00D52EF5">
        <w:rPr>
          <w:lang w:val="es-ES_tradnl"/>
        </w:rPr>
        <w:t>para la presentación de informes del Sistema de Notificación de los Países Acreedores (CRS)</w:t>
      </w:r>
      <w:r w:rsidR="00CF1568" w:rsidRPr="00D52EF5">
        <w:rPr>
          <w:lang w:val="es-ES_tradnl"/>
        </w:rPr>
        <w:t xml:space="preserve"> </w:t>
      </w:r>
      <w:r w:rsidR="00815485" w:rsidRPr="00D52EF5">
        <w:rPr>
          <w:lang w:val="es-ES_tradnl"/>
        </w:rPr>
        <w:t xml:space="preserve">sobre la </w:t>
      </w:r>
      <w:r w:rsidR="00CF1568" w:rsidRPr="00D52EF5">
        <w:rPr>
          <w:lang w:val="es-ES_tradnl"/>
        </w:rPr>
        <w:t>biodiversi</w:t>
      </w:r>
      <w:r w:rsidR="00815485" w:rsidRPr="00D52EF5">
        <w:rPr>
          <w:lang w:val="es-ES_tradnl"/>
        </w:rPr>
        <w:t>dad</w:t>
      </w:r>
      <w:r w:rsidR="00CF1568" w:rsidRPr="00D52EF5">
        <w:rPr>
          <w:lang w:val="es-ES_tradnl"/>
        </w:rPr>
        <w:t>, adopt</w:t>
      </w:r>
      <w:r w:rsidR="00815485" w:rsidRPr="00D52EF5">
        <w:rPr>
          <w:lang w:val="es-ES_tradnl"/>
        </w:rPr>
        <w:t>a</w:t>
      </w:r>
      <w:r w:rsidR="00CF1568" w:rsidRPr="00D52EF5">
        <w:rPr>
          <w:lang w:val="es-ES_tradnl"/>
        </w:rPr>
        <w:t>d</w:t>
      </w:r>
      <w:r w:rsidR="00815485" w:rsidRPr="00D52EF5">
        <w:rPr>
          <w:lang w:val="es-ES_tradnl"/>
        </w:rPr>
        <w:t>as</w:t>
      </w:r>
      <w:r w:rsidR="00CF1568" w:rsidRPr="00D52EF5">
        <w:rPr>
          <w:lang w:val="es-ES_tradnl"/>
        </w:rPr>
        <w:t xml:space="preserve"> </w:t>
      </w:r>
      <w:r w:rsidR="00815485" w:rsidRPr="00D52EF5">
        <w:rPr>
          <w:lang w:val="es-ES_tradnl"/>
        </w:rPr>
        <w:t>por la OCDE e</w:t>
      </w:r>
      <w:r w:rsidR="00CF1568" w:rsidRPr="00D52EF5">
        <w:rPr>
          <w:lang w:val="es-ES_tradnl"/>
        </w:rPr>
        <w:t xml:space="preserve">n 2019, </w:t>
      </w:r>
      <w:r w:rsidR="00815485" w:rsidRPr="00D52EF5">
        <w:rPr>
          <w:lang w:val="es-ES_tradnl"/>
        </w:rPr>
        <w:t xml:space="preserve">mejorarán la coherencia en la presentación de informes </w:t>
      </w:r>
      <w:r w:rsidR="00FE2594" w:rsidRPr="00D52EF5">
        <w:rPr>
          <w:lang w:val="es-ES_tradnl"/>
        </w:rPr>
        <w:t>de los países miembros de esa Organización en esta materia en el marco de</w:t>
      </w:r>
      <w:r w:rsidR="00A41AEF" w:rsidRPr="00D52EF5">
        <w:rPr>
          <w:lang w:val="es-ES_tradnl"/>
        </w:rPr>
        <w:t xml:space="preserve"> la asistencia oficial para el desarrollo (AOD)</w:t>
      </w:r>
      <w:r w:rsidR="00CF1568" w:rsidRPr="00D52EF5">
        <w:rPr>
          <w:lang w:val="es-ES_tradnl"/>
        </w:rPr>
        <w:t xml:space="preserve">. </w:t>
      </w:r>
      <w:r w:rsidR="00883BE7" w:rsidRPr="00D52EF5">
        <w:rPr>
          <w:lang w:val="es-ES_tradnl"/>
        </w:rPr>
        <w:t xml:space="preserve">La ampliación </w:t>
      </w:r>
      <w:r w:rsidR="0083311F" w:rsidRPr="00D52EF5">
        <w:rPr>
          <w:lang w:val="es-ES_tradnl"/>
        </w:rPr>
        <w:t xml:space="preserve">y expansión </w:t>
      </w:r>
      <w:r w:rsidR="00883BE7" w:rsidRPr="00D52EF5">
        <w:rPr>
          <w:lang w:val="es-ES_tradnl"/>
        </w:rPr>
        <w:t xml:space="preserve">del método de la BIOFIN también </w:t>
      </w:r>
      <w:r w:rsidR="0083311F" w:rsidRPr="00D52EF5">
        <w:rPr>
          <w:lang w:val="es-ES_tradnl"/>
        </w:rPr>
        <w:t xml:space="preserve">puede </w:t>
      </w:r>
      <w:r w:rsidR="00883BE7" w:rsidRPr="00D52EF5">
        <w:rPr>
          <w:lang w:val="es-ES_tradnl"/>
        </w:rPr>
        <w:t>mejorar la presentación de inform</w:t>
      </w:r>
      <w:r w:rsidR="00EB39B7" w:rsidRPr="00D52EF5">
        <w:rPr>
          <w:lang w:val="es-ES_tradnl"/>
        </w:rPr>
        <w:t>es sobre la financiación nacional</w:t>
      </w:r>
      <w:r w:rsidR="00CF1568" w:rsidRPr="00D52EF5">
        <w:rPr>
          <w:lang w:val="es-ES_tradnl"/>
        </w:rPr>
        <w:t>.</w:t>
      </w:r>
    </w:p>
    <w:p w14:paraId="785E5B07" w14:textId="1787A449" w:rsidR="00CF1568" w:rsidRPr="00D52EF5" w:rsidRDefault="00E131DD" w:rsidP="00CF1568">
      <w:pPr>
        <w:pStyle w:val="Para1"/>
        <w:numPr>
          <w:ilvl w:val="0"/>
          <w:numId w:val="13"/>
        </w:numPr>
        <w:suppressLineNumbers/>
        <w:tabs>
          <w:tab w:val="clear" w:pos="360"/>
        </w:tabs>
        <w:suppressAutoHyphens/>
        <w:spacing w:before="120"/>
        <w:rPr>
          <w:lang w:val="es-ES_tradnl"/>
        </w:rPr>
      </w:pPr>
      <w:r w:rsidRPr="00D52EF5">
        <w:rPr>
          <w:lang w:val="es-ES_tradnl"/>
        </w:rPr>
        <w:t>De cara al futuro, una cuestión fundamental e</w:t>
      </w:r>
      <w:r w:rsidR="00CF1568" w:rsidRPr="00D52EF5">
        <w:rPr>
          <w:lang w:val="es-ES_tradnl"/>
        </w:rPr>
        <w:t xml:space="preserve">s, </w:t>
      </w:r>
      <w:r w:rsidRPr="00D52EF5">
        <w:rPr>
          <w:lang w:val="es-ES_tradnl"/>
        </w:rPr>
        <w:t>pues</w:t>
      </w:r>
      <w:r w:rsidR="00CF1568" w:rsidRPr="00D52EF5">
        <w:rPr>
          <w:lang w:val="es-ES_tradnl"/>
        </w:rPr>
        <w:t xml:space="preserve">, </w:t>
      </w:r>
      <w:r w:rsidR="00A41AEF" w:rsidRPr="00D52EF5">
        <w:rPr>
          <w:lang w:val="es-ES_tradnl"/>
        </w:rPr>
        <w:t xml:space="preserve">encontrar la mejor forma de establecer el método más congruente y fiable de seguimiento de la movilización de recursos destinados a la </w:t>
      </w:r>
      <w:r w:rsidR="00CF1568" w:rsidRPr="00D52EF5">
        <w:rPr>
          <w:lang w:val="es-ES_tradnl"/>
        </w:rPr>
        <w:t>biodiversi</w:t>
      </w:r>
      <w:r w:rsidR="00A41AEF" w:rsidRPr="00D52EF5">
        <w:rPr>
          <w:lang w:val="es-ES_tradnl"/>
        </w:rPr>
        <w:t>dad</w:t>
      </w:r>
      <w:r w:rsidR="00CF1568" w:rsidRPr="00D52EF5">
        <w:rPr>
          <w:lang w:val="es-ES_tradnl"/>
        </w:rPr>
        <w:t xml:space="preserve">, </w:t>
      </w:r>
      <w:r w:rsidR="00A41AEF" w:rsidRPr="00D52EF5">
        <w:rPr>
          <w:lang w:val="es-ES_tradnl"/>
        </w:rPr>
        <w:t>y en particular</w:t>
      </w:r>
      <w:r w:rsidR="00201FF5" w:rsidRPr="00D52EF5">
        <w:rPr>
          <w:lang w:val="es-ES_tradnl"/>
        </w:rPr>
        <w:t>,</w:t>
      </w:r>
      <w:r w:rsidR="00A41AEF" w:rsidRPr="00D52EF5">
        <w:rPr>
          <w:lang w:val="es-ES_tradnl"/>
        </w:rPr>
        <w:t xml:space="preserve"> la medida en que </w:t>
      </w:r>
      <w:r w:rsidR="00201FF5" w:rsidRPr="00D52EF5">
        <w:rPr>
          <w:lang w:val="es-ES_tradnl"/>
        </w:rPr>
        <w:t>lo</w:t>
      </w:r>
      <w:r w:rsidR="00EE1996" w:rsidRPr="00D52EF5">
        <w:rPr>
          <w:lang w:val="es-ES_tradnl"/>
        </w:rPr>
        <w:t>s</w:t>
      </w:r>
      <w:r w:rsidR="00ED48FC" w:rsidRPr="00D52EF5">
        <w:rPr>
          <w:lang w:val="es-ES_tradnl"/>
        </w:rPr>
        <w:t xml:space="preserve"> </w:t>
      </w:r>
      <w:r w:rsidR="00201FF5" w:rsidRPr="00D52EF5">
        <w:rPr>
          <w:lang w:val="es-ES_tradnl"/>
        </w:rPr>
        <w:t>sectore</w:t>
      </w:r>
      <w:r w:rsidR="00EE1996" w:rsidRPr="00D52EF5">
        <w:rPr>
          <w:lang w:val="es-ES_tradnl"/>
        </w:rPr>
        <w:t xml:space="preserve">s </w:t>
      </w:r>
      <w:r w:rsidR="00ED48FC" w:rsidRPr="00D52EF5">
        <w:rPr>
          <w:lang w:val="es-ES_tradnl"/>
        </w:rPr>
        <w:t>comprometid</w:t>
      </w:r>
      <w:r w:rsidR="00201FF5" w:rsidRPr="00D52EF5">
        <w:rPr>
          <w:lang w:val="es-ES_tradnl"/>
        </w:rPr>
        <w:t>o</w:t>
      </w:r>
      <w:r w:rsidR="00DE76E4" w:rsidRPr="00D52EF5">
        <w:rPr>
          <w:lang w:val="es-ES_tradnl"/>
        </w:rPr>
        <w:t>s con</w:t>
      </w:r>
      <w:r w:rsidR="00EE1996" w:rsidRPr="00D52EF5">
        <w:rPr>
          <w:lang w:val="es-ES_tradnl"/>
        </w:rPr>
        <w:t xml:space="preserve"> la diversidad biológica </w:t>
      </w:r>
      <w:r w:rsidR="00CF1568" w:rsidRPr="00D52EF5">
        <w:rPr>
          <w:lang w:val="es-ES_tradnl"/>
        </w:rPr>
        <w:t>decide</w:t>
      </w:r>
      <w:r w:rsidR="00EE1996" w:rsidRPr="00D52EF5">
        <w:rPr>
          <w:lang w:val="es-ES_tradnl"/>
        </w:rPr>
        <w:t>n elaborar un método personalizado propio</w:t>
      </w:r>
      <w:r w:rsidR="00CF1568" w:rsidRPr="00D52EF5">
        <w:rPr>
          <w:lang w:val="es-ES_tradnl"/>
        </w:rPr>
        <w:t>, o</w:t>
      </w:r>
      <w:r w:rsidR="00EE1996" w:rsidRPr="00D52EF5">
        <w:rPr>
          <w:lang w:val="es-ES_tradnl"/>
        </w:rPr>
        <w:t xml:space="preserve"> adhieren plenamente a las normas intern</w:t>
      </w:r>
      <w:r w:rsidR="00201FF5" w:rsidRPr="00D52EF5">
        <w:rPr>
          <w:lang w:val="es-ES_tradnl"/>
        </w:rPr>
        <w:t>acionales de estadística y</w:t>
      </w:r>
      <w:r w:rsidR="00EE1996" w:rsidRPr="00D52EF5">
        <w:rPr>
          <w:lang w:val="es-ES_tradnl"/>
        </w:rPr>
        <w:t xml:space="preserve"> disposiciones en materia de presentación de informes establecidas</w:t>
      </w:r>
      <w:r w:rsidR="00CF1568" w:rsidRPr="00D52EF5">
        <w:rPr>
          <w:lang w:val="es-ES_tradnl"/>
        </w:rPr>
        <w:t xml:space="preserve">. </w:t>
      </w:r>
      <w:r w:rsidR="00EE1996" w:rsidRPr="00D52EF5">
        <w:rPr>
          <w:lang w:val="es-ES_tradnl"/>
        </w:rPr>
        <w:t>Cabe mencionar que el trabajo en curso de</w:t>
      </w:r>
      <w:r w:rsidR="00184900" w:rsidRPr="00D52EF5">
        <w:rPr>
          <w:lang w:val="es-ES_tradnl"/>
        </w:rPr>
        <w:t xml:space="preserve"> </w:t>
      </w:r>
      <w:r w:rsidR="00EE1996" w:rsidRPr="00D52EF5">
        <w:rPr>
          <w:lang w:val="es-ES_tradnl"/>
        </w:rPr>
        <w:t xml:space="preserve">la </w:t>
      </w:r>
      <w:r w:rsidR="00184900" w:rsidRPr="00D52EF5">
        <w:rPr>
          <w:lang w:val="es-ES_tradnl"/>
        </w:rPr>
        <w:t xml:space="preserve">Dirección de Medio Ambiente de la OCDE sobre la formulación de un método </w:t>
      </w:r>
      <w:r w:rsidR="006C519E" w:rsidRPr="00D52EF5">
        <w:rPr>
          <w:lang w:val="es-ES_tradnl"/>
        </w:rPr>
        <w:t xml:space="preserve">que permita obtener una panorámica de la financiación mundial de la diversidad biológica </w:t>
      </w:r>
      <w:r w:rsidR="00CF1568" w:rsidRPr="00D52EF5">
        <w:rPr>
          <w:lang w:val="es-ES_tradnl"/>
        </w:rPr>
        <w:t>reve</w:t>
      </w:r>
      <w:r w:rsidR="00C0303F" w:rsidRPr="00D52EF5">
        <w:rPr>
          <w:lang w:val="es-ES_tradnl"/>
        </w:rPr>
        <w:t>l</w:t>
      </w:r>
      <w:r w:rsidR="00CF1568" w:rsidRPr="00D52EF5">
        <w:rPr>
          <w:lang w:val="es-ES_tradnl"/>
        </w:rPr>
        <w:t xml:space="preserve">a </w:t>
      </w:r>
      <w:r w:rsidR="00C0303F" w:rsidRPr="00D52EF5">
        <w:rPr>
          <w:lang w:val="es-ES_tradnl"/>
        </w:rPr>
        <w:t>diferencias sustanciales entre los paí</w:t>
      </w:r>
      <w:r w:rsidR="0047158F" w:rsidRPr="00D52EF5">
        <w:rPr>
          <w:lang w:val="es-ES_tradnl"/>
        </w:rPr>
        <w:t>s</w:t>
      </w:r>
      <w:r w:rsidR="00C0303F" w:rsidRPr="00D52EF5">
        <w:rPr>
          <w:lang w:val="es-ES_tradnl"/>
        </w:rPr>
        <w:t xml:space="preserve">es en cuanto a la forma </w:t>
      </w:r>
      <w:r w:rsidR="0047158F" w:rsidRPr="00D52EF5">
        <w:rPr>
          <w:lang w:val="es-ES_tradnl"/>
        </w:rPr>
        <w:t>de facilitar la</w:t>
      </w:r>
      <w:r w:rsidR="00C0303F" w:rsidRPr="00D52EF5">
        <w:rPr>
          <w:lang w:val="es-ES_tradnl"/>
        </w:rPr>
        <w:t xml:space="preserve"> información </w:t>
      </w:r>
      <w:r w:rsidR="0047158F" w:rsidRPr="00D52EF5">
        <w:rPr>
          <w:lang w:val="es-ES_tradnl"/>
        </w:rPr>
        <w:t xml:space="preserve">tanto sobre </w:t>
      </w:r>
      <w:r w:rsidR="006C519E" w:rsidRPr="00D52EF5">
        <w:rPr>
          <w:lang w:val="es-ES_tradnl"/>
        </w:rPr>
        <w:t xml:space="preserve">el gasto nacional como </w:t>
      </w:r>
      <w:r w:rsidR="00D43057" w:rsidRPr="00D52EF5">
        <w:rPr>
          <w:lang w:val="es-ES_tradnl"/>
        </w:rPr>
        <w:t xml:space="preserve">sobre </w:t>
      </w:r>
      <w:r w:rsidR="0047158F" w:rsidRPr="00D52EF5">
        <w:rPr>
          <w:lang w:val="es-ES_tradnl"/>
        </w:rPr>
        <w:t xml:space="preserve">el gasto </w:t>
      </w:r>
      <w:r w:rsidR="006C519E" w:rsidRPr="00D52EF5">
        <w:rPr>
          <w:lang w:val="es-ES_tradnl"/>
        </w:rPr>
        <w:t xml:space="preserve">internacional </w:t>
      </w:r>
      <w:r w:rsidR="0047158F" w:rsidRPr="00D52EF5">
        <w:rPr>
          <w:lang w:val="es-ES_tradnl"/>
        </w:rPr>
        <w:t xml:space="preserve">en relación con la </w:t>
      </w:r>
      <w:r w:rsidR="006C519E" w:rsidRPr="00D52EF5">
        <w:rPr>
          <w:lang w:val="es-ES_tradnl"/>
        </w:rPr>
        <w:t>biodiversidad</w:t>
      </w:r>
      <w:r w:rsidR="00CF1568" w:rsidRPr="00D52EF5">
        <w:rPr>
          <w:lang w:val="es-ES_tradnl"/>
        </w:rPr>
        <w:t>.</w:t>
      </w:r>
    </w:p>
    <w:p w14:paraId="56D7129A" w14:textId="66209D90" w:rsidR="00CF1568" w:rsidRPr="00D52EF5" w:rsidRDefault="00201FF5" w:rsidP="00CF1568">
      <w:pPr>
        <w:pStyle w:val="Para1"/>
        <w:numPr>
          <w:ilvl w:val="0"/>
          <w:numId w:val="13"/>
        </w:numPr>
        <w:suppressLineNumbers/>
        <w:tabs>
          <w:tab w:val="clear" w:pos="360"/>
        </w:tabs>
        <w:suppressAutoHyphens/>
        <w:spacing w:before="120"/>
        <w:rPr>
          <w:lang w:val="es-ES_tradnl"/>
        </w:rPr>
      </w:pPr>
      <w:r w:rsidRPr="00D52EF5">
        <w:rPr>
          <w:lang w:val="es-ES_tradnl"/>
        </w:rPr>
        <w:t>Convendría potenci</w:t>
      </w:r>
      <w:r w:rsidR="00051275" w:rsidRPr="00D52EF5">
        <w:rPr>
          <w:lang w:val="es-ES_tradnl"/>
        </w:rPr>
        <w:t xml:space="preserve">ar </w:t>
      </w:r>
      <w:r w:rsidR="006C519E" w:rsidRPr="00D52EF5">
        <w:rPr>
          <w:lang w:val="es-ES_tradnl"/>
        </w:rPr>
        <w:t xml:space="preserve">el uso del </w:t>
      </w:r>
      <w:r w:rsidR="006C519E" w:rsidRPr="00D52EF5">
        <w:rPr>
          <w:kern w:val="22"/>
          <w:szCs w:val="22"/>
          <w:lang w:val="es-ES_tradnl"/>
        </w:rPr>
        <w:t xml:space="preserve">Sistema de Notificación de los Países Acreedores </w:t>
      </w:r>
      <w:r w:rsidRPr="00D52EF5">
        <w:rPr>
          <w:kern w:val="22"/>
          <w:szCs w:val="22"/>
          <w:lang w:val="es-ES_tradnl"/>
        </w:rPr>
        <w:t xml:space="preserve">(CRS) </w:t>
      </w:r>
      <w:r w:rsidR="006C519E" w:rsidRPr="00D52EF5">
        <w:rPr>
          <w:kern w:val="22"/>
          <w:szCs w:val="22"/>
          <w:lang w:val="es-ES_tradnl"/>
        </w:rPr>
        <w:t>de la OCDE</w:t>
      </w:r>
      <w:r w:rsidR="00CF1568" w:rsidRPr="00D52EF5">
        <w:rPr>
          <w:lang w:val="es-ES_tradnl"/>
        </w:rPr>
        <w:t xml:space="preserve">, </w:t>
      </w:r>
      <w:r w:rsidR="00051275" w:rsidRPr="00D52EF5">
        <w:rPr>
          <w:lang w:val="es-ES_tradnl"/>
        </w:rPr>
        <w:t xml:space="preserve">y </w:t>
      </w:r>
      <w:r w:rsidRPr="00D52EF5">
        <w:rPr>
          <w:lang w:val="es-ES_tradnl"/>
        </w:rPr>
        <w:t xml:space="preserve">la precisión </w:t>
      </w:r>
      <w:r w:rsidR="00051275" w:rsidRPr="00D52EF5">
        <w:rPr>
          <w:lang w:val="es-ES_tradnl"/>
        </w:rPr>
        <w:t xml:space="preserve">del </w:t>
      </w:r>
      <w:r w:rsidR="006C519E" w:rsidRPr="00D52EF5">
        <w:rPr>
          <w:lang w:val="es-ES_tradnl"/>
        </w:rPr>
        <w:t xml:space="preserve">método de </w:t>
      </w:r>
      <w:r w:rsidR="00051275" w:rsidRPr="00D52EF5">
        <w:rPr>
          <w:lang w:val="es-ES_tradnl"/>
        </w:rPr>
        <w:t xml:space="preserve">los </w:t>
      </w:r>
      <w:r w:rsidR="006C519E" w:rsidRPr="00D52EF5">
        <w:rPr>
          <w:lang w:val="es-ES_tradnl"/>
        </w:rPr>
        <w:t>marcadores de Río</w:t>
      </w:r>
      <w:r w:rsidR="00CF1568" w:rsidRPr="00D52EF5">
        <w:rPr>
          <w:lang w:val="es-ES_tradnl"/>
        </w:rPr>
        <w:t xml:space="preserve">, </w:t>
      </w:r>
      <w:r w:rsidR="006C519E" w:rsidRPr="00D52EF5">
        <w:rPr>
          <w:lang w:val="es-ES_tradnl"/>
        </w:rPr>
        <w:t xml:space="preserve">e invitar a </w:t>
      </w:r>
      <w:r w:rsidR="00051275" w:rsidRPr="00D52EF5">
        <w:rPr>
          <w:lang w:val="es-ES_tradnl"/>
        </w:rPr>
        <w:t>actores no pertenecientes</w:t>
      </w:r>
      <w:r w:rsidR="006C519E" w:rsidRPr="00D52EF5">
        <w:rPr>
          <w:lang w:val="es-ES_tradnl"/>
        </w:rPr>
        <w:t xml:space="preserve"> </w:t>
      </w:r>
      <w:r w:rsidR="00051275" w:rsidRPr="00D52EF5">
        <w:rPr>
          <w:lang w:val="es-ES_tradnl"/>
        </w:rPr>
        <w:t>a</w:t>
      </w:r>
      <w:r w:rsidR="006C519E" w:rsidRPr="00D52EF5">
        <w:rPr>
          <w:lang w:val="es-ES_tradnl"/>
        </w:rPr>
        <w:t>l Comité de Asistencia para el Desarrollo (CAD) de la OCDE</w:t>
      </w:r>
      <w:r w:rsidR="00CF1568" w:rsidRPr="00D52EF5">
        <w:rPr>
          <w:lang w:val="es-ES_tradnl"/>
        </w:rPr>
        <w:t xml:space="preserve"> </w:t>
      </w:r>
      <w:r w:rsidR="00051275" w:rsidRPr="00D52EF5">
        <w:rPr>
          <w:lang w:val="es-ES_tradnl"/>
        </w:rPr>
        <w:t xml:space="preserve">y a </w:t>
      </w:r>
      <w:r w:rsidR="006C519E" w:rsidRPr="00D52EF5">
        <w:rPr>
          <w:lang w:val="es-ES_tradnl"/>
        </w:rPr>
        <w:t xml:space="preserve">bancos </w:t>
      </w:r>
      <w:r w:rsidR="00485B73" w:rsidRPr="00D52EF5">
        <w:rPr>
          <w:lang w:val="es-ES_tradnl"/>
        </w:rPr>
        <w:t>multilaterales</w:t>
      </w:r>
      <w:r w:rsidR="006C519E" w:rsidRPr="00D52EF5">
        <w:rPr>
          <w:lang w:val="es-ES_tradnl"/>
        </w:rPr>
        <w:t xml:space="preserve"> de desarrollo</w:t>
      </w:r>
      <w:r w:rsidR="00051275" w:rsidRPr="00D52EF5">
        <w:rPr>
          <w:lang w:val="es-ES_tradnl"/>
        </w:rPr>
        <w:t xml:space="preserve"> a aportar datos de modo voluntario y coherente.</w:t>
      </w:r>
    </w:p>
    <w:p w14:paraId="13F18FEA" w14:textId="560091E9" w:rsidR="00CF1568" w:rsidRPr="00D52EF5" w:rsidRDefault="00755A10" w:rsidP="00CF1568">
      <w:pPr>
        <w:pStyle w:val="Para1"/>
        <w:numPr>
          <w:ilvl w:val="0"/>
          <w:numId w:val="13"/>
        </w:numPr>
        <w:suppressLineNumbers/>
        <w:tabs>
          <w:tab w:val="clear" w:pos="360"/>
        </w:tabs>
        <w:suppressAutoHyphens/>
        <w:spacing w:before="120"/>
        <w:rPr>
          <w:lang w:val="es-ES_tradnl"/>
        </w:rPr>
      </w:pPr>
      <w:r w:rsidRPr="00D52EF5">
        <w:rPr>
          <w:lang w:val="es-ES_tradnl"/>
        </w:rPr>
        <w:t>Se podría</w:t>
      </w:r>
      <w:r w:rsidR="00A82D77" w:rsidRPr="00D52EF5">
        <w:rPr>
          <w:lang w:val="es-ES_tradnl"/>
        </w:rPr>
        <w:t>n</w:t>
      </w:r>
      <w:r w:rsidRPr="00D52EF5">
        <w:rPr>
          <w:lang w:val="es-ES_tradnl"/>
        </w:rPr>
        <w:t xml:space="preserve"> me</w:t>
      </w:r>
      <w:r w:rsidR="00A82D77" w:rsidRPr="00D52EF5">
        <w:rPr>
          <w:lang w:val="es-ES_tradnl"/>
        </w:rPr>
        <w:t xml:space="preserve">jorar los datos sobre el gasto nacional </w:t>
      </w:r>
      <w:r w:rsidRPr="00D52EF5">
        <w:rPr>
          <w:lang w:val="es-ES_tradnl"/>
        </w:rPr>
        <w:t xml:space="preserve">en </w:t>
      </w:r>
      <w:r w:rsidR="00A82D77" w:rsidRPr="00D52EF5">
        <w:rPr>
          <w:lang w:val="es-ES_tradnl"/>
        </w:rPr>
        <w:t xml:space="preserve">relación con </w:t>
      </w:r>
      <w:r w:rsidRPr="00D52EF5">
        <w:rPr>
          <w:lang w:val="es-ES_tradnl"/>
        </w:rPr>
        <w:t>la diversidad biológica</w:t>
      </w:r>
      <w:r w:rsidR="00CF1568" w:rsidRPr="00D52EF5">
        <w:rPr>
          <w:lang w:val="es-ES_tradnl"/>
        </w:rPr>
        <w:t xml:space="preserve">, </w:t>
      </w:r>
      <w:r w:rsidRPr="00D52EF5">
        <w:rPr>
          <w:lang w:val="es-ES_tradnl"/>
        </w:rPr>
        <w:t xml:space="preserve">y </w:t>
      </w:r>
      <w:r w:rsidR="00301F61" w:rsidRPr="00D52EF5">
        <w:rPr>
          <w:lang w:val="es-ES_tradnl"/>
        </w:rPr>
        <w:t xml:space="preserve">sobre </w:t>
      </w:r>
      <w:r w:rsidRPr="00D52EF5">
        <w:rPr>
          <w:lang w:val="es-ES_tradnl"/>
        </w:rPr>
        <w:t>el gasto indirecto en la materia</w:t>
      </w:r>
      <w:r w:rsidR="00301F61" w:rsidRPr="00D52EF5">
        <w:rPr>
          <w:lang w:val="es-ES_tradnl"/>
        </w:rPr>
        <w:t>, colaborando con el marco de estadísticas de finanzas públicas, del Fondo Monetario Internacional (FMI)</w:t>
      </w:r>
      <w:r w:rsidR="00CF1568" w:rsidRPr="00D52EF5">
        <w:rPr>
          <w:lang w:val="es-ES_tradnl"/>
        </w:rPr>
        <w:t xml:space="preserve">, </w:t>
      </w:r>
      <w:r w:rsidR="00301F61" w:rsidRPr="00D52EF5">
        <w:rPr>
          <w:lang w:val="es-ES_tradnl"/>
        </w:rPr>
        <w:t>el Comité de Expertos sobre Contabilidad Ambiental y Económica (CECAE), de las Naciones Unidas y la División de Estadística de las Naciones Unidas.</w:t>
      </w:r>
    </w:p>
    <w:p w14:paraId="352AC20D" w14:textId="61EFFDCF" w:rsidR="00CF1568" w:rsidRPr="00D52EF5" w:rsidRDefault="00301F61" w:rsidP="00CF1568">
      <w:pPr>
        <w:pStyle w:val="Para1"/>
        <w:numPr>
          <w:ilvl w:val="0"/>
          <w:numId w:val="13"/>
        </w:numPr>
        <w:suppressLineNumbers/>
        <w:tabs>
          <w:tab w:val="clear" w:pos="360"/>
        </w:tabs>
        <w:suppressAutoHyphens/>
        <w:spacing w:before="120"/>
        <w:rPr>
          <w:lang w:val="es-ES_tradnl"/>
        </w:rPr>
      </w:pPr>
      <w:r w:rsidRPr="00D52EF5">
        <w:rPr>
          <w:lang w:val="es-ES_tradnl"/>
        </w:rPr>
        <w:t xml:space="preserve">En </w:t>
      </w:r>
      <w:r w:rsidR="00A82D77" w:rsidRPr="00D52EF5">
        <w:rPr>
          <w:lang w:val="es-ES_tradnl"/>
        </w:rPr>
        <w:t>las</w:t>
      </w:r>
      <w:r w:rsidRPr="00D52EF5">
        <w:rPr>
          <w:lang w:val="es-ES_tradnl"/>
        </w:rPr>
        <w:t xml:space="preserve"> bases de datos </w:t>
      </w:r>
      <w:r w:rsidR="00A82D77" w:rsidRPr="00D52EF5">
        <w:rPr>
          <w:lang w:val="es-ES_tradnl"/>
        </w:rPr>
        <w:t xml:space="preserve">pertinentes </w:t>
      </w:r>
      <w:r w:rsidRPr="00D52EF5">
        <w:rPr>
          <w:lang w:val="es-ES_tradnl"/>
        </w:rPr>
        <w:t xml:space="preserve">de la OCDE ya se recopilan datos sobre los flujos de financiación y </w:t>
      </w:r>
      <w:r w:rsidR="00201FF5" w:rsidRPr="00D52EF5">
        <w:rPr>
          <w:lang w:val="es-ES_tradnl"/>
        </w:rPr>
        <w:t xml:space="preserve">las </w:t>
      </w:r>
      <w:r w:rsidRPr="00D52EF5">
        <w:rPr>
          <w:lang w:val="es-ES_tradnl"/>
        </w:rPr>
        <w:t>subvenciones</w:t>
      </w:r>
      <w:r w:rsidR="00A82D77" w:rsidRPr="00D52EF5">
        <w:rPr>
          <w:lang w:val="es-ES_tradnl"/>
        </w:rPr>
        <w:t>,</w:t>
      </w:r>
      <w:r w:rsidRPr="00D52EF5">
        <w:rPr>
          <w:lang w:val="es-ES_tradnl"/>
        </w:rPr>
        <w:t xml:space="preserve"> y</w:t>
      </w:r>
      <w:r w:rsidR="00A82D77" w:rsidRPr="00D52EF5">
        <w:rPr>
          <w:lang w:val="es-ES_tradnl"/>
        </w:rPr>
        <w:t xml:space="preserve"> sobre</w:t>
      </w:r>
      <w:r w:rsidR="00201FF5" w:rsidRPr="00D52EF5">
        <w:rPr>
          <w:lang w:val="es-ES_tradnl"/>
        </w:rPr>
        <w:t xml:space="preserve"> sus repercusiones </w:t>
      </w:r>
      <w:r w:rsidRPr="00D52EF5">
        <w:rPr>
          <w:lang w:val="es-ES_tradnl"/>
        </w:rPr>
        <w:t>e</w:t>
      </w:r>
      <w:r w:rsidR="00201FF5" w:rsidRPr="00D52EF5">
        <w:rPr>
          <w:lang w:val="es-ES_tradnl"/>
        </w:rPr>
        <w:t>n</w:t>
      </w:r>
      <w:r w:rsidRPr="00D52EF5">
        <w:rPr>
          <w:lang w:val="es-ES_tradnl"/>
        </w:rPr>
        <w:t xml:space="preserve"> la biodiversidad; concretamente, la estimación de la ayuda a</w:t>
      </w:r>
      <w:r w:rsidR="00201FF5" w:rsidRPr="00D52EF5">
        <w:rPr>
          <w:lang w:val="es-ES_tradnl"/>
        </w:rPr>
        <w:t xml:space="preserve"> </w:t>
      </w:r>
      <w:r w:rsidRPr="00D52EF5">
        <w:rPr>
          <w:lang w:val="es-ES_tradnl"/>
        </w:rPr>
        <w:t>l</w:t>
      </w:r>
      <w:r w:rsidR="00201FF5" w:rsidRPr="00D52EF5">
        <w:rPr>
          <w:lang w:val="es-ES_tradnl"/>
        </w:rPr>
        <w:t>os</w:t>
      </w:r>
      <w:r w:rsidRPr="00D52EF5">
        <w:rPr>
          <w:lang w:val="es-ES_tradnl"/>
        </w:rPr>
        <w:t xml:space="preserve"> productor</w:t>
      </w:r>
      <w:r w:rsidR="00201FF5" w:rsidRPr="00D52EF5">
        <w:rPr>
          <w:lang w:val="es-ES_tradnl"/>
        </w:rPr>
        <w:t>es</w:t>
      </w:r>
      <w:r w:rsidRPr="00D52EF5">
        <w:rPr>
          <w:lang w:val="es-ES_tradnl"/>
        </w:rPr>
        <w:t xml:space="preserve"> </w:t>
      </w:r>
      <w:r w:rsidR="00201FF5" w:rsidRPr="00D52EF5">
        <w:rPr>
          <w:lang w:val="es-ES_tradnl"/>
        </w:rPr>
        <w:t>agrícolas</w:t>
      </w:r>
      <w:r w:rsidR="00CF1568" w:rsidRPr="00D52EF5">
        <w:rPr>
          <w:lang w:val="es-ES_tradnl"/>
        </w:rPr>
        <w:t xml:space="preserve"> </w:t>
      </w:r>
      <w:r w:rsidR="00A82D77" w:rsidRPr="00D52EF5">
        <w:rPr>
          <w:lang w:val="es-ES_tradnl"/>
        </w:rPr>
        <w:t xml:space="preserve">(Producer </w:t>
      </w:r>
      <w:proofErr w:type="spellStart"/>
      <w:r w:rsidR="00A82D77" w:rsidRPr="00D52EF5">
        <w:rPr>
          <w:lang w:val="es-ES_tradnl"/>
        </w:rPr>
        <w:t>Support</w:t>
      </w:r>
      <w:proofErr w:type="spellEnd"/>
      <w:r w:rsidR="00A82D77" w:rsidRPr="00D52EF5">
        <w:rPr>
          <w:lang w:val="es-ES_tradnl"/>
        </w:rPr>
        <w:t xml:space="preserve"> </w:t>
      </w:r>
      <w:proofErr w:type="spellStart"/>
      <w:r w:rsidR="00A82D77" w:rsidRPr="00D52EF5">
        <w:rPr>
          <w:lang w:val="es-ES_tradnl"/>
        </w:rPr>
        <w:t>Estimate</w:t>
      </w:r>
      <w:proofErr w:type="spellEnd"/>
      <w:r w:rsidR="00A82D77" w:rsidRPr="00D52EF5">
        <w:rPr>
          <w:lang w:val="es-ES_tradnl"/>
        </w:rPr>
        <w:t xml:space="preserve">, EAP) </w:t>
      </w:r>
      <w:r w:rsidRPr="00D52EF5">
        <w:rPr>
          <w:lang w:val="es-ES_tradnl"/>
        </w:rPr>
        <w:t xml:space="preserve">y los </w:t>
      </w:r>
      <w:r w:rsidR="00485B73" w:rsidRPr="00D52EF5">
        <w:rPr>
          <w:lang w:val="es-ES_tradnl"/>
        </w:rPr>
        <w:t>instrumentos</w:t>
      </w:r>
      <w:r w:rsidRPr="00D52EF5">
        <w:rPr>
          <w:lang w:val="es-ES_tradnl"/>
        </w:rPr>
        <w:t xml:space="preserve"> de política ambient</w:t>
      </w:r>
      <w:r w:rsidR="00232DB9" w:rsidRPr="00D52EF5">
        <w:rPr>
          <w:lang w:val="es-ES_tradnl"/>
        </w:rPr>
        <w:t>al</w:t>
      </w:r>
      <w:r w:rsidR="00CF1568" w:rsidRPr="00D52EF5">
        <w:rPr>
          <w:lang w:val="es-ES_tradnl"/>
        </w:rPr>
        <w:t xml:space="preserve"> (</w:t>
      </w:r>
      <w:proofErr w:type="spellStart"/>
      <w:r w:rsidR="000A0E97" w:rsidRPr="00D52EF5">
        <w:rPr>
          <w:lang w:val="es-ES_tradnl"/>
        </w:rPr>
        <w:t>Policy</w:t>
      </w:r>
      <w:proofErr w:type="spellEnd"/>
      <w:r w:rsidR="000A0E97" w:rsidRPr="00D52EF5">
        <w:rPr>
          <w:lang w:val="es-ES_tradnl"/>
        </w:rPr>
        <w:t xml:space="preserve"> Instruments </w:t>
      </w:r>
      <w:proofErr w:type="spellStart"/>
      <w:r w:rsidR="000A0E97" w:rsidRPr="00D52EF5">
        <w:rPr>
          <w:lang w:val="es-ES_tradnl"/>
        </w:rPr>
        <w:t>for</w:t>
      </w:r>
      <w:proofErr w:type="spellEnd"/>
      <w:r w:rsidR="000A0E97" w:rsidRPr="00D52EF5">
        <w:rPr>
          <w:lang w:val="es-ES_tradnl"/>
        </w:rPr>
        <w:t xml:space="preserve"> </w:t>
      </w:r>
      <w:proofErr w:type="spellStart"/>
      <w:r w:rsidR="000A0E97" w:rsidRPr="00D52EF5">
        <w:rPr>
          <w:lang w:val="es-ES_tradnl"/>
        </w:rPr>
        <w:t>the</w:t>
      </w:r>
      <w:proofErr w:type="spellEnd"/>
      <w:r w:rsidR="000A0E97" w:rsidRPr="00D52EF5">
        <w:rPr>
          <w:lang w:val="es-ES_tradnl"/>
        </w:rPr>
        <w:t xml:space="preserve"> </w:t>
      </w:r>
      <w:proofErr w:type="spellStart"/>
      <w:r w:rsidR="000A0E97" w:rsidRPr="00D52EF5">
        <w:rPr>
          <w:lang w:val="es-ES_tradnl"/>
        </w:rPr>
        <w:t>Environment</w:t>
      </w:r>
      <w:proofErr w:type="spellEnd"/>
      <w:r w:rsidR="00232DB9" w:rsidRPr="00D52EF5">
        <w:rPr>
          <w:lang w:val="es-ES_tradnl"/>
        </w:rPr>
        <w:t xml:space="preserve">, </w:t>
      </w:r>
      <w:r w:rsidR="00CF1568" w:rsidRPr="00D52EF5">
        <w:rPr>
          <w:lang w:val="es-ES_tradnl"/>
        </w:rPr>
        <w:t xml:space="preserve">PINE). </w:t>
      </w:r>
      <w:r w:rsidR="00232DB9" w:rsidRPr="00D52EF5">
        <w:rPr>
          <w:lang w:val="es-ES_tradnl"/>
        </w:rPr>
        <w:t xml:space="preserve">Se podría fomentar el uso de </w:t>
      </w:r>
      <w:r w:rsidR="006C19C9" w:rsidRPr="00D52EF5">
        <w:rPr>
          <w:lang w:val="es-ES_tradnl"/>
        </w:rPr>
        <w:t>es</w:t>
      </w:r>
      <w:r w:rsidR="00EA03ED" w:rsidRPr="00D52EF5">
        <w:rPr>
          <w:lang w:val="es-ES_tradnl"/>
        </w:rPr>
        <w:t>os datos</w:t>
      </w:r>
      <w:r w:rsidR="00232DB9" w:rsidRPr="00D52EF5">
        <w:rPr>
          <w:lang w:val="es-ES_tradnl"/>
        </w:rPr>
        <w:t xml:space="preserve">, e incluso ampliar </w:t>
      </w:r>
      <w:r w:rsidR="00D43057" w:rsidRPr="00D52EF5">
        <w:rPr>
          <w:lang w:val="es-ES_tradnl"/>
        </w:rPr>
        <w:t>las fuentes para conta</w:t>
      </w:r>
      <w:r w:rsidR="00201FF5" w:rsidRPr="00D52EF5">
        <w:rPr>
          <w:lang w:val="es-ES_tradnl"/>
        </w:rPr>
        <w:t>r</w:t>
      </w:r>
      <w:r w:rsidR="00D43057" w:rsidRPr="00D52EF5">
        <w:rPr>
          <w:lang w:val="es-ES_tradnl"/>
        </w:rPr>
        <w:t xml:space="preserve"> con</w:t>
      </w:r>
      <w:r w:rsidR="00201FF5" w:rsidRPr="00D52EF5">
        <w:rPr>
          <w:lang w:val="es-ES_tradnl"/>
        </w:rPr>
        <w:t xml:space="preserve"> </w:t>
      </w:r>
      <w:r w:rsidR="00232DB9" w:rsidRPr="00D52EF5">
        <w:rPr>
          <w:lang w:val="es-ES_tradnl"/>
        </w:rPr>
        <w:t xml:space="preserve">datos </w:t>
      </w:r>
      <w:r w:rsidR="00201FF5" w:rsidRPr="00D52EF5">
        <w:rPr>
          <w:lang w:val="es-ES_tradnl"/>
        </w:rPr>
        <w:t>de</w:t>
      </w:r>
      <w:r w:rsidR="00232DB9" w:rsidRPr="00D52EF5">
        <w:rPr>
          <w:lang w:val="es-ES_tradnl"/>
        </w:rPr>
        <w:t xml:space="preserve"> otros sectores de la economía, por ejemplo, la base de datos </w:t>
      </w:r>
      <w:r w:rsidR="00EA03ED" w:rsidRPr="00D52EF5">
        <w:rPr>
          <w:lang w:val="es-ES_tradnl"/>
        </w:rPr>
        <w:t>sobre la estimación de la ayuda a la industria pesquera</w:t>
      </w:r>
      <w:r w:rsidR="00CF1568" w:rsidRPr="00D52EF5">
        <w:rPr>
          <w:lang w:val="es-ES_tradnl"/>
        </w:rPr>
        <w:t xml:space="preserve"> </w:t>
      </w:r>
      <w:r w:rsidR="00EA03ED" w:rsidRPr="00D52EF5">
        <w:rPr>
          <w:lang w:val="es-ES_tradnl"/>
        </w:rPr>
        <w:t>(</w:t>
      </w:r>
      <w:proofErr w:type="spellStart"/>
      <w:r w:rsidR="00EA03ED" w:rsidRPr="00D52EF5">
        <w:rPr>
          <w:lang w:val="es-ES_tradnl"/>
        </w:rPr>
        <w:t>Fisheries</w:t>
      </w:r>
      <w:proofErr w:type="spellEnd"/>
      <w:r w:rsidR="00EA03ED" w:rsidRPr="00D52EF5">
        <w:rPr>
          <w:lang w:val="es-ES_tradnl"/>
        </w:rPr>
        <w:t xml:space="preserve"> </w:t>
      </w:r>
      <w:proofErr w:type="spellStart"/>
      <w:r w:rsidR="00EA03ED" w:rsidRPr="00D52EF5">
        <w:rPr>
          <w:lang w:val="es-ES_tradnl"/>
        </w:rPr>
        <w:t>Support</w:t>
      </w:r>
      <w:proofErr w:type="spellEnd"/>
      <w:r w:rsidR="00EA03ED" w:rsidRPr="00D52EF5">
        <w:rPr>
          <w:lang w:val="es-ES_tradnl"/>
        </w:rPr>
        <w:t xml:space="preserve"> </w:t>
      </w:r>
      <w:proofErr w:type="spellStart"/>
      <w:r w:rsidR="00EA03ED" w:rsidRPr="00D52EF5">
        <w:rPr>
          <w:lang w:val="es-ES_tradnl"/>
        </w:rPr>
        <w:t>Estimate</w:t>
      </w:r>
      <w:proofErr w:type="spellEnd"/>
      <w:r w:rsidR="00EA03ED" w:rsidRPr="00D52EF5">
        <w:rPr>
          <w:lang w:val="es-ES_tradnl"/>
        </w:rPr>
        <w:t>, FSE)</w:t>
      </w:r>
      <w:r w:rsidR="00CF1568" w:rsidRPr="00D52EF5">
        <w:rPr>
          <w:lang w:val="es-ES_tradnl"/>
        </w:rPr>
        <w:t>.</w:t>
      </w:r>
    </w:p>
    <w:p w14:paraId="44632F7C" w14:textId="45AA806D" w:rsidR="00CF1568" w:rsidRPr="00D52EF5" w:rsidRDefault="00933204" w:rsidP="00CF1568">
      <w:pPr>
        <w:pStyle w:val="Heading4"/>
        <w:suppressLineNumbers/>
        <w:suppressAutoHyphens/>
        <w:rPr>
          <w:i w:val="0"/>
          <w:lang w:val="es-ES_tradnl"/>
        </w:rPr>
      </w:pPr>
      <w:r w:rsidRPr="00D52EF5">
        <w:rPr>
          <w:i w:val="0"/>
          <w:lang w:val="es-ES_tradnl"/>
        </w:rPr>
        <w:t>Objetivo</w:t>
      </w:r>
      <w:r w:rsidR="00CF1568" w:rsidRPr="00D52EF5">
        <w:rPr>
          <w:i w:val="0"/>
          <w:lang w:val="es-ES_tradnl"/>
        </w:rPr>
        <w:t xml:space="preserve"> 2: </w:t>
      </w:r>
      <w:r w:rsidRPr="00D52EF5">
        <w:rPr>
          <w:i w:val="0"/>
          <w:lang w:val="es-ES_tradnl"/>
        </w:rPr>
        <w:t>Fortalecer las capacidades nacionales para la utilización de los recursos y movilizar recursos financieros nacionales para lograr los tres objetivos del Convenio</w:t>
      </w:r>
    </w:p>
    <w:p w14:paraId="2C217BD1" w14:textId="48DD5EC1" w:rsidR="00CF1568" w:rsidRPr="00D52EF5" w:rsidRDefault="000D5C85" w:rsidP="00CF1568">
      <w:pPr>
        <w:pStyle w:val="Para1"/>
        <w:numPr>
          <w:ilvl w:val="0"/>
          <w:numId w:val="13"/>
        </w:numPr>
        <w:suppressLineNumbers/>
        <w:tabs>
          <w:tab w:val="clear" w:pos="360"/>
        </w:tabs>
        <w:suppressAutoHyphens/>
        <w:spacing w:before="120"/>
        <w:rPr>
          <w:lang w:val="es-ES_tradnl"/>
        </w:rPr>
      </w:pPr>
      <w:r w:rsidRPr="00D52EF5">
        <w:rPr>
          <w:lang w:val="es-ES_tradnl"/>
        </w:rPr>
        <w:t xml:space="preserve">En relación con el avance hacia la consecución del objetivo </w:t>
      </w:r>
      <w:r w:rsidR="00CF1568" w:rsidRPr="00D52EF5">
        <w:rPr>
          <w:lang w:val="es-ES_tradnl"/>
        </w:rPr>
        <w:t>2</w:t>
      </w:r>
      <w:r w:rsidRPr="00D52EF5">
        <w:rPr>
          <w:lang w:val="es-ES_tradnl"/>
        </w:rPr>
        <w:t>, de un análi</w:t>
      </w:r>
      <w:r w:rsidR="00CF1568" w:rsidRPr="00D52EF5">
        <w:rPr>
          <w:lang w:val="es-ES_tradnl"/>
        </w:rPr>
        <w:t>sis</w:t>
      </w:r>
      <w:r w:rsidRPr="00D52EF5">
        <w:rPr>
          <w:lang w:val="es-ES_tradnl"/>
        </w:rPr>
        <w:t xml:space="preserve"> de los marcos para la presentación de informes financieros</w:t>
      </w:r>
      <w:r w:rsidR="00CF1568" w:rsidRPr="00D52EF5">
        <w:rPr>
          <w:rStyle w:val="FootnoteReference"/>
          <w:lang w:val="es-ES_tradnl"/>
        </w:rPr>
        <w:footnoteReference w:id="8"/>
      </w:r>
      <w:r w:rsidR="00CF1568" w:rsidRPr="00D52EF5">
        <w:rPr>
          <w:lang w:val="es-ES_tradnl"/>
        </w:rPr>
        <w:t xml:space="preserve"> </w:t>
      </w:r>
      <w:r w:rsidRPr="00D52EF5">
        <w:rPr>
          <w:lang w:val="es-ES_tradnl"/>
        </w:rPr>
        <w:t>presentados a la Secretaría del Convenio s</w:t>
      </w:r>
      <w:r w:rsidR="00CF1568" w:rsidRPr="00D52EF5">
        <w:rPr>
          <w:lang w:val="es-ES_tradnl"/>
        </w:rPr>
        <w:t>e</w:t>
      </w:r>
      <w:r w:rsidRPr="00D52EF5">
        <w:rPr>
          <w:lang w:val="es-ES_tradnl"/>
        </w:rPr>
        <w:t xml:space="preserve"> desprende que</w:t>
      </w:r>
      <w:r w:rsidR="00CF1568" w:rsidRPr="00D52EF5">
        <w:rPr>
          <w:lang w:val="es-ES_tradnl"/>
        </w:rPr>
        <w:t xml:space="preserve">, </w:t>
      </w:r>
      <w:r w:rsidR="00046449" w:rsidRPr="00D52EF5">
        <w:rPr>
          <w:lang w:val="es-ES_tradnl"/>
        </w:rPr>
        <w:t xml:space="preserve">si bien </w:t>
      </w:r>
      <w:r w:rsidRPr="00D52EF5">
        <w:rPr>
          <w:lang w:val="es-ES_tradnl"/>
        </w:rPr>
        <w:t xml:space="preserve">solo </w:t>
      </w:r>
      <w:r w:rsidR="00CF1568" w:rsidRPr="00D52EF5">
        <w:rPr>
          <w:lang w:val="es-ES_tradnl"/>
        </w:rPr>
        <w:t xml:space="preserve">25 </w:t>
      </w:r>
      <w:r w:rsidR="00046449" w:rsidRPr="00D52EF5">
        <w:rPr>
          <w:lang w:val="es-ES_tradnl"/>
        </w:rPr>
        <w:t xml:space="preserve">Partes </w:t>
      </w:r>
      <w:r w:rsidRPr="00D52EF5">
        <w:rPr>
          <w:lang w:val="es-ES_tradnl"/>
        </w:rPr>
        <w:t>d</w:t>
      </w:r>
      <w:r w:rsidR="00046449" w:rsidRPr="00D52EF5">
        <w:rPr>
          <w:lang w:val="es-ES_tradnl"/>
        </w:rPr>
        <w:t xml:space="preserve">el total de </w:t>
      </w:r>
      <w:r w:rsidR="00CF1568" w:rsidRPr="00D52EF5">
        <w:rPr>
          <w:lang w:val="es-ES_tradnl"/>
        </w:rPr>
        <w:t>78 (</w:t>
      </w:r>
      <w:r w:rsidRPr="00D52EF5">
        <w:rPr>
          <w:lang w:val="es-ES_tradnl"/>
        </w:rPr>
        <w:t xml:space="preserve">el </w:t>
      </w:r>
      <w:r w:rsidR="00CF1568" w:rsidRPr="00D52EF5">
        <w:rPr>
          <w:lang w:val="es-ES_tradnl"/>
        </w:rPr>
        <w:t>32</w:t>
      </w:r>
      <w:r w:rsidR="009920AC" w:rsidRPr="00D52EF5">
        <w:rPr>
          <w:lang w:val="es-ES_tradnl"/>
        </w:rPr>
        <w:t>%</w:t>
      </w:r>
      <w:r w:rsidR="00CF1568" w:rsidRPr="00D52EF5">
        <w:rPr>
          <w:lang w:val="es-ES_tradnl"/>
        </w:rPr>
        <w:t>)</w:t>
      </w:r>
      <w:r w:rsidR="00FC26CA" w:rsidRPr="00D52EF5">
        <w:rPr>
          <w:lang w:val="es-ES_tradnl"/>
        </w:rPr>
        <w:t xml:space="preserve"> –</w:t>
      </w:r>
      <w:r w:rsidR="00C91B27" w:rsidRPr="00D52EF5">
        <w:rPr>
          <w:lang w:val="es-ES_tradnl"/>
        </w:rPr>
        <w:t>porcentaje</w:t>
      </w:r>
      <w:r w:rsidR="00D43057" w:rsidRPr="00D52EF5">
        <w:rPr>
          <w:lang w:val="es-ES_tradnl"/>
        </w:rPr>
        <w:t xml:space="preserve"> bastante inferior al </w:t>
      </w:r>
      <w:r w:rsidR="00FC26CA" w:rsidRPr="00D52EF5">
        <w:rPr>
          <w:lang w:val="es-ES_tradnl"/>
        </w:rPr>
        <w:t>establecid</w:t>
      </w:r>
      <w:r w:rsidR="00D43057" w:rsidRPr="00D52EF5">
        <w:rPr>
          <w:lang w:val="es-ES_tradnl"/>
        </w:rPr>
        <w:t>o</w:t>
      </w:r>
      <w:r w:rsidR="00FC26CA" w:rsidRPr="00D52EF5">
        <w:rPr>
          <w:lang w:val="es-ES_tradnl"/>
        </w:rPr>
        <w:t xml:space="preserve"> en la meta para 2015 del “75</w:t>
      </w:r>
      <w:r w:rsidR="009920AC" w:rsidRPr="00D52EF5">
        <w:rPr>
          <w:lang w:val="es-ES_tradnl"/>
        </w:rPr>
        <w:t>%</w:t>
      </w:r>
      <w:r w:rsidR="00FC26CA" w:rsidRPr="00D52EF5">
        <w:rPr>
          <w:lang w:val="es-ES_tradnl"/>
        </w:rPr>
        <w:t xml:space="preserve"> de las Partes como mínimo”– </w:t>
      </w:r>
      <w:r w:rsidR="00046449" w:rsidRPr="00D52EF5">
        <w:rPr>
          <w:lang w:val="es-ES_tradnl"/>
        </w:rPr>
        <w:t xml:space="preserve">que habían </w:t>
      </w:r>
      <w:r w:rsidR="00FC26CA" w:rsidRPr="00D52EF5">
        <w:rPr>
          <w:lang w:val="es-ES_tradnl"/>
        </w:rPr>
        <w:t>remitido información</w:t>
      </w:r>
      <w:r w:rsidR="00046449" w:rsidRPr="00D52EF5">
        <w:rPr>
          <w:lang w:val="es-ES_tradnl"/>
        </w:rPr>
        <w:t xml:space="preserve"> </w:t>
      </w:r>
      <w:r w:rsidR="00CF1568" w:rsidRPr="00D52EF5">
        <w:rPr>
          <w:lang w:val="es-ES_tradnl"/>
        </w:rPr>
        <w:t>ha</w:t>
      </w:r>
      <w:r w:rsidRPr="00D52EF5">
        <w:rPr>
          <w:lang w:val="es-ES_tradnl"/>
        </w:rPr>
        <w:t>bía</w:t>
      </w:r>
      <w:r w:rsidR="00046449" w:rsidRPr="00D52EF5">
        <w:rPr>
          <w:lang w:val="es-ES_tradnl"/>
        </w:rPr>
        <w:t>n</w:t>
      </w:r>
      <w:r w:rsidRPr="00D52EF5">
        <w:rPr>
          <w:lang w:val="es-ES_tradnl"/>
        </w:rPr>
        <w:t xml:space="preserve"> </w:t>
      </w:r>
      <w:r w:rsidR="00046449" w:rsidRPr="00D52EF5">
        <w:rPr>
          <w:lang w:val="es-ES_tradnl"/>
        </w:rPr>
        <w:t>incluido exhaustivamente la biodiversidad en las prio</w:t>
      </w:r>
      <w:r w:rsidR="004F7CE8" w:rsidRPr="00D52EF5">
        <w:rPr>
          <w:lang w:val="es-ES_tradnl"/>
        </w:rPr>
        <w:t>r</w:t>
      </w:r>
      <w:r w:rsidR="00046449" w:rsidRPr="00D52EF5">
        <w:rPr>
          <w:lang w:val="es-ES_tradnl"/>
        </w:rPr>
        <w:t>idades nacionales o los planes de</w:t>
      </w:r>
      <w:r w:rsidR="00CF1568" w:rsidRPr="00D52EF5">
        <w:rPr>
          <w:lang w:val="es-ES_tradnl"/>
        </w:rPr>
        <w:t xml:space="preserve"> de</w:t>
      </w:r>
      <w:r w:rsidR="00046449" w:rsidRPr="00D52EF5">
        <w:rPr>
          <w:lang w:val="es-ES_tradnl"/>
        </w:rPr>
        <w:t>sarrollo</w:t>
      </w:r>
      <w:r w:rsidR="00CF1568" w:rsidRPr="00D52EF5">
        <w:rPr>
          <w:lang w:val="es-ES_tradnl"/>
        </w:rPr>
        <w:t xml:space="preserve">, </w:t>
      </w:r>
      <w:r w:rsidR="00FC26CA" w:rsidRPr="00D52EF5">
        <w:rPr>
          <w:lang w:val="es-ES_tradnl"/>
        </w:rPr>
        <w:t>la mayor parte de las respuestas aludía a algunas iniciativas emprendidas en ese sentido</w:t>
      </w:r>
      <w:r w:rsidR="00CF1568" w:rsidRPr="00D52EF5">
        <w:rPr>
          <w:lang w:val="es-ES_tradnl"/>
        </w:rPr>
        <w:t xml:space="preserve">. </w:t>
      </w:r>
      <w:r w:rsidR="00FC26CA" w:rsidRPr="00D52EF5">
        <w:rPr>
          <w:lang w:val="es-ES_tradnl"/>
        </w:rPr>
        <w:t xml:space="preserve">El objetivo </w:t>
      </w:r>
      <w:r w:rsidR="00CF1568" w:rsidRPr="00D52EF5">
        <w:rPr>
          <w:lang w:val="es-ES_tradnl"/>
        </w:rPr>
        <w:t xml:space="preserve">2 </w:t>
      </w:r>
      <w:r w:rsidR="00C31192" w:rsidRPr="00D52EF5">
        <w:rPr>
          <w:lang w:val="es-ES_tradnl"/>
        </w:rPr>
        <w:t>de la Estrategia para la Movilización de R</w:t>
      </w:r>
      <w:r w:rsidR="00FC26CA" w:rsidRPr="00D52EF5">
        <w:rPr>
          <w:lang w:val="es-ES_tradnl"/>
        </w:rPr>
        <w:t>ecursos comprende además diversos elementos respecto de l</w:t>
      </w:r>
      <w:r w:rsidR="004F7CE8" w:rsidRPr="00D52EF5">
        <w:rPr>
          <w:lang w:val="es-ES_tradnl"/>
        </w:rPr>
        <w:t>o</w:t>
      </w:r>
      <w:r w:rsidR="00FC26CA" w:rsidRPr="00D52EF5">
        <w:rPr>
          <w:lang w:val="es-ES_tradnl"/>
        </w:rPr>
        <w:t>s cuales ha habido al menos ci</w:t>
      </w:r>
      <w:r w:rsidR="00E23DEF" w:rsidRPr="00D52EF5">
        <w:rPr>
          <w:lang w:val="es-ES_tradnl"/>
        </w:rPr>
        <w:t>erta evolución, aunque desigual</w:t>
      </w:r>
      <w:r w:rsidR="00CF1568" w:rsidRPr="00D52EF5">
        <w:rPr>
          <w:lang w:val="es-ES_tradnl"/>
        </w:rPr>
        <w:t>.</w:t>
      </w:r>
    </w:p>
    <w:p w14:paraId="1B97DD9D" w14:textId="3259D6EE" w:rsidR="00CF1568" w:rsidRPr="00D52EF5" w:rsidRDefault="00FC26CA" w:rsidP="00CF1568">
      <w:pPr>
        <w:pStyle w:val="Para1"/>
        <w:numPr>
          <w:ilvl w:val="0"/>
          <w:numId w:val="13"/>
        </w:numPr>
        <w:suppressLineNumbers/>
        <w:tabs>
          <w:tab w:val="clear" w:pos="360"/>
        </w:tabs>
        <w:suppressAutoHyphens/>
        <w:spacing w:before="120"/>
        <w:rPr>
          <w:lang w:val="es-ES_tradnl"/>
        </w:rPr>
      </w:pPr>
      <w:r w:rsidRPr="00D52EF5">
        <w:rPr>
          <w:lang w:val="es-ES_tradnl"/>
        </w:rPr>
        <w:lastRenderedPageBreak/>
        <w:t xml:space="preserve">Un total de </w:t>
      </w:r>
      <w:r w:rsidR="00CF1568" w:rsidRPr="00D52EF5">
        <w:rPr>
          <w:lang w:val="es-ES_tradnl"/>
        </w:rPr>
        <w:t>76 Part</w:t>
      </w:r>
      <w:r w:rsidRPr="00D52EF5">
        <w:rPr>
          <w:lang w:val="es-ES_tradnl"/>
        </w:rPr>
        <w:t>es respondieron si habían evaluado y/o examinado el valor intrínseco de la diversidad biológica y los valores ecológicos, genéticos, sociales, económicos, científicos, educativos, culturales, recreativos y estéticos de la diversidad biológica y sus componentes</w:t>
      </w:r>
      <w:r w:rsidR="00CF1568" w:rsidRPr="00D52EF5">
        <w:rPr>
          <w:lang w:val="es-ES_tradnl"/>
        </w:rPr>
        <w:t xml:space="preserve">. </w:t>
      </w:r>
      <w:r w:rsidR="00C91B27" w:rsidRPr="00D52EF5">
        <w:rPr>
          <w:lang w:val="es-ES_tradnl"/>
        </w:rPr>
        <w:t xml:space="preserve">Solo </w:t>
      </w:r>
      <w:r w:rsidRPr="00D52EF5">
        <w:rPr>
          <w:lang w:val="es-ES_tradnl"/>
        </w:rPr>
        <w:t xml:space="preserve">cuatro Partes </w:t>
      </w:r>
      <w:r w:rsidR="00CF1568" w:rsidRPr="00D52EF5">
        <w:rPr>
          <w:lang w:val="es-ES_tradnl"/>
        </w:rPr>
        <w:t>(Finland</w:t>
      </w:r>
      <w:r w:rsidRPr="00D52EF5">
        <w:rPr>
          <w:lang w:val="es-ES_tradnl"/>
        </w:rPr>
        <w:t>ia, Japó</w:t>
      </w:r>
      <w:r w:rsidR="00CF1568" w:rsidRPr="00D52EF5">
        <w:rPr>
          <w:lang w:val="es-ES_tradnl"/>
        </w:rPr>
        <w:t xml:space="preserve">n, </w:t>
      </w:r>
      <w:r w:rsidRPr="00D52EF5">
        <w:rPr>
          <w:lang w:val="es-ES_tradnl"/>
        </w:rPr>
        <w:t>Noruega y los Países Bajos</w:t>
      </w:r>
      <w:r w:rsidR="00CF1568" w:rsidRPr="00D52EF5">
        <w:rPr>
          <w:lang w:val="es-ES_tradnl"/>
        </w:rPr>
        <w:t>), o</w:t>
      </w:r>
      <w:r w:rsidRPr="00D52EF5">
        <w:rPr>
          <w:lang w:val="es-ES_tradnl"/>
        </w:rPr>
        <w:t xml:space="preserve"> el</w:t>
      </w:r>
      <w:r w:rsidR="00CF1568" w:rsidRPr="00D52EF5">
        <w:rPr>
          <w:lang w:val="es-ES_tradnl"/>
        </w:rPr>
        <w:t xml:space="preserve"> 5</w:t>
      </w:r>
      <w:r w:rsidR="009920AC" w:rsidRPr="00D52EF5">
        <w:rPr>
          <w:lang w:val="es-ES_tradnl"/>
        </w:rPr>
        <w:t>%</w:t>
      </w:r>
      <w:r w:rsidR="00CF1568" w:rsidRPr="00D52EF5">
        <w:rPr>
          <w:lang w:val="es-ES_tradnl"/>
        </w:rPr>
        <w:t xml:space="preserve"> </w:t>
      </w:r>
      <w:r w:rsidR="00F80B95" w:rsidRPr="00D52EF5">
        <w:rPr>
          <w:lang w:val="es-ES_tradnl"/>
        </w:rPr>
        <w:t xml:space="preserve">de quienes respondieron </w:t>
      </w:r>
      <w:r w:rsidR="00CC7ACC" w:rsidRPr="00D52EF5">
        <w:rPr>
          <w:lang w:val="es-ES_tradnl"/>
        </w:rPr>
        <w:t>a la convocatoria</w:t>
      </w:r>
      <w:r w:rsidR="00C91B27" w:rsidRPr="00D52EF5">
        <w:rPr>
          <w:lang w:val="es-ES_tradnl"/>
        </w:rPr>
        <w:t>,</w:t>
      </w:r>
      <w:r w:rsidR="00CC7ACC" w:rsidRPr="00D52EF5">
        <w:rPr>
          <w:lang w:val="es-ES_tradnl"/>
        </w:rPr>
        <w:t xml:space="preserve"> </w:t>
      </w:r>
      <w:r w:rsidR="00F80B95" w:rsidRPr="00D52EF5">
        <w:rPr>
          <w:lang w:val="es-ES_tradnl"/>
        </w:rPr>
        <w:t>declararon que se habían realizado evaluaciones exhaustivas</w:t>
      </w:r>
      <w:r w:rsidR="00CF1568" w:rsidRPr="00D52EF5">
        <w:rPr>
          <w:lang w:val="es-ES_tradnl"/>
        </w:rPr>
        <w:t xml:space="preserve">, </w:t>
      </w:r>
      <w:r w:rsidR="00F80B95" w:rsidRPr="00D52EF5">
        <w:rPr>
          <w:lang w:val="es-ES_tradnl"/>
        </w:rPr>
        <w:t xml:space="preserve">mientras que el </w:t>
      </w:r>
      <w:r w:rsidR="00CF1568" w:rsidRPr="00D52EF5">
        <w:rPr>
          <w:lang w:val="es-ES_tradnl"/>
        </w:rPr>
        <w:t>88</w:t>
      </w:r>
      <w:r w:rsidR="009920AC" w:rsidRPr="00D52EF5">
        <w:rPr>
          <w:lang w:val="es-ES_tradnl"/>
        </w:rPr>
        <w:t>%</w:t>
      </w:r>
      <w:r w:rsidR="00CF1568" w:rsidRPr="00D52EF5">
        <w:rPr>
          <w:lang w:val="es-ES_tradnl"/>
        </w:rPr>
        <w:t xml:space="preserve"> </w:t>
      </w:r>
      <w:r w:rsidR="00CC7ACC" w:rsidRPr="00D52EF5">
        <w:rPr>
          <w:lang w:val="es-ES_tradnl"/>
        </w:rPr>
        <w:t>de los países</w:t>
      </w:r>
      <w:r w:rsidR="00CF1568" w:rsidRPr="00D52EF5">
        <w:rPr>
          <w:lang w:val="es-ES_tradnl"/>
        </w:rPr>
        <w:t>, o</w:t>
      </w:r>
      <w:r w:rsidR="003F6F0E" w:rsidRPr="00D52EF5">
        <w:rPr>
          <w:lang w:val="es-ES_tradnl"/>
        </w:rPr>
        <w:t xml:space="preserve"> </w:t>
      </w:r>
      <w:r w:rsidR="00C91B27" w:rsidRPr="00D52EF5">
        <w:rPr>
          <w:lang w:val="es-ES_tradnl"/>
        </w:rPr>
        <w:t>más</w:t>
      </w:r>
      <w:r w:rsidR="003F6F0E" w:rsidRPr="00D52EF5">
        <w:rPr>
          <w:lang w:val="es-ES_tradnl"/>
        </w:rPr>
        <w:t xml:space="preserve"> </w:t>
      </w:r>
      <w:r w:rsidR="00C91B27" w:rsidRPr="00D52EF5">
        <w:rPr>
          <w:lang w:val="es-ES_tradnl"/>
        </w:rPr>
        <w:t xml:space="preserve">del </w:t>
      </w:r>
      <w:r w:rsidR="003F6F0E" w:rsidRPr="00D52EF5">
        <w:rPr>
          <w:lang w:val="es-ES_tradnl"/>
        </w:rPr>
        <w:t>treinta</w:t>
      </w:r>
      <w:r w:rsidR="00C91B27" w:rsidRPr="00D52EF5">
        <w:rPr>
          <w:lang w:val="es-ES_tradnl"/>
        </w:rPr>
        <w:t xml:space="preserve"> por ciento</w:t>
      </w:r>
      <w:r w:rsidR="003F6F0E" w:rsidRPr="00D52EF5">
        <w:rPr>
          <w:lang w:val="es-ES_tradnl"/>
        </w:rPr>
        <w:t xml:space="preserve"> de las Partes, declaró</w:t>
      </w:r>
      <w:r w:rsidR="00F80B95" w:rsidRPr="00D52EF5">
        <w:rPr>
          <w:lang w:val="es-ES_tradnl"/>
        </w:rPr>
        <w:t xml:space="preserve"> </w:t>
      </w:r>
      <w:r w:rsidR="00CC7ACC" w:rsidRPr="00D52EF5">
        <w:rPr>
          <w:lang w:val="es-ES_tradnl"/>
        </w:rPr>
        <w:t>haber realizado al menos alguna</w:t>
      </w:r>
      <w:r w:rsidR="00F80B95" w:rsidRPr="00D52EF5">
        <w:rPr>
          <w:lang w:val="es-ES_tradnl"/>
        </w:rPr>
        <w:t xml:space="preserve"> evaluaci</w:t>
      </w:r>
      <w:r w:rsidR="00CC7ACC" w:rsidRPr="00D52EF5">
        <w:rPr>
          <w:lang w:val="es-ES_tradnl"/>
        </w:rPr>
        <w:t>ó</w:t>
      </w:r>
      <w:r w:rsidR="00F80B95" w:rsidRPr="00D52EF5">
        <w:rPr>
          <w:lang w:val="es-ES_tradnl"/>
        </w:rPr>
        <w:t>n</w:t>
      </w:r>
      <w:r w:rsidR="00CF1568" w:rsidRPr="00D52EF5">
        <w:rPr>
          <w:lang w:val="es-ES_tradnl"/>
        </w:rPr>
        <w:t>.</w:t>
      </w:r>
    </w:p>
    <w:p w14:paraId="2C1D9DF6" w14:textId="5F053CCB" w:rsidR="00CF1568" w:rsidRPr="00D52EF5" w:rsidRDefault="00906946" w:rsidP="00CF1568">
      <w:pPr>
        <w:pStyle w:val="Para1"/>
        <w:numPr>
          <w:ilvl w:val="0"/>
          <w:numId w:val="13"/>
        </w:numPr>
        <w:suppressLineNumbers/>
        <w:tabs>
          <w:tab w:val="clear" w:pos="360"/>
        </w:tabs>
        <w:suppressAutoHyphens/>
        <w:spacing w:before="120"/>
        <w:rPr>
          <w:lang w:val="es-ES_tradnl"/>
        </w:rPr>
      </w:pPr>
      <w:r w:rsidRPr="00D52EF5">
        <w:rPr>
          <w:lang w:val="es-ES_tradnl"/>
        </w:rPr>
        <w:t>Con respecto a</w:t>
      </w:r>
      <w:r w:rsidR="00DE2DEC" w:rsidRPr="00D52EF5">
        <w:rPr>
          <w:lang w:val="es-ES_tradnl"/>
        </w:rPr>
        <w:t xml:space="preserve"> las estrategias y planes de acción nacionales sobre diversidad biológica (EPANDB)</w:t>
      </w:r>
      <w:r w:rsidR="00CF1568" w:rsidRPr="00D52EF5">
        <w:rPr>
          <w:lang w:val="es-ES_tradnl"/>
        </w:rPr>
        <w:t xml:space="preserve">, </w:t>
      </w:r>
      <w:r w:rsidRPr="00D52EF5">
        <w:rPr>
          <w:lang w:val="es-ES_tradnl"/>
        </w:rPr>
        <w:t>un total de 32 Part</w:t>
      </w:r>
      <w:r w:rsidR="00CF1568" w:rsidRPr="00D52EF5">
        <w:rPr>
          <w:lang w:val="es-ES_tradnl"/>
        </w:rPr>
        <w:t xml:space="preserve">es </w:t>
      </w:r>
      <w:r w:rsidRPr="00D52EF5">
        <w:rPr>
          <w:lang w:val="es-ES_tradnl"/>
        </w:rPr>
        <w:t xml:space="preserve">declararon que la diversidad biológica había sido incorporada en sus planes </w:t>
      </w:r>
      <w:r w:rsidR="00C91B27" w:rsidRPr="00D52EF5">
        <w:rPr>
          <w:lang w:val="es-ES_tradnl"/>
        </w:rPr>
        <w:t xml:space="preserve">nacionales </w:t>
      </w:r>
      <w:r w:rsidRPr="00D52EF5">
        <w:rPr>
          <w:lang w:val="es-ES_tradnl"/>
        </w:rPr>
        <w:t xml:space="preserve">de desarrollo o </w:t>
      </w:r>
      <w:r w:rsidR="006662B4" w:rsidRPr="00D52EF5">
        <w:rPr>
          <w:lang w:val="es-ES_tradnl"/>
        </w:rPr>
        <w:t xml:space="preserve">en un </w:t>
      </w:r>
      <w:r w:rsidR="00485B73" w:rsidRPr="00D52EF5">
        <w:rPr>
          <w:lang w:val="es-ES_tradnl"/>
        </w:rPr>
        <w:t>instrumento</w:t>
      </w:r>
      <w:r w:rsidR="006662B4" w:rsidRPr="00D52EF5">
        <w:rPr>
          <w:lang w:val="es-ES_tradnl"/>
        </w:rPr>
        <w:t xml:space="preserve"> equivalente,</w:t>
      </w:r>
      <w:r w:rsidRPr="00D52EF5">
        <w:rPr>
          <w:lang w:val="es-ES_tradnl"/>
        </w:rPr>
        <w:t xml:space="preserve"> 21 Partes</w:t>
      </w:r>
      <w:r w:rsidR="00C91B27" w:rsidRPr="00D52EF5">
        <w:rPr>
          <w:lang w:val="es-ES_tradnl"/>
        </w:rPr>
        <w:t>, que lo habían hecho en</w:t>
      </w:r>
      <w:r w:rsidRPr="00D52EF5">
        <w:rPr>
          <w:lang w:val="es-ES_tradnl"/>
        </w:rPr>
        <w:t xml:space="preserve"> sus planes de desarrollo sostenible o </w:t>
      </w:r>
      <w:r w:rsidR="00C91B27" w:rsidRPr="00D52EF5">
        <w:rPr>
          <w:lang w:val="es-ES_tradnl"/>
        </w:rPr>
        <w:t>e</w:t>
      </w:r>
      <w:r w:rsidR="006662B4" w:rsidRPr="00D52EF5">
        <w:rPr>
          <w:lang w:val="es-ES_tradnl"/>
        </w:rPr>
        <w:t xml:space="preserve">n un </w:t>
      </w:r>
      <w:r w:rsidRPr="00D52EF5">
        <w:rPr>
          <w:lang w:val="es-ES_tradnl"/>
        </w:rPr>
        <w:t>instrumento</w:t>
      </w:r>
      <w:r w:rsidR="00CF1568" w:rsidRPr="00D52EF5">
        <w:rPr>
          <w:lang w:val="es-ES_tradnl"/>
        </w:rPr>
        <w:t xml:space="preserve"> equivalent</w:t>
      </w:r>
      <w:r w:rsidRPr="00D52EF5">
        <w:rPr>
          <w:lang w:val="es-ES_tradnl"/>
        </w:rPr>
        <w:t>e</w:t>
      </w:r>
      <w:r w:rsidR="006662B4" w:rsidRPr="00D52EF5">
        <w:rPr>
          <w:lang w:val="es-ES_tradnl"/>
        </w:rPr>
        <w:t>,</w:t>
      </w:r>
      <w:r w:rsidR="00CF1568" w:rsidRPr="00D52EF5">
        <w:rPr>
          <w:lang w:val="es-ES_tradnl"/>
        </w:rPr>
        <w:t xml:space="preserve"> </w:t>
      </w:r>
      <w:r w:rsidRPr="00D52EF5">
        <w:rPr>
          <w:lang w:val="es-ES_tradnl"/>
        </w:rPr>
        <w:t>y 44 Part</w:t>
      </w:r>
      <w:r w:rsidR="00CF1568" w:rsidRPr="00D52EF5">
        <w:rPr>
          <w:lang w:val="es-ES_tradnl"/>
        </w:rPr>
        <w:t xml:space="preserve">es </w:t>
      </w:r>
      <w:r w:rsidRPr="00D52EF5">
        <w:rPr>
          <w:lang w:val="es-ES_tradnl"/>
        </w:rPr>
        <w:t>aludieron a una vinculación con la erradicación de la pobreza y/o</w:t>
      </w:r>
      <w:r w:rsidR="00CF1568" w:rsidRPr="00D52EF5">
        <w:rPr>
          <w:lang w:val="es-ES_tradnl"/>
        </w:rPr>
        <w:t xml:space="preserve"> </w:t>
      </w:r>
      <w:r w:rsidRPr="00D52EF5">
        <w:rPr>
          <w:lang w:val="es-ES_tradnl"/>
        </w:rPr>
        <w:t>a la integración de este objetivo e</w:t>
      </w:r>
      <w:r w:rsidR="00CF1568" w:rsidRPr="00D52EF5">
        <w:rPr>
          <w:lang w:val="es-ES_tradnl"/>
        </w:rPr>
        <w:t xml:space="preserve">n </w:t>
      </w:r>
      <w:r w:rsidRPr="00D52EF5">
        <w:rPr>
          <w:lang w:val="es-ES_tradnl"/>
        </w:rPr>
        <w:t>sus</w:t>
      </w:r>
      <w:r w:rsidR="00CF1568" w:rsidRPr="00D52EF5">
        <w:rPr>
          <w:lang w:val="es-ES_tradnl"/>
        </w:rPr>
        <w:t xml:space="preserve"> princip</w:t>
      </w:r>
      <w:r w:rsidR="00C91B27" w:rsidRPr="00D52EF5">
        <w:rPr>
          <w:lang w:val="es-ES_tradnl"/>
        </w:rPr>
        <w:t>io</w:t>
      </w:r>
      <w:r w:rsidR="00CF1568" w:rsidRPr="00D52EF5">
        <w:rPr>
          <w:lang w:val="es-ES_tradnl"/>
        </w:rPr>
        <w:t xml:space="preserve">s, </w:t>
      </w:r>
      <w:r w:rsidRPr="00D52EF5">
        <w:rPr>
          <w:lang w:val="es-ES_tradnl"/>
        </w:rPr>
        <w:t>metas y/o medidas</w:t>
      </w:r>
      <w:r w:rsidR="00CF1568" w:rsidRPr="00D52EF5">
        <w:rPr>
          <w:sz w:val="18"/>
          <w:vertAlign w:val="superscript"/>
          <w:lang w:val="es-ES_tradnl"/>
        </w:rPr>
        <w:footnoteReference w:id="9"/>
      </w:r>
      <w:r w:rsidRPr="00D52EF5">
        <w:rPr>
          <w:lang w:val="es-ES_tradnl"/>
        </w:rPr>
        <w:t>.</w:t>
      </w:r>
      <w:r w:rsidR="00CF1568" w:rsidRPr="00D52EF5">
        <w:rPr>
          <w:lang w:val="es-ES_tradnl"/>
        </w:rPr>
        <w:t xml:space="preserve"> </w:t>
      </w:r>
      <w:r w:rsidRPr="00D52EF5">
        <w:rPr>
          <w:lang w:val="es-ES_tradnl"/>
        </w:rPr>
        <w:t xml:space="preserve">Algunas </w:t>
      </w:r>
      <w:r w:rsidR="00CF1568" w:rsidRPr="00D52EF5">
        <w:rPr>
          <w:lang w:val="es-ES_tradnl"/>
        </w:rPr>
        <w:t xml:space="preserve">Partes </w:t>
      </w:r>
      <w:r w:rsidR="000C0F25" w:rsidRPr="00D52EF5">
        <w:rPr>
          <w:lang w:val="es-ES_tradnl"/>
        </w:rPr>
        <w:t>d</w:t>
      </w:r>
      <w:r w:rsidR="00C91B27" w:rsidRPr="00D52EF5">
        <w:rPr>
          <w:lang w:val="es-ES_tradnl"/>
        </w:rPr>
        <w:t>ie</w:t>
      </w:r>
      <w:r w:rsidRPr="00D52EF5">
        <w:rPr>
          <w:lang w:val="es-ES_tradnl"/>
        </w:rPr>
        <w:t xml:space="preserve">ron </w:t>
      </w:r>
      <w:r w:rsidR="000C0F25" w:rsidRPr="00D52EF5">
        <w:rPr>
          <w:lang w:val="es-ES_tradnl"/>
        </w:rPr>
        <w:t xml:space="preserve">cuenta </w:t>
      </w:r>
      <w:r w:rsidRPr="00D52EF5">
        <w:rPr>
          <w:lang w:val="es-ES_tradnl"/>
        </w:rPr>
        <w:t xml:space="preserve">de medidas exhaustivas acordes con el objetivo </w:t>
      </w:r>
      <w:r w:rsidR="00CF1568" w:rsidRPr="00D52EF5">
        <w:rPr>
          <w:lang w:val="es-ES_tradnl"/>
        </w:rPr>
        <w:t xml:space="preserve">2. Uganda, </w:t>
      </w:r>
      <w:r w:rsidRPr="00D52EF5">
        <w:rPr>
          <w:lang w:val="es-ES_tradnl"/>
        </w:rPr>
        <w:t>p</w:t>
      </w:r>
      <w:r w:rsidR="00CF1568" w:rsidRPr="00D52EF5">
        <w:rPr>
          <w:lang w:val="es-ES_tradnl"/>
        </w:rPr>
        <w:t xml:space="preserve">or </w:t>
      </w:r>
      <w:r w:rsidRPr="00D52EF5">
        <w:rPr>
          <w:lang w:val="es-ES_tradnl"/>
        </w:rPr>
        <w:t>ej</w:t>
      </w:r>
      <w:r w:rsidR="009A2107" w:rsidRPr="00D52EF5">
        <w:rPr>
          <w:lang w:val="es-ES_tradnl"/>
        </w:rPr>
        <w:t>emplo, indicó que su estrategia</w:t>
      </w:r>
      <w:r w:rsidR="00CF1568" w:rsidRPr="00D52EF5">
        <w:rPr>
          <w:lang w:val="es-ES_tradnl"/>
        </w:rPr>
        <w:t xml:space="preserve"> na</w:t>
      </w:r>
      <w:r w:rsidR="009A2107" w:rsidRPr="00D52EF5">
        <w:rPr>
          <w:lang w:val="es-ES_tradnl"/>
        </w:rPr>
        <w:t>c</w:t>
      </w:r>
      <w:r w:rsidR="00CF1568" w:rsidRPr="00D52EF5">
        <w:rPr>
          <w:lang w:val="es-ES_tradnl"/>
        </w:rPr>
        <w:t xml:space="preserve">ional </w:t>
      </w:r>
      <w:r w:rsidR="00E25074" w:rsidRPr="00D52EF5">
        <w:rPr>
          <w:lang w:val="es-ES_tradnl"/>
        </w:rPr>
        <w:t>y plan de acción 2015-2</w:t>
      </w:r>
      <w:r w:rsidR="009A2107" w:rsidRPr="00D52EF5">
        <w:rPr>
          <w:lang w:val="es-ES_tradnl"/>
        </w:rPr>
        <w:t xml:space="preserve">025 sobre </w:t>
      </w:r>
      <w:r w:rsidR="00C758DE" w:rsidRPr="00D52EF5">
        <w:rPr>
          <w:lang w:val="es-ES_tradnl"/>
        </w:rPr>
        <w:t xml:space="preserve">la </w:t>
      </w:r>
      <w:r w:rsidR="009A2107" w:rsidRPr="00D52EF5">
        <w:rPr>
          <w:lang w:val="es-ES_tradnl"/>
        </w:rPr>
        <w:t>diversidad biológica se había incorporado al Plan de Desarrollo Nacional.</w:t>
      </w:r>
    </w:p>
    <w:p w14:paraId="0741BC9D" w14:textId="24280628" w:rsidR="00CF1568" w:rsidRPr="00D52EF5" w:rsidRDefault="00E041BB" w:rsidP="00CF1568">
      <w:pPr>
        <w:pStyle w:val="Para1"/>
        <w:numPr>
          <w:ilvl w:val="0"/>
          <w:numId w:val="13"/>
        </w:numPr>
        <w:suppressLineNumbers/>
        <w:tabs>
          <w:tab w:val="clear" w:pos="360"/>
        </w:tabs>
        <w:suppressAutoHyphens/>
        <w:spacing w:before="120"/>
        <w:rPr>
          <w:lang w:val="es-ES_tradnl"/>
        </w:rPr>
      </w:pPr>
      <w:r w:rsidRPr="00D52EF5">
        <w:rPr>
          <w:lang w:val="es-ES_tradnl"/>
        </w:rPr>
        <w:t xml:space="preserve">En términos de notificación del gasto </w:t>
      </w:r>
      <w:r w:rsidR="00C758DE" w:rsidRPr="00D52EF5">
        <w:rPr>
          <w:lang w:val="es-ES_tradnl"/>
        </w:rPr>
        <w:t>nacional</w:t>
      </w:r>
      <w:r w:rsidRPr="00D52EF5">
        <w:rPr>
          <w:lang w:val="es-ES_tradnl"/>
        </w:rPr>
        <w:t xml:space="preserve"> en </w:t>
      </w:r>
      <w:r w:rsidR="00C758DE" w:rsidRPr="00D52EF5">
        <w:rPr>
          <w:lang w:val="es-ES_tradnl"/>
        </w:rPr>
        <w:t xml:space="preserve">relación con </w:t>
      </w:r>
      <w:r w:rsidRPr="00D52EF5">
        <w:rPr>
          <w:lang w:val="es-ES_tradnl"/>
        </w:rPr>
        <w:t>la diversidad biológica</w:t>
      </w:r>
      <w:r w:rsidR="00CF1568" w:rsidRPr="00D52EF5">
        <w:rPr>
          <w:lang w:val="es-ES_tradnl"/>
        </w:rPr>
        <w:t xml:space="preserve">, </w:t>
      </w:r>
      <w:r w:rsidRPr="00D52EF5">
        <w:rPr>
          <w:lang w:val="es-ES_tradnl"/>
        </w:rPr>
        <w:t>casi todas las Partes que respondieron (77 de</w:t>
      </w:r>
      <w:r w:rsidR="00CF1568" w:rsidRPr="00D52EF5">
        <w:rPr>
          <w:lang w:val="es-ES_tradnl"/>
        </w:rPr>
        <w:t xml:space="preserve"> 81) inclu</w:t>
      </w:r>
      <w:r w:rsidRPr="00D52EF5">
        <w:rPr>
          <w:lang w:val="es-ES_tradnl"/>
        </w:rPr>
        <w:t>yeron</w:t>
      </w:r>
      <w:r w:rsidR="00CF1568" w:rsidRPr="00D52EF5">
        <w:rPr>
          <w:lang w:val="es-ES_tradnl"/>
        </w:rPr>
        <w:t xml:space="preserve"> informa</w:t>
      </w:r>
      <w:r w:rsidRPr="00D52EF5">
        <w:rPr>
          <w:lang w:val="es-ES_tradnl"/>
        </w:rPr>
        <w:t>ció</w:t>
      </w:r>
      <w:r w:rsidR="00CF1568" w:rsidRPr="00D52EF5">
        <w:rPr>
          <w:lang w:val="es-ES_tradnl"/>
        </w:rPr>
        <w:t xml:space="preserve">n </w:t>
      </w:r>
      <w:r w:rsidRPr="00D52EF5">
        <w:rPr>
          <w:lang w:val="es-ES_tradnl"/>
        </w:rPr>
        <w:t xml:space="preserve">sobre su ayuda financiera anual a actividades internas </w:t>
      </w:r>
      <w:r w:rsidR="00C758DE" w:rsidRPr="00D52EF5">
        <w:rPr>
          <w:lang w:val="es-ES_tradnl"/>
        </w:rPr>
        <w:t>en la materia. Ahora bien, ese porcentaje</w:t>
      </w:r>
      <w:r w:rsidRPr="00D52EF5">
        <w:rPr>
          <w:lang w:val="es-ES_tradnl"/>
        </w:rPr>
        <w:t xml:space="preserve"> representa menos del </w:t>
      </w:r>
      <w:r w:rsidR="00CF1568" w:rsidRPr="00D52EF5">
        <w:rPr>
          <w:lang w:val="es-ES_tradnl"/>
        </w:rPr>
        <w:t>40</w:t>
      </w:r>
      <w:r w:rsidR="009920AC" w:rsidRPr="00D52EF5">
        <w:rPr>
          <w:lang w:val="es-ES_tradnl"/>
        </w:rPr>
        <w:t>%</w:t>
      </w:r>
      <w:r w:rsidR="00CF1568" w:rsidRPr="00D52EF5">
        <w:rPr>
          <w:lang w:val="es-ES_tradnl"/>
        </w:rPr>
        <w:t xml:space="preserve"> </w:t>
      </w:r>
      <w:r w:rsidRPr="00D52EF5">
        <w:rPr>
          <w:lang w:val="es-ES_tradnl"/>
        </w:rPr>
        <w:t xml:space="preserve">del total de </w:t>
      </w:r>
      <w:r w:rsidR="00C758DE" w:rsidRPr="00D52EF5">
        <w:rPr>
          <w:lang w:val="es-ES_tradnl"/>
        </w:rPr>
        <w:t xml:space="preserve">las </w:t>
      </w:r>
      <w:r w:rsidRPr="00D52EF5">
        <w:rPr>
          <w:lang w:val="es-ES_tradnl"/>
        </w:rPr>
        <w:t>Partes</w:t>
      </w:r>
      <w:r w:rsidR="00CF1568" w:rsidRPr="00D52EF5">
        <w:rPr>
          <w:lang w:val="es-ES_tradnl"/>
        </w:rPr>
        <w:t xml:space="preserve">; </w:t>
      </w:r>
      <w:r w:rsidRPr="00D52EF5">
        <w:rPr>
          <w:lang w:val="es-ES_tradnl"/>
        </w:rPr>
        <w:t>por lo tanto,</w:t>
      </w:r>
      <w:r w:rsidR="00390C5D" w:rsidRPr="00D52EF5">
        <w:rPr>
          <w:lang w:val="es-ES_tradnl"/>
        </w:rPr>
        <w:t xml:space="preserve"> </w:t>
      </w:r>
      <w:r w:rsidR="000C0F25" w:rsidRPr="00D52EF5">
        <w:rPr>
          <w:lang w:val="es-ES_tradnl"/>
        </w:rPr>
        <w:t>al hacer</w:t>
      </w:r>
      <w:r w:rsidRPr="00D52EF5">
        <w:rPr>
          <w:lang w:val="es-ES_tradnl"/>
        </w:rPr>
        <w:t xml:space="preserve"> una interpretación rigurosa</w:t>
      </w:r>
      <w:r w:rsidR="00C758DE" w:rsidRPr="00D52EF5">
        <w:rPr>
          <w:lang w:val="es-ES_tradnl"/>
        </w:rPr>
        <w:t xml:space="preserve"> </w:t>
      </w:r>
      <w:r w:rsidR="00390C5D" w:rsidRPr="00D52EF5">
        <w:rPr>
          <w:lang w:val="es-ES_tradnl"/>
        </w:rPr>
        <w:t>cabe afirmar</w:t>
      </w:r>
      <w:r w:rsidR="00C758DE" w:rsidRPr="00D52EF5">
        <w:rPr>
          <w:lang w:val="es-ES_tradnl"/>
        </w:rPr>
        <w:t xml:space="preserve"> que</w:t>
      </w:r>
      <w:r w:rsidR="00CF1568" w:rsidRPr="00D52EF5">
        <w:rPr>
          <w:lang w:val="es-ES_tradnl"/>
        </w:rPr>
        <w:t xml:space="preserve"> </w:t>
      </w:r>
      <w:r w:rsidRPr="00D52EF5">
        <w:rPr>
          <w:lang w:val="es-ES_tradnl"/>
        </w:rPr>
        <w:t xml:space="preserve">este elemento de la meta </w:t>
      </w:r>
      <w:r w:rsidR="00CF1568" w:rsidRPr="00D52EF5">
        <w:rPr>
          <w:lang w:val="es-ES_tradnl"/>
        </w:rPr>
        <w:t xml:space="preserve">1 c) </w:t>
      </w:r>
      <w:r w:rsidRPr="00D52EF5">
        <w:rPr>
          <w:lang w:val="es-ES_tradnl"/>
        </w:rPr>
        <w:t xml:space="preserve">de la decisión </w:t>
      </w:r>
      <w:r w:rsidR="00CF1568" w:rsidRPr="00D52EF5">
        <w:rPr>
          <w:lang w:val="es-ES_tradnl"/>
        </w:rPr>
        <w:t xml:space="preserve">XII/3 </w:t>
      </w:r>
      <w:r w:rsidRPr="00D52EF5">
        <w:rPr>
          <w:lang w:val="es-ES_tradnl"/>
        </w:rPr>
        <w:t xml:space="preserve">no se </w:t>
      </w:r>
      <w:r w:rsidR="00CF1568" w:rsidRPr="00D52EF5">
        <w:rPr>
          <w:lang w:val="es-ES_tradnl"/>
        </w:rPr>
        <w:t>ha</w:t>
      </w:r>
      <w:r w:rsidRPr="00D52EF5">
        <w:rPr>
          <w:lang w:val="es-ES_tradnl"/>
        </w:rPr>
        <w:t xml:space="preserve"> conseguido</w:t>
      </w:r>
      <w:r w:rsidR="00CF1568" w:rsidRPr="00D52EF5">
        <w:rPr>
          <w:lang w:val="es-ES_tradnl"/>
        </w:rPr>
        <w:t>.</w:t>
      </w:r>
    </w:p>
    <w:p w14:paraId="7FED8921" w14:textId="6D1528EE" w:rsidR="00CF1568" w:rsidRPr="00D52EF5" w:rsidRDefault="00CF1568" w:rsidP="00CF1568">
      <w:pPr>
        <w:pStyle w:val="Para1"/>
        <w:numPr>
          <w:ilvl w:val="0"/>
          <w:numId w:val="13"/>
        </w:numPr>
        <w:suppressLineNumbers/>
        <w:tabs>
          <w:tab w:val="clear" w:pos="360"/>
        </w:tabs>
        <w:suppressAutoHyphens/>
        <w:spacing w:before="120"/>
        <w:rPr>
          <w:lang w:val="es-ES_tradnl"/>
        </w:rPr>
      </w:pPr>
      <w:r w:rsidRPr="00D52EF5">
        <w:rPr>
          <w:lang w:val="es-ES_tradnl"/>
        </w:rPr>
        <w:t>S</w:t>
      </w:r>
      <w:r w:rsidR="000C0F25" w:rsidRPr="00D52EF5">
        <w:rPr>
          <w:lang w:val="es-ES_tradnl"/>
        </w:rPr>
        <w:t>e observa</w:t>
      </w:r>
      <w:r w:rsidR="00633DF2" w:rsidRPr="00D52EF5">
        <w:rPr>
          <w:lang w:val="es-ES_tradnl"/>
        </w:rPr>
        <w:t xml:space="preserve">n además algunas tendencias positivas en cuanto al gasto </w:t>
      </w:r>
      <w:r w:rsidR="00732BD2" w:rsidRPr="00D52EF5">
        <w:rPr>
          <w:lang w:val="es-ES_tradnl"/>
        </w:rPr>
        <w:t>nacional</w:t>
      </w:r>
      <w:r w:rsidR="00633DF2" w:rsidRPr="00D52EF5">
        <w:rPr>
          <w:lang w:val="es-ES_tradnl"/>
        </w:rPr>
        <w:t xml:space="preserve"> en relación con la diversidad biológica. Por ejemplo</w:t>
      </w:r>
      <w:r w:rsidRPr="00D52EF5">
        <w:rPr>
          <w:lang w:val="es-ES_tradnl"/>
        </w:rPr>
        <w:t xml:space="preserve">, </w:t>
      </w:r>
      <w:r w:rsidR="00633DF2" w:rsidRPr="00D52EF5">
        <w:rPr>
          <w:lang w:val="es-ES_tradnl"/>
        </w:rPr>
        <w:t>e</w:t>
      </w:r>
      <w:r w:rsidRPr="00D52EF5">
        <w:rPr>
          <w:lang w:val="es-ES_tradnl"/>
        </w:rPr>
        <w:t>n M</w:t>
      </w:r>
      <w:r w:rsidR="00633DF2" w:rsidRPr="00D52EF5">
        <w:rPr>
          <w:lang w:val="es-ES_tradnl"/>
        </w:rPr>
        <w:t>é</w:t>
      </w:r>
      <w:r w:rsidRPr="00D52EF5">
        <w:rPr>
          <w:lang w:val="es-ES_tradnl"/>
        </w:rPr>
        <w:t xml:space="preserve">xico, </w:t>
      </w:r>
      <w:r w:rsidR="00702D3A" w:rsidRPr="00D52EF5">
        <w:rPr>
          <w:lang w:val="es-ES_tradnl"/>
        </w:rPr>
        <w:t xml:space="preserve">este gasto aumentó en un </w:t>
      </w:r>
      <w:r w:rsidR="00204178" w:rsidRPr="00D52EF5">
        <w:rPr>
          <w:lang w:val="es-ES_tradnl"/>
        </w:rPr>
        <w:t>248</w:t>
      </w:r>
      <w:r w:rsidR="009920AC" w:rsidRPr="00D52EF5">
        <w:rPr>
          <w:lang w:val="es-ES_tradnl"/>
        </w:rPr>
        <w:t>%</w:t>
      </w:r>
      <w:r w:rsidRPr="00D52EF5">
        <w:rPr>
          <w:lang w:val="es-ES_tradnl"/>
        </w:rPr>
        <w:t xml:space="preserve"> </w:t>
      </w:r>
      <w:r w:rsidR="00702D3A" w:rsidRPr="00D52EF5">
        <w:rPr>
          <w:lang w:val="es-ES_tradnl"/>
        </w:rPr>
        <w:t>entre</w:t>
      </w:r>
      <w:r w:rsidRPr="00D52EF5">
        <w:rPr>
          <w:lang w:val="es-ES_tradnl"/>
        </w:rPr>
        <w:t xml:space="preserve"> 2006 </w:t>
      </w:r>
      <w:r w:rsidR="00702D3A" w:rsidRPr="00D52EF5">
        <w:rPr>
          <w:lang w:val="es-ES_tradnl"/>
        </w:rPr>
        <w:t>y</w:t>
      </w:r>
      <w:r w:rsidRPr="00D52EF5">
        <w:rPr>
          <w:lang w:val="es-ES_tradnl"/>
        </w:rPr>
        <w:t xml:space="preserve"> 2015 (</w:t>
      </w:r>
      <w:r w:rsidR="00702D3A" w:rsidRPr="00D52EF5">
        <w:rPr>
          <w:lang w:val="es-ES_tradnl"/>
        </w:rPr>
        <w:t xml:space="preserve">de </w:t>
      </w:r>
      <w:r w:rsidRPr="00D52EF5">
        <w:rPr>
          <w:lang w:val="es-ES_tradnl"/>
        </w:rPr>
        <w:t>425</w:t>
      </w:r>
      <w:r w:rsidR="0008642F" w:rsidRPr="00D52EF5">
        <w:rPr>
          <w:lang w:val="es-ES_tradnl"/>
        </w:rPr>
        <w:t>.</w:t>
      </w:r>
      <w:r w:rsidR="00702D3A" w:rsidRPr="00D52EF5">
        <w:rPr>
          <w:lang w:val="es-ES_tradnl"/>
        </w:rPr>
        <w:t>6</w:t>
      </w:r>
      <w:r w:rsidR="0008642F" w:rsidRPr="00D52EF5">
        <w:rPr>
          <w:lang w:val="es-ES_tradnl"/>
        </w:rPr>
        <w:t>00</w:t>
      </w:r>
      <w:r w:rsidR="00702D3A" w:rsidRPr="00D52EF5">
        <w:rPr>
          <w:lang w:val="es-ES_tradnl"/>
        </w:rPr>
        <w:t xml:space="preserve"> a</w:t>
      </w:r>
      <w:r w:rsidRPr="00D52EF5">
        <w:rPr>
          <w:lang w:val="es-ES_tradnl"/>
        </w:rPr>
        <w:t xml:space="preserve"> </w:t>
      </w:r>
      <w:r w:rsidR="00702D3A" w:rsidRPr="00D52EF5">
        <w:rPr>
          <w:lang w:val="es-ES_tradnl"/>
        </w:rPr>
        <w:t>1.</w:t>
      </w:r>
      <w:r w:rsidRPr="00D52EF5">
        <w:rPr>
          <w:lang w:val="es-ES_tradnl"/>
        </w:rPr>
        <w:t>169</w:t>
      </w:r>
      <w:r w:rsidR="00896B35" w:rsidRPr="00D52EF5">
        <w:rPr>
          <w:lang w:val="es-ES_tradnl"/>
        </w:rPr>
        <w:t>.</w:t>
      </w:r>
      <w:r w:rsidRPr="00D52EF5">
        <w:rPr>
          <w:lang w:val="es-ES_tradnl"/>
        </w:rPr>
        <w:t>8</w:t>
      </w:r>
      <w:r w:rsidR="00896B35" w:rsidRPr="00D52EF5">
        <w:rPr>
          <w:lang w:val="es-ES_tradnl"/>
        </w:rPr>
        <w:t>00</w:t>
      </w:r>
      <w:r w:rsidR="00702D3A" w:rsidRPr="00D52EF5">
        <w:rPr>
          <w:lang w:val="es-ES_tradnl"/>
        </w:rPr>
        <w:t xml:space="preserve"> de dólares estadounidenses</w:t>
      </w:r>
      <w:r w:rsidRPr="00D52EF5">
        <w:rPr>
          <w:lang w:val="es-ES_tradnl"/>
        </w:rPr>
        <w:t xml:space="preserve">); </w:t>
      </w:r>
      <w:r w:rsidR="001661B5" w:rsidRPr="00D52EF5">
        <w:rPr>
          <w:lang w:val="es-ES_tradnl"/>
        </w:rPr>
        <w:t>e</w:t>
      </w:r>
      <w:r w:rsidRPr="00D52EF5">
        <w:rPr>
          <w:lang w:val="es-ES_tradnl"/>
        </w:rPr>
        <w:t xml:space="preserve">n 2015, </w:t>
      </w:r>
      <w:r w:rsidR="001661B5" w:rsidRPr="00D52EF5">
        <w:rPr>
          <w:lang w:val="es-ES_tradnl"/>
        </w:rPr>
        <w:t xml:space="preserve">el gasto </w:t>
      </w:r>
      <w:r w:rsidRPr="00D52EF5">
        <w:rPr>
          <w:lang w:val="es-ES_tradnl"/>
        </w:rPr>
        <w:t>p</w:t>
      </w:r>
      <w:r w:rsidR="001661B5" w:rsidRPr="00D52EF5">
        <w:rPr>
          <w:lang w:val="es-ES_tradnl"/>
        </w:rPr>
        <w:t>ú</w:t>
      </w:r>
      <w:r w:rsidRPr="00D52EF5">
        <w:rPr>
          <w:lang w:val="es-ES_tradnl"/>
        </w:rPr>
        <w:t>blic</w:t>
      </w:r>
      <w:r w:rsidR="001661B5" w:rsidRPr="00D52EF5">
        <w:rPr>
          <w:lang w:val="es-ES_tradnl"/>
        </w:rPr>
        <w:t xml:space="preserve">o relacionado con la diversidad biológica </w:t>
      </w:r>
      <w:r w:rsidRPr="00D52EF5">
        <w:rPr>
          <w:lang w:val="es-ES_tradnl"/>
        </w:rPr>
        <w:t>represent</w:t>
      </w:r>
      <w:r w:rsidR="001661B5" w:rsidRPr="00D52EF5">
        <w:rPr>
          <w:lang w:val="es-ES_tradnl"/>
        </w:rPr>
        <w:t>ó el</w:t>
      </w:r>
      <w:r w:rsidRPr="00D52EF5">
        <w:rPr>
          <w:lang w:val="es-ES_tradnl"/>
        </w:rPr>
        <w:t xml:space="preserve"> 0</w:t>
      </w:r>
      <w:r w:rsidR="001661B5" w:rsidRPr="00D52EF5">
        <w:rPr>
          <w:lang w:val="es-ES_tradnl"/>
        </w:rPr>
        <w:t>,</w:t>
      </w:r>
      <w:r w:rsidR="00204178" w:rsidRPr="00D52EF5">
        <w:rPr>
          <w:lang w:val="es-ES_tradnl"/>
        </w:rPr>
        <w:t>1</w:t>
      </w:r>
      <w:r w:rsidR="00812F33" w:rsidRPr="00D52EF5">
        <w:rPr>
          <w:lang w:val="es-ES_tradnl"/>
        </w:rPr>
        <w:t>%</w:t>
      </w:r>
      <w:r w:rsidRPr="00D52EF5">
        <w:rPr>
          <w:lang w:val="es-ES_tradnl"/>
        </w:rPr>
        <w:t xml:space="preserve"> </w:t>
      </w:r>
      <w:r w:rsidR="001661B5" w:rsidRPr="00D52EF5">
        <w:rPr>
          <w:lang w:val="es-ES_tradnl"/>
        </w:rPr>
        <w:t xml:space="preserve">del </w:t>
      </w:r>
      <w:r w:rsidR="00D96ED5" w:rsidRPr="00D52EF5">
        <w:rPr>
          <w:lang w:val="es-ES_tradnl"/>
        </w:rPr>
        <w:t>producto interior bruto (</w:t>
      </w:r>
      <w:r w:rsidRPr="00D52EF5">
        <w:rPr>
          <w:lang w:val="es-ES_tradnl"/>
        </w:rPr>
        <w:t>P</w:t>
      </w:r>
      <w:r w:rsidR="001661B5" w:rsidRPr="00D52EF5">
        <w:rPr>
          <w:lang w:val="es-ES_tradnl"/>
        </w:rPr>
        <w:t>IB</w:t>
      </w:r>
      <w:r w:rsidR="00D96ED5" w:rsidRPr="00D52EF5">
        <w:rPr>
          <w:lang w:val="es-ES_tradnl"/>
        </w:rPr>
        <w:t>)</w:t>
      </w:r>
      <w:r w:rsidRPr="00D52EF5">
        <w:rPr>
          <w:lang w:val="es-ES_tradnl"/>
        </w:rPr>
        <w:t xml:space="preserve">. </w:t>
      </w:r>
      <w:r w:rsidR="000B6BD8" w:rsidRPr="00D52EF5">
        <w:rPr>
          <w:lang w:val="es-ES_tradnl"/>
        </w:rPr>
        <w:t xml:space="preserve">El </w:t>
      </w:r>
      <w:r w:rsidR="00477310" w:rsidRPr="00D52EF5">
        <w:rPr>
          <w:lang w:val="es-ES_tradnl"/>
        </w:rPr>
        <w:t>cuadro incluido a continuación</w:t>
      </w:r>
      <w:r w:rsidR="000B6BD8" w:rsidRPr="00D52EF5">
        <w:rPr>
          <w:lang w:val="es-ES_tradnl"/>
        </w:rPr>
        <w:t xml:space="preserve"> se ha elaborado utilizando datos sintetizados </w:t>
      </w:r>
      <w:r w:rsidR="00847F57" w:rsidRPr="00D52EF5">
        <w:rPr>
          <w:lang w:val="es-ES_tradnl"/>
        </w:rPr>
        <w:t xml:space="preserve">actualizados, procedentes de la nota de la </w:t>
      </w:r>
      <w:proofErr w:type="spellStart"/>
      <w:r w:rsidR="00847F57" w:rsidRPr="00D52EF5">
        <w:rPr>
          <w:lang w:val="es-ES_tradnl"/>
        </w:rPr>
        <w:t>Secretria</w:t>
      </w:r>
      <w:proofErr w:type="spellEnd"/>
      <w:r w:rsidR="00847F57" w:rsidRPr="00D52EF5">
        <w:rPr>
          <w:lang w:val="es-ES_tradnl"/>
        </w:rPr>
        <w:t xml:space="preserve"> Ejecutiva sobre la movilización de recursos, </w:t>
      </w:r>
      <w:r w:rsidR="00F425FB" w:rsidRPr="00D52EF5">
        <w:rPr>
          <w:lang w:val="es-ES_tradnl"/>
        </w:rPr>
        <w:t>formulada</w:t>
      </w:r>
      <w:r w:rsidR="00847F57" w:rsidRPr="00D52EF5">
        <w:rPr>
          <w:lang w:val="es-ES_tradnl"/>
        </w:rPr>
        <w:t xml:space="preserve"> para la decimocuarta reunión de la Conferencia de las Partes</w:t>
      </w:r>
      <w:r w:rsidR="00F425FB" w:rsidRPr="00D52EF5">
        <w:rPr>
          <w:lang w:val="es-ES_tradnl"/>
        </w:rPr>
        <w:t xml:space="preserve"> </w:t>
      </w:r>
      <w:r w:rsidR="00847F57" w:rsidRPr="00D52EF5">
        <w:rPr>
          <w:lang w:val="es-ES_tradnl"/>
        </w:rPr>
        <w:t>(</w:t>
      </w:r>
      <w:r w:rsidR="000B6BD8" w:rsidRPr="00D52EF5">
        <w:rPr>
          <w:kern w:val="22"/>
          <w:szCs w:val="22"/>
          <w:lang w:val="es-ES_tradnl"/>
        </w:rPr>
        <w:t>CBD/COP/14/6</w:t>
      </w:r>
      <w:r w:rsidR="00847F57" w:rsidRPr="00D52EF5">
        <w:rPr>
          <w:kern w:val="22"/>
          <w:szCs w:val="22"/>
          <w:lang w:val="es-ES_tradnl"/>
        </w:rPr>
        <w:t>)</w:t>
      </w:r>
      <w:r w:rsidR="000B6BD8" w:rsidRPr="00D52EF5">
        <w:rPr>
          <w:kern w:val="22"/>
          <w:szCs w:val="22"/>
          <w:lang w:val="es-ES_tradnl"/>
        </w:rPr>
        <w:t xml:space="preserve"> actualizados con los datos notificados más recientes, y con las limitaciones metodológicas especificadas en dicho documento. </w:t>
      </w:r>
      <w:r w:rsidR="00477310" w:rsidRPr="00D52EF5">
        <w:rPr>
          <w:lang w:val="es-ES_tradnl"/>
        </w:rPr>
        <w:t>En términos más generales, indica tendencias crecientes o al menos neutra</w:t>
      </w:r>
      <w:r w:rsidR="00732BD2" w:rsidRPr="00D52EF5">
        <w:rPr>
          <w:lang w:val="es-ES_tradnl"/>
        </w:rPr>
        <w:t>s</w:t>
      </w:r>
      <w:r w:rsidR="00477310" w:rsidRPr="00D52EF5">
        <w:rPr>
          <w:lang w:val="es-ES_tradnl"/>
        </w:rPr>
        <w:t xml:space="preserve"> de la financiación </w:t>
      </w:r>
      <w:r w:rsidR="00204178" w:rsidRPr="00D52EF5">
        <w:rPr>
          <w:lang w:val="es-ES_tradnl"/>
        </w:rPr>
        <w:t>nacional</w:t>
      </w:r>
      <w:r w:rsidR="00477310" w:rsidRPr="00D52EF5">
        <w:rPr>
          <w:lang w:val="es-ES_tradnl"/>
        </w:rPr>
        <w:t xml:space="preserve"> </w:t>
      </w:r>
      <w:r w:rsidR="00E11F05" w:rsidRPr="00D52EF5">
        <w:rPr>
          <w:lang w:val="es-ES_tradnl"/>
        </w:rPr>
        <w:t>ligada a</w:t>
      </w:r>
      <w:r w:rsidR="00C00CF4" w:rsidRPr="00D52EF5">
        <w:rPr>
          <w:lang w:val="es-ES_tradnl"/>
        </w:rPr>
        <w:t xml:space="preserve"> la diversidad biológica</w:t>
      </w:r>
      <w:r w:rsidR="00C00CF4" w:rsidRPr="00D52EF5">
        <w:rPr>
          <w:kern w:val="22"/>
          <w:szCs w:val="22"/>
          <w:lang w:val="es-ES_tradnl"/>
        </w:rPr>
        <w:t xml:space="preserve"> </w:t>
      </w:r>
      <w:r w:rsidR="00477310" w:rsidRPr="00D52EF5">
        <w:rPr>
          <w:kern w:val="22"/>
          <w:szCs w:val="22"/>
          <w:lang w:val="es-ES_tradnl"/>
        </w:rPr>
        <w:t>e</w:t>
      </w:r>
      <w:r w:rsidR="00C00CF4" w:rsidRPr="00D52EF5">
        <w:rPr>
          <w:kern w:val="22"/>
          <w:szCs w:val="22"/>
          <w:lang w:val="es-ES_tradnl"/>
        </w:rPr>
        <w:t>n</w:t>
      </w:r>
      <w:r w:rsidR="00477310" w:rsidRPr="00D52EF5">
        <w:rPr>
          <w:kern w:val="22"/>
          <w:szCs w:val="22"/>
          <w:lang w:val="es-ES_tradnl"/>
        </w:rPr>
        <w:t xml:space="preserve"> los países</w:t>
      </w:r>
      <w:r w:rsidRPr="00D52EF5">
        <w:rPr>
          <w:kern w:val="22"/>
          <w:szCs w:val="22"/>
          <w:lang w:val="es-ES_tradnl"/>
        </w:rPr>
        <w:t>.</w:t>
      </w:r>
    </w:p>
    <w:p w14:paraId="56B2BCBC" w14:textId="79DE5701" w:rsidR="00CF1568" w:rsidRPr="00D52EF5" w:rsidRDefault="00710695" w:rsidP="00CF1568">
      <w:pPr>
        <w:pStyle w:val="Para1"/>
        <w:keepNext/>
        <w:suppressLineNumbers/>
        <w:suppressAutoHyphens/>
        <w:rPr>
          <w:b/>
          <w:lang w:val="es-ES_tradnl"/>
        </w:rPr>
      </w:pPr>
      <w:r w:rsidRPr="00D52EF5">
        <w:rPr>
          <w:b/>
          <w:lang w:val="es-ES_tradnl"/>
        </w:rPr>
        <w:t>Cuadro</w:t>
      </w:r>
      <w:r w:rsidR="00CF1568" w:rsidRPr="00D52EF5">
        <w:rPr>
          <w:b/>
          <w:lang w:val="es-ES_tradnl"/>
        </w:rPr>
        <w:t xml:space="preserve"> 2. </w:t>
      </w:r>
      <w:r w:rsidR="00E11F05" w:rsidRPr="00D52EF5">
        <w:rPr>
          <w:b/>
          <w:lang w:val="es-ES_tradnl"/>
        </w:rPr>
        <w:t>Tendencias del gasto nacional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359"/>
        <w:gridCol w:w="1701"/>
        <w:gridCol w:w="1179"/>
        <w:gridCol w:w="943"/>
        <w:gridCol w:w="1022"/>
      </w:tblGrid>
      <w:tr w:rsidR="00CF1568" w:rsidRPr="00D52EF5" w14:paraId="3C3E0FE4" w14:textId="77777777" w:rsidTr="0067248E">
        <w:trPr>
          <w:cantSplit/>
          <w:jc w:val="center"/>
        </w:trPr>
        <w:tc>
          <w:tcPr>
            <w:tcW w:w="4248" w:type="dxa"/>
            <w:shd w:val="clear" w:color="auto" w:fill="auto"/>
          </w:tcPr>
          <w:p w14:paraId="21FF5AFB" w14:textId="17410CD2" w:rsidR="00CF1568" w:rsidRPr="00D52EF5" w:rsidRDefault="005C2E75" w:rsidP="005C2E75">
            <w:pPr>
              <w:keepNext/>
              <w:suppressLineNumbers/>
              <w:suppressAutoHyphens/>
              <w:kinsoku w:val="0"/>
              <w:overflowPunct w:val="0"/>
              <w:autoSpaceDE w:val="0"/>
              <w:autoSpaceDN w:val="0"/>
              <w:adjustRightInd w:val="0"/>
              <w:snapToGrid w:val="0"/>
              <w:ind w:left="360"/>
              <w:jc w:val="center"/>
              <w:rPr>
                <w:i/>
                <w:snapToGrid w:val="0"/>
                <w:kern w:val="22"/>
                <w:szCs w:val="22"/>
                <w:lang w:val="es-ES_tradnl"/>
              </w:rPr>
            </w:pPr>
            <w:r w:rsidRPr="00D52EF5">
              <w:rPr>
                <w:i/>
                <w:snapToGrid w:val="0"/>
                <w:kern w:val="22"/>
                <w:szCs w:val="22"/>
                <w:lang w:val="es-ES_tradnl"/>
              </w:rPr>
              <w:t>Países</w:t>
            </w:r>
          </w:p>
        </w:tc>
        <w:tc>
          <w:tcPr>
            <w:tcW w:w="1170" w:type="dxa"/>
            <w:shd w:val="clear" w:color="auto" w:fill="auto"/>
          </w:tcPr>
          <w:p w14:paraId="5C520B20" w14:textId="4C0A9980" w:rsidR="00CF1568" w:rsidRPr="00D52EF5" w:rsidRDefault="004F575F" w:rsidP="0067248E">
            <w:pPr>
              <w:keepNext/>
              <w:suppressLineNumbers/>
              <w:suppressAutoHyphens/>
              <w:kinsoku w:val="0"/>
              <w:overflowPunct w:val="0"/>
              <w:autoSpaceDE w:val="0"/>
              <w:autoSpaceDN w:val="0"/>
              <w:adjustRightInd w:val="0"/>
              <w:snapToGrid w:val="0"/>
              <w:ind w:left="360"/>
              <w:rPr>
                <w:i/>
                <w:snapToGrid w:val="0"/>
                <w:kern w:val="22"/>
                <w:szCs w:val="22"/>
                <w:lang w:val="es-ES_tradnl"/>
              </w:rPr>
            </w:pPr>
            <w:r w:rsidRPr="00D52EF5">
              <w:rPr>
                <w:i/>
                <w:snapToGrid w:val="0"/>
                <w:kern w:val="22"/>
                <w:szCs w:val="22"/>
                <w:lang w:val="es-ES_tradnl"/>
              </w:rPr>
              <w:t>Aumento</w:t>
            </w:r>
          </w:p>
        </w:tc>
        <w:tc>
          <w:tcPr>
            <w:tcW w:w="1080" w:type="dxa"/>
            <w:shd w:val="clear" w:color="auto" w:fill="auto"/>
          </w:tcPr>
          <w:p w14:paraId="5281B074" w14:textId="20A43AFC" w:rsidR="00CF1568" w:rsidRPr="00D52EF5" w:rsidRDefault="004F575F" w:rsidP="0067248E">
            <w:pPr>
              <w:keepNext/>
              <w:suppressLineNumbers/>
              <w:suppressAutoHyphens/>
              <w:kinsoku w:val="0"/>
              <w:overflowPunct w:val="0"/>
              <w:autoSpaceDE w:val="0"/>
              <w:autoSpaceDN w:val="0"/>
              <w:adjustRightInd w:val="0"/>
              <w:snapToGrid w:val="0"/>
              <w:ind w:left="360"/>
              <w:rPr>
                <w:i/>
                <w:snapToGrid w:val="0"/>
                <w:kern w:val="22"/>
                <w:szCs w:val="22"/>
                <w:lang w:val="es-ES_tradnl"/>
              </w:rPr>
            </w:pPr>
            <w:r w:rsidRPr="00D52EF5">
              <w:rPr>
                <w:i/>
                <w:snapToGrid w:val="0"/>
                <w:kern w:val="22"/>
                <w:szCs w:val="22"/>
                <w:lang w:val="es-ES_tradnl"/>
              </w:rPr>
              <w:t>Disminución</w:t>
            </w:r>
          </w:p>
        </w:tc>
        <w:tc>
          <w:tcPr>
            <w:tcW w:w="1080" w:type="dxa"/>
            <w:shd w:val="clear" w:color="auto" w:fill="auto"/>
          </w:tcPr>
          <w:p w14:paraId="545B2636" w14:textId="23503D6B" w:rsidR="00CF1568" w:rsidRPr="00D52EF5" w:rsidRDefault="00CF1568" w:rsidP="0067248E">
            <w:pPr>
              <w:keepNext/>
              <w:suppressLineNumbers/>
              <w:suppressAutoHyphens/>
              <w:kinsoku w:val="0"/>
              <w:overflowPunct w:val="0"/>
              <w:autoSpaceDE w:val="0"/>
              <w:autoSpaceDN w:val="0"/>
              <w:adjustRightInd w:val="0"/>
              <w:snapToGrid w:val="0"/>
              <w:ind w:left="360"/>
              <w:rPr>
                <w:i/>
                <w:snapToGrid w:val="0"/>
                <w:kern w:val="22"/>
                <w:szCs w:val="22"/>
                <w:lang w:val="es-ES_tradnl"/>
              </w:rPr>
            </w:pPr>
            <w:r w:rsidRPr="00D52EF5">
              <w:rPr>
                <w:i/>
                <w:snapToGrid w:val="0"/>
                <w:kern w:val="22"/>
                <w:szCs w:val="22"/>
                <w:lang w:val="es-ES_tradnl"/>
              </w:rPr>
              <w:t>Neutr</w:t>
            </w:r>
            <w:r w:rsidR="00D96ED5" w:rsidRPr="00D52EF5">
              <w:rPr>
                <w:i/>
                <w:snapToGrid w:val="0"/>
                <w:kern w:val="22"/>
                <w:szCs w:val="22"/>
                <w:lang w:val="es-ES_tradnl"/>
              </w:rPr>
              <w:t>o</w:t>
            </w:r>
          </w:p>
        </w:tc>
        <w:tc>
          <w:tcPr>
            <w:tcW w:w="900" w:type="dxa"/>
            <w:shd w:val="clear" w:color="auto" w:fill="auto"/>
          </w:tcPr>
          <w:p w14:paraId="47D5B7D0" w14:textId="215D4202" w:rsidR="00CF1568" w:rsidRPr="00D52EF5" w:rsidRDefault="004F575F" w:rsidP="0067248E">
            <w:pPr>
              <w:keepNext/>
              <w:suppressLineNumbers/>
              <w:suppressAutoHyphens/>
              <w:kinsoku w:val="0"/>
              <w:overflowPunct w:val="0"/>
              <w:autoSpaceDE w:val="0"/>
              <w:autoSpaceDN w:val="0"/>
              <w:adjustRightInd w:val="0"/>
              <w:snapToGrid w:val="0"/>
              <w:ind w:left="360"/>
              <w:rPr>
                <w:i/>
                <w:snapToGrid w:val="0"/>
                <w:kern w:val="22"/>
                <w:szCs w:val="22"/>
                <w:lang w:val="es-ES_tradnl"/>
              </w:rPr>
            </w:pPr>
            <w:r w:rsidRPr="00D52EF5">
              <w:rPr>
                <w:i/>
                <w:snapToGrid w:val="0"/>
                <w:kern w:val="22"/>
                <w:szCs w:val="22"/>
                <w:lang w:val="es-ES_tradnl"/>
              </w:rPr>
              <w:t>N/D</w:t>
            </w:r>
          </w:p>
        </w:tc>
        <w:tc>
          <w:tcPr>
            <w:tcW w:w="1022" w:type="dxa"/>
            <w:shd w:val="clear" w:color="auto" w:fill="auto"/>
          </w:tcPr>
          <w:p w14:paraId="6CF98A5D" w14:textId="77777777" w:rsidR="00CF1568" w:rsidRPr="00D52EF5" w:rsidRDefault="00CF1568" w:rsidP="0067248E">
            <w:pPr>
              <w:keepNext/>
              <w:suppressLineNumbers/>
              <w:suppressAutoHyphens/>
              <w:kinsoku w:val="0"/>
              <w:overflowPunct w:val="0"/>
              <w:autoSpaceDE w:val="0"/>
              <w:autoSpaceDN w:val="0"/>
              <w:adjustRightInd w:val="0"/>
              <w:snapToGrid w:val="0"/>
              <w:ind w:left="360"/>
              <w:rPr>
                <w:i/>
                <w:snapToGrid w:val="0"/>
                <w:kern w:val="22"/>
                <w:szCs w:val="22"/>
                <w:lang w:val="es-ES_tradnl"/>
              </w:rPr>
            </w:pPr>
            <w:r w:rsidRPr="00D52EF5">
              <w:rPr>
                <w:i/>
                <w:snapToGrid w:val="0"/>
                <w:kern w:val="22"/>
                <w:szCs w:val="22"/>
                <w:lang w:val="es-ES_tradnl"/>
              </w:rPr>
              <w:t>Total</w:t>
            </w:r>
          </w:p>
        </w:tc>
      </w:tr>
      <w:tr w:rsidR="00CF1568" w:rsidRPr="00D52EF5" w14:paraId="3B729078" w14:textId="77777777" w:rsidTr="0067248E">
        <w:trPr>
          <w:cantSplit/>
          <w:jc w:val="center"/>
        </w:trPr>
        <w:tc>
          <w:tcPr>
            <w:tcW w:w="4248" w:type="dxa"/>
            <w:shd w:val="clear" w:color="auto" w:fill="auto"/>
          </w:tcPr>
          <w:p w14:paraId="33F46C47" w14:textId="7077EAED" w:rsidR="00CF1568" w:rsidRPr="00D52EF5" w:rsidRDefault="00710695" w:rsidP="0067248E">
            <w:pPr>
              <w:keepNext/>
              <w:suppressLineNumbers/>
              <w:suppressAutoHyphens/>
              <w:kinsoku w:val="0"/>
              <w:overflowPunct w:val="0"/>
              <w:autoSpaceDE w:val="0"/>
              <w:autoSpaceDN w:val="0"/>
              <w:adjustRightInd w:val="0"/>
              <w:snapToGrid w:val="0"/>
              <w:rPr>
                <w:snapToGrid w:val="0"/>
                <w:kern w:val="22"/>
                <w:szCs w:val="22"/>
                <w:lang w:val="es-ES_tradnl"/>
              </w:rPr>
            </w:pPr>
            <w:r w:rsidRPr="00D52EF5">
              <w:rPr>
                <w:snapToGrid w:val="0"/>
                <w:kern w:val="22"/>
                <w:szCs w:val="22"/>
                <w:lang w:val="es-ES_tradnl"/>
              </w:rPr>
              <w:t>Miembros del Comité de Asistencia para el Desarrollo de la OCDE (en inglés, DAC)</w:t>
            </w:r>
          </w:p>
        </w:tc>
        <w:tc>
          <w:tcPr>
            <w:tcW w:w="1170" w:type="dxa"/>
            <w:shd w:val="clear" w:color="auto" w:fill="auto"/>
          </w:tcPr>
          <w:p w14:paraId="42EAC073" w14:textId="77777777" w:rsidR="00CF1568" w:rsidRPr="00D52EF5" w:rsidRDefault="00CF1568"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7</w:t>
            </w:r>
          </w:p>
        </w:tc>
        <w:tc>
          <w:tcPr>
            <w:tcW w:w="1080" w:type="dxa"/>
            <w:shd w:val="clear" w:color="auto" w:fill="auto"/>
          </w:tcPr>
          <w:p w14:paraId="42E5E1C1" w14:textId="5FD02194" w:rsidR="00CF1568"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6</w:t>
            </w:r>
          </w:p>
        </w:tc>
        <w:tc>
          <w:tcPr>
            <w:tcW w:w="1080" w:type="dxa"/>
            <w:shd w:val="clear" w:color="auto" w:fill="auto"/>
          </w:tcPr>
          <w:p w14:paraId="08128B20" w14:textId="77777777" w:rsidR="00CF1568" w:rsidRPr="00D52EF5" w:rsidRDefault="00CF1568"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7</w:t>
            </w:r>
          </w:p>
        </w:tc>
        <w:tc>
          <w:tcPr>
            <w:tcW w:w="900" w:type="dxa"/>
            <w:shd w:val="clear" w:color="auto" w:fill="auto"/>
          </w:tcPr>
          <w:p w14:paraId="4A6FEE37" w14:textId="77777777" w:rsidR="00CF1568" w:rsidRPr="00D52EF5" w:rsidRDefault="00CF1568"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3</w:t>
            </w:r>
          </w:p>
        </w:tc>
        <w:tc>
          <w:tcPr>
            <w:tcW w:w="1022" w:type="dxa"/>
            <w:shd w:val="clear" w:color="auto" w:fill="auto"/>
          </w:tcPr>
          <w:p w14:paraId="43129889" w14:textId="4EA512FE" w:rsidR="00CF1568" w:rsidRPr="00D52EF5" w:rsidRDefault="00CF1568"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2</w:t>
            </w:r>
            <w:r w:rsidR="00F425FB" w:rsidRPr="00D52EF5">
              <w:rPr>
                <w:snapToGrid w:val="0"/>
                <w:kern w:val="22"/>
                <w:szCs w:val="22"/>
                <w:lang w:val="es-ES_tradnl"/>
              </w:rPr>
              <w:t>3</w:t>
            </w:r>
          </w:p>
        </w:tc>
      </w:tr>
      <w:tr w:rsidR="00CF1568" w:rsidRPr="00D52EF5" w14:paraId="1C458296" w14:textId="77777777" w:rsidTr="0067248E">
        <w:trPr>
          <w:cantSplit/>
          <w:jc w:val="center"/>
        </w:trPr>
        <w:tc>
          <w:tcPr>
            <w:tcW w:w="4248" w:type="dxa"/>
            <w:shd w:val="clear" w:color="auto" w:fill="auto"/>
          </w:tcPr>
          <w:p w14:paraId="351D171F" w14:textId="3FABAB5E" w:rsidR="00CF1568" w:rsidRPr="00D52EF5" w:rsidRDefault="0008642F" w:rsidP="0008642F">
            <w:pPr>
              <w:keepNext/>
              <w:suppressLineNumbers/>
              <w:suppressAutoHyphens/>
              <w:kinsoku w:val="0"/>
              <w:overflowPunct w:val="0"/>
              <w:autoSpaceDE w:val="0"/>
              <w:autoSpaceDN w:val="0"/>
              <w:adjustRightInd w:val="0"/>
              <w:snapToGrid w:val="0"/>
              <w:rPr>
                <w:snapToGrid w:val="0"/>
                <w:kern w:val="22"/>
                <w:szCs w:val="22"/>
                <w:lang w:val="es-ES_tradnl"/>
              </w:rPr>
            </w:pPr>
            <w:r w:rsidRPr="00D52EF5">
              <w:rPr>
                <w:snapToGrid w:val="0"/>
                <w:kern w:val="22"/>
                <w:szCs w:val="22"/>
                <w:lang w:val="es-ES_tradnl"/>
              </w:rPr>
              <w:t>No pertenecientes a</w:t>
            </w:r>
            <w:r w:rsidR="008E4FB3" w:rsidRPr="00D52EF5">
              <w:rPr>
                <w:snapToGrid w:val="0"/>
                <w:kern w:val="22"/>
                <w:szCs w:val="22"/>
                <w:lang w:val="es-ES_tradnl"/>
              </w:rPr>
              <w:t>l DAC</w:t>
            </w:r>
          </w:p>
        </w:tc>
        <w:tc>
          <w:tcPr>
            <w:tcW w:w="1170" w:type="dxa"/>
            <w:shd w:val="clear" w:color="auto" w:fill="auto"/>
          </w:tcPr>
          <w:p w14:paraId="380CDDB3" w14:textId="2DD66727" w:rsidR="00CF1568"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2</w:t>
            </w:r>
            <w:r w:rsidR="00CF1568" w:rsidRPr="00D52EF5">
              <w:rPr>
                <w:snapToGrid w:val="0"/>
                <w:kern w:val="22"/>
                <w:szCs w:val="22"/>
                <w:lang w:val="es-ES_tradnl"/>
              </w:rPr>
              <w:t>1</w:t>
            </w:r>
          </w:p>
        </w:tc>
        <w:tc>
          <w:tcPr>
            <w:tcW w:w="1080" w:type="dxa"/>
            <w:shd w:val="clear" w:color="auto" w:fill="auto"/>
          </w:tcPr>
          <w:p w14:paraId="60A1E2E8" w14:textId="15400495" w:rsidR="00CF1568"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7</w:t>
            </w:r>
          </w:p>
        </w:tc>
        <w:tc>
          <w:tcPr>
            <w:tcW w:w="1080" w:type="dxa"/>
            <w:shd w:val="clear" w:color="auto" w:fill="auto"/>
          </w:tcPr>
          <w:p w14:paraId="3D8AD80A" w14:textId="53FC918F" w:rsidR="00CF1568" w:rsidRPr="00D52EF5" w:rsidRDefault="00CF1568"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1</w:t>
            </w:r>
            <w:r w:rsidR="00F425FB" w:rsidRPr="00D52EF5">
              <w:rPr>
                <w:snapToGrid w:val="0"/>
                <w:kern w:val="22"/>
                <w:szCs w:val="22"/>
                <w:lang w:val="es-ES_tradnl"/>
              </w:rPr>
              <w:t>7</w:t>
            </w:r>
          </w:p>
        </w:tc>
        <w:tc>
          <w:tcPr>
            <w:tcW w:w="900" w:type="dxa"/>
            <w:shd w:val="clear" w:color="auto" w:fill="auto"/>
          </w:tcPr>
          <w:p w14:paraId="128ED7D8" w14:textId="1B68F517" w:rsidR="00CF1568"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10</w:t>
            </w:r>
          </w:p>
        </w:tc>
        <w:tc>
          <w:tcPr>
            <w:tcW w:w="1022" w:type="dxa"/>
            <w:shd w:val="clear" w:color="auto" w:fill="auto"/>
          </w:tcPr>
          <w:p w14:paraId="0CFB35A4" w14:textId="248F3A8A" w:rsidR="00CF1568"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55</w:t>
            </w:r>
          </w:p>
        </w:tc>
      </w:tr>
      <w:tr w:rsidR="00F425FB" w:rsidRPr="00D52EF5" w14:paraId="4C300ABA" w14:textId="77777777" w:rsidTr="0067248E">
        <w:trPr>
          <w:cantSplit/>
          <w:jc w:val="center"/>
        </w:trPr>
        <w:tc>
          <w:tcPr>
            <w:tcW w:w="4248" w:type="dxa"/>
            <w:shd w:val="clear" w:color="auto" w:fill="auto"/>
          </w:tcPr>
          <w:p w14:paraId="782C15D5" w14:textId="7FB88DEF" w:rsidR="00F425FB" w:rsidRPr="00D52EF5" w:rsidRDefault="00F425FB" w:rsidP="0008642F">
            <w:pPr>
              <w:keepNext/>
              <w:suppressLineNumbers/>
              <w:suppressAutoHyphens/>
              <w:kinsoku w:val="0"/>
              <w:overflowPunct w:val="0"/>
              <w:autoSpaceDE w:val="0"/>
              <w:autoSpaceDN w:val="0"/>
              <w:adjustRightInd w:val="0"/>
              <w:snapToGrid w:val="0"/>
              <w:rPr>
                <w:snapToGrid w:val="0"/>
                <w:kern w:val="22"/>
                <w:szCs w:val="22"/>
                <w:lang w:val="es-ES_tradnl"/>
              </w:rPr>
            </w:pPr>
            <w:r w:rsidRPr="00D52EF5">
              <w:rPr>
                <w:snapToGrid w:val="0"/>
                <w:kern w:val="22"/>
                <w:szCs w:val="22"/>
                <w:lang w:val="es-ES_tradnl"/>
              </w:rPr>
              <w:t>Todos los países</w:t>
            </w:r>
          </w:p>
        </w:tc>
        <w:tc>
          <w:tcPr>
            <w:tcW w:w="1170" w:type="dxa"/>
            <w:shd w:val="clear" w:color="auto" w:fill="auto"/>
          </w:tcPr>
          <w:p w14:paraId="4E4E7953" w14:textId="6629F6D8" w:rsidR="00F425FB"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28</w:t>
            </w:r>
          </w:p>
        </w:tc>
        <w:tc>
          <w:tcPr>
            <w:tcW w:w="1080" w:type="dxa"/>
            <w:shd w:val="clear" w:color="auto" w:fill="auto"/>
          </w:tcPr>
          <w:p w14:paraId="33914330" w14:textId="72EFA165" w:rsidR="00F425FB"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13</w:t>
            </w:r>
          </w:p>
        </w:tc>
        <w:tc>
          <w:tcPr>
            <w:tcW w:w="1080" w:type="dxa"/>
            <w:shd w:val="clear" w:color="auto" w:fill="auto"/>
          </w:tcPr>
          <w:p w14:paraId="66CB60B3" w14:textId="6E0F933A" w:rsidR="00F425FB"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24</w:t>
            </w:r>
          </w:p>
        </w:tc>
        <w:tc>
          <w:tcPr>
            <w:tcW w:w="900" w:type="dxa"/>
            <w:shd w:val="clear" w:color="auto" w:fill="auto"/>
          </w:tcPr>
          <w:p w14:paraId="2349B22F" w14:textId="66901BDE" w:rsidR="00F425FB"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13</w:t>
            </w:r>
          </w:p>
        </w:tc>
        <w:tc>
          <w:tcPr>
            <w:tcW w:w="1022" w:type="dxa"/>
            <w:shd w:val="clear" w:color="auto" w:fill="auto"/>
          </w:tcPr>
          <w:p w14:paraId="5D4571EA" w14:textId="418A00F8" w:rsidR="00F425FB" w:rsidRPr="00D52EF5" w:rsidRDefault="00F425FB" w:rsidP="0067248E">
            <w:pPr>
              <w:keepNext/>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78</w:t>
            </w:r>
          </w:p>
        </w:tc>
      </w:tr>
      <w:tr w:rsidR="00CF1568" w:rsidRPr="00D52EF5" w14:paraId="7E28592A" w14:textId="77777777" w:rsidTr="0067248E">
        <w:trPr>
          <w:cantSplit/>
          <w:jc w:val="center"/>
        </w:trPr>
        <w:tc>
          <w:tcPr>
            <w:tcW w:w="4248" w:type="dxa"/>
            <w:shd w:val="clear" w:color="auto" w:fill="auto"/>
          </w:tcPr>
          <w:p w14:paraId="31AF7C33" w14:textId="64A3C9EB" w:rsidR="00CF1568" w:rsidRPr="00D52EF5" w:rsidRDefault="008E4FB3" w:rsidP="008E4FB3">
            <w:pPr>
              <w:suppressLineNumbers/>
              <w:suppressAutoHyphens/>
              <w:kinsoku w:val="0"/>
              <w:overflowPunct w:val="0"/>
              <w:autoSpaceDE w:val="0"/>
              <w:autoSpaceDN w:val="0"/>
              <w:adjustRightInd w:val="0"/>
              <w:snapToGrid w:val="0"/>
              <w:rPr>
                <w:snapToGrid w:val="0"/>
                <w:kern w:val="22"/>
                <w:szCs w:val="22"/>
                <w:lang w:val="es-ES_tradnl"/>
              </w:rPr>
            </w:pPr>
            <w:r w:rsidRPr="00D52EF5">
              <w:rPr>
                <w:snapToGrid w:val="0"/>
                <w:kern w:val="22"/>
                <w:szCs w:val="22"/>
                <w:lang w:val="es-ES_tradnl"/>
              </w:rPr>
              <w:t>Países m</w:t>
            </w:r>
            <w:r w:rsidR="00CF1568" w:rsidRPr="00D52EF5">
              <w:rPr>
                <w:snapToGrid w:val="0"/>
                <w:kern w:val="22"/>
                <w:szCs w:val="22"/>
                <w:lang w:val="es-ES_tradnl"/>
              </w:rPr>
              <w:t>egadivers</w:t>
            </w:r>
            <w:r w:rsidRPr="00D52EF5">
              <w:rPr>
                <w:snapToGrid w:val="0"/>
                <w:kern w:val="22"/>
                <w:szCs w:val="22"/>
                <w:lang w:val="es-ES_tradnl"/>
              </w:rPr>
              <w:t>o</w:t>
            </w:r>
            <w:r w:rsidR="00CF1568" w:rsidRPr="00D52EF5">
              <w:rPr>
                <w:snapToGrid w:val="0"/>
                <w:kern w:val="22"/>
                <w:szCs w:val="22"/>
                <w:lang w:val="es-ES_tradnl"/>
              </w:rPr>
              <w:t>s</w:t>
            </w:r>
          </w:p>
        </w:tc>
        <w:tc>
          <w:tcPr>
            <w:tcW w:w="1170" w:type="dxa"/>
            <w:shd w:val="clear" w:color="auto" w:fill="auto"/>
          </w:tcPr>
          <w:p w14:paraId="343C83D9" w14:textId="77777777" w:rsidR="00CF1568" w:rsidRPr="00D52EF5" w:rsidRDefault="00CF1568" w:rsidP="0067248E">
            <w:pPr>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5</w:t>
            </w:r>
          </w:p>
        </w:tc>
        <w:tc>
          <w:tcPr>
            <w:tcW w:w="1080" w:type="dxa"/>
            <w:shd w:val="clear" w:color="auto" w:fill="auto"/>
          </w:tcPr>
          <w:p w14:paraId="109AF513" w14:textId="25C5890A" w:rsidR="00CF1568" w:rsidRPr="00D52EF5" w:rsidRDefault="00F425FB" w:rsidP="0067248E">
            <w:pPr>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3</w:t>
            </w:r>
          </w:p>
        </w:tc>
        <w:tc>
          <w:tcPr>
            <w:tcW w:w="1080" w:type="dxa"/>
            <w:shd w:val="clear" w:color="auto" w:fill="auto"/>
          </w:tcPr>
          <w:p w14:paraId="23B89A31" w14:textId="2627145C" w:rsidR="00CF1568" w:rsidRPr="00D52EF5" w:rsidRDefault="00F425FB" w:rsidP="0067248E">
            <w:pPr>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3</w:t>
            </w:r>
          </w:p>
        </w:tc>
        <w:tc>
          <w:tcPr>
            <w:tcW w:w="900" w:type="dxa"/>
            <w:shd w:val="clear" w:color="auto" w:fill="auto"/>
          </w:tcPr>
          <w:p w14:paraId="7C001DCB" w14:textId="4444CB17" w:rsidR="00CF1568" w:rsidRPr="00D52EF5" w:rsidRDefault="00F425FB" w:rsidP="0067248E">
            <w:pPr>
              <w:suppressLineNumbers/>
              <w:suppressAutoHyphens/>
              <w:kinsoku w:val="0"/>
              <w:overflowPunct w:val="0"/>
              <w:autoSpaceDE w:val="0"/>
              <w:autoSpaceDN w:val="0"/>
              <w:adjustRightInd w:val="0"/>
              <w:snapToGrid w:val="0"/>
              <w:ind w:left="360"/>
              <w:jc w:val="center"/>
              <w:rPr>
                <w:snapToGrid w:val="0"/>
                <w:kern w:val="22"/>
                <w:szCs w:val="22"/>
                <w:lang w:val="es-ES_tradnl"/>
              </w:rPr>
            </w:pPr>
            <w:r w:rsidRPr="00D52EF5">
              <w:rPr>
                <w:snapToGrid w:val="0"/>
                <w:kern w:val="22"/>
                <w:szCs w:val="22"/>
                <w:lang w:val="es-ES_tradnl"/>
              </w:rPr>
              <w:t>1</w:t>
            </w:r>
          </w:p>
        </w:tc>
        <w:tc>
          <w:tcPr>
            <w:tcW w:w="1022" w:type="dxa"/>
            <w:shd w:val="clear" w:color="auto" w:fill="auto"/>
          </w:tcPr>
          <w:p w14:paraId="2B83E657" w14:textId="26FA44AB" w:rsidR="00CF1568" w:rsidRPr="00D52EF5" w:rsidRDefault="009918D7" w:rsidP="001360DE">
            <w:pPr>
              <w:suppressLineNumbers/>
              <w:suppressAutoHyphens/>
              <w:kinsoku w:val="0"/>
              <w:overflowPunct w:val="0"/>
              <w:autoSpaceDE w:val="0"/>
              <w:autoSpaceDN w:val="0"/>
              <w:adjustRightInd w:val="0"/>
              <w:snapToGrid w:val="0"/>
              <w:ind w:left="360"/>
              <w:rPr>
                <w:snapToGrid w:val="0"/>
                <w:kern w:val="22"/>
                <w:szCs w:val="22"/>
                <w:lang w:val="es-ES_tradnl"/>
              </w:rPr>
            </w:pPr>
            <w:r>
              <w:rPr>
                <w:snapToGrid w:val="0"/>
                <w:kern w:val="22"/>
                <w:szCs w:val="22"/>
                <w:lang w:val="es-ES_tradnl"/>
              </w:rPr>
              <w:t xml:space="preserve">  </w:t>
            </w:r>
            <w:r w:rsidR="00F425FB" w:rsidRPr="00D52EF5">
              <w:rPr>
                <w:snapToGrid w:val="0"/>
                <w:kern w:val="22"/>
                <w:szCs w:val="22"/>
                <w:lang w:val="es-ES_tradnl"/>
              </w:rPr>
              <w:t>12</w:t>
            </w:r>
          </w:p>
        </w:tc>
      </w:tr>
    </w:tbl>
    <w:p w14:paraId="6CF19DFC" w14:textId="465BB1EF" w:rsidR="00CF1568" w:rsidRPr="00D52EF5" w:rsidRDefault="007057D1" w:rsidP="00CF1568">
      <w:pPr>
        <w:pStyle w:val="Para1"/>
        <w:numPr>
          <w:ilvl w:val="0"/>
          <w:numId w:val="13"/>
        </w:numPr>
        <w:suppressLineNumbers/>
        <w:tabs>
          <w:tab w:val="clear" w:pos="360"/>
        </w:tabs>
        <w:suppressAutoHyphens/>
        <w:spacing w:before="120"/>
        <w:rPr>
          <w:lang w:val="es-ES_tradnl"/>
        </w:rPr>
      </w:pPr>
      <w:r w:rsidRPr="00D52EF5">
        <w:rPr>
          <w:lang w:val="es-ES_tradnl"/>
        </w:rPr>
        <w:t xml:space="preserve">La iniciativa </w:t>
      </w:r>
      <w:r w:rsidR="00CF1568" w:rsidRPr="00D52EF5">
        <w:rPr>
          <w:lang w:val="es-ES_tradnl"/>
        </w:rPr>
        <w:t xml:space="preserve">BIOFIN </w:t>
      </w:r>
      <w:r w:rsidRPr="00D52EF5">
        <w:rPr>
          <w:lang w:val="es-ES_tradnl"/>
        </w:rPr>
        <w:t>del PNUD e</w:t>
      </w:r>
      <w:r w:rsidR="00CF1568" w:rsidRPr="00D52EF5">
        <w:rPr>
          <w:lang w:val="es-ES_tradnl"/>
        </w:rPr>
        <w:t xml:space="preserve">s </w:t>
      </w:r>
      <w:r w:rsidRPr="00D52EF5">
        <w:rPr>
          <w:lang w:val="es-ES_tradnl"/>
        </w:rPr>
        <w:t xml:space="preserve">las más importante y </w:t>
      </w:r>
      <w:r w:rsidR="00D96ED5" w:rsidRPr="00D52EF5">
        <w:rPr>
          <w:lang w:val="es-ES_tradnl"/>
        </w:rPr>
        <w:t xml:space="preserve">la </w:t>
      </w:r>
      <w:r w:rsidR="005C2E75" w:rsidRPr="00D52EF5">
        <w:rPr>
          <w:lang w:val="es-ES_tradnl"/>
        </w:rPr>
        <w:t xml:space="preserve">más productiva </w:t>
      </w:r>
      <w:r w:rsidR="00D96ED5" w:rsidRPr="00D52EF5">
        <w:rPr>
          <w:lang w:val="es-ES_tradnl"/>
        </w:rPr>
        <w:t xml:space="preserve">a la hora de lograr que los países en desarrollo </w:t>
      </w:r>
      <w:r w:rsidRPr="00D52EF5">
        <w:rPr>
          <w:lang w:val="es-ES_tradnl"/>
        </w:rPr>
        <w:t>incorpor</w:t>
      </w:r>
      <w:r w:rsidR="00D96ED5" w:rsidRPr="00D52EF5">
        <w:rPr>
          <w:lang w:val="es-ES_tradnl"/>
        </w:rPr>
        <w:t>aran</w:t>
      </w:r>
      <w:r w:rsidRPr="00D52EF5">
        <w:rPr>
          <w:lang w:val="es-ES_tradnl"/>
        </w:rPr>
        <w:t xml:space="preserve"> de modo exhaustivo la diversidad biológica en sus planes de desarrollo y estrategias de financiación nacionales</w:t>
      </w:r>
      <w:r w:rsidR="00CF1568" w:rsidRPr="00D52EF5">
        <w:rPr>
          <w:lang w:val="es-ES_tradnl"/>
        </w:rPr>
        <w:t xml:space="preserve">, </w:t>
      </w:r>
      <w:r w:rsidR="007E4911" w:rsidRPr="00D52EF5">
        <w:rPr>
          <w:lang w:val="es-ES_tradnl"/>
        </w:rPr>
        <w:t>en particular en las EPANDB</w:t>
      </w:r>
      <w:r w:rsidR="00CF1568" w:rsidRPr="00D52EF5">
        <w:rPr>
          <w:lang w:val="es-ES_tradnl"/>
        </w:rPr>
        <w:t xml:space="preserve">. BIOFIN </w:t>
      </w:r>
      <w:r w:rsidR="007E4911" w:rsidRPr="00D52EF5">
        <w:rPr>
          <w:lang w:val="es-ES_tradnl"/>
        </w:rPr>
        <w:t xml:space="preserve">arrancó en </w:t>
      </w:r>
      <w:r w:rsidR="00CF1568" w:rsidRPr="00D52EF5">
        <w:rPr>
          <w:lang w:val="es-ES_tradnl"/>
        </w:rPr>
        <w:t xml:space="preserve">2012 </w:t>
      </w:r>
      <w:r w:rsidR="007E4911" w:rsidRPr="00D52EF5">
        <w:rPr>
          <w:lang w:val="es-ES_tradnl"/>
        </w:rPr>
        <w:t>y en la actualidad ayuda a 35 país</w:t>
      </w:r>
      <w:r w:rsidR="00CF1568" w:rsidRPr="00D52EF5">
        <w:rPr>
          <w:lang w:val="es-ES_tradnl"/>
        </w:rPr>
        <w:t>es –</w:t>
      </w:r>
      <w:r w:rsidR="007E4911" w:rsidRPr="00D52EF5">
        <w:rPr>
          <w:lang w:val="es-ES_tradnl"/>
        </w:rPr>
        <w:t xml:space="preserve">de los cuales </w:t>
      </w:r>
      <w:r w:rsidR="00CF1568" w:rsidRPr="00D52EF5">
        <w:rPr>
          <w:lang w:val="es-ES_tradnl"/>
        </w:rPr>
        <w:t xml:space="preserve">11 </w:t>
      </w:r>
      <w:r w:rsidR="007E4911" w:rsidRPr="00D52EF5">
        <w:rPr>
          <w:lang w:val="es-ES_tradnl"/>
        </w:rPr>
        <w:t>son megadiversos</w:t>
      </w:r>
      <w:r w:rsidR="00CF1568" w:rsidRPr="00D52EF5">
        <w:rPr>
          <w:lang w:val="es-ES_tradnl"/>
        </w:rPr>
        <w:t xml:space="preserve">– 15 </w:t>
      </w:r>
      <w:r w:rsidR="000C0CA3" w:rsidRPr="00D52EF5">
        <w:rPr>
          <w:lang w:val="es-ES_tradnl"/>
        </w:rPr>
        <w:t>d</w:t>
      </w:r>
      <w:r w:rsidR="005C2E75" w:rsidRPr="00D52EF5">
        <w:rPr>
          <w:lang w:val="es-ES_tradnl"/>
        </w:rPr>
        <w:t>e Asia,</w:t>
      </w:r>
      <w:r w:rsidR="00CF1568" w:rsidRPr="00D52EF5">
        <w:rPr>
          <w:lang w:val="es-ES_tradnl"/>
        </w:rPr>
        <w:t xml:space="preserve"> 10 </w:t>
      </w:r>
      <w:r w:rsidR="000C0CA3" w:rsidRPr="00D52EF5">
        <w:rPr>
          <w:lang w:val="es-ES_tradnl"/>
        </w:rPr>
        <w:t>d</w:t>
      </w:r>
      <w:r w:rsidR="00C739BB" w:rsidRPr="00D52EF5">
        <w:rPr>
          <w:lang w:val="es-ES_tradnl"/>
        </w:rPr>
        <w:t>e Á</w:t>
      </w:r>
      <w:r w:rsidR="00CF1568" w:rsidRPr="00D52EF5">
        <w:rPr>
          <w:lang w:val="es-ES_tradnl"/>
        </w:rPr>
        <w:t xml:space="preserve">frica </w:t>
      </w:r>
      <w:r w:rsidR="00C739BB" w:rsidRPr="00D52EF5">
        <w:rPr>
          <w:lang w:val="es-ES_tradnl"/>
        </w:rPr>
        <w:t>y</w:t>
      </w:r>
      <w:r w:rsidR="005C2E75" w:rsidRPr="00D52EF5">
        <w:rPr>
          <w:lang w:val="es-ES_tradnl"/>
        </w:rPr>
        <w:t xml:space="preserve"> 10 de</w:t>
      </w:r>
      <w:r w:rsidR="00CF1568" w:rsidRPr="00D52EF5">
        <w:rPr>
          <w:lang w:val="es-ES_tradnl"/>
        </w:rPr>
        <w:t xml:space="preserve"> </w:t>
      </w:r>
      <w:r w:rsidR="00C739BB" w:rsidRPr="00D52EF5">
        <w:rPr>
          <w:lang w:val="es-ES_tradnl"/>
        </w:rPr>
        <w:t xml:space="preserve">América </w:t>
      </w:r>
      <w:r w:rsidR="00CF1568" w:rsidRPr="00D52EF5">
        <w:rPr>
          <w:lang w:val="es-ES_tradnl"/>
        </w:rPr>
        <w:t>Latina.</w:t>
      </w:r>
    </w:p>
    <w:p w14:paraId="0C46C4F6" w14:textId="4FAFEB2D" w:rsidR="00CF1568" w:rsidRPr="00D52EF5" w:rsidRDefault="00737380" w:rsidP="00CF1568">
      <w:pPr>
        <w:pStyle w:val="Para1"/>
        <w:numPr>
          <w:ilvl w:val="0"/>
          <w:numId w:val="13"/>
        </w:numPr>
        <w:suppressLineNumbers/>
        <w:tabs>
          <w:tab w:val="clear" w:pos="360"/>
        </w:tabs>
        <w:suppressAutoHyphens/>
        <w:spacing w:before="120"/>
        <w:rPr>
          <w:lang w:val="es-ES_tradnl"/>
        </w:rPr>
      </w:pPr>
      <w:r w:rsidRPr="00D52EF5">
        <w:rPr>
          <w:lang w:val="es-ES_tradnl"/>
        </w:rPr>
        <w:t>Ha habido</w:t>
      </w:r>
      <w:r w:rsidR="00CF1568" w:rsidRPr="00D52EF5">
        <w:rPr>
          <w:lang w:val="es-ES_tradnl"/>
        </w:rPr>
        <w:t>,</w:t>
      </w:r>
      <w:r w:rsidRPr="00D52EF5">
        <w:rPr>
          <w:lang w:val="es-ES_tradnl"/>
        </w:rPr>
        <w:t xml:space="preserve"> sin em</w:t>
      </w:r>
      <w:r w:rsidR="000C0CA3" w:rsidRPr="00D52EF5">
        <w:rPr>
          <w:lang w:val="es-ES_tradnl"/>
        </w:rPr>
        <w:t>bargo, iniciativas para aumentar</w:t>
      </w:r>
      <w:r w:rsidRPr="00D52EF5">
        <w:rPr>
          <w:lang w:val="es-ES_tradnl"/>
        </w:rPr>
        <w:t xml:space="preserve"> la capacidad nacional de movilización de recursos; </w:t>
      </w:r>
      <w:r w:rsidR="00CF1568" w:rsidRPr="00D52EF5">
        <w:rPr>
          <w:lang w:val="es-ES_tradnl"/>
        </w:rPr>
        <w:t>Nor</w:t>
      </w:r>
      <w:r w:rsidRPr="00D52EF5">
        <w:rPr>
          <w:lang w:val="es-ES_tradnl"/>
        </w:rPr>
        <w:t xml:space="preserve">uega, por ejemplo, </w:t>
      </w:r>
      <w:r w:rsidR="000C0CA3" w:rsidRPr="00D52EF5">
        <w:rPr>
          <w:lang w:val="es-ES_tradnl"/>
        </w:rPr>
        <w:t xml:space="preserve">ha </w:t>
      </w:r>
      <w:r w:rsidRPr="00D52EF5">
        <w:rPr>
          <w:lang w:val="es-ES_tradnl"/>
        </w:rPr>
        <w:t>aporta</w:t>
      </w:r>
      <w:r w:rsidR="000C0CA3" w:rsidRPr="00D52EF5">
        <w:rPr>
          <w:lang w:val="es-ES_tradnl"/>
        </w:rPr>
        <w:t>do</w:t>
      </w:r>
      <w:r w:rsidRPr="00D52EF5">
        <w:rPr>
          <w:lang w:val="es-ES_tradnl"/>
        </w:rPr>
        <w:t xml:space="preserve"> </w:t>
      </w:r>
      <w:r w:rsidR="00074999" w:rsidRPr="00D52EF5">
        <w:rPr>
          <w:lang w:val="es-ES_tradnl"/>
        </w:rPr>
        <w:t>fondos</w:t>
      </w:r>
      <w:r w:rsidRPr="00D52EF5">
        <w:rPr>
          <w:lang w:val="es-ES_tradnl"/>
        </w:rPr>
        <w:t xml:space="preserve"> a </w:t>
      </w:r>
      <w:r w:rsidR="00CF1568" w:rsidRPr="00D52EF5">
        <w:rPr>
          <w:lang w:val="es-ES_tradnl"/>
        </w:rPr>
        <w:t>TEEB, BIOFIN, WAVES</w:t>
      </w:r>
      <w:r w:rsidR="00CF1568" w:rsidRPr="00D52EF5">
        <w:rPr>
          <w:rStyle w:val="FootnoteReference"/>
          <w:lang w:val="es-ES_tradnl"/>
        </w:rPr>
        <w:footnoteReference w:id="10"/>
      </w:r>
      <w:r w:rsidRPr="00D52EF5">
        <w:rPr>
          <w:lang w:val="es-ES_tradnl"/>
        </w:rPr>
        <w:t xml:space="preserve">, </w:t>
      </w:r>
      <w:r w:rsidR="00074999" w:rsidRPr="00D52EF5">
        <w:rPr>
          <w:lang w:val="es-ES_tradnl"/>
        </w:rPr>
        <w:t xml:space="preserve">y </w:t>
      </w:r>
      <w:r w:rsidR="00363AC0" w:rsidRPr="00D52EF5">
        <w:rPr>
          <w:lang w:val="es-ES_tradnl"/>
        </w:rPr>
        <w:t xml:space="preserve">también </w:t>
      </w:r>
      <w:r w:rsidR="00074999" w:rsidRPr="00D52EF5">
        <w:rPr>
          <w:lang w:val="es-ES_tradnl"/>
        </w:rPr>
        <w:t xml:space="preserve">para la </w:t>
      </w:r>
      <w:r w:rsidR="00074999" w:rsidRPr="00D52EF5">
        <w:rPr>
          <w:lang w:val="es-ES_tradnl"/>
        </w:rPr>
        <w:lastRenderedPageBreak/>
        <w:t xml:space="preserve">creación </w:t>
      </w:r>
      <w:r w:rsidR="006204DE" w:rsidRPr="00D52EF5">
        <w:rPr>
          <w:lang w:val="es-ES_tradnl"/>
        </w:rPr>
        <w:t xml:space="preserve">de un centro de derecho y política en materia de diversidad biológica </w:t>
      </w:r>
      <w:r w:rsidR="00363AC0" w:rsidRPr="00D52EF5">
        <w:rPr>
          <w:lang w:val="es-ES_tradnl"/>
        </w:rPr>
        <w:t>en Chennai (India)</w:t>
      </w:r>
      <w:r w:rsidR="00CF1568" w:rsidRPr="00D52EF5">
        <w:rPr>
          <w:lang w:val="es-ES_tradnl"/>
        </w:rPr>
        <w:t xml:space="preserve"> </w:t>
      </w:r>
      <w:r w:rsidR="00363AC0" w:rsidRPr="00D52EF5">
        <w:rPr>
          <w:lang w:val="es-ES_tradnl"/>
        </w:rPr>
        <w:t>(</w:t>
      </w:r>
      <w:r w:rsidR="00CF1568" w:rsidRPr="00D52EF5">
        <w:rPr>
          <w:lang w:val="es-ES_tradnl"/>
        </w:rPr>
        <w:t xml:space="preserve">Centre </w:t>
      </w:r>
      <w:proofErr w:type="spellStart"/>
      <w:r w:rsidR="00CF1568" w:rsidRPr="00D52EF5">
        <w:rPr>
          <w:lang w:val="es-ES_tradnl"/>
        </w:rPr>
        <w:t>for</w:t>
      </w:r>
      <w:proofErr w:type="spellEnd"/>
      <w:r w:rsidR="00CF1568" w:rsidRPr="00D52EF5">
        <w:rPr>
          <w:lang w:val="es-ES_tradnl"/>
        </w:rPr>
        <w:t xml:space="preserve"> </w:t>
      </w:r>
      <w:proofErr w:type="spellStart"/>
      <w:r w:rsidR="00CF1568" w:rsidRPr="00D52EF5">
        <w:rPr>
          <w:lang w:val="es-ES_tradnl"/>
        </w:rPr>
        <w:t>Biodive</w:t>
      </w:r>
      <w:r w:rsidR="00074999" w:rsidRPr="00D52EF5">
        <w:rPr>
          <w:lang w:val="es-ES_tradnl"/>
        </w:rPr>
        <w:t>rsity</w:t>
      </w:r>
      <w:proofErr w:type="spellEnd"/>
      <w:r w:rsidR="00074999" w:rsidRPr="00D52EF5">
        <w:rPr>
          <w:lang w:val="es-ES_tradnl"/>
        </w:rPr>
        <w:t xml:space="preserve"> </w:t>
      </w:r>
      <w:proofErr w:type="spellStart"/>
      <w:r w:rsidR="00074999" w:rsidRPr="00D52EF5">
        <w:rPr>
          <w:lang w:val="es-ES_tradnl"/>
        </w:rPr>
        <w:t>Policy</w:t>
      </w:r>
      <w:proofErr w:type="spellEnd"/>
      <w:r w:rsidR="00074999" w:rsidRPr="00D52EF5">
        <w:rPr>
          <w:lang w:val="es-ES_tradnl"/>
        </w:rPr>
        <w:t xml:space="preserve"> and </w:t>
      </w:r>
      <w:proofErr w:type="spellStart"/>
      <w:r w:rsidR="00074999" w:rsidRPr="00D52EF5">
        <w:rPr>
          <w:lang w:val="es-ES_tradnl"/>
        </w:rPr>
        <w:t>Law</w:t>
      </w:r>
      <w:proofErr w:type="spellEnd"/>
      <w:r w:rsidR="00363AC0" w:rsidRPr="00D52EF5">
        <w:rPr>
          <w:lang w:val="es-ES_tradnl"/>
        </w:rPr>
        <w:t>)</w:t>
      </w:r>
      <w:r w:rsidR="00CF1568" w:rsidRPr="00D52EF5">
        <w:rPr>
          <w:lang w:val="es-ES_tradnl"/>
        </w:rPr>
        <w:t>.</w:t>
      </w:r>
    </w:p>
    <w:p w14:paraId="11FEC0F3" w14:textId="24708DF8" w:rsidR="00CF1568" w:rsidRPr="00D52EF5" w:rsidRDefault="00793C6B" w:rsidP="00CF1568">
      <w:pPr>
        <w:pStyle w:val="Para1"/>
        <w:numPr>
          <w:ilvl w:val="0"/>
          <w:numId w:val="13"/>
        </w:numPr>
        <w:suppressLineNumbers/>
        <w:tabs>
          <w:tab w:val="clear" w:pos="360"/>
        </w:tabs>
        <w:suppressAutoHyphens/>
        <w:spacing w:before="120"/>
        <w:rPr>
          <w:lang w:val="es-ES_tradnl"/>
        </w:rPr>
      </w:pPr>
      <w:r w:rsidRPr="00D52EF5">
        <w:rPr>
          <w:lang w:val="es-ES_tradnl"/>
        </w:rPr>
        <w:t>Cabe citar una serie de ejemplos del avance e</w:t>
      </w:r>
      <w:r w:rsidR="00CF1568" w:rsidRPr="00D52EF5">
        <w:rPr>
          <w:lang w:val="es-ES_tradnl"/>
        </w:rPr>
        <w:t xml:space="preserve">n </w:t>
      </w:r>
      <w:r w:rsidRPr="00D52EF5">
        <w:rPr>
          <w:lang w:val="es-ES_tradnl"/>
        </w:rPr>
        <w:t>e</w:t>
      </w:r>
      <w:r w:rsidR="00CF1568" w:rsidRPr="00D52EF5">
        <w:rPr>
          <w:lang w:val="es-ES_tradnl"/>
        </w:rPr>
        <w:t>s</w:t>
      </w:r>
      <w:r w:rsidRPr="00D52EF5">
        <w:rPr>
          <w:lang w:val="es-ES_tradnl"/>
        </w:rPr>
        <w:t>ta</w:t>
      </w:r>
      <w:r w:rsidR="00CF1568" w:rsidRPr="00D52EF5">
        <w:rPr>
          <w:lang w:val="es-ES_tradnl"/>
        </w:rPr>
        <w:t xml:space="preserve"> e</w:t>
      </w:r>
      <w:r w:rsidRPr="00D52EF5">
        <w:rPr>
          <w:lang w:val="es-ES_tradnl"/>
        </w:rPr>
        <w:t>sfer</w:t>
      </w:r>
      <w:r w:rsidR="00CF1568" w:rsidRPr="00D52EF5">
        <w:rPr>
          <w:lang w:val="es-ES_tradnl"/>
        </w:rPr>
        <w:t xml:space="preserve">a </w:t>
      </w:r>
      <w:r w:rsidRPr="00D52EF5">
        <w:rPr>
          <w:lang w:val="es-ES_tradnl"/>
        </w:rPr>
        <w:t>en los países en desarrollo</w:t>
      </w:r>
      <w:r w:rsidR="00CF1568" w:rsidRPr="00D52EF5">
        <w:rPr>
          <w:lang w:val="es-ES_tradnl"/>
        </w:rPr>
        <w:t xml:space="preserve">. </w:t>
      </w:r>
      <w:r w:rsidRPr="00D52EF5">
        <w:rPr>
          <w:lang w:val="es-ES_tradnl"/>
        </w:rPr>
        <w:t xml:space="preserve">Por ejemplo, en </w:t>
      </w:r>
      <w:r w:rsidR="00CF1568" w:rsidRPr="00D52EF5">
        <w:rPr>
          <w:lang w:val="es-ES_tradnl"/>
        </w:rPr>
        <w:t xml:space="preserve">2014, </w:t>
      </w:r>
      <w:r w:rsidRPr="00D52EF5">
        <w:rPr>
          <w:lang w:val="es-ES_tradnl"/>
        </w:rPr>
        <w:t xml:space="preserve">la Comisión </w:t>
      </w:r>
      <w:r w:rsidR="00CF1568" w:rsidRPr="00D52EF5">
        <w:rPr>
          <w:lang w:val="es-ES_tradnl"/>
        </w:rPr>
        <w:t>Europea publi</w:t>
      </w:r>
      <w:r w:rsidRPr="00D52EF5">
        <w:rPr>
          <w:lang w:val="es-ES_tradnl"/>
        </w:rPr>
        <w:t xml:space="preserve">có un marco </w:t>
      </w:r>
      <w:r w:rsidR="00903BB4" w:rsidRPr="00D52EF5">
        <w:rPr>
          <w:lang w:val="es-ES_tradnl"/>
        </w:rPr>
        <w:t>práctico común</w:t>
      </w:r>
      <w:r w:rsidR="00CF1568" w:rsidRPr="00D52EF5">
        <w:rPr>
          <w:vertAlign w:val="superscript"/>
          <w:lang w:val="es-ES_tradnl"/>
        </w:rPr>
        <w:footnoteReference w:id="11"/>
      </w:r>
      <w:r w:rsidR="00CF1568" w:rsidRPr="00D52EF5">
        <w:rPr>
          <w:lang w:val="es-ES_tradnl"/>
        </w:rPr>
        <w:t xml:space="preserve"> </w:t>
      </w:r>
      <w:r w:rsidR="00A5623B" w:rsidRPr="00D52EF5">
        <w:rPr>
          <w:lang w:val="es-ES_tradnl"/>
        </w:rPr>
        <w:t xml:space="preserve">para la incorporación de medidas de protección de la diversidad biológica en el presupuesto de la Unión </w:t>
      </w:r>
      <w:r w:rsidR="00CF1568" w:rsidRPr="00D52EF5">
        <w:rPr>
          <w:lang w:val="es-ES_tradnl"/>
        </w:rPr>
        <w:t xml:space="preserve">Europea, </w:t>
      </w:r>
      <w:r w:rsidR="00A5623B" w:rsidRPr="00D52EF5">
        <w:rPr>
          <w:lang w:val="es-ES_tradnl"/>
        </w:rPr>
        <w:t xml:space="preserve">que incluye directrices generales para las autoridades </w:t>
      </w:r>
      <w:r w:rsidR="00CF1568" w:rsidRPr="00D52EF5">
        <w:rPr>
          <w:lang w:val="es-ES_tradnl"/>
        </w:rPr>
        <w:t>na</w:t>
      </w:r>
      <w:r w:rsidR="00A5623B" w:rsidRPr="00D52EF5">
        <w:rPr>
          <w:lang w:val="es-ES_tradnl"/>
        </w:rPr>
        <w:t>c</w:t>
      </w:r>
      <w:r w:rsidR="00CF1568" w:rsidRPr="00D52EF5">
        <w:rPr>
          <w:lang w:val="es-ES_tradnl"/>
        </w:rPr>
        <w:t xml:space="preserve">ional </w:t>
      </w:r>
      <w:r w:rsidR="00A5623B" w:rsidRPr="00D52EF5">
        <w:rPr>
          <w:lang w:val="es-ES_tradnl"/>
        </w:rPr>
        <w:t>y</w:t>
      </w:r>
      <w:r w:rsidR="00CF1568" w:rsidRPr="00D52EF5">
        <w:rPr>
          <w:lang w:val="es-ES_tradnl"/>
        </w:rPr>
        <w:t xml:space="preserve"> regional</w:t>
      </w:r>
      <w:r w:rsidR="00A5623B" w:rsidRPr="00D52EF5">
        <w:rPr>
          <w:lang w:val="es-ES_tradnl"/>
        </w:rPr>
        <w:t>es y para los servicios de la Comisión</w:t>
      </w:r>
      <w:r w:rsidR="00CF1568" w:rsidRPr="00D52EF5">
        <w:rPr>
          <w:lang w:val="es-ES_tradnl"/>
        </w:rPr>
        <w:t xml:space="preserve"> Europea, </w:t>
      </w:r>
      <w:r w:rsidR="00E86FE3" w:rsidRPr="00D52EF5">
        <w:rPr>
          <w:lang w:val="es-ES_tradnl"/>
        </w:rPr>
        <w:t>a fin de que el gasto no tuviera repercusiones negativas y apoyara</w:t>
      </w:r>
      <w:r w:rsidR="00A5623B" w:rsidRPr="00D52EF5">
        <w:rPr>
          <w:lang w:val="es-ES_tradnl"/>
        </w:rPr>
        <w:t xml:space="preserve"> los objetivos en la esfera de la diversidad biológica</w:t>
      </w:r>
      <w:r w:rsidR="00CF1568" w:rsidRPr="00D52EF5">
        <w:rPr>
          <w:lang w:val="es-ES_tradnl"/>
        </w:rPr>
        <w:t xml:space="preserve">. </w:t>
      </w:r>
      <w:r w:rsidR="00901700" w:rsidRPr="00D52EF5">
        <w:rPr>
          <w:lang w:val="es-ES_tradnl"/>
        </w:rPr>
        <w:t xml:space="preserve">Posteriormente, esta </w:t>
      </w:r>
      <w:r w:rsidR="007B240B" w:rsidRPr="00D52EF5">
        <w:rPr>
          <w:lang w:val="es-ES_tradnl"/>
        </w:rPr>
        <w:t>tema</w:t>
      </w:r>
      <w:r w:rsidR="00901700" w:rsidRPr="00D52EF5">
        <w:rPr>
          <w:lang w:val="es-ES_tradnl"/>
        </w:rPr>
        <w:t xml:space="preserve"> fue incorporad</w:t>
      </w:r>
      <w:r w:rsidR="007B240B" w:rsidRPr="00D52EF5">
        <w:rPr>
          <w:lang w:val="es-ES_tradnl"/>
        </w:rPr>
        <w:t>o</w:t>
      </w:r>
      <w:r w:rsidR="00901700" w:rsidRPr="00D52EF5">
        <w:rPr>
          <w:lang w:val="es-ES_tradnl"/>
        </w:rPr>
        <w:t xml:space="preserve"> en las propuestas de la Comisión </w:t>
      </w:r>
      <w:r w:rsidR="00CF1568" w:rsidRPr="00D52EF5">
        <w:rPr>
          <w:lang w:val="es-ES_tradnl"/>
        </w:rPr>
        <w:t>Europea</w:t>
      </w:r>
      <w:r w:rsidR="00901700" w:rsidRPr="00D52EF5">
        <w:rPr>
          <w:lang w:val="es-ES_tradnl"/>
        </w:rPr>
        <w:t xml:space="preserve"> para el presupuesto de la Unión </w:t>
      </w:r>
      <w:r w:rsidR="00CF1568" w:rsidRPr="00D52EF5">
        <w:rPr>
          <w:lang w:val="es-ES_tradnl"/>
        </w:rPr>
        <w:t>Europea (</w:t>
      </w:r>
      <w:r w:rsidR="00875CCA" w:rsidRPr="00D52EF5">
        <w:rPr>
          <w:lang w:val="es-ES_tradnl"/>
        </w:rPr>
        <w:t>Marco Financiero Plurianual) para el periodo</w:t>
      </w:r>
      <w:r w:rsidR="00CF1568" w:rsidRPr="00D52EF5">
        <w:rPr>
          <w:lang w:val="es-ES_tradnl"/>
        </w:rPr>
        <w:t xml:space="preserve"> 2021-2027, </w:t>
      </w:r>
      <w:r w:rsidR="00E86FE3" w:rsidRPr="00D52EF5">
        <w:rPr>
          <w:lang w:val="es-ES_tradnl"/>
        </w:rPr>
        <w:t xml:space="preserve">y </w:t>
      </w:r>
      <w:r w:rsidR="007B240B" w:rsidRPr="00D52EF5">
        <w:rPr>
          <w:lang w:val="es-ES_tradnl"/>
        </w:rPr>
        <w:t>a instrumentos financieros afines de la Unión Europea</w:t>
      </w:r>
      <w:r w:rsidR="00E86FE3" w:rsidRPr="00D52EF5">
        <w:rPr>
          <w:lang w:val="es-ES_tradnl"/>
        </w:rPr>
        <w:t>;</w:t>
      </w:r>
      <w:r w:rsidR="00CF1568" w:rsidRPr="00D52EF5">
        <w:rPr>
          <w:lang w:val="es-ES_tradnl"/>
        </w:rPr>
        <w:t xml:space="preserve"> </w:t>
      </w:r>
      <w:r w:rsidR="007B240B" w:rsidRPr="00D52EF5">
        <w:rPr>
          <w:lang w:val="es-ES_tradnl"/>
        </w:rPr>
        <w:t xml:space="preserve">entre otras cosas, </w:t>
      </w:r>
      <w:r w:rsidR="00E86FE3" w:rsidRPr="00D52EF5">
        <w:rPr>
          <w:lang w:val="es-ES_tradnl"/>
        </w:rPr>
        <w:t xml:space="preserve">hubo </w:t>
      </w:r>
      <w:r w:rsidR="007B240B" w:rsidRPr="00D52EF5">
        <w:rPr>
          <w:lang w:val="es-ES_tradnl"/>
        </w:rPr>
        <w:t>un apreciable aumento del presupuesto propuesto para el programa</w:t>
      </w:r>
      <w:r w:rsidR="00CF1568" w:rsidRPr="00D52EF5">
        <w:rPr>
          <w:lang w:val="es-ES_tradnl"/>
        </w:rPr>
        <w:t xml:space="preserve"> LIFE, </w:t>
      </w:r>
      <w:r w:rsidR="007B240B" w:rsidRPr="00D52EF5">
        <w:rPr>
          <w:lang w:val="es-ES_tradnl"/>
        </w:rPr>
        <w:t>el instru</w:t>
      </w:r>
      <w:r w:rsidR="00485B73" w:rsidRPr="00D52EF5">
        <w:rPr>
          <w:lang w:val="es-ES_tradnl"/>
        </w:rPr>
        <w:t>mento específico de propiciación</w:t>
      </w:r>
      <w:r w:rsidR="007B240B" w:rsidRPr="00D52EF5">
        <w:rPr>
          <w:lang w:val="es-ES_tradnl"/>
        </w:rPr>
        <w:t xml:space="preserve"> de la consecución de los objetivos medioambientales y climáticos de la Unión</w:t>
      </w:r>
      <w:r w:rsidR="00CF1568" w:rsidRPr="00D52EF5">
        <w:rPr>
          <w:lang w:val="es-ES_tradnl"/>
        </w:rPr>
        <w:t xml:space="preserve"> Europea.</w:t>
      </w:r>
    </w:p>
    <w:p w14:paraId="753CEADD" w14:textId="7DCBE75C" w:rsidR="00CF1568" w:rsidRPr="006E04D1" w:rsidRDefault="00895FB1" w:rsidP="00CF1568">
      <w:pPr>
        <w:pStyle w:val="Heading4"/>
        <w:suppressLineNumbers/>
        <w:suppressAutoHyphens/>
        <w:rPr>
          <w:i w:val="0"/>
          <w:iCs w:val="0"/>
          <w:szCs w:val="22"/>
          <w:lang w:val="es-ES_tradnl"/>
        </w:rPr>
      </w:pPr>
      <w:r w:rsidRPr="006E04D1">
        <w:rPr>
          <w:i w:val="0"/>
          <w:iCs w:val="0"/>
          <w:szCs w:val="22"/>
          <w:lang w:val="es-ES_tradnl"/>
        </w:rPr>
        <w:t>Objetivo</w:t>
      </w:r>
      <w:r w:rsidR="00CF1568" w:rsidRPr="006E04D1">
        <w:rPr>
          <w:i w:val="0"/>
          <w:iCs w:val="0"/>
          <w:szCs w:val="22"/>
          <w:lang w:val="es-ES_tradnl"/>
        </w:rPr>
        <w:t xml:space="preserve"> 3: </w:t>
      </w:r>
      <w:r w:rsidR="003B35B3" w:rsidRPr="006E04D1">
        <w:rPr>
          <w:i w:val="0"/>
          <w:iCs w:val="0"/>
          <w:szCs w:val="22"/>
          <w:lang w:val="es-ES_tradnl"/>
        </w:rPr>
        <w:t>Fortalecer las instituciones financieras existentes y promover la reproducción y ampliación de mecanismos e instrumentos de financiamiento exitosos</w:t>
      </w:r>
    </w:p>
    <w:p w14:paraId="3D0B1027" w14:textId="0FE176B8" w:rsidR="00CF1568" w:rsidRPr="00D52EF5" w:rsidRDefault="00497C27" w:rsidP="00CF1568">
      <w:pPr>
        <w:pStyle w:val="Para1"/>
        <w:numPr>
          <w:ilvl w:val="0"/>
          <w:numId w:val="13"/>
        </w:numPr>
        <w:suppressLineNumbers/>
        <w:tabs>
          <w:tab w:val="clear" w:pos="360"/>
        </w:tabs>
        <w:suppressAutoHyphens/>
        <w:spacing w:before="120"/>
        <w:rPr>
          <w:lang w:val="es-ES_tradnl"/>
        </w:rPr>
      </w:pPr>
      <w:r w:rsidRPr="00D52EF5">
        <w:rPr>
          <w:lang w:val="es-ES_tradnl"/>
        </w:rPr>
        <w:t>El objetivo 3 consta de diversos objetivos secundarios, entre ellos, la movilización de la cofinanciación</w:t>
      </w:r>
      <w:r w:rsidR="00CF1568" w:rsidRPr="00D52EF5">
        <w:rPr>
          <w:lang w:val="es-ES_tradnl"/>
        </w:rPr>
        <w:t xml:space="preserve">, </w:t>
      </w:r>
      <w:r w:rsidRPr="00D52EF5">
        <w:rPr>
          <w:lang w:val="es-ES_tradnl"/>
        </w:rPr>
        <w:t>el aumento de la ayuda oficial para el desarrollo (bilateral y multilateral</w:t>
      </w:r>
      <w:r w:rsidR="00CF1568" w:rsidRPr="00D52EF5">
        <w:rPr>
          <w:lang w:val="es-ES_tradnl"/>
        </w:rPr>
        <w:t xml:space="preserve">), </w:t>
      </w:r>
      <w:r w:rsidRPr="00D52EF5">
        <w:rPr>
          <w:lang w:val="es-ES_tradnl"/>
        </w:rPr>
        <w:t>la movilización de las inversiones públicas y privadas en</w:t>
      </w:r>
      <w:r w:rsidR="00E86FE3" w:rsidRPr="00D52EF5">
        <w:rPr>
          <w:lang w:val="es-ES_tradnl"/>
        </w:rPr>
        <w:t xml:space="preserve"> </w:t>
      </w:r>
      <w:r w:rsidRPr="00D52EF5">
        <w:rPr>
          <w:lang w:val="es-ES_tradnl"/>
        </w:rPr>
        <w:t xml:space="preserve">la diversidad biológica y </w:t>
      </w:r>
      <w:r w:rsidR="00BD3421" w:rsidRPr="00D52EF5">
        <w:rPr>
          <w:lang w:val="es-ES_tradnl"/>
        </w:rPr>
        <w:t xml:space="preserve">en </w:t>
      </w:r>
      <w:r w:rsidRPr="00D52EF5">
        <w:rPr>
          <w:lang w:val="es-ES_tradnl"/>
        </w:rPr>
        <w:t xml:space="preserve">los servicios </w:t>
      </w:r>
      <w:r w:rsidR="00191B3A" w:rsidRPr="00D52EF5">
        <w:rPr>
          <w:lang w:val="es-ES_tradnl"/>
        </w:rPr>
        <w:t>de</w:t>
      </w:r>
      <w:r w:rsidRPr="00D52EF5">
        <w:rPr>
          <w:lang w:val="es-ES_tradnl"/>
        </w:rPr>
        <w:t xml:space="preserve"> los ecosistemas</w:t>
      </w:r>
      <w:r w:rsidR="00CF1568" w:rsidRPr="00D52EF5">
        <w:rPr>
          <w:lang w:val="es-ES_tradnl"/>
        </w:rPr>
        <w:t xml:space="preserve">, </w:t>
      </w:r>
      <w:r w:rsidRPr="00D52EF5">
        <w:rPr>
          <w:lang w:val="es-ES_tradnl"/>
        </w:rPr>
        <w:t>y la creación de fondos nacionales para el medio ambiente</w:t>
      </w:r>
      <w:r w:rsidR="00CF1568" w:rsidRPr="00D52EF5">
        <w:rPr>
          <w:lang w:val="es-ES_tradnl"/>
        </w:rPr>
        <w:t>.</w:t>
      </w:r>
    </w:p>
    <w:p w14:paraId="6C778959" w14:textId="2DDE8312" w:rsidR="00CF1568" w:rsidRPr="00D52EF5" w:rsidRDefault="00497C27" w:rsidP="00CF1568">
      <w:pPr>
        <w:pStyle w:val="Para1"/>
        <w:numPr>
          <w:ilvl w:val="0"/>
          <w:numId w:val="13"/>
        </w:numPr>
        <w:suppressLineNumbers/>
        <w:tabs>
          <w:tab w:val="clear" w:pos="360"/>
        </w:tabs>
        <w:suppressAutoHyphens/>
        <w:spacing w:before="120"/>
        <w:rPr>
          <w:lang w:val="es-ES_tradnl"/>
        </w:rPr>
      </w:pPr>
      <w:r w:rsidRPr="00D52EF5">
        <w:rPr>
          <w:lang w:val="es-ES_tradnl"/>
        </w:rPr>
        <w:t>Como mecanismo financiero del Convenio</w:t>
      </w:r>
      <w:r w:rsidR="00CF1568" w:rsidRPr="00D52EF5">
        <w:rPr>
          <w:lang w:val="es-ES_tradnl"/>
        </w:rPr>
        <w:t xml:space="preserve">, </w:t>
      </w:r>
      <w:r w:rsidR="003B791E" w:rsidRPr="00D52EF5">
        <w:rPr>
          <w:lang w:val="es-ES_tradnl"/>
        </w:rPr>
        <w:t>e</w:t>
      </w:r>
      <w:r w:rsidRPr="00D52EF5">
        <w:rPr>
          <w:lang w:val="es-ES_tradnl"/>
        </w:rPr>
        <w:t>l</w:t>
      </w:r>
      <w:r w:rsidR="001E20ED" w:rsidRPr="00D52EF5">
        <w:rPr>
          <w:lang w:val="es-ES_tradnl"/>
        </w:rPr>
        <w:t xml:space="preserve"> papel del</w:t>
      </w:r>
      <w:r w:rsidRPr="00D52EF5">
        <w:rPr>
          <w:lang w:val="es-ES_tradnl"/>
        </w:rPr>
        <w:t xml:space="preserve"> FMAM</w:t>
      </w:r>
      <w:r w:rsidR="001E20ED" w:rsidRPr="00D52EF5">
        <w:rPr>
          <w:lang w:val="es-ES_tradnl"/>
        </w:rPr>
        <w:t xml:space="preserve"> en la movilización de recursos ha sido fundamental para la aplicación del Conven</w:t>
      </w:r>
      <w:r w:rsidR="00CF1568" w:rsidRPr="00D52EF5">
        <w:rPr>
          <w:lang w:val="es-ES_tradnl"/>
        </w:rPr>
        <w:t>io</w:t>
      </w:r>
      <w:r w:rsidR="001E20ED" w:rsidRPr="00D52EF5">
        <w:rPr>
          <w:lang w:val="es-ES_tradnl"/>
        </w:rPr>
        <w:t>; los</w:t>
      </w:r>
      <w:r w:rsidR="00CF1568" w:rsidRPr="00D52EF5">
        <w:rPr>
          <w:lang w:val="es-ES_tradnl"/>
        </w:rPr>
        <w:t xml:space="preserve"> </w:t>
      </w:r>
      <w:r w:rsidR="003B791E" w:rsidRPr="00D52EF5">
        <w:rPr>
          <w:lang w:val="es-ES_tradnl"/>
        </w:rPr>
        <w:t>fondos</w:t>
      </w:r>
      <w:r w:rsidR="001E20ED" w:rsidRPr="00D52EF5">
        <w:rPr>
          <w:lang w:val="es-ES_tradnl"/>
        </w:rPr>
        <w:t xml:space="preserve"> de</w:t>
      </w:r>
      <w:r w:rsidR="00BC4543" w:rsidRPr="00D52EF5">
        <w:rPr>
          <w:lang w:val="es-ES_tradnl"/>
        </w:rPr>
        <w:t xml:space="preserve"> este mecanismo relacionados</w:t>
      </w:r>
      <w:r w:rsidR="001E20ED" w:rsidRPr="00D52EF5">
        <w:rPr>
          <w:lang w:val="es-ES_tradnl"/>
        </w:rPr>
        <w:t xml:space="preserve"> con la diversidad biológica registraron un aumento de alrededor del </w:t>
      </w:r>
      <w:r w:rsidR="00CF1568" w:rsidRPr="00D52EF5">
        <w:rPr>
          <w:lang w:val="es-ES_tradnl"/>
        </w:rPr>
        <w:t>30</w:t>
      </w:r>
      <w:r w:rsidR="009920AC" w:rsidRPr="00D52EF5">
        <w:rPr>
          <w:lang w:val="es-ES_tradnl"/>
        </w:rPr>
        <w:t>%</w:t>
      </w:r>
      <w:r w:rsidR="00CF1568" w:rsidRPr="00D52EF5">
        <w:rPr>
          <w:lang w:val="es-ES_tradnl"/>
        </w:rPr>
        <w:t xml:space="preserve"> </w:t>
      </w:r>
      <w:r w:rsidR="001E20ED" w:rsidRPr="00D52EF5">
        <w:rPr>
          <w:lang w:val="es-ES_tradnl"/>
        </w:rPr>
        <w:t>entre el</w:t>
      </w:r>
      <w:r w:rsidR="00D51CE7" w:rsidRPr="00D52EF5">
        <w:rPr>
          <w:lang w:val="es-ES_tradnl"/>
        </w:rPr>
        <w:t xml:space="preserve"> FMAM-</w:t>
      </w:r>
      <w:r w:rsidR="00BC4543" w:rsidRPr="00D52EF5">
        <w:rPr>
          <w:lang w:val="es-ES_tradnl"/>
        </w:rPr>
        <w:t>4 (2006-2010) y el</w:t>
      </w:r>
      <w:r w:rsidR="00CF1568" w:rsidRPr="00D52EF5">
        <w:rPr>
          <w:lang w:val="es-ES_tradnl"/>
        </w:rPr>
        <w:t xml:space="preserve"> </w:t>
      </w:r>
      <w:r w:rsidR="00BC4543" w:rsidRPr="00D52EF5">
        <w:rPr>
          <w:lang w:val="es-ES_tradnl"/>
        </w:rPr>
        <w:t>F</w:t>
      </w:r>
      <w:r w:rsidR="00D51CE7" w:rsidRPr="00D52EF5">
        <w:rPr>
          <w:lang w:val="es-ES_tradnl"/>
        </w:rPr>
        <w:t>MAM</w:t>
      </w:r>
      <w:r w:rsidR="00BC4543" w:rsidRPr="00D52EF5">
        <w:rPr>
          <w:lang w:val="es-ES_tradnl"/>
        </w:rPr>
        <w:t>-7 (2018-2022). E</w:t>
      </w:r>
      <w:r w:rsidR="000E0074" w:rsidRPr="00D52EF5">
        <w:rPr>
          <w:lang w:val="es-ES_tradnl"/>
        </w:rPr>
        <w:t>n total, el FMAM</w:t>
      </w:r>
      <w:r w:rsidR="00CF1568" w:rsidRPr="00D52EF5">
        <w:rPr>
          <w:lang w:val="es-ES_tradnl"/>
        </w:rPr>
        <w:t xml:space="preserve"> ha inve</w:t>
      </w:r>
      <w:r w:rsidR="00BC4543" w:rsidRPr="00D52EF5">
        <w:rPr>
          <w:lang w:val="es-ES_tradnl"/>
        </w:rPr>
        <w:t xml:space="preserve">rtido más de 3.500 millones de dólares estadounidenses en la conservación y </w:t>
      </w:r>
      <w:r w:rsidR="000C0CA3" w:rsidRPr="00D52EF5">
        <w:rPr>
          <w:lang w:val="es-ES_tradnl"/>
        </w:rPr>
        <w:t xml:space="preserve">el </w:t>
      </w:r>
      <w:r w:rsidR="00BC4543" w:rsidRPr="00D52EF5">
        <w:rPr>
          <w:lang w:val="es-ES_tradnl"/>
        </w:rPr>
        <w:t>uso sostenible de la diversidad biológica</w:t>
      </w:r>
      <w:r w:rsidR="00CF1568" w:rsidRPr="00D52EF5">
        <w:rPr>
          <w:lang w:val="es-ES_tradnl"/>
        </w:rPr>
        <w:t xml:space="preserve">. </w:t>
      </w:r>
      <w:r w:rsidR="00BC4543" w:rsidRPr="00D52EF5">
        <w:rPr>
          <w:lang w:val="es-ES_tradnl"/>
        </w:rPr>
        <w:t xml:space="preserve">Esta inversión ha apalancado más de 10.000 millones de dólares </w:t>
      </w:r>
      <w:r w:rsidR="000C0CA3" w:rsidRPr="00D52EF5">
        <w:rPr>
          <w:lang w:val="es-ES_tradnl"/>
        </w:rPr>
        <w:t>de</w:t>
      </w:r>
      <w:r w:rsidR="00BC4543" w:rsidRPr="00D52EF5">
        <w:rPr>
          <w:lang w:val="es-ES_tradnl"/>
        </w:rPr>
        <w:t xml:space="preserve"> fondos adicionales, y ha financiado </w:t>
      </w:r>
      <w:r w:rsidR="00CF1568" w:rsidRPr="00D52EF5">
        <w:rPr>
          <w:lang w:val="es-ES_tradnl"/>
        </w:rPr>
        <w:t>1</w:t>
      </w:r>
      <w:r w:rsidR="00BC4543" w:rsidRPr="00D52EF5">
        <w:rPr>
          <w:lang w:val="es-ES_tradnl"/>
        </w:rPr>
        <w:t>.</w:t>
      </w:r>
      <w:r w:rsidR="00CF1568" w:rsidRPr="00D52EF5">
        <w:rPr>
          <w:lang w:val="es-ES_tradnl"/>
        </w:rPr>
        <w:t>300 pro</w:t>
      </w:r>
      <w:r w:rsidR="00BC4543" w:rsidRPr="00D52EF5">
        <w:rPr>
          <w:lang w:val="es-ES_tradnl"/>
        </w:rPr>
        <w:t>yectos en más de</w:t>
      </w:r>
      <w:r w:rsidR="005C2E75" w:rsidRPr="00D52EF5">
        <w:rPr>
          <w:lang w:val="es-ES_tradnl"/>
        </w:rPr>
        <w:t xml:space="preserve"> </w:t>
      </w:r>
      <w:r w:rsidR="00CF1568" w:rsidRPr="00D52EF5">
        <w:rPr>
          <w:lang w:val="es-ES_tradnl"/>
        </w:rPr>
        <w:t xml:space="preserve">155 </w:t>
      </w:r>
      <w:r w:rsidR="00BC4543" w:rsidRPr="00D52EF5">
        <w:rPr>
          <w:lang w:val="es-ES_tradnl"/>
        </w:rPr>
        <w:t>países</w:t>
      </w:r>
      <w:r w:rsidR="00CF1568" w:rsidRPr="00D52EF5">
        <w:rPr>
          <w:rStyle w:val="FootnoteReference"/>
          <w:lang w:val="es-ES_tradnl"/>
        </w:rPr>
        <w:footnoteReference w:id="12"/>
      </w:r>
      <w:r w:rsidR="00BC4543" w:rsidRPr="00D52EF5">
        <w:rPr>
          <w:lang w:val="es-ES_tradnl"/>
        </w:rPr>
        <w:t>.</w:t>
      </w:r>
    </w:p>
    <w:p w14:paraId="40DD0BBA" w14:textId="2F0141C3" w:rsidR="00CF1568" w:rsidRPr="00D52EF5" w:rsidRDefault="00CF1568" w:rsidP="00CF1568">
      <w:pPr>
        <w:pStyle w:val="Para1"/>
        <w:numPr>
          <w:ilvl w:val="0"/>
          <w:numId w:val="13"/>
        </w:numPr>
        <w:suppressLineNumbers/>
        <w:tabs>
          <w:tab w:val="clear" w:pos="360"/>
        </w:tabs>
        <w:suppressAutoHyphens/>
        <w:spacing w:before="120"/>
        <w:rPr>
          <w:lang w:val="es-ES_tradnl"/>
        </w:rPr>
      </w:pPr>
      <w:r w:rsidRPr="00D52EF5">
        <w:rPr>
          <w:lang w:val="es-ES_tradnl"/>
        </w:rPr>
        <w:t xml:space="preserve"> </w:t>
      </w:r>
      <w:r w:rsidR="00C81BD0" w:rsidRPr="00D52EF5">
        <w:rPr>
          <w:lang w:val="es-ES_tradnl"/>
        </w:rPr>
        <w:t xml:space="preserve">Además </w:t>
      </w:r>
      <w:r w:rsidR="001D2220" w:rsidRPr="00D52EF5">
        <w:rPr>
          <w:lang w:val="es-ES_tradnl"/>
        </w:rPr>
        <w:t>de la esfera temática de la diversidad biológica</w:t>
      </w:r>
      <w:r w:rsidRPr="00D52EF5">
        <w:rPr>
          <w:lang w:val="es-ES_tradnl"/>
        </w:rPr>
        <w:t xml:space="preserve">, </w:t>
      </w:r>
      <w:r w:rsidR="001D2220" w:rsidRPr="00D52EF5">
        <w:rPr>
          <w:lang w:val="es-ES_tradnl"/>
        </w:rPr>
        <w:t>otros temas de interés a</w:t>
      </w:r>
      <w:r w:rsidR="000E0074" w:rsidRPr="00D52EF5">
        <w:rPr>
          <w:lang w:val="es-ES_tradnl"/>
        </w:rPr>
        <w:t xml:space="preserve">l FMAM </w:t>
      </w:r>
      <w:r w:rsidR="001D2220" w:rsidRPr="00D52EF5">
        <w:rPr>
          <w:lang w:val="es-ES_tradnl"/>
        </w:rPr>
        <w:t>–gestión forestal sostenible</w:t>
      </w:r>
      <w:r w:rsidRPr="00D52EF5">
        <w:rPr>
          <w:lang w:val="es-ES_tradnl"/>
        </w:rPr>
        <w:t xml:space="preserve">, </w:t>
      </w:r>
      <w:r w:rsidR="001D2220" w:rsidRPr="00D52EF5">
        <w:rPr>
          <w:lang w:val="es-ES_tradnl"/>
        </w:rPr>
        <w:t>cambio climático, aguas internacionales</w:t>
      </w:r>
      <w:r w:rsidRPr="00D52EF5">
        <w:rPr>
          <w:lang w:val="es-ES_tradnl"/>
        </w:rPr>
        <w:t xml:space="preserve">– </w:t>
      </w:r>
      <w:r w:rsidR="001D2220" w:rsidRPr="00D52EF5">
        <w:rPr>
          <w:lang w:val="es-ES_tradnl"/>
        </w:rPr>
        <w:t xml:space="preserve">también contribuyen a las Metas de Aichi, al igual que </w:t>
      </w:r>
      <w:r w:rsidR="00B609FB" w:rsidRPr="00D52EF5">
        <w:rPr>
          <w:lang w:val="es-ES_tradnl"/>
        </w:rPr>
        <w:t>otros programas de impacto específicos y de otro tipo</w:t>
      </w:r>
      <w:r w:rsidRPr="00D52EF5">
        <w:rPr>
          <w:lang w:val="es-ES_tradnl"/>
        </w:rPr>
        <w:t xml:space="preserve">, </w:t>
      </w:r>
      <w:r w:rsidR="00B609FB" w:rsidRPr="00D52EF5">
        <w:rPr>
          <w:lang w:val="es-ES_tradnl"/>
        </w:rPr>
        <w:t>por ejemplo, el Programa Mundial para la Vida Silvestre</w:t>
      </w:r>
      <w:r w:rsidRPr="00D52EF5">
        <w:rPr>
          <w:lang w:val="es-ES_tradnl"/>
        </w:rPr>
        <w:t xml:space="preserve">, </w:t>
      </w:r>
      <w:r w:rsidR="00B609FB" w:rsidRPr="00D52EF5">
        <w:rPr>
          <w:lang w:val="es-ES_tradnl"/>
        </w:rPr>
        <w:t xml:space="preserve">el Fondo para los Países Menos Adelantados (Fondo PMA), </w:t>
      </w:r>
      <w:r w:rsidR="000C0CA3" w:rsidRPr="00D52EF5">
        <w:rPr>
          <w:lang w:val="es-ES_tradnl"/>
        </w:rPr>
        <w:t>–c</w:t>
      </w:r>
      <w:r w:rsidR="00B609FB" w:rsidRPr="00D52EF5">
        <w:rPr>
          <w:lang w:val="es-ES_tradnl"/>
        </w:rPr>
        <w:t>uyo eje es la adap</w:t>
      </w:r>
      <w:r w:rsidR="00BD3421" w:rsidRPr="00D52EF5">
        <w:rPr>
          <w:lang w:val="es-ES_tradnl"/>
        </w:rPr>
        <w:t>tación al cambio climático, que es</w:t>
      </w:r>
      <w:r w:rsidR="00B609FB" w:rsidRPr="00D52EF5">
        <w:rPr>
          <w:lang w:val="es-ES_tradnl"/>
        </w:rPr>
        <w:t xml:space="preserve"> particularmente pertinente para la diversidad biológica</w:t>
      </w:r>
      <w:r w:rsidR="00DC79EF" w:rsidRPr="00D52EF5">
        <w:rPr>
          <w:lang w:val="es-ES_tradnl"/>
        </w:rPr>
        <w:t>–</w:t>
      </w:r>
      <w:r w:rsidRPr="00D52EF5">
        <w:rPr>
          <w:lang w:val="es-ES_tradnl"/>
        </w:rPr>
        <w:t xml:space="preserve"> </w:t>
      </w:r>
      <w:r w:rsidR="00B609FB" w:rsidRPr="00D52EF5">
        <w:rPr>
          <w:lang w:val="es-ES_tradnl"/>
        </w:rPr>
        <w:t xml:space="preserve">y el </w:t>
      </w:r>
      <w:r w:rsidR="00AD5642" w:rsidRPr="00D52EF5">
        <w:rPr>
          <w:lang w:val="es-ES_tradnl"/>
        </w:rPr>
        <w:t>Programa de Pequeñas Donaciones (PPD)</w:t>
      </w:r>
      <w:r w:rsidRPr="00D52EF5">
        <w:rPr>
          <w:lang w:val="es-ES_tradnl"/>
        </w:rPr>
        <w:t>.</w:t>
      </w:r>
    </w:p>
    <w:p w14:paraId="7B17A3BA" w14:textId="0F5FB5A4" w:rsidR="00CF1568" w:rsidRPr="00D52EF5" w:rsidRDefault="00722F58" w:rsidP="00CF1568">
      <w:pPr>
        <w:pStyle w:val="Para1"/>
        <w:numPr>
          <w:ilvl w:val="0"/>
          <w:numId w:val="13"/>
        </w:numPr>
        <w:suppressLineNumbers/>
        <w:tabs>
          <w:tab w:val="clear" w:pos="360"/>
        </w:tabs>
        <w:suppressAutoHyphens/>
        <w:spacing w:before="120"/>
        <w:rPr>
          <w:lang w:val="es-ES_tradnl"/>
        </w:rPr>
      </w:pPr>
      <w:r w:rsidRPr="00D52EF5">
        <w:rPr>
          <w:lang w:val="es-ES_tradnl"/>
        </w:rPr>
        <w:t xml:space="preserve">La </w:t>
      </w:r>
      <w:r w:rsidR="00CF1568" w:rsidRPr="00D52EF5">
        <w:rPr>
          <w:lang w:val="es-ES_tradnl"/>
        </w:rPr>
        <w:t>S</w:t>
      </w:r>
      <w:r w:rsidR="000E0074" w:rsidRPr="00D52EF5">
        <w:rPr>
          <w:lang w:val="es-ES_tradnl"/>
        </w:rPr>
        <w:t>exta Evaluación Integral del FMAM (ERG</w:t>
      </w:r>
      <w:r w:rsidR="00CF1568" w:rsidRPr="00D52EF5">
        <w:rPr>
          <w:lang w:val="es-ES_tradnl"/>
        </w:rPr>
        <w:t xml:space="preserve">6), </w:t>
      </w:r>
      <w:r w:rsidR="00AD5642" w:rsidRPr="00D52EF5">
        <w:rPr>
          <w:lang w:val="es-ES_tradnl"/>
        </w:rPr>
        <w:t xml:space="preserve">emprendida </w:t>
      </w:r>
      <w:r w:rsidR="00F425FB" w:rsidRPr="00D52EF5">
        <w:rPr>
          <w:lang w:val="es-ES_tradnl"/>
        </w:rPr>
        <w:t>antes</w:t>
      </w:r>
      <w:r w:rsidR="00AD5642" w:rsidRPr="00D52EF5">
        <w:rPr>
          <w:lang w:val="es-ES_tradnl"/>
        </w:rPr>
        <w:t xml:space="preserve"> </w:t>
      </w:r>
      <w:r w:rsidR="00F425FB" w:rsidRPr="00D52EF5">
        <w:rPr>
          <w:lang w:val="es-ES_tradnl"/>
        </w:rPr>
        <w:t xml:space="preserve">del </w:t>
      </w:r>
      <w:r w:rsidR="00991BDA" w:rsidRPr="00D52EF5">
        <w:rPr>
          <w:lang w:val="es-ES_tradnl"/>
        </w:rPr>
        <w:t>FMAM-</w:t>
      </w:r>
      <w:r w:rsidR="00CF1568" w:rsidRPr="00D52EF5">
        <w:rPr>
          <w:lang w:val="es-ES_tradnl"/>
        </w:rPr>
        <w:t xml:space="preserve">7, </w:t>
      </w:r>
      <w:r w:rsidR="00AD5642" w:rsidRPr="00D52EF5">
        <w:rPr>
          <w:lang w:val="es-ES_tradnl"/>
        </w:rPr>
        <w:t xml:space="preserve">resalta la estrecha concordancia entre la estrategia </w:t>
      </w:r>
      <w:r w:rsidR="00B2109C" w:rsidRPr="00D52EF5">
        <w:rPr>
          <w:lang w:val="es-ES_tradnl"/>
        </w:rPr>
        <w:t xml:space="preserve">del FMAM </w:t>
      </w:r>
      <w:r w:rsidR="00AD5642" w:rsidRPr="00D52EF5">
        <w:rPr>
          <w:lang w:val="es-ES_tradnl"/>
        </w:rPr>
        <w:t xml:space="preserve">para el ámbito de la diversidad biológica </w:t>
      </w:r>
      <w:r w:rsidR="00D675DA" w:rsidRPr="00D52EF5">
        <w:rPr>
          <w:lang w:val="es-ES_tradnl"/>
        </w:rPr>
        <w:t xml:space="preserve">y las orientaciones </w:t>
      </w:r>
      <w:r w:rsidR="00B137C9" w:rsidRPr="00D52EF5">
        <w:rPr>
          <w:lang w:val="es-ES_tradnl"/>
        </w:rPr>
        <w:t>del CDB. El</w:t>
      </w:r>
      <w:r w:rsidR="000E0074" w:rsidRPr="00D52EF5">
        <w:rPr>
          <w:lang w:val="es-ES_tradnl"/>
        </w:rPr>
        <w:t xml:space="preserve"> ERG</w:t>
      </w:r>
      <w:r w:rsidR="00CF1568" w:rsidRPr="00D52EF5">
        <w:rPr>
          <w:lang w:val="es-ES_tradnl"/>
        </w:rPr>
        <w:t>6</w:t>
      </w:r>
      <w:r w:rsidR="00CF1568" w:rsidRPr="00D52EF5">
        <w:rPr>
          <w:rStyle w:val="FootnoteReference"/>
          <w:szCs w:val="22"/>
          <w:lang w:val="es-ES_tradnl"/>
        </w:rPr>
        <w:footnoteReference w:id="13"/>
      </w:r>
      <w:r w:rsidR="00CF1568" w:rsidRPr="00D52EF5">
        <w:rPr>
          <w:lang w:val="es-ES_tradnl"/>
        </w:rPr>
        <w:t xml:space="preserve"> conclu</w:t>
      </w:r>
      <w:r w:rsidR="00B137C9" w:rsidRPr="00D52EF5">
        <w:rPr>
          <w:lang w:val="es-ES_tradnl"/>
        </w:rPr>
        <w:t>ye que</w:t>
      </w:r>
      <w:r w:rsidR="00CF1568" w:rsidRPr="00D52EF5">
        <w:rPr>
          <w:lang w:val="es-ES_tradnl"/>
        </w:rPr>
        <w:t xml:space="preserve"> “</w:t>
      </w:r>
      <w:r w:rsidR="00B137C9" w:rsidRPr="00D52EF5">
        <w:rPr>
          <w:lang w:val="es-ES_tradnl"/>
        </w:rPr>
        <w:t xml:space="preserve">las estrategias del </w:t>
      </w:r>
      <w:r w:rsidR="004F1C5D" w:rsidRPr="00D52EF5">
        <w:rPr>
          <w:lang w:val="es-ES_tradnl"/>
        </w:rPr>
        <w:t>Fondo</w:t>
      </w:r>
      <w:r w:rsidR="00B137C9" w:rsidRPr="00D52EF5">
        <w:rPr>
          <w:lang w:val="es-ES_tradnl"/>
        </w:rPr>
        <w:t xml:space="preserve"> en la esfera de la diversidad biológica han respondido correctamente a las orientaciones e instrucciones del</w:t>
      </w:r>
      <w:r w:rsidR="00CF1568" w:rsidRPr="00D52EF5">
        <w:rPr>
          <w:lang w:val="es-ES_tradnl"/>
        </w:rPr>
        <w:t xml:space="preserve"> CD</w:t>
      </w:r>
      <w:r w:rsidR="00B137C9" w:rsidRPr="00D52EF5">
        <w:rPr>
          <w:lang w:val="es-ES_tradnl"/>
        </w:rPr>
        <w:t>B</w:t>
      </w:r>
      <w:r w:rsidR="00CF1568" w:rsidRPr="00D52EF5">
        <w:rPr>
          <w:lang w:val="es-ES_tradnl"/>
        </w:rPr>
        <w:t xml:space="preserve">. </w:t>
      </w:r>
      <w:r w:rsidR="00B137C9" w:rsidRPr="00D52EF5">
        <w:rPr>
          <w:lang w:val="es-ES_tradnl"/>
        </w:rPr>
        <w:t>[</w:t>
      </w:r>
      <w:r w:rsidR="00CF1568" w:rsidRPr="00D52EF5">
        <w:rPr>
          <w:lang w:val="es-ES_tradnl"/>
        </w:rPr>
        <w:t>...</w:t>
      </w:r>
      <w:r w:rsidR="00B137C9" w:rsidRPr="00D52EF5">
        <w:rPr>
          <w:lang w:val="es-ES_tradnl"/>
        </w:rPr>
        <w:t>]La ayuda del</w:t>
      </w:r>
      <w:r w:rsidRPr="00D52EF5">
        <w:rPr>
          <w:lang w:val="es-ES_tradnl"/>
        </w:rPr>
        <w:t xml:space="preserve"> FMAM </w:t>
      </w:r>
      <w:r w:rsidR="00CF1568" w:rsidRPr="00D52EF5">
        <w:rPr>
          <w:lang w:val="es-ES_tradnl"/>
        </w:rPr>
        <w:t>ha</w:t>
      </w:r>
      <w:r w:rsidR="00B137C9" w:rsidRPr="00D52EF5">
        <w:rPr>
          <w:lang w:val="es-ES_tradnl"/>
        </w:rPr>
        <w:t xml:space="preserve"> hecho posible que </w:t>
      </w:r>
      <w:r w:rsidR="00CF1568" w:rsidRPr="00D52EF5">
        <w:rPr>
          <w:lang w:val="es-ES_tradnl"/>
        </w:rPr>
        <w:t xml:space="preserve">189 </w:t>
      </w:r>
      <w:r w:rsidR="00B137C9" w:rsidRPr="00D52EF5">
        <w:rPr>
          <w:lang w:val="es-ES_tradnl"/>
        </w:rPr>
        <w:t>de l</w:t>
      </w:r>
      <w:r w:rsidR="008054B0" w:rsidRPr="00D52EF5">
        <w:rPr>
          <w:lang w:val="es-ES_tradnl"/>
        </w:rPr>
        <w:t>a</w:t>
      </w:r>
      <w:r w:rsidR="00B137C9" w:rsidRPr="00D52EF5">
        <w:rPr>
          <w:lang w:val="es-ES_tradnl"/>
        </w:rPr>
        <w:t>s</w:t>
      </w:r>
      <w:r w:rsidR="00CF1568" w:rsidRPr="00D52EF5">
        <w:rPr>
          <w:lang w:val="es-ES_tradnl"/>
        </w:rPr>
        <w:t xml:space="preserve"> 196 </w:t>
      </w:r>
      <w:r w:rsidR="00B137C9" w:rsidRPr="00D52EF5">
        <w:rPr>
          <w:lang w:val="es-ES_tradnl"/>
        </w:rPr>
        <w:t>Partes en el C</w:t>
      </w:r>
      <w:r w:rsidR="00F425FB" w:rsidRPr="00D52EF5">
        <w:rPr>
          <w:lang w:val="es-ES_tradnl"/>
        </w:rPr>
        <w:t>onvenio</w:t>
      </w:r>
      <w:r w:rsidR="00CF1568" w:rsidRPr="00D52EF5">
        <w:rPr>
          <w:lang w:val="es-ES_tradnl"/>
        </w:rPr>
        <w:t xml:space="preserve"> </w:t>
      </w:r>
      <w:r w:rsidR="008054B0" w:rsidRPr="00D52EF5">
        <w:rPr>
          <w:lang w:val="es-ES_tradnl"/>
        </w:rPr>
        <w:t>(el 96</w:t>
      </w:r>
      <w:r w:rsidR="009920AC" w:rsidRPr="00D52EF5">
        <w:rPr>
          <w:lang w:val="es-ES_tradnl"/>
        </w:rPr>
        <w:t>%</w:t>
      </w:r>
      <w:r w:rsidR="008054B0" w:rsidRPr="00D52EF5">
        <w:rPr>
          <w:lang w:val="es-ES_tradnl"/>
        </w:rPr>
        <w:t xml:space="preserve">) </w:t>
      </w:r>
      <w:r w:rsidR="004F1C5D" w:rsidRPr="00D52EF5">
        <w:rPr>
          <w:lang w:val="es-ES_tradnl"/>
        </w:rPr>
        <w:t>presentaran el</w:t>
      </w:r>
      <w:r w:rsidR="00B137C9" w:rsidRPr="00D52EF5">
        <w:rPr>
          <w:lang w:val="es-ES_tradnl"/>
        </w:rPr>
        <w:t xml:space="preserve"> informe nacional a la Secretaría</w:t>
      </w:r>
      <w:r w:rsidR="00CF1568" w:rsidRPr="00D52EF5">
        <w:rPr>
          <w:lang w:val="es-ES_tradnl"/>
        </w:rPr>
        <w:t xml:space="preserve"> </w:t>
      </w:r>
      <w:r w:rsidR="00B137C9" w:rsidRPr="00D52EF5">
        <w:rPr>
          <w:lang w:val="es-ES_tradnl"/>
        </w:rPr>
        <w:t>[</w:t>
      </w:r>
      <w:r w:rsidR="00CF1568" w:rsidRPr="00D52EF5">
        <w:rPr>
          <w:lang w:val="es-ES_tradnl"/>
        </w:rPr>
        <w:t>...</w:t>
      </w:r>
      <w:r w:rsidR="00B137C9" w:rsidRPr="00D52EF5">
        <w:rPr>
          <w:lang w:val="es-ES_tradnl"/>
        </w:rPr>
        <w:t>]Los resultados d</w:t>
      </w:r>
      <w:r w:rsidR="00CF1568" w:rsidRPr="00D52EF5">
        <w:rPr>
          <w:lang w:val="es-ES_tradnl"/>
        </w:rPr>
        <w:t xml:space="preserve">e </w:t>
      </w:r>
      <w:r w:rsidR="00B137C9" w:rsidRPr="00D52EF5">
        <w:rPr>
          <w:lang w:val="es-ES_tradnl"/>
        </w:rPr>
        <w:t xml:space="preserve">la cartera de diversidad biológica </w:t>
      </w:r>
      <w:r w:rsidR="004F1C5D" w:rsidRPr="00D52EF5">
        <w:rPr>
          <w:lang w:val="es-ES_tradnl"/>
        </w:rPr>
        <w:t xml:space="preserve">en general </w:t>
      </w:r>
      <w:r w:rsidR="00B137C9" w:rsidRPr="00D52EF5">
        <w:rPr>
          <w:lang w:val="es-ES_tradnl"/>
        </w:rPr>
        <w:t>son</w:t>
      </w:r>
      <w:r w:rsidR="00CF1568" w:rsidRPr="00D52EF5">
        <w:rPr>
          <w:lang w:val="es-ES_tradnl"/>
        </w:rPr>
        <w:t xml:space="preserve"> comparable</w:t>
      </w:r>
      <w:r w:rsidR="00B137C9" w:rsidRPr="00D52EF5">
        <w:rPr>
          <w:lang w:val="es-ES_tradnl"/>
        </w:rPr>
        <w:t>s</w:t>
      </w:r>
      <w:r w:rsidR="00CF1568" w:rsidRPr="00D52EF5">
        <w:rPr>
          <w:lang w:val="es-ES_tradnl"/>
        </w:rPr>
        <w:t xml:space="preserve"> </w:t>
      </w:r>
      <w:r w:rsidR="00B137C9" w:rsidRPr="00D52EF5">
        <w:rPr>
          <w:lang w:val="es-ES_tradnl"/>
        </w:rPr>
        <w:t>a los del</w:t>
      </w:r>
      <w:r w:rsidR="00CF1568" w:rsidRPr="00D52EF5">
        <w:rPr>
          <w:lang w:val="es-ES_tradnl"/>
        </w:rPr>
        <w:t xml:space="preserve"> </w:t>
      </w:r>
      <w:r w:rsidRPr="00D52EF5">
        <w:rPr>
          <w:lang w:val="es-ES_tradnl"/>
        </w:rPr>
        <w:t>FMAM</w:t>
      </w:r>
      <w:r w:rsidR="00CF1568" w:rsidRPr="00D52EF5">
        <w:rPr>
          <w:lang w:val="es-ES_tradnl"/>
        </w:rPr>
        <w:t xml:space="preserve">, </w:t>
      </w:r>
      <w:r w:rsidR="00B137C9" w:rsidRPr="00D52EF5">
        <w:rPr>
          <w:lang w:val="es-ES_tradnl"/>
        </w:rPr>
        <w:t>si bien la sostenibilidad sigue siendo un problema</w:t>
      </w:r>
      <w:r w:rsidR="00CF1568" w:rsidRPr="00D52EF5">
        <w:rPr>
          <w:lang w:val="es-ES_tradnl"/>
        </w:rPr>
        <w:t>” (e</w:t>
      </w:r>
      <w:r w:rsidR="00B137C9" w:rsidRPr="00D52EF5">
        <w:rPr>
          <w:lang w:val="es-ES_tradnl"/>
        </w:rPr>
        <w:t>s decir</w:t>
      </w:r>
      <w:r w:rsidR="00CF1568" w:rsidRPr="00D52EF5">
        <w:rPr>
          <w:lang w:val="es-ES_tradnl"/>
        </w:rPr>
        <w:t xml:space="preserve">, </w:t>
      </w:r>
      <w:r w:rsidR="00B137C9" w:rsidRPr="00D52EF5">
        <w:rPr>
          <w:lang w:val="es-ES_tradnl"/>
        </w:rPr>
        <w:t>la sostenibilidad o</w:t>
      </w:r>
      <w:r w:rsidR="00CF1568" w:rsidRPr="00D52EF5">
        <w:rPr>
          <w:lang w:val="es-ES_tradnl"/>
        </w:rPr>
        <w:t xml:space="preserve"> </w:t>
      </w:r>
      <w:r w:rsidR="00B137C9" w:rsidRPr="00D52EF5">
        <w:rPr>
          <w:lang w:val="es-ES_tradnl"/>
        </w:rPr>
        <w:t>el inicio</w:t>
      </w:r>
      <w:r w:rsidR="00096CB3" w:rsidRPr="00D52EF5">
        <w:rPr>
          <w:lang w:val="es-ES_tradnl"/>
        </w:rPr>
        <w:t xml:space="preserve"> y/o la continuación del trabajo</w:t>
      </w:r>
      <w:r w:rsidR="00B137C9" w:rsidRPr="00D52EF5">
        <w:rPr>
          <w:lang w:val="es-ES_tradnl"/>
        </w:rPr>
        <w:t xml:space="preserve"> de los países una vez finalizado el proyecto </w:t>
      </w:r>
      <w:r w:rsidRPr="00D52EF5">
        <w:rPr>
          <w:lang w:val="es-ES_tradnl"/>
        </w:rPr>
        <w:t>del FMAM</w:t>
      </w:r>
      <w:r w:rsidR="00CF1568" w:rsidRPr="00D52EF5">
        <w:rPr>
          <w:lang w:val="es-ES_tradnl"/>
        </w:rPr>
        <w:t>).</w:t>
      </w:r>
    </w:p>
    <w:p w14:paraId="54F10982" w14:textId="454E99BE" w:rsidR="00CF1568" w:rsidRPr="00D52EF5" w:rsidRDefault="00DF4D11" w:rsidP="00CF1568">
      <w:pPr>
        <w:pStyle w:val="Para1"/>
        <w:numPr>
          <w:ilvl w:val="0"/>
          <w:numId w:val="13"/>
        </w:numPr>
        <w:suppressLineNumbers/>
        <w:tabs>
          <w:tab w:val="clear" w:pos="360"/>
        </w:tabs>
        <w:suppressAutoHyphens/>
        <w:spacing w:before="120"/>
        <w:rPr>
          <w:lang w:val="es-ES_tradnl"/>
        </w:rPr>
      </w:pPr>
      <w:r w:rsidRPr="00D52EF5">
        <w:rPr>
          <w:lang w:val="es-ES_tradnl"/>
        </w:rPr>
        <w:t>Varias Partes</w:t>
      </w:r>
      <w:r w:rsidR="00CF1568" w:rsidRPr="00D52EF5">
        <w:rPr>
          <w:szCs w:val="22"/>
          <w:lang w:val="es-ES_tradnl"/>
        </w:rPr>
        <w:t xml:space="preserve">, </w:t>
      </w:r>
      <w:r w:rsidRPr="00D52EF5">
        <w:rPr>
          <w:szCs w:val="22"/>
          <w:lang w:val="es-ES_tradnl"/>
        </w:rPr>
        <w:t>entre otras, la Unión Europea</w:t>
      </w:r>
      <w:r w:rsidR="00CF1568" w:rsidRPr="00D52EF5">
        <w:rPr>
          <w:szCs w:val="22"/>
          <w:lang w:val="es-ES_tradnl"/>
        </w:rPr>
        <w:t xml:space="preserve">, </w:t>
      </w:r>
      <w:r w:rsidR="00B82E03" w:rsidRPr="00D52EF5">
        <w:rPr>
          <w:szCs w:val="22"/>
          <w:lang w:val="es-ES_tradnl"/>
        </w:rPr>
        <w:t xml:space="preserve">pusieron de manifiesto </w:t>
      </w:r>
      <w:r w:rsidR="008054B0" w:rsidRPr="00D52EF5">
        <w:rPr>
          <w:szCs w:val="22"/>
          <w:lang w:val="es-ES_tradnl"/>
        </w:rPr>
        <w:t>algunas carencia</w:t>
      </w:r>
      <w:r w:rsidR="00B82E03" w:rsidRPr="00D52EF5">
        <w:rPr>
          <w:szCs w:val="22"/>
          <w:lang w:val="es-ES_tradnl"/>
        </w:rPr>
        <w:t>s</w:t>
      </w:r>
      <w:r w:rsidRPr="00D52EF5">
        <w:rPr>
          <w:szCs w:val="22"/>
          <w:lang w:val="es-ES_tradnl"/>
        </w:rPr>
        <w:t xml:space="preserve"> </w:t>
      </w:r>
      <w:r w:rsidR="008054B0" w:rsidRPr="00D52EF5">
        <w:rPr>
          <w:szCs w:val="22"/>
          <w:lang w:val="es-ES_tradnl"/>
        </w:rPr>
        <w:t>d</w:t>
      </w:r>
      <w:r w:rsidR="00B82E03" w:rsidRPr="00D52EF5">
        <w:rPr>
          <w:szCs w:val="22"/>
          <w:lang w:val="es-ES_tradnl"/>
        </w:rPr>
        <w:t>e</w:t>
      </w:r>
      <w:r w:rsidR="00CF1568" w:rsidRPr="00D52EF5">
        <w:rPr>
          <w:szCs w:val="22"/>
          <w:lang w:val="es-ES_tradnl"/>
        </w:rPr>
        <w:t xml:space="preserve"> </w:t>
      </w:r>
      <w:r w:rsidRPr="00D52EF5">
        <w:rPr>
          <w:szCs w:val="22"/>
          <w:lang w:val="es-ES_tradnl"/>
        </w:rPr>
        <w:t>la</w:t>
      </w:r>
      <w:r w:rsidR="00CF1568" w:rsidRPr="00D52EF5">
        <w:rPr>
          <w:szCs w:val="22"/>
          <w:lang w:val="es-ES_tradnl"/>
        </w:rPr>
        <w:t xml:space="preserve"> </w:t>
      </w:r>
      <w:r w:rsidR="00C31192" w:rsidRPr="00D52EF5">
        <w:rPr>
          <w:szCs w:val="22"/>
          <w:lang w:val="es-ES_tradnl"/>
        </w:rPr>
        <w:t>E</w:t>
      </w:r>
      <w:r w:rsidR="00C31192" w:rsidRPr="00D52EF5">
        <w:rPr>
          <w:lang w:val="es-ES_tradnl"/>
        </w:rPr>
        <w:t>strategia para la Movilización de R</w:t>
      </w:r>
      <w:r w:rsidRPr="00D52EF5">
        <w:rPr>
          <w:lang w:val="es-ES_tradnl"/>
        </w:rPr>
        <w:t>ecursos en relación con este objetivo</w:t>
      </w:r>
      <w:r w:rsidR="00CF1568" w:rsidRPr="00D52EF5">
        <w:rPr>
          <w:szCs w:val="22"/>
          <w:lang w:val="es-ES_tradnl"/>
        </w:rPr>
        <w:t xml:space="preserve">, </w:t>
      </w:r>
      <w:r w:rsidRPr="00D52EF5">
        <w:rPr>
          <w:szCs w:val="22"/>
          <w:lang w:val="es-ES_tradnl"/>
        </w:rPr>
        <w:t>en</w:t>
      </w:r>
      <w:r w:rsidR="00F425FB" w:rsidRPr="00D52EF5">
        <w:rPr>
          <w:szCs w:val="22"/>
          <w:lang w:val="es-ES_tradnl"/>
        </w:rPr>
        <w:t>tre otras:</w:t>
      </w:r>
      <w:r w:rsidR="00B82E03" w:rsidRPr="00D52EF5">
        <w:rPr>
          <w:szCs w:val="22"/>
          <w:lang w:val="es-ES_tradnl"/>
        </w:rPr>
        <w:t xml:space="preserve"> </w:t>
      </w:r>
      <w:r w:rsidR="00F425FB" w:rsidRPr="00D52EF5">
        <w:rPr>
          <w:szCs w:val="22"/>
          <w:lang w:val="es-ES_tradnl"/>
        </w:rPr>
        <w:t xml:space="preserve">a) </w:t>
      </w:r>
      <w:r w:rsidR="00B82E03" w:rsidRPr="00D52EF5">
        <w:rPr>
          <w:szCs w:val="22"/>
          <w:lang w:val="es-ES_tradnl"/>
        </w:rPr>
        <w:t>con respecto a</w:t>
      </w:r>
      <w:r w:rsidR="00CF1568" w:rsidRPr="00D52EF5">
        <w:rPr>
          <w:szCs w:val="22"/>
          <w:lang w:val="es-ES_tradnl"/>
        </w:rPr>
        <w:t xml:space="preserve"> </w:t>
      </w:r>
      <w:r w:rsidRPr="00D52EF5">
        <w:rPr>
          <w:szCs w:val="22"/>
          <w:lang w:val="es-ES_tradnl"/>
        </w:rPr>
        <w:t xml:space="preserve">la importancia de promover </w:t>
      </w:r>
      <w:r w:rsidR="008C52BE" w:rsidRPr="00D52EF5">
        <w:rPr>
          <w:szCs w:val="22"/>
          <w:lang w:val="es-ES_tradnl"/>
        </w:rPr>
        <w:t xml:space="preserve">la </w:t>
      </w:r>
      <w:r w:rsidR="00F15CB1" w:rsidRPr="00D52EF5">
        <w:rPr>
          <w:szCs w:val="22"/>
          <w:lang w:val="es-ES_tradnl"/>
        </w:rPr>
        <w:t>contabilidad del capital natural</w:t>
      </w:r>
      <w:r w:rsidR="00CF1568" w:rsidRPr="00D52EF5">
        <w:rPr>
          <w:szCs w:val="22"/>
          <w:lang w:val="es-ES_tradnl"/>
        </w:rPr>
        <w:t xml:space="preserve">; </w:t>
      </w:r>
      <w:r w:rsidR="00F425FB" w:rsidRPr="00D52EF5">
        <w:rPr>
          <w:szCs w:val="22"/>
          <w:lang w:val="es-ES_tradnl"/>
        </w:rPr>
        <w:t xml:space="preserve">b) </w:t>
      </w:r>
      <w:r w:rsidR="00A46A07" w:rsidRPr="00D52EF5">
        <w:rPr>
          <w:szCs w:val="22"/>
          <w:lang w:val="es-ES_tradnl"/>
        </w:rPr>
        <w:t xml:space="preserve">el aumento de </w:t>
      </w:r>
      <w:r w:rsidR="00B82E03" w:rsidRPr="00D52EF5">
        <w:rPr>
          <w:szCs w:val="22"/>
          <w:lang w:val="es-ES_tradnl"/>
        </w:rPr>
        <w:t xml:space="preserve">la </w:t>
      </w:r>
      <w:r w:rsidR="00A46A07" w:rsidRPr="00D52EF5">
        <w:rPr>
          <w:szCs w:val="22"/>
          <w:lang w:val="es-ES_tradnl"/>
        </w:rPr>
        <w:t>promoción de la financiación</w:t>
      </w:r>
      <w:r w:rsidR="00CF1568" w:rsidRPr="00D52EF5">
        <w:rPr>
          <w:szCs w:val="22"/>
          <w:lang w:val="es-ES_tradnl"/>
        </w:rPr>
        <w:t xml:space="preserve"> s</w:t>
      </w:r>
      <w:r w:rsidR="00A46A07" w:rsidRPr="00D52EF5">
        <w:rPr>
          <w:szCs w:val="22"/>
          <w:lang w:val="es-ES_tradnl"/>
        </w:rPr>
        <w:t>osteni</w:t>
      </w:r>
      <w:r w:rsidR="00CF1568" w:rsidRPr="00D52EF5">
        <w:rPr>
          <w:szCs w:val="22"/>
          <w:lang w:val="es-ES_tradnl"/>
        </w:rPr>
        <w:t xml:space="preserve">ble </w:t>
      </w:r>
      <w:r w:rsidR="00B82E03" w:rsidRPr="00D52EF5">
        <w:rPr>
          <w:szCs w:val="22"/>
          <w:lang w:val="es-ES_tradnl"/>
        </w:rPr>
        <w:t>para que</w:t>
      </w:r>
      <w:r w:rsidR="00A46A07" w:rsidRPr="00D52EF5">
        <w:rPr>
          <w:szCs w:val="22"/>
          <w:lang w:val="es-ES_tradnl"/>
        </w:rPr>
        <w:t xml:space="preserve"> reflej</w:t>
      </w:r>
      <w:r w:rsidR="00B82E03" w:rsidRPr="00D52EF5">
        <w:rPr>
          <w:szCs w:val="22"/>
          <w:lang w:val="es-ES_tradnl"/>
        </w:rPr>
        <w:t>e</w:t>
      </w:r>
      <w:r w:rsidR="00A46A07" w:rsidRPr="00D52EF5">
        <w:rPr>
          <w:szCs w:val="22"/>
          <w:lang w:val="es-ES_tradnl"/>
        </w:rPr>
        <w:t xml:space="preserve"> el valor real y los dividendos colectivos de las inversiones en la naturaleza y la diversidad biológica</w:t>
      </w:r>
      <w:r w:rsidR="00CF1568" w:rsidRPr="00D52EF5">
        <w:rPr>
          <w:szCs w:val="22"/>
          <w:lang w:val="es-ES_tradnl"/>
        </w:rPr>
        <w:t xml:space="preserve">; </w:t>
      </w:r>
      <w:r w:rsidR="00F425FB" w:rsidRPr="00D52EF5">
        <w:rPr>
          <w:szCs w:val="22"/>
          <w:lang w:val="es-ES_tradnl"/>
        </w:rPr>
        <w:t xml:space="preserve">c) </w:t>
      </w:r>
      <w:r w:rsidR="00A46A07" w:rsidRPr="00D52EF5">
        <w:rPr>
          <w:szCs w:val="22"/>
          <w:lang w:val="es-ES_tradnl"/>
        </w:rPr>
        <w:t>el papel de los b</w:t>
      </w:r>
      <w:r w:rsidR="00B82E03" w:rsidRPr="00D52EF5">
        <w:rPr>
          <w:szCs w:val="22"/>
          <w:lang w:val="es-ES_tradnl"/>
        </w:rPr>
        <w:t>a</w:t>
      </w:r>
      <w:r w:rsidR="00A46A07" w:rsidRPr="00D52EF5">
        <w:rPr>
          <w:szCs w:val="22"/>
          <w:lang w:val="es-ES_tradnl"/>
        </w:rPr>
        <w:t>ncos de desarrollo plur</w:t>
      </w:r>
      <w:r w:rsidR="00CF1568" w:rsidRPr="00D52EF5">
        <w:rPr>
          <w:szCs w:val="22"/>
          <w:lang w:val="es-ES_tradnl"/>
        </w:rPr>
        <w:t>ina</w:t>
      </w:r>
      <w:r w:rsidR="00A46A07" w:rsidRPr="00D52EF5">
        <w:rPr>
          <w:szCs w:val="22"/>
          <w:lang w:val="es-ES_tradnl"/>
        </w:rPr>
        <w:t>c</w:t>
      </w:r>
      <w:r w:rsidR="00CF1568" w:rsidRPr="00D52EF5">
        <w:rPr>
          <w:szCs w:val="22"/>
          <w:lang w:val="es-ES_tradnl"/>
        </w:rPr>
        <w:t>ional</w:t>
      </w:r>
      <w:r w:rsidR="00A46A07" w:rsidRPr="00D52EF5">
        <w:rPr>
          <w:szCs w:val="22"/>
          <w:lang w:val="es-ES_tradnl"/>
        </w:rPr>
        <w:t>es</w:t>
      </w:r>
      <w:r w:rsidR="00CF1568" w:rsidRPr="00D52EF5">
        <w:rPr>
          <w:szCs w:val="22"/>
          <w:lang w:val="es-ES_tradnl"/>
        </w:rPr>
        <w:t xml:space="preserve"> </w:t>
      </w:r>
      <w:r w:rsidR="00A46A07" w:rsidRPr="00D52EF5">
        <w:rPr>
          <w:szCs w:val="22"/>
          <w:lang w:val="es-ES_tradnl"/>
        </w:rPr>
        <w:t>y nac</w:t>
      </w:r>
      <w:r w:rsidR="00CF1568" w:rsidRPr="00D52EF5">
        <w:rPr>
          <w:szCs w:val="22"/>
          <w:lang w:val="es-ES_tradnl"/>
        </w:rPr>
        <w:t>ional</w:t>
      </w:r>
      <w:r w:rsidR="00A46A07" w:rsidRPr="00D52EF5">
        <w:rPr>
          <w:szCs w:val="22"/>
          <w:lang w:val="es-ES_tradnl"/>
        </w:rPr>
        <w:t>es</w:t>
      </w:r>
      <w:r w:rsidR="00CF1568" w:rsidRPr="00D52EF5">
        <w:rPr>
          <w:szCs w:val="22"/>
          <w:lang w:val="es-ES_tradnl"/>
        </w:rPr>
        <w:t xml:space="preserve">; </w:t>
      </w:r>
      <w:r w:rsidR="00F425FB" w:rsidRPr="00D52EF5">
        <w:rPr>
          <w:szCs w:val="22"/>
          <w:lang w:val="es-ES_tradnl"/>
        </w:rPr>
        <w:lastRenderedPageBreak/>
        <w:t xml:space="preserve">d) </w:t>
      </w:r>
      <w:r w:rsidR="00A46A07" w:rsidRPr="00D52EF5">
        <w:rPr>
          <w:szCs w:val="22"/>
          <w:lang w:val="es-ES_tradnl"/>
        </w:rPr>
        <w:t xml:space="preserve">el reconocimiento insuficiente de la diversidad biológica y los ecosistemas como </w:t>
      </w:r>
      <w:r w:rsidR="003908E5" w:rsidRPr="00D52EF5">
        <w:rPr>
          <w:szCs w:val="22"/>
          <w:lang w:val="es-ES_tradnl"/>
        </w:rPr>
        <w:t xml:space="preserve">factores </w:t>
      </w:r>
      <w:r w:rsidR="00A46A07" w:rsidRPr="00D52EF5">
        <w:rPr>
          <w:szCs w:val="22"/>
          <w:lang w:val="es-ES_tradnl"/>
        </w:rPr>
        <w:t xml:space="preserve">determinantes </w:t>
      </w:r>
      <w:r w:rsidR="003908E5" w:rsidRPr="00D52EF5">
        <w:rPr>
          <w:szCs w:val="22"/>
          <w:lang w:val="es-ES_tradnl"/>
        </w:rPr>
        <w:t>fundamentales de la mayoría de los Objetivos de Desarrollo Sostenible (ODS)</w:t>
      </w:r>
      <w:r w:rsidR="00CF1568" w:rsidRPr="00D52EF5">
        <w:rPr>
          <w:szCs w:val="22"/>
          <w:lang w:val="es-ES_tradnl"/>
        </w:rPr>
        <w:t xml:space="preserve">; </w:t>
      </w:r>
      <w:r w:rsidR="00F425FB" w:rsidRPr="00D52EF5">
        <w:rPr>
          <w:szCs w:val="22"/>
          <w:lang w:val="es-ES_tradnl"/>
        </w:rPr>
        <w:t xml:space="preserve">e) </w:t>
      </w:r>
      <w:r w:rsidR="003908E5" w:rsidRPr="00D52EF5">
        <w:rPr>
          <w:szCs w:val="22"/>
          <w:lang w:val="es-ES_tradnl"/>
        </w:rPr>
        <w:t>la necesidad de suministrar información para los inversores sobre el impacto en la biodiversidad y/o sobre el desempeño de las empresas en la materia, y de vincular</w:t>
      </w:r>
      <w:r w:rsidR="008821FB" w:rsidRPr="00D52EF5">
        <w:rPr>
          <w:szCs w:val="22"/>
          <w:lang w:val="es-ES_tradnl"/>
        </w:rPr>
        <w:t>la</w:t>
      </w:r>
      <w:r w:rsidR="003908E5" w:rsidRPr="00D52EF5">
        <w:rPr>
          <w:szCs w:val="22"/>
          <w:lang w:val="es-ES_tradnl"/>
        </w:rPr>
        <w:t xml:space="preserve"> con </w:t>
      </w:r>
      <w:r w:rsidR="005A2E83" w:rsidRPr="00D52EF5">
        <w:rPr>
          <w:szCs w:val="22"/>
          <w:lang w:val="es-ES_tradnl"/>
        </w:rPr>
        <w:t>las cuestiones ambientales, sociales y de gobernanza</w:t>
      </w:r>
      <w:r w:rsidR="00CF1568" w:rsidRPr="00D52EF5">
        <w:rPr>
          <w:szCs w:val="22"/>
          <w:lang w:val="es-ES_tradnl"/>
        </w:rPr>
        <w:t xml:space="preserve"> (</w:t>
      </w:r>
      <w:r w:rsidR="008821FB" w:rsidRPr="00D52EF5">
        <w:rPr>
          <w:szCs w:val="22"/>
          <w:lang w:val="es-ES_tradnl"/>
        </w:rPr>
        <w:t xml:space="preserve">en inglés, </w:t>
      </w:r>
      <w:r w:rsidR="00CF1568" w:rsidRPr="00D52EF5">
        <w:rPr>
          <w:szCs w:val="22"/>
          <w:lang w:val="es-ES_tradnl"/>
        </w:rPr>
        <w:t xml:space="preserve">ESG) </w:t>
      </w:r>
      <w:r w:rsidR="005A2E83" w:rsidRPr="00D52EF5">
        <w:rPr>
          <w:szCs w:val="22"/>
          <w:lang w:val="es-ES_tradnl"/>
        </w:rPr>
        <w:t>y l</w:t>
      </w:r>
      <w:r w:rsidR="008821FB" w:rsidRPr="00D52EF5">
        <w:rPr>
          <w:szCs w:val="22"/>
          <w:lang w:val="es-ES_tradnl"/>
        </w:rPr>
        <w:t>as relativas al</w:t>
      </w:r>
      <w:r w:rsidR="005A2E83" w:rsidRPr="00D52EF5">
        <w:rPr>
          <w:szCs w:val="22"/>
          <w:lang w:val="es-ES_tradnl"/>
        </w:rPr>
        <w:t xml:space="preserve"> clima</w:t>
      </w:r>
      <w:r w:rsidR="00CF1568" w:rsidRPr="00D52EF5">
        <w:rPr>
          <w:szCs w:val="22"/>
          <w:lang w:val="es-ES_tradnl"/>
        </w:rPr>
        <w:t xml:space="preserve">; </w:t>
      </w:r>
      <w:r w:rsidR="005A2E83" w:rsidRPr="00D52EF5">
        <w:rPr>
          <w:szCs w:val="22"/>
          <w:lang w:val="es-ES_tradnl"/>
        </w:rPr>
        <w:t xml:space="preserve">y </w:t>
      </w:r>
      <w:r w:rsidR="00F425FB" w:rsidRPr="00D52EF5">
        <w:rPr>
          <w:szCs w:val="22"/>
          <w:lang w:val="es-ES_tradnl"/>
        </w:rPr>
        <w:t xml:space="preserve">f) </w:t>
      </w:r>
      <w:r w:rsidR="00B82E03" w:rsidRPr="00D52EF5">
        <w:rPr>
          <w:szCs w:val="22"/>
          <w:lang w:val="es-ES_tradnl"/>
        </w:rPr>
        <w:t xml:space="preserve">con respecto a </w:t>
      </w:r>
      <w:r w:rsidR="005A2E83" w:rsidRPr="00D52EF5">
        <w:rPr>
          <w:szCs w:val="22"/>
          <w:lang w:val="es-ES_tradnl"/>
        </w:rPr>
        <w:t>las limitaciones d</w:t>
      </w:r>
      <w:r w:rsidR="00722F58" w:rsidRPr="00D52EF5">
        <w:rPr>
          <w:szCs w:val="22"/>
          <w:lang w:val="es-ES_tradnl"/>
        </w:rPr>
        <w:t>el FMAM</w:t>
      </w:r>
      <w:r w:rsidR="00CF1568" w:rsidRPr="00D52EF5">
        <w:rPr>
          <w:szCs w:val="22"/>
          <w:lang w:val="es-ES_tradnl"/>
        </w:rPr>
        <w:t xml:space="preserve"> </w:t>
      </w:r>
      <w:r w:rsidR="005A2E83" w:rsidRPr="00D52EF5">
        <w:rPr>
          <w:szCs w:val="22"/>
          <w:lang w:val="es-ES_tradnl"/>
        </w:rPr>
        <w:t>para proporcionar una financiación distinta de las subvenciones</w:t>
      </w:r>
      <w:r w:rsidR="00CF1568" w:rsidRPr="00D52EF5">
        <w:rPr>
          <w:szCs w:val="22"/>
          <w:lang w:val="es-ES_tradnl"/>
        </w:rPr>
        <w:t>.</w:t>
      </w:r>
    </w:p>
    <w:p w14:paraId="3E06B2A4" w14:textId="0E2AE3D0" w:rsidR="00CF1568" w:rsidRPr="00D52EF5" w:rsidRDefault="003B35B3" w:rsidP="00CF1568">
      <w:pPr>
        <w:pStyle w:val="Heading4"/>
        <w:suppressLineNumbers/>
        <w:suppressAutoHyphens/>
        <w:rPr>
          <w:i w:val="0"/>
          <w:lang w:val="es-ES_tradnl"/>
        </w:rPr>
      </w:pPr>
      <w:r w:rsidRPr="00D52EF5">
        <w:rPr>
          <w:i w:val="0"/>
          <w:lang w:val="es-ES_tradnl"/>
        </w:rPr>
        <w:t>Objetivo</w:t>
      </w:r>
      <w:r w:rsidR="00CF1568" w:rsidRPr="00D52EF5">
        <w:rPr>
          <w:i w:val="0"/>
          <w:lang w:val="es-ES_tradnl"/>
        </w:rPr>
        <w:t xml:space="preserve"> 4: </w:t>
      </w:r>
      <w:r w:rsidRPr="00D52EF5">
        <w:rPr>
          <w:i w:val="0"/>
          <w:lang w:val="es-ES_tradnl"/>
        </w:rPr>
        <w:t>Explorar mecanismos nuevos e innovadores, en todos los niveles, con el fin de aumentar el financiamiento para apoyar los tres objetivos del Convenio</w:t>
      </w:r>
    </w:p>
    <w:p w14:paraId="2200256E" w14:textId="7BADE93B" w:rsidR="00CF1568" w:rsidRPr="00D52EF5" w:rsidRDefault="00513548" w:rsidP="00CF1568">
      <w:pPr>
        <w:pStyle w:val="Para1"/>
        <w:numPr>
          <w:ilvl w:val="0"/>
          <w:numId w:val="13"/>
        </w:numPr>
        <w:suppressLineNumbers/>
        <w:tabs>
          <w:tab w:val="clear" w:pos="360"/>
        </w:tabs>
        <w:suppressAutoHyphens/>
        <w:spacing w:before="120"/>
        <w:rPr>
          <w:szCs w:val="22"/>
          <w:lang w:val="es-ES_tradnl"/>
        </w:rPr>
      </w:pPr>
      <w:r w:rsidRPr="00D52EF5">
        <w:rPr>
          <w:lang w:val="es-ES_tradnl"/>
        </w:rPr>
        <w:t xml:space="preserve">En la décima reunión de la Conferencia de las Partes, el tema de los </w:t>
      </w:r>
      <w:r w:rsidR="00CF1568" w:rsidRPr="00D52EF5">
        <w:rPr>
          <w:lang w:val="es-ES_tradnl"/>
        </w:rPr>
        <w:t>“</w:t>
      </w:r>
      <w:r w:rsidRPr="00D52EF5">
        <w:rPr>
          <w:lang w:val="es-ES_tradnl"/>
        </w:rPr>
        <w:t xml:space="preserve">mecanismos de financiación </w:t>
      </w:r>
      <w:r w:rsidR="00CF1568" w:rsidRPr="00D52EF5">
        <w:rPr>
          <w:lang w:val="es-ES_tradnl"/>
        </w:rPr>
        <w:t>innova</w:t>
      </w:r>
      <w:r w:rsidRPr="00D52EF5">
        <w:rPr>
          <w:lang w:val="es-ES_tradnl"/>
        </w:rPr>
        <w:t>dores</w:t>
      </w:r>
      <w:r w:rsidR="00CF1568" w:rsidRPr="00D52EF5">
        <w:rPr>
          <w:lang w:val="es-ES_tradnl"/>
        </w:rPr>
        <w:t xml:space="preserve">” </w:t>
      </w:r>
      <w:r w:rsidR="00050A09" w:rsidRPr="00D52EF5">
        <w:rPr>
          <w:lang w:val="es-ES_tradnl"/>
        </w:rPr>
        <w:t>demostró</w:t>
      </w:r>
      <w:r w:rsidR="00C3223C" w:rsidRPr="00D52EF5">
        <w:rPr>
          <w:lang w:val="es-ES_tradnl"/>
        </w:rPr>
        <w:t xml:space="preserve"> ser polémico</w:t>
      </w:r>
      <w:r w:rsidR="00050A09" w:rsidRPr="00D52EF5">
        <w:rPr>
          <w:lang w:val="es-ES_tradnl"/>
        </w:rPr>
        <w:t>,</w:t>
      </w:r>
      <w:r w:rsidR="00C3223C" w:rsidRPr="00D52EF5">
        <w:rPr>
          <w:lang w:val="es-ES_tradnl"/>
        </w:rPr>
        <w:t xml:space="preserve"> y en marzo de 2012, los gobiernos de Ecuador, India, Japón, Norueg</w:t>
      </w:r>
      <w:r w:rsidR="00CF1568" w:rsidRPr="00D52EF5">
        <w:rPr>
          <w:lang w:val="es-ES_tradnl"/>
        </w:rPr>
        <w:t xml:space="preserve">a </w:t>
      </w:r>
      <w:r w:rsidR="00C3223C" w:rsidRPr="00D52EF5">
        <w:rPr>
          <w:lang w:val="es-ES_tradnl"/>
        </w:rPr>
        <w:t>y</w:t>
      </w:r>
      <w:r w:rsidR="00CF1568" w:rsidRPr="00D52EF5">
        <w:rPr>
          <w:lang w:val="es-ES_tradnl"/>
        </w:rPr>
        <w:t xml:space="preserve"> S</w:t>
      </w:r>
      <w:r w:rsidR="00C3223C" w:rsidRPr="00D52EF5">
        <w:rPr>
          <w:lang w:val="es-ES_tradnl"/>
        </w:rPr>
        <w:t>uecia se reunieron con la Secretaría del Convenio en</w:t>
      </w:r>
      <w:r w:rsidR="00050A09" w:rsidRPr="00D52EF5">
        <w:rPr>
          <w:lang w:val="es-ES_tradnl"/>
        </w:rPr>
        <w:t xml:space="preserve"> Quito en un seminario de diálogo sobre </w:t>
      </w:r>
      <w:r w:rsidR="000C2357" w:rsidRPr="00D52EF5">
        <w:rPr>
          <w:lang w:val="es-ES_tradnl"/>
        </w:rPr>
        <w:t>el aumento de la financiación en relación con</w:t>
      </w:r>
      <w:r w:rsidR="00050A09" w:rsidRPr="00D52EF5">
        <w:rPr>
          <w:lang w:val="es-ES_tradnl"/>
        </w:rPr>
        <w:t xml:space="preserve"> la diversidad biológica</w:t>
      </w:r>
      <w:r w:rsidR="00CF1568" w:rsidRPr="00D52EF5">
        <w:rPr>
          <w:lang w:val="es-ES_tradnl"/>
        </w:rPr>
        <w:t xml:space="preserve">. </w:t>
      </w:r>
      <w:r w:rsidR="00050A09" w:rsidRPr="00D52EF5">
        <w:rPr>
          <w:lang w:val="es-ES_tradnl"/>
        </w:rPr>
        <w:t xml:space="preserve">En abril de 2014 se celebró otro </w:t>
      </w:r>
      <w:r w:rsidR="00CF1568" w:rsidRPr="00D52EF5">
        <w:rPr>
          <w:lang w:val="es-ES_tradnl"/>
        </w:rPr>
        <w:t>“</w:t>
      </w:r>
      <w:r w:rsidR="00050A09" w:rsidRPr="00D52EF5">
        <w:rPr>
          <w:lang w:val="es-ES_tradnl"/>
        </w:rPr>
        <w:t xml:space="preserve">Diálogo de </w:t>
      </w:r>
      <w:r w:rsidR="00CF1568" w:rsidRPr="00D52EF5">
        <w:rPr>
          <w:lang w:val="es-ES_tradnl"/>
        </w:rPr>
        <w:t>Quito”, a</w:t>
      </w:r>
      <w:r w:rsidR="00050A09" w:rsidRPr="00D52EF5">
        <w:rPr>
          <w:lang w:val="es-ES_tradnl"/>
        </w:rPr>
        <w:t>ntes de la duodécima Conferencia de las Partes. Es evidente que el número de mecanismos disponibles ha aumentado enormemente en los años transcurridos desde que se convino la estrategia de movilización de recursos</w:t>
      </w:r>
      <w:r w:rsidR="00CF1568" w:rsidRPr="00D52EF5">
        <w:rPr>
          <w:lang w:val="es-ES_tradnl"/>
        </w:rPr>
        <w:t>, a</w:t>
      </w:r>
      <w:r w:rsidR="00050A09" w:rsidRPr="00D52EF5">
        <w:rPr>
          <w:lang w:val="es-ES_tradnl"/>
        </w:rPr>
        <w:t xml:space="preserve">l igual que las lecciones extraídas de su aplicación </w:t>
      </w:r>
      <w:r w:rsidR="00C82FF9" w:rsidRPr="00D52EF5">
        <w:rPr>
          <w:lang w:val="es-ES_tradnl"/>
        </w:rPr>
        <w:t>tanto</w:t>
      </w:r>
      <w:r w:rsidR="00D55AD5" w:rsidRPr="00D52EF5">
        <w:rPr>
          <w:lang w:val="es-ES_tradnl"/>
        </w:rPr>
        <w:t xml:space="preserve"> por lo que respecta al camp</w:t>
      </w:r>
      <w:r w:rsidR="00050A09" w:rsidRPr="00D52EF5">
        <w:rPr>
          <w:lang w:val="es-ES_tradnl"/>
        </w:rPr>
        <w:t xml:space="preserve">o de la biodiversidad, </w:t>
      </w:r>
      <w:r w:rsidR="00C82FF9" w:rsidRPr="00D52EF5">
        <w:rPr>
          <w:lang w:val="es-ES_tradnl"/>
        </w:rPr>
        <w:t>como</w:t>
      </w:r>
      <w:r w:rsidR="00D55AD5" w:rsidRPr="00D52EF5">
        <w:rPr>
          <w:lang w:val="es-ES_tradnl"/>
        </w:rPr>
        <w:t>,</w:t>
      </w:r>
      <w:r w:rsidR="00CF1568" w:rsidRPr="00D52EF5">
        <w:rPr>
          <w:lang w:val="es-ES_tradnl"/>
        </w:rPr>
        <w:t xml:space="preserve"> </w:t>
      </w:r>
      <w:r w:rsidR="00C82FF9" w:rsidRPr="00D52EF5">
        <w:rPr>
          <w:lang w:val="es-ES_tradnl"/>
        </w:rPr>
        <w:t xml:space="preserve">muy importante, </w:t>
      </w:r>
      <w:r w:rsidR="00D55AD5" w:rsidRPr="00D52EF5">
        <w:rPr>
          <w:lang w:val="es-ES_tradnl"/>
        </w:rPr>
        <w:t>al de</w:t>
      </w:r>
      <w:r w:rsidR="00050A09" w:rsidRPr="00D52EF5">
        <w:rPr>
          <w:lang w:val="es-ES_tradnl"/>
        </w:rPr>
        <w:t xml:space="preserve"> la financiación </w:t>
      </w:r>
      <w:r w:rsidR="00D55AD5" w:rsidRPr="00D52EF5">
        <w:rPr>
          <w:lang w:val="es-ES_tradnl"/>
        </w:rPr>
        <w:t>ligada al</w:t>
      </w:r>
      <w:r w:rsidR="00050A09" w:rsidRPr="00D52EF5">
        <w:rPr>
          <w:lang w:val="es-ES_tradnl"/>
        </w:rPr>
        <w:t xml:space="preserve"> cambio climático</w:t>
      </w:r>
      <w:r w:rsidR="00CF1568" w:rsidRPr="00D52EF5">
        <w:rPr>
          <w:lang w:val="es-ES_tradnl"/>
        </w:rPr>
        <w:t xml:space="preserve">, </w:t>
      </w:r>
      <w:r w:rsidR="00485B73" w:rsidRPr="00D52EF5">
        <w:rPr>
          <w:lang w:val="es-ES_tradnl"/>
        </w:rPr>
        <w:t>por</w:t>
      </w:r>
      <w:r w:rsidR="00D55AD5" w:rsidRPr="00D52EF5">
        <w:rPr>
          <w:lang w:val="es-ES_tradnl"/>
        </w:rPr>
        <w:t xml:space="preserve"> </w:t>
      </w:r>
      <w:r w:rsidR="00485B73" w:rsidRPr="00D52EF5">
        <w:rPr>
          <w:lang w:val="es-ES_tradnl"/>
        </w:rPr>
        <w:t>ejemplo</w:t>
      </w:r>
      <w:r w:rsidR="00D55AD5" w:rsidRPr="00D52EF5">
        <w:rPr>
          <w:lang w:val="es-ES_tradnl"/>
        </w:rPr>
        <w:t xml:space="preserve">, </w:t>
      </w:r>
      <w:r w:rsidR="00050A09" w:rsidRPr="00D52EF5">
        <w:rPr>
          <w:lang w:val="es-ES_tradnl"/>
        </w:rPr>
        <w:t>a través de los programas REDD-plus</w:t>
      </w:r>
      <w:r w:rsidR="00CF1568" w:rsidRPr="00D52EF5">
        <w:rPr>
          <w:lang w:val="es-ES_tradnl"/>
        </w:rPr>
        <w:t>.</w:t>
      </w:r>
      <w:r w:rsidR="00050A09" w:rsidRPr="00D52EF5">
        <w:rPr>
          <w:lang w:val="es-ES_tradnl"/>
        </w:rPr>
        <w:t xml:space="preserve"> El </w:t>
      </w:r>
      <w:r w:rsidR="00050A09" w:rsidRPr="00D52EF5">
        <w:rPr>
          <w:szCs w:val="22"/>
          <w:lang w:val="es-ES_tradnl"/>
        </w:rPr>
        <w:t>reciente informe de la O</w:t>
      </w:r>
      <w:r w:rsidR="00CF1568" w:rsidRPr="00D52EF5">
        <w:rPr>
          <w:szCs w:val="22"/>
          <w:lang w:val="es-ES_tradnl"/>
        </w:rPr>
        <w:t>CD</w:t>
      </w:r>
      <w:r w:rsidR="00050A09" w:rsidRPr="00D52EF5">
        <w:rPr>
          <w:szCs w:val="22"/>
          <w:lang w:val="es-ES_tradnl"/>
        </w:rPr>
        <w:t>E</w:t>
      </w:r>
      <w:r w:rsidR="00CF1568" w:rsidRPr="00D52EF5">
        <w:rPr>
          <w:szCs w:val="22"/>
          <w:lang w:val="es-ES_tradnl"/>
        </w:rPr>
        <w:t xml:space="preserve">, </w:t>
      </w:r>
      <w:r w:rsidR="00CF1568" w:rsidRPr="00D52EF5">
        <w:rPr>
          <w:i/>
          <w:szCs w:val="22"/>
          <w:lang w:val="es-ES_tradnl"/>
        </w:rPr>
        <w:t xml:space="preserve">A </w:t>
      </w:r>
      <w:proofErr w:type="spellStart"/>
      <w:r w:rsidR="00CF1568" w:rsidRPr="00D52EF5">
        <w:rPr>
          <w:i/>
          <w:szCs w:val="22"/>
          <w:lang w:val="es-ES_tradnl"/>
        </w:rPr>
        <w:t>Comprehensive</w:t>
      </w:r>
      <w:proofErr w:type="spellEnd"/>
      <w:r w:rsidR="00CF1568" w:rsidRPr="00D52EF5">
        <w:rPr>
          <w:i/>
          <w:szCs w:val="22"/>
          <w:lang w:val="es-ES_tradnl"/>
        </w:rPr>
        <w:t xml:space="preserve"> </w:t>
      </w:r>
      <w:proofErr w:type="spellStart"/>
      <w:r w:rsidR="00CF1568" w:rsidRPr="00D52EF5">
        <w:rPr>
          <w:i/>
          <w:szCs w:val="22"/>
          <w:lang w:val="es-ES_tradnl"/>
        </w:rPr>
        <w:t>Overview</w:t>
      </w:r>
      <w:proofErr w:type="spellEnd"/>
      <w:r w:rsidR="00CF1568" w:rsidRPr="00D52EF5">
        <w:rPr>
          <w:i/>
          <w:szCs w:val="22"/>
          <w:lang w:val="es-ES_tradnl"/>
        </w:rPr>
        <w:t xml:space="preserve"> </w:t>
      </w:r>
      <w:proofErr w:type="spellStart"/>
      <w:r w:rsidR="00CF1568" w:rsidRPr="00D52EF5">
        <w:rPr>
          <w:i/>
          <w:szCs w:val="22"/>
          <w:lang w:val="es-ES_tradnl"/>
        </w:rPr>
        <w:t>of</w:t>
      </w:r>
      <w:proofErr w:type="spellEnd"/>
      <w:r w:rsidR="00CF1568" w:rsidRPr="00D52EF5">
        <w:rPr>
          <w:i/>
          <w:szCs w:val="22"/>
          <w:lang w:val="es-ES_tradnl"/>
        </w:rPr>
        <w:t xml:space="preserve"> Global </w:t>
      </w:r>
      <w:proofErr w:type="spellStart"/>
      <w:r w:rsidR="00CF1568" w:rsidRPr="00D52EF5">
        <w:rPr>
          <w:i/>
          <w:szCs w:val="22"/>
          <w:lang w:val="es-ES_tradnl"/>
        </w:rPr>
        <w:t>Biodiversity</w:t>
      </w:r>
      <w:proofErr w:type="spellEnd"/>
      <w:r w:rsidR="00CF1568" w:rsidRPr="00D52EF5">
        <w:rPr>
          <w:i/>
          <w:szCs w:val="22"/>
          <w:lang w:val="es-ES_tradnl"/>
        </w:rPr>
        <w:t xml:space="preserve"> </w:t>
      </w:r>
      <w:proofErr w:type="spellStart"/>
      <w:r w:rsidR="00CF1568" w:rsidRPr="00D52EF5">
        <w:rPr>
          <w:i/>
          <w:szCs w:val="22"/>
          <w:lang w:val="es-ES_tradnl"/>
        </w:rPr>
        <w:t>Finance</w:t>
      </w:r>
      <w:proofErr w:type="spellEnd"/>
      <w:r w:rsidR="00CF1568" w:rsidRPr="00D52EF5">
        <w:rPr>
          <w:rStyle w:val="FootnoteReference"/>
          <w:iCs/>
          <w:szCs w:val="22"/>
          <w:lang w:val="es-ES_tradnl"/>
        </w:rPr>
        <w:footnoteReference w:id="14"/>
      </w:r>
      <w:r w:rsidR="00050A09" w:rsidRPr="00D52EF5">
        <w:rPr>
          <w:szCs w:val="22"/>
          <w:lang w:val="es-ES_tradnl"/>
        </w:rPr>
        <w:t>,</w:t>
      </w:r>
      <w:r w:rsidR="00CF1568" w:rsidRPr="00D52EF5">
        <w:rPr>
          <w:iCs/>
          <w:szCs w:val="22"/>
          <w:lang w:val="es-ES_tradnl"/>
        </w:rPr>
        <w:t xml:space="preserve"> </w:t>
      </w:r>
      <w:r w:rsidR="00C327A0" w:rsidRPr="00D52EF5">
        <w:rPr>
          <w:szCs w:val="22"/>
          <w:lang w:val="es-ES_tradnl"/>
        </w:rPr>
        <w:t xml:space="preserve">ofrece una útil panorámica de los instrumentos económicos y de otros instrumentos de financiación, modalidades de inversión </w:t>
      </w:r>
      <w:r w:rsidR="00B41579" w:rsidRPr="00D52EF5">
        <w:rPr>
          <w:szCs w:val="22"/>
          <w:lang w:val="es-ES_tradnl"/>
        </w:rPr>
        <w:t>y estructuras de las inversiones que están utilizándose en la esfera de la diversidad biológica</w:t>
      </w:r>
      <w:r w:rsidR="00CF1568" w:rsidRPr="00D52EF5">
        <w:rPr>
          <w:szCs w:val="22"/>
          <w:lang w:val="es-ES_tradnl"/>
        </w:rPr>
        <w:t xml:space="preserve">, </w:t>
      </w:r>
      <w:r w:rsidR="00B41579" w:rsidRPr="00D52EF5">
        <w:rPr>
          <w:szCs w:val="22"/>
          <w:lang w:val="es-ES_tradnl"/>
        </w:rPr>
        <w:t>y también una estimación del total de recursos que cada quien está movilizando a este fin</w:t>
      </w:r>
      <w:r w:rsidR="00CF1568" w:rsidRPr="00D52EF5">
        <w:rPr>
          <w:szCs w:val="22"/>
          <w:lang w:val="es-ES_tradnl"/>
        </w:rPr>
        <w:t xml:space="preserve"> (</w:t>
      </w:r>
      <w:r w:rsidR="00B41579" w:rsidRPr="00D52EF5">
        <w:rPr>
          <w:szCs w:val="22"/>
          <w:lang w:val="es-ES_tradnl"/>
        </w:rPr>
        <w:t>véas</w:t>
      </w:r>
      <w:r w:rsidR="00CF1568" w:rsidRPr="00D52EF5">
        <w:rPr>
          <w:szCs w:val="22"/>
          <w:lang w:val="es-ES_tradnl"/>
        </w:rPr>
        <w:t xml:space="preserve">e </w:t>
      </w:r>
      <w:r w:rsidR="00B41579" w:rsidRPr="00D52EF5">
        <w:rPr>
          <w:szCs w:val="22"/>
          <w:lang w:val="es-ES_tradnl"/>
        </w:rPr>
        <w:t>la versión completa del informe en el a</w:t>
      </w:r>
      <w:r w:rsidR="00CF1568" w:rsidRPr="00D52EF5">
        <w:rPr>
          <w:szCs w:val="22"/>
          <w:lang w:val="es-ES_tradnl"/>
        </w:rPr>
        <w:t>nex</w:t>
      </w:r>
      <w:r w:rsidR="00B41579" w:rsidRPr="00D52EF5">
        <w:rPr>
          <w:szCs w:val="22"/>
          <w:lang w:val="es-ES_tradnl"/>
        </w:rPr>
        <w:t>o</w:t>
      </w:r>
      <w:r w:rsidR="00CF1568" w:rsidRPr="00D52EF5">
        <w:rPr>
          <w:szCs w:val="22"/>
          <w:lang w:val="es-ES_tradnl"/>
        </w:rPr>
        <w:t xml:space="preserve"> VI).</w:t>
      </w:r>
    </w:p>
    <w:p w14:paraId="7AA8BD5B" w14:textId="491E26C7" w:rsidR="00CF1568" w:rsidRPr="00D52EF5" w:rsidRDefault="001B50A2" w:rsidP="00CF1568">
      <w:pPr>
        <w:pStyle w:val="Para1"/>
        <w:numPr>
          <w:ilvl w:val="0"/>
          <w:numId w:val="13"/>
        </w:numPr>
        <w:suppressLineNumbers/>
        <w:tabs>
          <w:tab w:val="clear" w:pos="360"/>
        </w:tabs>
        <w:suppressAutoHyphens/>
        <w:spacing w:before="120"/>
        <w:rPr>
          <w:szCs w:val="22"/>
          <w:lang w:val="es-ES_tradnl"/>
        </w:rPr>
      </w:pPr>
      <w:r w:rsidRPr="00D52EF5">
        <w:rPr>
          <w:szCs w:val="22"/>
          <w:lang w:val="es-ES_tradnl"/>
        </w:rPr>
        <w:t>Un grupo de investigadores académicos de la Universidad de</w:t>
      </w:r>
      <w:r w:rsidR="00CF1568" w:rsidRPr="00D52EF5">
        <w:rPr>
          <w:szCs w:val="22"/>
          <w:lang w:val="es-ES_tradnl"/>
        </w:rPr>
        <w:t xml:space="preserve"> </w:t>
      </w:r>
      <w:r w:rsidR="004D6D94" w:rsidRPr="00D52EF5">
        <w:rPr>
          <w:szCs w:val="22"/>
          <w:lang w:val="es-ES_tradnl"/>
        </w:rPr>
        <w:t xml:space="preserve">la Columbia </w:t>
      </w:r>
      <w:r w:rsidR="00CF1568" w:rsidRPr="00D52EF5">
        <w:rPr>
          <w:szCs w:val="22"/>
          <w:lang w:val="es-ES_tradnl"/>
        </w:rPr>
        <w:t>Brit</w:t>
      </w:r>
      <w:r w:rsidR="004D6D94" w:rsidRPr="00D52EF5">
        <w:rPr>
          <w:szCs w:val="22"/>
          <w:lang w:val="es-ES_tradnl"/>
        </w:rPr>
        <w:t>ánica</w:t>
      </w:r>
      <w:r w:rsidRPr="00D52EF5">
        <w:rPr>
          <w:szCs w:val="22"/>
          <w:lang w:val="es-ES_tradnl"/>
        </w:rPr>
        <w:t xml:space="preserve"> y de otros lugares</w:t>
      </w:r>
      <w:r w:rsidR="00CF1568" w:rsidRPr="00D52EF5">
        <w:rPr>
          <w:szCs w:val="22"/>
          <w:lang w:val="es-ES_tradnl"/>
        </w:rPr>
        <w:t xml:space="preserve"> (</w:t>
      </w:r>
      <w:r w:rsidRPr="00D52EF5">
        <w:rPr>
          <w:szCs w:val="22"/>
          <w:lang w:val="es-ES_tradnl"/>
        </w:rPr>
        <w:t xml:space="preserve">en adelante denominado </w:t>
      </w:r>
      <w:r w:rsidR="00CF1568" w:rsidRPr="00D52EF5">
        <w:rPr>
          <w:szCs w:val="22"/>
          <w:lang w:val="es-ES_tradnl"/>
        </w:rPr>
        <w:t>“</w:t>
      </w:r>
      <w:r w:rsidRPr="00D52EF5">
        <w:rPr>
          <w:szCs w:val="22"/>
          <w:lang w:val="es-ES_tradnl"/>
        </w:rPr>
        <w:t xml:space="preserve">grupo </w:t>
      </w:r>
      <w:r w:rsidR="00CF1568" w:rsidRPr="00D52EF5">
        <w:rPr>
          <w:szCs w:val="22"/>
          <w:lang w:val="es-ES_tradnl"/>
        </w:rPr>
        <w:t>UBC”) ha</w:t>
      </w:r>
      <w:r w:rsidR="00682740" w:rsidRPr="00D52EF5">
        <w:rPr>
          <w:szCs w:val="22"/>
          <w:lang w:val="es-ES_tradnl"/>
        </w:rPr>
        <w:t xml:space="preserve"> </w:t>
      </w:r>
      <w:r w:rsidR="00F42F47" w:rsidRPr="00D52EF5">
        <w:rPr>
          <w:szCs w:val="22"/>
          <w:lang w:val="es-ES_tradnl"/>
        </w:rPr>
        <w:t>comprobado</w:t>
      </w:r>
      <w:r w:rsidRPr="00D52EF5">
        <w:rPr>
          <w:szCs w:val="22"/>
          <w:lang w:val="es-ES_tradnl"/>
        </w:rPr>
        <w:t xml:space="preserve"> la considerable sobreestimación del aumento de la financiación </w:t>
      </w:r>
      <w:r w:rsidR="00CF1568" w:rsidRPr="00D52EF5">
        <w:rPr>
          <w:szCs w:val="22"/>
          <w:lang w:val="es-ES_tradnl"/>
        </w:rPr>
        <w:t>priva</w:t>
      </w:r>
      <w:r w:rsidRPr="00D52EF5">
        <w:rPr>
          <w:szCs w:val="22"/>
          <w:lang w:val="es-ES_tradnl"/>
        </w:rPr>
        <w:t>da en la diversidad biológica</w:t>
      </w:r>
      <w:r w:rsidR="00CF1568" w:rsidRPr="00D52EF5">
        <w:rPr>
          <w:szCs w:val="22"/>
          <w:lang w:val="es-ES_tradnl"/>
        </w:rPr>
        <w:t xml:space="preserve">. </w:t>
      </w:r>
      <w:r w:rsidRPr="00D52EF5">
        <w:rPr>
          <w:szCs w:val="22"/>
          <w:lang w:val="es-ES_tradnl"/>
        </w:rPr>
        <w:t>En el caso de los flujos de capital privado en deforestación evitada y restauración de ecosistemas</w:t>
      </w:r>
      <w:r w:rsidR="00CF1568" w:rsidRPr="00D52EF5">
        <w:rPr>
          <w:szCs w:val="22"/>
          <w:lang w:val="es-ES_tradnl"/>
        </w:rPr>
        <w:t xml:space="preserve">, </w:t>
      </w:r>
      <w:r w:rsidRPr="00D52EF5">
        <w:rPr>
          <w:szCs w:val="22"/>
          <w:lang w:val="es-ES_tradnl"/>
        </w:rPr>
        <w:t>p</w:t>
      </w:r>
      <w:r w:rsidR="00CF1568" w:rsidRPr="00D52EF5">
        <w:rPr>
          <w:szCs w:val="22"/>
          <w:lang w:val="es-ES_tradnl"/>
        </w:rPr>
        <w:t>or e</w:t>
      </w:r>
      <w:r w:rsidRPr="00D52EF5">
        <w:rPr>
          <w:szCs w:val="22"/>
          <w:lang w:val="es-ES_tradnl"/>
        </w:rPr>
        <w:t>jemplo</w:t>
      </w:r>
      <w:r w:rsidR="00CF1568" w:rsidRPr="00D52EF5">
        <w:rPr>
          <w:szCs w:val="22"/>
          <w:lang w:val="es-ES_tradnl"/>
        </w:rPr>
        <w:t>, e</w:t>
      </w:r>
      <w:r w:rsidRPr="00D52EF5">
        <w:rPr>
          <w:szCs w:val="22"/>
          <w:lang w:val="es-ES_tradnl"/>
        </w:rPr>
        <w:t>l</w:t>
      </w:r>
      <w:r w:rsidR="00CF1568" w:rsidRPr="00D52EF5">
        <w:rPr>
          <w:szCs w:val="22"/>
          <w:lang w:val="es-ES_tradnl"/>
        </w:rPr>
        <w:t xml:space="preserve"> </w:t>
      </w:r>
      <w:r w:rsidRPr="00D52EF5">
        <w:rPr>
          <w:szCs w:val="22"/>
          <w:lang w:val="es-ES_tradnl"/>
        </w:rPr>
        <w:t xml:space="preserve">grupo </w:t>
      </w:r>
      <w:r w:rsidR="00CF1568" w:rsidRPr="00D52EF5">
        <w:rPr>
          <w:szCs w:val="22"/>
          <w:lang w:val="es-ES_tradnl"/>
        </w:rPr>
        <w:t xml:space="preserve">UBC </w:t>
      </w:r>
      <w:r w:rsidRPr="00D52EF5">
        <w:rPr>
          <w:szCs w:val="22"/>
          <w:lang w:val="es-ES_tradnl"/>
        </w:rPr>
        <w:t xml:space="preserve">señaló que </w:t>
      </w:r>
      <w:r w:rsidR="00640669" w:rsidRPr="00D52EF5">
        <w:rPr>
          <w:szCs w:val="22"/>
          <w:lang w:val="es-ES_tradnl"/>
        </w:rPr>
        <w:t>en el ca</w:t>
      </w:r>
      <w:r w:rsidR="002A21FA" w:rsidRPr="00D52EF5">
        <w:rPr>
          <w:szCs w:val="22"/>
          <w:lang w:val="es-ES_tradnl"/>
        </w:rPr>
        <w:t>so de un escenario mod</w:t>
      </w:r>
      <w:r w:rsidR="00682740" w:rsidRPr="00D52EF5">
        <w:rPr>
          <w:szCs w:val="22"/>
          <w:lang w:val="es-ES_tradnl"/>
        </w:rPr>
        <w:t>e</w:t>
      </w:r>
      <w:r w:rsidR="002A21FA" w:rsidRPr="00D52EF5">
        <w:rPr>
          <w:szCs w:val="22"/>
          <w:lang w:val="es-ES_tradnl"/>
        </w:rPr>
        <w:t>lizado en el informe de</w:t>
      </w:r>
      <w:r w:rsidR="00640669" w:rsidRPr="00D52EF5">
        <w:rPr>
          <w:szCs w:val="22"/>
          <w:lang w:val="es-ES_tradnl"/>
        </w:rPr>
        <w:t xml:space="preserve"> </w:t>
      </w:r>
      <w:proofErr w:type="spellStart"/>
      <w:r w:rsidR="00CF1568" w:rsidRPr="00D52EF5">
        <w:rPr>
          <w:bCs/>
          <w:szCs w:val="22"/>
          <w:lang w:val="es-ES_tradnl"/>
        </w:rPr>
        <w:t>Eliasch</w:t>
      </w:r>
      <w:proofErr w:type="spellEnd"/>
      <w:r w:rsidR="00CF1568" w:rsidRPr="00D52EF5">
        <w:rPr>
          <w:bCs/>
          <w:szCs w:val="22"/>
          <w:lang w:val="es-ES_tradnl"/>
        </w:rPr>
        <w:t xml:space="preserve"> </w:t>
      </w:r>
      <w:r w:rsidR="002A21FA" w:rsidRPr="00D52EF5">
        <w:rPr>
          <w:bCs/>
          <w:szCs w:val="22"/>
          <w:lang w:val="es-ES_tradnl"/>
        </w:rPr>
        <w:t>de</w:t>
      </w:r>
      <w:r w:rsidR="00CF1568" w:rsidRPr="00D52EF5">
        <w:rPr>
          <w:bCs/>
          <w:szCs w:val="22"/>
          <w:lang w:val="es-ES_tradnl"/>
        </w:rPr>
        <w:t xml:space="preserve"> 2008 </w:t>
      </w:r>
      <w:r w:rsidR="002A21FA" w:rsidRPr="00D52EF5">
        <w:rPr>
          <w:bCs/>
          <w:szCs w:val="22"/>
          <w:lang w:val="es-ES_tradnl"/>
        </w:rPr>
        <w:t xml:space="preserve">se predijo que el mercado del carbono podría generar </w:t>
      </w:r>
      <w:r w:rsidR="00CF1568" w:rsidRPr="00D52EF5">
        <w:rPr>
          <w:bCs/>
          <w:szCs w:val="22"/>
          <w:lang w:val="es-ES_tradnl"/>
        </w:rPr>
        <w:t>7</w:t>
      </w:r>
      <w:r w:rsidR="002A21FA" w:rsidRPr="00D52EF5">
        <w:rPr>
          <w:bCs/>
          <w:szCs w:val="22"/>
          <w:lang w:val="es-ES_tradnl"/>
        </w:rPr>
        <w:t>.000 millones de dólares estadounidense antes de</w:t>
      </w:r>
      <w:r w:rsidR="00CF1568" w:rsidRPr="00D52EF5">
        <w:rPr>
          <w:bCs/>
          <w:szCs w:val="22"/>
          <w:lang w:val="es-ES_tradnl"/>
        </w:rPr>
        <w:t xml:space="preserve"> 2020</w:t>
      </w:r>
      <w:r w:rsidR="00CF1568" w:rsidRPr="00D52EF5">
        <w:rPr>
          <w:bCs/>
          <w:szCs w:val="22"/>
          <w:vertAlign w:val="superscript"/>
          <w:lang w:val="es-ES_tradnl"/>
        </w:rPr>
        <w:footnoteReference w:id="15"/>
      </w:r>
      <w:r w:rsidR="002A21FA" w:rsidRPr="00D52EF5">
        <w:rPr>
          <w:bCs/>
          <w:szCs w:val="22"/>
          <w:lang w:val="es-ES_tradnl"/>
        </w:rPr>
        <w:t>.</w:t>
      </w:r>
      <w:r w:rsidR="00F95B72" w:rsidRPr="00D52EF5">
        <w:rPr>
          <w:bCs/>
          <w:szCs w:val="22"/>
          <w:lang w:val="es-ES_tradnl"/>
        </w:rPr>
        <w:t xml:space="preserve"> E</w:t>
      </w:r>
      <w:r w:rsidR="00CF1568" w:rsidRPr="00D52EF5">
        <w:rPr>
          <w:bCs/>
          <w:szCs w:val="22"/>
          <w:lang w:val="es-ES_tradnl"/>
        </w:rPr>
        <w:t>n reali</w:t>
      </w:r>
      <w:r w:rsidR="00F95B72" w:rsidRPr="00D52EF5">
        <w:rPr>
          <w:bCs/>
          <w:szCs w:val="22"/>
          <w:lang w:val="es-ES_tradnl"/>
        </w:rPr>
        <w:t>dad</w:t>
      </w:r>
      <w:r w:rsidR="00CF1568" w:rsidRPr="00D52EF5">
        <w:rPr>
          <w:bCs/>
          <w:szCs w:val="22"/>
          <w:lang w:val="es-ES_tradnl"/>
        </w:rPr>
        <w:t xml:space="preserve">, </w:t>
      </w:r>
      <w:r w:rsidR="00F95B72" w:rsidRPr="00D52EF5">
        <w:rPr>
          <w:bCs/>
          <w:szCs w:val="22"/>
          <w:lang w:val="es-ES_tradnl"/>
        </w:rPr>
        <w:t>según el informe más reciente de</w:t>
      </w:r>
      <w:r w:rsidR="00CF1568" w:rsidRPr="00D52EF5">
        <w:rPr>
          <w:bCs/>
          <w:szCs w:val="22"/>
          <w:lang w:val="es-ES_tradnl"/>
        </w:rPr>
        <w:t xml:space="preserve"> </w:t>
      </w:r>
      <w:proofErr w:type="spellStart"/>
      <w:r w:rsidR="00CF1568" w:rsidRPr="00D52EF5">
        <w:rPr>
          <w:bCs/>
          <w:szCs w:val="22"/>
          <w:lang w:val="es-ES_tradnl"/>
        </w:rPr>
        <w:t>Ecosystem</w:t>
      </w:r>
      <w:proofErr w:type="spellEnd"/>
      <w:r w:rsidR="00CF1568" w:rsidRPr="00D52EF5">
        <w:rPr>
          <w:bCs/>
          <w:szCs w:val="22"/>
          <w:lang w:val="es-ES_tradnl"/>
        </w:rPr>
        <w:t xml:space="preserve"> Marketplace</w:t>
      </w:r>
      <w:r w:rsidR="00F95B72" w:rsidRPr="00D52EF5">
        <w:rPr>
          <w:bCs/>
          <w:szCs w:val="22"/>
          <w:lang w:val="es-ES_tradnl"/>
        </w:rPr>
        <w:t>,</w:t>
      </w:r>
      <w:r w:rsidR="00CF1568" w:rsidRPr="00D52EF5">
        <w:rPr>
          <w:bCs/>
          <w:szCs w:val="22"/>
          <w:lang w:val="es-ES_tradnl"/>
        </w:rPr>
        <w:t xml:space="preserve"> “</w:t>
      </w:r>
      <w:proofErr w:type="spellStart"/>
      <w:r w:rsidR="00CF1568" w:rsidRPr="00D52EF5">
        <w:rPr>
          <w:bCs/>
          <w:szCs w:val="22"/>
          <w:lang w:val="es-ES_tradnl"/>
        </w:rPr>
        <w:t>State</w:t>
      </w:r>
      <w:proofErr w:type="spellEnd"/>
      <w:r w:rsidR="00CF1568" w:rsidRPr="00D52EF5">
        <w:rPr>
          <w:bCs/>
          <w:szCs w:val="22"/>
          <w:lang w:val="es-ES_tradnl"/>
        </w:rPr>
        <w:t xml:space="preserve"> </w:t>
      </w:r>
      <w:proofErr w:type="spellStart"/>
      <w:r w:rsidR="00CF1568" w:rsidRPr="00D52EF5">
        <w:rPr>
          <w:bCs/>
          <w:szCs w:val="22"/>
          <w:lang w:val="es-ES_tradnl"/>
        </w:rPr>
        <w:t>of</w:t>
      </w:r>
      <w:proofErr w:type="spellEnd"/>
      <w:r w:rsidR="00CF1568" w:rsidRPr="00D52EF5">
        <w:rPr>
          <w:bCs/>
          <w:szCs w:val="22"/>
          <w:lang w:val="es-ES_tradnl"/>
        </w:rPr>
        <w:t xml:space="preserve"> </w:t>
      </w:r>
      <w:proofErr w:type="spellStart"/>
      <w:r w:rsidR="00F95B72" w:rsidRPr="00D52EF5">
        <w:rPr>
          <w:bCs/>
          <w:szCs w:val="22"/>
          <w:lang w:val="es-ES_tradnl"/>
        </w:rPr>
        <w:t>the</w:t>
      </w:r>
      <w:proofErr w:type="spellEnd"/>
      <w:r w:rsidR="00F95B72" w:rsidRPr="00D52EF5">
        <w:rPr>
          <w:bCs/>
          <w:szCs w:val="22"/>
          <w:lang w:val="es-ES_tradnl"/>
        </w:rPr>
        <w:t xml:space="preserve"> Forest </w:t>
      </w:r>
      <w:proofErr w:type="spellStart"/>
      <w:r w:rsidR="00F95B72" w:rsidRPr="00D52EF5">
        <w:rPr>
          <w:bCs/>
          <w:szCs w:val="22"/>
          <w:lang w:val="es-ES_tradnl"/>
        </w:rPr>
        <w:t>Carbon</w:t>
      </w:r>
      <w:proofErr w:type="spellEnd"/>
      <w:r w:rsidR="00F95B72" w:rsidRPr="00D52EF5">
        <w:rPr>
          <w:bCs/>
          <w:szCs w:val="22"/>
          <w:lang w:val="es-ES_tradnl"/>
        </w:rPr>
        <w:t xml:space="preserve"> </w:t>
      </w:r>
      <w:proofErr w:type="spellStart"/>
      <w:r w:rsidR="00F95B72" w:rsidRPr="00D52EF5">
        <w:rPr>
          <w:bCs/>
          <w:szCs w:val="22"/>
          <w:lang w:val="es-ES_tradnl"/>
        </w:rPr>
        <w:t>Market</w:t>
      </w:r>
      <w:proofErr w:type="spellEnd"/>
      <w:r w:rsidR="00F95B72" w:rsidRPr="00D52EF5">
        <w:rPr>
          <w:bCs/>
          <w:szCs w:val="22"/>
          <w:lang w:val="es-ES_tradnl"/>
        </w:rPr>
        <w:t xml:space="preserve">” </w:t>
      </w:r>
      <w:r w:rsidR="00726E66" w:rsidRPr="00D52EF5">
        <w:rPr>
          <w:bCs/>
          <w:szCs w:val="22"/>
          <w:lang w:val="es-ES_tradnl"/>
        </w:rPr>
        <w:t>(situación del mercado de carbono forestal)</w:t>
      </w:r>
      <w:r w:rsidR="00CF1568" w:rsidRPr="00D52EF5">
        <w:rPr>
          <w:bCs/>
          <w:szCs w:val="22"/>
          <w:lang w:val="es-ES_tradnl"/>
        </w:rPr>
        <w:t xml:space="preserve">, </w:t>
      </w:r>
      <w:r w:rsidR="00726E66" w:rsidRPr="00D52EF5">
        <w:rPr>
          <w:bCs/>
          <w:szCs w:val="22"/>
          <w:lang w:val="es-ES_tradnl"/>
        </w:rPr>
        <w:t>el mercado en torno a la reducción de las emisiones derivadas de los bosques</w:t>
      </w:r>
      <w:r w:rsidR="00CF1568" w:rsidRPr="00D52EF5">
        <w:rPr>
          <w:bCs/>
          <w:szCs w:val="22"/>
          <w:lang w:val="es-ES_tradnl"/>
        </w:rPr>
        <w:t xml:space="preserve"> </w:t>
      </w:r>
      <w:r w:rsidR="00726E66" w:rsidRPr="00D52EF5">
        <w:rPr>
          <w:bCs/>
          <w:szCs w:val="22"/>
          <w:lang w:val="es-ES_tradnl"/>
        </w:rPr>
        <w:t>tuvo su valor máximo e</w:t>
      </w:r>
      <w:r w:rsidR="00CF1568" w:rsidRPr="00D52EF5">
        <w:rPr>
          <w:bCs/>
          <w:szCs w:val="22"/>
          <w:lang w:val="es-ES_tradnl"/>
        </w:rPr>
        <w:t>n 2014</w:t>
      </w:r>
      <w:r w:rsidR="00726E66" w:rsidRPr="00D52EF5">
        <w:rPr>
          <w:bCs/>
          <w:szCs w:val="22"/>
          <w:lang w:val="es-ES_tradnl"/>
        </w:rPr>
        <w:t xml:space="preserve">, </w:t>
      </w:r>
      <w:r w:rsidR="00CF1568" w:rsidRPr="00D52EF5">
        <w:rPr>
          <w:bCs/>
          <w:szCs w:val="22"/>
          <w:lang w:val="es-ES_tradnl"/>
        </w:rPr>
        <w:t>257 millon</w:t>
      </w:r>
      <w:r w:rsidR="00726E66" w:rsidRPr="00D52EF5">
        <w:rPr>
          <w:bCs/>
          <w:szCs w:val="22"/>
          <w:lang w:val="es-ES_tradnl"/>
        </w:rPr>
        <w:t>es de dólares estadounidenses</w:t>
      </w:r>
      <w:r w:rsidR="00CF1568" w:rsidRPr="00D52EF5">
        <w:rPr>
          <w:bCs/>
          <w:szCs w:val="22"/>
          <w:lang w:val="es-ES_tradnl"/>
        </w:rPr>
        <w:t xml:space="preserve">, </w:t>
      </w:r>
      <w:r w:rsidR="00726E66" w:rsidRPr="00D52EF5">
        <w:rPr>
          <w:bCs/>
          <w:szCs w:val="22"/>
          <w:lang w:val="es-ES_tradnl"/>
        </w:rPr>
        <w:t>y volvió a retroceder a solo 120 mill</w:t>
      </w:r>
      <w:r w:rsidR="00CF1568" w:rsidRPr="00D52EF5">
        <w:rPr>
          <w:bCs/>
          <w:szCs w:val="22"/>
          <w:lang w:val="es-ES_tradnl"/>
        </w:rPr>
        <w:t>on</w:t>
      </w:r>
      <w:r w:rsidR="00726E66" w:rsidRPr="00D52EF5">
        <w:rPr>
          <w:bCs/>
          <w:szCs w:val="22"/>
          <w:lang w:val="es-ES_tradnl"/>
        </w:rPr>
        <w:t>es</w:t>
      </w:r>
      <w:r w:rsidR="00CF1568" w:rsidRPr="00D52EF5">
        <w:rPr>
          <w:bCs/>
          <w:szCs w:val="22"/>
          <w:lang w:val="es-ES_tradnl"/>
        </w:rPr>
        <w:t xml:space="preserve"> </w:t>
      </w:r>
      <w:r w:rsidR="00726E66" w:rsidRPr="00D52EF5">
        <w:rPr>
          <w:bCs/>
          <w:szCs w:val="22"/>
          <w:lang w:val="es-ES_tradnl"/>
        </w:rPr>
        <w:t>e</w:t>
      </w:r>
      <w:r w:rsidR="00CF1568" w:rsidRPr="00D52EF5">
        <w:rPr>
          <w:bCs/>
          <w:szCs w:val="22"/>
          <w:lang w:val="es-ES_tradnl"/>
        </w:rPr>
        <w:t>n 2016</w:t>
      </w:r>
      <w:r w:rsidR="00CF1568" w:rsidRPr="00D52EF5">
        <w:rPr>
          <w:bCs/>
          <w:szCs w:val="22"/>
          <w:vertAlign w:val="superscript"/>
          <w:lang w:val="es-ES_tradnl"/>
        </w:rPr>
        <w:footnoteReference w:id="16"/>
      </w:r>
      <w:r w:rsidR="00726E66" w:rsidRPr="00D52EF5">
        <w:rPr>
          <w:bCs/>
          <w:szCs w:val="22"/>
          <w:lang w:val="es-ES_tradnl"/>
        </w:rPr>
        <w:t>.</w:t>
      </w:r>
    </w:p>
    <w:p w14:paraId="36754871" w14:textId="4309B389" w:rsidR="00CF1568" w:rsidRPr="00D52EF5" w:rsidRDefault="0014292F" w:rsidP="00CF1568">
      <w:pPr>
        <w:pStyle w:val="Para1"/>
        <w:numPr>
          <w:ilvl w:val="0"/>
          <w:numId w:val="13"/>
        </w:numPr>
        <w:suppressLineNumbers/>
        <w:tabs>
          <w:tab w:val="clear" w:pos="360"/>
        </w:tabs>
        <w:suppressAutoHyphens/>
        <w:spacing w:before="120"/>
        <w:rPr>
          <w:szCs w:val="22"/>
          <w:lang w:val="es-ES_tradnl"/>
        </w:rPr>
      </w:pPr>
      <w:r w:rsidRPr="00D52EF5">
        <w:rPr>
          <w:bCs/>
          <w:szCs w:val="22"/>
          <w:lang w:val="es-ES_tradnl"/>
        </w:rPr>
        <w:t>De modo análogo, las grandes previsiones anunciadas en el pasado sobre la capacidad de los recursos ge</w:t>
      </w:r>
      <w:r w:rsidR="006D46A6" w:rsidRPr="00D52EF5">
        <w:rPr>
          <w:bCs/>
          <w:szCs w:val="22"/>
          <w:lang w:val="es-ES_tradnl"/>
        </w:rPr>
        <w:t>néticos, en particular forestal</w:t>
      </w:r>
      <w:r w:rsidRPr="00D52EF5">
        <w:rPr>
          <w:bCs/>
          <w:szCs w:val="22"/>
          <w:lang w:val="es-ES_tradnl"/>
        </w:rPr>
        <w:t>es, de</w:t>
      </w:r>
      <w:r w:rsidR="00CF1568" w:rsidRPr="00D52EF5">
        <w:rPr>
          <w:bCs/>
          <w:szCs w:val="22"/>
          <w:lang w:val="es-ES_tradnl"/>
        </w:rPr>
        <w:t xml:space="preserve"> genera</w:t>
      </w:r>
      <w:r w:rsidRPr="00D52EF5">
        <w:rPr>
          <w:bCs/>
          <w:szCs w:val="22"/>
          <w:lang w:val="es-ES_tradnl"/>
        </w:rPr>
        <w:t xml:space="preserve">r </w:t>
      </w:r>
      <w:r w:rsidR="007B755E" w:rsidRPr="00D52EF5">
        <w:rPr>
          <w:bCs/>
          <w:szCs w:val="22"/>
          <w:lang w:val="es-ES_tradnl"/>
        </w:rPr>
        <w:t>cuantiosas</w:t>
      </w:r>
      <w:r w:rsidRPr="00D52EF5">
        <w:rPr>
          <w:bCs/>
          <w:szCs w:val="22"/>
          <w:lang w:val="es-ES_tradnl"/>
        </w:rPr>
        <w:t xml:space="preserve"> inversiones financieras e</w:t>
      </w:r>
      <w:r w:rsidR="00CF1568" w:rsidRPr="00D52EF5">
        <w:rPr>
          <w:bCs/>
          <w:szCs w:val="22"/>
          <w:lang w:val="es-ES_tradnl"/>
        </w:rPr>
        <w:t>n</w:t>
      </w:r>
      <w:r w:rsidRPr="00D52EF5">
        <w:rPr>
          <w:bCs/>
          <w:szCs w:val="22"/>
          <w:lang w:val="es-ES_tradnl"/>
        </w:rPr>
        <w:t xml:space="preserve"> la conservación de la diversidad</w:t>
      </w:r>
      <w:r w:rsidR="00CF1568" w:rsidRPr="00D52EF5">
        <w:rPr>
          <w:bCs/>
          <w:szCs w:val="22"/>
          <w:lang w:val="es-ES_tradnl"/>
        </w:rPr>
        <w:t xml:space="preserve"> bio</w:t>
      </w:r>
      <w:r w:rsidRPr="00D52EF5">
        <w:rPr>
          <w:bCs/>
          <w:szCs w:val="22"/>
          <w:lang w:val="es-ES_tradnl"/>
        </w:rPr>
        <w:t>lógica a través de la</w:t>
      </w:r>
      <w:r w:rsidR="00CF1568" w:rsidRPr="00D52EF5">
        <w:rPr>
          <w:bCs/>
          <w:szCs w:val="22"/>
          <w:lang w:val="es-ES_tradnl"/>
        </w:rPr>
        <w:t xml:space="preserve"> bioprospec</w:t>
      </w:r>
      <w:r w:rsidRPr="00D52EF5">
        <w:rPr>
          <w:bCs/>
          <w:szCs w:val="22"/>
          <w:lang w:val="es-ES_tradnl"/>
        </w:rPr>
        <w:t>c</w:t>
      </w:r>
      <w:r w:rsidR="00CF1568" w:rsidRPr="00D52EF5">
        <w:rPr>
          <w:bCs/>
          <w:szCs w:val="22"/>
          <w:lang w:val="es-ES_tradnl"/>
        </w:rPr>
        <w:t>i</w:t>
      </w:r>
      <w:r w:rsidRPr="00D52EF5">
        <w:rPr>
          <w:bCs/>
          <w:szCs w:val="22"/>
          <w:lang w:val="es-ES_tradnl"/>
        </w:rPr>
        <w:t>ón, en general han probado ser demasiado optimistas</w:t>
      </w:r>
      <w:r w:rsidR="00CF1568" w:rsidRPr="00D52EF5">
        <w:rPr>
          <w:bCs/>
          <w:szCs w:val="22"/>
          <w:lang w:val="es-ES_tradnl"/>
        </w:rPr>
        <w:t xml:space="preserve">: </w:t>
      </w:r>
      <w:r w:rsidR="00E045D9" w:rsidRPr="00D52EF5">
        <w:rPr>
          <w:bCs/>
          <w:szCs w:val="22"/>
          <w:lang w:val="es-ES_tradnl"/>
        </w:rPr>
        <w:t>un cálculo reciente determinó que la bioprospección genera solo 50 millones de dólares estadounidenses en financiación para la conservación</w:t>
      </w:r>
      <w:r w:rsidR="00CF1568" w:rsidRPr="00D52EF5">
        <w:rPr>
          <w:bCs/>
          <w:szCs w:val="22"/>
          <w:vertAlign w:val="superscript"/>
          <w:lang w:val="es-ES_tradnl"/>
        </w:rPr>
        <w:footnoteReference w:id="17"/>
      </w:r>
      <w:r w:rsidR="00E045D9" w:rsidRPr="00D52EF5">
        <w:rPr>
          <w:bCs/>
          <w:szCs w:val="22"/>
          <w:lang w:val="es-ES_tradnl"/>
        </w:rPr>
        <w:t xml:space="preserve">. Por lo tanto, hace falta cierto grado de realismo acerca de las </w:t>
      </w:r>
      <w:r w:rsidR="00CF1568" w:rsidRPr="00D52EF5">
        <w:rPr>
          <w:bCs/>
          <w:szCs w:val="22"/>
          <w:lang w:val="es-ES_tradnl"/>
        </w:rPr>
        <w:t>limita</w:t>
      </w:r>
      <w:r w:rsidR="00E045D9" w:rsidRPr="00D52EF5">
        <w:rPr>
          <w:bCs/>
          <w:szCs w:val="22"/>
          <w:lang w:val="es-ES_tradnl"/>
        </w:rPr>
        <w:t>c</w:t>
      </w:r>
      <w:r w:rsidR="00CF1568" w:rsidRPr="00D52EF5">
        <w:rPr>
          <w:bCs/>
          <w:szCs w:val="22"/>
          <w:lang w:val="es-ES_tradnl"/>
        </w:rPr>
        <w:t>ion</w:t>
      </w:r>
      <w:r w:rsidR="00E045D9" w:rsidRPr="00D52EF5">
        <w:rPr>
          <w:bCs/>
          <w:szCs w:val="22"/>
          <w:lang w:val="es-ES_tradnl"/>
        </w:rPr>
        <w:t>e</w:t>
      </w:r>
      <w:r w:rsidR="00CF1568" w:rsidRPr="00D52EF5">
        <w:rPr>
          <w:bCs/>
          <w:szCs w:val="22"/>
          <w:lang w:val="es-ES_tradnl"/>
        </w:rPr>
        <w:t>s –</w:t>
      </w:r>
      <w:r w:rsidR="00E045D9" w:rsidRPr="00D52EF5">
        <w:rPr>
          <w:bCs/>
          <w:szCs w:val="22"/>
          <w:lang w:val="es-ES_tradnl"/>
        </w:rPr>
        <w:t xml:space="preserve">al menos en </w:t>
      </w:r>
      <w:r w:rsidR="002E7DAF" w:rsidRPr="00D52EF5">
        <w:rPr>
          <w:bCs/>
          <w:szCs w:val="22"/>
          <w:lang w:val="es-ES_tradnl"/>
        </w:rPr>
        <w:t xml:space="preserve">relación con </w:t>
      </w:r>
      <w:r w:rsidR="00E045D9" w:rsidRPr="00D52EF5">
        <w:rPr>
          <w:bCs/>
          <w:szCs w:val="22"/>
          <w:lang w:val="es-ES_tradnl"/>
        </w:rPr>
        <w:t>los marcos económicos y normativos vigentes</w:t>
      </w:r>
      <w:r w:rsidR="00CF1568" w:rsidRPr="00D52EF5">
        <w:rPr>
          <w:bCs/>
          <w:szCs w:val="22"/>
          <w:lang w:val="es-ES_tradnl"/>
        </w:rPr>
        <w:t xml:space="preserve">– </w:t>
      </w:r>
      <w:r w:rsidR="00E045D9" w:rsidRPr="00D52EF5">
        <w:rPr>
          <w:bCs/>
          <w:szCs w:val="22"/>
          <w:lang w:val="es-ES_tradnl"/>
        </w:rPr>
        <w:t xml:space="preserve">de la financiación del sector </w:t>
      </w:r>
      <w:r w:rsidR="00CF1568" w:rsidRPr="00D52EF5">
        <w:rPr>
          <w:bCs/>
          <w:szCs w:val="22"/>
          <w:lang w:val="es-ES_tradnl"/>
        </w:rPr>
        <w:t>priva</w:t>
      </w:r>
      <w:r w:rsidR="00E045D9" w:rsidRPr="00D52EF5">
        <w:rPr>
          <w:bCs/>
          <w:szCs w:val="22"/>
          <w:lang w:val="es-ES_tradnl"/>
        </w:rPr>
        <w:t xml:space="preserve">do para solucionar los déficits de fondos para la conservación de la diversidad biológica y de los ecosistemas </w:t>
      </w:r>
      <w:r w:rsidR="003E55D3" w:rsidRPr="00D52EF5">
        <w:rPr>
          <w:bCs/>
          <w:szCs w:val="22"/>
          <w:lang w:val="es-ES_tradnl"/>
        </w:rPr>
        <w:t>que deja el sector público</w:t>
      </w:r>
      <w:r w:rsidR="00CF1568" w:rsidRPr="00D52EF5">
        <w:rPr>
          <w:bCs/>
          <w:szCs w:val="22"/>
          <w:lang w:val="es-ES_tradnl"/>
        </w:rPr>
        <w:t xml:space="preserve">. </w:t>
      </w:r>
      <w:r w:rsidR="003E55D3" w:rsidRPr="00D52EF5">
        <w:rPr>
          <w:bCs/>
          <w:szCs w:val="22"/>
          <w:lang w:val="es-ES_tradnl"/>
        </w:rPr>
        <w:t>Tal como concluye la</w:t>
      </w:r>
      <w:r w:rsidR="0098714D" w:rsidRPr="00D52EF5">
        <w:rPr>
          <w:bCs/>
          <w:szCs w:val="22"/>
          <w:lang w:val="es-ES_tradnl"/>
        </w:rPr>
        <w:t xml:space="preserve"> </w:t>
      </w:r>
      <w:proofErr w:type="spellStart"/>
      <w:r w:rsidR="0098714D" w:rsidRPr="00D52EF5">
        <w:rPr>
          <w:bCs/>
          <w:szCs w:val="22"/>
          <w:lang w:val="es-ES_tradnl"/>
        </w:rPr>
        <w:t>Conservation</w:t>
      </w:r>
      <w:proofErr w:type="spellEnd"/>
      <w:r w:rsidR="0098714D" w:rsidRPr="00D52EF5">
        <w:rPr>
          <w:bCs/>
          <w:szCs w:val="22"/>
          <w:lang w:val="es-ES_tradnl"/>
        </w:rPr>
        <w:t xml:space="preserve"> </w:t>
      </w:r>
      <w:proofErr w:type="spellStart"/>
      <w:r w:rsidR="0098714D" w:rsidRPr="00D52EF5">
        <w:rPr>
          <w:bCs/>
          <w:szCs w:val="22"/>
          <w:lang w:val="es-ES_tradnl"/>
        </w:rPr>
        <w:t>Finance</w:t>
      </w:r>
      <w:proofErr w:type="spellEnd"/>
      <w:r w:rsidR="0098714D" w:rsidRPr="00D52EF5">
        <w:rPr>
          <w:bCs/>
          <w:szCs w:val="22"/>
          <w:lang w:val="es-ES_tradnl"/>
        </w:rPr>
        <w:t xml:space="preserve"> Alliance:</w:t>
      </w:r>
      <w:r w:rsidR="00CF1568" w:rsidRPr="00D52EF5">
        <w:rPr>
          <w:bCs/>
          <w:szCs w:val="22"/>
          <w:lang w:val="es-ES_tradnl"/>
        </w:rPr>
        <w:t xml:space="preserve"> “</w:t>
      </w:r>
      <w:r w:rsidR="003E55D3" w:rsidRPr="00D52EF5">
        <w:rPr>
          <w:bCs/>
          <w:szCs w:val="22"/>
          <w:lang w:val="es-ES_tradnl"/>
        </w:rPr>
        <w:t>La enorme mayoría de</w:t>
      </w:r>
      <w:r w:rsidR="00B8572B" w:rsidRPr="00D52EF5">
        <w:rPr>
          <w:bCs/>
          <w:szCs w:val="22"/>
          <w:lang w:val="es-ES_tradnl"/>
        </w:rPr>
        <w:t xml:space="preserve"> </w:t>
      </w:r>
      <w:r w:rsidR="003E55D3" w:rsidRPr="00D52EF5">
        <w:rPr>
          <w:bCs/>
          <w:szCs w:val="22"/>
          <w:lang w:val="es-ES_tradnl"/>
        </w:rPr>
        <w:t>l</w:t>
      </w:r>
      <w:r w:rsidR="00B8572B" w:rsidRPr="00D52EF5">
        <w:rPr>
          <w:bCs/>
          <w:szCs w:val="22"/>
          <w:lang w:val="es-ES_tradnl"/>
        </w:rPr>
        <w:t>os actores del</w:t>
      </w:r>
      <w:r w:rsidR="003E55D3" w:rsidRPr="00D52EF5">
        <w:rPr>
          <w:bCs/>
          <w:szCs w:val="22"/>
          <w:lang w:val="es-ES_tradnl"/>
        </w:rPr>
        <w:t xml:space="preserve"> sector financiero sigue sin mostrar interés e</w:t>
      </w:r>
      <w:r w:rsidR="00CF1568" w:rsidRPr="00D52EF5">
        <w:rPr>
          <w:bCs/>
          <w:szCs w:val="22"/>
          <w:lang w:val="es-ES_tradnl"/>
        </w:rPr>
        <w:t>n</w:t>
      </w:r>
      <w:r w:rsidR="003E55D3" w:rsidRPr="00D52EF5">
        <w:rPr>
          <w:bCs/>
          <w:szCs w:val="22"/>
          <w:lang w:val="es-ES_tradnl"/>
        </w:rPr>
        <w:t xml:space="preserve"> la conservación de la</w:t>
      </w:r>
      <w:r w:rsidR="00CF1568" w:rsidRPr="00D52EF5">
        <w:rPr>
          <w:bCs/>
          <w:szCs w:val="22"/>
          <w:lang w:val="es-ES_tradnl"/>
        </w:rPr>
        <w:t xml:space="preserve"> biodiversi</w:t>
      </w:r>
      <w:r w:rsidR="003E55D3" w:rsidRPr="00D52EF5">
        <w:rPr>
          <w:bCs/>
          <w:szCs w:val="22"/>
          <w:lang w:val="es-ES_tradnl"/>
        </w:rPr>
        <w:t>dad</w:t>
      </w:r>
      <w:r w:rsidR="00CF1568" w:rsidRPr="00D52EF5">
        <w:rPr>
          <w:bCs/>
          <w:szCs w:val="22"/>
          <w:lang w:val="es-ES_tradnl"/>
        </w:rPr>
        <w:t>”</w:t>
      </w:r>
      <w:r w:rsidR="00CF1568" w:rsidRPr="00D52EF5">
        <w:rPr>
          <w:bCs/>
          <w:szCs w:val="22"/>
          <w:vertAlign w:val="superscript"/>
          <w:lang w:val="es-ES_tradnl"/>
        </w:rPr>
        <w:footnoteReference w:id="18"/>
      </w:r>
      <w:r w:rsidR="003E55D3" w:rsidRPr="00D52EF5">
        <w:rPr>
          <w:bCs/>
          <w:szCs w:val="22"/>
          <w:lang w:val="es-ES_tradnl"/>
        </w:rPr>
        <w:t>.</w:t>
      </w:r>
      <w:r w:rsidR="00CF1568" w:rsidRPr="00D52EF5">
        <w:rPr>
          <w:bCs/>
          <w:szCs w:val="22"/>
          <w:lang w:val="es-ES_tradnl"/>
        </w:rPr>
        <w:t xml:space="preserve"> O</w:t>
      </w:r>
      <w:r w:rsidR="003E55D3" w:rsidRPr="00D52EF5">
        <w:rPr>
          <w:bCs/>
          <w:szCs w:val="22"/>
          <w:lang w:val="es-ES_tradnl"/>
        </w:rPr>
        <w:t xml:space="preserve"> como lo señalan claramente </w:t>
      </w:r>
      <w:proofErr w:type="spellStart"/>
      <w:r w:rsidR="00CF1568" w:rsidRPr="00D52EF5">
        <w:rPr>
          <w:bCs/>
          <w:szCs w:val="22"/>
          <w:lang w:val="es-ES_tradnl"/>
        </w:rPr>
        <w:t>NatureVest</w:t>
      </w:r>
      <w:proofErr w:type="spellEnd"/>
      <w:r w:rsidR="00CF1568" w:rsidRPr="00D52EF5">
        <w:rPr>
          <w:bCs/>
          <w:szCs w:val="22"/>
          <w:lang w:val="es-ES_tradnl"/>
        </w:rPr>
        <w:t xml:space="preserve"> </w:t>
      </w:r>
      <w:r w:rsidR="003E55D3" w:rsidRPr="00D52EF5">
        <w:rPr>
          <w:bCs/>
          <w:szCs w:val="22"/>
          <w:lang w:val="es-ES_tradnl"/>
        </w:rPr>
        <w:t xml:space="preserve">y sus </w:t>
      </w:r>
      <w:r w:rsidR="003E55D3" w:rsidRPr="00D52EF5">
        <w:rPr>
          <w:bCs/>
          <w:szCs w:val="22"/>
          <w:lang w:val="es-ES_tradnl"/>
        </w:rPr>
        <w:lastRenderedPageBreak/>
        <w:t>coautores</w:t>
      </w:r>
      <w:r w:rsidR="00CF1568" w:rsidRPr="00D52EF5">
        <w:rPr>
          <w:bCs/>
          <w:szCs w:val="22"/>
          <w:lang w:val="es-ES_tradnl"/>
        </w:rPr>
        <w:t xml:space="preserve">, </w:t>
      </w:r>
      <w:r w:rsidR="003E55D3" w:rsidRPr="00D52EF5">
        <w:rPr>
          <w:bCs/>
          <w:szCs w:val="22"/>
          <w:lang w:val="es-ES_tradnl"/>
        </w:rPr>
        <w:t xml:space="preserve">las inversiones en </w:t>
      </w:r>
      <w:r w:rsidR="00CF1568" w:rsidRPr="00D52EF5">
        <w:rPr>
          <w:bCs/>
          <w:szCs w:val="22"/>
          <w:lang w:val="es-ES_tradnl"/>
        </w:rPr>
        <w:t>conserva</w:t>
      </w:r>
      <w:r w:rsidR="003E55D3" w:rsidRPr="00D52EF5">
        <w:rPr>
          <w:bCs/>
          <w:szCs w:val="22"/>
          <w:lang w:val="es-ES_tradnl"/>
        </w:rPr>
        <w:t>c</w:t>
      </w:r>
      <w:r w:rsidR="00CF1568" w:rsidRPr="00D52EF5">
        <w:rPr>
          <w:bCs/>
          <w:szCs w:val="22"/>
          <w:lang w:val="es-ES_tradnl"/>
        </w:rPr>
        <w:t>i</w:t>
      </w:r>
      <w:r w:rsidR="003E55D3" w:rsidRPr="00D52EF5">
        <w:rPr>
          <w:bCs/>
          <w:szCs w:val="22"/>
          <w:lang w:val="es-ES_tradnl"/>
        </w:rPr>
        <w:t>ó</w:t>
      </w:r>
      <w:r w:rsidR="00CF1568" w:rsidRPr="00D52EF5">
        <w:rPr>
          <w:bCs/>
          <w:szCs w:val="22"/>
          <w:lang w:val="es-ES_tradnl"/>
        </w:rPr>
        <w:t xml:space="preserve">n </w:t>
      </w:r>
      <w:r w:rsidR="003E55D3" w:rsidRPr="00D52EF5">
        <w:rPr>
          <w:bCs/>
          <w:szCs w:val="22"/>
          <w:lang w:val="es-ES_tradnl"/>
        </w:rPr>
        <w:t>son mucho</w:t>
      </w:r>
      <w:r w:rsidR="00CF1568" w:rsidRPr="00D52EF5">
        <w:rPr>
          <w:bCs/>
          <w:szCs w:val="22"/>
          <w:lang w:val="es-ES_tradnl"/>
        </w:rPr>
        <w:t xml:space="preserve"> “</w:t>
      </w:r>
      <w:r w:rsidR="003E55D3" w:rsidRPr="00D52EF5">
        <w:rPr>
          <w:bCs/>
          <w:szCs w:val="22"/>
          <w:lang w:val="es-ES_tradnl"/>
        </w:rPr>
        <w:t xml:space="preserve">menos </w:t>
      </w:r>
      <w:r w:rsidR="00CF1568" w:rsidRPr="00D52EF5">
        <w:rPr>
          <w:bCs/>
          <w:szCs w:val="22"/>
          <w:lang w:val="es-ES_tradnl"/>
        </w:rPr>
        <w:t>competitiv</w:t>
      </w:r>
      <w:r w:rsidR="003E55D3" w:rsidRPr="00D52EF5">
        <w:rPr>
          <w:bCs/>
          <w:szCs w:val="22"/>
          <w:lang w:val="es-ES_tradnl"/>
        </w:rPr>
        <w:t xml:space="preserve">as </w:t>
      </w:r>
      <w:r w:rsidR="00F91E49" w:rsidRPr="00D52EF5">
        <w:rPr>
          <w:bCs/>
          <w:szCs w:val="22"/>
          <w:lang w:val="es-ES_tradnl"/>
        </w:rPr>
        <w:t xml:space="preserve">que </w:t>
      </w:r>
      <w:r w:rsidR="003E55D3" w:rsidRPr="00D52EF5">
        <w:rPr>
          <w:bCs/>
          <w:szCs w:val="22"/>
          <w:lang w:val="es-ES_tradnl"/>
        </w:rPr>
        <w:t xml:space="preserve">las </w:t>
      </w:r>
      <w:r w:rsidR="00F91E49" w:rsidRPr="00D52EF5">
        <w:rPr>
          <w:bCs/>
          <w:szCs w:val="22"/>
          <w:lang w:val="es-ES_tradnl"/>
        </w:rPr>
        <w:t xml:space="preserve">competitivas </w:t>
      </w:r>
      <w:r w:rsidR="003E55D3" w:rsidRPr="00D52EF5">
        <w:rPr>
          <w:bCs/>
          <w:szCs w:val="22"/>
          <w:lang w:val="es-ES_tradnl"/>
        </w:rPr>
        <w:t xml:space="preserve">oportunidades </w:t>
      </w:r>
      <w:r w:rsidR="00F91E49" w:rsidRPr="00D52EF5">
        <w:rPr>
          <w:bCs/>
          <w:szCs w:val="22"/>
          <w:lang w:val="es-ES_tradnl"/>
        </w:rPr>
        <w:t>de mercado</w:t>
      </w:r>
      <w:r w:rsidR="00CF1568" w:rsidRPr="00D52EF5">
        <w:rPr>
          <w:bCs/>
          <w:szCs w:val="22"/>
          <w:lang w:val="es-ES_tradnl"/>
        </w:rPr>
        <w:t>”</w:t>
      </w:r>
      <w:r w:rsidR="00CF1568" w:rsidRPr="00D52EF5">
        <w:rPr>
          <w:bCs/>
          <w:szCs w:val="22"/>
          <w:vertAlign w:val="superscript"/>
          <w:lang w:val="es-ES_tradnl"/>
        </w:rPr>
        <w:footnoteReference w:id="19"/>
      </w:r>
      <w:r w:rsidR="00F91E49" w:rsidRPr="00D52EF5">
        <w:rPr>
          <w:bCs/>
          <w:szCs w:val="22"/>
          <w:lang w:val="es-ES_tradnl"/>
        </w:rPr>
        <w:t>.</w:t>
      </w:r>
    </w:p>
    <w:p w14:paraId="4C68DE9B" w14:textId="2F4B497D" w:rsidR="00CF1568" w:rsidRPr="00D52EF5" w:rsidRDefault="00373632" w:rsidP="00551B40">
      <w:pPr>
        <w:pStyle w:val="Para1"/>
        <w:numPr>
          <w:ilvl w:val="0"/>
          <w:numId w:val="13"/>
        </w:numPr>
        <w:suppressLineNumbers/>
        <w:tabs>
          <w:tab w:val="clear" w:pos="360"/>
        </w:tabs>
        <w:suppressAutoHyphens/>
        <w:spacing w:before="120"/>
        <w:rPr>
          <w:lang w:val="es-ES_tradnl"/>
        </w:rPr>
      </w:pPr>
      <w:r w:rsidRPr="00D52EF5">
        <w:rPr>
          <w:lang w:val="es-ES_tradnl"/>
        </w:rPr>
        <w:t xml:space="preserve">Algunas Partes, como la Unión Europea, han </w:t>
      </w:r>
      <w:r w:rsidR="00CB29CC" w:rsidRPr="00D52EF5">
        <w:rPr>
          <w:lang w:val="es-ES_tradnl"/>
        </w:rPr>
        <w:t>puesto gran empeño en</w:t>
      </w:r>
      <w:r w:rsidRPr="00D52EF5">
        <w:rPr>
          <w:lang w:val="es-ES_tradnl"/>
        </w:rPr>
        <w:t xml:space="preserve"> </w:t>
      </w:r>
      <w:r w:rsidR="00135062" w:rsidRPr="00D52EF5">
        <w:rPr>
          <w:lang w:val="es-ES_tradnl"/>
        </w:rPr>
        <w:t>alentar</w:t>
      </w:r>
      <w:r w:rsidRPr="00D52EF5">
        <w:rPr>
          <w:lang w:val="es-ES_tradnl"/>
        </w:rPr>
        <w:t xml:space="preserve"> mayores contribuciones financieras del sector privado </w:t>
      </w:r>
      <w:r w:rsidR="006D37CF" w:rsidRPr="00D52EF5">
        <w:rPr>
          <w:lang w:val="es-ES_tradnl"/>
        </w:rPr>
        <w:t>en relación con</w:t>
      </w:r>
      <w:r w:rsidRPr="00D52EF5">
        <w:rPr>
          <w:lang w:val="es-ES_tradnl"/>
        </w:rPr>
        <w:t xml:space="preserve"> la diversidad</w:t>
      </w:r>
      <w:r w:rsidR="00CF1568" w:rsidRPr="00D52EF5">
        <w:rPr>
          <w:lang w:val="es-ES_tradnl"/>
        </w:rPr>
        <w:t xml:space="preserve"> bio</w:t>
      </w:r>
      <w:r w:rsidRPr="00D52EF5">
        <w:rPr>
          <w:lang w:val="es-ES_tradnl"/>
        </w:rPr>
        <w:t xml:space="preserve">lógica. </w:t>
      </w:r>
      <w:r w:rsidR="00CF1568" w:rsidRPr="00D52EF5">
        <w:rPr>
          <w:lang w:val="es-ES_tradnl"/>
        </w:rPr>
        <w:t xml:space="preserve">Business and </w:t>
      </w:r>
      <w:proofErr w:type="spellStart"/>
      <w:r w:rsidR="00CF1568" w:rsidRPr="00D52EF5">
        <w:rPr>
          <w:lang w:val="es-ES_tradnl"/>
        </w:rPr>
        <w:t>Biodiversity</w:t>
      </w:r>
      <w:proofErr w:type="spellEnd"/>
      <w:r w:rsidR="00CF1568" w:rsidRPr="00D52EF5">
        <w:rPr>
          <w:lang w:val="es-ES_tradnl"/>
        </w:rPr>
        <w:t xml:space="preserve"> </w:t>
      </w:r>
      <w:proofErr w:type="spellStart"/>
      <w:r w:rsidR="00CF1568" w:rsidRPr="00D52EF5">
        <w:rPr>
          <w:lang w:val="es-ES_tradnl"/>
        </w:rPr>
        <w:t>Platform</w:t>
      </w:r>
      <w:proofErr w:type="spellEnd"/>
      <w:r w:rsidR="00CF1568" w:rsidRPr="00D52EF5">
        <w:rPr>
          <w:vertAlign w:val="superscript"/>
          <w:lang w:val="es-ES_tradnl"/>
        </w:rPr>
        <w:footnoteReference w:id="20"/>
      </w:r>
      <w:r w:rsidR="00CF1568" w:rsidRPr="00D52EF5">
        <w:rPr>
          <w:lang w:val="es-ES_tradnl"/>
        </w:rPr>
        <w:t xml:space="preserve"> </w:t>
      </w:r>
      <w:r w:rsidRPr="00D52EF5">
        <w:rPr>
          <w:lang w:val="es-ES_tradnl"/>
        </w:rPr>
        <w:t>(plataforma de empresas para la biodiversidad) proporciona un foro de diálogo sostenido y estratégico en el ámbito de la Unión</w:t>
      </w:r>
      <w:r w:rsidR="00CF1568" w:rsidRPr="00D52EF5">
        <w:rPr>
          <w:lang w:val="es-ES_tradnl"/>
        </w:rPr>
        <w:t xml:space="preserve"> Europea </w:t>
      </w:r>
      <w:r w:rsidRPr="00D52EF5">
        <w:rPr>
          <w:lang w:val="es-ES_tradnl"/>
        </w:rPr>
        <w:t>sobre la relación entre las empresas y la</w:t>
      </w:r>
      <w:r w:rsidR="00CF1568" w:rsidRPr="00D52EF5">
        <w:rPr>
          <w:lang w:val="es-ES_tradnl"/>
        </w:rPr>
        <w:t xml:space="preserve"> biodiversi</w:t>
      </w:r>
      <w:r w:rsidRPr="00D52EF5">
        <w:rPr>
          <w:lang w:val="es-ES_tradnl"/>
        </w:rPr>
        <w:t>dad</w:t>
      </w:r>
      <w:r w:rsidR="00CF1568" w:rsidRPr="00D52EF5">
        <w:rPr>
          <w:lang w:val="es-ES_tradnl"/>
        </w:rPr>
        <w:t xml:space="preserve">. </w:t>
      </w:r>
      <w:r w:rsidR="003E15F2" w:rsidRPr="00D52EF5">
        <w:rPr>
          <w:lang w:val="es-ES_tradnl"/>
        </w:rPr>
        <w:t>El tercer ámbito de trabajo de la</w:t>
      </w:r>
      <w:r w:rsidR="00CF1568" w:rsidRPr="00D52EF5">
        <w:rPr>
          <w:lang w:val="es-ES_tradnl"/>
        </w:rPr>
        <w:t xml:space="preserve"> </w:t>
      </w:r>
      <w:proofErr w:type="spellStart"/>
      <w:r w:rsidR="00CF1568" w:rsidRPr="00D52EF5">
        <w:rPr>
          <w:lang w:val="es-ES_tradnl"/>
        </w:rPr>
        <w:t>Platform</w:t>
      </w:r>
      <w:r w:rsidR="003E15F2" w:rsidRPr="00D52EF5">
        <w:rPr>
          <w:lang w:val="es-ES_tradnl"/>
        </w:rPr>
        <w:t>a</w:t>
      </w:r>
      <w:proofErr w:type="spellEnd"/>
      <w:r w:rsidR="00CF1568" w:rsidRPr="00D52EF5">
        <w:rPr>
          <w:lang w:val="es-ES_tradnl"/>
        </w:rPr>
        <w:t xml:space="preserve"> </w:t>
      </w:r>
      <w:r w:rsidR="00CF1568" w:rsidRPr="00D52EF5">
        <w:rPr>
          <w:bCs/>
          <w:szCs w:val="22"/>
          <w:lang w:val="es-ES_tradnl"/>
        </w:rPr>
        <w:t>–</w:t>
      </w:r>
      <w:r w:rsidR="003E15F2" w:rsidRPr="00D52EF5">
        <w:rPr>
          <w:bCs/>
          <w:szCs w:val="22"/>
          <w:lang w:val="es-ES_tradnl"/>
        </w:rPr>
        <w:t>relativo al acceso a financiación y a mecanismos innovadores de financiación</w:t>
      </w:r>
      <w:r w:rsidR="00CF1568" w:rsidRPr="00D52EF5">
        <w:rPr>
          <w:bCs/>
          <w:szCs w:val="22"/>
          <w:lang w:val="es-ES_tradnl"/>
        </w:rPr>
        <w:t>–</w:t>
      </w:r>
      <w:r w:rsidR="00CF1568" w:rsidRPr="00D52EF5">
        <w:rPr>
          <w:lang w:val="es-ES_tradnl"/>
        </w:rPr>
        <w:t xml:space="preserve"> </w:t>
      </w:r>
      <w:r w:rsidR="003E15F2" w:rsidRPr="00D52EF5">
        <w:rPr>
          <w:lang w:val="es-ES_tradnl"/>
        </w:rPr>
        <w:t>se centra en demostrar las ventajas de las inversiones</w:t>
      </w:r>
      <w:r w:rsidR="006D37CF" w:rsidRPr="00D52EF5">
        <w:rPr>
          <w:lang w:val="es-ES_tradnl"/>
        </w:rPr>
        <w:t xml:space="preserve"> en </w:t>
      </w:r>
      <w:r w:rsidR="003E15F2" w:rsidRPr="00D52EF5">
        <w:rPr>
          <w:lang w:val="es-ES_tradnl"/>
        </w:rPr>
        <w:t>la diversidad biológica para las empresas, con inclusión de las pequeñas y medianas empresas (PYME).</w:t>
      </w:r>
    </w:p>
    <w:p w14:paraId="6E30CC0E" w14:textId="3B35F69B" w:rsidR="00CF1568" w:rsidRPr="00D52EF5" w:rsidRDefault="00551B40" w:rsidP="002574FF">
      <w:pPr>
        <w:pStyle w:val="Para1"/>
        <w:numPr>
          <w:ilvl w:val="0"/>
          <w:numId w:val="13"/>
        </w:numPr>
        <w:suppressLineNumbers/>
        <w:tabs>
          <w:tab w:val="clear" w:pos="360"/>
        </w:tabs>
        <w:suppressAutoHyphens/>
        <w:spacing w:before="120"/>
        <w:rPr>
          <w:szCs w:val="22"/>
          <w:lang w:val="es-ES_tradnl"/>
        </w:rPr>
      </w:pPr>
      <w:r w:rsidRPr="00D52EF5">
        <w:rPr>
          <w:lang w:val="es-ES_tradnl"/>
        </w:rPr>
        <w:t>A la luz de estas conclusiones, algunas Partes sugirieron la máxima conveniencia de acometer un importante programa de trabajo para</w:t>
      </w:r>
      <w:r w:rsidR="00CF1568" w:rsidRPr="00D52EF5">
        <w:rPr>
          <w:lang w:val="es-ES_tradnl"/>
        </w:rPr>
        <w:t xml:space="preserve"> ex</w:t>
      </w:r>
      <w:r w:rsidRPr="00D52EF5">
        <w:rPr>
          <w:lang w:val="es-ES_tradnl"/>
        </w:rPr>
        <w:t>aminar las opciones de cara a la introducción y/o el aumento de la financiación para la diversidad biológica en cada uno de los seis</w:t>
      </w:r>
      <w:r w:rsidR="00CF1568" w:rsidRPr="00D52EF5">
        <w:rPr>
          <w:lang w:val="es-ES_tradnl"/>
        </w:rPr>
        <w:t xml:space="preserve"> “</w:t>
      </w:r>
      <w:r w:rsidRPr="00D52EF5">
        <w:rPr>
          <w:lang w:val="es-ES_tradnl"/>
        </w:rPr>
        <w:t>mecanismos de</w:t>
      </w:r>
      <w:r w:rsidR="00CF1568" w:rsidRPr="00D52EF5">
        <w:rPr>
          <w:lang w:val="es-ES_tradnl"/>
        </w:rPr>
        <w:t xml:space="preserve"> financia</w:t>
      </w:r>
      <w:r w:rsidRPr="00D52EF5">
        <w:rPr>
          <w:lang w:val="es-ES_tradnl"/>
        </w:rPr>
        <w:t>ción innovadores</w:t>
      </w:r>
      <w:r w:rsidR="00CF1568" w:rsidRPr="00D52EF5">
        <w:rPr>
          <w:lang w:val="es-ES_tradnl"/>
        </w:rPr>
        <w:t xml:space="preserve">” </w:t>
      </w:r>
      <w:r w:rsidR="002574FF" w:rsidRPr="00D52EF5">
        <w:rPr>
          <w:lang w:val="es-ES_tradnl"/>
        </w:rPr>
        <w:t>precisado</w:t>
      </w:r>
      <w:r w:rsidRPr="00D52EF5">
        <w:rPr>
          <w:lang w:val="es-ES_tradnl"/>
        </w:rPr>
        <w:t>s en relación con el</w:t>
      </w:r>
      <w:r w:rsidR="00B15D31" w:rsidRPr="00D52EF5">
        <w:rPr>
          <w:lang w:val="es-ES_tradnl"/>
        </w:rPr>
        <w:t xml:space="preserve"> Conven</w:t>
      </w:r>
      <w:r w:rsidR="00CF1568" w:rsidRPr="00D52EF5">
        <w:rPr>
          <w:lang w:val="es-ES_tradnl"/>
        </w:rPr>
        <w:t>io</w:t>
      </w:r>
      <w:r w:rsidR="00CF1568" w:rsidRPr="00D52EF5">
        <w:rPr>
          <w:rStyle w:val="FootnoteReference"/>
          <w:lang w:val="es-ES_tradnl"/>
        </w:rPr>
        <w:footnoteReference w:id="21"/>
      </w:r>
      <w:r w:rsidRPr="00D52EF5">
        <w:rPr>
          <w:lang w:val="es-ES_tradnl"/>
        </w:rPr>
        <w:t xml:space="preserve">: </w:t>
      </w:r>
      <w:r w:rsidR="00CF1568" w:rsidRPr="00D52EF5">
        <w:rPr>
          <w:lang w:val="es-ES_tradnl"/>
        </w:rPr>
        <w:t>a) </w:t>
      </w:r>
      <w:r w:rsidR="002574FF" w:rsidRPr="00D52EF5">
        <w:rPr>
          <w:lang w:val="es-ES_tradnl"/>
        </w:rPr>
        <w:t>reforma fiscal en pro del medio ambiente</w:t>
      </w:r>
      <w:r w:rsidR="002574FF" w:rsidRPr="00D52EF5">
        <w:rPr>
          <w:szCs w:val="22"/>
          <w:lang w:val="es-ES_tradnl"/>
        </w:rPr>
        <w:t xml:space="preserve">; </w:t>
      </w:r>
      <w:r w:rsidR="00CF1568" w:rsidRPr="00D52EF5">
        <w:rPr>
          <w:szCs w:val="22"/>
          <w:lang w:val="es-ES_tradnl"/>
        </w:rPr>
        <w:t>b) </w:t>
      </w:r>
      <w:r w:rsidR="002574FF" w:rsidRPr="00D52EF5">
        <w:rPr>
          <w:szCs w:val="22"/>
          <w:lang w:val="es-ES_tradnl"/>
        </w:rPr>
        <w:t>pago por los servicios</w:t>
      </w:r>
      <w:r w:rsidR="00E86FE3" w:rsidRPr="00D52EF5">
        <w:rPr>
          <w:szCs w:val="22"/>
          <w:lang w:val="es-ES_tradnl"/>
        </w:rPr>
        <w:t xml:space="preserve"> que proporcionan</w:t>
      </w:r>
      <w:r w:rsidR="002574FF" w:rsidRPr="00D52EF5">
        <w:rPr>
          <w:szCs w:val="22"/>
          <w:lang w:val="es-ES_tradnl"/>
        </w:rPr>
        <w:t xml:space="preserve"> los ecosistemas</w:t>
      </w:r>
      <w:r w:rsidR="00CF1568" w:rsidRPr="00D52EF5">
        <w:rPr>
          <w:szCs w:val="22"/>
          <w:lang w:val="es-ES_tradnl"/>
        </w:rPr>
        <w:t xml:space="preserve">; </w:t>
      </w:r>
      <w:r w:rsidR="002574FF" w:rsidRPr="00D52EF5">
        <w:rPr>
          <w:szCs w:val="22"/>
          <w:lang w:val="es-ES_tradnl"/>
        </w:rPr>
        <w:t>c) compensaciones por pérdida de biodiversidad</w:t>
      </w:r>
      <w:r w:rsidR="00CF1568" w:rsidRPr="00D52EF5">
        <w:rPr>
          <w:szCs w:val="22"/>
          <w:lang w:val="es-ES_tradnl"/>
        </w:rPr>
        <w:t>; d) m</w:t>
      </w:r>
      <w:r w:rsidR="002574FF" w:rsidRPr="00D52EF5">
        <w:rPr>
          <w:szCs w:val="22"/>
          <w:lang w:val="es-ES_tradnl"/>
        </w:rPr>
        <w:t xml:space="preserve">ercados de productos ecológicos; </w:t>
      </w:r>
      <w:r w:rsidR="00CF1568" w:rsidRPr="00D52EF5">
        <w:rPr>
          <w:szCs w:val="22"/>
          <w:lang w:val="es-ES_tradnl"/>
        </w:rPr>
        <w:t>e)</w:t>
      </w:r>
      <w:r w:rsidR="00B15D31" w:rsidRPr="00D52EF5">
        <w:rPr>
          <w:szCs w:val="22"/>
          <w:lang w:val="es-ES_tradnl"/>
        </w:rPr>
        <w:t xml:space="preserve"> </w:t>
      </w:r>
      <w:r w:rsidR="002574FF" w:rsidRPr="00D52EF5">
        <w:rPr>
          <w:szCs w:val="22"/>
          <w:lang w:val="es-ES_tradnl"/>
        </w:rPr>
        <w:t xml:space="preserve">la diversidad biológica en la financiación </w:t>
      </w:r>
      <w:r w:rsidR="00B15D31" w:rsidRPr="00D52EF5">
        <w:rPr>
          <w:szCs w:val="22"/>
          <w:lang w:val="es-ES_tradnl"/>
        </w:rPr>
        <w:t>ligada a</w:t>
      </w:r>
      <w:r w:rsidR="002574FF" w:rsidRPr="00D52EF5">
        <w:rPr>
          <w:szCs w:val="22"/>
          <w:lang w:val="es-ES_tradnl"/>
        </w:rPr>
        <w:t>l cambio climático</w:t>
      </w:r>
      <w:r w:rsidR="00CF1568" w:rsidRPr="00D52EF5">
        <w:rPr>
          <w:szCs w:val="22"/>
          <w:lang w:val="es-ES_tradnl"/>
        </w:rPr>
        <w:t xml:space="preserve">, </w:t>
      </w:r>
      <w:r w:rsidR="002574FF" w:rsidRPr="00D52EF5">
        <w:rPr>
          <w:szCs w:val="22"/>
          <w:lang w:val="es-ES_tradnl"/>
        </w:rPr>
        <w:t>entre otras cosas, mediante soluciones basadas en la naturaleza (SBN)</w:t>
      </w:r>
      <w:r w:rsidR="00CF1568" w:rsidRPr="00D52EF5">
        <w:rPr>
          <w:szCs w:val="22"/>
          <w:lang w:val="es-ES_tradnl"/>
        </w:rPr>
        <w:t xml:space="preserve">; </w:t>
      </w:r>
      <w:r w:rsidR="002574FF" w:rsidRPr="00D52EF5">
        <w:rPr>
          <w:szCs w:val="22"/>
          <w:lang w:val="es-ES_tradnl"/>
        </w:rPr>
        <w:t xml:space="preserve">y </w:t>
      </w:r>
      <w:r w:rsidR="00CF1568" w:rsidRPr="00D52EF5">
        <w:rPr>
          <w:szCs w:val="22"/>
          <w:lang w:val="es-ES_tradnl"/>
        </w:rPr>
        <w:t>f)</w:t>
      </w:r>
      <w:r w:rsidR="002574FF" w:rsidRPr="00D52EF5">
        <w:rPr>
          <w:szCs w:val="22"/>
          <w:lang w:val="es-ES_tradnl"/>
        </w:rPr>
        <w:t xml:space="preserve"> la diversidad biológica en la financiación</w:t>
      </w:r>
      <w:r w:rsidR="00CF1568" w:rsidRPr="00D52EF5">
        <w:rPr>
          <w:szCs w:val="22"/>
          <w:lang w:val="es-ES_tradnl"/>
        </w:rPr>
        <w:t xml:space="preserve"> interna</w:t>
      </w:r>
      <w:r w:rsidR="002574FF" w:rsidRPr="00D52EF5">
        <w:rPr>
          <w:szCs w:val="22"/>
          <w:lang w:val="es-ES_tradnl"/>
        </w:rPr>
        <w:t>c</w:t>
      </w:r>
      <w:r w:rsidR="00CF1568" w:rsidRPr="00D52EF5">
        <w:rPr>
          <w:szCs w:val="22"/>
          <w:lang w:val="es-ES_tradnl"/>
        </w:rPr>
        <w:t xml:space="preserve">ional </w:t>
      </w:r>
      <w:r w:rsidR="002574FF" w:rsidRPr="00D52EF5">
        <w:rPr>
          <w:szCs w:val="22"/>
          <w:lang w:val="es-ES_tradnl"/>
        </w:rPr>
        <w:t>para el desarrollo</w:t>
      </w:r>
      <w:r w:rsidR="00CF1568" w:rsidRPr="00D52EF5">
        <w:rPr>
          <w:szCs w:val="22"/>
          <w:lang w:val="es-ES_tradnl"/>
        </w:rPr>
        <w:t>.</w:t>
      </w:r>
    </w:p>
    <w:p w14:paraId="61111691" w14:textId="7C1ACDCA" w:rsidR="00CF1568" w:rsidRPr="00D52EF5" w:rsidRDefault="003B35B3" w:rsidP="00CF1568">
      <w:pPr>
        <w:pStyle w:val="Heading4"/>
        <w:suppressLineNumbers/>
        <w:suppressAutoHyphens/>
        <w:rPr>
          <w:i w:val="0"/>
          <w:lang w:val="es-ES_tradnl"/>
        </w:rPr>
      </w:pPr>
      <w:r w:rsidRPr="00D52EF5">
        <w:rPr>
          <w:i w:val="0"/>
          <w:lang w:val="es-ES_tradnl"/>
        </w:rPr>
        <w:t>Objetivo</w:t>
      </w:r>
      <w:r w:rsidR="00CF1568" w:rsidRPr="00D52EF5">
        <w:rPr>
          <w:i w:val="0"/>
          <w:lang w:val="es-ES_tradnl"/>
        </w:rPr>
        <w:t xml:space="preserve"> 5: </w:t>
      </w:r>
      <w:r w:rsidRPr="00D52EF5">
        <w:rPr>
          <w:i w:val="0"/>
          <w:lang w:val="es-ES_tradnl"/>
        </w:rPr>
        <w:t>Incorporar la diversidad biológica y sus servicios de ecosistemas conexos en los planes y prioridades de cooperación para el desarrollo, incluyendo los vínculos que deben existir entre los programas de trabajo del Convenio y los Objetivos de Desarrollo del Milenio</w:t>
      </w:r>
    </w:p>
    <w:p w14:paraId="679B9EA7" w14:textId="039F962C" w:rsidR="00CF1568" w:rsidRPr="00D52EF5" w:rsidRDefault="00AF5DE9" w:rsidP="00CF1568">
      <w:pPr>
        <w:pStyle w:val="Para1"/>
        <w:numPr>
          <w:ilvl w:val="0"/>
          <w:numId w:val="13"/>
        </w:numPr>
        <w:suppressLineNumbers/>
        <w:tabs>
          <w:tab w:val="clear" w:pos="360"/>
        </w:tabs>
        <w:suppressAutoHyphens/>
        <w:spacing w:before="120"/>
        <w:rPr>
          <w:lang w:val="es-ES_tradnl"/>
        </w:rPr>
      </w:pPr>
      <w:r w:rsidRPr="00D52EF5">
        <w:rPr>
          <w:color w:val="000000" w:themeColor="text1"/>
          <w:szCs w:val="22"/>
          <w:lang w:val="es-ES_tradnl"/>
        </w:rPr>
        <w:t xml:space="preserve">Un </w:t>
      </w:r>
      <w:r w:rsidR="008709E2" w:rsidRPr="00D52EF5">
        <w:rPr>
          <w:color w:val="000000" w:themeColor="text1"/>
          <w:szCs w:val="22"/>
          <w:lang w:val="es-ES_tradnl"/>
        </w:rPr>
        <w:t>requisito</w:t>
      </w:r>
      <w:r w:rsidRPr="00D52EF5">
        <w:rPr>
          <w:color w:val="000000" w:themeColor="text1"/>
          <w:szCs w:val="22"/>
          <w:lang w:val="es-ES_tradnl"/>
        </w:rPr>
        <w:t xml:space="preserve"> previo importante para el éxito de la movilización de recursos en el futuro es la integración efectiva de la diversidad biol</w:t>
      </w:r>
      <w:r w:rsidR="00E00757" w:rsidRPr="00D52EF5">
        <w:rPr>
          <w:color w:val="000000" w:themeColor="text1"/>
          <w:szCs w:val="22"/>
          <w:lang w:val="es-ES_tradnl"/>
        </w:rPr>
        <w:t>ógica en las inversiones y demás</w:t>
      </w:r>
      <w:r w:rsidRPr="00D52EF5">
        <w:rPr>
          <w:color w:val="000000" w:themeColor="text1"/>
          <w:szCs w:val="22"/>
          <w:lang w:val="es-ES_tradnl"/>
        </w:rPr>
        <w:t xml:space="preserve"> medidas de los gobiernos</w:t>
      </w:r>
      <w:r w:rsidR="00CF1568" w:rsidRPr="00D52EF5">
        <w:rPr>
          <w:color w:val="000000" w:themeColor="text1"/>
          <w:szCs w:val="22"/>
          <w:lang w:val="es-ES_tradnl"/>
        </w:rPr>
        <w:t>,</w:t>
      </w:r>
      <w:r w:rsidRPr="00D52EF5">
        <w:rPr>
          <w:color w:val="000000" w:themeColor="text1"/>
          <w:szCs w:val="22"/>
          <w:lang w:val="es-ES_tradnl"/>
        </w:rPr>
        <w:t xml:space="preserve"> </w:t>
      </w:r>
      <w:r w:rsidR="00D05FAA" w:rsidRPr="00D52EF5">
        <w:rPr>
          <w:color w:val="000000" w:themeColor="text1"/>
          <w:szCs w:val="22"/>
          <w:lang w:val="es-ES_tradnl"/>
        </w:rPr>
        <w:t>d</w:t>
      </w:r>
      <w:r w:rsidRPr="00D52EF5">
        <w:rPr>
          <w:color w:val="000000" w:themeColor="text1"/>
          <w:szCs w:val="22"/>
          <w:lang w:val="es-ES_tradnl"/>
        </w:rPr>
        <w:t xml:space="preserve">el sector privado y </w:t>
      </w:r>
      <w:r w:rsidR="00D05FAA" w:rsidRPr="00D52EF5">
        <w:rPr>
          <w:color w:val="000000" w:themeColor="text1"/>
          <w:szCs w:val="22"/>
          <w:lang w:val="es-ES_tradnl"/>
        </w:rPr>
        <w:t xml:space="preserve">de </w:t>
      </w:r>
      <w:r w:rsidRPr="00D52EF5">
        <w:rPr>
          <w:color w:val="000000" w:themeColor="text1"/>
          <w:szCs w:val="22"/>
          <w:lang w:val="es-ES_tradnl"/>
        </w:rPr>
        <w:t xml:space="preserve">los particulares. De este aspecto se está ocupando un </w:t>
      </w:r>
      <w:r w:rsidR="000206BE" w:rsidRPr="00D52EF5">
        <w:rPr>
          <w:color w:val="000000" w:themeColor="text1"/>
          <w:szCs w:val="22"/>
          <w:lang w:val="es-ES_tradnl"/>
        </w:rPr>
        <w:t xml:space="preserve">grupo consultivo oficioso </w:t>
      </w:r>
      <w:r w:rsidR="006E14AE" w:rsidRPr="00D52EF5">
        <w:rPr>
          <w:szCs w:val="22"/>
          <w:lang w:val="es-ES_tradnl"/>
        </w:rPr>
        <w:t>sobre la integración de la diversidad biológica</w:t>
      </w:r>
      <w:r w:rsidR="00CF1568" w:rsidRPr="00D52EF5">
        <w:rPr>
          <w:szCs w:val="22"/>
          <w:lang w:val="es-ES_tradnl"/>
        </w:rPr>
        <w:t xml:space="preserve">, </w:t>
      </w:r>
      <w:r w:rsidR="006E14AE" w:rsidRPr="00D52EF5">
        <w:rPr>
          <w:szCs w:val="22"/>
          <w:lang w:val="es-ES_tradnl"/>
        </w:rPr>
        <w:t xml:space="preserve">que está </w:t>
      </w:r>
      <w:r w:rsidR="00D05FAA" w:rsidRPr="00D52EF5">
        <w:rPr>
          <w:szCs w:val="22"/>
          <w:lang w:val="es-ES_tradnl"/>
        </w:rPr>
        <w:t>formulando</w:t>
      </w:r>
      <w:r w:rsidR="006E14AE" w:rsidRPr="00D52EF5">
        <w:rPr>
          <w:szCs w:val="22"/>
          <w:lang w:val="es-ES_tradnl"/>
        </w:rPr>
        <w:t xml:space="preserve"> un método de </w:t>
      </w:r>
      <w:r w:rsidR="008709E2" w:rsidRPr="00D52EF5">
        <w:rPr>
          <w:szCs w:val="22"/>
          <w:lang w:val="es-ES_tradnl"/>
        </w:rPr>
        <w:t>integración</w:t>
      </w:r>
      <w:r w:rsidR="006E14AE" w:rsidRPr="00D52EF5">
        <w:rPr>
          <w:szCs w:val="22"/>
          <w:lang w:val="es-ES_tradnl"/>
        </w:rPr>
        <w:t xml:space="preserve"> a largo plazo</w:t>
      </w:r>
      <w:r w:rsidR="00CF1568" w:rsidRPr="00D52EF5">
        <w:rPr>
          <w:szCs w:val="22"/>
          <w:lang w:val="es-ES_tradnl"/>
        </w:rPr>
        <w:t>.</w:t>
      </w:r>
      <w:r w:rsidR="00CF1568" w:rsidRPr="00D52EF5">
        <w:rPr>
          <w:color w:val="000000" w:themeColor="text1"/>
          <w:szCs w:val="22"/>
          <w:lang w:val="es-ES_tradnl"/>
        </w:rPr>
        <w:t xml:space="preserve"> </w:t>
      </w:r>
      <w:r w:rsidR="006E14AE" w:rsidRPr="00D52EF5">
        <w:rPr>
          <w:color w:val="000000" w:themeColor="text1"/>
          <w:szCs w:val="22"/>
          <w:lang w:val="es-ES_tradnl"/>
        </w:rPr>
        <w:t>Tanto los donantes como los beneficiarios</w:t>
      </w:r>
      <w:r w:rsidR="007C612C" w:rsidRPr="00D52EF5">
        <w:rPr>
          <w:color w:val="000000" w:themeColor="text1"/>
          <w:szCs w:val="22"/>
          <w:lang w:val="es-ES_tradnl"/>
        </w:rPr>
        <w:t xml:space="preserve"> de ayudas</w:t>
      </w:r>
      <w:r w:rsidR="006E14AE" w:rsidRPr="00D52EF5">
        <w:rPr>
          <w:color w:val="000000" w:themeColor="text1"/>
          <w:szCs w:val="22"/>
          <w:lang w:val="es-ES_tradnl"/>
        </w:rPr>
        <w:t xml:space="preserve"> tienen que reconocer la importancia de la plena </w:t>
      </w:r>
      <w:r w:rsidR="008709E2" w:rsidRPr="00D52EF5">
        <w:rPr>
          <w:color w:val="000000" w:themeColor="text1"/>
          <w:szCs w:val="22"/>
          <w:lang w:val="es-ES_tradnl"/>
        </w:rPr>
        <w:t>incorporación</w:t>
      </w:r>
      <w:r w:rsidR="006E14AE" w:rsidRPr="00D52EF5">
        <w:rPr>
          <w:color w:val="000000" w:themeColor="text1"/>
          <w:szCs w:val="22"/>
          <w:lang w:val="es-ES_tradnl"/>
        </w:rPr>
        <w:t xml:space="preserve"> de la biodiversidad y los servicios</w:t>
      </w:r>
      <w:r w:rsidR="00E86FE3" w:rsidRPr="00D52EF5">
        <w:rPr>
          <w:color w:val="000000" w:themeColor="text1"/>
          <w:szCs w:val="22"/>
          <w:lang w:val="es-ES_tradnl"/>
        </w:rPr>
        <w:t xml:space="preserve"> </w:t>
      </w:r>
      <w:r w:rsidR="007C612C" w:rsidRPr="00D52EF5">
        <w:rPr>
          <w:color w:val="000000" w:themeColor="text1"/>
          <w:szCs w:val="22"/>
          <w:lang w:val="es-ES_tradnl"/>
        </w:rPr>
        <w:t>de</w:t>
      </w:r>
      <w:r w:rsidR="006E14AE" w:rsidRPr="00D52EF5">
        <w:rPr>
          <w:color w:val="000000" w:themeColor="text1"/>
          <w:szCs w:val="22"/>
          <w:lang w:val="es-ES_tradnl"/>
        </w:rPr>
        <w:t xml:space="preserve"> los ecosistemas en sus prioridades</w:t>
      </w:r>
      <w:r w:rsidR="00CF1568" w:rsidRPr="00D52EF5">
        <w:rPr>
          <w:lang w:val="es-ES_tradnl"/>
        </w:rPr>
        <w:t xml:space="preserve">, </w:t>
      </w:r>
      <w:r w:rsidR="006E14AE" w:rsidRPr="00D52EF5">
        <w:rPr>
          <w:lang w:val="es-ES_tradnl"/>
        </w:rPr>
        <w:t>estrategias, programa</w:t>
      </w:r>
      <w:r w:rsidR="00CF1568" w:rsidRPr="00D52EF5">
        <w:rPr>
          <w:lang w:val="es-ES_tradnl"/>
        </w:rPr>
        <w:t xml:space="preserve">s </w:t>
      </w:r>
      <w:r w:rsidR="006E14AE" w:rsidRPr="00D52EF5">
        <w:rPr>
          <w:lang w:val="es-ES_tradnl"/>
        </w:rPr>
        <w:t>y</w:t>
      </w:r>
      <w:r w:rsidR="00CF1568" w:rsidRPr="00D52EF5">
        <w:rPr>
          <w:lang w:val="es-ES_tradnl"/>
        </w:rPr>
        <w:t xml:space="preserve"> plan</w:t>
      </w:r>
      <w:r w:rsidR="006E14AE" w:rsidRPr="00D52EF5">
        <w:rPr>
          <w:lang w:val="es-ES_tradnl"/>
        </w:rPr>
        <w:t>e</w:t>
      </w:r>
      <w:r w:rsidR="00CF1568" w:rsidRPr="00D52EF5">
        <w:rPr>
          <w:lang w:val="es-ES_tradnl"/>
        </w:rPr>
        <w:t xml:space="preserve">s. </w:t>
      </w:r>
      <w:r w:rsidR="006E14AE" w:rsidRPr="00D52EF5">
        <w:rPr>
          <w:lang w:val="es-ES_tradnl"/>
        </w:rPr>
        <w:t xml:space="preserve">Varias Partes han comenzado a </w:t>
      </w:r>
      <w:r w:rsidR="004844DB" w:rsidRPr="00D52EF5">
        <w:rPr>
          <w:lang w:val="es-ES_tradnl"/>
        </w:rPr>
        <w:t>acometer</w:t>
      </w:r>
      <w:r w:rsidR="006E14AE" w:rsidRPr="00D52EF5">
        <w:rPr>
          <w:lang w:val="es-ES_tradnl"/>
        </w:rPr>
        <w:t xml:space="preserve"> iniciativas más firmes para hacerlo en las estrategias de asistencia</w:t>
      </w:r>
      <w:r w:rsidR="00CF1568" w:rsidRPr="00D52EF5">
        <w:rPr>
          <w:lang w:val="es-ES_tradnl"/>
        </w:rPr>
        <w:t xml:space="preserve">. </w:t>
      </w:r>
      <w:r w:rsidR="0074275C" w:rsidRPr="00D52EF5">
        <w:rPr>
          <w:lang w:val="es-ES_tradnl"/>
        </w:rPr>
        <w:t xml:space="preserve">Por ejemplo, la iniciativa de la Comisión </w:t>
      </w:r>
      <w:r w:rsidR="00CF1568" w:rsidRPr="00D52EF5">
        <w:rPr>
          <w:lang w:val="es-ES_tradnl"/>
        </w:rPr>
        <w:t>Europea</w:t>
      </w:r>
      <w:r w:rsidR="004844DB" w:rsidRPr="00D52EF5">
        <w:rPr>
          <w:lang w:val="es-ES_tradnl"/>
        </w:rPr>
        <w:t>,</w:t>
      </w:r>
      <w:r w:rsidR="00CF1568" w:rsidRPr="00D52EF5">
        <w:rPr>
          <w:lang w:val="es-ES_tradnl"/>
        </w:rPr>
        <w:t xml:space="preserve"> </w:t>
      </w:r>
      <w:proofErr w:type="spellStart"/>
      <w:r w:rsidR="00CF1568" w:rsidRPr="00D52EF5">
        <w:rPr>
          <w:lang w:val="es-ES_tradnl"/>
        </w:rPr>
        <w:t>Biodiversity</w:t>
      </w:r>
      <w:proofErr w:type="spellEnd"/>
      <w:r w:rsidR="00CF1568" w:rsidRPr="00D52EF5">
        <w:rPr>
          <w:lang w:val="es-ES_tradnl"/>
        </w:rPr>
        <w:t xml:space="preserve"> </w:t>
      </w:r>
      <w:proofErr w:type="spellStart"/>
      <w:r w:rsidR="00CF1568" w:rsidRPr="00D52EF5">
        <w:rPr>
          <w:lang w:val="es-ES_tradnl"/>
        </w:rPr>
        <w:t>for</w:t>
      </w:r>
      <w:proofErr w:type="spellEnd"/>
      <w:r w:rsidR="00CF1568" w:rsidRPr="00D52EF5">
        <w:rPr>
          <w:lang w:val="es-ES_tradnl"/>
        </w:rPr>
        <w:t xml:space="preserve"> </w:t>
      </w:r>
      <w:proofErr w:type="spellStart"/>
      <w:r w:rsidR="00CF1568" w:rsidRPr="00D52EF5">
        <w:rPr>
          <w:lang w:val="es-ES_tradnl"/>
        </w:rPr>
        <w:t>Life</w:t>
      </w:r>
      <w:proofErr w:type="spellEnd"/>
      <w:r w:rsidR="00CF1568" w:rsidRPr="00D52EF5">
        <w:rPr>
          <w:lang w:val="es-ES_tradnl"/>
        </w:rPr>
        <w:t xml:space="preserve"> (B4Life)</w:t>
      </w:r>
      <w:r w:rsidR="0074275C" w:rsidRPr="00D52EF5">
        <w:rPr>
          <w:lang w:val="es-ES_tradnl"/>
        </w:rPr>
        <w:t xml:space="preserve"> (la diversidad biológica para la vida)</w:t>
      </w:r>
      <w:r w:rsidR="00CF1568" w:rsidRPr="00D52EF5">
        <w:rPr>
          <w:vertAlign w:val="superscript"/>
          <w:lang w:val="es-ES_tradnl"/>
        </w:rPr>
        <w:footnoteReference w:id="22"/>
      </w:r>
      <w:r w:rsidR="004844DB" w:rsidRPr="00D52EF5">
        <w:rPr>
          <w:lang w:val="es-ES_tradnl"/>
        </w:rPr>
        <w:t xml:space="preserve">, </w:t>
      </w:r>
      <w:r w:rsidR="0074275C" w:rsidRPr="00D52EF5">
        <w:rPr>
          <w:lang w:val="es-ES_tradnl"/>
        </w:rPr>
        <w:t>fue ideada para ayud</w:t>
      </w:r>
      <w:r w:rsidR="00CF1568" w:rsidRPr="00D52EF5">
        <w:rPr>
          <w:lang w:val="es-ES_tradnl"/>
        </w:rPr>
        <w:t>a</w:t>
      </w:r>
      <w:r w:rsidR="0074275C" w:rsidRPr="00D52EF5">
        <w:rPr>
          <w:lang w:val="es-ES_tradnl"/>
        </w:rPr>
        <w:t>r a los países en desarrollo con sus actividades destinadas a detener la pérdida de diversidad biológica y eliminar sus factores determinantes</w:t>
      </w:r>
      <w:r w:rsidR="00CF1568" w:rsidRPr="00D52EF5">
        <w:rPr>
          <w:lang w:val="es-ES_tradnl"/>
        </w:rPr>
        <w:t xml:space="preserve">, </w:t>
      </w:r>
      <w:r w:rsidR="0074275C" w:rsidRPr="00D52EF5">
        <w:rPr>
          <w:lang w:val="es-ES_tradnl"/>
        </w:rPr>
        <w:t>en par</w:t>
      </w:r>
      <w:r w:rsidR="00191B3A" w:rsidRPr="00D52EF5">
        <w:rPr>
          <w:lang w:val="es-ES_tradnl"/>
        </w:rPr>
        <w:t xml:space="preserve">ticular vinculando </w:t>
      </w:r>
      <w:r w:rsidR="00177433" w:rsidRPr="00D52EF5">
        <w:rPr>
          <w:lang w:val="es-ES_tradnl"/>
        </w:rPr>
        <w:t xml:space="preserve">la conservación con </w:t>
      </w:r>
      <w:r w:rsidR="0074275C" w:rsidRPr="00D52EF5">
        <w:rPr>
          <w:lang w:val="es-ES_tradnl"/>
        </w:rPr>
        <w:t>uso sostenible, el desarrollo, la seguridad y la lucha contra los delitos relacionados</w:t>
      </w:r>
      <w:r w:rsidR="00191B3A" w:rsidRPr="00D52EF5">
        <w:rPr>
          <w:lang w:val="es-ES_tradnl"/>
        </w:rPr>
        <w:t>,</w:t>
      </w:r>
      <w:r w:rsidR="0074275C" w:rsidRPr="00D52EF5">
        <w:rPr>
          <w:lang w:val="es-ES_tradnl"/>
        </w:rPr>
        <w:t xml:space="preserve"> con la vida silvestre y los bosques</w:t>
      </w:r>
      <w:r w:rsidR="00CF1568" w:rsidRPr="00D52EF5">
        <w:rPr>
          <w:lang w:val="es-ES_tradnl"/>
        </w:rPr>
        <w:t xml:space="preserve">. B4Life </w:t>
      </w:r>
      <w:r w:rsidR="003C15C0" w:rsidRPr="00D52EF5">
        <w:rPr>
          <w:lang w:val="es-ES_tradnl"/>
        </w:rPr>
        <w:t xml:space="preserve">congrega en el mismo marco global todos los proyectos y programas de cooperación para el desarrollo financiados por la Unión Europea cuyo objetivo principal es la biodiversidad, </w:t>
      </w:r>
      <w:r w:rsidR="00177433" w:rsidRPr="00D52EF5">
        <w:rPr>
          <w:lang w:val="es-ES_tradnl"/>
        </w:rPr>
        <w:t>para así conseguir</w:t>
      </w:r>
      <w:r w:rsidR="003C15C0" w:rsidRPr="00D52EF5">
        <w:rPr>
          <w:lang w:val="es-ES_tradnl"/>
        </w:rPr>
        <w:t xml:space="preserve"> mayor coherencia y coordinación.</w:t>
      </w:r>
    </w:p>
    <w:p w14:paraId="58224EAC" w14:textId="59585B91" w:rsidR="00CF1568" w:rsidRPr="00D52EF5" w:rsidRDefault="00D46F82" w:rsidP="00CF1568">
      <w:pPr>
        <w:pStyle w:val="Para1"/>
        <w:numPr>
          <w:ilvl w:val="0"/>
          <w:numId w:val="13"/>
        </w:numPr>
        <w:suppressLineNumbers/>
        <w:tabs>
          <w:tab w:val="clear" w:pos="360"/>
        </w:tabs>
        <w:suppressAutoHyphens/>
        <w:spacing w:before="120"/>
        <w:rPr>
          <w:lang w:val="es-ES_tradnl"/>
        </w:rPr>
      </w:pPr>
      <w:r w:rsidRPr="00D52EF5">
        <w:rPr>
          <w:lang w:val="es-ES_tradnl"/>
        </w:rPr>
        <w:t>También es crucial que l</w:t>
      </w:r>
      <w:r w:rsidR="005C5899" w:rsidRPr="00D52EF5">
        <w:rPr>
          <w:lang w:val="es-ES_tradnl"/>
        </w:rPr>
        <w:t xml:space="preserve">a protección de la diversidad biológica </w:t>
      </w:r>
      <w:r w:rsidRPr="00D52EF5">
        <w:rPr>
          <w:lang w:val="es-ES_tradnl"/>
        </w:rPr>
        <w:t xml:space="preserve">esté contemplada </w:t>
      </w:r>
      <w:r w:rsidR="005C5899" w:rsidRPr="00D52EF5">
        <w:rPr>
          <w:lang w:val="es-ES_tradnl"/>
        </w:rPr>
        <w:t>en la</w:t>
      </w:r>
      <w:r w:rsidRPr="00D52EF5">
        <w:rPr>
          <w:lang w:val="es-ES_tradnl"/>
        </w:rPr>
        <w:t xml:space="preserve"> cooperación para el desarrollo; en tal sentido, la Unión Europea ha incorporado el medio ambiente y el cambio climático. Toda actuación de cooperación para el desarrollo es objeto, pues, de un examen previo obligatorio de los posibles impactos e</w:t>
      </w:r>
      <w:r w:rsidR="00CF1568" w:rsidRPr="00D52EF5">
        <w:rPr>
          <w:lang w:val="es-ES_tradnl"/>
        </w:rPr>
        <w:t xml:space="preserve">n </w:t>
      </w:r>
      <w:r w:rsidR="00982998" w:rsidRPr="00D52EF5">
        <w:rPr>
          <w:lang w:val="es-ES_tradnl"/>
        </w:rPr>
        <w:t>zonas protegidas o vulnerables y los</w:t>
      </w:r>
      <w:r w:rsidRPr="00D52EF5">
        <w:rPr>
          <w:lang w:val="es-ES_tradnl"/>
        </w:rPr>
        <w:t xml:space="preserve"> servicios </w:t>
      </w:r>
      <w:r w:rsidR="00982998" w:rsidRPr="00D52EF5">
        <w:rPr>
          <w:lang w:val="es-ES_tradnl"/>
        </w:rPr>
        <w:t>de</w:t>
      </w:r>
      <w:r w:rsidRPr="00D52EF5">
        <w:rPr>
          <w:lang w:val="es-ES_tradnl"/>
        </w:rPr>
        <w:t xml:space="preserve"> los ecosistemas</w:t>
      </w:r>
      <w:r w:rsidR="00CF1568" w:rsidRPr="00D52EF5">
        <w:rPr>
          <w:lang w:val="es-ES_tradnl"/>
        </w:rPr>
        <w:t xml:space="preserve">, </w:t>
      </w:r>
      <w:r w:rsidR="00982998" w:rsidRPr="00D52EF5">
        <w:rPr>
          <w:lang w:val="es-ES_tradnl"/>
        </w:rPr>
        <w:t xml:space="preserve">así como de </w:t>
      </w:r>
      <w:r w:rsidR="004844DB" w:rsidRPr="00D52EF5">
        <w:rPr>
          <w:lang w:val="es-ES_tradnl"/>
        </w:rPr>
        <w:t xml:space="preserve">la introducción de especies </w:t>
      </w:r>
      <w:r w:rsidRPr="00D52EF5">
        <w:rPr>
          <w:lang w:val="es-ES_tradnl"/>
        </w:rPr>
        <w:t>exóticas</w:t>
      </w:r>
      <w:r w:rsidR="00CF1568" w:rsidRPr="00D52EF5">
        <w:rPr>
          <w:lang w:val="es-ES_tradnl"/>
        </w:rPr>
        <w:t xml:space="preserve">, </w:t>
      </w:r>
      <w:r w:rsidRPr="00D52EF5">
        <w:rPr>
          <w:lang w:val="es-ES_tradnl"/>
        </w:rPr>
        <w:t xml:space="preserve">y </w:t>
      </w:r>
      <w:r w:rsidR="00982998" w:rsidRPr="00D52EF5">
        <w:rPr>
          <w:lang w:val="es-ES_tradnl"/>
        </w:rPr>
        <w:t>d</w:t>
      </w:r>
      <w:r w:rsidRPr="00D52EF5">
        <w:rPr>
          <w:lang w:val="es-ES_tradnl"/>
        </w:rPr>
        <w:t>el uso de fertilizantes, insecticidas u ot</w:t>
      </w:r>
      <w:r w:rsidR="004844DB" w:rsidRPr="00D52EF5">
        <w:rPr>
          <w:lang w:val="es-ES_tradnl"/>
        </w:rPr>
        <w:t>r</w:t>
      </w:r>
      <w:r w:rsidR="00F934DB" w:rsidRPr="00D52EF5">
        <w:rPr>
          <w:lang w:val="es-ES_tradnl"/>
        </w:rPr>
        <w:t>as sust</w:t>
      </w:r>
      <w:r w:rsidRPr="00D52EF5">
        <w:rPr>
          <w:lang w:val="es-ES_tradnl"/>
        </w:rPr>
        <w:t>a</w:t>
      </w:r>
      <w:r w:rsidR="00F934DB" w:rsidRPr="00D52EF5">
        <w:rPr>
          <w:lang w:val="es-ES_tradnl"/>
        </w:rPr>
        <w:t>n</w:t>
      </w:r>
      <w:r w:rsidRPr="00D52EF5">
        <w:rPr>
          <w:lang w:val="es-ES_tradnl"/>
        </w:rPr>
        <w:t>cias químicas</w:t>
      </w:r>
      <w:r w:rsidR="00CF1568" w:rsidRPr="00D52EF5">
        <w:rPr>
          <w:lang w:val="es-ES_tradnl"/>
        </w:rPr>
        <w:t>.</w:t>
      </w:r>
    </w:p>
    <w:p w14:paraId="37310CCE" w14:textId="5E91BFF2" w:rsidR="00CF1568" w:rsidRPr="00D52EF5" w:rsidRDefault="00C51FD3" w:rsidP="00CF1568">
      <w:pPr>
        <w:pStyle w:val="Para1"/>
        <w:numPr>
          <w:ilvl w:val="0"/>
          <w:numId w:val="13"/>
        </w:numPr>
        <w:suppressLineNumbers/>
        <w:tabs>
          <w:tab w:val="clear" w:pos="360"/>
        </w:tabs>
        <w:suppressAutoHyphens/>
        <w:spacing w:before="120"/>
        <w:rPr>
          <w:lang w:val="es-ES_tradnl"/>
        </w:rPr>
      </w:pPr>
      <w:r w:rsidRPr="00D52EF5">
        <w:rPr>
          <w:lang w:val="es-ES_tradnl"/>
        </w:rPr>
        <w:t xml:space="preserve">Por lo que respecta a </w:t>
      </w:r>
      <w:r w:rsidR="00B643DB" w:rsidRPr="00D52EF5">
        <w:rPr>
          <w:lang w:val="es-ES_tradnl"/>
        </w:rPr>
        <w:t xml:space="preserve">otras medidas </w:t>
      </w:r>
      <w:r w:rsidRPr="00D52EF5">
        <w:rPr>
          <w:lang w:val="es-ES_tradnl"/>
        </w:rPr>
        <w:t>que podrían adoptarse e</w:t>
      </w:r>
      <w:r w:rsidR="00CF1568" w:rsidRPr="00D52EF5">
        <w:rPr>
          <w:lang w:val="es-ES_tradnl"/>
        </w:rPr>
        <w:t>n rela</w:t>
      </w:r>
      <w:r w:rsidRPr="00D52EF5">
        <w:rPr>
          <w:lang w:val="es-ES_tradnl"/>
        </w:rPr>
        <w:t>c</w:t>
      </w:r>
      <w:r w:rsidR="00CF1568" w:rsidRPr="00D52EF5">
        <w:rPr>
          <w:lang w:val="es-ES_tradnl"/>
        </w:rPr>
        <w:t>i</w:t>
      </w:r>
      <w:r w:rsidRPr="00D52EF5">
        <w:rPr>
          <w:lang w:val="es-ES_tradnl"/>
        </w:rPr>
        <w:t>ó</w:t>
      </w:r>
      <w:r w:rsidR="00CF1568" w:rsidRPr="00D52EF5">
        <w:rPr>
          <w:lang w:val="es-ES_tradnl"/>
        </w:rPr>
        <w:t xml:space="preserve">n </w:t>
      </w:r>
      <w:r w:rsidRPr="00D52EF5">
        <w:rPr>
          <w:lang w:val="es-ES_tradnl"/>
        </w:rPr>
        <w:t xml:space="preserve">con el objetivo </w:t>
      </w:r>
      <w:r w:rsidR="00CF1568" w:rsidRPr="00D52EF5">
        <w:rPr>
          <w:lang w:val="es-ES_tradnl"/>
        </w:rPr>
        <w:t xml:space="preserve">5, </w:t>
      </w:r>
      <w:r w:rsidRPr="00D52EF5">
        <w:rPr>
          <w:lang w:val="es-ES_tradnl"/>
        </w:rPr>
        <w:t xml:space="preserve">pese al avance logrado en la integración de la diversidad biológica y los servicios </w:t>
      </w:r>
      <w:r w:rsidR="004F560A" w:rsidRPr="00D52EF5">
        <w:rPr>
          <w:lang w:val="es-ES_tradnl"/>
        </w:rPr>
        <w:t>de</w:t>
      </w:r>
      <w:r w:rsidRPr="00D52EF5">
        <w:rPr>
          <w:lang w:val="es-ES_tradnl"/>
        </w:rPr>
        <w:t xml:space="preserve"> los ecosistemas en los planes y prioridades de cooperación para el desarrollo, sigue necesitándose una mejor vinculación de la agenda en materia de b</w:t>
      </w:r>
      <w:r w:rsidR="00CF1568" w:rsidRPr="00D52EF5">
        <w:rPr>
          <w:lang w:val="es-ES_tradnl"/>
        </w:rPr>
        <w:t>iodiversi</w:t>
      </w:r>
      <w:r w:rsidRPr="00D52EF5">
        <w:rPr>
          <w:lang w:val="es-ES_tradnl"/>
        </w:rPr>
        <w:t xml:space="preserve">dad y la del cambio climático con la agenda de desarrollo más global de </w:t>
      </w:r>
      <w:r w:rsidRPr="00D52EF5">
        <w:rPr>
          <w:lang w:val="es-ES_tradnl"/>
        </w:rPr>
        <w:lastRenderedPageBreak/>
        <w:t>los Objetivos de Desarrollo Sostenible (ODS)</w:t>
      </w:r>
      <w:r w:rsidR="00CF1568" w:rsidRPr="00D52EF5">
        <w:rPr>
          <w:lang w:val="es-ES_tradnl"/>
        </w:rPr>
        <w:t xml:space="preserve">. </w:t>
      </w:r>
      <w:r w:rsidRPr="00D52EF5">
        <w:rPr>
          <w:lang w:val="es-ES_tradnl"/>
        </w:rPr>
        <w:t>Los flujos de c</w:t>
      </w:r>
      <w:r w:rsidR="00CF1568" w:rsidRPr="00D52EF5">
        <w:rPr>
          <w:lang w:val="es-ES_tradnl"/>
        </w:rPr>
        <w:t xml:space="preserve">apital </w:t>
      </w:r>
      <w:r w:rsidRPr="00D52EF5">
        <w:rPr>
          <w:lang w:val="es-ES_tradnl"/>
        </w:rPr>
        <w:t xml:space="preserve">y la movilización de recursos en general </w:t>
      </w:r>
      <w:r w:rsidR="00A93BAD" w:rsidRPr="00D52EF5">
        <w:rPr>
          <w:lang w:val="es-ES_tradnl"/>
        </w:rPr>
        <w:t>siguen sin reflejar la importancia de la diversidad biológica para conseguir una gama amplia de ODS</w:t>
      </w:r>
      <w:r w:rsidR="00CF1568" w:rsidRPr="00D52EF5">
        <w:rPr>
          <w:lang w:val="es-ES_tradnl"/>
        </w:rPr>
        <w:t xml:space="preserve">, </w:t>
      </w:r>
      <w:r w:rsidR="004F560A" w:rsidRPr="00D52EF5">
        <w:rPr>
          <w:lang w:val="es-ES_tradnl"/>
        </w:rPr>
        <w:t xml:space="preserve">así </w:t>
      </w:r>
      <w:r w:rsidR="00F636B6" w:rsidRPr="00D52EF5">
        <w:rPr>
          <w:lang w:val="es-ES_tradnl"/>
        </w:rPr>
        <w:t>como</w:t>
      </w:r>
      <w:r w:rsidR="004F560A" w:rsidRPr="00D52EF5">
        <w:rPr>
          <w:lang w:val="es-ES_tradnl"/>
        </w:rPr>
        <w:t xml:space="preserve"> para </w:t>
      </w:r>
      <w:r w:rsidR="00A93BAD" w:rsidRPr="00D52EF5">
        <w:rPr>
          <w:lang w:val="es-ES_tradnl"/>
        </w:rPr>
        <w:t xml:space="preserve">el cambio </w:t>
      </w:r>
      <w:r w:rsidR="00CF1568" w:rsidRPr="00D52EF5">
        <w:rPr>
          <w:lang w:val="es-ES_tradnl"/>
        </w:rPr>
        <w:t>clim</w:t>
      </w:r>
      <w:r w:rsidR="00A93BAD" w:rsidRPr="00D52EF5">
        <w:rPr>
          <w:lang w:val="es-ES_tradnl"/>
        </w:rPr>
        <w:t>á</w:t>
      </w:r>
      <w:r w:rsidR="00CF1568" w:rsidRPr="00D52EF5">
        <w:rPr>
          <w:lang w:val="es-ES_tradnl"/>
        </w:rPr>
        <w:t>t</w:t>
      </w:r>
      <w:r w:rsidR="00A93BAD" w:rsidRPr="00D52EF5">
        <w:rPr>
          <w:lang w:val="es-ES_tradnl"/>
        </w:rPr>
        <w:t xml:space="preserve">ico, el riesgo y la prevención de desastres y las prioridades </w:t>
      </w:r>
      <w:r w:rsidR="00CF1568" w:rsidRPr="00D52EF5">
        <w:rPr>
          <w:lang w:val="es-ES_tradnl"/>
        </w:rPr>
        <w:t>social</w:t>
      </w:r>
      <w:r w:rsidR="00A93BAD" w:rsidRPr="00D52EF5">
        <w:rPr>
          <w:lang w:val="es-ES_tradnl"/>
        </w:rPr>
        <w:t>es</w:t>
      </w:r>
      <w:r w:rsidR="00CF1568" w:rsidRPr="00D52EF5">
        <w:rPr>
          <w:lang w:val="es-ES_tradnl"/>
        </w:rPr>
        <w:t xml:space="preserve"> </w:t>
      </w:r>
      <w:r w:rsidR="00A93BAD" w:rsidRPr="00D52EF5">
        <w:rPr>
          <w:lang w:val="es-ES_tradnl"/>
        </w:rPr>
        <w:t>y</w:t>
      </w:r>
      <w:r w:rsidR="00CF1568" w:rsidRPr="00D52EF5">
        <w:rPr>
          <w:lang w:val="es-ES_tradnl"/>
        </w:rPr>
        <w:t xml:space="preserve"> econ</w:t>
      </w:r>
      <w:r w:rsidR="00A93BAD" w:rsidRPr="00D52EF5">
        <w:rPr>
          <w:lang w:val="es-ES_tradnl"/>
        </w:rPr>
        <w:t>ó</w:t>
      </w:r>
      <w:r w:rsidR="00CF1568" w:rsidRPr="00D52EF5">
        <w:rPr>
          <w:lang w:val="es-ES_tradnl"/>
        </w:rPr>
        <w:t>mic</w:t>
      </w:r>
      <w:r w:rsidR="00A93BAD" w:rsidRPr="00D52EF5">
        <w:rPr>
          <w:lang w:val="es-ES_tradnl"/>
        </w:rPr>
        <w:t>as</w:t>
      </w:r>
      <w:r w:rsidR="00CF1568" w:rsidRPr="00D52EF5">
        <w:rPr>
          <w:lang w:val="es-ES_tradnl"/>
        </w:rPr>
        <w:t xml:space="preserve">, </w:t>
      </w:r>
      <w:r w:rsidR="00A93BAD" w:rsidRPr="00D52EF5">
        <w:rPr>
          <w:lang w:val="es-ES_tradnl"/>
        </w:rPr>
        <w:t>en todos los niveles</w:t>
      </w:r>
      <w:r w:rsidR="00191B3A" w:rsidRPr="00D52EF5">
        <w:rPr>
          <w:lang w:val="es-ES_tradnl"/>
        </w:rPr>
        <w:t>;</w:t>
      </w:r>
      <w:r w:rsidR="00B643DB" w:rsidRPr="00D52EF5">
        <w:rPr>
          <w:lang w:val="es-ES_tradnl"/>
        </w:rPr>
        <w:t xml:space="preserve"> tampoco </w:t>
      </w:r>
      <w:r w:rsidR="00191B3A" w:rsidRPr="00D52EF5">
        <w:rPr>
          <w:lang w:val="es-ES_tradnl"/>
        </w:rPr>
        <w:t xml:space="preserve">reflejan </w:t>
      </w:r>
      <w:r w:rsidR="00A93BAD" w:rsidRPr="00D52EF5">
        <w:rPr>
          <w:lang w:val="es-ES_tradnl"/>
        </w:rPr>
        <w:t>la importancia de las externalidades positivas de invertir en la naturaleza</w:t>
      </w:r>
      <w:r w:rsidR="00CF1568" w:rsidRPr="00D52EF5">
        <w:rPr>
          <w:lang w:val="es-ES_tradnl"/>
        </w:rPr>
        <w:t xml:space="preserve">, </w:t>
      </w:r>
      <w:r w:rsidR="00A93BAD" w:rsidRPr="00D52EF5">
        <w:rPr>
          <w:lang w:val="es-ES_tradnl"/>
        </w:rPr>
        <w:t xml:space="preserve">en </w:t>
      </w:r>
      <w:r w:rsidR="00CF1568" w:rsidRPr="00D52EF5">
        <w:rPr>
          <w:lang w:val="es-ES_tradnl"/>
        </w:rPr>
        <w:t>especial</w:t>
      </w:r>
      <w:r w:rsidR="00A93BAD" w:rsidRPr="00D52EF5">
        <w:rPr>
          <w:lang w:val="es-ES_tradnl"/>
        </w:rPr>
        <w:t xml:space="preserve"> a largo plazo</w:t>
      </w:r>
      <w:r w:rsidR="00CF1568" w:rsidRPr="00D52EF5">
        <w:rPr>
          <w:lang w:val="es-ES_tradnl"/>
        </w:rPr>
        <w:t xml:space="preserve">. </w:t>
      </w:r>
      <w:r w:rsidR="00A93BAD" w:rsidRPr="00D52EF5">
        <w:rPr>
          <w:lang w:val="es-ES_tradnl"/>
        </w:rPr>
        <w:t>Varias organizaciones han emprendido trabajos útiles para demostrar esta interconexión</w:t>
      </w:r>
      <w:r w:rsidR="00CF1568" w:rsidRPr="00D52EF5">
        <w:rPr>
          <w:lang w:val="es-ES_tradnl"/>
        </w:rPr>
        <w:t xml:space="preserve">, </w:t>
      </w:r>
      <w:r w:rsidR="00A93BAD" w:rsidRPr="00D52EF5">
        <w:rPr>
          <w:lang w:val="es-ES_tradnl"/>
        </w:rPr>
        <w:t>entre otras, la</w:t>
      </w:r>
      <w:r w:rsidR="00CF1568" w:rsidRPr="00D52EF5">
        <w:rPr>
          <w:lang w:val="es-ES_tradnl"/>
        </w:rPr>
        <w:t xml:space="preserve"> Secretar</w:t>
      </w:r>
      <w:r w:rsidR="00D322D3" w:rsidRPr="00D52EF5">
        <w:rPr>
          <w:lang w:val="es-ES_tradnl"/>
        </w:rPr>
        <w:t>í</w:t>
      </w:r>
      <w:r w:rsidR="00CF1568" w:rsidRPr="00D52EF5">
        <w:rPr>
          <w:lang w:val="es-ES_tradnl"/>
        </w:rPr>
        <w:t xml:space="preserve">a </w:t>
      </w:r>
      <w:r w:rsidR="00D322D3" w:rsidRPr="00D52EF5">
        <w:rPr>
          <w:lang w:val="es-ES_tradnl"/>
        </w:rPr>
        <w:t>del Convenio sobre la Diversidad Biológica, en colaboración con el PNUMA</w:t>
      </w:r>
      <w:r w:rsidR="00CF1568" w:rsidRPr="00D52EF5">
        <w:rPr>
          <w:lang w:val="es-ES_tradnl"/>
        </w:rPr>
        <w:t>,</w:t>
      </w:r>
      <w:r w:rsidR="00A93BAD" w:rsidRPr="00D52EF5">
        <w:rPr>
          <w:lang w:val="es-ES_tradnl"/>
        </w:rPr>
        <w:t xml:space="preserve"> </w:t>
      </w:r>
      <w:r w:rsidR="00D322D3" w:rsidRPr="00D52EF5">
        <w:rPr>
          <w:lang w:val="es-ES_tradnl"/>
        </w:rPr>
        <w:t>el PNUD</w:t>
      </w:r>
      <w:r w:rsidR="00CF1568" w:rsidRPr="00D52EF5">
        <w:rPr>
          <w:lang w:val="es-ES_tradnl"/>
        </w:rPr>
        <w:t xml:space="preserve">, </w:t>
      </w:r>
      <w:r w:rsidR="00D322D3" w:rsidRPr="00D52EF5">
        <w:rPr>
          <w:lang w:val="es-ES_tradnl"/>
        </w:rPr>
        <w:t>la Organización de las Naciones Unidas para la Alimentación y la</w:t>
      </w:r>
      <w:r w:rsidR="00CF1568" w:rsidRPr="00D52EF5">
        <w:rPr>
          <w:lang w:val="es-ES_tradnl"/>
        </w:rPr>
        <w:t xml:space="preserve"> Agricultur</w:t>
      </w:r>
      <w:r w:rsidR="00D322D3" w:rsidRPr="00D52EF5">
        <w:rPr>
          <w:lang w:val="es-ES_tradnl"/>
        </w:rPr>
        <w:t>a</w:t>
      </w:r>
      <w:r w:rsidR="00CF1568" w:rsidRPr="00D52EF5">
        <w:rPr>
          <w:lang w:val="es-ES_tradnl"/>
        </w:rPr>
        <w:t xml:space="preserve"> (FAO), </w:t>
      </w:r>
      <w:r w:rsidR="00D322D3" w:rsidRPr="00D52EF5">
        <w:rPr>
          <w:lang w:val="es-ES_tradnl"/>
        </w:rPr>
        <w:t xml:space="preserve">y </w:t>
      </w:r>
      <w:r w:rsidR="00CF1568" w:rsidRPr="00D52EF5">
        <w:rPr>
          <w:lang w:val="es-ES_tradnl"/>
        </w:rPr>
        <w:t>e</w:t>
      </w:r>
      <w:r w:rsidR="00D322D3" w:rsidRPr="00D52EF5">
        <w:rPr>
          <w:lang w:val="es-ES_tradnl"/>
        </w:rPr>
        <w:t>l Banco Mundial</w:t>
      </w:r>
      <w:r w:rsidR="00CF1568" w:rsidRPr="00D52EF5">
        <w:rPr>
          <w:rStyle w:val="FootnoteReference"/>
          <w:lang w:val="es-ES_tradnl"/>
        </w:rPr>
        <w:footnoteReference w:id="23"/>
      </w:r>
      <w:r w:rsidR="00D322D3" w:rsidRPr="00D52EF5">
        <w:rPr>
          <w:lang w:val="es-ES_tradnl"/>
        </w:rPr>
        <w:t>.</w:t>
      </w:r>
    </w:p>
    <w:p w14:paraId="6FC4F906" w14:textId="446A3A5B" w:rsidR="00CF1568" w:rsidRPr="00D52EF5" w:rsidRDefault="003B35B3" w:rsidP="00CF1568">
      <w:pPr>
        <w:pStyle w:val="Heading4"/>
        <w:suppressLineNumbers/>
        <w:suppressAutoHyphens/>
        <w:rPr>
          <w:rFonts w:ascii="Times New Roman" w:hAnsi="Times New Roman" w:cs="Times New Roman"/>
          <w:i w:val="0"/>
          <w:lang w:val="es-ES_tradnl"/>
        </w:rPr>
      </w:pPr>
      <w:r w:rsidRPr="00D52EF5">
        <w:rPr>
          <w:rFonts w:ascii="Times New Roman" w:hAnsi="Times New Roman" w:cs="Times New Roman"/>
          <w:i w:val="0"/>
          <w:lang w:val="es-ES_tradnl"/>
        </w:rPr>
        <w:t>Objetivo</w:t>
      </w:r>
      <w:r w:rsidR="00CF1568" w:rsidRPr="00D52EF5">
        <w:rPr>
          <w:rFonts w:ascii="Times New Roman" w:hAnsi="Times New Roman" w:cs="Times New Roman"/>
          <w:i w:val="0"/>
          <w:lang w:val="es-ES_tradnl"/>
        </w:rPr>
        <w:t xml:space="preserve"> 6: </w:t>
      </w:r>
      <w:r w:rsidRPr="00D52EF5">
        <w:rPr>
          <w:rFonts w:ascii="Times New Roman" w:hAnsi="Times New Roman" w:cs="Times New Roman"/>
          <w:i w:val="0"/>
          <w:lang w:val="es-ES_tradnl"/>
        </w:rPr>
        <w:t>Crear capacidad para la movilización y utilización de recursos, y promover la cooperación Sur-Sur como un complemento necesario para la cooperación Norte-Sur</w:t>
      </w:r>
    </w:p>
    <w:p w14:paraId="7292523D" w14:textId="6000D196" w:rsidR="00CF1568" w:rsidRPr="00D52EF5" w:rsidRDefault="005E2973" w:rsidP="00CF1568">
      <w:pPr>
        <w:pStyle w:val="Para1"/>
        <w:numPr>
          <w:ilvl w:val="0"/>
          <w:numId w:val="13"/>
        </w:numPr>
        <w:suppressLineNumbers/>
        <w:tabs>
          <w:tab w:val="clear" w:pos="360"/>
        </w:tabs>
        <w:suppressAutoHyphens/>
        <w:spacing w:before="120"/>
        <w:rPr>
          <w:lang w:val="es-ES_tradnl"/>
        </w:rPr>
      </w:pPr>
      <w:r w:rsidRPr="00D52EF5">
        <w:rPr>
          <w:lang w:val="es-ES_tradnl"/>
        </w:rPr>
        <w:t>En relación con los flujos de financiación Sur-Sur destinados a la diversidad biológica</w:t>
      </w:r>
      <w:r w:rsidR="00CF1568" w:rsidRPr="00D52EF5">
        <w:rPr>
          <w:lang w:val="es-ES_tradnl"/>
        </w:rPr>
        <w:t xml:space="preserve">, </w:t>
      </w:r>
      <w:r w:rsidRPr="00D52EF5">
        <w:rPr>
          <w:lang w:val="es-ES_tradnl"/>
        </w:rPr>
        <w:t xml:space="preserve">una serie de países no pertenecientes al </w:t>
      </w:r>
      <w:r w:rsidR="00CF1568" w:rsidRPr="00D52EF5">
        <w:rPr>
          <w:lang w:val="es-ES_tradnl"/>
        </w:rPr>
        <w:t>DAC</w:t>
      </w:r>
      <w:r w:rsidRPr="00D52EF5">
        <w:rPr>
          <w:lang w:val="es-ES_tradnl"/>
        </w:rPr>
        <w:t xml:space="preserve"> dieron cuenta de los suyos e</w:t>
      </w:r>
      <w:r w:rsidR="00CF1568" w:rsidRPr="00D52EF5">
        <w:rPr>
          <w:lang w:val="es-ES_tradnl"/>
        </w:rPr>
        <w:t xml:space="preserve">n </w:t>
      </w:r>
      <w:r w:rsidRPr="00D52EF5">
        <w:rPr>
          <w:lang w:val="es-ES_tradnl"/>
        </w:rPr>
        <w:t>el marco de presentación de informes financieros</w:t>
      </w:r>
      <w:r w:rsidR="00CF1568" w:rsidRPr="00D52EF5">
        <w:rPr>
          <w:lang w:val="es-ES_tradnl"/>
        </w:rPr>
        <w:t xml:space="preserve">, </w:t>
      </w:r>
      <w:r w:rsidRPr="00D52EF5">
        <w:rPr>
          <w:lang w:val="es-ES_tradnl"/>
        </w:rPr>
        <w:t xml:space="preserve">entre otros, </w:t>
      </w:r>
      <w:r w:rsidR="00CF1568" w:rsidRPr="00D52EF5">
        <w:rPr>
          <w:kern w:val="22"/>
          <w:szCs w:val="22"/>
          <w:lang w:val="es-ES_tradnl"/>
        </w:rPr>
        <w:t xml:space="preserve">China, India </w:t>
      </w:r>
      <w:r w:rsidRPr="00D52EF5">
        <w:rPr>
          <w:kern w:val="22"/>
          <w:szCs w:val="22"/>
          <w:lang w:val="es-ES_tradnl"/>
        </w:rPr>
        <w:t>y</w:t>
      </w:r>
      <w:r w:rsidR="00CF1568" w:rsidRPr="00D52EF5">
        <w:rPr>
          <w:kern w:val="22"/>
          <w:szCs w:val="22"/>
          <w:lang w:val="es-ES_tradnl"/>
        </w:rPr>
        <w:t xml:space="preserve"> M</w:t>
      </w:r>
      <w:r w:rsidRPr="00D52EF5">
        <w:rPr>
          <w:kern w:val="22"/>
          <w:szCs w:val="22"/>
          <w:lang w:val="es-ES_tradnl"/>
        </w:rPr>
        <w:t>é</w:t>
      </w:r>
      <w:r w:rsidR="00CF1568" w:rsidRPr="00D52EF5">
        <w:rPr>
          <w:kern w:val="22"/>
          <w:szCs w:val="22"/>
          <w:lang w:val="es-ES_tradnl"/>
        </w:rPr>
        <w:t xml:space="preserve">xico, </w:t>
      </w:r>
      <w:r w:rsidRPr="00D52EF5">
        <w:rPr>
          <w:kern w:val="22"/>
          <w:szCs w:val="22"/>
          <w:lang w:val="es-ES_tradnl"/>
        </w:rPr>
        <w:t>aunque los dos últimos solo de modo cualitativo, haciendo referencia a sus programas de cooperación para el desarrollo y señalando las limitaciones metodológicas para</w:t>
      </w:r>
      <w:r w:rsidR="00CF1568" w:rsidRPr="00D52EF5">
        <w:rPr>
          <w:kern w:val="22"/>
          <w:szCs w:val="22"/>
          <w:lang w:val="es-ES_tradnl"/>
        </w:rPr>
        <w:t xml:space="preserve"> </w:t>
      </w:r>
      <w:r w:rsidR="001D367C" w:rsidRPr="00D52EF5">
        <w:rPr>
          <w:kern w:val="22"/>
          <w:szCs w:val="22"/>
          <w:lang w:val="es-ES_tradnl"/>
        </w:rPr>
        <w:t>precisa</w:t>
      </w:r>
      <w:r w:rsidRPr="00D52EF5">
        <w:rPr>
          <w:kern w:val="22"/>
          <w:szCs w:val="22"/>
          <w:lang w:val="es-ES_tradnl"/>
        </w:rPr>
        <w:t>r los flujos de capital en la materia</w:t>
      </w:r>
      <w:r w:rsidR="00CF1568" w:rsidRPr="00D52EF5">
        <w:rPr>
          <w:kern w:val="22"/>
          <w:szCs w:val="22"/>
          <w:lang w:val="es-ES_tradnl"/>
        </w:rPr>
        <w:t>.</w:t>
      </w:r>
    </w:p>
    <w:p w14:paraId="7269E020" w14:textId="365642E5" w:rsidR="00CF1568" w:rsidRPr="00D52EF5" w:rsidRDefault="00CF1568" w:rsidP="00CF1568">
      <w:pPr>
        <w:pStyle w:val="Para1"/>
        <w:numPr>
          <w:ilvl w:val="0"/>
          <w:numId w:val="13"/>
        </w:numPr>
        <w:suppressLineNumbers/>
        <w:tabs>
          <w:tab w:val="clear" w:pos="360"/>
        </w:tabs>
        <w:suppressAutoHyphens/>
        <w:spacing w:before="120"/>
        <w:rPr>
          <w:lang w:val="es-ES_tradnl"/>
        </w:rPr>
      </w:pPr>
      <w:r w:rsidRPr="00D52EF5">
        <w:rPr>
          <w:kern w:val="22"/>
          <w:szCs w:val="22"/>
          <w:lang w:val="es-ES_tradnl"/>
        </w:rPr>
        <w:t xml:space="preserve">China </w:t>
      </w:r>
      <w:r w:rsidR="00954106" w:rsidRPr="00D52EF5">
        <w:rPr>
          <w:kern w:val="22"/>
          <w:szCs w:val="22"/>
          <w:lang w:val="es-ES_tradnl"/>
        </w:rPr>
        <w:t>fue una de dich</w:t>
      </w:r>
      <w:r w:rsidR="001D367C" w:rsidRPr="00D52EF5">
        <w:rPr>
          <w:kern w:val="22"/>
          <w:szCs w:val="22"/>
          <w:lang w:val="es-ES_tradnl"/>
        </w:rPr>
        <w:t>as Partes</w:t>
      </w:r>
      <w:r w:rsidR="00954106" w:rsidRPr="00D52EF5">
        <w:rPr>
          <w:kern w:val="22"/>
          <w:szCs w:val="22"/>
          <w:lang w:val="es-ES_tradnl"/>
        </w:rPr>
        <w:t>, y</w:t>
      </w:r>
      <w:r w:rsidR="001D367C" w:rsidRPr="00D52EF5">
        <w:rPr>
          <w:kern w:val="22"/>
          <w:szCs w:val="22"/>
          <w:lang w:val="es-ES_tradnl"/>
        </w:rPr>
        <w:t xml:space="preserve"> remitió datos para</w:t>
      </w:r>
      <w:r w:rsidRPr="00D52EF5">
        <w:rPr>
          <w:kern w:val="22"/>
          <w:szCs w:val="22"/>
          <w:lang w:val="es-ES_tradnl"/>
        </w:rPr>
        <w:t xml:space="preserve"> 2015</w:t>
      </w:r>
      <w:r w:rsidR="003C7CA9" w:rsidRPr="00D52EF5">
        <w:rPr>
          <w:kern w:val="22"/>
          <w:szCs w:val="22"/>
          <w:lang w:val="es-ES_tradnl"/>
        </w:rPr>
        <w:t xml:space="preserve"> </w:t>
      </w:r>
      <w:r w:rsidR="004F560A" w:rsidRPr="00D52EF5">
        <w:rPr>
          <w:kern w:val="22"/>
          <w:szCs w:val="22"/>
          <w:lang w:val="es-ES_tradnl"/>
        </w:rPr>
        <w:t xml:space="preserve">de cuantías </w:t>
      </w:r>
      <w:r w:rsidR="003C7CA9" w:rsidRPr="00D52EF5">
        <w:rPr>
          <w:kern w:val="22"/>
          <w:szCs w:val="22"/>
          <w:lang w:val="es-ES_tradnl"/>
        </w:rPr>
        <w:t xml:space="preserve">que al menos duplicaban sus flujos financieros </w:t>
      </w:r>
      <w:r w:rsidRPr="00D52EF5">
        <w:rPr>
          <w:kern w:val="22"/>
          <w:szCs w:val="22"/>
          <w:lang w:val="es-ES_tradnl"/>
        </w:rPr>
        <w:t>interna</w:t>
      </w:r>
      <w:r w:rsidR="003C7CA9" w:rsidRPr="00D52EF5">
        <w:rPr>
          <w:kern w:val="22"/>
          <w:szCs w:val="22"/>
          <w:lang w:val="es-ES_tradnl"/>
        </w:rPr>
        <w:t>c</w:t>
      </w:r>
      <w:r w:rsidRPr="00D52EF5">
        <w:rPr>
          <w:kern w:val="22"/>
          <w:szCs w:val="22"/>
          <w:lang w:val="es-ES_tradnl"/>
        </w:rPr>
        <w:t>ional</w:t>
      </w:r>
      <w:r w:rsidR="003C7CA9" w:rsidRPr="00D52EF5">
        <w:rPr>
          <w:kern w:val="22"/>
          <w:szCs w:val="22"/>
          <w:lang w:val="es-ES_tradnl"/>
        </w:rPr>
        <w:t>es</w:t>
      </w:r>
      <w:r w:rsidRPr="00D52EF5">
        <w:rPr>
          <w:kern w:val="22"/>
          <w:szCs w:val="22"/>
          <w:lang w:val="es-ES_tradnl"/>
        </w:rPr>
        <w:t xml:space="preserve">, </w:t>
      </w:r>
      <w:r w:rsidR="003C7CA9" w:rsidRPr="00D52EF5">
        <w:rPr>
          <w:kern w:val="22"/>
          <w:szCs w:val="22"/>
          <w:lang w:val="es-ES_tradnl"/>
        </w:rPr>
        <w:t xml:space="preserve">en concordancia con lo previsto en la meta </w:t>
      </w:r>
      <w:r w:rsidRPr="00D52EF5">
        <w:rPr>
          <w:kern w:val="22"/>
          <w:szCs w:val="22"/>
          <w:lang w:val="es-ES_tradnl"/>
        </w:rPr>
        <w:t xml:space="preserve">1 a). </w:t>
      </w:r>
      <w:r w:rsidR="004F560A" w:rsidRPr="00D52EF5">
        <w:rPr>
          <w:kern w:val="22"/>
          <w:szCs w:val="22"/>
          <w:lang w:val="es-ES_tradnl"/>
        </w:rPr>
        <w:t>C</w:t>
      </w:r>
      <w:r w:rsidR="003C7CA9" w:rsidRPr="00D52EF5">
        <w:rPr>
          <w:kern w:val="22"/>
          <w:szCs w:val="22"/>
          <w:lang w:val="es-ES_tradnl"/>
        </w:rPr>
        <w:t xml:space="preserve">omunicó también que </w:t>
      </w:r>
      <w:r w:rsidR="004F560A" w:rsidRPr="00D52EF5">
        <w:rPr>
          <w:kern w:val="22"/>
          <w:szCs w:val="22"/>
          <w:lang w:val="es-ES_tradnl"/>
        </w:rPr>
        <w:t>utiliz</w:t>
      </w:r>
      <w:r w:rsidR="003C7CA9" w:rsidRPr="00D52EF5">
        <w:rPr>
          <w:kern w:val="22"/>
          <w:szCs w:val="22"/>
          <w:lang w:val="es-ES_tradnl"/>
        </w:rPr>
        <w:t xml:space="preserve">a una serie de normas y orientaciones de aplicación voluntaria para las inversiones y operaciones </w:t>
      </w:r>
      <w:r w:rsidR="004F560A" w:rsidRPr="00D52EF5">
        <w:rPr>
          <w:kern w:val="22"/>
          <w:szCs w:val="22"/>
          <w:lang w:val="es-ES_tradnl"/>
        </w:rPr>
        <w:t xml:space="preserve">internacionales </w:t>
      </w:r>
      <w:r w:rsidR="003C7CA9" w:rsidRPr="00D52EF5">
        <w:rPr>
          <w:kern w:val="22"/>
          <w:szCs w:val="22"/>
          <w:lang w:val="es-ES_tradnl"/>
        </w:rPr>
        <w:t>de empresas chinas</w:t>
      </w:r>
      <w:r w:rsidRPr="00D52EF5">
        <w:rPr>
          <w:kern w:val="22"/>
          <w:szCs w:val="22"/>
          <w:lang w:val="es-ES_tradnl"/>
        </w:rPr>
        <w:t xml:space="preserve">, </w:t>
      </w:r>
      <w:r w:rsidR="003C7CA9" w:rsidRPr="00D52EF5">
        <w:rPr>
          <w:kern w:val="22"/>
          <w:szCs w:val="22"/>
          <w:lang w:val="es-ES_tradnl"/>
        </w:rPr>
        <w:t>con miras a propiciar el cumplimiento de sus responsabilidades medioamb</w:t>
      </w:r>
      <w:r w:rsidR="00954106" w:rsidRPr="00D52EF5">
        <w:rPr>
          <w:kern w:val="22"/>
          <w:szCs w:val="22"/>
          <w:lang w:val="es-ES_tradnl"/>
        </w:rPr>
        <w:t>ie</w:t>
      </w:r>
      <w:r w:rsidR="003C7CA9" w:rsidRPr="00D52EF5">
        <w:rPr>
          <w:kern w:val="22"/>
          <w:szCs w:val="22"/>
          <w:lang w:val="es-ES_tradnl"/>
        </w:rPr>
        <w:t>ntales</w:t>
      </w:r>
      <w:r w:rsidRPr="00D52EF5">
        <w:rPr>
          <w:kern w:val="22"/>
          <w:szCs w:val="22"/>
          <w:lang w:val="es-ES_tradnl"/>
        </w:rPr>
        <w:t>,</w:t>
      </w:r>
      <w:r w:rsidR="003C7CA9" w:rsidRPr="00D52EF5">
        <w:rPr>
          <w:kern w:val="22"/>
          <w:szCs w:val="22"/>
          <w:lang w:val="es-ES_tradnl"/>
        </w:rPr>
        <w:t xml:space="preserve"> entre otras, la conservación de la diversidad biológica</w:t>
      </w:r>
      <w:r w:rsidRPr="00D52EF5">
        <w:rPr>
          <w:kern w:val="22"/>
          <w:szCs w:val="22"/>
          <w:lang w:val="es-ES_tradnl"/>
        </w:rPr>
        <w:t>.</w:t>
      </w:r>
    </w:p>
    <w:p w14:paraId="62C8101A" w14:textId="4CAA99D6" w:rsidR="00CF1568" w:rsidRPr="00D52EF5" w:rsidRDefault="004F3794" w:rsidP="00CF1568">
      <w:pPr>
        <w:pStyle w:val="Para1"/>
        <w:numPr>
          <w:ilvl w:val="0"/>
          <w:numId w:val="13"/>
        </w:numPr>
        <w:suppressLineNumbers/>
        <w:tabs>
          <w:tab w:val="clear" w:pos="360"/>
        </w:tabs>
        <w:suppressAutoHyphens/>
        <w:spacing w:before="120"/>
        <w:rPr>
          <w:lang w:val="es-ES_tradnl"/>
        </w:rPr>
      </w:pPr>
      <w:r w:rsidRPr="00D52EF5">
        <w:rPr>
          <w:lang w:val="es-ES_tradnl"/>
        </w:rPr>
        <w:t>Si bien se han ideado prácticas y programas excelentes, las medidas en esta esfera todavía no son suficientes</w:t>
      </w:r>
      <w:r w:rsidR="00CF1568" w:rsidRPr="00D52EF5">
        <w:rPr>
          <w:lang w:val="es-ES_tradnl"/>
        </w:rPr>
        <w:t xml:space="preserve">, </w:t>
      </w:r>
      <w:r w:rsidRPr="00D52EF5">
        <w:rPr>
          <w:lang w:val="es-ES_tradnl"/>
        </w:rPr>
        <w:t xml:space="preserve">y, con mucha frecuencia, la movilización de recursos internos </w:t>
      </w:r>
      <w:r w:rsidR="00CF1568" w:rsidRPr="00D52EF5">
        <w:rPr>
          <w:lang w:val="es-ES_tradnl"/>
        </w:rPr>
        <w:t>no refle</w:t>
      </w:r>
      <w:r w:rsidRPr="00D52EF5">
        <w:rPr>
          <w:lang w:val="es-ES_tradnl"/>
        </w:rPr>
        <w:t>ja</w:t>
      </w:r>
      <w:r w:rsidR="00CF1568" w:rsidRPr="00D52EF5">
        <w:rPr>
          <w:lang w:val="es-ES_tradnl"/>
        </w:rPr>
        <w:t xml:space="preserve"> </w:t>
      </w:r>
      <w:r w:rsidRPr="00D52EF5">
        <w:rPr>
          <w:lang w:val="es-ES_tradnl"/>
        </w:rPr>
        <w:t>la importancia económica y social de invertir en la diversidad biológica y la naturaleza</w:t>
      </w:r>
      <w:r w:rsidR="00CF1568" w:rsidRPr="00D52EF5">
        <w:rPr>
          <w:lang w:val="es-ES_tradnl"/>
        </w:rPr>
        <w:t xml:space="preserve">. </w:t>
      </w:r>
      <w:r w:rsidRPr="00D52EF5">
        <w:rPr>
          <w:lang w:val="es-ES_tradnl"/>
        </w:rPr>
        <w:t>P</w:t>
      </w:r>
      <w:r w:rsidR="00CF1568" w:rsidRPr="00D52EF5">
        <w:rPr>
          <w:lang w:val="es-ES_tradnl"/>
        </w:rPr>
        <w:t xml:space="preserve">or </w:t>
      </w:r>
      <w:r w:rsidRPr="00D52EF5">
        <w:rPr>
          <w:lang w:val="es-ES_tradnl"/>
        </w:rPr>
        <w:t>ejemplo, la Unión</w:t>
      </w:r>
      <w:r w:rsidR="00CF1568" w:rsidRPr="00D52EF5">
        <w:rPr>
          <w:lang w:val="es-ES_tradnl"/>
        </w:rPr>
        <w:t xml:space="preserve"> African</w:t>
      </w:r>
      <w:r w:rsidRPr="00D52EF5">
        <w:rPr>
          <w:lang w:val="es-ES_tradnl"/>
        </w:rPr>
        <w:t>a</w:t>
      </w:r>
      <w:r w:rsidR="00CF1568" w:rsidRPr="00D52EF5">
        <w:rPr>
          <w:lang w:val="es-ES_tradnl"/>
        </w:rPr>
        <w:t xml:space="preserve"> </w:t>
      </w:r>
      <w:r w:rsidRPr="00D52EF5">
        <w:rPr>
          <w:lang w:val="es-ES_tradnl"/>
        </w:rPr>
        <w:t xml:space="preserve">y la Nueva Alianza para el Desarrollo de África </w:t>
      </w:r>
      <w:r w:rsidR="00CF1568" w:rsidRPr="00D52EF5">
        <w:rPr>
          <w:lang w:val="es-ES_tradnl"/>
        </w:rPr>
        <w:t>(NEPAD) ha</w:t>
      </w:r>
      <w:r w:rsidRPr="00D52EF5">
        <w:rPr>
          <w:lang w:val="es-ES_tradnl"/>
        </w:rPr>
        <w:t>n invertido mu</w:t>
      </w:r>
      <w:r w:rsidR="00171D56" w:rsidRPr="00D52EF5">
        <w:rPr>
          <w:lang w:val="es-ES_tradnl"/>
        </w:rPr>
        <w:t>c</w:t>
      </w:r>
      <w:r w:rsidRPr="00D52EF5">
        <w:rPr>
          <w:lang w:val="es-ES_tradnl"/>
        </w:rPr>
        <w:t>ho en este tema en el ámbito de su continente</w:t>
      </w:r>
      <w:r w:rsidR="004F560A" w:rsidRPr="00D52EF5">
        <w:rPr>
          <w:lang w:val="es-ES_tradnl"/>
        </w:rPr>
        <w:t>,</w:t>
      </w:r>
      <w:r w:rsidRPr="00D52EF5">
        <w:rPr>
          <w:lang w:val="es-ES_tradnl"/>
        </w:rPr>
        <w:t xml:space="preserve"> y han recalcado la impor</w:t>
      </w:r>
      <w:r w:rsidR="00171D56" w:rsidRPr="00D52EF5">
        <w:rPr>
          <w:lang w:val="es-ES_tradnl"/>
        </w:rPr>
        <w:t>tancia de la continuación de es</w:t>
      </w:r>
      <w:r w:rsidRPr="00D52EF5">
        <w:rPr>
          <w:lang w:val="es-ES_tradnl"/>
        </w:rPr>
        <w:t xml:space="preserve">a cooperación </w:t>
      </w:r>
      <w:r w:rsidR="00171D56" w:rsidRPr="00D52EF5">
        <w:rPr>
          <w:lang w:val="es-ES_tradnl"/>
        </w:rPr>
        <w:t xml:space="preserve">para </w:t>
      </w:r>
      <w:r w:rsidRPr="00D52EF5">
        <w:rPr>
          <w:lang w:val="es-ES_tradnl"/>
        </w:rPr>
        <w:t xml:space="preserve">promover </w:t>
      </w:r>
      <w:r w:rsidR="00171D56" w:rsidRPr="00D52EF5">
        <w:rPr>
          <w:lang w:val="es-ES_tradnl"/>
        </w:rPr>
        <w:t xml:space="preserve">a su vez </w:t>
      </w:r>
      <w:r w:rsidRPr="00D52EF5">
        <w:rPr>
          <w:lang w:val="es-ES_tradnl"/>
        </w:rPr>
        <w:t>una mayor sinergia de las medidas en materia de cons</w:t>
      </w:r>
      <w:r w:rsidR="009F0A60" w:rsidRPr="00D52EF5">
        <w:rPr>
          <w:lang w:val="es-ES_tradnl"/>
        </w:rPr>
        <w:t>e</w:t>
      </w:r>
      <w:r w:rsidRPr="00D52EF5">
        <w:rPr>
          <w:lang w:val="es-ES_tradnl"/>
        </w:rPr>
        <w:t>rvación en toda África</w:t>
      </w:r>
      <w:r w:rsidR="00CF1568" w:rsidRPr="00D52EF5">
        <w:rPr>
          <w:lang w:val="es-ES_tradnl"/>
        </w:rPr>
        <w:t xml:space="preserve">. </w:t>
      </w:r>
      <w:r w:rsidR="004F560A" w:rsidRPr="00D52EF5">
        <w:rPr>
          <w:lang w:val="es-ES_tradnl"/>
        </w:rPr>
        <w:t>C</w:t>
      </w:r>
      <w:r w:rsidRPr="00D52EF5">
        <w:rPr>
          <w:lang w:val="es-ES_tradnl"/>
        </w:rPr>
        <w:t>o</w:t>
      </w:r>
      <w:r w:rsidR="004F560A" w:rsidRPr="00D52EF5">
        <w:rPr>
          <w:lang w:val="es-ES_tradnl"/>
        </w:rPr>
        <w:t>n todo</w:t>
      </w:r>
      <w:r w:rsidRPr="00D52EF5">
        <w:rPr>
          <w:lang w:val="es-ES_tradnl"/>
        </w:rPr>
        <w:t xml:space="preserve">, Partes como la Unión Europea estiman que la </w:t>
      </w:r>
      <w:r w:rsidR="009F0A60" w:rsidRPr="00D52EF5">
        <w:rPr>
          <w:lang w:val="es-ES_tradnl"/>
        </w:rPr>
        <w:t xml:space="preserve">aplicación de los acuerdos multilaterales sobre medio ambiente </w:t>
      </w:r>
      <w:r w:rsidR="00336B3C" w:rsidRPr="00D52EF5">
        <w:rPr>
          <w:lang w:val="es-ES_tradnl"/>
        </w:rPr>
        <w:t xml:space="preserve">siguen siendo insuficientes pese a los significativos programas de cooperación y </w:t>
      </w:r>
      <w:r w:rsidR="00171D56" w:rsidRPr="00D52EF5">
        <w:rPr>
          <w:lang w:val="es-ES_tradnl"/>
        </w:rPr>
        <w:t>a la</w:t>
      </w:r>
      <w:r w:rsidR="00E96A5C" w:rsidRPr="00D52EF5">
        <w:rPr>
          <w:lang w:val="es-ES_tradnl"/>
        </w:rPr>
        <w:t>s</w:t>
      </w:r>
      <w:r w:rsidR="00171D56" w:rsidRPr="00D52EF5">
        <w:rPr>
          <w:lang w:val="es-ES_tradnl"/>
        </w:rPr>
        <w:t xml:space="preserve"> </w:t>
      </w:r>
      <w:r w:rsidR="00E96A5C" w:rsidRPr="00D52EF5">
        <w:rPr>
          <w:lang w:val="es-ES_tradnl"/>
        </w:rPr>
        <w:t>medida</w:t>
      </w:r>
      <w:r w:rsidR="00336B3C" w:rsidRPr="00D52EF5">
        <w:rPr>
          <w:lang w:val="es-ES_tradnl"/>
        </w:rPr>
        <w:t>s de creación de capacidad en la zona</w:t>
      </w:r>
      <w:r w:rsidR="00CF1568" w:rsidRPr="00D52EF5">
        <w:rPr>
          <w:lang w:val="es-ES_tradnl"/>
        </w:rPr>
        <w:t>.</w:t>
      </w:r>
    </w:p>
    <w:p w14:paraId="301EA59D" w14:textId="5D33CC3E" w:rsidR="00CF1568" w:rsidRPr="00D52EF5" w:rsidRDefault="00440E64" w:rsidP="00CF1568">
      <w:pPr>
        <w:pStyle w:val="Para1"/>
        <w:numPr>
          <w:ilvl w:val="0"/>
          <w:numId w:val="13"/>
        </w:numPr>
        <w:suppressLineNumbers/>
        <w:tabs>
          <w:tab w:val="clear" w:pos="360"/>
        </w:tabs>
        <w:suppressAutoHyphens/>
        <w:spacing w:before="120"/>
        <w:rPr>
          <w:szCs w:val="22"/>
          <w:lang w:val="es-ES_tradnl"/>
        </w:rPr>
      </w:pPr>
      <w:r w:rsidRPr="00D52EF5">
        <w:rPr>
          <w:szCs w:val="22"/>
          <w:lang w:val="es-ES_tradnl"/>
        </w:rPr>
        <w:t>En cuanto a otras medidas que podrían adoptarse en relación con el objetivo 6</w:t>
      </w:r>
      <w:r w:rsidR="00CF1568" w:rsidRPr="00D52EF5">
        <w:rPr>
          <w:szCs w:val="22"/>
          <w:lang w:val="es-ES_tradnl"/>
        </w:rPr>
        <w:t xml:space="preserve">, </w:t>
      </w:r>
      <w:r w:rsidRPr="00D52EF5">
        <w:rPr>
          <w:szCs w:val="22"/>
          <w:lang w:val="es-ES_tradnl"/>
        </w:rPr>
        <w:t>podría haber much</w:t>
      </w:r>
      <w:r w:rsidR="00CB41C6" w:rsidRPr="00D52EF5">
        <w:rPr>
          <w:szCs w:val="22"/>
          <w:lang w:val="es-ES_tradnl"/>
        </w:rPr>
        <w:t xml:space="preserve">o margen para </w:t>
      </w:r>
      <w:r w:rsidR="00191B3A" w:rsidRPr="00D52EF5">
        <w:rPr>
          <w:szCs w:val="22"/>
          <w:lang w:val="es-ES_tradnl"/>
        </w:rPr>
        <w:t xml:space="preserve">que </w:t>
      </w:r>
      <w:r w:rsidR="00CB41C6" w:rsidRPr="00D52EF5">
        <w:rPr>
          <w:szCs w:val="22"/>
          <w:lang w:val="es-ES_tradnl"/>
        </w:rPr>
        <w:t>l</w:t>
      </w:r>
      <w:r w:rsidRPr="00D52EF5">
        <w:rPr>
          <w:szCs w:val="22"/>
          <w:lang w:val="es-ES_tradnl"/>
        </w:rPr>
        <w:t xml:space="preserve">a cooperación Sur-Sur </w:t>
      </w:r>
      <w:r w:rsidR="00CF1568" w:rsidRPr="00D52EF5">
        <w:rPr>
          <w:szCs w:val="22"/>
          <w:lang w:val="es-ES_tradnl"/>
        </w:rPr>
        <w:t>complement</w:t>
      </w:r>
      <w:r w:rsidRPr="00D52EF5">
        <w:rPr>
          <w:szCs w:val="22"/>
          <w:lang w:val="es-ES_tradnl"/>
        </w:rPr>
        <w:t>ara la cooperación</w:t>
      </w:r>
      <w:r w:rsidR="00CF1568" w:rsidRPr="00D52EF5">
        <w:rPr>
          <w:szCs w:val="22"/>
          <w:lang w:val="es-ES_tradnl"/>
        </w:rPr>
        <w:t xml:space="preserve"> Nort</w:t>
      </w:r>
      <w:r w:rsidRPr="00D52EF5">
        <w:rPr>
          <w:szCs w:val="22"/>
          <w:lang w:val="es-ES_tradnl"/>
        </w:rPr>
        <w:t>e</w:t>
      </w:r>
      <w:r w:rsidR="00CF1568" w:rsidRPr="00D52EF5">
        <w:rPr>
          <w:szCs w:val="22"/>
          <w:lang w:val="es-ES_tradnl"/>
        </w:rPr>
        <w:t>-Su</w:t>
      </w:r>
      <w:r w:rsidRPr="00D52EF5">
        <w:rPr>
          <w:szCs w:val="22"/>
          <w:lang w:val="es-ES_tradnl"/>
        </w:rPr>
        <w:t>r</w:t>
      </w:r>
      <w:r w:rsidR="00CF1568" w:rsidRPr="00D52EF5">
        <w:rPr>
          <w:szCs w:val="22"/>
          <w:lang w:val="es-ES_tradnl"/>
        </w:rPr>
        <w:t xml:space="preserve">, </w:t>
      </w:r>
      <w:r w:rsidR="00191B3A" w:rsidRPr="00D52EF5">
        <w:rPr>
          <w:szCs w:val="22"/>
          <w:lang w:val="es-ES_tradnl"/>
        </w:rPr>
        <w:t>y se</w:t>
      </w:r>
      <w:r w:rsidRPr="00D52EF5">
        <w:rPr>
          <w:szCs w:val="22"/>
          <w:lang w:val="es-ES_tradnl"/>
        </w:rPr>
        <w:t xml:space="preserve"> impulsar</w:t>
      </w:r>
      <w:r w:rsidR="00191B3A" w:rsidRPr="00D52EF5">
        <w:rPr>
          <w:szCs w:val="22"/>
          <w:lang w:val="es-ES_tradnl"/>
        </w:rPr>
        <w:t>an</w:t>
      </w:r>
      <w:r w:rsidRPr="00D52EF5">
        <w:rPr>
          <w:szCs w:val="22"/>
          <w:lang w:val="es-ES_tradnl"/>
        </w:rPr>
        <w:t xml:space="preserve"> medidas a nivel nacional sobre temas tales como la contabilidad del capital natural</w:t>
      </w:r>
      <w:r w:rsidR="00F15CB1" w:rsidRPr="00D52EF5">
        <w:rPr>
          <w:szCs w:val="22"/>
          <w:lang w:val="es-ES_tradnl"/>
        </w:rPr>
        <w:t xml:space="preserve">, </w:t>
      </w:r>
      <w:r w:rsidR="00CF1568" w:rsidRPr="00D52EF5">
        <w:rPr>
          <w:szCs w:val="22"/>
          <w:lang w:val="es-ES_tradnl"/>
        </w:rPr>
        <w:t>s</w:t>
      </w:r>
      <w:r w:rsidR="00F15CB1" w:rsidRPr="00D52EF5">
        <w:rPr>
          <w:szCs w:val="22"/>
          <w:lang w:val="es-ES_tradnl"/>
        </w:rPr>
        <w:t>us</w:t>
      </w:r>
      <w:r w:rsidR="00CF1568" w:rsidRPr="00D52EF5">
        <w:rPr>
          <w:szCs w:val="22"/>
          <w:lang w:val="es-ES_tradnl"/>
        </w:rPr>
        <w:t xml:space="preserve"> m</w:t>
      </w:r>
      <w:r w:rsidR="00F15CB1" w:rsidRPr="00D52EF5">
        <w:rPr>
          <w:szCs w:val="22"/>
          <w:lang w:val="es-ES_tradnl"/>
        </w:rPr>
        <w:t>é</w:t>
      </w:r>
      <w:r w:rsidR="00CF1568" w:rsidRPr="00D52EF5">
        <w:rPr>
          <w:szCs w:val="22"/>
          <w:lang w:val="es-ES_tradnl"/>
        </w:rPr>
        <w:t>tod</w:t>
      </w:r>
      <w:r w:rsidR="00F15CB1" w:rsidRPr="00D52EF5">
        <w:rPr>
          <w:szCs w:val="22"/>
          <w:lang w:val="es-ES_tradnl"/>
        </w:rPr>
        <w:t>o</w:t>
      </w:r>
      <w:r w:rsidR="00CF1568" w:rsidRPr="00D52EF5">
        <w:rPr>
          <w:szCs w:val="22"/>
          <w:lang w:val="es-ES_tradnl"/>
        </w:rPr>
        <w:t>s</w:t>
      </w:r>
      <w:r w:rsidR="00F15CB1" w:rsidRPr="00D52EF5">
        <w:rPr>
          <w:szCs w:val="22"/>
          <w:lang w:val="es-ES_tradnl"/>
        </w:rPr>
        <w:t xml:space="preserve"> e integración</w:t>
      </w:r>
      <w:r w:rsidR="00CF1568" w:rsidRPr="00D52EF5">
        <w:rPr>
          <w:szCs w:val="22"/>
          <w:lang w:val="es-ES_tradnl"/>
        </w:rPr>
        <w:t xml:space="preserve">; </w:t>
      </w:r>
      <w:r w:rsidR="0031031B" w:rsidRPr="00D52EF5">
        <w:rPr>
          <w:szCs w:val="22"/>
          <w:lang w:val="es-ES_tradnl"/>
        </w:rPr>
        <w:t xml:space="preserve">la </w:t>
      </w:r>
      <w:r w:rsidR="008709E2" w:rsidRPr="00D52EF5">
        <w:rPr>
          <w:szCs w:val="22"/>
          <w:lang w:val="es-ES_tradnl"/>
        </w:rPr>
        <w:t>formulación</w:t>
      </w:r>
      <w:r w:rsidR="001076A4" w:rsidRPr="00D52EF5">
        <w:rPr>
          <w:szCs w:val="22"/>
          <w:lang w:val="es-ES_tradnl"/>
        </w:rPr>
        <w:t xml:space="preserve"> de escenarios nacionales en relación con la diversidad biológica y sus </w:t>
      </w:r>
      <w:r w:rsidR="0031031B" w:rsidRPr="00D52EF5">
        <w:rPr>
          <w:szCs w:val="22"/>
          <w:lang w:val="es-ES_tradnl"/>
        </w:rPr>
        <w:t>aspectos económicos</w:t>
      </w:r>
      <w:r w:rsidR="001076A4" w:rsidRPr="00D52EF5">
        <w:rPr>
          <w:szCs w:val="22"/>
          <w:lang w:val="es-ES_tradnl"/>
        </w:rPr>
        <w:t xml:space="preserve"> y financi</w:t>
      </w:r>
      <w:r w:rsidR="0031031B" w:rsidRPr="00D52EF5">
        <w:rPr>
          <w:szCs w:val="22"/>
          <w:lang w:val="es-ES_tradnl"/>
        </w:rPr>
        <w:t>eros</w:t>
      </w:r>
      <w:r w:rsidR="00CF1568" w:rsidRPr="00D52EF5">
        <w:rPr>
          <w:szCs w:val="22"/>
          <w:lang w:val="es-ES_tradnl"/>
        </w:rPr>
        <w:t xml:space="preserve">; </w:t>
      </w:r>
      <w:r w:rsidR="0031031B" w:rsidRPr="00D52EF5">
        <w:rPr>
          <w:szCs w:val="22"/>
          <w:lang w:val="es-ES_tradnl"/>
        </w:rPr>
        <w:t xml:space="preserve">la </w:t>
      </w:r>
      <w:r w:rsidR="00CF1568" w:rsidRPr="00D52EF5">
        <w:rPr>
          <w:szCs w:val="22"/>
          <w:lang w:val="es-ES_tradnl"/>
        </w:rPr>
        <w:t>optimiz</w:t>
      </w:r>
      <w:r w:rsidR="001076A4" w:rsidRPr="00D52EF5">
        <w:rPr>
          <w:szCs w:val="22"/>
          <w:lang w:val="es-ES_tradnl"/>
        </w:rPr>
        <w:t>a</w:t>
      </w:r>
      <w:r w:rsidR="0031031B" w:rsidRPr="00D52EF5">
        <w:rPr>
          <w:szCs w:val="22"/>
          <w:lang w:val="es-ES_tradnl"/>
        </w:rPr>
        <w:t>ción d</w:t>
      </w:r>
      <w:r w:rsidR="001076A4" w:rsidRPr="00D52EF5">
        <w:rPr>
          <w:szCs w:val="22"/>
          <w:lang w:val="es-ES_tradnl"/>
        </w:rPr>
        <w:t xml:space="preserve">el uso de la financiación para el </w:t>
      </w:r>
      <w:r w:rsidR="008709E2" w:rsidRPr="00D52EF5">
        <w:rPr>
          <w:szCs w:val="22"/>
          <w:lang w:val="es-ES_tradnl"/>
        </w:rPr>
        <w:t>desarrollo y</w:t>
      </w:r>
      <w:r w:rsidR="001076A4" w:rsidRPr="00D52EF5">
        <w:rPr>
          <w:szCs w:val="22"/>
          <w:lang w:val="es-ES_tradnl"/>
        </w:rPr>
        <w:t xml:space="preserve"> sus efectos </w:t>
      </w:r>
      <w:r w:rsidR="0031031B" w:rsidRPr="00D52EF5">
        <w:rPr>
          <w:szCs w:val="22"/>
          <w:lang w:val="es-ES_tradnl"/>
        </w:rPr>
        <w:t>de apalancamiento</w:t>
      </w:r>
      <w:r w:rsidR="00CF1568" w:rsidRPr="00D52EF5">
        <w:rPr>
          <w:szCs w:val="22"/>
          <w:lang w:val="es-ES_tradnl"/>
        </w:rPr>
        <w:t xml:space="preserve">; </w:t>
      </w:r>
      <w:r w:rsidR="001076A4" w:rsidRPr="00D52EF5">
        <w:rPr>
          <w:szCs w:val="22"/>
          <w:lang w:val="es-ES_tradnl"/>
        </w:rPr>
        <w:t xml:space="preserve">y </w:t>
      </w:r>
      <w:r w:rsidR="0031031B" w:rsidRPr="00D52EF5">
        <w:rPr>
          <w:szCs w:val="22"/>
          <w:lang w:val="es-ES_tradnl"/>
        </w:rPr>
        <w:t xml:space="preserve">la </w:t>
      </w:r>
      <w:r w:rsidR="008D6337" w:rsidRPr="00D52EF5">
        <w:rPr>
          <w:szCs w:val="22"/>
          <w:lang w:val="es-ES_tradnl"/>
        </w:rPr>
        <w:t>efectividad</w:t>
      </w:r>
      <w:r w:rsidR="0031031B" w:rsidRPr="00D52EF5">
        <w:rPr>
          <w:szCs w:val="22"/>
          <w:lang w:val="es-ES_tradnl"/>
        </w:rPr>
        <w:t xml:space="preserve"> y el control de la aplicación de la normativa nacional para</w:t>
      </w:r>
      <w:r w:rsidR="00F3399B" w:rsidRPr="00D52EF5">
        <w:rPr>
          <w:szCs w:val="22"/>
          <w:lang w:val="es-ES_tradnl"/>
        </w:rPr>
        <w:t xml:space="preserve"> aumentar </w:t>
      </w:r>
      <w:r w:rsidR="0031031B" w:rsidRPr="00D52EF5">
        <w:rPr>
          <w:szCs w:val="22"/>
          <w:lang w:val="es-ES_tradnl"/>
        </w:rPr>
        <w:t xml:space="preserve">las </w:t>
      </w:r>
      <w:r w:rsidR="00F3399B" w:rsidRPr="00D52EF5">
        <w:rPr>
          <w:szCs w:val="22"/>
          <w:lang w:val="es-ES_tradnl"/>
        </w:rPr>
        <w:t xml:space="preserve">iniciativas </w:t>
      </w:r>
      <w:r w:rsidR="00F636B6" w:rsidRPr="00D52EF5">
        <w:rPr>
          <w:szCs w:val="22"/>
          <w:lang w:val="es-ES_tradnl"/>
        </w:rPr>
        <w:t>relacionadas</w:t>
      </w:r>
      <w:r w:rsidR="00F3399B" w:rsidRPr="00D52EF5">
        <w:rPr>
          <w:szCs w:val="22"/>
          <w:lang w:val="es-ES_tradnl"/>
        </w:rPr>
        <w:t xml:space="preserve"> con</w:t>
      </w:r>
      <w:r w:rsidR="0031031B" w:rsidRPr="00D52EF5">
        <w:rPr>
          <w:szCs w:val="22"/>
          <w:lang w:val="es-ES_tradnl"/>
        </w:rPr>
        <w:t xml:space="preserve"> la diversidad biológica </w:t>
      </w:r>
      <w:r w:rsidR="00F3399B" w:rsidRPr="00D52EF5">
        <w:rPr>
          <w:szCs w:val="22"/>
          <w:lang w:val="es-ES_tradnl"/>
        </w:rPr>
        <w:t xml:space="preserve">y su </w:t>
      </w:r>
      <w:r w:rsidR="00F636B6" w:rsidRPr="00D52EF5">
        <w:rPr>
          <w:szCs w:val="22"/>
          <w:lang w:val="es-ES_tradnl"/>
        </w:rPr>
        <w:t>integración</w:t>
      </w:r>
      <w:r w:rsidR="00F3399B" w:rsidRPr="00D52EF5">
        <w:rPr>
          <w:szCs w:val="22"/>
          <w:lang w:val="es-ES_tradnl"/>
        </w:rPr>
        <w:t xml:space="preserve"> por parte de</w:t>
      </w:r>
      <w:r w:rsidR="0031031B" w:rsidRPr="00D52EF5">
        <w:rPr>
          <w:szCs w:val="22"/>
          <w:lang w:val="es-ES_tradnl"/>
        </w:rPr>
        <w:t xml:space="preserve"> los sectores de la</w:t>
      </w:r>
      <w:r w:rsidR="00CF1568" w:rsidRPr="00D52EF5">
        <w:rPr>
          <w:szCs w:val="22"/>
          <w:lang w:val="es-ES_tradnl"/>
        </w:rPr>
        <w:t xml:space="preserve"> econ</w:t>
      </w:r>
      <w:r w:rsidR="0031031B" w:rsidRPr="00D52EF5">
        <w:rPr>
          <w:szCs w:val="22"/>
          <w:lang w:val="es-ES_tradnl"/>
        </w:rPr>
        <w:t>omía</w:t>
      </w:r>
      <w:r w:rsidR="00191B3A" w:rsidRPr="00D52EF5">
        <w:rPr>
          <w:szCs w:val="22"/>
          <w:lang w:val="es-ES_tradnl"/>
        </w:rPr>
        <w:t>,</w:t>
      </w:r>
      <w:r w:rsidR="00CF1568" w:rsidRPr="00D52EF5">
        <w:rPr>
          <w:szCs w:val="22"/>
          <w:lang w:val="es-ES_tradnl"/>
        </w:rPr>
        <w:t xml:space="preserve"> </w:t>
      </w:r>
      <w:r w:rsidR="0031031B" w:rsidRPr="00D52EF5">
        <w:rPr>
          <w:szCs w:val="22"/>
          <w:lang w:val="es-ES_tradnl"/>
        </w:rPr>
        <w:t xml:space="preserve">como vía clave para reducir la presión sobre ella y sobre los costos de su protección y </w:t>
      </w:r>
      <w:r w:rsidR="00AB230D" w:rsidRPr="00D52EF5">
        <w:rPr>
          <w:szCs w:val="22"/>
          <w:lang w:val="es-ES_tradnl"/>
        </w:rPr>
        <w:t>resta</w:t>
      </w:r>
      <w:r w:rsidR="0031031B" w:rsidRPr="00D52EF5">
        <w:rPr>
          <w:szCs w:val="22"/>
          <w:lang w:val="es-ES_tradnl"/>
        </w:rPr>
        <w:t>uración</w:t>
      </w:r>
      <w:r w:rsidR="00CF1568" w:rsidRPr="00D52EF5">
        <w:rPr>
          <w:szCs w:val="22"/>
          <w:lang w:val="es-ES_tradnl"/>
        </w:rPr>
        <w:t>.</w:t>
      </w:r>
    </w:p>
    <w:p w14:paraId="22C44EA8" w14:textId="10F303AC" w:rsidR="00CF1568" w:rsidRPr="00D52EF5" w:rsidRDefault="003B35B3" w:rsidP="00CF1568">
      <w:pPr>
        <w:pStyle w:val="Heading4"/>
        <w:suppressLineNumbers/>
        <w:suppressAutoHyphens/>
        <w:rPr>
          <w:i w:val="0"/>
          <w:lang w:val="es-ES_tradnl"/>
        </w:rPr>
      </w:pPr>
      <w:r w:rsidRPr="00D52EF5">
        <w:rPr>
          <w:i w:val="0"/>
          <w:lang w:val="es-ES_tradnl"/>
        </w:rPr>
        <w:t>Objetivo</w:t>
      </w:r>
      <w:r w:rsidR="00CF1568" w:rsidRPr="00D52EF5">
        <w:rPr>
          <w:i w:val="0"/>
          <w:lang w:val="es-ES_tradnl"/>
        </w:rPr>
        <w:t xml:space="preserve"> 7: </w:t>
      </w:r>
      <w:r w:rsidRPr="00D52EF5">
        <w:rPr>
          <w:i w:val="0"/>
          <w:lang w:val="es-ES_tradnl"/>
        </w:rPr>
        <w:t>Aumentar la aplicación de iniciativas y mecanism</w:t>
      </w:r>
      <w:r w:rsidR="0091713D" w:rsidRPr="00D52EF5">
        <w:rPr>
          <w:i w:val="0"/>
          <w:lang w:val="es-ES_tradnl"/>
        </w:rPr>
        <w:t xml:space="preserve">os relacionados con el acceso </w:t>
      </w:r>
      <w:r w:rsidR="001B1B5B" w:rsidRPr="00D52EF5">
        <w:rPr>
          <w:i w:val="0"/>
          <w:lang w:val="es-ES_tradnl"/>
        </w:rPr>
        <w:t xml:space="preserve">a los recursos </w:t>
      </w:r>
      <w:r w:rsidR="0091713D" w:rsidRPr="00D52EF5">
        <w:rPr>
          <w:i w:val="0"/>
          <w:lang w:val="es-ES_tradnl"/>
        </w:rPr>
        <w:t xml:space="preserve">y </w:t>
      </w:r>
      <w:r w:rsidRPr="00D52EF5">
        <w:rPr>
          <w:i w:val="0"/>
          <w:lang w:val="es-ES_tradnl"/>
        </w:rPr>
        <w:t>participación en los beneficios para apoyar la movilización de recursos</w:t>
      </w:r>
    </w:p>
    <w:p w14:paraId="600A359B" w14:textId="08C29CF6" w:rsidR="00CF1568" w:rsidRPr="00D52EF5" w:rsidRDefault="0091713D" w:rsidP="00CF1568">
      <w:pPr>
        <w:pStyle w:val="Para1"/>
        <w:numPr>
          <w:ilvl w:val="0"/>
          <w:numId w:val="13"/>
        </w:numPr>
        <w:suppressLineNumbers/>
        <w:tabs>
          <w:tab w:val="clear" w:pos="360"/>
        </w:tabs>
        <w:suppressAutoHyphens/>
        <w:spacing w:before="120"/>
        <w:rPr>
          <w:lang w:val="es-ES_tradnl"/>
        </w:rPr>
      </w:pPr>
      <w:r w:rsidRPr="00D52EF5">
        <w:rPr>
          <w:szCs w:val="22"/>
          <w:lang w:val="es-ES_tradnl"/>
        </w:rPr>
        <w:t xml:space="preserve">Benin considera que esta cuestión es importante, pero que </w:t>
      </w:r>
      <w:r w:rsidR="00CF1568" w:rsidRPr="00D52EF5">
        <w:rPr>
          <w:szCs w:val="22"/>
          <w:lang w:val="es-ES_tradnl"/>
        </w:rPr>
        <w:t>ne</w:t>
      </w:r>
      <w:r w:rsidRPr="00D52EF5">
        <w:rPr>
          <w:szCs w:val="22"/>
          <w:lang w:val="es-ES_tradnl"/>
        </w:rPr>
        <w:t>cesita un análisis pormenorizado para que las repercusiones del objetivo a nivel operativo puedan comprenderse y cuantificarse mejor</w:t>
      </w:r>
      <w:r w:rsidR="00CF1568" w:rsidRPr="00D52EF5">
        <w:rPr>
          <w:szCs w:val="22"/>
          <w:lang w:val="es-ES_tradnl"/>
        </w:rPr>
        <w:t>.</w:t>
      </w:r>
      <w:r w:rsidR="00CF1568" w:rsidRPr="00D52EF5">
        <w:rPr>
          <w:lang w:val="es-ES_tradnl"/>
        </w:rPr>
        <w:t xml:space="preserve"> Nor</w:t>
      </w:r>
      <w:r w:rsidRPr="00D52EF5">
        <w:rPr>
          <w:lang w:val="es-ES_tradnl"/>
        </w:rPr>
        <w:t>uega explica que ha dado suma prioridad a la efectividad de las actividades de acceso a los recursos biológicos y participación en los beneficios</w:t>
      </w:r>
      <w:r w:rsidR="00CF1568" w:rsidRPr="00D52EF5">
        <w:rPr>
          <w:lang w:val="es-ES_tradnl"/>
        </w:rPr>
        <w:t xml:space="preserve">, </w:t>
      </w:r>
      <w:r w:rsidRPr="00D52EF5">
        <w:rPr>
          <w:lang w:val="es-ES_tradnl"/>
        </w:rPr>
        <w:t xml:space="preserve">entre otras cosas, a la </w:t>
      </w:r>
      <w:r w:rsidR="00CF1568" w:rsidRPr="00D52EF5">
        <w:rPr>
          <w:lang w:val="es-ES_tradnl"/>
        </w:rPr>
        <w:t>in</w:t>
      </w:r>
      <w:r w:rsidR="00AA7CA7" w:rsidRPr="00D52EF5">
        <w:rPr>
          <w:lang w:val="es-ES_tradnl"/>
        </w:rPr>
        <w:t xml:space="preserve">iciativa para África en esta materia, ejecutada por </w:t>
      </w:r>
      <w:r w:rsidR="00EC2261" w:rsidRPr="00D52EF5">
        <w:rPr>
          <w:lang w:val="es-ES_tradnl"/>
        </w:rPr>
        <w:t xml:space="preserve">la Agencia Alemana de Cooperación </w:t>
      </w:r>
      <w:r w:rsidR="008709E2" w:rsidRPr="00D52EF5">
        <w:rPr>
          <w:lang w:val="es-ES_tradnl"/>
        </w:rPr>
        <w:t>Internacional</w:t>
      </w:r>
      <w:r w:rsidR="00CF1568" w:rsidRPr="00D52EF5">
        <w:rPr>
          <w:color w:val="000000"/>
          <w:szCs w:val="22"/>
          <w:lang w:val="es-ES_tradnl"/>
        </w:rPr>
        <w:t xml:space="preserve"> (</w:t>
      </w:r>
      <w:r w:rsidR="00CF1568" w:rsidRPr="00D52EF5">
        <w:rPr>
          <w:lang w:val="es-ES_tradnl"/>
        </w:rPr>
        <w:t>GIZ)</w:t>
      </w:r>
      <w:r w:rsidR="00CF1568" w:rsidRPr="00D52EF5">
        <w:rPr>
          <w:szCs w:val="22"/>
          <w:lang w:val="es-ES_tradnl"/>
        </w:rPr>
        <w:t xml:space="preserve">. </w:t>
      </w:r>
      <w:r w:rsidR="00AA7CA7" w:rsidRPr="00D52EF5">
        <w:rPr>
          <w:szCs w:val="22"/>
          <w:lang w:val="es-ES_tradnl"/>
        </w:rPr>
        <w:t xml:space="preserve">Pese a ello, </w:t>
      </w:r>
      <w:r w:rsidR="001B1B5B" w:rsidRPr="00D52EF5">
        <w:rPr>
          <w:szCs w:val="22"/>
          <w:lang w:val="es-ES_tradnl"/>
        </w:rPr>
        <w:t xml:space="preserve">sigue sin hacerse realidad </w:t>
      </w:r>
      <w:r w:rsidR="00AA7CA7" w:rsidRPr="00D52EF5">
        <w:rPr>
          <w:szCs w:val="22"/>
          <w:lang w:val="es-ES_tradnl"/>
        </w:rPr>
        <w:t xml:space="preserve">lo previsto en 1992 con respecto al flujo de financiación </w:t>
      </w:r>
      <w:r w:rsidR="001B1B5B" w:rsidRPr="00D52EF5">
        <w:rPr>
          <w:szCs w:val="22"/>
          <w:lang w:val="es-ES_tradnl"/>
        </w:rPr>
        <w:t xml:space="preserve">de la diversidad biológica </w:t>
      </w:r>
      <w:r w:rsidR="00AA7CA7" w:rsidRPr="00D52EF5">
        <w:rPr>
          <w:szCs w:val="22"/>
          <w:lang w:val="es-ES_tradnl"/>
        </w:rPr>
        <w:t>procedente d</w:t>
      </w:r>
      <w:r w:rsidR="00EC2261" w:rsidRPr="00D52EF5">
        <w:rPr>
          <w:szCs w:val="22"/>
          <w:lang w:val="es-ES_tradnl"/>
        </w:rPr>
        <w:t xml:space="preserve">el acceso a </w:t>
      </w:r>
      <w:r w:rsidR="00AA7CA7" w:rsidRPr="00D52EF5">
        <w:rPr>
          <w:szCs w:val="22"/>
          <w:lang w:val="es-ES_tradnl"/>
        </w:rPr>
        <w:t xml:space="preserve">dichos recursos y la consiguiente </w:t>
      </w:r>
      <w:r w:rsidR="00EC2261" w:rsidRPr="00D52EF5">
        <w:rPr>
          <w:szCs w:val="22"/>
          <w:lang w:val="es-ES_tradnl"/>
        </w:rPr>
        <w:t>participación</w:t>
      </w:r>
      <w:r w:rsidR="00AA7CA7" w:rsidRPr="00D52EF5">
        <w:rPr>
          <w:szCs w:val="22"/>
          <w:lang w:val="es-ES_tradnl"/>
        </w:rPr>
        <w:t xml:space="preserve"> e</w:t>
      </w:r>
      <w:r w:rsidR="00EC2261" w:rsidRPr="00D52EF5">
        <w:rPr>
          <w:szCs w:val="22"/>
          <w:lang w:val="es-ES_tradnl"/>
        </w:rPr>
        <w:t>n los</w:t>
      </w:r>
      <w:r w:rsidR="00AA7CA7" w:rsidRPr="00D52EF5">
        <w:rPr>
          <w:szCs w:val="22"/>
          <w:lang w:val="es-ES_tradnl"/>
        </w:rPr>
        <w:t xml:space="preserve"> beneficios</w:t>
      </w:r>
      <w:r w:rsidR="00CF1568" w:rsidRPr="00D52EF5">
        <w:rPr>
          <w:lang w:val="es-ES_tradnl"/>
        </w:rPr>
        <w:t>.</w:t>
      </w:r>
    </w:p>
    <w:p w14:paraId="02B76C74" w14:textId="3DA94E0B" w:rsidR="00CF1568" w:rsidRPr="00D52EF5" w:rsidRDefault="00EA25E0" w:rsidP="00CF1568">
      <w:pPr>
        <w:pStyle w:val="Para1"/>
        <w:numPr>
          <w:ilvl w:val="0"/>
          <w:numId w:val="13"/>
        </w:numPr>
        <w:suppressLineNumbers/>
        <w:tabs>
          <w:tab w:val="clear" w:pos="360"/>
        </w:tabs>
        <w:suppressAutoHyphens/>
        <w:spacing w:before="120"/>
        <w:rPr>
          <w:lang w:val="es-ES_tradnl"/>
        </w:rPr>
      </w:pPr>
      <w:r w:rsidRPr="00D52EF5">
        <w:rPr>
          <w:lang w:val="es-ES_tradnl"/>
        </w:rPr>
        <w:lastRenderedPageBreak/>
        <w:t xml:space="preserve">En este momento, no pueden extraerse conclusiones claras acerca de si la ejecución de las iniciativas </w:t>
      </w:r>
      <w:r w:rsidR="008709E2" w:rsidRPr="00D52EF5">
        <w:rPr>
          <w:lang w:val="es-ES_tradnl"/>
        </w:rPr>
        <w:t>de</w:t>
      </w:r>
      <w:r w:rsidR="00EC2261" w:rsidRPr="00D52EF5">
        <w:rPr>
          <w:lang w:val="es-ES_tradnl"/>
        </w:rPr>
        <w:t xml:space="preserve"> </w:t>
      </w:r>
      <w:r w:rsidR="008709E2" w:rsidRPr="00D52EF5">
        <w:rPr>
          <w:lang w:val="es-ES_tradnl"/>
        </w:rPr>
        <w:t>acceso</w:t>
      </w:r>
      <w:r w:rsidRPr="00D52EF5">
        <w:rPr>
          <w:lang w:val="es-ES_tradnl"/>
        </w:rPr>
        <w:t xml:space="preserve"> a los recursos biológicos y la </w:t>
      </w:r>
      <w:r w:rsidR="00EC2261" w:rsidRPr="00D52EF5">
        <w:rPr>
          <w:lang w:val="es-ES_tradnl"/>
        </w:rPr>
        <w:t>participación en los</w:t>
      </w:r>
      <w:r w:rsidRPr="00D52EF5">
        <w:rPr>
          <w:lang w:val="es-ES_tradnl"/>
        </w:rPr>
        <w:t xml:space="preserve"> beneficios ha contribuido a movilizar recursos, y en qué medida, ya que hasta la fecha no se ha realizado ninguna evaluación del valor de los recursos movilizados mediante estas iniciativas y mecanismos</w:t>
      </w:r>
      <w:r w:rsidR="00CF1568" w:rsidRPr="00D52EF5">
        <w:rPr>
          <w:lang w:val="es-ES_tradnl"/>
        </w:rPr>
        <w:t>.</w:t>
      </w:r>
    </w:p>
    <w:p w14:paraId="51C85C41" w14:textId="272F4BC1" w:rsidR="00CF1568" w:rsidRPr="00D52EF5" w:rsidRDefault="00DA7CA2" w:rsidP="00CF1568">
      <w:pPr>
        <w:pStyle w:val="Para1"/>
        <w:numPr>
          <w:ilvl w:val="0"/>
          <w:numId w:val="13"/>
        </w:numPr>
        <w:suppressLineNumbers/>
        <w:tabs>
          <w:tab w:val="clear" w:pos="360"/>
        </w:tabs>
        <w:suppressAutoHyphens/>
        <w:spacing w:before="120"/>
        <w:rPr>
          <w:lang w:val="es-ES_tradnl"/>
        </w:rPr>
      </w:pPr>
      <w:r w:rsidRPr="00D52EF5">
        <w:rPr>
          <w:lang w:val="es-ES_tradnl"/>
        </w:rPr>
        <w:t>En lo atin</w:t>
      </w:r>
      <w:r w:rsidR="005003F9" w:rsidRPr="00D52EF5">
        <w:rPr>
          <w:lang w:val="es-ES_tradnl"/>
        </w:rPr>
        <w:t>ente a otras medidas</w:t>
      </w:r>
      <w:r w:rsidRPr="00D52EF5">
        <w:rPr>
          <w:lang w:val="es-ES_tradnl"/>
        </w:rPr>
        <w:t xml:space="preserve"> que podrían adoptarse e</w:t>
      </w:r>
      <w:r w:rsidR="00CF1568" w:rsidRPr="00D52EF5">
        <w:rPr>
          <w:lang w:val="es-ES_tradnl"/>
        </w:rPr>
        <w:t>n rela</w:t>
      </w:r>
      <w:r w:rsidRPr="00D52EF5">
        <w:rPr>
          <w:lang w:val="es-ES_tradnl"/>
        </w:rPr>
        <w:t>c</w:t>
      </w:r>
      <w:r w:rsidR="00CF1568" w:rsidRPr="00D52EF5">
        <w:rPr>
          <w:lang w:val="es-ES_tradnl"/>
        </w:rPr>
        <w:t>i</w:t>
      </w:r>
      <w:r w:rsidRPr="00D52EF5">
        <w:rPr>
          <w:lang w:val="es-ES_tradnl"/>
        </w:rPr>
        <w:t>ó</w:t>
      </w:r>
      <w:r w:rsidR="00CF1568" w:rsidRPr="00D52EF5">
        <w:rPr>
          <w:lang w:val="es-ES_tradnl"/>
        </w:rPr>
        <w:t xml:space="preserve">n </w:t>
      </w:r>
      <w:r w:rsidRPr="00D52EF5">
        <w:rPr>
          <w:lang w:val="es-ES_tradnl"/>
        </w:rPr>
        <w:t>con el objetivo</w:t>
      </w:r>
      <w:r w:rsidR="00CF1568" w:rsidRPr="00D52EF5">
        <w:rPr>
          <w:lang w:val="es-ES_tradnl"/>
        </w:rPr>
        <w:t xml:space="preserve"> 7,</w:t>
      </w:r>
      <w:r w:rsidRPr="00D52EF5">
        <w:rPr>
          <w:lang w:val="es-ES_tradnl"/>
        </w:rPr>
        <w:t xml:space="preserve"> </w:t>
      </w:r>
      <w:r w:rsidR="005003F9" w:rsidRPr="00D52EF5">
        <w:rPr>
          <w:lang w:val="es-ES_tradnl"/>
        </w:rPr>
        <w:t>tal evaluación</w:t>
      </w:r>
      <w:r w:rsidRPr="00D52EF5">
        <w:rPr>
          <w:lang w:val="es-ES_tradnl"/>
        </w:rPr>
        <w:t xml:space="preserve"> podría ayudar a precisar prácticas en materia de </w:t>
      </w:r>
      <w:r w:rsidR="00CF1568" w:rsidRPr="00D52EF5">
        <w:rPr>
          <w:lang w:val="es-ES_tradnl"/>
        </w:rPr>
        <w:t>acces</w:t>
      </w:r>
      <w:r w:rsidRPr="00D52EF5">
        <w:rPr>
          <w:lang w:val="es-ES_tradnl"/>
        </w:rPr>
        <w:t xml:space="preserve">o a los recursos biológicos y </w:t>
      </w:r>
      <w:r w:rsidR="007B127A" w:rsidRPr="00D52EF5">
        <w:rPr>
          <w:lang w:val="es-ES_tradnl"/>
        </w:rPr>
        <w:t>participación en</w:t>
      </w:r>
      <w:r w:rsidRPr="00D52EF5">
        <w:rPr>
          <w:lang w:val="es-ES_tradnl"/>
        </w:rPr>
        <w:t xml:space="preserve"> los beneficios </w:t>
      </w:r>
      <w:r w:rsidR="00892585" w:rsidRPr="00D52EF5">
        <w:rPr>
          <w:lang w:val="es-ES_tradnl"/>
        </w:rPr>
        <w:t>que serían</w:t>
      </w:r>
      <w:r w:rsidR="008A5B54" w:rsidRPr="00D52EF5">
        <w:rPr>
          <w:lang w:val="es-ES_tradnl"/>
        </w:rPr>
        <w:t xml:space="preserve"> muy útiles para</w:t>
      </w:r>
      <w:r w:rsidR="005003F9" w:rsidRPr="00D52EF5">
        <w:rPr>
          <w:lang w:val="es-ES_tradnl"/>
        </w:rPr>
        <w:t xml:space="preserve"> </w:t>
      </w:r>
      <w:r w:rsidRPr="00D52EF5">
        <w:rPr>
          <w:lang w:val="es-ES_tradnl"/>
        </w:rPr>
        <w:t>movilizar recursos en el futuro</w:t>
      </w:r>
      <w:r w:rsidR="00CF1568" w:rsidRPr="00D52EF5">
        <w:rPr>
          <w:lang w:val="es-ES_tradnl"/>
        </w:rPr>
        <w:t>.</w:t>
      </w:r>
    </w:p>
    <w:p w14:paraId="0E8819B6" w14:textId="4A7C09E2" w:rsidR="00CF1568" w:rsidRPr="00D52EF5" w:rsidRDefault="003B35B3" w:rsidP="00CF1568">
      <w:pPr>
        <w:pStyle w:val="Heading4"/>
        <w:suppressLineNumbers/>
        <w:suppressAutoHyphens/>
        <w:rPr>
          <w:i w:val="0"/>
          <w:lang w:val="es-ES_tradnl"/>
        </w:rPr>
      </w:pPr>
      <w:r w:rsidRPr="00D52EF5">
        <w:rPr>
          <w:i w:val="0"/>
          <w:lang w:val="es-ES_tradnl"/>
        </w:rPr>
        <w:t>Objetivo</w:t>
      </w:r>
      <w:r w:rsidR="00CF1568" w:rsidRPr="00D52EF5">
        <w:rPr>
          <w:i w:val="0"/>
          <w:lang w:val="es-ES_tradnl"/>
        </w:rPr>
        <w:t xml:space="preserve"> 8: </w:t>
      </w:r>
      <w:r w:rsidRPr="00D52EF5">
        <w:rPr>
          <w:i w:val="0"/>
          <w:lang w:val="es-ES_tradnl"/>
        </w:rPr>
        <w:t>Aum</w:t>
      </w:r>
      <w:r w:rsidR="00005EEF" w:rsidRPr="00D52EF5">
        <w:rPr>
          <w:i w:val="0"/>
          <w:lang w:val="es-ES_tradnl"/>
        </w:rPr>
        <w:t>entar el compromiso mundial con</w:t>
      </w:r>
      <w:r w:rsidRPr="00D52EF5">
        <w:rPr>
          <w:i w:val="0"/>
          <w:lang w:val="es-ES_tradnl"/>
        </w:rPr>
        <w:t xml:space="preserve"> la movilización de recursos para apoyar el logro de los tres objetivos del Convenio</w:t>
      </w:r>
    </w:p>
    <w:p w14:paraId="68F901D4" w14:textId="6A640406" w:rsidR="00F37AD8" w:rsidRPr="00D52EF5" w:rsidRDefault="00103B8E" w:rsidP="00F37AD8">
      <w:pPr>
        <w:pStyle w:val="Para1"/>
        <w:numPr>
          <w:ilvl w:val="0"/>
          <w:numId w:val="13"/>
        </w:numPr>
        <w:suppressLineNumbers/>
        <w:tabs>
          <w:tab w:val="clear" w:pos="360"/>
        </w:tabs>
        <w:suppressAutoHyphens/>
        <w:spacing w:before="120"/>
        <w:rPr>
          <w:lang w:val="es-ES"/>
        </w:rPr>
      </w:pPr>
      <w:r w:rsidRPr="00D52EF5">
        <w:rPr>
          <w:lang w:val="es-ES_tradnl"/>
        </w:rPr>
        <w:t>Desde la adopción de la e</w:t>
      </w:r>
      <w:r w:rsidR="00005EEF" w:rsidRPr="00D52EF5">
        <w:rPr>
          <w:lang w:val="es-ES_tradnl"/>
        </w:rPr>
        <w:t>strategia de movilización de recursos e</w:t>
      </w:r>
      <w:r w:rsidR="00CF1568" w:rsidRPr="00D52EF5">
        <w:rPr>
          <w:lang w:val="es-ES_tradnl"/>
        </w:rPr>
        <w:t xml:space="preserve">n 2008, </w:t>
      </w:r>
      <w:r w:rsidR="00892585" w:rsidRPr="00D52EF5">
        <w:rPr>
          <w:lang w:val="es-ES_tradnl"/>
        </w:rPr>
        <w:t xml:space="preserve">se </w:t>
      </w:r>
      <w:r w:rsidR="00005EEF" w:rsidRPr="00D52EF5">
        <w:rPr>
          <w:lang w:val="es-ES_tradnl"/>
        </w:rPr>
        <w:t>comprende</w:t>
      </w:r>
      <w:r w:rsidR="00892585" w:rsidRPr="00D52EF5">
        <w:rPr>
          <w:lang w:val="es-ES_tradnl"/>
        </w:rPr>
        <w:t xml:space="preserve"> mucho</w:t>
      </w:r>
      <w:r w:rsidR="00005EEF" w:rsidRPr="00D52EF5">
        <w:rPr>
          <w:lang w:val="es-ES_tradnl"/>
        </w:rPr>
        <w:t xml:space="preserve"> mejor la</w:t>
      </w:r>
      <w:r w:rsidR="00CF1568" w:rsidRPr="00D52EF5">
        <w:rPr>
          <w:lang w:val="es-ES_tradnl"/>
        </w:rPr>
        <w:t xml:space="preserve"> interrela</w:t>
      </w:r>
      <w:r w:rsidR="00005EEF" w:rsidRPr="00D52EF5">
        <w:rPr>
          <w:lang w:val="es-ES_tradnl"/>
        </w:rPr>
        <w:t>ció</w:t>
      </w:r>
      <w:r w:rsidR="00CF1568" w:rsidRPr="00D52EF5">
        <w:rPr>
          <w:lang w:val="es-ES_tradnl"/>
        </w:rPr>
        <w:t>n</w:t>
      </w:r>
      <w:r w:rsidR="00005EEF" w:rsidRPr="00D52EF5">
        <w:rPr>
          <w:lang w:val="es-ES_tradnl"/>
        </w:rPr>
        <w:t xml:space="preserve"> entre la diversidad biológica, el cambio climático y otros problemas relativos a la sostenibilidad, al igual que la crucial importancia de esta interrelación para lograr el desarrollo sostenible</w:t>
      </w:r>
      <w:r w:rsidR="00CF1568" w:rsidRPr="00D52EF5">
        <w:rPr>
          <w:lang w:val="es-ES_tradnl"/>
        </w:rPr>
        <w:t xml:space="preserve">. </w:t>
      </w:r>
      <w:r w:rsidR="00005EEF" w:rsidRPr="00D52EF5">
        <w:rPr>
          <w:lang w:val="es-ES_tradnl"/>
        </w:rPr>
        <w:t>La Unión</w:t>
      </w:r>
      <w:r w:rsidR="00CF1568" w:rsidRPr="00D52EF5">
        <w:rPr>
          <w:lang w:val="es-ES_tradnl"/>
        </w:rPr>
        <w:t xml:space="preserve"> Europea, </w:t>
      </w:r>
      <w:r w:rsidR="00005EEF" w:rsidRPr="00D52EF5">
        <w:rPr>
          <w:lang w:val="es-ES_tradnl"/>
        </w:rPr>
        <w:t>p</w:t>
      </w:r>
      <w:r w:rsidR="00CF1568" w:rsidRPr="00D52EF5">
        <w:rPr>
          <w:lang w:val="es-ES_tradnl"/>
        </w:rPr>
        <w:t xml:space="preserve">or </w:t>
      </w:r>
      <w:r w:rsidR="00005EEF" w:rsidRPr="00D52EF5">
        <w:rPr>
          <w:lang w:val="es-ES_tradnl"/>
        </w:rPr>
        <w:t>ejemplo, señala que la estrategia</w:t>
      </w:r>
      <w:r w:rsidR="00853E50" w:rsidRPr="00D52EF5">
        <w:rPr>
          <w:lang w:val="es-ES_tradnl"/>
        </w:rPr>
        <w:t xml:space="preserve"> de movilización de recursos podría haber sido más explícita en lo</w:t>
      </w:r>
      <w:r w:rsidRPr="00D52EF5">
        <w:rPr>
          <w:lang w:val="es-ES_tradnl"/>
        </w:rPr>
        <w:t xml:space="preserve"> atinente a las posibilidades</w:t>
      </w:r>
      <w:r w:rsidR="00853E50" w:rsidRPr="00D52EF5">
        <w:rPr>
          <w:lang w:val="es-ES_tradnl"/>
        </w:rPr>
        <w:t xml:space="preserve"> de establecer sinergias con el programa Acción para el Clima</w:t>
      </w:r>
      <w:r w:rsidR="00CF1568" w:rsidRPr="00D52EF5">
        <w:rPr>
          <w:lang w:val="es-ES_tradnl"/>
        </w:rPr>
        <w:t xml:space="preserve">, </w:t>
      </w:r>
      <w:r w:rsidR="00853E50" w:rsidRPr="00D52EF5">
        <w:rPr>
          <w:lang w:val="es-ES_tradnl"/>
        </w:rPr>
        <w:t>la Agenda</w:t>
      </w:r>
      <w:r w:rsidR="00CF1568" w:rsidRPr="00D52EF5">
        <w:rPr>
          <w:lang w:val="es-ES_tradnl"/>
        </w:rPr>
        <w:t xml:space="preserve"> 2030 </w:t>
      </w:r>
      <w:r w:rsidR="00853E50" w:rsidRPr="00D52EF5">
        <w:rPr>
          <w:lang w:val="es-ES_tradnl"/>
        </w:rPr>
        <w:t>para el Desarrollo Sostenible</w:t>
      </w:r>
      <w:r w:rsidR="00CF1568" w:rsidRPr="00D52EF5">
        <w:rPr>
          <w:rStyle w:val="Heading1Char"/>
          <w:b w:val="0"/>
          <w:vertAlign w:val="superscript"/>
          <w:lang w:val="es-ES_tradnl"/>
        </w:rPr>
        <w:footnoteReference w:id="24"/>
      </w:r>
      <w:r w:rsidR="00CF1568" w:rsidRPr="00D52EF5">
        <w:rPr>
          <w:lang w:val="es-ES_tradnl"/>
        </w:rPr>
        <w:t xml:space="preserve"> </w:t>
      </w:r>
      <w:r w:rsidR="00853E50" w:rsidRPr="00D52EF5">
        <w:rPr>
          <w:lang w:val="es-ES_tradnl"/>
        </w:rPr>
        <w:t xml:space="preserve">y los recursos para financiar soluciones basadas en la naturaleza, y su contribución a la </w:t>
      </w:r>
      <w:r w:rsidR="007A5FB5" w:rsidRPr="00D52EF5">
        <w:rPr>
          <w:lang w:val="es-ES_tradnl"/>
        </w:rPr>
        <w:t>adaptación a</w:t>
      </w:r>
      <w:r w:rsidR="00853E50" w:rsidRPr="00D52EF5">
        <w:rPr>
          <w:lang w:val="es-ES_tradnl"/>
        </w:rPr>
        <w:t xml:space="preserve">l cambio climático y la </w:t>
      </w:r>
      <w:r w:rsidR="007A5FB5" w:rsidRPr="00D52EF5">
        <w:rPr>
          <w:lang w:val="es-ES_tradnl"/>
        </w:rPr>
        <w:t>mitigación de</w:t>
      </w:r>
      <w:r w:rsidR="00853E50" w:rsidRPr="00D52EF5">
        <w:rPr>
          <w:lang w:val="es-ES_tradnl"/>
        </w:rPr>
        <w:t xml:space="preserve"> sus efectos a nivel mundial</w:t>
      </w:r>
      <w:r w:rsidR="00CF1568" w:rsidRPr="00D52EF5">
        <w:rPr>
          <w:lang w:val="es-ES_tradnl"/>
        </w:rPr>
        <w:t xml:space="preserve">. </w:t>
      </w:r>
      <w:r w:rsidR="00853E50" w:rsidRPr="00D52EF5">
        <w:rPr>
          <w:lang w:val="es-ES_tradnl"/>
        </w:rPr>
        <w:t>Tanto el</w:t>
      </w:r>
      <w:r w:rsidR="00CF1568" w:rsidRPr="00D52EF5">
        <w:rPr>
          <w:lang w:val="es-ES_tradnl"/>
        </w:rPr>
        <w:t xml:space="preserve"> </w:t>
      </w:r>
      <w:r w:rsidR="00853E50" w:rsidRPr="00D52EF5">
        <w:rPr>
          <w:kern w:val="22"/>
          <w:lang w:val="es-ES_tradnl"/>
        </w:rPr>
        <w:t>Grupo Intergubernamental de Expertos sobre el Cambio Climático (IPCC)</w:t>
      </w:r>
      <w:r w:rsidR="00CF1568" w:rsidRPr="00D52EF5">
        <w:rPr>
          <w:lang w:val="es-ES_tradnl"/>
        </w:rPr>
        <w:t xml:space="preserve"> </w:t>
      </w:r>
      <w:r w:rsidR="00853E50" w:rsidRPr="00D52EF5">
        <w:rPr>
          <w:lang w:val="es-ES_tradnl"/>
        </w:rPr>
        <w:t>como la Plataforma Intergubernamental Científico-Normativa sobre Diversidad Biológica y Servicios de los Ecosistemas (</w:t>
      </w:r>
      <w:r w:rsidR="00CF1568" w:rsidRPr="00D52EF5">
        <w:rPr>
          <w:lang w:val="es-ES_tradnl"/>
        </w:rPr>
        <w:t>IPBES</w:t>
      </w:r>
      <w:r w:rsidR="00853E50" w:rsidRPr="00D52EF5">
        <w:rPr>
          <w:lang w:val="es-ES_tradnl"/>
        </w:rPr>
        <w:t>) indican que es imperativo conseguir que los recursos beneficien al medio ambiente y al clima</w:t>
      </w:r>
      <w:r w:rsidR="00CF1568" w:rsidRPr="00D52EF5">
        <w:rPr>
          <w:lang w:val="es-ES_tradnl"/>
        </w:rPr>
        <w:t xml:space="preserve">, </w:t>
      </w:r>
      <w:r w:rsidR="00853E50" w:rsidRPr="00D52EF5">
        <w:rPr>
          <w:lang w:val="es-ES_tradnl"/>
        </w:rPr>
        <w:t xml:space="preserve">y que se ha de poner </w:t>
      </w:r>
      <w:r w:rsidRPr="00D52EF5">
        <w:rPr>
          <w:lang w:val="es-ES_tradnl"/>
        </w:rPr>
        <w:t>especial</w:t>
      </w:r>
      <w:r w:rsidR="00853E50" w:rsidRPr="00D52EF5">
        <w:rPr>
          <w:lang w:val="es-ES_tradnl"/>
        </w:rPr>
        <w:t xml:space="preserve"> empeño </w:t>
      </w:r>
      <w:r w:rsidR="00ED21B5" w:rsidRPr="00D52EF5">
        <w:rPr>
          <w:lang w:val="es-ES_tradnl"/>
        </w:rPr>
        <w:t>en reducir al mínimo la necesidad de elegir entre uno u otro</w:t>
      </w:r>
      <w:r w:rsidR="00CF1568" w:rsidRPr="00D52EF5">
        <w:rPr>
          <w:lang w:val="es-ES_tradnl"/>
        </w:rPr>
        <w:t xml:space="preserve">: </w:t>
      </w:r>
      <w:r w:rsidR="00762834" w:rsidRPr="00D52EF5">
        <w:rPr>
          <w:lang w:val="es-ES_tradnl"/>
        </w:rPr>
        <w:t>si bien en este sentido hay iniciativas en marcha</w:t>
      </w:r>
      <w:r w:rsidR="00CF1568" w:rsidRPr="00D52EF5">
        <w:rPr>
          <w:lang w:val="es-ES_tradnl"/>
        </w:rPr>
        <w:t xml:space="preserve">, </w:t>
      </w:r>
      <w:r w:rsidR="00762834" w:rsidRPr="00D52EF5">
        <w:rPr>
          <w:lang w:val="es-ES_tradnl"/>
        </w:rPr>
        <w:t>p</w:t>
      </w:r>
      <w:r w:rsidR="00CF1568" w:rsidRPr="00D52EF5">
        <w:rPr>
          <w:lang w:val="es-ES_tradnl"/>
        </w:rPr>
        <w:t xml:space="preserve">or </w:t>
      </w:r>
      <w:r w:rsidR="00762834" w:rsidRPr="00D52EF5">
        <w:rPr>
          <w:lang w:val="es-ES_tradnl"/>
        </w:rPr>
        <w:t>ejemplo, a través del programa REDD-plus</w:t>
      </w:r>
      <w:r w:rsidR="00CF1568" w:rsidRPr="00D52EF5">
        <w:rPr>
          <w:lang w:val="es-ES_tradnl"/>
        </w:rPr>
        <w:t xml:space="preserve"> </w:t>
      </w:r>
      <w:r w:rsidR="00762834" w:rsidRPr="00D52EF5">
        <w:rPr>
          <w:lang w:val="es-ES_tradnl"/>
        </w:rPr>
        <w:t xml:space="preserve">y el </w:t>
      </w:r>
      <w:r w:rsidR="007A5FB5" w:rsidRPr="00D52EF5">
        <w:rPr>
          <w:lang w:val="es-ES_tradnl"/>
        </w:rPr>
        <w:t>Fondo Verde para el Clima</w:t>
      </w:r>
      <w:r w:rsidR="00CF1568" w:rsidRPr="00D52EF5">
        <w:rPr>
          <w:lang w:val="es-ES_tradnl"/>
        </w:rPr>
        <w:t xml:space="preserve">, </w:t>
      </w:r>
      <w:r w:rsidR="007A5FB5" w:rsidRPr="00D52EF5">
        <w:rPr>
          <w:lang w:val="es-ES_tradnl"/>
        </w:rPr>
        <w:t>no cabe duda de que es preciso hacer mucho más para reforzar los beneficios mutuos de invertir en la diversidad biológica y</w:t>
      </w:r>
      <w:r w:rsidR="00CF1568" w:rsidRPr="00D52EF5">
        <w:rPr>
          <w:lang w:val="es-ES_tradnl"/>
        </w:rPr>
        <w:t xml:space="preserve"> </w:t>
      </w:r>
      <w:r w:rsidR="007A5FB5" w:rsidRPr="00D52EF5">
        <w:rPr>
          <w:lang w:val="es-ES_tradnl"/>
        </w:rPr>
        <w:t>los ecosistemas, y las inversiones en la adaptación al cambio climático y la mitigación de sus consecuencias</w:t>
      </w:r>
      <w:r w:rsidR="00CF1568" w:rsidRPr="00D52EF5">
        <w:rPr>
          <w:lang w:val="es-ES_tradnl"/>
        </w:rPr>
        <w:t xml:space="preserve">. </w:t>
      </w:r>
      <w:r w:rsidR="00F25E6A" w:rsidRPr="00D52EF5">
        <w:rPr>
          <w:lang w:val="es-ES_tradnl"/>
        </w:rPr>
        <w:t>Las iniciativas relacionadas con el c</w:t>
      </w:r>
      <w:r w:rsidR="00ED21B5" w:rsidRPr="00D52EF5">
        <w:rPr>
          <w:lang w:val="es-ES_tradnl"/>
        </w:rPr>
        <w:t>lima y la biodiversidad no debe</w:t>
      </w:r>
      <w:r w:rsidR="00F25E6A" w:rsidRPr="00D52EF5">
        <w:rPr>
          <w:lang w:val="es-ES_tradnl"/>
        </w:rPr>
        <w:t>n considerarse mutuamente excluyentes</w:t>
      </w:r>
      <w:r w:rsidR="00CF1568" w:rsidRPr="00D52EF5">
        <w:rPr>
          <w:lang w:val="es-ES_tradnl"/>
        </w:rPr>
        <w:t xml:space="preserve">, </w:t>
      </w:r>
      <w:r w:rsidR="00F25E6A" w:rsidRPr="00D52EF5">
        <w:rPr>
          <w:lang w:val="es-ES_tradnl"/>
        </w:rPr>
        <w:t>sino como una ocasión para conseguir sinergias y beneficios paralelos</w:t>
      </w:r>
      <w:r w:rsidR="00CF1568" w:rsidRPr="00D52EF5">
        <w:rPr>
          <w:lang w:val="es-ES_tradnl"/>
        </w:rPr>
        <w:t>.</w:t>
      </w:r>
      <w:r w:rsidR="00F37AD8" w:rsidRPr="00D52EF5">
        <w:rPr>
          <w:lang w:val="es-ES"/>
        </w:rPr>
        <w:t xml:space="preserve"> </w:t>
      </w:r>
    </w:p>
    <w:p w14:paraId="33C81D93" w14:textId="32FADD67" w:rsidR="00F37AD8" w:rsidRPr="00D52EF5" w:rsidRDefault="00F37AD8" w:rsidP="00F37AD8">
      <w:pPr>
        <w:pStyle w:val="Para1"/>
        <w:keepNext/>
        <w:suppressLineNumbers/>
        <w:suppressAutoHyphens/>
        <w:spacing w:before="240"/>
        <w:jc w:val="center"/>
        <w:outlineLvl w:val="0"/>
        <w:rPr>
          <w:b/>
          <w:lang w:val="es-ES"/>
        </w:rPr>
      </w:pPr>
      <w:bookmarkStart w:id="2" w:name="_Hlk41329391"/>
      <w:r w:rsidRPr="00D52EF5">
        <w:rPr>
          <w:b/>
          <w:lang w:val="es-ES"/>
        </w:rPr>
        <w:t>III.</w:t>
      </w:r>
      <w:r w:rsidRPr="00D52EF5">
        <w:rPr>
          <w:b/>
          <w:lang w:val="es-ES"/>
        </w:rPr>
        <w:tab/>
        <w:t xml:space="preserve">EVALUACIÓN DE LA EVOLUCIÓN HACIA LA CONSECUCIÓN DE LA META </w:t>
      </w:r>
      <w:r w:rsidRPr="00D52EF5">
        <w:rPr>
          <w:rFonts w:ascii="Times New Roman Bold" w:hAnsi="Times New Roman Bold"/>
          <w:b/>
          <w:caps/>
          <w:lang w:val="es-ES"/>
        </w:rPr>
        <w:t>20</w:t>
      </w:r>
      <w:r w:rsidR="0098714D" w:rsidRPr="00D52EF5">
        <w:rPr>
          <w:rFonts w:ascii="Times New Roman Bold" w:hAnsi="Times New Roman Bold"/>
          <w:b/>
          <w:caps/>
          <w:lang w:val="es-ES"/>
        </w:rPr>
        <w:t xml:space="preserve"> DE AICHI</w:t>
      </w:r>
    </w:p>
    <w:p w14:paraId="1F235809" w14:textId="7EB2D691" w:rsidR="00F37AD8" w:rsidRPr="00D52EF5" w:rsidRDefault="00F37AD8" w:rsidP="00F37AD8">
      <w:pPr>
        <w:pStyle w:val="Para1"/>
        <w:numPr>
          <w:ilvl w:val="0"/>
          <w:numId w:val="13"/>
        </w:numPr>
        <w:suppressLineNumbers/>
        <w:tabs>
          <w:tab w:val="clear" w:pos="360"/>
        </w:tabs>
        <w:suppressAutoHyphens/>
        <w:spacing w:before="120"/>
        <w:rPr>
          <w:lang w:val="es-ES"/>
        </w:rPr>
      </w:pPr>
      <w:r w:rsidRPr="00D52EF5">
        <w:rPr>
          <w:lang w:val="es-ES"/>
        </w:rPr>
        <w:t>Tal como se explicara en la introducción, en la duodécima reunión de la Conferencia de las Partes, con arreglo a la Meta 20 de Aichi para l</w:t>
      </w:r>
      <w:r w:rsidR="0098714D" w:rsidRPr="00D52EF5">
        <w:rPr>
          <w:lang w:val="es-ES"/>
        </w:rPr>
        <w:t>a Diversidad Biológica se adoptaron</w:t>
      </w:r>
      <w:r w:rsidRPr="00D52EF5">
        <w:rPr>
          <w:lang w:val="es-ES"/>
        </w:rPr>
        <w:t xml:space="preserve"> un conjunto de metas para la movilización de recursos (decisión XII/3, párr. 1) (enumeradas en el anexo) a modo de base de referencia para definir la evolución hacia la consecución de la Meta 20. En esa decisión, la Conferencia de las Partes adoptó además un marco para la presentación de informes financieros e invitó a las Partes a utilizarlo para dar cuenta del avance en la consecución de las metas en materia de movilización de recursos.</w:t>
      </w:r>
    </w:p>
    <w:p w14:paraId="29F51DA0" w14:textId="77777777" w:rsidR="00F37AD8" w:rsidRPr="00D52EF5" w:rsidRDefault="00F37AD8" w:rsidP="00F37AD8">
      <w:pPr>
        <w:pStyle w:val="Para1"/>
        <w:numPr>
          <w:ilvl w:val="0"/>
          <w:numId w:val="13"/>
        </w:numPr>
        <w:suppressLineNumbers/>
        <w:tabs>
          <w:tab w:val="clear" w:pos="360"/>
        </w:tabs>
        <w:suppressAutoHyphens/>
        <w:spacing w:before="120"/>
        <w:rPr>
          <w:lang w:val="es-ES"/>
        </w:rPr>
      </w:pPr>
      <w:r w:rsidRPr="00D52EF5">
        <w:rPr>
          <w:lang w:val="es-ES"/>
        </w:rPr>
        <w:t xml:space="preserve">El análisis exhaustivo más reciente de los informes financieros recibidos se </w:t>
      </w:r>
      <w:r w:rsidRPr="00DD6B41">
        <w:rPr>
          <w:lang w:val="es-ES_tradnl"/>
        </w:rPr>
        <w:t>publicó</w:t>
      </w:r>
      <w:r w:rsidRPr="00D52EF5">
        <w:rPr>
          <w:lang w:val="es-ES"/>
        </w:rPr>
        <w:t xml:space="preserve"> para la decimocuarta reunión de la Conferencia de las Partes (CBD/COP/14/6). Hasta el 10 de marzo de 2020, otras cuatro Partes habían facilitado información sobre los parámetros de referencia y la evolución hasta 2015, situando el total de Partes notificantes en 81, 17 de las cuales han facilitado información sobre el avance en un periodo más prolongado (hasta 2020). A la luz de la cantidad limitada de nuevas presentaciones, las conclusiones incluidas en el documento CBD/COP/14/6 siguen vigentes, por lo que se reflejan más adelante, aunque las cuantías citadas han sido actualizadas teniendo en cuenta las presentaciones más recientes.</w:t>
      </w:r>
    </w:p>
    <w:p w14:paraId="3B7E3A1F" w14:textId="77777777" w:rsidR="00F37AD8" w:rsidRPr="00D52EF5" w:rsidRDefault="00F37AD8" w:rsidP="00F37AD8">
      <w:pPr>
        <w:pStyle w:val="Para1"/>
        <w:numPr>
          <w:ilvl w:val="0"/>
          <w:numId w:val="13"/>
        </w:numPr>
        <w:tabs>
          <w:tab w:val="clear" w:pos="360"/>
        </w:tabs>
        <w:spacing w:before="120"/>
        <w:rPr>
          <w:lang w:val="es-ES"/>
        </w:rPr>
      </w:pPr>
      <w:r w:rsidRPr="00D52EF5">
        <w:rPr>
          <w:lang w:val="es-ES"/>
        </w:rPr>
        <w:t xml:space="preserve">En general, la presentación de informes sobre las metas de movilización de recursos avanza, aunque de modo desigual. Por lo que respecta a la financiación internacional, de las 31 Partes que informaron sobre la meta 1 a), buena parte (aunque no todas), el equivalente al 98% de la base de referencia notificada, comunicaron sus datos de 2015, y 11 Partes también facilitaron información sobre </w:t>
      </w:r>
      <w:r w:rsidRPr="00D52EF5">
        <w:rPr>
          <w:lang w:val="es-ES"/>
        </w:rPr>
        <w:lastRenderedPageBreak/>
        <w:t>años posteriores. Cuatro miembros del DAC que son Partes en el Convenio aún no habían facilitado información dentro del plazo establecido para el presente análisis.</w:t>
      </w:r>
      <w:r w:rsidRPr="00D52EF5">
        <w:rPr>
          <w:rStyle w:val="FootnoteReference"/>
          <w:lang w:val="es-ES"/>
        </w:rPr>
        <w:footnoteReference w:id="25"/>
      </w:r>
      <w:r w:rsidRPr="00D52EF5">
        <w:rPr>
          <w:lang w:val="es-ES"/>
        </w:rPr>
        <w:t xml:space="preserve"> En relación con las demás metas, es probable que el lento avance de la notificación no obedezca a un déficit de datos: en comparación con la presentación de EPANDB se observa que solo unas pocas Partes que, por ejemplo, elaboraron una estimación de costos de las propias EPANDB o de algún elemento de la estrategia de movilización de recursos sigue sin haber presentado su marco de presentación de informes. Habida cuenta de ello, una limitación importante parecerían ser la constante dificultad para efectivizar algunas de las metas, en particular las metas 1 c) y 1 d), vinculadas a la falta de capacidad, en especial en el caso de los países que no participan en la iniciativa BIOFIN. Aquellos que sí forman parte de esa iniciativa van progresando y ya se encuentran en una fase avanzada de la formulación de sus planes nacionales de financiación. A continuación se examina la evolución con respecto a cada meta.</w:t>
      </w:r>
    </w:p>
    <w:p w14:paraId="74889D89" w14:textId="7AEEC8C0" w:rsidR="00F37AD8" w:rsidRPr="00D52EF5" w:rsidRDefault="00F37AD8" w:rsidP="00F37AD8">
      <w:pPr>
        <w:pStyle w:val="Para1"/>
        <w:keepNext/>
        <w:keepLines/>
        <w:numPr>
          <w:ilvl w:val="0"/>
          <w:numId w:val="13"/>
        </w:numPr>
        <w:tabs>
          <w:tab w:val="clear" w:pos="360"/>
        </w:tabs>
        <w:spacing w:before="120"/>
        <w:rPr>
          <w:lang w:val="es-ES"/>
        </w:rPr>
      </w:pPr>
      <w:bookmarkStart w:id="3" w:name="_Hlk41326240"/>
      <w:r w:rsidRPr="00D52EF5">
        <w:rPr>
          <w:i/>
          <w:lang w:val="es-ES"/>
        </w:rPr>
        <w:t>Meta 1 a) de la decisión XII/3 (duplicar los flujos totales de recursos financieros internacionales antes de 2015 y mantener ese nivel hasta 2020)</w:t>
      </w:r>
      <w:r w:rsidRPr="00D52EF5">
        <w:rPr>
          <w:lang w:val="es-ES"/>
        </w:rPr>
        <w:t>: las Partes que notificaron los datos de 2015 a tiempo para la elaboración del presente informe, que representan el 98% de la base de referencia notificada, en 2015 habían logrado en conjunto un aumento del 104% con respecto a su parámetro de referencia</w:t>
      </w:r>
      <w:r w:rsidR="00676141" w:rsidRPr="00DD6B41">
        <w:rPr>
          <w:lang w:val="es-ES_tradnl"/>
        </w:rPr>
        <w:t xml:space="preserve"> (</w:t>
      </w:r>
      <w:r w:rsidRPr="00DD6B41">
        <w:rPr>
          <w:lang w:val="es-ES_tradnl"/>
        </w:rPr>
        <w:t xml:space="preserve">financiación </w:t>
      </w:r>
      <w:r w:rsidR="00676141" w:rsidRPr="00DD6B41">
        <w:rPr>
          <w:lang w:val="es-ES_tradnl"/>
        </w:rPr>
        <w:t xml:space="preserve">media </w:t>
      </w:r>
      <w:r w:rsidR="00F86BF3" w:rsidRPr="00DD6B41">
        <w:rPr>
          <w:lang w:val="es-ES_tradnl"/>
        </w:rPr>
        <w:t>an</w:t>
      </w:r>
      <w:r w:rsidR="00676141" w:rsidRPr="00DD6B41">
        <w:rPr>
          <w:lang w:val="es-ES_tradnl"/>
        </w:rPr>
        <w:t xml:space="preserve">ual </w:t>
      </w:r>
      <w:r w:rsidRPr="00DD6B41">
        <w:rPr>
          <w:lang w:val="es-ES_tradnl"/>
        </w:rPr>
        <w:t>en relación con la diversidad biológica para los años 2006-2010)</w:t>
      </w:r>
      <w:r w:rsidRPr="00D52EF5">
        <w:rPr>
          <w:lang w:val="es-ES"/>
        </w:rPr>
        <w:t>, sin contar los efectos del tipo de cambio.</w:t>
      </w:r>
      <w:r w:rsidRPr="00DD6B41">
        <w:rPr>
          <w:lang w:val="es-ES_tradnl"/>
        </w:rPr>
        <w:t xml:space="preserve"> Los flujos de recursos financieros internacionales aumentaron a 5.500 millones de dólares estadounidenses en 2015, frente a 2.700 millones en el periodo de referencia. Un reciente análisis de datos de la OCDE realizado por el Fondo Mundial para la Naturaleza (WWF Alemania) corrobora este resultado en su </w:t>
      </w:r>
      <w:r w:rsidRPr="00DD6B41">
        <w:rPr>
          <w:i/>
          <w:lang w:val="es-ES_tradnl"/>
        </w:rPr>
        <w:t>Barómetro de la Estrategia del CDB para la Movilización de Recursos</w:t>
      </w:r>
      <w:r w:rsidRPr="00DD6B41">
        <w:rPr>
          <w:lang w:val="es-ES_tradnl"/>
        </w:rPr>
        <w:t>.</w:t>
      </w:r>
    </w:p>
    <w:p w14:paraId="6E3D5623" w14:textId="61FDCFDE" w:rsidR="00F37AD8" w:rsidRPr="00D52EF5" w:rsidRDefault="00F37AD8" w:rsidP="008A54C4">
      <w:pPr>
        <w:pStyle w:val="Para1"/>
        <w:numPr>
          <w:ilvl w:val="0"/>
          <w:numId w:val="13"/>
        </w:numPr>
        <w:suppressLineNumbers/>
        <w:tabs>
          <w:tab w:val="clear" w:pos="360"/>
        </w:tabs>
        <w:suppressAutoHyphens/>
        <w:spacing w:before="120"/>
        <w:rPr>
          <w:lang w:val="es-ES"/>
        </w:rPr>
      </w:pPr>
      <w:bookmarkStart w:id="4" w:name="_Hlk41326193"/>
      <w:r w:rsidRPr="00DD6B41">
        <w:rPr>
          <w:rFonts w:cs="Times New Roman"/>
          <w:lang w:val="es-ES_tradnl"/>
        </w:rPr>
        <w:t xml:space="preserve">Además, un total de 10 miembros del DAC también informaron sobre los progresos realizados en relación con esta meta en los años posteriores a 2015 (13 Partes en total). Si bien este reducido número no permite aún un análisis estadístico, algunas cifras comunicadas respecto de 2016 y 2017 indicaban disminuciones en comparación con los datos de 2015. Un análisis reciente de los datos de la OCDE, realizado para la quinta edición de la </w:t>
      </w:r>
      <w:r w:rsidRPr="00DD6B41">
        <w:rPr>
          <w:rFonts w:cs="Times New Roman"/>
          <w:i/>
          <w:lang w:val="es-ES_tradnl"/>
        </w:rPr>
        <w:t>Perspectiva Mundial sobre la Diversidad Biológica</w:t>
      </w:r>
      <w:r w:rsidRPr="00DD6B41">
        <w:rPr>
          <w:rFonts w:cs="Times New Roman"/>
          <w:lang w:val="es-ES_tradnl"/>
        </w:rPr>
        <w:t>, confirma esta disminución respecto de 2016, pero también muestra que los miembros del DAC parecen ir en general por buen camino para mantener, o casi mantener, la duplicación de las corrientes de recursos en 2017 y 2018.</w:t>
      </w:r>
      <w:bookmarkEnd w:id="4"/>
      <w:r w:rsidR="008A54C4" w:rsidRPr="00D52EF5">
        <w:rPr>
          <w:lang w:val="es-ES"/>
        </w:rPr>
        <w:t xml:space="preserve"> </w:t>
      </w:r>
    </w:p>
    <w:bookmarkEnd w:id="3"/>
    <w:p w14:paraId="421E62C4" w14:textId="77777777" w:rsidR="00F37AD8" w:rsidRPr="00D52EF5" w:rsidRDefault="00F37AD8" w:rsidP="00F37AD8">
      <w:pPr>
        <w:pStyle w:val="Para1"/>
        <w:numPr>
          <w:ilvl w:val="0"/>
          <w:numId w:val="13"/>
        </w:numPr>
        <w:tabs>
          <w:tab w:val="clear" w:pos="360"/>
        </w:tabs>
        <w:spacing w:before="120"/>
        <w:rPr>
          <w:lang w:val="es-ES"/>
        </w:rPr>
      </w:pPr>
      <w:r w:rsidRPr="00D52EF5">
        <w:rPr>
          <w:i/>
          <w:lang w:val="es-ES"/>
        </w:rPr>
        <w:t>Meta 1 b) de la decisión XII/3 (inclusión de la diversidad biológica antes de 2015):</w:t>
      </w:r>
      <w:r w:rsidRPr="00D52EF5">
        <w:rPr>
          <w:lang w:val="es-ES"/>
        </w:rPr>
        <w:t xml:space="preserve"> </w:t>
      </w:r>
      <w:r w:rsidRPr="00DD6B41">
        <w:rPr>
          <w:lang w:val="es-ES_tradnl"/>
        </w:rPr>
        <w:t>u</w:t>
      </w:r>
      <w:r w:rsidRPr="00D52EF5">
        <w:rPr>
          <w:lang w:val="es-ES"/>
        </w:rPr>
        <w:t>n total de 78 Partes respondieron si incluían la diversidad biológica entre las prioridades nacionales o en los planes de desarrollo, y todas dieron cuenta de al menos cierto avance: 53 Partes, o el 68% de quienes respondieron a la convocatoria, indicaron que habían logrado cierto nivel de integración, y 25 Partes, o el 32%, señaló que se había logrado una inclusión exhaustiva. Pese al número limitado general de informes recibidos cabe presumir un alentador progreso hacia la consecución de esta meta.</w:t>
      </w:r>
    </w:p>
    <w:p w14:paraId="22BFE254" w14:textId="21B232E6" w:rsidR="00F37AD8" w:rsidRPr="00D52EF5" w:rsidRDefault="00F37AD8" w:rsidP="00F37AD8">
      <w:pPr>
        <w:pStyle w:val="Para1"/>
        <w:numPr>
          <w:ilvl w:val="0"/>
          <w:numId w:val="13"/>
        </w:numPr>
        <w:tabs>
          <w:tab w:val="clear" w:pos="360"/>
        </w:tabs>
        <w:spacing w:before="120"/>
        <w:rPr>
          <w:lang w:val="es-ES"/>
        </w:rPr>
      </w:pPr>
      <w:r w:rsidRPr="00D52EF5">
        <w:rPr>
          <w:i/>
          <w:lang w:val="es-ES"/>
        </w:rPr>
        <w:t>Meta 1 c) de la decisión XII/3 (notificar antes de 2015 el gasto nacional en relación con la diversidad biológica, además de las necesidades, los déficits y las prioridades</w:t>
      </w:r>
      <w:r w:rsidR="00F86BF3" w:rsidRPr="00D52EF5">
        <w:rPr>
          <w:i/>
          <w:lang w:val="es-ES"/>
        </w:rPr>
        <w:t xml:space="preserve"> de financiación</w:t>
      </w:r>
      <w:r w:rsidRPr="00D52EF5">
        <w:rPr>
          <w:i/>
          <w:lang w:val="es-ES"/>
        </w:rPr>
        <w:t>):</w:t>
      </w:r>
      <w:r w:rsidRPr="00DD6B41">
        <w:rPr>
          <w:lang w:val="es-ES_tradnl"/>
        </w:rPr>
        <w:t xml:space="preserve"> esta</w:t>
      </w:r>
      <w:r w:rsidRPr="00D52EF5">
        <w:rPr>
          <w:lang w:val="es-ES"/>
        </w:rPr>
        <w:t xml:space="preserve"> meta</w:t>
      </w:r>
      <w:r w:rsidRPr="00DD6B41">
        <w:rPr>
          <w:lang w:val="es-ES_tradnl"/>
        </w:rPr>
        <w:t xml:space="preserve"> para 2015</w:t>
      </w:r>
      <w:r w:rsidRPr="00D52EF5">
        <w:rPr>
          <w:lang w:val="es-ES"/>
        </w:rPr>
        <w:t xml:space="preserve"> no se consiguió, pues </w:t>
      </w:r>
      <w:r w:rsidRPr="00DD6B41">
        <w:rPr>
          <w:lang w:val="es-ES_tradnl"/>
        </w:rPr>
        <w:t xml:space="preserve">solo 78 Partes han notificado el gasto nacional en relación con la diversidad biológica y 44 Partes han notificado las necesidades , los </w:t>
      </w:r>
      <w:proofErr w:type="spellStart"/>
      <w:r w:rsidRPr="00DD6B41">
        <w:rPr>
          <w:lang w:val="es-ES_tradnl"/>
        </w:rPr>
        <w:t>décits</w:t>
      </w:r>
      <w:proofErr w:type="spellEnd"/>
      <w:r w:rsidRPr="00DD6B41">
        <w:rPr>
          <w:lang w:val="es-ES_tradnl"/>
        </w:rPr>
        <w:t xml:space="preserve"> y las prioridades, considerablemente </w:t>
      </w:r>
      <w:r w:rsidRPr="00D52EF5">
        <w:rPr>
          <w:lang w:val="es-ES"/>
        </w:rPr>
        <w:t>menos de</w:t>
      </w:r>
      <w:r w:rsidRPr="00DD6B41">
        <w:rPr>
          <w:lang w:val="es-ES_tradnl"/>
        </w:rPr>
        <w:t>l</w:t>
      </w:r>
      <w:r w:rsidRPr="00D52EF5">
        <w:rPr>
          <w:lang w:val="es-ES"/>
        </w:rPr>
        <w:t>75% de las Partes</w:t>
      </w:r>
      <w:r w:rsidRPr="00DD6B41">
        <w:rPr>
          <w:lang w:val="es-ES_tradnl"/>
        </w:rPr>
        <w:t xml:space="preserve"> requerido por la meta</w:t>
      </w:r>
      <w:r w:rsidRPr="00D52EF5">
        <w:rPr>
          <w:lang w:val="es-ES"/>
        </w:rPr>
        <w:t xml:space="preserve">. No obstante, el avance en la notificación del gasto nacional en relación con la diversidad biológica </w:t>
      </w:r>
      <w:r w:rsidRPr="00DD6B41">
        <w:rPr>
          <w:lang w:val="es-ES_tradnl"/>
        </w:rPr>
        <w:t xml:space="preserve">sigue </w:t>
      </w:r>
      <w:proofErr w:type="spellStart"/>
      <w:r w:rsidRPr="00D52EF5">
        <w:rPr>
          <w:lang w:val="es-ES"/>
        </w:rPr>
        <w:t>parecie</w:t>
      </w:r>
      <w:proofErr w:type="spellEnd"/>
      <w:r w:rsidRPr="00DD6B41">
        <w:rPr>
          <w:lang w:val="es-ES_tradnl"/>
        </w:rPr>
        <w:t>ndo</w:t>
      </w:r>
      <w:r w:rsidRPr="00D52EF5">
        <w:rPr>
          <w:lang w:val="es-ES"/>
        </w:rPr>
        <w:t xml:space="preserve"> alentador, </w:t>
      </w:r>
      <w:r w:rsidRPr="00DD6B41">
        <w:rPr>
          <w:lang w:val="es-ES_tradnl"/>
        </w:rPr>
        <w:t xml:space="preserve">particularmente </w:t>
      </w:r>
      <w:r w:rsidRPr="00D52EF5">
        <w:rPr>
          <w:lang w:val="es-ES"/>
        </w:rPr>
        <w:t>si se tiene en cuenta que la mitad de las Partes notificantes indicaron que carecían de los recursos suficientes para poder informar sobre los gastos en la materia. Siete Partes informaron de la realización de algunas evaluaciones sobre el papel de la actuación colectiva. Ahora bien, la notificación de necesidades, déficits y prioridades parece ser más complicada, ya que más de la mitad de las Partes notificantes indicaron que carecían de los recursos financieros necesarios para poder informar sobre las necesidades, déficits y prioridades.</w:t>
      </w:r>
    </w:p>
    <w:p w14:paraId="365A8449" w14:textId="77777777" w:rsidR="00F37AD8" w:rsidRPr="00D52EF5" w:rsidRDefault="00F37AD8" w:rsidP="00F37AD8">
      <w:pPr>
        <w:pStyle w:val="Para1"/>
        <w:keepLines/>
        <w:numPr>
          <w:ilvl w:val="0"/>
          <w:numId w:val="13"/>
        </w:numPr>
        <w:tabs>
          <w:tab w:val="clear" w:pos="360"/>
        </w:tabs>
        <w:spacing w:before="120"/>
        <w:rPr>
          <w:lang w:val="es-ES"/>
        </w:rPr>
      </w:pPr>
      <w:r w:rsidRPr="00D52EF5">
        <w:rPr>
          <w:i/>
          <w:lang w:val="es-ES"/>
        </w:rPr>
        <w:lastRenderedPageBreak/>
        <w:t>Meta 1 d) de la decisión XII/3 (formular, antes de 2015, un plan de financiación nacional y una evaluación de los valores):</w:t>
      </w:r>
      <w:r w:rsidRPr="00D52EF5">
        <w:rPr>
          <w:lang w:val="es-ES"/>
        </w:rPr>
        <w:t xml:space="preserve"> </w:t>
      </w:r>
      <w:r w:rsidRPr="00DD6B41">
        <w:rPr>
          <w:lang w:val="es-ES_tradnl"/>
        </w:rPr>
        <w:t>u</w:t>
      </w:r>
      <w:r w:rsidRPr="00D52EF5">
        <w:rPr>
          <w:lang w:val="es-ES"/>
        </w:rPr>
        <w:t>n total de 76 Partes respondieron si habían evaluado el valor intrínseco de la diversidad biológica y los valores ecológicos, genéticos, sociales, económicos, científicos, educativos, culturales, recreativos y estéticos de la diversidad biológica y sus componentes; si bien solo cuatro Partes declararon haber realizado una evaluación, el 83% de las Partes notificantes han realizado al menos alguna evaluación, lo cual apuntaría a un cierto avance satisfactorio por lo que respecta al elemento de la meta 1 d). Sin embargo, solo 23 Partes, o el 28% de las Partes notificantes, informaron sobre los elementos de los planes de financiación incluidos en el cuadro, limitándose fundamentalmente a facilitar cuantías globales de los recursos nacionales e internacionales que preveían movilizar. Además del reducido número de informes actualizados e informes nuevos, esto indicaría persistentes dificultades para formular y presentar los informes financieros nacionales. En tal sentido, el 75% de las Partes notificantes dijo no contar con recursos financieros suficientes para elaborar planes financieros. Solo dos países miembros de la OCDE (México y Suiza) proporcionaron elementos de un plan financiero consonantes con los del cuadro.</w:t>
      </w:r>
    </w:p>
    <w:p w14:paraId="4991C135" w14:textId="77777777" w:rsidR="00F37AD8" w:rsidRPr="00D52EF5" w:rsidRDefault="00F37AD8" w:rsidP="00F37AD8">
      <w:pPr>
        <w:pStyle w:val="Para1"/>
        <w:numPr>
          <w:ilvl w:val="0"/>
          <w:numId w:val="13"/>
        </w:numPr>
        <w:tabs>
          <w:tab w:val="clear" w:pos="360"/>
        </w:tabs>
        <w:spacing w:before="120"/>
        <w:rPr>
          <w:szCs w:val="22"/>
          <w:lang w:val="es-ES"/>
        </w:rPr>
      </w:pPr>
      <w:r w:rsidRPr="00D52EF5">
        <w:rPr>
          <w:i/>
          <w:spacing w:val="-1"/>
          <w:kern w:val="22"/>
          <w:szCs w:val="22"/>
          <w:lang w:val="es-ES"/>
        </w:rPr>
        <w:t xml:space="preserve">Meta 1 e) de la decisión XII/3 </w:t>
      </w:r>
      <w:r w:rsidRPr="00D52EF5">
        <w:rPr>
          <w:i/>
          <w:iCs/>
          <w:spacing w:val="-1"/>
          <w:kern w:val="22"/>
          <w:szCs w:val="22"/>
          <w:lang w:val="es-ES"/>
        </w:rPr>
        <w:t>(movilizar recursos financieros nacionales)</w:t>
      </w:r>
      <w:r w:rsidRPr="00D52EF5">
        <w:rPr>
          <w:i/>
          <w:spacing w:val="-1"/>
          <w:kern w:val="22"/>
          <w:szCs w:val="22"/>
          <w:lang w:val="es-ES"/>
        </w:rPr>
        <w:t xml:space="preserve">: </w:t>
      </w:r>
      <w:r w:rsidRPr="00DD6B41">
        <w:rPr>
          <w:rFonts w:cs="Times New Roman"/>
          <w:lang w:val="es-ES_tradnl"/>
        </w:rPr>
        <w:t xml:space="preserve">la información proporcionada a través del marco de presentación de informes financieros indica que 28 Partes mostraban tendencia al acrecentamiento de sus recursos nacionales en relación con la diversidad biológica, mientras que 24 no presentaban cambio alguno y 13 mostraban tendencia a la disminución. Respecto de 13 Partes, las tendencias no pudieron detectarse o no fueron concluyentes (véanse el párrafo 22 </w:t>
      </w:r>
      <w:r w:rsidRPr="00DD6B41">
        <w:rPr>
          <w:rFonts w:cs="Times New Roman"/>
          <w:i/>
          <w:lang w:val="es-ES_tradnl"/>
        </w:rPr>
        <w:t>supra</w:t>
      </w:r>
      <w:r w:rsidRPr="00DD6B41">
        <w:rPr>
          <w:rFonts w:cs="Times New Roman"/>
          <w:lang w:val="es-ES_tradnl"/>
        </w:rPr>
        <w:t xml:space="preserve"> y el cuadro 2). Así pues, las tendencias del gasto relacionado con la diversidad biológica, en la medida en que se pueden observar, parecen ser positivas en general, sobre todo en los países no miembros del DAC, aunque los informes sobre el gasto se basan habitualmente en solo unos pocos años y, por lo tanto, toda tendencia observable carece de suficiente robustez. Ahora bien, </w:t>
      </w:r>
      <w:r w:rsidRPr="00DD6B41">
        <w:rPr>
          <w:spacing w:val="-1"/>
          <w:kern w:val="22"/>
          <w:szCs w:val="22"/>
          <w:lang w:val="es-ES_tradnl"/>
        </w:rPr>
        <w:t>p</w:t>
      </w:r>
      <w:r w:rsidRPr="00D52EF5">
        <w:rPr>
          <w:spacing w:val="-1"/>
          <w:kern w:val="22"/>
          <w:szCs w:val="22"/>
          <w:lang w:val="es-ES"/>
        </w:rPr>
        <w:t>ara evaluar si el déficit de financiación se redujo mediante la movilización de otros recursos financieros, es preciso especificar dicho déficit</w:t>
      </w:r>
      <w:r w:rsidRPr="00DD6B41">
        <w:rPr>
          <w:spacing w:val="-1"/>
          <w:kern w:val="22"/>
          <w:szCs w:val="22"/>
          <w:lang w:val="es-ES_tradnl"/>
        </w:rPr>
        <w:t xml:space="preserve"> así como </w:t>
      </w:r>
      <w:r w:rsidRPr="00D52EF5">
        <w:rPr>
          <w:spacing w:val="-1"/>
          <w:kern w:val="22"/>
          <w:szCs w:val="22"/>
          <w:lang w:val="es-ES"/>
        </w:rPr>
        <w:t>notificarlo. Cabe reiterar que la limitada evolución a la hora de especificar y notificar los déficits financieros, y de formular un plan financiero nacional, repercute en la evaluación del progreso hacia esta meta.</w:t>
      </w:r>
    </w:p>
    <w:bookmarkEnd w:id="2"/>
    <w:p w14:paraId="77ADDC2D" w14:textId="77777777" w:rsidR="00F37AD8" w:rsidRPr="00D52EF5" w:rsidRDefault="00F37AD8" w:rsidP="00F37AD8">
      <w:pPr>
        <w:pStyle w:val="Para1"/>
        <w:keepLines/>
        <w:numPr>
          <w:ilvl w:val="0"/>
          <w:numId w:val="13"/>
        </w:numPr>
        <w:suppressLineNumbers/>
        <w:tabs>
          <w:tab w:val="clear" w:pos="360"/>
        </w:tabs>
        <w:suppressAutoHyphens/>
        <w:spacing w:before="120"/>
        <w:rPr>
          <w:szCs w:val="22"/>
          <w:lang w:val="es-ES"/>
        </w:rPr>
      </w:pPr>
      <w:r w:rsidRPr="00D52EF5">
        <w:rPr>
          <w:szCs w:val="22"/>
          <w:lang w:val="es-ES"/>
        </w:rPr>
        <w:t xml:space="preserve">Una versión provisional del informe más reciente que evalúa la financiación mundial en relación con la diversidad biológica, elaborado por la OCDE atendiendo a la solicitud de la reunión de los Ministros de Medio Ambiente del G7 celebrada en mayo de 2019, se puso a disposición del Taller Temático sobre Movilización de Recursos para el </w:t>
      </w:r>
      <w:r w:rsidRPr="00D52EF5">
        <w:rPr>
          <w:lang w:val="es-ES"/>
        </w:rPr>
        <w:t xml:space="preserve">Marco Mundial de la Diversidad Biológica posterior a 2020, celebrado en enero de </w:t>
      </w:r>
      <w:r w:rsidRPr="00D52EF5">
        <w:rPr>
          <w:szCs w:val="22"/>
          <w:lang w:val="es-ES"/>
        </w:rPr>
        <w:t xml:space="preserve">2020. La versión final de dicho informe fue publicada en abril de 2020. Este informe de la OCDE, </w:t>
      </w:r>
      <w:r w:rsidRPr="00D52EF5">
        <w:rPr>
          <w:i/>
          <w:szCs w:val="22"/>
          <w:lang w:val="es-ES"/>
        </w:rPr>
        <w:t xml:space="preserve">A </w:t>
      </w:r>
      <w:proofErr w:type="spellStart"/>
      <w:r w:rsidRPr="00D52EF5">
        <w:rPr>
          <w:i/>
          <w:szCs w:val="22"/>
          <w:lang w:val="es-ES"/>
        </w:rPr>
        <w:t>Comprehensive</w:t>
      </w:r>
      <w:proofErr w:type="spellEnd"/>
      <w:r w:rsidRPr="00D52EF5">
        <w:rPr>
          <w:i/>
          <w:szCs w:val="22"/>
          <w:lang w:val="es-ES"/>
        </w:rPr>
        <w:t xml:space="preserve"> </w:t>
      </w:r>
      <w:proofErr w:type="spellStart"/>
      <w:r w:rsidRPr="00D52EF5">
        <w:rPr>
          <w:i/>
          <w:szCs w:val="22"/>
          <w:lang w:val="es-ES"/>
        </w:rPr>
        <w:t>Overview</w:t>
      </w:r>
      <w:proofErr w:type="spellEnd"/>
      <w:r w:rsidRPr="00D52EF5">
        <w:rPr>
          <w:i/>
          <w:szCs w:val="22"/>
          <w:lang w:val="es-ES"/>
        </w:rPr>
        <w:t xml:space="preserve"> </w:t>
      </w:r>
      <w:proofErr w:type="spellStart"/>
      <w:r w:rsidRPr="00D52EF5">
        <w:rPr>
          <w:i/>
          <w:szCs w:val="22"/>
          <w:lang w:val="es-ES"/>
        </w:rPr>
        <w:t>of</w:t>
      </w:r>
      <w:proofErr w:type="spellEnd"/>
      <w:r w:rsidRPr="00D52EF5">
        <w:rPr>
          <w:i/>
          <w:szCs w:val="22"/>
          <w:lang w:val="es-ES"/>
        </w:rPr>
        <w:t xml:space="preserve"> Global </w:t>
      </w:r>
      <w:proofErr w:type="spellStart"/>
      <w:r w:rsidRPr="00D52EF5">
        <w:rPr>
          <w:i/>
          <w:szCs w:val="22"/>
          <w:lang w:val="es-ES"/>
        </w:rPr>
        <w:t>Biodiversity</w:t>
      </w:r>
      <w:proofErr w:type="spellEnd"/>
      <w:r w:rsidRPr="00D52EF5">
        <w:rPr>
          <w:i/>
          <w:szCs w:val="22"/>
          <w:lang w:val="es-ES"/>
        </w:rPr>
        <w:t xml:space="preserve"> </w:t>
      </w:r>
      <w:proofErr w:type="spellStart"/>
      <w:r w:rsidRPr="00D52EF5">
        <w:rPr>
          <w:i/>
          <w:szCs w:val="22"/>
          <w:lang w:val="es-ES"/>
        </w:rPr>
        <w:t>Finance</w:t>
      </w:r>
      <w:proofErr w:type="spellEnd"/>
      <w:r w:rsidRPr="00D52EF5">
        <w:rPr>
          <w:rStyle w:val="FootnoteReference"/>
          <w:iCs/>
          <w:szCs w:val="22"/>
          <w:lang w:val="es-ES"/>
        </w:rPr>
        <w:footnoteReference w:id="26"/>
      </w:r>
      <w:r w:rsidRPr="00D52EF5">
        <w:rPr>
          <w:iCs/>
          <w:szCs w:val="22"/>
          <w:lang w:val="es-ES"/>
        </w:rPr>
        <w:t>, a</w:t>
      </w:r>
      <w:r w:rsidRPr="00D52EF5">
        <w:rPr>
          <w:szCs w:val="22"/>
          <w:lang w:val="es-ES"/>
        </w:rPr>
        <w:t xml:space="preserve">porta información nueva e importante sobre la situación actual. Algunas de sus principales conclusiones consideradas importantes por el Panel de Expertos se exponen en los párrafos </w:t>
      </w:r>
      <w:r w:rsidRPr="00DD6B41">
        <w:rPr>
          <w:szCs w:val="22"/>
          <w:lang w:val="es-ES_tradnl"/>
        </w:rPr>
        <w:t xml:space="preserve">57 a 63 </w:t>
      </w:r>
      <w:r w:rsidRPr="00D52EF5">
        <w:rPr>
          <w:szCs w:val="22"/>
          <w:lang w:val="es-ES"/>
        </w:rPr>
        <w:t>siguientes.</w:t>
      </w:r>
    </w:p>
    <w:p w14:paraId="63E4A6F4"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t>Sobre la base de los datos disponibles, el análisis de la OCDE estima la financiación total en relación con la diversidad biológica entre 78.000 y 91.000 millones de dólares estadounidenses anuales. Esta estimación comprende el gasto público anual medio desde 2015 hasta 2017, y los datos más recientes disponibles sobre el gasto privado en el mismo periodo.</w:t>
      </w:r>
    </w:p>
    <w:p w14:paraId="55E5BB2D" w14:textId="79CBE66E"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t>Una parte apreciable de la financiación mundial en relación con la diversidad biológica es el gasto público de ámbito internacional, en particular la asistencia oficial para el desarrollo, además de otros aportes del sector público; a partir de un promedio de los flujos entre 2015 y 2017, se estima que en total oscila entre 3.900 y 9.300 millones de dólares estadounidenses anuales</w:t>
      </w:r>
      <w:r w:rsidRPr="00D52EF5">
        <w:rPr>
          <w:vertAlign w:val="superscript"/>
          <w:lang w:val="es-ES"/>
        </w:rPr>
        <w:footnoteReference w:id="27"/>
      </w:r>
      <w:r w:rsidRPr="00D52EF5">
        <w:rPr>
          <w:szCs w:val="22"/>
          <w:lang w:val="es-ES"/>
        </w:rPr>
        <w:t xml:space="preserve">. Esta cantidad comprende los flujos bilaterales de 3.500 a 8.400 millones, y flujos multilaterales de entre </w:t>
      </w:r>
      <w:r w:rsidRPr="00DD6B41">
        <w:rPr>
          <w:szCs w:val="22"/>
          <w:lang w:val="es-ES_tradnl"/>
        </w:rPr>
        <w:t>3</w:t>
      </w:r>
      <w:r w:rsidR="005B1F6F" w:rsidRPr="00DD6B41">
        <w:rPr>
          <w:szCs w:val="22"/>
          <w:lang w:val="es-ES_tradnl"/>
        </w:rPr>
        <w:t>00</w:t>
      </w:r>
      <w:r w:rsidRPr="00DD6B41">
        <w:rPr>
          <w:szCs w:val="22"/>
          <w:lang w:val="es-ES_tradnl"/>
        </w:rPr>
        <w:t xml:space="preserve"> y </w:t>
      </w:r>
      <w:r w:rsidR="003C6689" w:rsidRPr="00DD6B41">
        <w:rPr>
          <w:szCs w:val="22"/>
          <w:lang w:val="es-ES_tradnl"/>
        </w:rPr>
        <w:t>9</w:t>
      </w:r>
      <w:r w:rsidR="005B1F6F" w:rsidRPr="00DD6B41">
        <w:rPr>
          <w:szCs w:val="22"/>
          <w:lang w:val="es-ES_tradnl"/>
        </w:rPr>
        <w:t>00</w:t>
      </w:r>
      <w:r w:rsidR="003C6689" w:rsidRPr="00D52EF5">
        <w:rPr>
          <w:szCs w:val="22"/>
          <w:lang w:val="es-ES"/>
        </w:rPr>
        <w:t xml:space="preserve"> </w:t>
      </w:r>
      <w:r w:rsidRPr="00D52EF5">
        <w:rPr>
          <w:szCs w:val="22"/>
          <w:lang w:val="es-ES"/>
        </w:rPr>
        <w:t xml:space="preserve">millones de dólares estadounidenses. </w:t>
      </w:r>
    </w:p>
    <w:p w14:paraId="694A93B3"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lastRenderedPageBreak/>
        <w:t>El gasto público interno, no obstante, representa la parte más voluminosa del gasto mundial en relación con la diversidad biológica. Entre 2015 y 2017, el gasto conjunto promedio de 81 países en conservación y uso sostenible de la diversidad biológica fue de 67.800 millones de dólares estadounidenses anuales</w:t>
      </w:r>
      <w:r w:rsidRPr="00D52EF5">
        <w:rPr>
          <w:rStyle w:val="FootnoteReference"/>
          <w:szCs w:val="22"/>
          <w:lang w:val="es-ES"/>
        </w:rPr>
        <w:footnoteReference w:id="28"/>
      </w:r>
      <w:r w:rsidRPr="00D52EF5">
        <w:rPr>
          <w:szCs w:val="22"/>
          <w:lang w:val="es-ES"/>
        </w:rPr>
        <w:t>. Esta estimación se basa sobre todo en datos del marco para la presentación de informes financieros del Convenio sobre la Diversidad Biológica, de la Clasificación de las funciones del gobierno (CFG)</w:t>
      </w:r>
      <w:r w:rsidRPr="00D52EF5">
        <w:rPr>
          <w:szCs w:val="22"/>
          <w:vertAlign w:val="superscript"/>
          <w:lang w:val="es-ES"/>
        </w:rPr>
        <w:footnoteReference w:id="29"/>
      </w:r>
      <w:r w:rsidRPr="00D52EF5">
        <w:rPr>
          <w:szCs w:val="22"/>
          <w:lang w:val="es-ES"/>
        </w:rPr>
        <w:t xml:space="preserve"> y de las evaluaciones del gasto nacional de la iniciativa BIOFIN del PNUD. Comprende los flujos financieros directos e indirectos de uno 25 países, y solo los flujos directos de los demás países. Esta estimación solo incluye parcialmente el gasto público subnacional.</w:t>
      </w:r>
    </w:p>
    <w:p w14:paraId="6D111882" w14:textId="4C575E79"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t xml:space="preserve">Según las estimaciones de la OCDE, el gasto del sector privado en relación con la diversidad biológica es de entre 6.600 y 13.600 millones de dólares </w:t>
      </w:r>
      <w:r w:rsidR="00F86BF3" w:rsidRPr="00D52EF5">
        <w:rPr>
          <w:szCs w:val="22"/>
          <w:lang w:val="es-ES"/>
        </w:rPr>
        <w:t xml:space="preserve">estadounidenses </w:t>
      </w:r>
      <w:r w:rsidRPr="00D52EF5">
        <w:rPr>
          <w:szCs w:val="22"/>
          <w:lang w:val="es-ES"/>
        </w:rPr>
        <w:t xml:space="preserve">anuales. Para realizar esta estimación se han utilizado diferentes fuentes de datos para el periodo comprendido entre 2015 y 2017, sobre compensaciones por pérdida de biodiversidad, productos básicos sostenibles, financiación del carbono forestal, pagos por servicios que proporcionan los ecosistemas, comercialización y compensaciones en torno al agua de calidad, gasto filantrópico, y apalancamiento de la financiación privada por parte de la financiación bilateral y multilateral de los fondos para el desarrollo. El cálculo es parcial (por ejemplo, en términos de cobertura de sectores, hogares, empresas y organizaciones de financiación), y, por lo tanto, prudente. El informe de la OCDE ofrece además una panorámica útil de los instrumentos económicos y de otros instrumentos financieros, modalidades de inversión y estructura de las inversiones actualmente en uso en la esfera de la diversidad biológica, así como una estimación del total de recursos que cada quien está movilizando en relación con la diversidad biológica (véase el anexo VI </w:t>
      </w:r>
      <w:r w:rsidRPr="00DD6B41">
        <w:rPr>
          <w:szCs w:val="22"/>
          <w:lang w:val="es-ES_tradnl"/>
        </w:rPr>
        <w:t>del</w:t>
      </w:r>
      <w:r w:rsidRPr="00D52EF5">
        <w:rPr>
          <w:szCs w:val="22"/>
          <w:lang w:val="es-ES"/>
        </w:rPr>
        <w:t xml:space="preserve"> documento CBD/SBI/3/INF/2).</w:t>
      </w:r>
    </w:p>
    <w:p w14:paraId="43E6354D"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t>El informe de la OCDE contiene además información útil que subraya la importancia de tener en cuenta, tanto para la movilización de recursos como para la integración más general de la diversidad biológica, la Meta 3 de Aichi para la Diversidad Biológica (sobre la eliminación de los incentivos nocivos, entre otros, las subvenciones perjudiciales) tema sobre el que ya se ha trabajado mucho con arreglo al Convenio</w:t>
      </w:r>
      <w:r w:rsidRPr="00D52EF5">
        <w:rPr>
          <w:rStyle w:val="FootnoteReference"/>
          <w:szCs w:val="22"/>
          <w:lang w:val="es-ES"/>
        </w:rPr>
        <w:footnoteReference w:id="30"/>
      </w:r>
      <w:r w:rsidRPr="00D52EF5">
        <w:rPr>
          <w:szCs w:val="22"/>
          <w:lang w:val="es-ES"/>
        </w:rPr>
        <w:t>. La OCDE puntualiza que, para obtener resultados positivos, la reducción de la financiación perjudicial para la biodiversidad es tan importante como el aumento de la financiación en su favor. Los gobiernos gastan alrededor de 500.000 millones de dólares estadounidenses al año en ayudas potencialmente perjudiciales para la diversidad biológica; es decir, cinco o seis veces más que el gasto total en relación con ésta. En 2017, 76 economías predominantemente de la OCDE y del G20 gastaron 340.000 millones en apoyo a los combustibles fósiles (OCDE/IEA, 2019). El mismo año, solo los países de la OCDE aportaron 228.000 millones de dólares estadounidenses en ayudas a los agricultores, de los cuales 116.000 millones (es decir, el 51%) se consideran potencialmente muy nocivas para la diversidad biológica con respecto a otros tipos de ayuda (OCDE, 2013). Si bien la proporción de ayuda general a los agricultores clasificada como potencialmente muy nociva se ha reducido apreciablemente desde 1990, en los últimos decenios se ha mantenido relativamente constante.</w:t>
      </w:r>
    </w:p>
    <w:p w14:paraId="7197B166"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t xml:space="preserve">Las subvenciones en otros sectores, tales como la minería y la pesca, también pueden ser perjudiciales para la diversidad biológica. En 2017, los 27 países de la OCDE que notifican datos a la base de datos </w:t>
      </w:r>
      <w:proofErr w:type="spellStart"/>
      <w:r w:rsidRPr="00D52EF5">
        <w:rPr>
          <w:szCs w:val="22"/>
          <w:lang w:val="es-ES"/>
        </w:rPr>
        <w:t>Fisheries</w:t>
      </w:r>
      <w:proofErr w:type="spellEnd"/>
      <w:r w:rsidRPr="00D52EF5">
        <w:rPr>
          <w:szCs w:val="22"/>
          <w:lang w:val="es-ES"/>
        </w:rPr>
        <w:t xml:space="preserve"> </w:t>
      </w:r>
      <w:proofErr w:type="spellStart"/>
      <w:r w:rsidRPr="00D52EF5">
        <w:rPr>
          <w:szCs w:val="22"/>
          <w:lang w:val="es-ES"/>
        </w:rPr>
        <w:t>Support</w:t>
      </w:r>
      <w:proofErr w:type="spellEnd"/>
      <w:r w:rsidRPr="00D52EF5">
        <w:rPr>
          <w:szCs w:val="22"/>
          <w:lang w:val="es-ES"/>
        </w:rPr>
        <w:t xml:space="preserve"> </w:t>
      </w:r>
      <w:proofErr w:type="spellStart"/>
      <w:r w:rsidRPr="00D52EF5">
        <w:rPr>
          <w:szCs w:val="22"/>
          <w:lang w:val="es-ES"/>
        </w:rPr>
        <w:t>Estimate</w:t>
      </w:r>
      <w:proofErr w:type="spellEnd"/>
      <w:r w:rsidRPr="00D52EF5">
        <w:rPr>
          <w:szCs w:val="22"/>
          <w:lang w:val="es-ES"/>
        </w:rPr>
        <w:t xml:space="preserve"> de la OCDE proporcionaron 700 millones de dólares estadounidenses en ayudas directas a particulares o empresas del sector pesquero. Si la ayuda se reorientara desde las políticas que incentivan la pesca intensiva hacia actividades que mejoran la sostenibilidad de las operaciones de pesca, tanto el medio ambiente como los medios de vida de los pescadores se verían muy beneficiados (Martini e Innes, 2018). </w:t>
      </w:r>
    </w:p>
    <w:p w14:paraId="637D7B81"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lastRenderedPageBreak/>
        <w:t>Por último, el informe de la OCDE subraya que si se modificaran las subvenciones nocivas para la diversidad biológica se reducirían las necesidades de financiación en relación con la diversidad biológica. Así pues, la integración de la biodiversidad y la movilización de recursos han de considerarse como dos agendas interconectadas y complementarias con respecto al Convenio sobre la diversidad biológica, idea con la que el Panel de Expertos coincide plenamente.</w:t>
      </w:r>
    </w:p>
    <w:p w14:paraId="5FF801F7" w14:textId="77777777" w:rsidR="00F37AD8" w:rsidRPr="00D52EF5" w:rsidRDefault="00F37AD8" w:rsidP="00F37AD8">
      <w:pPr>
        <w:pStyle w:val="Para1"/>
        <w:keepNext/>
        <w:suppressLineNumbers/>
        <w:suppressAutoHyphens/>
        <w:spacing w:before="240"/>
        <w:jc w:val="center"/>
        <w:outlineLvl w:val="0"/>
        <w:rPr>
          <w:b/>
          <w:lang w:val="es-ES"/>
        </w:rPr>
      </w:pPr>
      <w:r w:rsidRPr="00D52EF5">
        <w:rPr>
          <w:b/>
          <w:lang w:val="es-ES"/>
        </w:rPr>
        <w:t>IV.</w:t>
      </w:r>
      <w:r w:rsidRPr="00D52EF5">
        <w:rPr>
          <w:b/>
          <w:lang w:val="es-ES"/>
        </w:rPr>
        <w:tab/>
      </w:r>
      <w:r w:rsidRPr="00D52EF5">
        <w:rPr>
          <w:rFonts w:ascii="Times New Roman Bold" w:hAnsi="Times New Roman Bold"/>
          <w:b/>
          <w:caps/>
          <w:lang w:val="es-ES"/>
        </w:rPr>
        <w:t>NeCeSIdAD DE OTRAS MEDIDAS EN EL marco mundial para la diversidad biológica posterior a 2020</w:t>
      </w:r>
    </w:p>
    <w:p w14:paraId="48705578"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t xml:space="preserve">El presente </w:t>
      </w:r>
      <w:r w:rsidRPr="00DD6B41">
        <w:rPr>
          <w:bCs/>
          <w:lang w:val="es-ES_tradnl"/>
        </w:rPr>
        <w:t xml:space="preserve">resumen del primer </w:t>
      </w:r>
      <w:r w:rsidRPr="00D52EF5">
        <w:rPr>
          <w:szCs w:val="22"/>
          <w:lang w:val="es-ES"/>
        </w:rPr>
        <w:t>informe del Panel de Expertos ha puesto de manifiesto, en los correspondientes puntos, otras medidas que podrían ayudar a resolver deficiencias de la Estrategia para la Movilización de Recursos y respecto de la consecución de la Meta 20 de Aichi para la Diversidad Biológica. La versión completa del informe lo explica más pormenorizadamente en su sección final al tratar los temas siguientes:</w:t>
      </w:r>
    </w:p>
    <w:p w14:paraId="188BB649" w14:textId="77777777" w:rsidR="00F37AD8" w:rsidRPr="00D52EF5" w:rsidRDefault="00F37AD8" w:rsidP="00F37AD8">
      <w:pPr>
        <w:pStyle w:val="Para1"/>
        <w:numPr>
          <w:ilvl w:val="0"/>
          <w:numId w:val="25"/>
        </w:numPr>
        <w:suppressLineNumbers/>
        <w:suppressAutoHyphens/>
        <w:spacing w:before="120"/>
        <w:ind w:left="1418" w:hanging="709"/>
        <w:rPr>
          <w:lang w:val="es-ES"/>
        </w:rPr>
      </w:pPr>
      <w:r w:rsidRPr="00D52EF5">
        <w:rPr>
          <w:lang w:val="es-ES"/>
        </w:rPr>
        <w:t>Criterio general del marco mundial de la diversidad biológica posterior a 2020 con respecto a la movilización de recursos.</w:t>
      </w:r>
    </w:p>
    <w:p w14:paraId="42DCD241"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La integración de la diversidad biológica como medio para mejorar la movilización de recursos.</w:t>
      </w:r>
    </w:p>
    <w:p w14:paraId="2C7AE93F"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La financiación internacional para el desarrollo, el Convenio sobre la Diversidad Biológica y las agendas de desarrollo y sobre el clima.</w:t>
      </w:r>
    </w:p>
    <w:p w14:paraId="0252E35E"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Movilización de recursos financieros nacionales.</w:t>
      </w:r>
    </w:p>
    <w:p w14:paraId="40E93995"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El sector privado y el sector financiero.</w:t>
      </w:r>
    </w:p>
    <w:p w14:paraId="4E52D7F5"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Instrumentos y herramientas de financiación.</w:t>
      </w:r>
    </w:p>
    <w:p w14:paraId="5B339FC7"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Acceso a los recursos biológicos y participación en los beneficios.</w:t>
      </w:r>
    </w:p>
    <w:p w14:paraId="668583F6"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Papel de los pueblos indígenas y las comunidades locales.</w:t>
      </w:r>
    </w:p>
    <w:p w14:paraId="2B245913"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Desarrollo de la capacidad.</w:t>
      </w:r>
    </w:p>
    <w:p w14:paraId="2C79E62D" w14:textId="77777777" w:rsidR="00F37AD8" w:rsidRPr="00D52EF5" w:rsidRDefault="00F37AD8" w:rsidP="00F37AD8">
      <w:pPr>
        <w:pStyle w:val="Para1"/>
        <w:numPr>
          <w:ilvl w:val="0"/>
          <w:numId w:val="25"/>
        </w:numPr>
        <w:suppressLineNumbers/>
        <w:suppressAutoHyphens/>
        <w:spacing w:before="120"/>
        <w:ind w:left="0" w:firstLine="720"/>
        <w:rPr>
          <w:lang w:val="es-ES"/>
        </w:rPr>
      </w:pPr>
      <w:r w:rsidRPr="00D52EF5">
        <w:rPr>
          <w:lang w:val="es-ES"/>
        </w:rPr>
        <w:t>La presentación de informes sobre la movilización de recursos.</w:t>
      </w:r>
    </w:p>
    <w:p w14:paraId="5B800FA2" w14:textId="77777777" w:rsidR="00F37AD8" w:rsidRPr="00D52EF5" w:rsidRDefault="00F37AD8" w:rsidP="00F37AD8">
      <w:pPr>
        <w:pStyle w:val="Para1"/>
        <w:keepNext/>
        <w:numPr>
          <w:ilvl w:val="0"/>
          <w:numId w:val="13"/>
        </w:numPr>
        <w:suppressLineNumbers/>
        <w:tabs>
          <w:tab w:val="clear" w:pos="360"/>
        </w:tabs>
        <w:suppressAutoHyphens/>
        <w:spacing w:before="120"/>
        <w:rPr>
          <w:szCs w:val="22"/>
          <w:lang w:val="es-ES"/>
        </w:rPr>
      </w:pPr>
      <w:r w:rsidRPr="00D52EF5">
        <w:rPr>
          <w:szCs w:val="22"/>
          <w:lang w:val="es-ES"/>
        </w:rPr>
        <w:t>Por lo que respecta a las prioridades detectadas para la adopción de otras medidas e</w:t>
      </w:r>
      <w:r w:rsidRPr="00D52EF5">
        <w:rPr>
          <w:bCs/>
          <w:szCs w:val="22"/>
          <w:lang w:val="es-ES"/>
        </w:rPr>
        <w:t xml:space="preserve">n el </w:t>
      </w:r>
      <w:r w:rsidRPr="00D52EF5">
        <w:rPr>
          <w:lang w:val="es-ES"/>
        </w:rPr>
        <w:t>marco mundial de la diversidad biológica posterior a 2020</w:t>
      </w:r>
      <w:r w:rsidRPr="00D52EF5">
        <w:rPr>
          <w:szCs w:val="22"/>
          <w:lang w:val="es-ES"/>
        </w:rPr>
        <w:t>, hubo un mensaje claro acerca de la atención que merecen ahora tres componentes complementarios de la movilización de recursos:</w:t>
      </w:r>
    </w:p>
    <w:p w14:paraId="5AE49809" w14:textId="77777777" w:rsidR="00F37AD8" w:rsidRPr="00D52EF5" w:rsidRDefault="00F37AD8" w:rsidP="00F37AD8">
      <w:pPr>
        <w:pStyle w:val="Para1"/>
        <w:numPr>
          <w:ilvl w:val="0"/>
          <w:numId w:val="27"/>
        </w:numPr>
        <w:suppressLineNumbers/>
        <w:suppressAutoHyphens/>
        <w:spacing w:before="120"/>
        <w:ind w:left="1418" w:hanging="709"/>
        <w:rPr>
          <w:szCs w:val="22"/>
          <w:lang w:val="es-ES"/>
        </w:rPr>
      </w:pPr>
      <w:r w:rsidRPr="00D52EF5">
        <w:rPr>
          <w:szCs w:val="22"/>
          <w:lang w:val="es-ES"/>
        </w:rPr>
        <w:t>Reorientar o reducir los recursos perjudiciales para la diversidad biológica.</w:t>
      </w:r>
    </w:p>
    <w:p w14:paraId="0EA9777A" w14:textId="77777777" w:rsidR="00F37AD8" w:rsidRPr="00D52EF5" w:rsidRDefault="00F37AD8" w:rsidP="00F37AD8">
      <w:pPr>
        <w:pStyle w:val="Para1"/>
        <w:numPr>
          <w:ilvl w:val="0"/>
          <w:numId w:val="27"/>
        </w:numPr>
        <w:suppressLineNumbers/>
        <w:suppressAutoHyphens/>
        <w:spacing w:before="120"/>
        <w:ind w:left="0" w:firstLine="720"/>
        <w:rPr>
          <w:szCs w:val="22"/>
          <w:lang w:val="es-ES"/>
        </w:rPr>
      </w:pPr>
      <w:r w:rsidRPr="00D52EF5">
        <w:rPr>
          <w:szCs w:val="22"/>
          <w:lang w:val="es-ES"/>
        </w:rPr>
        <w:t>Generar recursos adicionales de todas las fuentes.</w:t>
      </w:r>
    </w:p>
    <w:p w14:paraId="16592D82" w14:textId="77777777" w:rsidR="00F37AD8" w:rsidRPr="00D52EF5" w:rsidRDefault="00F37AD8" w:rsidP="00F37AD8">
      <w:pPr>
        <w:pStyle w:val="Para1"/>
        <w:numPr>
          <w:ilvl w:val="0"/>
          <w:numId w:val="27"/>
        </w:numPr>
        <w:suppressLineNumbers/>
        <w:suppressAutoHyphens/>
        <w:spacing w:before="120"/>
        <w:ind w:left="0" w:firstLine="720"/>
        <w:rPr>
          <w:szCs w:val="22"/>
          <w:lang w:val="es-ES"/>
        </w:rPr>
      </w:pPr>
      <w:r w:rsidRPr="00D52EF5">
        <w:rPr>
          <w:szCs w:val="22"/>
          <w:lang w:val="es-ES"/>
        </w:rPr>
        <w:t>Mejorar la eficiencia y la eficacia de la absorción y el uso de los fondos en todos los niveles.</w:t>
      </w:r>
    </w:p>
    <w:p w14:paraId="763391D1"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lang w:val="es-ES"/>
        </w:rPr>
        <w:t>Otro elemento es el claro reconocimiento de la necesidad de mejorar las sinergias entre los recursos que se movilizan para la diversidad biológica y los que se movilizan para el cambio climático</w:t>
      </w:r>
      <w:r w:rsidRPr="00D52EF5">
        <w:rPr>
          <w:szCs w:val="22"/>
          <w:lang w:val="es-ES"/>
        </w:rPr>
        <w:t>, y los destinados a los Objetivos de Desarrollo Sostenible más en general, a fin de evitar los gastos perjudiciales para a la biodiversidad, y de integrar la financiación de la diversidad biológica en la agenda para la financiación del desarrollo sostenible en términos más amplios.</w:t>
      </w:r>
    </w:p>
    <w:p w14:paraId="336DE49B" w14:textId="77777777" w:rsidR="00F37AD8" w:rsidRPr="00D52EF5" w:rsidRDefault="00F37AD8" w:rsidP="00F37AD8">
      <w:pPr>
        <w:pStyle w:val="Para1"/>
        <w:numPr>
          <w:ilvl w:val="0"/>
          <w:numId w:val="13"/>
        </w:numPr>
        <w:suppressLineNumbers/>
        <w:tabs>
          <w:tab w:val="clear" w:pos="360"/>
        </w:tabs>
        <w:suppressAutoHyphens/>
        <w:spacing w:before="120"/>
        <w:rPr>
          <w:szCs w:val="22"/>
          <w:lang w:val="es-ES"/>
        </w:rPr>
      </w:pPr>
      <w:r w:rsidRPr="00D52EF5">
        <w:rPr>
          <w:szCs w:val="22"/>
          <w:lang w:val="es-ES"/>
        </w:rPr>
        <w:t>Se señalaron como esenciales para el éxito de la movilización de recursos la incorporación de la diversidad biológica en todos los planes, presupuestos, y actuaciones de los sectores público y privado, tanto a nivel nacional como internacional; entre otras cosas, en los presupuestos y planes de desarrollo de los países, y en las inversiones y actividades del sector privado. Hay una importante vinculación entre la labor del Grupo Asesor Oficioso sobre la Integración de la Diversidad Biológica del CDB, que está ideando un método de integración de la diversidad biológica a largo plazo, y la labor del Panel, que se sigue examinando en su tercer informe.</w:t>
      </w:r>
    </w:p>
    <w:p w14:paraId="19E7D485" w14:textId="77777777" w:rsidR="00F37AD8" w:rsidRPr="00D52EF5" w:rsidRDefault="00F37AD8" w:rsidP="00F37AD8">
      <w:pPr>
        <w:pStyle w:val="Para1"/>
        <w:numPr>
          <w:ilvl w:val="0"/>
          <w:numId w:val="13"/>
        </w:numPr>
        <w:tabs>
          <w:tab w:val="clear" w:pos="360"/>
        </w:tabs>
        <w:spacing w:before="120"/>
        <w:rPr>
          <w:lang w:val="es-ES"/>
        </w:rPr>
      </w:pPr>
      <w:r w:rsidRPr="00D52EF5">
        <w:rPr>
          <w:lang w:val="es-ES"/>
        </w:rPr>
        <w:lastRenderedPageBreak/>
        <w:t>En la actualidad, los recursos financieros nacionales para la diversidad biológica constituyen la</w:t>
      </w:r>
      <w:r w:rsidRPr="00D52EF5">
        <w:rPr>
          <w:szCs w:val="22"/>
          <w:lang w:val="es-ES"/>
        </w:rPr>
        <w:t xml:space="preserve"> parte más voluminosa </w:t>
      </w:r>
      <w:r w:rsidRPr="00D52EF5">
        <w:rPr>
          <w:lang w:val="es-ES"/>
        </w:rPr>
        <w:t>(más de tres cuartas partes) de los recursos movilizados al año, y seguirán revistiendo importancia crucial. Cabrá mejorar la integración de la diversidad biológica en los planes y presupuestos nacionales, y aumentar la capacidad de los países para mejorar la eficiencia y la eficacia del uso de los recursos.</w:t>
      </w:r>
    </w:p>
    <w:p w14:paraId="6DD0AD5C" w14:textId="77777777" w:rsidR="00F37AD8" w:rsidRPr="00D52EF5" w:rsidRDefault="00F37AD8" w:rsidP="00F37AD8">
      <w:pPr>
        <w:pStyle w:val="Para1"/>
        <w:numPr>
          <w:ilvl w:val="0"/>
          <w:numId w:val="13"/>
        </w:numPr>
        <w:tabs>
          <w:tab w:val="clear" w:pos="360"/>
        </w:tabs>
        <w:spacing w:before="120"/>
        <w:rPr>
          <w:lang w:val="es-ES"/>
        </w:rPr>
      </w:pPr>
      <w:r w:rsidRPr="00D52EF5">
        <w:rPr>
          <w:szCs w:val="22"/>
          <w:lang w:val="es-ES"/>
        </w:rPr>
        <w:t>Otra prioridad decisiva en relación con el marco mundial de la diversidad biológica posterior a 2020 será abordar exhaustivamente el papel de los sectores empresarial y financiero, a fin de aumentar los flujos de financiación para conseguir los tres objetivos del Convenio y reducir la financiación perjudicial para la biodiversidad (que, según la OCDE, en la actualidad es entre cinco y seis veces superior a la financiación que la favorece). Ello debería complementarse con iniciativas mejoradas para idear mecanismos que permitan medir, gestionar y notificar de modo uniforme en qué medida está el sector empresarial reduciendo el gasto que resulta perjudicial para la diversidad biológica, y en qué medida está aumentando el que la favorece.</w:t>
      </w:r>
    </w:p>
    <w:p w14:paraId="7997815A" w14:textId="77777777" w:rsidR="00F37AD8" w:rsidRPr="00D52EF5" w:rsidRDefault="00F37AD8" w:rsidP="00F37AD8">
      <w:pPr>
        <w:pStyle w:val="Para1"/>
        <w:numPr>
          <w:ilvl w:val="0"/>
          <w:numId w:val="13"/>
        </w:numPr>
        <w:tabs>
          <w:tab w:val="clear" w:pos="360"/>
        </w:tabs>
        <w:spacing w:before="120"/>
        <w:rPr>
          <w:lang w:val="es-ES"/>
        </w:rPr>
      </w:pPr>
      <w:r w:rsidRPr="00D52EF5">
        <w:rPr>
          <w:lang w:val="es-ES"/>
        </w:rPr>
        <w:t>En todos estos aspectos, los gobiernos deben tener un fuerte papel y predicar con el ejemplo</w:t>
      </w:r>
      <w:r w:rsidRPr="00D52EF5">
        <w:rPr>
          <w:szCs w:val="22"/>
          <w:lang w:val="es-ES"/>
        </w:rPr>
        <w:t>, a fin de generar un clima propicio para los demás actores, y de asegurar que cuentan con la capacidad –buscando ayuda externa cuando sea menester</w:t>
      </w:r>
      <w:r w:rsidRPr="00D52EF5">
        <w:rPr>
          <w:bCs/>
          <w:szCs w:val="22"/>
          <w:lang w:val="es-ES"/>
        </w:rPr>
        <w:t>–</w:t>
      </w:r>
      <w:r w:rsidRPr="00D52EF5">
        <w:rPr>
          <w:szCs w:val="22"/>
          <w:lang w:val="es-ES"/>
        </w:rPr>
        <w:t xml:space="preserve"> de formular planes de financiación para la diversidad biológica, y de dar información con precisión y congruencia sobre los recursos financieros que se movilizan a tal fin.</w:t>
      </w:r>
    </w:p>
    <w:p w14:paraId="444A5F4B" w14:textId="77777777" w:rsidR="00F37AD8" w:rsidRPr="00D52EF5" w:rsidRDefault="00F37AD8" w:rsidP="00F37AD8">
      <w:pPr>
        <w:pStyle w:val="Para1"/>
        <w:numPr>
          <w:ilvl w:val="0"/>
          <w:numId w:val="13"/>
        </w:numPr>
        <w:suppressLineNumbers/>
        <w:tabs>
          <w:tab w:val="clear" w:pos="360"/>
        </w:tabs>
        <w:suppressAutoHyphens/>
        <w:spacing w:before="120"/>
        <w:rPr>
          <w:lang w:val="es-ES"/>
        </w:rPr>
      </w:pPr>
      <w:r w:rsidRPr="00D52EF5">
        <w:rPr>
          <w:szCs w:val="22"/>
          <w:lang w:val="es-ES"/>
        </w:rPr>
        <w:t xml:space="preserve">El tercer informe del Panel se basa sustancialmente en la presente evaluación, pues expone pormenorizadamente la contribución del Panel a un proyecto de componente de movilización de recursos del marco mundial </w:t>
      </w:r>
      <w:r w:rsidRPr="00D52EF5">
        <w:rPr>
          <w:lang w:val="es-ES"/>
        </w:rPr>
        <w:t>de la diversidad biológica posterior a 2020</w:t>
      </w:r>
      <w:r w:rsidRPr="00D52EF5">
        <w:rPr>
          <w:szCs w:val="22"/>
          <w:lang w:val="es-ES"/>
        </w:rPr>
        <w:t>.</w:t>
      </w:r>
    </w:p>
    <w:p w14:paraId="743694FD" w14:textId="77777777" w:rsidR="00F37AD8" w:rsidRPr="00D52EF5" w:rsidRDefault="00F37AD8" w:rsidP="00F37AD8">
      <w:pPr>
        <w:jc w:val="left"/>
        <w:rPr>
          <w:snapToGrid w:val="0"/>
          <w:szCs w:val="22"/>
          <w:lang w:val="es-ES"/>
        </w:rPr>
      </w:pPr>
      <w:r w:rsidRPr="00D52EF5">
        <w:rPr>
          <w:szCs w:val="22"/>
          <w:lang w:val="es-ES"/>
        </w:rPr>
        <w:br w:type="page"/>
      </w:r>
    </w:p>
    <w:p w14:paraId="6CFE9875" w14:textId="77777777" w:rsidR="00F37AD8" w:rsidRPr="00D52EF5" w:rsidRDefault="00F37AD8" w:rsidP="00F37AD8">
      <w:pPr>
        <w:pStyle w:val="Para1"/>
        <w:keepNext/>
        <w:suppressLineNumbers/>
        <w:suppressAutoHyphens/>
        <w:spacing w:before="240"/>
        <w:jc w:val="center"/>
        <w:outlineLvl w:val="2"/>
        <w:rPr>
          <w:bCs/>
          <w:i/>
          <w:iCs/>
          <w:lang w:val="es-ES"/>
        </w:rPr>
      </w:pPr>
      <w:r w:rsidRPr="00D52EF5">
        <w:rPr>
          <w:bCs/>
          <w:i/>
          <w:iCs/>
          <w:lang w:val="es-ES"/>
        </w:rPr>
        <w:lastRenderedPageBreak/>
        <w:t>Anexo</w:t>
      </w:r>
    </w:p>
    <w:p w14:paraId="7E2BA5BB" w14:textId="77777777" w:rsidR="00F37AD8" w:rsidRPr="00D52EF5" w:rsidRDefault="00F37AD8" w:rsidP="00F37AD8">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lang w:val="es-ES"/>
        </w:rPr>
      </w:pPr>
      <w:r w:rsidRPr="00D52EF5">
        <w:rPr>
          <w:snapToGrid w:val="0"/>
          <w:kern w:val="22"/>
          <w:szCs w:val="22"/>
          <w:lang w:val="es-ES"/>
        </w:rPr>
        <w:t xml:space="preserve">METAS para LA MOVILIZACIÓN DE RECURSOS </w:t>
      </w:r>
    </w:p>
    <w:p w14:paraId="6B81E00E" w14:textId="77777777" w:rsidR="00F37AD8" w:rsidRPr="00D52EF5" w:rsidRDefault="00F37AD8" w:rsidP="00F37AD8">
      <w:pPr>
        <w:pStyle w:val="ListParagraph"/>
        <w:numPr>
          <w:ilvl w:val="6"/>
          <w:numId w:val="13"/>
        </w:numPr>
        <w:suppressLineNumbers/>
        <w:suppressAutoHyphens/>
        <w:kinsoku w:val="0"/>
        <w:overflowPunct w:val="0"/>
        <w:autoSpaceDE w:val="0"/>
        <w:autoSpaceDN w:val="0"/>
        <w:adjustRightInd w:val="0"/>
        <w:snapToGrid w:val="0"/>
        <w:spacing w:after="120"/>
        <w:rPr>
          <w:snapToGrid w:val="0"/>
          <w:kern w:val="22"/>
          <w:szCs w:val="22"/>
          <w:lang w:val="es-ES"/>
        </w:rPr>
      </w:pPr>
      <w:r w:rsidRPr="00D52EF5">
        <w:rPr>
          <w:snapToGrid w:val="0"/>
          <w:kern w:val="22"/>
          <w:szCs w:val="22"/>
          <w:lang w:val="es-ES"/>
        </w:rPr>
        <w:t xml:space="preserve">En el párrafo 1 de la decisión </w:t>
      </w:r>
      <w:hyperlink r:id="rId11" w:history="1">
        <w:r w:rsidRPr="00D52EF5">
          <w:rPr>
            <w:rStyle w:val="Hyperlink"/>
            <w:snapToGrid w:val="0"/>
            <w:kern w:val="22"/>
            <w:szCs w:val="22"/>
            <w:lang w:val="es-ES"/>
          </w:rPr>
          <w:t>XII/3</w:t>
        </w:r>
      </w:hyperlink>
      <w:r w:rsidRPr="00D52EF5">
        <w:rPr>
          <w:snapToGrid w:val="0"/>
          <w:kern w:val="22"/>
          <w:szCs w:val="22"/>
          <w:lang w:val="es-ES"/>
        </w:rPr>
        <w:t xml:space="preserve">, la Conferencia de las Partes reafirmó su compromiso con un aumento sustancial global de la financiación total relacionada con la diversidad biológica para la aplicación del Plan Estratégico para la Diversidad Biológica 2011-2020 proveniente de una variedad de fuentes, y, en el marco de la Meta 20 de Aichi del Plan Estratégico para la Diversidad Biológica 2011-2020, adoptó las metas siguientes para la movilización de recursos: </w:t>
      </w:r>
    </w:p>
    <w:p w14:paraId="707D734B" w14:textId="77777777" w:rsidR="00F37AD8" w:rsidRPr="00D52EF5" w:rsidRDefault="00F37AD8" w:rsidP="00F37AD8">
      <w:pPr>
        <w:pStyle w:val="aident"/>
        <w:numPr>
          <w:ilvl w:val="0"/>
          <w:numId w:val="18"/>
        </w:numPr>
        <w:suppressLineNumbers/>
        <w:tabs>
          <w:tab w:val="left" w:pos="720"/>
        </w:tabs>
        <w:suppressAutoHyphens/>
        <w:kinsoku w:val="0"/>
        <w:overflowPunct w:val="0"/>
        <w:adjustRightInd w:val="0"/>
        <w:snapToGrid w:val="0"/>
        <w:ind w:left="0" w:firstLine="720"/>
        <w:rPr>
          <w:rFonts w:cs="Times New Roman"/>
          <w:kern w:val="22"/>
          <w:szCs w:val="22"/>
          <w:lang w:val="es-ES"/>
        </w:rPr>
      </w:pPr>
      <w:r w:rsidRPr="00D52EF5">
        <w:rPr>
          <w:rFonts w:cs="Times New Roman"/>
          <w:kern w:val="22"/>
          <w:szCs w:val="22"/>
          <w:lang w:val="es-ES"/>
        </w:rPr>
        <w:t>Duplicar los flujos totales de recursos financieros internacionales relacionados con la diversidad biológica hacia los países en desarrollo, en particular los países menos adelantados y los pequeños Estados insulares en desarrollo, así como los países con economías en transición, utilizando una financiación media anual para la diversidad biológica durante los años 2006-2010 como referencia, antes de 2015 y por lo menos mantener ese nivel hasta 2020, de conformidad con el artículo 20 del Convenio, para contribuir al logro de los tres objetivos del Convenio, por ejemplo a través de la priorización de la diversidad biológica impulsada por los países en los planes de desarrollo de los países beneficiarios.</w:t>
      </w:r>
    </w:p>
    <w:p w14:paraId="17BCE7FA" w14:textId="77777777" w:rsidR="00F37AD8" w:rsidRPr="00D52EF5" w:rsidRDefault="00F37AD8" w:rsidP="00F37AD8">
      <w:pPr>
        <w:pStyle w:val="aident"/>
        <w:numPr>
          <w:ilvl w:val="0"/>
          <w:numId w:val="18"/>
        </w:numPr>
        <w:suppressLineNumbers/>
        <w:tabs>
          <w:tab w:val="left" w:pos="720"/>
        </w:tabs>
        <w:suppressAutoHyphens/>
        <w:kinsoku w:val="0"/>
        <w:overflowPunct w:val="0"/>
        <w:adjustRightInd w:val="0"/>
        <w:snapToGrid w:val="0"/>
        <w:ind w:left="0" w:firstLine="720"/>
        <w:rPr>
          <w:rFonts w:cs="Times New Roman"/>
          <w:kern w:val="22"/>
          <w:szCs w:val="22"/>
          <w:lang w:val="es-ES"/>
        </w:rPr>
      </w:pPr>
      <w:r w:rsidRPr="00D52EF5">
        <w:rPr>
          <w:rFonts w:cs="Times New Roman"/>
          <w:kern w:val="22"/>
          <w:szCs w:val="22"/>
          <w:lang w:val="es-ES"/>
        </w:rPr>
        <w:t>Procurar que, para 2015, el 100%, y en todo caso por lo menos un 75%, de las Partes hayan incluido a la diversidad biológica en sus prioridades o planes de desarrollo nacionales y que hayan, por lo tanto, adoptado las disposiciones financieras nacionales pertinentes.</w:t>
      </w:r>
    </w:p>
    <w:p w14:paraId="451C32AB" w14:textId="77777777" w:rsidR="00F37AD8" w:rsidRPr="00D52EF5" w:rsidRDefault="00F37AD8" w:rsidP="00F37AD8">
      <w:pPr>
        <w:pStyle w:val="aident"/>
        <w:numPr>
          <w:ilvl w:val="0"/>
          <w:numId w:val="18"/>
        </w:numPr>
        <w:suppressLineNumbers/>
        <w:tabs>
          <w:tab w:val="left" w:pos="720"/>
        </w:tabs>
        <w:suppressAutoHyphens/>
        <w:kinsoku w:val="0"/>
        <w:overflowPunct w:val="0"/>
        <w:adjustRightInd w:val="0"/>
        <w:snapToGrid w:val="0"/>
        <w:ind w:left="0" w:firstLine="720"/>
        <w:rPr>
          <w:rFonts w:cs="Times New Roman"/>
          <w:kern w:val="22"/>
          <w:szCs w:val="22"/>
          <w:lang w:val="es-ES"/>
        </w:rPr>
      </w:pPr>
      <w:r w:rsidRPr="00D52EF5">
        <w:rPr>
          <w:rFonts w:cs="Times New Roman"/>
          <w:kern w:val="22"/>
          <w:szCs w:val="22"/>
          <w:lang w:val="es-ES"/>
        </w:rPr>
        <w:t>Procurar que, para 2015, el 100% de las Partes, y en todo caso por lo menos un 75%, de las Partes que cuenten con recursos financieros adecuados, haya informado sobre gastos nacionales en diversidad biológica y necesidades, déficits y prioridades de financiación, con el fin de mejorar la solidez de la base de referencia.</w:t>
      </w:r>
    </w:p>
    <w:p w14:paraId="65D0A395" w14:textId="77777777" w:rsidR="00F37AD8" w:rsidRPr="00D52EF5" w:rsidRDefault="00F37AD8" w:rsidP="00F37AD8">
      <w:pPr>
        <w:pStyle w:val="aident"/>
        <w:numPr>
          <w:ilvl w:val="0"/>
          <w:numId w:val="18"/>
        </w:numPr>
        <w:suppressLineNumbers/>
        <w:tabs>
          <w:tab w:val="left" w:pos="720"/>
        </w:tabs>
        <w:suppressAutoHyphens/>
        <w:kinsoku w:val="0"/>
        <w:overflowPunct w:val="0"/>
        <w:adjustRightInd w:val="0"/>
        <w:snapToGrid w:val="0"/>
        <w:ind w:left="0" w:firstLine="720"/>
        <w:rPr>
          <w:rFonts w:cs="Times New Roman"/>
          <w:kern w:val="22"/>
          <w:szCs w:val="22"/>
          <w:lang w:val="es-ES"/>
        </w:rPr>
      </w:pPr>
      <w:r w:rsidRPr="00D52EF5">
        <w:rPr>
          <w:rFonts w:cs="Times New Roman"/>
          <w:kern w:val="22"/>
          <w:szCs w:val="22"/>
          <w:lang w:val="es-ES"/>
        </w:rPr>
        <w:t xml:space="preserve">Procurar que, para 2015, el 100% de las Partes, y en todo caso por lo menos un 75% de las Partes que cuenten con recursos financieros suficientes, haya diseñado planes financieros nacionales para la diversidad biológica, y que el 30% de esas Partes haya estimado y/o evaluado </w:t>
      </w:r>
      <w:r w:rsidRPr="00D52EF5">
        <w:rPr>
          <w:lang w:val="es-ES"/>
        </w:rPr>
        <w:t>el valor intrínseco de la diversidad biológica y los valores ecológicos, genéticos, sociales, económicos, científicos, educativos, culturales, recreativos y estéticos de la diversidad biológica y sus componentes</w:t>
      </w:r>
      <w:r w:rsidRPr="00D52EF5">
        <w:rPr>
          <w:rFonts w:cs="Times New Roman"/>
          <w:kern w:val="22"/>
          <w:szCs w:val="22"/>
          <w:lang w:val="es-ES"/>
        </w:rPr>
        <w:t>.</w:t>
      </w:r>
    </w:p>
    <w:p w14:paraId="102086B0" w14:textId="77777777" w:rsidR="00F37AD8" w:rsidRPr="00D52EF5" w:rsidRDefault="00F37AD8" w:rsidP="00F37AD8">
      <w:pPr>
        <w:pStyle w:val="aident"/>
        <w:numPr>
          <w:ilvl w:val="0"/>
          <w:numId w:val="18"/>
        </w:numPr>
        <w:suppressLineNumbers/>
        <w:tabs>
          <w:tab w:val="left" w:pos="720"/>
        </w:tabs>
        <w:suppressAutoHyphens/>
        <w:kinsoku w:val="0"/>
        <w:overflowPunct w:val="0"/>
        <w:adjustRightInd w:val="0"/>
        <w:snapToGrid w:val="0"/>
        <w:ind w:left="0" w:firstLine="720"/>
        <w:rPr>
          <w:rFonts w:cs="Times New Roman"/>
          <w:kern w:val="22"/>
          <w:szCs w:val="22"/>
          <w:lang w:val="es-ES"/>
        </w:rPr>
      </w:pPr>
      <w:r w:rsidRPr="00D52EF5">
        <w:rPr>
          <w:rFonts w:cs="Times New Roman"/>
          <w:kern w:val="22"/>
          <w:szCs w:val="22"/>
          <w:lang w:val="es-ES"/>
        </w:rPr>
        <w:t>Movilizar recursos financieros nacionales de todas las fuentes para reducir la brecha entre las necesidades indicadas y los recursos disponibles en el plano nacional, a fin de que para 2020 se apliquen de manera efectiva las estrategias y planes de acción nacionales de las Partes en materia de biodiversidad, conforme al artículo 20.</w:t>
      </w:r>
    </w:p>
    <w:p w14:paraId="5F7AEC50" w14:textId="6D1B1AE1" w:rsidR="0092797A" w:rsidRDefault="00F37AD8" w:rsidP="0092797A">
      <w:pPr>
        <w:pStyle w:val="ListParagraph"/>
        <w:numPr>
          <w:ilvl w:val="6"/>
          <w:numId w:val="13"/>
        </w:numPr>
        <w:suppressLineNumbers/>
        <w:suppressAutoHyphens/>
        <w:kinsoku w:val="0"/>
        <w:overflowPunct w:val="0"/>
        <w:autoSpaceDE w:val="0"/>
        <w:autoSpaceDN w:val="0"/>
        <w:adjustRightInd w:val="0"/>
        <w:snapToGrid w:val="0"/>
        <w:spacing w:after="120"/>
        <w:rPr>
          <w:snapToGrid w:val="0"/>
          <w:kern w:val="22"/>
          <w:szCs w:val="22"/>
          <w:lang w:val="es-ES"/>
        </w:rPr>
      </w:pPr>
      <w:r w:rsidRPr="0092797A">
        <w:rPr>
          <w:snapToGrid w:val="0"/>
          <w:kern w:val="22"/>
          <w:szCs w:val="22"/>
          <w:lang w:val="es-ES"/>
        </w:rPr>
        <w:t>En el párrafo 2 de la misma decisión, la Conferencia de las Partes, recordando el artículo 20 del Convenio, decidió que las metas de los apartados a) a e) precedentes debían considerarse complementarias; en el párrafo 4, instó a las Partes y otros Gobiernos a que, con el apoyo de organizaciones internacionales y regionales, formularan sus estrategias nacionales de movilización de recursos o planes financieros de conformidad con las necesidades y prioridades especificadas, utilizando las metas para la movilización de recursos como un marco flexible.</w:t>
      </w:r>
    </w:p>
    <w:p w14:paraId="5BBCE33A" w14:textId="77777777" w:rsidR="0092797A" w:rsidRPr="009654F0" w:rsidRDefault="0092797A" w:rsidP="0092797A">
      <w:pPr>
        <w:pStyle w:val="Para1"/>
        <w:suppressLineNumbers/>
        <w:suppressAutoHyphens/>
        <w:jc w:val="center"/>
        <w:rPr>
          <w:kern w:val="22"/>
        </w:rPr>
      </w:pPr>
      <w:r w:rsidRPr="009654F0">
        <w:rPr>
          <w:kern w:val="22"/>
          <w:szCs w:val="22"/>
        </w:rPr>
        <w:t>__________</w:t>
      </w:r>
    </w:p>
    <w:p w14:paraId="1BEFDB4D" w14:textId="77777777" w:rsidR="0092797A" w:rsidRPr="0092797A" w:rsidRDefault="0092797A" w:rsidP="0092797A">
      <w:pPr>
        <w:pStyle w:val="ListParagraph"/>
        <w:suppressLineNumbers/>
        <w:suppressAutoHyphens/>
        <w:kinsoku w:val="0"/>
        <w:overflowPunct w:val="0"/>
        <w:autoSpaceDE w:val="0"/>
        <w:autoSpaceDN w:val="0"/>
        <w:adjustRightInd w:val="0"/>
        <w:snapToGrid w:val="0"/>
        <w:spacing w:after="120"/>
        <w:ind w:left="360"/>
        <w:rPr>
          <w:snapToGrid w:val="0"/>
          <w:kern w:val="22"/>
          <w:szCs w:val="22"/>
          <w:lang w:val="es-ES"/>
        </w:rPr>
      </w:pPr>
    </w:p>
    <w:sectPr w:rsidR="0092797A" w:rsidRPr="0092797A" w:rsidSect="006F4060">
      <w:headerReference w:type="even" r:id="rId12"/>
      <w:headerReference w:type="default" r:id="rId13"/>
      <w:footerReference w:type="even" r:id="rId1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54A2" w14:textId="77777777" w:rsidR="00CC1C56" w:rsidRDefault="00CC1C56">
      <w:r>
        <w:separator/>
      </w:r>
    </w:p>
  </w:endnote>
  <w:endnote w:type="continuationSeparator" w:id="0">
    <w:p w14:paraId="19529A12" w14:textId="77777777" w:rsidR="00CC1C56" w:rsidRDefault="00CC1C56">
      <w:r>
        <w:continuationSeparator/>
      </w:r>
    </w:p>
  </w:endnote>
  <w:endnote w:type="continuationNotice" w:id="1">
    <w:p w14:paraId="005894F6" w14:textId="77777777" w:rsidR="00CC1C56" w:rsidRDefault="00CC1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3FA2" w14:textId="77777777" w:rsidR="00CC1C56" w:rsidRDefault="00CC1C56" w:rsidP="006F406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BEF4" w14:textId="77777777" w:rsidR="00CC1C56" w:rsidRDefault="00CC1C56">
      <w:r>
        <w:separator/>
      </w:r>
    </w:p>
  </w:footnote>
  <w:footnote w:type="continuationSeparator" w:id="0">
    <w:p w14:paraId="30051EEA" w14:textId="77777777" w:rsidR="00CC1C56" w:rsidRDefault="00CC1C56">
      <w:r>
        <w:continuationSeparator/>
      </w:r>
    </w:p>
  </w:footnote>
  <w:footnote w:type="continuationNotice" w:id="1">
    <w:p w14:paraId="7387BD01" w14:textId="77777777" w:rsidR="00CC1C56" w:rsidRDefault="00CC1C56"/>
  </w:footnote>
  <w:footnote w:id="2">
    <w:p w14:paraId="4D0F007D" w14:textId="77777777" w:rsidR="00CC1C56" w:rsidRPr="00DD6B41" w:rsidRDefault="00CC1C56" w:rsidP="001C56C0">
      <w:pPr>
        <w:pStyle w:val="FootnoteText"/>
        <w:suppressLineNumbers/>
        <w:suppressAutoHyphens/>
        <w:ind w:firstLine="0"/>
        <w:rPr>
          <w:kern w:val="18"/>
          <w:szCs w:val="18"/>
          <w:lang w:val="es-ES_tradnl"/>
        </w:rPr>
      </w:pPr>
      <w:r w:rsidRPr="00DD6B41">
        <w:rPr>
          <w:rStyle w:val="FootnoteReference"/>
          <w:kern w:val="18"/>
          <w:szCs w:val="18"/>
          <w:lang w:val="es-ES_tradnl"/>
        </w:rPr>
        <w:t>*</w:t>
      </w:r>
      <w:r w:rsidRPr="00DD6B41">
        <w:rPr>
          <w:kern w:val="18"/>
          <w:szCs w:val="18"/>
          <w:lang w:val="es-ES_tradnl"/>
        </w:rPr>
        <w:t xml:space="preserve"> CBD/SBI/3/1.</w:t>
      </w:r>
    </w:p>
  </w:footnote>
  <w:footnote w:id="3">
    <w:p w14:paraId="180699EB" w14:textId="1E2B395A" w:rsidR="00CC1C56" w:rsidRPr="007A403A" w:rsidRDefault="00CC1C56" w:rsidP="00CF1568">
      <w:pPr>
        <w:pStyle w:val="FootnoteText"/>
        <w:ind w:firstLine="0"/>
        <w:rPr>
          <w:szCs w:val="18"/>
          <w:lang w:val="es-ES_tradnl"/>
        </w:rPr>
      </w:pPr>
      <w:r w:rsidRPr="007A403A">
        <w:rPr>
          <w:rStyle w:val="FootnoteReference"/>
          <w:szCs w:val="18"/>
          <w:lang w:val="es-ES_tradnl"/>
        </w:rPr>
        <w:footnoteRef/>
      </w:r>
      <w:r w:rsidRPr="007A403A">
        <w:rPr>
          <w:szCs w:val="18"/>
          <w:lang w:val="es-ES_tradnl"/>
        </w:rPr>
        <w:t xml:space="preserve"> El informe completo se ofrece como nota de información, CBD/SBI/3/INF/2.</w:t>
      </w:r>
      <w:r>
        <w:rPr>
          <w:szCs w:val="18"/>
          <w:lang w:val="es-ES_tradnl"/>
        </w:rPr>
        <w:t xml:space="preserve"> Los informes segundo y tercero del Panel se pondrán a disposición en CBD/SBI/3/5/Add.2 y CBD/SBI/3/5/Add.3.</w:t>
      </w:r>
    </w:p>
  </w:footnote>
  <w:footnote w:id="4">
    <w:p w14:paraId="55A0F920" w14:textId="4E448F06" w:rsidR="00CC1C56" w:rsidRPr="007A403A" w:rsidRDefault="00CC1C56" w:rsidP="00CF1568">
      <w:pPr>
        <w:pStyle w:val="FootnoteText"/>
        <w:ind w:firstLine="0"/>
        <w:rPr>
          <w:szCs w:val="18"/>
          <w:lang w:val="es-ES_tradnl"/>
        </w:rPr>
      </w:pPr>
      <w:r w:rsidRPr="007A403A">
        <w:rPr>
          <w:rStyle w:val="FootnoteReference"/>
          <w:szCs w:val="18"/>
          <w:lang w:val="es-ES_tradnl"/>
        </w:rPr>
        <w:footnoteRef/>
      </w:r>
      <w:r w:rsidRPr="007A403A">
        <w:rPr>
          <w:szCs w:val="18"/>
          <w:lang w:val="es-ES_tradnl"/>
        </w:rPr>
        <w:t xml:space="preserve"> Decisión IX/11 B.</w:t>
      </w:r>
    </w:p>
  </w:footnote>
  <w:footnote w:id="5">
    <w:p w14:paraId="1B82124D" w14:textId="6B8D1BEF" w:rsidR="00CC1C56" w:rsidRPr="007A403A" w:rsidRDefault="00CC1C56" w:rsidP="00CF1568">
      <w:pPr>
        <w:pStyle w:val="FootnoteText"/>
        <w:ind w:firstLine="0"/>
        <w:jc w:val="left"/>
        <w:rPr>
          <w:szCs w:val="18"/>
          <w:lang w:val="es-ES_tradnl"/>
        </w:rPr>
      </w:pPr>
      <w:r w:rsidRPr="007A403A">
        <w:rPr>
          <w:rStyle w:val="FootnoteReference"/>
          <w:szCs w:val="18"/>
          <w:lang w:val="es-ES_tradnl"/>
        </w:rPr>
        <w:footnoteRef/>
      </w:r>
      <w:r w:rsidRPr="007A403A">
        <w:rPr>
          <w:szCs w:val="18"/>
          <w:lang w:val="es-ES_tradnl"/>
        </w:rPr>
        <w:t xml:space="preserve"> La Meta 20 de Aichi para la Diversidad Biológica aborda la movilización de recursos, y especifica: </w:t>
      </w:r>
      <w:r w:rsidRPr="007A403A">
        <w:rPr>
          <w:b/>
          <w:szCs w:val="18"/>
          <w:lang w:val="es-ES_tradnl"/>
        </w:rPr>
        <w:t>“</w:t>
      </w:r>
      <w:r w:rsidRPr="007A403A">
        <w:rPr>
          <w:szCs w:val="18"/>
          <w:lang w:val="es-ES_tradnl"/>
        </w:rPr>
        <w:t xml:space="preserve">Para 2020, a más tardar, la movilización de recursos financieros para aplicar de manera efectiva el Plan Estratégico para la Diversidad Biológica 2011-2020 provenientes de todas las fuentes y conforme al proceso refundido y convenido en la Estrategia para la </w:t>
      </w:r>
      <w:r>
        <w:rPr>
          <w:szCs w:val="18"/>
          <w:lang w:val="es-ES_tradnl"/>
        </w:rPr>
        <w:t>M</w:t>
      </w:r>
      <w:r w:rsidRPr="007A403A">
        <w:rPr>
          <w:szCs w:val="18"/>
          <w:lang w:val="es-ES_tradnl"/>
        </w:rPr>
        <w:t>ovilizaci</w:t>
      </w:r>
      <w:r>
        <w:rPr>
          <w:szCs w:val="18"/>
          <w:lang w:val="es-ES_tradnl"/>
        </w:rPr>
        <w:t>ón de R</w:t>
      </w:r>
      <w:r w:rsidRPr="007A403A">
        <w:rPr>
          <w:szCs w:val="18"/>
          <w:lang w:val="es-ES_tradnl"/>
        </w:rPr>
        <w:t>ecursos debería aumentar de manera sustancial en relación con los niveles actuales. Esta meta estará́ sujeta a cambios según las evaluaciones de recursos requeridos que llevarán a cabo y notificarán las Partes”.</w:t>
      </w:r>
    </w:p>
  </w:footnote>
  <w:footnote w:id="6">
    <w:p w14:paraId="6804C6FF" w14:textId="7F69A933" w:rsidR="00CC1C56" w:rsidRPr="007A403A" w:rsidRDefault="00CC1C56" w:rsidP="00CF1568">
      <w:pPr>
        <w:pStyle w:val="FootnoteText"/>
        <w:ind w:firstLine="0"/>
        <w:rPr>
          <w:szCs w:val="18"/>
          <w:lang w:val="es-ES_tradnl"/>
        </w:rPr>
      </w:pPr>
      <w:r w:rsidRPr="007A403A">
        <w:rPr>
          <w:rStyle w:val="FootnoteReference"/>
          <w:szCs w:val="18"/>
          <w:lang w:val="es-ES_tradnl"/>
        </w:rPr>
        <w:footnoteRef/>
      </w:r>
      <w:r w:rsidRPr="007A403A">
        <w:rPr>
          <w:szCs w:val="18"/>
          <w:lang w:val="es-ES_tradnl"/>
        </w:rPr>
        <w:t xml:space="preserve"> Decisión XII/3.</w:t>
      </w:r>
    </w:p>
  </w:footnote>
  <w:footnote w:id="7">
    <w:p w14:paraId="00FB91D4" w14:textId="0A417CF5" w:rsidR="00CC1C56" w:rsidRPr="007A403A" w:rsidRDefault="00CC1C56" w:rsidP="00CF1568">
      <w:pPr>
        <w:pStyle w:val="FootnoteText"/>
        <w:ind w:firstLine="0"/>
        <w:rPr>
          <w:szCs w:val="18"/>
          <w:lang w:val="es-ES_tradnl"/>
        </w:rPr>
      </w:pPr>
      <w:r w:rsidRPr="007A403A">
        <w:rPr>
          <w:rStyle w:val="FootnoteReference"/>
          <w:szCs w:val="18"/>
          <w:lang w:val="es-ES_tradnl"/>
        </w:rPr>
        <w:footnoteRef/>
      </w:r>
      <w:r w:rsidRPr="007A403A">
        <w:rPr>
          <w:szCs w:val="18"/>
          <w:lang w:val="es-ES_tradnl"/>
        </w:rPr>
        <w:t xml:space="preserve"> Grupo de Alto nivel del CDB (2014). </w:t>
      </w:r>
      <w:r w:rsidRPr="00DD6B41">
        <w:rPr>
          <w:i/>
          <w:kern w:val="18"/>
          <w:szCs w:val="18"/>
          <w:lang w:val="en-CA"/>
        </w:rPr>
        <w:t>Resourcing the Aichi Biodiversity Targets, An Assessment of Benefits, Investments and Resource needs for Implementing the Strategic Plan for Biodiversity 2011-2020.</w:t>
      </w:r>
      <w:r w:rsidRPr="00DD6B41">
        <w:rPr>
          <w:iCs/>
          <w:kern w:val="18"/>
          <w:szCs w:val="18"/>
          <w:lang w:val="en-CA"/>
        </w:rPr>
        <w:t xml:space="preserve"> </w:t>
      </w:r>
      <w:r w:rsidRPr="007A403A">
        <w:rPr>
          <w:iCs/>
          <w:kern w:val="18"/>
          <w:szCs w:val="18"/>
          <w:lang w:val="es-ES_tradnl"/>
        </w:rPr>
        <w:t>Segundo Informe del Grupo de alto nivel sobre evaluación mundial de los recursos para la implementación del Plan Estratégico para la Diversidad Biológica 2011-2020</w:t>
      </w:r>
      <w:r>
        <w:rPr>
          <w:kern w:val="18"/>
          <w:szCs w:val="18"/>
          <w:lang w:val="es-ES_tradnl"/>
        </w:rPr>
        <w:t>. Montreal</w:t>
      </w:r>
      <w:r w:rsidRPr="007A403A">
        <w:rPr>
          <w:kern w:val="18"/>
          <w:szCs w:val="18"/>
          <w:lang w:val="es-ES_tradnl"/>
        </w:rPr>
        <w:t xml:space="preserve"> </w:t>
      </w:r>
      <w:r>
        <w:rPr>
          <w:kern w:val="18"/>
          <w:szCs w:val="18"/>
          <w:lang w:val="es-ES_tradnl"/>
        </w:rPr>
        <w:t>(</w:t>
      </w:r>
      <w:r w:rsidRPr="007A403A">
        <w:rPr>
          <w:kern w:val="18"/>
          <w:szCs w:val="18"/>
          <w:lang w:val="es-ES_tradnl"/>
        </w:rPr>
        <w:t>Canadá</w:t>
      </w:r>
      <w:r>
        <w:rPr>
          <w:kern w:val="18"/>
          <w:szCs w:val="18"/>
          <w:lang w:val="es-ES_tradnl"/>
        </w:rPr>
        <w:t>)</w:t>
      </w:r>
      <w:r w:rsidRPr="007A403A">
        <w:rPr>
          <w:kern w:val="18"/>
          <w:szCs w:val="18"/>
          <w:lang w:val="es-ES_tradnl"/>
        </w:rPr>
        <w:t>.</w:t>
      </w:r>
      <w:r w:rsidRPr="007A403A">
        <w:rPr>
          <w:szCs w:val="18"/>
          <w:lang w:val="es-ES_tradnl"/>
        </w:rPr>
        <w:t xml:space="preserve"> </w:t>
      </w:r>
    </w:p>
  </w:footnote>
  <w:footnote w:id="8">
    <w:p w14:paraId="4E1617A1" w14:textId="642AC6D8" w:rsidR="00CC1C56" w:rsidRPr="007A403A" w:rsidRDefault="00CC1C56" w:rsidP="00CF1568">
      <w:pPr>
        <w:pStyle w:val="FootnoteText"/>
        <w:ind w:firstLine="0"/>
        <w:jc w:val="left"/>
        <w:rPr>
          <w:szCs w:val="18"/>
          <w:lang w:val="es-ES_tradnl"/>
        </w:rPr>
      </w:pPr>
      <w:r w:rsidRPr="00E503E4">
        <w:rPr>
          <w:rStyle w:val="FootnoteReference"/>
          <w:szCs w:val="18"/>
          <w:lang w:val="es-ES_tradnl"/>
        </w:rPr>
        <w:footnoteRef/>
      </w:r>
      <w:r w:rsidRPr="00E503E4">
        <w:rPr>
          <w:szCs w:val="18"/>
          <w:lang w:val="es-ES_tradnl"/>
        </w:rPr>
        <w:t xml:space="preserve"> Las cuantías citadas anteriormente proceden del analizador digital de informes financieros, y reflejan los datos presentados más recientes (</w:t>
      </w:r>
      <w:hyperlink r:id="rId1" w:history="1">
        <w:r w:rsidRPr="00E503E4">
          <w:rPr>
            <w:rStyle w:val="Hyperlink"/>
            <w:szCs w:val="18"/>
            <w:lang w:val="es-ES_tradnl"/>
          </w:rPr>
          <w:t>https://chm.cbd.int/search/financial-analyzer</w:t>
        </w:r>
      </w:hyperlink>
      <w:r w:rsidRPr="00E503E4">
        <w:rPr>
          <w:szCs w:val="18"/>
          <w:lang w:val="es-ES_tradnl"/>
        </w:rPr>
        <w:t>). Para más información sobre la marcha de la presentación de informes financieros, véase el análisis incluido a continuación.</w:t>
      </w:r>
    </w:p>
  </w:footnote>
  <w:footnote w:id="9">
    <w:p w14:paraId="40955C5F" w14:textId="476B805B" w:rsidR="00CC1C56" w:rsidRPr="007A403A" w:rsidRDefault="00CC1C56" w:rsidP="00CF1568">
      <w:pPr>
        <w:pStyle w:val="FootnoteText"/>
        <w:suppressLineNumbers/>
        <w:tabs>
          <w:tab w:val="left" w:pos="7131"/>
        </w:tabs>
        <w:suppressAutoHyphens/>
        <w:kinsoku w:val="0"/>
        <w:overflowPunct w:val="0"/>
        <w:autoSpaceDE w:val="0"/>
        <w:autoSpaceDN w:val="0"/>
        <w:adjustRightInd w:val="0"/>
        <w:snapToGrid w:val="0"/>
        <w:ind w:firstLine="0"/>
        <w:jc w:val="left"/>
        <w:rPr>
          <w:snapToGrid w:val="0"/>
          <w:kern w:val="18"/>
          <w:szCs w:val="18"/>
          <w:lang w:val="es-ES_tradnl"/>
        </w:rPr>
      </w:pPr>
      <w:r w:rsidRPr="007A403A">
        <w:rPr>
          <w:rStyle w:val="FootnoteReference"/>
          <w:snapToGrid w:val="0"/>
          <w:kern w:val="18"/>
          <w:szCs w:val="18"/>
          <w:lang w:val="es-ES_tradnl"/>
        </w:rPr>
        <w:footnoteRef/>
      </w:r>
      <w:r w:rsidRPr="007A403A">
        <w:rPr>
          <w:snapToGrid w:val="0"/>
          <w:kern w:val="18"/>
          <w:szCs w:val="18"/>
          <w:lang w:val="es-ES_tradnl"/>
        </w:rPr>
        <w:t xml:space="preserve"> Véase el documento CBD/COP/14/5/Add.1 y los ejemplos allí recogidos.</w:t>
      </w:r>
    </w:p>
  </w:footnote>
  <w:footnote w:id="10">
    <w:p w14:paraId="3D05887F" w14:textId="5BFA0FC1" w:rsidR="00CC1C56" w:rsidRPr="007A403A" w:rsidRDefault="00CC1C56" w:rsidP="0032760F">
      <w:pPr>
        <w:pStyle w:val="FootnoteText"/>
        <w:ind w:firstLine="0"/>
        <w:rPr>
          <w:szCs w:val="18"/>
          <w:lang w:val="es-ES_tradnl"/>
        </w:rPr>
      </w:pPr>
      <w:r w:rsidRPr="007A403A">
        <w:rPr>
          <w:rStyle w:val="FootnoteReference"/>
          <w:szCs w:val="18"/>
          <w:lang w:val="es-ES_tradnl"/>
        </w:rPr>
        <w:footnoteRef/>
      </w:r>
      <w:r w:rsidRPr="007A403A">
        <w:rPr>
          <w:szCs w:val="18"/>
          <w:lang w:val="es-ES_tradnl"/>
        </w:rPr>
        <w:t xml:space="preserve"> WAVES (Contabilidad de la Riqueza y Valoración de los Servicios de los Ecosistemas) es una alianza internacional liderada por el Banco Mundial que “procura promover el desarrollo sostenible mediante la integración de los recursos naturales y su valoración económica en la planificación de las políticas de desarrollo y la economía de los países” (</w:t>
      </w:r>
      <w:hyperlink r:id="rId2" w:history="1">
        <w:r w:rsidRPr="007A403A">
          <w:rPr>
            <w:rStyle w:val="Hyperlink"/>
            <w:szCs w:val="18"/>
            <w:lang w:val="es-ES_tradnl"/>
          </w:rPr>
          <w:t>https://www.wavespartnership.org/es</w:t>
        </w:r>
      </w:hyperlink>
      <w:r w:rsidRPr="007A403A">
        <w:rPr>
          <w:kern w:val="18"/>
          <w:szCs w:val="18"/>
          <w:lang w:val="es-ES_tradnl"/>
        </w:rPr>
        <w:t>).</w:t>
      </w:r>
    </w:p>
  </w:footnote>
  <w:footnote w:id="11">
    <w:p w14:paraId="18523DC4" w14:textId="77777777" w:rsidR="00CC1C56" w:rsidRPr="007A403A" w:rsidRDefault="00CC1C56" w:rsidP="00CF1568">
      <w:pPr>
        <w:pStyle w:val="FootnoteText"/>
        <w:suppressLineNumbers/>
        <w:suppressAutoHyphens/>
        <w:ind w:firstLine="0"/>
        <w:jc w:val="left"/>
        <w:rPr>
          <w:rFonts w:asciiTheme="minorHAnsi" w:hAnsiTheme="minorHAnsi" w:cstheme="minorBidi"/>
          <w:kern w:val="18"/>
          <w:szCs w:val="18"/>
          <w:lang w:val="es-ES_tradnl"/>
        </w:rPr>
      </w:pPr>
      <w:r w:rsidRPr="007A403A">
        <w:rPr>
          <w:rStyle w:val="FootnoteReference"/>
          <w:kern w:val="18"/>
          <w:szCs w:val="18"/>
          <w:lang w:val="es-ES_tradnl"/>
        </w:rPr>
        <w:footnoteRef/>
      </w:r>
      <w:r w:rsidRPr="007A403A">
        <w:rPr>
          <w:kern w:val="18"/>
          <w:szCs w:val="18"/>
          <w:lang w:val="es-ES_tradnl"/>
        </w:rPr>
        <w:t xml:space="preserve"> </w:t>
      </w:r>
      <w:hyperlink r:id="rId3" w:history="1">
        <w:r w:rsidRPr="007A403A">
          <w:rPr>
            <w:rStyle w:val="Hyperlink"/>
            <w:kern w:val="18"/>
            <w:szCs w:val="18"/>
            <w:lang w:val="es-ES_tradnl"/>
          </w:rPr>
          <w:t>https://ec.europa.eu/environment/nature/biodiversity/financing_en.htm</w:t>
        </w:r>
      </w:hyperlink>
      <w:r w:rsidRPr="007A403A">
        <w:rPr>
          <w:kern w:val="18"/>
          <w:szCs w:val="18"/>
          <w:lang w:val="es-ES_tradnl"/>
        </w:rPr>
        <w:t>.</w:t>
      </w:r>
    </w:p>
  </w:footnote>
  <w:footnote w:id="12">
    <w:p w14:paraId="26184293" w14:textId="77777777" w:rsidR="00CC1C56" w:rsidRPr="007A403A" w:rsidRDefault="00CC1C56" w:rsidP="00CF1568">
      <w:pPr>
        <w:pStyle w:val="FootnoteText"/>
        <w:suppressLineNumbers/>
        <w:suppressAutoHyphens/>
        <w:ind w:firstLine="0"/>
        <w:jc w:val="left"/>
        <w:rPr>
          <w:kern w:val="18"/>
          <w:szCs w:val="18"/>
          <w:lang w:val="es-ES_tradnl"/>
        </w:rPr>
      </w:pPr>
      <w:r w:rsidRPr="007A403A">
        <w:rPr>
          <w:rStyle w:val="FootnoteReference"/>
          <w:kern w:val="18"/>
          <w:szCs w:val="18"/>
          <w:lang w:val="es-ES_tradnl"/>
        </w:rPr>
        <w:footnoteRef/>
      </w:r>
      <w:r w:rsidRPr="007A403A">
        <w:rPr>
          <w:kern w:val="18"/>
          <w:szCs w:val="18"/>
          <w:lang w:val="es-ES_tradnl"/>
        </w:rPr>
        <w:t xml:space="preserve"> </w:t>
      </w:r>
      <w:hyperlink r:id="rId4" w:history="1">
        <w:r w:rsidRPr="007A403A">
          <w:rPr>
            <w:rStyle w:val="Hyperlink"/>
            <w:kern w:val="18"/>
            <w:szCs w:val="18"/>
            <w:lang w:val="es-ES_tradnl"/>
          </w:rPr>
          <w:t>https://www.thegef.org/topics/biodiversity</w:t>
        </w:r>
      </w:hyperlink>
      <w:r w:rsidRPr="007A403A">
        <w:rPr>
          <w:kern w:val="18"/>
          <w:szCs w:val="18"/>
          <w:lang w:val="es-ES_tradnl"/>
        </w:rPr>
        <w:t>.</w:t>
      </w:r>
    </w:p>
  </w:footnote>
  <w:footnote w:id="13">
    <w:p w14:paraId="0BBEC7FD" w14:textId="77777777" w:rsidR="00CC1C56" w:rsidRPr="007A403A" w:rsidRDefault="00CC1C56" w:rsidP="00CF1568">
      <w:pPr>
        <w:pStyle w:val="FootnoteText"/>
        <w:suppressLineNumbers/>
        <w:suppressAutoHyphens/>
        <w:ind w:firstLine="0"/>
        <w:jc w:val="left"/>
        <w:rPr>
          <w:rFonts w:asciiTheme="minorHAnsi" w:hAnsiTheme="minorHAnsi" w:cstheme="minorBidi"/>
          <w:kern w:val="18"/>
          <w:szCs w:val="18"/>
          <w:lang w:val="es-ES_tradnl"/>
        </w:rPr>
      </w:pPr>
      <w:r w:rsidRPr="007A403A">
        <w:rPr>
          <w:rStyle w:val="FootnoteReference"/>
          <w:kern w:val="18"/>
          <w:szCs w:val="18"/>
          <w:lang w:val="es-ES_tradnl"/>
        </w:rPr>
        <w:footnoteRef/>
      </w:r>
      <w:r w:rsidRPr="007A403A">
        <w:rPr>
          <w:kern w:val="18"/>
          <w:szCs w:val="18"/>
          <w:lang w:val="es-ES_tradnl"/>
        </w:rPr>
        <w:t xml:space="preserve"> </w:t>
      </w:r>
      <w:hyperlink r:id="rId5" w:history="1">
        <w:r w:rsidRPr="007A403A">
          <w:rPr>
            <w:rStyle w:val="Hyperlink"/>
            <w:kern w:val="18"/>
            <w:szCs w:val="18"/>
            <w:lang w:val="es-ES_tradnl"/>
          </w:rPr>
          <w:t>https://www.thegef.org/sites/default/files/council-meeting-documents/c-53-me-inf-01%20-%20DEC17.pdf</w:t>
        </w:r>
      </w:hyperlink>
      <w:r w:rsidRPr="007A403A">
        <w:rPr>
          <w:kern w:val="18"/>
          <w:szCs w:val="18"/>
          <w:lang w:val="es-ES_tradnl"/>
        </w:rPr>
        <w:t>.</w:t>
      </w:r>
    </w:p>
  </w:footnote>
  <w:footnote w:id="14">
    <w:p w14:paraId="310AEC6F" w14:textId="77777777" w:rsidR="00CC1C56" w:rsidRPr="007A403A" w:rsidRDefault="00CC1C56" w:rsidP="00CF1568">
      <w:pPr>
        <w:pStyle w:val="FootnoteText"/>
        <w:suppressLineNumbers/>
        <w:suppressAutoHyphens/>
        <w:ind w:firstLine="0"/>
        <w:jc w:val="left"/>
        <w:rPr>
          <w:rFonts w:asciiTheme="minorHAnsi" w:hAnsiTheme="minorHAnsi" w:cstheme="minorBidi"/>
          <w:kern w:val="18"/>
          <w:szCs w:val="18"/>
          <w:lang w:val="es-ES_tradnl"/>
        </w:rPr>
      </w:pPr>
      <w:r w:rsidRPr="007A403A">
        <w:rPr>
          <w:rStyle w:val="FootnoteReference"/>
          <w:kern w:val="18"/>
          <w:szCs w:val="18"/>
          <w:lang w:val="es-ES_tradnl"/>
        </w:rPr>
        <w:footnoteRef/>
      </w:r>
      <w:r w:rsidRPr="007A403A">
        <w:rPr>
          <w:kern w:val="18"/>
          <w:szCs w:val="18"/>
          <w:lang w:val="es-ES_tradnl"/>
        </w:rPr>
        <w:t xml:space="preserve"> </w:t>
      </w:r>
      <w:hyperlink r:id="rId6" w:history="1">
        <w:r w:rsidRPr="007A403A">
          <w:rPr>
            <w:rStyle w:val="Hyperlink"/>
            <w:kern w:val="18"/>
            <w:szCs w:val="18"/>
            <w:lang w:val="es-ES_tradnl"/>
          </w:rPr>
          <w:t>https://www.oecd.org/environment/resources/biodiversity/report-a-comprehensive-overview-of-global-biodiversity-finance.pdf</w:t>
        </w:r>
      </w:hyperlink>
      <w:r w:rsidRPr="007A403A">
        <w:rPr>
          <w:kern w:val="18"/>
          <w:szCs w:val="18"/>
          <w:lang w:val="es-ES_tradnl"/>
        </w:rPr>
        <w:t>.</w:t>
      </w:r>
    </w:p>
  </w:footnote>
  <w:footnote w:id="15">
    <w:p w14:paraId="0B1D28A8" w14:textId="61F4B7AF" w:rsidR="00CC1C56" w:rsidRPr="007A403A" w:rsidRDefault="00CC1C56" w:rsidP="00CF1568">
      <w:pPr>
        <w:keepLines/>
        <w:suppressLineNumbers/>
        <w:suppressAutoHyphens/>
        <w:spacing w:after="60"/>
        <w:jc w:val="left"/>
        <w:rPr>
          <w:rFonts w:cs="Calibri"/>
          <w:kern w:val="18"/>
          <w:sz w:val="18"/>
          <w:szCs w:val="18"/>
          <w:lang w:val="es-ES_tradnl"/>
        </w:rPr>
      </w:pPr>
      <w:r w:rsidRPr="007A403A">
        <w:rPr>
          <w:kern w:val="18"/>
          <w:sz w:val="18"/>
          <w:szCs w:val="18"/>
          <w:vertAlign w:val="superscript"/>
          <w:lang w:val="es-ES_tradnl"/>
        </w:rPr>
        <w:footnoteRef/>
      </w:r>
      <w:r w:rsidRPr="007A403A">
        <w:rPr>
          <w:rFonts w:cs="Calibri"/>
          <w:kern w:val="18"/>
          <w:sz w:val="18"/>
          <w:szCs w:val="18"/>
          <w:lang w:val="es-ES_tradnl"/>
        </w:rPr>
        <w:t xml:space="preserve"> Cf. </w:t>
      </w:r>
      <w:proofErr w:type="spellStart"/>
      <w:r w:rsidRPr="007A403A">
        <w:rPr>
          <w:rFonts w:cs="Calibri"/>
          <w:kern w:val="18"/>
          <w:sz w:val="18"/>
          <w:szCs w:val="18"/>
          <w:lang w:val="es-ES_tradnl"/>
        </w:rPr>
        <w:t>Eliasch</w:t>
      </w:r>
      <w:proofErr w:type="spellEnd"/>
      <w:r w:rsidRPr="007A403A">
        <w:rPr>
          <w:rFonts w:cs="Calibri"/>
          <w:kern w:val="18"/>
          <w:sz w:val="18"/>
          <w:szCs w:val="18"/>
          <w:lang w:val="es-ES_tradnl"/>
        </w:rPr>
        <w:t xml:space="preserve"> (2008). (En la presentación del Grupo UBC hay info</w:t>
      </w:r>
      <w:r>
        <w:rPr>
          <w:rFonts w:cs="Calibri"/>
          <w:kern w:val="18"/>
          <w:sz w:val="18"/>
          <w:szCs w:val="18"/>
          <w:lang w:val="es-ES_tradnl"/>
        </w:rPr>
        <w:t>rmación de referencia sobre esta cuestión</w:t>
      </w:r>
      <w:r w:rsidRPr="007A403A">
        <w:rPr>
          <w:rFonts w:cs="Calibri"/>
          <w:kern w:val="18"/>
          <w:sz w:val="18"/>
          <w:szCs w:val="18"/>
          <w:lang w:val="es-ES_tradnl"/>
        </w:rPr>
        <w:t xml:space="preserve"> y sobre las cuatro notas siguientes).</w:t>
      </w:r>
    </w:p>
  </w:footnote>
  <w:footnote w:id="16">
    <w:p w14:paraId="78AD6FB2" w14:textId="1E60074A" w:rsidR="00CC1C56" w:rsidRPr="007A403A" w:rsidRDefault="00CC1C56" w:rsidP="00CF1568">
      <w:pPr>
        <w:keepLines/>
        <w:suppressLineNumbers/>
        <w:suppressAutoHyphens/>
        <w:spacing w:after="60"/>
        <w:jc w:val="left"/>
        <w:rPr>
          <w:rFonts w:cs="Calibri"/>
          <w:kern w:val="18"/>
          <w:sz w:val="18"/>
          <w:szCs w:val="18"/>
          <w:lang w:val="es-ES_tradnl"/>
        </w:rPr>
      </w:pPr>
      <w:r w:rsidRPr="007A403A">
        <w:rPr>
          <w:kern w:val="18"/>
          <w:sz w:val="18"/>
          <w:szCs w:val="18"/>
          <w:vertAlign w:val="superscript"/>
          <w:lang w:val="es-ES_tradnl"/>
        </w:rPr>
        <w:footnoteRef/>
      </w:r>
      <w:r w:rsidRPr="007A403A">
        <w:rPr>
          <w:rFonts w:cs="Calibri"/>
          <w:kern w:val="18"/>
          <w:sz w:val="18"/>
          <w:szCs w:val="18"/>
          <w:lang w:val="es-ES_tradnl"/>
        </w:rPr>
        <w:t xml:space="preserve"> Cf. </w:t>
      </w:r>
      <w:proofErr w:type="spellStart"/>
      <w:r w:rsidRPr="007A403A">
        <w:rPr>
          <w:rFonts w:cs="Calibri"/>
          <w:kern w:val="18"/>
          <w:sz w:val="18"/>
          <w:szCs w:val="18"/>
          <w:lang w:val="es-ES_tradnl"/>
        </w:rPr>
        <w:t>Hamrick</w:t>
      </w:r>
      <w:proofErr w:type="spellEnd"/>
      <w:r w:rsidRPr="007A403A">
        <w:rPr>
          <w:rFonts w:cs="Calibri"/>
          <w:kern w:val="18"/>
          <w:sz w:val="18"/>
          <w:szCs w:val="18"/>
          <w:lang w:val="es-ES_tradnl"/>
        </w:rPr>
        <w:t xml:space="preserve"> y Grant (2017). Esta cuantía citada para 2016 excluye ingresos del </w:t>
      </w:r>
      <w:proofErr w:type="spellStart"/>
      <w:r w:rsidRPr="007A403A">
        <w:rPr>
          <w:rFonts w:cs="Calibri"/>
          <w:kern w:val="18"/>
          <w:sz w:val="18"/>
          <w:szCs w:val="18"/>
          <w:lang w:val="es-ES_tradnl"/>
        </w:rPr>
        <w:t>Australian</w:t>
      </w:r>
      <w:proofErr w:type="spellEnd"/>
      <w:r w:rsidRPr="007A403A">
        <w:rPr>
          <w:rFonts w:cs="Calibri"/>
          <w:kern w:val="18"/>
          <w:sz w:val="18"/>
          <w:szCs w:val="18"/>
          <w:lang w:val="es-ES_tradnl"/>
        </w:rPr>
        <w:t xml:space="preserve"> </w:t>
      </w:r>
      <w:proofErr w:type="spellStart"/>
      <w:r w:rsidRPr="007A403A">
        <w:rPr>
          <w:rFonts w:cs="Calibri"/>
          <w:kern w:val="18"/>
          <w:sz w:val="18"/>
          <w:szCs w:val="18"/>
          <w:lang w:val="es-ES_tradnl"/>
        </w:rPr>
        <w:t>Emissions</w:t>
      </w:r>
      <w:proofErr w:type="spellEnd"/>
      <w:r w:rsidRPr="007A403A">
        <w:rPr>
          <w:rFonts w:cs="Calibri"/>
          <w:kern w:val="18"/>
          <w:sz w:val="18"/>
          <w:szCs w:val="18"/>
          <w:lang w:val="es-ES_tradnl"/>
        </w:rPr>
        <w:t xml:space="preserve"> </w:t>
      </w:r>
      <w:proofErr w:type="spellStart"/>
      <w:r w:rsidRPr="007A403A">
        <w:rPr>
          <w:rFonts w:cs="Calibri"/>
          <w:kern w:val="18"/>
          <w:sz w:val="18"/>
          <w:szCs w:val="18"/>
          <w:lang w:val="es-ES_tradnl"/>
        </w:rPr>
        <w:t>Reduction</w:t>
      </w:r>
      <w:proofErr w:type="spellEnd"/>
      <w:r w:rsidRPr="007A403A">
        <w:rPr>
          <w:rFonts w:cs="Calibri"/>
          <w:kern w:val="18"/>
          <w:sz w:val="18"/>
          <w:szCs w:val="18"/>
          <w:lang w:val="es-ES_tradnl"/>
        </w:rPr>
        <w:t xml:space="preserve"> </w:t>
      </w:r>
      <w:proofErr w:type="spellStart"/>
      <w:r w:rsidRPr="007A403A">
        <w:rPr>
          <w:rFonts w:cs="Calibri"/>
          <w:kern w:val="18"/>
          <w:sz w:val="18"/>
          <w:szCs w:val="18"/>
          <w:lang w:val="es-ES_tradnl"/>
        </w:rPr>
        <w:t>Fund</w:t>
      </w:r>
      <w:proofErr w:type="spellEnd"/>
      <w:r w:rsidRPr="007A403A">
        <w:rPr>
          <w:rFonts w:cs="Calibri"/>
          <w:kern w:val="18"/>
          <w:sz w:val="18"/>
          <w:szCs w:val="18"/>
          <w:lang w:val="es-ES_tradnl"/>
        </w:rPr>
        <w:t>, que transfirió 509,5 millones de dólares estadounidenses. Ahora bien, no se trata de un mercado convencional, pues hay un solo comprador, el Gobierno de Australia, que concede contratos de reducción de las emisiones mediante subastas a la baja.</w:t>
      </w:r>
    </w:p>
  </w:footnote>
  <w:footnote w:id="17">
    <w:p w14:paraId="30A3087C" w14:textId="77777777" w:rsidR="00CC1C56" w:rsidRPr="00DD6B41" w:rsidRDefault="00CC1C56" w:rsidP="00CF1568">
      <w:pPr>
        <w:keepLines/>
        <w:suppressLineNumbers/>
        <w:suppressAutoHyphens/>
        <w:spacing w:after="60"/>
        <w:jc w:val="left"/>
        <w:rPr>
          <w:rFonts w:cs="Calibri"/>
          <w:kern w:val="18"/>
          <w:sz w:val="18"/>
          <w:szCs w:val="18"/>
          <w:lang w:val="fr-FR"/>
        </w:rPr>
      </w:pPr>
      <w:r w:rsidRPr="007A403A">
        <w:rPr>
          <w:kern w:val="18"/>
          <w:sz w:val="18"/>
          <w:szCs w:val="18"/>
          <w:vertAlign w:val="superscript"/>
          <w:lang w:val="es-ES_tradnl"/>
        </w:rPr>
        <w:footnoteRef/>
      </w:r>
      <w:r w:rsidRPr="00DD6B41">
        <w:rPr>
          <w:rFonts w:cs="Calibri"/>
          <w:kern w:val="18"/>
          <w:sz w:val="18"/>
          <w:szCs w:val="18"/>
          <w:lang w:val="fr-FR"/>
        </w:rPr>
        <w:t xml:space="preserve"> Parker, C. </w:t>
      </w:r>
      <w:r w:rsidRPr="00DD6B41">
        <w:rPr>
          <w:rFonts w:cs="Calibri"/>
          <w:i/>
          <w:kern w:val="18"/>
          <w:sz w:val="18"/>
          <w:szCs w:val="18"/>
          <w:lang w:val="fr-FR"/>
        </w:rPr>
        <w:t>et al.</w:t>
      </w:r>
      <w:r w:rsidRPr="00DD6B41">
        <w:rPr>
          <w:rFonts w:cs="Calibri"/>
          <w:kern w:val="18"/>
          <w:sz w:val="18"/>
          <w:szCs w:val="18"/>
          <w:lang w:val="fr-FR"/>
        </w:rPr>
        <w:t xml:space="preserve"> (2012). </w:t>
      </w:r>
    </w:p>
  </w:footnote>
  <w:footnote w:id="18">
    <w:p w14:paraId="79894A98" w14:textId="106BCA2A" w:rsidR="00CC1C56" w:rsidRPr="00DD6B41" w:rsidRDefault="00CC1C56" w:rsidP="00CF1568">
      <w:pPr>
        <w:keepLines/>
        <w:suppressLineNumbers/>
        <w:suppressAutoHyphens/>
        <w:spacing w:after="60"/>
        <w:jc w:val="left"/>
        <w:rPr>
          <w:rFonts w:cs="Calibri"/>
          <w:kern w:val="18"/>
          <w:sz w:val="18"/>
          <w:szCs w:val="18"/>
          <w:lang w:val="fr-FR"/>
        </w:rPr>
      </w:pPr>
      <w:r w:rsidRPr="007A403A">
        <w:rPr>
          <w:kern w:val="18"/>
          <w:sz w:val="18"/>
          <w:szCs w:val="18"/>
          <w:vertAlign w:val="superscript"/>
          <w:lang w:val="es-ES_tradnl"/>
        </w:rPr>
        <w:footnoteRef/>
      </w:r>
      <w:r w:rsidRPr="00DD6B41">
        <w:rPr>
          <w:rFonts w:cs="Calibri"/>
          <w:kern w:val="18"/>
          <w:sz w:val="18"/>
          <w:szCs w:val="18"/>
          <w:lang w:val="fr-FR"/>
        </w:rPr>
        <w:t xml:space="preserve"> Conservation Finance Alliance (2014),</w:t>
      </w:r>
      <w:r w:rsidRPr="00DD6B41">
        <w:rPr>
          <w:rFonts w:cs="Calibri"/>
          <w:i/>
          <w:kern w:val="18"/>
          <w:sz w:val="18"/>
          <w:szCs w:val="18"/>
          <w:lang w:val="fr-FR"/>
        </w:rPr>
        <w:t xml:space="preserve"> </w:t>
      </w:r>
      <w:r w:rsidRPr="00DD6B41">
        <w:rPr>
          <w:rFonts w:cs="Calibri"/>
          <w:kern w:val="18"/>
          <w:sz w:val="18"/>
          <w:szCs w:val="18"/>
          <w:lang w:val="fr-FR"/>
        </w:rPr>
        <w:t>pág. 4.</w:t>
      </w:r>
    </w:p>
  </w:footnote>
  <w:footnote w:id="19">
    <w:p w14:paraId="22FFA959" w14:textId="3EEC82AB" w:rsidR="00CC1C56" w:rsidRPr="007A403A" w:rsidRDefault="00CC1C56" w:rsidP="00CF1568">
      <w:pPr>
        <w:keepLines/>
        <w:suppressLineNumbers/>
        <w:suppressAutoHyphens/>
        <w:spacing w:after="60"/>
        <w:jc w:val="left"/>
        <w:rPr>
          <w:rFonts w:cs="Calibri"/>
          <w:kern w:val="18"/>
          <w:sz w:val="18"/>
          <w:szCs w:val="18"/>
          <w:lang w:val="es-ES_tradnl"/>
        </w:rPr>
      </w:pPr>
      <w:r w:rsidRPr="007A403A">
        <w:rPr>
          <w:kern w:val="18"/>
          <w:sz w:val="18"/>
          <w:szCs w:val="18"/>
          <w:vertAlign w:val="superscript"/>
          <w:lang w:val="es-ES_tradnl"/>
        </w:rPr>
        <w:footnoteRef/>
      </w:r>
      <w:r w:rsidRPr="007A403A">
        <w:rPr>
          <w:rFonts w:cs="Calibri"/>
          <w:kern w:val="18"/>
          <w:sz w:val="18"/>
          <w:szCs w:val="18"/>
          <w:lang w:val="es-ES_tradnl"/>
        </w:rPr>
        <w:t xml:space="preserve"> </w:t>
      </w:r>
      <w:proofErr w:type="spellStart"/>
      <w:r w:rsidRPr="007A403A">
        <w:rPr>
          <w:rFonts w:cs="Calibri"/>
          <w:kern w:val="18"/>
          <w:sz w:val="18"/>
          <w:szCs w:val="18"/>
          <w:lang w:val="es-ES_tradnl"/>
        </w:rPr>
        <w:t>NatureVest</w:t>
      </w:r>
      <w:proofErr w:type="spellEnd"/>
      <w:r w:rsidRPr="007A403A">
        <w:rPr>
          <w:rFonts w:cs="Calibri"/>
          <w:kern w:val="18"/>
          <w:sz w:val="18"/>
          <w:szCs w:val="18"/>
          <w:lang w:val="es-ES_tradnl"/>
        </w:rPr>
        <w:t xml:space="preserve"> y EKO </w:t>
      </w:r>
      <w:proofErr w:type="spellStart"/>
      <w:r w:rsidRPr="007A403A">
        <w:rPr>
          <w:rFonts w:cs="Calibri"/>
          <w:kern w:val="18"/>
          <w:sz w:val="18"/>
          <w:szCs w:val="18"/>
          <w:lang w:val="es-ES_tradnl"/>
        </w:rPr>
        <w:t>Asset</w:t>
      </w:r>
      <w:proofErr w:type="spellEnd"/>
      <w:r w:rsidRPr="007A403A">
        <w:rPr>
          <w:rFonts w:cs="Calibri"/>
          <w:kern w:val="18"/>
          <w:sz w:val="18"/>
          <w:szCs w:val="18"/>
          <w:lang w:val="es-ES_tradnl"/>
        </w:rPr>
        <w:t xml:space="preserve"> Management </w:t>
      </w:r>
      <w:proofErr w:type="spellStart"/>
      <w:r w:rsidRPr="007A403A">
        <w:rPr>
          <w:rFonts w:cs="Calibri"/>
          <w:kern w:val="18"/>
          <w:sz w:val="18"/>
          <w:szCs w:val="18"/>
          <w:lang w:val="es-ES_tradnl"/>
        </w:rPr>
        <w:t>Partners</w:t>
      </w:r>
      <w:proofErr w:type="spellEnd"/>
      <w:r w:rsidRPr="007A403A">
        <w:rPr>
          <w:rFonts w:cs="Calibri"/>
          <w:kern w:val="18"/>
          <w:sz w:val="18"/>
          <w:szCs w:val="18"/>
          <w:lang w:val="es-ES_tradnl"/>
        </w:rPr>
        <w:t xml:space="preserve"> (2014), pág. 12.</w:t>
      </w:r>
    </w:p>
  </w:footnote>
  <w:footnote w:id="20">
    <w:p w14:paraId="4510862F" w14:textId="77777777" w:rsidR="00CC1C56" w:rsidRPr="007A403A" w:rsidRDefault="00CC1C56" w:rsidP="00CF1568">
      <w:pPr>
        <w:pStyle w:val="FootnoteText"/>
        <w:suppressLineNumbers/>
        <w:suppressAutoHyphens/>
        <w:ind w:firstLine="0"/>
        <w:jc w:val="left"/>
        <w:rPr>
          <w:rFonts w:asciiTheme="minorHAnsi" w:hAnsiTheme="minorHAnsi" w:cstheme="minorBidi"/>
          <w:kern w:val="18"/>
          <w:szCs w:val="18"/>
          <w:lang w:val="es-ES_tradnl"/>
        </w:rPr>
      </w:pPr>
      <w:r w:rsidRPr="007A403A">
        <w:rPr>
          <w:rStyle w:val="FootnoteReference"/>
          <w:kern w:val="18"/>
          <w:szCs w:val="18"/>
          <w:lang w:val="es-ES_tradnl"/>
        </w:rPr>
        <w:footnoteRef/>
      </w:r>
      <w:r w:rsidRPr="007A403A">
        <w:rPr>
          <w:kern w:val="18"/>
          <w:szCs w:val="18"/>
          <w:lang w:val="es-ES_tradnl"/>
        </w:rPr>
        <w:t xml:space="preserve"> </w:t>
      </w:r>
      <w:hyperlink r:id="rId7" w:history="1">
        <w:r w:rsidRPr="007A403A">
          <w:rPr>
            <w:rStyle w:val="Hyperlink"/>
            <w:kern w:val="18"/>
            <w:szCs w:val="18"/>
            <w:lang w:val="es-ES_tradnl"/>
          </w:rPr>
          <w:t>http://ec.europa.eu/environment/biodiversity/business/index_en.htm</w:t>
        </w:r>
      </w:hyperlink>
      <w:r w:rsidRPr="007A403A">
        <w:rPr>
          <w:kern w:val="18"/>
          <w:szCs w:val="18"/>
          <w:lang w:val="es-ES_tradnl"/>
        </w:rPr>
        <w:t xml:space="preserve">. </w:t>
      </w:r>
    </w:p>
  </w:footnote>
  <w:footnote w:id="21">
    <w:p w14:paraId="25F8A486" w14:textId="3B6DED66" w:rsidR="00CC1C56" w:rsidRPr="007A403A" w:rsidRDefault="00CC1C56" w:rsidP="00CF1568">
      <w:pPr>
        <w:pStyle w:val="FootnoteText"/>
        <w:ind w:firstLine="0"/>
        <w:rPr>
          <w:szCs w:val="18"/>
          <w:lang w:val="es-ES_tradnl"/>
        </w:rPr>
      </w:pPr>
      <w:r w:rsidRPr="007A403A">
        <w:rPr>
          <w:rStyle w:val="FootnoteReference"/>
          <w:szCs w:val="18"/>
          <w:lang w:val="es-ES_tradnl"/>
        </w:rPr>
        <w:footnoteRef/>
      </w:r>
      <w:r w:rsidRPr="007A403A">
        <w:rPr>
          <w:szCs w:val="18"/>
          <w:lang w:val="es-ES_tradnl"/>
        </w:rPr>
        <w:t xml:space="preserve"> Véase la decisión IX/11 B, anexo, objetivo 4.</w:t>
      </w:r>
    </w:p>
  </w:footnote>
  <w:footnote w:id="22">
    <w:p w14:paraId="4ECC6E4A" w14:textId="77777777" w:rsidR="00CC1C56" w:rsidRPr="007A403A" w:rsidRDefault="00CC1C56" w:rsidP="00CF1568">
      <w:pPr>
        <w:pStyle w:val="FootnoteText"/>
        <w:suppressLineNumbers/>
        <w:suppressAutoHyphens/>
        <w:ind w:firstLine="0"/>
        <w:jc w:val="left"/>
        <w:rPr>
          <w:rFonts w:asciiTheme="minorHAnsi" w:hAnsiTheme="minorHAnsi" w:cstheme="minorBidi"/>
          <w:kern w:val="18"/>
          <w:szCs w:val="18"/>
          <w:lang w:val="es-ES_tradnl"/>
        </w:rPr>
      </w:pPr>
      <w:r w:rsidRPr="007A403A">
        <w:rPr>
          <w:rStyle w:val="FootnoteReference"/>
          <w:kern w:val="18"/>
          <w:szCs w:val="18"/>
          <w:lang w:val="es-ES_tradnl"/>
        </w:rPr>
        <w:footnoteRef/>
      </w:r>
      <w:r w:rsidRPr="007A403A">
        <w:rPr>
          <w:szCs w:val="18"/>
          <w:lang w:val="es-ES_tradnl"/>
        </w:rPr>
        <w:t xml:space="preserve"> </w:t>
      </w:r>
      <w:hyperlink r:id="rId8" w:history="1">
        <w:r w:rsidRPr="007A403A">
          <w:rPr>
            <w:rStyle w:val="Hyperlink"/>
            <w:szCs w:val="18"/>
            <w:lang w:val="es-ES_tradnl"/>
          </w:rPr>
          <w:t>https://europa.eu/capacity4dev/b4life/wiki/biodiversity-life-b4life</w:t>
        </w:r>
      </w:hyperlink>
      <w:r w:rsidRPr="007A403A">
        <w:rPr>
          <w:kern w:val="18"/>
          <w:szCs w:val="18"/>
          <w:lang w:val="es-ES_tradnl"/>
        </w:rPr>
        <w:t>.</w:t>
      </w:r>
    </w:p>
  </w:footnote>
  <w:footnote w:id="23">
    <w:p w14:paraId="13AFDCE9" w14:textId="2F9C694B" w:rsidR="00CC1C56" w:rsidRPr="007A403A" w:rsidRDefault="00CC1C56" w:rsidP="00CF1568">
      <w:pPr>
        <w:pStyle w:val="FootnoteText"/>
        <w:suppressLineNumbers/>
        <w:suppressAutoHyphens/>
        <w:ind w:firstLine="0"/>
        <w:jc w:val="left"/>
        <w:rPr>
          <w:kern w:val="18"/>
          <w:szCs w:val="18"/>
          <w:lang w:val="es-ES_tradnl"/>
        </w:rPr>
      </w:pPr>
      <w:r w:rsidRPr="007A403A">
        <w:rPr>
          <w:rStyle w:val="FootnoteReference"/>
          <w:kern w:val="18"/>
          <w:szCs w:val="18"/>
          <w:lang w:val="es-ES_tradnl"/>
        </w:rPr>
        <w:footnoteRef/>
      </w:r>
      <w:r w:rsidRPr="007A403A">
        <w:rPr>
          <w:kern w:val="18"/>
          <w:szCs w:val="18"/>
          <w:lang w:val="es-ES_tradnl"/>
        </w:rPr>
        <w:t xml:space="preserve"> </w:t>
      </w:r>
      <w:hyperlink r:id="rId9" w:history="1">
        <w:r w:rsidRPr="007A403A">
          <w:rPr>
            <w:rStyle w:val="Hyperlink"/>
            <w:kern w:val="18"/>
            <w:szCs w:val="18"/>
            <w:lang w:val="es-ES_tradnl"/>
          </w:rPr>
          <w:t>https://www.cbd.int/development/doc/biodiversity-2030-agenda-technical-note-es.pdf</w:t>
        </w:r>
      </w:hyperlink>
      <w:r w:rsidRPr="007A403A">
        <w:rPr>
          <w:kern w:val="18"/>
          <w:szCs w:val="18"/>
          <w:lang w:val="es-ES_tradnl"/>
        </w:rPr>
        <w:t>.</w:t>
      </w:r>
    </w:p>
  </w:footnote>
  <w:footnote w:id="24">
    <w:p w14:paraId="7B461973" w14:textId="753A6814" w:rsidR="00CC1C56" w:rsidRPr="007A403A" w:rsidRDefault="00CC1C56" w:rsidP="00677E26">
      <w:pPr>
        <w:pStyle w:val="FootnoteText"/>
        <w:ind w:firstLine="0"/>
        <w:rPr>
          <w:szCs w:val="18"/>
          <w:lang w:val="es-ES_tradnl"/>
        </w:rPr>
      </w:pPr>
      <w:r w:rsidRPr="007A403A">
        <w:rPr>
          <w:rStyle w:val="FootnoteReference"/>
          <w:szCs w:val="18"/>
          <w:lang w:val="es-ES_tradnl"/>
        </w:rPr>
        <w:footnoteRef/>
      </w:r>
      <w:r w:rsidRPr="007A403A">
        <w:rPr>
          <w:szCs w:val="18"/>
          <w:lang w:val="es-ES_tradnl"/>
        </w:rPr>
        <w:t xml:space="preserve"> Resolución de la Asamblea </w:t>
      </w:r>
      <w:r w:rsidRPr="007A403A">
        <w:rPr>
          <w:kern w:val="18"/>
          <w:szCs w:val="18"/>
          <w:lang w:val="es-ES_tradnl"/>
        </w:rPr>
        <w:t xml:space="preserve">General </w:t>
      </w:r>
      <w:hyperlink r:id="rId10" w:history="1">
        <w:r w:rsidRPr="007A403A">
          <w:rPr>
            <w:rStyle w:val="Hyperlink"/>
            <w:kern w:val="18"/>
            <w:szCs w:val="18"/>
            <w:lang w:val="es-ES_tradnl"/>
          </w:rPr>
          <w:t>70/1</w:t>
        </w:r>
      </w:hyperlink>
      <w:r w:rsidRPr="007A403A">
        <w:rPr>
          <w:kern w:val="18"/>
          <w:szCs w:val="18"/>
          <w:lang w:val="es-ES_tradnl"/>
        </w:rPr>
        <w:t xml:space="preserve"> titulada “Transformar nuestro mundo: la Agenda 2030 para el Desarrollo Sostenible”.</w:t>
      </w:r>
    </w:p>
  </w:footnote>
  <w:footnote w:id="25">
    <w:p w14:paraId="6E9D0E63" w14:textId="77777777" w:rsidR="00CC1C56" w:rsidRPr="00D05BBC" w:rsidRDefault="00CC1C56" w:rsidP="00F37AD8">
      <w:pPr>
        <w:pStyle w:val="FootnoteText"/>
        <w:ind w:firstLine="0"/>
        <w:rPr>
          <w:lang w:val="es-ES_tradnl"/>
        </w:rPr>
      </w:pPr>
      <w:r w:rsidRPr="00D05BBC">
        <w:rPr>
          <w:rStyle w:val="FootnoteReference"/>
          <w:lang w:val="es-ES_tradnl"/>
        </w:rPr>
        <w:footnoteRef/>
      </w:r>
      <w:r w:rsidRPr="00D05BBC">
        <w:rPr>
          <w:lang w:val="es-ES_tradnl"/>
        </w:rPr>
        <w:t xml:space="preserve"> Bélgica, Islandia y Portugal. Australia presentó información después de la fecha límite.</w:t>
      </w:r>
    </w:p>
  </w:footnote>
  <w:footnote w:id="26">
    <w:p w14:paraId="1A3DEFB1" w14:textId="19162E65" w:rsidR="00CC1C56" w:rsidRPr="00D05BBC" w:rsidRDefault="00CC1C56" w:rsidP="00F37AD8">
      <w:pPr>
        <w:pStyle w:val="FootnoteText"/>
        <w:suppressLineNumbers/>
        <w:ind w:firstLine="0"/>
        <w:jc w:val="left"/>
        <w:rPr>
          <w:kern w:val="18"/>
          <w:szCs w:val="18"/>
          <w:lang w:val="es-ES_tradnl"/>
        </w:rPr>
      </w:pPr>
      <w:r w:rsidRPr="00D05BBC">
        <w:rPr>
          <w:rStyle w:val="FootnoteReference"/>
          <w:kern w:val="18"/>
          <w:szCs w:val="18"/>
          <w:lang w:val="es-ES_tradnl"/>
        </w:rPr>
        <w:footnoteRef/>
      </w:r>
      <w:r w:rsidRPr="00D05BBC">
        <w:rPr>
          <w:kern w:val="18"/>
          <w:szCs w:val="18"/>
          <w:lang w:val="es-ES_tradnl"/>
        </w:rPr>
        <w:t xml:space="preserve"> Organización de Cooperación y Desarrollo Económicos, abril de 2020</w:t>
      </w:r>
      <w:r>
        <w:rPr>
          <w:kern w:val="18"/>
          <w:szCs w:val="18"/>
          <w:lang w:val="es-ES_tradnl"/>
        </w:rPr>
        <w:t xml:space="preserve"> </w:t>
      </w:r>
      <w:r w:rsidRPr="00D05BBC">
        <w:rPr>
          <w:kern w:val="18"/>
          <w:szCs w:val="18"/>
          <w:lang w:val="es-ES_tradnl"/>
        </w:rPr>
        <w:t>(</w:t>
      </w:r>
      <w:hyperlink r:id="rId11" w:history="1">
        <w:r w:rsidRPr="00D05BBC">
          <w:rPr>
            <w:rStyle w:val="Hyperlink"/>
            <w:kern w:val="18"/>
            <w:szCs w:val="18"/>
            <w:lang w:val="es-ES_tradnl"/>
          </w:rPr>
          <w:t>https://www.oecd.org/environment/resources/biodiversity/report-a-comprehensive-overview-of-global-biodiversity-finance.pdf</w:t>
        </w:r>
      </w:hyperlink>
      <w:r w:rsidRPr="00D05BBC">
        <w:rPr>
          <w:lang w:val="es-ES_tradnl"/>
        </w:rPr>
        <w:t>)</w:t>
      </w:r>
      <w:r w:rsidRPr="00D05BBC">
        <w:rPr>
          <w:kern w:val="18"/>
          <w:szCs w:val="18"/>
          <w:lang w:val="es-ES_tradnl"/>
        </w:rPr>
        <w:t>.</w:t>
      </w:r>
    </w:p>
  </w:footnote>
  <w:footnote w:id="27">
    <w:p w14:paraId="5521195D" w14:textId="77777777" w:rsidR="00CC1C56" w:rsidRPr="00D05BBC" w:rsidRDefault="00CC1C56" w:rsidP="00F37AD8">
      <w:pPr>
        <w:pStyle w:val="FootnoteText"/>
        <w:suppressLineNumbers/>
        <w:suppressAutoHyphens/>
        <w:ind w:firstLine="0"/>
        <w:jc w:val="left"/>
        <w:rPr>
          <w:kern w:val="18"/>
          <w:szCs w:val="18"/>
          <w:lang w:val="es-ES_tradnl"/>
        </w:rPr>
      </w:pPr>
      <w:r w:rsidRPr="00D05BBC">
        <w:rPr>
          <w:rStyle w:val="FootnoteReference"/>
          <w:kern w:val="18"/>
          <w:szCs w:val="18"/>
          <w:lang w:val="es-ES_tradnl"/>
        </w:rPr>
        <w:footnoteRef/>
      </w:r>
      <w:r w:rsidRPr="00D05BBC">
        <w:rPr>
          <w:kern w:val="18"/>
          <w:szCs w:val="18"/>
          <w:lang w:val="es-ES_tradnl"/>
        </w:rPr>
        <w:t xml:space="preserve"> Hay posibles solapamientos entre el gasto interno declarado por los países en desarrollo en relación con la diversidad biológica, y el monto de la asistencia para el desarrollo declarado por los proveedores oficiales de asistencia. Ello se tiene en cuenta en la estimación general de la financiación mundial en relación con la diversidad biológica.</w:t>
      </w:r>
    </w:p>
  </w:footnote>
  <w:footnote w:id="28">
    <w:p w14:paraId="71D6EA3C" w14:textId="77777777" w:rsidR="00CC1C56" w:rsidRPr="00D05BBC" w:rsidRDefault="00CC1C56" w:rsidP="00F37AD8">
      <w:pPr>
        <w:pStyle w:val="FootnoteText"/>
        <w:ind w:firstLine="0"/>
        <w:rPr>
          <w:szCs w:val="18"/>
          <w:lang w:val="es-ES_tradnl"/>
        </w:rPr>
      </w:pPr>
      <w:r w:rsidRPr="00D05BBC">
        <w:rPr>
          <w:rStyle w:val="FootnoteReference"/>
          <w:szCs w:val="18"/>
          <w:lang w:val="es-ES_tradnl"/>
        </w:rPr>
        <w:footnoteRef/>
      </w:r>
      <w:r w:rsidRPr="00D05BBC">
        <w:rPr>
          <w:szCs w:val="18"/>
          <w:lang w:val="es-ES_tradnl"/>
        </w:rPr>
        <w:t xml:space="preserve"> Una tercera parte de esta cuantía corresponde a China.</w:t>
      </w:r>
    </w:p>
  </w:footnote>
  <w:footnote w:id="29">
    <w:p w14:paraId="5CE4FDC0" w14:textId="77777777" w:rsidR="00CC1C56" w:rsidRPr="00D05BBC" w:rsidRDefault="00CC1C56" w:rsidP="00F37AD8">
      <w:pPr>
        <w:pStyle w:val="FootnoteText"/>
        <w:suppressLineNumbers/>
        <w:suppressAutoHyphens/>
        <w:ind w:firstLine="0"/>
        <w:jc w:val="left"/>
        <w:rPr>
          <w:kern w:val="18"/>
          <w:szCs w:val="18"/>
          <w:lang w:val="es-ES_tradnl"/>
        </w:rPr>
      </w:pPr>
      <w:r w:rsidRPr="00D05BBC">
        <w:rPr>
          <w:rStyle w:val="FootnoteReference"/>
          <w:kern w:val="18"/>
          <w:szCs w:val="18"/>
          <w:lang w:val="es-ES_tradnl"/>
        </w:rPr>
        <w:footnoteRef/>
      </w:r>
      <w:r w:rsidRPr="00D05BBC">
        <w:rPr>
          <w:kern w:val="18"/>
          <w:szCs w:val="18"/>
          <w:lang w:val="es-ES_tradnl"/>
        </w:rPr>
        <w:t xml:space="preserve"> La CFG fue ideada en 1999 por la OCDE y publicada por la División de Estadística de las Naciones Unidas como norma para clasificar los objetivos socioeconómicos (la finalidad) de las actividades financieras del gobierno general.</w:t>
      </w:r>
    </w:p>
  </w:footnote>
  <w:footnote w:id="30">
    <w:p w14:paraId="57E795A0" w14:textId="51741F24" w:rsidR="00CC1C56" w:rsidRPr="00D05BBC" w:rsidRDefault="00CC1C56" w:rsidP="00F37AD8">
      <w:pPr>
        <w:pStyle w:val="FootnoteText"/>
        <w:suppressLineNumbers/>
        <w:suppressAutoHyphens/>
        <w:ind w:firstLine="0"/>
        <w:jc w:val="left"/>
        <w:rPr>
          <w:kern w:val="18"/>
          <w:szCs w:val="18"/>
          <w:lang w:val="es-ES_tradnl"/>
        </w:rPr>
      </w:pPr>
      <w:r w:rsidRPr="00D05BBC">
        <w:rPr>
          <w:rStyle w:val="FootnoteReference"/>
          <w:kern w:val="18"/>
          <w:szCs w:val="18"/>
          <w:lang w:val="es-ES_tradnl"/>
        </w:rPr>
        <w:footnoteRef/>
      </w:r>
      <w:r w:rsidRPr="00D05BBC">
        <w:rPr>
          <w:kern w:val="18"/>
          <w:szCs w:val="18"/>
          <w:lang w:val="es-ES_tradnl"/>
        </w:rPr>
        <w:t xml:space="preserve"> Véanse los hitos para la puesta en práctica de </w:t>
      </w:r>
      <w:r>
        <w:rPr>
          <w:kern w:val="18"/>
          <w:szCs w:val="18"/>
          <w:lang w:val="es-ES_tradnl"/>
        </w:rPr>
        <w:t>l</w:t>
      </w:r>
      <w:r w:rsidRPr="00D05BBC">
        <w:rPr>
          <w:kern w:val="18"/>
          <w:szCs w:val="18"/>
          <w:lang w:val="es-ES_tradnl"/>
        </w:rPr>
        <w:t>a Meta 3 de Aichi para la Diversidad Biológica, adoptados en la decisión XII/3 sobre la movilización de recursos, y el análisis sobre la forma en que dicha Meta 3 contribuye a la aplicación de la Meta 20 de Aichi para la Diversidad Biológica, preparado para someter a consideración del Órgano Subsidiario sobre la Aplicación en su segunda reunión (</w:t>
      </w:r>
      <w:hyperlink r:id="rId12" w:history="1">
        <w:r w:rsidRPr="00D05BBC">
          <w:rPr>
            <w:rStyle w:val="Hyperlink"/>
            <w:kern w:val="18"/>
            <w:szCs w:val="18"/>
            <w:lang w:val="es-ES_tradnl"/>
          </w:rPr>
          <w:t>https://www.cbd.int/meetings/SBI-03</w:t>
        </w:r>
      </w:hyperlink>
      <w:r w:rsidRPr="00D05BBC">
        <w:rPr>
          <w:kern w:val="18"/>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EC11" w14:textId="4359E030" w:rsidR="00CC1C56" w:rsidRPr="00B75045" w:rsidRDefault="00CC1C56" w:rsidP="006F4060">
    <w:pPr>
      <w:pStyle w:val="Header"/>
      <w:tabs>
        <w:tab w:val="clear" w:pos="4320"/>
        <w:tab w:val="clear" w:pos="8640"/>
      </w:tabs>
      <w:jc w:val="left"/>
      <w:rPr>
        <w:kern w:val="22"/>
        <w:szCs w:val="22"/>
        <w:lang w:val="es-ES"/>
      </w:rPr>
    </w:pPr>
    <w:r w:rsidRPr="00B75045">
      <w:rPr>
        <w:kern w:val="22"/>
        <w:szCs w:val="22"/>
        <w:lang w:val="es-ES"/>
      </w:rPr>
      <w:t>CBD/SBI/</w:t>
    </w:r>
    <w:r w:rsidRPr="007330D9">
      <w:rPr>
        <w:snapToGrid w:val="0"/>
        <w:kern w:val="22"/>
        <w:szCs w:val="22"/>
        <w:lang w:val="es-ES_tradnl"/>
      </w:rPr>
      <w:t>3/5/Add.1</w:t>
    </w:r>
  </w:p>
  <w:p w14:paraId="114F2B16" w14:textId="77777777" w:rsidR="00CC1C56" w:rsidRPr="00B75045" w:rsidRDefault="00CC1C56" w:rsidP="006F4060">
    <w:pPr>
      <w:pStyle w:val="Header"/>
      <w:tabs>
        <w:tab w:val="clear" w:pos="4320"/>
        <w:tab w:val="clear" w:pos="8640"/>
      </w:tabs>
      <w:jc w:val="left"/>
      <w:rPr>
        <w:kern w:val="22"/>
        <w:szCs w:val="22"/>
        <w:lang w:val="es-ES"/>
      </w:rPr>
    </w:pPr>
    <w:r w:rsidRPr="00B75045">
      <w:rPr>
        <w:kern w:val="22"/>
        <w:szCs w:val="22"/>
        <w:lang w:val="es-ES"/>
      </w:rPr>
      <w:t xml:space="preserve">Página </w:t>
    </w:r>
    <w:r w:rsidRPr="00B75045">
      <w:rPr>
        <w:bCs/>
        <w:kern w:val="22"/>
        <w:szCs w:val="22"/>
        <w:lang w:val="es-ES"/>
      </w:rPr>
      <w:fldChar w:fldCharType="begin"/>
    </w:r>
    <w:r w:rsidRPr="00B75045">
      <w:rPr>
        <w:bCs/>
        <w:kern w:val="22"/>
        <w:szCs w:val="22"/>
        <w:lang w:val="es-ES"/>
      </w:rPr>
      <w:instrText xml:space="preserve"> PAGE </w:instrText>
    </w:r>
    <w:r w:rsidRPr="00B75045">
      <w:rPr>
        <w:bCs/>
        <w:kern w:val="22"/>
        <w:szCs w:val="22"/>
        <w:lang w:val="es-ES"/>
      </w:rPr>
      <w:fldChar w:fldCharType="separate"/>
    </w:r>
    <w:r w:rsidR="000C4C89">
      <w:rPr>
        <w:bCs/>
        <w:noProof/>
        <w:kern w:val="22"/>
        <w:szCs w:val="22"/>
        <w:lang w:val="es-ES"/>
      </w:rPr>
      <w:t>12</w:t>
    </w:r>
    <w:r w:rsidRPr="00B75045">
      <w:rPr>
        <w:bCs/>
        <w:kern w:val="22"/>
        <w:szCs w:val="22"/>
        <w:lang w:val="es-ES"/>
      </w:rPr>
      <w:fldChar w:fldCharType="end"/>
    </w:r>
  </w:p>
  <w:p w14:paraId="2534957A" w14:textId="77777777" w:rsidR="00CC1C56" w:rsidRPr="00B75045" w:rsidRDefault="00CC1C56" w:rsidP="009B2C93">
    <w:pPr>
      <w:pStyle w:val="Header"/>
      <w:tabs>
        <w:tab w:val="clear" w:pos="4320"/>
        <w:tab w:val="clear" w:pos="8640"/>
      </w:tabs>
      <w:jc w:val="left"/>
      <w:rPr>
        <w:kern w:val="22"/>
        <w:szCs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EE36" w14:textId="4696589A" w:rsidR="00CC1C56" w:rsidRPr="00415FA0" w:rsidRDefault="00CC1C56" w:rsidP="006F4060">
    <w:pPr>
      <w:pStyle w:val="Header"/>
      <w:tabs>
        <w:tab w:val="clear" w:pos="4320"/>
        <w:tab w:val="clear" w:pos="8640"/>
      </w:tabs>
      <w:jc w:val="right"/>
      <w:rPr>
        <w:kern w:val="22"/>
        <w:szCs w:val="22"/>
        <w:lang w:val="es-ES"/>
      </w:rPr>
    </w:pPr>
    <w:r w:rsidRPr="00415FA0">
      <w:rPr>
        <w:kern w:val="22"/>
        <w:szCs w:val="22"/>
        <w:lang w:val="es-ES"/>
      </w:rPr>
      <w:t>CBD/SBI/</w:t>
    </w:r>
    <w:r w:rsidRPr="007330D9">
      <w:rPr>
        <w:snapToGrid w:val="0"/>
        <w:kern w:val="22"/>
        <w:szCs w:val="22"/>
        <w:lang w:val="es-ES_tradnl"/>
      </w:rPr>
      <w:t>3/5/Add.1</w:t>
    </w:r>
  </w:p>
  <w:p w14:paraId="5D247BAF" w14:textId="77777777" w:rsidR="00CC1C56" w:rsidRPr="00415FA0" w:rsidRDefault="00CC1C56" w:rsidP="006F4060">
    <w:pPr>
      <w:pStyle w:val="Header"/>
      <w:tabs>
        <w:tab w:val="clear" w:pos="4320"/>
        <w:tab w:val="clear" w:pos="8640"/>
      </w:tabs>
      <w:jc w:val="right"/>
      <w:rPr>
        <w:kern w:val="22"/>
        <w:szCs w:val="22"/>
        <w:lang w:val="es-ES"/>
      </w:rPr>
    </w:pPr>
    <w:r w:rsidRPr="00415FA0">
      <w:rPr>
        <w:kern w:val="22"/>
        <w:szCs w:val="22"/>
        <w:lang w:val="es-ES"/>
      </w:rPr>
      <w:t>P</w:t>
    </w:r>
    <w:r>
      <w:rPr>
        <w:kern w:val="22"/>
        <w:szCs w:val="22"/>
        <w:lang w:val="es-ES"/>
      </w:rPr>
      <w:t>á</w:t>
    </w:r>
    <w:r w:rsidRPr="00415FA0">
      <w:rPr>
        <w:kern w:val="22"/>
        <w:szCs w:val="22"/>
        <w:lang w:val="es-ES"/>
      </w:rPr>
      <w:t>g</w:t>
    </w:r>
    <w:r>
      <w:rPr>
        <w:kern w:val="22"/>
        <w:szCs w:val="22"/>
        <w:lang w:val="es-ES"/>
      </w:rPr>
      <w:t>ina</w:t>
    </w:r>
    <w:r w:rsidRPr="00415FA0">
      <w:rPr>
        <w:kern w:val="22"/>
        <w:szCs w:val="22"/>
        <w:lang w:val="es-ES"/>
      </w:rPr>
      <w:t xml:space="preserve"> </w:t>
    </w:r>
    <w:r w:rsidRPr="00415FA0">
      <w:rPr>
        <w:bCs/>
        <w:kern w:val="22"/>
        <w:szCs w:val="22"/>
        <w:lang w:val="es-ES"/>
      </w:rPr>
      <w:fldChar w:fldCharType="begin"/>
    </w:r>
    <w:r w:rsidRPr="00415FA0">
      <w:rPr>
        <w:bCs/>
        <w:kern w:val="22"/>
        <w:szCs w:val="22"/>
        <w:lang w:val="es-ES"/>
      </w:rPr>
      <w:instrText xml:space="preserve"> PAGE </w:instrText>
    </w:r>
    <w:r w:rsidRPr="00415FA0">
      <w:rPr>
        <w:bCs/>
        <w:kern w:val="22"/>
        <w:szCs w:val="22"/>
        <w:lang w:val="es-ES"/>
      </w:rPr>
      <w:fldChar w:fldCharType="separate"/>
    </w:r>
    <w:r w:rsidR="000C4C89">
      <w:rPr>
        <w:bCs/>
        <w:noProof/>
        <w:kern w:val="22"/>
        <w:szCs w:val="22"/>
        <w:lang w:val="es-ES"/>
      </w:rPr>
      <w:t>11</w:t>
    </w:r>
    <w:r w:rsidRPr="00415FA0">
      <w:rPr>
        <w:bCs/>
        <w:kern w:val="22"/>
        <w:szCs w:val="22"/>
        <w:lang w:val="es-ES"/>
      </w:rPr>
      <w:fldChar w:fldCharType="end"/>
    </w:r>
  </w:p>
  <w:p w14:paraId="5BA9E242" w14:textId="77777777" w:rsidR="00CC1C56" w:rsidRPr="006F4060" w:rsidRDefault="00CC1C56" w:rsidP="006F4060">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6F8"/>
    <w:multiLevelType w:val="hybridMultilevel"/>
    <w:tmpl w:val="8E143186"/>
    <w:lvl w:ilvl="0" w:tplc="040C0017">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81FC8"/>
    <w:multiLevelType w:val="hybridMultilevel"/>
    <w:tmpl w:val="121AC5AA"/>
    <w:lvl w:ilvl="0" w:tplc="040C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0A6A2D67"/>
    <w:multiLevelType w:val="hybridMultilevel"/>
    <w:tmpl w:val="FCCCEBA0"/>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13D097C"/>
    <w:multiLevelType w:val="multilevel"/>
    <w:tmpl w:val="D0BA2858"/>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0517017"/>
    <w:multiLevelType w:val="multilevel"/>
    <w:tmpl w:val="6C880258"/>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3F3B69F2"/>
    <w:multiLevelType w:val="multilevel"/>
    <w:tmpl w:val="58F050FA"/>
    <w:lvl w:ilvl="0">
      <w:start w:val="1"/>
      <w:numFmt w:val="lowerLetter"/>
      <w:lvlText w:val="(%1)"/>
      <w:lvlJc w:val="left"/>
      <w:pPr>
        <w:tabs>
          <w:tab w:val="num" w:pos="1211"/>
        </w:tabs>
        <w:ind w:left="1211"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E0442B4"/>
    <w:multiLevelType w:val="multilevel"/>
    <w:tmpl w:val="681A238C"/>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547858"/>
    <w:multiLevelType w:val="multilevel"/>
    <w:tmpl w:val="6C880258"/>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6D663929"/>
    <w:multiLevelType w:val="hybridMultilevel"/>
    <w:tmpl w:val="3CF4BC5C"/>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5"/>
    <w:lvlOverride w:ilvl="0">
      <w:startOverride w:val="1"/>
    </w:lvlOverride>
  </w:num>
  <w:num w:numId="4">
    <w:abstractNumId w:val="3"/>
  </w:num>
  <w:num w:numId="5">
    <w:abstractNumId w:val="9"/>
  </w:num>
  <w:num w:numId="6">
    <w:abstractNumId w:val="23"/>
  </w:num>
  <w:num w:numId="7">
    <w:abstractNumId w:val="19"/>
  </w:num>
  <w:num w:numId="8">
    <w:abstractNumId w:val="10"/>
  </w:num>
  <w:num w:numId="9">
    <w:abstractNumId w:val="16"/>
  </w:num>
  <w:num w:numId="10">
    <w:abstractNumId w:val="12"/>
  </w:num>
  <w:num w:numId="11">
    <w:abstractNumId w:val="21"/>
  </w:num>
  <w:num w:numId="12">
    <w:abstractNumId w:val="6"/>
  </w:num>
  <w:num w:numId="13">
    <w:abstractNumId w:val="18"/>
  </w:num>
  <w:num w:numId="14">
    <w:abstractNumId w:val="25"/>
  </w:num>
  <w:num w:numId="15">
    <w:abstractNumId w:val="11"/>
  </w:num>
  <w:num w:numId="16">
    <w:abstractNumId w:val="22"/>
  </w:num>
  <w:num w:numId="17">
    <w:abstractNumId w:val="1"/>
  </w:num>
  <w:num w:numId="18">
    <w:abstractNumId w:val="0"/>
  </w:num>
  <w:num w:numId="19">
    <w:abstractNumId w:val="14"/>
  </w:num>
  <w:num w:numId="20">
    <w:abstractNumId w:val="7"/>
  </w:num>
  <w:num w:numId="21">
    <w:abstractNumId w:val="13"/>
  </w:num>
  <w:num w:numId="22">
    <w:abstractNumId w:val="4"/>
  </w:num>
  <w:num w:numId="23">
    <w:abstractNumId w:val="1"/>
  </w:num>
  <w:num w:numId="24">
    <w:abstractNumId w:val="5"/>
  </w:num>
  <w:num w:numId="25">
    <w:abstractNumId w:val="24"/>
  </w:num>
  <w:num w:numId="26">
    <w:abstractNumId w:val="20"/>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 w:vendorID="64" w:dllVersion="0" w:nlCheck="1" w:checkStyle="0"/>
  <w:activeWritingStyle w:appName="MSWord" w:lang="fr-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1828"/>
    <w:rsid w:val="00002093"/>
    <w:rsid w:val="0000395C"/>
    <w:rsid w:val="00005724"/>
    <w:rsid w:val="00005EEF"/>
    <w:rsid w:val="000063A9"/>
    <w:rsid w:val="0000683B"/>
    <w:rsid w:val="00006A12"/>
    <w:rsid w:val="0000752C"/>
    <w:rsid w:val="00010069"/>
    <w:rsid w:val="00010D21"/>
    <w:rsid w:val="00011546"/>
    <w:rsid w:val="00011646"/>
    <w:rsid w:val="00011D38"/>
    <w:rsid w:val="00012261"/>
    <w:rsid w:val="000130EE"/>
    <w:rsid w:val="000137DC"/>
    <w:rsid w:val="00013C89"/>
    <w:rsid w:val="00013D92"/>
    <w:rsid w:val="00014978"/>
    <w:rsid w:val="000151C1"/>
    <w:rsid w:val="000157BF"/>
    <w:rsid w:val="00015C6A"/>
    <w:rsid w:val="00015F50"/>
    <w:rsid w:val="0001785A"/>
    <w:rsid w:val="000206BE"/>
    <w:rsid w:val="0002110B"/>
    <w:rsid w:val="00022983"/>
    <w:rsid w:val="00022EB0"/>
    <w:rsid w:val="00023832"/>
    <w:rsid w:val="00023870"/>
    <w:rsid w:val="00023D05"/>
    <w:rsid w:val="00025159"/>
    <w:rsid w:val="00025298"/>
    <w:rsid w:val="0002569C"/>
    <w:rsid w:val="00025D3E"/>
    <w:rsid w:val="00025FD7"/>
    <w:rsid w:val="000261A5"/>
    <w:rsid w:val="0002625E"/>
    <w:rsid w:val="00026D45"/>
    <w:rsid w:val="00026E4B"/>
    <w:rsid w:val="000270CE"/>
    <w:rsid w:val="00030AFA"/>
    <w:rsid w:val="00030BB4"/>
    <w:rsid w:val="0003261C"/>
    <w:rsid w:val="00032F7C"/>
    <w:rsid w:val="000332D4"/>
    <w:rsid w:val="0003374F"/>
    <w:rsid w:val="00035BD1"/>
    <w:rsid w:val="00036EC8"/>
    <w:rsid w:val="0003703A"/>
    <w:rsid w:val="000379C5"/>
    <w:rsid w:val="00037B77"/>
    <w:rsid w:val="00040D2C"/>
    <w:rsid w:val="00040DEC"/>
    <w:rsid w:val="0004108D"/>
    <w:rsid w:val="0004131C"/>
    <w:rsid w:val="000426CE"/>
    <w:rsid w:val="00043AD0"/>
    <w:rsid w:val="00044097"/>
    <w:rsid w:val="00044448"/>
    <w:rsid w:val="00044B88"/>
    <w:rsid w:val="00045D03"/>
    <w:rsid w:val="00046449"/>
    <w:rsid w:val="00046811"/>
    <w:rsid w:val="00047641"/>
    <w:rsid w:val="00050404"/>
    <w:rsid w:val="00050A09"/>
    <w:rsid w:val="00050B01"/>
    <w:rsid w:val="00050FA5"/>
    <w:rsid w:val="00051275"/>
    <w:rsid w:val="00051617"/>
    <w:rsid w:val="000521F3"/>
    <w:rsid w:val="00052C88"/>
    <w:rsid w:val="0005567D"/>
    <w:rsid w:val="00056228"/>
    <w:rsid w:val="00057114"/>
    <w:rsid w:val="000577B0"/>
    <w:rsid w:val="00057950"/>
    <w:rsid w:val="00057A32"/>
    <w:rsid w:val="000604C1"/>
    <w:rsid w:val="000609D1"/>
    <w:rsid w:val="0006101D"/>
    <w:rsid w:val="000615F9"/>
    <w:rsid w:val="00061DB6"/>
    <w:rsid w:val="00062983"/>
    <w:rsid w:val="00062E18"/>
    <w:rsid w:val="00063619"/>
    <w:rsid w:val="000644E6"/>
    <w:rsid w:val="00065E05"/>
    <w:rsid w:val="0006714C"/>
    <w:rsid w:val="00067AD8"/>
    <w:rsid w:val="00070E02"/>
    <w:rsid w:val="000717FA"/>
    <w:rsid w:val="000719F5"/>
    <w:rsid w:val="0007211A"/>
    <w:rsid w:val="00072839"/>
    <w:rsid w:val="00073903"/>
    <w:rsid w:val="00074999"/>
    <w:rsid w:val="00074DB9"/>
    <w:rsid w:val="000768AB"/>
    <w:rsid w:val="00076DAA"/>
    <w:rsid w:val="00081487"/>
    <w:rsid w:val="00081A12"/>
    <w:rsid w:val="00082395"/>
    <w:rsid w:val="00082AF6"/>
    <w:rsid w:val="00083167"/>
    <w:rsid w:val="00083F57"/>
    <w:rsid w:val="00084DE7"/>
    <w:rsid w:val="000850EB"/>
    <w:rsid w:val="000857F4"/>
    <w:rsid w:val="0008586B"/>
    <w:rsid w:val="0008642F"/>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6CB3"/>
    <w:rsid w:val="00097EAB"/>
    <w:rsid w:val="000A0ADB"/>
    <w:rsid w:val="000A0E97"/>
    <w:rsid w:val="000A2EF5"/>
    <w:rsid w:val="000A37DF"/>
    <w:rsid w:val="000A399A"/>
    <w:rsid w:val="000A3E0B"/>
    <w:rsid w:val="000A4358"/>
    <w:rsid w:val="000A4C4D"/>
    <w:rsid w:val="000A6030"/>
    <w:rsid w:val="000A6299"/>
    <w:rsid w:val="000A6ED7"/>
    <w:rsid w:val="000A70E9"/>
    <w:rsid w:val="000B1040"/>
    <w:rsid w:val="000B11A5"/>
    <w:rsid w:val="000B144A"/>
    <w:rsid w:val="000B1F25"/>
    <w:rsid w:val="000B35D2"/>
    <w:rsid w:val="000B3673"/>
    <w:rsid w:val="000B371E"/>
    <w:rsid w:val="000B4303"/>
    <w:rsid w:val="000B53BC"/>
    <w:rsid w:val="000B5AEA"/>
    <w:rsid w:val="000B6BD8"/>
    <w:rsid w:val="000B7660"/>
    <w:rsid w:val="000B777D"/>
    <w:rsid w:val="000C02E3"/>
    <w:rsid w:val="000C06F8"/>
    <w:rsid w:val="000C0CA3"/>
    <w:rsid w:val="000C0DAE"/>
    <w:rsid w:val="000C0F25"/>
    <w:rsid w:val="000C1BDD"/>
    <w:rsid w:val="000C21E0"/>
    <w:rsid w:val="000C2357"/>
    <w:rsid w:val="000C24A8"/>
    <w:rsid w:val="000C29BC"/>
    <w:rsid w:val="000C2D3A"/>
    <w:rsid w:val="000C38F7"/>
    <w:rsid w:val="000C4C89"/>
    <w:rsid w:val="000C69B9"/>
    <w:rsid w:val="000C6CC1"/>
    <w:rsid w:val="000C7659"/>
    <w:rsid w:val="000C79D8"/>
    <w:rsid w:val="000C7AED"/>
    <w:rsid w:val="000D0625"/>
    <w:rsid w:val="000D0CA6"/>
    <w:rsid w:val="000D0D11"/>
    <w:rsid w:val="000D1057"/>
    <w:rsid w:val="000D118D"/>
    <w:rsid w:val="000D178B"/>
    <w:rsid w:val="000D2531"/>
    <w:rsid w:val="000D43CF"/>
    <w:rsid w:val="000D5C85"/>
    <w:rsid w:val="000D6963"/>
    <w:rsid w:val="000D6FBA"/>
    <w:rsid w:val="000D742A"/>
    <w:rsid w:val="000E0074"/>
    <w:rsid w:val="000E1262"/>
    <w:rsid w:val="000E212D"/>
    <w:rsid w:val="000E44EB"/>
    <w:rsid w:val="000E4558"/>
    <w:rsid w:val="000E5617"/>
    <w:rsid w:val="000E590C"/>
    <w:rsid w:val="000F0FB2"/>
    <w:rsid w:val="000F20E2"/>
    <w:rsid w:val="000F2EAB"/>
    <w:rsid w:val="000F385F"/>
    <w:rsid w:val="000F3D05"/>
    <w:rsid w:val="000F3EA4"/>
    <w:rsid w:val="000F599B"/>
    <w:rsid w:val="000F60B9"/>
    <w:rsid w:val="000F6343"/>
    <w:rsid w:val="000F6C86"/>
    <w:rsid w:val="000F77BD"/>
    <w:rsid w:val="000F78FD"/>
    <w:rsid w:val="0010047B"/>
    <w:rsid w:val="00100E29"/>
    <w:rsid w:val="00100E50"/>
    <w:rsid w:val="00101BF1"/>
    <w:rsid w:val="00101E91"/>
    <w:rsid w:val="00102DB3"/>
    <w:rsid w:val="0010379D"/>
    <w:rsid w:val="00103B8E"/>
    <w:rsid w:val="00103C46"/>
    <w:rsid w:val="00104099"/>
    <w:rsid w:val="00104312"/>
    <w:rsid w:val="001048B5"/>
    <w:rsid w:val="00105750"/>
    <w:rsid w:val="00105819"/>
    <w:rsid w:val="00105A40"/>
    <w:rsid w:val="001069C8"/>
    <w:rsid w:val="00106A1E"/>
    <w:rsid w:val="001076A4"/>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28A"/>
    <w:rsid w:val="001234DE"/>
    <w:rsid w:val="00123CB5"/>
    <w:rsid w:val="00123E8C"/>
    <w:rsid w:val="00123EFB"/>
    <w:rsid w:val="00124153"/>
    <w:rsid w:val="00124821"/>
    <w:rsid w:val="00124C2D"/>
    <w:rsid w:val="00124F73"/>
    <w:rsid w:val="00125806"/>
    <w:rsid w:val="0012695E"/>
    <w:rsid w:val="00126993"/>
    <w:rsid w:val="00126AEA"/>
    <w:rsid w:val="001275BC"/>
    <w:rsid w:val="00127B2A"/>
    <w:rsid w:val="00131414"/>
    <w:rsid w:val="00131C63"/>
    <w:rsid w:val="00133B42"/>
    <w:rsid w:val="001343FE"/>
    <w:rsid w:val="00135062"/>
    <w:rsid w:val="00135171"/>
    <w:rsid w:val="0013524D"/>
    <w:rsid w:val="001352FA"/>
    <w:rsid w:val="001360DE"/>
    <w:rsid w:val="0013691E"/>
    <w:rsid w:val="00136C38"/>
    <w:rsid w:val="0013755F"/>
    <w:rsid w:val="00137579"/>
    <w:rsid w:val="0013779D"/>
    <w:rsid w:val="001416C5"/>
    <w:rsid w:val="00142368"/>
    <w:rsid w:val="001423AD"/>
    <w:rsid w:val="0014292F"/>
    <w:rsid w:val="001438E1"/>
    <w:rsid w:val="00143C89"/>
    <w:rsid w:val="00144D88"/>
    <w:rsid w:val="00144DFE"/>
    <w:rsid w:val="00145651"/>
    <w:rsid w:val="001465DE"/>
    <w:rsid w:val="00146B57"/>
    <w:rsid w:val="00146BAD"/>
    <w:rsid w:val="00146C45"/>
    <w:rsid w:val="00146D8E"/>
    <w:rsid w:val="00147A01"/>
    <w:rsid w:val="00150BB2"/>
    <w:rsid w:val="00153BD5"/>
    <w:rsid w:val="001544F4"/>
    <w:rsid w:val="0015453A"/>
    <w:rsid w:val="00154B16"/>
    <w:rsid w:val="00155DA0"/>
    <w:rsid w:val="0015675A"/>
    <w:rsid w:val="001573C5"/>
    <w:rsid w:val="00157753"/>
    <w:rsid w:val="0016130A"/>
    <w:rsid w:val="001623BF"/>
    <w:rsid w:val="0016273C"/>
    <w:rsid w:val="00162851"/>
    <w:rsid w:val="0016296B"/>
    <w:rsid w:val="0016297C"/>
    <w:rsid w:val="0016330A"/>
    <w:rsid w:val="00164124"/>
    <w:rsid w:val="001645D2"/>
    <w:rsid w:val="001647F0"/>
    <w:rsid w:val="00164832"/>
    <w:rsid w:val="0016556F"/>
    <w:rsid w:val="00165771"/>
    <w:rsid w:val="001661B5"/>
    <w:rsid w:val="0017060C"/>
    <w:rsid w:val="00171929"/>
    <w:rsid w:val="00171D56"/>
    <w:rsid w:val="00171D93"/>
    <w:rsid w:val="00173950"/>
    <w:rsid w:val="00174CD2"/>
    <w:rsid w:val="00176010"/>
    <w:rsid w:val="00176890"/>
    <w:rsid w:val="00177433"/>
    <w:rsid w:val="00180EF4"/>
    <w:rsid w:val="00181849"/>
    <w:rsid w:val="0018310B"/>
    <w:rsid w:val="001841AA"/>
    <w:rsid w:val="001841C5"/>
    <w:rsid w:val="0018454A"/>
    <w:rsid w:val="00184900"/>
    <w:rsid w:val="00185CAE"/>
    <w:rsid w:val="00186147"/>
    <w:rsid w:val="00187126"/>
    <w:rsid w:val="001905AA"/>
    <w:rsid w:val="00190708"/>
    <w:rsid w:val="00191514"/>
    <w:rsid w:val="00191686"/>
    <w:rsid w:val="00191B3A"/>
    <w:rsid w:val="001938F6"/>
    <w:rsid w:val="00193F83"/>
    <w:rsid w:val="00194CFA"/>
    <w:rsid w:val="00194FF2"/>
    <w:rsid w:val="00196278"/>
    <w:rsid w:val="001966DB"/>
    <w:rsid w:val="001972B8"/>
    <w:rsid w:val="0019744E"/>
    <w:rsid w:val="00197842"/>
    <w:rsid w:val="001A0585"/>
    <w:rsid w:val="001A08ED"/>
    <w:rsid w:val="001A13F6"/>
    <w:rsid w:val="001A1A8C"/>
    <w:rsid w:val="001A1B02"/>
    <w:rsid w:val="001A26E2"/>
    <w:rsid w:val="001A7027"/>
    <w:rsid w:val="001A702B"/>
    <w:rsid w:val="001A7AA8"/>
    <w:rsid w:val="001A7D5E"/>
    <w:rsid w:val="001A7F95"/>
    <w:rsid w:val="001B08C1"/>
    <w:rsid w:val="001B1B5B"/>
    <w:rsid w:val="001B2F43"/>
    <w:rsid w:val="001B412D"/>
    <w:rsid w:val="001B50A2"/>
    <w:rsid w:val="001B6950"/>
    <w:rsid w:val="001B73B3"/>
    <w:rsid w:val="001B7666"/>
    <w:rsid w:val="001C029E"/>
    <w:rsid w:val="001C19F0"/>
    <w:rsid w:val="001C2D65"/>
    <w:rsid w:val="001C3973"/>
    <w:rsid w:val="001C4823"/>
    <w:rsid w:val="001C4AE2"/>
    <w:rsid w:val="001C4E21"/>
    <w:rsid w:val="001C56C0"/>
    <w:rsid w:val="001C65AB"/>
    <w:rsid w:val="001C73C9"/>
    <w:rsid w:val="001C7D79"/>
    <w:rsid w:val="001C7EF2"/>
    <w:rsid w:val="001D0E30"/>
    <w:rsid w:val="001D188A"/>
    <w:rsid w:val="001D1B7B"/>
    <w:rsid w:val="001D2209"/>
    <w:rsid w:val="001D2220"/>
    <w:rsid w:val="001D2CD9"/>
    <w:rsid w:val="001D2E6E"/>
    <w:rsid w:val="001D2FAA"/>
    <w:rsid w:val="001D34E6"/>
    <w:rsid w:val="001D367C"/>
    <w:rsid w:val="001D37AA"/>
    <w:rsid w:val="001D428D"/>
    <w:rsid w:val="001D4BA9"/>
    <w:rsid w:val="001D6314"/>
    <w:rsid w:val="001D686D"/>
    <w:rsid w:val="001D7193"/>
    <w:rsid w:val="001D769F"/>
    <w:rsid w:val="001E03DA"/>
    <w:rsid w:val="001E0D72"/>
    <w:rsid w:val="001E17B8"/>
    <w:rsid w:val="001E199C"/>
    <w:rsid w:val="001E1F80"/>
    <w:rsid w:val="001E20ED"/>
    <w:rsid w:val="001E2CD1"/>
    <w:rsid w:val="001E36EA"/>
    <w:rsid w:val="001E401A"/>
    <w:rsid w:val="001E41D6"/>
    <w:rsid w:val="001E5074"/>
    <w:rsid w:val="001E528C"/>
    <w:rsid w:val="001E73B7"/>
    <w:rsid w:val="001F0221"/>
    <w:rsid w:val="001F03A1"/>
    <w:rsid w:val="001F0A33"/>
    <w:rsid w:val="001F2135"/>
    <w:rsid w:val="001F2B5D"/>
    <w:rsid w:val="001F3903"/>
    <w:rsid w:val="001F3E94"/>
    <w:rsid w:val="001F40B1"/>
    <w:rsid w:val="001F42B0"/>
    <w:rsid w:val="001F4EAD"/>
    <w:rsid w:val="001F632F"/>
    <w:rsid w:val="001F7601"/>
    <w:rsid w:val="002008EC"/>
    <w:rsid w:val="00200902"/>
    <w:rsid w:val="00200D08"/>
    <w:rsid w:val="00200F70"/>
    <w:rsid w:val="0020149A"/>
    <w:rsid w:val="00201752"/>
    <w:rsid w:val="00201BCD"/>
    <w:rsid w:val="00201FF5"/>
    <w:rsid w:val="002023FB"/>
    <w:rsid w:val="00202E66"/>
    <w:rsid w:val="00202E7F"/>
    <w:rsid w:val="002035EF"/>
    <w:rsid w:val="00204178"/>
    <w:rsid w:val="00204592"/>
    <w:rsid w:val="00205665"/>
    <w:rsid w:val="00205FEB"/>
    <w:rsid w:val="00206AA1"/>
    <w:rsid w:val="00206DB0"/>
    <w:rsid w:val="00207D32"/>
    <w:rsid w:val="00210528"/>
    <w:rsid w:val="00210BF0"/>
    <w:rsid w:val="00210FDA"/>
    <w:rsid w:val="00211795"/>
    <w:rsid w:val="002120F6"/>
    <w:rsid w:val="00212CC5"/>
    <w:rsid w:val="00213339"/>
    <w:rsid w:val="002138B3"/>
    <w:rsid w:val="00214212"/>
    <w:rsid w:val="002145C7"/>
    <w:rsid w:val="002148D6"/>
    <w:rsid w:val="00215670"/>
    <w:rsid w:val="002169EB"/>
    <w:rsid w:val="00217E90"/>
    <w:rsid w:val="00220593"/>
    <w:rsid w:val="00221312"/>
    <w:rsid w:val="0022187B"/>
    <w:rsid w:val="00222837"/>
    <w:rsid w:val="00222C4D"/>
    <w:rsid w:val="00223A6E"/>
    <w:rsid w:val="00223B64"/>
    <w:rsid w:val="002242AB"/>
    <w:rsid w:val="00224A1E"/>
    <w:rsid w:val="002268B2"/>
    <w:rsid w:val="00226D95"/>
    <w:rsid w:val="00226DE9"/>
    <w:rsid w:val="002270DD"/>
    <w:rsid w:val="00227E6F"/>
    <w:rsid w:val="00230D31"/>
    <w:rsid w:val="002311AB"/>
    <w:rsid w:val="00231453"/>
    <w:rsid w:val="002315A5"/>
    <w:rsid w:val="0023272E"/>
    <w:rsid w:val="00232DB9"/>
    <w:rsid w:val="00233495"/>
    <w:rsid w:val="002338D6"/>
    <w:rsid w:val="00233930"/>
    <w:rsid w:val="0023397D"/>
    <w:rsid w:val="00233CDF"/>
    <w:rsid w:val="00237CAC"/>
    <w:rsid w:val="002402CC"/>
    <w:rsid w:val="00240BE3"/>
    <w:rsid w:val="00240C99"/>
    <w:rsid w:val="00241C7E"/>
    <w:rsid w:val="00243C1D"/>
    <w:rsid w:val="00243F6D"/>
    <w:rsid w:val="00244094"/>
    <w:rsid w:val="00244FD7"/>
    <w:rsid w:val="00246471"/>
    <w:rsid w:val="00246FC4"/>
    <w:rsid w:val="0024794E"/>
    <w:rsid w:val="00250715"/>
    <w:rsid w:val="0025188F"/>
    <w:rsid w:val="00252472"/>
    <w:rsid w:val="00252C0C"/>
    <w:rsid w:val="00254375"/>
    <w:rsid w:val="00254469"/>
    <w:rsid w:val="0025563A"/>
    <w:rsid w:val="0025599F"/>
    <w:rsid w:val="0025695E"/>
    <w:rsid w:val="00256AC9"/>
    <w:rsid w:val="00256F5C"/>
    <w:rsid w:val="00257129"/>
    <w:rsid w:val="002574FF"/>
    <w:rsid w:val="0026001D"/>
    <w:rsid w:val="00260152"/>
    <w:rsid w:val="00260434"/>
    <w:rsid w:val="00261C0D"/>
    <w:rsid w:val="00261DED"/>
    <w:rsid w:val="00263355"/>
    <w:rsid w:val="002643CD"/>
    <w:rsid w:val="00264E4F"/>
    <w:rsid w:val="002679C0"/>
    <w:rsid w:val="00267AA3"/>
    <w:rsid w:val="00267FBD"/>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C74"/>
    <w:rsid w:val="00283D83"/>
    <w:rsid w:val="00283F7A"/>
    <w:rsid w:val="002843E9"/>
    <w:rsid w:val="00286DF5"/>
    <w:rsid w:val="002907D1"/>
    <w:rsid w:val="002908C6"/>
    <w:rsid w:val="002909E7"/>
    <w:rsid w:val="00290A0E"/>
    <w:rsid w:val="00291A18"/>
    <w:rsid w:val="00292C95"/>
    <w:rsid w:val="00293265"/>
    <w:rsid w:val="00296574"/>
    <w:rsid w:val="002975AD"/>
    <w:rsid w:val="002A0055"/>
    <w:rsid w:val="002A0D72"/>
    <w:rsid w:val="002A137A"/>
    <w:rsid w:val="002A21FA"/>
    <w:rsid w:val="002A3A88"/>
    <w:rsid w:val="002A3CD2"/>
    <w:rsid w:val="002A435A"/>
    <w:rsid w:val="002A4825"/>
    <w:rsid w:val="002A4871"/>
    <w:rsid w:val="002A4C61"/>
    <w:rsid w:val="002A5095"/>
    <w:rsid w:val="002A5455"/>
    <w:rsid w:val="002A57D6"/>
    <w:rsid w:val="002A630E"/>
    <w:rsid w:val="002A73B1"/>
    <w:rsid w:val="002A797C"/>
    <w:rsid w:val="002B0DDD"/>
    <w:rsid w:val="002B1D44"/>
    <w:rsid w:val="002B2F01"/>
    <w:rsid w:val="002B31A0"/>
    <w:rsid w:val="002B4A08"/>
    <w:rsid w:val="002B4AFC"/>
    <w:rsid w:val="002B4B31"/>
    <w:rsid w:val="002B628F"/>
    <w:rsid w:val="002B6732"/>
    <w:rsid w:val="002B674D"/>
    <w:rsid w:val="002C0A23"/>
    <w:rsid w:val="002C0A85"/>
    <w:rsid w:val="002C248D"/>
    <w:rsid w:val="002C2490"/>
    <w:rsid w:val="002C3776"/>
    <w:rsid w:val="002C4FEC"/>
    <w:rsid w:val="002C509F"/>
    <w:rsid w:val="002C58B0"/>
    <w:rsid w:val="002C593F"/>
    <w:rsid w:val="002C69FC"/>
    <w:rsid w:val="002D006E"/>
    <w:rsid w:val="002D0309"/>
    <w:rsid w:val="002D0326"/>
    <w:rsid w:val="002D06B9"/>
    <w:rsid w:val="002D2820"/>
    <w:rsid w:val="002D2830"/>
    <w:rsid w:val="002D29DD"/>
    <w:rsid w:val="002D2A60"/>
    <w:rsid w:val="002D2AF2"/>
    <w:rsid w:val="002D2C1E"/>
    <w:rsid w:val="002D2D84"/>
    <w:rsid w:val="002D3061"/>
    <w:rsid w:val="002D3270"/>
    <w:rsid w:val="002D35EF"/>
    <w:rsid w:val="002D385E"/>
    <w:rsid w:val="002D45FC"/>
    <w:rsid w:val="002D5AC4"/>
    <w:rsid w:val="002D673C"/>
    <w:rsid w:val="002D6BC4"/>
    <w:rsid w:val="002D6C9A"/>
    <w:rsid w:val="002E00FD"/>
    <w:rsid w:val="002E0F72"/>
    <w:rsid w:val="002E1D70"/>
    <w:rsid w:val="002E28DE"/>
    <w:rsid w:val="002E3B3A"/>
    <w:rsid w:val="002E3C03"/>
    <w:rsid w:val="002E4E67"/>
    <w:rsid w:val="002E552E"/>
    <w:rsid w:val="002E7DAF"/>
    <w:rsid w:val="002F024D"/>
    <w:rsid w:val="002F1751"/>
    <w:rsid w:val="002F187A"/>
    <w:rsid w:val="002F21B4"/>
    <w:rsid w:val="002F21E7"/>
    <w:rsid w:val="002F394A"/>
    <w:rsid w:val="002F5829"/>
    <w:rsid w:val="002F618F"/>
    <w:rsid w:val="002F633C"/>
    <w:rsid w:val="002F7F48"/>
    <w:rsid w:val="00301F61"/>
    <w:rsid w:val="003032CB"/>
    <w:rsid w:val="00303B69"/>
    <w:rsid w:val="00304B50"/>
    <w:rsid w:val="00304C23"/>
    <w:rsid w:val="0030546E"/>
    <w:rsid w:val="0030561F"/>
    <w:rsid w:val="00306095"/>
    <w:rsid w:val="003061EF"/>
    <w:rsid w:val="00306310"/>
    <w:rsid w:val="003068CD"/>
    <w:rsid w:val="003077F6"/>
    <w:rsid w:val="00307F48"/>
    <w:rsid w:val="0031031B"/>
    <w:rsid w:val="00310805"/>
    <w:rsid w:val="00310C4F"/>
    <w:rsid w:val="00310D62"/>
    <w:rsid w:val="00311756"/>
    <w:rsid w:val="00312979"/>
    <w:rsid w:val="00314326"/>
    <w:rsid w:val="00314994"/>
    <w:rsid w:val="00314B65"/>
    <w:rsid w:val="0031514C"/>
    <w:rsid w:val="00315211"/>
    <w:rsid w:val="00316C7D"/>
    <w:rsid w:val="0031749B"/>
    <w:rsid w:val="003218FC"/>
    <w:rsid w:val="00321EAB"/>
    <w:rsid w:val="0032316C"/>
    <w:rsid w:val="003236C5"/>
    <w:rsid w:val="00323CBF"/>
    <w:rsid w:val="0032499F"/>
    <w:rsid w:val="00324DD2"/>
    <w:rsid w:val="00325405"/>
    <w:rsid w:val="0032636E"/>
    <w:rsid w:val="00326CD1"/>
    <w:rsid w:val="0032760F"/>
    <w:rsid w:val="00330965"/>
    <w:rsid w:val="00330AC9"/>
    <w:rsid w:val="00331C98"/>
    <w:rsid w:val="003332D5"/>
    <w:rsid w:val="003335BE"/>
    <w:rsid w:val="003338D7"/>
    <w:rsid w:val="00333D5A"/>
    <w:rsid w:val="00333D9F"/>
    <w:rsid w:val="003340AE"/>
    <w:rsid w:val="00334685"/>
    <w:rsid w:val="00334C07"/>
    <w:rsid w:val="00334F5A"/>
    <w:rsid w:val="00336313"/>
    <w:rsid w:val="003367B6"/>
    <w:rsid w:val="00336B3C"/>
    <w:rsid w:val="0033744A"/>
    <w:rsid w:val="00337858"/>
    <w:rsid w:val="00337A08"/>
    <w:rsid w:val="00337AE6"/>
    <w:rsid w:val="00340B2F"/>
    <w:rsid w:val="00342BE1"/>
    <w:rsid w:val="0034426C"/>
    <w:rsid w:val="0034599A"/>
    <w:rsid w:val="00346367"/>
    <w:rsid w:val="0034719F"/>
    <w:rsid w:val="003476D0"/>
    <w:rsid w:val="00347AD4"/>
    <w:rsid w:val="00347E35"/>
    <w:rsid w:val="00350B80"/>
    <w:rsid w:val="0035114F"/>
    <w:rsid w:val="003516CC"/>
    <w:rsid w:val="00351E81"/>
    <w:rsid w:val="0035223B"/>
    <w:rsid w:val="00352D06"/>
    <w:rsid w:val="00352F56"/>
    <w:rsid w:val="00354055"/>
    <w:rsid w:val="00361A3D"/>
    <w:rsid w:val="00361CB7"/>
    <w:rsid w:val="0036226E"/>
    <w:rsid w:val="0036296B"/>
    <w:rsid w:val="00362CA3"/>
    <w:rsid w:val="00362FBA"/>
    <w:rsid w:val="00363AC0"/>
    <w:rsid w:val="00364079"/>
    <w:rsid w:val="00365ABB"/>
    <w:rsid w:val="00366ACF"/>
    <w:rsid w:val="00366FA7"/>
    <w:rsid w:val="00367421"/>
    <w:rsid w:val="00367A94"/>
    <w:rsid w:val="00370CE4"/>
    <w:rsid w:val="003719D0"/>
    <w:rsid w:val="00373632"/>
    <w:rsid w:val="00373CEB"/>
    <w:rsid w:val="00373F7B"/>
    <w:rsid w:val="00374C17"/>
    <w:rsid w:val="00375350"/>
    <w:rsid w:val="00375E98"/>
    <w:rsid w:val="00375F94"/>
    <w:rsid w:val="00376218"/>
    <w:rsid w:val="003768B1"/>
    <w:rsid w:val="00376FDB"/>
    <w:rsid w:val="0037709B"/>
    <w:rsid w:val="0037716D"/>
    <w:rsid w:val="00377DF5"/>
    <w:rsid w:val="0038157F"/>
    <w:rsid w:val="00381A3F"/>
    <w:rsid w:val="00381F45"/>
    <w:rsid w:val="003822B2"/>
    <w:rsid w:val="003824AB"/>
    <w:rsid w:val="0038264F"/>
    <w:rsid w:val="00383AF9"/>
    <w:rsid w:val="00383CFD"/>
    <w:rsid w:val="003841D6"/>
    <w:rsid w:val="003845E5"/>
    <w:rsid w:val="00384759"/>
    <w:rsid w:val="00384F1B"/>
    <w:rsid w:val="0038518D"/>
    <w:rsid w:val="00385A7C"/>
    <w:rsid w:val="00385E6E"/>
    <w:rsid w:val="003908E5"/>
    <w:rsid w:val="003909CB"/>
    <w:rsid w:val="00390C5D"/>
    <w:rsid w:val="003923B1"/>
    <w:rsid w:val="0039390E"/>
    <w:rsid w:val="0039556E"/>
    <w:rsid w:val="00396487"/>
    <w:rsid w:val="00396B23"/>
    <w:rsid w:val="003970FB"/>
    <w:rsid w:val="003972EA"/>
    <w:rsid w:val="003975A6"/>
    <w:rsid w:val="00397AD0"/>
    <w:rsid w:val="003A01BE"/>
    <w:rsid w:val="003A219C"/>
    <w:rsid w:val="003A23C7"/>
    <w:rsid w:val="003A3808"/>
    <w:rsid w:val="003A57D5"/>
    <w:rsid w:val="003A6ED6"/>
    <w:rsid w:val="003A77B3"/>
    <w:rsid w:val="003B01B7"/>
    <w:rsid w:val="003B0DFF"/>
    <w:rsid w:val="003B0FB0"/>
    <w:rsid w:val="003B1329"/>
    <w:rsid w:val="003B13D2"/>
    <w:rsid w:val="003B168F"/>
    <w:rsid w:val="003B2A75"/>
    <w:rsid w:val="003B2D39"/>
    <w:rsid w:val="003B35B3"/>
    <w:rsid w:val="003B3F42"/>
    <w:rsid w:val="003B4E13"/>
    <w:rsid w:val="003B5293"/>
    <w:rsid w:val="003B56DC"/>
    <w:rsid w:val="003B5BC8"/>
    <w:rsid w:val="003B5C28"/>
    <w:rsid w:val="003B6FF5"/>
    <w:rsid w:val="003B788F"/>
    <w:rsid w:val="003B791E"/>
    <w:rsid w:val="003C00AA"/>
    <w:rsid w:val="003C06A1"/>
    <w:rsid w:val="003C0DF2"/>
    <w:rsid w:val="003C15C0"/>
    <w:rsid w:val="003C1CF6"/>
    <w:rsid w:val="003C26B9"/>
    <w:rsid w:val="003C2EEF"/>
    <w:rsid w:val="003C2F5C"/>
    <w:rsid w:val="003C3938"/>
    <w:rsid w:val="003C4714"/>
    <w:rsid w:val="003C4EFC"/>
    <w:rsid w:val="003C52EC"/>
    <w:rsid w:val="003C5BAD"/>
    <w:rsid w:val="003C6689"/>
    <w:rsid w:val="003C6BDA"/>
    <w:rsid w:val="003C7CA9"/>
    <w:rsid w:val="003D0B6E"/>
    <w:rsid w:val="003D1F6D"/>
    <w:rsid w:val="003D2B41"/>
    <w:rsid w:val="003D33F5"/>
    <w:rsid w:val="003D3908"/>
    <w:rsid w:val="003D5A21"/>
    <w:rsid w:val="003D713D"/>
    <w:rsid w:val="003D72E5"/>
    <w:rsid w:val="003D7369"/>
    <w:rsid w:val="003E01DC"/>
    <w:rsid w:val="003E15F2"/>
    <w:rsid w:val="003E22EE"/>
    <w:rsid w:val="003E28C0"/>
    <w:rsid w:val="003E55D3"/>
    <w:rsid w:val="003E567A"/>
    <w:rsid w:val="003E6F4E"/>
    <w:rsid w:val="003E6F57"/>
    <w:rsid w:val="003E7BDE"/>
    <w:rsid w:val="003F04AB"/>
    <w:rsid w:val="003F0F0E"/>
    <w:rsid w:val="003F2E72"/>
    <w:rsid w:val="003F406C"/>
    <w:rsid w:val="003F4150"/>
    <w:rsid w:val="003F47D1"/>
    <w:rsid w:val="003F5F5F"/>
    <w:rsid w:val="003F61A8"/>
    <w:rsid w:val="003F6494"/>
    <w:rsid w:val="003F69C3"/>
    <w:rsid w:val="003F6CEC"/>
    <w:rsid w:val="003F6D36"/>
    <w:rsid w:val="003F6F0E"/>
    <w:rsid w:val="003F7302"/>
    <w:rsid w:val="003F7D97"/>
    <w:rsid w:val="00401812"/>
    <w:rsid w:val="00401FA0"/>
    <w:rsid w:val="00402311"/>
    <w:rsid w:val="004024BF"/>
    <w:rsid w:val="004028B6"/>
    <w:rsid w:val="00402E07"/>
    <w:rsid w:val="00403156"/>
    <w:rsid w:val="00403428"/>
    <w:rsid w:val="00404E98"/>
    <w:rsid w:val="00405B16"/>
    <w:rsid w:val="00406438"/>
    <w:rsid w:val="004066B8"/>
    <w:rsid w:val="004079E5"/>
    <w:rsid w:val="00407C67"/>
    <w:rsid w:val="004101EA"/>
    <w:rsid w:val="004104C5"/>
    <w:rsid w:val="00411F73"/>
    <w:rsid w:val="00412D1B"/>
    <w:rsid w:val="00414977"/>
    <w:rsid w:val="00414E30"/>
    <w:rsid w:val="00414E73"/>
    <w:rsid w:val="00415489"/>
    <w:rsid w:val="00415FA0"/>
    <w:rsid w:val="00416700"/>
    <w:rsid w:val="004168FE"/>
    <w:rsid w:val="00416CCF"/>
    <w:rsid w:val="00420D90"/>
    <w:rsid w:val="00422087"/>
    <w:rsid w:val="00422DD0"/>
    <w:rsid w:val="004238BD"/>
    <w:rsid w:val="00423A16"/>
    <w:rsid w:val="00423AA3"/>
    <w:rsid w:val="00423C75"/>
    <w:rsid w:val="004243BC"/>
    <w:rsid w:val="00424E0F"/>
    <w:rsid w:val="00425502"/>
    <w:rsid w:val="004307DB"/>
    <w:rsid w:val="004319AD"/>
    <w:rsid w:val="004329C9"/>
    <w:rsid w:val="00432B2F"/>
    <w:rsid w:val="00433B20"/>
    <w:rsid w:val="0043466F"/>
    <w:rsid w:val="00435DB4"/>
    <w:rsid w:val="00436194"/>
    <w:rsid w:val="00436C05"/>
    <w:rsid w:val="004374F0"/>
    <w:rsid w:val="00437A9A"/>
    <w:rsid w:val="00440E64"/>
    <w:rsid w:val="0044107D"/>
    <w:rsid w:val="0044183E"/>
    <w:rsid w:val="004423C7"/>
    <w:rsid w:val="0044340B"/>
    <w:rsid w:val="00443BEC"/>
    <w:rsid w:val="00443C2E"/>
    <w:rsid w:val="0044424B"/>
    <w:rsid w:val="00444B04"/>
    <w:rsid w:val="00445417"/>
    <w:rsid w:val="00445558"/>
    <w:rsid w:val="00446306"/>
    <w:rsid w:val="0045087F"/>
    <w:rsid w:val="00451B77"/>
    <w:rsid w:val="00451CA5"/>
    <w:rsid w:val="00451E1C"/>
    <w:rsid w:val="004521B2"/>
    <w:rsid w:val="00455812"/>
    <w:rsid w:val="004577B0"/>
    <w:rsid w:val="0046037E"/>
    <w:rsid w:val="00460411"/>
    <w:rsid w:val="00460DEA"/>
    <w:rsid w:val="004616E3"/>
    <w:rsid w:val="00463F0E"/>
    <w:rsid w:val="004651BB"/>
    <w:rsid w:val="0046530B"/>
    <w:rsid w:val="0046581C"/>
    <w:rsid w:val="004659AD"/>
    <w:rsid w:val="00465C9A"/>
    <w:rsid w:val="004667E6"/>
    <w:rsid w:val="00466CEB"/>
    <w:rsid w:val="004670B8"/>
    <w:rsid w:val="00470DBE"/>
    <w:rsid w:val="0047158F"/>
    <w:rsid w:val="004716A2"/>
    <w:rsid w:val="00473D34"/>
    <w:rsid w:val="004741F0"/>
    <w:rsid w:val="00477310"/>
    <w:rsid w:val="00477F62"/>
    <w:rsid w:val="00480258"/>
    <w:rsid w:val="00480748"/>
    <w:rsid w:val="004807F5"/>
    <w:rsid w:val="0048166C"/>
    <w:rsid w:val="00482B9E"/>
    <w:rsid w:val="00482FF5"/>
    <w:rsid w:val="004837CE"/>
    <w:rsid w:val="004844DB"/>
    <w:rsid w:val="00484FE8"/>
    <w:rsid w:val="00485352"/>
    <w:rsid w:val="00485B73"/>
    <w:rsid w:val="004877A6"/>
    <w:rsid w:val="00490622"/>
    <w:rsid w:val="0049155C"/>
    <w:rsid w:val="00492099"/>
    <w:rsid w:val="0049385E"/>
    <w:rsid w:val="00493B00"/>
    <w:rsid w:val="004963DA"/>
    <w:rsid w:val="00497C27"/>
    <w:rsid w:val="004A0738"/>
    <w:rsid w:val="004A09CE"/>
    <w:rsid w:val="004A0BD3"/>
    <w:rsid w:val="004A15A1"/>
    <w:rsid w:val="004A1C76"/>
    <w:rsid w:val="004A1D41"/>
    <w:rsid w:val="004A2AD1"/>
    <w:rsid w:val="004A36C3"/>
    <w:rsid w:val="004A53F7"/>
    <w:rsid w:val="004A60C0"/>
    <w:rsid w:val="004A69CA"/>
    <w:rsid w:val="004A6BBF"/>
    <w:rsid w:val="004A7FD6"/>
    <w:rsid w:val="004B0C02"/>
    <w:rsid w:val="004B18D1"/>
    <w:rsid w:val="004B42A0"/>
    <w:rsid w:val="004B42C4"/>
    <w:rsid w:val="004B4799"/>
    <w:rsid w:val="004B4C08"/>
    <w:rsid w:val="004B5D26"/>
    <w:rsid w:val="004B65B0"/>
    <w:rsid w:val="004B6735"/>
    <w:rsid w:val="004B67FF"/>
    <w:rsid w:val="004B7956"/>
    <w:rsid w:val="004C1C7A"/>
    <w:rsid w:val="004C1D73"/>
    <w:rsid w:val="004C33C9"/>
    <w:rsid w:val="004C3EF6"/>
    <w:rsid w:val="004C41C9"/>
    <w:rsid w:val="004C5105"/>
    <w:rsid w:val="004C6A01"/>
    <w:rsid w:val="004C7AEE"/>
    <w:rsid w:val="004D13E7"/>
    <w:rsid w:val="004D198C"/>
    <w:rsid w:val="004D391D"/>
    <w:rsid w:val="004D3FDF"/>
    <w:rsid w:val="004D426E"/>
    <w:rsid w:val="004D4385"/>
    <w:rsid w:val="004D43EB"/>
    <w:rsid w:val="004D48F5"/>
    <w:rsid w:val="004D4C00"/>
    <w:rsid w:val="004D581D"/>
    <w:rsid w:val="004D5973"/>
    <w:rsid w:val="004D6D94"/>
    <w:rsid w:val="004D762A"/>
    <w:rsid w:val="004E0918"/>
    <w:rsid w:val="004E0DFB"/>
    <w:rsid w:val="004E0E43"/>
    <w:rsid w:val="004E1FE3"/>
    <w:rsid w:val="004E2AF5"/>
    <w:rsid w:val="004E3560"/>
    <w:rsid w:val="004E3DBC"/>
    <w:rsid w:val="004E4939"/>
    <w:rsid w:val="004E5244"/>
    <w:rsid w:val="004E5D67"/>
    <w:rsid w:val="004E6F42"/>
    <w:rsid w:val="004F1268"/>
    <w:rsid w:val="004F1286"/>
    <w:rsid w:val="004F12DE"/>
    <w:rsid w:val="004F18BF"/>
    <w:rsid w:val="004F1C5D"/>
    <w:rsid w:val="004F283F"/>
    <w:rsid w:val="004F2918"/>
    <w:rsid w:val="004F2CAC"/>
    <w:rsid w:val="004F3794"/>
    <w:rsid w:val="004F3B6A"/>
    <w:rsid w:val="004F560A"/>
    <w:rsid w:val="004F575F"/>
    <w:rsid w:val="004F63FF"/>
    <w:rsid w:val="004F6536"/>
    <w:rsid w:val="004F671A"/>
    <w:rsid w:val="004F6BA1"/>
    <w:rsid w:val="004F74AC"/>
    <w:rsid w:val="004F7BB3"/>
    <w:rsid w:val="004F7CE8"/>
    <w:rsid w:val="005003F9"/>
    <w:rsid w:val="00501632"/>
    <w:rsid w:val="005018C4"/>
    <w:rsid w:val="00504339"/>
    <w:rsid w:val="0050449D"/>
    <w:rsid w:val="005045CF"/>
    <w:rsid w:val="00506086"/>
    <w:rsid w:val="0050647E"/>
    <w:rsid w:val="00506615"/>
    <w:rsid w:val="005066FF"/>
    <w:rsid w:val="005069F8"/>
    <w:rsid w:val="005074CE"/>
    <w:rsid w:val="00510463"/>
    <w:rsid w:val="00510999"/>
    <w:rsid w:val="00510B3B"/>
    <w:rsid w:val="0051104D"/>
    <w:rsid w:val="00511B0D"/>
    <w:rsid w:val="00511D28"/>
    <w:rsid w:val="00511F88"/>
    <w:rsid w:val="00512F67"/>
    <w:rsid w:val="00513548"/>
    <w:rsid w:val="00514EC9"/>
    <w:rsid w:val="0051593D"/>
    <w:rsid w:val="00515965"/>
    <w:rsid w:val="0051612C"/>
    <w:rsid w:val="00516301"/>
    <w:rsid w:val="00517CC8"/>
    <w:rsid w:val="0052058D"/>
    <w:rsid w:val="00520FD9"/>
    <w:rsid w:val="0052265A"/>
    <w:rsid w:val="00523198"/>
    <w:rsid w:val="00523328"/>
    <w:rsid w:val="005236ED"/>
    <w:rsid w:val="00523EB6"/>
    <w:rsid w:val="00524A51"/>
    <w:rsid w:val="00524D8A"/>
    <w:rsid w:val="00526968"/>
    <w:rsid w:val="00527C44"/>
    <w:rsid w:val="00527E13"/>
    <w:rsid w:val="00530B58"/>
    <w:rsid w:val="00531063"/>
    <w:rsid w:val="005310CA"/>
    <w:rsid w:val="0053138B"/>
    <w:rsid w:val="005316CE"/>
    <w:rsid w:val="00532185"/>
    <w:rsid w:val="00533529"/>
    <w:rsid w:val="00535943"/>
    <w:rsid w:val="00535CFD"/>
    <w:rsid w:val="00540027"/>
    <w:rsid w:val="00540220"/>
    <w:rsid w:val="00540D69"/>
    <w:rsid w:val="00542871"/>
    <w:rsid w:val="00542FA6"/>
    <w:rsid w:val="00543E6D"/>
    <w:rsid w:val="005447D2"/>
    <w:rsid w:val="00545FC1"/>
    <w:rsid w:val="00546911"/>
    <w:rsid w:val="0055151A"/>
    <w:rsid w:val="00551A1E"/>
    <w:rsid w:val="00551B40"/>
    <w:rsid w:val="005523FA"/>
    <w:rsid w:val="0055331E"/>
    <w:rsid w:val="00553CC6"/>
    <w:rsid w:val="005552F3"/>
    <w:rsid w:val="00555D5E"/>
    <w:rsid w:val="00557A51"/>
    <w:rsid w:val="00557B96"/>
    <w:rsid w:val="00557F06"/>
    <w:rsid w:val="00560118"/>
    <w:rsid w:val="0056020A"/>
    <w:rsid w:val="00561738"/>
    <w:rsid w:val="00562255"/>
    <w:rsid w:val="00562CE2"/>
    <w:rsid w:val="00563080"/>
    <w:rsid w:val="00563469"/>
    <w:rsid w:val="00563B5C"/>
    <w:rsid w:val="00564EEA"/>
    <w:rsid w:val="00565197"/>
    <w:rsid w:val="0056558E"/>
    <w:rsid w:val="005670EE"/>
    <w:rsid w:val="00570015"/>
    <w:rsid w:val="005701DA"/>
    <w:rsid w:val="0057026D"/>
    <w:rsid w:val="005705D7"/>
    <w:rsid w:val="0057088C"/>
    <w:rsid w:val="00571048"/>
    <w:rsid w:val="00571158"/>
    <w:rsid w:val="00571169"/>
    <w:rsid w:val="0057128D"/>
    <w:rsid w:val="0057254C"/>
    <w:rsid w:val="00572DA1"/>
    <w:rsid w:val="00572FDD"/>
    <w:rsid w:val="00573B2B"/>
    <w:rsid w:val="00573E33"/>
    <w:rsid w:val="00575792"/>
    <w:rsid w:val="00575947"/>
    <w:rsid w:val="00576779"/>
    <w:rsid w:val="00576E8A"/>
    <w:rsid w:val="005774CC"/>
    <w:rsid w:val="00577C87"/>
    <w:rsid w:val="0058034C"/>
    <w:rsid w:val="005808BE"/>
    <w:rsid w:val="00581023"/>
    <w:rsid w:val="00581057"/>
    <w:rsid w:val="00581395"/>
    <w:rsid w:val="005817A6"/>
    <w:rsid w:val="00581E6C"/>
    <w:rsid w:val="0058250A"/>
    <w:rsid w:val="00582865"/>
    <w:rsid w:val="0058374F"/>
    <w:rsid w:val="0058467F"/>
    <w:rsid w:val="005864AE"/>
    <w:rsid w:val="00586A89"/>
    <w:rsid w:val="00586D4D"/>
    <w:rsid w:val="00587092"/>
    <w:rsid w:val="00587BD9"/>
    <w:rsid w:val="00591FEE"/>
    <w:rsid w:val="00592101"/>
    <w:rsid w:val="00592322"/>
    <w:rsid w:val="00592D74"/>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5F5"/>
    <w:rsid w:val="005A2E83"/>
    <w:rsid w:val="005A349E"/>
    <w:rsid w:val="005A3577"/>
    <w:rsid w:val="005A3792"/>
    <w:rsid w:val="005A41A8"/>
    <w:rsid w:val="005A44EB"/>
    <w:rsid w:val="005A466F"/>
    <w:rsid w:val="005A5979"/>
    <w:rsid w:val="005A7173"/>
    <w:rsid w:val="005B0A7D"/>
    <w:rsid w:val="005B0B25"/>
    <w:rsid w:val="005B0BBE"/>
    <w:rsid w:val="005B1333"/>
    <w:rsid w:val="005B1A09"/>
    <w:rsid w:val="005B1F63"/>
    <w:rsid w:val="005B1F6F"/>
    <w:rsid w:val="005B262F"/>
    <w:rsid w:val="005B2632"/>
    <w:rsid w:val="005B2E6C"/>
    <w:rsid w:val="005B31F0"/>
    <w:rsid w:val="005B4A4A"/>
    <w:rsid w:val="005B4A7C"/>
    <w:rsid w:val="005B52B5"/>
    <w:rsid w:val="005B720D"/>
    <w:rsid w:val="005C1048"/>
    <w:rsid w:val="005C1779"/>
    <w:rsid w:val="005C1B9A"/>
    <w:rsid w:val="005C23C2"/>
    <w:rsid w:val="005C266C"/>
    <w:rsid w:val="005C2CED"/>
    <w:rsid w:val="005C2E75"/>
    <w:rsid w:val="005C379E"/>
    <w:rsid w:val="005C48CC"/>
    <w:rsid w:val="005C4AA2"/>
    <w:rsid w:val="005C51EB"/>
    <w:rsid w:val="005C5251"/>
    <w:rsid w:val="005C5899"/>
    <w:rsid w:val="005C5B4A"/>
    <w:rsid w:val="005C5D2F"/>
    <w:rsid w:val="005C63FB"/>
    <w:rsid w:val="005C69B0"/>
    <w:rsid w:val="005C6A5B"/>
    <w:rsid w:val="005C6C31"/>
    <w:rsid w:val="005C78F7"/>
    <w:rsid w:val="005D07FE"/>
    <w:rsid w:val="005D2AB0"/>
    <w:rsid w:val="005D2E3A"/>
    <w:rsid w:val="005D3370"/>
    <w:rsid w:val="005D3FD5"/>
    <w:rsid w:val="005D40B7"/>
    <w:rsid w:val="005D453E"/>
    <w:rsid w:val="005D46C0"/>
    <w:rsid w:val="005D6AC0"/>
    <w:rsid w:val="005D7EB9"/>
    <w:rsid w:val="005E0090"/>
    <w:rsid w:val="005E0211"/>
    <w:rsid w:val="005E13A7"/>
    <w:rsid w:val="005E15B0"/>
    <w:rsid w:val="005E2220"/>
    <w:rsid w:val="005E2973"/>
    <w:rsid w:val="005E2CCF"/>
    <w:rsid w:val="005E2DAC"/>
    <w:rsid w:val="005E2E4D"/>
    <w:rsid w:val="005E5327"/>
    <w:rsid w:val="005E5B5C"/>
    <w:rsid w:val="005E6D8A"/>
    <w:rsid w:val="005E713D"/>
    <w:rsid w:val="005E76EB"/>
    <w:rsid w:val="005F09C1"/>
    <w:rsid w:val="005F14F4"/>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0E8"/>
    <w:rsid w:val="00604AA7"/>
    <w:rsid w:val="006061F7"/>
    <w:rsid w:val="0060621A"/>
    <w:rsid w:val="00606ACC"/>
    <w:rsid w:val="00606B65"/>
    <w:rsid w:val="006102B1"/>
    <w:rsid w:val="00612E4B"/>
    <w:rsid w:val="00613FC0"/>
    <w:rsid w:val="0061406D"/>
    <w:rsid w:val="00614212"/>
    <w:rsid w:val="006145AF"/>
    <w:rsid w:val="00614BA5"/>
    <w:rsid w:val="00614DCC"/>
    <w:rsid w:val="00615954"/>
    <w:rsid w:val="00616614"/>
    <w:rsid w:val="00616CA9"/>
    <w:rsid w:val="006204DE"/>
    <w:rsid w:val="00621491"/>
    <w:rsid w:val="00621784"/>
    <w:rsid w:val="00622C91"/>
    <w:rsid w:val="00622DBB"/>
    <w:rsid w:val="00623240"/>
    <w:rsid w:val="0062384C"/>
    <w:rsid w:val="00624F17"/>
    <w:rsid w:val="006271FC"/>
    <w:rsid w:val="006273CC"/>
    <w:rsid w:val="00632F22"/>
    <w:rsid w:val="006338B9"/>
    <w:rsid w:val="00633DF2"/>
    <w:rsid w:val="00633E57"/>
    <w:rsid w:val="00634854"/>
    <w:rsid w:val="006349BD"/>
    <w:rsid w:val="00634C2E"/>
    <w:rsid w:val="0063517C"/>
    <w:rsid w:val="00635345"/>
    <w:rsid w:val="0063593A"/>
    <w:rsid w:val="00635C4C"/>
    <w:rsid w:val="00637080"/>
    <w:rsid w:val="00637526"/>
    <w:rsid w:val="00640669"/>
    <w:rsid w:val="006406D1"/>
    <w:rsid w:val="006408B0"/>
    <w:rsid w:val="00641DB3"/>
    <w:rsid w:val="006433C5"/>
    <w:rsid w:val="00643E0D"/>
    <w:rsid w:val="0064413D"/>
    <w:rsid w:val="00644438"/>
    <w:rsid w:val="00646F61"/>
    <w:rsid w:val="00647852"/>
    <w:rsid w:val="00647A19"/>
    <w:rsid w:val="00650F97"/>
    <w:rsid w:val="0065108A"/>
    <w:rsid w:val="00651524"/>
    <w:rsid w:val="00652596"/>
    <w:rsid w:val="00652682"/>
    <w:rsid w:val="00652FFB"/>
    <w:rsid w:val="006530D0"/>
    <w:rsid w:val="00655B85"/>
    <w:rsid w:val="006562FD"/>
    <w:rsid w:val="00656B1A"/>
    <w:rsid w:val="00656B56"/>
    <w:rsid w:val="00656BE6"/>
    <w:rsid w:val="0065715F"/>
    <w:rsid w:val="00657358"/>
    <w:rsid w:val="00657478"/>
    <w:rsid w:val="0065784D"/>
    <w:rsid w:val="00657C43"/>
    <w:rsid w:val="00660521"/>
    <w:rsid w:val="006606AF"/>
    <w:rsid w:val="00660A26"/>
    <w:rsid w:val="006611FA"/>
    <w:rsid w:val="00661CD3"/>
    <w:rsid w:val="00663248"/>
    <w:rsid w:val="00664479"/>
    <w:rsid w:val="00664A03"/>
    <w:rsid w:val="0066560D"/>
    <w:rsid w:val="006662B4"/>
    <w:rsid w:val="00666C2F"/>
    <w:rsid w:val="006700D2"/>
    <w:rsid w:val="006708A8"/>
    <w:rsid w:val="00670BB0"/>
    <w:rsid w:val="00670C7E"/>
    <w:rsid w:val="0067109E"/>
    <w:rsid w:val="0067248E"/>
    <w:rsid w:val="00674320"/>
    <w:rsid w:val="00674C19"/>
    <w:rsid w:val="006759E0"/>
    <w:rsid w:val="00675F0C"/>
    <w:rsid w:val="00676141"/>
    <w:rsid w:val="00676C46"/>
    <w:rsid w:val="00677214"/>
    <w:rsid w:val="00677E26"/>
    <w:rsid w:val="00680218"/>
    <w:rsid w:val="0068032F"/>
    <w:rsid w:val="00680BF7"/>
    <w:rsid w:val="00680C91"/>
    <w:rsid w:val="00680D94"/>
    <w:rsid w:val="00681B8D"/>
    <w:rsid w:val="00682740"/>
    <w:rsid w:val="00683B39"/>
    <w:rsid w:val="00684DCE"/>
    <w:rsid w:val="00684EFF"/>
    <w:rsid w:val="006851AD"/>
    <w:rsid w:val="00685C14"/>
    <w:rsid w:val="00685D20"/>
    <w:rsid w:val="00686137"/>
    <w:rsid w:val="00690E28"/>
    <w:rsid w:val="00691315"/>
    <w:rsid w:val="00691969"/>
    <w:rsid w:val="00694382"/>
    <w:rsid w:val="00694572"/>
    <w:rsid w:val="006953DD"/>
    <w:rsid w:val="0069565E"/>
    <w:rsid w:val="006968AD"/>
    <w:rsid w:val="00696DAE"/>
    <w:rsid w:val="006A01B1"/>
    <w:rsid w:val="006A023C"/>
    <w:rsid w:val="006A09F2"/>
    <w:rsid w:val="006A1A94"/>
    <w:rsid w:val="006A1B62"/>
    <w:rsid w:val="006A1E9D"/>
    <w:rsid w:val="006A2A1F"/>
    <w:rsid w:val="006A3B8F"/>
    <w:rsid w:val="006A5B36"/>
    <w:rsid w:val="006A74D4"/>
    <w:rsid w:val="006A7A0D"/>
    <w:rsid w:val="006A7FB8"/>
    <w:rsid w:val="006B30CF"/>
    <w:rsid w:val="006B3B4B"/>
    <w:rsid w:val="006B4406"/>
    <w:rsid w:val="006B5F7D"/>
    <w:rsid w:val="006B6C79"/>
    <w:rsid w:val="006B76E4"/>
    <w:rsid w:val="006C0393"/>
    <w:rsid w:val="006C07F7"/>
    <w:rsid w:val="006C15D9"/>
    <w:rsid w:val="006C1874"/>
    <w:rsid w:val="006C19C9"/>
    <w:rsid w:val="006C2076"/>
    <w:rsid w:val="006C22DF"/>
    <w:rsid w:val="006C2CC5"/>
    <w:rsid w:val="006C348F"/>
    <w:rsid w:val="006C4588"/>
    <w:rsid w:val="006C4752"/>
    <w:rsid w:val="006C4C23"/>
    <w:rsid w:val="006C519E"/>
    <w:rsid w:val="006C5AA3"/>
    <w:rsid w:val="006C5F25"/>
    <w:rsid w:val="006C68F4"/>
    <w:rsid w:val="006C6BFD"/>
    <w:rsid w:val="006C7122"/>
    <w:rsid w:val="006D0293"/>
    <w:rsid w:val="006D1531"/>
    <w:rsid w:val="006D1DA1"/>
    <w:rsid w:val="006D20F7"/>
    <w:rsid w:val="006D37CF"/>
    <w:rsid w:val="006D3E98"/>
    <w:rsid w:val="006D46A6"/>
    <w:rsid w:val="006D5082"/>
    <w:rsid w:val="006D5C4E"/>
    <w:rsid w:val="006D77DF"/>
    <w:rsid w:val="006E0314"/>
    <w:rsid w:val="006E04A6"/>
    <w:rsid w:val="006E04D1"/>
    <w:rsid w:val="006E0A0E"/>
    <w:rsid w:val="006E14AE"/>
    <w:rsid w:val="006E1516"/>
    <w:rsid w:val="006E43AD"/>
    <w:rsid w:val="006E51A7"/>
    <w:rsid w:val="006E5ED1"/>
    <w:rsid w:val="006E66E5"/>
    <w:rsid w:val="006F0983"/>
    <w:rsid w:val="006F2809"/>
    <w:rsid w:val="006F2BD3"/>
    <w:rsid w:val="006F2CCB"/>
    <w:rsid w:val="006F3AD7"/>
    <w:rsid w:val="006F3AE8"/>
    <w:rsid w:val="006F3D0E"/>
    <w:rsid w:val="006F4060"/>
    <w:rsid w:val="006F4234"/>
    <w:rsid w:val="006F72DE"/>
    <w:rsid w:val="006F7BD2"/>
    <w:rsid w:val="006F7CAC"/>
    <w:rsid w:val="00701407"/>
    <w:rsid w:val="00701B01"/>
    <w:rsid w:val="00702149"/>
    <w:rsid w:val="007029F8"/>
    <w:rsid w:val="00702D3A"/>
    <w:rsid w:val="007041F2"/>
    <w:rsid w:val="0070547D"/>
    <w:rsid w:val="007054F3"/>
    <w:rsid w:val="007057D1"/>
    <w:rsid w:val="00705F6D"/>
    <w:rsid w:val="007064A8"/>
    <w:rsid w:val="007065B0"/>
    <w:rsid w:val="00707300"/>
    <w:rsid w:val="00710695"/>
    <w:rsid w:val="00710C9B"/>
    <w:rsid w:val="0071191A"/>
    <w:rsid w:val="0071255E"/>
    <w:rsid w:val="00712646"/>
    <w:rsid w:val="007128BA"/>
    <w:rsid w:val="00712BBB"/>
    <w:rsid w:val="00712E7D"/>
    <w:rsid w:val="00712FA1"/>
    <w:rsid w:val="0071318C"/>
    <w:rsid w:val="007153D8"/>
    <w:rsid w:val="00715C16"/>
    <w:rsid w:val="00717723"/>
    <w:rsid w:val="00720EF2"/>
    <w:rsid w:val="00721325"/>
    <w:rsid w:val="00722F58"/>
    <w:rsid w:val="007232C8"/>
    <w:rsid w:val="00723D0C"/>
    <w:rsid w:val="00723DE9"/>
    <w:rsid w:val="00723E28"/>
    <w:rsid w:val="00725134"/>
    <w:rsid w:val="00725571"/>
    <w:rsid w:val="0072591D"/>
    <w:rsid w:val="00725C33"/>
    <w:rsid w:val="00726E66"/>
    <w:rsid w:val="007270E8"/>
    <w:rsid w:val="007272BC"/>
    <w:rsid w:val="00727C4C"/>
    <w:rsid w:val="0073018C"/>
    <w:rsid w:val="00731045"/>
    <w:rsid w:val="00731B80"/>
    <w:rsid w:val="00732BD2"/>
    <w:rsid w:val="007330D9"/>
    <w:rsid w:val="00733207"/>
    <w:rsid w:val="0073326A"/>
    <w:rsid w:val="00733847"/>
    <w:rsid w:val="0073560E"/>
    <w:rsid w:val="0073566E"/>
    <w:rsid w:val="007358A4"/>
    <w:rsid w:val="00735D50"/>
    <w:rsid w:val="00735F22"/>
    <w:rsid w:val="007369BB"/>
    <w:rsid w:val="00736F4C"/>
    <w:rsid w:val="00736F86"/>
    <w:rsid w:val="00737380"/>
    <w:rsid w:val="00737EC0"/>
    <w:rsid w:val="00740618"/>
    <w:rsid w:val="0074275C"/>
    <w:rsid w:val="00744168"/>
    <w:rsid w:val="007446CD"/>
    <w:rsid w:val="0074498D"/>
    <w:rsid w:val="00744D7B"/>
    <w:rsid w:val="00745CC8"/>
    <w:rsid w:val="0074634A"/>
    <w:rsid w:val="0074727A"/>
    <w:rsid w:val="007474E1"/>
    <w:rsid w:val="007475A3"/>
    <w:rsid w:val="0075093A"/>
    <w:rsid w:val="007516B7"/>
    <w:rsid w:val="00752623"/>
    <w:rsid w:val="00753528"/>
    <w:rsid w:val="00753DBA"/>
    <w:rsid w:val="00754773"/>
    <w:rsid w:val="00755A10"/>
    <w:rsid w:val="00757016"/>
    <w:rsid w:val="00757A0A"/>
    <w:rsid w:val="007602FF"/>
    <w:rsid w:val="0076065A"/>
    <w:rsid w:val="00762098"/>
    <w:rsid w:val="00762834"/>
    <w:rsid w:val="00763504"/>
    <w:rsid w:val="00764222"/>
    <w:rsid w:val="0076442B"/>
    <w:rsid w:val="00764ABB"/>
    <w:rsid w:val="00764C56"/>
    <w:rsid w:val="00766B0C"/>
    <w:rsid w:val="00766F69"/>
    <w:rsid w:val="00767416"/>
    <w:rsid w:val="00767BA1"/>
    <w:rsid w:val="00770903"/>
    <w:rsid w:val="0077243B"/>
    <w:rsid w:val="00773D94"/>
    <w:rsid w:val="00774BF8"/>
    <w:rsid w:val="0077622A"/>
    <w:rsid w:val="007766D6"/>
    <w:rsid w:val="0077697B"/>
    <w:rsid w:val="007769AD"/>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17D2"/>
    <w:rsid w:val="007921D8"/>
    <w:rsid w:val="00793C6B"/>
    <w:rsid w:val="00793E7F"/>
    <w:rsid w:val="007943CA"/>
    <w:rsid w:val="0079470A"/>
    <w:rsid w:val="00794ABC"/>
    <w:rsid w:val="007950D5"/>
    <w:rsid w:val="00796F43"/>
    <w:rsid w:val="00797DE5"/>
    <w:rsid w:val="007A0207"/>
    <w:rsid w:val="007A26C3"/>
    <w:rsid w:val="007A273C"/>
    <w:rsid w:val="007A29EF"/>
    <w:rsid w:val="007A30FA"/>
    <w:rsid w:val="007A31F6"/>
    <w:rsid w:val="007A3E93"/>
    <w:rsid w:val="007A403A"/>
    <w:rsid w:val="007A4922"/>
    <w:rsid w:val="007A5FB5"/>
    <w:rsid w:val="007A66FE"/>
    <w:rsid w:val="007A6791"/>
    <w:rsid w:val="007A7728"/>
    <w:rsid w:val="007A7D81"/>
    <w:rsid w:val="007A7DCE"/>
    <w:rsid w:val="007B0A9B"/>
    <w:rsid w:val="007B127A"/>
    <w:rsid w:val="007B240B"/>
    <w:rsid w:val="007B2944"/>
    <w:rsid w:val="007B2E44"/>
    <w:rsid w:val="007B2F69"/>
    <w:rsid w:val="007B344F"/>
    <w:rsid w:val="007B3D06"/>
    <w:rsid w:val="007B3EFC"/>
    <w:rsid w:val="007B5030"/>
    <w:rsid w:val="007B5627"/>
    <w:rsid w:val="007B5CD9"/>
    <w:rsid w:val="007B683A"/>
    <w:rsid w:val="007B6CFF"/>
    <w:rsid w:val="007B703D"/>
    <w:rsid w:val="007B755E"/>
    <w:rsid w:val="007B7AF4"/>
    <w:rsid w:val="007C07E1"/>
    <w:rsid w:val="007C096F"/>
    <w:rsid w:val="007C0AD3"/>
    <w:rsid w:val="007C1D61"/>
    <w:rsid w:val="007C24CD"/>
    <w:rsid w:val="007C2BC5"/>
    <w:rsid w:val="007C2E6F"/>
    <w:rsid w:val="007C493E"/>
    <w:rsid w:val="007C4FC1"/>
    <w:rsid w:val="007C51D3"/>
    <w:rsid w:val="007C5626"/>
    <w:rsid w:val="007C58D1"/>
    <w:rsid w:val="007C5AA2"/>
    <w:rsid w:val="007C5F4D"/>
    <w:rsid w:val="007C612C"/>
    <w:rsid w:val="007C6812"/>
    <w:rsid w:val="007C6DDB"/>
    <w:rsid w:val="007D07CB"/>
    <w:rsid w:val="007D0EB7"/>
    <w:rsid w:val="007D118B"/>
    <w:rsid w:val="007D2678"/>
    <w:rsid w:val="007D3209"/>
    <w:rsid w:val="007D52DA"/>
    <w:rsid w:val="007D546F"/>
    <w:rsid w:val="007D5DB0"/>
    <w:rsid w:val="007D5FE5"/>
    <w:rsid w:val="007D702D"/>
    <w:rsid w:val="007E004D"/>
    <w:rsid w:val="007E0582"/>
    <w:rsid w:val="007E0975"/>
    <w:rsid w:val="007E0EFA"/>
    <w:rsid w:val="007E16CA"/>
    <w:rsid w:val="007E2E38"/>
    <w:rsid w:val="007E2EFC"/>
    <w:rsid w:val="007E3B27"/>
    <w:rsid w:val="007E3E9E"/>
    <w:rsid w:val="007E4480"/>
    <w:rsid w:val="007E4911"/>
    <w:rsid w:val="007E4A20"/>
    <w:rsid w:val="007E4A58"/>
    <w:rsid w:val="007E4BAF"/>
    <w:rsid w:val="007E4FFD"/>
    <w:rsid w:val="007E50AC"/>
    <w:rsid w:val="007E6EF3"/>
    <w:rsid w:val="007F09E9"/>
    <w:rsid w:val="007F0CD6"/>
    <w:rsid w:val="007F1595"/>
    <w:rsid w:val="007F3D45"/>
    <w:rsid w:val="007F56A8"/>
    <w:rsid w:val="007F7178"/>
    <w:rsid w:val="007F7CB8"/>
    <w:rsid w:val="00800B84"/>
    <w:rsid w:val="00800D60"/>
    <w:rsid w:val="0080134B"/>
    <w:rsid w:val="008016CE"/>
    <w:rsid w:val="0080211F"/>
    <w:rsid w:val="008026F5"/>
    <w:rsid w:val="0080323C"/>
    <w:rsid w:val="00803B64"/>
    <w:rsid w:val="008054B0"/>
    <w:rsid w:val="00806785"/>
    <w:rsid w:val="00806B5F"/>
    <w:rsid w:val="008073F1"/>
    <w:rsid w:val="0080752B"/>
    <w:rsid w:val="008107EC"/>
    <w:rsid w:val="008118DC"/>
    <w:rsid w:val="00811CD7"/>
    <w:rsid w:val="00811D7F"/>
    <w:rsid w:val="0081221F"/>
    <w:rsid w:val="008129F5"/>
    <w:rsid w:val="00812F33"/>
    <w:rsid w:val="00813F77"/>
    <w:rsid w:val="00814158"/>
    <w:rsid w:val="00814B64"/>
    <w:rsid w:val="00814CAB"/>
    <w:rsid w:val="008150F2"/>
    <w:rsid w:val="00815485"/>
    <w:rsid w:val="00815A1A"/>
    <w:rsid w:val="00815FBB"/>
    <w:rsid w:val="00815FD7"/>
    <w:rsid w:val="00816898"/>
    <w:rsid w:val="00817C96"/>
    <w:rsid w:val="008232F2"/>
    <w:rsid w:val="00823CDA"/>
    <w:rsid w:val="00826454"/>
    <w:rsid w:val="00826CA7"/>
    <w:rsid w:val="00826D2D"/>
    <w:rsid w:val="008276B2"/>
    <w:rsid w:val="008278A3"/>
    <w:rsid w:val="00827DAE"/>
    <w:rsid w:val="008315DF"/>
    <w:rsid w:val="00831B18"/>
    <w:rsid w:val="00831C41"/>
    <w:rsid w:val="00831E80"/>
    <w:rsid w:val="0083210C"/>
    <w:rsid w:val="008323A9"/>
    <w:rsid w:val="008323DF"/>
    <w:rsid w:val="00832C0E"/>
    <w:rsid w:val="0083311F"/>
    <w:rsid w:val="00833124"/>
    <w:rsid w:val="00833341"/>
    <w:rsid w:val="00833FCA"/>
    <w:rsid w:val="00835789"/>
    <w:rsid w:val="00840FB4"/>
    <w:rsid w:val="00841599"/>
    <w:rsid w:val="00841A13"/>
    <w:rsid w:val="00842B9E"/>
    <w:rsid w:val="008434B9"/>
    <w:rsid w:val="00843823"/>
    <w:rsid w:val="00844613"/>
    <w:rsid w:val="008447AD"/>
    <w:rsid w:val="00844A58"/>
    <w:rsid w:val="00844B6A"/>
    <w:rsid w:val="00845435"/>
    <w:rsid w:val="00846867"/>
    <w:rsid w:val="00846E8E"/>
    <w:rsid w:val="00847F57"/>
    <w:rsid w:val="0085035E"/>
    <w:rsid w:val="00852089"/>
    <w:rsid w:val="00852786"/>
    <w:rsid w:val="008527D1"/>
    <w:rsid w:val="00852A5C"/>
    <w:rsid w:val="00852BEC"/>
    <w:rsid w:val="00852DC7"/>
    <w:rsid w:val="00853E50"/>
    <w:rsid w:val="0085431F"/>
    <w:rsid w:val="00854439"/>
    <w:rsid w:val="00854B88"/>
    <w:rsid w:val="00854D24"/>
    <w:rsid w:val="0085701F"/>
    <w:rsid w:val="008603F8"/>
    <w:rsid w:val="0086113F"/>
    <w:rsid w:val="00861CA1"/>
    <w:rsid w:val="00861E7B"/>
    <w:rsid w:val="008621D4"/>
    <w:rsid w:val="0086259E"/>
    <w:rsid w:val="00862BD6"/>
    <w:rsid w:val="00862C7B"/>
    <w:rsid w:val="00863029"/>
    <w:rsid w:val="00863650"/>
    <w:rsid w:val="00863E4F"/>
    <w:rsid w:val="0086495B"/>
    <w:rsid w:val="00864C63"/>
    <w:rsid w:val="00865D30"/>
    <w:rsid w:val="00866029"/>
    <w:rsid w:val="00866F00"/>
    <w:rsid w:val="00867EDE"/>
    <w:rsid w:val="008702DA"/>
    <w:rsid w:val="008709E2"/>
    <w:rsid w:val="00871B3C"/>
    <w:rsid w:val="008743D4"/>
    <w:rsid w:val="00874404"/>
    <w:rsid w:val="0087463A"/>
    <w:rsid w:val="00874787"/>
    <w:rsid w:val="00875C72"/>
    <w:rsid w:val="00875CCA"/>
    <w:rsid w:val="00875CE0"/>
    <w:rsid w:val="00875D85"/>
    <w:rsid w:val="008770B4"/>
    <w:rsid w:val="008776A8"/>
    <w:rsid w:val="00877DB5"/>
    <w:rsid w:val="00877F3B"/>
    <w:rsid w:val="008802E6"/>
    <w:rsid w:val="00881201"/>
    <w:rsid w:val="008816BF"/>
    <w:rsid w:val="008821FB"/>
    <w:rsid w:val="00883715"/>
    <w:rsid w:val="00883BE7"/>
    <w:rsid w:val="00883C30"/>
    <w:rsid w:val="00883C8C"/>
    <w:rsid w:val="00883F1C"/>
    <w:rsid w:val="008857C4"/>
    <w:rsid w:val="00886145"/>
    <w:rsid w:val="00886169"/>
    <w:rsid w:val="00886B71"/>
    <w:rsid w:val="00886FBC"/>
    <w:rsid w:val="00887368"/>
    <w:rsid w:val="008879DB"/>
    <w:rsid w:val="008913A4"/>
    <w:rsid w:val="00892322"/>
    <w:rsid w:val="00892585"/>
    <w:rsid w:val="008925C3"/>
    <w:rsid w:val="00892AB6"/>
    <w:rsid w:val="008937AD"/>
    <w:rsid w:val="00895092"/>
    <w:rsid w:val="00895DC5"/>
    <w:rsid w:val="00895FB1"/>
    <w:rsid w:val="00896550"/>
    <w:rsid w:val="00896B35"/>
    <w:rsid w:val="00896BA8"/>
    <w:rsid w:val="00897085"/>
    <w:rsid w:val="008971D0"/>
    <w:rsid w:val="008A0E57"/>
    <w:rsid w:val="008A0F03"/>
    <w:rsid w:val="008A3248"/>
    <w:rsid w:val="008A3468"/>
    <w:rsid w:val="008A3DB0"/>
    <w:rsid w:val="008A472A"/>
    <w:rsid w:val="008A4E32"/>
    <w:rsid w:val="008A5215"/>
    <w:rsid w:val="008A522D"/>
    <w:rsid w:val="008A54C4"/>
    <w:rsid w:val="008A59DC"/>
    <w:rsid w:val="008A5B54"/>
    <w:rsid w:val="008A5E2A"/>
    <w:rsid w:val="008A6611"/>
    <w:rsid w:val="008A7128"/>
    <w:rsid w:val="008A78E9"/>
    <w:rsid w:val="008B0393"/>
    <w:rsid w:val="008B0610"/>
    <w:rsid w:val="008B112D"/>
    <w:rsid w:val="008B1324"/>
    <w:rsid w:val="008B1333"/>
    <w:rsid w:val="008B15FE"/>
    <w:rsid w:val="008B16C7"/>
    <w:rsid w:val="008B18A1"/>
    <w:rsid w:val="008B19E9"/>
    <w:rsid w:val="008B1FED"/>
    <w:rsid w:val="008B1FF8"/>
    <w:rsid w:val="008B2086"/>
    <w:rsid w:val="008B2A2B"/>
    <w:rsid w:val="008B2AFC"/>
    <w:rsid w:val="008B3673"/>
    <w:rsid w:val="008B3794"/>
    <w:rsid w:val="008B70A8"/>
    <w:rsid w:val="008B7B1B"/>
    <w:rsid w:val="008C0AF9"/>
    <w:rsid w:val="008C0BF8"/>
    <w:rsid w:val="008C12C3"/>
    <w:rsid w:val="008C1A11"/>
    <w:rsid w:val="008C2189"/>
    <w:rsid w:val="008C2E31"/>
    <w:rsid w:val="008C3BBC"/>
    <w:rsid w:val="008C475F"/>
    <w:rsid w:val="008C5288"/>
    <w:rsid w:val="008C52BE"/>
    <w:rsid w:val="008C5BA6"/>
    <w:rsid w:val="008C5F9D"/>
    <w:rsid w:val="008C6059"/>
    <w:rsid w:val="008C6D13"/>
    <w:rsid w:val="008C6FE5"/>
    <w:rsid w:val="008D0054"/>
    <w:rsid w:val="008D0BB2"/>
    <w:rsid w:val="008D0FDB"/>
    <w:rsid w:val="008D14C3"/>
    <w:rsid w:val="008D17D9"/>
    <w:rsid w:val="008D1BA2"/>
    <w:rsid w:val="008D1EA6"/>
    <w:rsid w:val="008D227A"/>
    <w:rsid w:val="008D23F0"/>
    <w:rsid w:val="008D2A73"/>
    <w:rsid w:val="008D2BC6"/>
    <w:rsid w:val="008D2E6C"/>
    <w:rsid w:val="008D3318"/>
    <w:rsid w:val="008D3396"/>
    <w:rsid w:val="008D3D88"/>
    <w:rsid w:val="008D3E5A"/>
    <w:rsid w:val="008D46D4"/>
    <w:rsid w:val="008D4899"/>
    <w:rsid w:val="008D58E0"/>
    <w:rsid w:val="008D6337"/>
    <w:rsid w:val="008D6493"/>
    <w:rsid w:val="008D6E75"/>
    <w:rsid w:val="008D7998"/>
    <w:rsid w:val="008E147D"/>
    <w:rsid w:val="008E1945"/>
    <w:rsid w:val="008E26B5"/>
    <w:rsid w:val="008E3111"/>
    <w:rsid w:val="008E4FB3"/>
    <w:rsid w:val="008E66B7"/>
    <w:rsid w:val="008F0E0E"/>
    <w:rsid w:val="008F1BB1"/>
    <w:rsid w:val="008F2E3F"/>
    <w:rsid w:val="008F32AE"/>
    <w:rsid w:val="008F40DA"/>
    <w:rsid w:val="008F4C69"/>
    <w:rsid w:val="008F4FAA"/>
    <w:rsid w:val="008F5395"/>
    <w:rsid w:val="008F65D7"/>
    <w:rsid w:val="008F78DC"/>
    <w:rsid w:val="00900EE6"/>
    <w:rsid w:val="00901110"/>
    <w:rsid w:val="00901700"/>
    <w:rsid w:val="00901E93"/>
    <w:rsid w:val="0090240F"/>
    <w:rsid w:val="00902726"/>
    <w:rsid w:val="009029E4"/>
    <w:rsid w:val="00903163"/>
    <w:rsid w:val="00903660"/>
    <w:rsid w:val="00903BB4"/>
    <w:rsid w:val="009048BA"/>
    <w:rsid w:val="00905689"/>
    <w:rsid w:val="00905CF8"/>
    <w:rsid w:val="00906946"/>
    <w:rsid w:val="0090723A"/>
    <w:rsid w:val="00907811"/>
    <w:rsid w:val="00907949"/>
    <w:rsid w:val="00910009"/>
    <w:rsid w:val="0091075B"/>
    <w:rsid w:val="0091091B"/>
    <w:rsid w:val="00911740"/>
    <w:rsid w:val="009125E9"/>
    <w:rsid w:val="0091281E"/>
    <w:rsid w:val="00913905"/>
    <w:rsid w:val="00914975"/>
    <w:rsid w:val="00914A7D"/>
    <w:rsid w:val="00914CF7"/>
    <w:rsid w:val="00914E1A"/>
    <w:rsid w:val="009168A5"/>
    <w:rsid w:val="0091713D"/>
    <w:rsid w:val="009223B8"/>
    <w:rsid w:val="00922D13"/>
    <w:rsid w:val="00923C02"/>
    <w:rsid w:val="00923C1D"/>
    <w:rsid w:val="00924813"/>
    <w:rsid w:val="009252DF"/>
    <w:rsid w:val="0092636F"/>
    <w:rsid w:val="009263D1"/>
    <w:rsid w:val="009266F4"/>
    <w:rsid w:val="0092797A"/>
    <w:rsid w:val="009303FF"/>
    <w:rsid w:val="009310C2"/>
    <w:rsid w:val="00931551"/>
    <w:rsid w:val="009319CC"/>
    <w:rsid w:val="00931AD9"/>
    <w:rsid w:val="00931CC2"/>
    <w:rsid w:val="0093225B"/>
    <w:rsid w:val="00932A51"/>
    <w:rsid w:val="00933095"/>
    <w:rsid w:val="0093311C"/>
    <w:rsid w:val="00933138"/>
    <w:rsid w:val="00933204"/>
    <w:rsid w:val="00933415"/>
    <w:rsid w:val="00934010"/>
    <w:rsid w:val="00934AD2"/>
    <w:rsid w:val="00934D9E"/>
    <w:rsid w:val="009359AF"/>
    <w:rsid w:val="00935BC4"/>
    <w:rsid w:val="009369BA"/>
    <w:rsid w:val="009373E0"/>
    <w:rsid w:val="00937A18"/>
    <w:rsid w:val="00937BF2"/>
    <w:rsid w:val="00937D2B"/>
    <w:rsid w:val="00937DF3"/>
    <w:rsid w:val="00937FC6"/>
    <w:rsid w:val="00940230"/>
    <w:rsid w:val="00940393"/>
    <w:rsid w:val="009416BA"/>
    <w:rsid w:val="00941840"/>
    <w:rsid w:val="0094199B"/>
    <w:rsid w:val="00941F5F"/>
    <w:rsid w:val="00942882"/>
    <w:rsid w:val="009443D0"/>
    <w:rsid w:val="009445E9"/>
    <w:rsid w:val="00944983"/>
    <w:rsid w:val="00944D17"/>
    <w:rsid w:val="00945611"/>
    <w:rsid w:val="009468EF"/>
    <w:rsid w:val="00947F1C"/>
    <w:rsid w:val="00950BAA"/>
    <w:rsid w:val="00954106"/>
    <w:rsid w:val="009564AF"/>
    <w:rsid w:val="00956A1F"/>
    <w:rsid w:val="00957826"/>
    <w:rsid w:val="009602C5"/>
    <w:rsid w:val="00960511"/>
    <w:rsid w:val="00960971"/>
    <w:rsid w:val="00960A52"/>
    <w:rsid w:val="00961438"/>
    <w:rsid w:val="009622AD"/>
    <w:rsid w:val="00962A63"/>
    <w:rsid w:val="00962D60"/>
    <w:rsid w:val="00963AD2"/>
    <w:rsid w:val="00963BEB"/>
    <w:rsid w:val="00965BFE"/>
    <w:rsid w:val="00966224"/>
    <w:rsid w:val="0097036C"/>
    <w:rsid w:val="00970415"/>
    <w:rsid w:val="00970B6E"/>
    <w:rsid w:val="00970CDA"/>
    <w:rsid w:val="009719DF"/>
    <w:rsid w:val="0097243C"/>
    <w:rsid w:val="00972614"/>
    <w:rsid w:val="00973BE3"/>
    <w:rsid w:val="00973FE0"/>
    <w:rsid w:val="009741A7"/>
    <w:rsid w:val="00975AEA"/>
    <w:rsid w:val="009762BD"/>
    <w:rsid w:val="00976675"/>
    <w:rsid w:val="0097692A"/>
    <w:rsid w:val="00976C6D"/>
    <w:rsid w:val="009770D5"/>
    <w:rsid w:val="009775E1"/>
    <w:rsid w:val="009777F7"/>
    <w:rsid w:val="009803BE"/>
    <w:rsid w:val="009805D6"/>
    <w:rsid w:val="009808C2"/>
    <w:rsid w:val="00980958"/>
    <w:rsid w:val="00980C0C"/>
    <w:rsid w:val="0098127B"/>
    <w:rsid w:val="009822C4"/>
    <w:rsid w:val="00982998"/>
    <w:rsid w:val="00982F1E"/>
    <w:rsid w:val="009830D3"/>
    <w:rsid w:val="00983394"/>
    <w:rsid w:val="00983467"/>
    <w:rsid w:val="00984393"/>
    <w:rsid w:val="00985648"/>
    <w:rsid w:val="009867A2"/>
    <w:rsid w:val="0098714D"/>
    <w:rsid w:val="00987548"/>
    <w:rsid w:val="00987EFC"/>
    <w:rsid w:val="0099030D"/>
    <w:rsid w:val="009905C4"/>
    <w:rsid w:val="00990D65"/>
    <w:rsid w:val="00990DC0"/>
    <w:rsid w:val="00990F08"/>
    <w:rsid w:val="00991000"/>
    <w:rsid w:val="009918D7"/>
    <w:rsid w:val="00991BDA"/>
    <w:rsid w:val="009920AC"/>
    <w:rsid w:val="00992EAE"/>
    <w:rsid w:val="00992F0F"/>
    <w:rsid w:val="0099479B"/>
    <w:rsid w:val="0099575A"/>
    <w:rsid w:val="009958A7"/>
    <w:rsid w:val="00995BF8"/>
    <w:rsid w:val="00995C41"/>
    <w:rsid w:val="00997890"/>
    <w:rsid w:val="009A0E64"/>
    <w:rsid w:val="009A1AED"/>
    <w:rsid w:val="009A1DD3"/>
    <w:rsid w:val="009A2107"/>
    <w:rsid w:val="009A213B"/>
    <w:rsid w:val="009A28BD"/>
    <w:rsid w:val="009A2ABE"/>
    <w:rsid w:val="009A3369"/>
    <w:rsid w:val="009A3805"/>
    <w:rsid w:val="009A4294"/>
    <w:rsid w:val="009A471F"/>
    <w:rsid w:val="009A5C66"/>
    <w:rsid w:val="009A6D02"/>
    <w:rsid w:val="009A6EB4"/>
    <w:rsid w:val="009A7CCC"/>
    <w:rsid w:val="009A7FFC"/>
    <w:rsid w:val="009B0A05"/>
    <w:rsid w:val="009B12CB"/>
    <w:rsid w:val="009B1A9E"/>
    <w:rsid w:val="009B2066"/>
    <w:rsid w:val="009B27D1"/>
    <w:rsid w:val="009B2C93"/>
    <w:rsid w:val="009B42D5"/>
    <w:rsid w:val="009B52F0"/>
    <w:rsid w:val="009B5CFE"/>
    <w:rsid w:val="009B6AC0"/>
    <w:rsid w:val="009B72E7"/>
    <w:rsid w:val="009B7642"/>
    <w:rsid w:val="009C0E1B"/>
    <w:rsid w:val="009C21A9"/>
    <w:rsid w:val="009C2C0C"/>
    <w:rsid w:val="009C3ED4"/>
    <w:rsid w:val="009C5B7F"/>
    <w:rsid w:val="009C756A"/>
    <w:rsid w:val="009D0B63"/>
    <w:rsid w:val="009D0E35"/>
    <w:rsid w:val="009D0F22"/>
    <w:rsid w:val="009D17D7"/>
    <w:rsid w:val="009D1889"/>
    <w:rsid w:val="009D18D4"/>
    <w:rsid w:val="009D3A6E"/>
    <w:rsid w:val="009D5DF1"/>
    <w:rsid w:val="009D6CB1"/>
    <w:rsid w:val="009D72A8"/>
    <w:rsid w:val="009D7388"/>
    <w:rsid w:val="009E05C2"/>
    <w:rsid w:val="009E1C4B"/>
    <w:rsid w:val="009E23F7"/>
    <w:rsid w:val="009E250C"/>
    <w:rsid w:val="009E2C62"/>
    <w:rsid w:val="009E32F4"/>
    <w:rsid w:val="009E4386"/>
    <w:rsid w:val="009E51B2"/>
    <w:rsid w:val="009E5CDF"/>
    <w:rsid w:val="009E6803"/>
    <w:rsid w:val="009E78C1"/>
    <w:rsid w:val="009E7CAE"/>
    <w:rsid w:val="009F0853"/>
    <w:rsid w:val="009F0A60"/>
    <w:rsid w:val="009F0E80"/>
    <w:rsid w:val="009F11A4"/>
    <w:rsid w:val="009F366B"/>
    <w:rsid w:val="009F4407"/>
    <w:rsid w:val="009F4ACD"/>
    <w:rsid w:val="009F5373"/>
    <w:rsid w:val="009F690B"/>
    <w:rsid w:val="009F6B78"/>
    <w:rsid w:val="00A0222A"/>
    <w:rsid w:val="00A0328D"/>
    <w:rsid w:val="00A04917"/>
    <w:rsid w:val="00A05347"/>
    <w:rsid w:val="00A05DDE"/>
    <w:rsid w:val="00A05E6D"/>
    <w:rsid w:val="00A063B4"/>
    <w:rsid w:val="00A06C66"/>
    <w:rsid w:val="00A07EA0"/>
    <w:rsid w:val="00A1064C"/>
    <w:rsid w:val="00A112AF"/>
    <w:rsid w:val="00A12C4D"/>
    <w:rsid w:val="00A13852"/>
    <w:rsid w:val="00A140BA"/>
    <w:rsid w:val="00A14621"/>
    <w:rsid w:val="00A1555F"/>
    <w:rsid w:val="00A166EC"/>
    <w:rsid w:val="00A17820"/>
    <w:rsid w:val="00A218C9"/>
    <w:rsid w:val="00A21EDC"/>
    <w:rsid w:val="00A2507C"/>
    <w:rsid w:val="00A25187"/>
    <w:rsid w:val="00A265BB"/>
    <w:rsid w:val="00A26D07"/>
    <w:rsid w:val="00A26E7B"/>
    <w:rsid w:val="00A30155"/>
    <w:rsid w:val="00A31E21"/>
    <w:rsid w:val="00A33493"/>
    <w:rsid w:val="00A33A96"/>
    <w:rsid w:val="00A343FE"/>
    <w:rsid w:val="00A36A2E"/>
    <w:rsid w:val="00A36DE7"/>
    <w:rsid w:val="00A40B94"/>
    <w:rsid w:val="00A41AEF"/>
    <w:rsid w:val="00A41EE2"/>
    <w:rsid w:val="00A430A8"/>
    <w:rsid w:val="00A459E0"/>
    <w:rsid w:val="00A46A07"/>
    <w:rsid w:val="00A46F37"/>
    <w:rsid w:val="00A47D8E"/>
    <w:rsid w:val="00A505AC"/>
    <w:rsid w:val="00A50A4E"/>
    <w:rsid w:val="00A5267E"/>
    <w:rsid w:val="00A52C2A"/>
    <w:rsid w:val="00A531A5"/>
    <w:rsid w:val="00A53784"/>
    <w:rsid w:val="00A55245"/>
    <w:rsid w:val="00A55B8E"/>
    <w:rsid w:val="00A5623B"/>
    <w:rsid w:val="00A57787"/>
    <w:rsid w:val="00A578FC"/>
    <w:rsid w:val="00A60583"/>
    <w:rsid w:val="00A61660"/>
    <w:rsid w:val="00A61B46"/>
    <w:rsid w:val="00A622AA"/>
    <w:rsid w:val="00A6285D"/>
    <w:rsid w:val="00A62B2E"/>
    <w:rsid w:val="00A63EDF"/>
    <w:rsid w:val="00A65453"/>
    <w:rsid w:val="00A6689D"/>
    <w:rsid w:val="00A673C2"/>
    <w:rsid w:val="00A701C8"/>
    <w:rsid w:val="00A705B0"/>
    <w:rsid w:val="00A70743"/>
    <w:rsid w:val="00A711F9"/>
    <w:rsid w:val="00A727EE"/>
    <w:rsid w:val="00A730F0"/>
    <w:rsid w:val="00A737FF"/>
    <w:rsid w:val="00A7445C"/>
    <w:rsid w:val="00A75404"/>
    <w:rsid w:val="00A76F0B"/>
    <w:rsid w:val="00A77D3B"/>
    <w:rsid w:val="00A8023F"/>
    <w:rsid w:val="00A82D77"/>
    <w:rsid w:val="00A83716"/>
    <w:rsid w:val="00A8372F"/>
    <w:rsid w:val="00A83E6D"/>
    <w:rsid w:val="00A83E6F"/>
    <w:rsid w:val="00A849F7"/>
    <w:rsid w:val="00A8604A"/>
    <w:rsid w:val="00A8779D"/>
    <w:rsid w:val="00A902E7"/>
    <w:rsid w:val="00A90F20"/>
    <w:rsid w:val="00A91332"/>
    <w:rsid w:val="00A917F8"/>
    <w:rsid w:val="00A91C27"/>
    <w:rsid w:val="00A92CD8"/>
    <w:rsid w:val="00A92E93"/>
    <w:rsid w:val="00A9388F"/>
    <w:rsid w:val="00A93BAD"/>
    <w:rsid w:val="00A94261"/>
    <w:rsid w:val="00A943A7"/>
    <w:rsid w:val="00A9459B"/>
    <w:rsid w:val="00A947C1"/>
    <w:rsid w:val="00A94C3A"/>
    <w:rsid w:val="00A950CD"/>
    <w:rsid w:val="00A963D8"/>
    <w:rsid w:val="00A97649"/>
    <w:rsid w:val="00A97ADC"/>
    <w:rsid w:val="00AA0D1E"/>
    <w:rsid w:val="00AA112D"/>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751"/>
    <w:rsid w:val="00AA7CA7"/>
    <w:rsid w:val="00AB0862"/>
    <w:rsid w:val="00AB1259"/>
    <w:rsid w:val="00AB1C60"/>
    <w:rsid w:val="00AB230D"/>
    <w:rsid w:val="00AB2497"/>
    <w:rsid w:val="00AB295B"/>
    <w:rsid w:val="00AB3000"/>
    <w:rsid w:val="00AB6B37"/>
    <w:rsid w:val="00AC062D"/>
    <w:rsid w:val="00AC2CC0"/>
    <w:rsid w:val="00AC3461"/>
    <w:rsid w:val="00AC34AB"/>
    <w:rsid w:val="00AC415A"/>
    <w:rsid w:val="00AC4562"/>
    <w:rsid w:val="00AC6340"/>
    <w:rsid w:val="00AC7981"/>
    <w:rsid w:val="00AD09FA"/>
    <w:rsid w:val="00AD0A06"/>
    <w:rsid w:val="00AD0E3A"/>
    <w:rsid w:val="00AD145F"/>
    <w:rsid w:val="00AD1731"/>
    <w:rsid w:val="00AD19FF"/>
    <w:rsid w:val="00AD20DE"/>
    <w:rsid w:val="00AD21C7"/>
    <w:rsid w:val="00AD451D"/>
    <w:rsid w:val="00AD4DCC"/>
    <w:rsid w:val="00AD5642"/>
    <w:rsid w:val="00AD5BCD"/>
    <w:rsid w:val="00AD6027"/>
    <w:rsid w:val="00AD6D65"/>
    <w:rsid w:val="00AD7C9A"/>
    <w:rsid w:val="00AD7F36"/>
    <w:rsid w:val="00AE0B71"/>
    <w:rsid w:val="00AE0C3B"/>
    <w:rsid w:val="00AE1AB4"/>
    <w:rsid w:val="00AE1C03"/>
    <w:rsid w:val="00AE1D67"/>
    <w:rsid w:val="00AE2CEC"/>
    <w:rsid w:val="00AE3526"/>
    <w:rsid w:val="00AE475D"/>
    <w:rsid w:val="00AE622F"/>
    <w:rsid w:val="00AE6B14"/>
    <w:rsid w:val="00AE6B17"/>
    <w:rsid w:val="00AE6B26"/>
    <w:rsid w:val="00AE7A38"/>
    <w:rsid w:val="00AF0ADF"/>
    <w:rsid w:val="00AF0B3A"/>
    <w:rsid w:val="00AF1D6A"/>
    <w:rsid w:val="00AF24F8"/>
    <w:rsid w:val="00AF2E75"/>
    <w:rsid w:val="00AF352A"/>
    <w:rsid w:val="00AF3B10"/>
    <w:rsid w:val="00AF3C74"/>
    <w:rsid w:val="00AF4686"/>
    <w:rsid w:val="00AF50B7"/>
    <w:rsid w:val="00AF53CC"/>
    <w:rsid w:val="00AF5962"/>
    <w:rsid w:val="00AF5DE9"/>
    <w:rsid w:val="00AF7856"/>
    <w:rsid w:val="00AF7C12"/>
    <w:rsid w:val="00B01CE9"/>
    <w:rsid w:val="00B038D1"/>
    <w:rsid w:val="00B0455A"/>
    <w:rsid w:val="00B045BE"/>
    <w:rsid w:val="00B04CCC"/>
    <w:rsid w:val="00B07A0D"/>
    <w:rsid w:val="00B10250"/>
    <w:rsid w:val="00B104C1"/>
    <w:rsid w:val="00B10C1C"/>
    <w:rsid w:val="00B10FDF"/>
    <w:rsid w:val="00B111CB"/>
    <w:rsid w:val="00B116E2"/>
    <w:rsid w:val="00B12679"/>
    <w:rsid w:val="00B12FCE"/>
    <w:rsid w:val="00B137C9"/>
    <w:rsid w:val="00B143B8"/>
    <w:rsid w:val="00B144E7"/>
    <w:rsid w:val="00B14822"/>
    <w:rsid w:val="00B14DDB"/>
    <w:rsid w:val="00B14E21"/>
    <w:rsid w:val="00B14E4D"/>
    <w:rsid w:val="00B153EE"/>
    <w:rsid w:val="00B15D31"/>
    <w:rsid w:val="00B16A35"/>
    <w:rsid w:val="00B16C92"/>
    <w:rsid w:val="00B1732A"/>
    <w:rsid w:val="00B17489"/>
    <w:rsid w:val="00B17E61"/>
    <w:rsid w:val="00B200DF"/>
    <w:rsid w:val="00B206E7"/>
    <w:rsid w:val="00B2109C"/>
    <w:rsid w:val="00B21231"/>
    <w:rsid w:val="00B21606"/>
    <w:rsid w:val="00B22506"/>
    <w:rsid w:val="00B22797"/>
    <w:rsid w:val="00B22C9D"/>
    <w:rsid w:val="00B24634"/>
    <w:rsid w:val="00B25945"/>
    <w:rsid w:val="00B25C5B"/>
    <w:rsid w:val="00B264C1"/>
    <w:rsid w:val="00B2697E"/>
    <w:rsid w:val="00B27127"/>
    <w:rsid w:val="00B273F8"/>
    <w:rsid w:val="00B30C63"/>
    <w:rsid w:val="00B31045"/>
    <w:rsid w:val="00B3154F"/>
    <w:rsid w:val="00B31B41"/>
    <w:rsid w:val="00B32156"/>
    <w:rsid w:val="00B326C2"/>
    <w:rsid w:val="00B327B9"/>
    <w:rsid w:val="00B3290F"/>
    <w:rsid w:val="00B32F36"/>
    <w:rsid w:val="00B332E3"/>
    <w:rsid w:val="00B33900"/>
    <w:rsid w:val="00B33AE5"/>
    <w:rsid w:val="00B3590F"/>
    <w:rsid w:val="00B35BED"/>
    <w:rsid w:val="00B3602B"/>
    <w:rsid w:val="00B361A1"/>
    <w:rsid w:val="00B37005"/>
    <w:rsid w:val="00B378D7"/>
    <w:rsid w:val="00B37957"/>
    <w:rsid w:val="00B40F4D"/>
    <w:rsid w:val="00B41579"/>
    <w:rsid w:val="00B41C3D"/>
    <w:rsid w:val="00B433D3"/>
    <w:rsid w:val="00B500DE"/>
    <w:rsid w:val="00B50422"/>
    <w:rsid w:val="00B54072"/>
    <w:rsid w:val="00B5522A"/>
    <w:rsid w:val="00B55C3C"/>
    <w:rsid w:val="00B5607F"/>
    <w:rsid w:val="00B56DFD"/>
    <w:rsid w:val="00B56E46"/>
    <w:rsid w:val="00B577A4"/>
    <w:rsid w:val="00B57EB9"/>
    <w:rsid w:val="00B609FB"/>
    <w:rsid w:val="00B60AE0"/>
    <w:rsid w:val="00B610B6"/>
    <w:rsid w:val="00B61E66"/>
    <w:rsid w:val="00B61F90"/>
    <w:rsid w:val="00B635BD"/>
    <w:rsid w:val="00B643DB"/>
    <w:rsid w:val="00B655CC"/>
    <w:rsid w:val="00B65A12"/>
    <w:rsid w:val="00B66F31"/>
    <w:rsid w:val="00B67116"/>
    <w:rsid w:val="00B6725E"/>
    <w:rsid w:val="00B67B5C"/>
    <w:rsid w:val="00B67B7D"/>
    <w:rsid w:val="00B704B4"/>
    <w:rsid w:val="00B7128F"/>
    <w:rsid w:val="00B7143D"/>
    <w:rsid w:val="00B73A6C"/>
    <w:rsid w:val="00B75045"/>
    <w:rsid w:val="00B76481"/>
    <w:rsid w:val="00B76917"/>
    <w:rsid w:val="00B76F25"/>
    <w:rsid w:val="00B77E06"/>
    <w:rsid w:val="00B808CD"/>
    <w:rsid w:val="00B80E46"/>
    <w:rsid w:val="00B82916"/>
    <w:rsid w:val="00B82E03"/>
    <w:rsid w:val="00B83B9D"/>
    <w:rsid w:val="00B83CC4"/>
    <w:rsid w:val="00B8572B"/>
    <w:rsid w:val="00B86142"/>
    <w:rsid w:val="00B865EE"/>
    <w:rsid w:val="00B9120A"/>
    <w:rsid w:val="00B912B1"/>
    <w:rsid w:val="00B92599"/>
    <w:rsid w:val="00B95136"/>
    <w:rsid w:val="00B95E71"/>
    <w:rsid w:val="00B9645F"/>
    <w:rsid w:val="00B966DA"/>
    <w:rsid w:val="00B9693C"/>
    <w:rsid w:val="00B96E84"/>
    <w:rsid w:val="00B97F50"/>
    <w:rsid w:val="00BA0C78"/>
    <w:rsid w:val="00BA0FD0"/>
    <w:rsid w:val="00BA1347"/>
    <w:rsid w:val="00BA25A8"/>
    <w:rsid w:val="00BA348F"/>
    <w:rsid w:val="00BA4E69"/>
    <w:rsid w:val="00BA691B"/>
    <w:rsid w:val="00BA7064"/>
    <w:rsid w:val="00BB0CF8"/>
    <w:rsid w:val="00BB13DA"/>
    <w:rsid w:val="00BB1EDF"/>
    <w:rsid w:val="00BB24D0"/>
    <w:rsid w:val="00BB39DF"/>
    <w:rsid w:val="00BB4A36"/>
    <w:rsid w:val="00BB4D75"/>
    <w:rsid w:val="00BB5299"/>
    <w:rsid w:val="00BB5FB3"/>
    <w:rsid w:val="00BB6F1D"/>
    <w:rsid w:val="00BB756E"/>
    <w:rsid w:val="00BB76AB"/>
    <w:rsid w:val="00BC0483"/>
    <w:rsid w:val="00BC06C5"/>
    <w:rsid w:val="00BC0CB4"/>
    <w:rsid w:val="00BC114A"/>
    <w:rsid w:val="00BC4543"/>
    <w:rsid w:val="00BC484B"/>
    <w:rsid w:val="00BC614C"/>
    <w:rsid w:val="00BC62B0"/>
    <w:rsid w:val="00BC6B23"/>
    <w:rsid w:val="00BC7167"/>
    <w:rsid w:val="00BC791D"/>
    <w:rsid w:val="00BC7DE5"/>
    <w:rsid w:val="00BD1437"/>
    <w:rsid w:val="00BD18CD"/>
    <w:rsid w:val="00BD199F"/>
    <w:rsid w:val="00BD22D0"/>
    <w:rsid w:val="00BD2609"/>
    <w:rsid w:val="00BD28E2"/>
    <w:rsid w:val="00BD334B"/>
    <w:rsid w:val="00BD3421"/>
    <w:rsid w:val="00BD41B2"/>
    <w:rsid w:val="00BD44E2"/>
    <w:rsid w:val="00BD49BA"/>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454"/>
    <w:rsid w:val="00BF2C29"/>
    <w:rsid w:val="00BF4125"/>
    <w:rsid w:val="00BF484E"/>
    <w:rsid w:val="00BF48EA"/>
    <w:rsid w:val="00BF493E"/>
    <w:rsid w:val="00BF520A"/>
    <w:rsid w:val="00BF5BAF"/>
    <w:rsid w:val="00BF6717"/>
    <w:rsid w:val="00BF6A55"/>
    <w:rsid w:val="00BF74F2"/>
    <w:rsid w:val="00C0051B"/>
    <w:rsid w:val="00C00CF4"/>
    <w:rsid w:val="00C01171"/>
    <w:rsid w:val="00C01AB2"/>
    <w:rsid w:val="00C01D4E"/>
    <w:rsid w:val="00C0303F"/>
    <w:rsid w:val="00C034C2"/>
    <w:rsid w:val="00C0380F"/>
    <w:rsid w:val="00C05DDF"/>
    <w:rsid w:val="00C05ECF"/>
    <w:rsid w:val="00C10653"/>
    <w:rsid w:val="00C1112E"/>
    <w:rsid w:val="00C128E6"/>
    <w:rsid w:val="00C12B06"/>
    <w:rsid w:val="00C14968"/>
    <w:rsid w:val="00C14CEF"/>
    <w:rsid w:val="00C1569D"/>
    <w:rsid w:val="00C15FE3"/>
    <w:rsid w:val="00C16188"/>
    <w:rsid w:val="00C166C3"/>
    <w:rsid w:val="00C17CE2"/>
    <w:rsid w:val="00C20799"/>
    <w:rsid w:val="00C20B3D"/>
    <w:rsid w:val="00C21DA8"/>
    <w:rsid w:val="00C22660"/>
    <w:rsid w:val="00C228C9"/>
    <w:rsid w:val="00C22B55"/>
    <w:rsid w:val="00C22CF3"/>
    <w:rsid w:val="00C241DE"/>
    <w:rsid w:val="00C24902"/>
    <w:rsid w:val="00C251EE"/>
    <w:rsid w:val="00C256AE"/>
    <w:rsid w:val="00C2570E"/>
    <w:rsid w:val="00C257B0"/>
    <w:rsid w:val="00C25B9E"/>
    <w:rsid w:val="00C2620F"/>
    <w:rsid w:val="00C27152"/>
    <w:rsid w:val="00C2764F"/>
    <w:rsid w:val="00C27C83"/>
    <w:rsid w:val="00C301EB"/>
    <w:rsid w:val="00C31192"/>
    <w:rsid w:val="00C31677"/>
    <w:rsid w:val="00C3223C"/>
    <w:rsid w:val="00C32284"/>
    <w:rsid w:val="00C327A0"/>
    <w:rsid w:val="00C3295E"/>
    <w:rsid w:val="00C335C4"/>
    <w:rsid w:val="00C349C1"/>
    <w:rsid w:val="00C34C77"/>
    <w:rsid w:val="00C34F8A"/>
    <w:rsid w:val="00C35517"/>
    <w:rsid w:val="00C35876"/>
    <w:rsid w:val="00C36330"/>
    <w:rsid w:val="00C3735C"/>
    <w:rsid w:val="00C40D63"/>
    <w:rsid w:val="00C420DA"/>
    <w:rsid w:val="00C426E3"/>
    <w:rsid w:val="00C44437"/>
    <w:rsid w:val="00C448B2"/>
    <w:rsid w:val="00C4738A"/>
    <w:rsid w:val="00C50037"/>
    <w:rsid w:val="00C517EC"/>
    <w:rsid w:val="00C51F19"/>
    <w:rsid w:val="00C51F56"/>
    <w:rsid w:val="00C51FD3"/>
    <w:rsid w:val="00C5210B"/>
    <w:rsid w:val="00C527DD"/>
    <w:rsid w:val="00C53050"/>
    <w:rsid w:val="00C53722"/>
    <w:rsid w:val="00C576DE"/>
    <w:rsid w:val="00C579E4"/>
    <w:rsid w:val="00C57A87"/>
    <w:rsid w:val="00C60226"/>
    <w:rsid w:val="00C60AB3"/>
    <w:rsid w:val="00C60C5B"/>
    <w:rsid w:val="00C61B9F"/>
    <w:rsid w:val="00C62778"/>
    <w:rsid w:val="00C627B2"/>
    <w:rsid w:val="00C62EFD"/>
    <w:rsid w:val="00C63D0C"/>
    <w:rsid w:val="00C63D86"/>
    <w:rsid w:val="00C63EAD"/>
    <w:rsid w:val="00C640C9"/>
    <w:rsid w:val="00C64539"/>
    <w:rsid w:val="00C64C4C"/>
    <w:rsid w:val="00C64C80"/>
    <w:rsid w:val="00C64D69"/>
    <w:rsid w:val="00C64F3F"/>
    <w:rsid w:val="00C656E3"/>
    <w:rsid w:val="00C671C5"/>
    <w:rsid w:val="00C67549"/>
    <w:rsid w:val="00C70069"/>
    <w:rsid w:val="00C708A7"/>
    <w:rsid w:val="00C7118C"/>
    <w:rsid w:val="00C7121F"/>
    <w:rsid w:val="00C7195E"/>
    <w:rsid w:val="00C722FE"/>
    <w:rsid w:val="00C739BB"/>
    <w:rsid w:val="00C73ECB"/>
    <w:rsid w:val="00C745BB"/>
    <w:rsid w:val="00C74BEB"/>
    <w:rsid w:val="00C758DE"/>
    <w:rsid w:val="00C75D99"/>
    <w:rsid w:val="00C76C54"/>
    <w:rsid w:val="00C77854"/>
    <w:rsid w:val="00C80C33"/>
    <w:rsid w:val="00C81A74"/>
    <w:rsid w:val="00C81BD0"/>
    <w:rsid w:val="00C82ED6"/>
    <w:rsid w:val="00C82FF9"/>
    <w:rsid w:val="00C84188"/>
    <w:rsid w:val="00C8761D"/>
    <w:rsid w:val="00C90E3A"/>
    <w:rsid w:val="00C9127F"/>
    <w:rsid w:val="00C91B27"/>
    <w:rsid w:val="00C91F69"/>
    <w:rsid w:val="00C92013"/>
    <w:rsid w:val="00C92250"/>
    <w:rsid w:val="00C928F0"/>
    <w:rsid w:val="00C93177"/>
    <w:rsid w:val="00C93DBB"/>
    <w:rsid w:val="00C95BF2"/>
    <w:rsid w:val="00CA0320"/>
    <w:rsid w:val="00CA07C1"/>
    <w:rsid w:val="00CA1736"/>
    <w:rsid w:val="00CA2F7E"/>
    <w:rsid w:val="00CA3FAE"/>
    <w:rsid w:val="00CA5307"/>
    <w:rsid w:val="00CA63B6"/>
    <w:rsid w:val="00CA6A1A"/>
    <w:rsid w:val="00CA6C20"/>
    <w:rsid w:val="00CA705E"/>
    <w:rsid w:val="00CA7F5A"/>
    <w:rsid w:val="00CB077A"/>
    <w:rsid w:val="00CB0F87"/>
    <w:rsid w:val="00CB0F93"/>
    <w:rsid w:val="00CB1E08"/>
    <w:rsid w:val="00CB29CC"/>
    <w:rsid w:val="00CB3F3F"/>
    <w:rsid w:val="00CB41C6"/>
    <w:rsid w:val="00CB4F73"/>
    <w:rsid w:val="00CB5ACF"/>
    <w:rsid w:val="00CB645B"/>
    <w:rsid w:val="00CB6566"/>
    <w:rsid w:val="00CB65DD"/>
    <w:rsid w:val="00CB7ADB"/>
    <w:rsid w:val="00CC03B2"/>
    <w:rsid w:val="00CC0AC6"/>
    <w:rsid w:val="00CC0CF3"/>
    <w:rsid w:val="00CC13E2"/>
    <w:rsid w:val="00CC14F1"/>
    <w:rsid w:val="00CC19DC"/>
    <w:rsid w:val="00CC1C56"/>
    <w:rsid w:val="00CC1F4A"/>
    <w:rsid w:val="00CC319E"/>
    <w:rsid w:val="00CC399C"/>
    <w:rsid w:val="00CC3EAE"/>
    <w:rsid w:val="00CC4C0C"/>
    <w:rsid w:val="00CC5907"/>
    <w:rsid w:val="00CC6056"/>
    <w:rsid w:val="00CC6405"/>
    <w:rsid w:val="00CC64E3"/>
    <w:rsid w:val="00CC6AF4"/>
    <w:rsid w:val="00CC7811"/>
    <w:rsid w:val="00CC7ACC"/>
    <w:rsid w:val="00CD1654"/>
    <w:rsid w:val="00CD1DC2"/>
    <w:rsid w:val="00CD1F99"/>
    <w:rsid w:val="00CD2D05"/>
    <w:rsid w:val="00CD408B"/>
    <w:rsid w:val="00CD4175"/>
    <w:rsid w:val="00CD46A4"/>
    <w:rsid w:val="00CD5697"/>
    <w:rsid w:val="00CD5E1D"/>
    <w:rsid w:val="00CE068B"/>
    <w:rsid w:val="00CE0DE9"/>
    <w:rsid w:val="00CE13BD"/>
    <w:rsid w:val="00CE17CF"/>
    <w:rsid w:val="00CE295B"/>
    <w:rsid w:val="00CE43B2"/>
    <w:rsid w:val="00CE44E0"/>
    <w:rsid w:val="00CE4567"/>
    <w:rsid w:val="00CE4AF4"/>
    <w:rsid w:val="00CE4E89"/>
    <w:rsid w:val="00CE5FF3"/>
    <w:rsid w:val="00CE633E"/>
    <w:rsid w:val="00CE6B03"/>
    <w:rsid w:val="00CE7ADF"/>
    <w:rsid w:val="00CF08E1"/>
    <w:rsid w:val="00CF1568"/>
    <w:rsid w:val="00CF356D"/>
    <w:rsid w:val="00CF415F"/>
    <w:rsid w:val="00CF4426"/>
    <w:rsid w:val="00CF4941"/>
    <w:rsid w:val="00CF4D55"/>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909"/>
    <w:rsid w:val="00D04225"/>
    <w:rsid w:val="00D04AAE"/>
    <w:rsid w:val="00D05168"/>
    <w:rsid w:val="00D05829"/>
    <w:rsid w:val="00D05FAA"/>
    <w:rsid w:val="00D06429"/>
    <w:rsid w:val="00D072F0"/>
    <w:rsid w:val="00D07567"/>
    <w:rsid w:val="00D1082B"/>
    <w:rsid w:val="00D108E8"/>
    <w:rsid w:val="00D1099E"/>
    <w:rsid w:val="00D11024"/>
    <w:rsid w:val="00D115FC"/>
    <w:rsid w:val="00D1197D"/>
    <w:rsid w:val="00D11C18"/>
    <w:rsid w:val="00D1265C"/>
    <w:rsid w:val="00D1267F"/>
    <w:rsid w:val="00D1447F"/>
    <w:rsid w:val="00D153CD"/>
    <w:rsid w:val="00D1545D"/>
    <w:rsid w:val="00D15BE6"/>
    <w:rsid w:val="00D15C68"/>
    <w:rsid w:val="00D16003"/>
    <w:rsid w:val="00D16054"/>
    <w:rsid w:val="00D16EAE"/>
    <w:rsid w:val="00D16F0A"/>
    <w:rsid w:val="00D17460"/>
    <w:rsid w:val="00D1789C"/>
    <w:rsid w:val="00D1794B"/>
    <w:rsid w:val="00D17DB6"/>
    <w:rsid w:val="00D2059D"/>
    <w:rsid w:val="00D20671"/>
    <w:rsid w:val="00D21770"/>
    <w:rsid w:val="00D23088"/>
    <w:rsid w:val="00D235C3"/>
    <w:rsid w:val="00D2529D"/>
    <w:rsid w:val="00D25B1C"/>
    <w:rsid w:val="00D25FBF"/>
    <w:rsid w:val="00D260A1"/>
    <w:rsid w:val="00D268FD"/>
    <w:rsid w:val="00D272B0"/>
    <w:rsid w:val="00D2789C"/>
    <w:rsid w:val="00D27E70"/>
    <w:rsid w:val="00D27FAF"/>
    <w:rsid w:val="00D307CA"/>
    <w:rsid w:val="00D31533"/>
    <w:rsid w:val="00D322D3"/>
    <w:rsid w:val="00D32F9D"/>
    <w:rsid w:val="00D33298"/>
    <w:rsid w:val="00D3492D"/>
    <w:rsid w:val="00D351B2"/>
    <w:rsid w:val="00D36AB0"/>
    <w:rsid w:val="00D36E3F"/>
    <w:rsid w:val="00D37E13"/>
    <w:rsid w:val="00D400CD"/>
    <w:rsid w:val="00D407EF"/>
    <w:rsid w:val="00D424CE"/>
    <w:rsid w:val="00D42DE7"/>
    <w:rsid w:val="00D43057"/>
    <w:rsid w:val="00D44112"/>
    <w:rsid w:val="00D445E3"/>
    <w:rsid w:val="00D44683"/>
    <w:rsid w:val="00D4495B"/>
    <w:rsid w:val="00D44CC5"/>
    <w:rsid w:val="00D45B88"/>
    <w:rsid w:val="00D45DDD"/>
    <w:rsid w:val="00D46056"/>
    <w:rsid w:val="00D46F82"/>
    <w:rsid w:val="00D50294"/>
    <w:rsid w:val="00D51CE7"/>
    <w:rsid w:val="00D5239C"/>
    <w:rsid w:val="00D52505"/>
    <w:rsid w:val="00D52EF5"/>
    <w:rsid w:val="00D53A6A"/>
    <w:rsid w:val="00D54356"/>
    <w:rsid w:val="00D54549"/>
    <w:rsid w:val="00D54B68"/>
    <w:rsid w:val="00D55028"/>
    <w:rsid w:val="00D55035"/>
    <w:rsid w:val="00D55AD5"/>
    <w:rsid w:val="00D55C13"/>
    <w:rsid w:val="00D573CE"/>
    <w:rsid w:val="00D574BA"/>
    <w:rsid w:val="00D57A93"/>
    <w:rsid w:val="00D57B7E"/>
    <w:rsid w:val="00D607CE"/>
    <w:rsid w:val="00D60DC1"/>
    <w:rsid w:val="00D611D0"/>
    <w:rsid w:val="00D61479"/>
    <w:rsid w:val="00D61890"/>
    <w:rsid w:val="00D61D0D"/>
    <w:rsid w:val="00D62039"/>
    <w:rsid w:val="00D639C8"/>
    <w:rsid w:val="00D644A8"/>
    <w:rsid w:val="00D644F1"/>
    <w:rsid w:val="00D6538C"/>
    <w:rsid w:val="00D66600"/>
    <w:rsid w:val="00D66E2C"/>
    <w:rsid w:val="00D6702A"/>
    <w:rsid w:val="00D675DA"/>
    <w:rsid w:val="00D67A9A"/>
    <w:rsid w:val="00D67B8B"/>
    <w:rsid w:val="00D71930"/>
    <w:rsid w:val="00D733A1"/>
    <w:rsid w:val="00D73E35"/>
    <w:rsid w:val="00D74BCB"/>
    <w:rsid w:val="00D75BB3"/>
    <w:rsid w:val="00D774B8"/>
    <w:rsid w:val="00D77E2C"/>
    <w:rsid w:val="00D8064C"/>
    <w:rsid w:val="00D80BFF"/>
    <w:rsid w:val="00D82D0F"/>
    <w:rsid w:val="00D82E97"/>
    <w:rsid w:val="00D84484"/>
    <w:rsid w:val="00D84D2B"/>
    <w:rsid w:val="00D84E29"/>
    <w:rsid w:val="00D8500B"/>
    <w:rsid w:val="00D85911"/>
    <w:rsid w:val="00D862B2"/>
    <w:rsid w:val="00D86F53"/>
    <w:rsid w:val="00D8761A"/>
    <w:rsid w:val="00D87FDD"/>
    <w:rsid w:val="00D9012D"/>
    <w:rsid w:val="00D90786"/>
    <w:rsid w:val="00D913E2"/>
    <w:rsid w:val="00D92726"/>
    <w:rsid w:val="00D92F4F"/>
    <w:rsid w:val="00D94256"/>
    <w:rsid w:val="00D95636"/>
    <w:rsid w:val="00D961D9"/>
    <w:rsid w:val="00D96702"/>
    <w:rsid w:val="00D96790"/>
    <w:rsid w:val="00D96ED5"/>
    <w:rsid w:val="00D96F22"/>
    <w:rsid w:val="00D97A2C"/>
    <w:rsid w:val="00DA0C71"/>
    <w:rsid w:val="00DA0C9C"/>
    <w:rsid w:val="00DA1BE1"/>
    <w:rsid w:val="00DA2415"/>
    <w:rsid w:val="00DA26F1"/>
    <w:rsid w:val="00DA2B83"/>
    <w:rsid w:val="00DA2FC0"/>
    <w:rsid w:val="00DA3E01"/>
    <w:rsid w:val="00DA3F36"/>
    <w:rsid w:val="00DA453A"/>
    <w:rsid w:val="00DA512A"/>
    <w:rsid w:val="00DA5994"/>
    <w:rsid w:val="00DA59F8"/>
    <w:rsid w:val="00DA5D41"/>
    <w:rsid w:val="00DA6BAA"/>
    <w:rsid w:val="00DA6D6B"/>
    <w:rsid w:val="00DA7CA2"/>
    <w:rsid w:val="00DA7D6B"/>
    <w:rsid w:val="00DB0338"/>
    <w:rsid w:val="00DB1FCA"/>
    <w:rsid w:val="00DB332D"/>
    <w:rsid w:val="00DB4B1D"/>
    <w:rsid w:val="00DB6C0F"/>
    <w:rsid w:val="00DC10BC"/>
    <w:rsid w:val="00DC1685"/>
    <w:rsid w:val="00DC1D71"/>
    <w:rsid w:val="00DC3A2B"/>
    <w:rsid w:val="00DC41EA"/>
    <w:rsid w:val="00DC5424"/>
    <w:rsid w:val="00DC5EF1"/>
    <w:rsid w:val="00DC63BB"/>
    <w:rsid w:val="00DC6EB4"/>
    <w:rsid w:val="00DC6F74"/>
    <w:rsid w:val="00DC79EF"/>
    <w:rsid w:val="00DD255F"/>
    <w:rsid w:val="00DD4023"/>
    <w:rsid w:val="00DD5DB8"/>
    <w:rsid w:val="00DD6338"/>
    <w:rsid w:val="00DD6465"/>
    <w:rsid w:val="00DD6B41"/>
    <w:rsid w:val="00DD7752"/>
    <w:rsid w:val="00DE046B"/>
    <w:rsid w:val="00DE0A00"/>
    <w:rsid w:val="00DE0F80"/>
    <w:rsid w:val="00DE14F5"/>
    <w:rsid w:val="00DE2996"/>
    <w:rsid w:val="00DE2DEC"/>
    <w:rsid w:val="00DE51AF"/>
    <w:rsid w:val="00DE76E4"/>
    <w:rsid w:val="00DF0D3F"/>
    <w:rsid w:val="00DF0DD3"/>
    <w:rsid w:val="00DF0EB7"/>
    <w:rsid w:val="00DF11ED"/>
    <w:rsid w:val="00DF16F2"/>
    <w:rsid w:val="00DF187B"/>
    <w:rsid w:val="00DF1FAB"/>
    <w:rsid w:val="00DF2B09"/>
    <w:rsid w:val="00DF485B"/>
    <w:rsid w:val="00DF4D11"/>
    <w:rsid w:val="00DF603D"/>
    <w:rsid w:val="00DF6500"/>
    <w:rsid w:val="00DF696F"/>
    <w:rsid w:val="00DF6996"/>
    <w:rsid w:val="00DF7158"/>
    <w:rsid w:val="00E0055B"/>
    <w:rsid w:val="00E00757"/>
    <w:rsid w:val="00E0133B"/>
    <w:rsid w:val="00E01363"/>
    <w:rsid w:val="00E017B6"/>
    <w:rsid w:val="00E019EF"/>
    <w:rsid w:val="00E02B9F"/>
    <w:rsid w:val="00E0340D"/>
    <w:rsid w:val="00E041BB"/>
    <w:rsid w:val="00E045D9"/>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1F05"/>
    <w:rsid w:val="00E1209C"/>
    <w:rsid w:val="00E12615"/>
    <w:rsid w:val="00E12893"/>
    <w:rsid w:val="00E131DD"/>
    <w:rsid w:val="00E131FC"/>
    <w:rsid w:val="00E13438"/>
    <w:rsid w:val="00E1381A"/>
    <w:rsid w:val="00E154C2"/>
    <w:rsid w:val="00E16512"/>
    <w:rsid w:val="00E168CB"/>
    <w:rsid w:val="00E1698A"/>
    <w:rsid w:val="00E169B3"/>
    <w:rsid w:val="00E1745C"/>
    <w:rsid w:val="00E176EC"/>
    <w:rsid w:val="00E17966"/>
    <w:rsid w:val="00E17D44"/>
    <w:rsid w:val="00E17EFC"/>
    <w:rsid w:val="00E20DA1"/>
    <w:rsid w:val="00E21A51"/>
    <w:rsid w:val="00E21C76"/>
    <w:rsid w:val="00E23DEF"/>
    <w:rsid w:val="00E245C1"/>
    <w:rsid w:val="00E25074"/>
    <w:rsid w:val="00E25AC4"/>
    <w:rsid w:val="00E2725B"/>
    <w:rsid w:val="00E277CE"/>
    <w:rsid w:val="00E27F03"/>
    <w:rsid w:val="00E30975"/>
    <w:rsid w:val="00E31B10"/>
    <w:rsid w:val="00E31DB0"/>
    <w:rsid w:val="00E32B1F"/>
    <w:rsid w:val="00E3306E"/>
    <w:rsid w:val="00E3326E"/>
    <w:rsid w:val="00E33BAF"/>
    <w:rsid w:val="00E33EDC"/>
    <w:rsid w:val="00E345AC"/>
    <w:rsid w:val="00E35FCA"/>
    <w:rsid w:val="00E3605D"/>
    <w:rsid w:val="00E36A3E"/>
    <w:rsid w:val="00E37477"/>
    <w:rsid w:val="00E3753E"/>
    <w:rsid w:val="00E40F82"/>
    <w:rsid w:val="00E4125E"/>
    <w:rsid w:val="00E419B5"/>
    <w:rsid w:val="00E42C05"/>
    <w:rsid w:val="00E44F29"/>
    <w:rsid w:val="00E4503C"/>
    <w:rsid w:val="00E45CCB"/>
    <w:rsid w:val="00E45CD1"/>
    <w:rsid w:val="00E464C3"/>
    <w:rsid w:val="00E46BD2"/>
    <w:rsid w:val="00E503E4"/>
    <w:rsid w:val="00E511FF"/>
    <w:rsid w:val="00E51564"/>
    <w:rsid w:val="00E52611"/>
    <w:rsid w:val="00E528F2"/>
    <w:rsid w:val="00E53720"/>
    <w:rsid w:val="00E53EEC"/>
    <w:rsid w:val="00E54186"/>
    <w:rsid w:val="00E564FF"/>
    <w:rsid w:val="00E56E25"/>
    <w:rsid w:val="00E579F7"/>
    <w:rsid w:val="00E60A4D"/>
    <w:rsid w:val="00E62189"/>
    <w:rsid w:val="00E63347"/>
    <w:rsid w:val="00E63508"/>
    <w:rsid w:val="00E63653"/>
    <w:rsid w:val="00E6502F"/>
    <w:rsid w:val="00E657EF"/>
    <w:rsid w:val="00E65C2C"/>
    <w:rsid w:val="00E661D3"/>
    <w:rsid w:val="00E6777A"/>
    <w:rsid w:val="00E708B8"/>
    <w:rsid w:val="00E70B33"/>
    <w:rsid w:val="00E725DC"/>
    <w:rsid w:val="00E73179"/>
    <w:rsid w:val="00E7362E"/>
    <w:rsid w:val="00E74130"/>
    <w:rsid w:val="00E74837"/>
    <w:rsid w:val="00E75481"/>
    <w:rsid w:val="00E76AC6"/>
    <w:rsid w:val="00E7769E"/>
    <w:rsid w:val="00E77BB6"/>
    <w:rsid w:val="00E80F97"/>
    <w:rsid w:val="00E8104F"/>
    <w:rsid w:val="00E8336F"/>
    <w:rsid w:val="00E843D9"/>
    <w:rsid w:val="00E844CE"/>
    <w:rsid w:val="00E85631"/>
    <w:rsid w:val="00E86FE3"/>
    <w:rsid w:val="00E873D5"/>
    <w:rsid w:val="00E874C0"/>
    <w:rsid w:val="00E87D95"/>
    <w:rsid w:val="00E90ACA"/>
    <w:rsid w:val="00E91CDB"/>
    <w:rsid w:val="00E91F17"/>
    <w:rsid w:val="00E94713"/>
    <w:rsid w:val="00E95123"/>
    <w:rsid w:val="00E95929"/>
    <w:rsid w:val="00E962F1"/>
    <w:rsid w:val="00E96A5C"/>
    <w:rsid w:val="00E97D99"/>
    <w:rsid w:val="00EA03ED"/>
    <w:rsid w:val="00EA0553"/>
    <w:rsid w:val="00EA1982"/>
    <w:rsid w:val="00EA1ED2"/>
    <w:rsid w:val="00EA25E0"/>
    <w:rsid w:val="00EA2E50"/>
    <w:rsid w:val="00EA2E55"/>
    <w:rsid w:val="00EA340C"/>
    <w:rsid w:val="00EA528C"/>
    <w:rsid w:val="00EA535B"/>
    <w:rsid w:val="00EA5905"/>
    <w:rsid w:val="00EA5A0C"/>
    <w:rsid w:val="00EA66D9"/>
    <w:rsid w:val="00EA69A9"/>
    <w:rsid w:val="00EA6D5E"/>
    <w:rsid w:val="00EA6D7B"/>
    <w:rsid w:val="00EA766A"/>
    <w:rsid w:val="00EA7EA3"/>
    <w:rsid w:val="00EB1000"/>
    <w:rsid w:val="00EB39B7"/>
    <w:rsid w:val="00EB3F93"/>
    <w:rsid w:val="00EB5112"/>
    <w:rsid w:val="00EB5490"/>
    <w:rsid w:val="00EB57D8"/>
    <w:rsid w:val="00EB5C21"/>
    <w:rsid w:val="00EB6081"/>
    <w:rsid w:val="00EB631C"/>
    <w:rsid w:val="00EB63A2"/>
    <w:rsid w:val="00EB660C"/>
    <w:rsid w:val="00EB6A67"/>
    <w:rsid w:val="00EB6CBD"/>
    <w:rsid w:val="00EB7326"/>
    <w:rsid w:val="00EB7815"/>
    <w:rsid w:val="00EB7F55"/>
    <w:rsid w:val="00EB7FD5"/>
    <w:rsid w:val="00EC0269"/>
    <w:rsid w:val="00EC02C2"/>
    <w:rsid w:val="00EC03A3"/>
    <w:rsid w:val="00EC0AFC"/>
    <w:rsid w:val="00EC1D68"/>
    <w:rsid w:val="00EC1DD3"/>
    <w:rsid w:val="00EC2261"/>
    <w:rsid w:val="00EC2477"/>
    <w:rsid w:val="00EC316E"/>
    <w:rsid w:val="00EC472B"/>
    <w:rsid w:val="00EC4C0B"/>
    <w:rsid w:val="00EC4EA7"/>
    <w:rsid w:val="00EC5B43"/>
    <w:rsid w:val="00EC6BB0"/>
    <w:rsid w:val="00EC6C3B"/>
    <w:rsid w:val="00EC6E04"/>
    <w:rsid w:val="00EC6FBB"/>
    <w:rsid w:val="00EC767B"/>
    <w:rsid w:val="00ED17DA"/>
    <w:rsid w:val="00ED1AAE"/>
    <w:rsid w:val="00ED1D50"/>
    <w:rsid w:val="00ED21B5"/>
    <w:rsid w:val="00ED26E6"/>
    <w:rsid w:val="00ED372A"/>
    <w:rsid w:val="00ED48FC"/>
    <w:rsid w:val="00ED4AC1"/>
    <w:rsid w:val="00ED4AE3"/>
    <w:rsid w:val="00ED5008"/>
    <w:rsid w:val="00ED57DA"/>
    <w:rsid w:val="00ED639D"/>
    <w:rsid w:val="00EE0545"/>
    <w:rsid w:val="00EE0A26"/>
    <w:rsid w:val="00EE0D9B"/>
    <w:rsid w:val="00EE1996"/>
    <w:rsid w:val="00EE1EAD"/>
    <w:rsid w:val="00EE1EFC"/>
    <w:rsid w:val="00EE3054"/>
    <w:rsid w:val="00EE30A4"/>
    <w:rsid w:val="00EE373E"/>
    <w:rsid w:val="00EE41DB"/>
    <w:rsid w:val="00EE4716"/>
    <w:rsid w:val="00EE4FC5"/>
    <w:rsid w:val="00EE61A4"/>
    <w:rsid w:val="00EE6B4E"/>
    <w:rsid w:val="00EE7B03"/>
    <w:rsid w:val="00EF2340"/>
    <w:rsid w:val="00EF2F70"/>
    <w:rsid w:val="00EF33F8"/>
    <w:rsid w:val="00EF3BCC"/>
    <w:rsid w:val="00EF47F1"/>
    <w:rsid w:val="00EF51A4"/>
    <w:rsid w:val="00EF51FA"/>
    <w:rsid w:val="00EF571F"/>
    <w:rsid w:val="00F00316"/>
    <w:rsid w:val="00F01019"/>
    <w:rsid w:val="00F01320"/>
    <w:rsid w:val="00F01BD6"/>
    <w:rsid w:val="00F01C0D"/>
    <w:rsid w:val="00F03BFD"/>
    <w:rsid w:val="00F049D3"/>
    <w:rsid w:val="00F04C91"/>
    <w:rsid w:val="00F068BF"/>
    <w:rsid w:val="00F07DCD"/>
    <w:rsid w:val="00F11DC0"/>
    <w:rsid w:val="00F12D2A"/>
    <w:rsid w:val="00F131D7"/>
    <w:rsid w:val="00F14B9B"/>
    <w:rsid w:val="00F150E7"/>
    <w:rsid w:val="00F153C4"/>
    <w:rsid w:val="00F1574E"/>
    <w:rsid w:val="00F15CB1"/>
    <w:rsid w:val="00F16AD8"/>
    <w:rsid w:val="00F177F8"/>
    <w:rsid w:val="00F17A44"/>
    <w:rsid w:val="00F2018F"/>
    <w:rsid w:val="00F21107"/>
    <w:rsid w:val="00F21111"/>
    <w:rsid w:val="00F221BA"/>
    <w:rsid w:val="00F221EA"/>
    <w:rsid w:val="00F2276E"/>
    <w:rsid w:val="00F2339C"/>
    <w:rsid w:val="00F23A9F"/>
    <w:rsid w:val="00F23B2E"/>
    <w:rsid w:val="00F23F73"/>
    <w:rsid w:val="00F249D0"/>
    <w:rsid w:val="00F25CCF"/>
    <w:rsid w:val="00F25E6A"/>
    <w:rsid w:val="00F2642D"/>
    <w:rsid w:val="00F2753E"/>
    <w:rsid w:val="00F27B51"/>
    <w:rsid w:val="00F30535"/>
    <w:rsid w:val="00F309A7"/>
    <w:rsid w:val="00F3399B"/>
    <w:rsid w:val="00F33B40"/>
    <w:rsid w:val="00F33D27"/>
    <w:rsid w:val="00F33E85"/>
    <w:rsid w:val="00F3441C"/>
    <w:rsid w:val="00F34A55"/>
    <w:rsid w:val="00F35ABB"/>
    <w:rsid w:val="00F36387"/>
    <w:rsid w:val="00F36998"/>
    <w:rsid w:val="00F37351"/>
    <w:rsid w:val="00F37AD8"/>
    <w:rsid w:val="00F40291"/>
    <w:rsid w:val="00F40E18"/>
    <w:rsid w:val="00F40EBD"/>
    <w:rsid w:val="00F410CD"/>
    <w:rsid w:val="00F425FB"/>
    <w:rsid w:val="00F42F47"/>
    <w:rsid w:val="00F437D8"/>
    <w:rsid w:val="00F444FA"/>
    <w:rsid w:val="00F44893"/>
    <w:rsid w:val="00F454D7"/>
    <w:rsid w:val="00F459E5"/>
    <w:rsid w:val="00F45EC8"/>
    <w:rsid w:val="00F473F6"/>
    <w:rsid w:val="00F47F1B"/>
    <w:rsid w:val="00F47F9D"/>
    <w:rsid w:val="00F5064F"/>
    <w:rsid w:val="00F50696"/>
    <w:rsid w:val="00F50708"/>
    <w:rsid w:val="00F50AF8"/>
    <w:rsid w:val="00F510A9"/>
    <w:rsid w:val="00F51831"/>
    <w:rsid w:val="00F51BEF"/>
    <w:rsid w:val="00F5250A"/>
    <w:rsid w:val="00F53860"/>
    <w:rsid w:val="00F539B2"/>
    <w:rsid w:val="00F55F27"/>
    <w:rsid w:val="00F5640A"/>
    <w:rsid w:val="00F5682A"/>
    <w:rsid w:val="00F572F0"/>
    <w:rsid w:val="00F575BF"/>
    <w:rsid w:val="00F57731"/>
    <w:rsid w:val="00F57AD4"/>
    <w:rsid w:val="00F60512"/>
    <w:rsid w:val="00F616BF"/>
    <w:rsid w:val="00F62235"/>
    <w:rsid w:val="00F62D70"/>
    <w:rsid w:val="00F636B6"/>
    <w:rsid w:val="00F64313"/>
    <w:rsid w:val="00F64692"/>
    <w:rsid w:val="00F65B14"/>
    <w:rsid w:val="00F65E73"/>
    <w:rsid w:val="00F6681C"/>
    <w:rsid w:val="00F676FE"/>
    <w:rsid w:val="00F67948"/>
    <w:rsid w:val="00F70388"/>
    <w:rsid w:val="00F706A6"/>
    <w:rsid w:val="00F7071F"/>
    <w:rsid w:val="00F71338"/>
    <w:rsid w:val="00F71C70"/>
    <w:rsid w:val="00F7247C"/>
    <w:rsid w:val="00F7273D"/>
    <w:rsid w:val="00F72878"/>
    <w:rsid w:val="00F72F23"/>
    <w:rsid w:val="00F73A9F"/>
    <w:rsid w:val="00F73EF3"/>
    <w:rsid w:val="00F74A64"/>
    <w:rsid w:val="00F75DE6"/>
    <w:rsid w:val="00F75DF2"/>
    <w:rsid w:val="00F77713"/>
    <w:rsid w:val="00F777BD"/>
    <w:rsid w:val="00F80A23"/>
    <w:rsid w:val="00F80B95"/>
    <w:rsid w:val="00F81378"/>
    <w:rsid w:val="00F81D14"/>
    <w:rsid w:val="00F86645"/>
    <w:rsid w:val="00F86B0E"/>
    <w:rsid w:val="00F86BF3"/>
    <w:rsid w:val="00F86FE2"/>
    <w:rsid w:val="00F90903"/>
    <w:rsid w:val="00F90C10"/>
    <w:rsid w:val="00F911F8"/>
    <w:rsid w:val="00F913E3"/>
    <w:rsid w:val="00F9187F"/>
    <w:rsid w:val="00F91E49"/>
    <w:rsid w:val="00F929E8"/>
    <w:rsid w:val="00F934DB"/>
    <w:rsid w:val="00F93866"/>
    <w:rsid w:val="00F93B0A"/>
    <w:rsid w:val="00F94113"/>
    <w:rsid w:val="00F94EAF"/>
    <w:rsid w:val="00F95B72"/>
    <w:rsid w:val="00F95D7E"/>
    <w:rsid w:val="00F96AD5"/>
    <w:rsid w:val="00F96BBC"/>
    <w:rsid w:val="00F9719F"/>
    <w:rsid w:val="00F97A08"/>
    <w:rsid w:val="00FA096D"/>
    <w:rsid w:val="00FA16C6"/>
    <w:rsid w:val="00FA34DA"/>
    <w:rsid w:val="00FA5924"/>
    <w:rsid w:val="00FA651C"/>
    <w:rsid w:val="00FA6524"/>
    <w:rsid w:val="00FA7F67"/>
    <w:rsid w:val="00FB0952"/>
    <w:rsid w:val="00FB208B"/>
    <w:rsid w:val="00FB2259"/>
    <w:rsid w:val="00FB34DF"/>
    <w:rsid w:val="00FB4FD0"/>
    <w:rsid w:val="00FB5563"/>
    <w:rsid w:val="00FB5950"/>
    <w:rsid w:val="00FB5D7A"/>
    <w:rsid w:val="00FB6595"/>
    <w:rsid w:val="00FB69D6"/>
    <w:rsid w:val="00FB756E"/>
    <w:rsid w:val="00FB7580"/>
    <w:rsid w:val="00FC00FD"/>
    <w:rsid w:val="00FC0E29"/>
    <w:rsid w:val="00FC15C0"/>
    <w:rsid w:val="00FC1715"/>
    <w:rsid w:val="00FC17AA"/>
    <w:rsid w:val="00FC26CA"/>
    <w:rsid w:val="00FC2828"/>
    <w:rsid w:val="00FC2903"/>
    <w:rsid w:val="00FC3D0C"/>
    <w:rsid w:val="00FC4474"/>
    <w:rsid w:val="00FC4E85"/>
    <w:rsid w:val="00FC4EB6"/>
    <w:rsid w:val="00FC4FA0"/>
    <w:rsid w:val="00FC5E86"/>
    <w:rsid w:val="00FC614E"/>
    <w:rsid w:val="00FC6457"/>
    <w:rsid w:val="00FD06C4"/>
    <w:rsid w:val="00FD2C25"/>
    <w:rsid w:val="00FD31F7"/>
    <w:rsid w:val="00FD3322"/>
    <w:rsid w:val="00FD43BE"/>
    <w:rsid w:val="00FD59B1"/>
    <w:rsid w:val="00FD5D8A"/>
    <w:rsid w:val="00FD6339"/>
    <w:rsid w:val="00FD76DC"/>
    <w:rsid w:val="00FD7DF5"/>
    <w:rsid w:val="00FE0EA5"/>
    <w:rsid w:val="00FE1117"/>
    <w:rsid w:val="00FE12D2"/>
    <w:rsid w:val="00FE14DE"/>
    <w:rsid w:val="00FE1ECE"/>
    <w:rsid w:val="00FE24C8"/>
    <w:rsid w:val="00FE2594"/>
    <w:rsid w:val="00FE3AA6"/>
    <w:rsid w:val="00FE40D8"/>
    <w:rsid w:val="00FE49B0"/>
    <w:rsid w:val="00FE4BC8"/>
    <w:rsid w:val="00FE6553"/>
    <w:rsid w:val="00FE75D3"/>
    <w:rsid w:val="00FF048B"/>
    <w:rsid w:val="00FF0521"/>
    <w:rsid w:val="00FF063F"/>
    <w:rsid w:val="00FF09A5"/>
    <w:rsid w:val="00FF10BE"/>
    <w:rsid w:val="00FF18AB"/>
    <w:rsid w:val="00FF1A53"/>
    <w:rsid w:val="00FF3797"/>
    <w:rsid w:val="00FF444A"/>
    <w:rsid w:val="00FF4C4A"/>
    <w:rsid w:val="00FF4D1B"/>
    <w:rsid w:val="00FF5492"/>
    <w:rsid w:val="00FF6DCE"/>
    <w:rsid w:val="00FF6E42"/>
    <w:rsid w:val="00FF7011"/>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B30CFE"/>
  <w15:docId w15:val="{7740EF38-C20D-4CEB-BDCF-A6AE7531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link w:val="Heading2Char1"/>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
    <w:link w:val="BVIfnrChar"/>
    <w:uiPriority w:val="99"/>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link w:val="BodyTextChar1"/>
    <w:rsid w:val="00424E0F"/>
    <w:pPr>
      <w:spacing w:before="120" w:after="120"/>
      <w:ind w:firstLine="720"/>
    </w:pPr>
    <w:rPr>
      <w:iCs/>
    </w:rPr>
  </w:style>
  <w:style w:type="paragraph" w:styleId="Caption">
    <w:name w:val="caption"/>
    <w:basedOn w:val="Normal"/>
    <w:next w:val="Normal"/>
    <w:uiPriority w:val="35"/>
    <w:qFormat/>
    <w:rsid w:val="00F21107"/>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424E0F"/>
    <w:pPr>
      <w:keepLines/>
      <w:spacing w:after="60"/>
      <w:ind w:firstLine="720"/>
    </w:pPr>
    <w:rPr>
      <w:rFonts w:cs="Times New Roman"/>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F21107"/>
    <w:pPr>
      <w:ind w:left="1080" w:hanging="360"/>
    </w:pPr>
    <w:rPr>
      <w:rFonts w:ascii="Courier" w:hAnsi="Courier"/>
      <w:sz w:val="20"/>
    </w:rPr>
  </w:style>
  <w:style w:type="paragraph" w:customStyle="1" w:styleId="BodyText21">
    <w:name w:val="Body Text 21"/>
    <w:basedOn w:val="Normal"/>
    <w:rsid w:val="00F21107"/>
  </w:style>
  <w:style w:type="paragraph" w:styleId="BlockText">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uiPriority w:val="4"/>
    <w:qFormat/>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rsid w:val="00424E0F"/>
    <w:rPr>
      <w:color w:val="0000FF"/>
      <w:u w:val="single"/>
    </w:rPr>
  </w:style>
  <w:style w:type="paragraph" w:styleId="DocumentMap">
    <w:name w:val="Document Map"/>
    <w:basedOn w:val="Normal"/>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6"/>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F21107"/>
  </w:style>
  <w:style w:type="paragraph" w:customStyle="1" w:styleId="Heading4indent">
    <w:name w:val="Heading 4 indent"/>
    <w:basedOn w:val="Heading4"/>
    <w:rsid w:val="00F21107"/>
    <w:pPr>
      <w:ind w:left="720"/>
    </w:pPr>
  </w:style>
  <w:style w:type="paragraph" w:styleId="PlainText">
    <w:name w:val="Plain Text"/>
    <w:basedOn w:val="Normal"/>
    <w:link w:val="PlainTextCh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sid w:val="00F21107"/>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CommentReference">
    <w:name w:val="annotation reference"/>
    <w:uiPriority w:val="99"/>
    <w:semiHidden/>
    <w:rsid w:val="00F21107"/>
    <w:rPr>
      <w:sz w:val="16"/>
      <w:szCs w:val="16"/>
    </w:rPr>
  </w:style>
  <w:style w:type="paragraph" w:styleId="CommentText">
    <w:name w:val="annotation text"/>
    <w:basedOn w:val="Normal"/>
    <w:link w:val="CommentTextChar"/>
    <w:uiPriority w:val="99"/>
    <w:semiHidden/>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Emph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OC1">
    <w:name w:val="toc 1"/>
    <w:basedOn w:val="Normal"/>
    <w:next w:val="Normal"/>
    <w:autoRedefine/>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uiPriority w:val="99"/>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uiPriority w:val="99"/>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uiPriority w:val="99"/>
    <w:semiHidden/>
    <w:rsid w:val="000C1BDD"/>
    <w:rPr>
      <w:rFonts w:ascii="Tahoma" w:hAnsi="Tahoma" w:cs="Tahoma"/>
      <w:sz w:val="16"/>
      <w:szCs w:val="16"/>
      <w:lang w:val="en-GB"/>
    </w:rPr>
  </w:style>
  <w:style w:type="character" w:customStyle="1" w:styleId="TitleChar">
    <w:name w:val="Title Char"/>
    <w:basedOn w:val="DefaultParagraphFont"/>
    <w:link w:val="Title"/>
    <w:uiPriority w:val="10"/>
    <w:rsid w:val="000C1BDD"/>
    <w:rPr>
      <w:rFonts w:cs="Angsana New"/>
      <w:i/>
      <w:iCs/>
      <w:sz w:val="22"/>
      <w:szCs w:val="24"/>
      <w:lang w:val="en-GB"/>
    </w:rPr>
  </w:style>
  <w:style w:type="character" w:customStyle="1" w:styleId="SubtitleChar">
    <w:name w:val="Subtitle Char"/>
    <w:basedOn w:val="DefaultParagraphFont"/>
    <w:link w:val="Subtitle"/>
    <w:uiPriority w:val="11"/>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4"/>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uiPriority w:val="99"/>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5"/>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rsid w:val="00D73E35"/>
  </w:style>
  <w:style w:type="paragraph" w:customStyle="1" w:styleId="H1Rec">
    <w:name w:val="H1Rec"/>
    <w:basedOn w:val="Heading1"/>
    <w:qFormat/>
    <w:rsid w:val="00D73E35"/>
  </w:style>
  <w:style w:type="character" w:customStyle="1" w:styleId="CharChar13">
    <w:name w:val="Char Char13"/>
    <w:basedOn w:val="DefaultParagraphFont"/>
    <w:locked/>
    <w:rsid w:val="00415FA0"/>
    <w:rPr>
      <w:rFonts w:eastAsia="MS Mincho" w:cs="Angsana New"/>
      <w:i/>
      <w:iCs/>
      <w:sz w:val="24"/>
      <w:szCs w:val="24"/>
      <w:lang w:val="en-GB"/>
    </w:rPr>
  </w:style>
  <w:style w:type="character" w:customStyle="1" w:styleId="CharChar">
    <w:name w:val="Char Char"/>
    <w:basedOn w:val="CommentSubjectChar"/>
    <w:semiHidden/>
    <w:locked/>
    <w:rsid w:val="00DF696F"/>
    <w:rPr>
      <w:rFonts w:ascii="Times New Roman" w:eastAsia="Times New Roman" w:hAnsi="Times New Roman" w:cs="Times New Roman"/>
      <w:b/>
      <w:bCs/>
      <w:sz w:val="20"/>
      <w:szCs w:val="20"/>
      <w:lang w:val="en-GB"/>
    </w:rPr>
  </w:style>
  <w:style w:type="character" w:customStyle="1" w:styleId="tw4winPopup">
    <w:name w:val="tw4winPopup"/>
    <w:rsid w:val="00DF696F"/>
    <w:rPr>
      <w:rFonts w:ascii="Courier New" w:hAnsi="Courier New"/>
      <w:noProof/>
      <w:color w:val="008000"/>
    </w:rPr>
  </w:style>
  <w:style w:type="character" w:customStyle="1" w:styleId="UnresolvedMention3">
    <w:name w:val="Unresolved Mention3"/>
    <w:basedOn w:val="DefaultParagraphFont"/>
    <w:uiPriority w:val="99"/>
    <w:semiHidden/>
    <w:unhideWhenUsed/>
    <w:rsid w:val="005C266C"/>
    <w:rPr>
      <w:color w:val="605E5C"/>
      <w:shd w:val="clear" w:color="auto" w:fill="E1DFDD"/>
    </w:rPr>
  </w:style>
  <w:style w:type="character" w:customStyle="1" w:styleId="Heading2Char1">
    <w:name w:val="Heading 2 Char1"/>
    <w:basedOn w:val="DefaultParagraphFont"/>
    <w:link w:val="Heading2"/>
    <w:rsid w:val="00CF1568"/>
    <w:rPr>
      <w:rFonts w:cs="Angsana New"/>
      <w:b/>
      <w:bCs/>
      <w:i/>
      <w:iCs/>
      <w:sz w:val="22"/>
      <w:szCs w:val="24"/>
      <w:lang w:val="en-GB"/>
    </w:rPr>
  </w:style>
  <w:style w:type="character" w:customStyle="1" w:styleId="BodyTextChar1">
    <w:name w:val="Body Text Char1"/>
    <w:basedOn w:val="DefaultParagraphFont"/>
    <w:link w:val="BodyText"/>
    <w:rsid w:val="00CF1568"/>
    <w:rPr>
      <w:rFonts w:cs="Angsana New"/>
      <w:iCs/>
      <w:sz w:val="22"/>
      <w:szCs w:val="24"/>
      <w:lang w:val="en-GB"/>
    </w:rPr>
  </w:style>
  <w:style w:type="character" w:customStyle="1" w:styleId="UnresolvedMention1">
    <w:name w:val="Unresolved Mention1"/>
    <w:basedOn w:val="DefaultParagraphFont"/>
    <w:uiPriority w:val="99"/>
    <w:semiHidden/>
    <w:unhideWhenUsed/>
    <w:rsid w:val="00CF1568"/>
    <w:rPr>
      <w:color w:val="808080"/>
      <w:shd w:val="clear" w:color="auto" w:fill="E6E6E6"/>
    </w:rPr>
  </w:style>
  <w:style w:type="character" w:customStyle="1" w:styleId="UnresolvedMention2">
    <w:name w:val="Unresolved Mention2"/>
    <w:basedOn w:val="DefaultParagraphFont"/>
    <w:uiPriority w:val="99"/>
    <w:semiHidden/>
    <w:unhideWhenUsed/>
    <w:rsid w:val="00CF1568"/>
    <w:rPr>
      <w:color w:val="605E5C"/>
      <w:shd w:val="clear" w:color="auto" w:fill="E1DFDD"/>
    </w:rPr>
  </w:style>
  <w:style w:type="paragraph" w:customStyle="1" w:styleId="CBD-Para-i">
    <w:name w:val="CBD-Para-i"/>
    <w:basedOn w:val="Normal"/>
    <w:rsid w:val="00CF1568"/>
    <w:pPr>
      <w:tabs>
        <w:tab w:val="num" w:pos="1814"/>
        <w:tab w:val="left" w:pos="2160"/>
        <w:tab w:val="left" w:pos="2880"/>
      </w:tabs>
      <w:spacing w:before="80" w:after="80"/>
      <w:ind w:left="1814" w:hanging="170"/>
    </w:pPr>
    <w:rPr>
      <w:rFonts w:eastAsia="Times New Roman" w:cs="Times New Roman"/>
      <w:szCs w:val="20"/>
    </w:rPr>
  </w:style>
  <w:style w:type="character" w:customStyle="1" w:styleId="UnresolvedMention4">
    <w:name w:val="Unresolved Mention4"/>
    <w:basedOn w:val="DefaultParagraphFont"/>
    <w:uiPriority w:val="99"/>
    <w:semiHidden/>
    <w:unhideWhenUsed/>
    <w:rsid w:val="00CF1568"/>
    <w:rPr>
      <w:color w:val="605E5C"/>
      <w:shd w:val="clear" w:color="auto" w:fill="E1DFDD"/>
    </w:rPr>
  </w:style>
  <w:style w:type="character" w:customStyle="1" w:styleId="ParaChar">
    <w:name w:val="Para Char"/>
    <w:basedOn w:val="DefaultParagraphFont"/>
    <w:link w:val="Para"/>
    <w:uiPriority w:val="4"/>
    <w:rsid w:val="00CF1568"/>
    <w:rPr>
      <w:rFonts w:cs="Angsana New"/>
      <w:sz w:val="22"/>
      <w:szCs w:val="24"/>
      <w:lang w:val="en-GB"/>
    </w:rPr>
  </w:style>
  <w:style w:type="paragraph" w:customStyle="1" w:styleId="Sourcenotes">
    <w:name w:val="Source &amp; notes"/>
    <w:uiPriority w:val="16"/>
    <w:qFormat/>
    <w:rsid w:val="00CF1568"/>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CF1568"/>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CF156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CF1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2907">
      <w:bodyDiv w:val="1"/>
      <w:marLeft w:val="0"/>
      <w:marRight w:val="0"/>
      <w:marTop w:val="0"/>
      <w:marBottom w:val="0"/>
      <w:divBdr>
        <w:top w:val="none" w:sz="0" w:space="0" w:color="auto"/>
        <w:left w:val="none" w:sz="0" w:space="0" w:color="auto"/>
        <w:bottom w:val="none" w:sz="0" w:space="0" w:color="auto"/>
        <w:right w:val="none" w:sz="0" w:space="0" w:color="auto"/>
      </w:divBdr>
    </w:div>
    <w:div w:id="791510241">
      <w:bodyDiv w:val="1"/>
      <w:marLeft w:val="0"/>
      <w:marRight w:val="0"/>
      <w:marTop w:val="0"/>
      <w:marBottom w:val="0"/>
      <w:divBdr>
        <w:top w:val="none" w:sz="0" w:space="0" w:color="auto"/>
        <w:left w:val="none" w:sz="0" w:space="0" w:color="auto"/>
        <w:bottom w:val="none" w:sz="0" w:space="0" w:color="auto"/>
        <w:right w:val="none" w:sz="0" w:space="0" w:color="auto"/>
      </w:divBdr>
      <w:divsChild>
        <w:div w:id="1512377463">
          <w:marLeft w:val="0"/>
          <w:marRight w:val="0"/>
          <w:marTop w:val="0"/>
          <w:marBottom w:val="0"/>
          <w:divBdr>
            <w:top w:val="none" w:sz="0" w:space="0" w:color="auto"/>
            <w:left w:val="none" w:sz="0" w:space="0" w:color="auto"/>
            <w:bottom w:val="none" w:sz="0" w:space="0" w:color="auto"/>
            <w:right w:val="none" w:sz="0" w:space="0" w:color="auto"/>
          </w:divBdr>
          <w:divsChild>
            <w:div w:id="1318220853">
              <w:marLeft w:val="0"/>
              <w:marRight w:val="0"/>
              <w:marTop w:val="0"/>
              <w:marBottom w:val="0"/>
              <w:divBdr>
                <w:top w:val="none" w:sz="0" w:space="0" w:color="auto"/>
                <w:left w:val="none" w:sz="0" w:space="0" w:color="auto"/>
                <w:bottom w:val="none" w:sz="0" w:space="0" w:color="auto"/>
                <w:right w:val="none" w:sz="0" w:space="0" w:color="auto"/>
              </w:divBdr>
              <w:divsChild>
                <w:div w:id="1883057971">
                  <w:marLeft w:val="0"/>
                  <w:marRight w:val="0"/>
                  <w:marTop w:val="0"/>
                  <w:marBottom w:val="0"/>
                  <w:divBdr>
                    <w:top w:val="none" w:sz="0" w:space="0" w:color="auto"/>
                    <w:left w:val="none" w:sz="0" w:space="0" w:color="auto"/>
                    <w:bottom w:val="none" w:sz="0" w:space="0" w:color="auto"/>
                    <w:right w:val="none" w:sz="0" w:space="0" w:color="auto"/>
                  </w:divBdr>
                </w:div>
              </w:divsChild>
            </w:div>
            <w:div w:id="1953321114">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57100789">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5562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1341">
          <w:marLeft w:val="0"/>
          <w:marRight w:val="0"/>
          <w:marTop w:val="0"/>
          <w:marBottom w:val="0"/>
          <w:divBdr>
            <w:top w:val="none" w:sz="0" w:space="0" w:color="auto"/>
            <w:left w:val="none" w:sz="0" w:space="0" w:color="auto"/>
            <w:bottom w:val="none" w:sz="0" w:space="0" w:color="auto"/>
            <w:right w:val="none" w:sz="0" w:space="0" w:color="auto"/>
          </w:divBdr>
          <w:divsChild>
            <w:div w:id="76176223">
              <w:marLeft w:val="0"/>
              <w:marRight w:val="0"/>
              <w:marTop w:val="0"/>
              <w:marBottom w:val="0"/>
              <w:divBdr>
                <w:top w:val="none" w:sz="0" w:space="0" w:color="auto"/>
                <w:left w:val="none" w:sz="0" w:space="0" w:color="auto"/>
                <w:bottom w:val="none" w:sz="0" w:space="0" w:color="auto"/>
                <w:right w:val="none" w:sz="0" w:space="0" w:color="auto"/>
              </w:divBdr>
              <w:divsChild>
                <w:div w:id="577252912">
                  <w:marLeft w:val="0"/>
                  <w:marRight w:val="0"/>
                  <w:marTop w:val="0"/>
                  <w:marBottom w:val="0"/>
                  <w:divBdr>
                    <w:top w:val="none" w:sz="0" w:space="0" w:color="auto"/>
                    <w:left w:val="none" w:sz="0" w:space="0" w:color="auto"/>
                    <w:bottom w:val="none" w:sz="0" w:space="0" w:color="auto"/>
                    <w:right w:val="none" w:sz="0" w:space="0" w:color="auto"/>
                  </w:divBdr>
                  <w:divsChild>
                    <w:div w:id="864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85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4035224">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capacity4dev/b4life/wiki/biodiversity-life-b4life" TargetMode="External"/><Relationship Id="rId3" Type="http://schemas.openxmlformats.org/officeDocument/2006/relationships/hyperlink" Target="https://ec.europa.eu/environment/nature/biodiversity/financing_en.htm" TargetMode="External"/><Relationship Id="rId7" Type="http://schemas.openxmlformats.org/officeDocument/2006/relationships/hyperlink" Target="http://ec.europa.eu/environment/biodiversity/business/index_en.htm" TargetMode="External"/><Relationship Id="rId12" Type="http://schemas.openxmlformats.org/officeDocument/2006/relationships/hyperlink" Target="https://www.cbd.int/meetings/SBI-03" TargetMode="External"/><Relationship Id="rId2" Type="http://schemas.openxmlformats.org/officeDocument/2006/relationships/hyperlink" Target="https://www.wavespartnership.org/es" TargetMode="External"/><Relationship Id="rId1" Type="http://schemas.openxmlformats.org/officeDocument/2006/relationships/hyperlink" Target="https://chm.cbd.int/search/financial-analyzer" TargetMode="External"/><Relationship Id="rId6" Type="http://schemas.openxmlformats.org/officeDocument/2006/relationships/hyperlink" Target="https://www.oecd.org/environment/resources/biodiversity/report-a-comprehensive-overview-of-global-biodiversity-finance.pdf" TargetMode="External"/><Relationship Id="rId11" Type="http://schemas.openxmlformats.org/officeDocument/2006/relationships/hyperlink" Target="https://www.oecd.org/environment/resources/biodiversity/report-a-comprehensive-overview-of-global-biodiversity-finance.pdf" TargetMode="External"/><Relationship Id="rId5" Type="http://schemas.openxmlformats.org/officeDocument/2006/relationships/hyperlink" Target="https://www.thegef.org/sites/default/files/council-meeting-documents/c-53-me-inf-01%20-%20DEC17.pdf" TargetMode="External"/><Relationship Id="rId10" Type="http://schemas.openxmlformats.org/officeDocument/2006/relationships/hyperlink" Target="https://undocs.org/es/A/RES/70/1" TargetMode="External"/><Relationship Id="rId4" Type="http://schemas.openxmlformats.org/officeDocument/2006/relationships/hyperlink" Target="https://www.thegef.org/topics/biodiversity" TargetMode="External"/><Relationship Id="rId9" Type="http://schemas.openxmlformats.org/officeDocument/2006/relationships/hyperlink" Target="https://www.cbd.int/development/doc/biodiversity-2030-agenda-technical-note-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
      <w:docPartPr>
        <w:name w:val="FFED35D8C170664893CCB0DB52C7E928"/>
        <w:category>
          <w:name w:val="Général"/>
          <w:gallery w:val="placeholder"/>
        </w:category>
        <w:types>
          <w:type w:val="bbPlcHdr"/>
        </w:types>
        <w:behaviors>
          <w:behavior w:val="content"/>
        </w:behaviors>
        <w:guid w:val="{88414CBF-CAEB-8B48-BCAC-A26211E68411}"/>
      </w:docPartPr>
      <w:docPartBody>
        <w:p w:rsidR="00850086" w:rsidRDefault="00850086" w:rsidP="00850086">
          <w:pPr>
            <w:pStyle w:val="FFED35D8C170664893CCB0DB52C7E928"/>
          </w:pPr>
          <w:r w:rsidRPr="00E905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062"/>
    <w:rsid w:val="000C2C3A"/>
    <w:rsid w:val="000E305E"/>
    <w:rsid w:val="001120DA"/>
    <w:rsid w:val="00135B09"/>
    <w:rsid w:val="001524A3"/>
    <w:rsid w:val="001B6B18"/>
    <w:rsid w:val="001B6E62"/>
    <w:rsid w:val="00214CEF"/>
    <w:rsid w:val="00217013"/>
    <w:rsid w:val="00236D86"/>
    <w:rsid w:val="00252B49"/>
    <w:rsid w:val="002538BD"/>
    <w:rsid w:val="002760E7"/>
    <w:rsid w:val="002C362D"/>
    <w:rsid w:val="002E149D"/>
    <w:rsid w:val="002F63AC"/>
    <w:rsid w:val="00334FEA"/>
    <w:rsid w:val="003729B8"/>
    <w:rsid w:val="00391664"/>
    <w:rsid w:val="003B714A"/>
    <w:rsid w:val="003D5912"/>
    <w:rsid w:val="00404458"/>
    <w:rsid w:val="004278A3"/>
    <w:rsid w:val="00430A23"/>
    <w:rsid w:val="00430E7E"/>
    <w:rsid w:val="00471C81"/>
    <w:rsid w:val="0047301B"/>
    <w:rsid w:val="0049068C"/>
    <w:rsid w:val="004C4C0C"/>
    <w:rsid w:val="004E2070"/>
    <w:rsid w:val="00570605"/>
    <w:rsid w:val="005B33D9"/>
    <w:rsid w:val="005F05E4"/>
    <w:rsid w:val="006106D5"/>
    <w:rsid w:val="0065469A"/>
    <w:rsid w:val="00656676"/>
    <w:rsid w:val="00660D44"/>
    <w:rsid w:val="00662F1C"/>
    <w:rsid w:val="006648EF"/>
    <w:rsid w:val="006B133D"/>
    <w:rsid w:val="006F3379"/>
    <w:rsid w:val="00731219"/>
    <w:rsid w:val="00781194"/>
    <w:rsid w:val="00794CA4"/>
    <w:rsid w:val="007A2746"/>
    <w:rsid w:val="007A437A"/>
    <w:rsid w:val="00800C34"/>
    <w:rsid w:val="00826AC4"/>
    <w:rsid w:val="00841FD7"/>
    <w:rsid w:val="00847111"/>
    <w:rsid w:val="00850086"/>
    <w:rsid w:val="00856292"/>
    <w:rsid w:val="008749BD"/>
    <w:rsid w:val="00881BCD"/>
    <w:rsid w:val="008C1727"/>
    <w:rsid w:val="008D75C7"/>
    <w:rsid w:val="008E7056"/>
    <w:rsid w:val="00930B1F"/>
    <w:rsid w:val="00962BA4"/>
    <w:rsid w:val="00996279"/>
    <w:rsid w:val="009B2414"/>
    <w:rsid w:val="009E2E41"/>
    <w:rsid w:val="009F7E85"/>
    <w:rsid w:val="00A246B3"/>
    <w:rsid w:val="00A47301"/>
    <w:rsid w:val="00A51172"/>
    <w:rsid w:val="00A56DA1"/>
    <w:rsid w:val="00A7126A"/>
    <w:rsid w:val="00AC341E"/>
    <w:rsid w:val="00AD40E6"/>
    <w:rsid w:val="00B41EA3"/>
    <w:rsid w:val="00B424EE"/>
    <w:rsid w:val="00B6670C"/>
    <w:rsid w:val="00B723CD"/>
    <w:rsid w:val="00B72B23"/>
    <w:rsid w:val="00BD5C1D"/>
    <w:rsid w:val="00C02495"/>
    <w:rsid w:val="00C0348F"/>
    <w:rsid w:val="00C2561F"/>
    <w:rsid w:val="00C54E96"/>
    <w:rsid w:val="00C62816"/>
    <w:rsid w:val="00C72211"/>
    <w:rsid w:val="00C776E2"/>
    <w:rsid w:val="00C8112C"/>
    <w:rsid w:val="00C947F8"/>
    <w:rsid w:val="00CB1432"/>
    <w:rsid w:val="00CE0933"/>
    <w:rsid w:val="00D034EF"/>
    <w:rsid w:val="00D2787C"/>
    <w:rsid w:val="00D30710"/>
    <w:rsid w:val="00D35062"/>
    <w:rsid w:val="00D538CB"/>
    <w:rsid w:val="00D552F4"/>
    <w:rsid w:val="00D77EB9"/>
    <w:rsid w:val="00D9026F"/>
    <w:rsid w:val="00DE5578"/>
    <w:rsid w:val="00DE57F7"/>
    <w:rsid w:val="00E00C6E"/>
    <w:rsid w:val="00E403FD"/>
    <w:rsid w:val="00E4203E"/>
    <w:rsid w:val="00ED3C6B"/>
    <w:rsid w:val="00EF4DD6"/>
    <w:rsid w:val="00F05BAF"/>
    <w:rsid w:val="00F436C8"/>
    <w:rsid w:val="00F707B9"/>
    <w:rsid w:val="00FD1F36"/>
    <w:rsid w:val="00FD59F9"/>
    <w:rsid w:val="00FE5919"/>
    <w:rsid w:val="00FE7B6C"/>
    <w:rsid w:val="00FF3713"/>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0086"/>
    <w:rPr>
      <w:color w:val="808080"/>
    </w:rPr>
  </w:style>
  <w:style w:type="paragraph" w:customStyle="1" w:styleId="F6938149324D417B9F3C98CD5F4F4316">
    <w:name w:val="F6938149324D417B9F3C98CD5F4F4316"/>
    <w:rsid w:val="00D30710"/>
    <w:pPr>
      <w:spacing w:after="200" w:line="276" w:lineRule="auto"/>
    </w:pPr>
    <w:rPr>
      <w:lang w:val="en-CA" w:eastAsia="en-CA"/>
    </w:rPr>
  </w:style>
  <w:style w:type="paragraph" w:customStyle="1" w:styleId="E42A7265C7AE4FECA3A4D993F1D86056">
    <w:name w:val="E42A7265C7AE4FECA3A4D993F1D86056"/>
    <w:rsid w:val="00D30710"/>
    <w:pPr>
      <w:spacing w:after="200" w:line="276" w:lineRule="auto"/>
    </w:pPr>
    <w:rPr>
      <w:lang w:val="en-CA" w:eastAsia="en-CA"/>
    </w:rPr>
  </w:style>
  <w:style w:type="paragraph" w:customStyle="1" w:styleId="0A5AD2C78B074C4C8F3E66626A0976C4">
    <w:name w:val="0A5AD2C78B074C4C8F3E66626A0976C4"/>
    <w:rsid w:val="00D30710"/>
    <w:pPr>
      <w:spacing w:after="200" w:line="276" w:lineRule="auto"/>
    </w:pPr>
    <w:rPr>
      <w:lang w:val="en-CA" w:eastAsia="en-CA"/>
    </w:rPr>
  </w:style>
  <w:style w:type="paragraph" w:customStyle="1" w:styleId="08997E34D7FA4864B740C5BC9511E4C4">
    <w:name w:val="08997E34D7FA4864B740C5BC9511E4C4"/>
    <w:rsid w:val="004E2070"/>
    <w:pPr>
      <w:spacing w:after="200" w:line="276" w:lineRule="auto"/>
    </w:pPr>
    <w:rPr>
      <w:lang w:val="en-CA" w:eastAsia="en-CA"/>
    </w:rPr>
  </w:style>
  <w:style w:type="paragraph" w:customStyle="1" w:styleId="1043178323484AB79313FEDDDFB614EF">
    <w:name w:val="1043178323484AB79313FEDDDFB614EF"/>
    <w:rsid w:val="004E2070"/>
    <w:pPr>
      <w:spacing w:after="200" w:line="276" w:lineRule="auto"/>
    </w:pPr>
    <w:rPr>
      <w:lang w:val="en-CA" w:eastAsia="en-CA"/>
    </w:rPr>
  </w:style>
  <w:style w:type="paragraph" w:customStyle="1" w:styleId="5EB2FC00DE0B40D5B1C30E3B6C8C3262">
    <w:name w:val="5EB2FC00DE0B40D5B1C30E3B6C8C3262"/>
    <w:rsid w:val="00CB1432"/>
    <w:rPr>
      <w:lang w:val="en-CA" w:eastAsia="en-CA"/>
    </w:rPr>
  </w:style>
  <w:style w:type="paragraph" w:customStyle="1" w:styleId="07C11FC3963F42D5B2B18C8B3DDD967F">
    <w:name w:val="07C11FC3963F42D5B2B18C8B3DDD967F"/>
    <w:rsid w:val="00CB1432"/>
    <w:rPr>
      <w:lang w:val="en-CA" w:eastAsia="en-CA"/>
    </w:rPr>
  </w:style>
  <w:style w:type="paragraph" w:customStyle="1" w:styleId="0B4D039F58BE4D5C9E3780B9ADF3E4E8">
    <w:name w:val="0B4D039F58BE4D5C9E3780B9ADF3E4E8"/>
    <w:rsid w:val="00CB1432"/>
    <w:rPr>
      <w:lang w:val="en-CA" w:eastAsia="en-CA"/>
    </w:rPr>
  </w:style>
  <w:style w:type="paragraph" w:customStyle="1" w:styleId="134BF8EF0AA64A109F0DFA828E1F9992">
    <w:name w:val="134BF8EF0AA64A109F0DFA828E1F9992"/>
    <w:rsid w:val="00CB1432"/>
    <w:rPr>
      <w:lang w:val="en-CA" w:eastAsia="en-CA"/>
    </w:rPr>
  </w:style>
  <w:style w:type="paragraph" w:customStyle="1" w:styleId="80270DC2353346F6B53E8723D9144BB2">
    <w:name w:val="80270DC2353346F6B53E8723D9144BB2"/>
    <w:rsid w:val="00CB1432"/>
    <w:rPr>
      <w:lang w:val="en-CA" w:eastAsia="en-CA"/>
    </w:rPr>
  </w:style>
  <w:style w:type="paragraph" w:customStyle="1" w:styleId="3794755DF6384700A36E5C59C7685824">
    <w:name w:val="3794755DF6384700A36E5C59C7685824"/>
    <w:rsid w:val="00CB1432"/>
    <w:rPr>
      <w:lang w:val="en-CA" w:eastAsia="en-CA"/>
    </w:rPr>
  </w:style>
  <w:style w:type="paragraph" w:customStyle="1" w:styleId="DD5B3AF22DBB4475B6BC5222A0D81394">
    <w:name w:val="DD5B3AF22DBB4475B6BC5222A0D81394"/>
    <w:rsid w:val="00CB1432"/>
    <w:rPr>
      <w:lang w:val="en-CA" w:eastAsia="en-CA"/>
    </w:rPr>
  </w:style>
  <w:style w:type="paragraph" w:customStyle="1" w:styleId="FE7F4CAA633E4A2F98CE591730E297D2">
    <w:name w:val="FE7F4CAA633E4A2F98CE591730E297D2"/>
    <w:rsid w:val="00CB1432"/>
    <w:rPr>
      <w:lang w:val="en-CA" w:eastAsia="en-CA"/>
    </w:rPr>
  </w:style>
  <w:style w:type="paragraph" w:customStyle="1" w:styleId="0493D30C21A447409AFDA762B1130D00">
    <w:name w:val="0493D30C21A447409AFDA762B1130D00"/>
    <w:rsid w:val="00CB1432"/>
    <w:rPr>
      <w:lang w:val="en-CA" w:eastAsia="en-CA"/>
    </w:rPr>
  </w:style>
  <w:style w:type="paragraph" w:customStyle="1" w:styleId="2E9015CF55F1461FA49A4487E06EAC84">
    <w:name w:val="2E9015CF55F1461FA49A4487E06EAC84"/>
    <w:rsid w:val="00CB1432"/>
    <w:rPr>
      <w:lang w:val="en-CA" w:eastAsia="en-CA"/>
    </w:rPr>
  </w:style>
  <w:style w:type="paragraph" w:customStyle="1" w:styleId="AF30A56CB50148E4B5637B38E9E72D2D">
    <w:name w:val="AF30A56CB50148E4B5637B38E9E72D2D"/>
    <w:rsid w:val="00CB1432"/>
    <w:rPr>
      <w:lang w:val="en-CA" w:eastAsia="en-CA"/>
    </w:rPr>
  </w:style>
  <w:style w:type="paragraph" w:customStyle="1" w:styleId="6EB8360F3FC24D76B1AC513BA05C2DF9">
    <w:name w:val="6EB8360F3FC24D76B1AC513BA05C2DF9"/>
    <w:rsid w:val="00CB1432"/>
    <w:rPr>
      <w:lang w:val="en-CA" w:eastAsia="en-CA"/>
    </w:rPr>
  </w:style>
  <w:style w:type="paragraph" w:customStyle="1" w:styleId="70370F3846C24DE980548D5C4579832B">
    <w:name w:val="70370F3846C24DE980548D5C4579832B"/>
    <w:rsid w:val="00CB1432"/>
    <w:rPr>
      <w:lang w:val="en-CA" w:eastAsia="en-CA"/>
    </w:rPr>
  </w:style>
  <w:style w:type="paragraph" w:customStyle="1" w:styleId="22CEA3C69F7F457193792C861B625E42">
    <w:name w:val="22CEA3C69F7F457193792C861B625E42"/>
    <w:rsid w:val="00CB1432"/>
    <w:rPr>
      <w:lang w:val="en-CA" w:eastAsia="en-CA"/>
    </w:rPr>
  </w:style>
  <w:style w:type="paragraph" w:customStyle="1" w:styleId="3C6D8429C56F4C1282FF45C71A5C4DDC">
    <w:name w:val="3C6D8429C56F4C1282FF45C71A5C4DDC"/>
    <w:rsid w:val="00CB1432"/>
    <w:rPr>
      <w:lang w:val="en-CA" w:eastAsia="en-CA"/>
    </w:rPr>
  </w:style>
  <w:style w:type="paragraph" w:customStyle="1" w:styleId="DA2415708FD14DE8A5F768667268CAE3">
    <w:name w:val="DA2415708FD14DE8A5F768667268CAE3"/>
    <w:rsid w:val="00CB1432"/>
    <w:rPr>
      <w:lang w:val="en-CA" w:eastAsia="en-CA"/>
    </w:rPr>
  </w:style>
  <w:style w:type="paragraph" w:customStyle="1" w:styleId="355AC69F92474A3096451AEDB1D93EC3">
    <w:name w:val="355AC69F92474A3096451AEDB1D93EC3"/>
    <w:rsid w:val="00CB1432"/>
    <w:rPr>
      <w:lang w:val="en-CA" w:eastAsia="en-CA"/>
    </w:rPr>
  </w:style>
  <w:style w:type="paragraph" w:customStyle="1" w:styleId="E7184B1658B844C5AEA7B868A1FEF9B7">
    <w:name w:val="E7184B1658B844C5AEA7B868A1FEF9B7"/>
    <w:rsid w:val="00CB1432"/>
    <w:rPr>
      <w:lang w:val="en-CA" w:eastAsia="en-CA"/>
    </w:rPr>
  </w:style>
  <w:style w:type="paragraph" w:customStyle="1" w:styleId="6007EFFD8A0B4419819E4EC20FD5A0F0">
    <w:name w:val="6007EFFD8A0B4419819E4EC20FD5A0F0"/>
    <w:rsid w:val="00CB1432"/>
    <w:rPr>
      <w:lang w:val="en-CA" w:eastAsia="en-CA"/>
    </w:rPr>
  </w:style>
  <w:style w:type="paragraph" w:customStyle="1" w:styleId="1CF5E9B5ED1941E1A361C22717372B5A">
    <w:name w:val="1CF5E9B5ED1941E1A361C22717372B5A"/>
    <w:rsid w:val="00CB1432"/>
    <w:rPr>
      <w:lang w:val="en-CA" w:eastAsia="en-CA"/>
    </w:rPr>
  </w:style>
  <w:style w:type="paragraph" w:customStyle="1" w:styleId="CB23FD2FDF1A483397E28AFA3F6E93EC">
    <w:name w:val="CB23FD2FDF1A483397E28AFA3F6E93EC"/>
    <w:rsid w:val="00CB1432"/>
    <w:rPr>
      <w:lang w:val="en-CA" w:eastAsia="en-CA"/>
    </w:rPr>
  </w:style>
  <w:style w:type="paragraph" w:customStyle="1" w:styleId="00CB91118BAB416D9E7912C7B5214908">
    <w:name w:val="00CB91118BAB416D9E7912C7B5214908"/>
    <w:rsid w:val="00CB1432"/>
    <w:rPr>
      <w:lang w:val="en-CA" w:eastAsia="en-CA"/>
    </w:rPr>
  </w:style>
  <w:style w:type="paragraph" w:customStyle="1" w:styleId="6ABD3A5F960F4B8581C40588E937F703">
    <w:name w:val="6ABD3A5F960F4B8581C40588E937F703"/>
    <w:rsid w:val="00CB1432"/>
    <w:rPr>
      <w:lang w:val="en-CA" w:eastAsia="en-CA"/>
    </w:rPr>
  </w:style>
  <w:style w:type="paragraph" w:customStyle="1" w:styleId="A61F722B62534D8C9A9F39E46349455D">
    <w:name w:val="A61F722B62534D8C9A9F39E46349455D"/>
    <w:rsid w:val="00CB1432"/>
    <w:rPr>
      <w:lang w:val="en-CA" w:eastAsia="en-CA"/>
    </w:rPr>
  </w:style>
  <w:style w:type="paragraph" w:customStyle="1" w:styleId="203C7ED4C4974A30A2DD6BAA7F35138A">
    <w:name w:val="203C7ED4C4974A30A2DD6BAA7F35138A"/>
    <w:rsid w:val="00CB1432"/>
    <w:rPr>
      <w:lang w:val="en-CA" w:eastAsia="en-CA"/>
    </w:rPr>
  </w:style>
  <w:style w:type="paragraph" w:customStyle="1" w:styleId="864AE561C9554F149F7A0075205677B6">
    <w:name w:val="864AE561C9554F149F7A0075205677B6"/>
    <w:rsid w:val="00CB1432"/>
    <w:rPr>
      <w:lang w:val="en-CA" w:eastAsia="en-CA"/>
    </w:rPr>
  </w:style>
  <w:style w:type="paragraph" w:customStyle="1" w:styleId="9B4EF6F4CB1B436DB362F4E49E93A2D4">
    <w:name w:val="9B4EF6F4CB1B436DB362F4E49E93A2D4"/>
    <w:rsid w:val="00CB1432"/>
    <w:rPr>
      <w:lang w:val="en-CA" w:eastAsia="en-CA"/>
    </w:rPr>
  </w:style>
  <w:style w:type="paragraph" w:customStyle="1" w:styleId="FB9F8291D5B34B4A98D579119C2B446C">
    <w:name w:val="FB9F8291D5B34B4A98D579119C2B446C"/>
    <w:rsid w:val="00CB1432"/>
    <w:rPr>
      <w:lang w:val="en-CA" w:eastAsia="en-CA"/>
    </w:rPr>
  </w:style>
  <w:style w:type="paragraph" w:customStyle="1" w:styleId="905AF34E06014F2D8A635C6D5D904022">
    <w:name w:val="905AF34E06014F2D8A635C6D5D904022"/>
    <w:rsid w:val="00CB1432"/>
    <w:rPr>
      <w:lang w:val="en-CA" w:eastAsia="en-CA"/>
    </w:rPr>
  </w:style>
  <w:style w:type="paragraph" w:customStyle="1" w:styleId="E83DB489C4D342DBA8E40A9502E00CDF">
    <w:name w:val="E83DB489C4D342DBA8E40A9502E00CDF"/>
    <w:rsid w:val="00CB1432"/>
    <w:rPr>
      <w:lang w:val="en-CA" w:eastAsia="en-CA"/>
    </w:rPr>
  </w:style>
  <w:style w:type="paragraph" w:customStyle="1" w:styleId="EA541B77829B40EB945B4E6C292142FF">
    <w:name w:val="EA541B77829B40EB945B4E6C292142FF"/>
    <w:rsid w:val="00CB1432"/>
    <w:rPr>
      <w:lang w:val="en-CA" w:eastAsia="en-CA"/>
    </w:rPr>
  </w:style>
  <w:style w:type="paragraph" w:customStyle="1" w:styleId="36610503DDA346E3B69AB42D3CFF5AA5">
    <w:name w:val="36610503DDA346E3B69AB42D3CFF5AA5"/>
    <w:rsid w:val="00CB1432"/>
    <w:rPr>
      <w:lang w:val="en-CA" w:eastAsia="en-CA"/>
    </w:rPr>
  </w:style>
  <w:style w:type="paragraph" w:customStyle="1" w:styleId="C6FD5A984A8B45BD9970F905B67F70AF">
    <w:name w:val="C6FD5A984A8B45BD9970F905B67F70AF"/>
    <w:rsid w:val="00CB1432"/>
    <w:rPr>
      <w:lang w:val="en-CA" w:eastAsia="en-CA"/>
    </w:rPr>
  </w:style>
  <w:style w:type="paragraph" w:customStyle="1" w:styleId="480624718E0E4C82A2C4AD650ACFCF30">
    <w:name w:val="480624718E0E4C82A2C4AD650ACFCF30"/>
    <w:rsid w:val="00CB1432"/>
    <w:rPr>
      <w:lang w:val="en-CA" w:eastAsia="en-CA"/>
    </w:rPr>
  </w:style>
  <w:style w:type="paragraph" w:customStyle="1" w:styleId="D228822F2D0946A7913F2DDE8B99DE88">
    <w:name w:val="D228822F2D0946A7913F2DDE8B99DE88"/>
    <w:rsid w:val="00CB1432"/>
    <w:rPr>
      <w:lang w:val="en-CA" w:eastAsia="en-CA"/>
    </w:rPr>
  </w:style>
  <w:style w:type="paragraph" w:customStyle="1" w:styleId="BEB26DC1C66A4CFDB6B681C84D5123BA">
    <w:name w:val="BEB26DC1C66A4CFDB6B681C84D5123BA"/>
    <w:rsid w:val="00CB1432"/>
    <w:rPr>
      <w:lang w:val="en-CA" w:eastAsia="en-CA"/>
    </w:rPr>
  </w:style>
  <w:style w:type="paragraph" w:customStyle="1" w:styleId="BD7A4AB6CFA444EA87D077032A74A919">
    <w:name w:val="BD7A4AB6CFA444EA87D077032A74A919"/>
    <w:rsid w:val="00CB1432"/>
    <w:rPr>
      <w:lang w:val="en-CA" w:eastAsia="en-CA"/>
    </w:rPr>
  </w:style>
  <w:style w:type="paragraph" w:customStyle="1" w:styleId="04C3B28966634B1DBDFBE722218BD8CD">
    <w:name w:val="04C3B28966634B1DBDFBE722218BD8CD"/>
    <w:rsid w:val="00CB1432"/>
    <w:rPr>
      <w:lang w:val="en-CA" w:eastAsia="en-CA"/>
    </w:rPr>
  </w:style>
  <w:style w:type="paragraph" w:customStyle="1" w:styleId="65E24DB4AC8F4960A10E4DF0C8B63FD4">
    <w:name w:val="65E24DB4AC8F4960A10E4DF0C8B63FD4"/>
    <w:rsid w:val="00CB1432"/>
    <w:rPr>
      <w:lang w:val="en-CA" w:eastAsia="en-CA"/>
    </w:rPr>
  </w:style>
  <w:style w:type="paragraph" w:customStyle="1" w:styleId="D3625A9146A44E3F9DA9B1C8A6E3CC1F">
    <w:name w:val="D3625A9146A44E3F9DA9B1C8A6E3CC1F"/>
    <w:rsid w:val="00CB1432"/>
    <w:rPr>
      <w:lang w:val="en-CA" w:eastAsia="en-CA"/>
    </w:rPr>
  </w:style>
  <w:style w:type="paragraph" w:customStyle="1" w:styleId="908C06119E5E4539A03860D7211667C9">
    <w:name w:val="908C06119E5E4539A03860D7211667C9"/>
    <w:rsid w:val="00CB1432"/>
    <w:rPr>
      <w:lang w:val="en-CA" w:eastAsia="en-CA"/>
    </w:rPr>
  </w:style>
  <w:style w:type="paragraph" w:customStyle="1" w:styleId="5D3D9FFA2C3C4C98AD415BE9173222DC">
    <w:name w:val="5D3D9FFA2C3C4C98AD415BE9173222DC"/>
    <w:rsid w:val="00CB1432"/>
    <w:rPr>
      <w:lang w:val="en-CA" w:eastAsia="en-CA"/>
    </w:rPr>
  </w:style>
  <w:style w:type="paragraph" w:customStyle="1" w:styleId="1E76246F52CF44AC8376CEF3D9D7B7E3">
    <w:name w:val="1E76246F52CF44AC8376CEF3D9D7B7E3"/>
    <w:rsid w:val="00CB1432"/>
    <w:rPr>
      <w:lang w:val="en-CA" w:eastAsia="en-CA"/>
    </w:rPr>
  </w:style>
  <w:style w:type="paragraph" w:customStyle="1" w:styleId="387BF1317B4F4082A2DE71333D6CFB14">
    <w:name w:val="387BF1317B4F4082A2DE71333D6CFB14"/>
    <w:rsid w:val="00CB1432"/>
    <w:rPr>
      <w:lang w:val="en-CA" w:eastAsia="en-CA"/>
    </w:rPr>
  </w:style>
  <w:style w:type="paragraph" w:customStyle="1" w:styleId="E646BE3DC1E04883B4A001A7657E10B1">
    <w:name w:val="E646BE3DC1E04883B4A001A7657E10B1"/>
    <w:rsid w:val="00CB1432"/>
    <w:rPr>
      <w:lang w:val="en-CA" w:eastAsia="en-CA"/>
    </w:rPr>
  </w:style>
  <w:style w:type="paragraph" w:customStyle="1" w:styleId="C777273C2D4D4D02B60BFED5CC88228F">
    <w:name w:val="C777273C2D4D4D02B60BFED5CC88228F"/>
    <w:rsid w:val="00CB1432"/>
    <w:rPr>
      <w:lang w:val="en-CA" w:eastAsia="en-CA"/>
    </w:rPr>
  </w:style>
  <w:style w:type="paragraph" w:customStyle="1" w:styleId="9880DC803A074A368D2113D0B272D39E">
    <w:name w:val="9880DC803A074A368D2113D0B272D39E"/>
    <w:rsid w:val="00CB1432"/>
    <w:rPr>
      <w:lang w:val="en-CA" w:eastAsia="en-CA"/>
    </w:rPr>
  </w:style>
  <w:style w:type="paragraph" w:customStyle="1" w:styleId="C82059FC2C6F474EA971FAB39E01E0D3">
    <w:name w:val="C82059FC2C6F474EA971FAB39E01E0D3"/>
    <w:rsid w:val="00CB1432"/>
    <w:rPr>
      <w:lang w:val="en-CA" w:eastAsia="en-CA"/>
    </w:rPr>
  </w:style>
  <w:style w:type="paragraph" w:customStyle="1" w:styleId="09B9E35C2E0A49E4BA842FCEFA0F6443">
    <w:name w:val="09B9E35C2E0A49E4BA842FCEFA0F6443"/>
    <w:rsid w:val="00CB1432"/>
    <w:rPr>
      <w:lang w:val="en-CA" w:eastAsia="en-CA"/>
    </w:rPr>
  </w:style>
  <w:style w:type="paragraph" w:customStyle="1" w:styleId="E56D484C77784C73B15A03A6C26D4BAF">
    <w:name w:val="E56D484C77784C73B15A03A6C26D4BAF"/>
    <w:rsid w:val="00CB1432"/>
    <w:rPr>
      <w:lang w:val="en-CA" w:eastAsia="en-CA"/>
    </w:rPr>
  </w:style>
  <w:style w:type="paragraph" w:customStyle="1" w:styleId="0FA4A01918AB4381B29E572C12334A8D">
    <w:name w:val="0FA4A01918AB4381B29E572C12334A8D"/>
    <w:rsid w:val="00CB1432"/>
    <w:rPr>
      <w:lang w:val="en-CA" w:eastAsia="en-CA"/>
    </w:rPr>
  </w:style>
  <w:style w:type="paragraph" w:customStyle="1" w:styleId="6AE0B5001B5B47318B237AC16426BC87">
    <w:name w:val="6AE0B5001B5B47318B237AC16426BC87"/>
    <w:rsid w:val="00CB1432"/>
    <w:rPr>
      <w:lang w:val="en-CA" w:eastAsia="en-CA"/>
    </w:rPr>
  </w:style>
  <w:style w:type="paragraph" w:customStyle="1" w:styleId="CC856D95D5344904B51DBAEF98CBBE9C">
    <w:name w:val="CC856D95D5344904B51DBAEF98CBBE9C"/>
    <w:rsid w:val="00CB1432"/>
    <w:rPr>
      <w:lang w:val="en-CA" w:eastAsia="en-CA"/>
    </w:rPr>
  </w:style>
  <w:style w:type="paragraph" w:customStyle="1" w:styleId="D0E6D2F7DEF2409F95B8AEB4D5179093">
    <w:name w:val="D0E6D2F7DEF2409F95B8AEB4D5179093"/>
    <w:rsid w:val="00CB1432"/>
    <w:rPr>
      <w:lang w:val="en-CA" w:eastAsia="en-CA"/>
    </w:rPr>
  </w:style>
  <w:style w:type="paragraph" w:customStyle="1" w:styleId="623BD28171E345A0A85FDD58938D408F">
    <w:name w:val="623BD28171E345A0A85FDD58938D408F"/>
    <w:rsid w:val="00CB1432"/>
    <w:rPr>
      <w:lang w:val="en-CA" w:eastAsia="en-CA"/>
    </w:rPr>
  </w:style>
  <w:style w:type="paragraph" w:customStyle="1" w:styleId="5A16265EFE774E578EE47C08655D8443">
    <w:name w:val="5A16265EFE774E578EE47C08655D8443"/>
    <w:rsid w:val="00CB1432"/>
    <w:rPr>
      <w:lang w:val="en-CA" w:eastAsia="en-CA"/>
    </w:rPr>
  </w:style>
  <w:style w:type="paragraph" w:customStyle="1" w:styleId="310FF5D527C24F8ABDC4492901211BB3">
    <w:name w:val="310FF5D527C24F8ABDC4492901211BB3"/>
    <w:rsid w:val="00CB1432"/>
    <w:rPr>
      <w:lang w:val="en-CA" w:eastAsia="en-CA"/>
    </w:rPr>
  </w:style>
  <w:style w:type="paragraph" w:customStyle="1" w:styleId="FFED35D8C170664893CCB0DB52C7E928">
    <w:name w:val="FFED35D8C170664893CCB0DB52C7E928"/>
    <w:rsid w:val="00850086"/>
    <w:pPr>
      <w:spacing w:after="0" w:line="240" w:lineRule="auto"/>
    </w:pPr>
    <w:rPr>
      <w:sz w:val="24"/>
      <w:szCs w:val="24"/>
      <w:lang w:val="fr-FR"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EB69-2E60-49A2-BE17-B35DFB19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9083</Words>
  <Characters>51779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informe de la segunda reunión del órgano subsidiario sobre la aplicación</vt:lpstr>
    </vt:vector>
  </TitlesOfParts>
  <Company>SCBD</Company>
  <LinksUpToDate>false</LinksUpToDate>
  <CharactersWithSpaces>60741</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PRIMER informe del panel de expertos SOBRE LA MOVILIZACIÓN DE RECURSOS</dc:title>
  <dc:subject>CBD/SBI/3/5/Add.1</dc:subject>
  <dc:creator>SCBD</dc:creator>
  <cp:lastModifiedBy>Tatiana Zavarzina</cp:lastModifiedBy>
  <cp:revision>33</cp:revision>
  <cp:lastPrinted>2018-10-03T16:24:00Z</cp:lastPrinted>
  <dcterms:created xsi:type="dcterms:W3CDTF">2020-06-26T21:26:00Z</dcterms:created>
  <dcterms:modified xsi:type="dcterms:W3CDTF">2020-06-30T20:18:00Z</dcterms:modified>
</cp:coreProperties>
</file>