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A03095" w:rsidRPr="005E7DB2" w:rsidTr="00F85601">
        <w:trPr>
          <w:trHeight w:val="851"/>
        </w:trPr>
        <w:tc>
          <w:tcPr>
            <w:tcW w:w="976" w:type="dxa"/>
            <w:tcBorders>
              <w:bottom w:val="single" w:sz="12" w:space="0" w:color="auto"/>
            </w:tcBorders>
          </w:tcPr>
          <w:p w:rsidR="00A03095" w:rsidRPr="005E7DB2" w:rsidRDefault="002B333B" w:rsidP="009654F0">
            <w:pPr>
              <w:suppressLineNumbers/>
              <w:suppressAutoHyphens/>
              <w:rPr>
                <w:kern w:val="22"/>
                <w:lang w:val="fr-CA"/>
              </w:rPr>
            </w:pPr>
            <w:r w:rsidRPr="005E7DB2">
              <w:rPr>
                <w:noProof/>
                <w:kern w:val="22"/>
                <w:lang w:val="fr-CA" w:eastAsia="fr-CA"/>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A03095" w:rsidRPr="005E7DB2" w:rsidRDefault="001E6E8A" w:rsidP="009654F0">
            <w:pPr>
              <w:suppressLineNumbers/>
              <w:suppressAutoHyphens/>
              <w:rPr>
                <w:kern w:val="22"/>
                <w:lang w:val="fr-CA"/>
              </w:rPr>
            </w:pPr>
            <w:r w:rsidRPr="005E7DB2">
              <w:rPr>
                <w:noProof/>
                <w:lang w:val="fr-CA" w:eastAsia="fr-CA"/>
              </w:rPr>
              <w:drawing>
                <wp:inline distT="0" distB="0" distL="0" distR="0">
                  <wp:extent cx="595630" cy="34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5630" cy="3460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A03095" w:rsidRPr="005E7DB2" w:rsidRDefault="00A03095" w:rsidP="009654F0">
            <w:pPr>
              <w:suppressLineNumbers/>
              <w:suppressAutoHyphens/>
              <w:jc w:val="right"/>
              <w:rPr>
                <w:rFonts w:ascii="Arial" w:hAnsi="Arial" w:cs="Arial"/>
                <w:b/>
                <w:kern w:val="22"/>
                <w:sz w:val="32"/>
                <w:szCs w:val="32"/>
                <w:lang w:val="fr-CA"/>
              </w:rPr>
            </w:pPr>
            <w:r w:rsidRPr="005E7DB2">
              <w:rPr>
                <w:rFonts w:ascii="Arial" w:hAnsi="Arial" w:cs="Arial"/>
                <w:b/>
                <w:kern w:val="22"/>
                <w:sz w:val="32"/>
                <w:szCs w:val="32"/>
                <w:lang w:val="fr-CA"/>
              </w:rPr>
              <w:t>CBD</w:t>
            </w:r>
          </w:p>
        </w:tc>
      </w:tr>
    </w:tbl>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5465"/>
      </w:tblGrid>
      <w:tr w:rsidR="00C9161D" w:rsidRPr="005E7DB2" w:rsidTr="00A03095">
        <w:tc>
          <w:tcPr>
            <w:tcW w:w="4776" w:type="dxa"/>
            <w:tcBorders>
              <w:top w:val="single" w:sz="12" w:space="0" w:color="auto"/>
              <w:bottom w:val="single" w:sz="36" w:space="0" w:color="auto"/>
            </w:tcBorders>
            <w:vAlign w:val="center"/>
          </w:tcPr>
          <w:p w:rsidR="00C9161D" w:rsidRPr="005E7DB2" w:rsidRDefault="001E6E8A" w:rsidP="006C6E40">
            <w:pPr>
              <w:suppressLineNumbers/>
              <w:suppressAutoHyphens/>
              <w:adjustRightInd w:val="0"/>
              <w:snapToGrid w:val="0"/>
              <w:rPr>
                <w:kern w:val="22"/>
                <w:lang w:val="fr-CA"/>
              </w:rPr>
            </w:pPr>
            <w:r w:rsidRPr="005E7DB2">
              <w:rPr>
                <w:noProof/>
                <w:kern w:val="22"/>
                <w:lang w:val="fr-CA" w:eastAsia="fr-CA"/>
              </w:rPr>
              <w:drawing>
                <wp:inline distT="0" distB="0" distL="0" distR="0">
                  <wp:extent cx="2355215" cy="942340"/>
                  <wp:effectExtent l="19050" t="0" r="6985" b="0"/>
                  <wp:docPr id="2"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_logo_fr-CMYK-black [Converted]"/>
                          <pic:cNvPicPr>
                            <a:picLocks noChangeAspect="1" noChangeArrowheads="1"/>
                          </pic:cNvPicPr>
                        </pic:nvPicPr>
                        <pic:blipFill>
                          <a:blip r:embed="rId14"/>
                          <a:srcRect/>
                          <a:stretch>
                            <a:fillRect/>
                          </a:stretch>
                        </pic:blipFill>
                        <pic:spPr bwMode="auto">
                          <a:xfrm>
                            <a:off x="0" y="0"/>
                            <a:ext cx="2355215" cy="942340"/>
                          </a:xfrm>
                          <a:prstGeom prst="rect">
                            <a:avLst/>
                          </a:prstGeom>
                          <a:noFill/>
                          <a:ln w="9525">
                            <a:noFill/>
                            <a:miter lim="800000"/>
                            <a:headEnd/>
                            <a:tailEnd/>
                          </a:ln>
                        </pic:spPr>
                      </pic:pic>
                    </a:graphicData>
                  </a:graphic>
                </wp:inline>
              </w:drawing>
            </w:r>
          </w:p>
        </w:tc>
        <w:tc>
          <w:tcPr>
            <w:tcW w:w="5465" w:type="dxa"/>
            <w:tcBorders>
              <w:top w:val="single" w:sz="12" w:space="0" w:color="auto"/>
              <w:bottom w:val="single" w:sz="36" w:space="0" w:color="auto"/>
            </w:tcBorders>
          </w:tcPr>
          <w:p w:rsidR="001E6E8A" w:rsidRPr="005E7DB2" w:rsidRDefault="001E6E8A" w:rsidP="001E6E8A">
            <w:pPr>
              <w:suppressLineNumbers/>
              <w:suppressAutoHyphens/>
              <w:adjustRightInd w:val="0"/>
              <w:snapToGrid w:val="0"/>
              <w:ind w:left="2809"/>
              <w:jc w:val="left"/>
              <w:rPr>
                <w:noProof/>
                <w:kern w:val="22"/>
                <w:szCs w:val="22"/>
                <w:lang w:val="fr-CA"/>
              </w:rPr>
            </w:pPr>
            <w:r w:rsidRPr="005E7DB2">
              <w:rPr>
                <w:noProof/>
                <w:kern w:val="22"/>
                <w:szCs w:val="22"/>
                <w:lang w:val="fr-CA"/>
              </w:rPr>
              <w:t>Distr.</w:t>
            </w:r>
          </w:p>
          <w:p w:rsidR="001E6E8A" w:rsidRPr="005E7DB2" w:rsidRDefault="001E6E8A" w:rsidP="001E6E8A">
            <w:pPr>
              <w:suppressLineNumbers/>
              <w:suppressAutoHyphens/>
              <w:adjustRightInd w:val="0"/>
              <w:snapToGrid w:val="0"/>
              <w:ind w:left="2809"/>
              <w:jc w:val="left"/>
              <w:rPr>
                <w:noProof/>
                <w:kern w:val="22"/>
                <w:szCs w:val="22"/>
                <w:lang w:val="fr-CA"/>
              </w:rPr>
            </w:pPr>
            <w:r w:rsidRPr="005E7DB2">
              <w:rPr>
                <w:noProof/>
                <w:snapToGrid w:val="0"/>
                <w:kern w:val="22"/>
                <w:szCs w:val="22"/>
                <w:lang w:val="fr-CA"/>
              </w:rPr>
              <w:t>GÉNÉRALE</w:t>
            </w:r>
          </w:p>
          <w:p w:rsidR="00C9161D" w:rsidRPr="005E7DB2" w:rsidRDefault="00C9161D">
            <w:pPr>
              <w:suppressLineNumbers/>
              <w:suppressAutoHyphens/>
              <w:adjustRightInd w:val="0"/>
              <w:snapToGrid w:val="0"/>
              <w:ind w:left="2809"/>
              <w:jc w:val="left"/>
              <w:rPr>
                <w:noProof/>
                <w:kern w:val="22"/>
                <w:szCs w:val="22"/>
                <w:lang w:val="fr-CA"/>
              </w:rPr>
            </w:pPr>
          </w:p>
          <w:p w:rsidR="00C9161D" w:rsidRPr="005E7DB2" w:rsidRDefault="00311561">
            <w:pPr>
              <w:suppressLineNumbers/>
              <w:suppressAutoHyphens/>
              <w:adjustRightInd w:val="0"/>
              <w:snapToGrid w:val="0"/>
              <w:ind w:left="2809"/>
              <w:jc w:val="left"/>
              <w:rPr>
                <w:kern w:val="22"/>
                <w:szCs w:val="22"/>
                <w:lang w:val="fr-CA"/>
              </w:rPr>
            </w:pPr>
            <w:sdt>
              <w:sdtPr>
                <w:rPr>
                  <w:noProof/>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9F14BF" w:rsidRPr="005E7DB2">
                  <w:rPr>
                    <w:noProof/>
                    <w:kern w:val="22"/>
                    <w:lang w:val="fr-CA"/>
                  </w:rPr>
                  <w:t>CBD/SBI/3/5/Add.1</w:t>
                </w:r>
              </w:sdtContent>
            </w:sdt>
          </w:p>
          <w:p w:rsidR="00C9161D" w:rsidRPr="005E7DB2" w:rsidRDefault="001E6E8A">
            <w:pPr>
              <w:suppressLineNumbers/>
              <w:suppressAutoHyphens/>
              <w:adjustRightInd w:val="0"/>
              <w:snapToGrid w:val="0"/>
              <w:ind w:left="2809"/>
              <w:jc w:val="left"/>
              <w:rPr>
                <w:kern w:val="22"/>
                <w:szCs w:val="22"/>
                <w:lang w:val="fr-CA"/>
              </w:rPr>
            </w:pPr>
            <w:r w:rsidRPr="005E7DB2">
              <w:rPr>
                <w:kern w:val="22"/>
                <w:szCs w:val="22"/>
                <w:lang w:val="fr-CA"/>
              </w:rPr>
              <w:t>8 juin </w:t>
            </w:r>
            <w:r w:rsidR="00FA3085" w:rsidRPr="005E7DB2">
              <w:rPr>
                <w:kern w:val="22"/>
                <w:szCs w:val="22"/>
                <w:lang w:val="fr-CA"/>
              </w:rPr>
              <w:t>20</w:t>
            </w:r>
            <w:r w:rsidR="00D379F8" w:rsidRPr="005E7DB2">
              <w:rPr>
                <w:kern w:val="22"/>
                <w:szCs w:val="22"/>
                <w:lang w:val="fr-CA"/>
              </w:rPr>
              <w:t>20</w:t>
            </w:r>
          </w:p>
          <w:p w:rsidR="00C9161D" w:rsidRPr="005E7DB2" w:rsidRDefault="00C9161D">
            <w:pPr>
              <w:suppressLineNumbers/>
              <w:suppressAutoHyphens/>
              <w:adjustRightInd w:val="0"/>
              <w:snapToGrid w:val="0"/>
              <w:ind w:left="2809"/>
              <w:jc w:val="left"/>
              <w:rPr>
                <w:kern w:val="22"/>
                <w:szCs w:val="22"/>
                <w:lang w:val="fr-CA"/>
              </w:rPr>
            </w:pPr>
          </w:p>
          <w:p w:rsidR="001E6E8A" w:rsidRPr="005E7DB2" w:rsidRDefault="001E6E8A" w:rsidP="001E6E8A">
            <w:pPr>
              <w:ind w:left="2772"/>
              <w:rPr>
                <w:snapToGrid w:val="0"/>
                <w:kern w:val="22"/>
                <w:szCs w:val="22"/>
                <w:lang w:val="fr-CA"/>
              </w:rPr>
            </w:pPr>
            <w:r w:rsidRPr="005E7DB2">
              <w:rPr>
                <w:snapToGrid w:val="0"/>
                <w:kern w:val="22"/>
                <w:szCs w:val="22"/>
                <w:lang w:val="fr-CA"/>
              </w:rPr>
              <w:t>FRANÇAIS</w:t>
            </w:r>
          </w:p>
          <w:p w:rsidR="00C9161D" w:rsidRPr="005E7DB2" w:rsidRDefault="001E6E8A" w:rsidP="001E6E8A">
            <w:pPr>
              <w:suppressLineNumbers/>
              <w:suppressAutoHyphens/>
              <w:adjustRightInd w:val="0"/>
              <w:snapToGrid w:val="0"/>
              <w:ind w:left="2809"/>
              <w:jc w:val="left"/>
              <w:rPr>
                <w:kern w:val="22"/>
                <w:szCs w:val="22"/>
                <w:lang w:val="fr-CA"/>
              </w:rPr>
            </w:pPr>
            <w:r w:rsidRPr="005E7DB2">
              <w:rPr>
                <w:snapToGrid w:val="0"/>
                <w:kern w:val="22"/>
                <w:szCs w:val="22"/>
                <w:lang w:val="fr-CA"/>
              </w:rPr>
              <w:t>ORIGINAL : ANGLAIS</w:t>
            </w:r>
          </w:p>
          <w:p w:rsidR="00C9161D" w:rsidRPr="005E7DB2" w:rsidRDefault="00C9161D">
            <w:pPr>
              <w:suppressLineNumbers/>
              <w:suppressAutoHyphens/>
              <w:adjustRightInd w:val="0"/>
              <w:snapToGrid w:val="0"/>
              <w:jc w:val="left"/>
              <w:rPr>
                <w:kern w:val="22"/>
                <w:lang w:val="fr-CA"/>
              </w:rPr>
            </w:pPr>
          </w:p>
        </w:tc>
      </w:tr>
    </w:tbl>
    <w:p w:rsidR="001E6E8A" w:rsidRPr="005E7DB2" w:rsidRDefault="001E6E8A" w:rsidP="001E6E8A">
      <w:pPr>
        <w:ind w:left="284" w:hanging="284"/>
        <w:jc w:val="left"/>
        <w:rPr>
          <w:rFonts w:eastAsia="Malgun Gothic"/>
          <w:caps/>
          <w:snapToGrid w:val="0"/>
          <w:kern w:val="22"/>
          <w:lang w:val="fr-CA"/>
        </w:rPr>
      </w:pPr>
      <w:bookmarkStart w:id="0" w:name="_Hlk23262499"/>
      <w:r w:rsidRPr="005E7DB2">
        <w:rPr>
          <w:rFonts w:eastAsia="Malgun Gothic"/>
          <w:caps/>
          <w:snapToGrid w:val="0"/>
          <w:kern w:val="22"/>
          <w:lang w:val="fr-CA"/>
        </w:rPr>
        <w:t xml:space="preserve">ORGANE SUBSIDIAIRE CHARGÉ DE </w:t>
      </w:r>
    </w:p>
    <w:p w:rsidR="00CF4B58" w:rsidRPr="005E7DB2" w:rsidRDefault="001E6E8A" w:rsidP="001E6E8A">
      <w:pPr>
        <w:pStyle w:val="meetingname"/>
        <w:suppressLineNumbers/>
        <w:suppressAutoHyphens/>
        <w:ind w:left="0" w:right="4392" w:firstLine="0"/>
        <w:rPr>
          <w:kern w:val="22"/>
          <w:lang w:val="fr-CA"/>
        </w:rPr>
      </w:pPr>
      <w:r w:rsidRPr="005E7DB2">
        <w:rPr>
          <w:rFonts w:eastAsia="Malgun Gothic"/>
          <w:snapToGrid w:val="0"/>
          <w:kern w:val="22"/>
          <w:lang w:val="fr-CA"/>
        </w:rPr>
        <w:t>L</w:t>
      </w:r>
      <w:r w:rsidR="001C0A75">
        <w:rPr>
          <w:rFonts w:eastAsia="Malgun Gothic"/>
          <w:snapToGrid w:val="0"/>
          <w:kern w:val="22"/>
          <w:lang w:val="fr-CA"/>
        </w:rPr>
        <w:t>’</w:t>
      </w:r>
      <w:r w:rsidRPr="005E7DB2">
        <w:rPr>
          <w:rFonts w:eastAsia="Malgun Gothic"/>
          <w:snapToGrid w:val="0"/>
          <w:kern w:val="22"/>
          <w:lang w:val="fr-CA"/>
        </w:rPr>
        <w:t>APPLICATION</w:t>
      </w:r>
    </w:p>
    <w:p w:rsidR="00CF4B58" w:rsidRPr="005E7DB2" w:rsidRDefault="001E6E8A">
      <w:pPr>
        <w:suppressLineNumbers/>
        <w:suppressAutoHyphens/>
        <w:rPr>
          <w:snapToGrid w:val="0"/>
          <w:kern w:val="22"/>
          <w:szCs w:val="22"/>
          <w:lang w:val="fr-CA" w:eastAsia="nb-NO"/>
        </w:rPr>
      </w:pPr>
      <w:r w:rsidRPr="005E7DB2">
        <w:rPr>
          <w:snapToGrid w:val="0"/>
          <w:kern w:val="22"/>
          <w:szCs w:val="22"/>
          <w:lang w:val="fr-CA" w:eastAsia="nb-NO"/>
        </w:rPr>
        <w:t>Troisième réunion</w:t>
      </w:r>
    </w:p>
    <w:p w:rsidR="00CF4B58" w:rsidRPr="005E7DB2" w:rsidRDefault="001E6E8A">
      <w:pPr>
        <w:suppressLineNumbers/>
        <w:suppressAutoHyphens/>
        <w:rPr>
          <w:snapToGrid w:val="0"/>
          <w:kern w:val="22"/>
          <w:szCs w:val="22"/>
          <w:lang w:val="fr-CA" w:eastAsia="nb-NO"/>
        </w:rPr>
      </w:pPr>
      <w:r w:rsidRPr="005E7DB2">
        <w:rPr>
          <w:snapToGrid w:val="0"/>
          <w:kern w:val="22"/>
          <w:szCs w:val="22"/>
          <w:lang w:val="fr-CA" w:eastAsia="nb-NO"/>
        </w:rPr>
        <w:t>Qué</w:t>
      </w:r>
      <w:r w:rsidR="0016125A" w:rsidRPr="005E7DB2">
        <w:rPr>
          <w:snapToGrid w:val="0"/>
          <w:kern w:val="22"/>
          <w:szCs w:val="22"/>
          <w:lang w:val="fr-CA" w:eastAsia="nb-NO"/>
        </w:rPr>
        <w:t>bec (</w:t>
      </w:r>
      <w:r w:rsidRPr="005E7DB2">
        <w:rPr>
          <w:snapToGrid w:val="0"/>
          <w:kern w:val="22"/>
          <w:szCs w:val="22"/>
          <w:lang w:val="fr-CA" w:eastAsia="nb-NO"/>
        </w:rPr>
        <w:t>à confirmer</w:t>
      </w:r>
      <w:r w:rsidR="0016125A" w:rsidRPr="005E7DB2">
        <w:rPr>
          <w:snapToGrid w:val="0"/>
          <w:kern w:val="22"/>
          <w:szCs w:val="22"/>
          <w:lang w:val="fr-CA" w:eastAsia="nb-NO"/>
        </w:rPr>
        <w:t>)</w:t>
      </w:r>
      <w:r w:rsidR="00CF4B58" w:rsidRPr="005E7DB2">
        <w:rPr>
          <w:snapToGrid w:val="0"/>
          <w:kern w:val="22"/>
          <w:szCs w:val="22"/>
          <w:lang w:val="fr-CA" w:eastAsia="nb-NO"/>
        </w:rPr>
        <w:t xml:space="preserve"> </w:t>
      </w:r>
      <w:r w:rsidRPr="005E7DB2">
        <w:rPr>
          <w:snapToGrid w:val="0"/>
          <w:kern w:val="22"/>
          <w:szCs w:val="22"/>
          <w:lang w:val="fr-CA" w:eastAsia="nb-NO"/>
        </w:rPr>
        <w:t>(</w:t>
      </w:r>
      <w:r w:rsidR="00CF4B58" w:rsidRPr="005E7DB2">
        <w:rPr>
          <w:snapToGrid w:val="0"/>
          <w:kern w:val="22"/>
          <w:szCs w:val="22"/>
          <w:lang w:val="fr-CA" w:eastAsia="nb-NO"/>
        </w:rPr>
        <w:t>Canada</w:t>
      </w:r>
      <w:r w:rsidRPr="005E7DB2">
        <w:rPr>
          <w:snapToGrid w:val="0"/>
          <w:kern w:val="22"/>
          <w:szCs w:val="22"/>
          <w:lang w:val="fr-CA" w:eastAsia="nb-NO"/>
        </w:rPr>
        <w:t>),</w:t>
      </w:r>
      <w:r w:rsidR="00CF4B58" w:rsidRPr="005E7DB2">
        <w:rPr>
          <w:snapToGrid w:val="0"/>
          <w:kern w:val="22"/>
          <w:szCs w:val="22"/>
          <w:lang w:val="fr-CA" w:eastAsia="nb-NO"/>
        </w:rPr>
        <w:t xml:space="preserve"> </w:t>
      </w:r>
      <w:r w:rsidRPr="005E7DB2">
        <w:rPr>
          <w:snapToGrid w:val="0"/>
          <w:kern w:val="22"/>
          <w:szCs w:val="22"/>
          <w:lang w:val="fr-CA" w:eastAsia="nb-NO"/>
        </w:rPr>
        <w:t>9</w:t>
      </w:r>
      <w:r w:rsidR="001C0A75">
        <w:rPr>
          <w:snapToGrid w:val="0"/>
          <w:kern w:val="22"/>
          <w:szCs w:val="22"/>
          <w:lang w:val="fr-CA" w:eastAsia="nb-NO"/>
        </w:rPr>
        <w:noBreakHyphen/>
      </w:r>
      <w:r w:rsidRPr="005E7DB2">
        <w:rPr>
          <w:snapToGrid w:val="0"/>
          <w:kern w:val="22"/>
          <w:szCs w:val="22"/>
          <w:lang w:val="fr-CA" w:eastAsia="nb-NO"/>
        </w:rPr>
        <w:t>14 novembre </w:t>
      </w:r>
      <w:r w:rsidR="00CF4B58" w:rsidRPr="005E7DB2">
        <w:rPr>
          <w:snapToGrid w:val="0"/>
          <w:kern w:val="22"/>
          <w:szCs w:val="22"/>
          <w:lang w:val="fr-CA" w:eastAsia="nb-NO"/>
        </w:rPr>
        <w:t>2020</w:t>
      </w:r>
    </w:p>
    <w:p w:rsidR="001E433D" w:rsidRPr="005E7DB2" w:rsidRDefault="001E6E8A">
      <w:pPr>
        <w:pStyle w:val="Header"/>
        <w:suppressLineNumbers/>
        <w:tabs>
          <w:tab w:val="clear" w:pos="4320"/>
          <w:tab w:val="clear" w:pos="8640"/>
        </w:tabs>
        <w:suppressAutoHyphens/>
        <w:rPr>
          <w:bCs/>
          <w:iCs/>
          <w:kern w:val="22"/>
          <w:lang w:val="fr-CA"/>
        </w:rPr>
      </w:pPr>
      <w:bookmarkStart w:id="1" w:name="_Hlk35353706"/>
      <w:r w:rsidRPr="005E7DB2">
        <w:rPr>
          <w:snapToGrid w:val="0"/>
          <w:kern w:val="22"/>
          <w:szCs w:val="22"/>
          <w:lang w:val="fr-CA"/>
        </w:rPr>
        <w:t>Point 6 de l</w:t>
      </w:r>
      <w:r w:rsidR="001C0A75">
        <w:rPr>
          <w:snapToGrid w:val="0"/>
          <w:kern w:val="22"/>
          <w:szCs w:val="22"/>
          <w:lang w:val="fr-CA"/>
        </w:rPr>
        <w:t>’</w:t>
      </w:r>
      <w:r w:rsidRPr="005E7DB2">
        <w:rPr>
          <w:snapToGrid w:val="0"/>
          <w:kern w:val="22"/>
          <w:szCs w:val="22"/>
          <w:lang w:val="fr-CA"/>
        </w:rPr>
        <w:t>ordre du jour provisoire</w:t>
      </w:r>
      <w:r w:rsidR="00CF4B58" w:rsidRPr="005E7DB2">
        <w:rPr>
          <w:rStyle w:val="FootnoteReference"/>
          <w:snapToGrid w:val="0"/>
          <w:kern w:val="22"/>
          <w:szCs w:val="22"/>
          <w:vertAlign w:val="baseline"/>
          <w:lang w:val="fr-CA"/>
        </w:rPr>
        <w:footnoteReference w:customMarkFollows="1" w:id="2"/>
        <w:t>*</w:t>
      </w:r>
      <w:bookmarkEnd w:id="0"/>
      <w:bookmarkEnd w:id="1"/>
    </w:p>
    <w:p w:rsidR="006726E9" w:rsidRPr="005E7DB2" w:rsidRDefault="00E3745C">
      <w:pPr>
        <w:pStyle w:val="Para1"/>
        <w:keepNext/>
        <w:numPr>
          <w:ilvl w:val="0"/>
          <w:numId w:val="0"/>
        </w:numPr>
        <w:suppressLineNumbers/>
        <w:suppressAutoHyphens/>
        <w:spacing w:before="240"/>
        <w:jc w:val="center"/>
        <w:rPr>
          <w:rFonts w:ascii="Times New Roman Bold" w:hAnsi="Times New Roman Bold"/>
          <w:b/>
          <w:bCs/>
          <w:caps/>
          <w:kern w:val="22"/>
          <w:lang w:val="fr-CA"/>
        </w:rPr>
      </w:pPr>
      <w:r w:rsidRPr="005E7DB2">
        <w:rPr>
          <w:b/>
          <w:bCs/>
          <w:caps/>
          <w:lang w:val="fr-CA"/>
        </w:rPr>
        <w:t>évaluation et examen de la stratégie de mobilisation des ressources et de l</w:t>
      </w:r>
      <w:r w:rsidR="001C0A75">
        <w:rPr>
          <w:b/>
          <w:bCs/>
          <w:caps/>
          <w:lang w:val="fr-CA"/>
        </w:rPr>
        <w:t>’</w:t>
      </w:r>
      <w:r w:rsidRPr="005E7DB2">
        <w:rPr>
          <w:b/>
          <w:bCs/>
          <w:caps/>
          <w:lang w:val="fr-CA"/>
        </w:rPr>
        <w:t>objectif 20 d</w:t>
      </w:r>
      <w:r w:rsidR="001C0A75">
        <w:rPr>
          <w:b/>
          <w:bCs/>
          <w:caps/>
          <w:lang w:val="fr-CA"/>
        </w:rPr>
        <w:t>’</w:t>
      </w:r>
      <w:r w:rsidRPr="005E7DB2">
        <w:rPr>
          <w:b/>
          <w:bCs/>
          <w:caps/>
          <w:lang w:val="fr-CA"/>
        </w:rPr>
        <w:t>Aichi pour la biodiversité</w:t>
      </w:r>
    </w:p>
    <w:p w:rsidR="00187730" w:rsidRPr="005E7DB2" w:rsidRDefault="00E3745C">
      <w:pPr>
        <w:pStyle w:val="Para1"/>
        <w:keepNext/>
        <w:numPr>
          <w:ilvl w:val="0"/>
          <w:numId w:val="0"/>
        </w:numPr>
        <w:suppressLineNumbers/>
        <w:suppressAutoHyphens/>
        <w:jc w:val="center"/>
        <w:rPr>
          <w:rFonts w:ascii="Times New Roman Bold" w:hAnsi="Times New Roman Bold"/>
          <w:bCs/>
          <w:caps/>
          <w:spacing w:val="-2"/>
          <w:kern w:val="22"/>
          <w:lang w:val="fr-CA"/>
        </w:rPr>
      </w:pPr>
      <w:r w:rsidRPr="005E7DB2">
        <w:rPr>
          <w:b/>
          <w:bCs/>
          <w:caps/>
          <w:lang w:val="fr-CA"/>
        </w:rPr>
        <w:t>résumé du premier rapport du groupe d</w:t>
      </w:r>
      <w:r w:rsidR="001C0A75">
        <w:rPr>
          <w:b/>
          <w:bCs/>
          <w:caps/>
          <w:lang w:val="fr-CA"/>
        </w:rPr>
        <w:t>’</w:t>
      </w:r>
      <w:r w:rsidRPr="005E7DB2">
        <w:rPr>
          <w:b/>
          <w:bCs/>
          <w:caps/>
          <w:lang w:val="fr-CA"/>
        </w:rPr>
        <w:t>experts sur la mobilisation des ressources</w:t>
      </w:r>
    </w:p>
    <w:p w:rsidR="00531771" w:rsidRPr="005E7DB2" w:rsidRDefault="003205BD" w:rsidP="009654F0">
      <w:pPr>
        <w:pStyle w:val="Heading1"/>
        <w:suppressLineNumbers/>
        <w:tabs>
          <w:tab w:val="clear" w:pos="720"/>
          <w:tab w:val="left" w:pos="426"/>
        </w:tabs>
        <w:suppressAutoHyphens/>
        <w:spacing w:before="120"/>
        <w:rPr>
          <w:kern w:val="22"/>
          <w:lang w:val="fr-CA" w:eastAsia="ja-JP"/>
        </w:rPr>
      </w:pPr>
      <w:r w:rsidRPr="005E7DB2">
        <w:rPr>
          <w:kern w:val="22"/>
          <w:lang w:val="fr-CA"/>
        </w:rPr>
        <w:t>I.</w:t>
      </w:r>
      <w:r w:rsidRPr="005E7DB2">
        <w:rPr>
          <w:kern w:val="22"/>
          <w:lang w:val="fr-CA"/>
        </w:rPr>
        <w:tab/>
      </w:r>
      <w:r w:rsidR="00791070" w:rsidRPr="005E7DB2">
        <w:rPr>
          <w:kern w:val="22"/>
          <w:lang w:val="fr-CA"/>
        </w:rPr>
        <w:t>Introduction</w:t>
      </w:r>
    </w:p>
    <w:p w:rsidR="00AF46BC" w:rsidRPr="005E7DB2" w:rsidRDefault="009A1B7F">
      <w:pPr>
        <w:pStyle w:val="Para1"/>
        <w:suppressLineNumbers/>
        <w:tabs>
          <w:tab w:val="clear" w:pos="360"/>
        </w:tabs>
        <w:suppressAutoHyphens/>
        <w:rPr>
          <w:kern w:val="22"/>
          <w:lang w:val="fr-CA"/>
        </w:rPr>
      </w:pPr>
      <w:r w:rsidRPr="005E7DB2">
        <w:rPr>
          <w:lang w:val="fr-CA"/>
        </w:rPr>
        <w:t xml:space="preserve">À la quatorzième réunion de la Conférence </w:t>
      </w:r>
      <w:r w:rsidRPr="005E7DB2">
        <w:rPr>
          <w:noProof/>
          <w:lang w:val="fr-CA"/>
        </w:rPr>
        <w:t>des Parties (Sharm El</w:t>
      </w:r>
      <w:r w:rsidR="001C0A75">
        <w:rPr>
          <w:noProof/>
          <w:lang w:val="fr-CA"/>
        </w:rPr>
        <w:noBreakHyphen/>
      </w:r>
      <w:r w:rsidRPr="005E7DB2">
        <w:rPr>
          <w:noProof/>
          <w:lang w:val="fr-CA"/>
        </w:rPr>
        <w:t>Sheikh (Égypte</w:t>
      </w:r>
      <w:r w:rsidRPr="005E7DB2">
        <w:rPr>
          <w:lang w:val="fr-CA"/>
        </w:rPr>
        <w:t xml:space="preserve">)), les Parties ont affirmé que la mobilisation des ressources </w:t>
      </w:r>
      <w:r w:rsidRPr="005E7DB2">
        <w:rPr>
          <w:kern w:val="22"/>
          <w:szCs w:val="22"/>
          <w:lang w:val="fr-CA"/>
        </w:rPr>
        <w:t>ferait partie intégrante du cadre de la biodiversité pour l</w:t>
      </w:r>
      <w:r w:rsidR="001C0A75">
        <w:rPr>
          <w:kern w:val="22"/>
          <w:szCs w:val="22"/>
          <w:lang w:val="fr-CA"/>
        </w:rPr>
        <w:t>’</w:t>
      </w:r>
      <w:r w:rsidRPr="005E7DB2">
        <w:rPr>
          <w:kern w:val="22"/>
          <w:szCs w:val="22"/>
          <w:lang w:val="fr-CA"/>
        </w:rPr>
        <w:t>après</w:t>
      </w:r>
      <w:r w:rsidR="001C0A75">
        <w:rPr>
          <w:kern w:val="22"/>
          <w:szCs w:val="22"/>
          <w:lang w:val="fr-CA"/>
        </w:rPr>
        <w:noBreakHyphen/>
      </w:r>
      <w:r w:rsidRPr="005E7DB2">
        <w:rPr>
          <w:kern w:val="22"/>
          <w:szCs w:val="22"/>
          <w:lang w:val="fr-CA"/>
        </w:rPr>
        <w:t>2020 et ont décidé de commencer la préparation de cet élément au tout début du processus d</w:t>
      </w:r>
      <w:r w:rsidR="001C0A75">
        <w:rPr>
          <w:kern w:val="22"/>
          <w:szCs w:val="22"/>
          <w:lang w:val="fr-CA"/>
        </w:rPr>
        <w:t>’</w:t>
      </w:r>
      <w:r w:rsidRPr="005E7DB2">
        <w:rPr>
          <w:kern w:val="22"/>
          <w:szCs w:val="22"/>
          <w:lang w:val="fr-CA"/>
        </w:rPr>
        <w:t>élaboration de ce cadre, en pleine cohérence et coordination avec le processus global d</w:t>
      </w:r>
      <w:r w:rsidR="001C0A75">
        <w:rPr>
          <w:kern w:val="22"/>
          <w:szCs w:val="22"/>
          <w:lang w:val="fr-CA"/>
        </w:rPr>
        <w:t>’</w:t>
      </w:r>
      <w:r w:rsidRPr="005E7DB2">
        <w:rPr>
          <w:kern w:val="22"/>
          <w:szCs w:val="22"/>
          <w:lang w:val="fr-CA"/>
        </w:rPr>
        <w:t>élaboration du cadre post</w:t>
      </w:r>
      <w:r w:rsidR="001C0A75">
        <w:rPr>
          <w:kern w:val="22"/>
          <w:szCs w:val="22"/>
          <w:lang w:val="fr-CA"/>
        </w:rPr>
        <w:noBreakHyphen/>
      </w:r>
      <w:r w:rsidRPr="005E7DB2">
        <w:rPr>
          <w:kern w:val="22"/>
          <w:szCs w:val="22"/>
          <w:lang w:val="fr-CA"/>
        </w:rPr>
        <w:t xml:space="preserve">2020 </w:t>
      </w:r>
      <w:r w:rsidRPr="005E7DB2">
        <w:rPr>
          <w:lang w:val="fr-CA"/>
        </w:rPr>
        <w:t xml:space="preserve">(décision </w:t>
      </w:r>
      <w:hyperlink r:id="rId15" w:history="1">
        <w:r w:rsidRPr="005E7DB2">
          <w:rPr>
            <w:rStyle w:val="Hyperlink"/>
            <w:sz w:val="22"/>
            <w:lang w:val="fr-CA"/>
          </w:rPr>
          <w:t>14/22</w:t>
        </w:r>
      </w:hyperlink>
      <w:r w:rsidRPr="005E7DB2">
        <w:rPr>
          <w:lang w:val="fr-CA"/>
        </w:rPr>
        <w:t xml:space="preserve"> , par. 14). Dans la même décision, la Conférence des Parties a prié </w:t>
      </w:r>
      <w:r w:rsidRPr="005E7DB2">
        <w:rPr>
          <w:spacing w:val="-1"/>
          <w:kern w:val="22"/>
          <w:szCs w:val="22"/>
          <w:lang w:val="fr-CA"/>
        </w:rPr>
        <w:t>la Secrétaire exécutive de charger un groupe d</w:t>
      </w:r>
      <w:r w:rsidR="001C0A75">
        <w:rPr>
          <w:spacing w:val="-1"/>
          <w:kern w:val="22"/>
          <w:szCs w:val="22"/>
          <w:lang w:val="fr-CA"/>
        </w:rPr>
        <w:t>’</w:t>
      </w:r>
      <w:r w:rsidRPr="005E7DB2">
        <w:rPr>
          <w:spacing w:val="-1"/>
          <w:kern w:val="22"/>
          <w:szCs w:val="22"/>
          <w:lang w:val="fr-CA"/>
        </w:rPr>
        <w:t>experts d</w:t>
      </w:r>
      <w:r w:rsidR="001C0A75">
        <w:rPr>
          <w:spacing w:val="-1"/>
          <w:kern w:val="22"/>
          <w:szCs w:val="22"/>
          <w:lang w:val="fr-CA"/>
        </w:rPr>
        <w:t>’</w:t>
      </w:r>
      <w:r w:rsidRPr="005E7DB2">
        <w:rPr>
          <w:spacing w:val="-1"/>
          <w:kern w:val="22"/>
          <w:szCs w:val="22"/>
          <w:lang w:val="fr-CA"/>
        </w:rPr>
        <w:t>établir des analyses et des rapports pertinents, pour examen par le Groupe de travail à composition non limitée sur le cadre mondial de la biodiversité pour l</w:t>
      </w:r>
      <w:r w:rsidR="001C0A75">
        <w:rPr>
          <w:spacing w:val="-1"/>
          <w:kern w:val="22"/>
          <w:szCs w:val="22"/>
          <w:lang w:val="fr-CA"/>
        </w:rPr>
        <w:t>’</w:t>
      </w:r>
      <w:r w:rsidRPr="005E7DB2">
        <w:rPr>
          <w:spacing w:val="-1"/>
          <w:kern w:val="22"/>
          <w:szCs w:val="22"/>
          <w:lang w:val="fr-CA"/>
        </w:rPr>
        <w:t>après</w:t>
      </w:r>
      <w:r w:rsidR="001C0A75">
        <w:rPr>
          <w:spacing w:val="-1"/>
          <w:kern w:val="22"/>
          <w:szCs w:val="22"/>
          <w:lang w:val="fr-CA"/>
        </w:rPr>
        <w:noBreakHyphen/>
      </w:r>
      <w:r w:rsidRPr="005E7DB2">
        <w:rPr>
          <w:spacing w:val="-1"/>
          <w:kern w:val="22"/>
          <w:szCs w:val="22"/>
          <w:lang w:val="fr-CA"/>
        </w:rPr>
        <w:t xml:space="preserve">2020, et par la Conférence des Parties à sa quinzième réunion </w:t>
      </w:r>
      <w:r w:rsidRPr="005E7DB2">
        <w:rPr>
          <w:lang w:val="fr-CA"/>
        </w:rPr>
        <w:t xml:space="preserve">(décision </w:t>
      </w:r>
      <w:hyperlink r:id="rId16" w:history="1">
        <w:r w:rsidRPr="005E7DB2">
          <w:rPr>
            <w:rStyle w:val="Hyperlink"/>
            <w:sz w:val="22"/>
            <w:lang w:val="fr-CA"/>
          </w:rPr>
          <w:t>14/22</w:t>
        </w:r>
      </w:hyperlink>
      <w:r w:rsidRPr="005E7DB2">
        <w:rPr>
          <w:lang w:val="fr-CA"/>
        </w:rPr>
        <w:t>, par. 15)</w:t>
      </w:r>
      <w:r w:rsidR="006001B1" w:rsidRPr="005E7DB2">
        <w:rPr>
          <w:kern w:val="22"/>
          <w:szCs w:val="22"/>
          <w:lang w:val="fr-CA"/>
        </w:rPr>
        <w:t>.</w:t>
      </w:r>
    </w:p>
    <w:p w:rsidR="00324BA1" w:rsidRPr="005E7DB2" w:rsidRDefault="009A1B7F">
      <w:pPr>
        <w:pStyle w:val="Para1"/>
        <w:suppressLineNumbers/>
        <w:tabs>
          <w:tab w:val="clear" w:pos="360"/>
        </w:tabs>
        <w:suppressAutoHyphens/>
        <w:rPr>
          <w:kern w:val="22"/>
          <w:lang w:val="fr-CA"/>
        </w:rPr>
      </w:pPr>
      <w:r w:rsidRPr="005E7DB2">
        <w:rPr>
          <w:szCs w:val="22"/>
          <w:lang w:val="fr-CA"/>
        </w:rPr>
        <w:t xml:space="preserve">Le présent document fournit un résumé de la version définitive du </w:t>
      </w:r>
      <w:r w:rsidRPr="005E7DB2">
        <w:rPr>
          <w:b/>
          <w:szCs w:val="22"/>
          <w:lang w:val="fr-CA"/>
        </w:rPr>
        <w:t>premier rapport</w:t>
      </w:r>
      <w:r w:rsidRPr="005E7DB2">
        <w:rPr>
          <w:rStyle w:val="FootnoteReference"/>
          <w:szCs w:val="22"/>
          <w:lang w:val="fr-CA"/>
        </w:rPr>
        <w:footnoteReference w:id="3"/>
      </w:r>
      <w:r w:rsidRPr="005E7DB2">
        <w:rPr>
          <w:szCs w:val="22"/>
          <w:lang w:val="fr-CA"/>
        </w:rPr>
        <w:t xml:space="preserve"> du Groupe d</w:t>
      </w:r>
      <w:r w:rsidR="001C0A75">
        <w:rPr>
          <w:szCs w:val="22"/>
          <w:lang w:val="fr-CA"/>
        </w:rPr>
        <w:t>’</w:t>
      </w:r>
      <w:r w:rsidRPr="005E7DB2">
        <w:rPr>
          <w:szCs w:val="22"/>
          <w:lang w:val="fr-CA"/>
        </w:rPr>
        <w:t>experts conformément à son mandat, et répond aux demandes énoncées aux paragraphes 15 a) et 15 b) de la décision, soit </w:t>
      </w:r>
      <w:r w:rsidR="00324BA1" w:rsidRPr="005E7DB2">
        <w:rPr>
          <w:kern w:val="22"/>
          <w:szCs w:val="22"/>
          <w:lang w:val="fr-CA"/>
        </w:rPr>
        <w:t>:</w:t>
      </w:r>
    </w:p>
    <w:p w:rsidR="009A1B7F" w:rsidRPr="005E7DB2" w:rsidRDefault="009A1B7F" w:rsidP="009A1B7F">
      <w:pPr>
        <w:pStyle w:val="ListParagraph"/>
        <w:numPr>
          <w:ilvl w:val="0"/>
          <w:numId w:val="6"/>
        </w:numPr>
        <w:suppressLineNumbers/>
        <w:suppressAutoHyphens/>
        <w:spacing w:before="120" w:after="120"/>
        <w:ind w:left="0" w:firstLine="720"/>
        <w:contextualSpacing w:val="0"/>
        <w:rPr>
          <w:szCs w:val="22"/>
          <w:lang w:val="fr-CA"/>
        </w:rPr>
      </w:pPr>
      <w:r w:rsidRPr="005E7DB2">
        <w:rPr>
          <w:snapToGrid w:val="0"/>
          <w:spacing w:val="-1"/>
          <w:kern w:val="22"/>
          <w:szCs w:val="22"/>
          <w:lang w:val="fr-CA"/>
        </w:rPr>
        <w:t>Évaluer la structure, le contenu et l</w:t>
      </w:r>
      <w:r w:rsidR="001C0A75">
        <w:rPr>
          <w:snapToGrid w:val="0"/>
          <w:spacing w:val="-1"/>
          <w:kern w:val="22"/>
          <w:szCs w:val="22"/>
          <w:lang w:val="fr-CA"/>
        </w:rPr>
        <w:t>’</w:t>
      </w:r>
      <w:r w:rsidRPr="005E7DB2">
        <w:rPr>
          <w:snapToGrid w:val="0"/>
          <w:spacing w:val="-1"/>
          <w:kern w:val="22"/>
          <w:szCs w:val="22"/>
          <w:lang w:val="fr-CA"/>
        </w:rPr>
        <w:t>efficacité de la Stratégie de mobilisation des ressources en recensant autant que possible les difficultés rencontrées pour atteindre ces objectifs;</w:t>
      </w:r>
    </w:p>
    <w:p w:rsidR="00324BA1" w:rsidRPr="005E7DB2" w:rsidRDefault="009A1B7F" w:rsidP="009A1B7F">
      <w:pPr>
        <w:pStyle w:val="ListParagraph"/>
        <w:numPr>
          <w:ilvl w:val="0"/>
          <w:numId w:val="6"/>
        </w:numPr>
        <w:suppressLineNumbers/>
        <w:suppressAutoHyphens/>
        <w:spacing w:before="120" w:after="120"/>
        <w:ind w:left="0" w:firstLine="720"/>
        <w:contextualSpacing w:val="0"/>
        <w:rPr>
          <w:kern w:val="22"/>
          <w:szCs w:val="22"/>
          <w:lang w:val="fr-CA"/>
        </w:rPr>
      </w:pPr>
      <w:r w:rsidRPr="005E7DB2">
        <w:rPr>
          <w:snapToGrid w:val="0"/>
          <w:spacing w:val="-1"/>
          <w:kern w:val="22"/>
          <w:szCs w:val="22"/>
          <w:lang w:val="fr-CA"/>
        </w:rPr>
        <w:t>Passer en revue l</w:t>
      </w:r>
      <w:r w:rsidR="001C0A75">
        <w:rPr>
          <w:snapToGrid w:val="0"/>
          <w:spacing w:val="-1"/>
          <w:kern w:val="22"/>
          <w:szCs w:val="22"/>
          <w:lang w:val="fr-CA"/>
        </w:rPr>
        <w:t>’</w:t>
      </w:r>
      <w:r w:rsidRPr="005E7DB2">
        <w:rPr>
          <w:snapToGrid w:val="0"/>
          <w:spacing w:val="-1"/>
          <w:kern w:val="22"/>
          <w:szCs w:val="22"/>
          <w:lang w:val="fr-CA"/>
        </w:rPr>
        <w:t>expérience acquise dans la réalisation de l</w:t>
      </w:r>
      <w:r w:rsidR="001C0A75">
        <w:rPr>
          <w:snapToGrid w:val="0"/>
          <w:spacing w:val="-1"/>
          <w:kern w:val="22"/>
          <w:szCs w:val="22"/>
          <w:lang w:val="fr-CA"/>
        </w:rPr>
        <w:t>’</w:t>
      </w:r>
      <w:r w:rsidRPr="005E7DB2">
        <w:rPr>
          <w:snapToGrid w:val="0"/>
          <w:spacing w:val="-1"/>
          <w:kern w:val="22"/>
          <w:szCs w:val="22"/>
          <w:lang w:val="fr-CA"/>
        </w:rPr>
        <w:t>objectif 20 d</w:t>
      </w:r>
      <w:r w:rsidR="001C0A75">
        <w:rPr>
          <w:snapToGrid w:val="0"/>
          <w:spacing w:val="-1"/>
          <w:kern w:val="22"/>
          <w:szCs w:val="22"/>
          <w:lang w:val="fr-CA"/>
        </w:rPr>
        <w:t>’</w:t>
      </w:r>
      <w:r w:rsidRPr="005E7DB2">
        <w:rPr>
          <w:snapToGrid w:val="0"/>
          <w:spacing w:val="-1"/>
          <w:kern w:val="22"/>
          <w:szCs w:val="22"/>
          <w:lang w:val="fr-CA"/>
        </w:rPr>
        <w:t>Aichi pour la biodiversité et la mise en œuvre de la Stratégie de mobilisation des ressources, ainsi que leur adéquation, et s</w:t>
      </w:r>
      <w:r w:rsidR="001C0A75">
        <w:rPr>
          <w:snapToGrid w:val="0"/>
          <w:spacing w:val="-1"/>
          <w:kern w:val="22"/>
          <w:szCs w:val="22"/>
          <w:lang w:val="fr-CA"/>
        </w:rPr>
        <w:t>’</w:t>
      </w:r>
      <w:r w:rsidRPr="005E7DB2">
        <w:rPr>
          <w:snapToGrid w:val="0"/>
          <w:spacing w:val="-1"/>
          <w:kern w:val="22"/>
          <w:szCs w:val="22"/>
          <w:lang w:val="fr-CA"/>
        </w:rPr>
        <w:t>appuyer sur ces expériences, ainsi que sur celles qui ont été accumulées dans la mise en œuvre d</w:t>
      </w:r>
      <w:r w:rsidR="001C0A75">
        <w:rPr>
          <w:snapToGrid w:val="0"/>
          <w:spacing w:val="-1"/>
          <w:kern w:val="22"/>
          <w:szCs w:val="22"/>
          <w:lang w:val="fr-CA"/>
        </w:rPr>
        <w:t>’</w:t>
      </w:r>
      <w:r w:rsidRPr="005E7DB2">
        <w:rPr>
          <w:snapToGrid w:val="0"/>
          <w:spacing w:val="-1"/>
          <w:kern w:val="22"/>
          <w:szCs w:val="22"/>
          <w:lang w:val="fr-CA"/>
        </w:rPr>
        <w:t>autres accords multilatéraux pertinents sur l</w:t>
      </w:r>
      <w:r w:rsidR="001C0A75">
        <w:rPr>
          <w:snapToGrid w:val="0"/>
          <w:spacing w:val="-1"/>
          <w:kern w:val="22"/>
          <w:szCs w:val="22"/>
          <w:lang w:val="fr-CA"/>
        </w:rPr>
        <w:t>’</w:t>
      </w:r>
      <w:r w:rsidRPr="005E7DB2">
        <w:rPr>
          <w:snapToGrid w:val="0"/>
          <w:spacing w:val="-1"/>
          <w:kern w:val="22"/>
          <w:szCs w:val="22"/>
          <w:lang w:val="fr-CA"/>
        </w:rPr>
        <w:t>environnement et dans la participation d</w:t>
      </w:r>
      <w:r w:rsidR="001C0A75">
        <w:rPr>
          <w:snapToGrid w:val="0"/>
          <w:spacing w:val="-1"/>
          <w:kern w:val="22"/>
          <w:szCs w:val="22"/>
          <w:lang w:val="fr-CA"/>
        </w:rPr>
        <w:t>’</w:t>
      </w:r>
      <w:r w:rsidRPr="005E7DB2">
        <w:rPr>
          <w:snapToGrid w:val="0"/>
          <w:spacing w:val="-1"/>
          <w:kern w:val="22"/>
          <w:szCs w:val="22"/>
          <w:lang w:val="fr-CA"/>
        </w:rPr>
        <w:t>autres acteurs publics et privés, de peuples autochtones et communautés locales, pour déterminer les actions à mener, en se fondant sur les renseignements fournis par les Parties par le biais du cadre de présentation des rapports financiers, notamment sur leurs besoins respectifs en ressources, et sur d</w:t>
      </w:r>
      <w:r w:rsidR="001C0A75">
        <w:rPr>
          <w:snapToGrid w:val="0"/>
          <w:spacing w:val="-1"/>
          <w:kern w:val="22"/>
          <w:szCs w:val="22"/>
          <w:lang w:val="fr-CA"/>
        </w:rPr>
        <w:t>’</w:t>
      </w:r>
      <w:r w:rsidRPr="005E7DB2">
        <w:rPr>
          <w:snapToGrid w:val="0"/>
          <w:spacing w:val="-1"/>
          <w:kern w:val="22"/>
          <w:szCs w:val="22"/>
          <w:lang w:val="fr-CA"/>
        </w:rPr>
        <w:t>autres sources pertinentes</w:t>
      </w:r>
      <w:r w:rsidR="00324BA1" w:rsidRPr="005E7DB2">
        <w:rPr>
          <w:kern w:val="22"/>
          <w:szCs w:val="22"/>
          <w:lang w:val="fr-CA"/>
        </w:rPr>
        <w:t>.</w:t>
      </w:r>
    </w:p>
    <w:p w:rsidR="00246DAD" w:rsidRPr="005E7DB2" w:rsidRDefault="009A1B7F">
      <w:pPr>
        <w:pStyle w:val="Para1"/>
        <w:suppressLineNumbers/>
        <w:tabs>
          <w:tab w:val="clear" w:pos="360"/>
        </w:tabs>
        <w:suppressAutoHyphens/>
        <w:rPr>
          <w:kern w:val="22"/>
          <w:lang w:val="fr-CA"/>
        </w:rPr>
      </w:pPr>
      <w:r w:rsidRPr="005E7DB2">
        <w:rPr>
          <w:lang w:val="fr-CA"/>
        </w:rPr>
        <w:t>Afin de soutenir les travaux du groupe d</w:t>
      </w:r>
      <w:r w:rsidR="001C0A75">
        <w:rPr>
          <w:lang w:val="fr-CA"/>
        </w:rPr>
        <w:t>’</w:t>
      </w:r>
      <w:r w:rsidRPr="005E7DB2">
        <w:rPr>
          <w:lang w:val="fr-CA"/>
        </w:rPr>
        <w:t xml:space="preserve">experts, un appel à contributions sur la mobilisation des ressources a été publié dans la notification </w:t>
      </w:r>
      <w:hyperlink r:id="rId17" w:history="1">
        <w:r w:rsidRPr="005E7DB2">
          <w:rPr>
            <w:rStyle w:val="Hyperlink"/>
            <w:sz w:val="22"/>
            <w:lang w:val="fr-CA"/>
          </w:rPr>
          <w:t>2019</w:t>
        </w:r>
        <w:r w:rsidR="001C0A75">
          <w:rPr>
            <w:rStyle w:val="Hyperlink"/>
            <w:sz w:val="22"/>
            <w:lang w:val="fr-CA"/>
          </w:rPr>
          <w:noBreakHyphen/>
        </w:r>
        <w:r w:rsidRPr="005E7DB2">
          <w:rPr>
            <w:rStyle w:val="Hyperlink"/>
            <w:sz w:val="22"/>
            <w:lang w:val="fr-CA"/>
          </w:rPr>
          <w:t>086</w:t>
        </w:r>
      </w:hyperlink>
      <w:r w:rsidRPr="005E7DB2">
        <w:rPr>
          <w:lang w:val="fr-CA"/>
        </w:rPr>
        <w:t xml:space="preserve"> du 8 octobre 2019; les soumissions reçues peuvent être consultées à l</w:t>
      </w:r>
      <w:r w:rsidR="001C0A75">
        <w:rPr>
          <w:lang w:val="fr-CA"/>
        </w:rPr>
        <w:t>’</w:t>
      </w:r>
      <w:r w:rsidRPr="005E7DB2">
        <w:rPr>
          <w:lang w:val="fr-CA"/>
        </w:rPr>
        <w:t xml:space="preserve">adresse </w:t>
      </w:r>
      <w:hyperlink r:id="rId18" w:history="1">
        <w:r w:rsidRPr="005E7DB2">
          <w:rPr>
            <w:rStyle w:val="Hyperlink"/>
            <w:sz w:val="22"/>
            <w:szCs w:val="22"/>
            <w:lang w:val="fr-CA"/>
          </w:rPr>
          <w:t>https://www.cbd.int/financial/rm2020.shtml</w:t>
        </w:r>
      </w:hyperlink>
      <w:r w:rsidRPr="005E7DB2">
        <w:rPr>
          <w:lang w:val="fr-CA"/>
        </w:rPr>
        <w:t>. Une liste des sources d</w:t>
      </w:r>
      <w:r w:rsidR="001C0A75">
        <w:rPr>
          <w:lang w:val="fr-CA"/>
        </w:rPr>
        <w:t>’</w:t>
      </w:r>
      <w:r w:rsidRPr="005E7DB2">
        <w:rPr>
          <w:lang w:val="fr-CA"/>
        </w:rPr>
        <w:t xml:space="preserve">information, sous forme de communications écrites, de réunions et autres communications orales, auxquelles a eu </w:t>
      </w:r>
      <w:r w:rsidRPr="005E7DB2">
        <w:rPr>
          <w:lang w:val="fr-CA"/>
        </w:rPr>
        <w:lastRenderedPageBreak/>
        <w:t>recours le groupe d</w:t>
      </w:r>
      <w:r w:rsidR="001C0A75">
        <w:rPr>
          <w:lang w:val="fr-CA"/>
        </w:rPr>
        <w:t>’</w:t>
      </w:r>
      <w:r w:rsidRPr="005E7DB2">
        <w:rPr>
          <w:lang w:val="fr-CA"/>
        </w:rPr>
        <w:t>experts lors de l</w:t>
      </w:r>
      <w:r w:rsidR="001C0A75">
        <w:rPr>
          <w:lang w:val="fr-CA"/>
        </w:rPr>
        <w:t>’</w:t>
      </w:r>
      <w:r w:rsidRPr="005E7DB2">
        <w:rPr>
          <w:lang w:val="fr-CA"/>
        </w:rPr>
        <w:t>élaboration du présent premier rapport, figure à l</w:t>
      </w:r>
      <w:r w:rsidR="001C0A75">
        <w:rPr>
          <w:lang w:val="fr-CA"/>
        </w:rPr>
        <w:t>’</w:t>
      </w:r>
      <w:r w:rsidRPr="005E7DB2">
        <w:rPr>
          <w:lang w:val="fr-CA"/>
        </w:rPr>
        <w:t>annexe IV du document d</w:t>
      </w:r>
      <w:r w:rsidR="001C0A75">
        <w:rPr>
          <w:lang w:val="fr-CA"/>
        </w:rPr>
        <w:t>’</w:t>
      </w:r>
      <w:r w:rsidRPr="005E7DB2">
        <w:rPr>
          <w:lang w:val="fr-CA"/>
        </w:rPr>
        <w:t>information contenant le rapport intégral</w:t>
      </w:r>
      <w:r w:rsidR="0072389D" w:rsidRPr="005E7DB2">
        <w:rPr>
          <w:kern w:val="22"/>
          <w:lang w:val="fr-CA"/>
        </w:rPr>
        <w:t>.</w:t>
      </w:r>
    </w:p>
    <w:p w:rsidR="008E11DA" w:rsidRPr="005E7DB2" w:rsidRDefault="008E11DA" w:rsidP="009654F0">
      <w:pPr>
        <w:pStyle w:val="Heading1"/>
        <w:suppressLineNumbers/>
        <w:tabs>
          <w:tab w:val="clear" w:pos="720"/>
        </w:tabs>
        <w:suppressAutoHyphens/>
        <w:spacing w:before="120"/>
        <w:ind w:left="1418" w:hanging="567"/>
        <w:jc w:val="left"/>
        <w:rPr>
          <w:kern w:val="22"/>
          <w:lang w:val="fr-CA"/>
        </w:rPr>
      </w:pPr>
      <w:r w:rsidRPr="005E7DB2">
        <w:rPr>
          <w:kern w:val="22"/>
          <w:lang w:val="fr-CA"/>
        </w:rPr>
        <w:t>II</w:t>
      </w:r>
      <w:r w:rsidR="003205BD" w:rsidRPr="005E7DB2">
        <w:rPr>
          <w:kern w:val="22"/>
          <w:lang w:val="fr-CA"/>
        </w:rPr>
        <w:t>.</w:t>
      </w:r>
      <w:r w:rsidRPr="005E7DB2">
        <w:rPr>
          <w:kern w:val="22"/>
          <w:lang w:val="fr-CA"/>
        </w:rPr>
        <w:tab/>
      </w:r>
      <w:r w:rsidR="009A1B7F" w:rsidRPr="005E7DB2">
        <w:rPr>
          <w:lang w:val="fr-CA"/>
        </w:rPr>
        <w:t>Évaluation de la structure, du contenu et de l</w:t>
      </w:r>
      <w:r w:rsidR="001C0A75">
        <w:rPr>
          <w:lang w:val="fr-CA"/>
        </w:rPr>
        <w:t>’</w:t>
      </w:r>
      <w:r w:rsidR="009A1B7F" w:rsidRPr="005E7DB2">
        <w:rPr>
          <w:lang w:val="fr-CA"/>
        </w:rPr>
        <w:t>efficacité de la stratégie de mobilisation des ressources</w:t>
      </w:r>
    </w:p>
    <w:p w:rsidR="00246DAD" w:rsidRPr="005E7DB2" w:rsidRDefault="009A1B7F" w:rsidP="007A23A7">
      <w:pPr>
        <w:pStyle w:val="Para1"/>
        <w:suppressLineNumbers/>
        <w:tabs>
          <w:tab w:val="clear" w:pos="360"/>
        </w:tabs>
        <w:suppressAutoHyphens/>
        <w:rPr>
          <w:kern w:val="22"/>
          <w:lang w:val="fr-CA"/>
        </w:rPr>
      </w:pPr>
      <w:r w:rsidRPr="005E7DB2">
        <w:rPr>
          <w:lang w:val="fr-CA"/>
        </w:rPr>
        <w:t>L</w:t>
      </w:r>
      <w:r w:rsidR="001C0A75">
        <w:rPr>
          <w:lang w:val="fr-CA"/>
        </w:rPr>
        <w:t>’</w:t>
      </w:r>
      <w:r w:rsidRPr="005E7DB2">
        <w:rPr>
          <w:lang w:val="fr-CA"/>
        </w:rPr>
        <w:t>approche actuelle de la Convention en matière de mobilisation des ressources a évolué au fil de plusieurs réunions de la Conférence des Parties, en commençant par la neuvième réunion, avec l</w:t>
      </w:r>
      <w:r w:rsidR="001C0A75">
        <w:rPr>
          <w:lang w:val="fr-CA"/>
        </w:rPr>
        <w:t>’</w:t>
      </w:r>
      <w:r w:rsidRPr="005E7DB2">
        <w:rPr>
          <w:lang w:val="fr-CA"/>
        </w:rPr>
        <w:t>adoption de la Stratégie pour la mobilisation des ressources;</w:t>
      </w:r>
      <w:r w:rsidRPr="005E7DB2">
        <w:rPr>
          <w:rStyle w:val="FootnoteReference"/>
          <w:lang w:val="fr-CA"/>
        </w:rPr>
        <w:t xml:space="preserve"> </w:t>
      </w:r>
      <w:r w:rsidRPr="005E7DB2">
        <w:rPr>
          <w:rStyle w:val="FootnoteReference"/>
          <w:lang w:val="fr-CA"/>
        </w:rPr>
        <w:footnoteReference w:id="4"/>
      </w:r>
      <w:r w:rsidRPr="005E7DB2">
        <w:rPr>
          <w:lang w:val="fr-CA"/>
        </w:rPr>
        <w:t xml:space="preserve"> puis l</w:t>
      </w:r>
      <w:r w:rsidR="001C0A75">
        <w:rPr>
          <w:lang w:val="fr-CA"/>
        </w:rPr>
        <w:t>’</w:t>
      </w:r>
      <w:r w:rsidRPr="005E7DB2">
        <w:rPr>
          <w:lang w:val="fr-CA"/>
        </w:rPr>
        <w:t>adoption, lors de la dixième réunion, du Plan stratégique 2011</w:t>
      </w:r>
      <w:r w:rsidR="001C0A75">
        <w:rPr>
          <w:lang w:val="fr-CA"/>
        </w:rPr>
        <w:noBreakHyphen/>
      </w:r>
      <w:r w:rsidRPr="005E7DB2">
        <w:rPr>
          <w:lang w:val="fr-CA"/>
        </w:rPr>
        <w:t>2020 pour la diversité biologique, y compris les vingt Objectifs d</w:t>
      </w:r>
      <w:r w:rsidR="001C0A75">
        <w:rPr>
          <w:lang w:val="fr-CA"/>
        </w:rPr>
        <w:t>’</w:t>
      </w:r>
      <w:r w:rsidRPr="005E7DB2">
        <w:rPr>
          <w:lang w:val="fr-CA"/>
        </w:rPr>
        <w:t>Aichi pour la biodiversité,</w:t>
      </w:r>
      <w:r w:rsidRPr="005E7DB2">
        <w:rPr>
          <w:rStyle w:val="FootnoteReference"/>
          <w:lang w:val="fr-CA"/>
        </w:rPr>
        <w:t xml:space="preserve"> </w:t>
      </w:r>
      <w:r w:rsidRPr="005E7DB2">
        <w:rPr>
          <w:rStyle w:val="FootnoteReference"/>
          <w:lang w:val="fr-CA"/>
        </w:rPr>
        <w:footnoteReference w:id="5"/>
      </w:r>
      <w:r w:rsidRPr="005E7DB2">
        <w:rPr>
          <w:lang w:val="fr-CA"/>
        </w:rPr>
        <w:t xml:space="preserve"> et l</w:t>
      </w:r>
      <w:r w:rsidR="001C0A75">
        <w:rPr>
          <w:lang w:val="fr-CA"/>
        </w:rPr>
        <w:t>’</w:t>
      </w:r>
      <w:r w:rsidRPr="005E7DB2">
        <w:rPr>
          <w:lang w:val="fr-CA"/>
        </w:rPr>
        <w:t>adoption, à la douzième réunion, d</w:t>
      </w:r>
      <w:r w:rsidR="001C0A75">
        <w:rPr>
          <w:lang w:val="fr-CA"/>
        </w:rPr>
        <w:t>’</w:t>
      </w:r>
      <w:r w:rsidRPr="005E7DB2">
        <w:rPr>
          <w:lang w:val="fr-CA"/>
        </w:rPr>
        <w:t>une série d</w:t>
      </w:r>
      <w:r w:rsidR="001C0A75">
        <w:rPr>
          <w:lang w:val="fr-CA"/>
        </w:rPr>
        <w:t>’</w:t>
      </w:r>
      <w:r w:rsidRPr="005E7DB2">
        <w:rPr>
          <w:lang w:val="fr-CA"/>
        </w:rPr>
        <w:t>objectifs (voir l</w:t>
      </w:r>
      <w:r w:rsidR="001C0A75">
        <w:rPr>
          <w:lang w:val="fr-CA"/>
        </w:rPr>
        <w:t>’</w:t>
      </w:r>
      <w:r w:rsidRPr="005E7DB2">
        <w:rPr>
          <w:lang w:val="fr-CA"/>
        </w:rPr>
        <w:t xml:space="preserve">annexe </w:t>
      </w:r>
      <w:r w:rsidRPr="005E7DB2">
        <w:rPr>
          <w:noProof/>
          <w:lang w:val="fr-CA"/>
        </w:rPr>
        <w:t>ci</w:t>
      </w:r>
      <w:r w:rsidR="001C0A75">
        <w:rPr>
          <w:noProof/>
          <w:lang w:val="fr-CA"/>
        </w:rPr>
        <w:noBreakHyphen/>
      </w:r>
      <w:r w:rsidRPr="005E7DB2">
        <w:rPr>
          <w:noProof/>
          <w:lang w:val="fr-CA"/>
        </w:rPr>
        <w:t>après),</w:t>
      </w:r>
      <w:r w:rsidRPr="005E7DB2">
        <w:rPr>
          <w:lang w:val="fr-CA"/>
        </w:rPr>
        <w:t xml:space="preserve"> ainsi que du Cadre de présentation des rapports financiers de la CDB.</w:t>
      </w:r>
      <w:r w:rsidRPr="005E7DB2">
        <w:rPr>
          <w:rStyle w:val="FootnoteReference"/>
          <w:lang w:val="fr-CA"/>
        </w:rPr>
        <w:footnoteReference w:id="6"/>
      </w:r>
      <w:r w:rsidRPr="005E7DB2">
        <w:rPr>
          <w:lang w:val="fr-CA"/>
        </w:rPr>
        <w:t xml:space="preserve"> En conséquence, il existe un certain degré de chevauchement entre les thèmes couverts par les objectifs et </w:t>
      </w:r>
      <w:r w:rsidRPr="005E7DB2">
        <w:rPr>
          <w:noProof/>
          <w:lang w:val="fr-CA"/>
        </w:rPr>
        <w:t>les sous</w:t>
      </w:r>
      <w:r w:rsidR="001C0A75">
        <w:rPr>
          <w:noProof/>
          <w:lang w:val="fr-CA"/>
        </w:rPr>
        <w:noBreakHyphen/>
      </w:r>
      <w:r w:rsidRPr="005E7DB2">
        <w:rPr>
          <w:noProof/>
          <w:lang w:val="fr-CA"/>
        </w:rPr>
        <w:t>objectifs de</w:t>
      </w:r>
      <w:r w:rsidRPr="005E7DB2">
        <w:rPr>
          <w:lang w:val="fr-CA"/>
        </w:rPr>
        <w:t xml:space="preserve"> la Stratégie pour la mobilisation des ressources et les cibles relatives à la mobilisation des ressources établies au titre de l</w:t>
      </w:r>
      <w:r w:rsidR="001C0A75">
        <w:rPr>
          <w:lang w:val="fr-CA"/>
        </w:rPr>
        <w:t>’</w:t>
      </w:r>
      <w:r w:rsidRPr="005E7DB2">
        <w:rPr>
          <w:lang w:val="fr-CA"/>
        </w:rPr>
        <w:t>objectif 20 d</w:t>
      </w:r>
      <w:r w:rsidR="001C0A75">
        <w:rPr>
          <w:lang w:val="fr-CA"/>
        </w:rPr>
        <w:t>’</w:t>
      </w:r>
      <w:r w:rsidRPr="005E7DB2">
        <w:rPr>
          <w:lang w:val="fr-CA"/>
        </w:rPr>
        <w:t>Aichi. Le tableau suivant sert de référence pour aider à déterminer où se situent les divers thèmes</w:t>
      </w:r>
      <w:r w:rsidR="00246DAD" w:rsidRPr="005E7DB2">
        <w:rPr>
          <w:kern w:val="22"/>
          <w:lang w:val="fr-CA"/>
        </w:rPr>
        <w:t>.</w:t>
      </w:r>
    </w:p>
    <w:p w:rsidR="00246DAD" w:rsidRPr="005E7DB2" w:rsidRDefault="009A1B7F" w:rsidP="009654F0">
      <w:pPr>
        <w:pStyle w:val="Para1"/>
        <w:keepNext/>
        <w:numPr>
          <w:ilvl w:val="0"/>
          <w:numId w:val="0"/>
        </w:numPr>
        <w:suppressLineNumbers/>
        <w:suppressAutoHyphens/>
        <w:ind w:left="851" w:hanging="851"/>
        <w:rPr>
          <w:b/>
          <w:kern w:val="22"/>
          <w:lang w:val="fr-CA"/>
        </w:rPr>
      </w:pPr>
      <w:r w:rsidRPr="005E7DB2">
        <w:rPr>
          <w:b/>
          <w:lang w:val="fr-CA"/>
        </w:rPr>
        <w:t>Tableau 1.</w:t>
      </w:r>
      <w:r w:rsidRPr="005E7DB2">
        <w:rPr>
          <w:b/>
          <w:lang w:val="fr-CA"/>
        </w:rPr>
        <w:tab/>
        <w:t>Relation entre les thèmes des buts de la Stratégie pour la mobilisation des ressources et les objectifs au titre de l</w:t>
      </w:r>
      <w:r w:rsidR="001C0A75">
        <w:rPr>
          <w:b/>
          <w:lang w:val="fr-CA"/>
        </w:rPr>
        <w:t>’</w:t>
      </w:r>
      <w:r w:rsidRPr="005E7DB2">
        <w:rPr>
          <w:b/>
          <w:lang w:val="fr-CA"/>
        </w:rPr>
        <w:t>Objectif 20 d</w:t>
      </w:r>
      <w:r w:rsidR="001C0A75">
        <w:rPr>
          <w:b/>
          <w:lang w:val="fr-CA"/>
        </w:rPr>
        <w:t>’</w:t>
      </w:r>
      <w:r w:rsidRPr="005E7DB2">
        <w:rPr>
          <w:b/>
          <w:lang w:val="fr-CA"/>
        </w:rPr>
        <w:t>Aichi pour la biodiversité</w:t>
      </w:r>
    </w:p>
    <w:tbl>
      <w:tblPr>
        <w:tblStyle w:val="TableGrid"/>
        <w:tblW w:w="0" w:type="auto"/>
        <w:jc w:val="center"/>
        <w:tblLook w:val="04A0"/>
      </w:tblPr>
      <w:tblGrid>
        <w:gridCol w:w="5920"/>
        <w:gridCol w:w="2021"/>
        <w:gridCol w:w="1801"/>
      </w:tblGrid>
      <w:tr w:rsidR="00246DAD" w:rsidRPr="005E7DB2" w:rsidTr="009654F0">
        <w:trPr>
          <w:cantSplit/>
          <w:tblHeader/>
          <w:jc w:val="center"/>
        </w:trPr>
        <w:tc>
          <w:tcPr>
            <w:tcW w:w="5920" w:type="dxa"/>
            <w:vAlign w:val="center"/>
          </w:tcPr>
          <w:p w:rsidR="00246DAD" w:rsidRPr="005E7DB2" w:rsidRDefault="009A1B7F" w:rsidP="00933838">
            <w:pPr>
              <w:pStyle w:val="Para1"/>
              <w:keepNext/>
              <w:numPr>
                <w:ilvl w:val="0"/>
                <w:numId w:val="0"/>
              </w:numPr>
              <w:suppressLineNumbers/>
              <w:suppressAutoHyphens/>
              <w:spacing w:before="0" w:after="0"/>
              <w:jc w:val="center"/>
              <w:rPr>
                <w:bCs/>
                <w:i/>
                <w:iCs/>
                <w:kern w:val="22"/>
                <w:sz w:val="20"/>
                <w:szCs w:val="20"/>
                <w:lang w:val="fr-CA"/>
              </w:rPr>
            </w:pPr>
            <w:r w:rsidRPr="005E7DB2">
              <w:rPr>
                <w:bCs/>
                <w:i/>
                <w:iCs/>
                <w:kern w:val="22"/>
                <w:sz w:val="20"/>
                <w:szCs w:val="20"/>
                <w:lang w:val="fr-CA"/>
              </w:rPr>
              <w:t>Thè</w:t>
            </w:r>
            <w:r w:rsidR="00246DAD" w:rsidRPr="005E7DB2">
              <w:rPr>
                <w:bCs/>
                <w:i/>
                <w:iCs/>
                <w:kern w:val="22"/>
                <w:sz w:val="20"/>
                <w:szCs w:val="20"/>
                <w:lang w:val="fr-CA"/>
              </w:rPr>
              <w:t>me</w:t>
            </w:r>
          </w:p>
        </w:tc>
        <w:tc>
          <w:tcPr>
            <w:tcW w:w="2021" w:type="dxa"/>
            <w:vAlign w:val="center"/>
          </w:tcPr>
          <w:p w:rsidR="00246DAD" w:rsidRPr="005E7DB2" w:rsidRDefault="00DC1E9C" w:rsidP="0011290F">
            <w:pPr>
              <w:pStyle w:val="Para1"/>
              <w:keepNext/>
              <w:numPr>
                <w:ilvl w:val="0"/>
                <w:numId w:val="0"/>
              </w:numPr>
              <w:suppressLineNumbers/>
              <w:suppressAutoHyphens/>
              <w:spacing w:before="0" w:after="0"/>
              <w:jc w:val="center"/>
              <w:rPr>
                <w:bCs/>
                <w:i/>
                <w:iCs/>
                <w:kern w:val="22"/>
                <w:sz w:val="20"/>
                <w:szCs w:val="20"/>
                <w:lang w:val="fr-CA"/>
              </w:rPr>
            </w:pPr>
            <w:r w:rsidRPr="005E7DB2">
              <w:rPr>
                <w:b/>
                <w:sz w:val="20"/>
                <w:szCs w:val="20"/>
                <w:lang w:val="fr-CA"/>
              </w:rPr>
              <w:t>Buts</w:t>
            </w:r>
            <w:r w:rsidR="009A1B7F" w:rsidRPr="005E7DB2">
              <w:rPr>
                <w:b/>
                <w:sz w:val="20"/>
                <w:szCs w:val="20"/>
                <w:lang w:val="fr-CA"/>
              </w:rPr>
              <w:t>(s) de la Stratégie pour la mobilisation des ressources</w:t>
            </w:r>
          </w:p>
        </w:tc>
        <w:tc>
          <w:tcPr>
            <w:tcW w:w="1801" w:type="dxa"/>
            <w:vAlign w:val="center"/>
          </w:tcPr>
          <w:p w:rsidR="00246DAD" w:rsidRPr="005E7DB2" w:rsidRDefault="009A1B7F" w:rsidP="0011290F">
            <w:pPr>
              <w:pStyle w:val="Para1"/>
              <w:keepNext/>
              <w:numPr>
                <w:ilvl w:val="0"/>
                <w:numId w:val="0"/>
              </w:numPr>
              <w:suppressLineNumbers/>
              <w:suppressAutoHyphens/>
              <w:spacing w:before="0" w:after="0"/>
              <w:jc w:val="center"/>
              <w:rPr>
                <w:bCs/>
                <w:i/>
                <w:iCs/>
                <w:kern w:val="22"/>
                <w:sz w:val="20"/>
                <w:szCs w:val="20"/>
                <w:lang w:val="fr-CA"/>
              </w:rPr>
            </w:pPr>
            <w:r w:rsidRPr="005E7DB2">
              <w:rPr>
                <w:b/>
                <w:sz w:val="20"/>
                <w:szCs w:val="20"/>
                <w:lang w:val="fr-CA"/>
              </w:rPr>
              <w:t>Objectif(s) au titre de l</w:t>
            </w:r>
            <w:r w:rsidR="001C0A75">
              <w:rPr>
                <w:b/>
                <w:sz w:val="20"/>
                <w:szCs w:val="20"/>
                <w:lang w:val="fr-CA"/>
              </w:rPr>
              <w:t>’</w:t>
            </w:r>
            <w:r w:rsidRPr="005E7DB2">
              <w:rPr>
                <w:b/>
                <w:sz w:val="20"/>
                <w:szCs w:val="20"/>
                <w:lang w:val="fr-CA"/>
              </w:rPr>
              <w:t>Objectif 20 d</w:t>
            </w:r>
            <w:r w:rsidR="001C0A75">
              <w:rPr>
                <w:b/>
                <w:sz w:val="20"/>
                <w:szCs w:val="20"/>
                <w:lang w:val="fr-CA"/>
              </w:rPr>
              <w:t>’</w:t>
            </w:r>
            <w:r w:rsidRPr="005E7DB2">
              <w:rPr>
                <w:b/>
                <w:sz w:val="20"/>
                <w:szCs w:val="20"/>
                <w:lang w:val="fr-CA"/>
              </w:rPr>
              <w:t>Aichi pour la biodiversité</w:t>
            </w:r>
          </w:p>
        </w:tc>
      </w:tr>
      <w:tr w:rsidR="009A1B7F" w:rsidRPr="005E7DB2" w:rsidTr="002D4A62">
        <w:trPr>
          <w:cantSplit/>
          <w:jc w:val="center"/>
        </w:trPr>
        <w:tc>
          <w:tcPr>
            <w:tcW w:w="5920" w:type="dxa"/>
          </w:tcPr>
          <w:p w:rsidR="009A1B7F" w:rsidRPr="005E7DB2" w:rsidRDefault="009A1B7F" w:rsidP="00EC4CCB">
            <w:pPr>
              <w:pStyle w:val="Para1"/>
              <w:keepNext/>
              <w:numPr>
                <w:ilvl w:val="0"/>
                <w:numId w:val="0"/>
              </w:numPr>
              <w:suppressLineNumbers/>
              <w:suppressAutoHyphens/>
              <w:spacing w:before="0" w:after="0"/>
              <w:jc w:val="left"/>
              <w:rPr>
                <w:sz w:val="20"/>
                <w:szCs w:val="20"/>
                <w:lang w:val="fr-CA"/>
              </w:rPr>
            </w:pPr>
            <w:r w:rsidRPr="005E7DB2">
              <w:rPr>
                <w:sz w:val="20"/>
                <w:szCs w:val="20"/>
                <w:lang w:val="fr-CA"/>
              </w:rPr>
              <w:t>Amélioration de la base d</w:t>
            </w:r>
            <w:r w:rsidR="001C0A75">
              <w:rPr>
                <w:sz w:val="20"/>
                <w:szCs w:val="20"/>
                <w:lang w:val="fr-CA"/>
              </w:rPr>
              <w:t>’</w:t>
            </w:r>
            <w:r w:rsidRPr="005E7DB2">
              <w:rPr>
                <w:sz w:val="20"/>
                <w:szCs w:val="20"/>
                <w:lang w:val="fr-CA"/>
              </w:rPr>
              <w:t>information et de l</w:t>
            </w:r>
            <w:r w:rsidR="001C0A75">
              <w:rPr>
                <w:sz w:val="20"/>
                <w:szCs w:val="20"/>
                <w:lang w:val="fr-CA"/>
              </w:rPr>
              <w:t>’</w:t>
            </w:r>
            <w:r w:rsidRPr="005E7DB2">
              <w:rPr>
                <w:sz w:val="20"/>
                <w:szCs w:val="20"/>
                <w:lang w:val="fr-CA"/>
              </w:rPr>
              <w:t xml:space="preserve">établissement des rapports </w:t>
            </w:r>
          </w:p>
        </w:tc>
        <w:tc>
          <w:tcPr>
            <w:tcW w:w="2021" w:type="dxa"/>
          </w:tcPr>
          <w:p w:rsidR="009A1B7F" w:rsidRPr="005E7DB2" w:rsidRDefault="009A1B7F" w:rsidP="0011290F">
            <w:pPr>
              <w:pStyle w:val="Para1"/>
              <w:keepNext/>
              <w:numPr>
                <w:ilvl w:val="0"/>
                <w:numId w:val="0"/>
              </w:numPr>
              <w:suppressLineNumbers/>
              <w:suppressAutoHyphens/>
              <w:spacing w:before="0" w:after="0"/>
              <w:jc w:val="center"/>
              <w:rPr>
                <w:kern w:val="22"/>
                <w:sz w:val="20"/>
                <w:szCs w:val="20"/>
                <w:lang w:val="fr-CA"/>
              </w:rPr>
            </w:pPr>
            <w:r w:rsidRPr="005E7DB2">
              <w:rPr>
                <w:kern w:val="22"/>
                <w:sz w:val="20"/>
                <w:szCs w:val="20"/>
                <w:lang w:val="fr-CA"/>
              </w:rPr>
              <w:t>1</w:t>
            </w:r>
          </w:p>
        </w:tc>
        <w:tc>
          <w:tcPr>
            <w:tcW w:w="1801" w:type="dxa"/>
          </w:tcPr>
          <w:p w:rsidR="009A1B7F" w:rsidRPr="005E7DB2" w:rsidRDefault="009A1B7F" w:rsidP="00EC4CCB">
            <w:pPr>
              <w:pStyle w:val="Para1"/>
              <w:keepNext/>
              <w:numPr>
                <w:ilvl w:val="0"/>
                <w:numId w:val="0"/>
              </w:numPr>
              <w:suppressLineNumbers/>
              <w:suppressAutoHyphens/>
              <w:spacing w:before="0" w:after="0"/>
              <w:jc w:val="center"/>
              <w:rPr>
                <w:sz w:val="20"/>
                <w:szCs w:val="20"/>
                <w:lang w:val="fr-CA"/>
              </w:rPr>
            </w:pPr>
            <w:r w:rsidRPr="005E7DB2">
              <w:rPr>
                <w:sz w:val="20"/>
                <w:szCs w:val="20"/>
                <w:lang w:val="fr-CA"/>
              </w:rPr>
              <w:t>1 c)</w:t>
            </w:r>
          </w:p>
        </w:tc>
      </w:tr>
      <w:tr w:rsidR="009A1B7F" w:rsidRPr="005E7DB2" w:rsidTr="002D4A62">
        <w:trPr>
          <w:cantSplit/>
          <w:jc w:val="center"/>
        </w:trPr>
        <w:tc>
          <w:tcPr>
            <w:tcW w:w="5920" w:type="dxa"/>
          </w:tcPr>
          <w:p w:rsidR="009A1B7F" w:rsidRPr="005E7DB2" w:rsidRDefault="009A1B7F" w:rsidP="00EC4CCB">
            <w:pPr>
              <w:pStyle w:val="Para1"/>
              <w:keepNext/>
              <w:numPr>
                <w:ilvl w:val="0"/>
                <w:numId w:val="0"/>
              </w:numPr>
              <w:suppressLineNumbers/>
              <w:suppressAutoHyphens/>
              <w:spacing w:before="0" w:after="0"/>
              <w:jc w:val="left"/>
              <w:rPr>
                <w:sz w:val="20"/>
                <w:szCs w:val="20"/>
                <w:lang w:val="fr-CA"/>
              </w:rPr>
            </w:pPr>
            <w:r w:rsidRPr="005E7DB2">
              <w:rPr>
                <w:sz w:val="20"/>
                <w:szCs w:val="20"/>
                <w:lang w:val="fr-CA"/>
              </w:rPr>
              <w:t>Flux financiers internationaux public et privés</w:t>
            </w:r>
          </w:p>
        </w:tc>
        <w:tc>
          <w:tcPr>
            <w:tcW w:w="2021" w:type="dxa"/>
          </w:tcPr>
          <w:p w:rsidR="009A1B7F" w:rsidRPr="005E7DB2" w:rsidRDefault="009A1B7F" w:rsidP="0011290F">
            <w:pPr>
              <w:pStyle w:val="Para1"/>
              <w:keepNext/>
              <w:numPr>
                <w:ilvl w:val="0"/>
                <w:numId w:val="0"/>
              </w:numPr>
              <w:suppressLineNumbers/>
              <w:suppressAutoHyphens/>
              <w:spacing w:before="0" w:after="0"/>
              <w:jc w:val="center"/>
              <w:rPr>
                <w:kern w:val="22"/>
                <w:sz w:val="20"/>
                <w:szCs w:val="20"/>
                <w:lang w:val="fr-CA"/>
              </w:rPr>
            </w:pPr>
            <w:r w:rsidRPr="005E7DB2">
              <w:rPr>
                <w:kern w:val="22"/>
                <w:sz w:val="20"/>
                <w:szCs w:val="20"/>
                <w:lang w:val="fr-CA"/>
              </w:rPr>
              <w:t>3, 6</w:t>
            </w:r>
          </w:p>
        </w:tc>
        <w:tc>
          <w:tcPr>
            <w:tcW w:w="1801" w:type="dxa"/>
          </w:tcPr>
          <w:p w:rsidR="009A1B7F" w:rsidRPr="005E7DB2" w:rsidRDefault="009A1B7F" w:rsidP="00EC4CCB">
            <w:pPr>
              <w:pStyle w:val="Para1"/>
              <w:keepNext/>
              <w:numPr>
                <w:ilvl w:val="0"/>
                <w:numId w:val="0"/>
              </w:numPr>
              <w:suppressLineNumbers/>
              <w:suppressAutoHyphens/>
              <w:spacing w:before="0" w:after="0"/>
              <w:jc w:val="center"/>
              <w:rPr>
                <w:sz w:val="20"/>
                <w:szCs w:val="20"/>
                <w:lang w:val="fr-CA"/>
              </w:rPr>
            </w:pPr>
            <w:r w:rsidRPr="005E7DB2">
              <w:rPr>
                <w:sz w:val="20"/>
                <w:szCs w:val="20"/>
                <w:lang w:val="fr-CA"/>
              </w:rPr>
              <w:t>1 a)</w:t>
            </w:r>
          </w:p>
        </w:tc>
      </w:tr>
      <w:tr w:rsidR="009A1B7F" w:rsidRPr="005E7DB2" w:rsidTr="002D4A62">
        <w:trPr>
          <w:cantSplit/>
          <w:jc w:val="center"/>
        </w:trPr>
        <w:tc>
          <w:tcPr>
            <w:tcW w:w="5920" w:type="dxa"/>
          </w:tcPr>
          <w:p w:rsidR="009A1B7F" w:rsidRPr="005E7DB2" w:rsidRDefault="009A1B7F" w:rsidP="00EC4CCB">
            <w:pPr>
              <w:pStyle w:val="Para1"/>
              <w:keepNext/>
              <w:numPr>
                <w:ilvl w:val="0"/>
                <w:numId w:val="0"/>
              </w:numPr>
              <w:suppressLineNumbers/>
              <w:suppressAutoHyphens/>
              <w:spacing w:before="0" w:after="0"/>
              <w:jc w:val="left"/>
              <w:rPr>
                <w:sz w:val="20"/>
                <w:szCs w:val="20"/>
                <w:lang w:val="fr-CA"/>
              </w:rPr>
            </w:pPr>
            <w:r w:rsidRPr="005E7DB2">
              <w:rPr>
                <w:sz w:val="20"/>
                <w:szCs w:val="20"/>
                <w:lang w:val="fr-CA"/>
              </w:rPr>
              <w:t>Flux financiers nationaux public et privés</w:t>
            </w:r>
          </w:p>
        </w:tc>
        <w:tc>
          <w:tcPr>
            <w:tcW w:w="2021" w:type="dxa"/>
          </w:tcPr>
          <w:p w:rsidR="009A1B7F" w:rsidRPr="005E7DB2" w:rsidRDefault="009A1B7F" w:rsidP="0011290F">
            <w:pPr>
              <w:pStyle w:val="Para1"/>
              <w:keepNext/>
              <w:numPr>
                <w:ilvl w:val="0"/>
                <w:numId w:val="0"/>
              </w:numPr>
              <w:suppressLineNumbers/>
              <w:suppressAutoHyphens/>
              <w:spacing w:before="0" w:after="0"/>
              <w:jc w:val="center"/>
              <w:rPr>
                <w:kern w:val="22"/>
                <w:sz w:val="20"/>
                <w:szCs w:val="20"/>
                <w:lang w:val="fr-CA"/>
              </w:rPr>
            </w:pPr>
            <w:r w:rsidRPr="005E7DB2">
              <w:rPr>
                <w:kern w:val="22"/>
                <w:sz w:val="20"/>
                <w:szCs w:val="20"/>
                <w:lang w:val="fr-CA"/>
              </w:rPr>
              <w:t>2</w:t>
            </w:r>
          </w:p>
        </w:tc>
        <w:tc>
          <w:tcPr>
            <w:tcW w:w="1801" w:type="dxa"/>
          </w:tcPr>
          <w:p w:rsidR="009A1B7F" w:rsidRPr="005E7DB2" w:rsidRDefault="009A1B7F" w:rsidP="00EC4CCB">
            <w:pPr>
              <w:pStyle w:val="Para1"/>
              <w:keepNext/>
              <w:numPr>
                <w:ilvl w:val="0"/>
                <w:numId w:val="0"/>
              </w:numPr>
              <w:suppressLineNumbers/>
              <w:suppressAutoHyphens/>
              <w:spacing w:before="0" w:after="0"/>
              <w:jc w:val="center"/>
              <w:rPr>
                <w:sz w:val="20"/>
                <w:szCs w:val="20"/>
                <w:lang w:val="fr-CA"/>
              </w:rPr>
            </w:pPr>
            <w:r w:rsidRPr="005E7DB2">
              <w:rPr>
                <w:sz w:val="20"/>
                <w:szCs w:val="20"/>
                <w:lang w:val="fr-CA"/>
              </w:rPr>
              <w:t>1 c)</w:t>
            </w:r>
            <w:r w:rsidR="001C0A75">
              <w:rPr>
                <w:sz w:val="20"/>
                <w:szCs w:val="20"/>
                <w:lang w:val="fr-CA"/>
              </w:rPr>
              <w:noBreakHyphen/>
            </w:r>
            <w:r w:rsidRPr="005E7DB2">
              <w:rPr>
                <w:sz w:val="20"/>
                <w:szCs w:val="20"/>
                <w:lang w:val="fr-CA"/>
              </w:rPr>
              <w:t>e)</w:t>
            </w:r>
          </w:p>
        </w:tc>
      </w:tr>
      <w:tr w:rsidR="009A1B7F" w:rsidRPr="005E7DB2" w:rsidTr="002D4A62">
        <w:trPr>
          <w:cantSplit/>
          <w:jc w:val="center"/>
        </w:trPr>
        <w:tc>
          <w:tcPr>
            <w:tcW w:w="5920" w:type="dxa"/>
          </w:tcPr>
          <w:p w:rsidR="009A1B7F" w:rsidRPr="005E7DB2" w:rsidRDefault="009A1B7F" w:rsidP="00EC4CCB">
            <w:pPr>
              <w:pStyle w:val="Para1"/>
              <w:keepNext/>
              <w:numPr>
                <w:ilvl w:val="0"/>
                <w:numId w:val="0"/>
              </w:numPr>
              <w:suppressLineNumbers/>
              <w:suppressAutoHyphens/>
              <w:spacing w:before="0" w:after="0"/>
              <w:jc w:val="left"/>
              <w:rPr>
                <w:sz w:val="20"/>
                <w:szCs w:val="20"/>
                <w:lang w:val="fr-CA"/>
              </w:rPr>
            </w:pPr>
            <w:r w:rsidRPr="005E7DB2">
              <w:rPr>
                <w:sz w:val="20"/>
                <w:szCs w:val="20"/>
                <w:lang w:val="fr-CA"/>
              </w:rPr>
              <w:t>L</w:t>
            </w:r>
            <w:r w:rsidR="001C0A75">
              <w:rPr>
                <w:sz w:val="20"/>
                <w:szCs w:val="20"/>
                <w:lang w:val="fr-CA"/>
              </w:rPr>
              <w:t>’</w:t>
            </w:r>
            <w:r w:rsidRPr="005E7DB2">
              <w:rPr>
                <w:sz w:val="20"/>
                <w:szCs w:val="20"/>
                <w:lang w:val="fr-CA"/>
              </w:rPr>
              <w:t>intégration en tant qu</w:t>
            </w:r>
            <w:r w:rsidR="001C0A75">
              <w:rPr>
                <w:sz w:val="20"/>
                <w:szCs w:val="20"/>
                <w:lang w:val="fr-CA"/>
              </w:rPr>
              <w:t>’</w:t>
            </w:r>
            <w:r w:rsidRPr="005E7DB2">
              <w:rPr>
                <w:sz w:val="20"/>
                <w:szCs w:val="20"/>
                <w:lang w:val="fr-CA"/>
              </w:rPr>
              <w:t>outil pour accroître le financement de la biodiversité</w:t>
            </w:r>
          </w:p>
        </w:tc>
        <w:tc>
          <w:tcPr>
            <w:tcW w:w="2021" w:type="dxa"/>
          </w:tcPr>
          <w:p w:rsidR="009A1B7F" w:rsidRPr="005E7DB2" w:rsidRDefault="009A1B7F" w:rsidP="0011290F">
            <w:pPr>
              <w:pStyle w:val="Para1"/>
              <w:keepNext/>
              <w:numPr>
                <w:ilvl w:val="0"/>
                <w:numId w:val="0"/>
              </w:numPr>
              <w:suppressLineNumbers/>
              <w:suppressAutoHyphens/>
              <w:spacing w:before="0" w:after="0"/>
              <w:jc w:val="center"/>
              <w:rPr>
                <w:kern w:val="22"/>
                <w:sz w:val="20"/>
                <w:szCs w:val="20"/>
                <w:lang w:val="fr-CA"/>
              </w:rPr>
            </w:pPr>
            <w:r w:rsidRPr="005E7DB2">
              <w:rPr>
                <w:kern w:val="22"/>
                <w:sz w:val="20"/>
                <w:szCs w:val="20"/>
                <w:lang w:val="fr-CA"/>
              </w:rPr>
              <w:t>4, 5</w:t>
            </w:r>
          </w:p>
        </w:tc>
        <w:tc>
          <w:tcPr>
            <w:tcW w:w="1801" w:type="dxa"/>
          </w:tcPr>
          <w:p w:rsidR="009A1B7F" w:rsidRPr="005E7DB2" w:rsidRDefault="009A1B7F" w:rsidP="00EC4CCB">
            <w:pPr>
              <w:pStyle w:val="Para1"/>
              <w:keepNext/>
              <w:numPr>
                <w:ilvl w:val="0"/>
                <w:numId w:val="0"/>
              </w:numPr>
              <w:suppressLineNumbers/>
              <w:suppressAutoHyphens/>
              <w:spacing w:before="0" w:after="0"/>
              <w:jc w:val="center"/>
              <w:rPr>
                <w:sz w:val="20"/>
                <w:szCs w:val="20"/>
                <w:lang w:val="fr-CA"/>
              </w:rPr>
            </w:pPr>
            <w:r w:rsidRPr="005E7DB2">
              <w:rPr>
                <w:sz w:val="20"/>
                <w:szCs w:val="20"/>
                <w:lang w:val="fr-CA"/>
              </w:rPr>
              <w:t>1 b)</w:t>
            </w:r>
          </w:p>
        </w:tc>
      </w:tr>
      <w:tr w:rsidR="009A1B7F" w:rsidRPr="005E7DB2" w:rsidTr="002D4A62">
        <w:trPr>
          <w:cantSplit/>
          <w:trHeight w:val="164"/>
          <w:jc w:val="center"/>
        </w:trPr>
        <w:tc>
          <w:tcPr>
            <w:tcW w:w="5920" w:type="dxa"/>
          </w:tcPr>
          <w:p w:rsidR="009A1B7F" w:rsidRPr="005E7DB2" w:rsidRDefault="009A1B7F" w:rsidP="00EC4CCB">
            <w:pPr>
              <w:pStyle w:val="Para1"/>
              <w:numPr>
                <w:ilvl w:val="0"/>
                <w:numId w:val="0"/>
              </w:numPr>
              <w:suppressLineNumbers/>
              <w:suppressAutoHyphens/>
              <w:spacing w:before="0" w:after="60"/>
              <w:jc w:val="left"/>
              <w:rPr>
                <w:sz w:val="20"/>
                <w:szCs w:val="20"/>
                <w:lang w:val="fr-CA"/>
              </w:rPr>
            </w:pPr>
            <w:r w:rsidRPr="005E7DB2">
              <w:rPr>
                <w:sz w:val="20"/>
                <w:szCs w:val="20"/>
                <w:lang w:val="fr-CA"/>
              </w:rPr>
              <w:t>Mobilisation de ressources par l</w:t>
            </w:r>
            <w:r w:rsidR="001C0A75">
              <w:rPr>
                <w:sz w:val="20"/>
                <w:szCs w:val="20"/>
                <w:lang w:val="fr-CA"/>
              </w:rPr>
              <w:t>’</w:t>
            </w:r>
            <w:r w:rsidRPr="005E7DB2">
              <w:rPr>
                <w:sz w:val="20"/>
                <w:szCs w:val="20"/>
                <w:lang w:val="fr-CA"/>
              </w:rPr>
              <w:t>accès et le partage des avantages, et les peuples autochtones et les communautés locales et leurs connaissances</w:t>
            </w:r>
          </w:p>
        </w:tc>
        <w:tc>
          <w:tcPr>
            <w:tcW w:w="2021" w:type="dxa"/>
          </w:tcPr>
          <w:p w:rsidR="009A1B7F" w:rsidRPr="005E7DB2" w:rsidRDefault="009A1B7F" w:rsidP="0011290F">
            <w:pPr>
              <w:pStyle w:val="Para1"/>
              <w:numPr>
                <w:ilvl w:val="0"/>
                <w:numId w:val="0"/>
              </w:numPr>
              <w:suppressLineNumbers/>
              <w:suppressAutoHyphens/>
              <w:spacing w:before="0" w:after="0"/>
              <w:jc w:val="center"/>
              <w:rPr>
                <w:kern w:val="22"/>
                <w:sz w:val="20"/>
                <w:szCs w:val="20"/>
                <w:lang w:val="fr-CA"/>
              </w:rPr>
            </w:pPr>
            <w:r w:rsidRPr="005E7DB2">
              <w:rPr>
                <w:kern w:val="22"/>
                <w:sz w:val="20"/>
                <w:szCs w:val="20"/>
                <w:lang w:val="fr-CA"/>
              </w:rPr>
              <w:t>7</w:t>
            </w:r>
          </w:p>
        </w:tc>
        <w:tc>
          <w:tcPr>
            <w:tcW w:w="1801" w:type="dxa"/>
          </w:tcPr>
          <w:p w:rsidR="009A1B7F" w:rsidRPr="005E7DB2" w:rsidRDefault="009A1B7F" w:rsidP="00EC4CCB">
            <w:pPr>
              <w:pStyle w:val="Para1"/>
              <w:numPr>
                <w:ilvl w:val="0"/>
                <w:numId w:val="0"/>
              </w:numPr>
              <w:suppressLineNumbers/>
              <w:suppressAutoHyphens/>
              <w:spacing w:before="0" w:after="0"/>
              <w:jc w:val="center"/>
              <w:rPr>
                <w:sz w:val="20"/>
                <w:szCs w:val="20"/>
                <w:lang w:val="fr-CA"/>
              </w:rPr>
            </w:pPr>
            <w:r w:rsidRPr="005E7DB2">
              <w:rPr>
                <w:sz w:val="20"/>
                <w:szCs w:val="20"/>
                <w:lang w:val="fr-CA"/>
              </w:rPr>
              <w:t>1 d)</w:t>
            </w:r>
          </w:p>
        </w:tc>
      </w:tr>
    </w:tbl>
    <w:p w:rsidR="00D81DBC" w:rsidRPr="005E7DB2" w:rsidRDefault="00D81DBC" w:rsidP="00D81DBC">
      <w:pPr>
        <w:pStyle w:val="Para1"/>
        <w:suppressLineNumbers/>
        <w:tabs>
          <w:tab w:val="clear" w:pos="360"/>
        </w:tabs>
        <w:suppressAutoHyphens/>
        <w:adjustRightInd w:val="0"/>
        <w:snapToGrid w:val="0"/>
        <w:rPr>
          <w:kern w:val="22"/>
          <w:szCs w:val="22"/>
          <w:lang w:val="fr-CA"/>
        </w:rPr>
      </w:pPr>
      <w:r w:rsidRPr="005E7DB2">
        <w:rPr>
          <w:szCs w:val="22"/>
          <w:lang w:val="fr-CA"/>
        </w:rPr>
        <w:t>La Stratégie pour la mobilisation des ressources est structurée en cinq sections, soit l</w:t>
      </w:r>
      <w:r w:rsidR="001C0A75">
        <w:rPr>
          <w:szCs w:val="22"/>
          <w:lang w:val="fr-CA"/>
        </w:rPr>
        <w:t>’</w:t>
      </w:r>
      <w:r w:rsidRPr="005E7DB2">
        <w:rPr>
          <w:szCs w:val="22"/>
          <w:lang w:val="fr-CA"/>
        </w:rPr>
        <w:t>urgence d</w:t>
      </w:r>
      <w:r w:rsidR="001C0A75">
        <w:rPr>
          <w:szCs w:val="22"/>
          <w:lang w:val="fr-CA"/>
        </w:rPr>
        <w:t>’</w:t>
      </w:r>
      <w:r w:rsidRPr="005E7DB2">
        <w:rPr>
          <w:szCs w:val="22"/>
          <w:lang w:val="fr-CA"/>
        </w:rPr>
        <w:t>agir, les visées, les principes directeurs, les buts (huit en tout) et objectifs stratégiques, et la mise en œuvre.</w:t>
      </w:r>
    </w:p>
    <w:p w:rsidR="00531771" w:rsidRPr="005E7DB2" w:rsidRDefault="00D81DBC" w:rsidP="00D81DBC">
      <w:pPr>
        <w:pStyle w:val="Para1"/>
        <w:suppressLineNumbers/>
        <w:tabs>
          <w:tab w:val="clear" w:pos="360"/>
        </w:tabs>
        <w:suppressAutoHyphens/>
        <w:adjustRightInd w:val="0"/>
        <w:snapToGrid w:val="0"/>
        <w:rPr>
          <w:kern w:val="22"/>
          <w:szCs w:val="22"/>
          <w:lang w:val="fr-CA"/>
        </w:rPr>
      </w:pPr>
      <w:r w:rsidRPr="005E7DB2">
        <w:rPr>
          <w:lang w:val="fr-CA"/>
        </w:rPr>
        <w:t>Dans leur examen global de la Stratégie pour la mobilisation des ressources, les Parties à la Convention et autres parties prenantes (y compris les peuples autochtones et les communautés locales) qui ont répondu à l</w:t>
      </w:r>
      <w:r w:rsidR="001C0A75">
        <w:rPr>
          <w:lang w:val="fr-CA"/>
        </w:rPr>
        <w:t>’</w:t>
      </w:r>
      <w:r w:rsidRPr="005E7DB2">
        <w:rPr>
          <w:lang w:val="fr-CA"/>
        </w:rPr>
        <w:t>appel à contributions susmentionné ont estimé qu</w:t>
      </w:r>
      <w:r w:rsidR="001C0A75">
        <w:rPr>
          <w:lang w:val="fr-CA"/>
        </w:rPr>
        <w:t>’</w:t>
      </w:r>
      <w:r w:rsidRPr="005E7DB2">
        <w:rPr>
          <w:lang w:val="fr-CA"/>
        </w:rPr>
        <w:t>autant la structure fondamentale que le contenu de la Stratégie pour la mobilisation des ressources sont essentiellement solides et encore pertinents. Cependant, un certain nombre de répondants a commenté que l</w:t>
      </w:r>
      <w:r w:rsidR="001C0A75">
        <w:rPr>
          <w:lang w:val="fr-CA"/>
        </w:rPr>
        <w:t>’</w:t>
      </w:r>
      <w:r w:rsidRPr="005E7DB2">
        <w:rPr>
          <w:lang w:val="fr-CA"/>
        </w:rPr>
        <w:t>efficacité de la Stratégie en tant que véhicule pour la mise en œuvre de décisions de la Conférence des Parties relatives à la mobilisation des ressources était, dans le meilleur des cas, limitée. Par exemple, le Bénin a observé que son efficacité « n</w:t>
      </w:r>
      <w:r w:rsidR="001C0A75">
        <w:rPr>
          <w:lang w:val="fr-CA"/>
        </w:rPr>
        <w:t>’</w:t>
      </w:r>
      <w:r w:rsidRPr="005E7DB2">
        <w:rPr>
          <w:lang w:val="fr-CA"/>
        </w:rPr>
        <w:t>a pas encore été démontrée dans les pays pauvres », et l</w:t>
      </w:r>
      <w:r w:rsidR="001C0A75">
        <w:rPr>
          <w:lang w:val="fr-CA"/>
        </w:rPr>
        <w:t>’</w:t>
      </w:r>
      <w:r w:rsidRPr="005E7DB2">
        <w:rPr>
          <w:lang w:val="fr-CA"/>
        </w:rPr>
        <w:t xml:space="preserve">Éthiopie a souligné que la Stratégie « ne met en place aucun mécanisme contraignant pour efficacement mobiliser les ressources nécessaires pour la mise en </w:t>
      </w:r>
      <w:r w:rsidRPr="005E7DB2">
        <w:rPr>
          <w:lang w:val="fr-CA"/>
        </w:rPr>
        <w:lastRenderedPageBreak/>
        <w:t>œuvre des cibles … ». L</w:t>
      </w:r>
      <w:r w:rsidR="001C0A75">
        <w:rPr>
          <w:lang w:val="fr-CA"/>
        </w:rPr>
        <w:t>’</w:t>
      </w:r>
      <w:r w:rsidRPr="005E7DB2">
        <w:rPr>
          <w:lang w:val="fr-CA"/>
        </w:rPr>
        <w:t>Union européenne estime de même que la Stratégie s</w:t>
      </w:r>
      <w:r w:rsidR="001C0A75">
        <w:rPr>
          <w:lang w:val="fr-CA"/>
        </w:rPr>
        <w:t>’</w:t>
      </w:r>
      <w:r w:rsidRPr="005E7DB2">
        <w:rPr>
          <w:lang w:val="fr-CA"/>
        </w:rPr>
        <w:t>est avérée d</w:t>
      </w:r>
      <w:r w:rsidR="001C0A75">
        <w:rPr>
          <w:lang w:val="fr-CA"/>
        </w:rPr>
        <w:t>’</w:t>
      </w:r>
      <w:r w:rsidRPr="005E7DB2">
        <w:rPr>
          <w:lang w:val="fr-CA"/>
        </w:rPr>
        <w:t>efficacité limitée et qu</w:t>
      </w:r>
      <w:r w:rsidR="001C0A75">
        <w:rPr>
          <w:lang w:val="fr-CA"/>
        </w:rPr>
        <w:t>’</w:t>
      </w:r>
      <w:r w:rsidRPr="005E7DB2">
        <w:rPr>
          <w:lang w:val="fr-CA"/>
        </w:rPr>
        <w:t>elle n</w:t>
      </w:r>
      <w:r w:rsidR="001C0A75">
        <w:rPr>
          <w:lang w:val="fr-CA"/>
        </w:rPr>
        <w:t>’</w:t>
      </w:r>
      <w:r w:rsidRPr="005E7DB2">
        <w:rPr>
          <w:lang w:val="fr-CA"/>
        </w:rPr>
        <w:t>est pas suffisamment opérationnelle</w:t>
      </w:r>
      <w:r w:rsidR="00474082" w:rsidRPr="005E7DB2">
        <w:rPr>
          <w:kern w:val="22"/>
          <w:szCs w:val="22"/>
          <w:lang w:val="fr-CA"/>
        </w:rPr>
        <w:t>.</w:t>
      </w:r>
    </w:p>
    <w:p w:rsidR="00DD2D32" w:rsidRPr="005E7DB2" w:rsidRDefault="00DD2D32" w:rsidP="00DD2D32">
      <w:pPr>
        <w:pStyle w:val="Para1"/>
        <w:suppressLineNumbers/>
        <w:tabs>
          <w:tab w:val="clear" w:pos="360"/>
        </w:tabs>
        <w:suppressAutoHyphens/>
        <w:rPr>
          <w:lang w:val="fr-CA"/>
        </w:rPr>
      </w:pPr>
      <w:r w:rsidRPr="005E7DB2">
        <w:rPr>
          <w:lang w:val="fr-CA"/>
        </w:rPr>
        <w:t>Il a également été noté qu</w:t>
      </w:r>
      <w:r w:rsidR="001C0A75">
        <w:rPr>
          <w:lang w:val="fr-CA"/>
        </w:rPr>
        <w:t>’</w:t>
      </w:r>
      <w:r w:rsidRPr="005E7DB2">
        <w:rPr>
          <w:lang w:val="fr-CA"/>
        </w:rPr>
        <w:t>afin de mobiliser toutes les ressources pertinentes à l</w:t>
      </w:r>
      <w:r w:rsidR="001C0A75">
        <w:rPr>
          <w:lang w:val="fr-CA"/>
        </w:rPr>
        <w:t>’</w:t>
      </w:r>
      <w:r w:rsidRPr="005E7DB2">
        <w:rPr>
          <w:lang w:val="fr-CA"/>
        </w:rPr>
        <w:t>échelle voulue et avec les modalités nécessaires pour aborder de manière efficace et durable la crise qui frappe la diversité biologique mondiale, la mobilisation des ressources dans le cadre mondial de la biodiversité pour l</w:t>
      </w:r>
      <w:r w:rsidR="001C0A75">
        <w:rPr>
          <w:lang w:val="fr-CA"/>
        </w:rPr>
        <w:t>’</w:t>
      </w:r>
      <w:r w:rsidRPr="005E7DB2">
        <w:rPr>
          <w:lang w:val="fr-CA"/>
        </w:rPr>
        <w:t>après</w:t>
      </w:r>
      <w:r w:rsidR="001C0A75">
        <w:rPr>
          <w:lang w:val="fr-CA"/>
        </w:rPr>
        <w:noBreakHyphen/>
      </w:r>
      <w:r w:rsidRPr="005E7DB2">
        <w:rPr>
          <w:lang w:val="fr-CA"/>
        </w:rPr>
        <w:t>2020 devrait mettre un terme aux subventions et incitatifs nuisibles, qui sont couverts dans l</w:t>
      </w:r>
      <w:r w:rsidR="001C0A75">
        <w:rPr>
          <w:lang w:val="fr-CA"/>
        </w:rPr>
        <w:t>’</w:t>
      </w:r>
      <w:r w:rsidRPr="005E7DB2">
        <w:rPr>
          <w:lang w:val="fr-CA"/>
        </w:rPr>
        <w:t>Objectif 3 d</w:t>
      </w:r>
      <w:r w:rsidR="001C0A75">
        <w:rPr>
          <w:lang w:val="fr-CA"/>
        </w:rPr>
        <w:t>’</w:t>
      </w:r>
      <w:r w:rsidRPr="005E7DB2">
        <w:rPr>
          <w:lang w:val="fr-CA"/>
        </w:rPr>
        <w:t>Aichi pour la biodiversité, mais pas dans les objectifs de la Stratégie pour la mobilisation des ressources en tant que tels.</w:t>
      </w:r>
    </w:p>
    <w:p w:rsidR="0056299F" w:rsidRPr="005E7DB2" w:rsidRDefault="00DD2D32" w:rsidP="00DD2D32">
      <w:pPr>
        <w:pStyle w:val="Para1"/>
        <w:suppressLineNumbers/>
        <w:tabs>
          <w:tab w:val="clear" w:pos="360"/>
        </w:tabs>
        <w:suppressAutoHyphens/>
        <w:rPr>
          <w:kern w:val="22"/>
          <w:szCs w:val="22"/>
          <w:lang w:val="fr-CA"/>
        </w:rPr>
      </w:pPr>
      <w:r w:rsidRPr="005E7DB2">
        <w:rPr>
          <w:szCs w:val="22"/>
          <w:lang w:val="fr-CA"/>
        </w:rPr>
        <w:t>D</w:t>
      </w:r>
      <w:r w:rsidR="001C0A75">
        <w:rPr>
          <w:szCs w:val="22"/>
          <w:lang w:val="fr-CA"/>
        </w:rPr>
        <w:t>’</w:t>
      </w:r>
      <w:r w:rsidRPr="005E7DB2">
        <w:rPr>
          <w:szCs w:val="22"/>
          <w:lang w:val="fr-CA"/>
        </w:rPr>
        <w:t xml:space="preserve">autres estiment que la Stratégie pour la mobilisation des ressources existante </w:t>
      </w:r>
      <w:proofErr w:type="spellStart"/>
      <w:r w:rsidRPr="005E7DB2">
        <w:rPr>
          <w:szCs w:val="22"/>
          <w:lang w:val="fr-CA"/>
        </w:rPr>
        <w:t>sous</w:t>
      </w:r>
      <w:r w:rsidR="001C0A75">
        <w:rPr>
          <w:szCs w:val="22"/>
          <w:lang w:val="fr-CA"/>
        </w:rPr>
        <w:noBreakHyphen/>
      </w:r>
      <w:r w:rsidRPr="005E7DB2">
        <w:rPr>
          <w:szCs w:val="22"/>
          <w:lang w:val="fr-CA"/>
        </w:rPr>
        <w:t>estime</w:t>
      </w:r>
      <w:proofErr w:type="spellEnd"/>
      <w:r w:rsidRPr="005E7DB2">
        <w:rPr>
          <w:szCs w:val="22"/>
          <w:lang w:val="fr-CA"/>
        </w:rPr>
        <w:t xml:space="preserve"> le rôle potentiel des acteurs non étatiques, et en particulier du secteur privé, dans la mobilisation des ressources, et ont recommandé qu</w:t>
      </w:r>
      <w:r w:rsidR="001C0A75">
        <w:rPr>
          <w:szCs w:val="22"/>
          <w:lang w:val="fr-CA"/>
        </w:rPr>
        <w:t>’</w:t>
      </w:r>
      <w:r w:rsidRPr="005E7DB2">
        <w:rPr>
          <w:szCs w:val="22"/>
          <w:lang w:val="fr-CA"/>
        </w:rPr>
        <w:t>une Stratégie actualisée examine plus attentivement l</w:t>
      </w:r>
      <w:r w:rsidR="001C0A75">
        <w:rPr>
          <w:szCs w:val="22"/>
          <w:lang w:val="fr-CA"/>
        </w:rPr>
        <w:t>’</w:t>
      </w:r>
      <w:r w:rsidRPr="005E7DB2">
        <w:rPr>
          <w:szCs w:val="22"/>
          <w:lang w:val="fr-CA"/>
        </w:rPr>
        <w:t>importance de l</w:t>
      </w:r>
      <w:r w:rsidR="001C0A75">
        <w:rPr>
          <w:szCs w:val="22"/>
          <w:lang w:val="fr-CA"/>
        </w:rPr>
        <w:t>’</w:t>
      </w:r>
      <w:r w:rsidRPr="005E7DB2">
        <w:rPr>
          <w:szCs w:val="22"/>
          <w:lang w:val="fr-CA"/>
        </w:rPr>
        <w:t xml:space="preserve">utilisation novatrice des finances publiques pour susciter des investissements privés dans la conservation (tels que des partenariats </w:t>
      </w:r>
      <w:proofErr w:type="spellStart"/>
      <w:r w:rsidRPr="005E7DB2">
        <w:rPr>
          <w:szCs w:val="22"/>
          <w:lang w:val="fr-CA"/>
        </w:rPr>
        <w:t>public</w:t>
      </w:r>
      <w:r w:rsidR="001C0A75">
        <w:rPr>
          <w:szCs w:val="22"/>
          <w:lang w:val="fr-CA"/>
        </w:rPr>
        <w:noBreakHyphen/>
      </w:r>
      <w:r w:rsidRPr="005E7DB2">
        <w:rPr>
          <w:szCs w:val="22"/>
          <w:lang w:val="fr-CA"/>
        </w:rPr>
        <w:t>privé</w:t>
      </w:r>
      <w:proofErr w:type="spellEnd"/>
      <w:r w:rsidRPr="005E7DB2">
        <w:rPr>
          <w:szCs w:val="22"/>
          <w:lang w:val="fr-CA"/>
        </w:rPr>
        <w:t xml:space="preserve">, des financements mixtes); mise sur les plateformes mondiales multipartites en vue de favoriser la coopération et apporter des solutions innovantes pour intensifier le financement de la conservation; et examine les synergies entre les Objectifs de développement durable et le financement des changements climatiques afin de créer des </w:t>
      </w:r>
      <w:r w:rsidRPr="005E7DB2">
        <w:rPr>
          <w:noProof/>
          <w:szCs w:val="22"/>
          <w:lang w:val="fr-CA"/>
        </w:rPr>
        <w:t>stratégies gagnant</w:t>
      </w:r>
      <w:r w:rsidR="001C0A75">
        <w:rPr>
          <w:noProof/>
          <w:szCs w:val="22"/>
          <w:lang w:val="fr-CA"/>
        </w:rPr>
        <w:noBreakHyphen/>
      </w:r>
      <w:r w:rsidRPr="005E7DB2">
        <w:rPr>
          <w:noProof/>
          <w:szCs w:val="22"/>
          <w:lang w:val="fr-CA"/>
        </w:rPr>
        <w:t>gagnant</w:t>
      </w:r>
      <w:r w:rsidRPr="005E7DB2">
        <w:rPr>
          <w:szCs w:val="22"/>
          <w:lang w:val="fr-CA"/>
        </w:rPr>
        <w:t xml:space="preserve"> pour tous</w:t>
      </w:r>
      <w:r w:rsidR="00C81C9A" w:rsidRPr="005E7DB2">
        <w:rPr>
          <w:kern w:val="22"/>
          <w:szCs w:val="22"/>
          <w:lang w:val="fr-CA"/>
        </w:rPr>
        <w:t>.</w:t>
      </w:r>
    </w:p>
    <w:p w:rsidR="00DD2D32" w:rsidRPr="005E7DB2" w:rsidRDefault="00DD2D32" w:rsidP="00DD2D32">
      <w:pPr>
        <w:pStyle w:val="Para1"/>
        <w:suppressLineNumbers/>
        <w:tabs>
          <w:tab w:val="clear" w:pos="360"/>
        </w:tabs>
        <w:suppressAutoHyphens/>
        <w:rPr>
          <w:lang w:val="fr-CA"/>
        </w:rPr>
      </w:pPr>
      <w:r w:rsidRPr="005E7DB2">
        <w:rPr>
          <w:lang w:val="fr-CA"/>
        </w:rPr>
        <w:t>La Banque mondiale estime que la Stratégie pour la mobilisation des ressources présente un certain nombre de lacunes, dont : a) absence d</w:t>
      </w:r>
      <w:r w:rsidR="001C0A75">
        <w:rPr>
          <w:lang w:val="fr-CA"/>
        </w:rPr>
        <w:t>’</w:t>
      </w:r>
      <w:r w:rsidRPr="005E7DB2">
        <w:rPr>
          <w:lang w:val="fr-CA"/>
        </w:rPr>
        <w:t>un objectif quantitatif pour la mobilisation des ressources (autant dans la Stratégie que dans l</w:t>
      </w:r>
      <w:r w:rsidR="001C0A75">
        <w:rPr>
          <w:lang w:val="fr-CA"/>
        </w:rPr>
        <w:t>’</w:t>
      </w:r>
      <w:r w:rsidRPr="005E7DB2">
        <w:rPr>
          <w:lang w:val="fr-CA"/>
        </w:rPr>
        <w:t>Objectif 20 d</w:t>
      </w:r>
      <w:r w:rsidR="001C0A75">
        <w:rPr>
          <w:lang w:val="fr-CA"/>
        </w:rPr>
        <w:t>’</w:t>
      </w:r>
      <w:r w:rsidRPr="005E7DB2">
        <w:rPr>
          <w:lang w:val="fr-CA"/>
        </w:rPr>
        <w:t>Aichi pour la biodiversité); absence de définition du terme « financement de la biodiversité », à la fois privé et public, et de ce qui constitue le « secteur privé »; c) absence d</w:t>
      </w:r>
      <w:r w:rsidR="001C0A75">
        <w:rPr>
          <w:lang w:val="fr-CA"/>
        </w:rPr>
        <w:t>’</w:t>
      </w:r>
      <w:r w:rsidRPr="005E7DB2">
        <w:rPr>
          <w:lang w:val="fr-CA"/>
        </w:rPr>
        <w:t>un plan d</w:t>
      </w:r>
      <w:r w:rsidR="001C0A75">
        <w:rPr>
          <w:lang w:val="fr-CA"/>
        </w:rPr>
        <w:t>’</w:t>
      </w:r>
      <w:r w:rsidRPr="005E7DB2">
        <w:rPr>
          <w:lang w:val="fr-CA"/>
        </w:rPr>
        <w:t>action assorti de délais pour la mobilisation des ressources; d) aucune indication concernant la manière dont les ressources pourraient être distribuées entre les cinq buts stratégiques de l</w:t>
      </w:r>
      <w:r w:rsidR="001C0A75">
        <w:rPr>
          <w:lang w:val="fr-CA"/>
        </w:rPr>
        <w:t>’</w:t>
      </w:r>
      <w:r w:rsidRPr="005E7DB2">
        <w:rPr>
          <w:lang w:val="fr-CA"/>
        </w:rPr>
        <w:t>actuel Plan stratégique pour la diversité biologique; e) manque d</w:t>
      </w:r>
      <w:r w:rsidR="001C0A75">
        <w:rPr>
          <w:lang w:val="fr-CA"/>
        </w:rPr>
        <w:t>’</w:t>
      </w:r>
      <w:r w:rsidRPr="005E7DB2">
        <w:rPr>
          <w:lang w:val="fr-CA"/>
        </w:rPr>
        <w:t>insistance sur la nécessité de réduire les investissements (publics et privés) qui nuisent à la biodiversité, et d</w:t>
      </w:r>
      <w:r w:rsidR="001C0A75">
        <w:rPr>
          <w:lang w:val="fr-CA"/>
        </w:rPr>
        <w:t>’</w:t>
      </w:r>
      <w:r w:rsidRPr="005E7DB2">
        <w:rPr>
          <w:lang w:val="fr-CA"/>
        </w:rPr>
        <w:t>accroître les investissements respectueux de la biodiversité; g) omission de toute référence aux marchés financiers et au secteur bancaire; et h) manque de clarté au sujet des responsabilités incombant à chaque groupe de parties prenantes.</w:t>
      </w:r>
    </w:p>
    <w:p w:rsidR="00B147CB" w:rsidRPr="005E7DB2" w:rsidRDefault="00DD2D32" w:rsidP="00DD2D32">
      <w:pPr>
        <w:pStyle w:val="Para1"/>
        <w:suppressLineNumbers/>
        <w:tabs>
          <w:tab w:val="clear" w:pos="360"/>
        </w:tabs>
        <w:suppressAutoHyphens/>
        <w:rPr>
          <w:kern w:val="22"/>
          <w:lang w:val="fr-CA"/>
        </w:rPr>
      </w:pPr>
      <w:r w:rsidRPr="005E7DB2">
        <w:rPr>
          <w:lang w:val="fr-CA"/>
        </w:rPr>
        <w:t xml:space="preserve">Une évaluation plus détaillée des progrès accomplis dans la réalisation des objectifs de la stratégie de gestion des ressources figure </w:t>
      </w:r>
      <w:r w:rsidRPr="005E7DB2">
        <w:rPr>
          <w:noProof/>
          <w:lang w:val="fr-CA"/>
        </w:rPr>
        <w:t>ci</w:t>
      </w:r>
      <w:r w:rsidR="001C0A75">
        <w:rPr>
          <w:noProof/>
          <w:lang w:val="fr-CA"/>
        </w:rPr>
        <w:noBreakHyphen/>
      </w:r>
      <w:r w:rsidRPr="005E7DB2">
        <w:rPr>
          <w:noProof/>
          <w:lang w:val="fr-CA"/>
        </w:rPr>
        <w:t>après, avec</w:t>
      </w:r>
      <w:r w:rsidRPr="005E7DB2">
        <w:rPr>
          <w:lang w:val="fr-CA"/>
        </w:rPr>
        <w:t xml:space="preserve"> des indications de lacunes spécifiques qui ont été identifiées et des suggestions préliminaires d</w:t>
      </w:r>
      <w:r w:rsidR="001C0A75">
        <w:rPr>
          <w:lang w:val="fr-CA"/>
        </w:rPr>
        <w:t>’</w:t>
      </w:r>
      <w:r w:rsidRPr="005E7DB2">
        <w:rPr>
          <w:lang w:val="fr-CA"/>
        </w:rPr>
        <w:t>éventuelles mesures à prendre</w:t>
      </w:r>
      <w:r w:rsidR="00B147CB" w:rsidRPr="005E7DB2">
        <w:rPr>
          <w:kern w:val="22"/>
          <w:lang w:val="fr-CA"/>
        </w:rPr>
        <w:t>.</w:t>
      </w:r>
    </w:p>
    <w:p w:rsidR="00B147CB" w:rsidRPr="005E7DB2" w:rsidRDefault="00DD2D32">
      <w:pPr>
        <w:pStyle w:val="Heading4"/>
        <w:suppressLineNumbers/>
        <w:suppressAutoHyphens/>
        <w:rPr>
          <w:i w:val="0"/>
          <w:kern w:val="22"/>
          <w:lang w:val="fr-CA"/>
        </w:rPr>
      </w:pPr>
      <w:r w:rsidRPr="005E7DB2">
        <w:rPr>
          <w:i w:val="0"/>
          <w:lang w:val="fr-CA"/>
        </w:rPr>
        <w:t xml:space="preserve">But 1 : </w:t>
      </w:r>
      <w:r w:rsidRPr="005E7DB2">
        <w:rPr>
          <w:bCs w:val="0"/>
          <w:i w:val="0"/>
          <w:iCs/>
          <w:noProof/>
          <w:lang w:val="fr-CA" w:eastAsia="zh-CN"/>
        </w:rPr>
        <w:t>Améliorer les informations détenues sur les besoins, lacunes et priorités de financement</w:t>
      </w:r>
    </w:p>
    <w:p w:rsidR="00B147CB" w:rsidRPr="005E7DB2" w:rsidRDefault="004325EF">
      <w:pPr>
        <w:pStyle w:val="Para1"/>
        <w:suppressLineNumbers/>
        <w:tabs>
          <w:tab w:val="clear" w:pos="360"/>
        </w:tabs>
        <w:suppressAutoHyphens/>
        <w:rPr>
          <w:kern w:val="22"/>
          <w:lang w:val="fr-CA"/>
        </w:rPr>
      </w:pPr>
      <w:r w:rsidRPr="005E7DB2">
        <w:rPr>
          <w:lang w:val="fr-CA"/>
        </w:rPr>
        <w:t>Avec l</w:t>
      </w:r>
      <w:r w:rsidR="001C0A75">
        <w:rPr>
          <w:lang w:val="fr-CA"/>
        </w:rPr>
        <w:t>’</w:t>
      </w:r>
      <w:r w:rsidRPr="005E7DB2">
        <w:rPr>
          <w:lang w:val="fr-CA"/>
        </w:rPr>
        <w:t>ajout important des objectifs pour la mobilisation de ressources adoptés dans la décision </w:t>
      </w:r>
      <w:hyperlink r:id="rId19" w:history="1">
        <w:r w:rsidRPr="005E7DB2">
          <w:rPr>
            <w:rStyle w:val="Hyperlink"/>
            <w:sz w:val="22"/>
            <w:lang w:val="fr-CA"/>
          </w:rPr>
          <w:t>XII/3</w:t>
        </w:r>
      </w:hyperlink>
      <w:r w:rsidR="001C0A75">
        <w:rPr>
          <w:lang w:val="fr-CA"/>
        </w:rPr>
        <w:t xml:space="preserve"> et le C</w:t>
      </w:r>
      <w:r w:rsidRPr="005E7DB2">
        <w:rPr>
          <w:lang w:val="fr-CA"/>
        </w:rPr>
        <w:t>adre de présentation des rapports financiers associé, ainsi que des informations émanant du deuxième rapport du Groupe d</w:t>
      </w:r>
      <w:r w:rsidR="001C0A75">
        <w:rPr>
          <w:lang w:val="fr-CA"/>
        </w:rPr>
        <w:t>’</w:t>
      </w:r>
      <w:r w:rsidRPr="005E7DB2">
        <w:rPr>
          <w:lang w:val="fr-CA"/>
        </w:rPr>
        <w:t>experts de haut niveau sur la mobilisation des ressources,</w:t>
      </w:r>
      <w:r w:rsidRPr="005E7DB2">
        <w:rPr>
          <w:rStyle w:val="FootnoteReference"/>
          <w:lang w:val="fr-CA"/>
        </w:rPr>
        <w:footnoteReference w:id="7"/>
      </w:r>
      <w:r w:rsidRPr="005E7DB2">
        <w:rPr>
          <w:lang w:val="fr-CA"/>
        </w:rPr>
        <w:t xml:space="preserve"> du FEM, de l</w:t>
      </w:r>
      <w:r w:rsidR="001C0A75">
        <w:rPr>
          <w:lang w:val="fr-CA"/>
        </w:rPr>
        <w:t>’</w:t>
      </w:r>
      <w:r w:rsidRPr="005E7DB2">
        <w:rPr>
          <w:lang w:val="fr-CA"/>
        </w:rPr>
        <w:t xml:space="preserve">Initiative de financement pour la biodiversité (BIOFIN) du </w:t>
      </w:r>
      <w:r w:rsidRPr="005E7DB2">
        <w:rPr>
          <w:iCs/>
          <w:lang w:val="fr-CA"/>
        </w:rPr>
        <w:t>Programme des Nations Unies pour le développement (PNUD), et d</w:t>
      </w:r>
      <w:r w:rsidR="001C0A75">
        <w:rPr>
          <w:iCs/>
          <w:lang w:val="fr-CA"/>
        </w:rPr>
        <w:t>’</w:t>
      </w:r>
      <w:r w:rsidRPr="005E7DB2">
        <w:rPr>
          <w:iCs/>
          <w:lang w:val="fr-CA"/>
        </w:rPr>
        <w:t>autres, les outils essentiels sont théoriquement en place pour satisfaire à tous les éléments clés de l</w:t>
      </w:r>
      <w:r w:rsidR="001C0A75">
        <w:rPr>
          <w:iCs/>
          <w:lang w:val="fr-CA"/>
        </w:rPr>
        <w:t>’</w:t>
      </w:r>
      <w:r w:rsidRPr="005E7DB2">
        <w:rPr>
          <w:iCs/>
          <w:lang w:val="fr-CA"/>
        </w:rPr>
        <w:t>objectif 1. Cependant, l</w:t>
      </w:r>
      <w:r w:rsidR="001C0A75">
        <w:rPr>
          <w:iCs/>
          <w:lang w:val="fr-CA"/>
        </w:rPr>
        <w:t>’</w:t>
      </w:r>
      <w:r w:rsidRPr="005E7DB2">
        <w:rPr>
          <w:iCs/>
          <w:lang w:val="fr-CA"/>
        </w:rPr>
        <w:t>efficacité globale de l</w:t>
      </w:r>
      <w:r w:rsidR="001C0A75">
        <w:rPr>
          <w:iCs/>
          <w:lang w:val="fr-CA"/>
        </w:rPr>
        <w:t>’</w:t>
      </w:r>
      <w:r w:rsidRPr="005E7DB2">
        <w:rPr>
          <w:iCs/>
          <w:lang w:val="fr-CA"/>
        </w:rPr>
        <w:t>objectif 1 s</w:t>
      </w:r>
      <w:r w:rsidR="001C0A75">
        <w:rPr>
          <w:iCs/>
          <w:lang w:val="fr-CA"/>
        </w:rPr>
        <w:t>’</w:t>
      </w:r>
      <w:r w:rsidRPr="005E7DB2">
        <w:rPr>
          <w:iCs/>
          <w:lang w:val="fr-CA"/>
        </w:rPr>
        <w:t>est avérée limitée, puisque seule environ la moitié des Parties a communiqué des informations financières, une minorité de Parties récipiendaires éligibles a fait état de ses besoins et priorités, et un nombre inférieur au minimum requis de 75 pour cent des Parties a présenté des rapports sur les objectifs. Les limites des données fournies au titre de l</w:t>
      </w:r>
      <w:r w:rsidR="001C0A75">
        <w:rPr>
          <w:iCs/>
          <w:lang w:val="fr-CA"/>
        </w:rPr>
        <w:t>’</w:t>
      </w:r>
      <w:r w:rsidRPr="005E7DB2">
        <w:rPr>
          <w:iCs/>
          <w:lang w:val="fr-CA"/>
        </w:rPr>
        <w:t>actuel cadre de présentation des rapports signifient également que ces données ne pourront probablement pas offrir une ligne de base solide au titre du cadre mondial de la biodiversité pour l</w:t>
      </w:r>
      <w:r w:rsidR="001C0A75">
        <w:rPr>
          <w:iCs/>
          <w:lang w:val="fr-CA"/>
        </w:rPr>
        <w:t>’</w:t>
      </w:r>
      <w:r w:rsidRPr="005E7DB2">
        <w:rPr>
          <w:iCs/>
          <w:lang w:val="fr-CA"/>
        </w:rPr>
        <w:t>après</w:t>
      </w:r>
      <w:r w:rsidR="001C0A75">
        <w:rPr>
          <w:iCs/>
          <w:lang w:val="fr-CA"/>
        </w:rPr>
        <w:noBreakHyphen/>
      </w:r>
      <w:r w:rsidRPr="005E7DB2">
        <w:rPr>
          <w:iCs/>
          <w:lang w:val="fr-CA"/>
        </w:rPr>
        <w:t>2020 au cours des années à venir</w:t>
      </w:r>
      <w:r w:rsidR="00B147CB" w:rsidRPr="005E7DB2">
        <w:rPr>
          <w:kern w:val="22"/>
          <w:lang w:val="fr-CA"/>
        </w:rPr>
        <w:t>.</w:t>
      </w:r>
    </w:p>
    <w:p w:rsidR="000F1D07" w:rsidRPr="005E7DB2" w:rsidRDefault="004325EF">
      <w:pPr>
        <w:pStyle w:val="Para1"/>
        <w:suppressLineNumbers/>
        <w:tabs>
          <w:tab w:val="clear" w:pos="360"/>
        </w:tabs>
        <w:suppressAutoHyphens/>
        <w:rPr>
          <w:kern w:val="22"/>
          <w:lang w:val="fr-CA"/>
        </w:rPr>
      </w:pPr>
      <w:r w:rsidRPr="005E7DB2">
        <w:rPr>
          <w:lang w:val="fr-CA"/>
        </w:rPr>
        <w:lastRenderedPageBreak/>
        <w:t xml:space="preserve">En revanche, </w:t>
      </w:r>
      <w:r w:rsidRPr="005E7DB2">
        <w:rPr>
          <w:noProof/>
          <w:lang w:val="fr-CA"/>
        </w:rPr>
        <w:t>le sous</w:t>
      </w:r>
      <w:r w:rsidR="001C0A75">
        <w:rPr>
          <w:noProof/>
          <w:lang w:val="fr-CA"/>
        </w:rPr>
        <w:noBreakHyphen/>
      </w:r>
      <w:r w:rsidRPr="005E7DB2">
        <w:rPr>
          <w:noProof/>
          <w:lang w:val="fr-CA"/>
        </w:rPr>
        <w:t>objectif 1.2 a connu</w:t>
      </w:r>
      <w:r w:rsidRPr="005E7DB2">
        <w:rPr>
          <w:lang w:val="fr-CA"/>
        </w:rPr>
        <w:t xml:space="preserve"> plus de succès, puisqu</w:t>
      </w:r>
      <w:r w:rsidR="001C0A75">
        <w:rPr>
          <w:lang w:val="fr-CA"/>
        </w:rPr>
        <w:t>’</w:t>
      </w:r>
      <w:r w:rsidRPr="005E7DB2">
        <w:rPr>
          <w:lang w:val="fr-CA"/>
        </w:rPr>
        <w:t>un nombre important d</w:t>
      </w:r>
      <w:r w:rsidR="001C0A75">
        <w:rPr>
          <w:lang w:val="fr-CA"/>
        </w:rPr>
        <w:t>’</w:t>
      </w:r>
      <w:r w:rsidRPr="005E7DB2">
        <w:rPr>
          <w:lang w:val="fr-CA"/>
        </w:rPr>
        <w:t>études ont été entreprises par des organisations internationales (telles que l</w:t>
      </w:r>
      <w:r w:rsidR="001C0A75">
        <w:rPr>
          <w:lang w:val="fr-CA"/>
        </w:rPr>
        <w:t>’</w:t>
      </w:r>
      <w:r w:rsidRPr="005E7DB2">
        <w:rPr>
          <w:rStyle w:val="Emphasis"/>
          <w:i w:val="0"/>
          <w:lang w:val="fr-CA"/>
        </w:rPr>
        <w:t>Organisation de coopération et de développement économiques (OCDE), le FEM, le PNUD, et le Programme des Nations Unies pour l</w:t>
      </w:r>
      <w:r w:rsidR="001C0A75">
        <w:rPr>
          <w:rStyle w:val="Emphasis"/>
          <w:i w:val="0"/>
          <w:lang w:val="fr-CA"/>
        </w:rPr>
        <w:t>’</w:t>
      </w:r>
      <w:r w:rsidRPr="005E7DB2">
        <w:rPr>
          <w:rStyle w:val="Emphasis"/>
          <w:i w:val="0"/>
          <w:lang w:val="fr-CA"/>
        </w:rPr>
        <w:t xml:space="preserve">environnement (PNUE)) ainsi que plusieurs organisations non gouvernementales et universitaires pour évaluer les coûts économiques de la perte de biodiversité et de </w:t>
      </w:r>
      <w:r w:rsidRPr="005E7DB2">
        <w:rPr>
          <w:rStyle w:val="Emphasis"/>
          <w:i w:val="0"/>
          <w:noProof/>
          <w:lang w:val="fr-CA"/>
        </w:rPr>
        <w:t>ses services écosystémiques associés</w:t>
      </w:r>
      <w:r w:rsidRPr="005E7DB2">
        <w:rPr>
          <w:rStyle w:val="Emphasis"/>
          <w:i w:val="0"/>
          <w:lang w:val="fr-CA"/>
        </w:rPr>
        <w:t>, et les retombées positives de la prise de mesures</w:t>
      </w:r>
      <w:r w:rsidR="000F1D07" w:rsidRPr="005E7DB2">
        <w:rPr>
          <w:i/>
          <w:kern w:val="22"/>
          <w:lang w:val="fr-CA"/>
        </w:rPr>
        <w:t>.</w:t>
      </w:r>
    </w:p>
    <w:p w:rsidR="00937F99" w:rsidRPr="005E7DB2" w:rsidRDefault="00A2336C">
      <w:pPr>
        <w:pStyle w:val="Para1"/>
        <w:suppressLineNumbers/>
        <w:tabs>
          <w:tab w:val="clear" w:pos="360"/>
        </w:tabs>
        <w:suppressAutoHyphens/>
        <w:rPr>
          <w:kern w:val="22"/>
          <w:lang w:val="fr-CA"/>
        </w:rPr>
      </w:pPr>
      <w:r w:rsidRPr="005E7DB2">
        <w:rPr>
          <w:lang w:val="fr-CA"/>
        </w:rPr>
        <w:t>Les préoccupations quant à la nécessité d</w:t>
      </w:r>
      <w:r w:rsidR="001C0A75">
        <w:rPr>
          <w:lang w:val="fr-CA"/>
        </w:rPr>
        <w:t>’</w:t>
      </w:r>
      <w:r w:rsidRPr="005E7DB2">
        <w:rPr>
          <w:lang w:val="fr-CA"/>
        </w:rPr>
        <w:t>adopter une méthodologie plus robuste et transparente pour la présentation des rapports sur la mobilisation des ressources ont été reconnues, notamment dans un atelier tenu à Mexico en 2015, mais plus d</w:t>
      </w:r>
      <w:r w:rsidR="001C0A75">
        <w:rPr>
          <w:lang w:val="fr-CA"/>
        </w:rPr>
        <w:t>’</w:t>
      </w:r>
      <w:r w:rsidRPr="005E7DB2">
        <w:rPr>
          <w:lang w:val="fr-CA"/>
        </w:rPr>
        <w:t>efforts sont nécessaires en vue d</w:t>
      </w:r>
      <w:r w:rsidR="001C0A75">
        <w:rPr>
          <w:lang w:val="fr-CA"/>
        </w:rPr>
        <w:t>’</w:t>
      </w:r>
      <w:r w:rsidRPr="005E7DB2">
        <w:rPr>
          <w:lang w:val="fr-CA"/>
        </w:rPr>
        <w:t>élaborer des directives volontaires convenues pour faciliter la présentation des rapports financiers. Certaines difficultés subsistent également pour ce qui est de la manière dont les marqueurs de Rio sont utilisés au titre de la Convention. Les directives révisées sur les marqueurs de Rio</w:t>
      </w:r>
      <w:r w:rsidRPr="005E7DB2">
        <w:rPr>
          <w:rStyle w:val="preferred"/>
          <w:lang w:val="fr-CA"/>
        </w:rPr>
        <w:t>, adoptées par l</w:t>
      </w:r>
      <w:r w:rsidR="001C0A75">
        <w:rPr>
          <w:rStyle w:val="preferred"/>
          <w:lang w:val="fr-CA"/>
        </w:rPr>
        <w:t>’</w:t>
      </w:r>
      <w:r w:rsidRPr="005E7DB2">
        <w:rPr>
          <w:rStyle w:val="preferred"/>
          <w:lang w:val="fr-CA"/>
        </w:rPr>
        <w:t xml:space="preserve">OCDE en 2019, </w:t>
      </w:r>
      <w:r w:rsidRPr="005E7DB2">
        <w:rPr>
          <w:lang w:val="fr-CA"/>
        </w:rPr>
        <w:t xml:space="preserve">pour le </w:t>
      </w:r>
      <w:r w:rsidRPr="005E7DB2">
        <w:rPr>
          <w:rStyle w:val="preferred"/>
          <w:lang w:val="fr-CA"/>
        </w:rPr>
        <w:t>Système de notification des pays créanciers (SNPC) concernant la présentation des rapports sur la biodiversité amélioreront la cohérence de la présentation de ces rapports par les pays membres de l</w:t>
      </w:r>
      <w:r w:rsidR="001C0A75">
        <w:rPr>
          <w:rStyle w:val="preferred"/>
          <w:lang w:val="fr-CA"/>
        </w:rPr>
        <w:t>’</w:t>
      </w:r>
      <w:r w:rsidRPr="005E7DB2">
        <w:rPr>
          <w:rStyle w:val="preferred"/>
          <w:lang w:val="fr-CA"/>
        </w:rPr>
        <w:t>OCDE bénéficiant de l</w:t>
      </w:r>
      <w:r w:rsidR="001C0A75">
        <w:rPr>
          <w:rStyle w:val="preferred"/>
          <w:lang w:val="fr-CA"/>
        </w:rPr>
        <w:t>’</w:t>
      </w:r>
      <w:r w:rsidRPr="005E7DB2">
        <w:rPr>
          <w:rStyle w:val="preferred"/>
          <w:lang w:val="fr-CA"/>
        </w:rPr>
        <w:t>aide publique au développement (APD). L</w:t>
      </w:r>
      <w:r w:rsidR="001C0A75">
        <w:rPr>
          <w:rStyle w:val="preferred"/>
          <w:lang w:val="fr-CA"/>
        </w:rPr>
        <w:t>’</w:t>
      </w:r>
      <w:r w:rsidRPr="005E7DB2">
        <w:rPr>
          <w:rStyle w:val="preferred"/>
          <w:lang w:val="fr-CA"/>
        </w:rPr>
        <w:t>extension et l</w:t>
      </w:r>
      <w:r w:rsidR="001C0A75">
        <w:rPr>
          <w:rStyle w:val="preferred"/>
          <w:lang w:val="fr-CA"/>
        </w:rPr>
        <w:t>’</w:t>
      </w:r>
      <w:r w:rsidRPr="005E7DB2">
        <w:rPr>
          <w:rStyle w:val="preferred"/>
          <w:lang w:val="fr-CA"/>
        </w:rPr>
        <w:t>expansion de la méthodologie BIOFIN peut également améliorer la présentation des rapports sur le financement national</w:t>
      </w:r>
      <w:r w:rsidR="00937F99" w:rsidRPr="005E7DB2">
        <w:rPr>
          <w:kern w:val="22"/>
          <w:lang w:val="fr-CA"/>
        </w:rPr>
        <w:t>.</w:t>
      </w:r>
    </w:p>
    <w:p w:rsidR="00A2336C" w:rsidRPr="005E7DB2" w:rsidRDefault="00A2336C" w:rsidP="00A2336C">
      <w:pPr>
        <w:pStyle w:val="Para1"/>
        <w:suppressLineNumbers/>
        <w:tabs>
          <w:tab w:val="clear" w:pos="360"/>
        </w:tabs>
        <w:suppressAutoHyphens/>
        <w:rPr>
          <w:lang w:val="fr-CA"/>
        </w:rPr>
      </w:pPr>
      <w:r w:rsidRPr="005E7DB2">
        <w:rPr>
          <w:lang w:val="fr-CA"/>
        </w:rPr>
        <w:t>Une question clé pour l</w:t>
      </w:r>
      <w:r w:rsidR="001C0A75">
        <w:rPr>
          <w:lang w:val="fr-CA"/>
        </w:rPr>
        <w:t>’</w:t>
      </w:r>
      <w:r w:rsidRPr="005E7DB2">
        <w:rPr>
          <w:lang w:val="fr-CA"/>
        </w:rPr>
        <w:t>avenir est donc de déterminer comment assurer la méthodologie la plus cohérente et la plus fiable à utiliser à l</w:t>
      </w:r>
      <w:r w:rsidR="001C0A75">
        <w:rPr>
          <w:lang w:val="fr-CA"/>
        </w:rPr>
        <w:t>’</w:t>
      </w:r>
      <w:r w:rsidRPr="005E7DB2">
        <w:rPr>
          <w:lang w:val="fr-CA"/>
        </w:rPr>
        <w:t>avenir pour suivre la mobilisation des ressources pour la biodiversité, et en particulier dans quelle mesure la communauté de la biodiversité souhaite élaborer sa propre approche sur mesure, ou sinon s</w:t>
      </w:r>
      <w:r w:rsidR="001C0A75">
        <w:rPr>
          <w:lang w:val="fr-CA"/>
        </w:rPr>
        <w:t>’</w:t>
      </w:r>
      <w:r w:rsidRPr="005E7DB2">
        <w:rPr>
          <w:lang w:val="fr-CA"/>
        </w:rPr>
        <w:t>aligner pleinement sur les normes statistiques et les modalités d</w:t>
      </w:r>
      <w:r w:rsidR="001C0A75">
        <w:rPr>
          <w:lang w:val="fr-CA"/>
        </w:rPr>
        <w:t>’</w:t>
      </w:r>
      <w:r w:rsidRPr="005E7DB2">
        <w:rPr>
          <w:lang w:val="fr-CA"/>
        </w:rPr>
        <w:t>établissement de rapports internationales établies. Il convient de noter que les travaux en cours de la Direction de l</w:t>
      </w:r>
      <w:r w:rsidR="001C0A75">
        <w:rPr>
          <w:lang w:val="fr-CA"/>
        </w:rPr>
        <w:t>’</w:t>
      </w:r>
      <w:r w:rsidRPr="005E7DB2">
        <w:rPr>
          <w:lang w:val="fr-CA"/>
        </w:rPr>
        <w:t>environnement de l</w:t>
      </w:r>
      <w:r w:rsidR="001C0A75">
        <w:rPr>
          <w:lang w:val="fr-CA"/>
        </w:rPr>
        <w:t>’</w:t>
      </w:r>
      <w:r w:rsidRPr="005E7DB2">
        <w:rPr>
          <w:lang w:val="fr-CA"/>
        </w:rPr>
        <w:t>OCDE sur l</w:t>
      </w:r>
      <w:r w:rsidR="001C0A75">
        <w:rPr>
          <w:lang w:val="fr-CA"/>
        </w:rPr>
        <w:t>’</w:t>
      </w:r>
      <w:r w:rsidRPr="005E7DB2">
        <w:rPr>
          <w:lang w:val="fr-CA"/>
        </w:rPr>
        <w:t>élaboration d</w:t>
      </w:r>
      <w:r w:rsidR="001C0A75">
        <w:rPr>
          <w:lang w:val="fr-CA"/>
        </w:rPr>
        <w:t>’</w:t>
      </w:r>
      <w:r w:rsidRPr="005E7DB2">
        <w:rPr>
          <w:lang w:val="fr-CA"/>
        </w:rPr>
        <w:t>une méthodologie pour obtenir un aperçu complet du financement de la biodiversité à l</w:t>
      </w:r>
      <w:r w:rsidR="001C0A75">
        <w:rPr>
          <w:lang w:val="fr-CA"/>
        </w:rPr>
        <w:t>’</w:t>
      </w:r>
      <w:r w:rsidRPr="005E7DB2">
        <w:rPr>
          <w:lang w:val="fr-CA"/>
        </w:rPr>
        <w:t>échelle mondiale révèlent des différences considérables entre les pays quant à la manière de présenter leurs rapports, autant sur leurs dépenses nationales qu</w:t>
      </w:r>
      <w:r w:rsidR="001C0A75">
        <w:rPr>
          <w:lang w:val="fr-CA"/>
        </w:rPr>
        <w:t>’</w:t>
      </w:r>
      <w:r w:rsidRPr="005E7DB2">
        <w:rPr>
          <w:lang w:val="fr-CA"/>
        </w:rPr>
        <w:t>internationales en matière de biodiversité.</w:t>
      </w:r>
    </w:p>
    <w:p w:rsidR="00A2336C" w:rsidRPr="005E7DB2" w:rsidRDefault="00A2336C" w:rsidP="00A2336C">
      <w:pPr>
        <w:pStyle w:val="Para1"/>
        <w:suppressLineNumbers/>
        <w:tabs>
          <w:tab w:val="clear" w:pos="360"/>
        </w:tabs>
        <w:suppressAutoHyphens/>
        <w:rPr>
          <w:lang w:val="fr-CA"/>
        </w:rPr>
      </w:pPr>
      <w:r w:rsidRPr="005E7DB2">
        <w:rPr>
          <w:lang w:val="fr-CA"/>
        </w:rPr>
        <w:t>L</w:t>
      </w:r>
      <w:r w:rsidR="001C0A75">
        <w:rPr>
          <w:lang w:val="fr-CA"/>
        </w:rPr>
        <w:t>’</w:t>
      </w:r>
      <w:r w:rsidRPr="005E7DB2">
        <w:rPr>
          <w:lang w:val="fr-CA"/>
        </w:rPr>
        <w:t>utilisation du Système de notification des pays créanciers de l</w:t>
      </w:r>
      <w:r w:rsidR="001C0A75">
        <w:rPr>
          <w:lang w:val="fr-CA"/>
        </w:rPr>
        <w:t>’</w:t>
      </w:r>
      <w:r w:rsidRPr="005E7DB2">
        <w:rPr>
          <w:lang w:val="fr-CA"/>
        </w:rPr>
        <w:t xml:space="preserve">OCDE, et la précision de la méthodologie des marqueurs de Rio, pourraient utilement être renforcées si les pays </w:t>
      </w:r>
      <w:proofErr w:type="spellStart"/>
      <w:r w:rsidRPr="005E7DB2">
        <w:rPr>
          <w:lang w:val="fr-CA"/>
        </w:rPr>
        <w:t>non</w:t>
      </w:r>
      <w:r w:rsidR="001C0A75">
        <w:rPr>
          <w:lang w:val="fr-CA"/>
        </w:rPr>
        <w:noBreakHyphen/>
      </w:r>
      <w:r w:rsidRPr="005E7DB2">
        <w:rPr>
          <w:lang w:val="fr-CA"/>
        </w:rPr>
        <w:t>membres</w:t>
      </w:r>
      <w:proofErr w:type="spellEnd"/>
      <w:r w:rsidRPr="005E7DB2">
        <w:rPr>
          <w:lang w:val="fr-CA"/>
        </w:rPr>
        <w:t xml:space="preserve"> du </w:t>
      </w:r>
      <w:r w:rsidRPr="005E7DB2">
        <w:rPr>
          <w:rStyle w:val="preferred"/>
          <w:lang w:val="fr-CA"/>
        </w:rPr>
        <w:t>Comité d</w:t>
      </w:r>
      <w:r w:rsidR="001C0A75">
        <w:rPr>
          <w:rStyle w:val="preferred"/>
          <w:lang w:val="fr-CA"/>
        </w:rPr>
        <w:t>’</w:t>
      </w:r>
      <w:r w:rsidRPr="005E7DB2">
        <w:rPr>
          <w:rStyle w:val="preferred"/>
          <w:lang w:val="fr-CA"/>
        </w:rPr>
        <w:t>aide au développement (CAD) de l</w:t>
      </w:r>
      <w:r w:rsidR="001C0A75">
        <w:rPr>
          <w:rStyle w:val="preferred"/>
          <w:lang w:val="fr-CA"/>
        </w:rPr>
        <w:t>’</w:t>
      </w:r>
      <w:r w:rsidRPr="005E7DB2">
        <w:rPr>
          <w:rStyle w:val="preferred"/>
          <w:lang w:val="fr-CA"/>
        </w:rPr>
        <w:t>OCDE et les banques multilatérales</w:t>
      </w:r>
      <w:r w:rsidRPr="005E7DB2">
        <w:rPr>
          <w:lang w:val="fr-CA"/>
        </w:rPr>
        <w:t xml:space="preserve"> </w:t>
      </w:r>
      <w:r w:rsidRPr="005E7DB2">
        <w:rPr>
          <w:rStyle w:val="preferred"/>
          <w:lang w:val="fr-CA"/>
        </w:rPr>
        <w:t>de développement étaient invités à contribuer des données sur une base volontaire et régulière.</w:t>
      </w:r>
      <w:r w:rsidRPr="005E7DB2">
        <w:rPr>
          <w:lang w:val="fr-CA"/>
        </w:rPr>
        <w:t xml:space="preserve"> </w:t>
      </w:r>
    </w:p>
    <w:p w:rsidR="00466935" w:rsidRPr="005E7DB2" w:rsidRDefault="00A2336C" w:rsidP="00A2336C">
      <w:pPr>
        <w:pStyle w:val="Para1"/>
        <w:suppressLineNumbers/>
        <w:tabs>
          <w:tab w:val="clear" w:pos="360"/>
        </w:tabs>
        <w:suppressAutoHyphens/>
        <w:rPr>
          <w:kern w:val="22"/>
          <w:lang w:val="fr-CA"/>
        </w:rPr>
      </w:pPr>
      <w:r w:rsidRPr="005E7DB2">
        <w:rPr>
          <w:lang w:val="fr-CA"/>
        </w:rPr>
        <w:t xml:space="preserve">Les données sur les dépenses nationales pour la protection de la biodiversité, et les dépenses indirectement liées à la biodiversité, pourraient être renforcées en ayant recours au cadre de comptabilité des Statistiques de finances publiques du Fonds monétaire international (FMI), au </w:t>
      </w:r>
      <w:r w:rsidRPr="005E7DB2">
        <w:rPr>
          <w:rStyle w:val="preferred"/>
          <w:lang w:val="fr-CA"/>
        </w:rPr>
        <w:t>Comité d</w:t>
      </w:r>
      <w:r w:rsidR="001C0A75">
        <w:rPr>
          <w:rStyle w:val="preferred"/>
          <w:lang w:val="fr-CA"/>
        </w:rPr>
        <w:t>’</w:t>
      </w:r>
      <w:r w:rsidRPr="005E7DB2">
        <w:rPr>
          <w:rStyle w:val="Emphasis"/>
          <w:i w:val="0"/>
          <w:lang w:val="fr-CA"/>
        </w:rPr>
        <w:t>expert</w:t>
      </w:r>
      <w:r w:rsidRPr="005E7DB2">
        <w:rPr>
          <w:rStyle w:val="Emphasis"/>
          <w:lang w:val="fr-CA"/>
        </w:rPr>
        <w:t>s</w:t>
      </w:r>
      <w:r w:rsidRPr="005E7DB2">
        <w:rPr>
          <w:rStyle w:val="preferred"/>
          <w:lang w:val="fr-CA"/>
        </w:rPr>
        <w:t xml:space="preserve"> de la comptabilité environnementale et économique (CEEA) des Nations Unies, et à la </w:t>
      </w:r>
      <w:r w:rsidRPr="005E7DB2">
        <w:rPr>
          <w:rStyle w:val="Emphasis"/>
          <w:i w:val="0"/>
          <w:lang w:val="fr-CA"/>
        </w:rPr>
        <w:t>Division</w:t>
      </w:r>
      <w:r w:rsidRPr="005E7DB2">
        <w:rPr>
          <w:rStyle w:val="preferred"/>
          <w:i/>
          <w:lang w:val="fr-CA"/>
        </w:rPr>
        <w:t xml:space="preserve"> </w:t>
      </w:r>
      <w:r w:rsidRPr="005E7DB2">
        <w:rPr>
          <w:rStyle w:val="preferred"/>
          <w:lang w:val="fr-CA"/>
        </w:rPr>
        <w:t xml:space="preserve">de statistique des </w:t>
      </w:r>
      <w:r w:rsidRPr="005E7DB2">
        <w:rPr>
          <w:rStyle w:val="Emphasis"/>
          <w:i w:val="0"/>
          <w:lang w:val="fr-CA"/>
        </w:rPr>
        <w:t>Nations</w:t>
      </w:r>
      <w:r w:rsidRPr="005E7DB2">
        <w:rPr>
          <w:rStyle w:val="preferred"/>
          <w:lang w:val="fr-CA"/>
        </w:rPr>
        <w:t xml:space="preserve"> Unies</w:t>
      </w:r>
      <w:r w:rsidR="00466935" w:rsidRPr="005E7DB2">
        <w:rPr>
          <w:kern w:val="22"/>
          <w:lang w:val="fr-CA"/>
        </w:rPr>
        <w:t>.</w:t>
      </w:r>
    </w:p>
    <w:p w:rsidR="004C702C" w:rsidRPr="005E7DB2" w:rsidRDefault="00A2336C">
      <w:pPr>
        <w:pStyle w:val="Para1"/>
        <w:suppressLineNumbers/>
        <w:tabs>
          <w:tab w:val="clear" w:pos="360"/>
        </w:tabs>
        <w:suppressAutoHyphens/>
        <w:rPr>
          <w:kern w:val="22"/>
          <w:lang w:val="fr-CA"/>
        </w:rPr>
      </w:pPr>
      <w:r w:rsidRPr="005E7DB2">
        <w:rPr>
          <w:lang w:val="fr-CA"/>
        </w:rPr>
        <w:t>Les données sur les flux financiers et les subventions et leurs impacts sur la biodiversité sont déjà saisies dans les bases de données pertinentes de l</w:t>
      </w:r>
      <w:r w:rsidR="001C0A75">
        <w:rPr>
          <w:lang w:val="fr-CA"/>
        </w:rPr>
        <w:t>’</w:t>
      </w:r>
      <w:r w:rsidRPr="005E7DB2">
        <w:rPr>
          <w:lang w:val="fr-CA"/>
        </w:rPr>
        <w:t>OCDE, notamment l</w:t>
      </w:r>
      <w:r w:rsidR="001C0A75">
        <w:rPr>
          <w:lang w:val="fr-CA"/>
        </w:rPr>
        <w:t>’</w:t>
      </w:r>
      <w:r w:rsidRPr="005E7DB2">
        <w:rPr>
          <w:lang w:val="fr-CA"/>
        </w:rPr>
        <w:t>Estimation du soutien aux producteurs (ESP) en agriculture et les instruments politiques pour l</w:t>
      </w:r>
      <w:r w:rsidR="001C0A75">
        <w:rPr>
          <w:lang w:val="fr-CA"/>
        </w:rPr>
        <w:t>’</w:t>
      </w:r>
      <w:r w:rsidRPr="005E7DB2">
        <w:rPr>
          <w:lang w:val="fr-CA"/>
        </w:rPr>
        <w:t>environnement (PINE). Cela pourrait être encouragé et élargi, notamment en couvrant également d</w:t>
      </w:r>
      <w:r w:rsidR="001C0A75">
        <w:rPr>
          <w:lang w:val="fr-CA"/>
        </w:rPr>
        <w:t>’</w:t>
      </w:r>
      <w:r w:rsidRPr="005E7DB2">
        <w:rPr>
          <w:lang w:val="fr-CA"/>
        </w:rPr>
        <w:t>autres secteurs économiques, par exemple au moyen de la base de données sur l</w:t>
      </w:r>
      <w:r w:rsidR="001C0A75">
        <w:rPr>
          <w:lang w:val="fr-CA"/>
        </w:rPr>
        <w:t>’</w:t>
      </w:r>
      <w:r w:rsidRPr="005E7DB2">
        <w:rPr>
          <w:lang w:val="fr-CA"/>
        </w:rPr>
        <w:t>Estimation du soutien aux pêcheries (FSE)</w:t>
      </w:r>
      <w:r w:rsidR="00466935" w:rsidRPr="005E7DB2">
        <w:rPr>
          <w:kern w:val="22"/>
          <w:lang w:val="fr-CA"/>
        </w:rPr>
        <w:t>.</w:t>
      </w:r>
    </w:p>
    <w:p w:rsidR="007177DD" w:rsidRPr="005E7DB2" w:rsidRDefault="00F0077D">
      <w:pPr>
        <w:pStyle w:val="Heading4"/>
        <w:suppressLineNumbers/>
        <w:suppressAutoHyphens/>
        <w:rPr>
          <w:i w:val="0"/>
          <w:kern w:val="22"/>
          <w:lang w:val="fr-CA"/>
        </w:rPr>
      </w:pPr>
      <w:r w:rsidRPr="005E7DB2">
        <w:rPr>
          <w:i w:val="0"/>
          <w:lang w:val="fr-CA"/>
        </w:rPr>
        <w:t>But 2 : Renforcer les capacités nationales d</w:t>
      </w:r>
      <w:r w:rsidR="001C0A75">
        <w:rPr>
          <w:i w:val="0"/>
          <w:lang w:val="fr-CA"/>
        </w:rPr>
        <w:t>’</w:t>
      </w:r>
      <w:r w:rsidRPr="005E7DB2">
        <w:rPr>
          <w:i w:val="0"/>
          <w:lang w:val="fr-CA"/>
        </w:rPr>
        <w:t>utilisation des ressources et m</w:t>
      </w:r>
      <w:r w:rsidRPr="005E7DB2">
        <w:rPr>
          <w:bCs w:val="0"/>
          <w:i w:val="0"/>
          <w:iCs/>
          <w:noProof/>
          <w:lang w:val="fr-CA" w:eastAsia="zh-CN"/>
        </w:rPr>
        <w:t>obiliser, à l</w:t>
      </w:r>
      <w:r w:rsidR="001C0A75">
        <w:rPr>
          <w:bCs w:val="0"/>
          <w:i w:val="0"/>
          <w:iCs/>
          <w:noProof/>
          <w:lang w:val="fr-CA" w:eastAsia="zh-CN"/>
        </w:rPr>
        <w:t>’</w:t>
      </w:r>
      <w:r w:rsidRPr="005E7DB2">
        <w:rPr>
          <w:bCs w:val="0"/>
          <w:i w:val="0"/>
          <w:iCs/>
          <w:noProof/>
          <w:lang w:val="fr-CA" w:eastAsia="zh-CN"/>
        </w:rPr>
        <w:t>échelle nationale, des ressources financières en faveur des trois objectifs de la Convention</w:t>
      </w:r>
    </w:p>
    <w:p w:rsidR="007177DD" w:rsidRPr="005E7DB2" w:rsidRDefault="00F0077D">
      <w:pPr>
        <w:pStyle w:val="Para1"/>
        <w:suppressLineNumbers/>
        <w:tabs>
          <w:tab w:val="clear" w:pos="360"/>
        </w:tabs>
        <w:suppressAutoHyphens/>
        <w:rPr>
          <w:kern w:val="22"/>
          <w:lang w:val="fr-CA"/>
        </w:rPr>
      </w:pPr>
      <w:r w:rsidRPr="005E7DB2">
        <w:rPr>
          <w:lang w:val="fr-CA"/>
        </w:rPr>
        <w:t>Pour ce qui est des progrès dans la réalisation de l</w:t>
      </w:r>
      <w:r w:rsidR="001C0A75">
        <w:rPr>
          <w:lang w:val="fr-CA"/>
        </w:rPr>
        <w:t>’</w:t>
      </w:r>
      <w:r w:rsidRPr="005E7DB2">
        <w:rPr>
          <w:lang w:val="fr-CA"/>
        </w:rPr>
        <w:t>objectif 2, une analyse des cadres de présentation des rapports financiers</w:t>
      </w:r>
      <w:r w:rsidRPr="005E7DB2">
        <w:rPr>
          <w:rStyle w:val="FootnoteReference"/>
          <w:lang w:val="fr-CA"/>
        </w:rPr>
        <w:footnoteReference w:id="8"/>
      </w:r>
      <w:r w:rsidRPr="005E7DB2">
        <w:rPr>
          <w:lang w:val="fr-CA"/>
        </w:rPr>
        <w:t xml:space="preserve"> soumise au Secrétariat de la Convention révèle que, bien que seules 25 des 78 Parties (soit 32 pour cent) ayant présenté des rapports aient inclus en détail la biodiversité dans leurs </w:t>
      </w:r>
      <w:r w:rsidRPr="005E7DB2">
        <w:rPr>
          <w:lang w:val="fr-CA"/>
        </w:rPr>
        <w:lastRenderedPageBreak/>
        <w:t>priorités ou plans nationaux, ce qui est très en deçà de l</w:t>
      </w:r>
      <w:r w:rsidR="001C0A75">
        <w:rPr>
          <w:lang w:val="fr-CA"/>
        </w:rPr>
        <w:t>’</w:t>
      </w:r>
      <w:r w:rsidRPr="005E7DB2">
        <w:rPr>
          <w:lang w:val="fr-CA"/>
        </w:rPr>
        <w:t>objectif pour 2015, à savoir « au moins 75 pour cent des Parties », la majorité des répondants cités dans ce document avait déployé certains efforts en ce sens. L</w:t>
      </w:r>
      <w:r w:rsidR="001C0A75">
        <w:rPr>
          <w:lang w:val="fr-CA"/>
        </w:rPr>
        <w:t>’</w:t>
      </w:r>
      <w:r w:rsidRPr="005E7DB2">
        <w:rPr>
          <w:lang w:val="fr-CA"/>
        </w:rPr>
        <w:t>objectif 2 de la Stratégie pour la mobilisation des ressources englobe également divers éléments, et chaque élément a progressé, du moins dans une certaine mesure, bien que dans l</w:t>
      </w:r>
      <w:r w:rsidR="001C0A75">
        <w:rPr>
          <w:lang w:val="fr-CA"/>
        </w:rPr>
        <w:t>’</w:t>
      </w:r>
      <w:r w:rsidRPr="005E7DB2">
        <w:rPr>
          <w:lang w:val="fr-CA"/>
        </w:rPr>
        <w:t>ensemble, de manière inégale</w:t>
      </w:r>
      <w:r w:rsidR="00525756" w:rsidRPr="005E7DB2">
        <w:rPr>
          <w:kern w:val="22"/>
          <w:lang w:val="fr-CA"/>
        </w:rPr>
        <w:t>.</w:t>
      </w:r>
    </w:p>
    <w:p w:rsidR="00F0077D" w:rsidRPr="005E7DB2" w:rsidRDefault="00F0077D" w:rsidP="00F0077D">
      <w:pPr>
        <w:pStyle w:val="Para1"/>
        <w:suppressLineNumbers/>
        <w:tabs>
          <w:tab w:val="clear" w:pos="360"/>
        </w:tabs>
        <w:suppressAutoHyphens/>
        <w:rPr>
          <w:lang w:val="fr-CA"/>
        </w:rPr>
      </w:pPr>
      <w:r w:rsidRPr="005E7DB2">
        <w:rPr>
          <w:lang w:val="fr-CA"/>
        </w:rPr>
        <w:t>Au total, 76 Parties ont répondu qu</w:t>
      </w:r>
      <w:r w:rsidR="001C0A75">
        <w:rPr>
          <w:lang w:val="fr-CA"/>
        </w:rPr>
        <w:t>’</w:t>
      </w:r>
      <w:r w:rsidRPr="005E7DB2">
        <w:rPr>
          <w:lang w:val="fr-CA"/>
        </w:rPr>
        <w:t>elles avaient évalué et/ou valoriser les valeurs intrinsèques, écologiques, génétiques, socioéconomiques, scientifiques, pédagogiques, culturelles, récréatives et esthétiques de la diversité biologique et de ses composantes. Si seules quatre Parties (Finlande, Japon, Norvège</w:t>
      </w:r>
      <w:r w:rsidRPr="005E7DB2">
        <w:rPr>
          <w:noProof/>
          <w:lang w:val="fr-CA"/>
        </w:rPr>
        <w:t>, Pays</w:t>
      </w:r>
      <w:r w:rsidR="001C0A75">
        <w:rPr>
          <w:noProof/>
          <w:lang w:val="fr-CA"/>
        </w:rPr>
        <w:noBreakHyphen/>
      </w:r>
      <w:r w:rsidRPr="005E7DB2">
        <w:rPr>
          <w:noProof/>
          <w:lang w:val="fr-CA"/>
        </w:rPr>
        <w:t>Bas),</w:t>
      </w:r>
      <w:r w:rsidRPr="005E7DB2">
        <w:rPr>
          <w:lang w:val="fr-CA"/>
        </w:rPr>
        <w:t xml:space="preserve"> soit 5 pour cent des répondants, ont indiqué qu</w:t>
      </w:r>
      <w:r w:rsidR="001C0A75">
        <w:rPr>
          <w:lang w:val="fr-CA"/>
        </w:rPr>
        <w:t>’</w:t>
      </w:r>
      <w:r w:rsidRPr="005E7DB2">
        <w:rPr>
          <w:lang w:val="fr-CA"/>
        </w:rPr>
        <w:t>elles avaient entrepris des évaluations approfondies, 88 pour cent des pays ayant soumis un rapport, à savoir plus du tiers de toutes les Parties, ont déclaré avoir entrepris au moins quelques évaluations.</w:t>
      </w:r>
    </w:p>
    <w:p w:rsidR="00525756" w:rsidRPr="005E7DB2" w:rsidRDefault="00F0077D" w:rsidP="00F0077D">
      <w:pPr>
        <w:pStyle w:val="Para1"/>
        <w:suppressLineNumbers/>
        <w:tabs>
          <w:tab w:val="clear" w:pos="360"/>
        </w:tabs>
        <w:suppressAutoHyphens/>
        <w:rPr>
          <w:kern w:val="22"/>
          <w:lang w:val="fr-CA"/>
        </w:rPr>
      </w:pPr>
      <w:r w:rsidRPr="005E7DB2">
        <w:rPr>
          <w:lang w:val="fr-CA"/>
        </w:rPr>
        <w:t>Dans les stratégies et plans d</w:t>
      </w:r>
      <w:r w:rsidR="001C0A75">
        <w:rPr>
          <w:lang w:val="fr-CA"/>
        </w:rPr>
        <w:t>’</w:t>
      </w:r>
      <w:r w:rsidRPr="005E7DB2">
        <w:rPr>
          <w:lang w:val="fr-CA"/>
        </w:rPr>
        <w:t>action nationaux pour la biodiversité (SPANB) révisés, au total 32 Parties ont déclaré que la biodiversité avait été intégrée dans leur plan national de développement ou instrument équivalent, tandis que 21 Parties ont indiqué l</w:t>
      </w:r>
      <w:r w:rsidR="001C0A75">
        <w:rPr>
          <w:lang w:val="fr-CA"/>
        </w:rPr>
        <w:t>’</w:t>
      </w:r>
      <w:r w:rsidRPr="005E7DB2">
        <w:rPr>
          <w:lang w:val="fr-CA"/>
        </w:rPr>
        <w:t xml:space="preserve">intégration avec leurs plans de développement durable ou instruments équivalents, et 44 Parties ont </w:t>
      </w:r>
      <w:r w:rsidRPr="005E7DB2">
        <w:rPr>
          <w:kern w:val="22"/>
          <w:lang w:val="fr-CA"/>
        </w:rPr>
        <w:t>mentionné des liens avec l</w:t>
      </w:r>
      <w:r w:rsidR="001C0A75">
        <w:rPr>
          <w:kern w:val="22"/>
          <w:lang w:val="fr-CA"/>
        </w:rPr>
        <w:t>’</w:t>
      </w:r>
      <w:r w:rsidRPr="005E7DB2">
        <w:rPr>
          <w:kern w:val="22"/>
          <w:lang w:val="fr-CA"/>
        </w:rPr>
        <w:t>élimination de la pauvreté et/ou ont intégré cet objectif dans leurs principes, objectifs et/ou mesures</w:t>
      </w:r>
      <w:r w:rsidRPr="005E7DB2">
        <w:rPr>
          <w:lang w:val="fr-CA"/>
        </w:rPr>
        <w:t>.</w:t>
      </w:r>
      <w:r w:rsidRPr="005E7DB2">
        <w:rPr>
          <w:vertAlign w:val="superscript"/>
          <w:lang w:val="fr-CA"/>
        </w:rPr>
        <w:footnoteReference w:id="9"/>
      </w:r>
      <w:r w:rsidRPr="005E7DB2">
        <w:rPr>
          <w:lang w:val="fr-CA"/>
        </w:rPr>
        <w:t xml:space="preserve"> Certaines Parties ont fait état de mesures exhaustives conformément à l</w:t>
      </w:r>
      <w:r w:rsidR="001C0A75">
        <w:rPr>
          <w:lang w:val="fr-CA"/>
        </w:rPr>
        <w:t>’</w:t>
      </w:r>
      <w:r w:rsidRPr="005E7DB2">
        <w:rPr>
          <w:lang w:val="fr-CA"/>
        </w:rPr>
        <w:t>objectif 2. L</w:t>
      </w:r>
      <w:r w:rsidR="001C0A75">
        <w:rPr>
          <w:lang w:val="fr-CA"/>
        </w:rPr>
        <w:t>’</w:t>
      </w:r>
      <w:r w:rsidRPr="005E7DB2">
        <w:rPr>
          <w:lang w:val="fr-CA"/>
        </w:rPr>
        <w:t>Ouganda, par exemple, a souligné que son SPANB pour 2015</w:t>
      </w:r>
      <w:r w:rsidR="001C0A75">
        <w:rPr>
          <w:lang w:val="fr-CA"/>
        </w:rPr>
        <w:noBreakHyphen/>
      </w:r>
      <w:r w:rsidRPr="005E7DB2">
        <w:rPr>
          <w:lang w:val="fr-CA"/>
        </w:rPr>
        <w:t>2025 a été intégré dans son Plan national de développement</w:t>
      </w:r>
      <w:r w:rsidR="00525756" w:rsidRPr="005E7DB2">
        <w:rPr>
          <w:kern w:val="22"/>
          <w:lang w:val="fr-CA"/>
        </w:rPr>
        <w:t>.</w:t>
      </w:r>
    </w:p>
    <w:p w:rsidR="00703099" w:rsidRPr="005E7DB2" w:rsidRDefault="00F0077D">
      <w:pPr>
        <w:pStyle w:val="Para1"/>
        <w:suppressLineNumbers/>
        <w:tabs>
          <w:tab w:val="clear" w:pos="360"/>
        </w:tabs>
        <w:suppressAutoHyphens/>
        <w:rPr>
          <w:kern w:val="22"/>
          <w:lang w:val="fr-CA"/>
        </w:rPr>
      </w:pPr>
      <w:r w:rsidRPr="005E7DB2">
        <w:rPr>
          <w:lang w:val="fr-CA"/>
        </w:rPr>
        <w:t>En ce qui concerne les rapports sur les dépenses nationales liées à la biodiversité, presque toutes les Parties ayant soumis un rapport (soit 77 de 81) ont inclus des informations sur le soutien financier annuel qu</w:t>
      </w:r>
      <w:r w:rsidR="001C0A75">
        <w:rPr>
          <w:lang w:val="fr-CA"/>
        </w:rPr>
        <w:t>’</w:t>
      </w:r>
      <w:r w:rsidRPr="005E7DB2">
        <w:rPr>
          <w:lang w:val="fr-CA"/>
        </w:rPr>
        <w:t>elles ont fourni à des activités nationales liées à la biodiversité. Cependant, cela représente moins de 40 pour cent de toutes les Parties et par conséquent, au sens strict, cet élément de l</w:t>
      </w:r>
      <w:r w:rsidR="001C0A75">
        <w:rPr>
          <w:lang w:val="fr-CA"/>
        </w:rPr>
        <w:t>’</w:t>
      </w:r>
      <w:r w:rsidRPr="005E7DB2">
        <w:rPr>
          <w:lang w:val="fr-CA"/>
        </w:rPr>
        <w:t>objectif 1 c) de la décision XII/3 n</w:t>
      </w:r>
      <w:r w:rsidR="001C0A75">
        <w:rPr>
          <w:lang w:val="fr-CA"/>
        </w:rPr>
        <w:t>’</w:t>
      </w:r>
      <w:r w:rsidRPr="005E7DB2">
        <w:rPr>
          <w:lang w:val="fr-CA"/>
        </w:rPr>
        <w:t>a pas été réalisé</w:t>
      </w:r>
      <w:r w:rsidR="00703099" w:rsidRPr="005E7DB2">
        <w:rPr>
          <w:kern w:val="22"/>
          <w:lang w:val="fr-CA"/>
        </w:rPr>
        <w:t>.</w:t>
      </w:r>
    </w:p>
    <w:p w:rsidR="00703099" w:rsidRPr="005E7DB2" w:rsidRDefault="00085303">
      <w:pPr>
        <w:pStyle w:val="Para1"/>
        <w:suppressLineNumbers/>
        <w:tabs>
          <w:tab w:val="clear" w:pos="360"/>
        </w:tabs>
        <w:suppressAutoHyphens/>
        <w:rPr>
          <w:kern w:val="22"/>
          <w:lang w:val="fr-CA"/>
        </w:rPr>
      </w:pPr>
      <w:r w:rsidRPr="005E7DB2">
        <w:rPr>
          <w:lang w:val="fr-CA"/>
        </w:rPr>
        <w:t xml:space="preserve">Certaines tendances positives dans le financement national de la biodiversité peuvent également être relevées. Ainsi, au Mexique, les dépenses liées à la biodiversité ont augmenté de 248 pour cent de 2006 à 2015 (de 425,6 millions USD à 1 169,8 millions USD); en 2015, les dépenses publiques liées à la biodiversité représentaient 0,1 pour cent du BIP. De façon plus générale, le </w:t>
      </w:r>
      <w:r w:rsidRPr="005E7DB2">
        <w:rPr>
          <w:noProof/>
          <w:lang w:val="fr-CA"/>
        </w:rPr>
        <w:t>tableau ci</w:t>
      </w:r>
      <w:r w:rsidR="001C0A75">
        <w:rPr>
          <w:noProof/>
          <w:lang w:val="fr-CA"/>
        </w:rPr>
        <w:noBreakHyphen/>
      </w:r>
      <w:r w:rsidRPr="005E7DB2">
        <w:rPr>
          <w:noProof/>
          <w:lang w:val="fr-CA"/>
        </w:rPr>
        <w:t>dessous,</w:t>
      </w:r>
      <w:r w:rsidRPr="005E7DB2">
        <w:rPr>
          <w:lang w:val="fr-CA"/>
        </w:rPr>
        <w:t xml:space="preserve"> contenant des données synthétisées pour la note de la Secrétaire exécutive sur la mobilisation des ressources publiée pour la quatorzième réunion de la Conférence des Parties (</w:t>
      </w:r>
      <w:hyperlink r:id="rId20" w:history="1">
        <w:r w:rsidRPr="005E7DB2">
          <w:rPr>
            <w:rStyle w:val="Hyperlink"/>
            <w:sz w:val="22"/>
            <w:lang w:val="fr-CA"/>
          </w:rPr>
          <w:t>CBD/COP/14/6</w:t>
        </w:r>
      </w:hyperlink>
      <w:r w:rsidRPr="005E7DB2">
        <w:rPr>
          <w:kern w:val="22"/>
          <w:szCs w:val="22"/>
          <w:lang w:val="fr-CA"/>
        </w:rPr>
        <w:t>) et mises à jour avec les plus récentes soumissions, et tenant compte des limitations méthodologiques énoncées dans ce document, indiquent une tendance à la hausse, ou pour le moins neutre, des dépenses nationales liées à la biodiversité dans la majorité des pays</w:t>
      </w:r>
      <w:r w:rsidRPr="005E7DB2">
        <w:rPr>
          <w:kern w:val="22"/>
          <w:lang w:val="fr-CA"/>
        </w:rPr>
        <w:t>.</w:t>
      </w:r>
    </w:p>
    <w:p w:rsidR="00BF4C8E" w:rsidRPr="005E7DB2" w:rsidRDefault="00374350" w:rsidP="009654F0">
      <w:pPr>
        <w:pStyle w:val="Para1"/>
        <w:keepNext/>
        <w:numPr>
          <w:ilvl w:val="0"/>
          <w:numId w:val="0"/>
        </w:numPr>
        <w:suppressLineNumbers/>
        <w:tabs>
          <w:tab w:val="left" w:pos="851"/>
        </w:tabs>
        <w:suppressAutoHyphens/>
        <w:jc w:val="left"/>
        <w:rPr>
          <w:b/>
          <w:kern w:val="22"/>
          <w:lang w:val="fr-CA"/>
        </w:rPr>
      </w:pPr>
      <w:r w:rsidRPr="005E7DB2">
        <w:rPr>
          <w:b/>
          <w:lang w:val="fr-CA"/>
        </w:rPr>
        <w:t>Tableau 2. Tendances dans les dépenses nationales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326"/>
        <w:gridCol w:w="1399"/>
        <w:gridCol w:w="1249"/>
        <w:gridCol w:w="919"/>
        <w:gridCol w:w="1022"/>
      </w:tblGrid>
      <w:tr w:rsidR="00374350" w:rsidRPr="005E7DB2" w:rsidTr="00374350">
        <w:trPr>
          <w:cantSplit/>
          <w:jc w:val="center"/>
        </w:trPr>
        <w:tc>
          <w:tcPr>
            <w:tcW w:w="3827"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rPr>
                <w:snapToGrid w:val="0"/>
                <w:kern w:val="22"/>
                <w:szCs w:val="22"/>
                <w:lang w:val="fr-CA"/>
              </w:rPr>
            </w:pPr>
            <w:r w:rsidRPr="005E7DB2">
              <w:rPr>
                <w:snapToGrid w:val="0"/>
                <w:kern w:val="22"/>
                <w:szCs w:val="22"/>
                <w:lang w:val="fr-CA"/>
              </w:rPr>
              <w:t>Pays</w:t>
            </w:r>
          </w:p>
        </w:tc>
        <w:tc>
          <w:tcPr>
            <w:tcW w:w="1326"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ind w:left="360"/>
              <w:rPr>
                <w:i/>
                <w:snapToGrid w:val="0"/>
                <w:kern w:val="22"/>
                <w:szCs w:val="22"/>
                <w:lang w:val="fr-CA"/>
              </w:rPr>
            </w:pPr>
            <w:r w:rsidRPr="005E7DB2">
              <w:rPr>
                <w:i/>
                <w:snapToGrid w:val="0"/>
                <w:kern w:val="22"/>
                <w:szCs w:val="22"/>
                <w:lang w:val="fr-CA"/>
              </w:rPr>
              <w:t>Hausse</w:t>
            </w:r>
          </w:p>
        </w:tc>
        <w:tc>
          <w:tcPr>
            <w:tcW w:w="1399"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ind w:left="360"/>
              <w:rPr>
                <w:i/>
                <w:snapToGrid w:val="0"/>
                <w:kern w:val="22"/>
                <w:szCs w:val="22"/>
                <w:lang w:val="fr-CA"/>
              </w:rPr>
            </w:pPr>
            <w:r w:rsidRPr="005E7DB2">
              <w:rPr>
                <w:i/>
                <w:snapToGrid w:val="0"/>
                <w:kern w:val="22"/>
                <w:szCs w:val="22"/>
                <w:lang w:val="fr-CA"/>
              </w:rPr>
              <w:t>Baisse</w:t>
            </w:r>
          </w:p>
        </w:tc>
        <w:tc>
          <w:tcPr>
            <w:tcW w:w="1249"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ind w:left="360"/>
              <w:rPr>
                <w:i/>
                <w:snapToGrid w:val="0"/>
                <w:kern w:val="22"/>
                <w:szCs w:val="22"/>
                <w:lang w:val="fr-CA"/>
              </w:rPr>
            </w:pPr>
            <w:r w:rsidRPr="005E7DB2">
              <w:rPr>
                <w:i/>
                <w:snapToGrid w:val="0"/>
                <w:kern w:val="22"/>
                <w:szCs w:val="22"/>
                <w:lang w:val="fr-CA"/>
              </w:rPr>
              <w:t>Neutre</w:t>
            </w:r>
          </w:p>
        </w:tc>
        <w:tc>
          <w:tcPr>
            <w:tcW w:w="919"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ind w:left="360"/>
              <w:rPr>
                <w:i/>
                <w:snapToGrid w:val="0"/>
                <w:kern w:val="22"/>
                <w:szCs w:val="22"/>
                <w:lang w:val="fr-CA"/>
              </w:rPr>
            </w:pPr>
            <w:r w:rsidRPr="005E7DB2">
              <w:rPr>
                <w:i/>
                <w:snapToGrid w:val="0"/>
                <w:kern w:val="22"/>
                <w:szCs w:val="22"/>
                <w:lang w:val="fr-CA"/>
              </w:rPr>
              <w:t>S/O</w:t>
            </w:r>
          </w:p>
        </w:tc>
        <w:tc>
          <w:tcPr>
            <w:tcW w:w="1022"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ind w:left="360"/>
              <w:rPr>
                <w:i/>
                <w:snapToGrid w:val="0"/>
                <w:kern w:val="22"/>
                <w:szCs w:val="22"/>
                <w:lang w:val="fr-CA"/>
              </w:rPr>
            </w:pPr>
            <w:r w:rsidRPr="005E7DB2">
              <w:rPr>
                <w:i/>
                <w:snapToGrid w:val="0"/>
                <w:kern w:val="22"/>
                <w:szCs w:val="22"/>
                <w:lang w:val="fr-CA"/>
              </w:rPr>
              <w:t>Total</w:t>
            </w:r>
          </w:p>
        </w:tc>
      </w:tr>
      <w:tr w:rsidR="00374350" w:rsidRPr="005E7DB2" w:rsidTr="00374350">
        <w:trPr>
          <w:cantSplit/>
          <w:jc w:val="center"/>
        </w:trPr>
        <w:tc>
          <w:tcPr>
            <w:tcW w:w="3827"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rPr>
                <w:snapToGrid w:val="0"/>
                <w:kern w:val="22"/>
                <w:szCs w:val="22"/>
                <w:lang w:val="fr-CA"/>
              </w:rPr>
            </w:pPr>
            <w:r w:rsidRPr="005E7DB2">
              <w:rPr>
                <w:snapToGrid w:val="0"/>
                <w:kern w:val="22"/>
                <w:szCs w:val="22"/>
                <w:lang w:val="fr-CA"/>
              </w:rPr>
              <w:t>Pays membres du Comité d</w:t>
            </w:r>
            <w:r w:rsidR="001C0A75">
              <w:rPr>
                <w:snapToGrid w:val="0"/>
                <w:kern w:val="22"/>
                <w:szCs w:val="22"/>
                <w:lang w:val="fr-CA"/>
              </w:rPr>
              <w:t>’</w:t>
            </w:r>
            <w:r w:rsidRPr="005E7DB2">
              <w:rPr>
                <w:snapToGrid w:val="0"/>
                <w:kern w:val="22"/>
                <w:szCs w:val="22"/>
                <w:lang w:val="fr-CA"/>
              </w:rPr>
              <w:t>aide au développement (CAD)</w:t>
            </w:r>
          </w:p>
        </w:tc>
        <w:tc>
          <w:tcPr>
            <w:tcW w:w="1326"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7</w:t>
            </w:r>
          </w:p>
        </w:tc>
        <w:tc>
          <w:tcPr>
            <w:tcW w:w="139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6</w:t>
            </w:r>
          </w:p>
        </w:tc>
        <w:tc>
          <w:tcPr>
            <w:tcW w:w="124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7</w:t>
            </w:r>
          </w:p>
        </w:tc>
        <w:tc>
          <w:tcPr>
            <w:tcW w:w="91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3</w:t>
            </w:r>
          </w:p>
        </w:tc>
        <w:tc>
          <w:tcPr>
            <w:tcW w:w="1022"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23</w:t>
            </w:r>
          </w:p>
        </w:tc>
      </w:tr>
      <w:tr w:rsidR="00374350" w:rsidRPr="005E7DB2" w:rsidTr="00374350">
        <w:trPr>
          <w:cantSplit/>
          <w:jc w:val="center"/>
        </w:trPr>
        <w:tc>
          <w:tcPr>
            <w:tcW w:w="3827" w:type="dxa"/>
            <w:shd w:val="clear" w:color="auto" w:fill="auto"/>
          </w:tcPr>
          <w:p w:rsidR="00374350" w:rsidRPr="005E7DB2" w:rsidRDefault="00374350" w:rsidP="00EC4CCB">
            <w:pPr>
              <w:keepNext/>
              <w:suppressLineNumbers/>
              <w:suppressAutoHyphens/>
              <w:kinsoku w:val="0"/>
              <w:overflowPunct w:val="0"/>
              <w:autoSpaceDE w:val="0"/>
              <w:autoSpaceDN w:val="0"/>
              <w:adjustRightInd w:val="0"/>
              <w:snapToGrid w:val="0"/>
              <w:rPr>
                <w:snapToGrid w:val="0"/>
                <w:kern w:val="22"/>
                <w:szCs w:val="22"/>
                <w:lang w:val="fr-CA"/>
              </w:rPr>
            </w:pPr>
            <w:r w:rsidRPr="005E7DB2">
              <w:rPr>
                <w:noProof/>
                <w:snapToGrid w:val="0"/>
                <w:kern w:val="22"/>
                <w:szCs w:val="22"/>
                <w:lang w:val="fr-CA"/>
              </w:rPr>
              <w:t>Pays non</w:t>
            </w:r>
            <w:r w:rsidR="001C0A75">
              <w:rPr>
                <w:noProof/>
                <w:snapToGrid w:val="0"/>
                <w:kern w:val="22"/>
                <w:szCs w:val="22"/>
                <w:lang w:val="fr-CA"/>
              </w:rPr>
              <w:noBreakHyphen/>
            </w:r>
            <w:r w:rsidRPr="005E7DB2">
              <w:rPr>
                <w:noProof/>
                <w:snapToGrid w:val="0"/>
                <w:kern w:val="22"/>
                <w:szCs w:val="22"/>
                <w:lang w:val="fr-CA"/>
              </w:rPr>
              <w:t>membres</w:t>
            </w:r>
            <w:r w:rsidRPr="005E7DB2">
              <w:rPr>
                <w:snapToGrid w:val="0"/>
                <w:kern w:val="22"/>
                <w:szCs w:val="22"/>
                <w:lang w:val="fr-CA"/>
              </w:rPr>
              <w:t xml:space="preserve"> du CAD</w:t>
            </w:r>
          </w:p>
        </w:tc>
        <w:tc>
          <w:tcPr>
            <w:tcW w:w="1326" w:type="dxa"/>
            <w:shd w:val="clear" w:color="auto" w:fill="auto"/>
          </w:tcPr>
          <w:p w:rsidR="00374350" w:rsidRPr="005E7DB2" w:rsidRDefault="00374350" w:rsidP="00332F88">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21</w:t>
            </w:r>
          </w:p>
        </w:tc>
        <w:tc>
          <w:tcPr>
            <w:tcW w:w="1399" w:type="dxa"/>
            <w:shd w:val="clear" w:color="auto" w:fill="auto"/>
          </w:tcPr>
          <w:p w:rsidR="00374350" w:rsidRPr="005E7DB2" w:rsidRDefault="00374350" w:rsidP="0011290F">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7</w:t>
            </w:r>
          </w:p>
        </w:tc>
        <w:tc>
          <w:tcPr>
            <w:tcW w:w="124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17</w:t>
            </w:r>
          </w:p>
        </w:tc>
        <w:tc>
          <w:tcPr>
            <w:tcW w:w="91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10</w:t>
            </w:r>
          </w:p>
        </w:tc>
        <w:tc>
          <w:tcPr>
            <w:tcW w:w="1022"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55</w:t>
            </w:r>
          </w:p>
        </w:tc>
      </w:tr>
      <w:tr w:rsidR="00374350" w:rsidRPr="005E7DB2" w:rsidTr="00374350">
        <w:trPr>
          <w:cantSplit/>
          <w:jc w:val="center"/>
        </w:trPr>
        <w:tc>
          <w:tcPr>
            <w:tcW w:w="3827" w:type="dxa"/>
            <w:shd w:val="clear" w:color="auto" w:fill="auto"/>
          </w:tcPr>
          <w:p w:rsidR="00374350" w:rsidRPr="005E7DB2" w:rsidRDefault="005E7DB2" w:rsidP="00EC4CCB">
            <w:pPr>
              <w:suppressLineNumbers/>
              <w:suppressAutoHyphens/>
              <w:kinsoku w:val="0"/>
              <w:overflowPunct w:val="0"/>
              <w:autoSpaceDE w:val="0"/>
              <w:autoSpaceDN w:val="0"/>
              <w:adjustRightInd w:val="0"/>
              <w:snapToGrid w:val="0"/>
              <w:rPr>
                <w:snapToGrid w:val="0"/>
                <w:kern w:val="22"/>
                <w:szCs w:val="22"/>
                <w:lang w:val="fr-CA"/>
              </w:rPr>
            </w:pPr>
            <w:r>
              <w:rPr>
                <w:rStyle w:val="preferred"/>
                <w:lang w:val="fr-CA"/>
              </w:rPr>
              <w:t>Tous les pays</w:t>
            </w:r>
          </w:p>
        </w:tc>
        <w:tc>
          <w:tcPr>
            <w:tcW w:w="1326"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28</w:t>
            </w:r>
          </w:p>
        </w:tc>
        <w:tc>
          <w:tcPr>
            <w:tcW w:w="139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13</w:t>
            </w:r>
          </w:p>
        </w:tc>
        <w:tc>
          <w:tcPr>
            <w:tcW w:w="124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24</w:t>
            </w:r>
          </w:p>
        </w:tc>
        <w:tc>
          <w:tcPr>
            <w:tcW w:w="919"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13</w:t>
            </w:r>
          </w:p>
        </w:tc>
        <w:tc>
          <w:tcPr>
            <w:tcW w:w="1022" w:type="dxa"/>
            <w:shd w:val="clear" w:color="auto" w:fill="auto"/>
          </w:tcPr>
          <w:p w:rsidR="00374350" w:rsidRPr="005E7DB2" w:rsidRDefault="00374350">
            <w:pPr>
              <w:keepNext/>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78</w:t>
            </w:r>
          </w:p>
        </w:tc>
      </w:tr>
      <w:tr w:rsidR="00374350" w:rsidRPr="005E7DB2" w:rsidTr="00374350">
        <w:trPr>
          <w:cantSplit/>
          <w:jc w:val="center"/>
        </w:trPr>
        <w:tc>
          <w:tcPr>
            <w:tcW w:w="3827" w:type="dxa"/>
            <w:shd w:val="clear" w:color="auto" w:fill="auto"/>
          </w:tcPr>
          <w:p w:rsidR="00374350" w:rsidRPr="005E7DB2" w:rsidRDefault="005E7DB2" w:rsidP="00EC4CCB">
            <w:pPr>
              <w:keepNext/>
              <w:suppressLineNumbers/>
              <w:suppressAutoHyphens/>
              <w:kinsoku w:val="0"/>
              <w:overflowPunct w:val="0"/>
              <w:autoSpaceDE w:val="0"/>
              <w:autoSpaceDN w:val="0"/>
              <w:adjustRightInd w:val="0"/>
              <w:snapToGrid w:val="0"/>
              <w:rPr>
                <w:snapToGrid w:val="0"/>
                <w:kern w:val="22"/>
                <w:szCs w:val="22"/>
                <w:lang w:val="fr-CA"/>
              </w:rPr>
            </w:pPr>
            <w:r w:rsidRPr="005E7DB2">
              <w:rPr>
                <w:rStyle w:val="preferred"/>
                <w:lang w:val="fr-CA"/>
              </w:rPr>
              <w:t xml:space="preserve">Pays </w:t>
            </w:r>
            <w:r w:rsidRPr="005E7DB2">
              <w:rPr>
                <w:rStyle w:val="preferred"/>
                <w:noProof/>
                <w:lang w:val="fr-CA"/>
              </w:rPr>
              <w:t>hyperdivers</w:t>
            </w:r>
          </w:p>
        </w:tc>
        <w:tc>
          <w:tcPr>
            <w:tcW w:w="1326" w:type="dxa"/>
            <w:shd w:val="clear" w:color="auto" w:fill="auto"/>
          </w:tcPr>
          <w:p w:rsidR="00374350" w:rsidRPr="005E7DB2" w:rsidRDefault="00374350">
            <w:pPr>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5</w:t>
            </w:r>
          </w:p>
        </w:tc>
        <w:tc>
          <w:tcPr>
            <w:tcW w:w="1399" w:type="dxa"/>
            <w:shd w:val="clear" w:color="auto" w:fill="auto"/>
          </w:tcPr>
          <w:p w:rsidR="00374350" w:rsidRPr="005E7DB2" w:rsidRDefault="00374350">
            <w:pPr>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3</w:t>
            </w:r>
          </w:p>
        </w:tc>
        <w:tc>
          <w:tcPr>
            <w:tcW w:w="1249" w:type="dxa"/>
            <w:shd w:val="clear" w:color="auto" w:fill="auto"/>
          </w:tcPr>
          <w:p w:rsidR="00374350" w:rsidRPr="005E7DB2" w:rsidRDefault="00374350">
            <w:pPr>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3</w:t>
            </w:r>
          </w:p>
        </w:tc>
        <w:tc>
          <w:tcPr>
            <w:tcW w:w="919" w:type="dxa"/>
            <w:shd w:val="clear" w:color="auto" w:fill="auto"/>
          </w:tcPr>
          <w:p w:rsidR="00374350" w:rsidRPr="005E7DB2" w:rsidRDefault="00374350">
            <w:pPr>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w:t>
            </w:r>
          </w:p>
        </w:tc>
        <w:tc>
          <w:tcPr>
            <w:tcW w:w="1022" w:type="dxa"/>
            <w:shd w:val="clear" w:color="auto" w:fill="auto"/>
          </w:tcPr>
          <w:p w:rsidR="00374350" w:rsidRPr="005E7DB2" w:rsidRDefault="00374350">
            <w:pPr>
              <w:suppressLineNumbers/>
              <w:suppressAutoHyphens/>
              <w:kinsoku w:val="0"/>
              <w:overflowPunct w:val="0"/>
              <w:autoSpaceDE w:val="0"/>
              <w:autoSpaceDN w:val="0"/>
              <w:adjustRightInd w:val="0"/>
              <w:snapToGrid w:val="0"/>
              <w:ind w:left="360"/>
              <w:jc w:val="center"/>
              <w:rPr>
                <w:snapToGrid w:val="0"/>
                <w:kern w:val="22"/>
                <w:szCs w:val="22"/>
                <w:lang w:val="fr-CA"/>
              </w:rPr>
            </w:pPr>
            <w:r w:rsidRPr="005E7DB2">
              <w:rPr>
                <w:snapToGrid w:val="0"/>
                <w:kern w:val="22"/>
                <w:szCs w:val="22"/>
                <w:lang w:val="fr-CA"/>
              </w:rPr>
              <w:t>12</w:t>
            </w:r>
          </w:p>
        </w:tc>
      </w:tr>
    </w:tbl>
    <w:p w:rsidR="00F53E2F" w:rsidRPr="005E7DB2" w:rsidRDefault="00374350" w:rsidP="006C6E40">
      <w:pPr>
        <w:pStyle w:val="Para1"/>
        <w:suppressLineNumbers/>
        <w:tabs>
          <w:tab w:val="clear" w:pos="360"/>
        </w:tabs>
        <w:suppressAutoHyphens/>
        <w:rPr>
          <w:spacing w:val="-4"/>
          <w:kern w:val="22"/>
          <w:lang w:val="fr-CA"/>
        </w:rPr>
      </w:pPr>
      <w:r w:rsidRPr="005E7DB2">
        <w:rPr>
          <w:lang w:val="fr-CA"/>
        </w:rPr>
        <w:t>L</w:t>
      </w:r>
      <w:r w:rsidR="001C0A75">
        <w:rPr>
          <w:lang w:val="fr-CA"/>
        </w:rPr>
        <w:t>’</w:t>
      </w:r>
      <w:r w:rsidRPr="005E7DB2">
        <w:rPr>
          <w:lang w:val="fr-CA"/>
        </w:rPr>
        <w:t>initiative BIOFIN du PNUD est la plus importante, et celle qui a connu le plus de succès, parmi les initiatives ayant abordé la nécessité pour les pays en développement d</w:t>
      </w:r>
      <w:r w:rsidR="001C0A75">
        <w:rPr>
          <w:lang w:val="fr-CA"/>
        </w:rPr>
        <w:t>’</w:t>
      </w:r>
      <w:r w:rsidRPr="005E7DB2">
        <w:rPr>
          <w:lang w:val="fr-CA"/>
        </w:rPr>
        <w:t xml:space="preserve">incorporer la biodiversité de manière détaillée dans leurs plans nationaux de développement et leurs stratégies financières, y compris leurs SPANB. BIOFIN a été lancée en 2012 et soutien désormais 35 pays, dont </w:t>
      </w:r>
      <w:r w:rsidRPr="005E7DB2">
        <w:rPr>
          <w:noProof/>
          <w:lang w:val="fr-CA"/>
        </w:rPr>
        <w:t xml:space="preserve">onze sont hyperdivers, soit </w:t>
      </w:r>
      <w:r w:rsidRPr="005E7DB2">
        <w:rPr>
          <w:lang w:val="fr-CA"/>
        </w:rPr>
        <w:t>quinze en Asie, dix en Afrique et dix en Amérique latine</w:t>
      </w:r>
      <w:r w:rsidR="00F53E2F" w:rsidRPr="005E7DB2">
        <w:rPr>
          <w:spacing w:val="-4"/>
          <w:kern w:val="22"/>
          <w:lang w:val="fr-CA"/>
        </w:rPr>
        <w:t>.</w:t>
      </w:r>
    </w:p>
    <w:p w:rsidR="00374350" w:rsidRPr="005E7DB2" w:rsidRDefault="00374350" w:rsidP="00374350">
      <w:pPr>
        <w:pStyle w:val="Para1"/>
        <w:suppressLineNumbers/>
        <w:tabs>
          <w:tab w:val="clear" w:pos="360"/>
        </w:tabs>
        <w:suppressAutoHyphens/>
        <w:rPr>
          <w:lang w:val="fr-CA"/>
        </w:rPr>
      </w:pPr>
      <w:r w:rsidRPr="005E7DB2">
        <w:rPr>
          <w:lang w:val="fr-CA"/>
        </w:rPr>
        <w:lastRenderedPageBreak/>
        <w:t xml:space="preserve">Des efforts ont toutefois été déployés pour renforcer les capacités nationales de mobilisation de ressources, et la Norvège, par exemple, a appuyé les initiatives suivantes : </w:t>
      </w:r>
      <w:r w:rsidRPr="005E7DB2">
        <w:rPr>
          <w:rStyle w:val="preferred"/>
          <w:lang w:val="fr-CA"/>
        </w:rPr>
        <w:t>Économie des écosystèmes et de la biodiversité (TEEB), BIOFIN, WAVES,</w:t>
      </w:r>
      <w:r w:rsidRPr="005E7DB2">
        <w:rPr>
          <w:rStyle w:val="FootnoteReference"/>
          <w:lang w:val="fr-CA"/>
        </w:rPr>
        <w:footnoteReference w:id="10"/>
      </w:r>
      <w:r w:rsidRPr="005E7DB2">
        <w:rPr>
          <w:rStyle w:val="preferred"/>
          <w:lang w:val="fr-CA"/>
        </w:rPr>
        <w:t xml:space="preserve"> et l</w:t>
      </w:r>
      <w:r w:rsidR="001C0A75">
        <w:rPr>
          <w:rStyle w:val="preferred"/>
          <w:lang w:val="fr-CA"/>
        </w:rPr>
        <w:t>’</w:t>
      </w:r>
      <w:r w:rsidRPr="005E7DB2">
        <w:rPr>
          <w:rStyle w:val="preferred"/>
          <w:lang w:val="fr-CA"/>
        </w:rPr>
        <w:t>établissement</w:t>
      </w:r>
      <w:r w:rsidRPr="005E7DB2">
        <w:rPr>
          <w:lang w:val="fr-CA"/>
        </w:rPr>
        <w:t xml:space="preserve"> d</w:t>
      </w:r>
      <w:r w:rsidR="001C0A75">
        <w:rPr>
          <w:lang w:val="fr-CA"/>
        </w:rPr>
        <w:t>’</w:t>
      </w:r>
      <w:r w:rsidRPr="005E7DB2">
        <w:rPr>
          <w:lang w:val="fr-CA"/>
        </w:rPr>
        <w:t xml:space="preserve">un Centre pour les politiques et les lois relatives à la </w:t>
      </w:r>
      <w:r w:rsidRPr="005E7DB2">
        <w:rPr>
          <w:noProof/>
          <w:lang w:val="fr-CA"/>
        </w:rPr>
        <w:t>biodiversité, à Chennai (Inde</w:t>
      </w:r>
      <w:r w:rsidRPr="005E7DB2">
        <w:rPr>
          <w:lang w:val="fr-CA"/>
        </w:rPr>
        <w:t>).</w:t>
      </w:r>
    </w:p>
    <w:p w:rsidR="00F53E2F" w:rsidRPr="005E7DB2" w:rsidRDefault="00374350" w:rsidP="00374350">
      <w:pPr>
        <w:pStyle w:val="Para1"/>
        <w:suppressLineNumbers/>
        <w:tabs>
          <w:tab w:val="clear" w:pos="360"/>
        </w:tabs>
        <w:suppressAutoHyphens/>
        <w:rPr>
          <w:spacing w:val="-2"/>
          <w:kern w:val="22"/>
          <w:lang w:val="fr-CA"/>
        </w:rPr>
      </w:pPr>
      <w:r w:rsidRPr="005E7DB2">
        <w:rPr>
          <w:lang w:val="fr-CA"/>
        </w:rPr>
        <w:t>Un certain nombre d</w:t>
      </w:r>
      <w:r w:rsidR="001C0A75">
        <w:rPr>
          <w:lang w:val="fr-CA"/>
        </w:rPr>
        <w:t>’</w:t>
      </w:r>
      <w:r w:rsidRPr="005E7DB2">
        <w:rPr>
          <w:lang w:val="fr-CA"/>
        </w:rPr>
        <w:t>exemples de progrès dans ce domaine dans les pays développés méritent d</w:t>
      </w:r>
      <w:r w:rsidR="001C0A75">
        <w:rPr>
          <w:lang w:val="fr-CA"/>
        </w:rPr>
        <w:t>’</w:t>
      </w:r>
      <w:r w:rsidRPr="005E7DB2">
        <w:rPr>
          <w:lang w:val="fr-CA"/>
        </w:rPr>
        <w:t>être signalés. Ainsi, en 2014, la Commission européenne a publié un cadre commun pratique</w:t>
      </w:r>
      <w:r w:rsidRPr="005E7DB2">
        <w:rPr>
          <w:vertAlign w:val="superscript"/>
          <w:lang w:val="fr-CA"/>
        </w:rPr>
        <w:footnoteReference w:id="11"/>
      </w:r>
      <w:r w:rsidRPr="005E7DB2">
        <w:rPr>
          <w:lang w:val="fr-CA"/>
        </w:rPr>
        <w:t xml:space="preserve"> pour inclure la protection de la biodiversité dans le budget de l</w:t>
      </w:r>
      <w:r w:rsidR="001C0A75">
        <w:rPr>
          <w:lang w:val="fr-CA"/>
        </w:rPr>
        <w:t>’</w:t>
      </w:r>
      <w:r w:rsidRPr="005E7DB2">
        <w:rPr>
          <w:lang w:val="fr-CA"/>
        </w:rPr>
        <w:t>Union européenne, cadre qui comprend des lignes directrices générales à l</w:t>
      </w:r>
      <w:r w:rsidR="001C0A75">
        <w:rPr>
          <w:lang w:val="fr-CA"/>
        </w:rPr>
        <w:t>’</w:t>
      </w:r>
      <w:r w:rsidRPr="005E7DB2">
        <w:rPr>
          <w:lang w:val="fr-CA"/>
        </w:rPr>
        <w:t>intention des autorités nationales et régionales et des services de la Commission européenne, afin d</w:t>
      </w:r>
      <w:r w:rsidR="001C0A75">
        <w:rPr>
          <w:lang w:val="fr-CA"/>
        </w:rPr>
        <w:t>’</w:t>
      </w:r>
      <w:r w:rsidRPr="005E7DB2">
        <w:rPr>
          <w:lang w:val="fr-CA"/>
        </w:rPr>
        <w:t>assurer que les dépenses n</w:t>
      </w:r>
      <w:r w:rsidR="001C0A75">
        <w:rPr>
          <w:lang w:val="fr-CA"/>
        </w:rPr>
        <w:t>’</w:t>
      </w:r>
      <w:r w:rsidRPr="005E7DB2">
        <w:rPr>
          <w:lang w:val="fr-CA"/>
        </w:rPr>
        <w:t>aient aucune incidence négative mais appuient plutôt les objectifs relatifs à la biodiversité. Par la suite, la biodiversité a été intégrée dans les propositions de la Commission européenne concernant le budget de l</w:t>
      </w:r>
      <w:r w:rsidR="001C0A75">
        <w:rPr>
          <w:lang w:val="fr-CA"/>
        </w:rPr>
        <w:t>’</w:t>
      </w:r>
      <w:r w:rsidRPr="005E7DB2">
        <w:rPr>
          <w:lang w:val="fr-CA"/>
        </w:rPr>
        <w:t>Union européenne (Cadre financier pluriannuel) pour 2021</w:t>
      </w:r>
      <w:r w:rsidR="001C0A75">
        <w:rPr>
          <w:lang w:val="fr-CA"/>
        </w:rPr>
        <w:noBreakHyphen/>
      </w:r>
      <w:r w:rsidRPr="005E7DB2">
        <w:rPr>
          <w:lang w:val="fr-CA"/>
        </w:rPr>
        <w:t>2027, et les instruments de financement de l</w:t>
      </w:r>
      <w:r w:rsidR="001C0A75">
        <w:rPr>
          <w:lang w:val="fr-CA"/>
        </w:rPr>
        <w:t>’</w:t>
      </w:r>
      <w:r w:rsidRPr="005E7DB2">
        <w:rPr>
          <w:lang w:val="fr-CA"/>
        </w:rPr>
        <w:t>Union européenne connexes, y compris une hausse considérable du budget proposé pour le programme LIFE, l</w:t>
      </w:r>
      <w:r w:rsidR="001C0A75">
        <w:rPr>
          <w:lang w:val="fr-CA"/>
        </w:rPr>
        <w:t>’</w:t>
      </w:r>
      <w:r w:rsidRPr="005E7DB2">
        <w:rPr>
          <w:lang w:val="fr-CA"/>
        </w:rPr>
        <w:t>instrument consacré de l</w:t>
      </w:r>
      <w:r w:rsidR="001C0A75">
        <w:rPr>
          <w:lang w:val="fr-CA"/>
        </w:rPr>
        <w:t>’</w:t>
      </w:r>
      <w:r w:rsidRPr="005E7DB2">
        <w:rPr>
          <w:lang w:val="fr-CA"/>
        </w:rPr>
        <w:t>Union européenne, catalyseur de la mise en œuvre de ses objectifs pour l</w:t>
      </w:r>
      <w:r w:rsidR="001C0A75">
        <w:rPr>
          <w:lang w:val="fr-CA"/>
        </w:rPr>
        <w:t>’</w:t>
      </w:r>
      <w:r w:rsidRPr="005E7DB2">
        <w:rPr>
          <w:lang w:val="fr-CA"/>
        </w:rPr>
        <w:t>environnement et le climat</w:t>
      </w:r>
      <w:r w:rsidR="00F53E2F" w:rsidRPr="005E7DB2">
        <w:rPr>
          <w:spacing w:val="-2"/>
          <w:kern w:val="22"/>
          <w:lang w:val="fr-CA"/>
        </w:rPr>
        <w:t>.</w:t>
      </w:r>
    </w:p>
    <w:p w:rsidR="009F6C39" w:rsidRPr="005E7DB2" w:rsidRDefault="00094083">
      <w:pPr>
        <w:pStyle w:val="Heading4"/>
        <w:suppressLineNumbers/>
        <w:suppressAutoHyphens/>
        <w:rPr>
          <w:i w:val="0"/>
          <w:kern w:val="22"/>
          <w:lang w:val="fr-CA"/>
        </w:rPr>
      </w:pPr>
      <w:r w:rsidRPr="005E7DB2">
        <w:rPr>
          <w:i w:val="0"/>
          <w:lang w:val="fr-CA"/>
        </w:rPr>
        <w:t xml:space="preserve">But 3 : </w:t>
      </w:r>
      <w:r w:rsidRPr="005E7DB2">
        <w:rPr>
          <w:bCs w:val="0"/>
          <w:i w:val="0"/>
          <w:iCs/>
          <w:noProof/>
          <w:lang w:val="fr-CA" w:eastAsia="zh-CN"/>
        </w:rPr>
        <w:t>Renforcer les institutions financières en place et favoriser la reproduction et augmenter l</w:t>
      </w:r>
      <w:r w:rsidR="001C0A75">
        <w:rPr>
          <w:bCs w:val="0"/>
          <w:i w:val="0"/>
          <w:iCs/>
          <w:noProof/>
          <w:lang w:val="fr-CA" w:eastAsia="zh-CN"/>
        </w:rPr>
        <w:t>’</w:t>
      </w:r>
      <w:r w:rsidRPr="005E7DB2">
        <w:rPr>
          <w:bCs w:val="0"/>
          <w:i w:val="0"/>
          <w:iCs/>
          <w:noProof/>
          <w:lang w:val="fr-CA" w:eastAsia="zh-CN"/>
        </w:rPr>
        <w:t>échelle des mécanismes et instruments de financement qui ont fait leurs preuves</w:t>
      </w:r>
    </w:p>
    <w:p w:rsidR="00B9400A" w:rsidRPr="005E7DB2" w:rsidRDefault="00B9400A" w:rsidP="00B9400A">
      <w:pPr>
        <w:pStyle w:val="Para1"/>
        <w:suppressLineNumbers/>
        <w:tabs>
          <w:tab w:val="clear" w:pos="360"/>
        </w:tabs>
        <w:suppressAutoHyphens/>
        <w:rPr>
          <w:lang w:val="fr-CA"/>
        </w:rPr>
      </w:pPr>
      <w:r w:rsidRPr="005E7DB2">
        <w:rPr>
          <w:lang w:val="fr-CA"/>
        </w:rPr>
        <w:t xml:space="preserve">Plusieurs </w:t>
      </w:r>
      <w:r w:rsidRPr="005E7DB2">
        <w:rPr>
          <w:noProof/>
          <w:lang w:val="fr-CA"/>
        </w:rPr>
        <w:t>sous</w:t>
      </w:r>
      <w:r w:rsidR="001C0A75">
        <w:rPr>
          <w:noProof/>
          <w:lang w:val="fr-CA"/>
        </w:rPr>
        <w:noBreakHyphen/>
      </w:r>
      <w:r w:rsidRPr="005E7DB2">
        <w:rPr>
          <w:noProof/>
          <w:lang w:val="fr-CA"/>
        </w:rPr>
        <w:t>objectifs variés</w:t>
      </w:r>
      <w:r w:rsidRPr="005E7DB2">
        <w:rPr>
          <w:lang w:val="fr-CA"/>
        </w:rPr>
        <w:t xml:space="preserve"> font partie de l</w:t>
      </w:r>
      <w:r w:rsidR="001C0A75">
        <w:rPr>
          <w:lang w:val="fr-CA"/>
        </w:rPr>
        <w:t>’</w:t>
      </w:r>
      <w:r w:rsidRPr="005E7DB2">
        <w:rPr>
          <w:lang w:val="fr-CA"/>
        </w:rPr>
        <w:t>objectif 3, dont la mobilisation de cofinancements, l</w:t>
      </w:r>
      <w:r w:rsidR="001C0A75">
        <w:rPr>
          <w:lang w:val="fr-CA"/>
        </w:rPr>
        <w:t>’</w:t>
      </w:r>
      <w:r w:rsidRPr="005E7DB2">
        <w:rPr>
          <w:lang w:val="fr-CA"/>
        </w:rPr>
        <w:t>augmentation de l</w:t>
      </w:r>
      <w:r w:rsidR="001C0A75">
        <w:rPr>
          <w:lang w:val="fr-CA"/>
        </w:rPr>
        <w:t>’</w:t>
      </w:r>
      <w:r w:rsidRPr="005E7DB2">
        <w:rPr>
          <w:lang w:val="fr-CA"/>
        </w:rPr>
        <w:t>aide officielle au développement pour la biodiversité (à la fois bilatérale et multilatérale), la mobilisation d</w:t>
      </w:r>
      <w:r w:rsidR="001C0A75">
        <w:rPr>
          <w:lang w:val="fr-CA"/>
        </w:rPr>
        <w:t>’</w:t>
      </w:r>
      <w:r w:rsidRPr="005E7DB2">
        <w:rPr>
          <w:lang w:val="fr-CA"/>
        </w:rPr>
        <w:t xml:space="preserve">investissements, autant du secteur public que privé, dans la biodiversité et les services </w:t>
      </w:r>
      <w:r w:rsidRPr="005E7DB2">
        <w:rPr>
          <w:noProof/>
          <w:lang w:val="fr-CA"/>
        </w:rPr>
        <w:t>écosystémiques,</w:t>
      </w:r>
      <w:r w:rsidRPr="005E7DB2">
        <w:rPr>
          <w:lang w:val="fr-CA"/>
        </w:rPr>
        <w:t xml:space="preserve"> et la création de fonds nationaux pour l</w:t>
      </w:r>
      <w:r w:rsidR="001C0A75">
        <w:rPr>
          <w:lang w:val="fr-CA"/>
        </w:rPr>
        <w:t>’</w:t>
      </w:r>
      <w:r w:rsidRPr="005E7DB2">
        <w:rPr>
          <w:lang w:val="fr-CA"/>
        </w:rPr>
        <w:t>environnement.</w:t>
      </w:r>
    </w:p>
    <w:p w:rsidR="00B9400A" w:rsidRPr="005E7DB2" w:rsidRDefault="00B9400A" w:rsidP="00B9400A">
      <w:pPr>
        <w:pStyle w:val="Para1"/>
        <w:suppressLineNumbers/>
        <w:tabs>
          <w:tab w:val="clear" w:pos="360"/>
        </w:tabs>
        <w:suppressAutoHyphens/>
        <w:rPr>
          <w:lang w:val="fr-CA"/>
        </w:rPr>
      </w:pPr>
      <w:r w:rsidRPr="005E7DB2">
        <w:rPr>
          <w:lang w:val="fr-CA"/>
        </w:rPr>
        <w:t>À titre de mécanisme de financement de la Convention, le FEM a tenu un rôle clé dans la mobilisation des ressources pour la mise en œuvre de la Convention, son financement lié à la biodiversité s</w:t>
      </w:r>
      <w:r w:rsidR="001C0A75">
        <w:rPr>
          <w:lang w:val="fr-CA"/>
        </w:rPr>
        <w:t>’</w:t>
      </w:r>
      <w:r w:rsidRPr="005E7DB2">
        <w:rPr>
          <w:lang w:val="fr-CA"/>
        </w:rPr>
        <w:t>étant accru d</w:t>
      </w:r>
      <w:r w:rsidR="001C0A75">
        <w:rPr>
          <w:lang w:val="fr-CA"/>
        </w:rPr>
        <w:t>’</w:t>
      </w:r>
      <w:r w:rsidRPr="005E7DB2">
        <w:rPr>
          <w:lang w:val="fr-CA"/>
        </w:rPr>
        <w:t>environ 30 pour cent entre FEM</w:t>
      </w:r>
      <w:r w:rsidR="001C0A75">
        <w:rPr>
          <w:lang w:val="fr-CA"/>
        </w:rPr>
        <w:noBreakHyphen/>
      </w:r>
      <w:r w:rsidRPr="005E7DB2">
        <w:rPr>
          <w:lang w:val="fr-CA"/>
        </w:rPr>
        <w:t>4 (2006</w:t>
      </w:r>
      <w:r w:rsidR="001C0A75">
        <w:rPr>
          <w:lang w:val="fr-CA"/>
        </w:rPr>
        <w:noBreakHyphen/>
      </w:r>
      <w:r w:rsidRPr="005E7DB2">
        <w:rPr>
          <w:lang w:val="fr-CA"/>
        </w:rPr>
        <w:t>2010) et FEM</w:t>
      </w:r>
      <w:r w:rsidR="001C0A75">
        <w:rPr>
          <w:lang w:val="fr-CA"/>
        </w:rPr>
        <w:noBreakHyphen/>
      </w:r>
      <w:r w:rsidRPr="005E7DB2">
        <w:rPr>
          <w:lang w:val="fr-CA"/>
        </w:rPr>
        <w:t>7 (2018</w:t>
      </w:r>
      <w:r w:rsidR="001C0A75">
        <w:rPr>
          <w:lang w:val="fr-CA"/>
        </w:rPr>
        <w:noBreakHyphen/>
      </w:r>
      <w:r w:rsidRPr="005E7DB2">
        <w:rPr>
          <w:lang w:val="fr-CA"/>
        </w:rPr>
        <w:t xml:space="preserve">2022). Au total, le FEM a investi </w:t>
      </w:r>
      <w:proofErr w:type="spellStart"/>
      <w:r w:rsidRPr="005E7DB2">
        <w:rPr>
          <w:lang w:val="fr-CA"/>
        </w:rPr>
        <w:t>au</w:t>
      </w:r>
      <w:r w:rsidR="001C0A75">
        <w:rPr>
          <w:lang w:val="fr-CA"/>
        </w:rPr>
        <w:noBreakHyphen/>
      </w:r>
      <w:r w:rsidRPr="005E7DB2">
        <w:rPr>
          <w:lang w:val="fr-CA"/>
        </w:rPr>
        <w:t>delà</w:t>
      </w:r>
      <w:proofErr w:type="spellEnd"/>
      <w:r w:rsidRPr="005E7DB2">
        <w:rPr>
          <w:lang w:val="fr-CA"/>
        </w:rPr>
        <w:t xml:space="preserve"> de 3,5 milliards USD pour la conservation et l</w:t>
      </w:r>
      <w:r w:rsidR="001C0A75">
        <w:rPr>
          <w:lang w:val="fr-CA"/>
        </w:rPr>
        <w:t>’</w:t>
      </w:r>
      <w:r w:rsidRPr="005E7DB2">
        <w:rPr>
          <w:lang w:val="fr-CA"/>
        </w:rPr>
        <w:t>utilisation durable de la biodiversité. Cet investissement a attiré plus de 10 milliards USD en fonds supplémentaires, appuyant 1 300 projets dans plus de 155 pays.</w:t>
      </w:r>
      <w:r w:rsidRPr="005E7DB2">
        <w:rPr>
          <w:rStyle w:val="FootnoteReference"/>
          <w:lang w:val="fr-CA"/>
        </w:rPr>
        <w:footnoteReference w:id="12"/>
      </w:r>
    </w:p>
    <w:p w:rsidR="009F6C39" w:rsidRPr="005E7DB2" w:rsidRDefault="00B9400A" w:rsidP="00B9400A">
      <w:pPr>
        <w:pStyle w:val="Para1"/>
        <w:suppressLineNumbers/>
        <w:tabs>
          <w:tab w:val="clear" w:pos="360"/>
        </w:tabs>
        <w:suppressAutoHyphens/>
        <w:rPr>
          <w:kern w:val="22"/>
          <w:lang w:val="fr-CA"/>
        </w:rPr>
      </w:pPr>
      <w:r w:rsidRPr="005E7DB2">
        <w:rPr>
          <w:lang w:val="fr-CA"/>
        </w:rPr>
        <w:t>En plus du domaine d</w:t>
      </w:r>
      <w:r w:rsidR="001C0A75">
        <w:rPr>
          <w:lang w:val="fr-CA"/>
        </w:rPr>
        <w:t>’</w:t>
      </w:r>
      <w:r w:rsidRPr="005E7DB2">
        <w:rPr>
          <w:lang w:val="fr-CA"/>
        </w:rPr>
        <w:t>intervention « diversité biologique », plusieurs autres domaines d</w:t>
      </w:r>
      <w:r w:rsidR="001C0A75">
        <w:rPr>
          <w:lang w:val="fr-CA"/>
        </w:rPr>
        <w:t>’</w:t>
      </w:r>
      <w:r w:rsidRPr="005E7DB2">
        <w:rPr>
          <w:lang w:val="fr-CA"/>
        </w:rPr>
        <w:t>intervention du FEM – gestion durable des forêts, changements climatiques, eaux internationales – contribuent également aux Objectifs d</w:t>
      </w:r>
      <w:r w:rsidR="001C0A75">
        <w:rPr>
          <w:lang w:val="fr-CA"/>
        </w:rPr>
        <w:t>’</w:t>
      </w:r>
      <w:r w:rsidRPr="005E7DB2">
        <w:rPr>
          <w:lang w:val="fr-CA"/>
        </w:rPr>
        <w:t>Aichi pour la biodiversité, à l</w:t>
      </w:r>
      <w:r w:rsidR="001C0A75">
        <w:rPr>
          <w:lang w:val="fr-CA"/>
        </w:rPr>
        <w:t>’</w:t>
      </w:r>
      <w:r w:rsidRPr="005E7DB2">
        <w:rPr>
          <w:lang w:val="fr-CA"/>
        </w:rPr>
        <w:t>instar de plusieurs programmes d</w:t>
      </w:r>
      <w:r w:rsidR="001C0A75">
        <w:rPr>
          <w:lang w:val="fr-CA"/>
        </w:rPr>
        <w:t>’</w:t>
      </w:r>
      <w:r w:rsidRPr="005E7DB2">
        <w:rPr>
          <w:lang w:val="fr-CA"/>
        </w:rPr>
        <w:t>impact spécifiques et autres programmes, comme le Programme mondial pour la vie sauvage, le Fonds pour les pays les moins développés – axé principalement sur l</w:t>
      </w:r>
      <w:r w:rsidR="001C0A75">
        <w:rPr>
          <w:lang w:val="fr-CA"/>
        </w:rPr>
        <w:t>’</w:t>
      </w:r>
      <w:r w:rsidRPr="005E7DB2">
        <w:rPr>
          <w:lang w:val="fr-CA"/>
        </w:rPr>
        <w:t xml:space="preserve">adaptation aux changements climatiques mais avec une pertinence considérable pour la biodiversité – et le </w:t>
      </w:r>
      <w:r w:rsidRPr="005E7DB2">
        <w:rPr>
          <w:noProof/>
          <w:lang w:val="fr-CA"/>
        </w:rPr>
        <w:t>programme de microfinancements</w:t>
      </w:r>
      <w:r w:rsidRPr="005E7DB2">
        <w:rPr>
          <w:lang w:val="fr-CA"/>
        </w:rPr>
        <w:t>.</w:t>
      </w:r>
    </w:p>
    <w:p w:rsidR="00AA5F43" w:rsidRPr="005E7DB2" w:rsidRDefault="00906D43">
      <w:pPr>
        <w:pStyle w:val="Para1"/>
        <w:suppressLineNumbers/>
        <w:tabs>
          <w:tab w:val="clear" w:pos="360"/>
        </w:tabs>
        <w:suppressAutoHyphens/>
        <w:rPr>
          <w:kern w:val="22"/>
          <w:lang w:val="fr-CA"/>
        </w:rPr>
      </w:pPr>
      <w:r w:rsidRPr="005E7DB2">
        <w:rPr>
          <w:lang w:val="fr-CA"/>
        </w:rPr>
        <w:t>La sixième évaluation globale du FEM (OPS6), entreprise avant le FEM</w:t>
      </w:r>
      <w:r w:rsidR="001C0A75">
        <w:rPr>
          <w:lang w:val="fr-CA"/>
        </w:rPr>
        <w:noBreakHyphen/>
      </w:r>
      <w:r w:rsidRPr="005E7DB2">
        <w:rPr>
          <w:lang w:val="fr-CA"/>
        </w:rPr>
        <w:t>7, fait ressortir l</w:t>
      </w:r>
      <w:r w:rsidR="001C0A75">
        <w:rPr>
          <w:lang w:val="fr-CA"/>
        </w:rPr>
        <w:t>’</w:t>
      </w:r>
      <w:r w:rsidRPr="005E7DB2">
        <w:rPr>
          <w:lang w:val="fr-CA"/>
        </w:rPr>
        <w:t>alignement étroit entre la Stratégie du domaine d</w:t>
      </w:r>
      <w:r w:rsidR="001C0A75">
        <w:rPr>
          <w:lang w:val="fr-CA"/>
        </w:rPr>
        <w:t>’</w:t>
      </w:r>
      <w:r w:rsidRPr="005E7DB2">
        <w:rPr>
          <w:lang w:val="fr-CA"/>
        </w:rPr>
        <w:t>intervention « diversité biologique » du FEM et les directives de la CDB. L</w:t>
      </w:r>
      <w:r w:rsidR="001C0A75">
        <w:rPr>
          <w:lang w:val="fr-CA"/>
        </w:rPr>
        <w:t>’</w:t>
      </w:r>
      <w:r w:rsidRPr="005E7DB2">
        <w:rPr>
          <w:lang w:val="fr-CA"/>
        </w:rPr>
        <w:t>OPS6</w:t>
      </w:r>
      <w:r w:rsidRPr="005E7DB2">
        <w:rPr>
          <w:rStyle w:val="FootnoteReference"/>
          <w:kern w:val="22"/>
          <w:szCs w:val="22"/>
          <w:lang w:val="fr-CA"/>
        </w:rPr>
        <w:footnoteReference w:id="13"/>
      </w:r>
      <w:r w:rsidRPr="005E7DB2">
        <w:rPr>
          <w:lang w:val="fr-CA"/>
        </w:rPr>
        <w:t xml:space="preserve"> a conclu que « les stratégies du domaine d</w:t>
      </w:r>
      <w:r w:rsidR="001C0A75">
        <w:rPr>
          <w:lang w:val="fr-CA"/>
        </w:rPr>
        <w:t>’</w:t>
      </w:r>
      <w:r w:rsidRPr="005E7DB2">
        <w:rPr>
          <w:lang w:val="fr-CA"/>
        </w:rPr>
        <w:t>intervention « diversité biologique » ont bien répondu aux orientations et directives de la CDB. … L</w:t>
      </w:r>
      <w:r w:rsidR="001C0A75">
        <w:rPr>
          <w:lang w:val="fr-CA"/>
        </w:rPr>
        <w:t>’</w:t>
      </w:r>
      <w:r w:rsidRPr="005E7DB2">
        <w:rPr>
          <w:lang w:val="fr-CA"/>
        </w:rPr>
        <w:t>appui du FEM a permis à 189 des 196 Parties à la Convention (soit 96 pour cent) de soumettre des rapports nationaux au Secrétariat. … Les résultats du portfolio de la biodiversité sont comparables à ceux de l</w:t>
      </w:r>
      <w:r w:rsidR="001C0A75">
        <w:rPr>
          <w:lang w:val="fr-CA"/>
        </w:rPr>
        <w:t>’</w:t>
      </w:r>
      <w:r w:rsidRPr="005E7DB2">
        <w:rPr>
          <w:lang w:val="fr-CA"/>
        </w:rPr>
        <w:t>ensemble du FEM, mais la durabilité demeure un défi » (à savoir, la durabilité ou la continuation des travaux par les pays après l</w:t>
      </w:r>
      <w:r w:rsidR="001C0A75">
        <w:rPr>
          <w:lang w:val="fr-CA"/>
        </w:rPr>
        <w:t>’</w:t>
      </w:r>
      <w:r w:rsidRPr="005E7DB2">
        <w:rPr>
          <w:lang w:val="fr-CA"/>
        </w:rPr>
        <w:t>achèvement des projets du FEM.</w:t>
      </w:r>
    </w:p>
    <w:p w:rsidR="00AA5F43" w:rsidRPr="005E7DB2" w:rsidRDefault="00906D43">
      <w:pPr>
        <w:pStyle w:val="Para1"/>
        <w:suppressLineNumbers/>
        <w:tabs>
          <w:tab w:val="clear" w:pos="360"/>
        </w:tabs>
        <w:suppressAutoHyphens/>
        <w:rPr>
          <w:kern w:val="22"/>
          <w:lang w:val="fr-CA"/>
        </w:rPr>
      </w:pPr>
      <w:r w:rsidRPr="005E7DB2">
        <w:rPr>
          <w:lang w:val="fr-CA"/>
        </w:rPr>
        <w:lastRenderedPageBreak/>
        <w:t>Un certain nombre de Parties, dont l</w:t>
      </w:r>
      <w:r w:rsidR="001C0A75">
        <w:rPr>
          <w:lang w:val="fr-CA"/>
        </w:rPr>
        <w:t>’</w:t>
      </w:r>
      <w:r w:rsidR="00580E80" w:rsidRPr="005E7DB2">
        <w:rPr>
          <w:lang w:val="fr-CA"/>
        </w:rPr>
        <w:t>Union européenne, ont</w:t>
      </w:r>
      <w:r w:rsidRPr="005E7DB2">
        <w:rPr>
          <w:lang w:val="fr-CA"/>
        </w:rPr>
        <w:t xml:space="preserve"> souligné quelques lacunes dans la Stratégie pour la mobilisation des ressources par rapport à cet objectif, notamment : a) l</w:t>
      </w:r>
      <w:r w:rsidR="001C0A75">
        <w:rPr>
          <w:lang w:val="fr-CA"/>
        </w:rPr>
        <w:t>’</w:t>
      </w:r>
      <w:r w:rsidRPr="005E7DB2">
        <w:rPr>
          <w:lang w:val="fr-CA"/>
        </w:rPr>
        <w:t>importance de promouvoir la comptabilisation du capital naturel; b) la promotion accrue du financement durable pour refléter la valeur réelle et les rendements des investissements collectifs dans la nature et la biodiversité; c) le rôle des banques de développement multinationales et nationales; d) la reconnaissance insuffisante du fait que la biodiversité et les écosystèmes constituent des moteurs essentiels pour la réalisation de la majorité des Objectifs de développement durable; e) la nécessité de fournir des informations aux investisseurs sur l</w:t>
      </w:r>
      <w:r w:rsidR="001C0A75">
        <w:rPr>
          <w:lang w:val="fr-CA"/>
        </w:rPr>
        <w:t>’</w:t>
      </w:r>
      <w:r w:rsidRPr="005E7DB2">
        <w:rPr>
          <w:lang w:val="fr-CA"/>
        </w:rPr>
        <w:t>impact sur la biodiversité/la performance des entreprises et de faire le lien avec d</w:t>
      </w:r>
      <w:r w:rsidR="001C0A75">
        <w:rPr>
          <w:lang w:val="fr-CA"/>
        </w:rPr>
        <w:t>’</w:t>
      </w:r>
      <w:r w:rsidRPr="005E7DB2">
        <w:rPr>
          <w:lang w:val="fr-CA"/>
        </w:rPr>
        <w:t>autres questions mieux connues</w:t>
      </w:r>
      <w:r w:rsidR="00580E80" w:rsidRPr="005E7DB2">
        <w:rPr>
          <w:lang w:val="fr-CA"/>
        </w:rPr>
        <w:t>,</w:t>
      </w:r>
      <w:r w:rsidRPr="005E7DB2">
        <w:rPr>
          <w:lang w:val="fr-CA"/>
        </w:rPr>
        <w:t xml:space="preserve"> environnementales, sociales et de gouvernance (ESG) et concernant le climat; et f) les limites du FEM pour accorder des financements autres que des subventions.</w:t>
      </w:r>
    </w:p>
    <w:p w:rsidR="000D3BCF" w:rsidRPr="005E7DB2" w:rsidRDefault="00BA11D7">
      <w:pPr>
        <w:pStyle w:val="Heading4"/>
        <w:suppressLineNumbers/>
        <w:suppressAutoHyphens/>
        <w:rPr>
          <w:i w:val="0"/>
          <w:kern w:val="22"/>
          <w:lang w:val="fr-CA"/>
        </w:rPr>
      </w:pPr>
      <w:r w:rsidRPr="005E7DB2">
        <w:rPr>
          <w:i w:val="0"/>
          <w:lang w:val="fr-CA"/>
        </w:rPr>
        <w:t xml:space="preserve">But 4 : </w:t>
      </w:r>
      <w:r w:rsidRPr="005E7DB2">
        <w:rPr>
          <w:bCs w:val="0"/>
          <w:i w:val="0"/>
          <w:iCs/>
          <w:noProof/>
          <w:lang w:val="fr-CA" w:eastAsia="zh-CN"/>
        </w:rPr>
        <w:t>Étudier des mécanismes de financement nouveaux et novateurs à tous les niveaux en vue d</w:t>
      </w:r>
      <w:r w:rsidR="001C0A75">
        <w:rPr>
          <w:bCs w:val="0"/>
          <w:i w:val="0"/>
          <w:iCs/>
          <w:noProof/>
          <w:lang w:val="fr-CA" w:eastAsia="zh-CN"/>
        </w:rPr>
        <w:t>’</w:t>
      </w:r>
      <w:r w:rsidRPr="005E7DB2">
        <w:rPr>
          <w:bCs w:val="0"/>
          <w:i w:val="0"/>
          <w:iCs/>
          <w:noProof/>
          <w:lang w:val="fr-CA" w:eastAsia="zh-CN"/>
        </w:rPr>
        <w:t>augmenter le financement à l</w:t>
      </w:r>
      <w:r w:rsidR="001C0A75">
        <w:rPr>
          <w:bCs w:val="0"/>
          <w:i w:val="0"/>
          <w:iCs/>
          <w:noProof/>
          <w:lang w:val="fr-CA" w:eastAsia="zh-CN"/>
        </w:rPr>
        <w:t>’</w:t>
      </w:r>
      <w:r w:rsidRPr="005E7DB2">
        <w:rPr>
          <w:bCs w:val="0"/>
          <w:i w:val="0"/>
          <w:iCs/>
          <w:noProof/>
          <w:lang w:val="fr-CA" w:eastAsia="zh-CN"/>
        </w:rPr>
        <w:t>appui des trois objectifs de la Convention</w:t>
      </w:r>
    </w:p>
    <w:p w:rsidR="00BA11D7" w:rsidRPr="005E7DB2" w:rsidRDefault="00BA11D7" w:rsidP="00BA11D7">
      <w:pPr>
        <w:pStyle w:val="Para1"/>
        <w:suppressLineNumbers/>
        <w:tabs>
          <w:tab w:val="clear" w:pos="360"/>
        </w:tabs>
        <w:suppressAutoHyphens/>
        <w:rPr>
          <w:szCs w:val="22"/>
          <w:lang w:val="fr-CA"/>
        </w:rPr>
      </w:pPr>
      <w:r w:rsidRPr="005E7DB2">
        <w:rPr>
          <w:lang w:val="fr-CA"/>
        </w:rPr>
        <w:t>Le thème « mécanismes financiers novateurs » a soulevé une certaine controverse lors de la dixième réunion de la Conférence des Parties, et en mars 2012, les gouvernements de l</w:t>
      </w:r>
      <w:r w:rsidR="001C0A75">
        <w:rPr>
          <w:lang w:val="fr-CA"/>
        </w:rPr>
        <w:t>’</w:t>
      </w:r>
      <w:r w:rsidRPr="005E7DB2">
        <w:rPr>
          <w:lang w:val="fr-CA"/>
        </w:rPr>
        <w:t>Équateur, de l</w:t>
      </w:r>
      <w:r w:rsidR="001C0A75">
        <w:rPr>
          <w:lang w:val="fr-CA"/>
        </w:rPr>
        <w:t>’</w:t>
      </w:r>
      <w:r w:rsidRPr="005E7DB2">
        <w:rPr>
          <w:lang w:val="fr-CA"/>
        </w:rPr>
        <w:t xml:space="preserve">Inde, du Japon, de la Norvège et de la Suède, ainsi que le Secrétariat de la Convention ont convoqué à Quito un </w:t>
      </w:r>
      <w:r w:rsidRPr="005E7DB2">
        <w:rPr>
          <w:noProof/>
          <w:lang w:val="fr-CA"/>
        </w:rPr>
        <w:t>séminaire</w:t>
      </w:r>
      <w:r w:rsidR="001C0A75">
        <w:rPr>
          <w:noProof/>
          <w:lang w:val="fr-CA"/>
        </w:rPr>
        <w:noBreakHyphen/>
      </w:r>
      <w:r w:rsidRPr="005E7DB2">
        <w:rPr>
          <w:noProof/>
          <w:lang w:val="fr-CA"/>
        </w:rPr>
        <w:t>dialogue sur la mobilisation</w:t>
      </w:r>
      <w:r w:rsidRPr="005E7DB2">
        <w:rPr>
          <w:lang w:val="fr-CA"/>
        </w:rPr>
        <w:t xml:space="preserve"> des financements de la biodiversité. Un deuxième « Dialogue de Quito » s</w:t>
      </w:r>
      <w:r w:rsidR="001C0A75">
        <w:rPr>
          <w:lang w:val="fr-CA"/>
        </w:rPr>
        <w:t>’</w:t>
      </w:r>
      <w:r w:rsidRPr="005E7DB2">
        <w:rPr>
          <w:lang w:val="fr-CA"/>
        </w:rPr>
        <w:t>est tenu en avril 2014, avant la douzième réunion de la Conférence des Parties. Il est clair que le nombre de mécanismes disponibles s</w:t>
      </w:r>
      <w:r w:rsidR="001C0A75">
        <w:rPr>
          <w:lang w:val="fr-CA"/>
        </w:rPr>
        <w:t>’</w:t>
      </w:r>
      <w:r w:rsidRPr="005E7DB2">
        <w:rPr>
          <w:lang w:val="fr-CA"/>
        </w:rPr>
        <w:t>est énormément accru au fil des ans depuis que la Stratégie pour la mobilisation des ressources a été adoptée, tout comme les enseignements tirés de leur mise en œuvre, autant dans le domaine de la biodiversité que dans le domaine, tout aussi important, du financement de la lutte contre le changement climatique, y compris par le biais des programmes REDD+. Le récent rapport de l</w:t>
      </w:r>
      <w:r w:rsidR="001C0A75">
        <w:rPr>
          <w:lang w:val="fr-CA"/>
        </w:rPr>
        <w:t>’</w:t>
      </w:r>
      <w:r w:rsidRPr="005E7DB2">
        <w:rPr>
          <w:lang w:val="fr-CA"/>
        </w:rPr>
        <w:t>OCDE,</w:t>
      </w:r>
      <w:r w:rsidRPr="005E7DB2">
        <w:rPr>
          <w:i/>
          <w:szCs w:val="22"/>
          <w:lang w:val="fr-CA"/>
        </w:rPr>
        <w:t xml:space="preserve"> </w:t>
      </w:r>
      <w:r w:rsidRPr="005E7DB2">
        <w:rPr>
          <w:i/>
          <w:noProof/>
          <w:szCs w:val="22"/>
          <w:lang w:val="fr-CA"/>
        </w:rPr>
        <w:t>A Comprehensive Overview of Global Biodiversity Finance</w:t>
      </w:r>
      <w:r w:rsidRPr="005E7DB2">
        <w:rPr>
          <w:rStyle w:val="FootnoteReference"/>
          <w:iCs/>
          <w:szCs w:val="22"/>
          <w:lang w:val="fr-CA"/>
        </w:rPr>
        <w:footnoteReference w:id="14"/>
      </w:r>
      <w:r w:rsidRPr="005E7DB2">
        <w:rPr>
          <w:lang w:val="fr-CA"/>
        </w:rPr>
        <w:t xml:space="preserve"> (Aperçu général du financement mondial de la biodiversité), fournit une vue d</w:t>
      </w:r>
      <w:r w:rsidR="001C0A75">
        <w:rPr>
          <w:lang w:val="fr-CA"/>
        </w:rPr>
        <w:t>’</w:t>
      </w:r>
      <w:r w:rsidRPr="005E7DB2">
        <w:rPr>
          <w:lang w:val="fr-CA"/>
        </w:rPr>
        <w:t>ensemble utile des instruments économiques et autres instruments financiers, des approches d</w:t>
      </w:r>
      <w:r w:rsidR="001C0A75">
        <w:rPr>
          <w:lang w:val="fr-CA"/>
        </w:rPr>
        <w:t>’</w:t>
      </w:r>
      <w:r w:rsidRPr="005E7DB2">
        <w:rPr>
          <w:lang w:val="fr-CA"/>
        </w:rPr>
        <w:t>investissement et des structures d</w:t>
      </w:r>
      <w:r w:rsidR="001C0A75">
        <w:rPr>
          <w:lang w:val="fr-CA"/>
        </w:rPr>
        <w:t>’</w:t>
      </w:r>
      <w:r w:rsidRPr="005E7DB2">
        <w:rPr>
          <w:lang w:val="fr-CA"/>
        </w:rPr>
        <w:t>investissement actuellement déployées dans le domaine de la biodiversité, ainsi qu</w:t>
      </w:r>
      <w:r w:rsidR="001C0A75">
        <w:rPr>
          <w:lang w:val="fr-CA"/>
        </w:rPr>
        <w:t>’</w:t>
      </w:r>
      <w:r w:rsidRPr="005E7DB2">
        <w:rPr>
          <w:lang w:val="fr-CA"/>
        </w:rPr>
        <w:t>un estimé des ressources totales mobilisées par chacun de ces éléments pour la biodiversité (voir l</w:t>
      </w:r>
      <w:r w:rsidR="001C0A75">
        <w:rPr>
          <w:lang w:val="fr-CA"/>
        </w:rPr>
        <w:t>’</w:t>
      </w:r>
      <w:r w:rsidRPr="005E7DB2">
        <w:rPr>
          <w:lang w:val="fr-CA"/>
        </w:rPr>
        <w:t>annexe VI pour la version intégrale du présent rapport).</w:t>
      </w:r>
    </w:p>
    <w:p w:rsidR="00FC7BD5" w:rsidRPr="005E7DB2" w:rsidRDefault="00BA11D7" w:rsidP="00BA11D7">
      <w:pPr>
        <w:pStyle w:val="Para1"/>
        <w:suppressLineNumbers/>
        <w:tabs>
          <w:tab w:val="clear" w:pos="360"/>
        </w:tabs>
        <w:suppressAutoHyphens/>
        <w:rPr>
          <w:kern w:val="22"/>
          <w:szCs w:val="22"/>
          <w:lang w:val="fr-CA"/>
        </w:rPr>
      </w:pPr>
      <w:r w:rsidRPr="005E7DB2">
        <w:rPr>
          <w:szCs w:val="22"/>
          <w:lang w:val="fr-CA"/>
        </w:rPr>
        <w:t xml:space="preserve">Un groupe de chercheurs universitaires de la </w:t>
      </w:r>
      <w:r w:rsidRPr="005E7DB2">
        <w:rPr>
          <w:i/>
          <w:noProof/>
          <w:szCs w:val="22"/>
          <w:lang w:val="fr-CA"/>
        </w:rPr>
        <w:t>University of British Columbia</w:t>
      </w:r>
      <w:r w:rsidRPr="005E7DB2">
        <w:rPr>
          <w:szCs w:val="22"/>
          <w:lang w:val="fr-CA"/>
        </w:rPr>
        <w:t xml:space="preserve"> (UBC) et d</w:t>
      </w:r>
      <w:r w:rsidR="001C0A75">
        <w:rPr>
          <w:szCs w:val="22"/>
          <w:lang w:val="fr-CA"/>
        </w:rPr>
        <w:t>’</w:t>
      </w:r>
      <w:r w:rsidRPr="005E7DB2">
        <w:rPr>
          <w:szCs w:val="22"/>
          <w:lang w:val="fr-CA"/>
        </w:rPr>
        <w:t>ailleurs (</w:t>
      </w:r>
      <w:proofErr w:type="spellStart"/>
      <w:r w:rsidRPr="005E7DB2">
        <w:rPr>
          <w:noProof/>
          <w:szCs w:val="22"/>
          <w:lang w:val="fr-CA"/>
        </w:rPr>
        <w:t>ci</w:t>
      </w:r>
      <w:r w:rsidR="001C0A75">
        <w:rPr>
          <w:noProof/>
          <w:szCs w:val="22"/>
          <w:lang w:val="fr-CA"/>
        </w:rPr>
        <w:noBreakHyphen/>
      </w:r>
      <w:r w:rsidRPr="005E7DB2">
        <w:rPr>
          <w:noProof/>
          <w:szCs w:val="22"/>
          <w:lang w:val="fr-CA"/>
        </w:rPr>
        <w:t>après</w:t>
      </w:r>
      <w:proofErr w:type="spellEnd"/>
      <w:r w:rsidRPr="005E7DB2">
        <w:rPr>
          <w:noProof/>
          <w:szCs w:val="22"/>
          <w:lang w:val="fr-CA"/>
        </w:rPr>
        <w:t xml:space="preserve"> « groupe</w:t>
      </w:r>
      <w:r w:rsidRPr="005E7DB2">
        <w:rPr>
          <w:szCs w:val="22"/>
          <w:lang w:val="fr-CA"/>
        </w:rPr>
        <w:t xml:space="preserve"> UBC ») a cependant démontré que les prétendues augmentations du financement de la biodiversité par le secteur privé sont considérablement exagérées. Dans le cas de flux de capitaux privés pour éviter la déforestation et restaurer les écosystèmes, par exemple, le groupe UBC souligne que selon un scénario modélisé par le </w:t>
      </w:r>
      <w:r w:rsidRPr="005E7DB2">
        <w:rPr>
          <w:bCs/>
          <w:i/>
          <w:noProof/>
          <w:szCs w:val="22"/>
          <w:lang w:val="fr-CA"/>
        </w:rPr>
        <w:t>Eliasch review</w:t>
      </w:r>
      <w:r w:rsidRPr="005E7DB2">
        <w:rPr>
          <w:szCs w:val="22"/>
          <w:lang w:val="fr-CA"/>
        </w:rPr>
        <w:t xml:space="preserve"> en 2008, il avait été prédit que 7 milliards USD pourraient être générés par les marchés de carbone d</w:t>
      </w:r>
      <w:r w:rsidR="001C0A75">
        <w:rPr>
          <w:szCs w:val="22"/>
          <w:lang w:val="fr-CA"/>
        </w:rPr>
        <w:t>’</w:t>
      </w:r>
      <w:r w:rsidRPr="005E7DB2">
        <w:rPr>
          <w:szCs w:val="22"/>
          <w:lang w:val="fr-CA"/>
        </w:rPr>
        <w:t>ici à 2020.</w:t>
      </w:r>
      <w:r w:rsidRPr="005E7DB2">
        <w:rPr>
          <w:bCs/>
          <w:szCs w:val="22"/>
          <w:vertAlign w:val="superscript"/>
          <w:lang w:val="fr-CA"/>
        </w:rPr>
        <w:footnoteReference w:id="15"/>
      </w:r>
      <w:r w:rsidRPr="005E7DB2">
        <w:rPr>
          <w:szCs w:val="22"/>
          <w:lang w:val="fr-CA"/>
        </w:rPr>
        <w:t xml:space="preserve"> En réalité toutefois, selon le plus récent rapport </w:t>
      </w:r>
      <w:r w:rsidRPr="005E7DB2">
        <w:rPr>
          <w:bCs/>
          <w:i/>
          <w:noProof/>
          <w:szCs w:val="22"/>
          <w:lang w:val="fr-CA"/>
        </w:rPr>
        <w:t>State of the Forest Carbon Market</w:t>
      </w:r>
      <w:r w:rsidRPr="005E7DB2">
        <w:rPr>
          <w:szCs w:val="22"/>
          <w:lang w:val="fr-CA"/>
        </w:rPr>
        <w:t xml:space="preserve"> (État des lieux du marché du carbone forestier) de </w:t>
      </w:r>
      <w:r w:rsidRPr="005E7DB2">
        <w:rPr>
          <w:bCs/>
          <w:noProof/>
          <w:szCs w:val="22"/>
          <w:lang w:val="fr-CA"/>
        </w:rPr>
        <w:t>Ecosystem Marketplace, le marché de la réduction des émissions de carbone forestier a atteint un sommet en 2014 avec une valeur de 257 millions USD, puis est retombé à seulement 120 millions USD en 2016.</w:t>
      </w:r>
      <w:r w:rsidRPr="005E7DB2">
        <w:rPr>
          <w:bCs/>
          <w:szCs w:val="22"/>
          <w:vertAlign w:val="superscript"/>
          <w:lang w:val="fr-CA"/>
        </w:rPr>
        <w:footnoteReference w:id="16"/>
      </w:r>
    </w:p>
    <w:p w:rsidR="00FC7BD5" w:rsidRPr="005E7DB2" w:rsidRDefault="00AA53E3">
      <w:pPr>
        <w:pStyle w:val="Para1"/>
        <w:suppressLineNumbers/>
        <w:tabs>
          <w:tab w:val="clear" w:pos="360"/>
        </w:tabs>
        <w:suppressAutoHyphens/>
        <w:rPr>
          <w:kern w:val="22"/>
          <w:szCs w:val="22"/>
          <w:lang w:val="fr-CA"/>
        </w:rPr>
      </w:pPr>
      <w:r w:rsidRPr="005E7DB2">
        <w:rPr>
          <w:bCs/>
          <w:szCs w:val="22"/>
          <w:lang w:val="fr-CA"/>
        </w:rPr>
        <w:t>De même, de grandes attentes exprimées dans le passé au sujet de la capacité des ressources génétiques, particulièrement dans les forêts, de générer d</w:t>
      </w:r>
      <w:r w:rsidR="001C0A75">
        <w:rPr>
          <w:bCs/>
          <w:szCs w:val="22"/>
          <w:lang w:val="fr-CA"/>
        </w:rPr>
        <w:t>’</w:t>
      </w:r>
      <w:r w:rsidRPr="005E7DB2">
        <w:rPr>
          <w:bCs/>
          <w:szCs w:val="22"/>
          <w:lang w:val="fr-CA"/>
        </w:rPr>
        <w:t xml:space="preserve">énormes investissements financiers dans la conservation de la biodiversité par le biais de la </w:t>
      </w:r>
      <w:r w:rsidRPr="005E7DB2">
        <w:rPr>
          <w:bCs/>
          <w:noProof/>
          <w:szCs w:val="22"/>
          <w:lang w:val="fr-CA"/>
        </w:rPr>
        <w:t>bioprospection</w:t>
      </w:r>
      <w:r w:rsidRPr="005E7DB2">
        <w:rPr>
          <w:bCs/>
          <w:szCs w:val="22"/>
          <w:lang w:val="fr-CA"/>
        </w:rPr>
        <w:t xml:space="preserve"> se sont de manière générale avérées trop optimistes, un récent estimé ayant déterminé que la </w:t>
      </w:r>
      <w:r w:rsidRPr="005E7DB2">
        <w:rPr>
          <w:bCs/>
          <w:noProof/>
          <w:szCs w:val="22"/>
          <w:lang w:val="fr-CA"/>
        </w:rPr>
        <w:t>bioprospection</w:t>
      </w:r>
      <w:r w:rsidRPr="005E7DB2">
        <w:rPr>
          <w:bCs/>
          <w:szCs w:val="22"/>
          <w:lang w:val="fr-CA"/>
        </w:rPr>
        <w:t xml:space="preserve"> ne génère que 50 millions USD de financement pour la conservation.</w:t>
      </w:r>
      <w:r w:rsidRPr="005E7DB2">
        <w:rPr>
          <w:bCs/>
          <w:szCs w:val="22"/>
          <w:vertAlign w:val="superscript"/>
          <w:lang w:val="fr-CA"/>
        </w:rPr>
        <w:footnoteReference w:id="17"/>
      </w:r>
      <w:r w:rsidRPr="005E7DB2">
        <w:rPr>
          <w:bCs/>
          <w:szCs w:val="22"/>
          <w:lang w:val="fr-CA"/>
        </w:rPr>
        <w:t xml:space="preserve"> Un certain degré de réalisme est donc nécessaire quant aux limites – du moins dans les cadres économiques et réglementaires actuels – du financement du secteur privé pour combler les lacunes dans le financement de la biodiversité et de la conservation des écosystèmes laissées </w:t>
      </w:r>
      <w:r w:rsidRPr="005E7DB2">
        <w:rPr>
          <w:bCs/>
          <w:szCs w:val="22"/>
          <w:lang w:val="fr-CA"/>
        </w:rPr>
        <w:lastRenderedPageBreak/>
        <w:t>par le secteur public. Comme le conclut l</w:t>
      </w:r>
      <w:r w:rsidR="001C0A75">
        <w:rPr>
          <w:bCs/>
          <w:szCs w:val="22"/>
          <w:lang w:val="fr-CA"/>
        </w:rPr>
        <w:t>’</w:t>
      </w:r>
      <w:r w:rsidRPr="005E7DB2">
        <w:rPr>
          <w:bCs/>
          <w:szCs w:val="22"/>
          <w:lang w:val="fr-CA"/>
        </w:rPr>
        <w:t>Alliance pour le financement de la conservation (CFA), « l</w:t>
      </w:r>
      <w:r w:rsidR="001C0A75">
        <w:rPr>
          <w:bCs/>
          <w:szCs w:val="22"/>
          <w:lang w:val="fr-CA"/>
        </w:rPr>
        <w:t>’</w:t>
      </w:r>
      <w:r w:rsidRPr="005E7DB2">
        <w:rPr>
          <w:bCs/>
          <w:szCs w:val="22"/>
          <w:lang w:val="fr-CA"/>
        </w:rPr>
        <w:t>écrasante majorité du secteur financier n</w:t>
      </w:r>
      <w:r w:rsidR="001C0A75">
        <w:rPr>
          <w:bCs/>
          <w:szCs w:val="22"/>
          <w:lang w:val="fr-CA"/>
        </w:rPr>
        <w:t>’</w:t>
      </w:r>
      <w:r w:rsidRPr="005E7DB2">
        <w:rPr>
          <w:bCs/>
          <w:szCs w:val="22"/>
          <w:lang w:val="fr-CA"/>
        </w:rPr>
        <w:t>a pas encore montré d</w:t>
      </w:r>
      <w:r w:rsidR="001C0A75">
        <w:rPr>
          <w:bCs/>
          <w:szCs w:val="22"/>
          <w:lang w:val="fr-CA"/>
        </w:rPr>
        <w:t>’</w:t>
      </w:r>
      <w:r w:rsidRPr="005E7DB2">
        <w:rPr>
          <w:bCs/>
          <w:szCs w:val="22"/>
          <w:lang w:val="fr-CA"/>
        </w:rPr>
        <w:t>intérêt pour la conservation de la biodiversité ».</w:t>
      </w:r>
      <w:r w:rsidRPr="005E7DB2">
        <w:rPr>
          <w:bCs/>
          <w:szCs w:val="22"/>
          <w:vertAlign w:val="superscript"/>
          <w:lang w:val="fr-CA"/>
        </w:rPr>
        <w:footnoteReference w:id="18"/>
      </w:r>
      <w:r w:rsidRPr="005E7DB2">
        <w:rPr>
          <w:bCs/>
          <w:szCs w:val="22"/>
          <w:lang w:val="fr-CA"/>
        </w:rPr>
        <w:t xml:space="preserve"> Ou, comme le déclarent sans détour </w:t>
      </w:r>
      <w:r w:rsidRPr="005E7DB2">
        <w:rPr>
          <w:bCs/>
          <w:noProof/>
          <w:szCs w:val="22"/>
          <w:lang w:val="fr-CA"/>
        </w:rPr>
        <w:t>NatureVest e</w:t>
      </w:r>
      <w:r w:rsidRPr="005E7DB2">
        <w:rPr>
          <w:bCs/>
          <w:szCs w:val="22"/>
          <w:lang w:val="fr-CA"/>
        </w:rPr>
        <w:t>t leurs coauteurs, les investissements dans la conservation sont beaucoup « moins compétitifs comparés aux opportunités des marchés concurrentiels ».</w:t>
      </w:r>
      <w:r w:rsidRPr="005E7DB2">
        <w:rPr>
          <w:bCs/>
          <w:szCs w:val="22"/>
          <w:vertAlign w:val="superscript"/>
          <w:lang w:val="fr-CA"/>
        </w:rPr>
        <w:footnoteReference w:id="19"/>
      </w:r>
    </w:p>
    <w:p w:rsidR="00F06608" w:rsidRPr="005E7DB2" w:rsidRDefault="00F06608" w:rsidP="00F06608">
      <w:pPr>
        <w:pStyle w:val="Para1"/>
        <w:suppressLineNumbers/>
        <w:tabs>
          <w:tab w:val="clear" w:pos="360"/>
        </w:tabs>
        <w:suppressAutoHyphens/>
        <w:rPr>
          <w:lang w:val="fr-CA"/>
        </w:rPr>
      </w:pPr>
      <w:r w:rsidRPr="005E7DB2">
        <w:rPr>
          <w:lang w:val="fr-CA"/>
        </w:rPr>
        <w:t>Des efforts considérables ont été déployés par certaines Parties, telles que l</w:t>
      </w:r>
      <w:r w:rsidR="001C0A75">
        <w:rPr>
          <w:lang w:val="fr-CA"/>
        </w:rPr>
        <w:t>’</w:t>
      </w:r>
      <w:r w:rsidRPr="005E7DB2">
        <w:rPr>
          <w:lang w:val="fr-CA"/>
        </w:rPr>
        <w:t>Union européenne, pour encourager le secteur privé à accroître ses contributions pour la biodiversité. La Plateforme Entreprises et Biodiversité</w:t>
      </w:r>
      <w:r w:rsidRPr="005E7DB2">
        <w:rPr>
          <w:vertAlign w:val="superscript"/>
          <w:lang w:val="fr-CA"/>
        </w:rPr>
        <w:footnoteReference w:id="20"/>
      </w:r>
      <w:r w:rsidRPr="005E7DB2">
        <w:rPr>
          <w:lang w:val="fr-CA"/>
        </w:rPr>
        <w:t xml:space="preserve"> fournit une tribune au niveau de l</w:t>
      </w:r>
      <w:r w:rsidR="001C0A75">
        <w:rPr>
          <w:lang w:val="fr-CA"/>
        </w:rPr>
        <w:t>’</w:t>
      </w:r>
      <w:r w:rsidRPr="005E7DB2">
        <w:rPr>
          <w:lang w:val="fr-CA"/>
        </w:rPr>
        <w:t>Union européenne pour un dialogue soutenu et stratégique concernant les liens entre le monde des affaires et la biodiversité. Le troisième secteur d</w:t>
      </w:r>
      <w:r w:rsidR="001C0A75">
        <w:rPr>
          <w:lang w:val="fr-CA"/>
        </w:rPr>
        <w:t>’</w:t>
      </w:r>
      <w:r w:rsidRPr="005E7DB2">
        <w:rPr>
          <w:lang w:val="fr-CA"/>
        </w:rPr>
        <w:t>activité de la Plateforme – sur l</w:t>
      </w:r>
      <w:r w:rsidR="001C0A75">
        <w:rPr>
          <w:lang w:val="fr-CA"/>
        </w:rPr>
        <w:t>’</w:t>
      </w:r>
      <w:r w:rsidRPr="005E7DB2">
        <w:rPr>
          <w:lang w:val="fr-CA"/>
        </w:rPr>
        <w:t>accès au financement et des mécanismes de financement novateurs – cherche à démontrer les avantages pour les entreprises, y compris les petites et moyennes entreprises (PME), découlant d</w:t>
      </w:r>
      <w:r w:rsidR="001C0A75">
        <w:rPr>
          <w:lang w:val="fr-CA"/>
        </w:rPr>
        <w:t>’</w:t>
      </w:r>
      <w:r w:rsidRPr="005E7DB2">
        <w:rPr>
          <w:lang w:val="fr-CA"/>
        </w:rPr>
        <w:t>investissements liées à la biodiversité.</w:t>
      </w:r>
    </w:p>
    <w:p w:rsidR="006409E9" w:rsidRPr="005E7DB2" w:rsidRDefault="00F06608" w:rsidP="00F06608">
      <w:pPr>
        <w:pStyle w:val="Para1"/>
        <w:suppressLineNumbers/>
        <w:tabs>
          <w:tab w:val="clear" w:pos="360"/>
        </w:tabs>
        <w:suppressAutoHyphens/>
        <w:rPr>
          <w:kern w:val="22"/>
          <w:lang w:val="fr-CA"/>
        </w:rPr>
      </w:pPr>
      <w:r w:rsidRPr="005E7DB2">
        <w:rPr>
          <w:lang w:val="fr-CA"/>
        </w:rPr>
        <w:t>À la lumière de ces conclusions, certaines Parties ont suggéré qu</w:t>
      </w:r>
      <w:r w:rsidR="001C0A75">
        <w:rPr>
          <w:lang w:val="fr-CA"/>
        </w:rPr>
        <w:t>’</w:t>
      </w:r>
      <w:r w:rsidRPr="005E7DB2">
        <w:rPr>
          <w:lang w:val="fr-CA"/>
        </w:rPr>
        <w:t>il conviendrait d</w:t>
      </w:r>
      <w:r w:rsidR="001C0A75">
        <w:rPr>
          <w:lang w:val="fr-CA"/>
        </w:rPr>
        <w:t>’</w:t>
      </w:r>
      <w:r w:rsidRPr="005E7DB2">
        <w:rPr>
          <w:lang w:val="fr-CA"/>
        </w:rPr>
        <w:t>entreprendre un important programme de travail visant à recenser des options pour introduire et/ou intensifier des financements pour la biodiversité dans chacun des six « mécanismes de financement innovateurs » identifiés au titre de la Convention</w:t>
      </w:r>
      <w:r w:rsidRPr="005E7DB2">
        <w:rPr>
          <w:rStyle w:val="FootnoteReference"/>
          <w:lang w:val="fr-CA"/>
        </w:rPr>
        <w:footnoteReference w:id="21"/>
      </w:r>
      <w:r w:rsidRPr="005E7DB2">
        <w:rPr>
          <w:lang w:val="fr-CA"/>
        </w:rPr>
        <w:t xml:space="preserve"> : a) réformes fiscales environnementales; b) régimes de paiement pour les services </w:t>
      </w:r>
      <w:r w:rsidRPr="005E7DB2">
        <w:rPr>
          <w:noProof/>
          <w:lang w:val="fr-CA"/>
        </w:rPr>
        <w:t>écosystémiques</w:t>
      </w:r>
      <w:r w:rsidRPr="005E7DB2">
        <w:rPr>
          <w:lang w:val="fr-CA"/>
        </w:rPr>
        <w:t xml:space="preserve"> (PSE); c) mécanismes de compensation de la diversité biologique; d) marchés de produits écologiques; e) intégration de la biodiversité dans les mécanismes de financement pour les changements climatiques, y compris par le biais de solutions fondées sur la nature (SFN); et f) intégration de la biodiversité dans le financement du développement international</w:t>
      </w:r>
      <w:r w:rsidR="009B1111" w:rsidRPr="005E7DB2">
        <w:rPr>
          <w:kern w:val="22"/>
          <w:szCs w:val="22"/>
          <w:lang w:val="fr-CA"/>
        </w:rPr>
        <w:t>.</w:t>
      </w:r>
    </w:p>
    <w:p w:rsidR="001D3CB8" w:rsidRPr="005E7DB2" w:rsidRDefault="00F06608">
      <w:pPr>
        <w:pStyle w:val="Heading4"/>
        <w:suppressLineNumbers/>
        <w:suppressAutoHyphens/>
        <w:rPr>
          <w:i w:val="0"/>
          <w:kern w:val="22"/>
          <w:lang w:val="fr-CA"/>
        </w:rPr>
      </w:pPr>
      <w:r w:rsidRPr="005E7DB2">
        <w:rPr>
          <w:i w:val="0"/>
          <w:lang w:val="fr-CA"/>
        </w:rPr>
        <w:t xml:space="preserve">But 5 : </w:t>
      </w:r>
      <w:r w:rsidRPr="005E7DB2">
        <w:rPr>
          <w:bCs w:val="0"/>
          <w:i w:val="0"/>
          <w:iCs/>
          <w:noProof/>
          <w:lang w:val="fr-CA" w:eastAsia="zh-CN"/>
        </w:rPr>
        <w:t>Intégrer la diversité biologique et les services associés fournis par les écosystèmes dans les priorités et plans de coopération au développement, en établissant notamment des liens entre les programmes de travail de la Convention et les objectifs du Millénaire pour le développement</w:t>
      </w:r>
    </w:p>
    <w:p w:rsidR="00286E8A" w:rsidRPr="005E7DB2" w:rsidRDefault="00286E8A" w:rsidP="00286E8A">
      <w:pPr>
        <w:pStyle w:val="Para1"/>
        <w:suppressLineNumbers/>
        <w:tabs>
          <w:tab w:val="clear" w:pos="360"/>
        </w:tabs>
        <w:suppressAutoHyphens/>
        <w:rPr>
          <w:lang w:val="fr-CA"/>
        </w:rPr>
      </w:pPr>
      <w:r w:rsidRPr="005E7DB2">
        <w:rPr>
          <w:color w:val="000000" w:themeColor="text1"/>
          <w:szCs w:val="22"/>
          <w:lang w:val="fr-CA"/>
        </w:rPr>
        <w:t>L</w:t>
      </w:r>
      <w:r w:rsidR="001C0A75">
        <w:rPr>
          <w:color w:val="000000" w:themeColor="text1"/>
          <w:szCs w:val="22"/>
          <w:lang w:val="fr-CA"/>
        </w:rPr>
        <w:t>’</w:t>
      </w:r>
      <w:r w:rsidRPr="005E7DB2">
        <w:rPr>
          <w:color w:val="000000" w:themeColor="text1"/>
          <w:szCs w:val="22"/>
          <w:lang w:val="fr-CA"/>
        </w:rPr>
        <w:t>intégration efficace de la biodiversité dans les investissements et autres mesures prises par le gouvernement, le secteur privé, et les particuliers est une condition préalable importante à l</w:t>
      </w:r>
      <w:r w:rsidR="001C0A75">
        <w:rPr>
          <w:color w:val="000000" w:themeColor="text1"/>
          <w:szCs w:val="22"/>
          <w:lang w:val="fr-CA"/>
        </w:rPr>
        <w:t>’</w:t>
      </w:r>
      <w:r w:rsidRPr="005E7DB2">
        <w:rPr>
          <w:color w:val="000000" w:themeColor="text1"/>
          <w:szCs w:val="22"/>
          <w:lang w:val="fr-CA"/>
        </w:rPr>
        <w:t>avenir pour une mobilisation des ressources réussie, et cette question est examinée par un Groupe consultatif informel sur l</w:t>
      </w:r>
      <w:r w:rsidR="001C0A75">
        <w:rPr>
          <w:color w:val="000000" w:themeColor="text1"/>
          <w:szCs w:val="22"/>
          <w:lang w:val="fr-CA"/>
        </w:rPr>
        <w:t>’</w:t>
      </w:r>
      <w:r w:rsidRPr="005E7DB2">
        <w:rPr>
          <w:color w:val="000000" w:themeColor="text1"/>
          <w:szCs w:val="22"/>
          <w:lang w:val="fr-CA"/>
        </w:rPr>
        <w:t>intégration de la biodiversité qui élabore actuellement une approche à long terme de l</w:t>
      </w:r>
      <w:r w:rsidR="001C0A75">
        <w:rPr>
          <w:color w:val="000000" w:themeColor="text1"/>
          <w:szCs w:val="22"/>
          <w:lang w:val="fr-CA"/>
        </w:rPr>
        <w:t>’</w:t>
      </w:r>
      <w:r w:rsidRPr="005E7DB2">
        <w:rPr>
          <w:color w:val="000000" w:themeColor="text1"/>
          <w:szCs w:val="22"/>
          <w:lang w:val="fr-CA"/>
        </w:rPr>
        <w:t>intégration de la biodiversité. Autant les donateurs que les récipiendaires d</w:t>
      </w:r>
      <w:r w:rsidR="001C0A75">
        <w:rPr>
          <w:color w:val="000000" w:themeColor="text1"/>
          <w:szCs w:val="22"/>
          <w:lang w:val="fr-CA"/>
        </w:rPr>
        <w:t>’</w:t>
      </w:r>
      <w:r w:rsidRPr="005E7DB2">
        <w:rPr>
          <w:color w:val="000000" w:themeColor="text1"/>
          <w:szCs w:val="22"/>
          <w:lang w:val="fr-CA"/>
        </w:rPr>
        <w:t>aide doivent reconnaître l</w:t>
      </w:r>
      <w:r w:rsidR="001C0A75">
        <w:rPr>
          <w:color w:val="000000" w:themeColor="text1"/>
          <w:szCs w:val="22"/>
          <w:lang w:val="fr-CA"/>
        </w:rPr>
        <w:t>’</w:t>
      </w:r>
      <w:r w:rsidRPr="005E7DB2">
        <w:rPr>
          <w:color w:val="000000" w:themeColor="text1"/>
          <w:szCs w:val="22"/>
          <w:lang w:val="fr-CA"/>
        </w:rPr>
        <w:t>importance d</w:t>
      </w:r>
      <w:r w:rsidR="001C0A75">
        <w:rPr>
          <w:color w:val="000000" w:themeColor="text1"/>
          <w:szCs w:val="22"/>
          <w:lang w:val="fr-CA"/>
        </w:rPr>
        <w:t>’</w:t>
      </w:r>
      <w:r w:rsidRPr="005E7DB2">
        <w:rPr>
          <w:color w:val="000000" w:themeColor="text1"/>
          <w:szCs w:val="22"/>
          <w:lang w:val="fr-CA"/>
        </w:rPr>
        <w:t>une pleine intégration de la biodiversité dans leurs priorités, stratégies, programmes et plans. Un certain nombre de Parties a commencé à déployer des efforts plus soutenus en vue d</w:t>
      </w:r>
      <w:r w:rsidR="001C0A75">
        <w:rPr>
          <w:color w:val="000000" w:themeColor="text1"/>
          <w:szCs w:val="22"/>
          <w:lang w:val="fr-CA"/>
        </w:rPr>
        <w:t>’</w:t>
      </w:r>
      <w:r w:rsidRPr="005E7DB2">
        <w:rPr>
          <w:color w:val="000000" w:themeColor="text1"/>
          <w:szCs w:val="22"/>
          <w:lang w:val="fr-CA"/>
        </w:rPr>
        <w:t>intégrer la biodiversité dans les stratégies d</w:t>
      </w:r>
      <w:r w:rsidR="001C0A75">
        <w:rPr>
          <w:color w:val="000000" w:themeColor="text1"/>
          <w:szCs w:val="22"/>
          <w:lang w:val="fr-CA"/>
        </w:rPr>
        <w:t>’</w:t>
      </w:r>
      <w:r w:rsidRPr="005E7DB2">
        <w:rPr>
          <w:color w:val="000000" w:themeColor="text1"/>
          <w:szCs w:val="22"/>
          <w:lang w:val="fr-CA"/>
        </w:rPr>
        <w:t>aide. L</w:t>
      </w:r>
      <w:r w:rsidR="001C0A75">
        <w:rPr>
          <w:color w:val="000000" w:themeColor="text1"/>
          <w:szCs w:val="22"/>
          <w:lang w:val="fr-CA"/>
        </w:rPr>
        <w:t>’</w:t>
      </w:r>
      <w:r w:rsidRPr="005E7DB2">
        <w:rPr>
          <w:color w:val="000000" w:themeColor="text1"/>
          <w:szCs w:val="22"/>
          <w:lang w:val="fr-CA"/>
        </w:rPr>
        <w:t xml:space="preserve">initiative </w:t>
      </w:r>
      <w:r w:rsidRPr="005E7DB2">
        <w:rPr>
          <w:i/>
          <w:noProof/>
          <w:lang w:val="fr-CA"/>
        </w:rPr>
        <w:t>Biodiversity for Life</w:t>
      </w:r>
      <w:r w:rsidRPr="005E7DB2">
        <w:rPr>
          <w:noProof/>
          <w:lang w:val="fr-CA"/>
        </w:rPr>
        <w:t xml:space="preserve"> (</w:t>
      </w:r>
      <w:r w:rsidRPr="005E7DB2">
        <w:rPr>
          <w:i/>
          <w:noProof/>
          <w:lang w:val="fr-CA"/>
        </w:rPr>
        <w:t>B4Life</w:t>
      </w:r>
      <w:r w:rsidRPr="005E7DB2">
        <w:rPr>
          <w:lang w:val="fr-CA"/>
        </w:rPr>
        <w:t>)</w:t>
      </w:r>
      <w:r w:rsidRPr="005E7DB2">
        <w:rPr>
          <w:vertAlign w:val="superscript"/>
          <w:lang w:val="fr-CA"/>
        </w:rPr>
        <w:footnoteReference w:id="22"/>
      </w:r>
      <w:r w:rsidRPr="005E7DB2">
        <w:rPr>
          <w:lang w:val="fr-CA"/>
        </w:rPr>
        <w:t xml:space="preserve"> de la Commission européenne, par exemple, a été créée pour appuyer les efforts des pays en développement visant à enrayer la perte de biodiversité et à s</w:t>
      </w:r>
      <w:r w:rsidR="001C0A75">
        <w:rPr>
          <w:lang w:val="fr-CA"/>
        </w:rPr>
        <w:t>’</w:t>
      </w:r>
      <w:r w:rsidRPr="005E7DB2">
        <w:rPr>
          <w:lang w:val="fr-CA"/>
        </w:rPr>
        <w:t xml:space="preserve">attaquer aux </w:t>
      </w:r>
      <w:r w:rsidRPr="005E7DB2">
        <w:rPr>
          <w:noProof/>
          <w:lang w:val="fr-CA"/>
        </w:rPr>
        <w:t>moteurs de celle</w:t>
      </w:r>
      <w:r w:rsidR="001C0A75">
        <w:rPr>
          <w:noProof/>
          <w:lang w:val="fr-CA"/>
        </w:rPr>
        <w:noBreakHyphen/>
      </w:r>
      <w:r w:rsidRPr="005E7DB2">
        <w:rPr>
          <w:noProof/>
          <w:lang w:val="fr-CA"/>
        </w:rPr>
        <w:t>ci, en</w:t>
      </w:r>
      <w:r w:rsidRPr="005E7DB2">
        <w:rPr>
          <w:lang w:val="fr-CA"/>
        </w:rPr>
        <w:t xml:space="preserve"> particulier en reliant la conservation à l</w:t>
      </w:r>
      <w:r w:rsidR="001C0A75">
        <w:rPr>
          <w:lang w:val="fr-CA"/>
        </w:rPr>
        <w:t>’</w:t>
      </w:r>
      <w:r w:rsidRPr="005E7DB2">
        <w:rPr>
          <w:lang w:val="fr-CA"/>
        </w:rPr>
        <w:t>utilisation durable, au développement, à la sécurité et à la lute contre la criminalité liée aux espèces sauvages et aux forêts.</w:t>
      </w:r>
      <w:r w:rsidRPr="005E7DB2">
        <w:rPr>
          <w:color w:val="000000" w:themeColor="text1"/>
          <w:szCs w:val="22"/>
          <w:lang w:val="fr-CA"/>
        </w:rPr>
        <w:t xml:space="preserve"> L</w:t>
      </w:r>
      <w:r w:rsidR="001C0A75">
        <w:rPr>
          <w:color w:val="000000" w:themeColor="text1"/>
          <w:szCs w:val="22"/>
          <w:lang w:val="fr-CA"/>
        </w:rPr>
        <w:t>’</w:t>
      </w:r>
      <w:r w:rsidRPr="005E7DB2">
        <w:rPr>
          <w:color w:val="000000" w:themeColor="text1"/>
          <w:szCs w:val="22"/>
          <w:lang w:val="fr-CA"/>
        </w:rPr>
        <w:t>initiative B4Life regroupe sous un même cadre général financé par l</w:t>
      </w:r>
      <w:r w:rsidR="001C0A75">
        <w:rPr>
          <w:color w:val="000000" w:themeColor="text1"/>
          <w:szCs w:val="22"/>
          <w:lang w:val="fr-CA"/>
        </w:rPr>
        <w:t>’</w:t>
      </w:r>
      <w:r w:rsidRPr="005E7DB2">
        <w:rPr>
          <w:color w:val="000000" w:themeColor="text1"/>
          <w:szCs w:val="22"/>
          <w:lang w:val="fr-CA"/>
        </w:rPr>
        <w:t>Union européenne tous les projets de coopération au développement et les programmes qui ont la biodiversité comme principal objectif, en vue d</w:t>
      </w:r>
      <w:r w:rsidR="001C0A75">
        <w:rPr>
          <w:color w:val="000000" w:themeColor="text1"/>
          <w:szCs w:val="22"/>
          <w:lang w:val="fr-CA"/>
        </w:rPr>
        <w:t>’</w:t>
      </w:r>
      <w:r w:rsidRPr="005E7DB2">
        <w:rPr>
          <w:color w:val="000000" w:themeColor="text1"/>
          <w:szCs w:val="22"/>
          <w:lang w:val="fr-CA"/>
        </w:rPr>
        <w:t>assurer une meilleure cohérence et coordination.</w:t>
      </w:r>
      <w:r w:rsidRPr="005E7DB2">
        <w:rPr>
          <w:lang w:val="fr-CA"/>
        </w:rPr>
        <w:t xml:space="preserve"> </w:t>
      </w:r>
    </w:p>
    <w:p w:rsidR="00286E8A" w:rsidRPr="005E7DB2" w:rsidRDefault="00286E8A" w:rsidP="00286E8A">
      <w:pPr>
        <w:pStyle w:val="Para1"/>
        <w:suppressLineNumbers/>
        <w:tabs>
          <w:tab w:val="clear" w:pos="360"/>
        </w:tabs>
        <w:suppressAutoHyphens/>
        <w:rPr>
          <w:lang w:val="fr-CA"/>
        </w:rPr>
      </w:pPr>
      <w:r w:rsidRPr="005E7DB2">
        <w:rPr>
          <w:lang w:val="fr-CA"/>
        </w:rPr>
        <w:t>La protection de la biodiversité dans la coopération au développement est également essentielle, et l</w:t>
      </w:r>
      <w:r w:rsidR="001C0A75">
        <w:rPr>
          <w:lang w:val="fr-CA"/>
        </w:rPr>
        <w:t>’</w:t>
      </w:r>
      <w:r w:rsidRPr="005E7DB2">
        <w:rPr>
          <w:lang w:val="fr-CA"/>
        </w:rPr>
        <w:t>Union européenne a abordé le problème en intégrant les questions liées à l</w:t>
      </w:r>
      <w:r w:rsidR="001C0A75">
        <w:rPr>
          <w:lang w:val="fr-CA"/>
        </w:rPr>
        <w:t>’</w:t>
      </w:r>
      <w:r w:rsidRPr="005E7DB2">
        <w:rPr>
          <w:lang w:val="fr-CA"/>
        </w:rPr>
        <w:t xml:space="preserve">environnement et aux changements climatiques à ses politiques. Une évaluation environnementale obligatoire de toute nouvelle action de coopération au développement explore les incidences potentielles sur les aires protégées ou vulnérables et les services </w:t>
      </w:r>
      <w:r w:rsidRPr="005E7DB2">
        <w:rPr>
          <w:noProof/>
          <w:lang w:val="fr-CA"/>
        </w:rPr>
        <w:t>écosystémiques d</w:t>
      </w:r>
      <w:r w:rsidRPr="005E7DB2">
        <w:rPr>
          <w:lang w:val="fr-CA"/>
        </w:rPr>
        <w:t>e l</w:t>
      </w:r>
      <w:r w:rsidR="001C0A75">
        <w:rPr>
          <w:lang w:val="fr-CA"/>
        </w:rPr>
        <w:t>’</w:t>
      </w:r>
      <w:r w:rsidRPr="005E7DB2">
        <w:rPr>
          <w:lang w:val="fr-CA"/>
        </w:rPr>
        <w:t>introduction d</w:t>
      </w:r>
      <w:r w:rsidR="001C0A75">
        <w:rPr>
          <w:lang w:val="fr-CA"/>
        </w:rPr>
        <w:t>’</w:t>
      </w:r>
      <w:r w:rsidRPr="005E7DB2">
        <w:rPr>
          <w:lang w:val="fr-CA"/>
        </w:rPr>
        <w:t>espèces exotiques, et de l</w:t>
      </w:r>
      <w:r w:rsidR="001C0A75">
        <w:rPr>
          <w:lang w:val="fr-CA"/>
        </w:rPr>
        <w:t>’</w:t>
      </w:r>
      <w:r w:rsidRPr="005E7DB2">
        <w:rPr>
          <w:lang w:val="fr-CA"/>
        </w:rPr>
        <w:t>utilisation d</w:t>
      </w:r>
      <w:r w:rsidR="001C0A75">
        <w:rPr>
          <w:lang w:val="fr-CA"/>
        </w:rPr>
        <w:t>’</w:t>
      </w:r>
      <w:r w:rsidRPr="005E7DB2">
        <w:rPr>
          <w:lang w:val="fr-CA"/>
        </w:rPr>
        <w:t>engrais, de pesticides ou d</w:t>
      </w:r>
      <w:r w:rsidR="001C0A75">
        <w:rPr>
          <w:lang w:val="fr-CA"/>
        </w:rPr>
        <w:t>’</w:t>
      </w:r>
      <w:r w:rsidRPr="005E7DB2">
        <w:rPr>
          <w:lang w:val="fr-CA"/>
        </w:rPr>
        <w:t>autres substances chimiques.</w:t>
      </w:r>
    </w:p>
    <w:p w:rsidR="00A00AE1" w:rsidRPr="005E7DB2" w:rsidRDefault="00286E8A" w:rsidP="00286E8A">
      <w:pPr>
        <w:pStyle w:val="Para1"/>
        <w:suppressLineNumbers/>
        <w:tabs>
          <w:tab w:val="clear" w:pos="360"/>
        </w:tabs>
        <w:suppressAutoHyphens/>
        <w:rPr>
          <w:kern w:val="22"/>
          <w:lang w:val="fr-CA"/>
        </w:rPr>
      </w:pPr>
      <w:r w:rsidRPr="005E7DB2">
        <w:rPr>
          <w:lang w:val="fr-CA"/>
        </w:rPr>
        <w:lastRenderedPageBreak/>
        <w:t>S</w:t>
      </w:r>
      <w:r w:rsidR="001C0A75">
        <w:rPr>
          <w:lang w:val="fr-CA"/>
        </w:rPr>
        <w:t>’</w:t>
      </w:r>
      <w:r w:rsidRPr="005E7DB2">
        <w:rPr>
          <w:lang w:val="fr-CA"/>
        </w:rPr>
        <w:t>agissant de nouvelles mesures qui pourraient être prises relativement au but 5, si des progrès ont été réalisés en ce qui concerne l</w:t>
      </w:r>
      <w:r w:rsidR="001C0A75">
        <w:rPr>
          <w:lang w:val="fr-CA"/>
        </w:rPr>
        <w:t>’</w:t>
      </w:r>
      <w:r w:rsidRPr="005E7DB2">
        <w:rPr>
          <w:lang w:val="fr-CA"/>
        </w:rPr>
        <w:t xml:space="preserve">intégration de la biodiversité et de ses services </w:t>
      </w:r>
      <w:proofErr w:type="spellStart"/>
      <w:r w:rsidRPr="005E7DB2">
        <w:rPr>
          <w:lang w:val="fr-CA"/>
        </w:rPr>
        <w:t>écosystémiques</w:t>
      </w:r>
      <w:proofErr w:type="spellEnd"/>
      <w:r w:rsidRPr="005E7DB2">
        <w:rPr>
          <w:lang w:val="fr-CA"/>
        </w:rPr>
        <w:t xml:space="preserve"> associés dans les priorités et les plans de coopération au développement, le besoin subsiste de mieux relier le programme sur la diversité biologique au programme sur les changements climatiques et au programme de développement plus global des Objectifs de développement durable. Les flux de capitaux et la mobilisation globale des ressources ne reflètent pas encore la pertinence de la biodiversité pour la réalisation d</w:t>
      </w:r>
      <w:r w:rsidR="001C0A75">
        <w:rPr>
          <w:lang w:val="fr-CA"/>
        </w:rPr>
        <w:t>’</w:t>
      </w:r>
      <w:r w:rsidRPr="005E7DB2">
        <w:rPr>
          <w:lang w:val="fr-CA"/>
        </w:rPr>
        <w:t>un vaste éventail d</w:t>
      </w:r>
      <w:r w:rsidR="001C0A75">
        <w:rPr>
          <w:lang w:val="fr-CA"/>
        </w:rPr>
        <w:t>’</w:t>
      </w:r>
      <w:r w:rsidRPr="005E7DB2">
        <w:rPr>
          <w:lang w:val="fr-CA"/>
        </w:rPr>
        <w:t>objectifs de développement durable, de programmes liés aux changements climatiques, à la prévention des risques et catastrophes, et aux priorités sociales et économiques, à tous les niveaux, ni l</w:t>
      </w:r>
      <w:r w:rsidR="001C0A75">
        <w:rPr>
          <w:lang w:val="fr-CA"/>
        </w:rPr>
        <w:t>’</w:t>
      </w:r>
      <w:r w:rsidRPr="005E7DB2">
        <w:rPr>
          <w:lang w:val="fr-CA"/>
        </w:rPr>
        <w:t>importance des externalités positives des investissements dans la nature, surtout à long terme. Un certain nombre d</w:t>
      </w:r>
      <w:r w:rsidR="001C0A75">
        <w:rPr>
          <w:lang w:val="fr-CA"/>
        </w:rPr>
        <w:t>’</w:t>
      </w:r>
      <w:r w:rsidRPr="005E7DB2">
        <w:rPr>
          <w:lang w:val="fr-CA"/>
        </w:rPr>
        <w:t>organisations ont entrepris des travaux utiles pour démontrer ces liens, notamment le Secrétariat de la Convention sur la diversité biologique en collaboration avec le PNUE, le PNUD, l</w:t>
      </w:r>
      <w:r w:rsidR="001C0A75">
        <w:rPr>
          <w:lang w:val="fr-CA"/>
        </w:rPr>
        <w:t>’</w:t>
      </w:r>
      <w:r w:rsidRPr="005E7DB2">
        <w:rPr>
          <w:rStyle w:val="preferred"/>
          <w:lang w:val="fr-CA"/>
        </w:rPr>
        <w:t>Organisation des Nations Unies pour l</w:t>
      </w:r>
      <w:r w:rsidR="001C0A75">
        <w:rPr>
          <w:rStyle w:val="preferred"/>
          <w:lang w:val="fr-CA"/>
        </w:rPr>
        <w:t>’</w:t>
      </w:r>
      <w:r w:rsidRPr="005E7DB2">
        <w:rPr>
          <w:rStyle w:val="preferred"/>
          <w:lang w:val="fr-CA"/>
        </w:rPr>
        <w:t>alimentation et l</w:t>
      </w:r>
      <w:r w:rsidR="001C0A75">
        <w:rPr>
          <w:rStyle w:val="preferred"/>
          <w:lang w:val="fr-CA"/>
        </w:rPr>
        <w:t>’</w:t>
      </w:r>
      <w:r w:rsidRPr="005E7DB2">
        <w:rPr>
          <w:rStyle w:val="preferred"/>
          <w:lang w:val="fr-CA"/>
        </w:rPr>
        <w:t>agriculture (FAO), et la Banque mondiale.</w:t>
      </w:r>
      <w:r w:rsidRPr="005E7DB2">
        <w:rPr>
          <w:rStyle w:val="FootnoteReference"/>
          <w:lang w:val="fr-CA"/>
        </w:rPr>
        <w:footnoteReference w:id="23"/>
      </w:r>
    </w:p>
    <w:p w:rsidR="00BA4B3F" w:rsidRPr="005E7DB2" w:rsidRDefault="00644A22">
      <w:pPr>
        <w:pStyle w:val="Heading4"/>
        <w:suppressLineNumbers/>
        <w:suppressAutoHyphens/>
        <w:rPr>
          <w:rFonts w:ascii="Times New Roman" w:hAnsi="Times New Roman" w:cs="Times New Roman"/>
          <w:i w:val="0"/>
          <w:kern w:val="22"/>
          <w:lang w:val="fr-CA"/>
        </w:rPr>
      </w:pPr>
      <w:r w:rsidRPr="005E7DB2">
        <w:rPr>
          <w:rFonts w:ascii="Times New Roman" w:hAnsi="Times New Roman" w:cs="Times New Roman"/>
          <w:i w:val="0"/>
          <w:lang w:val="fr-CA"/>
        </w:rPr>
        <w:t xml:space="preserve">But 6 : </w:t>
      </w:r>
      <w:r w:rsidRPr="005E7DB2">
        <w:rPr>
          <w:bCs w:val="0"/>
          <w:i w:val="0"/>
          <w:iCs/>
          <w:noProof/>
          <w:lang w:val="fr-CA" w:eastAsia="zh-CN"/>
        </w:rPr>
        <w:t>Renforcer les capacités en matière de mobilisation et d</w:t>
      </w:r>
      <w:r w:rsidR="001C0A75">
        <w:rPr>
          <w:bCs w:val="0"/>
          <w:i w:val="0"/>
          <w:iCs/>
          <w:noProof/>
          <w:lang w:val="fr-CA" w:eastAsia="zh-CN"/>
        </w:rPr>
        <w:t>’</w:t>
      </w:r>
      <w:r w:rsidRPr="005E7DB2">
        <w:rPr>
          <w:bCs w:val="0"/>
          <w:i w:val="0"/>
          <w:iCs/>
          <w:noProof/>
          <w:lang w:val="fr-CA" w:eastAsia="zh-CN"/>
        </w:rPr>
        <w:t>utilisation des ressources et promouvoir la coopération Sud</w:t>
      </w:r>
      <w:r w:rsidR="001C0A75">
        <w:rPr>
          <w:bCs w:val="0"/>
          <w:i w:val="0"/>
          <w:iCs/>
          <w:noProof/>
          <w:lang w:val="fr-CA" w:eastAsia="zh-CN"/>
        </w:rPr>
        <w:noBreakHyphen/>
      </w:r>
      <w:r w:rsidRPr="005E7DB2">
        <w:rPr>
          <w:bCs w:val="0"/>
          <w:i w:val="0"/>
          <w:iCs/>
          <w:noProof/>
          <w:lang w:val="fr-CA" w:eastAsia="zh-CN"/>
        </w:rPr>
        <w:t>Sud en complément de la nécessaire coopération Nord</w:t>
      </w:r>
      <w:r w:rsidR="001C0A75">
        <w:rPr>
          <w:bCs w:val="0"/>
          <w:i w:val="0"/>
          <w:iCs/>
          <w:noProof/>
          <w:lang w:val="fr-CA" w:eastAsia="zh-CN"/>
        </w:rPr>
        <w:noBreakHyphen/>
      </w:r>
      <w:r w:rsidRPr="005E7DB2">
        <w:rPr>
          <w:bCs w:val="0"/>
          <w:i w:val="0"/>
          <w:iCs/>
          <w:noProof/>
          <w:lang w:val="fr-CA" w:eastAsia="zh-CN"/>
        </w:rPr>
        <w:t>Sud</w:t>
      </w:r>
    </w:p>
    <w:p w:rsidR="00456870" w:rsidRPr="005E7DB2" w:rsidRDefault="00456870" w:rsidP="00456870">
      <w:pPr>
        <w:pStyle w:val="Para1"/>
        <w:suppressLineNumbers/>
        <w:tabs>
          <w:tab w:val="clear" w:pos="360"/>
        </w:tabs>
        <w:suppressAutoHyphens/>
        <w:rPr>
          <w:lang w:val="fr-CA"/>
        </w:rPr>
      </w:pPr>
      <w:r w:rsidRPr="005E7DB2">
        <w:rPr>
          <w:lang w:val="fr-CA"/>
        </w:rPr>
        <w:t xml:space="preserve">En ce qui concerne les flux </w:t>
      </w:r>
      <w:r w:rsidRPr="005E7DB2">
        <w:rPr>
          <w:noProof/>
          <w:lang w:val="fr-CA"/>
        </w:rPr>
        <w:t>financiers Sud</w:t>
      </w:r>
      <w:r w:rsidR="001C0A75">
        <w:rPr>
          <w:noProof/>
          <w:lang w:val="fr-CA"/>
        </w:rPr>
        <w:noBreakHyphen/>
      </w:r>
      <w:r w:rsidRPr="005E7DB2">
        <w:rPr>
          <w:noProof/>
          <w:lang w:val="fr-CA"/>
        </w:rPr>
        <w:t>Sud en faveur de la biodiversité, un certain nombre de pays non</w:t>
      </w:r>
      <w:r w:rsidR="001C0A75">
        <w:rPr>
          <w:noProof/>
          <w:lang w:val="fr-CA"/>
        </w:rPr>
        <w:noBreakHyphen/>
      </w:r>
      <w:r w:rsidRPr="005E7DB2">
        <w:rPr>
          <w:noProof/>
          <w:lang w:val="fr-CA"/>
        </w:rPr>
        <w:t xml:space="preserve">membres du </w:t>
      </w:r>
      <w:r w:rsidRPr="005E7DB2">
        <w:rPr>
          <w:noProof/>
          <w:kern w:val="22"/>
          <w:szCs w:val="22"/>
          <w:lang w:val="fr-CA"/>
        </w:rPr>
        <w:t>Comité d</w:t>
      </w:r>
      <w:r w:rsidR="001C0A75">
        <w:rPr>
          <w:noProof/>
          <w:kern w:val="22"/>
          <w:szCs w:val="22"/>
          <w:lang w:val="fr-CA"/>
        </w:rPr>
        <w:t>’</w:t>
      </w:r>
      <w:r w:rsidRPr="005E7DB2">
        <w:rPr>
          <w:noProof/>
          <w:kern w:val="22"/>
          <w:szCs w:val="22"/>
          <w:lang w:val="fr-CA"/>
        </w:rPr>
        <w:t>aide au développement</w:t>
      </w:r>
      <w:r w:rsidRPr="005E7DB2">
        <w:rPr>
          <w:kern w:val="22"/>
          <w:szCs w:val="22"/>
          <w:lang w:val="fr-CA"/>
        </w:rPr>
        <w:t xml:space="preserve"> (CAD) ont fait des déclarations par rapport à leurs flux pertinents dans le cadre de présentation des rapports financiers, y compris la Chine, l</w:t>
      </w:r>
      <w:r w:rsidR="001C0A75">
        <w:rPr>
          <w:kern w:val="22"/>
          <w:szCs w:val="22"/>
          <w:lang w:val="fr-CA"/>
        </w:rPr>
        <w:t>’</w:t>
      </w:r>
      <w:r w:rsidRPr="005E7DB2">
        <w:rPr>
          <w:kern w:val="22"/>
          <w:szCs w:val="22"/>
          <w:lang w:val="fr-CA"/>
        </w:rPr>
        <w:t>Inde et le Mexique, bien que ces deux derniers pays ne l</w:t>
      </w:r>
      <w:r w:rsidR="001C0A75">
        <w:rPr>
          <w:kern w:val="22"/>
          <w:szCs w:val="22"/>
          <w:lang w:val="fr-CA"/>
        </w:rPr>
        <w:t>’</w:t>
      </w:r>
      <w:r w:rsidRPr="005E7DB2">
        <w:rPr>
          <w:kern w:val="22"/>
          <w:szCs w:val="22"/>
          <w:lang w:val="fr-CA"/>
        </w:rPr>
        <w:t>aient fait que qualitativement, citant leurs programmes de coopération au développement et soulignant les contraintes méthodologiques dans l</w:t>
      </w:r>
      <w:r w:rsidR="001C0A75">
        <w:rPr>
          <w:kern w:val="22"/>
          <w:szCs w:val="22"/>
          <w:lang w:val="fr-CA"/>
        </w:rPr>
        <w:t>’</w:t>
      </w:r>
      <w:r w:rsidRPr="005E7DB2">
        <w:rPr>
          <w:kern w:val="22"/>
          <w:szCs w:val="22"/>
          <w:lang w:val="fr-CA"/>
        </w:rPr>
        <w:t>identification des flux relatifs à la biodiversité.</w:t>
      </w:r>
    </w:p>
    <w:p w:rsidR="00A00AE1" w:rsidRPr="005E7DB2" w:rsidRDefault="00456870" w:rsidP="00456870">
      <w:pPr>
        <w:pStyle w:val="Para1"/>
        <w:suppressLineNumbers/>
        <w:tabs>
          <w:tab w:val="clear" w:pos="360"/>
        </w:tabs>
        <w:suppressAutoHyphens/>
        <w:rPr>
          <w:kern w:val="22"/>
          <w:lang w:val="fr-CA"/>
        </w:rPr>
      </w:pPr>
      <w:r w:rsidRPr="005E7DB2">
        <w:rPr>
          <w:kern w:val="22"/>
          <w:szCs w:val="22"/>
          <w:lang w:val="fr-CA"/>
        </w:rPr>
        <w:t>La Chine compte parmi les Parties faisant état de données de 2015 qui ont au moins doublé leurs flux financiers internationaux, conformément à l</w:t>
      </w:r>
      <w:r w:rsidR="001C0A75">
        <w:rPr>
          <w:kern w:val="22"/>
          <w:szCs w:val="22"/>
          <w:lang w:val="fr-CA"/>
        </w:rPr>
        <w:t>’</w:t>
      </w:r>
      <w:r w:rsidRPr="005E7DB2">
        <w:rPr>
          <w:kern w:val="22"/>
          <w:szCs w:val="22"/>
          <w:lang w:val="fr-CA"/>
        </w:rPr>
        <w:t>objectif 1 a). La Chine a également indiqué qu</w:t>
      </w:r>
      <w:r w:rsidR="001C0A75">
        <w:rPr>
          <w:kern w:val="22"/>
          <w:szCs w:val="22"/>
          <w:lang w:val="fr-CA"/>
        </w:rPr>
        <w:t>’</w:t>
      </w:r>
      <w:r w:rsidRPr="005E7DB2">
        <w:rPr>
          <w:kern w:val="22"/>
          <w:szCs w:val="22"/>
          <w:lang w:val="fr-CA"/>
        </w:rPr>
        <w:t>elle emploie une série de normes et de directives volontaires pour les opérations et investissements internationaux des compagnies et entreprises chinoises, en vue de favoriser le respect de leurs responsabilités environnementales, y compris la conservation de la biodiversité</w:t>
      </w:r>
      <w:r w:rsidR="00BA4B3F" w:rsidRPr="005E7DB2">
        <w:rPr>
          <w:kern w:val="22"/>
          <w:szCs w:val="22"/>
          <w:lang w:val="fr-CA"/>
        </w:rPr>
        <w:t>.</w:t>
      </w:r>
    </w:p>
    <w:p w:rsidR="009D2041" w:rsidRPr="005E7DB2" w:rsidRDefault="00456870">
      <w:pPr>
        <w:pStyle w:val="Para1"/>
        <w:suppressLineNumbers/>
        <w:tabs>
          <w:tab w:val="clear" w:pos="360"/>
        </w:tabs>
        <w:suppressAutoHyphens/>
        <w:rPr>
          <w:kern w:val="22"/>
          <w:lang w:val="fr-CA"/>
        </w:rPr>
      </w:pPr>
      <w:r w:rsidRPr="005E7DB2">
        <w:rPr>
          <w:lang w:val="fr-CA"/>
        </w:rPr>
        <w:t>Bien que d</w:t>
      </w:r>
      <w:r w:rsidR="001C0A75">
        <w:rPr>
          <w:lang w:val="fr-CA"/>
        </w:rPr>
        <w:t>’</w:t>
      </w:r>
      <w:r w:rsidRPr="005E7DB2">
        <w:rPr>
          <w:lang w:val="fr-CA"/>
        </w:rPr>
        <w:t>excellents programmes et pratiques aient été élaborés, les mesures dans ce domaine ne sont pas encore prises à grande échelle, et la mobilisation des ressources nationales très souvent ne reflète pas l</w:t>
      </w:r>
      <w:r w:rsidR="001C0A75">
        <w:rPr>
          <w:lang w:val="fr-CA"/>
        </w:rPr>
        <w:t>’</w:t>
      </w:r>
      <w:r w:rsidRPr="005E7DB2">
        <w:rPr>
          <w:lang w:val="fr-CA"/>
        </w:rPr>
        <w:t>importance économique et sociale de l</w:t>
      </w:r>
      <w:r w:rsidR="001C0A75">
        <w:rPr>
          <w:lang w:val="fr-CA"/>
        </w:rPr>
        <w:t>’</w:t>
      </w:r>
      <w:r w:rsidRPr="005E7DB2">
        <w:rPr>
          <w:lang w:val="fr-CA"/>
        </w:rPr>
        <w:t>investissement dans la biodiversité et dans la nature. Par exemple, l</w:t>
      </w:r>
      <w:r w:rsidR="001C0A75">
        <w:rPr>
          <w:lang w:val="fr-CA"/>
        </w:rPr>
        <w:t>’</w:t>
      </w:r>
      <w:r w:rsidRPr="005E7DB2">
        <w:rPr>
          <w:lang w:val="fr-CA"/>
        </w:rPr>
        <w:t xml:space="preserve">Union africaine et le </w:t>
      </w:r>
      <w:r w:rsidRPr="005E7DB2">
        <w:rPr>
          <w:rStyle w:val="preferred"/>
          <w:lang w:val="fr-CA"/>
        </w:rPr>
        <w:t>Nouveau partenariat pour le développement de l</w:t>
      </w:r>
      <w:r w:rsidR="001C0A75">
        <w:rPr>
          <w:rStyle w:val="preferred"/>
          <w:lang w:val="fr-CA"/>
        </w:rPr>
        <w:t>’</w:t>
      </w:r>
      <w:r w:rsidRPr="005E7DB2">
        <w:rPr>
          <w:rStyle w:val="preferred"/>
          <w:lang w:val="fr-CA"/>
        </w:rPr>
        <w:t>Afrique (NEPAD) ont beaucoup investi dans cette question au niveau africain,</w:t>
      </w:r>
      <w:r w:rsidRPr="005E7DB2">
        <w:rPr>
          <w:lang w:val="fr-CA"/>
        </w:rPr>
        <w:t xml:space="preserve"> et souligné l</w:t>
      </w:r>
      <w:r w:rsidR="001C0A75">
        <w:rPr>
          <w:lang w:val="fr-CA"/>
        </w:rPr>
        <w:t>’</w:t>
      </w:r>
      <w:r w:rsidRPr="005E7DB2">
        <w:rPr>
          <w:lang w:val="fr-CA"/>
        </w:rPr>
        <w:t>importance de poursuivre cette coopération, afin de promouvoir une meilleure synergie entre les mesures de conservation dans toute l</w:t>
      </w:r>
      <w:r w:rsidR="001C0A75">
        <w:rPr>
          <w:lang w:val="fr-CA"/>
        </w:rPr>
        <w:t>’</w:t>
      </w:r>
      <w:r w:rsidRPr="005E7DB2">
        <w:rPr>
          <w:lang w:val="fr-CA"/>
        </w:rPr>
        <w:t>Afrique. Cependant, des Parties comme l</w:t>
      </w:r>
      <w:r w:rsidR="001C0A75">
        <w:rPr>
          <w:lang w:val="fr-CA"/>
        </w:rPr>
        <w:t>’</w:t>
      </w:r>
      <w:r w:rsidRPr="005E7DB2">
        <w:rPr>
          <w:lang w:val="fr-CA"/>
        </w:rPr>
        <w:t>Union européenne estiment que la mise en œuvre d</w:t>
      </w:r>
      <w:r w:rsidR="001C0A75">
        <w:rPr>
          <w:lang w:val="fr-CA"/>
        </w:rPr>
        <w:t>’</w:t>
      </w:r>
      <w:r w:rsidRPr="005E7DB2">
        <w:rPr>
          <w:lang w:val="fr-CA"/>
        </w:rPr>
        <w:t>accords multilatéraux sur l</w:t>
      </w:r>
      <w:r w:rsidR="001C0A75">
        <w:rPr>
          <w:lang w:val="fr-CA"/>
        </w:rPr>
        <w:t>’</w:t>
      </w:r>
      <w:r w:rsidRPr="005E7DB2">
        <w:rPr>
          <w:lang w:val="fr-CA"/>
        </w:rPr>
        <w:t>environnement demeure insuffisante malgré d</w:t>
      </w:r>
      <w:r w:rsidR="001C0A75">
        <w:rPr>
          <w:lang w:val="fr-CA"/>
        </w:rPr>
        <w:t>’</w:t>
      </w:r>
      <w:r w:rsidRPr="005E7DB2">
        <w:rPr>
          <w:lang w:val="fr-CA"/>
        </w:rPr>
        <w:t>importants programmes de coopération et de mesures de renforcement des capacités dans cette région</w:t>
      </w:r>
      <w:r w:rsidR="009D2041" w:rsidRPr="005E7DB2">
        <w:rPr>
          <w:kern w:val="22"/>
          <w:lang w:val="fr-CA"/>
        </w:rPr>
        <w:t>.</w:t>
      </w:r>
    </w:p>
    <w:p w:rsidR="009D2041" w:rsidRPr="005E7DB2" w:rsidRDefault="00A45496">
      <w:pPr>
        <w:pStyle w:val="Para1"/>
        <w:suppressLineNumbers/>
        <w:tabs>
          <w:tab w:val="clear" w:pos="360"/>
        </w:tabs>
        <w:suppressAutoHyphens/>
        <w:rPr>
          <w:kern w:val="22"/>
          <w:szCs w:val="22"/>
          <w:lang w:val="fr-CA"/>
        </w:rPr>
      </w:pPr>
      <w:r w:rsidRPr="005E7DB2">
        <w:rPr>
          <w:szCs w:val="22"/>
          <w:lang w:val="fr-CA"/>
        </w:rPr>
        <w:t>S</w:t>
      </w:r>
      <w:r w:rsidR="001C0A75">
        <w:rPr>
          <w:szCs w:val="22"/>
          <w:lang w:val="fr-CA"/>
        </w:rPr>
        <w:t>’</w:t>
      </w:r>
      <w:r w:rsidRPr="005E7DB2">
        <w:rPr>
          <w:szCs w:val="22"/>
          <w:lang w:val="fr-CA"/>
        </w:rPr>
        <w:t xml:space="preserve">agissant de nouvelles mesures qui pourraient être prises relativement au but 6, il pourrait y avoir des opportunités considérables permettant à la </w:t>
      </w:r>
      <w:r w:rsidRPr="005E7DB2">
        <w:rPr>
          <w:noProof/>
          <w:szCs w:val="22"/>
          <w:lang w:val="fr-CA"/>
        </w:rPr>
        <w:t>coopération Sud</w:t>
      </w:r>
      <w:r w:rsidR="001C0A75">
        <w:rPr>
          <w:noProof/>
          <w:szCs w:val="22"/>
          <w:lang w:val="fr-CA"/>
        </w:rPr>
        <w:noBreakHyphen/>
      </w:r>
      <w:r w:rsidRPr="005E7DB2">
        <w:rPr>
          <w:noProof/>
          <w:szCs w:val="22"/>
          <w:lang w:val="fr-CA"/>
        </w:rPr>
        <w:t>Sud de compléter la coopération Nord</w:t>
      </w:r>
      <w:r w:rsidR="001C0A75">
        <w:rPr>
          <w:noProof/>
          <w:szCs w:val="22"/>
          <w:lang w:val="fr-CA"/>
        </w:rPr>
        <w:noBreakHyphen/>
      </w:r>
      <w:r w:rsidRPr="005E7DB2">
        <w:rPr>
          <w:noProof/>
          <w:szCs w:val="22"/>
          <w:lang w:val="fr-CA"/>
        </w:rPr>
        <w:t>Sud : faire avancer les mesures au niveau national sur des questions telles que la comptabilisation du</w:t>
      </w:r>
      <w:r w:rsidRPr="005E7DB2">
        <w:rPr>
          <w:szCs w:val="22"/>
          <w:lang w:val="fr-CA"/>
        </w:rPr>
        <w:t xml:space="preserve"> capital naturel, ses méthodes et son intégration; élaborer des scénarios de biodiversité nationaux et leurs aspects économiques et financiers; optimiser l</w:t>
      </w:r>
      <w:r w:rsidR="001C0A75">
        <w:rPr>
          <w:szCs w:val="22"/>
          <w:lang w:val="fr-CA"/>
        </w:rPr>
        <w:t>’</w:t>
      </w:r>
      <w:r w:rsidRPr="005E7DB2">
        <w:rPr>
          <w:szCs w:val="22"/>
          <w:lang w:val="fr-CA"/>
        </w:rPr>
        <w:t>utilisation du financement du développement et son effet d</w:t>
      </w:r>
      <w:r w:rsidR="001C0A75">
        <w:rPr>
          <w:szCs w:val="22"/>
          <w:lang w:val="fr-CA"/>
        </w:rPr>
        <w:t>’</w:t>
      </w:r>
      <w:r w:rsidRPr="005E7DB2">
        <w:rPr>
          <w:szCs w:val="22"/>
          <w:lang w:val="fr-CA"/>
        </w:rPr>
        <w:t>entraînement; et faire appliquer les réglementations nationales et prendre des mesures d</w:t>
      </w:r>
      <w:r w:rsidR="001C0A75">
        <w:rPr>
          <w:szCs w:val="22"/>
          <w:lang w:val="fr-CA"/>
        </w:rPr>
        <w:t>’</w:t>
      </w:r>
      <w:r w:rsidRPr="005E7DB2">
        <w:rPr>
          <w:szCs w:val="22"/>
          <w:lang w:val="fr-CA"/>
        </w:rPr>
        <w:t>application pour améliorer l</w:t>
      </w:r>
      <w:r w:rsidR="001C0A75">
        <w:rPr>
          <w:szCs w:val="22"/>
          <w:lang w:val="fr-CA"/>
        </w:rPr>
        <w:t>’</w:t>
      </w:r>
      <w:r w:rsidRPr="005E7DB2">
        <w:rPr>
          <w:szCs w:val="22"/>
          <w:lang w:val="fr-CA"/>
        </w:rPr>
        <w:t>intégration par le secteur économique des efforts liés à la biodiversité en tant que voie clé pour réduire les pressions sur la biodiversité et par conséquent les coûts de protection et de restauration</w:t>
      </w:r>
      <w:r w:rsidR="009D2041" w:rsidRPr="005E7DB2">
        <w:rPr>
          <w:kern w:val="22"/>
          <w:szCs w:val="22"/>
          <w:lang w:val="fr-CA"/>
        </w:rPr>
        <w:t>.</w:t>
      </w:r>
    </w:p>
    <w:p w:rsidR="0056566D" w:rsidRPr="005E7DB2" w:rsidRDefault="00CB0A0E">
      <w:pPr>
        <w:pStyle w:val="Heading4"/>
        <w:suppressLineNumbers/>
        <w:suppressAutoHyphens/>
        <w:rPr>
          <w:i w:val="0"/>
          <w:kern w:val="22"/>
          <w:lang w:val="fr-CA"/>
        </w:rPr>
      </w:pPr>
      <w:r w:rsidRPr="005E7DB2">
        <w:rPr>
          <w:i w:val="0"/>
          <w:lang w:val="fr-CA"/>
        </w:rPr>
        <w:t xml:space="preserve">But 7 : </w:t>
      </w:r>
      <w:r w:rsidRPr="005E7DB2">
        <w:rPr>
          <w:bCs w:val="0"/>
          <w:i w:val="0"/>
          <w:iCs/>
          <w:noProof/>
          <w:lang w:val="fr-CA" w:eastAsia="zh-CN"/>
        </w:rPr>
        <w:t>Accroître la mise en œuvre d</w:t>
      </w:r>
      <w:r w:rsidR="001C0A75">
        <w:rPr>
          <w:bCs w:val="0"/>
          <w:i w:val="0"/>
          <w:iCs/>
          <w:noProof/>
          <w:lang w:val="fr-CA" w:eastAsia="zh-CN"/>
        </w:rPr>
        <w:t>’</w:t>
      </w:r>
      <w:r w:rsidRPr="005E7DB2">
        <w:rPr>
          <w:bCs w:val="0"/>
          <w:i w:val="0"/>
          <w:iCs/>
          <w:noProof/>
          <w:lang w:val="fr-CA" w:eastAsia="zh-CN"/>
        </w:rPr>
        <w:t>initiatives d</w:t>
      </w:r>
      <w:r w:rsidR="001C0A75">
        <w:rPr>
          <w:bCs w:val="0"/>
          <w:i w:val="0"/>
          <w:iCs/>
          <w:noProof/>
          <w:lang w:val="fr-CA" w:eastAsia="zh-CN"/>
        </w:rPr>
        <w:t>’</w:t>
      </w:r>
      <w:r w:rsidRPr="005E7DB2">
        <w:rPr>
          <w:bCs w:val="0"/>
          <w:i w:val="0"/>
          <w:iCs/>
          <w:noProof/>
          <w:lang w:val="fr-CA" w:eastAsia="zh-CN"/>
        </w:rPr>
        <w:t>accès et de partage des avantages (APA) et de mécanismes à l</w:t>
      </w:r>
      <w:r w:rsidR="001C0A75">
        <w:rPr>
          <w:bCs w:val="0"/>
          <w:i w:val="0"/>
          <w:iCs/>
          <w:noProof/>
          <w:lang w:val="fr-CA" w:eastAsia="zh-CN"/>
        </w:rPr>
        <w:t>’</w:t>
      </w:r>
      <w:r w:rsidRPr="005E7DB2">
        <w:rPr>
          <w:bCs w:val="0"/>
          <w:i w:val="0"/>
          <w:iCs/>
          <w:noProof/>
          <w:lang w:val="fr-CA" w:eastAsia="zh-CN"/>
        </w:rPr>
        <w:t>appui de la mobilisation des ressources</w:t>
      </w:r>
    </w:p>
    <w:p w:rsidR="00CB0A0E" w:rsidRPr="005E7DB2" w:rsidRDefault="00CB0A0E" w:rsidP="00CB0A0E">
      <w:pPr>
        <w:pStyle w:val="Para1"/>
        <w:suppressLineNumbers/>
        <w:tabs>
          <w:tab w:val="clear" w:pos="360"/>
        </w:tabs>
        <w:suppressAutoHyphens/>
        <w:rPr>
          <w:lang w:val="fr-CA"/>
        </w:rPr>
      </w:pPr>
      <w:r w:rsidRPr="005E7DB2">
        <w:rPr>
          <w:szCs w:val="22"/>
          <w:lang w:val="fr-CA"/>
        </w:rPr>
        <w:t>Le Bénin est d</w:t>
      </w:r>
      <w:r w:rsidR="001C0A75">
        <w:rPr>
          <w:szCs w:val="22"/>
          <w:lang w:val="fr-CA"/>
        </w:rPr>
        <w:t>’</w:t>
      </w:r>
      <w:r w:rsidRPr="005E7DB2">
        <w:rPr>
          <w:szCs w:val="22"/>
          <w:lang w:val="fr-CA"/>
        </w:rPr>
        <w:t>avis que bien qu</w:t>
      </w:r>
      <w:r w:rsidR="001C0A75">
        <w:rPr>
          <w:szCs w:val="22"/>
          <w:lang w:val="fr-CA"/>
        </w:rPr>
        <w:t>’</w:t>
      </w:r>
      <w:r w:rsidRPr="005E7DB2">
        <w:rPr>
          <w:szCs w:val="22"/>
          <w:lang w:val="fr-CA"/>
        </w:rPr>
        <w:t>il s</w:t>
      </w:r>
      <w:r w:rsidR="001C0A75">
        <w:rPr>
          <w:szCs w:val="22"/>
          <w:lang w:val="fr-CA"/>
        </w:rPr>
        <w:t>’</w:t>
      </w:r>
      <w:r w:rsidRPr="005E7DB2">
        <w:rPr>
          <w:szCs w:val="22"/>
          <w:lang w:val="fr-CA"/>
        </w:rPr>
        <w:t>agisse d</w:t>
      </w:r>
      <w:r w:rsidR="001C0A75">
        <w:rPr>
          <w:szCs w:val="22"/>
          <w:lang w:val="fr-CA"/>
        </w:rPr>
        <w:t>’</w:t>
      </w:r>
      <w:r w:rsidRPr="005E7DB2">
        <w:rPr>
          <w:szCs w:val="22"/>
          <w:lang w:val="fr-CA"/>
        </w:rPr>
        <w:t>une question pertinente, elle doit être précisée afin que les incidences opérationnelles de l</w:t>
      </w:r>
      <w:r w:rsidR="001C0A75">
        <w:rPr>
          <w:szCs w:val="22"/>
          <w:lang w:val="fr-CA"/>
        </w:rPr>
        <w:t>’</w:t>
      </w:r>
      <w:r w:rsidRPr="005E7DB2">
        <w:rPr>
          <w:szCs w:val="22"/>
          <w:lang w:val="fr-CA"/>
        </w:rPr>
        <w:t xml:space="preserve">objectif puissent être mieux comprises et mesurées. La Norvège décrit la </w:t>
      </w:r>
      <w:r w:rsidRPr="005E7DB2">
        <w:rPr>
          <w:szCs w:val="22"/>
          <w:lang w:val="fr-CA"/>
        </w:rPr>
        <w:lastRenderedPageBreak/>
        <w:t>priorité élevée qu</w:t>
      </w:r>
      <w:r w:rsidR="001C0A75">
        <w:rPr>
          <w:szCs w:val="22"/>
          <w:lang w:val="fr-CA"/>
        </w:rPr>
        <w:t>’</w:t>
      </w:r>
      <w:r w:rsidRPr="005E7DB2">
        <w:rPr>
          <w:szCs w:val="22"/>
          <w:lang w:val="fr-CA"/>
        </w:rPr>
        <w:t>elle accorde à la mise en œuvre des initiatives d</w:t>
      </w:r>
      <w:r w:rsidR="001C0A75">
        <w:rPr>
          <w:szCs w:val="22"/>
          <w:lang w:val="fr-CA"/>
        </w:rPr>
        <w:t>’</w:t>
      </w:r>
      <w:r w:rsidRPr="005E7DB2">
        <w:rPr>
          <w:szCs w:val="22"/>
          <w:lang w:val="fr-CA"/>
        </w:rPr>
        <w:t>accès et de partage des avantages, y compris l</w:t>
      </w:r>
      <w:r w:rsidR="001C0A75">
        <w:rPr>
          <w:szCs w:val="22"/>
          <w:lang w:val="fr-CA"/>
        </w:rPr>
        <w:t>’</w:t>
      </w:r>
      <w:r w:rsidRPr="005E7DB2">
        <w:rPr>
          <w:szCs w:val="22"/>
          <w:lang w:val="fr-CA"/>
        </w:rPr>
        <w:t>Initiative APA pour l</w:t>
      </w:r>
      <w:r w:rsidR="001C0A75">
        <w:rPr>
          <w:szCs w:val="22"/>
          <w:lang w:val="fr-CA"/>
        </w:rPr>
        <w:t>’</w:t>
      </w:r>
      <w:r w:rsidRPr="005E7DB2">
        <w:rPr>
          <w:szCs w:val="22"/>
          <w:lang w:val="fr-CA"/>
        </w:rPr>
        <w:t xml:space="preserve">Afrique, mise en œuvre par la </w:t>
      </w:r>
      <w:r w:rsidRPr="005E7DB2">
        <w:rPr>
          <w:i/>
          <w:noProof/>
          <w:color w:val="000000"/>
          <w:szCs w:val="22"/>
          <w:lang w:val="fr-CA"/>
        </w:rPr>
        <w:t>Deutsche Gesellschaft für Internationale Zusammenarbeit</w:t>
      </w:r>
      <w:r w:rsidRPr="005E7DB2">
        <w:rPr>
          <w:i/>
          <w:color w:val="000000"/>
          <w:szCs w:val="22"/>
          <w:lang w:val="fr-CA"/>
        </w:rPr>
        <w:t xml:space="preserve"> </w:t>
      </w:r>
      <w:r w:rsidRPr="005E7DB2">
        <w:rPr>
          <w:color w:val="000000"/>
          <w:szCs w:val="22"/>
          <w:lang w:val="fr-CA"/>
        </w:rPr>
        <w:t>(</w:t>
      </w:r>
      <w:r w:rsidRPr="005E7DB2">
        <w:rPr>
          <w:lang w:val="fr-CA"/>
        </w:rPr>
        <w:t>GIZ)</w:t>
      </w:r>
      <w:r w:rsidRPr="005E7DB2">
        <w:rPr>
          <w:szCs w:val="22"/>
          <w:lang w:val="fr-CA"/>
        </w:rPr>
        <w:t>. Cependant, le mécanisme de financement pour la biodiversité découlant de l</w:t>
      </w:r>
      <w:r w:rsidR="001C0A75">
        <w:rPr>
          <w:szCs w:val="22"/>
          <w:lang w:val="fr-CA"/>
        </w:rPr>
        <w:t>’</w:t>
      </w:r>
      <w:r w:rsidRPr="005E7DB2">
        <w:rPr>
          <w:szCs w:val="22"/>
          <w:lang w:val="fr-CA"/>
        </w:rPr>
        <w:t>accès et du partage des avantages tel qu</w:t>
      </w:r>
      <w:r w:rsidR="001C0A75">
        <w:rPr>
          <w:szCs w:val="22"/>
          <w:lang w:val="fr-CA"/>
        </w:rPr>
        <w:t>’</w:t>
      </w:r>
      <w:r w:rsidRPr="005E7DB2">
        <w:rPr>
          <w:szCs w:val="22"/>
          <w:lang w:val="fr-CA"/>
        </w:rPr>
        <w:t>envisagé en 1992 ne s</w:t>
      </w:r>
      <w:r w:rsidR="001C0A75">
        <w:rPr>
          <w:szCs w:val="22"/>
          <w:lang w:val="fr-CA"/>
        </w:rPr>
        <w:t>’</w:t>
      </w:r>
      <w:r w:rsidRPr="005E7DB2">
        <w:rPr>
          <w:szCs w:val="22"/>
          <w:lang w:val="fr-CA"/>
        </w:rPr>
        <w:t>est pas encore matérialisé.</w:t>
      </w:r>
    </w:p>
    <w:p w:rsidR="00CB0A0E" w:rsidRPr="005E7DB2" w:rsidRDefault="00CB0A0E" w:rsidP="00CB0A0E">
      <w:pPr>
        <w:pStyle w:val="Para1"/>
        <w:suppressLineNumbers/>
        <w:tabs>
          <w:tab w:val="clear" w:pos="360"/>
        </w:tabs>
        <w:suppressAutoHyphens/>
        <w:rPr>
          <w:lang w:val="fr-CA"/>
        </w:rPr>
      </w:pPr>
      <w:r w:rsidRPr="005E7DB2">
        <w:rPr>
          <w:lang w:val="fr-CA"/>
        </w:rPr>
        <w:t>À l</w:t>
      </w:r>
      <w:r w:rsidR="001C0A75">
        <w:rPr>
          <w:lang w:val="fr-CA"/>
        </w:rPr>
        <w:t>’</w:t>
      </w:r>
      <w:r w:rsidRPr="005E7DB2">
        <w:rPr>
          <w:lang w:val="fr-CA"/>
        </w:rPr>
        <w:t>heure actuelle, aucune conclusion claire ne peut être tirée quant à savoir si, et dans quelle mesure, la mise en œuvre des accords sur l</w:t>
      </w:r>
      <w:r w:rsidR="001C0A75">
        <w:rPr>
          <w:lang w:val="fr-CA"/>
        </w:rPr>
        <w:t>’</w:t>
      </w:r>
      <w:r w:rsidRPr="005E7DB2">
        <w:rPr>
          <w:lang w:val="fr-CA"/>
        </w:rPr>
        <w:t>accès et le partage des avantages a contribué à mobiliser des ressources, car à ce jour, aucune évaluation n</w:t>
      </w:r>
      <w:r w:rsidR="001C0A75">
        <w:rPr>
          <w:lang w:val="fr-CA"/>
        </w:rPr>
        <w:t>’</w:t>
      </w:r>
      <w:r w:rsidRPr="005E7DB2">
        <w:rPr>
          <w:lang w:val="fr-CA"/>
        </w:rPr>
        <w:t>a été effectuée de la valeur des ressources mobilisées par le biais des initiatives et mécanismes d</w:t>
      </w:r>
      <w:r w:rsidR="001C0A75">
        <w:rPr>
          <w:lang w:val="fr-CA"/>
        </w:rPr>
        <w:t>’</w:t>
      </w:r>
      <w:r w:rsidRPr="005E7DB2">
        <w:rPr>
          <w:lang w:val="fr-CA"/>
        </w:rPr>
        <w:t>accès et de partage des avantages.</w:t>
      </w:r>
    </w:p>
    <w:p w:rsidR="00A640BE" w:rsidRPr="005E7DB2" w:rsidRDefault="00CB0A0E" w:rsidP="00CB0A0E">
      <w:pPr>
        <w:pStyle w:val="Para1"/>
        <w:suppressLineNumbers/>
        <w:tabs>
          <w:tab w:val="clear" w:pos="360"/>
        </w:tabs>
        <w:suppressAutoHyphens/>
        <w:rPr>
          <w:kern w:val="22"/>
          <w:lang w:val="fr-CA"/>
        </w:rPr>
      </w:pPr>
      <w:r w:rsidRPr="005E7DB2">
        <w:rPr>
          <w:szCs w:val="22"/>
          <w:lang w:val="fr-CA"/>
        </w:rPr>
        <w:t>S</w:t>
      </w:r>
      <w:r w:rsidR="001C0A75">
        <w:rPr>
          <w:szCs w:val="22"/>
          <w:lang w:val="fr-CA"/>
        </w:rPr>
        <w:t>’</w:t>
      </w:r>
      <w:r w:rsidRPr="005E7DB2">
        <w:rPr>
          <w:szCs w:val="22"/>
          <w:lang w:val="fr-CA"/>
        </w:rPr>
        <w:t>agissant de nouvelles mesures qui pourraient être prises relativement au but 7, une telle évaluation pourrait aider à identifier les pratiques d</w:t>
      </w:r>
      <w:r w:rsidR="001C0A75">
        <w:rPr>
          <w:szCs w:val="22"/>
          <w:lang w:val="fr-CA"/>
        </w:rPr>
        <w:t>’</w:t>
      </w:r>
      <w:r w:rsidRPr="005E7DB2">
        <w:rPr>
          <w:szCs w:val="22"/>
          <w:lang w:val="fr-CA"/>
        </w:rPr>
        <w:t>accès et de partage des avantages qui réussiraient le mieux à mobiliser des ressources à l</w:t>
      </w:r>
      <w:r w:rsidR="001C0A75">
        <w:rPr>
          <w:szCs w:val="22"/>
          <w:lang w:val="fr-CA"/>
        </w:rPr>
        <w:t>’</w:t>
      </w:r>
      <w:r w:rsidRPr="005E7DB2">
        <w:rPr>
          <w:szCs w:val="22"/>
          <w:lang w:val="fr-CA"/>
        </w:rPr>
        <w:t>avenir</w:t>
      </w:r>
      <w:r w:rsidR="00750820" w:rsidRPr="005E7DB2">
        <w:rPr>
          <w:kern w:val="22"/>
          <w:lang w:val="fr-CA"/>
        </w:rPr>
        <w:t>.</w:t>
      </w:r>
    </w:p>
    <w:p w:rsidR="00A640BE" w:rsidRPr="005E7DB2" w:rsidRDefault="00514391">
      <w:pPr>
        <w:pStyle w:val="Heading4"/>
        <w:suppressLineNumbers/>
        <w:suppressAutoHyphens/>
        <w:rPr>
          <w:i w:val="0"/>
          <w:kern w:val="22"/>
          <w:lang w:val="fr-CA"/>
        </w:rPr>
      </w:pPr>
      <w:r w:rsidRPr="005E7DB2">
        <w:rPr>
          <w:i w:val="0"/>
          <w:lang w:val="fr-CA"/>
        </w:rPr>
        <w:t xml:space="preserve">But 8 : </w:t>
      </w:r>
      <w:r w:rsidRPr="005E7DB2">
        <w:rPr>
          <w:bCs w:val="0"/>
          <w:i w:val="0"/>
          <w:iCs/>
          <w:noProof/>
          <w:lang w:val="fr-CA" w:eastAsia="zh-CN"/>
        </w:rPr>
        <w:t>Accroître l</w:t>
      </w:r>
      <w:r w:rsidR="001C0A75">
        <w:rPr>
          <w:bCs w:val="0"/>
          <w:i w:val="0"/>
          <w:iCs/>
          <w:noProof/>
          <w:lang w:val="fr-CA" w:eastAsia="zh-CN"/>
        </w:rPr>
        <w:t>’</w:t>
      </w:r>
      <w:r w:rsidRPr="005E7DB2">
        <w:rPr>
          <w:bCs w:val="0"/>
          <w:i w:val="0"/>
          <w:iCs/>
          <w:noProof/>
          <w:lang w:val="fr-CA" w:eastAsia="zh-CN"/>
        </w:rPr>
        <w:t>engagement mondial à la mobilisation de ressources à l</w:t>
      </w:r>
      <w:r w:rsidR="001C0A75">
        <w:rPr>
          <w:bCs w:val="0"/>
          <w:i w:val="0"/>
          <w:iCs/>
          <w:noProof/>
          <w:lang w:val="fr-CA" w:eastAsia="zh-CN"/>
        </w:rPr>
        <w:t>’</w:t>
      </w:r>
      <w:r w:rsidRPr="005E7DB2">
        <w:rPr>
          <w:bCs w:val="0"/>
          <w:i w:val="0"/>
          <w:iCs/>
          <w:noProof/>
          <w:lang w:val="fr-CA" w:eastAsia="zh-CN"/>
        </w:rPr>
        <w:t>appui de la réalisation des trois objectifs de la Convention</w:t>
      </w:r>
    </w:p>
    <w:p w:rsidR="00DD5B2F" w:rsidRPr="005E7DB2" w:rsidRDefault="00514391">
      <w:pPr>
        <w:pStyle w:val="Para1"/>
        <w:suppressLineNumbers/>
        <w:tabs>
          <w:tab w:val="clear" w:pos="360"/>
        </w:tabs>
        <w:suppressAutoHyphens/>
        <w:rPr>
          <w:kern w:val="22"/>
          <w:lang w:val="fr-CA"/>
        </w:rPr>
      </w:pPr>
      <w:r w:rsidRPr="005E7DB2">
        <w:rPr>
          <w:lang w:val="fr-CA"/>
        </w:rPr>
        <w:t>Depuis l</w:t>
      </w:r>
      <w:r w:rsidR="001C0A75">
        <w:rPr>
          <w:lang w:val="fr-CA"/>
        </w:rPr>
        <w:t>’</w:t>
      </w:r>
      <w:r w:rsidRPr="005E7DB2">
        <w:rPr>
          <w:lang w:val="fr-CA"/>
        </w:rPr>
        <w:t>adoption de la Stratégie pour la mobilisation des ressources en 2008, notre compréhension des relations mutuelles entre la biodiversité, les changements climatiques et d</w:t>
      </w:r>
      <w:r w:rsidR="001C0A75">
        <w:rPr>
          <w:lang w:val="fr-CA"/>
        </w:rPr>
        <w:t>’</w:t>
      </w:r>
      <w:r w:rsidRPr="005E7DB2">
        <w:rPr>
          <w:lang w:val="fr-CA"/>
        </w:rPr>
        <w:t>autres défis relatifs à la durabilité s</w:t>
      </w:r>
      <w:r w:rsidR="001C0A75">
        <w:rPr>
          <w:lang w:val="fr-CA"/>
        </w:rPr>
        <w:t>’</w:t>
      </w:r>
      <w:r w:rsidRPr="005E7DB2">
        <w:rPr>
          <w:lang w:val="fr-CA"/>
        </w:rPr>
        <w:t>est considérablement améliorée, à l</w:t>
      </w:r>
      <w:r w:rsidR="001C0A75">
        <w:rPr>
          <w:lang w:val="fr-CA"/>
        </w:rPr>
        <w:t>’</w:t>
      </w:r>
      <w:r w:rsidRPr="005E7DB2">
        <w:rPr>
          <w:lang w:val="fr-CA"/>
        </w:rPr>
        <w:t>instar de notre appréciation de l</w:t>
      </w:r>
      <w:r w:rsidR="001C0A75">
        <w:rPr>
          <w:lang w:val="fr-CA"/>
        </w:rPr>
        <w:t>’</w:t>
      </w:r>
      <w:r w:rsidRPr="005E7DB2">
        <w:rPr>
          <w:lang w:val="fr-CA"/>
        </w:rPr>
        <w:t>importance fondamentale de ces relations pour réaliser un développement durable. L</w:t>
      </w:r>
      <w:r w:rsidR="001C0A75">
        <w:rPr>
          <w:lang w:val="fr-CA"/>
        </w:rPr>
        <w:t>’</w:t>
      </w:r>
      <w:r w:rsidRPr="005E7DB2">
        <w:rPr>
          <w:lang w:val="fr-CA"/>
        </w:rPr>
        <w:t xml:space="preserve">Union européenne, par exemple, observe que la Stratégie pour la mobilisation des ressources pourrait avoir été plus explicite en ce qui concerne les possibilités de synergies avec le </w:t>
      </w:r>
      <w:r w:rsidRPr="005E7DB2">
        <w:rPr>
          <w:rStyle w:val="preferred"/>
          <w:lang w:val="fr-CA"/>
        </w:rPr>
        <w:t>Programme d</w:t>
      </w:r>
      <w:r w:rsidR="001C0A75">
        <w:rPr>
          <w:rStyle w:val="preferred"/>
          <w:lang w:val="fr-CA"/>
        </w:rPr>
        <w:t>’</w:t>
      </w:r>
      <w:r w:rsidRPr="005E7DB2">
        <w:rPr>
          <w:rStyle w:val="preferred"/>
          <w:lang w:val="fr-CA"/>
        </w:rPr>
        <w:t xml:space="preserve">action pour le climat, le </w:t>
      </w:r>
      <w:r w:rsidRPr="005E7DB2">
        <w:rPr>
          <w:rStyle w:val="admitted"/>
          <w:lang w:val="fr-CA"/>
        </w:rPr>
        <w:t>Programme de développement durable à l</w:t>
      </w:r>
      <w:r w:rsidR="001C0A75">
        <w:rPr>
          <w:rStyle w:val="admitted"/>
          <w:lang w:val="fr-CA"/>
        </w:rPr>
        <w:t>’</w:t>
      </w:r>
      <w:r w:rsidRPr="005E7DB2">
        <w:rPr>
          <w:rStyle w:val="admitted"/>
          <w:lang w:val="fr-CA"/>
        </w:rPr>
        <w:t>horizon 2030,</w:t>
      </w:r>
      <w:r w:rsidRPr="005E7DB2">
        <w:rPr>
          <w:rStyle w:val="FootnoteReference"/>
          <w:lang w:val="fr-CA"/>
        </w:rPr>
        <w:footnoteReference w:id="24"/>
      </w:r>
      <w:r w:rsidRPr="005E7DB2">
        <w:rPr>
          <w:lang w:val="fr-CA"/>
        </w:rPr>
        <w:t xml:space="preserve"> et les ressources pour soutenir des solutions fondées sur la nature et leur contribution à l</w:t>
      </w:r>
      <w:r w:rsidR="001C0A75">
        <w:rPr>
          <w:lang w:val="fr-CA"/>
        </w:rPr>
        <w:t>’</w:t>
      </w:r>
      <w:r w:rsidRPr="005E7DB2">
        <w:rPr>
          <w:lang w:val="fr-CA"/>
        </w:rPr>
        <w:t>adaptation aux changements climatiques et l</w:t>
      </w:r>
      <w:r w:rsidR="001C0A75">
        <w:rPr>
          <w:lang w:val="fr-CA"/>
        </w:rPr>
        <w:t>’</w:t>
      </w:r>
      <w:r w:rsidRPr="005E7DB2">
        <w:rPr>
          <w:lang w:val="fr-CA"/>
        </w:rPr>
        <w:t xml:space="preserve">atténuation de leurs effets au niveau mondial. Autant le </w:t>
      </w:r>
      <w:r w:rsidRPr="005E7DB2">
        <w:rPr>
          <w:rStyle w:val="preferred"/>
          <w:lang w:val="fr-CA"/>
        </w:rPr>
        <w:t>Groupe d</w:t>
      </w:r>
      <w:r w:rsidR="001C0A75">
        <w:rPr>
          <w:rStyle w:val="preferred"/>
          <w:lang w:val="fr-CA"/>
        </w:rPr>
        <w:t>’</w:t>
      </w:r>
      <w:r w:rsidRPr="005E7DB2">
        <w:rPr>
          <w:rStyle w:val="preferred"/>
          <w:lang w:val="fr-CA"/>
        </w:rPr>
        <w:t>experts intergouvernemental sur l</w:t>
      </w:r>
      <w:r w:rsidR="001C0A75">
        <w:rPr>
          <w:rStyle w:val="preferred"/>
          <w:lang w:val="fr-CA"/>
        </w:rPr>
        <w:t>’</w:t>
      </w:r>
      <w:r w:rsidRPr="005E7DB2">
        <w:rPr>
          <w:rStyle w:val="preferred"/>
          <w:lang w:val="fr-CA"/>
        </w:rPr>
        <w:t xml:space="preserve">évolution du climat (GIEC) que la Plateforme </w:t>
      </w:r>
      <w:r w:rsidRPr="005E7DB2">
        <w:rPr>
          <w:rStyle w:val="preferred"/>
          <w:noProof/>
          <w:lang w:val="fr-CA"/>
        </w:rPr>
        <w:t>intergouvernementale science</w:t>
      </w:r>
      <w:r w:rsidR="001C0A75">
        <w:rPr>
          <w:rStyle w:val="preferred"/>
          <w:noProof/>
          <w:lang w:val="fr-CA"/>
        </w:rPr>
        <w:noBreakHyphen/>
      </w:r>
      <w:r w:rsidRPr="005E7DB2">
        <w:rPr>
          <w:rStyle w:val="preferred"/>
          <w:noProof/>
          <w:lang w:val="fr-CA"/>
        </w:rPr>
        <w:t>politique</w:t>
      </w:r>
      <w:r w:rsidRPr="005E7DB2">
        <w:rPr>
          <w:rStyle w:val="preferred"/>
          <w:lang w:val="fr-CA"/>
        </w:rPr>
        <w:t xml:space="preserve"> sur la biodiversité et les services </w:t>
      </w:r>
      <w:r w:rsidRPr="005E7DB2">
        <w:rPr>
          <w:rStyle w:val="preferred"/>
          <w:noProof/>
          <w:lang w:val="fr-CA"/>
        </w:rPr>
        <w:t>écosystémiques</w:t>
      </w:r>
      <w:r w:rsidRPr="005E7DB2">
        <w:rPr>
          <w:rStyle w:val="preferred"/>
          <w:lang w:val="fr-CA"/>
        </w:rPr>
        <w:t xml:space="preserve"> (IPBES) soulignent qu</w:t>
      </w:r>
      <w:r w:rsidR="001C0A75">
        <w:rPr>
          <w:rStyle w:val="preferred"/>
          <w:lang w:val="fr-CA"/>
        </w:rPr>
        <w:t>’</w:t>
      </w:r>
      <w:r w:rsidRPr="005E7DB2">
        <w:rPr>
          <w:rStyle w:val="preferred"/>
          <w:lang w:val="fr-CA"/>
        </w:rPr>
        <w:t xml:space="preserve">il est </w:t>
      </w:r>
      <w:r w:rsidR="00A2672B" w:rsidRPr="005E7DB2">
        <w:rPr>
          <w:rStyle w:val="preferred"/>
          <w:lang w:val="fr-CA"/>
        </w:rPr>
        <w:t>impé</w:t>
      </w:r>
      <w:r w:rsidRPr="005E7DB2">
        <w:rPr>
          <w:rStyle w:val="preferred"/>
          <w:lang w:val="fr-CA"/>
        </w:rPr>
        <w:t>ratif d</w:t>
      </w:r>
      <w:r w:rsidR="001C0A75">
        <w:rPr>
          <w:rStyle w:val="preferred"/>
          <w:lang w:val="fr-CA"/>
        </w:rPr>
        <w:t>’</w:t>
      </w:r>
      <w:r w:rsidRPr="005E7DB2">
        <w:rPr>
          <w:rStyle w:val="preferred"/>
          <w:lang w:val="fr-CA"/>
        </w:rPr>
        <w:t>assurer que les re</w:t>
      </w:r>
      <w:r w:rsidR="00A2672B" w:rsidRPr="005E7DB2">
        <w:rPr>
          <w:rStyle w:val="preferred"/>
          <w:lang w:val="fr-CA"/>
        </w:rPr>
        <w:t>s</w:t>
      </w:r>
      <w:r w:rsidRPr="005E7DB2">
        <w:rPr>
          <w:rStyle w:val="preferred"/>
          <w:lang w:val="fr-CA"/>
        </w:rPr>
        <w:t>sources profitent à la fois à l</w:t>
      </w:r>
      <w:r w:rsidR="001C0A75">
        <w:rPr>
          <w:rStyle w:val="preferred"/>
          <w:lang w:val="fr-CA"/>
        </w:rPr>
        <w:t>’</w:t>
      </w:r>
      <w:r w:rsidRPr="005E7DB2">
        <w:rPr>
          <w:rStyle w:val="preferred"/>
          <w:lang w:val="fr-CA"/>
        </w:rPr>
        <w:t>environnement et au climat, avec un effort spécifique déployé pour réduire au minimum les compromis nécessaires entre les deux : bien que des efforts en ce sens soient en cours, notamment par le biais de REDD+ et du Fonds vert pour le climat (FVC), il est indéniable qu</w:t>
      </w:r>
      <w:r w:rsidR="001C0A75">
        <w:rPr>
          <w:rStyle w:val="preferred"/>
          <w:lang w:val="fr-CA"/>
        </w:rPr>
        <w:t>’</w:t>
      </w:r>
      <w:r w:rsidRPr="005E7DB2">
        <w:rPr>
          <w:rStyle w:val="preferred"/>
          <w:lang w:val="fr-CA"/>
        </w:rPr>
        <w:t>il reste encore beaucoup à faire pour renforcer les avantages mutuels de l</w:t>
      </w:r>
      <w:r w:rsidR="001C0A75">
        <w:rPr>
          <w:rStyle w:val="preferred"/>
          <w:lang w:val="fr-CA"/>
        </w:rPr>
        <w:t>’</w:t>
      </w:r>
      <w:r w:rsidRPr="005E7DB2">
        <w:rPr>
          <w:rStyle w:val="preferred"/>
          <w:lang w:val="fr-CA"/>
        </w:rPr>
        <w:t>investissement dans la biodiversité et les écosystèmes et l</w:t>
      </w:r>
      <w:r w:rsidR="001C0A75">
        <w:rPr>
          <w:rStyle w:val="preferred"/>
          <w:lang w:val="fr-CA"/>
        </w:rPr>
        <w:t>’</w:t>
      </w:r>
      <w:r w:rsidRPr="005E7DB2">
        <w:rPr>
          <w:rStyle w:val="preferred"/>
          <w:lang w:val="fr-CA"/>
        </w:rPr>
        <w:t xml:space="preserve">investissement dans </w:t>
      </w:r>
      <w:r w:rsidRPr="005E7DB2">
        <w:rPr>
          <w:lang w:val="fr-CA"/>
        </w:rPr>
        <w:t>l</w:t>
      </w:r>
      <w:r w:rsidR="001C0A75">
        <w:rPr>
          <w:lang w:val="fr-CA"/>
        </w:rPr>
        <w:t>’</w:t>
      </w:r>
      <w:r w:rsidRPr="005E7DB2">
        <w:rPr>
          <w:lang w:val="fr-CA"/>
        </w:rPr>
        <w:t>adaptation aux changements climatiques et l</w:t>
      </w:r>
      <w:r w:rsidR="001C0A75">
        <w:rPr>
          <w:lang w:val="fr-CA"/>
        </w:rPr>
        <w:t>’</w:t>
      </w:r>
      <w:r w:rsidRPr="005E7DB2">
        <w:rPr>
          <w:lang w:val="fr-CA"/>
        </w:rPr>
        <w:t>atténuation de leurs effets. Les efforts relatifs au climat et à la biodiversité ne devrait pas être envisagés comme étant mutuellement exclusifs, mais plutôt comme une opportunité pour assurer des synergies et des avantages communs</w:t>
      </w:r>
      <w:r w:rsidR="00DD5B2F" w:rsidRPr="005E7DB2">
        <w:rPr>
          <w:kern w:val="22"/>
          <w:lang w:val="fr-CA"/>
        </w:rPr>
        <w:t>.</w:t>
      </w:r>
    </w:p>
    <w:p w:rsidR="00E35BA4" w:rsidRPr="005E7DB2" w:rsidRDefault="00E35BA4" w:rsidP="009654F0">
      <w:pPr>
        <w:pStyle w:val="Para1"/>
        <w:keepNext/>
        <w:numPr>
          <w:ilvl w:val="0"/>
          <w:numId w:val="0"/>
        </w:numPr>
        <w:suppressLineNumbers/>
        <w:tabs>
          <w:tab w:val="left" w:pos="426"/>
        </w:tabs>
        <w:suppressAutoHyphens/>
        <w:jc w:val="center"/>
        <w:outlineLvl w:val="0"/>
        <w:rPr>
          <w:b/>
          <w:kern w:val="22"/>
          <w:lang w:val="fr-CA"/>
        </w:rPr>
      </w:pPr>
      <w:bookmarkStart w:id="2" w:name="_Hlk41329391"/>
      <w:r w:rsidRPr="005E7DB2">
        <w:rPr>
          <w:b/>
          <w:kern w:val="22"/>
          <w:lang w:val="fr-CA"/>
        </w:rPr>
        <w:t>III</w:t>
      </w:r>
      <w:r w:rsidR="003205BD" w:rsidRPr="005E7DB2">
        <w:rPr>
          <w:b/>
          <w:kern w:val="22"/>
          <w:lang w:val="fr-CA"/>
        </w:rPr>
        <w:t>.</w:t>
      </w:r>
      <w:r w:rsidR="003205BD" w:rsidRPr="005E7DB2">
        <w:rPr>
          <w:b/>
          <w:kern w:val="22"/>
          <w:lang w:val="fr-CA"/>
        </w:rPr>
        <w:tab/>
      </w:r>
      <w:r w:rsidR="0049584F" w:rsidRPr="005E7DB2">
        <w:rPr>
          <w:rFonts w:ascii="Times New Roman Bold" w:hAnsi="Times New Roman Bold"/>
          <w:b/>
          <w:caps/>
          <w:lang w:val="fr-CA"/>
        </w:rPr>
        <w:t>évaluation des progrès dans la mise en œuvre de l</w:t>
      </w:r>
      <w:r w:rsidR="001C0A75">
        <w:rPr>
          <w:rFonts w:ascii="Times New Roman Bold" w:hAnsi="Times New Roman Bold"/>
          <w:b/>
          <w:caps/>
          <w:lang w:val="fr-CA"/>
        </w:rPr>
        <w:t>’</w:t>
      </w:r>
      <w:r w:rsidR="0049584F" w:rsidRPr="005E7DB2">
        <w:rPr>
          <w:rFonts w:ascii="Times New Roman Bold" w:hAnsi="Times New Roman Bold"/>
          <w:b/>
          <w:caps/>
          <w:lang w:val="fr-CA"/>
        </w:rPr>
        <w:t>Objectif 20 d</w:t>
      </w:r>
      <w:r w:rsidR="001C0A75">
        <w:rPr>
          <w:rFonts w:ascii="Times New Roman Bold" w:hAnsi="Times New Roman Bold"/>
          <w:b/>
          <w:caps/>
          <w:lang w:val="fr-CA"/>
        </w:rPr>
        <w:t>’</w:t>
      </w:r>
      <w:r w:rsidR="0049584F" w:rsidRPr="005E7DB2">
        <w:rPr>
          <w:rFonts w:ascii="Times New Roman Bold" w:hAnsi="Times New Roman Bold"/>
          <w:b/>
          <w:caps/>
          <w:lang w:val="fr-CA"/>
        </w:rPr>
        <w:t>Aichi pour la biodiversité</w:t>
      </w:r>
    </w:p>
    <w:p w:rsidR="00A640BE" w:rsidRPr="005E7DB2" w:rsidRDefault="0049584F">
      <w:pPr>
        <w:pStyle w:val="Para1"/>
        <w:suppressLineNumbers/>
        <w:tabs>
          <w:tab w:val="clear" w:pos="360"/>
        </w:tabs>
        <w:suppressAutoHyphens/>
        <w:rPr>
          <w:spacing w:val="-2"/>
          <w:kern w:val="22"/>
          <w:lang w:val="fr-CA"/>
        </w:rPr>
      </w:pPr>
      <w:r w:rsidRPr="005E7DB2">
        <w:rPr>
          <w:lang w:val="fr-CA"/>
        </w:rPr>
        <w:t>Tel qu</w:t>
      </w:r>
      <w:r w:rsidR="001C0A75">
        <w:rPr>
          <w:lang w:val="fr-CA"/>
        </w:rPr>
        <w:t>’</w:t>
      </w:r>
      <w:r w:rsidRPr="005E7DB2">
        <w:rPr>
          <w:lang w:val="fr-CA"/>
        </w:rPr>
        <w:t>indiqué dans l</w:t>
      </w:r>
      <w:r w:rsidR="001C0A75">
        <w:rPr>
          <w:lang w:val="fr-CA"/>
        </w:rPr>
        <w:t>’</w:t>
      </w:r>
      <w:r w:rsidRPr="005E7DB2">
        <w:rPr>
          <w:lang w:val="fr-CA"/>
        </w:rPr>
        <w:t>introduction, une série d</w:t>
      </w:r>
      <w:r w:rsidR="001C0A75">
        <w:rPr>
          <w:lang w:val="fr-CA"/>
        </w:rPr>
        <w:t>’</w:t>
      </w:r>
      <w:r w:rsidRPr="005E7DB2">
        <w:rPr>
          <w:lang w:val="fr-CA"/>
        </w:rPr>
        <w:t>objectifs pour la mobilisation des ressources (dont la liste complète figure à l</w:t>
      </w:r>
      <w:r w:rsidR="001C0A75">
        <w:rPr>
          <w:lang w:val="fr-CA"/>
        </w:rPr>
        <w:t>’</w:t>
      </w:r>
      <w:r w:rsidRPr="005E7DB2">
        <w:rPr>
          <w:lang w:val="fr-CA"/>
        </w:rPr>
        <w:t>annexe) ont été adoptés au titre de l</w:t>
      </w:r>
      <w:r w:rsidR="001C0A75">
        <w:rPr>
          <w:lang w:val="fr-CA"/>
        </w:rPr>
        <w:t>’</w:t>
      </w:r>
      <w:r w:rsidRPr="005E7DB2">
        <w:rPr>
          <w:lang w:val="fr-CA"/>
        </w:rPr>
        <w:t>Objectif 20 d</w:t>
      </w:r>
      <w:r w:rsidR="001C0A75">
        <w:rPr>
          <w:lang w:val="fr-CA"/>
        </w:rPr>
        <w:t>’</w:t>
      </w:r>
      <w:r w:rsidRPr="005E7DB2">
        <w:rPr>
          <w:lang w:val="fr-CA"/>
        </w:rPr>
        <w:t>Aichi pour la biodiversité, à la douzième réunion de la Conférence des Parties (décision XII/3, par. 1), comme base convenue pour définir les progrès accomplis dans la réalisation de l</w:t>
      </w:r>
      <w:r w:rsidR="001C0A75">
        <w:rPr>
          <w:lang w:val="fr-CA"/>
        </w:rPr>
        <w:t>’</w:t>
      </w:r>
      <w:r w:rsidRPr="005E7DB2">
        <w:rPr>
          <w:lang w:val="fr-CA"/>
        </w:rPr>
        <w:t>Objectif 20 d</w:t>
      </w:r>
      <w:r w:rsidR="001C0A75">
        <w:rPr>
          <w:lang w:val="fr-CA"/>
        </w:rPr>
        <w:t>’</w:t>
      </w:r>
      <w:r w:rsidRPr="005E7DB2">
        <w:rPr>
          <w:lang w:val="fr-CA"/>
        </w:rPr>
        <w:t xml:space="preserve">Aichi pour la biodiversité. Dans la même décision, la Conférence des Parties a également adopté un </w:t>
      </w:r>
      <w:r w:rsidR="001C0A75">
        <w:rPr>
          <w:bCs/>
          <w:kern w:val="20"/>
          <w:lang w:val="fr-CA"/>
        </w:rPr>
        <w:t>C</w:t>
      </w:r>
      <w:r w:rsidRPr="005E7DB2">
        <w:rPr>
          <w:bCs/>
          <w:kern w:val="20"/>
          <w:lang w:val="fr-CA"/>
        </w:rPr>
        <w:t>adre de présentation des rapports financiers et invité les Parties à y avoir recours pour faire état de leurs progrès dans la réalisation des objectifs pour la mobilisation des ressources</w:t>
      </w:r>
      <w:r w:rsidR="00F936CA" w:rsidRPr="005E7DB2">
        <w:rPr>
          <w:spacing w:val="-2"/>
          <w:kern w:val="22"/>
          <w:lang w:val="fr-CA"/>
        </w:rPr>
        <w:t>.</w:t>
      </w:r>
    </w:p>
    <w:p w:rsidR="00F936CA" w:rsidRPr="005E7DB2" w:rsidRDefault="001F3BF9">
      <w:pPr>
        <w:pStyle w:val="Para1"/>
        <w:suppressLineNumbers/>
        <w:tabs>
          <w:tab w:val="clear" w:pos="360"/>
        </w:tabs>
        <w:suppressAutoHyphens/>
        <w:rPr>
          <w:kern w:val="22"/>
          <w:lang w:val="fr-CA"/>
        </w:rPr>
      </w:pPr>
      <w:r w:rsidRPr="005E7DB2">
        <w:rPr>
          <w:lang w:val="fr-CA"/>
        </w:rPr>
        <w:t>La plus récente analyse détaillée des rapports financiers reçus a été publiée pour la quatorzième réunion de la Conférence des Parties (</w:t>
      </w:r>
      <w:hyperlink r:id="rId21" w:history="1">
        <w:r w:rsidRPr="005E7DB2">
          <w:rPr>
            <w:rStyle w:val="Hyperlink"/>
            <w:sz w:val="22"/>
            <w:lang w:val="fr-CA"/>
          </w:rPr>
          <w:t>CBD/COP/14/6</w:t>
        </w:r>
      </w:hyperlink>
      <w:r w:rsidRPr="005E7DB2">
        <w:rPr>
          <w:lang w:val="fr-CA"/>
        </w:rPr>
        <w:t>). Au 10 mars 2020, quatre Parties de plus avaient fourni des informations sur leurs données de référence et progrès jusqu</w:t>
      </w:r>
      <w:r w:rsidR="001C0A75">
        <w:rPr>
          <w:lang w:val="fr-CA"/>
        </w:rPr>
        <w:t>’</w:t>
      </w:r>
      <w:r w:rsidRPr="005E7DB2">
        <w:rPr>
          <w:lang w:val="fr-CA"/>
        </w:rPr>
        <w:t xml:space="preserve">en 2015, ce qui porte le total des Parties déclarantes à 81. Parmi </w:t>
      </w:r>
      <w:r w:rsidRPr="005E7DB2">
        <w:rPr>
          <w:noProof/>
          <w:lang w:val="fr-CA"/>
        </w:rPr>
        <w:t>celles</w:t>
      </w:r>
      <w:r w:rsidR="001C0A75">
        <w:rPr>
          <w:noProof/>
          <w:lang w:val="fr-CA"/>
        </w:rPr>
        <w:noBreakHyphen/>
      </w:r>
      <w:r w:rsidRPr="005E7DB2">
        <w:rPr>
          <w:noProof/>
          <w:lang w:val="fr-CA"/>
        </w:rPr>
        <w:t>ci, 17 Parties</w:t>
      </w:r>
      <w:r w:rsidRPr="005E7DB2">
        <w:rPr>
          <w:lang w:val="fr-CA"/>
        </w:rPr>
        <w:t xml:space="preserve"> ont fourni des informations sur leurs progrès </w:t>
      </w:r>
      <w:r w:rsidRPr="005E7DB2">
        <w:rPr>
          <w:lang w:val="fr-CA"/>
        </w:rPr>
        <w:lastRenderedPageBreak/>
        <w:t>jusqu</w:t>
      </w:r>
      <w:r w:rsidR="001C0A75">
        <w:rPr>
          <w:lang w:val="fr-CA"/>
        </w:rPr>
        <w:t>’</w:t>
      </w:r>
      <w:r w:rsidRPr="005E7DB2">
        <w:rPr>
          <w:lang w:val="fr-CA"/>
        </w:rPr>
        <w:t xml:space="preserve">en 2020. Malgré le nombre limité de nouvelles soumissions, les conclusions figurant dans le document CBD/COP/14/6 sont quand même applicables et sont reflétées </w:t>
      </w:r>
      <w:proofErr w:type="spellStart"/>
      <w:r w:rsidRPr="005E7DB2">
        <w:rPr>
          <w:lang w:val="fr-CA"/>
        </w:rPr>
        <w:t>ci</w:t>
      </w:r>
      <w:r w:rsidR="001C0A75">
        <w:rPr>
          <w:lang w:val="fr-CA"/>
        </w:rPr>
        <w:noBreakHyphen/>
      </w:r>
      <w:r w:rsidRPr="005E7DB2">
        <w:rPr>
          <w:lang w:val="fr-CA"/>
        </w:rPr>
        <w:t>après</w:t>
      </w:r>
      <w:proofErr w:type="spellEnd"/>
      <w:r w:rsidRPr="005E7DB2">
        <w:rPr>
          <w:lang w:val="fr-CA"/>
        </w:rPr>
        <w:t>, tandis que les chiffres cités ont été mis à jour pour refléter les plus récentes soumissions reçues</w:t>
      </w:r>
      <w:r w:rsidRPr="005E7DB2">
        <w:rPr>
          <w:kern w:val="22"/>
          <w:lang w:val="fr-CA"/>
        </w:rPr>
        <w:t>.</w:t>
      </w:r>
    </w:p>
    <w:p w:rsidR="005D4CBB" w:rsidRPr="005E7DB2" w:rsidRDefault="001F3BF9" w:rsidP="009654F0">
      <w:pPr>
        <w:pStyle w:val="Para1"/>
        <w:suppressLineNumbers/>
        <w:tabs>
          <w:tab w:val="clear" w:pos="360"/>
        </w:tabs>
        <w:suppressAutoHyphens/>
        <w:rPr>
          <w:kern w:val="22"/>
          <w:lang w:val="fr-CA"/>
        </w:rPr>
      </w:pPr>
      <w:r w:rsidRPr="005E7DB2">
        <w:rPr>
          <w:lang w:val="fr-CA"/>
        </w:rPr>
        <w:t>Dans l</w:t>
      </w:r>
      <w:r w:rsidR="001C0A75">
        <w:rPr>
          <w:lang w:val="fr-CA"/>
        </w:rPr>
        <w:t>’</w:t>
      </w:r>
      <w:r w:rsidRPr="005E7DB2">
        <w:rPr>
          <w:lang w:val="fr-CA"/>
        </w:rPr>
        <w:t>ensemble, la production de rapports sur les progrès accomplis par rapport aux objectifs de mobilisation des ressources progresse mais demeure inégale. En ce qui concerne le financement international, des 31 Parties ayant produit un rapport sur leurs progrès par rapport à l</w:t>
      </w:r>
      <w:r w:rsidR="001C0A75">
        <w:rPr>
          <w:lang w:val="fr-CA"/>
        </w:rPr>
        <w:t>’</w:t>
      </w:r>
      <w:r w:rsidRPr="005E7DB2">
        <w:rPr>
          <w:lang w:val="fr-CA"/>
        </w:rPr>
        <w:t>objectif 1 a), la plupart des Parties (mais pas toutes), représentant 98 pour cent de la base de référence, ont fait état de leurs données pour 2015, et 11 Parties ont également fait rapport sur leurs données des années subséquentes. Quatre pays membres du CAD, Parties à la Convention, n</w:t>
      </w:r>
      <w:r w:rsidR="001C0A75">
        <w:rPr>
          <w:lang w:val="fr-CA"/>
        </w:rPr>
        <w:t>’</w:t>
      </w:r>
      <w:r w:rsidRPr="005E7DB2">
        <w:rPr>
          <w:lang w:val="fr-CA"/>
        </w:rPr>
        <w:t>avaient pas encore présenté leurs rapports à la date butoir pour la présente analyse.</w:t>
      </w:r>
      <w:r w:rsidR="007719DA" w:rsidRPr="005E7DB2">
        <w:rPr>
          <w:rStyle w:val="FootnoteReference"/>
          <w:kern w:val="22"/>
          <w:lang w:val="fr-CA"/>
        </w:rPr>
        <w:footnoteReference w:id="25"/>
      </w:r>
      <w:r w:rsidRPr="005E7DB2">
        <w:rPr>
          <w:lang w:val="fr-CA"/>
        </w:rPr>
        <w:t xml:space="preserve"> Pour ce qui est des autres objectifs, la lenteur des progrès dans la production de rapports n</w:t>
      </w:r>
      <w:r w:rsidR="001C0A75">
        <w:rPr>
          <w:lang w:val="fr-CA"/>
        </w:rPr>
        <w:t>’</w:t>
      </w:r>
      <w:r w:rsidRPr="005E7DB2">
        <w:rPr>
          <w:lang w:val="fr-CA"/>
        </w:rPr>
        <w:t xml:space="preserve">est probablement pas principalement due à une lacune dans la communication de données comme telle : une comparaison avec les SPANB soumis par les Parties indique que seules </w:t>
      </w:r>
      <w:r w:rsidRPr="005E7DB2">
        <w:rPr>
          <w:noProof/>
          <w:lang w:val="fr-CA"/>
        </w:rPr>
        <w:t>quelques</w:t>
      </w:r>
      <w:r w:rsidR="001C0A75">
        <w:rPr>
          <w:noProof/>
          <w:lang w:val="fr-CA"/>
        </w:rPr>
        <w:noBreakHyphen/>
      </w:r>
      <w:r w:rsidRPr="005E7DB2">
        <w:rPr>
          <w:noProof/>
          <w:lang w:val="fr-CA"/>
        </w:rPr>
        <w:t>unes des Parties</w:t>
      </w:r>
      <w:r w:rsidRPr="005E7DB2">
        <w:rPr>
          <w:lang w:val="fr-CA"/>
        </w:rPr>
        <w:t xml:space="preserve"> qui ont préparé, par exemple, une évaluation des coûts de leur SPANB révisé ou des éléments d</w:t>
      </w:r>
      <w:r w:rsidR="001C0A75">
        <w:rPr>
          <w:lang w:val="fr-CA"/>
        </w:rPr>
        <w:t>’</w:t>
      </w:r>
      <w:r w:rsidRPr="005E7DB2">
        <w:rPr>
          <w:lang w:val="fr-CA"/>
        </w:rPr>
        <w:t>une stratégie pour la mobilisation de ressources n</w:t>
      </w:r>
      <w:r w:rsidR="001C0A75">
        <w:rPr>
          <w:lang w:val="fr-CA"/>
        </w:rPr>
        <w:t>’</w:t>
      </w:r>
      <w:r w:rsidRPr="005E7DB2">
        <w:rPr>
          <w:lang w:val="fr-CA"/>
        </w:rPr>
        <w:t>ont pas encore soumis leur cadre de présentation de rapports financiers. Il semblerait donc qu</w:t>
      </w:r>
      <w:r w:rsidR="001C0A75">
        <w:rPr>
          <w:lang w:val="fr-CA"/>
        </w:rPr>
        <w:t>’</w:t>
      </w:r>
      <w:r w:rsidRPr="005E7DB2">
        <w:rPr>
          <w:lang w:val="fr-CA"/>
        </w:rPr>
        <w:t>une importante contrainte s</w:t>
      </w:r>
      <w:r w:rsidR="001C0A75">
        <w:rPr>
          <w:lang w:val="fr-CA"/>
        </w:rPr>
        <w:t>’</w:t>
      </w:r>
      <w:r w:rsidRPr="005E7DB2">
        <w:rPr>
          <w:lang w:val="fr-CA"/>
        </w:rPr>
        <w:t>avère être la difficulté constante de mise en œuvre de certains objectifs, et en particulier des objectifs 1 c) et 1 d), associée à un manque général de capacités, surtout en ce qui concerne les pays qui ne participent pas à l</w:t>
      </w:r>
      <w:r w:rsidR="001C0A75">
        <w:rPr>
          <w:lang w:val="fr-CA"/>
        </w:rPr>
        <w:t>’</w:t>
      </w:r>
      <w:r w:rsidRPr="005E7DB2">
        <w:rPr>
          <w:lang w:val="fr-CA"/>
        </w:rPr>
        <w:t xml:space="preserve">initiative BIOFIN. Les pays BIOFIN progressent et sont désormais rendus à des stades avancés de préparation de leurs plans de financement nationaux. Les évaluations des progrès accomplis par rapport à chaque objectif sont </w:t>
      </w:r>
      <w:r w:rsidRPr="005E7DB2">
        <w:rPr>
          <w:noProof/>
          <w:lang w:val="fr-CA"/>
        </w:rPr>
        <w:t>discutées ci</w:t>
      </w:r>
      <w:r w:rsidR="001C0A75">
        <w:rPr>
          <w:noProof/>
          <w:lang w:val="fr-CA"/>
        </w:rPr>
        <w:noBreakHyphen/>
      </w:r>
      <w:r w:rsidRPr="005E7DB2">
        <w:rPr>
          <w:noProof/>
          <w:lang w:val="fr-CA"/>
        </w:rPr>
        <w:t>après</w:t>
      </w:r>
      <w:r w:rsidRPr="005E7DB2">
        <w:rPr>
          <w:kern w:val="22"/>
          <w:lang w:val="fr-CA"/>
        </w:rPr>
        <w:t>.</w:t>
      </w:r>
    </w:p>
    <w:p w:rsidR="008F14A9" w:rsidRPr="005E7DB2" w:rsidRDefault="001F3BF9" w:rsidP="009654F0">
      <w:pPr>
        <w:pStyle w:val="Para1"/>
        <w:keepNext/>
        <w:suppressLineNumbers/>
        <w:tabs>
          <w:tab w:val="clear" w:pos="360"/>
        </w:tabs>
        <w:suppressAutoHyphens/>
        <w:rPr>
          <w:kern w:val="22"/>
          <w:lang w:val="fr-CA"/>
        </w:rPr>
      </w:pPr>
      <w:bookmarkStart w:id="3" w:name="_Hlk41326240"/>
      <w:r w:rsidRPr="005E7DB2">
        <w:rPr>
          <w:i/>
          <w:lang w:val="fr-CA"/>
        </w:rPr>
        <w:t>Objectif 1 a) de la décision XII/3 (doubler les flux internationaux d</w:t>
      </w:r>
      <w:r w:rsidR="001C0A75">
        <w:rPr>
          <w:i/>
          <w:lang w:val="fr-CA"/>
        </w:rPr>
        <w:t>’</w:t>
      </w:r>
      <w:r w:rsidRPr="005E7DB2">
        <w:rPr>
          <w:i/>
          <w:lang w:val="fr-CA"/>
        </w:rPr>
        <w:t>ici à 2015 et maintenir ces niveaux jusqu</w:t>
      </w:r>
      <w:r w:rsidR="001C0A75">
        <w:rPr>
          <w:i/>
          <w:lang w:val="fr-CA"/>
        </w:rPr>
        <w:t>’</w:t>
      </w:r>
      <w:r w:rsidRPr="005E7DB2">
        <w:rPr>
          <w:i/>
          <w:lang w:val="fr-CA"/>
        </w:rPr>
        <w:t>en 2020) </w:t>
      </w:r>
      <w:r w:rsidR="00F76634" w:rsidRPr="005E7DB2">
        <w:rPr>
          <w:lang w:val="fr-CA"/>
        </w:rPr>
        <w:t>: L</w:t>
      </w:r>
      <w:r w:rsidRPr="005E7DB2">
        <w:rPr>
          <w:lang w:val="fr-CA"/>
        </w:rPr>
        <w:t xml:space="preserve">es Parties qui ont produit leurs données pour 2015 à temps pour la préparation du présent rapport, représentant collectivement 98 pour cent de la base de référence, avaient, en 2015, </w:t>
      </w:r>
      <w:r w:rsidR="0089743A" w:rsidRPr="005E7DB2">
        <w:rPr>
          <w:lang w:val="fr-CA"/>
        </w:rPr>
        <w:t xml:space="preserve">collectivement </w:t>
      </w:r>
      <w:r w:rsidRPr="005E7DB2">
        <w:rPr>
          <w:lang w:val="fr-CA"/>
        </w:rPr>
        <w:t>réalisé une augmentation de 104 pour cent par rapport à leurs données de référence</w:t>
      </w:r>
      <w:r w:rsidR="0089743A" w:rsidRPr="005E7DB2">
        <w:rPr>
          <w:lang w:val="fr-CA"/>
        </w:rPr>
        <w:t xml:space="preserve"> (financement annuel moyen de la biodiversité pour la période 2006</w:t>
      </w:r>
      <w:r w:rsidR="001C0A75">
        <w:rPr>
          <w:lang w:val="fr-CA"/>
        </w:rPr>
        <w:noBreakHyphen/>
      </w:r>
      <w:r w:rsidR="0089743A" w:rsidRPr="005E7DB2">
        <w:rPr>
          <w:lang w:val="fr-CA"/>
        </w:rPr>
        <w:t>2010)</w:t>
      </w:r>
      <w:r w:rsidRPr="005E7DB2">
        <w:rPr>
          <w:lang w:val="fr-CA"/>
        </w:rPr>
        <w:t>, en excluant les effets du taux de change</w:t>
      </w:r>
      <w:r w:rsidR="0089743A" w:rsidRPr="005E7DB2">
        <w:rPr>
          <w:lang w:val="fr-CA"/>
        </w:rPr>
        <w:t>. Les flux internationaux ont augmenté pour atteindre 5,5 milliards USD en 2015, par rapport au niveau de référence de 2,7 milliards USD.</w:t>
      </w:r>
      <w:r w:rsidR="004017A3" w:rsidRPr="005E7DB2">
        <w:rPr>
          <w:lang w:val="fr-CA"/>
        </w:rPr>
        <w:t xml:space="preserve"> Une récente analyse de</w:t>
      </w:r>
      <w:r w:rsidR="00D2324F" w:rsidRPr="005E7DB2">
        <w:rPr>
          <w:lang w:val="fr-CA"/>
        </w:rPr>
        <w:t>s</w:t>
      </w:r>
      <w:r w:rsidR="004017A3" w:rsidRPr="005E7DB2">
        <w:rPr>
          <w:lang w:val="fr-CA"/>
        </w:rPr>
        <w:t xml:space="preserve"> données de l</w:t>
      </w:r>
      <w:r w:rsidR="001C0A75">
        <w:rPr>
          <w:lang w:val="fr-CA"/>
        </w:rPr>
        <w:t>’</w:t>
      </w:r>
      <w:r w:rsidR="004017A3" w:rsidRPr="005E7DB2">
        <w:rPr>
          <w:lang w:val="fr-CA"/>
        </w:rPr>
        <w:t>OCDE effectuée par le Fonds mondial pour la nature (WWF Allemagne)</w:t>
      </w:r>
      <w:r w:rsidR="00D2324F" w:rsidRPr="005E7DB2">
        <w:rPr>
          <w:lang w:val="fr-CA"/>
        </w:rPr>
        <w:t xml:space="preserve">, figurant dans son </w:t>
      </w:r>
      <w:r w:rsidR="00D2324F" w:rsidRPr="005E7DB2">
        <w:rPr>
          <w:i/>
          <w:iCs/>
          <w:noProof/>
          <w:kern w:val="22"/>
          <w:lang w:val="fr-CA"/>
        </w:rPr>
        <w:t>Barometer on CBD</w:t>
      </w:r>
      <w:r w:rsidR="001C0A75">
        <w:rPr>
          <w:i/>
          <w:iCs/>
          <w:noProof/>
          <w:kern w:val="22"/>
          <w:lang w:val="fr-CA"/>
        </w:rPr>
        <w:t>’</w:t>
      </w:r>
      <w:r w:rsidR="00D2324F" w:rsidRPr="005E7DB2">
        <w:rPr>
          <w:i/>
          <w:iCs/>
          <w:noProof/>
          <w:kern w:val="22"/>
          <w:lang w:val="fr-CA"/>
        </w:rPr>
        <w:t xml:space="preserve">s Strategy on Resource </w:t>
      </w:r>
      <w:r w:rsidR="00D2324F" w:rsidRPr="005E7DB2">
        <w:rPr>
          <w:i/>
          <w:noProof/>
          <w:lang w:val="fr-CA"/>
        </w:rPr>
        <w:t xml:space="preserve">Mobilization </w:t>
      </w:r>
      <w:r w:rsidR="00D2324F" w:rsidRPr="005E7DB2">
        <w:rPr>
          <w:lang w:val="fr-CA"/>
        </w:rPr>
        <w:t>(Baromètre de la Stratégie pour la mobilisation des ressources de la CDB), corrobore ce résultat.</w:t>
      </w:r>
    </w:p>
    <w:p w:rsidR="005D4CBB" w:rsidRPr="005E7DB2" w:rsidRDefault="00D2324F" w:rsidP="009654F0">
      <w:pPr>
        <w:pStyle w:val="Para1"/>
        <w:suppressLineNumbers/>
        <w:tabs>
          <w:tab w:val="clear" w:pos="360"/>
        </w:tabs>
        <w:suppressAutoHyphens/>
        <w:rPr>
          <w:kern w:val="22"/>
          <w:lang w:val="fr-CA"/>
        </w:rPr>
      </w:pPr>
      <w:bookmarkStart w:id="4" w:name="_Hlk41326193"/>
      <w:r w:rsidRPr="005E7DB2">
        <w:rPr>
          <w:iCs/>
          <w:kern w:val="22"/>
          <w:lang w:val="fr-CA"/>
        </w:rPr>
        <w:t xml:space="preserve">Par ailleurs, dix membres du CAD ont également fait </w:t>
      </w:r>
      <w:r w:rsidR="00F21BF4" w:rsidRPr="005E7DB2">
        <w:rPr>
          <w:iCs/>
          <w:kern w:val="22"/>
          <w:lang w:val="fr-CA"/>
        </w:rPr>
        <w:t>état de</w:t>
      </w:r>
      <w:r w:rsidRPr="005E7DB2">
        <w:rPr>
          <w:iCs/>
          <w:kern w:val="22"/>
          <w:lang w:val="fr-CA"/>
        </w:rPr>
        <w:t xml:space="preserve"> leurs progrès post</w:t>
      </w:r>
      <w:r w:rsidR="001C0A75">
        <w:rPr>
          <w:iCs/>
          <w:kern w:val="22"/>
          <w:lang w:val="fr-CA"/>
        </w:rPr>
        <w:noBreakHyphen/>
      </w:r>
      <w:r w:rsidRPr="005E7DB2">
        <w:rPr>
          <w:iCs/>
          <w:kern w:val="22"/>
          <w:lang w:val="fr-CA"/>
        </w:rPr>
        <w:t xml:space="preserve">2015 au titre de cet objectif (13 Parties au total). </w:t>
      </w:r>
      <w:r w:rsidR="00F21BF4" w:rsidRPr="005E7DB2">
        <w:rPr>
          <w:iCs/>
          <w:kern w:val="22"/>
          <w:lang w:val="fr-CA"/>
        </w:rPr>
        <w:t>Bien que ce nombre limité ne se prête pas encore à une analyse statistique, certains chiffres rapportés pour 2016 et 2017 indiquent des baisses par rapport aux données de 2015.</w:t>
      </w:r>
      <w:r w:rsidRPr="005E7DB2">
        <w:rPr>
          <w:iCs/>
          <w:kern w:val="22"/>
          <w:lang w:val="fr-CA"/>
        </w:rPr>
        <w:t xml:space="preserve"> </w:t>
      </w:r>
      <w:r w:rsidR="00592585" w:rsidRPr="005E7DB2">
        <w:rPr>
          <w:iCs/>
          <w:kern w:val="22"/>
          <w:lang w:val="fr-CA"/>
        </w:rPr>
        <w:t>Une récente analyse des données de l</w:t>
      </w:r>
      <w:r w:rsidR="001C0A75">
        <w:rPr>
          <w:iCs/>
          <w:kern w:val="22"/>
          <w:lang w:val="fr-CA"/>
        </w:rPr>
        <w:t>’</w:t>
      </w:r>
      <w:r w:rsidR="00592585" w:rsidRPr="005E7DB2">
        <w:rPr>
          <w:iCs/>
          <w:kern w:val="22"/>
          <w:lang w:val="fr-CA"/>
        </w:rPr>
        <w:t xml:space="preserve">OCDE effectuée pour la cinquième édition des </w:t>
      </w:r>
      <w:r w:rsidR="00592585" w:rsidRPr="005E7DB2">
        <w:rPr>
          <w:i/>
          <w:iCs/>
          <w:kern w:val="22"/>
          <w:lang w:val="fr-CA"/>
        </w:rPr>
        <w:t xml:space="preserve">Perspectives mondiales de la diversité biologique </w:t>
      </w:r>
      <w:r w:rsidR="00592585" w:rsidRPr="005E7DB2">
        <w:rPr>
          <w:iCs/>
          <w:kern w:val="22"/>
          <w:lang w:val="fr-CA"/>
        </w:rPr>
        <w:t xml:space="preserve">confirme ce déclin pour 2016, mais indique également que les membres du CAD semblent être </w:t>
      </w:r>
      <w:r w:rsidR="00EC4CCB" w:rsidRPr="005E7DB2">
        <w:rPr>
          <w:iCs/>
          <w:kern w:val="22"/>
          <w:lang w:val="fr-CA"/>
        </w:rPr>
        <w:t>dans l</w:t>
      </w:r>
      <w:r w:rsidR="00EC4CCB">
        <w:rPr>
          <w:iCs/>
          <w:kern w:val="22"/>
          <w:lang w:val="fr-CA"/>
        </w:rPr>
        <w:t>’</w:t>
      </w:r>
      <w:r w:rsidR="00EC4CCB" w:rsidRPr="005E7DB2">
        <w:rPr>
          <w:iCs/>
          <w:kern w:val="22"/>
          <w:lang w:val="fr-CA"/>
        </w:rPr>
        <w:t xml:space="preserve">ensemble </w:t>
      </w:r>
      <w:r w:rsidR="00592585" w:rsidRPr="005E7DB2">
        <w:rPr>
          <w:iCs/>
          <w:kern w:val="22"/>
          <w:lang w:val="fr-CA"/>
        </w:rPr>
        <w:t xml:space="preserve">sur la bonne voie pour maintenir, ou presque maintenir, </w:t>
      </w:r>
      <w:r w:rsidR="00143119" w:rsidRPr="005E7DB2">
        <w:rPr>
          <w:iCs/>
          <w:kern w:val="22"/>
          <w:lang w:val="fr-CA"/>
        </w:rPr>
        <w:t>le doublement des flux de ressources en 2017 et 2018.</w:t>
      </w:r>
      <w:bookmarkEnd w:id="4"/>
    </w:p>
    <w:bookmarkEnd w:id="3"/>
    <w:p w:rsidR="000E687F" w:rsidRPr="005E7DB2" w:rsidRDefault="009C252C" w:rsidP="009654F0">
      <w:pPr>
        <w:pStyle w:val="Para1"/>
        <w:suppressLineNumbers/>
        <w:tabs>
          <w:tab w:val="clear" w:pos="360"/>
        </w:tabs>
        <w:suppressAutoHyphens/>
        <w:rPr>
          <w:kern w:val="22"/>
          <w:lang w:val="fr-CA"/>
        </w:rPr>
      </w:pPr>
      <w:r w:rsidRPr="005E7DB2">
        <w:rPr>
          <w:i/>
          <w:lang w:val="fr-CA"/>
        </w:rPr>
        <w:t>Objectif 1 b) de la décision XII/3 (inclusion de la biodiversité d</w:t>
      </w:r>
      <w:r w:rsidR="001C0A75">
        <w:rPr>
          <w:i/>
          <w:lang w:val="fr-CA"/>
        </w:rPr>
        <w:t>’</w:t>
      </w:r>
      <w:r w:rsidRPr="005E7DB2">
        <w:rPr>
          <w:i/>
          <w:lang w:val="fr-CA"/>
        </w:rPr>
        <w:t>ici à 2015) </w:t>
      </w:r>
      <w:r w:rsidRPr="005E7DB2">
        <w:rPr>
          <w:lang w:val="fr-CA"/>
        </w:rPr>
        <w:t>: Au total, 78 Parties ont répondu à la question portant sur l</w:t>
      </w:r>
      <w:r w:rsidR="001C0A75">
        <w:rPr>
          <w:lang w:val="fr-CA"/>
        </w:rPr>
        <w:t>’</w:t>
      </w:r>
      <w:r w:rsidRPr="005E7DB2">
        <w:rPr>
          <w:lang w:val="fr-CA"/>
        </w:rPr>
        <w:t>inclusion de la biodiversité dans leurs priorités nationales ou plans de développement, et toutes ont indiqué des progrès, du moins dans une certaine mesure : 53 Parties, soit 68 pour cent des répondants, ont indiqué qu</w:t>
      </w:r>
      <w:r w:rsidR="001C0A75">
        <w:rPr>
          <w:lang w:val="fr-CA"/>
        </w:rPr>
        <w:t>’</w:t>
      </w:r>
      <w:r w:rsidRPr="005E7DB2">
        <w:rPr>
          <w:lang w:val="fr-CA"/>
        </w:rPr>
        <w:t>elles avaient réalisé une certaine inclusion, tandis que 25 Parties, ou 32 pour cent des répondants, ont indiqué qu</w:t>
      </w:r>
      <w:r w:rsidR="001C0A75">
        <w:rPr>
          <w:lang w:val="fr-CA"/>
        </w:rPr>
        <w:t>’</w:t>
      </w:r>
      <w:r w:rsidRPr="005E7DB2">
        <w:rPr>
          <w:lang w:val="fr-CA"/>
        </w:rPr>
        <w:t>une intégration complète avait été réalisée. Gardant à l</w:t>
      </w:r>
      <w:r w:rsidR="001C0A75">
        <w:rPr>
          <w:lang w:val="fr-CA"/>
        </w:rPr>
        <w:t>’</w:t>
      </w:r>
      <w:r w:rsidRPr="005E7DB2">
        <w:rPr>
          <w:lang w:val="fr-CA"/>
        </w:rPr>
        <w:t>esprit le nombre limité de rapports reçus, les progrès dans la réalisation de cet objectif semblent tout de même encourageants</w:t>
      </w:r>
      <w:r w:rsidR="007518C2" w:rsidRPr="005E7DB2">
        <w:rPr>
          <w:kern w:val="22"/>
          <w:lang w:val="fr-CA"/>
        </w:rPr>
        <w:t>.</w:t>
      </w:r>
    </w:p>
    <w:p w:rsidR="000E687F" w:rsidRPr="005E7DB2" w:rsidRDefault="00143119" w:rsidP="009654F0">
      <w:pPr>
        <w:pStyle w:val="Para1"/>
        <w:suppressLineNumbers/>
        <w:tabs>
          <w:tab w:val="clear" w:pos="360"/>
        </w:tabs>
        <w:suppressAutoHyphens/>
        <w:rPr>
          <w:kern w:val="22"/>
          <w:lang w:val="fr-CA"/>
        </w:rPr>
      </w:pPr>
      <w:r w:rsidRPr="005E7DB2">
        <w:rPr>
          <w:i/>
          <w:lang w:val="fr-CA"/>
        </w:rPr>
        <w:t>Objectif 1 c) de la décision XII/3 (</w:t>
      </w:r>
      <w:r w:rsidRPr="005E7DB2">
        <w:rPr>
          <w:bCs/>
          <w:i/>
          <w:kern w:val="20"/>
          <w:lang w:val="fr-CA"/>
        </w:rPr>
        <w:t>d</w:t>
      </w:r>
      <w:r w:rsidR="001C0A75">
        <w:rPr>
          <w:bCs/>
          <w:i/>
          <w:kern w:val="20"/>
          <w:lang w:val="fr-CA"/>
        </w:rPr>
        <w:t>’</w:t>
      </w:r>
      <w:r w:rsidRPr="005E7DB2">
        <w:rPr>
          <w:bCs/>
          <w:i/>
          <w:kern w:val="20"/>
          <w:lang w:val="fr-CA"/>
        </w:rPr>
        <w:t>ici à 2015, faire rapport sur les dépenses nationales relatives à la diversité biologique, ainsi que sur les besoins de financement, insuffisances et priorités) </w:t>
      </w:r>
      <w:r w:rsidRPr="005E7DB2">
        <w:rPr>
          <w:bCs/>
          <w:kern w:val="20"/>
          <w:lang w:val="fr-CA"/>
        </w:rPr>
        <w:t xml:space="preserve">: </w:t>
      </w:r>
      <w:r w:rsidR="00F76634" w:rsidRPr="005E7DB2">
        <w:rPr>
          <w:bCs/>
          <w:kern w:val="20"/>
          <w:lang w:val="fr-CA"/>
        </w:rPr>
        <w:t>C</w:t>
      </w:r>
      <w:r w:rsidRPr="005E7DB2">
        <w:rPr>
          <w:bCs/>
          <w:kern w:val="20"/>
          <w:lang w:val="fr-CA"/>
        </w:rPr>
        <w:t>et objectif n</w:t>
      </w:r>
      <w:r w:rsidR="001C0A75">
        <w:rPr>
          <w:bCs/>
          <w:kern w:val="20"/>
          <w:lang w:val="fr-CA"/>
        </w:rPr>
        <w:t>’</w:t>
      </w:r>
      <w:r w:rsidRPr="005E7DB2">
        <w:rPr>
          <w:bCs/>
          <w:kern w:val="20"/>
          <w:lang w:val="fr-CA"/>
        </w:rPr>
        <w:t xml:space="preserve">a pas été atteint pour 2015, puisque seules 78 Parties ont fait état de leurs dépenses nationales liées à la </w:t>
      </w:r>
      <w:r w:rsidRPr="005E7DB2">
        <w:rPr>
          <w:bCs/>
          <w:kern w:val="20"/>
          <w:lang w:val="fr-CA"/>
        </w:rPr>
        <w:lastRenderedPageBreak/>
        <w:t>biodiversité et 44 Parties ont fait rapport sur leurs besoins de financement, insuffisances et priorités, soit considérablement moins que les 75 pour cent des Parties prévus par cet objectif. Cependant, les progrès dans la présentation de rapports sur les dépenses</w:t>
      </w:r>
      <w:r w:rsidR="009C12AB" w:rsidRPr="005E7DB2">
        <w:rPr>
          <w:bCs/>
          <w:kern w:val="20"/>
          <w:lang w:val="fr-CA"/>
        </w:rPr>
        <w:t xml:space="preserve"> nationales</w:t>
      </w:r>
      <w:r w:rsidRPr="005E7DB2">
        <w:rPr>
          <w:bCs/>
          <w:kern w:val="20"/>
          <w:lang w:val="fr-CA"/>
        </w:rPr>
        <w:t xml:space="preserve"> relatives à la diversité biologique semblent encourageants, </w:t>
      </w:r>
      <w:r w:rsidR="00221301" w:rsidRPr="005E7DB2">
        <w:rPr>
          <w:bCs/>
          <w:kern w:val="20"/>
          <w:lang w:val="fr-CA"/>
        </w:rPr>
        <w:t>surtout</w:t>
      </w:r>
      <w:r w:rsidRPr="005E7DB2">
        <w:rPr>
          <w:bCs/>
          <w:kern w:val="20"/>
          <w:lang w:val="fr-CA"/>
        </w:rPr>
        <w:t xml:space="preserve"> compte tenu du fait que la </w:t>
      </w:r>
      <w:r w:rsidR="00221301" w:rsidRPr="005E7DB2">
        <w:rPr>
          <w:bCs/>
          <w:kern w:val="20"/>
          <w:lang w:val="fr-CA"/>
        </w:rPr>
        <w:t>moitié des Parties déclarantes ont</w:t>
      </w:r>
      <w:r w:rsidRPr="005E7DB2">
        <w:rPr>
          <w:bCs/>
          <w:kern w:val="20"/>
          <w:lang w:val="fr-CA"/>
        </w:rPr>
        <w:t xml:space="preserve"> indiqué qu</w:t>
      </w:r>
      <w:r w:rsidR="001C0A75">
        <w:rPr>
          <w:bCs/>
          <w:kern w:val="20"/>
          <w:lang w:val="fr-CA"/>
        </w:rPr>
        <w:t>’</w:t>
      </w:r>
      <w:r w:rsidRPr="005E7DB2">
        <w:rPr>
          <w:bCs/>
          <w:kern w:val="20"/>
          <w:lang w:val="fr-CA"/>
        </w:rPr>
        <w:t xml:space="preserve">elles ne disposaient pas de ressources financières suffisantes pour </w:t>
      </w:r>
      <w:r w:rsidR="009C12AB" w:rsidRPr="005E7DB2">
        <w:rPr>
          <w:bCs/>
          <w:kern w:val="20"/>
          <w:lang w:val="fr-CA"/>
        </w:rPr>
        <w:t>réaliser ces</w:t>
      </w:r>
      <w:r w:rsidRPr="005E7DB2">
        <w:rPr>
          <w:bCs/>
          <w:kern w:val="20"/>
          <w:lang w:val="fr-CA"/>
        </w:rPr>
        <w:t xml:space="preserve"> rapport</w:t>
      </w:r>
      <w:r w:rsidR="009C12AB" w:rsidRPr="005E7DB2">
        <w:rPr>
          <w:bCs/>
          <w:kern w:val="20"/>
          <w:lang w:val="fr-CA"/>
        </w:rPr>
        <w:t>s</w:t>
      </w:r>
      <w:r w:rsidRPr="005E7DB2">
        <w:rPr>
          <w:bCs/>
          <w:kern w:val="20"/>
          <w:lang w:val="fr-CA"/>
        </w:rPr>
        <w:t>.</w:t>
      </w:r>
      <w:r w:rsidRPr="005E7DB2">
        <w:rPr>
          <w:i/>
          <w:lang w:val="fr-CA"/>
        </w:rPr>
        <w:t xml:space="preserve"> </w:t>
      </w:r>
      <w:r w:rsidRPr="005E7DB2">
        <w:rPr>
          <w:lang w:val="fr-CA"/>
        </w:rPr>
        <w:t>Sept Parties ont indiqué avoir entrepris certaines évaluations du rôle de l</w:t>
      </w:r>
      <w:r w:rsidR="001C0A75">
        <w:rPr>
          <w:lang w:val="fr-CA"/>
        </w:rPr>
        <w:t>’</w:t>
      </w:r>
      <w:r w:rsidRPr="005E7DB2">
        <w:rPr>
          <w:lang w:val="fr-CA"/>
        </w:rPr>
        <w:t>action collective. Cependant, la présentation de rapports sur les</w:t>
      </w:r>
      <w:r w:rsidRPr="005E7DB2">
        <w:rPr>
          <w:i/>
          <w:lang w:val="fr-CA"/>
        </w:rPr>
        <w:t xml:space="preserve"> </w:t>
      </w:r>
      <w:r w:rsidRPr="005E7DB2">
        <w:rPr>
          <w:bCs/>
          <w:kern w:val="20"/>
          <w:lang w:val="fr-CA"/>
        </w:rPr>
        <w:t>besoins de financement, insuffisances et priorités semble être plus difficile, car plus de la moitié des Parties déclarantes indiquent qu</w:t>
      </w:r>
      <w:r w:rsidR="001C0A75">
        <w:rPr>
          <w:bCs/>
          <w:kern w:val="20"/>
          <w:lang w:val="fr-CA"/>
        </w:rPr>
        <w:t>’</w:t>
      </w:r>
      <w:r w:rsidRPr="005E7DB2">
        <w:rPr>
          <w:bCs/>
          <w:kern w:val="20"/>
          <w:lang w:val="fr-CA"/>
        </w:rPr>
        <w:t>elles ne disposent pas des ressources financières nécessaires pour ce faire</w:t>
      </w:r>
      <w:r w:rsidR="009C12AB" w:rsidRPr="005E7DB2">
        <w:rPr>
          <w:bCs/>
          <w:kern w:val="20"/>
          <w:lang w:val="fr-CA"/>
        </w:rPr>
        <w:t>.</w:t>
      </w:r>
    </w:p>
    <w:p w:rsidR="000E687F" w:rsidRPr="005E7DB2" w:rsidRDefault="00AA1C4A" w:rsidP="009654F0">
      <w:pPr>
        <w:pStyle w:val="Para1"/>
        <w:suppressLineNumbers/>
        <w:tabs>
          <w:tab w:val="clear" w:pos="360"/>
        </w:tabs>
        <w:suppressAutoHyphens/>
        <w:rPr>
          <w:kern w:val="22"/>
          <w:lang w:val="fr-CA"/>
        </w:rPr>
      </w:pPr>
      <w:r w:rsidRPr="005E7DB2">
        <w:rPr>
          <w:i/>
          <w:lang w:val="fr-CA"/>
        </w:rPr>
        <w:t>Objectif 1 d) de la décision XII/3 (</w:t>
      </w:r>
      <w:r w:rsidRPr="005E7DB2">
        <w:rPr>
          <w:bCs/>
          <w:i/>
          <w:kern w:val="20"/>
          <w:lang w:val="fr-CA"/>
        </w:rPr>
        <w:t>d</w:t>
      </w:r>
      <w:r w:rsidR="001C0A75">
        <w:rPr>
          <w:bCs/>
          <w:i/>
          <w:kern w:val="20"/>
          <w:lang w:val="fr-CA"/>
        </w:rPr>
        <w:t>’</w:t>
      </w:r>
      <w:r w:rsidRPr="005E7DB2">
        <w:rPr>
          <w:bCs/>
          <w:i/>
          <w:kern w:val="20"/>
          <w:lang w:val="fr-CA"/>
        </w:rPr>
        <w:t>ici à 2015, élaborer des plans financiers nationaux en faveur de la diversité biologique, et évaluation des valeurs</w:t>
      </w:r>
      <w:r w:rsidRPr="005E7DB2">
        <w:rPr>
          <w:bCs/>
          <w:kern w:val="20"/>
          <w:lang w:val="fr-CA"/>
        </w:rPr>
        <w:t>) : Au total, 76 Parties ont répondu à la question portant sur la valorisation et/ou l</w:t>
      </w:r>
      <w:r w:rsidR="001C0A75">
        <w:rPr>
          <w:bCs/>
          <w:kern w:val="20"/>
          <w:lang w:val="fr-CA"/>
        </w:rPr>
        <w:t>’</w:t>
      </w:r>
      <w:r w:rsidRPr="005E7DB2">
        <w:rPr>
          <w:bCs/>
          <w:kern w:val="20"/>
          <w:lang w:val="fr-CA"/>
        </w:rPr>
        <w:t xml:space="preserve">évaluation des valeurs intrinsèques, écologiques, génétiques, socioéconomiques, scientifiques, pédagogiques, culturelles, </w:t>
      </w:r>
      <w:r w:rsidRPr="005E7DB2">
        <w:rPr>
          <w:bCs/>
          <w:noProof/>
          <w:kern w:val="20"/>
          <w:lang w:val="fr-CA"/>
        </w:rPr>
        <w:t>récréationnelles</w:t>
      </w:r>
      <w:r w:rsidRPr="005E7DB2">
        <w:rPr>
          <w:bCs/>
          <w:kern w:val="20"/>
          <w:lang w:val="fr-CA"/>
        </w:rPr>
        <w:t xml:space="preserve"> et esthétiques de la diversité biologique et de ses composantes, et bien que seules quatre Parties aient indiqué qu</w:t>
      </w:r>
      <w:r w:rsidR="001C0A75">
        <w:rPr>
          <w:bCs/>
          <w:kern w:val="20"/>
          <w:lang w:val="fr-CA"/>
        </w:rPr>
        <w:t>’</w:t>
      </w:r>
      <w:r w:rsidRPr="005E7DB2">
        <w:rPr>
          <w:bCs/>
          <w:kern w:val="20"/>
          <w:lang w:val="fr-CA"/>
        </w:rPr>
        <w:t>elles ont effectué des évaluations exhaustives en ce sens, 83 pour cent des Parties répondantes ont entrepris, au moins dans une certaine mesure, des évaluations, ce qui semble indiquer des progrès plutôt satisfaisants en ce q</w:t>
      </w:r>
      <w:r w:rsidR="00F76634" w:rsidRPr="005E7DB2">
        <w:rPr>
          <w:bCs/>
          <w:kern w:val="20"/>
          <w:lang w:val="fr-CA"/>
        </w:rPr>
        <w:t>ui concerne cet élément de l</w:t>
      </w:r>
      <w:r w:rsidR="001C0A75">
        <w:rPr>
          <w:bCs/>
          <w:kern w:val="20"/>
          <w:lang w:val="fr-CA"/>
        </w:rPr>
        <w:t>’</w:t>
      </w:r>
      <w:r w:rsidR="00F76634" w:rsidRPr="005E7DB2">
        <w:rPr>
          <w:bCs/>
          <w:kern w:val="20"/>
          <w:lang w:val="fr-CA"/>
        </w:rPr>
        <w:t>obj</w:t>
      </w:r>
      <w:r w:rsidRPr="005E7DB2">
        <w:rPr>
          <w:bCs/>
          <w:kern w:val="20"/>
          <w:lang w:val="fr-CA"/>
        </w:rPr>
        <w:t>ectif 1 d). Cependant, seules 23 Parties, soit 28 pour cent des Parties répondantes, ont fourni des éléments d</w:t>
      </w:r>
      <w:r w:rsidR="001C0A75">
        <w:rPr>
          <w:bCs/>
          <w:kern w:val="20"/>
          <w:lang w:val="fr-CA"/>
        </w:rPr>
        <w:t>’</w:t>
      </w:r>
      <w:r w:rsidRPr="005E7DB2">
        <w:rPr>
          <w:bCs/>
          <w:kern w:val="20"/>
          <w:lang w:val="fr-CA"/>
        </w:rPr>
        <w:t>un plan financier dans le tableau pertinent, présentant essentiellement des données agrégées sur le montant de ressources nationales et internationales qu</w:t>
      </w:r>
      <w:r w:rsidR="001C0A75">
        <w:rPr>
          <w:bCs/>
          <w:kern w:val="20"/>
          <w:lang w:val="fr-CA"/>
        </w:rPr>
        <w:t>’</w:t>
      </w:r>
      <w:r w:rsidRPr="005E7DB2">
        <w:rPr>
          <w:bCs/>
          <w:kern w:val="20"/>
          <w:lang w:val="fr-CA"/>
        </w:rPr>
        <w:t>elles projetaient mobiliser. Cela, ajouté au nombre réduit de rapports révisés et de nouveaux rapports, semble indiquer des difficultés qui persistent dans l</w:t>
      </w:r>
      <w:r w:rsidR="001C0A75">
        <w:rPr>
          <w:bCs/>
          <w:kern w:val="20"/>
          <w:lang w:val="fr-CA"/>
        </w:rPr>
        <w:t>’</w:t>
      </w:r>
      <w:r w:rsidRPr="005E7DB2">
        <w:rPr>
          <w:bCs/>
          <w:kern w:val="20"/>
          <w:lang w:val="fr-CA"/>
        </w:rPr>
        <w:t>élaboration et la présentation de rapports sur les plans financiers nationaux. De manière correspondante, les deux tiers des Parties répondantes ont indiqué ne pas disposer de ressources financières suffisantes pour la préparation de plans financiers. Cependant, seuls deux pays membres de l</w:t>
      </w:r>
      <w:r w:rsidR="001C0A75">
        <w:rPr>
          <w:bCs/>
          <w:kern w:val="20"/>
          <w:lang w:val="fr-CA"/>
        </w:rPr>
        <w:t>’</w:t>
      </w:r>
      <w:r w:rsidRPr="005E7DB2">
        <w:rPr>
          <w:bCs/>
          <w:kern w:val="20"/>
          <w:lang w:val="fr-CA"/>
        </w:rPr>
        <w:t>OCDE (Mexique et Suisse) ont fourni des éléments d</w:t>
      </w:r>
      <w:r w:rsidR="001C0A75">
        <w:rPr>
          <w:bCs/>
          <w:kern w:val="20"/>
          <w:lang w:val="fr-CA"/>
        </w:rPr>
        <w:t>’</w:t>
      </w:r>
      <w:r w:rsidRPr="005E7DB2">
        <w:rPr>
          <w:bCs/>
          <w:kern w:val="20"/>
          <w:lang w:val="fr-CA"/>
        </w:rPr>
        <w:t>un plan financier dans le tableau pertinent</w:t>
      </w:r>
      <w:r w:rsidR="005D4CBB" w:rsidRPr="005E7DB2">
        <w:rPr>
          <w:kern w:val="22"/>
          <w:lang w:val="fr-CA"/>
        </w:rPr>
        <w:t>.</w:t>
      </w:r>
    </w:p>
    <w:p w:rsidR="000E687F" w:rsidRPr="005E7DB2" w:rsidRDefault="00F76634" w:rsidP="009654F0">
      <w:pPr>
        <w:pStyle w:val="Para1"/>
        <w:suppressLineNumbers/>
        <w:tabs>
          <w:tab w:val="clear" w:pos="360"/>
        </w:tabs>
        <w:suppressAutoHyphens/>
        <w:rPr>
          <w:kern w:val="22"/>
          <w:szCs w:val="22"/>
          <w:lang w:val="fr-CA"/>
        </w:rPr>
      </w:pPr>
      <w:r w:rsidRPr="005E7DB2">
        <w:rPr>
          <w:i/>
          <w:spacing w:val="-1"/>
          <w:kern w:val="22"/>
          <w:szCs w:val="22"/>
          <w:lang w:val="fr-CA"/>
        </w:rPr>
        <w:t xml:space="preserve">Objectif 1 e) de la décision XII/3 </w:t>
      </w:r>
      <w:r w:rsidRPr="005E7DB2">
        <w:rPr>
          <w:i/>
          <w:iCs/>
          <w:spacing w:val="-1"/>
          <w:kern w:val="22"/>
          <w:szCs w:val="22"/>
          <w:lang w:val="fr-CA"/>
        </w:rPr>
        <w:t>(mobilisation de ressources financières nationales</w:t>
      </w:r>
      <w:r w:rsidRPr="005E7DB2">
        <w:rPr>
          <w:iCs/>
          <w:spacing w:val="-1"/>
          <w:kern w:val="22"/>
          <w:szCs w:val="22"/>
          <w:lang w:val="fr-CA"/>
        </w:rPr>
        <w:t xml:space="preserve">) : Les informations fournies par le biais du </w:t>
      </w:r>
      <w:r w:rsidR="001C0A75">
        <w:rPr>
          <w:iCs/>
          <w:spacing w:val="-1"/>
          <w:kern w:val="22"/>
          <w:szCs w:val="22"/>
          <w:lang w:val="fr-CA"/>
        </w:rPr>
        <w:t>C</w:t>
      </w:r>
      <w:r w:rsidRPr="005E7DB2">
        <w:rPr>
          <w:iCs/>
          <w:spacing w:val="-1"/>
          <w:kern w:val="22"/>
          <w:szCs w:val="22"/>
          <w:lang w:val="fr-CA"/>
        </w:rPr>
        <w:t>adre de présentation des rapports financiers indiquent que</w:t>
      </w:r>
      <w:r w:rsidR="00C31F45" w:rsidRPr="005E7DB2">
        <w:rPr>
          <w:iCs/>
          <w:spacing w:val="-1"/>
          <w:kern w:val="22"/>
          <w:szCs w:val="22"/>
          <w:lang w:val="fr-CA"/>
        </w:rPr>
        <w:t>, en ce qui concerne les</w:t>
      </w:r>
      <w:r w:rsidRPr="005E7DB2">
        <w:rPr>
          <w:iCs/>
          <w:spacing w:val="-1"/>
          <w:kern w:val="22"/>
          <w:szCs w:val="22"/>
          <w:lang w:val="fr-CA"/>
        </w:rPr>
        <w:t xml:space="preserve"> </w:t>
      </w:r>
      <w:r w:rsidR="00C31F45" w:rsidRPr="005E7DB2">
        <w:rPr>
          <w:iCs/>
          <w:spacing w:val="-1"/>
          <w:kern w:val="22"/>
          <w:szCs w:val="22"/>
          <w:lang w:val="fr-CA"/>
        </w:rPr>
        <w:t xml:space="preserve">ressources nationales allouées à la biodiversité, </w:t>
      </w:r>
      <w:r w:rsidRPr="005E7DB2">
        <w:rPr>
          <w:iCs/>
          <w:spacing w:val="-1"/>
          <w:kern w:val="22"/>
          <w:szCs w:val="22"/>
          <w:lang w:val="fr-CA"/>
        </w:rPr>
        <w:t>28 Parties mon</w:t>
      </w:r>
      <w:r w:rsidR="00C31F45" w:rsidRPr="005E7DB2">
        <w:rPr>
          <w:iCs/>
          <w:spacing w:val="-1"/>
          <w:kern w:val="22"/>
          <w:szCs w:val="22"/>
          <w:lang w:val="fr-CA"/>
        </w:rPr>
        <w:t>trent des tendances à la hausse, 24 ne montrent aucun changement, et 13 font état de tendances à la baisse. Pour 13 autres Parties, les tendances n</w:t>
      </w:r>
      <w:r w:rsidR="001C0A75">
        <w:rPr>
          <w:iCs/>
          <w:spacing w:val="-1"/>
          <w:kern w:val="22"/>
          <w:szCs w:val="22"/>
          <w:lang w:val="fr-CA"/>
        </w:rPr>
        <w:t>’</w:t>
      </w:r>
      <w:r w:rsidR="00C31F45" w:rsidRPr="005E7DB2">
        <w:rPr>
          <w:iCs/>
          <w:spacing w:val="-1"/>
          <w:kern w:val="22"/>
          <w:szCs w:val="22"/>
          <w:lang w:val="fr-CA"/>
        </w:rPr>
        <w:t xml:space="preserve">ont pas pu être détectées ou ne sont pas concluantes (voir le </w:t>
      </w:r>
      <w:r w:rsidR="00C31F45" w:rsidRPr="005E7DB2">
        <w:rPr>
          <w:iCs/>
          <w:noProof/>
          <w:spacing w:val="-1"/>
          <w:kern w:val="22"/>
          <w:szCs w:val="22"/>
          <w:lang w:val="fr-CA"/>
        </w:rPr>
        <w:t>paragraphe 22 ci</w:t>
      </w:r>
      <w:r w:rsidR="001C0A75">
        <w:rPr>
          <w:iCs/>
          <w:noProof/>
          <w:spacing w:val="-1"/>
          <w:kern w:val="22"/>
          <w:szCs w:val="22"/>
          <w:lang w:val="fr-CA"/>
        </w:rPr>
        <w:noBreakHyphen/>
      </w:r>
      <w:r w:rsidR="00C31F45" w:rsidRPr="005E7DB2">
        <w:rPr>
          <w:iCs/>
          <w:noProof/>
          <w:spacing w:val="-1"/>
          <w:kern w:val="22"/>
          <w:szCs w:val="22"/>
          <w:lang w:val="fr-CA"/>
        </w:rPr>
        <w:t>dessus et le tableau 2). Ainsi,</w:t>
      </w:r>
      <w:r w:rsidRPr="005E7DB2">
        <w:rPr>
          <w:iCs/>
          <w:noProof/>
          <w:spacing w:val="-1"/>
          <w:kern w:val="22"/>
          <w:szCs w:val="22"/>
          <w:lang w:val="fr-CA"/>
        </w:rPr>
        <w:t xml:space="preserve"> </w:t>
      </w:r>
      <w:r w:rsidR="00C31F45" w:rsidRPr="005E7DB2">
        <w:rPr>
          <w:iCs/>
          <w:noProof/>
          <w:spacing w:val="-1"/>
          <w:kern w:val="22"/>
          <w:szCs w:val="22"/>
          <w:lang w:val="fr-CA"/>
        </w:rPr>
        <w:t>les tendances en matière de dépenses liées à la biodiversité, du moins celles pouvant être détectées, semblent être positives dans l</w:t>
      </w:r>
      <w:r w:rsidR="001C0A75">
        <w:rPr>
          <w:iCs/>
          <w:noProof/>
          <w:spacing w:val="-1"/>
          <w:kern w:val="22"/>
          <w:szCs w:val="22"/>
          <w:lang w:val="fr-CA"/>
        </w:rPr>
        <w:t>’</w:t>
      </w:r>
      <w:r w:rsidR="00C31F45" w:rsidRPr="005E7DB2">
        <w:rPr>
          <w:iCs/>
          <w:noProof/>
          <w:spacing w:val="-1"/>
          <w:kern w:val="22"/>
          <w:szCs w:val="22"/>
          <w:lang w:val="fr-CA"/>
        </w:rPr>
        <w:t>ensemble, en particulier pour les pays</w:t>
      </w:r>
      <w:r w:rsidR="00C31F45" w:rsidRPr="005E7DB2">
        <w:rPr>
          <w:iCs/>
          <w:spacing w:val="-1"/>
          <w:kern w:val="22"/>
          <w:szCs w:val="22"/>
          <w:lang w:val="fr-CA"/>
        </w:rPr>
        <w:t xml:space="preserve"> </w:t>
      </w:r>
      <w:proofErr w:type="spellStart"/>
      <w:r w:rsidR="00C31F45" w:rsidRPr="005E7DB2">
        <w:rPr>
          <w:iCs/>
          <w:spacing w:val="-1"/>
          <w:kern w:val="22"/>
          <w:szCs w:val="22"/>
          <w:lang w:val="fr-CA"/>
        </w:rPr>
        <w:t>non</w:t>
      </w:r>
      <w:r w:rsidR="001C0A75">
        <w:rPr>
          <w:iCs/>
          <w:spacing w:val="-1"/>
          <w:kern w:val="22"/>
          <w:szCs w:val="22"/>
          <w:lang w:val="fr-CA"/>
        </w:rPr>
        <w:noBreakHyphen/>
      </w:r>
      <w:r w:rsidR="00C31F45" w:rsidRPr="005E7DB2">
        <w:rPr>
          <w:iCs/>
          <w:spacing w:val="-1"/>
          <w:kern w:val="22"/>
          <w:szCs w:val="22"/>
          <w:lang w:val="fr-CA"/>
        </w:rPr>
        <w:t>membres</w:t>
      </w:r>
      <w:proofErr w:type="spellEnd"/>
      <w:r w:rsidR="00C31F45" w:rsidRPr="005E7DB2">
        <w:rPr>
          <w:iCs/>
          <w:spacing w:val="-1"/>
          <w:kern w:val="22"/>
          <w:szCs w:val="22"/>
          <w:lang w:val="fr-CA"/>
        </w:rPr>
        <w:t xml:space="preserve"> du CAD, même si les rapports sur les dépenses sont habituellement basés sur quelques années seulement, et par conséquent toute tendance détectable n</w:t>
      </w:r>
      <w:r w:rsidR="001C0A75">
        <w:rPr>
          <w:iCs/>
          <w:spacing w:val="-1"/>
          <w:kern w:val="22"/>
          <w:szCs w:val="22"/>
          <w:lang w:val="fr-CA"/>
        </w:rPr>
        <w:t>’</w:t>
      </w:r>
      <w:r w:rsidR="00C31F45" w:rsidRPr="005E7DB2">
        <w:rPr>
          <w:iCs/>
          <w:spacing w:val="-1"/>
          <w:kern w:val="22"/>
          <w:szCs w:val="22"/>
          <w:lang w:val="fr-CA"/>
        </w:rPr>
        <w:t xml:space="preserve">est pas nécessairement très robuste. </w:t>
      </w:r>
      <w:r w:rsidR="00160BB8" w:rsidRPr="005E7DB2">
        <w:rPr>
          <w:iCs/>
          <w:spacing w:val="-1"/>
          <w:kern w:val="22"/>
          <w:szCs w:val="22"/>
          <w:lang w:val="fr-CA"/>
        </w:rPr>
        <w:t>Cependant, a</w:t>
      </w:r>
      <w:r w:rsidR="00C31F45" w:rsidRPr="005E7DB2">
        <w:rPr>
          <w:iCs/>
          <w:spacing w:val="-1"/>
          <w:kern w:val="22"/>
          <w:szCs w:val="22"/>
          <w:lang w:val="fr-CA"/>
        </w:rPr>
        <w:t>fin de pouvoir évaluer si un déficit de financement a été comblé grâce à la mobilisation de ressources financières addi</w:t>
      </w:r>
      <w:r w:rsidR="00160BB8" w:rsidRPr="005E7DB2">
        <w:rPr>
          <w:iCs/>
          <w:spacing w:val="-1"/>
          <w:kern w:val="22"/>
          <w:szCs w:val="22"/>
          <w:lang w:val="fr-CA"/>
        </w:rPr>
        <w:t>tionnelles, un tel déficit doit</w:t>
      </w:r>
      <w:r w:rsidR="00C31F45" w:rsidRPr="005E7DB2">
        <w:rPr>
          <w:iCs/>
          <w:spacing w:val="-1"/>
          <w:kern w:val="22"/>
          <w:szCs w:val="22"/>
          <w:lang w:val="fr-CA"/>
        </w:rPr>
        <w:t xml:space="preserve"> être déterminé </w:t>
      </w:r>
      <w:r w:rsidR="00160BB8" w:rsidRPr="005E7DB2">
        <w:rPr>
          <w:iCs/>
          <w:spacing w:val="-1"/>
          <w:kern w:val="22"/>
          <w:szCs w:val="22"/>
          <w:lang w:val="fr-CA"/>
        </w:rPr>
        <w:t>et</w:t>
      </w:r>
      <w:r w:rsidR="009C12AB" w:rsidRPr="005E7DB2">
        <w:rPr>
          <w:iCs/>
          <w:spacing w:val="-1"/>
          <w:kern w:val="22"/>
          <w:szCs w:val="22"/>
          <w:lang w:val="fr-CA"/>
        </w:rPr>
        <w:t xml:space="preserve"> également</w:t>
      </w:r>
      <w:r w:rsidR="00C31F45" w:rsidRPr="005E7DB2">
        <w:rPr>
          <w:iCs/>
          <w:spacing w:val="-1"/>
          <w:kern w:val="22"/>
          <w:szCs w:val="22"/>
          <w:lang w:val="fr-CA"/>
        </w:rPr>
        <w:t xml:space="preserve"> faire l</w:t>
      </w:r>
      <w:r w:rsidR="001C0A75">
        <w:rPr>
          <w:iCs/>
          <w:spacing w:val="-1"/>
          <w:kern w:val="22"/>
          <w:szCs w:val="22"/>
          <w:lang w:val="fr-CA"/>
        </w:rPr>
        <w:t>’</w:t>
      </w:r>
      <w:r w:rsidR="00C31F45" w:rsidRPr="005E7DB2">
        <w:rPr>
          <w:iCs/>
          <w:spacing w:val="-1"/>
          <w:kern w:val="22"/>
          <w:szCs w:val="22"/>
          <w:lang w:val="fr-CA"/>
        </w:rPr>
        <w:t>objet d</w:t>
      </w:r>
      <w:r w:rsidR="001C0A75">
        <w:rPr>
          <w:iCs/>
          <w:spacing w:val="-1"/>
          <w:kern w:val="22"/>
          <w:szCs w:val="22"/>
          <w:lang w:val="fr-CA"/>
        </w:rPr>
        <w:t>’</w:t>
      </w:r>
      <w:r w:rsidR="00C31F45" w:rsidRPr="005E7DB2">
        <w:rPr>
          <w:iCs/>
          <w:spacing w:val="-1"/>
          <w:kern w:val="22"/>
          <w:szCs w:val="22"/>
          <w:lang w:val="fr-CA"/>
        </w:rPr>
        <w:t xml:space="preserve">un rapport. </w:t>
      </w:r>
      <w:r w:rsidR="00160BB8" w:rsidRPr="005E7DB2">
        <w:rPr>
          <w:iCs/>
          <w:spacing w:val="-1"/>
          <w:kern w:val="22"/>
          <w:szCs w:val="22"/>
          <w:lang w:val="fr-CA"/>
        </w:rPr>
        <w:t>Des progrès limités dans l</w:t>
      </w:r>
      <w:r w:rsidR="001C0A75">
        <w:rPr>
          <w:iCs/>
          <w:spacing w:val="-1"/>
          <w:kern w:val="22"/>
          <w:szCs w:val="22"/>
          <w:lang w:val="fr-CA"/>
        </w:rPr>
        <w:t>’</w:t>
      </w:r>
      <w:r w:rsidR="00160BB8" w:rsidRPr="005E7DB2">
        <w:rPr>
          <w:iCs/>
          <w:spacing w:val="-1"/>
          <w:kern w:val="22"/>
          <w:szCs w:val="22"/>
          <w:lang w:val="fr-CA"/>
        </w:rPr>
        <w:t>identification et les rapports de déficits financiers et la préparation de plans financiers nationaux, comme exposé précédemment, ont une incidence sur l</w:t>
      </w:r>
      <w:r w:rsidR="001C0A75">
        <w:rPr>
          <w:iCs/>
          <w:spacing w:val="-1"/>
          <w:kern w:val="22"/>
          <w:szCs w:val="22"/>
          <w:lang w:val="fr-CA"/>
        </w:rPr>
        <w:t>’</w:t>
      </w:r>
      <w:r w:rsidR="00160BB8" w:rsidRPr="005E7DB2">
        <w:rPr>
          <w:iCs/>
          <w:spacing w:val="-1"/>
          <w:kern w:val="22"/>
          <w:szCs w:val="22"/>
          <w:lang w:val="fr-CA"/>
        </w:rPr>
        <w:t>évaluation des progrès par rapport à cet objectif</w:t>
      </w:r>
      <w:r w:rsidR="009C12AB" w:rsidRPr="005E7DB2">
        <w:rPr>
          <w:iCs/>
          <w:spacing w:val="-1"/>
          <w:kern w:val="22"/>
          <w:szCs w:val="22"/>
          <w:lang w:val="fr-CA"/>
        </w:rPr>
        <w:t>.</w:t>
      </w:r>
    </w:p>
    <w:bookmarkEnd w:id="2"/>
    <w:p w:rsidR="00012146" w:rsidRPr="005E7DB2" w:rsidRDefault="00126A70" w:rsidP="009654F0">
      <w:pPr>
        <w:pStyle w:val="Para1"/>
        <w:suppressLineNumbers/>
        <w:tabs>
          <w:tab w:val="clear" w:pos="360"/>
        </w:tabs>
        <w:suppressAutoHyphens/>
        <w:rPr>
          <w:kern w:val="22"/>
          <w:szCs w:val="22"/>
          <w:lang w:val="fr-CA"/>
        </w:rPr>
      </w:pPr>
      <w:r w:rsidRPr="005E7DB2">
        <w:rPr>
          <w:szCs w:val="22"/>
          <w:lang w:val="fr-CA"/>
        </w:rPr>
        <w:t>Le plus récent rapport d</w:t>
      </w:r>
      <w:r w:rsidR="001C0A75">
        <w:rPr>
          <w:szCs w:val="22"/>
          <w:lang w:val="fr-CA"/>
        </w:rPr>
        <w:t>’</w:t>
      </w:r>
      <w:r w:rsidRPr="005E7DB2">
        <w:rPr>
          <w:szCs w:val="22"/>
          <w:lang w:val="fr-CA"/>
        </w:rPr>
        <w:t>évaluation du financement mondial de la biodiversité, préparé par l</w:t>
      </w:r>
      <w:r w:rsidR="001C0A75">
        <w:rPr>
          <w:szCs w:val="22"/>
          <w:lang w:val="fr-CA"/>
        </w:rPr>
        <w:t>’</w:t>
      </w:r>
      <w:r w:rsidRPr="005E7DB2">
        <w:rPr>
          <w:szCs w:val="22"/>
          <w:lang w:val="fr-CA"/>
        </w:rPr>
        <w:t>OCDE en réponse à une demande émanant de la réunion des ministres de l</w:t>
      </w:r>
      <w:r w:rsidR="001C0A75">
        <w:rPr>
          <w:szCs w:val="22"/>
          <w:lang w:val="fr-CA"/>
        </w:rPr>
        <w:t>’</w:t>
      </w:r>
      <w:r w:rsidRPr="005E7DB2">
        <w:rPr>
          <w:szCs w:val="22"/>
          <w:lang w:val="fr-CA"/>
        </w:rPr>
        <w:t>Environnement du G</w:t>
      </w:r>
      <w:r w:rsidR="001C0A75">
        <w:rPr>
          <w:szCs w:val="22"/>
          <w:lang w:val="fr-CA"/>
        </w:rPr>
        <w:noBreakHyphen/>
      </w:r>
      <w:r w:rsidRPr="005E7DB2">
        <w:rPr>
          <w:szCs w:val="22"/>
          <w:lang w:val="fr-CA"/>
        </w:rPr>
        <w:t>7 en mai 2019, avait été mis, dans une version provisoire, à la disposition de l</w:t>
      </w:r>
      <w:r w:rsidR="001C0A75">
        <w:rPr>
          <w:szCs w:val="22"/>
          <w:lang w:val="fr-CA"/>
        </w:rPr>
        <w:t>’</w:t>
      </w:r>
      <w:r w:rsidRPr="005E7DB2">
        <w:rPr>
          <w:szCs w:val="22"/>
          <w:lang w:val="fr-CA"/>
        </w:rPr>
        <w:t>Atelier thématique sur la mobilisation des ressources pour le Cadre mondial de la biodiversité pour l</w:t>
      </w:r>
      <w:r w:rsidR="001C0A75">
        <w:rPr>
          <w:szCs w:val="22"/>
          <w:lang w:val="fr-CA"/>
        </w:rPr>
        <w:t>’</w:t>
      </w:r>
      <w:r w:rsidRPr="005E7DB2">
        <w:rPr>
          <w:szCs w:val="22"/>
          <w:lang w:val="fr-CA"/>
        </w:rPr>
        <w:t>après</w:t>
      </w:r>
      <w:r w:rsidR="001C0A75">
        <w:rPr>
          <w:szCs w:val="22"/>
          <w:lang w:val="fr-CA"/>
        </w:rPr>
        <w:noBreakHyphen/>
      </w:r>
      <w:r w:rsidRPr="005E7DB2">
        <w:rPr>
          <w:szCs w:val="22"/>
          <w:lang w:val="fr-CA"/>
        </w:rPr>
        <w:t>2020, tenu en janvier 2020, et a été publié dans sa version définitive en avril 2020. Ce rapport de l</w:t>
      </w:r>
      <w:r w:rsidR="001C0A75">
        <w:rPr>
          <w:szCs w:val="22"/>
          <w:lang w:val="fr-CA"/>
        </w:rPr>
        <w:t>’</w:t>
      </w:r>
      <w:r w:rsidRPr="005E7DB2">
        <w:rPr>
          <w:szCs w:val="22"/>
          <w:lang w:val="fr-CA"/>
        </w:rPr>
        <w:t xml:space="preserve">OCDE, </w:t>
      </w:r>
      <w:r w:rsidRPr="005E7DB2">
        <w:rPr>
          <w:i/>
          <w:noProof/>
          <w:szCs w:val="22"/>
          <w:lang w:val="fr-CA"/>
        </w:rPr>
        <w:t>A Comprehensive Overview of Global Biodiversity Finance</w:t>
      </w:r>
      <w:r w:rsidRPr="005E7DB2">
        <w:rPr>
          <w:rStyle w:val="FootnoteReference"/>
          <w:iCs/>
          <w:noProof/>
          <w:szCs w:val="22"/>
          <w:lang w:val="fr-CA"/>
        </w:rPr>
        <w:footnoteReference w:id="26"/>
      </w:r>
      <w:r w:rsidRPr="005E7DB2">
        <w:rPr>
          <w:noProof/>
          <w:szCs w:val="22"/>
          <w:lang w:val="fr-CA"/>
        </w:rPr>
        <w:t xml:space="preserve"> (Aperçu complet du financement mondial de</w:t>
      </w:r>
      <w:r w:rsidRPr="005E7DB2">
        <w:rPr>
          <w:szCs w:val="22"/>
          <w:lang w:val="fr-CA"/>
        </w:rPr>
        <w:t xml:space="preserve"> la biodiversité) fournit d</w:t>
      </w:r>
      <w:r w:rsidR="001C0A75">
        <w:rPr>
          <w:szCs w:val="22"/>
          <w:lang w:val="fr-CA"/>
        </w:rPr>
        <w:t>’</w:t>
      </w:r>
      <w:r w:rsidRPr="005E7DB2">
        <w:rPr>
          <w:szCs w:val="22"/>
          <w:lang w:val="fr-CA"/>
        </w:rPr>
        <w:t>importantes nouvelles informations sur la situation actuelle. Certaines conclusions clés tirées du rapport, que le Groupe d</w:t>
      </w:r>
      <w:r w:rsidR="001C0A75">
        <w:rPr>
          <w:szCs w:val="22"/>
          <w:lang w:val="fr-CA"/>
        </w:rPr>
        <w:t>’</w:t>
      </w:r>
      <w:r w:rsidRPr="005E7DB2">
        <w:rPr>
          <w:szCs w:val="22"/>
          <w:lang w:val="fr-CA"/>
        </w:rPr>
        <w:t>experts estime importantes, sont présentées aux paragraphes </w:t>
      </w:r>
      <w:r w:rsidRPr="005E7DB2">
        <w:rPr>
          <w:noProof/>
          <w:szCs w:val="22"/>
          <w:lang w:val="fr-CA"/>
        </w:rPr>
        <w:t>57 à 63 ci</w:t>
      </w:r>
      <w:r w:rsidR="001C0A75">
        <w:rPr>
          <w:noProof/>
          <w:szCs w:val="22"/>
          <w:lang w:val="fr-CA"/>
        </w:rPr>
        <w:noBreakHyphen/>
      </w:r>
      <w:r w:rsidRPr="005E7DB2">
        <w:rPr>
          <w:noProof/>
          <w:szCs w:val="22"/>
          <w:lang w:val="fr-CA"/>
        </w:rPr>
        <w:t>après</w:t>
      </w:r>
      <w:r w:rsidR="00644CC1" w:rsidRPr="005E7DB2">
        <w:rPr>
          <w:kern w:val="22"/>
          <w:szCs w:val="22"/>
          <w:lang w:val="fr-CA"/>
        </w:rPr>
        <w:t>.</w:t>
      </w:r>
    </w:p>
    <w:p w:rsidR="00012146" w:rsidRPr="005E7DB2" w:rsidRDefault="00456C96" w:rsidP="002D21DA">
      <w:pPr>
        <w:pStyle w:val="Para1"/>
        <w:suppressLineNumbers/>
        <w:tabs>
          <w:tab w:val="clear" w:pos="360"/>
        </w:tabs>
        <w:suppressAutoHyphens/>
        <w:rPr>
          <w:kern w:val="22"/>
          <w:szCs w:val="22"/>
          <w:lang w:val="fr-CA"/>
        </w:rPr>
      </w:pPr>
      <w:r w:rsidRPr="005E7DB2">
        <w:rPr>
          <w:szCs w:val="22"/>
          <w:lang w:val="fr-CA"/>
        </w:rPr>
        <w:t>D</w:t>
      </w:r>
      <w:r w:rsidR="001C0A75">
        <w:rPr>
          <w:szCs w:val="22"/>
          <w:lang w:val="fr-CA"/>
        </w:rPr>
        <w:t>’</w:t>
      </w:r>
      <w:r w:rsidRPr="005E7DB2">
        <w:rPr>
          <w:szCs w:val="22"/>
          <w:lang w:val="fr-CA"/>
        </w:rPr>
        <w:t>après les données disponibles, l</w:t>
      </w:r>
      <w:r w:rsidR="001C0A75">
        <w:rPr>
          <w:szCs w:val="22"/>
          <w:lang w:val="fr-CA"/>
        </w:rPr>
        <w:t>’</w:t>
      </w:r>
      <w:r w:rsidRPr="005E7DB2">
        <w:rPr>
          <w:szCs w:val="22"/>
          <w:lang w:val="fr-CA"/>
        </w:rPr>
        <w:t>analyse de l</w:t>
      </w:r>
      <w:r w:rsidR="001C0A75">
        <w:rPr>
          <w:szCs w:val="22"/>
          <w:lang w:val="fr-CA"/>
        </w:rPr>
        <w:t>’</w:t>
      </w:r>
      <w:r w:rsidRPr="005E7DB2">
        <w:rPr>
          <w:szCs w:val="22"/>
          <w:lang w:val="fr-CA"/>
        </w:rPr>
        <w:t xml:space="preserve">OCDE estime que le financement total mondial en faveur de la biodiversité se situe entre 78 et 91 milliards USD par an. Cette estimation comprend les </w:t>
      </w:r>
      <w:r w:rsidRPr="005E7DB2">
        <w:rPr>
          <w:szCs w:val="22"/>
          <w:lang w:val="fr-CA"/>
        </w:rPr>
        <w:lastRenderedPageBreak/>
        <w:t>dépenses publiques annuelles moyennes de 2015 à 2017 et les plus récentes données disponibles sur les dépenses du secteur privé pour la même période</w:t>
      </w:r>
      <w:r w:rsidR="00012146" w:rsidRPr="005E7DB2">
        <w:rPr>
          <w:kern w:val="22"/>
          <w:szCs w:val="22"/>
          <w:lang w:val="fr-CA"/>
        </w:rPr>
        <w:t>.</w:t>
      </w:r>
    </w:p>
    <w:p w:rsidR="001408A1" w:rsidRPr="005E7DB2" w:rsidRDefault="00456C96">
      <w:pPr>
        <w:pStyle w:val="Para1"/>
        <w:suppressLineNumbers/>
        <w:tabs>
          <w:tab w:val="clear" w:pos="360"/>
        </w:tabs>
        <w:suppressAutoHyphens/>
        <w:rPr>
          <w:kern w:val="22"/>
          <w:szCs w:val="22"/>
          <w:lang w:val="fr-CA"/>
        </w:rPr>
      </w:pPr>
      <w:r w:rsidRPr="005E7DB2">
        <w:rPr>
          <w:szCs w:val="22"/>
          <w:lang w:val="fr-CA"/>
        </w:rPr>
        <w:t>Les dépenses publiques en faveur de la biodiversité à l</w:t>
      </w:r>
      <w:r w:rsidR="001C0A75">
        <w:rPr>
          <w:szCs w:val="22"/>
          <w:lang w:val="fr-CA"/>
        </w:rPr>
        <w:t>’</w:t>
      </w:r>
      <w:r w:rsidRPr="005E7DB2">
        <w:rPr>
          <w:szCs w:val="22"/>
          <w:lang w:val="fr-CA"/>
        </w:rPr>
        <w:t xml:space="preserve">échelle internationale </w:t>
      </w:r>
      <w:r w:rsidR="001C0A75">
        <w:rPr>
          <w:szCs w:val="22"/>
          <w:lang w:val="fr-CA"/>
        </w:rPr>
        <w:noBreakHyphen/>
      </w:r>
      <w:r w:rsidRPr="005E7DB2">
        <w:rPr>
          <w:szCs w:val="22"/>
          <w:lang w:val="fr-CA"/>
        </w:rPr>
        <w:t xml:space="preserve"> en particulier l</w:t>
      </w:r>
      <w:r w:rsidR="001C0A75">
        <w:rPr>
          <w:szCs w:val="22"/>
          <w:lang w:val="fr-CA"/>
        </w:rPr>
        <w:t>’</w:t>
      </w:r>
      <w:r w:rsidRPr="005E7DB2">
        <w:rPr>
          <w:szCs w:val="22"/>
          <w:lang w:val="fr-CA"/>
        </w:rPr>
        <w:t>aide officielle au développement (AOD), mais comprenant également d</w:t>
      </w:r>
      <w:r w:rsidR="001C0A75">
        <w:rPr>
          <w:szCs w:val="22"/>
          <w:lang w:val="fr-CA"/>
        </w:rPr>
        <w:t>’</w:t>
      </w:r>
      <w:r w:rsidRPr="005E7DB2">
        <w:rPr>
          <w:szCs w:val="22"/>
          <w:lang w:val="fr-CA"/>
        </w:rPr>
        <w:t>autres apports du secteur public (AASP) – constituent une partie importante du financement global de la biodiversité et il est estimé qu</w:t>
      </w:r>
      <w:r w:rsidR="001C0A75">
        <w:rPr>
          <w:szCs w:val="22"/>
          <w:lang w:val="fr-CA"/>
        </w:rPr>
        <w:t>’</w:t>
      </w:r>
      <w:r w:rsidRPr="005E7DB2">
        <w:rPr>
          <w:szCs w:val="22"/>
          <w:lang w:val="fr-CA"/>
        </w:rPr>
        <w:t>elles se situent au total entre 3,9 et 9,3 milliards USD annuellement, d</w:t>
      </w:r>
      <w:r w:rsidR="001C0A75">
        <w:rPr>
          <w:szCs w:val="22"/>
          <w:lang w:val="fr-CA"/>
        </w:rPr>
        <w:t>’</w:t>
      </w:r>
      <w:r w:rsidRPr="005E7DB2">
        <w:rPr>
          <w:szCs w:val="22"/>
          <w:lang w:val="fr-CA"/>
        </w:rPr>
        <w:t>après la moyenne des flux entre 2015 et 2017.</w:t>
      </w:r>
      <w:r w:rsidRPr="005E7DB2">
        <w:rPr>
          <w:vertAlign w:val="superscript"/>
          <w:lang w:val="fr-CA"/>
        </w:rPr>
        <w:footnoteReference w:id="27"/>
      </w:r>
      <w:r w:rsidRPr="005E7DB2">
        <w:rPr>
          <w:szCs w:val="22"/>
          <w:lang w:val="fr-CA"/>
        </w:rPr>
        <w:t xml:space="preserve"> Cela comprend les flux bilatéraux de 3,5 à 8,4 milliards USD, et les flux multilatéraux de 0,3 à 0,9 milliards USD</w:t>
      </w:r>
      <w:r w:rsidR="00D37B60" w:rsidRPr="005E7DB2">
        <w:rPr>
          <w:kern w:val="22"/>
          <w:szCs w:val="22"/>
          <w:lang w:val="fr-CA"/>
        </w:rPr>
        <w:t>.</w:t>
      </w:r>
    </w:p>
    <w:p w:rsidR="00012146" w:rsidRPr="005E7DB2" w:rsidRDefault="00D73D57">
      <w:pPr>
        <w:pStyle w:val="Para1"/>
        <w:suppressLineNumbers/>
        <w:tabs>
          <w:tab w:val="clear" w:pos="360"/>
        </w:tabs>
        <w:suppressAutoHyphens/>
        <w:rPr>
          <w:kern w:val="22"/>
          <w:szCs w:val="22"/>
          <w:lang w:val="fr-CA"/>
        </w:rPr>
      </w:pPr>
      <w:r w:rsidRPr="005E7DB2">
        <w:rPr>
          <w:szCs w:val="22"/>
          <w:lang w:val="fr-CA"/>
        </w:rPr>
        <w:t>Cependant, les dépenses publiques nationales constituent la plus grande part des dépenses globales en faveur de la biodiversité. Entre 2015 et 2017, 81 pays ont collectivement dépensé en moyenne 67,8 milliards USD annuellement pour la conservation et l</w:t>
      </w:r>
      <w:r w:rsidR="001C0A75">
        <w:rPr>
          <w:szCs w:val="22"/>
          <w:lang w:val="fr-CA"/>
        </w:rPr>
        <w:t>’</w:t>
      </w:r>
      <w:r w:rsidRPr="005E7DB2">
        <w:rPr>
          <w:szCs w:val="22"/>
          <w:lang w:val="fr-CA"/>
        </w:rPr>
        <w:t>utilisation durable de la biodiversité.</w:t>
      </w:r>
      <w:r w:rsidRPr="005E7DB2">
        <w:rPr>
          <w:rStyle w:val="FootnoteReference"/>
          <w:szCs w:val="22"/>
          <w:lang w:val="fr-CA"/>
        </w:rPr>
        <w:footnoteReference w:id="28"/>
      </w:r>
      <w:r w:rsidRPr="005E7DB2">
        <w:rPr>
          <w:szCs w:val="22"/>
          <w:lang w:val="fr-CA"/>
        </w:rPr>
        <w:t xml:space="preserve"> Cette estimation est basée en grande par</w:t>
      </w:r>
      <w:r w:rsidR="001C0A75">
        <w:rPr>
          <w:szCs w:val="22"/>
          <w:lang w:val="fr-CA"/>
        </w:rPr>
        <w:t>tie sur des données émanant du C</w:t>
      </w:r>
      <w:r w:rsidRPr="005E7DB2">
        <w:rPr>
          <w:szCs w:val="22"/>
          <w:lang w:val="fr-CA"/>
        </w:rPr>
        <w:t xml:space="preserve">adre de présentation des rapports financiers de la Convention sur la diversité biologique, de la </w:t>
      </w:r>
      <w:r w:rsidRPr="005E7DB2">
        <w:rPr>
          <w:rStyle w:val="preferred"/>
          <w:lang w:val="fr-CA"/>
        </w:rPr>
        <w:t>Classification des fonctions des administrations publiques (COFOG)</w:t>
      </w:r>
      <w:r w:rsidRPr="005E7DB2">
        <w:rPr>
          <w:szCs w:val="22"/>
          <w:vertAlign w:val="superscript"/>
          <w:lang w:val="fr-CA"/>
        </w:rPr>
        <w:footnoteReference w:id="29"/>
      </w:r>
      <w:r w:rsidRPr="005E7DB2">
        <w:rPr>
          <w:rStyle w:val="preferred"/>
          <w:lang w:val="fr-CA"/>
        </w:rPr>
        <w:t xml:space="preserve"> et des examens des dépenses nationales en faveur de la biodiversité de l</w:t>
      </w:r>
      <w:r w:rsidR="001C0A75">
        <w:rPr>
          <w:rStyle w:val="preferred"/>
          <w:lang w:val="fr-CA"/>
        </w:rPr>
        <w:t>’</w:t>
      </w:r>
      <w:r w:rsidRPr="005E7DB2">
        <w:rPr>
          <w:rStyle w:val="preferred"/>
          <w:lang w:val="fr-CA"/>
        </w:rPr>
        <w:t>initiative BIOFIN du PNUD. Elle couvre les flux directs et indirects d</w:t>
      </w:r>
      <w:r w:rsidR="001C0A75">
        <w:rPr>
          <w:rStyle w:val="preferred"/>
          <w:lang w:val="fr-CA"/>
        </w:rPr>
        <w:t>’</w:t>
      </w:r>
      <w:r w:rsidRPr="005E7DB2">
        <w:rPr>
          <w:rStyle w:val="preferred"/>
          <w:lang w:val="fr-CA"/>
        </w:rPr>
        <w:t>environ 25 pays, et les flux directs seulement pour les pays restants. Les dépenses publiques infranationales ne sont couvertes que partiellement dans cette estimation</w:t>
      </w:r>
      <w:r w:rsidR="00012146" w:rsidRPr="005E7DB2">
        <w:rPr>
          <w:kern w:val="22"/>
          <w:szCs w:val="22"/>
          <w:lang w:val="fr-CA"/>
        </w:rPr>
        <w:t>.</w:t>
      </w:r>
    </w:p>
    <w:p w:rsidR="00012146" w:rsidRPr="005E7DB2" w:rsidRDefault="00D73D57">
      <w:pPr>
        <w:pStyle w:val="Para1"/>
        <w:suppressLineNumbers/>
        <w:tabs>
          <w:tab w:val="clear" w:pos="360"/>
        </w:tabs>
        <w:suppressAutoHyphens/>
        <w:rPr>
          <w:kern w:val="22"/>
          <w:szCs w:val="22"/>
          <w:lang w:val="fr-CA"/>
        </w:rPr>
      </w:pPr>
      <w:r w:rsidRPr="005E7DB2">
        <w:rPr>
          <w:szCs w:val="22"/>
          <w:lang w:val="fr-CA"/>
        </w:rPr>
        <w:t>L</w:t>
      </w:r>
      <w:r w:rsidR="001C0A75">
        <w:rPr>
          <w:szCs w:val="22"/>
          <w:lang w:val="fr-CA"/>
        </w:rPr>
        <w:t>’</w:t>
      </w:r>
      <w:r w:rsidRPr="005E7DB2">
        <w:rPr>
          <w:szCs w:val="22"/>
          <w:lang w:val="fr-CA"/>
        </w:rPr>
        <w:t>OCDE estime que le secteur privé dépense entre 6,6 et 13,6 milliards USD par an pour la biodiversité. Cette estimation est dérivée de diverses sources de données, pour la période 2015</w:t>
      </w:r>
      <w:r w:rsidR="001C0A75">
        <w:rPr>
          <w:szCs w:val="22"/>
          <w:lang w:val="fr-CA"/>
        </w:rPr>
        <w:noBreakHyphen/>
      </w:r>
      <w:r w:rsidRPr="005E7DB2">
        <w:rPr>
          <w:szCs w:val="22"/>
          <w:lang w:val="fr-CA"/>
        </w:rPr>
        <w:t>2017, sur les</w:t>
      </w:r>
      <w:r w:rsidRPr="005E7DB2">
        <w:rPr>
          <w:lang w:val="fr-CA"/>
        </w:rPr>
        <w:t xml:space="preserve"> mesures compensatoires des atteintes à la biodiversité, les produits de base durables, la finance carbone pour les forêts, les paiements pour les services </w:t>
      </w:r>
      <w:r w:rsidRPr="005E7DB2">
        <w:rPr>
          <w:noProof/>
          <w:lang w:val="fr-CA"/>
        </w:rPr>
        <w:t>écosystémiques, l</w:t>
      </w:r>
      <w:r w:rsidR="001C0A75">
        <w:rPr>
          <w:noProof/>
          <w:lang w:val="fr-CA"/>
        </w:rPr>
        <w:t>’</w:t>
      </w:r>
      <w:r w:rsidRPr="005E7DB2">
        <w:rPr>
          <w:noProof/>
          <w:lang w:val="fr-CA"/>
        </w:rPr>
        <w:t>échange</w:t>
      </w:r>
      <w:r w:rsidRPr="005E7DB2">
        <w:rPr>
          <w:lang w:val="fr-CA"/>
        </w:rPr>
        <w:t xml:space="preserve"> de crédits de qualité de l</w:t>
      </w:r>
      <w:r w:rsidR="001C0A75">
        <w:rPr>
          <w:lang w:val="fr-CA"/>
        </w:rPr>
        <w:t>’</w:t>
      </w:r>
      <w:r w:rsidRPr="005E7DB2">
        <w:rPr>
          <w:lang w:val="fr-CA"/>
        </w:rPr>
        <w:t>eau et crédits compensatoires, les dépenses philanthropiques et les fonds privés mobilisés par le financement bilatéral et multilatéral du développement. Elle est partielle (en termes de secteurs, ménages, corporations et organisations financières couvertes) et par conséquent conservatrice. Le rapport de l</w:t>
      </w:r>
      <w:r w:rsidR="001C0A75">
        <w:rPr>
          <w:lang w:val="fr-CA"/>
        </w:rPr>
        <w:t>’</w:t>
      </w:r>
      <w:r w:rsidRPr="005E7DB2">
        <w:rPr>
          <w:lang w:val="fr-CA"/>
        </w:rPr>
        <w:t>OCDE fournit également un aperçu utile des instruments économiques et autres instruments financiers, des approches d</w:t>
      </w:r>
      <w:r w:rsidR="001C0A75">
        <w:rPr>
          <w:lang w:val="fr-CA"/>
        </w:rPr>
        <w:t>’</w:t>
      </w:r>
      <w:r w:rsidRPr="005E7DB2">
        <w:rPr>
          <w:lang w:val="fr-CA"/>
        </w:rPr>
        <w:t>investissement et des structures d</w:t>
      </w:r>
      <w:r w:rsidR="001C0A75">
        <w:rPr>
          <w:lang w:val="fr-CA"/>
        </w:rPr>
        <w:t>’</w:t>
      </w:r>
      <w:r w:rsidRPr="005E7DB2">
        <w:rPr>
          <w:lang w:val="fr-CA"/>
        </w:rPr>
        <w:t>investissement qui sont actuellement utilisés dans le domaine de la biodiversité, ainsi qu</w:t>
      </w:r>
      <w:r w:rsidR="001C0A75">
        <w:rPr>
          <w:lang w:val="fr-CA"/>
        </w:rPr>
        <w:t>’</w:t>
      </w:r>
      <w:r w:rsidRPr="005E7DB2">
        <w:rPr>
          <w:lang w:val="fr-CA"/>
        </w:rPr>
        <w:t>une estimation des ressources totales mobilisées par chacun d</w:t>
      </w:r>
      <w:r w:rsidR="001C0A75">
        <w:rPr>
          <w:lang w:val="fr-CA"/>
        </w:rPr>
        <w:t>’</w:t>
      </w:r>
      <w:r w:rsidRPr="005E7DB2">
        <w:rPr>
          <w:lang w:val="fr-CA"/>
        </w:rPr>
        <w:t xml:space="preserve">eux pour la biodiversité </w:t>
      </w:r>
      <w:r w:rsidRPr="005E7DB2">
        <w:rPr>
          <w:szCs w:val="22"/>
          <w:lang w:val="fr-CA"/>
        </w:rPr>
        <w:t>(voir annexe VI au document CBD/SBI/3/INF/2)</w:t>
      </w:r>
      <w:r w:rsidR="00AB466F" w:rsidRPr="005E7DB2">
        <w:rPr>
          <w:kern w:val="22"/>
          <w:szCs w:val="22"/>
          <w:lang w:val="fr-CA"/>
        </w:rPr>
        <w:t>.</w:t>
      </w:r>
    </w:p>
    <w:p w:rsidR="00012146" w:rsidRPr="005E7DB2" w:rsidRDefault="006E6B86">
      <w:pPr>
        <w:pStyle w:val="Para1"/>
        <w:suppressLineNumbers/>
        <w:tabs>
          <w:tab w:val="clear" w:pos="360"/>
        </w:tabs>
        <w:suppressAutoHyphens/>
        <w:rPr>
          <w:kern w:val="22"/>
          <w:szCs w:val="22"/>
          <w:lang w:val="fr-CA"/>
        </w:rPr>
      </w:pPr>
      <w:r w:rsidRPr="005E7DB2">
        <w:rPr>
          <w:szCs w:val="22"/>
          <w:lang w:val="fr-CA"/>
        </w:rPr>
        <w:t>Le rapport de l</w:t>
      </w:r>
      <w:r w:rsidR="001C0A75">
        <w:rPr>
          <w:szCs w:val="22"/>
          <w:lang w:val="fr-CA"/>
        </w:rPr>
        <w:t>’</w:t>
      </w:r>
      <w:r w:rsidRPr="005E7DB2">
        <w:rPr>
          <w:szCs w:val="22"/>
          <w:lang w:val="fr-CA"/>
        </w:rPr>
        <w:t>OCDE contient également des informations utiles qui soulignent l</w:t>
      </w:r>
      <w:r w:rsidR="001C0A75">
        <w:rPr>
          <w:szCs w:val="22"/>
          <w:lang w:val="fr-CA"/>
        </w:rPr>
        <w:t>’</w:t>
      </w:r>
      <w:r w:rsidRPr="005E7DB2">
        <w:rPr>
          <w:szCs w:val="22"/>
          <w:lang w:val="fr-CA"/>
        </w:rPr>
        <w:t>importance pour la mobilisation des ressources, et pour l</w:t>
      </w:r>
      <w:r w:rsidR="001C0A75">
        <w:rPr>
          <w:szCs w:val="22"/>
          <w:lang w:val="fr-CA"/>
        </w:rPr>
        <w:t>’</w:t>
      </w:r>
      <w:r w:rsidRPr="005E7DB2">
        <w:rPr>
          <w:szCs w:val="22"/>
          <w:lang w:val="fr-CA"/>
        </w:rPr>
        <w:t>intégration plus large de la biodiversité, de prendre en considération l</w:t>
      </w:r>
      <w:r w:rsidR="001C0A75">
        <w:rPr>
          <w:szCs w:val="22"/>
          <w:lang w:val="fr-CA"/>
        </w:rPr>
        <w:t>’</w:t>
      </w:r>
      <w:r w:rsidRPr="005E7DB2">
        <w:rPr>
          <w:szCs w:val="22"/>
          <w:lang w:val="fr-CA"/>
        </w:rPr>
        <w:t>Objectif 3 d</w:t>
      </w:r>
      <w:r w:rsidR="001C0A75">
        <w:rPr>
          <w:szCs w:val="22"/>
          <w:lang w:val="fr-CA"/>
        </w:rPr>
        <w:t>’</w:t>
      </w:r>
      <w:r w:rsidRPr="005E7DB2">
        <w:rPr>
          <w:szCs w:val="22"/>
          <w:lang w:val="fr-CA"/>
        </w:rPr>
        <w:t>Aichi pour la biodiversité (sur l</w:t>
      </w:r>
      <w:r w:rsidR="001C0A75">
        <w:rPr>
          <w:szCs w:val="22"/>
          <w:lang w:val="fr-CA"/>
        </w:rPr>
        <w:t>’</w:t>
      </w:r>
      <w:r w:rsidRPr="005E7DB2">
        <w:rPr>
          <w:szCs w:val="22"/>
          <w:lang w:val="fr-CA"/>
        </w:rPr>
        <w:t>élimination des incitations néfastes, y compris les subventions), un sujet qui a déjà fait l</w:t>
      </w:r>
      <w:r w:rsidR="001C0A75">
        <w:rPr>
          <w:szCs w:val="22"/>
          <w:lang w:val="fr-CA"/>
        </w:rPr>
        <w:t>’</w:t>
      </w:r>
      <w:r w:rsidRPr="005E7DB2">
        <w:rPr>
          <w:szCs w:val="22"/>
          <w:lang w:val="fr-CA"/>
        </w:rPr>
        <w:t>objet de nombreux travaux au titre de la Convention.</w:t>
      </w:r>
      <w:r w:rsidRPr="005E7DB2">
        <w:rPr>
          <w:rStyle w:val="FootnoteReference"/>
          <w:szCs w:val="22"/>
          <w:lang w:val="fr-CA"/>
        </w:rPr>
        <w:footnoteReference w:id="30"/>
      </w:r>
      <w:r w:rsidRPr="005E7DB2">
        <w:rPr>
          <w:szCs w:val="22"/>
          <w:lang w:val="fr-CA"/>
        </w:rPr>
        <w:t xml:space="preserve"> L</w:t>
      </w:r>
      <w:r w:rsidR="001C0A75">
        <w:rPr>
          <w:szCs w:val="22"/>
          <w:lang w:val="fr-CA"/>
        </w:rPr>
        <w:t>’</w:t>
      </w:r>
      <w:r w:rsidRPr="005E7DB2">
        <w:rPr>
          <w:szCs w:val="22"/>
          <w:lang w:val="fr-CA"/>
        </w:rPr>
        <w:t>OCDE note que réduire les financements qui sont nocifs pour la biodiversité est aussi important qu</w:t>
      </w:r>
      <w:r w:rsidR="001C0A75">
        <w:rPr>
          <w:szCs w:val="22"/>
          <w:lang w:val="fr-CA"/>
        </w:rPr>
        <w:t>’</w:t>
      </w:r>
      <w:r w:rsidRPr="005E7DB2">
        <w:rPr>
          <w:szCs w:val="22"/>
          <w:lang w:val="fr-CA"/>
        </w:rPr>
        <w:t>augmenter les financements qui ont une incidence positive sur la biodiversité. Les gouvernements fournissent des soutiens financiers d</w:t>
      </w:r>
      <w:r w:rsidR="001C0A75">
        <w:rPr>
          <w:szCs w:val="22"/>
          <w:lang w:val="fr-CA"/>
        </w:rPr>
        <w:t>’</w:t>
      </w:r>
      <w:r w:rsidRPr="005E7DB2">
        <w:rPr>
          <w:szCs w:val="22"/>
          <w:lang w:val="fr-CA"/>
        </w:rPr>
        <w:t>environ 500 milliards USD par an à des projets potentiellement néfastes pour la diversité biologique, à savoir cinq ou six fois plus que les dépenses totales en faveur de la biodiversité. En 2017, 76 économies appartenant en majorité à l</w:t>
      </w:r>
      <w:r w:rsidR="001C0A75">
        <w:rPr>
          <w:szCs w:val="22"/>
          <w:lang w:val="fr-CA"/>
        </w:rPr>
        <w:t>’</w:t>
      </w:r>
      <w:r w:rsidRPr="005E7DB2">
        <w:rPr>
          <w:szCs w:val="22"/>
          <w:lang w:val="fr-CA"/>
        </w:rPr>
        <w:t>OCDE et au G</w:t>
      </w:r>
      <w:r w:rsidR="001C0A75">
        <w:rPr>
          <w:szCs w:val="22"/>
          <w:lang w:val="fr-CA"/>
        </w:rPr>
        <w:noBreakHyphen/>
      </w:r>
      <w:r w:rsidRPr="005E7DB2">
        <w:rPr>
          <w:szCs w:val="22"/>
          <w:lang w:val="fr-CA"/>
        </w:rPr>
        <w:t>20 ont fourni un soutien financier s</w:t>
      </w:r>
      <w:r w:rsidR="001C0A75">
        <w:rPr>
          <w:szCs w:val="22"/>
          <w:lang w:val="fr-CA"/>
        </w:rPr>
        <w:t>’</w:t>
      </w:r>
      <w:r w:rsidRPr="005E7DB2">
        <w:rPr>
          <w:szCs w:val="22"/>
          <w:lang w:val="fr-CA"/>
        </w:rPr>
        <w:t>élevant à 340 milliards USD aux combustibles fossiles (OCDE/AIE, 2019). La même année, les pays membres de l</w:t>
      </w:r>
      <w:r w:rsidR="001C0A75">
        <w:rPr>
          <w:szCs w:val="22"/>
          <w:lang w:val="fr-CA"/>
        </w:rPr>
        <w:t>’</w:t>
      </w:r>
      <w:r w:rsidRPr="005E7DB2">
        <w:rPr>
          <w:szCs w:val="22"/>
          <w:lang w:val="fr-CA"/>
        </w:rPr>
        <w:t xml:space="preserve">OCDE à eux seuls ont fourni un appui financier aux agriculteurs de 228 milliards USD, dont un montant </w:t>
      </w:r>
      <w:r w:rsidRPr="005E7DB2">
        <w:rPr>
          <w:szCs w:val="22"/>
          <w:lang w:val="fr-CA"/>
        </w:rPr>
        <w:lastRenderedPageBreak/>
        <w:t>de 116 milliards USD (soit 51 pour cent) est considéré comme étant potentiellement le plus néfaste pour la biodiversité par rapport aux autres types de soutiens financiers (OCDE, 2013). Si le pourcentage de l</w:t>
      </w:r>
      <w:r w:rsidR="001C0A75">
        <w:rPr>
          <w:szCs w:val="22"/>
          <w:lang w:val="fr-CA"/>
        </w:rPr>
        <w:t>’</w:t>
      </w:r>
      <w:r w:rsidRPr="005E7DB2">
        <w:rPr>
          <w:szCs w:val="22"/>
          <w:lang w:val="fr-CA"/>
        </w:rPr>
        <w:t>appui global aux agriculteurs identifié comme étant potentiellement le plus néfaste pour l</w:t>
      </w:r>
      <w:r w:rsidR="001C0A75">
        <w:rPr>
          <w:szCs w:val="22"/>
          <w:lang w:val="fr-CA"/>
        </w:rPr>
        <w:t>’</w:t>
      </w:r>
      <w:r w:rsidRPr="005E7DB2">
        <w:rPr>
          <w:szCs w:val="22"/>
          <w:lang w:val="fr-CA"/>
        </w:rPr>
        <w:t>environnement a décliné considérablement depuis 1990, il est tout de même demeuré relativement constant au cours de la dernière décennie</w:t>
      </w:r>
      <w:r w:rsidR="00012146" w:rsidRPr="005E7DB2">
        <w:rPr>
          <w:kern w:val="22"/>
          <w:szCs w:val="22"/>
          <w:lang w:val="fr-CA"/>
        </w:rPr>
        <w:t>.</w:t>
      </w:r>
    </w:p>
    <w:p w:rsidR="00012146" w:rsidRPr="005E7DB2" w:rsidRDefault="006E6B86">
      <w:pPr>
        <w:pStyle w:val="Para1"/>
        <w:suppressLineNumbers/>
        <w:tabs>
          <w:tab w:val="clear" w:pos="360"/>
        </w:tabs>
        <w:suppressAutoHyphens/>
        <w:rPr>
          <w:kern w:val="22"/>
          <w:szCs w:val="22"/>
          <w:lang w:val="fr-CA"/>
        </w:rPr>
      </w:pPr>
      <w:r w:rsidRPr="005E7DB2">
        <w:rPr>
          <w:szCs w:val="22"/>
          <w:lang w:val="fr-CA"/>
        </w:rPr>
        <w:t>Les subventions dans d</w:t>
      </w:r>
      <w:r w:rsidR="001C0A75">
        <w:rPr>
          <w:szCs w:val="22"/>
          <w:lang w:val="fr-CA"/>
        </w:rPr>
        <w:t>’</w:t>
      </w:r>
      <w:r w:rsidRPr="005E7DB2">
        <w:rPr>
          <w:szCs w:val="22"/>
          <w:lang w:val="fr-CA"/>
        </w:rPr>
        <w:t>autres secteurs, tels que les mines et les pêcheries, peuvent également s</w:t>
      </w:r>
      <w:r w:rsidR="001C0A75">
        <w:rPr>
          <w:szCs w:val="22"/>
          <w:lang w:val="fr-CA"/>
        </w:rPr>
        <w:t>’</w:t>
      </w:r>
      <w:r w:rsidRPr="005E7DB2">
        <w:rPr>
          <w:szCs w:val="22"/>
          <w:lang w:val="fr-CA"/>
        </w:rPr>
        <w:t>avérer nocives pour la biodiversité. En 2017, les 27 pays membres de l</w:t>
      </w:r>
      <w:r w:rsidR="001C0A75">
        <w:rPr>
          <w:szCs w:val="22"/>
          <w:lang w:val="fr-CA"/>
        </w:rPr>
        <w:t>’</w:t>
      </w:r>
      <w:r w:rsidRPr="005E7DB2">
        <w:rPr>
          <w:szCs w:val="22"/>
          <w:lang w:val="fr-CA"/>
        </w:rPr>
        <w:t>OCDE qui enregistrent leurs données dans la base de données Estimation du soutien aux pêcheries de l</w:t>
      </w:r>
      <w:r w:rsidR="001C0A75">
        <w:rPr>
          <w:szCs w:val="22"/>
          <w:lang w:val="fr-CA"/>
        </w:rPr>
        <w:t>’</w:t>
      </w:r>
      <w:r w:rsidRPr="005E7DB2">
        <w:rPr>
          <w:szCs w:val="22"/>
          <w:lang w:val="fr-CA"/>
        </w:rPr>
        <w:t>OCDE ont indiqué avoir fourni 700 milliards USD d</w:t>
      </w:r>
      <w:r w:rsidR="001C0A75">
        <w:rPr>
          <w:szCs w:val="22"/>
          <w:lang w:val="fr-CA"/>
        </w:rPr>
        <w:t>’</w:t>
      </w:r>
      <w:r w:rsidRPr="005E7DB2">
        <w:rPr>
          <w:szCs w:val="22"/>
          <w:lang w:val="fr-CA"/>
        </w:rPr>
        <w:t>appui direct aux particuliers ou aux entreprises dans le domaine des pêcheries. Réorienter le soutien aux politiques qui encouragent une pêche plus intensive vers des activités qui améliorent la durabilité des opération de pêche pourrait avoir des avantages marqués pour l</w:t>
      </w:r>
      <w:r w:rsidR="001C0A75">
        <w:rPr>
          <w:szCs w:val="22"/>
          <w:lang w:val="fr-CA"/>
        </w:rPr>
        <w:t>’</w:t>
      </w:r>
      <w:r w:rsidRPr="005E7DB2">
        <w:rPr>
          <w:szCs w:val="22"/>
          <w:lang w:val="fr-CA"/>
        </w:rPr>
        <w:t xml:space="preserve">environnement ainsi que pour les moyens de subsistances des pêcheurs (Martini et </w:t>
      </w:r>
      <w:r w:rsidRPr="005E7DB2">
        <w:rPr>
          <w:noProof/>
          <w:szCs w:val="22"/>
          <w:lang w:val="fr-CA"/>
        </w:rPr>
        <w:t>Innes</w:t>
      </w:r>
      <w:r w:rsidRPr="005E7DB2">
        <w:rPr>
          <w:szCs w:val="22"/>
          <w:lang w:val="fr-CA"/>
        </w:rPr>
        <w:t>, 2018)</w:t>
      </w:r>
      <w:r w:rsidR="002C1649" w:rsidRPr="005E7DB2">
        <w:rPr>
          <w:kern w:val="22"/>
          <w:szCs w:val="22"/>
          <w:lang w:val="fr-CA"/>
        </w:rPr>
        <w:t>.</w:t>
      </w:r>
    </w:p>
    <w:p w:rsidR="00012146" w:rsidRPr="005E7DB2" w:rsidRDefault="006E6B86">
      <w:pPr>
        <w:pStyle w:val="Para1"/>
        <w:suppressLineNumbers/>
        <w:tabs>
          <w:tab w:val="clear" w:pos="360"/>
        </w:tabs>
        <w:suppressAutoHyphens/>
        <w:rPr>
          <w:spacing w:val="-2"/>
          <w:kern w:val="22"/>
          <w:szCs w:val="22"/>
          <w:lang w:val="fr-CA"/>
        </w:rPr>
      </w:pPr>
      <w:r w:rsidRPr="005E7DB2">
        <w:rPr>
          <w:szCs w:val="22"/>
          <w:lang w:val="fr-CA"/>
        </w:rPr>
        <w:t>Pour terminer, le rapport de l</w:t>
      </w:r>
      <w:r w:rsidR="001C0A75">
        <w:rPr>
          <w:szCs w:val="22"/>
          <w:lang w:val="fr-CA"/>
        </w:rPr>
        <w:t>’</w:t>
      </w:r>
      <w:r w:rsidRPr="005E7DB2">
        <w:rPr>
          <w:szCs w:val="22"/>
          <w:lang w:val="fr-CA"/>
        </w:rPr>
        <w:t>OCDE souligne que la réforme des subventions néfastes pour la biodiversité diminuerait également les besoins de financement en faveur de la biodiversité en réduisant les pressions sur cette dernière. L</w:t>
      </w:r>
      <w:r w:rsidR="001C0A75">
        <w:rPr>
          <w:szCs w:val="22"/>
          <w:lang w:val="fr-CA"/>
        </w:rPr>
        <w:t>’</w:t>
      </w:r>
      <w:r w:rsidRPr="005E7DB2">
        <w:rPr>
          <w:szCs w:val="22"/>
          <w:lang w:val="fr-CA"/>
        </w:rPr>
        <w:t xml:space="preserve">intégration de la diversité biologique et la mobilisation des ressources doivent donc être perçues comme deux </w:t>
      </w:r>
      <w:r w:rsidRPr="005E7DB2">
        <w:rPr>
          <w:noProof/>
          <w:szCs w:val="22"/>
          <w:lang w:val="fr-CA"/>
        </w:rPr>
        <w:t>programmes interreliés</w:t>
      </w:r>
      <w:r w:rsidRPr="005E7DB2">
        <w:rPr>
          <w:szCs w:val="22"/>
          <w:lang w:val="fr-CA"/>
        </w:rPr>
        <w:t xml:space="preserve"> et complémentaires au titre de la Convention sur la diversité biologique, une perspective que le Groupe d</w:t>
      </w:r>
      <w:r w:rsidR="001C0A75">
        <w:rPr>
          <w:szCs w:val="22"/>
          <w:lang w:val="fr-CA"/>
        </w:rPr>
        <w:t>’</w:t>
      </w:r>
      <w:r w:rsidRPr="005E7DB2">
        <w:rPr>
          <w:szCs w:val="22"/>
          <w:lang w:val="fr-CA"/>
        </w:rPr>
        <w:t>experts partage pleinement</w:t>
      </w:r>
      <w:r w:rsidR="002411ED" w:rsidRPr="005E7DB2">
        <w:rPr>
          <w:spacing w:val="-2"/>
          <w:kern w:val="22"/>
          <w:szCs w:val="22"/>
          <w:lang w:val="fr-CA"/>
        </w:rPr>
        <w:t>.</w:t>
      </w:r>
    </w:p>
    <w:p w:rsidR="0050425F" w:rsidRPr="005E7DB2" w:rsidRDefault="002411ED" w:rsidP="009654F0">
      <w:pPr>
        <w:pStyle w:val="Para1"/>
        <w:keepNext/>
        <w:numPr>
          <w:ilvl w:val="0"/>
          <w:numId w:val="0"/>
        </w:numPr>
        <w:suppressLineNumbers/>
        <w:tabs>
          <w:tab w:val="left" w:pos="426"/>
        </w:tabs>
        <w:suppressAutoHyphens/>
        <w:jc w:val="center"/>
        <w:outlineLvl w:val="0"/>
        <w:rPr>
          <w:rFonts w:ascii="Times New Roman Bold" w:hAnsi="Times New Roman Bold"/>
          <w:b/>
          <w:caps/>
          <w:kern w:val="22"/>
          <w:lang w:val="fr-CA"/>
        </w:rPr>
      </w:pPr>
      <w:r w:rsidRPr="005E7DB2">
        <w:rPr>
          <w:rFonts w:ascii="Times New Roman Bold" w:hAnsi="Times New Roman Bold"/>
          <w:b/>
          <w:caps/>
          <w:kern w:val="22"/>
          <w:lang w:val="fr-CA"/>
        </w:rPr>
        <w:t>IV</w:t>
      </w:r>
      <w:r w:rsidR="003205BD" w:rsidRPr="005E7DB2">
        <w:rPr>
          <w:rFonts w:ascii="Times New Roman Bold" w:hAnsi="Times New Roman Bold"/>
          <w:b/>
          <w:caps/>
          <w:kern w:val="22"/>
          <w:lang w:val="fr-CA"/>
        </w:rPr>
        <w:t>.</w:t>
      </w:r>
      <w:r w:rsidR="000760AA" w:rsidRPr="005E7DB2">
        <w:rPr>
          <w:rFonts w:ascii="Times New Roman Bold" w:hAnsi="Times New Roman Bold"/>
          <w:b/>
          <w:caps/>
          <w:kern w:val="22"/>
          <w:lang w:val="fr-CA"/>
        </w:rPr>
        <w:tab/>
      </w:r>
      <w:r w:rsidR="006E6B86" w:rsidRPr="005E7DB2">
        <w:rPr>
          <w:rFonts w:ascii="Times New Roman Bold" w:hAnsi="Times New Roman Bold"/>
          <w:b/>
          <w:caps/>
          <w:lang w:val="fr-CA"/>
        </w:rPr>
        <w:t>nécessité d</w:t>
      </w:r>
      <w:r w:rsidR="001C0A75">
        <w:rPr>
          <w:rFonts w:ascii="Times New Roman Bold" w:hAnsi="Times New Roman Bold"/>
          <w:b/>
          <w:caps/>
          <w:lang w:val="fr-CA"/>
        </w:rPr>
        <w:t>’</w:t>
      </w:r>
      <w:r w:rsidR="006E6B86" w:rsidRPr="005E7DB2">
        <w:rPr>
          <w:rFonts w:ascii="Times New Roman Bold" w:hAnsi="Times New Roman Bold"/>
          <w:b/>
          <w:caps/>
          <w:lang w:val="fr-CA"/>
        </w:rPr>
        <w:t>entreprendre de nouvelles mesures dans le cadre mondial de la biodiversité pour l</w:t>
      </w:r>
      <w:r w:rsidR="001C0A75">
        <w:rPr>
          <w:rFonts w:ascii="Times New Roman Bold" w:hAnsi="Times New Roman Bold"/>
          <w:b/>
          <w:caps/>
          <w:lang w:val="fr-CA"/>
        </w:rPr>
        <w:t>’</w:t>
      </w:r>
      <w:r w:rsidR="006E6B86" w:rsidRPr="005E7DB2">
        <w:rPr>
          <w:rFonts w:ascii="Times New Roman Bold" w:hAnsi="Times New Roman Bold"/>
          <w:b/>
          <w:caps/>
          <w:lang w:val="fr-CA"/>
        </w:rPr>
        <w:t>après</w:t>
      </w:r>
      <w:r w:rsidR="001C0A75">
        <w:rPr>
          <w:rFonts w:ascii="Times New Roman Bold" w:hAnsi="Times New Roman Bold"/>
          <w:b/>
          <w:caps/>
          <w:lang w:val="fr-CA"/>
        </w:rPr>
        <w:noBreakHyphen/>
      </w:r>
      <w:r w:rsidR="006E6B86" w:rsidRPr="005E7DB2">
        <w:rPr>
          <w:rFonts w:ascii="Times New Roman Bold" w:hAnsi="Times New Roman Bold"/>
          <w:b/>
          <w:caps/>
          <w:lang w:val="fr-CA"/>
        </w:rPr>
        <w:t>2020</w:t>
      </w:r>
    </w:p>
    <w:p w:rsidR="004C7710" w:rsidRPr="005E7DB2" w:rsidRDefault="006E6B86">
      <w:pPr>
        <w:pStyle w:val="Para1"/>
        <w:suppressLineNumbers/>
        <w:tabs>
          <w:tab w:val="clear" w:pos="360"/>
        </w:tabs>
        <w:suppressAutoHyphens/>
        <w:rPr>
          <w:kern w:val="22"/>
          <w:szCs w:val="22"/>
          <w:lang w:val="fr-CA"/>
        </w:rPr>
      </w:pPr>
      <w:r w:rsidRPr="005E7DB2">
        <w:rPr>
          <w:szCs w:val="22"/>
          <w:lang w:val="fr-CA"/>
        </w:rPr>
        <w:t>Le présent résumé du premier rapport du Groupe d</w:t>
      </w:r>
      <w:r w:rsidR="001C0A75">
        <w:rPr>
          <w:szCs w:val="22"/>
          <w:lang w:val="fr-CA"/>
        </w:rPr>
        <w:t>’</w:t>
      </w:r>
      <w:r w:rsidRPr="005E7DB2">
        <w:rPr>
          <w:szCs w:val="22"/>
          <w:lang w:val="fr-CA"/>
        </w:rPr>
        <w:t>experts a mis en relief, aux endroits appropriés, des mesures supplémentaires qui aideraient à combler les lacunes de la Stratégie pour la mobilisation des ressources et la mise en œuvre de l</w:t>
      </w:r>
      <w:r w:rsidR="001C0A75">
        <w:rPr>
          <w:szCs w:val="22"/>
          <w:lang w:val="fr-CA"/>
        </w:rPr>
        <w:t>’</w:t>
      </w:r>
      <w:r w:rsidRPr="005E7DB2">
        <w:rPr>
          <w:szCs w:val="22"/>
          <w:lang w:val="fr-CA"/>
        </w:rPr>
        <w:t>Objectif 20 d</w:t>
      </w:r>
      <w:r w:rsidR="001C0A75">
        <w:rPr>
          <w:szCs w:val="22"/>
          <w:lang w:val="fr-CA"/>
        </w:rPr>
        <w:t>’</w:t>
      </w:r>
      <w:r w:rsidRPr="005E7DB2">
        <w:rPr>
          <w:szCs w:val="22"/>
          <w:lang w:val="fr-CA"/>
        </w:rPr>
        <w:t>Aichi pour la biodiversité. La version intégrale du rapport donne des précisions sur ces mesures dans sa dernière section, sous les thèmes suivants </w:t>
      </w:r>
      <w:r w:rsidR="00B71D0C" w:rsidRPr="005E7DB2">
        <w:rPr>
          <w:kern w:val="22"/>
          <w:szCs w:val="22"/>
          <w:lang w:val="fr-CA"/>
        </w:rPr>
        <w:t>:</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Approche globale de la mobilisation des ressources dans le cadre mondial de la biodiversité pour l</w:t>
      </w:r>
      <w:r w:rsidR="001C0A75">
        <w:rPr>
          <w:lang w:val="fr-CA"/>
        </w:rPr>
        <w:t>’</w:t>
      </w:r>
      <w:r w:rsidRPr="005E7DB2">
        <w:rPr>
          <w:lang w:val="fr-CA"/>
        </w:rPr>
        <w:t>après</w:t>
      </w:r>
      <w:r w:rsidR="001C0A75">
        <w:rPr>
          <w:lang w:val="fr-CA"/>
        </w:rPr>
        <w:noBreakHyphen/>
      </w:r>
      <w:r w:rsidRPr="005E7DB2">
        <w:rPr>
          <w:lang w:val="fr-CA"/>
        </w:rPr>
        <w:t>2020;</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L</w:t>
      </w:r>
      <w:r w:rsidR="001C0A75">
        <w:rPr>
          <w:lang w:val="fr-CA"/>
        </w:rPr>
        <w:t>’</w:t>
      </w:r>
      <w:r w:rsidRPr="005E7DB2">
        <w:rPr>
          <w:lang w:val="fr-CA"/>
        </w:rPr>
        <w:t>intégration en tant que moyen pour renforcer la mobilisation des ressources;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Financement international du développement, Convention sur la diversité biologique, et programme pour le développement durable et pour le climat;</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Mobilisation de ressources financières nationales;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Secteur privé et secteur des finances;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Instruments et outils financiers;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Accès et partage des avantages;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Rôle des peuples autochtones et des communautés locales;</w:t>
      </w:r>
    </w:p>
    <w:p w:rsidR="006E6B86" w:rsidRPr="005E7DB2" w:rsidRDefault="006E6B86" w:rsidP="006E6B86">
      <w:pPr>
        <w:pStyle w:val="Para1"/>
        <w:numPr>
          <w:ilvl w:val="0"/>
          <w:numId w:val="55"/>
        </w:numPr>
        <w:suppressLineNumbers/>
        <w:suppressAutoHyphens/>
        <w:ind w:left="0" w:firstLine="720"/>
        <w:rPr>
          <w:lang w:val="fr-CA"/>
        </w:rPr>
      </w:pPr>
      <w:r w:rsidRPr="005E7DB2">
        <w:rPr>
          <w:lang w:val="fr-CA"/>
        </w:rPr>
        <w:t>Renforcement des capacités;</w:t>
      </w:r>
    </w:p>
    <w:p w:rsidR="004C7710" w:rsidRPr="005E7DB2" w:rsidRDefault="006E6B86" w:rsidP="006E6B86">
      <w:pPr>
        <w:pStyle w:val="Para1"/>
        <w:numPr>
          <w:ilvl w:val="0"/>
          <w:numId w:val="55"/>
        </w:numPr>
        <w:suppressLineNumbers/>
        <w:suppressAutoHyphens/>
        <w:spacing w:before="0"/>
        <w:ind w:left="0" w:firstLine="720"/>
        <w:rPr>
          <w:kern w:val="22"/>
          <w:lang w:val="fr-CA"/>
        </w:rPr>
      </w:pPr>
      <w:r w:rsidRPr="005E7DB2">
        <w:rPr>
          <w:lang w:val="fr-CA"/>
        </w:rPr>
        <w:t>Présentation des rapports sur la mobilisation des ressources</w:t>
      </w:r>
      <w:r w:rsidR="004C7710" w:rsidRPr="005E7DB2">
        <w:rPr>
          <w:kern w:val="22"/>
          <w:lang w:val="fr-CA"/>
        </w:rPr>
        <w:t>.</w:t>
      </w:r>
    </w:p>
    <w:p w:rsidR="004C7710" w:rsidRPr="005E7DB2" w:rsidRDefault="006E6B86">
      <w:pPr>
        <w:pStyle w:val="Para1"/>
        <w:keepNext/>
        <w:suppressLineNumbers/>
        <w:tabs>
          <w:tab w:val="clear" w:pos="360"/>
        </w:tabs>
        <w:suppressAutoHyphens/>
        <w:rPr>
          <w:kern w:val="22"/>
          <w:szCs w:val="22"/>
          <w:lang w:val="fr-CA"/>
        </w:rPr>
      </w:pPr>
      <w:r w:rsidRPr="005E7DB2">
        <w:rPr>
          <w:szCs w:val="22"/>
          <w:lang w:val="fr-CA"/>
        </w:rPr>
        <w:t>En ce qui concerne les priorités qui nécessiteraient des mesures additionnelles dans le cadre mondial de la biodiversité pour l</w:t>
      </w:r>
      <w:r w:rsidR="001C0A75">
        <w:rPr>
          <w:szCs w:val="22"/>
          <w:lang w:val="fr-CA"/>
        </w:rPr>
        <w:t>’</w:t>
      </w:r>
      <w:r w:rsidRPr="005E7DB2">
        <w:rPr>
          <w:szCs w:val="22"/>
          <w:lang w:val="fr-CA"/>
        </w:rPr>
        <w:t>après</w:t>
      </w:r>
      <w:r w:rsidR="001C0A75">
        <w:rPr>
          <w:szCs w:val="22"/>
          <w:lang w:val="fr-CA"/>
        </w:rPr>
        <w:noBreakHyphen/>
      </w:r>
      <w:r w:rsidRPr="005E7DB2">
        <w:rPr>
          <w:szCs w:val="22"/>
          <w:lang w:val="fr-CA"/>
        </w:rPr>
        <w:t>2020, il est apparu clairement qu</w:t>
      </w:r>
      <w:r w:rsidR="001C0A75">
        <w:rPr>
          <w:szCs w:val="22"/>
          <w:lang w:val="fr-CA"/>
        </w:rPr>
        <w:t>’</w:t>
      </w:r>
      <w:r w:rsidRPr="005E7DB2">
        <w:rPr>
          <w:szCs w:val="22"/>
          <w:lang w:val="fr-CA"/>
        </w:rPr>
        <w:t>une attention particulière doit être accordée à trois éléments complémentaires de la mobilisation des ressources </w:t>
      </w:r>
      <w:r w:rsidR="004C7710" w:rsidRPr="005E7DB2">
        <w:rPr>
          <w:kern w:val="22"/>
          <w:szCs w:val="22"/>
          <w:lang w:val="fr-CA"/>
        </w:rPr>
        <w:t>:</w:t>
      </w:r>
    </w:p>
    <w:p w:rsidR="006E6B86" w:rsidRPr="005E7DB2" w:rsidRDefault="006E6B86" w:rsidP="006E6B86">
      <w:pPr>
        <w:pStyle w:val="Para1"/>
        <w:numPr>
          <w:ilvl w:val="0"/>
          <w:numId w:val="66"/>
        </w:numPr>
        <w:suppressLineNumbers/>
        <w:suppressAutoHyphens/>
        <w:ind w:left="0" w:firstLine="720"/>
        <w:rPr>
          <w:szCs w:val="22"/>
          <w:lang w:val="fr-CA"/>
        </w:rPr>
      </w:pPr>
      <w:r w:rsidRPr="005E7DB2">
        <w:rPr>
          <w:szCs w:val="22"/>
          <w:lang w:val="fr-CA"/>
        </w:rPr>
        <w:t>Réorienter ou réduire les ressources causant des dommages à la biodiversité;</w:t>
      </w:r>
    </w:p>
    <w:p w:rsidR="006E6B86" w:rsidRPr="005E7DB2" w:rsidRDefault="006E6B86" w:rsidP="006E6B86">
      <w:pPr>
        <w:pStyle w:val="Para1"/>
        <w:numPr>
          <w:ilvl w:val="0"/>
          <w:numId w:val="66"/>
        </w:numPr>
        <w:suppressLineNumbers/>
        <w:suppressAutoHyphens/>
        <w:ind w:left="0" w:firstLine="720"/>
        <w:rPr>
          <w:szCs w:val="22"/>
          <w:lang w:val="fr-CA"/>
        </w:rPr>
      </w:pPr>
      <w:r w:rsidRPr="005E7DB2">
        <w:rPr>
          <w:szCs w:val="22"/>
          <w:lang w:val="fr-CA"/>
        </w:rPr>
        <w:t>Générer des ressources additionnelles de toutes les sources;</w:t>
      </w:r>
    </w:p>
    <w:p w:rsidR="004C7710" w:rsidRPr="005E7DB2" w:rsidRDefault="006E6B86" w:rsidP="006E6B86">
      <w:pPr>
        <w:pStyle w:val="Para1"/>
        <w:numPr>
          <w:ilvl w:val="0"/>
          <w:numId w:val="66"/>
        </w:numPr>
        <w:suppressLineNumbers/>
        <w:suppressAutoHyphens/>
        <w:ind w:left="0" w:firstLine="720"/>
        <w:rPr>
          <w:kern w:val="22"/>
          <w:szCs w:val="22"/>
          <w:lang w:val="fr-CA"/>
        </w:rPr>
      </w:pPr>
      <w:r w:rsidRPr="005E7DB2">
        <w:rPr>
          <w:szCs w:val="22"/>
          <w:lang w:val="fr-CA"/>
        </w:rPr>
        <w:t>Renforcer l</w:t>
      </w:r>
      <w:r w:rsidR="001C0A75">
        <w:rPr>
          <w:szCs w:val="22"/>
          <w:lang w:val="fr-CA"/>
        </w:rPr>
        <w:t>’</w:t>
      </w:r>
      <w:r w:rsidRPr="005E7DB2">
        <w:rPr>
          <w:szCs w:val="22"/>
          <w:lang w:val="fr-CA"/>
        </w:rPr>
        <w:t>efficience et l</w:t>
      </w:r>
      <w:r w:rsidR="001C0A75">
        <w:rPr>
          <w:szCs w:val="22"/>
          <w:lang w:val="fr-CA"/>
        </w:rPr>
        <w:t>’</w:t>
      </w:r>
      <w:r w:rsidRPr="005E7DB2">
        <w:rPr>
          <w:szCs w:val="22"/>
          <w:lang w:val="fr-CA"/>
        </w:rPr>
        <w:t>efficacité de l</w:t>
      </w:r>
      <w:r w:rsidR="001C0A75">
        <w:rPr>
          <w:szCs w:val="22"/>
          <w:lang w:val="fr-CA"/>
        </w:rPr>
        <w:t>’</w:t>
      </w:r>
      <w:r w:rsidRPr="005E7DB2">
        <w:rPr>
          <w:szCs w:val="22"/>
          <w:lang w:val="fr-CA"/>
        </w:rPr>
        <w:t>obtention et de l</w:t>
      </w:r>
      <w:r w:rsidR="001C0A75">
        <w:rPr>
          <w:szCs w:val="22"/>
          <w:lang w:val="fr-CA"/>
        </w:rPr>
        <w:t>’</w:t>
      </w:r>
      <w:r w:rsidRPr="005E7DB2">
        <w:rPr>
          <w:szCs w:val="22"/>
          <w:lang w:val="fr-CA"/>
        </w:rPr>
        <w:t>utilisation de fonds à tous les niveaux</w:t>
      </w:r>
      <w:r w:rsidR="00CD71AC" w:rsidRPr="005E7DB2">
        <w:rPr>
          <w:kern w:val="22"/>
          <w:szCs w:val="22"/>
          <w:lang w:val="fr-CA"/>
        </w:rPr>
        <w:t>.</w:t>
      </w:r>
    </w:p>
    <w:p w:rsidR="006E6B86" w:rsidRPr="005E7DB2" w:rsidRDefault="006E6B86" w:rsidP="006E6B86">
      <w:pPr>
        <w:pStyle w:val="Para1"/>
        <w:suppressLineNumbers/>
        <w:tabs>
          <w:tab w:val="clear" w:pos="360"/>
        </w:tabs>
        <w:suppressAutoHyphens/>
        <w:rPr>
          <w:szCs w:val="22"/>
          <w:lang w:val="fr-CA"/>
        </w:rPr>
      </w:pPr>
      <w:r w:rsidRPr="005E7DB2">
        <w:rPr>
          <w:lang w:val="fr-CA"/>
        </w:rPr>
        <w:lastRenderedPageBreak/>
        <w:t>La nécessité de renforcer les synergies entre les ressources mobilisées pour la biodiversité et celles mobilisées pour le changement climatique, et pour les objectifs de développement durable de manière plus générale, a aussi été clairement reconnue, afin d</w:t>
      </w:r>
      <w:r w:rsidR="001C0A75">
        <w:rPr>
          <w:lang w:val="fr-CA"/>
        </w:rPr>
        <w:t>’</w:t>
      </w:r>
      <w:r w:rsidRPr="005E7DB2">
        <w:rPr>
          <w:lang w:val="fr-CA"/>
        </w:rPr>
        <w:t>éviter les dépenses néfastes pour la biodiversité, et pour intégrer plus largement le financement de la biodiversité au programme de financement des objectifs de développement durable.</w:t>
      </w:r>
    </w:p>
    <w:p w:rsidR="006E6B86" w:rsidRPr="005E7DB2" w:rsidRDefault="006E6B86" w:rsidP="006E6B86">
      <w:pPr>
        <w:pStyle w:val="Para1"/>
        <w:suppressLineNumbers/>
        <w:tabs>
          <w:tab w:val="clear" w:pos="360"/>
        </w:tabs>
        <w:suppressAutoHyphens/>
        <w:rPr>
          <w:szCs w:val="22"/>
          <w:lang w:val="fr-CA"/>
        </w:rPr>
      </w:pPr>
      <w:r w:rsidRPr="005E7DB2">
        <w:rPr>
          <w:szCs w:val="22"/>
          <w:lang w:val="fr-CA"/>
        </w:rPr>
        <w:t>L</w:t>
      </w:r>
      <w:r w:rsidR="001C0A75">
        <w:rPr>
          <w:szCs w:val="22"/>
          <w:lang w:val="fr-CA"/>
        </w:rPr>
        <w:t>’</w:t>
      </w:r>
      <w:r w:rsidRPr="005E7DB2">
        <w:rPr>
          <w:szCs w:val="22"/>
          <w:lang w:val="fr-CA"/>
        </w:rPr>
        <w:t>intégration de la biodiversité dans tous les plans, budgets, et mesures des secteurs public et privé, à l</w:t>
      </w:r>
      <w:r w:rsidR="001C0A75">
        <w:rPr>
          <w:szCs w:val="22"/>
          <w:lang w:val="fr-CA"/>
        </w:rPr>
        <w:t>’</w:t>
      </w:r>
      <w:r w:rsidRPr="005E7DB2">
        <w:rPr>
          <w:szCs w:val="22"/>
          <w:lang w:val="fr-CA"/>
        </w:rPr>
        <w:t>échelle nationale et internationale, est considérée comme une condition préalable essentielle pour une mobilisation des ressources réussie à l</w:t>
      </w:r>
      <w:r w:rsidR="001C0A75">
        <w:rPr>
          <w:szCs w:val="22"/>
          <w:lang w:val="fr-CA"/>
        </w:rPr>
        <w:t>’</w:t>
      </w:r>
      <w:r w:rsidRPr="005E7DB2">
        <w:rPr>
          <w:szCs w:val="22"/>
          <w:lang w:val="fr-CA"/>
        </w:rPr>
        <w:t>avenir. Cela inclut l</w:t>
      </w:r>
      <w:r w:rsidR="001C0A75">
        <w:rPr>
          <w:szCs w:val="22"/>
          <w:lang w:val="fr-CA"/>
        </w:rPr>
        <w:t>’</w:t>
      </w:r>
      <w:r w:rsidRPr="005E7DB2">
        <w:rPr>
          <w:szCs w:val="22"/>
          <w:lang w:val="fr-CA"/>
        </w:rPr>
        <w:t>intégration dans les budgets et plans de développement nationaux, et dans les investissements et activités du secteur privé. Il existe d</w:t>
      </w:r>
      <w:r w:rsidR="001C0A75">
        <w:rPr>
          <w:szCs w:val="22"/>
          <w:lang w:val="fr-CA"/>
        </w:rPr>
        <w:t>’</w:t>
      </w:r>
      <w:r w:rsidRPr="005E7DB2">
        <w:rPr>
          <w:szCs w:val="22"/>
          <w:lang w:val="fr-CA"/>
        </w:rPr>
        <w:t>importants liens mutuels entre les travaux du Groupe consultatif informel sur l</w:t>
      </w:r>
      <w:r w:rsidR="001C0A75">
        <w:rPr>
          <w:szCs w:val="22"/>
          <w:lang w:val="fr-CA"/>
        </w:rPr>
        <w:t>’</w:t>
      </w:r>
      <w:r w:rsidRPr="005E7DB2">
        <w:rPr>
          <w:szCs w:val="22"/>
          <w:lang w:val="fr-CA"/>
        </w:rPr>
        <w:t>intégration de la biodiversité de la CDB, qui élabore une approche à long terme de l</w:t>
      </w:r>
      <w:r w:rsidR="001C0A75">
        <w:rPr>
          <w:szCs w:val="22"/>
          <w:lang w:val="fr-CA"/>
        </w:rPr>
        <w:t>’</w:t>
      </w:r>
      <w:r w:rsidRPr="005E7DB2">
        <w:rPr>
          <w:szCs w:val="22"/>
          <w:lang w:val="fr-CA"/>
        </w:rPr>
        <w:t>intégration, et les travaux du Groupe d</w:t>
      </w:r>
      <w:r w:rsidR="001C0A75">
        <w:rPr>
          <w:szCs w:val="22"/>
          <w:lang w:val="fr-CA"/>
        </w:rPr>
        <w:t>’</w:t>
      </w:r>
      <w:r w:rsidRPr="005E7DB2">
        <w:rPr>
          <w:szCs w:val="22"/>
          <w:lang w:val="fr-CA"/>
        </w:rPr>
        <w:t>experts, qui sont analysés plus en détail dans le troisième rapport de ce dernier.</w:t>
      </w:r>
    </w:p>
    <w:p w:rsidR="00744485" w:rsidRPr="005E7DB2" w:rsidRDefault="006E6B86" w:rsidP="006E6B86">
      <w:pPr>
        <w:pStyle w:val="Para1"/>
        <w:suppressLineNumbers/>
        <w:tabs>
          <w:tab w:val="clear" w:pos="360"/>
        </w:tabs>
        <w:suppressAutoHyphens/>
        <w:rPr>
          <w:kern w:val="22"/>
          <w:lang w:val="fr-CA"/>
        </w:rPr>
      </w:pPr>
      <w:r w:rsidRPr="005E7DB2">
        <w:rPr>
          <w:lang w:val="fr-CA"/>
        </w:rPr>
        <w:t>Les ressources financières nationales allouées à la biodiversité constituent actuellement la plus grande part (plus des trois quarts) des ressources totales mobilisées annuellement, et elles demeureront extrêmement importantes. Il importera de renforcer l</w:t>
      </w:r>
      <w:r w:rsidR="001C0A75">
        <w:rPr>
          <w:lang w:val="fr-CA"/>
        </w:rPr>
        <w:t>’</w:t>
      </w:r>
      <w:r w:rsidRPr="005E7DB2">
        <w:rPr>
          <w:lang w:val="fr-CA"/>
        </w:rPr>
        <w:t>intégration de la biodiversité dans les plans et budgets nationaux et de renforcer les capacités nationales pour l</w:t>
      </w:r>
      <w:r w:rsidR="001C0A75">
        <w:rPr>
          <w:lang w:val="fr-CA"/>
        </w:rPr>
        <w:t>’</w:t>
      </w:r>
      <w:r w:rsidRPr="005E7DB2">
        <w:rPr>
          <w:lang w:val="fr-CA"/>
        </w:rPr>
        <w:t>utilisation efficiente et efficace des ressources</w:t>
      </w:r>
      <w:r w:rsidR="00903827" w:rsidRPr="005E7DB2">
        <w:rPr>
          <w:kern w:val="22"/>
          <w:lang w:val="fr-CA"/>
        </w:rPr>
        <w:t>.</w:t>
      </w:r>
    </w:p>
    <w:p w:rsidR="006E6B86" w:rsidRPr="005E7DB2" w:rsidRDefault="006E6B86" w:rsidP="006E6B86">
      <w:pPr>
        <w:pStyle w:val="Para1"/>
        <w:tabs>
          <w:tab w:val="clear" w:pos="360"/>
        </w:tabs>
        <w:rPr>
          <w:lang w:val="fr-CA"/>
        </w:rPr>
      </w:pPr>
      <w:r w:rsidRPr="005E7DB2">
        <w:rPr>
          <w:szCs w:val="22"/>
          <w:lang w:val="fr-CA"/>
        </w:rPr>
        <w:t>Une autre priorité clé pour le cadre mondial de la biodiversité pour l</w:t>
      </w:r>
      <w:r w:rsidR="001C0A75">
        <w:rPr>
          <w:szCs w:val="22"/>
          <w:lang w:val="fr-CA"/>
        </w:rPr>
        <w:t>’</w:t>
      </w:r>
      <w:r w:rsidRPr="005E7DB2">
        <w:rPr>
          <w:szCs w:val="22"/>
          <w:lang w:val="fr-CA"/>
        </w:rPr>
        <w:t>après</w:t>
      </w:r>
      <w:r w:rsidR="001C0A75">
        <w:rPr>
          <w:szCs w:val="22"/>
          <w:lang w:val="fr-CA"/>
        </w:rPr>
        <w:noBreakHyphen/>
      </w:r>
      <w:r w:rsidRPr="005E7DB2">
        <w:rPr>
          <w:szCs w:val="22"/>
          <w:lang w:val="fr-CA"/>
        </w:rPr>
        <w:t>2020 sera d</w:t>
      </w:r>
      <w:r w:rsidR="001C0A75">
        <w:rPr>
          <w:szCs w:val="22"/>
          <w:lang w:val="fr-CA"/>
        </w:rPr>
        <w:t>’</w:t>
      </w:r>
      <w:r w:rsidRPr="005E7DB2">
        <w:rPr>
          <w:szCs w:val="22"/>
          <w:lang w:val="fr-CA"/>
        </w:rPr>
        <w:t>aborder de manière globale le rôle du milieu des affaires et du secteur financier, afin d</w:t>
      </w:r>
      <w:r w:rsidR="001C0A75">
        <w:rPr>
          <w:szCs w:val="22"/>
          <w:lang w:val="fr-CA"/>
        </w:rPr>
        <w:t>’</w:t>
      </w:r>
      <w:r w:rsidRPr="005E7DB2">
        <w:rPr>
          <w:szCs w:val="22"/>
          <w:lang w:val="fr-CA"/>
        </w:rPr>
        <w:t>augmenter les flux de financement pour réaliser les trois objectifs de la Convention et de réduire les financements néfastes à la biodiversité (qui sont actuellement 5 ou 6 fois plus élevés que les financements ayant une incidence positive sur la biodiversité, selon l</w:t>
      </w:r>
      <w:r w:rsidR="001C0A75">
        <w:rPr>
          <w:szCs w:val="22"/>
          <w:lang w:val="fr-CA"/>
        </w:rPr>
        <w:t>’</w:t>
      </w:r>
      <w:r w:rsidRPr="005E7DB2">
        <w:rPr>
          <w:szCs w:val="22"/>
          <w:lang w:val="fr-CA"/>
        </w:rPr>
        <w:t>OCDE). Cela devrait être étayé par des efforts renforcés d</w:t>
      </w:r>
      <w:r w:rsidR="001C0A75">
        <w:rPr>
          <w:szCs w:val="22"/>
          <w:lang w:val="fr-CA"/>
        </w:rPr>
        <w:t>’</w:t>
      </w:r>
      <w:r w:rsidRPr="005E7DB2">
        <w:rPr>
          <w:szCs w:val="22"/>
          <w:lang w:val="fr-CA"/>
        </w:rPr>
        <w:t>élaboration de mécanismes pour mesurer, gérer et produire des rapports de manière normalisée pour déterminer dans quelle mesure le milieu des affaires réduit ses dépenses nuisibles à la biodiversité et augmente ses dépenses ayant une incidence positive sur la diversité biologique.</w:t>
      </w:r>
    </w:p>
    <w:p w:rsidR="006E6B86" w:rsidRPr="005E7DB2" w:rsidRDefault="006E6B86" w:rsidP="006E6B86">
      <w:pPr>
        <w:pStyle w:val="Para1"/>
        <w:tabs>
          <w:tab w:val="clear" w:pos="360"/>
        </w:tabs>
        <w:rPr>
          <w:lang w:val="fr-CA"/>
        </w:rPr>
      </w:pPr>
      <w:r w:rsidRPr="005E7DB2">
        <w:rPr>
          <w:lang w:val="fr-CA"/>
        </w:rPr>
        <w:t>Dans tout ceci, il devrait y avoir un rôle important pour les gouvernements, qui devraient donner l</w:t>
      </w:r>
      <w:r w:rsidR="001C0A75">
        <w:rPr>
          <w:lang w:val="fr-CA"/>
        </w:rPr>
        <w:t>’</w:t>
      </w:r>
      <w:r w:rsidRPr="005E7DB2">
        <w:rPr>
          <w:lang w:val="fr-CA"/>
        </w:rPr>
        <w:t>exemple, créer un environnement habilitant pour d</w:t>
      </w:r>
      <w:r w:rsidR="001C0A75">
        <w:rPr>
          <w:lang w:val="fr-CA"/>
        </w:rPr>
        <w:t>’</w:t>
      </w:r>
      <w:r w:rsidRPr="005E7DB2">
        <w:rPr>
          <w:lang w:val="fr-CA"/>
        </w:rPr>
        <w:t>autres acteurs, assurer qu</w:t>
      </w:r>
      <w:r w:rsidR="001C0A75">
        <w:rPr>
          <w:lang w:val="fr-CA"/>
        </w:rPr>
        <w:t>’</w:t>
      </w:r>
      <w:r w:rsidRPr="005E7DB2">
        <w:rPr>
          <w:lang w:val="fr-CA"/>
        </w:rPr>
        <w:t>ils ont les capacités – et demander de l</w:t>
      </w:r>
      <w:r w:rsidR="001C0A75">
        <w:rPr>
          <w:lang w:val="fr-CA"/>
        </w:rPr>
        <w:t>’</w:t>
      </w:r>
      <w:r w:rsidRPr="005E7DB2">
        <w:rPr>
          <w:lang w:val="fr-CA"/>
        </w:rPr>
        <w:t>aide externe au besoin – pour élaborer des plans nationaux de financement du développement, et produire des rapports précis et réguliers sur les ressources financières mobilisées pour la biodiversité.</w:t>
      </w:r>
    </w:p>
    <w:p w:rsidR="0057317A" w:rsidRPr="005E7DB2" w:rsidRDefault="006E6B86" w:rsidP="006E6B86">
      <w:pPr>
        <w:pStyle w:val="Para1"/>
        <w:suppressLineNumbers/>
        <w:tabs>
          <w:tab w:val="clear" w:pos="360"/>
        </w:tabs>
        <w:suppressAutoHyphens/>
        <w:rPr>
          <w:kern w:val="22"/>
          <w:lang w:val="fr-CA"/>
        </w:rPr>
      </w:pPr>
      <w:r w:rsidRPr="005E7DB2">
        <w:rPr>
          <w:szCs w:val="22"/>
          <w:lang w:val="fr-CA"/>
        </w:rPr>
        <w:t>Le troisième rapport du Groupe d</w:t>
      </w:r>
      <w:r w:rsidR="001C0A75">
        <w:rPr>
          <w:szCs w:val="22"/>
          <w:lang w:val="fr-CA"/>
        </w:rPr>
        <w:t>’</w:t>
      </w:r>
      <w:r w:rsidRPr="005E7DB2">
        <w:rPr>
          <w:szCs w:val="22"/>
          <w:lang w:val="fr-CA"/>
        </w:rPr>
        <w:t>experts s</w:t>
      </w:r>
      <w:r w:rsidR="001C0A75">
        <w:rPr>
          <w:szCs w:val="22"/>
          <w:lang w:val="fr-CA"/>
        </w:rPr>
        <w:t>’</w:t>
      </w:r>
      <w:r w:rsidRPr="005E7DB2">
        <w:rPr>
          <w:szCs w:val="22"/>
          <w:lang w:val="fr-CA"/>
        </w:rPr>
        <w:t>inspire substantiellement de cette évaluation et expose en détail la contribution du Groupe à un projet d</w:t>
      </w:r>
      <w:r w:rsidR="001C0A75">
        <w:rPr>
          <w:szCs w:val="22"/>
          <w:lang w:val="fr-CA"/>
        </w:rPr>
        <w:t>’</w:t>
      </w:r>
      <w:r w:rsidRPr="005E7DB2">
        <w:rPr>
          <w:szCs w:val="22"/>
          <w:lang w:val="fr-CA"/>
        </w:rPr>
        <w:t>élément sur la mobilisation des ressources du cadre mondial de la biodiversité pour l</w:t>
      </w:r>
      <w:r w:rsidR="001C0A75">
        <w:rPr>
          <w:szCs w:val="22"/>
          <w:lang w:val="fr-CA"/>
        </w:rPr>
        <w:t>’</w:t>
      </w:r>
      <w:r w:rsidRPr="005E7DB2">
        <w:rPr>
          <w:szCs w:val="22"/>
          <w:lang w:val="fr-CA"/>
        </w:rPr>
        <w:t>après</w:t>
      </w:r>
      <w:r w:rsidR="001C0A75">
        <w:rPr>
          <w:szCs w:val="22"/>
          <w:lang w:val="fr-CA"/>
        </w:rPr>
        <w:noBreakHyphen/>
      </w:r>
      <w:r w:rsidRPr="005E7DB2">
        <w:rPr>
          <w:szCs w:val="22"/>
          <w:lang w:val="fr-CA"/>
        </w:rPr>
        <w:t>2020</w:t>
      </w:r>
      <w:r w:rsidR="00281FAE">
        <w:rPr>
          <w:kern w:val="22"/>
          <w:szCs w:val="22"/>
          <w:lang w:val="fr-CA"/>
        </w:rPr>
        <w:t>.</w:t>
      </w:r>
    </w:p>
    <w:p w:rsidR="00BD0533" w:rsidRPr="005E7DB2" w:rsidRDefault="00BD0533" w:rsidP="009654F0">
      <w:pPr>
        <w:suppressLineNumbers/>
        <w:suppressAutoHyphens/>
        <w:jc w:val="left"/>
        <w:rPr>
          <w:snapToGrid w:val="0"/>
          <w:kern w:val="22"/>
          <w:szCs w:val="22"/>
          <w:lang w:val="fr-CA"/>
        </w:rPr>
      </w:pPr>
      <w:r w:rsidRPr="005E7DB2">
        <w:rPr>
          <w:kern w:val="22"/>
          <w:szCs w:val="22"/>
          <w:lang w:val="fr-CA"/>
        </w:rPr>
        <w:br w:type="page"/>
      </w:r>
    </w:p>
    <w:p w:rsidR="00BD0533" w:rsidRPr="005E7DB2" w:rsidRDefault="00BD0533" w:rsidP="009654F0">
      <w:pPr>
        <w:pStyle w:val="Para1"/>
        <w:keepNext/>
        <w:numPr>
          <w:ilvl w:val="0"/>
          <w:numId w:val="0"/>
        </w:numPr>
        <w:suppressLineNumbers/>
        <w:suppressAutoHyphens/>
        <w:spacing w:before="0"/>
        <w:jc w:val="center"/>
        <w:outlineLvl w:val="2"/>
        <w:rPr>
          <w:bCs/>
          <w:i/>
          <w:iCs/>
          <w:kern w:val="22"/>
          <w:lang w:val="fr-CA"/>
        </w:rPr>
      </w:pPr>
      <w:r w:rsidRPr="005E7DB2">
        <w:rPr>
          <w:bCs/>
          <w:i/>
          <w:iCs/>
          <w:kern w:val="22"/>
          <w:lang w:val="fr-CA"/>
        </w:rPr>
        <w:lastRenderedPageBreak/>
        <w:t>Annex</w:t>
      </w:r>
      <w:r w:rsidR="006E6B86" w:rsidRPr="005E7DB2">
        <w:rPr>
          <w:bCs/>
          <w:i/>
          <w:iCs/>
          <w:kern w:val="22"/>
          <w:lang w:val="fr-CA"/>
        </w:rPr>
        <w:t>e</w:t>
      </w:r>
    </w:p>
    <w:p w:rsidR="00BD0533" w:rsidRPr="005E7DB2" w:rsidRDefault="006E6B86" w:rsidP="009654F0">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lang w:val="fr-CA"/>
        </w:rPr>
      </w:pPr>
      <w:bookmarkStart w:id="5" w:name="_Toc395511719"/>
      <w:r w:rsidRPr="005E7DB2">
        <w:rPr>
          <w:bCs/>
          <w:iCs/>
          <w:snapToGrid w:val="0"/>
          <w:lang w:val="fr-CA"/>
        </w:rPr>
        <w:t>Objectifs pour la mobilisation des ressources</w:t>
      </w:r>
      <w:bookmarkEnd w:id="5"/>
    </w:p>
    <w:p w:rsidR="006E6B86" w:rsidRPr="005E7DB2" w:rsidRDefault="00BD0533" w:rsidP="006E6B86">
      <w:pPr>
        <w:suppressLineNumbers/>
        <w:suppressAutoHyphens/>
        <w:kinsoku w:val="0"/>
        <w:overflowPunct w:val="0"/>
        <w:autoSpaceDE w:val="0"/>
        <w:autoSpaceDN w:val="0"/>
        <w:adjustRightInd w:val="0"/>
        <w:snapToGrid w:val="0"/>
        <w:spacing w:after="120"/>
        <w:rPr>
          <w:snapToGrid w:val="0"/>
          <w:kern w:val="22"/>
          <w:szCs w:val="22"/>
          <w:lang w:val="fr-CA"/>
        </w:rPr>
      </w:pPr>
      <w:r w:rsidRPr="005E7DB2">
        <w:rPr>
          <w:snapToGrid w:val="0"/>
          <w:kern w:val="22"/>
          <w:szCs w:val="22"/>
          <w:lang w:val="fr-CA"/>
        </w:rPr>
        <w:t>1.</w:t>
      </w:r>
      <w:r w:rsidRPr="005E7DB2">
        <w:rPr>
          <w:snapToGrid w:val="0"/>
          <w:kern w:val="22"/>
          <w:szCs w:val="22"/>
          <w:lang w:val="fr-CA"/>
        </w:rPr>
        <w:tab/>
      </w:r>
      <w:r w:rsidR="006E6B86" w:rsidRPr="005E7DB2">
        <w:rPr>
          <w:snapToGrid w:val="0"/>
          <w:kern w:val="22"/>
          <w:szCs w:val="22"/>
          <w:lang w:val="fr-CA"/>
        </w:rPr>
        <w:t xml:space="preserve">Au paragraphe 1 de la décision </w:t>
      </w:r>
      <w:hyperlink r:id="rId22" w:history="1">
        <w:r w:rsidR="006E6B86" w:rsidRPr="005E7DB2">
          <w:rPr>
            <w:rStyle w:val="Hyperlink"/>
            <w:sz w:val="22"/>
            <w:lang w:val="fr-CA"/>
          </w:rPr>
          <w:t>XII/3</w:t>
        </w:r>
      </w:hyperlink>
      <w:r w:rsidR="006E6B86" w:rsidRPr="005E7DB2">
        <w:rPr>
          <w:lang w:val="fr-CA"/>
        </w:rPr>
        <w:t xml:space="preserve">, la Conférence des Parties </w:t>
      </w:r>
      <w:r w:rsidR="006E6B86" w:rsidRPr="005E7DB2">
        <w:rPr>
          <w:kern w:val="20"/>
          <w:lang w:val="fr-CA"/>
        </w:rPr>
        <w:t>ré</w:t>
      </w:r>
      <w:r w:rsidR="006E6B86" w:rsidRPr="005E7DB2">
        <w:rPr>
          <w:bCs/>
          <w:kern w:val="20"/>
          <w:lang w:val="fr-CA"/>
        </w:rPr>
        <w:t>affirme</w:t>
      </w:r>
      <w:r w:rsidR="006E6B86" w:rsidRPr="005E7DB2">
        <w:rPr>
          <w:bCs/>
          <w:i/>
          <w:kern w:val="20"/>
          <w:lang w:val="fr-CA"/>
        </w:rPr>
        <w:t xml:space="preserve"> </w:t>
      </w:r>
      <w:r w:rsidR="006E6B86" w:rsidRPr="005E7DB2">
        <w:rPr>
          <w:bCs/>
          <w:kern w:val="20"/>
          <w:lang w:val="fr-CA"/>
        </w:rPr>
        <w:t>son engagement en faveur d</w:t>
      </w:r>
      <w:r w:rsidR="001C0A75">
        <w:rPr>
          <w:bCs/>
          <w:kern w:val="20"/>
          <w:lang w:val="fr-CA"/>
        </w:rPr>
        <w:t>’</w:t>
      </w:r>
      <w:r w:rsidR="006E6B86" w:rsidRPr="005E7DB2">
        <w:rPr>
          <w:bCs/>
          <w:kern w:val="20"/>
          <w:lang w:val="fr-CA"/>
        </w:rPr>
        <w:t>une forte augmentation globale du montant total des fonds alloués à la diversité biologique, en diversifiant les sources, afin de mettre en œuvre le Plan stratégique 2011</w:t>
      </w:r>
      <w:r w:rsidR="001C0A75">
        <w:rPr>
          <w:bCs/>
          <w:kern w:val="20"/>
          <w:lang w:val="fr-CA"/>
        </w:rPr>
        <w:noBreakHyphen/>
      </w:r>
      <w:r w:rsidR="006E6B86" w:rsidRPr="005E7DB2">
        <w:rPr>
          <w:bCs/>
          <w:kern w:val="20"/>
          <w:lang w:val="fr-CA"/>
        </w:rPr>
        <w:t>2020 pour la diversité biologique, et adopte</w:t>
      </w:r>
      <w:r w:rsidR="006E6B86" w:rsidRPr="005E7DB2">
        <w:rPr>
          <w:bCs/>
          <w:i/>
          <w:kern w:val="20"/>
          <w:lang w:val="fr-CA"/>
        </w:rPr>
        <w:t xml:space="preserve"> </w:t>
      </w:r>
      <w:r w:rsidR="006E6B86" w:rsidRPr="005E7DB2">
        <w:rPr>
          <w:bCs/>
          <w:kern w:val="20"/>
          <w:lang w:val="fr-CA"/>
        </w:rPr>
        <w:t>les objectifs suivants pour la mobilisation de ressources au titre de l</w:t>
      </w:r>
      <w:r w:rsidR="001C0A75">
        <w:rPr>
          <w:bCs/>
          <w:kern w:val="20"/>
          <w:lang w:val="fr-CA"/>
        </w:rPr>
        <w:t>’</w:t>
      </w:r>
      <w:r w:rsidR="006E6B86" w:rsidRPr="005E7DB2">
        <w:rPr>
          <w:bCs/>
          <w:kern w:val="20"/>
          <w:lang w:val="fr-CA"/>
        </w:rPr>
        <w:t>Objectif 20 d</w:t>
      </w:r>
      <w:r w:rsidR="001C0A75">
        <w:rPr>
          <w:bCs/>
          <w:kern w:val="20"/>
          <w:lang w:val="fr-CA"/>
        </w:rPr>
        <w:t>’</w:t>
      </w:r>
      <w:r w:rsidR="006E6B86" w:rsidRPr="005E7DB2">
        <w:rPr>
          <w:bCs/>
          <w:kern w:val="20"/>
          <w:lang w:val="fr-CA"/>
        </w:rPr>
        <w:t>Aichi du Plan stratégique 2011–2020 pour la diversité biologique, comme suit :</w:t>
      </w:r>
    </w:p>
    <w:p w:rsidR="006E6B86" w:rsidRPr="005E7DB2" w:rsidRDefault="006E6B86" w:rsidP="006E6B86">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lang w:val="fr-CA"/>
        </w:rPr>
      </w:pPr>
      <w:r w:rsidRPr="005E7DB2">
        <w:rPr>
          <w:bCs/>
          <w:kern w:val="20"/>
          <w:lang w:val="fr-CA"/>
        </w:rPr>
        <w:t>Doubler le total des flux internationaux de ressources financières allouées à la biodiversité aux pays en développement – en particulier aux pays les moins avancés et aux petits États insulaires en développement, ainsi qu</w:t>
      </w:r>
      <w:r w:rsidR="001C0A75">
        <w:rPr>
          <w:bCs/>
          <w:kern w:val="20"/>
          <w:lang w:val="fr-CA"/>
        </w:rPr>
        <w:t>’</w:t>
      </w:r>
      <w:r w:rsidRPr="005E7DB2">
        <w:rPr>
          <w:bCs/>
          <w:kern w:val="20"/>
          <w:lang w:val="fr-CA"/>
        </w:rPr>
        <w:t>aux pays à économies en transition – en prenant comme référence les fonds annuels moyens consacrés à la diversité biologique pour les années 2006</w:t>
      </w:r>
      <w:r w:rsidR="001C0A75">
        <w:rPr>
          <w:bCs/>
          <w:kern w:val="20"/>
          <w:lang w:val="fr-CA"/>
        </w:rPr>
        <w:noBreakHyphen/>
      </w:r>
      <w:r w:rsidRPr="005E7DB2">
        <w:rPr>
          <w:bCs/>
          <w:kern w:val="20"/>
          <w:lang w:val="fr-CA"/>
        </w:rPr>
        <w:t>2010, d</w:t>
      </w:r>
      <w:r w:rsidR="001C0A75">
        <w:rPr>
          <w:bCs/>
          <w:kern w:val="20"/>
          <w:lang w:val="fr-CA"/>
        </w:rPr>
        <w:t>’</w:t>
      </w:r>
      <w:r w:rsidRPr="005E7DB2">
        <w:rPr>
          <w:bCs/>
          <w:kern w:val="20"/>
          <w:lang w:val="fr-CA"/>
        </w:rPr>
        <w:t>ici à 2015, et au minimum maintenir ce niveau jusqu</w:t>
      </w:r>
      <w:r w:rsidR="001C0A75">
        <w:rPr>
          <w:bCs/>
          <w:kern w:val="20"/>
          <w:lang w:val="fr-CA"/>
        </w:rPr>
        <w:t>’</w:t>
      </w:r>
      <w:r w:rsidRPr="005E7DB2">
        <w:rPr>
          <w:bCs/>
          <w:kern w:val="20"/>
          <w:lang w:val="fr-CA"/>
        </w:rPr>
        <w:t>en 2020, conformément à l</w:t>
      </w:r>
      <w:r w:rsidR="001C0A75">
        <w:rPr>
          <w:bCs/>
          <w:kern w:val="20"/>
          <w:lang w:val="fr-CA"/>
        </w:rPr>
        <w:t>’</w:t>
      </w:r>
      <w:r w:rsidRPr="005E7DB2">
        <w:rPr>
          <w:bCs/>
          <w:kern w:val="20"/>
          <w:lang w:val="fr-CA"/>
        </w:rPr>
        <w:t>article 20 de la Convention, pour contribuer à la réalisation des trois objectifs de la Convention, y compris au moyen de l</w:t>
      </w:r>
      <w:r w:rsidR="001C0A75">
        <w:rPr>
          <w:bCs/>
          <w:kern w:val="20"/>
          <w:lang w:val="fr-CA"/>
        </w:rPr>
        <w:t>’</w:t>
      </w:r>
      <w:r w:rsidRPr="005E7DB2">
        <w:rPr>
          <w:bCs/>
          <w:kern w:val="20"/>
          <w:lang w:val="fr-CA"/>
        </w:rPr>
        <w:t>établissement par les pays récipiendaires de priorités relatives à la biodiversité dans le cadre de leurs plans de développement</w:t>
      </w:r>
      <w:r w:rsidRPr="005E7DB2">
        <w:rPr>
          <w:rFonts w:cs="Times New Roman"/>
          <w:kern w:val="22"/>
          <w:szCs w:val="22"/>
          <w:lang w:val="fr-CA"/>
        </w:rPr>
        <w:t>;</w:t>
      </w:r>
    </w:p>
    <w:p w:rsidR="006E6B86" w:rsidRPr="005E7DB2" w:rsidRDefault="006E6B86" w:rsidP="006E6B86">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lang w:val="fr-CA"/>
        </w:rPr>
      </w:pPr>
      <w:r w:rsidRPr="005E7DB2">
        <w:rPr>
          <w:bCs/>
          <w:kern w:val="20"/>
          <w:lang w:val="fr-CA"/>
        </w:rPr>
        <w:t>S</w:t>
      </w:r>
      <w:r w:rsidR="001C0A75">
        <w:rPr>
          <w:bCs/>
          <w:kern w:val="20"/>
          <w:lang w:val="fr-CA"/>
        </w:rPr>
        <w:t>’</w:t>
      </w:r>
      <w:r w:rsidRPr="005E7DB2">
        <w:rPr>
          <w:bCs/>
          <w:kern w:val="20"/>
          <w:lang w:val="fr-CA"/>
        </w:rPr>
        <w:t>efforcer de faire en sorte que 100% des Parties, et au moins 75% d</w:t>
      </w:r>
      <w:r w:rsidR="001C0A75">
        <w:rPr>
          <w:bCs/>
          <w:kern w:val="20"/>
          <w:lang w:val="fr-CA"/>
        </w:rPr>
        <w:t>’</w:t>
      </w:r>
      <w:r w:rsidRPr="005E7DB2">
        <w:rPr>
          <w:bCs/>
          <w:kern w:val="20"/>
          <w:lang w:val="fr-CA"/>
        </w:rPr>
        <w:t>entre elles, aient inclus la diversité biologique dans leurs priorités nationales ou leurs plans de développement d</w:t>
      </w:r>
      <w:r w:rsidR="001C0A75">
        <w:rPr>
          <w:bCs/>
          <w:kern w:val="20"/>
          <w:lang w:val="fr-CA"/>
        </w:rPr>
        <w:t>’</w:t>
      </w:r>
      <w:r w:rsidRPr="005E7DB2">
        <w:rPr>
          <w:bCs/>
          <w:kern w:val="20"/>
          <w:lang w:val="fr-CA"/>
        </w:rPr>
        <w:t>ici à 2015, et qu</w:t>
      </w:r>
      <w:r w:rsidR="001C0A75">
        <w:rPr>
          <w:bCs/>
          <w:kern w:val="20"/>
          <w:lang w:val="fr-CA"/>
        </w:rPr>
        <w:t>’</w:t>
      </w:r>
      <w:r w:rsidRPr="005E7DB2">
        <w:rPr>
          <w:bCs/>
          <w:kern w:val="20"/>
          <w:lang w:val="fr-CA"/>
        </w:rPr>
        <w:t>elles aient donc pris des dispositions financières nationales appropriées</w:t>
      </w:r>
      <w:r w:rsidRPr="005E7DB2">
        <w:rPr>
          <w:rFonts w:cs="Times New Roman"/>
          <w:kern w:val="22"/>
          <w:szCs w:val="22"/>
          <w:lang w:val="fr-CA"/>
        </w:rPr>
        <w:t>;</w:t>
      </w:r>
    </w:p>
    <w:p w:rsidR="006E6B86" w:rsidRPr="005E7DB2" w:rsidRDefault="006E6B86" w:rsidP="006E6B86">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lang w:val="fr-CA"/>
        </w:rPr>
      </w:pPr>
      <w:r w:rsidRPr="005E7DB2">
        <w:rPr>
          <w:bCs/>
          <w:kern w:val="20"/>
          <w:lang w:val="fr-CA"/>
        </w:rPr>
        <w:t>S</w:t>
      </w:r>
      <w:r w:rsidR="001C0A75">
        <w:rPr>
          <w:bCs/>
          <w:kern w:val="20"/>
          <w:lang w:val="fr-CA"/>
        </w:rPr>
        <w:t>’</w:t>
      </w:r>
      <w:r w:rsidRPr="005E7DB2">
        <w:rPr>
          <w:bCs/>
          <w:kern w:val="20"/>
          <w:lang w:val="fr-CA"/>
        </w:rPr>
        <w:t>efforcer de faire en sorte que 100% des Parties, et au moins 75% d</w:t>
      </w:r>
      <w:r w:rsidR="001C0A75">
        <w:rPr>
          <w:bCs/>
          <w:kern w:val="20"/>
          <w:lang w:val="fr-CA"/>
        </w:rPr>
        <w:t>’</w:t>
      </w:r>
      <w:r w:rsidRPr="005E7DB2">
        <w:rPr>
          <w:bCs/>
          <w:kern w:val="20"/>
          <w:lang w:val="fr-CA"/>
        </w:rPr>
        <w:t>entre elles, fournissent des ressources financières adéquates pour faire rapport sur leurs dépenses relatives à la diversité biologique, ainsi que sur leurs besoins de financement, leurs insuffisances et leurs priorités, d</w:t>
      </w:r>
      <w:r w:rsidR="001C0A75">
        <w:rPr>
          <w:bCs/>
          <w:kern w:val="20"/>
          <w:lang w:val="fr-CA"/>
        </w:rPr>
        <w:t>’</w:t>
      </w:r>
      <w:r w:rsidRPr="005E7DB2">
        <w:rPr>
          <w:bCs/>
          <w:kern w:val="20"/>
          <w:lang w:val="fr-CA"/>
        </w:rPr>
        <w:t>ici à 2015, afin de consolider le niveau de référence</w:t>
      </w:r>
      <w:r w:rsidRPr="005E7DB2">
        <w:rPr>
          <w:rFonts w:cs="Times New Roman"/>
          <w:kern w:val="22"/>
          <w:szCs w:val="22"/>
          <w:lang w:val="fr-CA"/>
        </w:rPr>
        <w:t>;</w:t>
      </w:r>
    </w:p>
    <w:p w:rsidR="006E6B86" w:rsidRPr="005E7DB2" w:rsidRDefault="006E6B86" w:rsidP="006E6B86">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lang w:val="fr-CA"/>
        </w:rPr>
      </w:pPr>
      <w:r w:rsidRPr="005E7DB2">
        <w:rPr>
          <w:bCs/>
          <w:kern w:val="20"/>
          <w:lang w:val="fr-CA"/>
        </w:rPr>
        <w:t>S</w:t>
      </w:r>
      <w:r w:rsidR="001C0A75">
        <w:rPr>
          <w:bCs/>
          <w:kern w:val="20"/>
          <w:lang w:val="fr-CA"/>
        </w:rPr>
        <w:t>’</w:t>
      </w:r>
      <w:r w:rsidRPr="005E7DB2">
        <w:rPr>
          <w:bCs/>
          <w:kern w:val="20"/>
          <w:lang w:val="fr-CA"/>
        </w:rPr>
        <w:t>efforcer de faire en sorte que 100% des Parties, et au moins 75% d</w:t>
      </w:r>
      <w:r w:rsidR="001C0A75">
        <w:rPr>
          <w:bCs/>
          <w:kern w:val="20"/>
          <w:lang w:val="fr-CA"/>
        </w:rPr>
        <w:t>’</w:t>
      </w:r>
      <w:r w:rsidRPr="005E7DB2">
        <w:rPr>
          <w:bCs/>
          <w:kern w:val="20"/>
          <w:lang w:val="fr-CA"/>
        </w:rPr>
        <w:t>entre elles, fournissent des ressources financières adéquates pour élaborer des plans financiers nationaux en faveur de la diversité biologique d</w:t>
      </w:r>
      <w:r w:rsidR="001C0A75">
        <w:rPr>
          <w:bCs/>
          <w:kern w:val="20"/>
          <w:lang w:val="fr-CA"/>
        </w:rPr>
        <w:t>’</w:t>
      </w:r>
      <w:r w:rsidRPr="005E7DB2">
        <w:rPr>
          <w:bCs/>
          <w:kern w:val="20"/>
          <w:lang w:val="fr-CA"/>
        </w:rPr>
        <w:t>ici à 2015, et que 30% d</w:t>
      </w:r>
      <w:r w:rsidR="001C0A75">
        <w:rPr>
          <w:bCs/>
          <w:kern w:val="20"/>
          <w:lang w:val="fr-CA"/>
        </w:rPr>
        <w:t>’</w:t>
      </w:r>
      <w:r w:rsidRPr="005E7DB2">
        <w:rPr>
          <w:bCs/>
          <w:kern w:val="20"/>
          <w:lang w:val="fr-CA"/>
        </w:rPr>
        <w:t xml:space="preserve">entre elles aient apprécié ou évalué les valeurs </w:t>
      </w:r>
      <w:r w:rsidRPr="005E7DB2">
        <w:rPr>
          <w:bCs/>
          <w:iCs/>
          <w:kern w:val="20"/>
          <w:lang w:val="fr-CA"/>
        </w:rPr>
        <w:t>intrinsèques, écologiques, génétiques, socioéconomiques, scientifiques, pédagogiques, culturelles, récréatives et esthétiques de la diversité biologique et de ses composantes</w:t>
      </w:r>
      <w:r w:rsidRPr="005E7DB2">
        <w:rPr>
          <w:rFonts w:cs="Times New Roman"/>
          <w:kern w:val="22"/>
          <w:szCs w:val="22"/>
          <w:lang w:val="fr-CA"/>
        </w:rPr>
        <w:t>;</w:t>
      </w:r>
    </w:p>
    <w:p w:rsidR="006E6B86" w:rsidRPr="005E7DB2" w:rsidRDefault="006E6B86" w:rsidP="006E6B86">
      <w:pPr>
        <w:pStyle w:val="aident"/>
        <w:numPr>
          <w:ilvl w:val="0"/>
          <w:numId w:val="37"/>
        </w:numPr>
        <w:suppressLineNumbers/>
        <w:tabs>
          <w:tab w:val="left" w:pos="720"/>
        </w:tabs>
        <w:suppressAutoHyphens/>
        <w:kinsoku w:val="0"/>
        <w:overflowPunct w:val="0"/>
        <w:adjustRightInd w:val="0"/>
        <w:ind w:left="0" w:firstLine="720"/>
        <w:rPr>
          <w:rFonts w:cs="Times New Roman"/>
          <w:kern w:val="22"/>
          <w:szCs w:val="22"/>
          <w:lang w:val="fr-CA"/>
        </w:rPr>
      </w:pPr>
      <w:r w:rsidRPr="005E7DB2">
        <w:rPr>
          <w:kern w:val="20"/>
          <w:lang w:val="fr-CA"/>
        </w:rPr>
        <w:t>Mobiliser des ressources financières nationales de toutes les sources afin de réduire l</w:t>
      </w:r>
      <w:r w:rsidR="001C0A75">
        <w:rPr>
          <w:kern w:val="20"/>
          <w:lang w:val="fr-CA"/>
        </w:rPr>
        <w:t>’</w:t>
      </w:r>
      <w:r w:rsidRPr="005E7DB2">
        <w:rPr>
          <w:kern w:val="20"/>
          <w:lang w:val="fr-CA"/>
        </w:rPr>
        <w:t>écart entre les besoins identifiés et les ressources disponibles au niveau national, pour mettre en œuvre efficacement les stratégies et plans d</w:t>
      </w:r>
      <w:r w:rsidR="001C0A75">
        <w:rPr>
          <w:kern w:val="20"/>
          <w:lang w:val="fr-CA"/>
        </w:rPr>
        <w:t>’</w:t>
      </w:r>
      <w:r w:rsidRPr="005E7DB2">
        <w:rPr>
          <w:kern w:val="20"/>
          <w:lang w:val="fr-CA"/>
        </w:rPr>
        <w:t>action nationaux pour la diversité biologique des Parties d</w:t>
      </w:r>
      <w:r w:rsidR="001C0A75">
        <w:rPr>
          <w:kern w:val="20"/>
          <w:lang w:val="fr-CA"/>
        </w:rPr>
        <w:t>’</w:t>
      </w:r>
      <w:r w:rsidRPr="005E7DB2">
        <w:rPr>
          <w:kern w:val="20"/>
          <w:lang w:val="fr-CA"/>
        </w:rPr>
        <w:t>ici à 2020, conformément à l</w:t>
      </w:r>
      <w:r w:rsidR="001C0A75">
        <w:rPr>
          <w:kern w:val="20"/>
          <w:lang w:val="fr-CA"/>
        </w:rPr>
        <w:t>’</w:t>
      </w:r>
      <w:r w:rsidRPr="005E7DB2">
        <w:rPr>
          <w:kern w:val="20"/>
          <w:lang w:val="fr-CA"/>
        </w:rPr>
        <w:t>article 20.</w:t>
      </w:r>
    </w:p>
    <w:p w:rsidR="00BD0533" w:rsidRPr="005E7DB2" w:rsidRDefault="006E6B86" w:rsidP="006E6B86">
      <w:pPr>
        <w:suppressLineNumbers/>
        <w:suppressAutoHyphens/>
        <w:kinsoku w:val="0"/>
        <w:overflowPunct w:val="0"/>
        <w:autoSpaceDE w:val="0"/>
        <w:autoSpaceDN w:val="0"/>
        <w:adjustRightInd w:val="0"/>
        <w:snapToGrid w:val="0"/>
        <w:spacing w:after="120"/>
        <w:rPr>
          <w:snapToGrid w:val="0"/>
          <w:kern w:val="22"/>
          <w:szCs w:val="22"/>
          <w:lang w:val="fr-CA"/>
        </w:rPr>
      </w:pPr>
      <w:r w:rsidRPr="005E7DB2">
        <w:rPr>
          <w:snapToGrid w:val="0"/>
          <w:kern w:val="22"/>
          <w:szCs w:val="22"/>
          <w:lang w:val="fr-CA"/>
        </w:rPr>
        <w:t>2.</w:t>
      </w:r>
      <w:r w:rsidRPr="005E7DB2">
        <w:rPr>
          <w:snapToGrid w:val="0"/>
          <w:kern w:val="22"/>
          <w:szCs w:val="22"/>
          <w:lang w:val="fr-CA"/>
        </w:rPr>
        <w:tab/>
        <w:t xml:space="preserve">Au paragraphe 2 de la même décision, la Conférence des Parties </w:t>
      </w:r>
      <w:r w:rsidRPr="005E7DB2">
        <w:rPr>
          <w:kern w:val="20"/>
          <w:lang w:val="fr-CA"/>
        </w:rPr>
        <w:t>rappelant</w:t>
      </w:r>
      <w:r w:rsidRPr="005E7DB2">
        <w:rPr>
          <w:i/>
          <w:kern w:val="20"/>
          <w:lang w:val="fr-CA"/>
        </w:rPr>
        <w:t xml:space="preserve"> </w:t>
      </w:r>
      <w:r w:rsidRPr="005E7DB2">
        <w:rPr>
          <w:kern w:val="20"/>
          <w:lang w:val="fr-CA"/>
        </w:rPr>
        <w:t>l</w:t>
      </w:r>
      <w:r w:rsidR="001C0A75">
        <w:rPr>
          <w:kern w:val="20"/>
          <w:lang w:val="fr-CA"/>
        </w:rPr>
        <w:t>’</w:t>
      </w:r>
      <w:r w:rsidRPr="005E7DB2">
        <w:rPr>
          <w:kern w:val="20"/>
          <w:lang w:val="fr-CA"/>
        </w:rPr>
        <w:t xml:space="preserve">article 20, décide que les objectifs des alinéas a) à </w:t>
      </w:r>
      <w:r w:rsidRPr="005E7DB2">
        <w:rPr>
          <w:noProof/>
          <w:kern w:val="20"/>
          <w:lang w:val="fr-CA"/>
        </w:rPr>
        <w:t>e) ci</w:t>
      </w:r>
      <w:r w:rsidR="001C0A75">
        <w:rPr>
          <w:noProof/>
          <w:kern w:val="20"/>
          <w:lang w:val="fr-CA"/>
        </w:rPr>
        <w:noBreakHyphen/>
      </w:r>
      <w:r w:rsidRPr="005E7DB2">
        <w:rPr>
          <w:noProof/>
          <w:kern w:val="20"/>
          <w:lang w:val="fr-CA"/>
        </w:rPr>
        <w:t xml:space="preserve">dessus </w:t>
      </w:r>
      <w:r w:rsidRPr="005E7DB2">
        <w:rPr>
          <w:bCs/>
          <w:noProof/>
          <w:snapToGrid w:val="0"/>
          <w:kern w:val="20"/>
          <w:lang w:val="fr-CA"/>
        </w:rPr>
        <w:t xml:space="preserve">seront considérés comme complémentaires; et au paragraphe 4, elle </w:t>
      </w:r>
      <w:r w:rsidRPr="005E7DB2">
        <w:rPr>
          <w:noProof/>
          <w:kern w:val="20"/>
          <w:lang w:val="fr-CA"/>
        </w:rPr>
        <w:t>exhorte</w:t>
      </w:r>
      <w:r w:rsidRPr="005E7DB2">
        <w:rPr>
          <w:i/>
          <w:noProof/>
          <w:kern w:val="20"/>
          <w:lang w:val="fr-CA"/>
        </w:rPr>
        <w:t xml:space="preserve"> </w:t>
      </w:r>
      <w:r w:rsidRPr="005E7DB2">
        <w:rPr>
          <w:noProof/>
          <w:kern w:val="20"/>
          <w:lang w:val="fr-CA"/>
        </w:rPr>
        <w:t>les Parties et les autres gouvernements, avec</w:t>
      </w:r>
      <w:r w:rsidRPr="005E7DB2">
        <w:rPr>
          <w:kern w:val="20"/>
          <w:lang w:val="fr-CA"/>
        </w:rPr>
        <w:t xml:space="preserve"> l</w:t>
      </w:r>
      <w:r w:rsidR="001C0A75">
        <w:rPr>
          <w:kern w:val="20"/>
          <w:lang w:val="fr-CA"/>
        </w:rPr>
        <w:t>’</w:t>
      </w:r>
      <w:r w:rsidRPr="005E7DB2">
        <w:rPr>
          <w:kern w:val="20"/>
          <w:lang w:val="fr-CA"/>
        </w:rPr>
        <w:t>appui des organisations internationales et régionales, à élaborer leurs stratégies de mobilisation de ressources ou plans financiers nationaux en accord avec les besoins et priorités identifiés, en utilisant les objectifs de mobilisation de ressources susmentionnés comme cadre souple</w:t>
      </w:r>
      <w:r w:rsidR="00BD0533" w:rsidRPr="005E7DB2">
        <w:rPr>
          <w:snapToGrid w:val="0"/>
          <w:kern w:val="22"/>
          <w:szCs w:val="22"/>
          <w:lang w:val="fr-CA"/>
        </w:rPr>
        <w:t>.</w:t>
      </w:r>
    </w:p>
    <w:p w:rsidR="00986764" w:rsidRPr="005E7DB2" w:rsidRDefault="00387B0B" w:rsidP="009654F0">
      <w:pPr>
        <w:pStyle w:val="Para1"/>
        <w:numPr>
          <w:ilvl w:val="0"/>
          <w:numId w:val="0"/>
        </w:numPr>
        <w:suppressLineNumbers/>
        <w:suppressAutoHyphens/>
        <w:jc w:val="center"/>
        <w:rPr>
          <w:kern w:val="22"/>
          <w:lang w:val="fr-CA"/>
        </w:rPr>
      </w:pPr>
      <w:r w:rsidRPr="005E7DB2">
        <w:rPr>
          <w:kern w:val="22"/>
          <w:szCs w:val="22"/>
          <w:lang w:val="fr-CA"/>
        </w:rPr>
        <w:t>__________</w:t>
      </w:r>
    </w:p>
    <w:sectPr w:rsidR="00986764" w:rsidRPr="005E7DB2" w:rsidSect="005F63FF">
      <w:headerReference w:type="even" r:id="rId23"/>
      <w:headerReference w:type="default" r:id="rId24"/>
      <w:type w:val="continuous"/>
      <w:pgSz w:w="12240" w:h="15840"/>
      <w:pgMar w:top="567" w:right="1325" w:bottom="1134" w:left="1389" w:header="56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2A12" w16cex:dateUtc="2020-06-06T13:43:00Z"/>
  <w16cex:commentExtensible w16cex:durableId="228625EB" w16cex:dateUtc="2020-06-06T13:25:00Z"/>
  <w16cex:commentExtensible w16cex:durableId="228624E7" w16cex:dateUtc="2020-06-06T13:21:00Z"/>
  <w16cex:commentExtensible w16cex:durableId="22862C84" w16cex:dateUtc="2020-06-06T13:53:00Z"/>
  <w16cex:commentExtensible w16cex:durableId="22862CE1" w16cex:dateUtc="2020-06-06T13:55:00Z"/>
  <w16cex:commentExtensible w16cex:durableId="22862D8E" w16cex:dateUtc="2020-06-06T13:5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1F" w:rsidRDefault="00BA381F" w:rsidP="00CF1848">
      <w:r>
        <w:separator/>
      </w:r>
    </w:p>
  </w:endnote>
  <w:endnote w:type="continuationSeparator" w:id="0">
    <w:p w:rsidR="00BA381F" w:rsidRDefault="00BA381F" w:rsidP="00CF1848">
      <w:r>
        <w:continuationSeparator/>
      </w:r>
    </w:p>
  </w:endnote>
  <w:endnote w:type="continuationNotice" w:id="1">
    <w:p w:rsidR="00BA381F" w:rsidRDefault="00BA38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1F" w:rsidRDefault="00BA381F" w:rsidP="00CF1848">
      <w:r>
        <w:separator/>
      </w:r>
    </w:p>
  </w:footnote>
  <w:footnote w:type="continuationSeparator" w:id="0">
    <w:p w:rsidR="00BA381F" w:rsidRDefault="00BA381F" w:rsidP="00CF1848">
      <w:r>
        <w:continuationSeparator/>
      </w:r>
    </w:p>
  </w:footnote>
  <w:footnote w:type="continuationNotice" w:id="1">
    <w:p w:rsidR="00BA381F" w:rsidRDefault="00BA381F"/>
  </w:footnote>
  <w:footnote w:id="2">
    <w:p w:rsidR="00EC4CCB" w:rsidRPr="007719DA" w:rsidRDefault="00EC4CCB" w:rsidP="009654F0">
      <w:pPr>
        <w:pStyle w:val="FootnoteText"/>
        <w:suppressLineNumbers/>
        <w:suppressAutoHyphens/>
        <w:ind w:firstLine="0"/>
        <w:jc w:val="left"/>
        <w:rPr>
          <w:kern w:val="18"/>
          <w:szCs w:val="18"/>
          <w:lang w:val="fr-CA"/>
        </w:rPr>
      </w:pPr>
      <w:r w:rsidRPr="007719DA">
        <w:rPr>
          <w:rStyle w:val="FootnoteReference"/>
          <w:kern w:val="18"/>
          <w:sz w:val="18"/>
          <w:szCs w:val="18"/>
          <w:vertAlign w:val="baseline"/>
          <w:lang w:val="fr-CA"/>
        </w:rPr>
        <w:t>*</w:t>
      </w:r>
      <w:r w:rsidRPr="007719DA">
        <w:rPr>
          <w:kern w:val="18"/>
          <w:szCs w:val="18"/>
          <w:lang w:val="fr-CA"/>
        </w:rPr>
        <w:t xml:space="preserve"> CBD/SBI/3/1.</w:t>
      </w:r>
    </w:p>
  </w:footnote>
  <w:footnote w:id="3">
    <w:p w:rsidR="00EC4CCB" w:rsidRPr="007719DA" w:rsidRDefault="00EC4CCB" w:rsidP="009A1B7F">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La version intégrale du premier rapport est publiée en tant que note d</w:t>
      </w:r>
      <w:r>
        <w:rPr>
          <w:szCs w:val="18"/>
          <w:lang w:val="fr-CA"/>
        </w:rPr>
        <w:t>’</w:t>
      </w:r>
      <w:r w:rsidRPr="007719DA">
        <w:rPr>
          <w:szCs w:val="18"/>
          <w:lang w:val="fr-CA"/>
        </w:rPr>
        <w:t>information sous la cote CBD/SBI/3/INF/2.</w:t>
      </w:r>
    </w:p>
  </w:footnote>
  <w:footnote w:id="4">
    <w:p w:rsidR="00EC4CCB" w:rsidRPr="007719DA" w:rsidRDefault="00EC4CCB" w:rsidP="009A1B7F">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Décision IX/11 B.</w:t>
      </w:r>
    </w:p>
  </w:footnote>
  <w:footnote w:id="5">
    <w:p w:rsidR="00EC4CCB" w:rsidRPr="007719DA" w:rsidRDefault="00EC4CCB" w:rsidP="009A1B7F">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L</w:t>
      </w:r>
      <w:r>
        <w:rPr>
          <w:szCs w:val="18"/>
          <w:lang w:val="fr-CA"/>
        </w:rPr>
        <w:t>’</w:t>
      </w:r>
      <w:r w:rsidRPr="007719DA">
        <w:rPr>
          <w:szCs w:val="18"/>
          <w:lang w:val="fr-CA"/>
        </w:rPr>
        <w:t>Objectif 20 d</w:t>
      </w:r>
      <w:r>
        <w:rPr>
          <w:szCs w:val="18"/>
          <w:lang w:val="fr-CA"/>
        </w:rPr>
        <w:t>’</w:t>
      </w:r>
      <w:r w:rsidRPr="007719DA">
        <w:rPr>
          <w:szCs w:val="18"/>
          <w:lang w:val="fr-CA"/>
        </w:rPr>
        <w:t>Aichi pour la biodiversité aborde la mobilisation des ressources et se lit comme suit : « </w:t>
      </w:r>
      <w:r w:rsidRPr="007719DA">
        <w:rPr>
          <w:lang w:val="fr-CA"/>
        </w:rPr>
        <w:t>D</w:t>
      </w:r>
      <w:r>
        <w:rPr>
          <w:lang w:val="fr-CA"/>
        </w:rPr>
        <w:t>’</w:t>
      </w:r>
      <w:r w:rsidRPr="007719DA">
        <w:rPr>
          <w:lang w:val="fr-CA"/>
        </w:rPr>
        <w:t>ici à 2020 au plus tard, la mobilisation des ressources financières nécessaires à la mise en œuvre effective du Plan stratégique 2011</w:t>
      </w:r>
      <w:r>
        <w:rPr>
          <w:lang w:val="fr-CA"/>
        </w:rPr>
        <w:noBreakHyphen/>
      </w:r>
      <w:r w:rsidRPr="007719DA">
        <w:rPr>
          <w:lang w:val="fr-CA"/>
        </w:rPr>
        <w:t>2020 pour la diversité biologique de toutes les sources et conformément au mécanisme consolidé et convenu de la Stratégie de mobilisation des ressources, aura augmenté considérablement par rapport aux niveaux actuels. Cet objectif fera l</w:t>
      </w:r>
      <w:r>
        <w:rPr>
          <w:lang w:val="fr-CA"/>
        </w:rPr>
        <w:t>’</w:t>
      </w:r>
      <w:r w:rsidRPr="007719DA">
        <w:rPr>
          <w:lang w:val="fr-CA"/>
        </w:rPr>
        <w:t>objet de modifications en fonction des évaluations des besoins de ressources que les Parties doivent effectuer et notifier. »</w:t>
      </w:r>
    </w:p>
  </w:footnote>
  <w:footnote w:id="6">
    <w:p w:rsidR="00EC4CCB" w:rsidRPr="007719DA" w:rsidRDefault="00EC4CCB" w:rsidP="009A1B7F">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Décision XII/3. </w:t>
      </w:r>
    </w:p>
  </w:footnote>
  <w:footnote w:id="7">
    <w:p w:rsidR="00EC4CCB" w:rsidRPr="007719DA" w:rsidRDefault="00EC4CCB" w:rsidP="004325EF">
      <w:pPr>
        <w:pStyle w:val="FootnoteText"/>
        <w:ind w:firstLine="0"/>
        <w:rPr>
          <w:color w:val="FF0000"/>
          <w:kern w:val="18"/>
          <w:szCs w:val="18"/>
          <w:lang w:val="fr-CA"/>
        </w:rPr>
      </w:pPr>
      <w:r w:rsidRPr="007719DA">
        <w:rPr>
          <w:rStyle w:val="FootnoteReference"/>
          <w:sz w:val="18"/>
          <w:szCs w:val="18"/>
          <w:lang w:val="fr-CA"/>
        </w:rPr>
        <w:footnoteRef/>
      </w:r>
      <w:r w:rsidRPr="007719DA">
        <w:rPr>
          <w:szCs w:val="18"/>
          <w:lang w:val="fr-CA"/>
        </w:rPr>
        <w:t xml:space="preserve"> </w:t>
      </w:r>
      <w:r w:rsidRPr="007719DA">
        <w:rPr>
          <w:lang w:val="fr-CA"/>
        </w:rPr>
        <w:t>Groupe d</w:t>
      </w:r>
      <w:r>
        <w:rPr>
          <w:lang w:val="fr-CA"/>
        </w:rPr>
        <w:t>’</w:t>
      </w:r>
      <w:r w:rsidRPr="007719DA">
        <w:rPr>
          <w:lang w:val="fr-CA"/>
        </w:rPr>
        <w:t xml:space="preserve">experts de haut niveau de </w:t>
      </w:r>
      <w:r w:rsidRPr="007719DA">
        <w:rPr>
          <w:noProof/>
          <w:lang w:val="fr-CA"/>
        </w:rPr>
        <w:t xml:space="preserve">la CDB (2014). </w:t>
      </w:r>
      <w:r w:rsidRPr="007719DA">
        <w:rPr>
          <w:i/>
          <w:noProof/>
          <w:kern w:val="18"/>
          <w:szCs w:val="18"/>
          <w:lang w:val="fr-CA"/>
        </w:rPr>
        <w:t>Resourcing the Aichi Biodiversity Targets, An Assessment of Benefits, Investments and Resource needs for Implementing the Strategic Plan for Biodiversity 2011</w:t>
      </w:r>
      <w:r>
        <w:rPr>
          <w:i/>
          <w:noProof/>
          <w:kern w:val="18"/>
          <w:szCs w:val="18"/>
          <w:lang w:val="fr-CA"/>
        </w:rPr>
        <w:noBreakHyphen/>
      </w:r>
      <w:r w:rsidRPr="007719DA">
        <w:rPr>
          <w:i/>
          <w:noProof/>
          <w:kern w:val="18"/>
          <w:szCs w:val="18"/>
          <w:lang w:val="fr-CA"/>
        </w:rPr>
        <w:t>2020</w:t>
      </w:r>
      <w:r w:rsidRPr="007719DA">
        <w:rPr>
          <w:noProof/>
          <w:kern w:val="18"/>
          <w:szCs w:val="18"/>
          <w:lang w:val="fr-CA"/>
        </w:rPr>
        <w:t xml:space="preserve"> (Financement des Objectifs d</w:t>
      </w:r>
      <w:r>
        <w:rPr>
          <w:noProof/>
          <w:kern w:val="18"/>
          <w:szCs w:val="18"/>
          <w:lang w:val="fr-CA"/>
        </w:rPr>
        <w:t>’</w:t>
      </w:r>
      <w:r w:rsidRPr="007719DA">
        <w:rPr>
          <w:noProof/>
          <w:kern w:val="18"/>
          <w:szCs w:val="18"/>
          <w:lang w:val="fr-CA"/>
        </w:rPr>
        <w:t>Aichi pour la biodiversité, Une évaluation des avantages, investissements et besoins de ressources pour la mise en œuvre du Plan stratégique 2011</w:t>
      </w:r>
      <w:r>
        <w:rPr>
          <w:noProof/>
          <w:kern w:val="18"/>
          <w:szCs w:val="18"/>
          <w:lang w:val="fr-CA"/>
        </w:rPr>
        <w:noBreakHyphen/>
      </w:r>
      <w:r w:rsidRPr="007719DA">
        <w:rPr>
          <w:noProof/>
          <w:kern w:val="18"/>
          <w:szCs w:val="18"/>
          <w:lang w:val="fr-CA"/>
        </w:rPr>
        <w:t>2020 pour la diversité biologique)</w:t>
      </w:r>
      <w:r w:rsidRPr="007719DA">
        <w:rPr>
          <w:i/>
          <w:noProof/>
          <w:kern w:val="18"/>
          <w:szCs w:val="18"/>
          <w:lang w:val="fr-CA"/>
        </w:rPr>
        <w:t xml:space="preserve">. </w:t>
      </w:r>
      <w:r w:rsidRPr="007719DA">
        <w:rPr>
          <w:noProof/>
          <w:kern w:val="18"/>
          <w:szCs w:val="18"/>
          <w:lang w:val="fr-CA"/>
        </w:rPr>
        <w:t>Deuxième rapport du Groupe d</w:t>
      </w:r>
      <w:r>
        <w:rPr>
          <w:noProof/>
          <w:kern w:val="18"/>
          <w:szCs w:val="18"/>
          <w:lang w:val="fr-CA"/>
        </w:rPr>
        <w:t>’</w:t>
      </w:r>
      <w:r w:rsidRPr="007719DA">
        <w:rPr>
          <w:noProof/>
          <w:kern w:val="18"/>
          <w:szCs w:val="18"/>
          <w:lang w:val="fr-CA"/>
        </w:rPr>
        <w:t>experts de haut niveau sur l</w:t>
      </w:r>
      <w:r>
        <w:rPr>
          <w:noProof/>
          <w:kern w:val="18"/>
          <w:szCs w:val="18"/>
          <w:lang w:val="fr-CA"/>
        </w:rPr>
        <w:t>’</w:t>
      </w:r>
      <w:r w:rsidRPr="007719DA">
        <w:rPr>
          <w:noProof/>
          <w:kern w:val="18"/>
          <w:szCs w:val="18"/>
          <w:lang w:val="fr-CA"/>
        </w:rPr>
        <w:t>évaluation</w:t>
      </w:r>
      <w:r w:rsidRPr="007719DA">
        <w:rPr>
          <w:kern w:val="18"/>
          <w:szCs w:val="18"/>
          <w:lang w:val="fr-CA"/>
        </w:rPr>
        <w:t xml:space="preserve"> mondiale des ressources pour la mise en œuvre du Plan stratégique 2011</w:t>
      </w:r>
      <w:r>
        <w:rPr>
          <w:kern w:val="18"/>
          <w:szCs w:val="18"/>
          <w:lang w:val="fr-CA"/>
        </w:rPr>
        <w:noBreakHyphen/>
      </w:r>
      <w:r w:rsidRPr="007719DA">
        <w:rPr>
          <w:kern w:val="18"/>
          <w:szCs w:val="18"/>
          <w:lang w:val="fr-CA"/>
        </w:rPr>
        <w:t>2020 pour la diversité biologique. Montréal (Canada).</w:t>
      </w:r>
    </w:p>
    <w:p w:rsidR="00EC4CCB" w:rsidRPr="007719DA" w:rsidRDefault="00EC4CCB" w:rsidP="004325EF">
      <w:pPr>
        <w:pStyle w:val="FootnoteText"/>
        <w:ind w:firstLine="0"/>
        <w:rPr>
          <w:lang w:val="fr-CA"/>
        </w:rPr>
      </w:pPr>
    </w:p>
  </w:footnote>
  <w:footnote w:id="8">
    <w:p w:rsidR="00EC4CCB" w:rsidRPr="007719DA" w:rsidRDefault="00EC4CCB" w:rsidP="00F0077D">
      <w:pPr>
        <w:pStyle w:val="FootnoteText"/>
        <w:ind w:firstLine="0"/>
        <w:jc w:val="left"/>
        <w:rPr>
          <w:lang w:val="fr-CA"/>
        </w:rPr>
      </w:pPr>
      <w:r w:rsidRPr="007719DA">
        <w:rPr>
          <w:rStyle w:val="FootnoteReference"/>
          <w:lang w:val="fr-CA"/>
        </w:rPr>
        <w:footnoteRef/>
      </w:r>
      <w:r w:rsidRPr="007719DA">
        <w:rPr>
          <w:lang w:val="fr-CA"/>
        </w:rPr>
        <w:t xml:space="preserve"> Les statistiques susmentionnées émanent de l</w:t>
      </w:r>
      <w:r>
        <w:rPr>
          <w:lang w:val="fr-CA"/>
        </w:rPr>
        <w:t>’</w:t>
      </w:r>
      <w:r w:rsidRPr="007719DA">
        <w:rPr>
          <w:lang w:val="fr-CA"/>
        </w:rPr>
        <w:t>outil d</w:t>
      </w:r>
      <w:r>
        <w:rPr>
          <w:lang w:val="fr-CA"/>
        </w:rPr>
        <w:t>’</w:t>
      </w:r>
      <w:r w:rsidRPr="007719DA">
        <w:rPr>
          <w:lang w:val="fr-CA"/>
        </w:rPr>
        <w:t>analyse en ligne du cadre de présentation des rapports financiers, et reflètent les mises à jour récentes reçues (</w:t>
      </w:r>
      <w:hyperlink r:id="rId1" w:history="1">
        <w:r w:rsidRPr="007719DA">
          <w:rPr>
            <w:rStyle w:val="Hyperlink"/>
            <w:lang w:val="fr-CA"/>
          </w:rPr>
          <w:t>https://chm.cbd.int/search/financial</w:t>
        </w:r>
        <w:r>
          <w:rPr>
            <w:rStyle w:val="Hyperlink"/>
            <w:lang w:val="fr-CA"/>
          </w:rPr>
          <w:noBreakHyphen/>
        </w:r>
        <w:r w:rsidRPr="007719DA">
          <w:rPr>
            <w:rStyle w:val="Hyperlink"/>
            <w:lang w:val="fr-CA"/>
          </w:rPr>
          <w:t>analyzer</w:t>
        </w:r>
      </w:hyperlink>
      <w:r w:rsidRPr="007719DA">
        <w:rPr>
          <w:lang w:val="fr-CA"/>
        </w:rPr>
        <w:t xml:space="preserve">). Voir la discussion </w:t>
      </w:r>
      <w:proofErr w:type="spellStart"/>
      <w:r w:rsidRPr="007719DA">
        <w:rPr>
          <w:lang w:val="fr-CA"/>
        </w:rPr>
        <w:t>ci</w:t>
      </w:r>
      <w:r>
        <w:rPr>
          <w:lang w:val="fr-CA"/>
        </w:rPr>
        <w:noBreakHyphen/>
      </w:r>
      <w:r w:rsidRPr="007719DA">
        <w:rPr>
          <w:lang w:val="fr-CA"/>
        </w:rPr>
        <w:t>après</w:t>
      </w:r>
      <w:proofErr w:type="spellEnd"/>
      <w:r w:rsidRPr="007719DA">
        <w:rPr>
          <w:lang w:val="fr-CA"/>
        </w:rPr>
        <w:t xml:space="preserve"> pour plus d</w:t>
      </w:r>
      <w:r>
        <w:rPr>
          <w:lang w:val="fr-CA"/>
        </w:rPr>
        <w:t>’</w:t>
      </w:r>
      <w:r w:rsidRPr="007719DA">
        <w:rPr>
          <w:lang w:val="fr-CA"/>
        </w:rPr>
        <w:t>information sur les progrès réalisés en matière de présentation de rapports financiers.</w:t>
      </w:r>
    </w:p>
  </w:footnote>
  <w:footnote w:id="9">
    <w:p w:rsidR="00EC4CCB" w:rsidRPr="007719DA" w:rsidRDefault="00EC4CCB" w:rsidP="00F0077D">
      <w:pPr>
        <w:pStyle w:val="FootnoteText"/>
        <w:suppressLineNumbers/>
        <w:tabs>
          <w:tab w:val="left" w:pos="7131"/>
        </w:tabs>
        <w:suppressAutoHyphens/>
        <w:kinsoku w:val="0"/>
        <w:overflowPunct w:val="0"/>
        <w:autoSpaceDE w:val="0"/>
        <w:autoSpaceDN w:val="0"/>
        <w:adjustRightInd w:val="0"/>
        <w:snapToGrid w:val="0"/>
        <w:ind w:firstLine="0"/>
        <w:jc w:val="left"/>
        <w:rPr>
          <w:snapToGrid w:val="0"/>
          <w:kern w:val="18"/>
          <w:szCs w:val="18"/>
          <w:lang w:val="fr-CA"/>
        </w:rPr>
      </w:pPr>
      <w:r w:rsidRPr="007719DA">
        <w:rPr>
          <w:rStyle w:val="FootnoteReference"/>
          <w:snapToGrid w:val="0"/>
          <w:kern w:val="18"/>
          <w:sz w:val="18"/>
          <w:szCs w:val="18"/>
          <w:lang w:val="fr-CA"/>
        </w:rPr>
        <w:footnoteRef/>
      </w:r>
      <w:r w:rsidRPr="007719DA">
        <w:rPr>
          <w:snapToGrid w:val="0"/>
          <w:kern w:val="18"/>
          <w:szCs w:val="18"/>
          <w:lang w:val="fr-CA"/>
        </w:rPr>
        <w:t xml:space="preserve"> </w:t>
      </w:r>
      <w:r w:rsidRPr="007719DA">
        <w:rPr>
          <w:noProof/>
          <w:snapToGrid w:val="0"/>
          <w:kern w:val="18"/>
          <w:szCs w:val="18"/>
          <w:lang w:val="fr-CA"/>
        </w:rPr>
        <w:t>Voir CBD/COP/14/5/Add.1 et les exemples qui y figurent</w:t>
      </w:r>
      <w:r w:rsidRPr="007719DA">
        <w:rPr>
          <w:snapToGrid w:val="0"/>
          <w:kern w:val="18"/>
          <w:szCs w:val="18"/>
          <w:lang w:val="fr-CA"/>
        </w:rPr>
        <w:t>.</w:t>
      </w:r>
      <w:r w:rsidRPr="007719DA">
        <w:rPr>
          <w:snapToGrid w:val="0"/>
          <w:kern w:val="18"/>
          <w:szCs w:val="18"/>
          <w:lang w:val="fr-CA"/>
        </w:rPr>
        <w:tab/>
      </w:r>
    </w:p>
  </w:footnote>
  <w:footnote w:id="10">
    <w:p w:rsidR="00EC4CCB" w:rsidRPr="007719DA" w:rsidRDefault="00EC4CCB" w:rsidP="00374350">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WAVES, </w:t>
      </w:r>
      <w:r w:rsidRPr="007719DA">
        <w:rPr>
          <w:rStyle w:val="preferred"/>
          <w:lang w:val="fr-CA"/>
        </w:rPr>
        <w:t xml:space="preserve">Comptabilisation de la richesse naturelle et valorisation des </w:t>
      </w:r>
      <w:r w:rsidRPr="007719DA">
        <w:rPr>
          <w:rStyle w:val="Emphasis"/>
          <w:i w:val="0"/>
          <w:lang w:val="fr-CA"/>
        </w:rPr>
        <w:t>services</w:t>
      </w:r>
      <w:r w:rsidRPr="007719DA">
        <w:rPr>
          <w:rStyle w:val="preferred"/>
          <w:lang w:val="fr-CA"/>
        </w:rPr>
        <w:t xml:space="preserve"> </w:t>
      </w:r>
      <w:r w:rsidRPr="007719DA">
        <w:rPr>
          <w:rStyle w:val="preferred"/>
          <w:noProof/>
          <w:lang w:val="fr-CA"/>
        </w:rPr>
        <w:t>écosystémiques</w:t>
      </w:r>
      <w:r w:rsidRPr="007719DA">
        <w:rPr>
          <w:rStyle w:val="preferred"/>
          <w:lang w:val="fr-CA"/>
        </w:rPr>
        <w:t xml:space="preserve">, est un partenariat mondial piloté par la Banque mondiale «  qui vise à promouvoir le développement durable en assurant que les ressources naturelles soient intégrées dans les plans de développement et les comptes économiques nationaux » </w:t>
      </w:r>
      <w:r w:rsidRPr="007719DA">
        <w:rPr>
          <w:szCs w:val="18"/>
          <w:lang w:val="fr-CA"/>
        </w:rPr>
        <w:t>(</w:t>
      </w:r>
      <w:hyperlink r:id="rId2" w:history="1">
        <w:r w:rsidRPr="007719DA">
          <w:rPr>
            <w:rStyle w:val="Hyperlink"/>
            <w:szCs w:val="18"/>
            <w:lang w:val="fr-CA"/>
          </w:rPr>
          <w:t>https://www.wavespartnership.org/en</w:t>
        </w:r>
      </w:hyperlink>
      <w:r w:rsidRPr="007719DA">
        <w:rPr>
          <w:kern w:val="18"/>
          <w:szCs w:val="18"/>
          <w:lang w:val="fr-CA"/>
        </w:rPr>
        <w:t>).</w:t>
      </w:r>
      <w:r w:rsidRPr="007719DA">
        <w:rPr>
          <w:rStyle w:val="preferred"/>
          <w:lang w:val="fr-CA"/>
        </w:rPr>
        <w:t xml:space="preserve"> </w:t>
      </w:r>
    </w:p>
  </w:footnote>
  <w:footnote w:id="11">
    <w:p w:rsidR="00EC4CCB" w:rsidRPr="007719DA" w:rsidRDefault="00EC4CCB" w:rsidP="00374350">
      <w:pPr>
        <w:pStyle w:val="FootnoteText"/>
        <w:suppressLineNumbers/>
        <w:suppressAutoHyphens/>
        <w:ind w:firstLine="0"/>
        <w:jc w:val="left"/>
        <w:rPr>
          <w:rFonts w:asciiTheme="minorHAnsi" w:hAnsiTheme="minorHAnsi" w:cstheme="minorBidi"/>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3" w:history="1">
        <w:r w:rsidRPr="007719DA">
          <w:rPr>
            <w:rStyle w:val="Hyperlink"/>
            <w:kern w:val="18"/>
            <w:szCs w:val="18"/>
            <w:lang w:val="fr-CA"/>
          </w:rPr>
          <w:t>https://ec.europa.eu/environment/nature/biodiversity/financing_en.htm</w:t>
        </w:r>
      </w:hyperlink>
      <w:r w:rsidRPr="007719DA">
        <w:rPr>
          <w:kern w:val="18"/>
          <w:szCs w:val="18"/>
          <w:lang w:val="fr-CA"/>
        </w:rPr>
        <w:t>.</w:t>
      </w:r>
    </w:p>
  </w:footnote>
  <w:footnote w:id="12">
    <w:p w:rsidR="00EC4CCB" w:rsidRPr="007719DA" w:rsidRDefault="00EC4CCB" w:rsidP="00B9400A">
      <w:pPr>
        <w:pStyle w:val="FootnoteText"/>
        <w:suppressLineNumbers/>
        <w:suppressAutoHyphen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4" w:history="1">
        <w:r w:rsidRPr="007719DA">
          <w:rPr>
            <w:rStyle w:val="Hyperlink"/>
            <w:kern w:val="18"/>
            <w:szCs w:val="18"/>
            <w:lang w:val="fr-CA"/>
          </w:rPr>
          <w:t>https://www.thegef.org/topics/biodiversity</w:t>
        </w:r>
      </w:hyperlink>
      <w:r w:rsidRPr="007719DA">
        <w:rPr>
          <w:kern w:val="18"/>
          <w:szCs w:val="18"/>
          <w:lang w:val="fr-CA"/>
        </w:rPr>
        <w:t>.</w:t>
      </w:r>
    </w:p>
  </w:footnote>
  <w:footnote w:id="13">
    <w:p w:rsidR="00EC4CCB" w:rsidRPr="007719DA" w:rsidRDefault="00EC4CCB" w:rsidP="00906D43">
      <w:pPr>
        <w:pStyle w:val="FootnoteText"/>
        <w:suppressLineNumbers/>
        <w:suppressAutoHyphens/>
        <w:ind w:firstLine="0"/>
        <w:jc w:val="left"/>
        <w:rPr>
          <w:rFonts w:asciiTheme="minorHAnsi" w:hAnsiTheme="minorHAnsi" w:cstheme="minorBidi"/>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5" w:history="1">
        <w:r w:rsidRPr="007719DA">
          <w:rPr>
            <w:rStyle w:val="Hyperlink"/>
            <w:kern w:val="18"/>
            <w:szCs w:val="18"/>
            <w:lang w:val="fr-CA"/>
          </w:rPr>
          <w:t>https://www.thegef.org/sites/default/files/council</w:t>
        </w:r>
        <w:r>
          <w:rPr>
            <w:rStyle w:val="Hyperlink"/>
            <w:kern w:val="18"/>
            <w:szCs w:val="18"/>
            <w:lang w:val="fr-CA"/>
          </w:rPr>
          <w:noBreakHyphen/>
        </w:r>
        <w:r w:rsidRPr="007719DA">
          <w:rPr>
            <w:rStyle w:val="Hyperlink"/>
            <w:kern w:val="18"/>
            <w:szCs w:val="18"/>
            <w:lang w:val="fr-CA"/>
          </w:rPr>
          <w:t>meeting</w:t>
        </w:r>
        <w:r>
          <w:rPr>
            <w:rStyle w:val="Hyperlink"/>
            <w:kern w:val="18"/>
            <w:szCs w:val="18"/>
            <w:lang w:val="fr-CA"/>
          </w:rPr>
          <w:noBreakHyphen/>
        </w:r>
        <w:r w:rsidRPr="007719DA">
          <w:rPr>
            <w:rStyle w:val="Hyperlink"/>
            <w:kern w:val="18"/>
            <w:szCs w:val="18"/>
            <w:lang w:val="fr-CA"/>
          </w:rPr>
          <w:t>documents/c</w:t>
        </w:r>
        <w:r>
          <w:rPr>
            <w:rStyle w:val="Hyperlink"/>
            <w:kern w:val="18"/>
            <w:szCs w:val="18"/>
            <w:lang w:val="fr-CA"/>
          </w:rPr>
          <w:noBreakHyphen/>
        </w:r>
        <w:r w:rsidRPr="007719DA">
          <w:rPr>
            <w:rStyle w:val="Hyperlink"/>
            <w:kern w:val="18"/>
            <w:szCs w:val="18"/>
            <w:lang w:val="fr-CA"/>
          </w:rPr>
          <w:t>53</w:t>
        </w:r>
        <w:r>
          <w:rPr>
            <w:rStyle w:val="Hyperlink"/>
            <w:kern w:val="18"/>
            <w:szCs w:val="18"/>
            <w:lang w:val="fr-CA"/>
          </w:rPr>
          <w:noBreakHyphen/>
        </w:r>
        <w:r w:rsidRPr="007719DA">
          <w:rPr>
            <w:rStyle w:val="Hyperlink"/>
            <w:kern w:val="18"/>
            <w:szCs w:val="18"/>
            <w:lang w:val="fr-CA"/>
          </w:rPr>
          <w:t>me</w:t>
        </w:r>
        <w:r>
          <w:rPr>
            <w:rStyle w:val="Hyperlink"/>
            <w:kern w:val="18"/>
            <w:szCs w:val="18"/>
            <w:lang w:val="fr-CA"/>
          </w:rPr>
          <w:noBreakHyphen/>
        </w:r>
        <w:r w:rsidRPr="007719DA">
          <w:rPr>
            <w:rStyle w:val="Hyperlink"/>
            <w:kern w:val="18"/>
            <w:szCs w:val="18"/>
            <w:lang w:val="fr-CA"/>
          </w:rPr>
          <w:t>inf</w:t>
        </w:r>
        <w:r>
          <w:rPr>
            <w:rStyle w:val="Hyperlink"/>
            <w:kern w:val="18"/>
            <w:szCs w:val="18"/>
            <w:lang w:val="fr-CA"/>
          </w:rPr>
          <w:noBreakHyphen/>
        </w:r>
        <w:r w:rsidRPr="007719DA">
          <w:rPr>
            <w:rStyle w:val="Hyperlink"/>
            <w:kern w:val="18"/>
            <w:szCs w:val="18"/>
            <w:lang w:val="fr-CA"/>
          </w:rPr>
          <w:t>01%20</w:t>
        </w:r>
        <w:r>
          <w:rPr>
            <w:rStyle w:val="Hyperlink"/>
            <w:kern w:val="18"/>
            <w:szCs w:val="18"/>
            <w:lang w:val="fr-CA"/>
          </w:rPr>
          <w:noBreakHyphen/>
        </w:r>
        <w:r w:rsidRPr="007719DA">
          <w:rPr>
            <w:rStyle w:val="Hyperlink"/>
            <w:kern w:val="18"/>
            <w:szCs w:val="18"/>
            <w:lang w:val="fr-CA"/>
          </w:rPr>
          <w:t>%20DEC17.pdf</w:t>
        </w:r>
      </w:hyperlink>
      <w:r w:rsidRPr="007719DA">
        <w:rPr>
          <w:kern w:val="18"/>
          <w:szCs w:val="18"/>
          <w:lang w:val="fr-CA"/>
        </w:rPr>
        <w:t>.</w:t>
      </w:r>
    </w:p>
  </w:footnote>
  <w:footnote w:id="14">
    <w:p w:rsidR="00EC4CCB" w:rsidRPr="007719DA" w:rsidRDefault="00EC4CCB" w:rsidP="00FA7906">
      <w:pPr>
        <w:pStyle w:val="FootnoteText"/>
        <w:suppressLineNumbers/>
        <w:suppressAutoHyphens/>
        <w:ind w:firstLine="0"/>
        <w:rPr>
          <w:rFonts w:asciiTheme="minorHAnsi" w:hAnsiTheme="minorHAnsi" w:cstheme="minorBidi"/>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6" w:history="1">
        <w:r w:rsidRPr="007719DA">
          <w:rPr>
            <w:rStyle w:val="Hyperlink"/>
            <w:kern w:val="18"/>
            <w:szCs w:val="18"/>
            <w:lang w:val="fr-CA"/>
          </w:rPr>
          <w:t>https://www.oecd.org/environment/resources/biodiversity/report</w:t>
        </w:r>
        <w:r>
          <w:rPr>
            <w:rStyle w:val="Hyperlink"/>
            <w:kern w:val="18"/>
            <w:szCs w:val="18"/>
            <w:lang w:val="fr-CA"/>
          </w:rPr>
          <w:noBreakHyphen/>
        </w:r>
        <w:r w:rsidRPr="007719DA">
          <w:rPr>
            <w:rStyle w:val="Hyperlink"/>
            <w:kern w:val="18"/>
            <w:szCs w:val="18"/>
            <w:lang w:val="fr-CA"/>
          </w:rPr>
          <w:t>a</w:t>
        </w:r>
        <w:r>
          <w:rPr>
            <w:rStyle w:val="Hyperlink"/>
            <w:kern w:val="18"/>
            <w:szCs w:val="18"/>
            <w:lang w:val="fr-CA"/>
          </w:rPr>
          <w:noBreakHyphen/>
        </w:r>
        <w:r w:rsidRPr="007719DA">
          <w:rPr>
            <w:rStyle w:val="Hyperlink"/>
            <w:kern w:val="18"/>
            <w:szCs w:val="18"/>
            <w:lang w:val="fr-CA"/>
          </w:rPr>
          <w:t>comprehensive</w:t>
        </w:r>
        <w:r>
          <w:rPr>
            <w:rStyle w:val="Hyperlink"/>
            <w:kern w:val="18"/>
            <w:szCs w:val="18"/>
            <w:lang w:val="fr-CA"/>
          </w:rPr>
          <w:noBreakHyphen/>
        </w:r>
        <w:r w:rsidRPr="007719DA">
          <w:rPr>
            <w:rStyle w:val="Hyperlink"/>
            <w:kern w:val="18"/>
            <w:szCs w:val="18"/>
            <w:lang w:val="fr-CA"/>
          </w:rPr>
          <w:t>overview</w:t>
        </w:r>
        <w:r>
          <w:rPr>
            <w:rStyle w:val="Hyperlink"/>
            <w:kern w:val="18"/>
            <w:szCs w:val="18"/>
            <w:lang w:val="fr-CA"/>
          </w:rPr>
          <w:noBreakHyphen/>
        </w:r>
        <w:r w:rsidRPr="007719DA">
          <w:rPr>
            <w:rStyle w:val="Hyperlink"/>
            <w:kern w:val="18"/>
            <w:szCs w:val="18"/>
            <w:lang w:val="fr-CA"/>
          </w:rPr>
          <w:t>of</w:t>
        </w:r>
        <w:r>
          <w:rPr>
            <w:rStyle w:val="Hyperlink"/>
            <w:kern w:val="18"/>
            <w:szCs w:val="18"/>
            <w:lang w:val="fr-CA"/>
          </w:rPr>
          <w:noBreakHyphen/>
        </w:r>
        <w:r w:rsidRPr="007719DA">
          <w:rPr>
            <w:rStyle w:val="Hyperlink"/>
            <w:kern w:val="18"/>
            <w:szCs w:val="18"/>
            <w:lang w:val="fr-CA"/>
          </w:rPr>
          <w:t>global</w:t>
        </w:r>
        <w:r>
          <w:rPr>
            <w:rStyle w:val="Hyperlink"/>
            <w:kern w:val="18"/>
            <w:szCs w:val="18"/>
            <w:lang w:val="fr-CA"/>
          </w:rPr>
          <w:noBreakHyphen/>
        </w:r>
        <w:r w:rsidRPr="007719DA">
          <w:rPr>
            <w:rStyle w:val="Hyperlink"/>
            <w:kern w:val="18"/>
            <w:szCs w:val="18"/>
            <w:lang w:val="fr-CA"/>
          </w:rPr>
          <w:t>biodiversity</w:t>
        </w:r>
        <w:r>
          <w:rPr>
            <w:rStyle w:val="Hyperlink"/>
            <w:kern w:val="18"/>
            <w:szCs w:val="18"/>
            <w:lang w:val="fr-CA"/>
          </w:rPr>
          <w:noBreakHyphen/>
        </w:r>
        <w:r w:rsidRPr="007719DA">
          <w:rPr>
            <w:rStyle w:val="Hyperlink"/>
            <w:kern w:val="18"/>
            <w:szCs w:val="18"/>
            <w:lang w:val="fr-CA"/>
          </w:rPr>
          <w:t>finance.pdf</w:t>
        </w:r>
      </w:hyperlink>
      <w:r w:rsidRPr="007719DA">
        <w:rPr>
          <w:kern w:val="18"/>
          <w:szCs w:val="18"/>
          <w:lang w:val="fr-CA"/>
        </w:rPr>
        <w:t>.</w:t>
      </w:r>
    </w:p>
  </w:footnote>
  <w:footnote w:id="15">
    <w:p w:rsidR="00EC4CCB" w:rsidRPr="007719DA" w:rsidRDefault="00EC4CCB" w:rsidP="00FA7906">
      <w:pPr>
        <w:keepLines/>
        <w:suppressLineNumbers/>
        <w:suppressAutoHyphens/>
        <w:spacing w:after="60"/>
        <w:rPr>
          <w:rFonts w:cs="Calibri"/>
          <w:kern w:val="18"/>
          <w:sz w:val="18"/>
          <w:szCs w:val="18"/>
          <w:lang w:val="fr-CA"/>
        </w:rPr>
      </w:pPr>
      <w:r w:rsidRPr="007719DA">
        <w:rPr>
          <w:kern w:val="18"/>
          <w:sz w:val="18"/>
          <w:szCs w:val="18"/>
          <w:vertAlign w:val="superscript"/>
          <w:lang w:val="fr-CA"/>
        </w:rPr>
        <w:footnoteRef/>
      </w:r>
      <w:r w:rsidRPr="007719DA">
        <w:rPr>
          <w:rFonts w:cs="Calibri"/>
          <w:kern w:val="18"/>
          <w:sz w:val="18"/>
          <w:szCs w:val="18"/>
          <w:lang w:val="fr-CA"/>
        </w:rPr>
        <w:t xml:space="preserve"> Cf. </w:t>
      </w:r>
      <w:r w:rsidRPr="007719DA">
        <w:rPr>
          <w:rFonts w:cs="Calibri"/>
          <w:noProof/>
          <w:kern w:val="18"/>
          <w:sz w:val="18"/>
          <w:szCs w:val="18"/>
          <w:lang w:val="fr-CA"/>
        </w:rPr>
        <w:t>Eliasch</w:t>
      </w:r>
      <w:r w:rsidRPr="007719DA">
        <w:rPr>
          <w:rFonts w:cs="Calibri"/>
          <w:kern w:val="18"/>
          <w:sz w:val="18"/>
          <w:szCs w:val="18"/>
          <w:lang w:val="fr-CA"/>
        </w:rPr>
        <w:t xml:space="preserve"> (2008). (Des informations de référence pour la présente et les quatre prochaines notes de bas de page figurent dans la soumission du groupe UBC.)</w:t>
      </w:r>
    </w:p>
  </w:footnote>
  <w:footnote w:id="16">
    <w:p w:rsidR="00EC4CCB" w:rsidRPr="007719DA" w:rsidRDefault="00EC4CCB" w:rsidP="00FA7906">
      <w:pPr>
        <w:keepLines/>
        <w:suppressLineNumbers/>
        <w:suppressAutoHyphens/>
        <w:spacing w:after="60"/>
        <w:rPr>
          <w:rFonts w:cs="Calibri"/>
          <w:kern w:val="18"/>
          <w:sz w:val="18"/>
          <w:szCs w:val="18"/>
          <w:lang w:val="fr-CA"/>
        </w:rPr>
      </w:pPr>
      <w:r w:rsidRPr="007719DA">
        <w:rPr>
          <w:kern w:val="18"/>
          <w:sz w:val="18"/>
          <w:szCs w:val="18"/>
          <w:vertAlign w:val="superscript"/>
          <w:lang w:val="fr-CA"/>
        </w:rPr>
        <w:footnoteRef/>
      </w:r>
      <w:r w:rsidRPr="007719DA">
        <w:rPr>
          <w:rFonts w:cs="Calibri"/>
          <w:kern w:val="18"/>
          <w:sz w:val="18"/>
          <w:szCs w:val="18"/>
          <w:lang w:val="fr-CA"/>
        </w:rPr>
        <w:t xml:space="preserve"> Cf. </w:t>
      </w:r>
      <w:r w:rsidRPr="007719DA">
        <w:rPr>
          <w:rFonts w:cs="Calibri"/>
          <w:noProof/>
          <w:kern w:val="18"/>
          <w:sz w:val="18"/>
          <w:szCs w:val="18"/>
          <w:lang w:val="fr-CA"/>
        </w:rPr>
        <w:t>Hamrick et Grant</w:t>
      </w:r>
      <w:r w:rsidRPr="007719DA">
        <w:rPr>
          <w:rFonts w:cs="Calibri"/>
          <w:kern w:val="18"/>
          <w:sz w:val="18"/>
          <w:szCs w:val="18"/>
          <w:lang w:val="fr-CA"/>
        </w:rPr>
        <w:t xml:space="preserve"> (2017). Ce chiffre, cité pour 2016, exclut les revenus de </w:t>
      </w:r>
      <w:r w:rsidRPr="007719DA">
        <w:rPr>
          <w:rFonts w:cs="Calibri"/>
          <w:noProof/>
          <w:kern w:val="18"/>
          <w:sz w:val="18"/>
          <w:szCs w:val="18"/>
          <w:lang w:val="fr-CA"/>
        </w:rPr>
        <w:t>l</w:t>
      </w:r>
      <w:r>
        <w:rPr>
          <w:rFonts w:cs="Calibri"/>
          <w:noProof/>
          <w:kern w:val="18"/>
          <w:sz w:val="18"/>
          <w:szCs w:val="18"/>
          <w:lang w:val="fr-CA"/>
        </w:rPr>
        <w:t>’</w:t>
      </w:r>
      <w:r w:rsidRPr="007719DA">
        <w:rPr>
          <w:rFonts w:cs="Calibri"/>
          <w:i/>
          <w:noProof/>
          <w:kern w:val="18"/>
          <w:sz w:val="18"/>
          <w:szCs w:val="18"/>
          <w:lang w:val="fr-CA"/>
        </w:rPr>
        <w:t>Australian Emissions Reduction Fund</w:t>
      </w:r>
      <w:r w:rsidRPr="007719DA">
        <w:rPr>
          <w:rFonts w:cs="Calibri"/>
          <w:noProof/>
          <w:kern w:val="18"/>
          <w:sz w:val="18"/>
          <w:szCs w:val="18"/>
          <w:lang w:val="fr-CA"/>
        </w:rPr>
        <w:t>, qui s</w:t>
      </w:r>
      <w:r>
        <w:rPr>
          <w:rFonts w:cs="Calibri"/>
          <w:noProof/>
          <w:kern w:val="18"/>
          <w:sz w:val="18"/>
          <w:szCs w:val="18"/>
          <w:lang w:val="fr-CA"/>
        </w:rPr>
        <w:t>’</w:t>
      </w:r>
      <w:r w:rsidRPr="007719DA">
        <w:rPr>
          <w:rFonts w:cs="Calibri"/>
          <w:noProof/>
          <w:kern w:val="18"/>
          <w:sz w:val="18"/>
          <w:szCs w:val="18"/>
          <w:lang w:val="fr-CA"/>
        </w:rPr>
        <w:t>é</w:t>
      </w:r>
      <w:r>
        <w:rPr>
          <w:rFonts w:cs="Calibri"/>
          <w:noProof/>
          <w:kern w:val="18"/>
          <w:sz w:val="18"/>
          <w:szCs w:val="18"/>
          <w:lang w:val="fr-CA"/>
        </w:rPr>
        <w:t>lèvaient à 509,5 millions USD, m</w:t>
      </w:r>
      <w:r w:rsidRPr="007719DA">
        <w:rPr>
          <w:rFonts w:cs="Calibri"/>
          <w:noProof/>
          <w:kern w:val="18"/>
          <w:sz w:val="18"/>
          <w:szCs w:val="18"/>
          <w:lang w:val="fr-CA"/>
        </w:rPr>
        <w:t xml:space="preserve">ais il </w:t>
      </w:r>
      <w:r>
        <w:rPr>
          <w:rFonts w:cs="Calibri"/>
          <w:noProof/>
          <w:kern w:val="18"/>
          <w:sz w:val="18"/>
          <w:szCs w:val="18"/>
          <w:lang w:val="fr-CA"/>
        </w:rPr>
        <w:t xml:space="preserve">ne </w:t>
      </w:r>
      <w:r w:rsidRPr="007719DA">
        <w:rPr>
          <w:rFonts w:cs="Calibri"/>
          <w:noProof/>
          <w:kern w:val="18"/>
          <w:sz w:val="18"/>
          <w:szCs w:val="18"/>
          <w:lang w:val="fr-CA"/>
        </w:rPr>
        <w:t>s</w:t>
      </w:r>
      <w:r>
        <w:rPr>
          <w:rFonts w:cs="Calibri"/>
          <w:noProof/>
          <w:kern w:val="18"/>
          <w:sz w:val="18"/>
          <w:szCs w:val="18"/>
          <w:lang w:val="fr-CA"/>
        </w:rPr>
        <w:t>’</w:t>
      </w:r>
      <w:r w:rsidRPr="007719DA">
        <w:rPr>
          <w:rFonts w:cs="Calibri"/>
          <w:noProof/>
          <w:kern w:val="18"/>
          <w:sz w:val="18"/>
          <w:szCs w:val="18"/>
          <w:lang w:val="fr-CA"/>
        </w:rPr>
        <w:t>agit</w:t>
      </w:r>
      <w:r>
        <w:rPr>
          <w:rFonts w:cs="Calibri"/>
          <w:noProof/>
          <w:kern w:val="18"/>
          <w:sz w:val="18"/>
          <w:szCs w:val="18"/>
          <w:lang w:val="fr-CA"/>
        </w:rPr>
        <w:t xml:space="preserve"> pas</w:t>
      </w:r>
      <w:r w:rsidRPr="007719DA">
        <w:rPr>
          <w:rFonts w:cs="Calibri"/>
          <w:noProof/>
          <w:kern w:val="18"/>
          <w:sz w:val="18"/>
          <w:szCs w:val="18"/>
          <w:lang w:val="fr-CA"/>
        </w:rPr>
        <w:t xml:space="preserve"> d</w:t>
      </w:r>
      <w:r>
        <w:rPr>
          <w:rFonts w:cs="Calibri"/>
          <w:noProof/>
          <w:kern w:val="18"/>
          <w:sz w:val="18"/>
          <w:szCs w:val="18"/>
          <w:lang w:val="fr-CA"/>
        </w:rPr>
        <w:t xml:space="preserve">’un marché </w:t>
      </w:r>
      <w:r w:rsidRPr="007719DA">
        <w:rPr>
          <w:rFonts w:cs="Calibri"/>
          <w:noProof/>
          <w:kern w:val="18"/>
          <w:sz w:val="18"/>
          <w:szCs w:val="18"/>
          <w:lang w:val="fr-CA"/>
        </w:rPr>
        <w:t>traditionnel puisqu</w:t>
      </w:r>
      <w:r>
        <w:rPr>
          <w:rFonts w:cs="Calibri"/>
          <w:noProof/>
          <w:kern w:val="18"/>
          <w:sz w:val="18"/>
          <w:szCs w:val="18"/>
          <w:lang w:val="fr-CA"/>
        </w:rPr>
        <w:t>’</w:t>
      </w:r>
      <w:r w:rsidRPr="007719DA">
        <w:rPr>
          <w:rFonts w:cs="Calibri"/>
          <w:noProof/>
          <w:kern w:val="18"/>
          <w:sz w:val="18"/>
          <w:szCs w:val="18"/>
          <w:lang w:val="fr-CA"/>
        </w:rPr>
        <w:t>il n</w:t>
      </w:r>
      <w:r>
        <w:rPr>
          <w:rFonts w:cs="Calibri"/>
          <w:noProof/>
          <w:kern w:val="18"/>
          <w:sz w:val="18"/>
          <w:szCs w:val="18"/>
          <w:lang w:val="fr-CA"/>
        </w:rPr>
        <w:t>’</w:t>
      </w:r>
      <w:r w:rsidRPr="007719DA">
        <w:rPr>
          <w:rFonts w:cs="Calibri"/>
          <w:noProof/>
          <w:kern w:val="18"/>
          <w:sz w:val="18"/>
          <w:szCs w:val="18"/>
          <w:lang w:val="fr-CA"/>
        </w:rPr>
        <w:t>y a qu</w:t>
      </w:r>
      <w:r>
        <w:rPr>
          <w:rFonts w:cs="Calibri"/>
          <w:noProof/>
          <w:kern w:val="18"/>
          <w:sz w:val="18"/>
          <w:szCs w:val="18"/>
          <w:lang w:val="fr-CA"/>
        </w:rPr>
        <w:t>’</w:t>
      </w:r>
      <w:r w:rsidRPr="007719DA">
        <w:rPr>
          <w:rFonts w:cs="Calibri"/>
          <w:noProof/>
          <w:kern w:val="18"/>
          <w:sz w:val="18"/>
          <w:szCs w:val="18"/>
          <w:lang w:val="fr-CA"/>
        </w:rPr>
        <w:t>un seul acheteur, le gouvernement australien, qui attribue des contrats de réduction d</w:t>
      </w:r>
      <w:r>
        <w:rPr>
          <w:rFonts w:cs="Calibri"/>
          <w:noProof/>
          <w:kern w:val="18"/>
          <w:sz w:val="18"/>
          <w:szCs w:val="18"/>
          <w:lang w:val="fr-CA"/>
        </w:rPr>
        <w:t>’</w:t>
      </w:r>
      <w:r w:rsidRPr="007719DA">
        <w:rPr>
          <w:rFonts w:cs="Calibri"/>
          <w:noProof/>
          <w:kern w:val="18"/>
          <w:sz w:val="18"/>
          <w:szCs w:val="18"/>
          <w:lang w:val="fr-CA"/>
        </w:rPr>
        <w:t>émissions par contre</w:t>
      </w:r>
      <w:r>
        <w:rPr>
          <w:rFonts w:cs="Calibri"/>
          <w:noProof/>
          <w:kern w:val="18"/>
          <w:sz w:val="18"/>
          <w:szCs w:val="18"/>
          <w:lang w:val="fr-CA"/>
        </w:rPr>
        <w:noBreakHyphen/>
      </w:r>
      <w:r w:rsidRPr="007719DA">
        <w:rPr>
          <w:rFonts w:cs="Calibri"/>
          <w:noProof/>
          <w:kern w:val="18"/>
          <w:sz w:val="18"/>
          <w:szCs w:val="18"/>
          <w:lang w:val="fr-CA"/>
        </w:rPr>
        <w:t>enchère.</w:t>
      </w:r>
    </w:p>
  </w:footnote>
  <w:footnote w:id="17">
    <w:p w:rsidR="00EC4CCB" w:rsidRPr="007719DA" w:rsidRDefault="00EC4CCB" w:rsidP="00FA7906">
      <w:pPr>
        <w:keepLines/>
        <w:suppressLineNumbers/>
        <w:suppressAutoHyphens/>
        <w:spacing w:after="60"/>
        <w:rPr>
          <w:rFonts w:cs="Calibri"/>
          <w:kern w:val="18"/>
          <w:sz w:val="18"/>
          <w:szCs w:val="18"/>
          <w:lang w:val="fr-CA"/>
        </w:rPr>
      </w:pPr>
      <w:r w:rsidRPr="007719DA">
        <w:rPr>
          <w:kern w:val="18"/>
          <w:sz w:val="18"/>
          <w:szCs w:val="18"/>
          <w:vertAlign w:val="superscript"/>
          <w:lang w:val="fr-CA"/>
        </w:rPr>
        <w:footnoteRef/>
      </w:r>
      <w:r w:rsidRPr="007719DA">
        <w:rPr>
          <w:rFonts w:cs="Calibri"/>
          <w:kern w:val="18"/>
          <w:sz w:val="18"/>
          <w:szCs w:val="18"/>
          <w:lang w:val="fr-CA"/>
        </w:rPr>
        <w:t xml:space="preserve"> Parker, C. et al. (2012). </w:t>
      </w:r>
    </w:p>
  </w:footnote>
  <w:footnote w:id="18">
    <w:p w:rsidR="00EC4CCB" w:rsidRPr="007719DA" w:rsidRDefault="00EC4CCB" w:rsidP="00AA53E3">
      <w:pPr>
        <w:keepLines/>
        <w:suppressLineNumbers/>
        <w:suppressAutoHyphens/>
        <w:spacing w:after="60"/>
        <w:jc w:val="left"/>
        <w:rPr>
          <w:rFonts w:cs="Calibri"/>
          <w:kern w:val="18"/>
          <w:sz w:val="18"/>
          <w:szCs w:val="18"/>
          <w:lang w:val="fr-CA"/>
        </w:rPr>
      </w:pPr>
      <w:r w:rsidRPr="007719DA">
        <w:rPr>
          <w:kern w:val="18"/>
          <w:sz w:val="18"/>
          <w:szCs w:val="18"/>
          <w:vertAlign w:val="superscript"/>
          <w:lang w:val="fr-CA"/>
        </w:rPr>
        <w:footnoteRef/>
      </w:r>
      <w:r w:rsidRPr="007719DA">
        <w:rPr>
          <w:rFonts w:cs="Calibri"/>
          <w:kern w:val="18"/>
          <w:sz w:val="18"/>
          <w:szCs w:val="18"/>
          <w:lang w:val="fr-CA"/>
        </w:rPr>
        <w:t xml:space="preserve"> Conservation Finance Alliance (2014),</w:t>
      </w:r>
      <w:r w:rsidRPr="007719DA">
        <w:rPr>
          <w:rFonts w:cs="Calibri"/>
          <w:i/>
          <w:kern w:val="18"/>
          <w:sz w:val="18"/>
          <w:szCs w:val="18"/>
          <w:lang w:val="fr-CA"/>
        </w:rPr>
        <w:t xml:space="preserve"> </w:t>
      </w:r>
      <w:r w:rsidRPr="007719DA">
        <w:rPr>
          <w:rFonts w:cs="Calibri"/>
          <w:kern w:val="18"/>
          <w:sz w:val="18"/>
          <w:szCs w:val="18"/>
          <w:lang w:val="fr-CA"/>
        </w:rPr>
        <w:t>p. 4.</w:t>
      </w:r>
    </w:p>
  </w:footnote>
  <w:footnote w:id="19">
    <w:p w:rsidR="00EC4CCB" w:rsidRPr="007719DA" w:rsidRDefault="00EC4CCB" w:rsidP="00AA53E3">
      <w:pPr>
        <w:keepLines/>
        <w:suppressLineNumbers/>
        <w:suppressAutoHyphens/>
        <w:spacing w:after="60"/>
        <w:jc w:val="left"/>
        <w:rPr>
          <w:rFonts w:cs="Calibri"/>
          <w:kern w:val="18"/>
          <w:sz w:val="18"/>
          <w:szCs w:val="18"/>
          <w:lang w:val="fr-CA"/>
        </w:rPr>
      </w:pPr>
      <w:r w:rsidRPr="007719DA">
        <w:rPr>
          <w:kern w:val="18"/>
          <w:sz w:val="18"/>
          <w:szCs w:val="18"/>
          <w:vertAlign w:val="superscript"/>
          <w:lang w:val="fr-CA"/>
        </w:rPr>
        <w:footnoteRef/>
      </w:r>
      <w:r w:rsidRPr="007719DA">
        <w:rPr>
          <w:rFonts w:cs="Calibri"/>
          <w:kern w:val="18"/>
          <w:sz w:val="18"/>
          <w:szCs w:val="18"/>
          <w:lang w:val="fr-CA"/>
        </w:rPr>
        <w:t xml:space="preserve"> </w:t>
      </w:r>
      <w:r w:rsidRPr="007719DA">
        <w:rPr>
          <w:rFonts w:cs="Calibri"/>
          <w:noProof/>
          <w:kern w:val="18"/>
          <w:sz w:val="18"/>
          <w:szCs w:val="18"/>
          <w:lang w:val="fr-CA"/>
        </w:rPr>
        <w:t>NatureVest et EKO Asset Management Partners</w:t>
      </w:r>
      <w:r w:rsidRPr="007719DA">
        <w:rPr>
          <w:rFonts w:cs="Calibri"/>
          <w:kern w:val="18"/>
          <w:sz w:val="18"/>
          <w:szCs w:val="18"/>
          <w:lang w:val="fr-CA"/>
        </w:rPr>
        <w:t xml:space="preserve"> (2014), p. 12.</w:t>
      </w:r>
    </w:p>
  </w:footnote>
  <w:footnote w:id="20">
    <w:p w:rsidR="00EC4CCB" w:rsidRPr="007719DA" w:rsidRDefault="00EC4CCB" w:rsidP="00F06608">
      <w:pPr>
        <w:pStyle w:val="FootnoteText"/>
        <w:suppressLineNumbers/>
        <w:suppressAutoHyphens/>
        <w:ind w:firstLine="0"/>
        <w:jc w:val="left"/>
        <w:rPr>
          <w:rFonts w:asciiTheme="minorHAnsi" w:hAnsiTheme="minorHAnsi" w:cstheme="minorBidi"/>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7" w:history="1">
        <w:r w:rsidRPr="007719DA">
          <w:rPr>
            <w:rStyle w:val="Hyperlink"/>
            <w:kern w:val="18"/>
            <w:szCs w:val="18"/>
            <w:lang w:val="fr-CA"/>
          </w:rPr>
          <w:t>http://ec.europa.eu/environment/biodiversity/business/index_en.htm</w:t>
        </w:r>
      </w:hyperlink>
      <w:r w:rsidRPr="007719DA">
        <w:rPr>
          <w:kern w:val="18"/>
          <w:szCs w:val="18"/>
          <w:lang w:val="fr-CA"/>
        </w:rPr>
        <w:t xml:space="preserve">. </w:t>
      </w:r>
    </w:p>
  </w:footnote>
  <w:footnote w:id="21">
    <w:p w:rsidR="00EC4CCB" w:rsidRPr="007719DA" w:rsidRDefault="00EC4CCB" w:rsidP="00F06608">
      <w:pPr>
        <w:pStyle w:val="FootnoteText"/>
        <w:ind w:firstLine="0"/>
        <w:rPr>
          <w:szCs w:val="18"/>
          <w:lang w:val="fr-CA"/>
        </w:rPr>
      </w:pPr>
      <w:r w:rsidRPr="007719DA">
        <w:rPr>
          <w:rStyle w:val="FootnoteReference"/>
          <w:sz w:val="18"/>
          <w:szCs w:val="18"/>
          <w:lang w:val="fr-CA"/>
        </w:rPr>
        <w:footnoteRef/>
      </w:r>
      <w:r w:rsidRPr="007719DA">
        <w:rPr>
          <w:szCs w:val="18"/>
          <w:lang w:val="fr-CA"/>
        </w:rPr>
        <w:t xml:space="preserve"> Voir décision IX/11 B, annexe, objectif 4.</w:t>
      </w:r>
    </w:p>
  </w:footnote>
  <w:footnote w:id="22">
    <w:p w:rsidR="00EC4CCB" w:rsidRPr="007719DA" w:rsidRDefault="00EC4CCB" w:rsidP="00286E8A">
      <w:pPr>
        <w:pStyle w:val="FootnoteText"/>
        <w:suppressLineNumbers/>
        <w:suppressAutoHyphens/>
        <w:ind w:firstLine="0"/>
        <w:jc w:val="left"/>
        <w:rPr>
          <w:rFonts w:asciiTheme="minorHAnsi" w:hAnsiTheme="minorHAnsi" w:cstheme="minorBidi"/>
          <w:kern w:val="18"/>
          <w:szCs w:val="18"/>
          <w:lang w:val="fr-CA"/>
        </w:rPr>
      </w:pPr>
      <w:r w:rsidRPr="007719DA">
        <w:rPr>
          <w:rStyle w:val="FootnoteReference"/>
          <w:kern w:val="18"/>
          <w:sz w:val="18"/>
          <w:szCs w:val="18"/>
          <w:lang w:val="fr-CA"/>
        </w:rPr>
        <w:footnoteRef/>
      </w:r>
      <w:r w:rsidRPr="007719DA">
        <w:rPr>
          <w:lang w:val="fr-CA"/>
        </w:rPr>
        <w:t xml:space="preserve"> </w:t>
      </w:r>
      <w:hyperlink r:id="rId8" w:history="1">
        <w:r w:rsidRPr="007719DA">
          <w:rPr>
            <w:rStyle w:val="Hyperlink"/>
            <w:lang w:val="fr-CA"/>
          </w:rPr>
          <w:t>https://europa.eu/capacity4dev/b4life/wiki/biodiversity</w:t>
        </w:r>
        <w:r>
          <w:rPr>
            <w:rStyle w:val="Hyperlink"/>
            <w:lang w:val="fr-CA"/>
          </w:rPr>
          <w:noBreakHyphen/>
        </w:r>
        <w:r w:rsidRPr="007719DA">
          <w:rPr>
            <w:rStyle w:val="Hyperlink"/>
            <w:lang w:val="fr-CA"/>
          </w:rPr>
          <w:t>life</w:t>
        </w:r>
        <w:r>
          <w:rPr>
            <w:rStyle w:val="Hyperlink"/>
            <w:lang w:val="fr-CA"/>
          </w:rPr>
          <w:noBreakHyphen/>
        </w:r>
        <w:r w:rsidRPr="007719DA">
          <w:rPr>
            <w:rStyle w:val="Hyperlink"/>
            <w:lang w:val="fr-CA"/>
          </w:rPr>
          <w:t>b4life</w:t>
        </w:r>
      </w:hyperlink>
      <w:r w:rsidRPr="007719DA">
        <w:rPr>
          <w:kern w:val="18"/>
          <w:szCs w:val="18"/>
          <w:lang w:val="fr-CA"/>
        </w:rPr>
        <w:t>.</w:t>
      </w:r>
    </w:p>
  </w:footnote>
  <w:footnote w:id="23">
    <w:p w:rsidR="00EC4CCB" w:rsidRPr="007719DA" w:rsidRDefault="00EC4CCB" w:rsidP="00286E8A">
      <w:pPr>
        <w:pStyle w:val="FootnoteText"/>
        <w:suppressLineNumbers/>
        <w:suppressAutoHyphen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w:t>
      </w:r>
      <w:hyperlink r:id="rId9" w:history="1">
        <w:r w:rsidRPr="007719DA">
          <w:rPr>
            <w:rStyle w:val="Hyperlink"/>
            <w:lang w:val="fr-CA"/>
          </w:rPr>
          <w:t>https://www.cbd.int/development/doc/biodiversity</w:t>
        </w:r>
        <w:r>
          <w:rPr>
            <w:rStyle w:val="Hyperlink"/>
            <w:lang w:val="fr-CA"/>
          </w:rPr>
          <w:noBreakHyphen/>
        </w:r>
        <w:r w:rsidRPr="007719DA">
          <w:rPr>
            <w:rStyle w:val="Hyperlink"/>
            <w:lang w:val="fr-CA"/>
          </w:rPr>
          <w:t>2030</w:t>
        </w:r>
        <w:r>
          <w:rPr>
            <w:rStyle w:val="Hyperlink"/>
            <w:lang w:val="fr-CA"/>
          </w:rPr>
          <w:noBreakHyphen/>
        </w:r>
        <w:r w:rsidRPr="007719DA">
          <w:rPr>
            <w:rStyle w:val="Hyperlink"/>
            <w:lang w:val="fr-CA"/>
          </w:rPr>
          <w:t>agenda</w:t>
        </w:r>
        <w:r>
          <w:rPr>
            <w:rStyle w:val="Hyperlink"/>
            <w:lang w:val="fr-CA"/>
          </w:rPr>
          <w:noBreakHyphen/>
        </w:r>
        <w:r w:rsidRPr="007719DA">
          <w:rPr>
            <w:rStyle w:val="Hyperlink"/>
            <w:lang w:val="fr-CA"/>
          </w:rPr>
          <w:t>technical</w:t>
        </w:r>
        <w:r>
          <w:rPr>
            <w:rStyle w:val="Hyperlink"/>
            <w:lang w:val="fr-CA"/>
          </w:rPr>
          <w:noBreakHyphen/>
        </w:r>
        <w:r w:rsidRPr="007719DA">
          <w:rPr>
            <w:rStyle w:val="Hyperlink"/>
            <w:lang w:val="fr-CA"/>
          </w:rPr>
          <w:t>note</w:t>
        </w:r>
        <w:r>
          <w:rPr>
            <w:rStyle w:val="Hyperlink"/>
            <w:lang w:val="fr-CA"/>
          </w:rPr>
          <w:noBreakHyphen/>
        </w:r>
        <w:r w:rsidRPr="007719DA">
          <w:rPr>
            <w:rStyle w:val="Hyperlink"/>
            <w:lang w:val="fr-CA"/>
          </w:rPr>
          <w:t>fr.pdf</w:t>
        </w:r>
      </w:hyperlink>
      <w:r w:rsidRPr="007719DA">
        <w:rPr>
          <w:lang w:val="fr-CA"/>
        </w:rPr>
        <w:t xml:space="preserve"> </w:t>
      </w:r>
    </w:p>
  </w:footnote>
  <w:footnote w:id="24">
    <w:p w:rsidR="00EC4CCB" w:rsidRPr="007719DA" w:rsidRDefault="00EC4CCB" w:rsidP="00514391">
      <w:pPr>
        <w:pStyle w:val="FootnoteText"/>
        <w:ind w:firstLine="0"/>
        <w:rPr>
          <w:lang w:val="fr-CA"/>
        </w:rPr>
      </w:pPr>
      <w:r w:rsidRPr="007719DA">
        <w:rPr>
          <w:rStyle w:val="FootnoteReference"/>
          <w:lang w:val="fr-CA"/>
        </w:rPr>
        <w:footnoteRef/>
      </w:r>
      <w:r w:rsidRPr="007719DA">
        <w:rPr>
          <w:lang w:val="fr-CA"/>
        </w:rPr>
        <w:t xml:space="preserve"> </w:t>
      </w:r>
      <w:r w:rsidRPr="007719DA">
        <w:rPr>
          <w:kern w:val="18"/>
          <w:szCs w:val="18"/>
          <w:lang w:val="fr-CA"/>
        </w:rPr>
        <w:t xml:space="preserve">Résolution </w:t>
      </w:r>
      <w:hyperlink r:id="rId10" w:history="1">
        <w:r w:rsidRPr="007719DA">
          <w:rPr>
            <w:rStyle w:val="Hyperlink"/>
            <w:lang w:val="fr-CA"/>
          </w:rPr>
          <w:t>70/1</w:t>
        </w:r>
      </w:hyperlink>
      <w:r w:rsidRPr="007719DA">
        <w:rPr>
          <w:lang w:val="fr-CA"/>
        </w:rPr>
        <w:t xml:space="preserve"> </w:t>
      </w:r>
      <w:r w:rsidRPr="007719DA">
        <w:rPr>
          <w:kern w:val="18"/>
          <w:szCs w:val="18"/>
          <w:lang w:val="fr-CA"/>
        </w:rPr>
        <w:t>de l</w:t>
      </w:r>
      <w:r>
        <w:rPr>
          <w:kern w:val="18"/>
          <w:szCs w:val="18"/>
          <w:lang w:val="fr-CA"/>
        </w:rPr>
        <w:t>’</w:t>
      </w:r>
      <w:r w:rsidRPr="007719DA">
        <w:rPr>
          <w:kern w:val="18"/>
          <w:szCs w:val="18"/>
          <w:lang w:val="fr-CA"/>
        </w:rPr>
        <w:t>Assemblée générale des Nations Unies intitulée « Transformer notre monde : le Programme de développement durable à l</w:t>
      </w:r>
      <w:r>
        <w:rPr>
          <w:kern w:val="18"/>
          <w:szCs w:val="18"/>
          <w:lang w:val="fr-CA"/>
        </w:rPr>
        <w:t>’</w:t>
      </w:r>
      <w:r w:rsidRPr="007719DA">
        <w:rPr>
          <w:kern w:val="18"/>
          <w:szCs w:val="18"/>
          <w:lang w:val="fr-CA"/>
        </w:rPr>
        <w:t>horizon 2030 ».</w:t>
      </w:r>
    </w:p>
    <w:p w:rsidR="00EC4CCB" w:rsidRPr="007719DA" w:rsidRDefault="00EC4CCB" w:rsidP="00514391">
      <w:pPr>
        <w:pStyle w:val="FootnoteText"/>
        <w:rPr>
          <w:lang w:val="fr-CA"/>
        </w:rPr>
      </w:pPr>
    </w:p>
  </w:footnote>
  <w:footnote w:id="25">
    <w:p w:rsidR="00EC4CCB" w:rsidRPr="007719DA" w:rsidRDefault="00EC4CCB" w:rsidP="007719DA">
      <w:pPr>
        <w:pStyle w:val="FootnoteText"/>
        <w:suppressLineNumbers/>
        <w:suppressAutoHyphen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w:t>
      </w:r>
      <w:r>
        <w:rPr>
          <w:kern w:val="18"/>
          <w:szCs w:val="18"/>
          <w:lang w:val="fr-CA"/>
        </w:rPr>
        <w:t>La Belgique, l’</w:t>
      </w:r>
      <w:r w:rsidRPr="007719DA">
        <w:rPr>
          <w:kern w:val="18"/>
          <w:szCs w:val="18"/>
          <w:lang w:val="fr-CA"/>
        </w:rPr>
        <w:t>Islande</w:t>
      </w:r>
      <w:r>
        <w:rPr>
          <w:kern w:val="18"/>
          <w:szCs w:val="18"/>
          <w:lang w:val="fr-CA"/>
        </w:rPr>
        <w:t>, le Portugal et l’Australie ont fait rapport après la date butoir.</w:t>
      </w:r>
    </w:p>
  </w:footnote>
  <w:footnote w:id="26">
    <w:p w:rsidR="00EC4CCB" w:rsidRPr="007719DA" w:rsidRDefault="00EC4CCB" w:rsidP="00126A70">
      <w:pPr>
        <w:pStyle w:val="FootnoteText"/>
        <w:suppressLineNumber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Organisation de coopération et de développement économiques, avril 2020  </w:t>
      </w:r>
      <w:hyperlink r:id="rId11" w:history="1">
        <w:r w:rsidRPr="007719DA">
          <w:rPr>
            <w:rStyle w:val="Hyperlink"/>
            <w:kern w:val="18"/>
            <w:szCs w:val="18"/>
            <w:lang w:val="fr-CA"/>
          </w:rPr>
          <w:t>https://www.oecd.org/environment/resources/biodiversity/report</w:t>
        </w:r>
        <w:r>
          <w:rPr>
            <w:rStyle w:val="Hyperlink"/>
            <w:kern w:val="18"/>
            <w:szCs w:val="18"/>
            <w:lang w:val="fr-CA"/>
          </w:rPr>
          <w:noBreakHyphen/>
        </w:r>
        <w:r w:rsidRPr="007719DA">
          <w:rPr>
            <w:rStyle w:val="Hyperlink"/>
            <w:kern w:val="18"/>
            <w:szCs w:val="18"/>
            <w:lang w:val="fr-CA"/>
          </w:rPr>
          <w:t>a</w:t>
        </w:r>
        <w:r>
          <w:rPr>
            <w:rStyle w:val="Hyperlink"/>
            <w:kern w:val="18"/>
            <w:szCs w:val="18"/>
            <w:lang w:val="fr-CA"/>
          </w:rPr>
          <w:noBreakHyphen/>
        </w:r>
        <w:r w:rsidRPr="007719DA">
          <w:rPr>
            <w:rStyle w:val="Hyperlink"/>
            <w:kern w:val="18"/>
            <w:szCs w:val="18"/>
            <w:lang w:val="fr-CA"/>
          </w:rPr>
          <w:t>comprehensive</w:t>
        </w:r>
        <w:r>
          <w:rPr>
            <w:rStyle w:val="Hyperlink"/>
            <w:kern w:val="18"/>
            <w:szCs w:val="18"/>
            <w:lang w:val="fr-CA"/>
          </w:rPr>
          <w:noBreakHyphen/>
        </w:r>
        <w:r w:rsidRPr="007719DA">
          <w:rPr>
            <w:rStyle w:val="Hyperlink"/>
            <w:kern w:val="18"/>
            <w:szCs w:val="18"/>
            <w:lang w:val="fr-CA"/>
          </w:rPr>
          <w:t>overview</w:t>
        </w:r>
        <w:r>
          <w:rPr>
            <w:rStyle w:val="Hyperlink"/>
            <w:kern w:val="18"/>
            <w:szCs w:val="18"/>
            <w:lang w:val="fr-CA"/>
          </w:rPr>
          <w:noBreakHyphen/>
        </w:r>
        <w:r w:rsidRPr="007719DA">
          <w:rPr>
            <w:rStyle w:val="Hyperlink"/>
            <w:kern w:val="18"/>
            <w:szCs w:val="18"/>
            <w:lang w:val="fr-CA"/>
          </w:rPr>
          <w:t>of</w:t>
        </w:r>
        <w:r>
          <w:rPr>
            <w:rStyle w:val="Hyperlink"/>
            <w:kern w:val="18"/>
            <w:szCs w:val="18"/>
            <w:lang w:val="fr-CA"/>
          </w:rPr>
          <w:noBreakHyphen/>
        </w:r>
        <w:r w:rsidRPr="007719DA">
          <w:rPr>
            <w:rStyle w:val="Hyperlink"/>
            <w:kern w:val="18"/>
            <w:szCs w:val="18"/>
            <w:lang w:val="fr-CA"/>
          </w:rPr>
          <w:t>global</w:t>
        </w:r>
        <w:r>
          <w:rPr>
            <w:rStyle w:val="Hyperlink"/>
            <w:kern w:val="18"/>
            <w:szCs w:val="18"/>
            <w:lang w:val="fr-CA"/>
          </w:rPr>
          <w:noBreakHyphen/>
        </w:r>
        <w:r w:rsidRPr="007719DA">
          <w:rPr>
            <w:rStyle w:val="Hyperlink"/>
            <w:kern w:val="18"/>
            <w:szCs w:val="18"/>
            <w:lang w:val="fr-CA"/>
          </w:rPr>
          <w:t>biodiversity</w:t>
        </w:r>
        <w:r>
          <w:rPr>
            <w:rStyle w:val="Hyperlink"/>
            <w:kern w:val="18"/>
            <w:szCs w:val="18"/>
            <w:lang w:val="fr-CA"/>
          </w:rPr>
          <w:noBreakHyphen/>
        </w:r>
        <w:r w:rsidRPr="007719DA">
          <w:rPr>
            <w:rStyle w:val="Hyperlink"/>
            <w:kern w:val="18"/>
            <w:szCs w:val="18"/>
            <w:lang w:val="fr-CA"/>
          </w:rPr>
          <w:t>finance.pdf</w:t>
        </w:r>
      </w:hyperlink>
      <w:r w:rsidRPr="007719DA">
        <w:rPr>
          <w:kern w:val="18"/>
          <w:szCs w:val="18"/>
          <w:lang w:val="fr-CA"/>
        </w:rPr>
        <w:t>.</w:t>
      </w:r>
    </w:p>
  </w:footnote>
  <w:footnote w:id="27">
    <w:p w:rsidR="00EC4CCB" w:rsidRPr="007719DA" w:rsidRDefault="00EC4CCB" w:rsidP="00456C96">
      <w:pPr>
        <w:pStyle w:val="FootnoteText"/>
        <w:suppressLineNumbers/>
        <w:suppressAutoHyphen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Il peut y avoir chevauchement entre les dépenses nationales en faveur de la biodiversité indiquées par les pays en développement et l</w:t>
      </w:r>
      <w:r>
        <w:rPr>
          <w:kern w:val="18"/>
          <w:szCs w:val="18"/>
          <w:lang w:val="fr-CA"/>
        </w:rPr>
        <w:t>’</w:t>
      </w:r>
      <w:r w:rsidRPr="007719DA">
        <w:rPr>
          <w:kern w:val="18"/>
          <w:szCs w:val="18"/>
          <w:lang w:val="fr-CA"/>
        </w:rPr>
        <w:t>AOD indiquée par les fournisseurs officiels. Cela est pris en compte dans l</w:t>
      </w:r>
      <w:r>
        <w:rPr>
          <w:kern w:val="18"/>
          <w:szCs w:val="18"/>
          <w:lang w:val="fr-CA"/>
        </w:rPr>
        <w:t>’</w:t>
      </w:r>
      <w:r w:rsidRPr="007719DA">
        <w:rPr>
          <w:kern w:val="18"/>
          <w:szCs w:val="18"/>
          <w:lang w:val="fr-CA"/>
        </w:rPr>
        <w:t>estimation globale du financement mondial de la biodiversité.</w:t>
      </w:r>
    </w:p>
  </w:footnote>
  <w:footnote w:id="28">
    <w:p w:rsidR="00EC4CCB" w:rsidRPr="007719DA" w:rsidRDefault="00EC4CCB" w:rsidP="00D73D57">
      <w:pPr>
        <w:pStyle w:val="FootnoteText"/>
        <w:ind w:firstLine="0"/>
        <w:rPr>
          <w:lang w:val="fr-CA"/>
        </w:rPr>
      </w:pPr>
      <w:r w:rsidRPr="007719DA">
        <w:rPr>
          <w:rStyle w:val="FootnoteReference"/>
          <w:lang w:val="fr-CA"/>
        </w:rPr>
        <w:footnoteRef/>
      </w:r>
      <w:r w:rsidRPr="007719DA">
        <w:rPr>
          <w:lang w:val="fr-CA"/>
        </w:rPr>
        <w:t xml:space="preserve"> Les dépenses de la Chine représentent plus du tiers de cette estimation.</w:t>
      </w:r>
    </w:p>
  </w:footnote>
  <w:footnote w:id="29">
    <w:p w:rsidR="00EC4CCB" w:rsidRPr="007719DA" w:rsidRDefault="00EC4CCB" w:rsidP="00D73D57">
      <w:pPr>
        <w:pStyle w:val="FootnoteText"/>
        <w:suppressLineNumbers/>
        <w:suppressAutoHyphens/>
        <w:ind w:firstLine="0"/>
        <w:jc w:val="left"/>
        <w:rPr>
          <w:kern w:val="18"/>
          <w:szCs w:val="18"/>
          <w:lang w:val="fr-CA"/>
        </w:rPr>
      </w:pPr>
      <w:r w:rsidRPr="007719DA">
        <w:rPr>
          <w:rStyle w:val="FootnoteReference"/>
          <w:kern w:val="18"/>
          <w:sz w:val="18"/>
          <w:szCs w:val="18"/>
          <w:lang w:val="fr-CA"/>
        </w:rPr>
        <w:footnoteRef/>
      </w:r>
      <w:r w:rsidRPr="007719DA">
        <w:rPr>
          <w:kern w:val="18"/>
          <w:szCs w:val="18"/>
          <w:lang w:val="fr-CA"/>
        </w:rPr>
        <w:t xml:space="preserve"> La COFOG a été élaborée en 1999 par l</w:t>
      </w:r>
      <w:r>
        <w:rPr>
          <w:kern w:val="18"/>
          <w:szCs w:val="18"/>
          <w:lang w:val="fr-CA"/>
        </w:rPr>
        <w:t>’</w:t>
      </w:r>
      <w:r w:rsidRPr="007719DA">
        <w:rPr>
          <w:kern w:val="18"/>
          <w:szCs w:val="18"/>
          <w:lang w:val="fr-CA"/>
        </w:rPr>
        <w:t>OCDE et publiée par la Division de statistique des Nations Unies en tant que norme pour la classification des finalités (fonctions) des activités gouvernementales.</w:t>
      </w:r>
    </w:p>
  </w:footnote>
  <w:footnote w:id="30">
    <w:p w:rsidR="00EC4CCB" w:rsidRPr="007719DA" w:rsidRDefault="00EC4CCB" w:rsidP="00FA7906">
      <w:pPr>
        <w:pStyle w:val="FootnoteText"/>
        <w:suppressLineNumbers/>
        <w:suppressAutoHyphens/>
        <w:ind w:firstLine="0"/>
        <w:rPr>
          <w:kern w:val="18"/>
          <w:sz w:val="14"/>
          <w:szCs w:val="14"/>
          <w:lang w:val="fr-CA"/>
        </w:rPr>
      </w:pPr>
      <w:r w:rsidRPr="007719DA">
        <w:rPr>
          <w:rStyle w:val="FootnoteReference"/>
          <w:kern w:val="18"/>
          <w:sz w:val="18"/>
          <w:szCs w:val="18"/>
          <w:lang w:val="fr-CA"/>
        </w:rPr>
        <w:footnoteRef/>
      </w:r>
      <w:r w:rsidRPr="007719DA">
        <w:rPr>
          <w:kern w:val="18"/>
          <w:szCs w:val="18"/>
          <w:lang w:val="fr-CA"/>
        </w:rPr>
        <w:t xml:space="preserve"> Voir les étapes pour la réalisation de l</w:t>
      </w:r>
      <w:r>
        <w:rPr>
          <w:kern w:val="18"/>
          <w:szCs w:val="18"/>
          <w:lang w:val="fr-CA"/>
        </w:rPr>
        <w:t>’</w:t>
      </w:r>
      <w:r w:rsidRPr="007719DA">
        <w:rPr>
          <w:kern w:val="18"/>
          <w:szCs w:val="18"/>
          <w:lang w:val="fr-CA"/>
        </w:rPr>
        <w:t>Objectif 3 d</w:t>
      </w:r>
      <w:r>
        <w:rPr>
          <w:kern w:val="18"/>
          <w:szCs w:val="18"/>
          <w:lang w:val="fr-CA"/>
        </w:rPr>
        <w:t>’</w:t>
      </w:r>
      <w:r w:rsidRPr="007719DA">
        <w:rPr>
          <w:kern w:val="18"/>
          <w:szCs w:val="18"/>
          <w:lang w:val="fr-CA"/>
        </w:rPr>
        <w:t>Aichi pour la biodiversité adoptées par la décision XII/3 sur la mobilisation des ressources, et l</w:t>
      </w:r>
      <w:r>
        <w:rPr>
          <w:kern w:val="18"/>
          <w:szCs w:val="18"/>
          <w:lang w:val="fr-CA"/>
        </w:rPr>
        <w:t>’</w:t>
      </w:r>
      <w:r w:rsidRPr="007719DA">
        <w:rPr>
          <w:kern w:val="18"/>
          <w:szCs w:val="18"/>
          <w:lang w:val="fr-CA"/>
        </w:rPr>
        <w:t>analyse sur la manière dont l</w:t>
      </w:r>
      <w:r>
        <w:rPr>
          <w:kern w:val="18"/>
          <w:szCs w:val="18"/>
          <w:lang w:val="fr-CA"/>
        </w:rPr>
        <w:t>’</w:t>
      </w:r>
      <w:r w:rsidRPr="007719DA">
        <w:rPr>
          <w:kern w:val="18"/>
          <w:szCs w:val="18"/>
          <w:lang w:val="fr-CA"/>
        </w:rPr>
        <w:t>Objectif 3 d</w:t>
      </w:r>
      <w:r>
        <w:rPr>
          <w:kern w:val="18"/>
          <w:szCs w:val="18"/>
          <w:lang w:val="fr-CA"/>
        </w:rPr>
        <w:t>’</w:t>
      </w:r>
      <w:r w:rsidRPr="007719DA">
        <w:rPr>
          <w:kern w:val="18"/>
          <w:szCs w:val="18"/>
          <w:lang w:val="fr-CA"/>
        </w:rPr>
        <w:t>Aichi pour la biodiversité contribue à la mise en œuvre de l</w:t>
      </w:r>
      <w:r>
        <w:rPr>
          <w:kern w:val="18"/>
          <w:szCs w:val="18"/>
          <w:lang w:val="fr-CA"/>
        </w:rPr>
        <w:t>’</w:t>
      </w:r>
      <w:r w:rsidRPr="007719DA">
        <w:rPr>
          <w:kern w:val="18"/>
          <w:szCs w:val="18"/>
          <w:lang w:val="fr-CA"/>
        </w:rPr>
        <w:t>Objectif 20 d</w:t>
      </w:r>
      <w:r>
        <w:rPr>
          <w:kern w:val="18"/>
          <w:szCs w:val="18"/>
          <w:lang w:val="fr-CA"/>
        </w:rPr>
        <w:t>’</w:t>
      </w:r>
      <w:r w:rsidRPr="007719DA">
        <w:rPr>
          <w:kern w:val="18"/>
          <w:szCs w:val="18"/>
          <w:lang w:val="fr-CA"/>
        </w:rPr>
        <w:t>Aichi pour la biodiversité, préparée pour l</w:t>
      </w:r>
      <w:r>
        <w:rPr>
          <w:kern w:val="18"/>
          <w:szCs w:val="18"/>
          <w:lang w:val="fr-CA"/>
        </w:rPr>
        <w:t>’</w:t>
      </w:r>
      <w:r w:rsidRPr="007719DA">
        <w:rPr>
          <w:kern w:val="18"/>
          <w:szCs w:val="18"/>
          <w:lang w:val="fr-CA"/>
        </w:rPr>
        <w:t>Organe subsidiaire chargé de l</w:t>
      </w:r>
      <w:r>
        <w:rPr>
          <w:kern w:val="18"/>
          <w:szCs w:val="18"/>
          <w:lang w:val="fr-CA"/>
        </w:rPr>
        <w:t>’</w:t>
      </w:r>
      <w:r w:rsidRPr="007719DA">
        <w:rPr>
          <w:kern w:val="18"/>
          <w:szCs w:val="18"/>
          <w:lang w:val="fr-CA"/>
        </w:rPr>
        <w:t>application à sa deuxième réunion (</w:t>
      </w:r>
      <w:hyperlink r:id="rId12" w:history="1">
        <w:r w:rsidRPr="007719DA">
          <w:rPr>
            <w:rStyle w:val="Hyperlink"/>
            <w:kern w:val="18"/>
            <w:szCs w:val="18"/>
            <w:lang w:val="fr-CA"/>
          </w:rPr>
          <w:t>https://www.cbd.int/meetings/SBI</w:t>
        </w:r>
        <w:r>
          <w:rPr>
            <w:rStyle w:val="Hyperlink"/>
            <w:kern w:val="18"/>
            <w:szCs w:val="18"/>
            <w:lang w:val="fr-CA"/>
          </w:rPr>
          <w:noBreakHyphen/>
        </w:r>
        <w:r w:rsidRPr="007719DA">
          <w:rPr>
            <w:rStyle w:val="Hyperlink"/>
            <w:kern w:val="18"/>
            <w:szCs w:val="18"/>
            <w:lang w:val="fr-CA"/>
          </w:rPr>
          <w:t>03</w:t>
        </w:r>
      </w:hyperlink>
      <w:r w:rsidRPr="007719DA">
        <w:rPr>
          <w:kern w:val="18"/>
          <w:szCs w:val="18"/>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B" w:rsidRPr="00367EEE" w:rsidRDefault="00EC4CCB" w:rsidP="000C46D9">
    <w:pPr>
      <w:pStyle w:val="Header"/>
      <w:keepLines/>
      <w:suppressLineNumbers/>
      <w:tabs>
        <w:tab w:val="clear" w:pos="4320"/>
        <w:tab w:val="clear" w:pos="8640"/>
      </w:tabs>
      <w:suppressAutoHyphens/>
      <w:jc w:val="left"/>
      <w:rPr>
        <w:noProof/>
        <w:kern w:val="22"/>
      </w:rPr>
    </w:pPr>
    <w:sdt>
      <w:sdtPr>
        <w:rPr>
          <w:noProof/>
          <w:kern w:val="22"/>
        </w:rPr>
        <w:alias w:val="Subject"/>
        <w:tag w:val=""/>
        <w:id w:val="587965855"/>
        <w:dataBinding w:prefixMappings="xmlns:ns0='http://purl.org/dc/elements/1.1/' xmlns:ns1='http://schemas.openxmlformats.org/package/2006/metadata/core-properties' " w:xpath="/ns1:coreProperties[1]/ns0:subject[1]" w:storeItemID="{6C3C8BC8-F283-45AE-878A-BAB7291924A1}"/>
        <w:text/>
      </w:sdtPr>
      <w:sdtContent>
        <w:r>
          <w:rPr>
            <w:noProof/>
            <w:kern w:val="22"/>
          </w:rPr>
          <w:t>CBD/SBI/3/5/Add.1</w:t>
        </w:r>
      </w:sdtContent>
    </w:sdt>
  </w:p>
  <w:p w:rsidR="00EC4CCB" w:rsidRPr="00367EEE" w:rsidRDefault="00EC4CCB" w:rsidP="000C46D9">
    <w:pPr>
      <w:pStyle w:val="Header"/>
      <w:keepLines/>
      <w:suppressLineNumbers/>
      <w:tabs>
        <w:tab w:val="clear" w:pos="4320"/>
        <w:tab w:val="clear" w:pos="8640"/>
      </w:tabs>
      <w:suppressAutoHyphen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4C5804">
      <w:rPr>
        <w:noProof/>
        <w:kern w:val="22"/>
      </w:rPr>
      <w:t>16</w:t>
    </w:r>
    <w:r w:rsidRPr="00367EEE">
      <w:rPr>
        <w:noProof/>
        <w:kern w:val="22"/>
      </w:rPr>
      <w:fldChar w:fldCharType="end"/>
    </w:r>
  </w:p>
  <w:p w:rsidR="00EC4CCB" w:rsidRPr="00367EEE" w:rsidRDefault="00EC4CCB" w:rsidP="000C46D9">
    <w:pPr>
      <w:pStyle w:val="Header"/>
      <w:keepLines/>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B" w:rsidRPr="00367EEE" w:rsidRDefault="00EC4CCB" w:rsidP="000C46D9">
    <w:pPr>
      <w:pStyle w:val="Header"/>
      <w:keepLines/>
      <w:suppressLineNumbers/>
      <w:tabs>
        <w:tab w:val="clear" w:pos="4320"/>
        <w:tab w:val="clear" w:pos="8640"/>
      </w:tabs>
      <w:suppressAutoHyphens/>
      <w:jc w:val="right"/>
      <w:rPr>
        <w:noProof/>
        <w:kern w:val="22"/>
      </w:rPr>
    </w:pPr>
    <w:sdt>
      <w:sdtPr>
        <w:rPr>
          <w:noProof/>
          <w:kern w:val="22"/>
        </w:rPr>
        <w:alias w:val="Subject"/>
        <w:tag w:val=""/>
        <w:id w:val="722414850"/>
        <w:dataBinding w:prefixMappings="xmlns:ns0='http://purl.org/dc/elements/1.1/' xmlns:ns1='http://schemas.openxmlformats.org/package/2006/metadata/core-properties' " w:xpath="/ns1:coreProperties[1]/ns0:subject[1]" w:storeItemID="{6C3C8BC8-F283-45AE-878A-BAB7291924A1}"/>
        <w:text/>
      </w:sdtPr>
      <w:sdtContent>
        <w:r>
          <w:rPr>
            <w:noProof/>
            <w:kern w:val="22"/>
          </w:rPr>
          <w:t>CBD/SBI/3/5/Add.1</w:t>
        </w:r>
      </w:sdtContent>
    </w:sdt>
  </w:p>
  <w:p w:rsidR="00EC4CCB" w:rsidRPr="00367EEE" w:rsidRDefault="00EC4CCB" w:rsidP="000C46D9">
    <w:pPr>
      <w:pStyle w:val="Header"/>
      <w:keepLines/>
      <w:suppressLineNumbers/>
      <w:tabs>
        <w:tab w:val="clear" w:pos="4320"/>
        <w:tab w:val="clear" w:pos="8640"/>
      </w:tabs>
      <w:suppressAutoHyphen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281FAE">
      <w:rPr>
        <w:noProof/>
        <w:kern w:val="22"/>
      </w:rPr>
      <w:t>15</w:t>
    </w:r>
    <w:r w:rsidRPr="00367EEE">
      <w:rPr>
        <w:noProof/>
        <w:kern w:val="22"/>
      </w:rPr>
      <w:fldChar w:fldCharType="end"/>
    </w:r>
  </w:p>
  <w:p w:rsidR="00EC4CCB" w:rsidRPr="00367EEE" w:rsidRDefault="00EC4CCB" w:rsidP="000C46D9">
    <w:pPr>
      <w:pStyle w:val="Header"/>
      <w:keepLines/>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6F8"/>
    <w:multiLevelType w:val="hybridMultilevel"/>
    <w:tmpl w:val="5EE27702"/>
    <w:lvl w:ilvl="0" w:tplc="0C0C0017">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43B92"/>
    <w:multiLevelType w:val="hybridMultilevel"/>
    <w:tmpl w:val="FB824D0A"/>
    <w:lvl w:ilvl="0" w:tplc="ED6E59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2DD1"/>
    <w:multiLevelType w:val="hybridMultilevel"/>
    <w:tmpl w:val="CF98B84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69479FF"/>
    <w:multiLevelType w:val="multilevel"/>
    <w:tmpl w:val="029215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810186"/>
    <w:multiLevelType w:val="hybridMultilevel"/>
    <w:tmpl w:val="3B8AA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A481FC8"/>
    <w:multiLevelType w:val="hybridMultilevel"/>
    <w:tmpl w:val="04323DBA"/>
    <w:lvl w:ilvl="0" w:tplc="0C0C0017">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10B93655"/>
    <w:multiLevelType w:val="hybridMultilevel"/>
    <w:tmpl w:val="25743A1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1791520"/>
    <w:multiLevelType w:val="multilevel"/>
    <w:tmpl w:val="5AD89D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76386C"/>
    <w:multiLevelType w:val="hybridMultilevel"/>
    <w:tmpl w:val="D16EF39C"/>
    <w:lvl w:ilvl="0" w:tplc="354AAFA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511634B"/>
    <w:multiLevelType w:val="hybridMultilevel"/>
    <w:tmpl w:val="1A080DFC"/>
    <w:lvl w:ilvl="0" w:tplc="ED6E59FE">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67076AB"/>
    <w:multiLevelType w:val="hybridMultilevel"/>
    <w:tmpl w:val="907A10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8B04F41"/>
    <w:multiLevelType w:val="hybridMultilevel"/>
    <w:tmpl w:val="1A1E338C"/>
    <w:lvl w:ilvl="0" w:tplc="B0C87E50">
      <w:start w:val="1"/>
      <w:numFmt w:val="decimal"/>
      <w:lvlText w:val="%1."/>
      <w:lvlJc w:val="left"/>
      <w:pPr>
        <w:ind w:left="108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9906B9E"/>
    <w:multiLevelType w:val="hybridMultilevel"/>
    <w:tmpl w:val="AF409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1BB40388"/>
    <w:multiLevelType w:val="hybridMultilevel"/>
    <w:tmpl w:val="5198AB9E"/>
    <w:lvl w:ilvl="0" w:tplc="B37ADBD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EFC71C9"/>
    <w:multiLevelType w:val="hybridMultilevel"/>
    <w:tmpl w:val="FB22E4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211B489F"/>
    <w:multiLevelType w:val="hybridMultilevel"/>
    <w:tmpl w:val="0BFAD42E"/>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7C0340F"/>
    <w:multiLevelType w:val="multilevel"/>
    <w:tmpl w:val="E15076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cs="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5F7B6A"/>
    <w:multiLevelType w:val="multilevel"/>
    <w:tmpl w:val="B5C0FAC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87849C5"/>
    <w:multiLevelType w:val="hybridMultilevel"/>
    <w:tmpl w:val="8FC2AB6E"/>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9">
    <w:nsid w:val="2B2F6C02"/>
    <w:multiLevelType w:val="hybridMultilevel"/>
    <w:tmpl w:val="2D240454"/>
    <w:lvl w:ilvl="0" w:tplc="3488AC8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2CB42A18"/>
    <w:multiLevelType w:val="hybridMultilevel"/>
    <w:tmpl w:val="EC807ACC"/>
    <w:lvl w:ilvl="0" w:tplc="0C0C0017">
      <w:start w:val="1"/>
      <w:numFmt w:val="lowerLetter"/>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nsid w:val="2D9D2BD2"/>
    <w:multiLevelType w:val="multilevel"/>
    <w:tmpl w:val="9D02F1B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2F1B5116"/>
    <w:multiLevelType w:val="hybridMultilevel"/>
    <w:tmpl w:val="22E05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F5C141D"/>
    <w:multiLevelType w:val="multilevel"/>
    <w:tmpl w:val="8A5C5B5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1734B92"/>
    <w:multiLevelType w:val="hybridMultilevel"/>
    <w:tmpl w:val="54441F24"/>
    <w:lvl w:ilvl="0" w:tplc="B37ADB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4C2216A"/>
    <w:multiLevelType w:val="hybridMultilevel"/>
    <w:tmpl w:val="3196D43E"/>
    <w:lvl w:ilvl="0" w:tplc="ED6E59FE">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97F0BC8"/>
    <w:multiLevelType w:val="hybridMultilevel"/>
    <w:tmpl w:val="4C387CE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nsid w:val="3BC40C79"/>
    <w:multiLevelType w:val="hybridMultilevel"/>
    <w:tmpl w:val="4192F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394FDC"/>
    <w:multiLevelType w:val="hybridMultilevel"/>
    <w:tmpl w:val="B204F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82053B"/>
    <w:multiLevelType w:val="hybridMultilevel"/>
    <w:tmpl w:val="F8D484A6"/>
    <w:lvl w:ilvl="0" w:tplc="0C0C0017">
      <w:start w:val="1"/>
      <w:numFmt w:val="lowerLetter"/>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nsid w:val="44CC7FBB"/>
    <w:multiLevelType w:val="hybridMultilevel"/>
    <w:tmpl w:val="45E4BE68"/>
    <w:lvl w:ilvl="0" w:tplc="F89AE9DE">
      <w:start w:val="1"/>
      <w:numFmt w:val="lowerLetter"/>
      <w:lvlText w:val="(%1)"/>
      <w:lvlJc w:val="left"/>
      <w:pPr>
        <w:tabs>
          <w:tab w:val="num" w:pos="1211"/>
        </w:tabs>
        <w:ind w:left="1211"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9272F32"/>
    <w:multiLevelType w:val="hybridMultilevel"/>
    <w:tmpl w:val="85244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C4B2614"/>
    <w:multiLevelType w:val="hybridMultilevel"/>
    <w:tmpl w:val="004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58772A"/>
    <w:multiLevelType w:val="hybridMultilevel"/>
    <w:tmpl w:val="8C307D2A"/>
    <w:lvl w:ilvl="0" w:tplc="354AAFA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FE36A7C"/>
    <w:multiLevelType w:val="hybridMultilevel"/>
    <w:tmpl w:val="C64CF6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nsid w:val="51C37DE1"/>
    <w:multiLevelType w:val="hybridMultilevel"/>
    <w:tmpl w:val="E7EE34B4"/>
    <w:lvl w:ilvl="0" w:tplc="3E246B58">
      <w:start w:val="1"/>
      <w:numFmt w:val="bullet"/>
      <w:lvlText w:val="Ø"/>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9">
    <w:nsid w:val="53535FD3"/>
    <w:multiLevelType w:val="multilevel"/>
    <w:tmpl w:val="BE1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689E329C"/>
    <w:multiLevelType w:val="hybridMultilevel"/>
    <w:tmpl w:val="9648A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8BF41CE"/>
    <w:multiLevelType w:val="hybridMultilevel"/>
    <w:tmpl w:val="9B660B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nsid w:val="69325ECF"/>
    <w:multiLevelType w:val="multilevel"/>
    <w:tmpl w:val="CD5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6FCE0EF7"/>
    <w:multiLevelType w:val="hybridMultilevel"/>
    <w:tmpl w:val="939402F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nsid w:val="703D20EE"/>
    <w:multiLevelType w:val="hybridMultilevel"/>
    <w:tmpl w:val="F7AAF246"/>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0860CE6"/>
    <w:multiLevelType w:val="hybridMultilevel"/>
    <w:tmpl w:val="141CE188"/>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6657C8"/>
    <w:multiLevelType w:val="hybridMultilevel"/>
    <w:tmpl w:val="59C6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2"/>
  </w:num>
  <w:num w:numId="4">
    <w:abstractNumId w:val="4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3"/>
  </w:num>
  <w:num w:numId="10">
    <w:abstractNumId w:val="23"/>
  </w:num>
  <w:num w:numId="11">
    <w:abstractNumId w:val="4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8"/>
  </w:num>
  <w:num w:numId="22">
    <w:abstractNumId w:val="8"/>
  </w:num>
  <w:num w:numId="23">
    <w:abstractNumId w:val="25"/>
  </w:num>
  <w:num w:numId="24">
    <w:abstractNumId w:val="13"/>
  </w:num>
  <w:num w:numId="25">
    <w:abstractNumId w:val="35"/>
  </w:num>
  <w:num w:numId="26">
    <w:abstractNumId w:val="6"/>
  </w:num>
  <w:num w:numId="27">
    <w:abstractNumId w:val="2"/>
  </w:num>
  <w:num w:numId="2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5"/>
  </w:num>
  <w:num w:numId="31">
    <w:abstractNumId w:val="34"/>
  </w:num>
  <w:num w:numId="32">
    <w:abstractNumId w:val="48"/>
  </w:num>
  <w:num w:numId="33">
    <w:abstractNumId w:val="40"/>
  </w:num>
  <w:num w:numId="34">
    <w:abstractNumId w:val="24"/>
  </w:num>
  <w:num w:numId="35">
    <w:abstractNumId w:val="21"/>
  </w:num>
  <w:num w:numId="36">
    <w:abstractNumId w:val="31"/>
  </w:num>
  <w:num w:numId="37">
    <w:abstractNumId w:val="0"/>
  </w:num>
  <w:num w:numId="38">
    <w:abstractNumId w:val="29"/>
  </w:num>
  <w:num w:numId="39">
    <w:abstractNumId w:val="9"/>
  </w:num>
  <w:num w:numId="40">
    <w:abstractNumId w:val="4"/>
  </w:num>
  <w:num w:numId="41">
    <w:abstractNumId w:val="1"/>
  </w:num>
  <w:num w:numId="42">
    <w:abstractNumId w:val="3"/>
  </w:num>
  <w:num w:numId="43">
    <w:abstractNumId w:val="36"/>
  </w:num>
  <w:num w:numId="44">
    <w:abstractNumId w:val="36"/>
  </w:num>
  <w:num w:numId="45">
    <w:abstractNumId w:val="26"/>
  </w:num>
  <w:num w:numId="46">
    <w:abstractNumId w:val="17"/>
  </w:num>
  <w:num w:numId="47">
    <w:abstractNumId w:val="36"/>
  </w:num>
  <w:num w:numId="48">
    <w:abstractNumId w:val="44"/>
  </w:num>
  <w:num w:numId="49">
    <w:abstractNumId w:val="39"/>
  </w:num>
  <w:num w:numId="50">
    <w:abstractNumId w:val="28"/>
  </w:num>
  <w:num w:numId="51">
    <w:abstractNumId w:val="16"/>
  </w:num>
  <w:num w:numId="52">
    <w:abstractNumId w:val="12"/>
  </w:num>
  <w:num w:numId="53">
    <w:abstractNumId w:val="7"/>
  </w:num>
  <w:num w:numId="54">
    <w:abstractNumId w:val="38"/>
  </w:num>
  <w:num w:numId="55">
    <w:abstractNumId w:val="30"/>
  </w:num>
  <w:num w:numId="56">
    <w:abstractNumId w:val="36"/>
  </w:num>
  <w:num w:numId="57">
    <w:abstractNumId w:val="36"/>
  </w:num>
  <w:num w:numId="58">
    <w:abstractNumId w:val="36"/>
  </w:num>
  <w:num w:numId="59">
    <w:abstractNumId w:val="36"/>
  </w:num>
  <w:num w:numId="60">
    <w:abstractNumId w:val="36"/>
  </w:num>
  <w:num w:numId="61">
    <w:abstractNumId w:val="36"/>
  </w:num>
  <w:num w:numId="62">
    <w:abstractNumId w:val="36"/>
  </w:num>
  <w:num w:numId="63">
    <w:abstractNumId w:val="36"/>
  </w:num>
  <w:num w:numId="64">
    <w:abstractNumId w:val="36"/>
  </w:num>
  <w:num w:numId="65">
    <w:abstractNumId w:val="36"/>
  </w:num>
  <w:num w:numId="66">
    <w:abstractNumId w:val="20"/>
  </w:num>
  <w:num w:numId="67">
    <w:abstractNumId w:val="36"/>
  </w:num>
  <w:num w:numId="68">
    <w:abstractNumId w:val="36"/>
  </w:num>
  <w:num w:numId="69">
    <w:abstractNumId w:val="36"/>
  </w:num>
  <w:num w:numId="70">
    <w:abstractNumId w:val="36"/>
  </w:num>
  <w:num w:numId="71">
    <w:abstractNumId w:val="36"/>
  </w:num>
  <w:num w:numId="72">
    <w:abstractNumId w:val="36"/>
  </w:num>
  <w:num w:numId="73">
    <w:abstractNumId w:val="36"/>
  </w:num>
  <w:num w:numId="74">
    <w:abstractNumId w:val="36"/>
  </w:num>
  <w:num w:numId="75">
    <w:abstractNumId w:val="36"/>
  </w:num>
  <w:num w:numId="76">
    <w:abstractNumId w:val="36"/>
  </w:num>
  <w:num w:numId="77">
    <w:abstractNumId w:val="36"/>
  </w:num>
  <w:num w:numId="78">
    <w:abstractNumId w:val="3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hdrShapeDefaults>
    <o:shapedefaults v:ext="edit" spidmax="8194"/>
  </w:hdrShapeDefaults>
  <w:footnotePr>
    <w:footnote w:id="-1"/>
    <w:footnote w:id="0"/>
    <w:footnote w:id="1"/>
  </w:footnotePr>
  <w:endnotePr>
    <w:endnote w:id="-1"/>
    <w:endnote w:id="0"/>
    <w:endnote w:id="1"/>
  </w:endnotePr>
  <w:compat>
    <w:useFELayout/>
  </w:compat>
  <w:rsids>
    <w:rsidRoot w:val="00C9161D"/>
    <w:rsid w:val="00000BDB"/>
    <w:rsid w:val="000018AB"/>
    <w:rsid w:val="0000352E"/>
    <w:rsid w:val="000038D4"/>
    <w:rsid w:val="000044F7"/>
    <w:rsid w:val="00006C9D"/>
    <w:rsid w:val="00006D6A"/>
    <w:rsid w:val="00007999"/>
    <w:rsid w:val="00007C20"/>
    <w:rsid w:val="00007E44"/>
    <w:rsid w:val="00007F9F"/>
    <w:rsid w:val="000108A1"/>
    <w:rsid w:val="0001127F"/>
    <w:rsid w:val="000113E0"/>
    <w:rsid w:val="00012146"/>
    <w:rsid w:val="00013098"/>
    <w:rsid w:val="000132F2"/>
    <w:rsid w:val="00013672"/>
    <w:rsid w:val="000145D1"/>
    <w:rsid w:val="00014FAD"/>
    <w:rsid w:val="00016019"/>
    <w:rsid w:val="000169E4"/>
    <w:rsid w:val="00016DF3"/>
    <w:rsid w:val="00017495"/>
    <w:rsid w:val="000177FC"/>
    <w:rsid w:val="00017D6E"/>
    <w:rsid w:val="00017E6E"/>
    <w:rsid w:val="00020FE5"/>
    <w:rsid w:val="0002133D"/>
    <w:rsid w:val="00023F34"/>
    <w:rsid w:val="0002422F"/>
    <w:rsid w:val="00024C09"/>
    <w:rsid w:val="00024FA0"/>
    <w:rsid w:val="0002660A"/>
    <w:rsid w:val="00026BEA"/>
    <w:rsid w:val="00026D18"/>
    <w:rsid w:val="00030209"/>
    <w:rsid w:val="00030301"/>
    <w:rsid w:val="00030584"/>
    <w:rsid w:val="00030784"/>
    <w:rsid w:val="00030CD3"/>
    <w:rsid w:val="00030D28"/>
    <w:rsid w:val="0003178A"/>
    <w:rsid w:val="00031B98"/>
    <w:rsid w:val="000329FC"/>
    <w:rsid w:val="00032DA4"/>
    <w:rsid w:val="00034825"/>
    <w:rsid w:val="00034840"/>
    <w:rsid w:val="00035780"/>
    <w:rsid w:val="00035908"/>
    <w:rsid w:val="00035A03"/>
    <w:rsid w:val="00035C80"/>
    <w:rsid w:val="00036254"/>
    <w:rsid w:val="000368AA"/>
    <w:rsid w:val="00036F0E"/>
    <w:rsid w:val="000372D5"/>
    <w:rsid w:val="000373EF"/>
    <w:rsid w:val="000377BC"/>
    <w:rsid w:val="00037FEB"/>
    <w:rsid w:val="000401FC"/>
    <w:rsid w:val="000409F3"/>
    <w:rsid w:val="00041483"/>
    <w:rsid w:val="000416BC"/>
    <w:rsid w:val="00041FF8"/>
    <w:rsid w:val="00043171"/>
    <w:rsid w:val="000437AF"/>
    <w:rsid w:val="0004393D"/>
    <w:rsid w:val="00044060"/>
    <w:rsid w:val="00045363"/>
    <w:rsid w:val="00047762"/>
    <w:rsid w:val="000477A0"/>
    <w:rsid w:val="0005032B"/>
    <w:rsid w:val="0005034C"/>
    <w:rsid w:val="00050542"/>
    <w:rsid w:val="00050B7A"/>
    <w:rsid w:val="00051D7D"/>
    <w:rsid w:val="00051E45"/>
    <w:rsid w:val="000523EA"/>
    <w:rsid w:val="00053170"/>
    <w:rsid w:val="00053427"/>
    <w:rsid w:val="00054401"/>
    <w:rsid w:val="0005441C"/>
    <w:rsid w:val="00054725"/>
    <w:rsid w:val="00055C88"/>
    <w:rsid w:val="000578FA"/>
    <w:rsid w:val="0006041C"/>
    <w:rsid w:val="00062BE2"/>
    <w:rsid w:val="00062F01"/>
    <w:rsid w:val="0006491F"/>
    <w:rsid w:val="000656D1"/>
    <w:rsid w:val="0006573F"/>
    <w:rsid w:val="000660B1"/>
    <w:rsid w:val="000664D8"/>
    <w:rsid w:val="0006689E"/>
    <w:rsid w:val="00066FB2"/>
    <w:rsid w:val="00067E3C"/>
    <w:rsid w:val="00070B1F"/>
    <w:rsid w:val="0007277B"/>
    <w:rsid w:val="000730E8"/>
    <w:rsid w:val="0007337A"/>
    <w:rsid w:val="00073DED"/>
    <w:rsid w:val="00074025"/>
    <w:rsid w:val="00075178"/>
    <w:rsid w:val="000760AA"/>
    <w:rsid w:val="00076C79"/>
    <w:rsid w:val="00076DE8"/>
    <w:rsid w:val="0008242E"/>
    <w:rsid w:val="00082606"/>
    <w:rsid w:val="00082849"/>
    <w:rsid w:val="000829B1"/>
    <w:rsid w:val="00083C94"/>
    <w:rsid w:val="00083CD8"/>
    <w:rsid w:val="0008408D"/>
    <w:rsid w:val="00084CC5"/>
    <w:rsid w:val="00084EF5"/>
    <w:rsid w:val="00085303"/>
    <w:rsid w:val="00085E68"/>
    <w:rsid w:val="000864A1"/>
    <w:rsid w:val="00086AC2"/>
    <w:rsid w:val="0008784B"/>
    <w:rsid w:val="00087EA4"/>
    <w:rsid w:val="00090948"/>
    <w:rsid w:val="000909A0"/>
    <w:rsid w:val="00091D77"/>
    <w:rsid w:val="00093548"/>
    <w:rsid w:val="00093599"/>
    <w:rsid w:val="00094083"/>
    <w:rsid w:val="000946B9"/>
    <w:rsid w:val="00094D84"/>
    <w:rsid w:val="00094ECA"/>
    <w:rsid w:val="000955EF"/>
    <w:rsid w:val="000960BA"/>
    <w:rsid w:val="00096F36"/>
    <w:rsid w:val="0009706F"/>
    <w:rsid w:val="000976AF"/>
    <w:rsid w:val="00097A7C"/>
    <w:rsid w:val="000A096D"/>
    <w:rsid w:val="000A1ABD"/>
    <w:rsid w:val="000A1B80"/>
    <w:rsid w:val="000A2762"/>
    <w:rsid w:val="000A2A1B"/>
    <w:rsid w:val="000A383A"/>
    <w:rsid w:val="000A4ADA"/>
    <w:rsid w:val="000A569E"/>
    <w:rsid w:val="000A62DA"/>
    <w:rsid w:val="000A6873"/>
    <w:rsid w:val="000A6926"/>
    <w:rsid w:val="000A6F48"/>
    <w:rsid w:val="000A7121"/>
    <w:rsid w:val="000A7C67"/>
    <w:rsid w:val="000A7CD0"/>
    <w:rsid w:val="000B1315"/>
    <w:rsid w:val="000B17E2"/>
    <w:rsid w:val="000B1B1F"/>
    <w:rsid w:val="000B1BF9"/>
    <w:rsid w:val="000B3752"/>
    <w:rsid w:val="000B389B"/>
    <w:rsid w:val="000B3C12"/>
    <w:rsid w:val="000B3CCF"/>
    <w:rsid w:val="000B3DB8"/>
    <w:rsid w:val="000B4156"/>
    <w:rsid w:val="000B487C"/>
    <w:rsid w:val="000B4DA0"/>
    <w:rsid w:val="000B4FD5"/>
    <w:rsid w:val="000B6F07"/>
    <w:rsid w:val="000B7D45"/>
    <w:rsid w:val="000C0565"/>
    <w:rsid w:val="000C0D36"/>
    <w:rsid w:val="000C104E"/>
    <w:rsid w:val="000C1C8B"/>
    <w:rsid w:val="000C2771"/>
    <w:rsid w:val="000C28E6"/>
    <w:rsid w:val="000C3182"/>
    <w:rsid w:val="000C334E"/>
    <w:rsid w:val="000C392A"/>
    <w:rsid w:val="000C46D9"/>
    <w:rsid w:val="000C5366"/>
    <w:rsid w:val="000C6FC9"/>
    <w:rsid w:val="000C74F8"/>
    <w:rsid w:val="000C7BA2"/>
    <w:rsid w:val="000D1171"/>
    <w:rsid w:val="000D1951"/>
    <w:rsid w:val="000D1B36"/>
    <w:rsid w:val="000D24F5"/>
    <w:rsid w:val="000D2CD9"/>
    <w:rsid w:val="000D3546"/>
    <w:rsid w:val="000D3BCF"/>
    <w:rsid w:val="000D3F2A"/>
    <w:rsid w:val="000D4F3B"/>
    <w:rsid w:val="000D56DC"/>
    <w:rsid w:val="000D58FE"/>
    <w:rsid w:val="000D719F"/>
    <w:rsid w:val="000D73E9"/>
    <w:rsid w:val="000D77CA"/>
    <w:rsid w:val="000D7845"/>
    <w:rsid w:val="000D7864"/>
    <w:rsid w:val="000E2652"/>
    <w:rsid w:val="000E28E6"/>
    <w:rsid w:val="000E2AFC"/>
    <w:rsid w:val="000E2B54"/>
    <w:rsid w:val="000E2B87"/>
    <w:rsid w:val="000E2DD4"/>
    <w:rsid w:val="000E2E12"/>
    <w:rsid w:val="000E3178"/>
    <w:rsid w:val="000E34B8"/>
    <w:rsid w:val="000E3C84"/>
    <w:rsid w:val="000E48E0"/>
    <w:rsid w:val="000E58B2"/>
    <w:rsid w:val="000E5EA3"/>
    <w:rsid w:val="000E673A"/>
    <w:rsid w:val="000E687F"/>
    <w:rsid w:val="000E69B6"/>
    <w:rsid w:val="000E7836"/>
    <w:rsid w:val="000F056B"/>
    <w:rsid w:val="000F0E88"/>
    <w:rsid w:val="000F1120"/>
    <w:rsid w:val="000F1D07"/>
    <w:rsid w:val="000F1FE7"/>
    <w:rsid w:val="000F22FF"/>
    <w:rsid w:val="000F270B"/>
    <w:rsid w:val="000F27EA"/>
    <w:rsid w:val="000F2A49"/>
    <w:rsid w:val="000F2C59"/>
    <w:rsid w:val="000F3774"/>
    <w:rsid w:val="000F3A3D"/>
    <w:rsid w:val="000F3E71"/>
    <w:rsid w:val="000F50F6"/>
    <w:rsid w:val="000F575F"/>
    <w:rsid w:val="000F5FED"/>
    <w:rsid w:val="000F6C65"/>
    <w:rsid w:val="000F74F5"/>
    <w:rsid w:val="00100288"/>
    <w:rsid w:val="00101A28"/>
    <w:rsid w:val="0010243F"/>
    <w:rsid w:val="001025B3"/>
    <w:rsid w:val="00102C5F"/>
    <w:rsid w:val="00103618"/>
    <w:rsid w:val="00104B57"/>
    <w:rsid w:val="00105372"/>
    <w:rsid w:val="001058A3"/>
    <w:rsid w:val="001064D4"/>
    <w:rsid w:val="00107036"/>
    <w:rsid w:val="0010769A"/>
    <w:rsid w:val="00110811"/>
    <w:rsid w:val="00110DEE"/>
    <w:rsid w:val="00111115"/>
    <w:rsid w:val="00111B1E"/>
    <w:rsid w:val="0011290F"/>
    <w:rsid w:val="00112A42"/>
    <w:rsid w:val="00112EB4"/>
    <w:rsid w:val="001134D6"/>
    <w:rsid w:val="001143B5"/>
    <w:rsid w:val="00115046"/>
    <w:rsid w:val="00116340"/>
    <w:rsid w:val="0011645D"/>
    <w:rsid w:val="0011778B"/>
    <w:rsid w:val="00117862"/>
    <w:rsid w:val="00117B63"/>
    <w:rsid w:val="0012066F"/>
    <w:rsid w:val="00121337"/>
    <w:rsid w:val="001215D5"/>
    <w:rsid w:val="00124236"/>
    <w:rsid w:val="00124985"/>
    <w:rsid w:val="00124F1F"/>
    <w:rsid w:val="00125043"/>
    <w:rsid w:val="0012507C"/>
    <w:rsid w:val="00125604"/>
    <w:rsid w:val="0012581E"/>
    <w:rsid w:val="00126A70"/>
    <w:rsid w:val="00127305"/>
    <w:rsid w:val="00130E9F"/>
    <w:rsid w:val="00131E7A"/>
    <w:rsid w:val="0013387A"/>
    <w:rsid w:val="00134028"/>
    <w:rsid w:val="0013407A"/>
    <w:rsid w:val="001345CA"/>
    <w:rsid w:val="00134E96"/>
    <w:rsid w:val="00134F7F"/>
    <w:rsid w:val="00135B06"/>
    <w:rsid w:val="00135B32"/>
    <w:rsid w:val="00135F6B"/>
    <w:rsid w:val="00136BB4"/>
    <w:rsid w:val="00137D95"/>
    <w:rsid w:val="001408A1"/>
    <w:rsid w:val="00141059"/>
    <w:rsid w:val="00141112"/>
    <w:rsid w:val="0014155A"/>
    <w:rsid w:val="00141566"/>
    <w:rsid w:val="00141BC1"/>
    <w:rsid w:val="00142B33"/>
    <w:rsid w:val="00142C8C"/>
    <w:rsid w:val="00142D14"/>
    <w:rsid w:val="00143119"/>
    <w:rsid w:val="00143EDD"/>
    <w:rsid w:val="001447E1"/>
    <w:rsid w:val="001462F8"/>
    <w:rsid w:val="001469C3"/>
    <w:rsid w:val="00146C92"/>
    <w:rsid w:val="00146F42"/>
    <w:rsid w:val="00147B06"/>
    <w:rsid w:val="00147E1E"/>
    <w:rsid w:val="00150599"/>
    <w:rsid w:val="00150F9E"/>
    <w:rsid w:val="001515AE"/>
    <w:rsid w:val="00151677"/>
    <w:rsid w:val="00154D30"/>
    <w:rsid w:val="001558EE"/>
    <w:rsid w:val="0015653E"/>
    <w:rsid w:val="001570B4"/>
    <w:rsid w:val="00157830"/>
    <w:rsid w:val="00160BB8"/>
    <w:rsid w:val="0016124E"/>
    <w:rsid w:val="0016125A"/>
    <w:rsid w:val="001618FE"/>
    <w:rsid w:val="0016276A"/>
    <w:rsid w:val="00163989"/>
    <w:rsid w:val="00163CBC"/>
    <w:rsid w:val="00164155"/>
    <w:rsid w:val="00164BD9"/>
    <w:rsid w:val="0016543C"/>
    <w:rsid w:val="001661EB"/>
    <w:rsid w:val="00170292"/>
    <w:rsid w:val="001706AE"/>
    <w:rsid w:val="00170A1F"/>
    <w:rsid w:val="00172AF6"/>
    <w:rsid w:val="001733A6"/>
    <w:rsid w:val="001741FE"/>
    <w:rsid w:val="0017454A"/>
    <w:rsid w:val="00174DDC"/>
    <w:rsid w:val="00174E7E"/>
    <w:rsid w:val="00176CEE"/>
    <w:rsid w:val="00176FEF"/>
    <w:rsid w:val="00177124"/>
    <w:rsid w:val="0017732E"/>
    <w:rsid w:val="00180389"/>
    <w:rsid w:val="001810E0"/>
    <w:rsid w:val="001811AC"/>
    <w:rsid w:val="0018199E"/>
    <w:rsid w:val="00181E69"/>
    <w:rsid w:val="00182761"/>
    <w:rsid w:val="00182981"/>
    <w:rsid w:val="00183895"/>
    <w:rsid w:val="00183ACA"/>
    <w:rsid w:val="001845D4"/>
    <w:rsid w:val="001854DD"/>
    <w:rsid w:val="00185C65"/>
    <w:rsid w:val="00186207"/>
    <w:rsid w:val="00186534"/>
    <w:rsid w:val="0018694E"/>
    <w:rsid w:val="0018714B"/>
    <w:rsid w:val="001874FC"/>
    <w:rsid w:val="00187730"/>
    <w:rsid w:val="00187CD8"/>
    <w:rsid w:val="00187E2F"/>
    <w:rsid w:val="00192B70"/>
    <w:rsid w:val="00193119"/>
    <w:rsid w:val="00193BCC"/>
    <w:rsid w:val="00194D44"/>
    <w:rsid w:val="0019501C"/>
    <w:rsid w:val="00195F0A"/>
    <w:rsid w:val="00195FAF"/>
    <w:rsid w:val="00197199"/>
    <w:rsid w:val="00197AB5"/>
    <w:rsid w:val="001A0B2E"/>
    <w:rsid w:val="001A1E0C"/>
    <w:rsid w:val="001A1F90"/>
    <w:rsid w:val="001A2B71"/>
    <w:rsid w:val="001A2EF9"/>
    <w:rsid w:val="001A530C"/>
    <w:rsid w:val="001A6140"/>
    <w:rsid w:val="001A615D"/>
    <w:rsid w:val="001A7132"/>
    <w:rsid w:val="001B0800"/>
    <w:rsid w:val="001B08F3"/>
    <w:rsid w:val="001B1686"/>
    <w:rsid w:val="001B23B3"/>
    <w:rsid w:val="001B52DB"/>
    <w:rsid w:val="001B6A44"/>
    <w:rsid w:val="001B70A9"/>
    <w:rsid w:val="001B70DE"/>
    <w:rsid w:val="001C039F"/>
    <w:rsid w:val="001C0A75"/>
    <w:rsid w:val="001C0D67"/>
    <w:rsid w:val="001C0D9C"/>
    <w:rsid w:val="001C295A"/>
    <w:rsid w:val="001C2F57"/>
    <w:rsid w:val="001C36CB"/>
    <w:rsid w:val="001C370C"/>
    <w:rsid w:val="001C4E60"/>
    <w:rsid w:val="001C67E4"/>
    <w:rsid w:val="001C7B61"/>
    <w:rsid w:val="001D00CD"/>
    <w:rsid w:val="001D0E39"/>
    <w:rsid w:val="001D0E48"/>
    <w:rsid w:val="001D1228"/>
    <w:rsid w:val="001D1C0D"/>
    <w:rsid w:val="001D28A7"/>
    <w:rsid w:val="001D3336"/>
    <w:rsid w:val="001D3CB8"/>
    <w:rsid w:val="001D4089"/>
    <w:rsid w:val="001D4535"/>
    <w:rsid w:val="001D459E"/>
    <w:rsid w:val="001D600F"/>
    <w:rsid w:val="001D67BA"/>
    <w:rsid w:val="001D6F1F"/>
    <w:rsid w:val="001D6F49"/>
    <w:rsid w:val="001D7F21"/>
    <w:rsid w:val="001E0D95"/>
    <w:rsid w:val="001E23A5"/>
    <w:rsid w:val="001E3BB5"/>
    <w:rsid w:val="001E433D"/>
    <w:rsid w:val="001E4534"/>
    <w:rsid w:val="001E4A9E"/>
    <w:rsid w:val="001E4DD5"/>
    <w:rsid w:val="001E5A7F"/>
    <w:rsid w:val="001E5D55"/>
    <w:rsid w:val="001E6E8A"/>
    <w:rsid w:val="001E77B1"/>
    <w:rsid w:val="001E794D"/>
    <w:rsid w:val="001F0703"/>
    <w:rsid w:val="001F0943"/>
    <w:rsid w:val="001F1BA3"/>
    <w:rsid w:val="001F1CCC"/>
    <w:rsid w:val="001F2220"/>
    <w:rsid w:val="001F22CE"/>
    <w:rsid w:val="001F2657"/>
    <w:rsid w:val="001F2E93"/>
    <w:rsid w:val="001F3850"/>
    <w:rsid w:val="001F3A4E"/>
    <w:rsid w:val="001F3BF9"/>
    <w:rsid w:val="001F3E2D"/>
    <w:rsid w:val="001F457C"/>
    <w:rsid w:val="001F4687"/>
    <w:rsid w:val="001F4B58"/>
    <w:rsid w:val="001F7AC3"/>
    <w:rsid w:val="00200F25"/>
    <w:rsid w:val="00201A66"/>
    <w:rsid w:val="002028D3"/>
    <w:rsid w:val="00202A17"/>
    <w:rsid w:val="00203B57"/>
    <w:rsid w:val="00203D37"/>
    <w:rsid w:val="00204360"/>
    <w:rsid w:val="00205439"/>
    <w:rsid w:val="00205738"/>
    <w:rsid w:val="0020582D"/>
    <w:rsid w:val="002059BB"/>
    <w:rsid w:val="00205C96"/>
    <w:rsid w:val="00206097"/>
    <w:rsid w:val="00206D7E"/>
    <w:rsid w:val="0020747C"/>
    <w:rsid w:val="002077CC"/>
    <w:rsid w:val="002104A3"/>
    <w:rsid w:val="002108F1"/>
    <w:rsid w:val="00210E42"/>
    <w:rsid w:val="00211A81"/>
    <w:rsid w:val="00211DBF"/>
    <w:rsid w:val="002126DB"/>
    <w:rsid w:val="00212C36"/>
    <w:rsid w:val="00212DE7"/>
    <w:rsid w:val="002131AD"/>
    <w:rsid w:val="00213C91"/>
    <w:rsid w:val="0021524C"/>
    <w:rsid w:val="0021552D"/>
    <w:rsid w:val="0021557B"/>
    <w:rsid w:val="00215687"/>
    <w:rsid w:val="002175C2"/>
    <w:rsid w:val="00220C32"/>
    <w:rsid w:val="00221301"/>
    <w:rsid w:val="002214F9"/>
    <w:rsid w:val="002230E3"/>
    <w:rsid w:val="00223C52"/>
    <w:rsid w:val="00224138"/>
    <w:rsid w:val="002245AC"/>
    <w:rsid w:val="002245CC"/>
    <w:rsid w:val="00225170"/>
    <w:rsid w:val="00225683"/>
    <w:rsid w:val="00225911"/>
    <w:rsid w:val="00226AB7"/>
    <w:rsid w:val="00230874"/>
    <w:rsid w:val="00231661"/>
    <w:rsid w:val="00232D45"/>
    <w:rsid w:val="0023458C"/>
    <w:rsid w:val="002353CD"/>
    <w:rsid w:val="00236DC6"/>
    <w:rsid w:val="002411ED"/>
    <w:rsid w:val="00242476"/>
    <w:rsid w:val="002444C6"/>
    <w:rsid w:val="0024594C"/>
    <w:rsid w:val="00245C0E"/>
    <w:rsid w:val="00246243"/>
    <w:rsid w:val="002468B4"/>
    <w:rsid w:val="00246B42"/>
    <w:rsid w:val="00246DAD"/>
    <w:rsid w:val="00246F3E"/>
    <w:rsid w:val="0024707E"/>
    <w:rsid w:val="002470F5"/>
    <w:rsid w:val="0024742B"/>
    <w:rsid w:val="00247E27"/>
    <w:rsid w:val="002501A8"/>
    <w:rsid w:val="002506A0"/>
    <w:rsid w:val="00250713"/>
    <w:rsid w:val="00250722"/>
    <w:rsid w:val="002508B3"/>
    <w:rsid w:val="0025098A"/>
    <w:rsid w:val="0025134D"/>
    <w:rsid w:val="00252793"/>
    <w:rsid w:val="0025345D"/>
    <w:rsid w:val="00253905"/>
    <w:rsid w:val="00253DA0"/>
    <w:rsid w:val="00253F7A"/>
    <w:rsid w:val="0025499B"/>
    <w:rsid w:val="002562C9"/>
    <w:rsid w:val="00256647"/>
    <w:rsid w:val="0025694D"/>
    <w:rsid w:val="00257D28"/>
    <w:rsid w:val="00257FA2"/>
    <w:rsid w:val="002601B5"/>
    <w:rsid w:val="002613A7"/>
    <w:rsid w:val="002619EA"/>
    <w:rsid w:val="00263569"/>
    <w:rsid w:val="00263822"/>
    <w:rsid w:val="00263D69"/>
    <w:rsid w:val="00263E3F"/>
    <w:rsid w:val="00264142"/>
    <w:rsid w:val="002644E4"/>
    <w:rsid w:val="002645B2"/>
    <w:rsid w:val="00264BE6"/>
    <w:rsid w:val="00272F42"/>
    <w:rsid w:val="00273254"/>
    <w:rsid w:val="002736AB"/>
    <w:rsid w:val="00273A3D"/>
    <w:rsid w:val="00274836"/>
    <w:rsid w:val="002754BD"/>
    <w:rsid w:val="002760CA"/>
    <w:rsid w:val="0027621C"/>
    <w:rsid w:val="00276AB2"/>
    <w:rsid w:val="00276BB0"/>
    <w:rsid w:val="00277D70"/>
    <w:rsid w:val="00280254"/>
    <w:rsid w:val="002811E3"/>
    <w:rsid w:val="002817F8"/>
    <w:rsid w:val="0028186D"/>
    <w:rsid w:val="00281FAE"/>
    <w:rsid w:val="002822D1"/>
    <w:rsid w:val="00282969"/>
    <w:rsid w:val="00282A13"/>
    <w:rsid w:val="00285045"/>
    <w:rsid w:val="002857CC"/>
    <w:rsid w:val="00286E8A"/>
    <w:rsid w:val="00286F0A"/>
    <w:rsid w:val="0029082A"/>
    <w:rsid w:val="00291B18"/>
    <w:rsid w:val="00291D4D"/>
    <w:rsid w:val="00292B3A"/>
    <w:rsid w:val="00293A1C"/>
    <w:rsid w:val="00295C43"/>
    <w:rsid w:val="00297800"/>
    <w:rsid w:val="00297841"/>
    <w:rsid w:val="002A059E"/>
    <w:rsid w:val="002A0C6C"/>
    <w:rsid w:val="002A0D19"/>
    <w:rsid w:val="002A1E02"/>
    <w:rsid w:val="002A26E9"/>
    <w:rsid w:val="002A29EE"/>
    <w:rsid w:val="002A385F"/>
    <w:rsid w:val="002A3906"/>
    <w:rsid w:val="002A4187"/>
    <w:rsid w:val="002A418F"/>
    <w:rsid w:val="002A4858"/>
    <w:rsid w:val="002A51CC"/>
    <w:rsid w:val="002A5912"/>
    <w:rsid w:val="002A5940"/>
    <w:rsid w:val="002A5ACD"/>
    <w:rsid w:val="002A5B97"/>
    <w:rsid w:val="002A6924"/>
    <w:rsid w:val="002A6C03"/>
    <w:rsid w:val="002A7ECB"/>
    <w:rsid w:val="002B035D"/>
    <w:rsid w:val="002B13E1"/>
    <w:rsid w:val="002B1626"/>
    <w:rsid w:val="002B187F"/>
    <w:rsid w:val="002B1EC8"/>
    <w:rsid w:val="002B249B"/>
    <w:rsid w:val="002B27A0"/>
    <w:rsid w:val="002B2E58"/>
    <w:rsid w:val="002B333B"/>
    <w:rsid w:val="002B418A"/>
    <w:rsid w:val="002B4272"/>
    <w:rsid w:val="002B4C6E"/>
    <w:rsid w:val="002B5980"/>
    <w:rsid w:val="002B5AB8"/>
    <w:rsid w:val="002B636E"/>
    <w:rsid w:val="002B67E0"/>
    <w:rsid w:val="002B6BD9"/>
    <w:rsid w:val="002B7F1D"/>
    <w:rsid w:val="002C1649"/>
    <w:rsid w:val="002C198E"/>
    <w:rsid w:val="002C1B55"/>
    <w:rsid w:val="002C1FF1"/>
    <w:rsid w:val="002C30CC"/>
    <w:rsid w:val="002C3C36"/>
    <w:rsid w:val="002C4190"/>
    <w:rsid w:val="002C506B"/>
    <w:rsid w:val="002C5167"/>
    <w:rsid w:val="002C6BFB"/>
    <w:rsid w:val="002C78F8"/>
    <w:rsid w:val="002D0106"/>
    <w:rsid w:val="002D0893"/>
    <w:rsid w:val="002D21DA"/>
    <w:rsid w:val="002D3431"/>
    <w:rsid w:val="002D41A0"/>
    <w:rsid w:val="002D4A22"/>
    <w:rsid w:val="002D4A62"/>
    <w:rsid w:val="002D4FCD"/>
    <w:rsid w:val="002D5AB0"/>
    <w:rsid w:val="002D65E5"/>
    <w:rsid w:val="002D6637"/>
    <w:rsid w:val="002D6FF3"/>
    <w:rsid w:val="002D76C6"/>
    <w:rsid w:val="002D7CE3"/>
    <w:rsid w:val="002E0A60"/>
    <w:rsid w:val="002E0CEF"/>
    <w:rsid w:val="002E1394"/>
    <w:rsid w:val="002E1C6F"/>
    <w:rsid w:val="002E3550"/>
    <w:rsid w:val="002E5414"/>
    <w:rsid w:val="002E6A54"/>
    <w:rsid w:val="002E72A4"/>
    <w:rsid w:val="002E7C95"/>
    <w:rsid w:val="002F2A05"/>
    <w:rsid w:val="002F477B"/>
    <w:rsid w:val="002F4A6C"/>
    <w:rsid w:val="002F56E7"/>
    <w:rsid w:val="002F5BCD"/>
    <w:rsid w:val="002F6EEA"/>
    <w:rsid w:val="002F77FB"/>
    <w:rsid w:val="00300055"/>
    <w:rsid w:val="0030026C"/>
    <w:rsid w:val="00300592"/>
    <w:rsid w:val="00300970"/>
    <w:rsid w:val="00301F39"/>
    <w:rsid w:val="00302848"/>
    <w:rsid w:val="00303090"/>
    <w:rsid w:val="003032D3"/>
    <w:rsid w:val="00303F13"/>
    <w:rsid w:val="003042F7"/>
    <w:rsid w:val="0030452E"/>
    <w:rsid w:val="003045EA"/>
    <w:rsid w:val="00304606"/>
    <w:rsid w:val="0030466D"/>
    <w:rsid w:val="00304AFB"/>
    <w:rsid w:val="00304D9E"/>
    <w:rsid w:val="003053BF"/>
    <w:rsid w:val="003057BC"/>
    <w:rsid w:val="00305A78"/>
    <w:rsid w:val="003061F2"/>
    <w:rsid w:val="00306EDF"/>
    <w:rsid w:val="003075B5"/>
    <w:rsid w:val="00310F36"/>
    <w:rsid w:val="00311561"/>
    <w:rsid w:val="00311A9C"/>
    <w:rsid w:val="003141DC"/>
    <w:rsid w:val="003144AD"/>
    <w:rsid w:val="003156FE"/>
    <w:rsid w:val="00315C25"/>
    <w:rsid w:val="003161F3"/>
    <w:rsid w:val="003163D9"/>
    <w:rsid w:val="003174B7"/>
    <w:rsid w:val="00317A9A"/>
    <w:rsid w:val="003201BC"/>
    <w:rsid w:val="003205BD"/>
    <w:rsid w:val="00320AEF"/>
    <w:rsid w:val="00321C1D"/>
    <w:rsid w:val="00321FA1"/>
    <w:rsid w:val="00322F57"/>
    <w:rsid w:val="003230E7"/>
    <w:rsid w:val="00323521"/>
    <w:rsid w:val="00324BA1"/>
    <w:rsid w:val="00326605"/>
    <w:rsid w:val="00326E1E"/>
    <w:rsid w:val="0032779A"/>
    <w:rsid w:val="003314D3"/>
    <w:rsid w:val="00332019"/>
    <w:rsid w:val="00332281"/>
    <w:rsid w:val="00332C8A"/>
    <w:rsid w:val="00332E24"/>
    <w:rsid w:val="00332F88"/>
    <w:rsid w:val="003364A0"/>
    <w:rsid w:val="0033750D"/>
    <w:rsid w:val="00337A17"/>
    <w:rsid w:val="00337C74"/>
    <w:rsid w:val="00337E7C"/>
    <w:rsid w:val="00340780"/>
    <w:rsid w:val="00342B19"/>
    <w:rsid w:val="00342B78"/>
    <w:rsid w:val="00343609"/>
    <w:rsid w:val="00343BE9"/>
    <w:rsid w:val="003440C9"/>
    <w:rsid w:val="003443F9"/>
    <w:rsid w:val="0034478F"/>
    <w:rsid w:val="003465D7"/>
    <w:rsid w:val="00346B20"/>
    <w:rsid w:val="00350EB2"/>
    <w:rsid w:val="00350F43"/>
    <w:rsid w:val="00351C30"/>
    <w:rsid w:val="003527A0"/>
    <w:rsid w:val="003528D5"/>
    <w:rsid w:val="00352D1C"/>
    <w:rsid w:val="0035412D"/>
    <w:rsid w:val="003541AC"/>
    <w:rsid w:val="0035462A"/>
    <w:rsid w:val="00355B48"/>
    <w:rsid w:val="003568E6"/>
    <w:rsid w:val="00357138"/>
    <w:rsid w:val="00357A68"/>
    <w:rsid w:val="00357C96"/>
    <w:rsid w:val="003603A4"/>
    <w:rsid w:val="0036109B"/>
    <w:rsid w:val="00362A3B"/>
    <w:rsid w:val="00363013"/>
    <w:rsid w:val="00363A8F"/>
    <w:rsid w:val="00363EC9"/>
    <w:rsid w:val="003643C6"/>
    <w:rsid w:val="003651BA"/>
    <w:rsid w:val="003651C5"/>
    <w:rsid w:val="00365E2E"/>
    <w:rsid w:val="0036618F"/>
    <w:rsid w:val="0036695B"/>
    <w:rsid w:val="00366C76"/>
    <w:rsid w:val="00367072"/>
    <w:rsid w:val="003672A8"/>
    <w:rsid w:val="00367EE0"/>
    <w:rsid w:val="00367EEE"/>
    <w:rsid w:val="00371202"/>
    <w:rsid w:val="0037128D"/>
    <w:rsid w:val="00371528"/>
    <w:rsid w:val="00372F74"/>
    <w:rsid w:val="00374350"/>
    <w:rsid w:val="003759B8"/>
    <w:rsid w:val="00375AEC"/>
    <w:rsid w:val="003763A7"/>
    <w:rsid w:val="003764F7"/>
    <w:rsid w:val="00376872"/>
    <w:rsid w:val="00376D9B"/>
    <w:rsid w:val="00377EC8"/>
    <w:rsid w:val="003805ED"/>
    <w:rsid w:val="00380B83"/>
    <w:rsid w:val="00380DAD"/>
    <w:rsid w:val="00380FA5"/>
    <w:rsid w:val="003816ED"/>
    <w:rsid w:val="00381A85"/>
    <w:rsid w:val="00381EC3"/>
    <w:rsid w:val="00382344"/>
    <w:rsid w:val="00382E55"/>
    <w:rsid w:val="00382E56"/>
    <w:rsid w:val="00383D16"/>
    <w:rsid w:val="0038426E"/>
    <w:rsid w:val="00385855"/>
    <w:rsid w:val="00386502"/>
    <w:rsid w:val="00386B4F"/>
    <w:rsid w:val="00387B0B"/>
    <w:rsid w:val="003907E5"/>
    <w:rsid w:val="00390E1A"/>
    <w:rsid w:val="00390E45"/>
    <w:rsid w:val="00391585"/>
    <w:rsid w:val="00391D28"/>
    <w:rsid w:val="00392956"/>
    <w:rsid w:val="0039337B"/>
    <w:rsid w:val="003934CD"/>
    <w:rsid w:val="003939FC"/>
    <w:rsid w:val="00393C5C"/>
    <w:rsid w:val="0039485C"/>
    <w:rsid w:val="003949F1"/>
    <w:rsid w:val="00396BF3"/>
    <w:rsid w:val="00396CBF"/>
    <w:rsid w:val="00397C95"/>
    <w:rsid w:val="00397D5B"/>
    <w:rsid w:val="003A070A"/>
    <w:rsid w:val="003A3D2B"/>
    <w:rsid w:val="003A5729"/>
    <w:rsid w:val="003A6B12"/>
    <w:rsid w:val="003A7E4C"/>
    <w:rsid w:val="003B0094"/>
    <w:rsid w:val="003B05A8"/>
    <w:rsid w:val="003B07E7"/>
    <w:rsid w:val="003B0BFC"/>
    <w:rsid w:val="003B0D21"/>
    <w:rsid w:val="003B1F56"/>
    <w:rsid w:val="003B276C"/>
    <w:rsid w:val="003B2DB3"/>
    <w:rsid w:val="003B3F5A"/>
    <w:rsid w:val="003B4446"/>
    <w:rsid w:val="003B47AD"/>
    <w:rsid w:val="003B4921"/>
    <w:rsid w:val="003B5425"/>
    <w:rsid w:val="003C0605"/>
    <w:rsid w:val="003C09F5"/>
    <w:rsid w:val="003C2B0F"/>
    <w:rsid w:val="003C2DCB"/>
    <w:rsid w:val="003C32F6"/>
    <w:rsid w:val="003C3975"/>
    <w:rsid w:val="003C46B0"/>
    <w:rsid w:val="003C5934"/>
    <w:rsid w:val="003C5ECA"/>
    <w:rsid w:val="003C78D6"/>
    <w:rsid w:val="003C7E51"/>
    <w:rsid w:val="003D0BB0"/>
    <w:rsid w:val="003D15FC"/>
    <w:rsid w:val="003D2AC0"/>
    <w:rsid w:val="003D2FE7"/>
    <w:rsid w:val="003D3C56"/>
    <w:rsid w:val="003D6067"/>
    <w:rsid w:val="003D6725"/>
    <w:rsid w:val="003D7B3B"/>
    <w:rsid w:val="003E00AB"/>
    <w:rsid w:val="003E04A5"/>
    <w:rsid w:val="003E070D"/>
    <w:rsid w:val="003E1508"/>
    <w:rsid w:val="003E1511"/>
    <w:rsid w:val="003E1B93"/>
    <w:rsid w:val="003E1D27"/>
    <w:rsid w:val="003E262F"/>
    <w:rsid w:val="003E32A8"/>
    <w:rsid w:val="003E33B5"/>
    <w:rsid w:val="003E4130"/>
    <w:rsid w:val="003E618B"/>
    <w:rsid w:val="003E74E0"/>
    <w:rsid w:val="003F06F8"/>
    <w:rsid w:val="003F2347"/>
    <w:rsid w:val="003F27C1"/>
    <w:rsid w:val="003F41B5"/>
    <w:rsid w:val="003F5524"/>
    <w:rsid w:val="003F6DC6"/>
    <w:rsid w:val="003F6F17"/>
    <w:rsid w:val="003F7224"/>
    <w:rsid w:val="003F78F2"/>
    <w:rsid w:val="00400502"/>
    <w:rsid w:val="0040057A"/>
    <w:rsid w:val="004013FB"/>
    <w:rsid w:val="004017A3"/>
    <w:rsid w:val="00402771"/>
    <w:rsid w:val="00402A46"/>
    <w:rsid w:val="00402E99"/>
    <w:rsid w:val="004031EF"/>
    <w:rsid w:val="00403569"/>
    <w:rsid w:val="00404ED3"/>
    <w:rsid w:val="00405483"/>
    <w:rsid w:val="00405799"/>
    <w:rsid w:val="00405961"/>
    <w:rsid w:val="00405ECB"/>
    <w:rsid w:val="004063DA"/>
    <w:rsid w:val="00406995"/>
    <w:rsid w:val="00406D1B"/>
    <w:rsid w:val="00406DD1"/>
    <w:rsid w:val="004077CD"/>
    <w:rsid w:val="00407E47"/>
    <w:rsid w:val="004107FC"/>
    <w:rsid w:val="0041134B"/>
    <w:rsid w:val="00413C44"/>
    <w:rsid w:val="00413DCF"/>
    <w:rsid w:val="00414E52"/>
    <w:rsid w:val="00414F2C"/>
    <w:rsid w:val="00415114"/>
    <w:rsid w:val="00415215"/>
    <w:rsid w:val="00415987"/>
    <w:rsid w:val="004161D3"/>
    <w:rsid w:val="00417ADA"/>
    <w:rsid w:val="00420FE8"/>
    <w:rsid w:val="004218D4"/>
    <w:rsid w:val="00421C48"/>
    <w:rsid w:val="004238FC"/>
    <w:rsid w:val="00423FEB"/>
    <w:rsid w:val="00424EBE"/>
    <w:rsid w:val="00425518"/>
    <w:rsid w:val="00425926"/>
    <w:rsid w:val="00425BC0"/>
    <w:rsid w:val="0042659F"/>
    <w:rsid w:val="004266F7"/>
    <w:rsid w:val="00426A7B"/>
    <w:rsid w:val="0042749F"/>
    <w:rsid w:val="0042784B"/>
    <w:rsid w:val="00427BDB"/>
    <w:rsid w:val="00427C70"/>
    <w:rsid w:val="00427D21"/>
    <w:rsid w:val="00427FB2"/>
    <w:rsid w:val="0043173D"/>
    <w:rsid w:val="0043175F"/>
    <w:rsid w:val="00431B52"/>
    <w:rsid w:val="00431F11"/>
    <w:rsid w:val="00432208"/>
    <w:rsid w:val="004325EF"/>
    <w:rsid w:val="00432952"/>
    <w:rsid w:val="00433330"/>
    <w:rsid w:val="00433860"/>
    <w:rsid w:val="00434FBC"/>
    <w:rsid w:val="00435DF4"/>
    <w:rsid w:val="00441CA7"/>
    <w:rsid w:val="0044236C"/>
    <w:rsid w:val="00442F37"/>
    <w:rsid w:val="00443BDE"/>
    <w:rsid w:val="00443FFF"/>
    <w:rsid w:val="004440C0"/>
    <w:rsid w:val="0044419E"/>
    <w:rsid w:val="00444312"/>
    <w:rsid w:val="004444C9"/>
    <w:rsid w:val="00445C3E"/>
    <w:rsid w:val="004467D1"/>
    <w:rsid w:val="00447291"/>
    <w:rsid w:val="0044737F"/>
    <w:rsid w:val="00447AD9"/>
    <w:rsid w:val="00450F92"/>
    <w:rsid w:val="00451483"/>
    <w:rsid w:val="00451D9F"/>
    <w:rsid w:val="00451FC5"/>
    <w:rsid w:val="00452EE7"/>
    <w:rsid w:val="004541A7"/>
    <w:rsid w:val="00454208"/>
    <w:rsid w:val="00454375"/>
    <w:rsid w:val="00454879"/>
    <w:rsid w:val="00455068"/>
    <w:rsid w:val="0045618A"/>
    <w:rsid w:val="00456870"/>
    <w:rsid w:val="00456C96"/>
    <w:rsid w:val="004577C3"/>
    <w:rsid w:val="004607AD"/>
    <w:rsid w:val="00461A51"/>
    <w:rsid w:val="00461CD8"/>
    <w:rsid w:val="00462363"/>
    <w:rsid w:val="004636C3"/>
    <w:rsid w:val="004644C2"/>
    <w:rsid w:val="004648D1"/>
    <w:rsid w:val="00466019"/>
    <w:rsid w:val="00466935"/>
    <w:rsid w:val="00466AFD"/>
    <w:rsid w:val="004677B4"/>
    <w:rsid w:val="00467F9C"/>
    <w:rsid w:val="00470209"/>
    <w:rsid w:val="00471969"/>
    <w:rsid w:val="00471E17"/>
    <w:rsid w:val="00473224"/>
    <w:rsid w:val="004733AF"/>
    <w:rsid w:val="004733D3"/>
    <w:rsid w:val="00473B26"/>
    <w:rsid w:val="00473E2A"/>
    <w:rsid w:val="00474082"/>
    <w:rsid w:val="00475E18"/>
    <w:rsid w:val="004814A3"/>
    <w:rsid w:val="00481DAA"/>
    <w:rsid w:val="004823C5"/>
    <w:rsid w:val="0048417A"/>
    <w:rsid w:val="004853EE"/>
    <w:rsid w:val="004863CF"/>
    <w:rsid w:val="00487306"/>
    <w:rsid w:val="00487475"/>
    <w:rsid w:val="00487A97"/>
    <w:rsid w:val="00487D80"/>
    <w:rsid w:val="00490B5A"/>
    <w:rsid w:val="00490BEA"/>
    <w:rsid w:val="00490D74"/>
    <w:rsid w:val="0049205D"/>
    <w:rsid w:val="0049205F"/>
    <w:rsid w:val="004928C2"/>
    <w:rsid w:val="00492902"/>
    <w:rsid w:val="00492A2F"/>
    <w:rsid w:val="00493D32"/>
    <w:rsid w:val="00493DA8"/>
    <w:rsid w:val="0049451E"/>
    <w:rsid w:val="0049584F"/>
    <w:rsid w:val="004977AE"/>
    <w:rsid w:val="004A02EE"/>
    <w:rsid w:val="004A1464"/>
    <w:rsid w:val="004A1B8A"/>
    <w:rsid w:val="004A2752"/>
    <w:rsid w:val="004A2F2F"/>
    <w:rsid w:val="004A3995"/>
    <w:rsid w:val="004A3B07"/>
    <w:rsid w:val="004A4A3C"/>
    <w:rsid w:val="004A4E14"/>
    <w:rsid w:val="004A7213"/>
    <w:rsid w:val="004B0D33"/>
    <w:rsid w:val="004B13E7"/>
    <w:rsid w:val="004B14AC"/>
    <w:rsid w:val="004B18EC"/>
    <w:rsid w:val="004B2800"/>
    <w:rsid w:val="004B2AFC"/>
    <w:rsid w:val="004B3264"/>
    <w:rsid w:val="004B34E4"/>
    <w:rsid w:val="004B383A"/>
    <w:rsid w:val="004B397F"/>
    <w:rsid w:val="004B5B5E"/>
    <w:rsid w:val="004B6104"/>
    <w:rsid w:val="004B6C8C"/>
    <w:rsid w:val="004B6D8B"/>
    <w:rsid w:val="004C0454"/>
    <w:rsid w:val="004C19E4"/>
    <w:rsid w:val="004C31AB"/>
    <w:rsid w:val="004C352F"/>
    <w:rsid w:val="004C3568"/>
    <w:rsid w:val="004C387F"/>
    <w:rsid w:val="004C4A6D"/>
    <w:rsid w:val="004C5804"/>
    <w:rsid w:val="004C5D12"/>
    <w:rsid w:val="004C5F21"/>
    <w:rsid w:val="004C6F61"/>
    <w:rsid w:val="004C702C"/>
    <w:rsid w:val="004C76B9"/>
    <w:rsid w:val="004C7710"/>
    <w:rsid w:val="004D0423"/>
    <w:rsid w:val="004D2922"/>
    <w:rsid w:val="004D2C0D"/>
    <w:rsid w:val="004D36FD"/>
    <w:rsid w:val="004D4818"/>
    <w:rsid w:val="004D49A3"/>
    <w:rsid w:val="004D4CE7"/>
    <w:rsid w:val="004D58B7"/>
    <w:rsid w:val="004D5E44"/>
    <w:rsid w:val="004D65BE"/>
    <w:rsid w:val="004D6D72"/>
    <w:rsid w:val="004E0ACA"/>
    <w:rsid w:val="004E0D71"/>
    <w:rsid w:val="004E1795"/>
    <w:rsid w:val="004E4093"/>
    <w:rsid w:val="004F030D"/>
    <w:rsid w:val="004F0C3C"/>
    <w:rsid w:val="004F1C28"/>
    <w:rsid w:val="004F3012"/>
    <w:rsid w:val="004F3B68"/>
    <w:rsid w:val="004F5080"/>
    <w:rsid w:val="004F66DB"/>
    <w:rsid w:val="00500C13"/>
    <w:rsid w:val="00501002"/>
    <w:rsid w:val="005016CE"/>
    <w:rsid w:val="00502337"/>
    <w:rsid w:val="00503AF7"/>
    <w:rsid w:val="00503F1A"/>
    <w:rsid w:val="0050425F"/>
    <w:rsid w:val="0050466C"/>
    <w:rsid w:val="00505813"/>
    <w:rsid w:val="0050581D"/>
    <w:rsid w:val="00505B93"/>
    <w:rsid w:val="00505F67"/>
    <w:rsid w:val="00506235"/>
    <w:rsid w:val="0050646C"/>
    <w:rsid w:val="005070F3"/>
    <w:rsid w:val="00507C3F"/>
    <w:rsid w:val="00507CEF"/>
    <w:rsid w:val="00510139"/>
    <w:rsid w:val="00511007"/>
    <w:rsid w:val="00512F93"/>
    <w:rsid w:val="0051363A"/>
    <w:rsid w:val="00514161"/>
    <w:rsid w:val="00514391"/>
    <w:rsid w:val="00514BA9"/>
    <w:rsid w:val="00514C07"/>
    <w:rsid w:val="00514ECC"/>
    <w:rsid w:val="0051766B"/>
    <w:rsid w:val="005201E0"/>
    <w:rsid w:val="00520396"/>
    <w:rsid w:val="00520F7B"/>
    <w:rsid w:val="00520FAC"/>
    <w:rsid w:val="00522104"/>
    <w:rsid w:val="0052210C"/>
    <w:rsid w:val="0052216B"/>
    <w:rsid w:val="0052296C"/>
    <w:rsid w:val="005233AD"/>
    <w:rsid w:val="00523589"/>
    <w:rsid w:val="00523EE1"/>
    <w:rsid w:val="00525190"/>
    <w:rsid w:val="00525756"/>
    <w:rsid w:val="00525A27"/>
    <w:rsid w:val="00525FDE"/>
    <w:rsid w:val="00530E0D"/>
    <w:rsid w:val="00530F14"/>
    <w:rsid w:val="00531771"/>
    <w:rsid w:val="005317AE"/>
    <w:rsid w:val="00532C49"/>
    <w:rsid w:val="00532F5C"/>
    <w:rsid w:val="00533665"/>
    <w:rsid w:val="00533F1E"/>
    <w:rsid w:val="00534681"/>
    <w:rsid w:val="00534C03"/>
    <w:rsid w:val="0053549E"/>
    <w:rsid w:val="00536969"/>
    <w:rsid w:val="005375B4"/>
    <w:rsid w:val="00540183"/>
    <w:rsid w:val="00540F60"/>
    <w:rsid w:val="00541D0B"/>
    <w:rsid w:val="0054386A"/>
    <w:rsid w:val="005442AA"/>
    <w:rsid w:val="00544599"/>
    <w:rsid w:val="00544F60"/>
    <w:rsid w:val="00545126"/>
    <w:rsid w:val="005455C2"/>
    <w:rsid w:val="0054674B"/>
    <w:rsid w:val="00547CAA"/>
    <w:rsid w:val="00550169"/>
    <w:rsid w:val="00552DA3"/>
    <w:rsid w:val="00553905"/>
    <w:rsid w:val="00553B2B"/>
    <w:rsid w:val="00553C72"/>
    <w:rsid w:val="00554681"/>
    <w:rsid w:val="005555FA"/>
    <w:rsid w:val="00556B71"/>
    <w:rsid w:val="00557371"/>
    <w:rsid w:val="00557677"/>
    <w:rsid w:val="00557C7E"/>
    <w:rsid w:val="00561E4F"/>
    <w:rsid w:val="005620EA"/>
    <w:rsid w:val="005626D6"/>
    <w:rsid w:val="0056299F"/>
    <w:rsid w:val="00564E10"/>
    <w:rsid w:val="005652D4"/>
    <w:rsid w:val="0056566D"/>
    <w:rsid w:val="00566A74"/>
    <w:rsid w:val="0056716C"/>
    <w:rsid w:val="00567CF6"/>
    <w:rsid w:val="00567F2F"/>
    <w:rsid w:val="00570487"/>
    <w:rsid w:val="00570852"/>
    <w:rsid w:val="00570F55"/>
    <w:rsid w:val="005715A1"/>
    <w:rsid w:val="00571D9B"/>
    <w:rsid w:val="0057279E"/>
    <w:rsid w:val="00572D87"/>
    <w:rsid w:val="0057317A"/>
    <w:rsid w:val="0057373E"/>
    <w:rsid w:val="00573CEF"/>
    <w:rsid w:val="00573E69"/>
    <w:rsid w:val="005744D1"/>
    <w:rsid w:val="00574BA5"/>
    <w:rsid w:val="00574BC5"/>
    <w:rsid w:val="00575640"/>
    <w:rsid w:val="00575E9C"/>
    <w:rsid w:val="00576DC8"/>
    <w:rsid w:val="00577850"/>
    <w:rsid w:val="00580C92"/>
    <w:rsid w:val="00580E80"/>
    <w:rsid w:val="00581540"/>
    <w:rsid w:val="00582196"/>
    <w:rsid w:val="00582AB2"/>
    <w:rsid w:val="00582D83"/>
    <w:rsid w:val="005835A4"/>
    <w:rsid w:val="0058411F"/>
    <w:rsid w:val="0058541B"/>
    <w:rsid w:val="00586AB6"/>
    <w:rsid w:val="00587596"/>
    <w:rsid w:val="00587BFC"/>
    <w:rsid w:val="005902FB"/>
    <w:rsid w:val="00590D8C"/>
    <w:rsid w:val="005913E5"/>
    <w:rsid w:val="0059187F"/>
    <w:rsid w:val="005924C7"/>
    <w:rsid w:val="00592585"/>
    <w:rsid w:val="005926BE"/>
    <w:rsid w:val="00592DAA"/>
    <w:rsid w:val="0059342F"/>
    <w:rsid w:val="005947D9"/>
    <w:rsid w:val="00594E6B"/>
    <w:rsid w:val="00595793"/>
    <w:rsid w:val="00596900"/>
    <w:rsid w:val="005971EF"/>
    <w:rsid w:val="00597A7C"/>
    <w:rsid w:val="00597AC2"/>
    <w:rsid w:val="005A0174"/>
    <w:rsid w:val="005A0276"/>
    <w:rsid w:val="005A1555"/>
    <w:rsid w:val="005A17F0"/>
    <w:rsid w:val="005A40EE"/>
    <w:rsid w:val="005A4110"/>
    <w:rsid w:val="005A4B90"/>
    <w:rsid w:val="005A4DF8"/>
    <w:rsid w:val="005A5406"/>
    <w:rsid w:val="005A5A10"/>
    <w:rsid w:val="005A6154"/>
    <w:rsid w:val="005A619D"/>
    <w:rsid w:val="005A6804"/>
    <w:rsid w:val="005A6E4F"/>
    <w:rsid w:val="005A715F"/>
    <w:rsid w:val="005A7B5D"/>
    <w:rsid w:val="005B00D7"/>
    <w:rsid w:val="005B01C4"/>
    <w:rsid w:val="005B0579"/>
    <w:rsid w:val="005B1536"/>
    <w:rsid w:val="005B1B2B"/>
    <w:rsid w:val="005B1C43"/>
    <w:rsid w:val="005B224F"/>
    <w:rsid w:val="005B26E3"/>
    <w:rsid w:val="005B271E"/>
    <w:rsid w:val="005B2EE7"/>
    <w:rsid w:val="005B530B"/>
    <w:rsid w:val="005B5633"/>
    <w:rsid w:val="005B56A7"/>
    <w:rsid w:val="005B6A07"/>
    <w:rsid w:val="005B7D3B"/>
    <w:rsid w:val="005C0AC8"/>
    <w:rsid w:val="005C15ED"/>
    <w:rsid w:val="005C183B"/>
    <w:rsid w:val="005C26FE"/>
    <w:rsid w:val="005C331A"/>
    <w:rsid w:val="005C39FD"/>
    <w:rsid w:val="005C3A7D"/>
    <w:rsid w:val="005C5511"/>
    <w:rsid w:val="005C55AC"/>
    <w:rsid w:val="005C729A"/>
    <w:rsid w:val="005C7AC9"/>
    <w:rsid w:val="005D0A3E"/>
    <w:rsid w:val="005D29CD"/>
    <w:rsid w:val="005D30AE"/>
    <w:rsid w:val="005D3F65"/>
    <w:rsid w:val="005D4CBB"/>
    <w:rsid w:val="005D58D7"/>
    <w:rsid w:val="005D6E38"/>
    <w:rsid w:val="005D6E5B"/>
    <w:rsid w:val="005E00C8"/>
    <w:rsid w:val="005E063C"/>
    <w:rsid w:val="005E091A"/>
    <w:rsid w:val="005E172E"/>
    <w:rsid w:val="005E1D62"/>
    <w:rsid w:val="005E37E4"/>
    <w:rsid w:val="005E3B58"/>
    <w:rsid w:val="005E3BF0"/>
    <w:rsid w:val="005E589B"/>
    <w:rsid w:val="005E5AAE"/>
    <w:rsid w:val="005E5DAE"/>
    <w:rsid w:val="005E60C9"/>
    <w:rsid w:val="005E623F"/>
    <w:rsid w:val="005E780D"/>
    <w:rsid w:val="005E7DB2"/>
    <w:rsid w:val="005E7E90"/>
    <w:rsid w:val="005F0B3F"/>
    <w:rsid w:val="005F194D"/>
    <w:rsid w:val="005F2A48"/>
    <w:rsid w:val="005F2D4E"/>
    <w:rsid w:val="005F2E53"/>
    <w:rsid w:val="005F2F6E"/>
    <w:rsid w:val="005F33BE"/>
    <w:rsid w:val="005F34D7"/>
    <w:rsid w:val="005F439B"/>
    <w:rsid w:val="005F43C7"/>
    <w:rsid w:val="005F47B3"/>
    <w:rsid w:val="005F5EEE"/>
    <w:rsid w:val="005F60FF"/>
    <w:rsid w:val="005F63FF"/>
    <w:rsid w:val="005F6494"/>
    <w:rsid w:val="005F668B"/>
    <w:rsid w:val="005F675A"/>
    <w:rsid w:val="005F6EF5"/>
    <w:rsid w:val="005F6F08"/>
    <w:rsid w:val="006001B1"/>
    <w:rsid w:val="0060041C"/>
    <w:rsid w:val="00601560"/>
    <w:rsid w:val="006016A2"/>
    <w:rsid w:val="00602773"/>
    <w:rsid w:val="00602D97"/>
    <w:rsid w:val="006047C1"/>
    <w:rsid w:val="00604A4A"/>
    <w:rsid w:val="00606F94"/>
    <w:rsid w:val="00607DE5"/>
    <w:rsid w:val="00610E06"/>
    <w:rsid w:val="0061187A"/>
    <w:rsid w:val="006122BA"/>
    <w:rsid w:val="006134D7"/>
    <w:rsid w:val="0061352B"/>
    <w:rsid w:val="006147B9"/>
    <w:rsid w:val="00614C17"/>
    <w:rsid w:val="006150C8"/>
    <w:rsid w:val="00615865"/>
    <w:rsid w:val="00615E88"/>
    <w:rsid w:val="0061649D"/>
    <w:rsid w:val="006168A7"/>
    <w:rsid w:val="00616C26"/>
    <w:rsid w:val="00617255"/>
    <w:rsid w:val="00617AC5"/>
    <w:rsid w:val="006200BA"/>
    <w:rsid w:val="006202B0"/>
    <w:rsid w:val="00620421"/>
    <w:rsid w:val="006217B1"/>
    <w:rsid w:val="00621881"/>
    <w:rsid w:val="00621A95"/>
    <w:rsid w:val="006222F1"/>
    <w:rsid w:val="0062495C"/>
    <w:rsid w:val="006270EC"/>
    <w:rsid w:val="00627A0B"/>
    <w:rsid w:val="00631F3D"/>
    <w:rsid w:val="00632957"/>
    <w:rsid w:val="00632CDD"/>
    <w:rsid w:val="0063364F"/>
    <w:rsid w:val="00634439"/>
    <w:rsid w:val="00635469"/>
    <w:rsid w:val="00636CDF"/>
    <w:rsid w:val="00636EE8"/>
    <w:rsid w:val="00636EF8"/>
    <w:rsid w:val="00636FE2"/>
    <w:rsid w:val="00637F14"/>
    <w:rsid w:val="0064056C"/>
    <w:rsid w:val="006409E9"/>
    <w:rsid w:val="00642476"/>
    <w:rsid w:val="00643DC9"/>
    <w:rsid w:val="0064466D"/>
    <w:rsid w:val="00644A22"/>
    <w:rsid w:val="00644CC1"/>
    <w:rsid w:val="00644F4D"/>
    <w:rsid w:val="00646377"/>
    <w:rsid w:val="00646C06"/>
    <w:rsid w:val="006478F0"/>
    <w:rsid w:val="00647F51"/>
    <w:rsid w:val="006500E9"/>
    <w:rsid w:val="00650D15"/>
    <w:rsid w:val="00651253"/>
    <w:rsid w:val="00651A8E"/>
    <w:rsid w:val="00651F80"/>
    <w:rsid w:val="00653EF8"/>
    <w:rsid w:val="00654051"/>
    <w:rsid w:val="006557A5"/>
    <w:rsid w:val="00655FC4"/>
    <w:rsid w:val="006565E3"/>
    <w:rsid w:val="00656694"/>
    <w:rsid w:val="00656D75"/>
    <w:rsid w:val="00656DE2"/>
    <w:rsid w:val="006571DF"/>
    <w:rsid w:val="00657714"/>
    <w:rsid w:val="00657A64"/>
    <w:rsid w:val="006600E9"/>
    <w:rsid w:val="00661913"/>
    <w:rsid w:val="00661E57"/>
    <w:rsid w:val="00662011"/>
    <w:rsid w:val="006629EA"/>
    <w:rsid w:val="00663B24"/>
    <w:rsid w:val="00663BCA"/>
    <w:rsid w:val="00665D6E"/>
    <w:rsid w:val="00666040"/>
    <w:rsid w:val="00666A19"/>
    <w:rsid w:val="00666DAC"/>
    <w:rsid w:val="00667066"/>
    <w:rsid w:val="0066732F"/>
    <w:rsid w:val="00667510"/>
    <w:rsid w:val="00670525"/>
    <w:rsid w:val="0067066E"/>
    <w:rsid w:val="00670ADB"/>
    <w:rsid w:val="00670BB5"/>
    <w:rsid w:val="00670C8C"/>
    <w:rsid w:val="006710E9"/>
    <w:rsid w:val="006711A7"/>
    <w:rsid w:val="006726E9"/>
    <w:rsid w:val="00672758"/>
    <w:rsid w:val="006738DE"/>
    <w:rsid w:val="00673C79"/>
    <w:rsid w:val="00674DDF"/>
    <w:rsid w:val="00675501"/>
    <w:rsid w:val="00676F77"/>
    <w:rsid w:val="00677B38"/>
    <w:rsid w:val="00680D55"/>
    <w:rsid w:val="00681F58"/>
    <w:rsid w:val="0068234A"/>
    <w:rsid w:val="00683DCD"/>
    <w:rsid w:val="00683E0F"/>
    <w:rsid w:val="006845F5"/>
    <w:rsid w:val="00684BBC"/>
    <w:rsid w:val="00685365"/>
    <w:rsid w:val="0068619E"/>
    <w:rsid w:val="00686C9D"/>
    <w:rsid w:val="00686FE1"/>
    <w:rsid w:val="006870AC"/>
    <w:rsid w:val="006872E6"/>
    <w:rsid w:val="0068799C"/>
    <w:rsid w:val="00687D2A"/>
    <w:rsid w:val="00690042"/>
    <w:rsid w:val="0069193D"/>
    <w:rsid w:val="00691F40"/>
    <w:rsid w:val="00693280"/>
    <w:rsid w:val="006932DC"/>
    <w:rsid w:val="00693741"/>
    <w:rsid w:val="00693F93"/>
    <w:rsid w:val="00694029"/>
    <w:rsid w:val="00694702"/>
    <w:rsid w:val="006947C0"/>
    <w:rsid w:val="00694F23"/>
    <w:rsid w:val="00696482"/>
    <w:rsid w:val="00696D15"/>
    <w:rsid w:val="006977FE"/>
    <w:rsid w:val="006A0AAA"/>
    <w:rsid w:val="006A25AA"/>
    <w:rsid w:val="006A2D2F"/>
    <w:rsid w:val="006A3744"/>
    <w:rsid w:val="006A4967"/>
    <w:rsid w:val="006A5E25"/>
    <w:rsid w:val="006A64F2"/>
    <w:rsid w:val="006A6D33"/>
    <w:rsid w:val="006A6E6E"/>
    <w:rsid w:val="006B03D2"/>
    <w:rsid w:val="006B0B2A"/>
    <w:rsid w:val="006B0F31"/>
    <w:rsid w:val="006B145F"/>
    <w:rsid w:val="006B2290"/>
    <w:rsid w:val="006B3EE4"/>
    <w:rsid w:val="006B4C3C"/>
    <w:rsid w:val="006B4EEF"/>
    <w:rsid w:val="006B614A"/>
    <w:rsid w:val="006B7F44"/>
    <w:rsid w:val="006C0283"/>
    <w:rsid w:val="006C0991"/>
    <w:rsid w:val="006C0C9E"/>
    <w:rsid w:val="006C1888"/>
    <w:rsid w:val="006C18BE"/>
    <w:rsid w:val="006C27CA"/>
    <w:rsid w:val="006C2A7C"/>
    <w:rsid w:val="006C2ABE"/>
    <w:rsid w:val="006C3313"/>
    <w:rsid w:val="006C3B42"/>
    <w:rsid w:val="006C3BBF"/>
    <w:rsid w:val="006C487D"/>
    <w:rsid w:val="006C4A8E"/>
    <w:rsid w:val="006C4C4B"/>
    <w:rsid w:val="006C4F30"/>
    <w:rsid w:val="006C50C1"/>
    <w:rsid w:val="006C5291"/>
    <w:rsid w:val="006C5943"/>
    <w:rsid w:val="006C696E"/>
    <w:rsid w:val="006C6E40"/>
    <w:rsid w:val="006C7762"/>
    <w:rsid w:val="006C77B4"/>
    <w:rsid w:val="006D05D4"/>
    <w:rsid w:val="006D084B"/>
    <w:rsid w:val="006D0D6C"/>
    <w:rsid w:val="006D2B18"/>
    <w:rsid w:val="006D2D18"/>
    <w:rsid w:val="006D3ABF"/>
    <w:rsid w:val="006D3AC4"/>
    <w:rsid w:val="006D3DA1"/>
    <w:rsid w:val="006D5438"/>
    <w:rsid w:val="006D6183"/>
    <w:rsid w:val="006D6916"/>
    <w:rsid w:val="006D79B8"/>
    <w:rsid w:val="006D7E87"/>
    <w:rsid w:val="006E0358"/>
    <w:rsid w:val="006E05D9"/>
    <w:rsid w:val="006E2321"/>
    <w:rsid w:val="006E3811"/>
    <w:rsid w:val="006E45F6"/>
    <w:rsid w:val="006E6B86"/>
    <w:rsid w:val="006E6E07"/>
    <w:rsid w:val="006E77E4"/>
    <w:rsid w:val="006F0C60"/>
    <w:rsid w:val="006F1764"/>
    <w:rsid w:val="006F20BD"/>
    <w:rsid w:val="006F3BD8"/>
    <w:rsid w:val="006F4227"/>
    <w:rsid w:val="006F4C34"/>
    <w:rsid w:val="006F4D23"/>
    <w:rsid w:val="006F5427"/>
    <w:rsid w:val="006F6083"/>
    <w:rsid w:val="006F60EB"/>
    <w:rsid w:val="006F7E92"/>
    <w:rsid w:val="00700490"/>
    <w:rsid w:val="0070075F"/>
    <w:rsid w:val="007014B0"/>
    <w:rsid w:val="00703099"/>
    <w:rsid w:val="007049AA"/>
    <w:rsid w:val="00704DD7"/>
    <w:rsid w:val="0070615F"/>
    <w:rsid w:val="00707DA1"/>
    <w:rsid w:val="00710B92"/>
    <w:rsid w:val="00710DCB"/>
    <w:rsid w:val="007120F6"/>
    <w:rsid w:val="007129BF"/>
    <w:rsid w:val="00713236"/>
    <w:rsid w:val="00716EAB"/>
    <w:rsid w:val="007177DD"/>
    <w:rsid w:val="00717D65"/>
    <w:rsid w:val="00717D88"/>
    <w:rsid w:val="007202DB"/>
    <w:rsid w:val="007211ED"/>
    <w:rsid w:val="0072135C"/>
    <w:rsid w:val="00721F41"/>
    <w:rsid w:val="0072389D"/>
    <w:rsid w:val="00723EF1"/>
    <w:rsid w:val="0072425C"/>
    <w:rsid w:val="00724740"/>
    <w:rsid w:val="00724C35"/>
    <w:rsid w:val="00724E53"/>
    <w:rsid w:val="0072623A"/>
    <w:rsid w:val="0072659D"/>
    <w:rsid w:val="007266FA"/>
    <w:rsid w:val="00730B70"/>
    <w:rsid w:val="00731C43"/>
    <w:rsid w:val="007325F1"/>
    <w:rsid w:val="00732EE1"/>
    <w:rsid w:val="007405A5"/>
    <w:rsid w:val="0074334C"/>
    <w:rsid w:val="0074376B"/>
    <w:rsid w:val="007441F0"/>
    <w:rsid w:val="00744485"/>
    <w:rsid w:val="007447C9"/>
    <w:rsid w:val="0074659E"/>
    <w:rsid w:val="00747421"/>
    <w:rsid w:val="007500E1"/>
    <w:rsid w:val="00750820"/>
    <w:rsid w:val="007518C2"/>
    <w:rsid w:val="007531C9"/>
    <w:rsid w:val="00753249"/>
    <w:rsid w:val="00753E30"/>
    <w:rsid w:val="00754272"/>
    <w:rsid w:val="00754B69"/>
    <w:rsid w:val="00754F85"/>
    <w:rsid w:val="007551CD"/>
    <w:rsid w:val="00755513"/>
    <w:rsid w:val="00755C5A"/>
    <w:rsid w:val="00755FFA"/>
    <w:rsid w:val="007566A1"/>
    <w:rsid w:val="007600AB"/>
    <w:rsid w:val="007611B6"/>
    <w:rsid w:val="0076160B"/>
    <w:rsid w:val="00763339"/>
    <w:rsid w:val="007637A4"/>
    <w:rsid w:val="00763A20"/>
    <w:rsid w:val="00763BDB"/>
    <w:rsid w:val="00764242"/>
    <w:rsid w:val="00764547"/>
    <w:rsid w:val="00764D27"/>
    <w:rsid w:val="00764DA9"/>
    <w:rsid w:val="007655DC"/>
    <w:rsid w:val="007657FE"/>
    <w:rsid w:val="00765A89"/>
    <w:rsid w:val="00765C00"/>
    <w:rsid w:val="00766077"/>
    <w:rsid w:val="00767385"/>
    <w:rsid w:val="00767F70"/>
    <w:rsid w:val="00771653"/>
    <w:rsid w:val="007719DA"/>
    <w:rsid w:val="00772A6A"/>
    <w:rsid w:val="007732E8"/>
    <w:rsid w:val="00773511"/>
    <w:rsid w:val="00774A0D"/>
    <w:rsid w:val="00774A15"/>
    <w:rsid w:val="00774C67"/>
    <w:rsid w:val="007762DC"/>
    <w:rsid w:val="00776380"/>
    <w:rsid w:val="007769DC"/>
    <w:rsid w:val="00776B2A"/>
    <w:rsid w:val="007773F0"/>
    <w:rsid w:val="0078139C"/>
    <w:rsid w:val="007825A1"/>
    <w:rsid w:val="007829A3"/>
    <w:rsid w:val="00786A2F"/>
    <w:rsid w:val="0079002D"/>
    <w:rsid w:val="00790576"/>
    <w:rsid w:val="00790F23"/>
    <w:rsid w:val="00791070"/>
    <w:rsid w:val="00791D8A"/>
    <w:rsid w:val="0079259E"/>
    <w:rsid w:val="00792EC1"/>
    <w:rsid w:val="00793A4A"/>
    <w:rsid w:val="00793FCE"/>
    <w:rsid w:val="007942D3"/>
    <w:rsid w:val="00794B4E"/>
    <w:rsid w:val="007957EA"/>
    <w:rsid w:val="007965F0"/>
    <w:rsid w:val="00797177"/>
    <w:rsid w:val="00797265"/>
    <w:rsid w:val="007A1650"/>
    <w:rsid w:val="007A23A7"/>
    <w:rsid w:val="007A2E3D"/>
    <w:rsid w:val="007A2E57"/>
    <w:rsid w:val="007A32CE"/>
    <w:rsid w:val="007A401F"/>
    <w:rsid w:val="007A4519"/>
    <w:rsid w:val="007A48B9"/>
    <w:rsid w:val="007A532C"/>
    <w:rsid w:val="007A53E6"/>
    <w:rsid w:val="007A5A6E"/>
    <w:rsid w:val="007A5D7A"/>
    <w:rsid w:val="007A5E3E"/>
    <w:rsid w:val="007A67D3"/>
    <w:rsid w:val="007B0369"/>
    <w:rsid w:val="007B0F4A"/>
    <w:rsid w:val="007B2E63"/>
    <w:rsid w:val="007B4E3E"/>
    <w:rsid w:val="007B5098"/>
    <w:rsid w:val="007B59D9"/>
    <w:rsid w:val="007B5C8D"/>
    <w:rsid w:val="007B6159"/>
    <w:rsid w:val="007B6C09"/>
    <w:rsid w:val="007B7082"/>
    <w:rsid w:val="007B7797"/>
    <w:rsid w:val="007B79D4"/>
    <w:rsid w:val="007B7A17"/>
    <w:rsid w:val="007C046E"/>
    <w:rsid w:val="007C101E"/>
    <w:rsid w:val="007C10B9"/>
    <w:rsid w:val="007C208B"/>
    <w:rsid w:val="007C2173"/>
    <w:rsid w:val="007C232E"/>
    <w:rsid w:val="007C23E5"/>
    <w:rsid w:val="007C25A3"/>
    <w:rsid w:val="007C3D91"/>
    <w:rsid w:val="007C49A9"/>
    <w:rsid w:val="007C67AF"/>
    <w:rsid w:val="007C7659"/>
    <w:rsid w:val="007C78B5"/>
    <w:rsid w:val="007D03C1"/>
    <w:rsid w:val="007D18BF"/>
    <w:rsid w:val="007D26B4"/>
    <w:rsid w:val="007D3942"/>
    <w:rsid w:val="007D40C6"/>
    <w:rsid w:val="007D430A"/>
    <w:rsid w:val="007D4340"/>
    <w:rsid w:val="007D4BF9"/>
    <w:rsid w:val="007D56BA"/>
    <w:rsid w:val="007D578A"/>
    <w:rsid w:val="007D5A3D"/>
    <w:rsid w:val="007D5DAA"/>
    <w:rsid w:val="007D610E"/>
    <w:rsid w:val="007D643F"/>
    <w:rsid w:val="007D65B0"/>
    <w:rsid w:val="007D7008"/>
    <w:rsid w:val="007E09DA"/>
    <w:rsid w:val="007E0A54"/>
    <w:rsid w:val="007E0A6B"/>
    <w:rsid w:val="007E0F25"/>
    <w:rsid w:val="007E259B"/>
    <w:rsid w:val="007E261B"/>
    <w:rsid w:val="007E3C4E"/>
    <w:rsid w:val="007E3E34"/>
    <w:rsid w:val="007E482E"/>
    <w:rsid w:val="007E530E"/>
    <w:rsid w:val="007E5501"/>
    <w:rsid w:val="007E5514"/>
    <w:rsid w:val="007E621A"/>
    <w:rsid w:val="007E7634"/>
    <w:rsid w:val="007E7C8E"/>
    <w:rsid w:val="007F000F"/>
    <w:rsid w:val="007F028B"/>
    <w:rsid w:val="007F2507"/>
    <w:rsid w:val="007F372F"/>
    <w:rsid w:val="007F3838"/>
    <w:rsid w:val="007F48EF"/>
    <w:rsid w:val="007F76A0"/>
    <w:rsid w:val="00800A21"/>
    <w:rsid w:val="00800A69"/>
    <w:rsid w:val="00801295"/>
    <w:rsid w:val="00801BC4"/>
    <w:rsid w:val="00802A20"/>
    <w:rsid w:val="00803191"/>
    <w:rsid w:val="0080358E"/>
    <w:rsid w:val="00806332"/>
    <w:rsid w:val="00806A19"/>
    <w:rsid w:val="008071BD"/>
    <w:rsid w:val="00810292"/>
    <w:rsid w:val="00811490"/>
    <w:rsid w:val="00812914"/>
    <w:rsid w:val="00812DDC"/>
    <w:rsid w:val="00813063"/>
    <w:rsid w:val="008133E0"/>
    <w:rsid w:val="00813E2F"/>
    <w:rsid w:val="00813FD5"/>
    <w:rsid w:val="0081454F"/>
    <w:rsid w:val="00815048"/>
    <w:rsid w:val="00815A4C"/>
    <w:rsid w:val="00815BC8"/>
    <w:rsid w:val="008162AF"/>
    <w:rsid w:val="008163E4"/>
    <w:rsid w:val="008168AC"/>
    <w:rsid w:val="008171D6"/>
    <w:rsid w:val="008178B6"/>
    <w:rsid w:val="008211FF"/>
    <w:rsid w:val="008216BB"/>
    <w:rsid w:val="008218FE"/>
    <w:rsid w:val="00821E5D"/>
    <w:rsid w:val="00822E21"/>
    <w:rsid w:val="00823C6E"/>
    <w:rsid w:val="00825A91"/>
    <w:rsid w:val="00825B73"/>
    <w:rsid w:val="00827E44"/>
    <w:rsid w:val="00830029"/>
    <w:rsid w:val="0083015F"/>
    <w:rsid w:val="00831E8B"/>
    <w:rsid w:val="00833D58"/>
    <w:rsid w:val="008341D3"/>
    <w:rsid w:val="008356BC"/>
    <w:rsid w:val="008361D3"/>
    <w:rsid w:val="00837045"/>
    <w:rsid w:val="008370B9"/>
    <w:rsid w:val="0083731C"/>
    <w:rsid w:val="00837BA2"/>
    <w:rsid w:val="008400C9"/>
    <w:rsid w:val="00840157"/>
    <w:rsid w:val="0084082B"/>
    <w:rsid w:val="00840B11"/>
    <w:rsid w:val="00840D72"/>
    <w:rsid w:val="0084119D"/>
    <w:rsid w:val="0084173E"/>
    <w:rsid w:val="00841B7C"/>
    <w:rsid w:val="00841E57"/>
    <w:rsid w:val="00842CD0"/>
    <w:rsid w:val="008436DD"/>
    <w:rsid w:val="008438B9"/>
    <w:rsid w:val="00844263"/>
    <w:rsid w:val="0084479A"/>
    <w:rsid w:val="008448B2"/>
    <w:rsid w:val="008452A0"/>
    <w:rsid w:val="0084543B"/>
    <w:rsid w:val="008458C3"/>
    <w:rsid w:val="008462E3"/>
    <w:rsid w:val="00846677"/>
    <w:rsid w:val="00846DB0"/>
    <w:rsid w:val="008477A2"/>
    <w:rsid w:val="00850E65"/>
    <w:rsid w:val="00850FAB"/>
    <w:rsid w:val="008524C8"/>
    <w:rsid w:val="00854DC7"/>
    <w:rsid w:val="00855666"/>
    <w:rsid w:val="008561CF"/>
    <w:rsid w:val="008561FE"/>
    <w:rsid w:val="00857A9A"/>
    <w:rsid w:val="00860955"/>
    <w:rsid w:val="0086139F"/>
    <w:rsid w:val="00861EBF"/>
    <w:rsid w:val="00863852"/>
    <w:rsid w:val="00864217"/>
    <w:rsid w:val="00865832"/>
    <w:rsid w:val="00865AC7"/>
    <w:rsid w:val="00865B74"/>
    <w:rsid w:val="00867B0C"/>
    <w:rsid w:val="00867B7C"/>
    <w:rsid w:val="00870F4C"/>
    <w:rsid w:val="008714D1"/>
    <w:rsid w:val="00871BA4"/>
    <w:rsid w:val="00871C01"/>
    <w:rsid w:val="00872801"/>
    <w:rsid w:val="00873080"/>
    <w:rsid w:val="00873771"/>
    <w:rsid w:val="008737D5"/>
    <w:rsid w:val="00874D77"/>
    <w:rsid w:val="00874F92"/>
    <w:rsid w:val="0087665B"/>
    <w:rsid w:val="00877648"/>
    <w:rsid w:val="00881F47"/>
    <w:rsid w:val="00885D8C"/>
    <w:rsid w:val="00885FC0"/>
    <w:rsid w:val="008866A4"/>
    <w:rsid w:val="00886DC8"/>
    <w:rsid w:val="00887EF9"/>
    <w:rsid w:val="008914EE"/>
    <w:rsid w:val="0089169A"/>
    <w:rsid w:val="00892279"/>
    <w:rsid w:val="008940F0"/>
    <w:rsid w:val="008960DE"/>
    <w:rsid w:val="0089675D"/>
    <w:rsid w:val="008968AB"/>
    <w:rsid w:val="0089743A"/>
    <w:rsid w:val="008978CD"/>
    <w:rsid w:val="00897C38"/>
    <w:rsid w:val="008A0685"/>
    <w:rsid w:val="008A11A8"/>
    <w:rsid w:val="008A33F8"/>
    <w:rsid w:val="008A3964"/>
    <w:rsid w:val="008A39D3"/>
    <w:rsid w:val="008A3CB9"/>
    <w:rsid w:val="008A4014"/>
    <w:rsid w:val="008A4397"/>
    <w:rsid w:val="008A642A"/>
    <w:rsid w:val="008A6627"/>
    <w:rsid w:val="008A6841"/>
    <w:rsid w:val="008B016F"/>
    <w:rsid w:val="008B0E67"/>
    <w:rsid w:val="008B0E70"/>
    <w:rsid w:val="008B283E"/>
    <w:rsid w:val="008B3598"/>
    <w:rsid w:val="008B76A4"/>
    <w:rsid w:val="008B78FB"/>
    <w:rsid w:val="008B7B7F"/>
    <w:rsid w:val="008C0634"/>
    <w:rsid w:val="008C0817"/>
    <w:rsid w:val="008C0E94"/>
    <w:rsid w:val="008C2FE3"/>
    <w:rsid w:val="008C3468"/>
    <w:rsid w:val="008C34E0"/>
    <w:rsid w:val="008C379B"/>
    <w:rsid w:val="008C3AE1"/>
    <w:rsid w:val="008C3DB9"/>
    <w:rsid w:val="008C4017"/>
    <w:rsid w:val="008C41E2"/>
    <w:rsid w:val="008C660A"/>
    <w:rsid w:val="008C6F9A"/>
    <w:rsid w:val="008C7270"/>
    <w:rsid w:val="008D1D10"/>
    <w:rsid w:val="008D2299"/>
    <w:rsid w:val="008D22FD"/>
    <w:rsid w:val="008D24ED"/>
    <w:rsid w:val="008D2780"/>
    <w:rsid w:val="008D28D6"/>
    <w:rsid w:val="008D2BEE"/>
    <w:rsid w:val="008D2C01"/>
    <w:rsid w:val="008D2FA2"/>
    <w:rsid w:val="008D5C0C"/>
    <w:rsid w:val="008D7535"/>
    <w:rsid w:val="008D7922"/>
    <w:rsid w:val="008D7965"/>
    <w:rsid w:val="008E11DA"/>
    <w:rsid w:val="008E12C0"/>
    <w:rsid w:val="008E1EC9"/>
    <w:rsid w:val="008E2727"/>
    <w:rsid w:val="008E3E10"/>
    <w:rsid w:val="008E4134"/>
    <w:rsid w:val="008E45CE"/>
    <w:rsid w:val="008E4635"/>
    <w:rsid w:val="008E4C61"/>
    <w:rsid w:val="008E608F"/>
    <w:rsid w:val="008E6B28"/>
    <w:rsid w:val="008E6EA3"/>
    <w:rsid w:val="008F0336"/>
    <w:rsid w:val="008F037C"/>
    <w:rsid w:val="008F14A9"/>
    <w:rsid w:val="008F1617"/>
    <w:rsid w:val="008F193C"/>
    <w:rsid w:val="008F1DBE"/>
    <w:rsid w:val="008F2151"/>
    <w:rsid w:val="008F249C"/>
    <w:rsid w:val="008F29BD"/>
    <w:rsid w:val="008F43AA"/>
    <w:rsid w:val="008F4922"/>
    <w:rsid w:val="008F4AA0"/>
    <w:rsid w:val="008F4ABD"/>
    <w:rsid w:val="008F5058"/>
    <w:rsid w:val="008F5116"/>
    <w:rsid w:val="008F5156"/>
    <w:rsid w:val="008F532F"/>
    <w:rsid w:val="008F6447"/>
    <w:rsid w:val="008F691D"/>
    <w:rsid w:val="008F6D93"/>
    <w:rsid w:val="008F7A38"/>
    <w:rsid w:val="008F7D0B"/>
    <w:rsid w:val="00901287"/>
    <w:rsid w:val="009012A1"/>
    <w:rsid w:val="009017C7"/>
    <w:rsid w:val="00902549"/>
    <w:rsid w:val="00902A18"/>
    <w:rsid w:val="00902C3B"/>
    <w:rsid w:val="00903485"/>
    <w:rsid w:val="00903827"/>
    <w:rsid w:val="00903E47"/>
    <w:rsid w:val="00904D92"/>
    <w:rsid w:val="0090521A"/>
    <w:rsid w:val="00906A13"/>
    <w:rsid w:val="00906D43"/>
    <w:rsid w:val="0090719B"/>
    <w:rsid w:val="00907F35"/>
    <w:rsid w:val="009102DF"/>
    <w:rsid w:val="00910347"/>
    <w:rsid w:val="00910663"/>
    <w:rsid w:val="00911503"/>
    <w:rsid w:val="0091235B"/>
    <w:rsid w:val="0091306D"/>
    <w:rsid w:val="00914248"/>
    <w:rsid w:val="009144CC"/>
    <w:rsid w:val="00915A98"/>
    <w:rsid w:val="00916052"/>
    <w:rsid w:val="009160DF"/>
    <w:rsid w:val="00916325"/>
    <w:rsid w:val="0092054D"/>
    <w:rsid w:val="00920BAA"/>
    <w:rsid w:val="00921147"/>
    <w:rsid w:val="00922D7A"/>
    <w:rsid w:val="0092366A"/>
    <w:rsid w:val="009252CF"/>
    <w:rsid w:val="0092539F"/>
    <w:rsid w:val="009259D0"/>
    <w:rsid w:val="00925B75"/>
    <w:rsid w:val="00926107"/>
    <w:rsid w:val="00926BE9"/>
    <w:rsid w:val="00926EDA"/>
    <w:rsid w:val="00927C4F"/>
    <w:rsid w:val="0093031A"/>
    <w:rsid w:val="00930B7C"/>
    <w:rsid w:val="00930BA1"/>
    <w:rsid w:val="0093169E"/>
    <w:rsid w:val="0093171F"/>
    <w:rsid w:val="00933838"/>
    <w:rsid w:val="00933D01"/>
    <w:rsid w:val="00934C65"/>
    <w:rsid w:val="00935B31"/>
    <w:rsid w:val="00935F48"/>
    <w:rsid w:val="00936F4B"/>
    <w:rsid w:val="00937F99"/>
    <w:rsid w:val="009404EA"/>
    <w:rsid w:val="009413F4"/>
    <w:rsid w:val="009416EA"/>
    <w:rsid w:val="00941BD8"/>
    <w:rsid w:val="00941C00"/>
    <w:rsid w:val="00942295"/>
    <w:rsid w:val="0094389D"/>
    <w:rsid w:val="00943A4E"/>
    <w:rsid w:val="00945778"/>
    <w:rsid w:val="00945D60"/>
    <w:rsid w:val="00946540"/>
    <w:rsid w:val="00947455"/>
    <w:rsid w:val="009505C9"/>
    <w:rsid w:val="00951D15"/>
    <w:rsid w:val="00952E08"/>
    <w:rsid w:val="00953088"/>
    <w:rsid w:val="009544C7"/>
    <w:rsid w:val="00954965"/>
    <w:rsid w:val="00954F42"/>
    <w:rsid w:val="00955136"/>
    <w:rsid w:val="00956231"/>
    <w:rsid w:val="00956AD0"/>
    <w:rsid w:val="00956C91"/>
    <w:rsid w:val="00956F04"/>
    <w:rsid w:val="00957123"/>
    <w:rsid w:val="009578D6"/>
    <w:rsid w:val="00957DB9"/>
    <w:rsid w:val="00957E88"/>
    <w:rsid w:val="009601C3"/>
    <w:rsid w:val="00960336"/>
    <w:rsid w:val="00960419"/>
    <w:rsid w:val="00960A9A"/>
    <w:rsid w:val="009615E2"/>
    <w:rsid w:val="009616D1"/>
    <w:rsid w:val="009648FE"/>
    <w:rsid w:val="009653C9"/>
    <w:rsid w:val="009654F0"/>
    <w:rsid w:val="00965F7C"/>
    <w:rsid w:val="00966767"/>
    <w:rsid w:val="00966BC9"/>
    <w:rsid w:val="00966EB4"/>
    <w:rsid w:val="00967031"/>
    <w:rsid w:val="00967485"/>
    <w:rsid w:val="00967953"/>
    <w:rsid w:val="00967CA6"/>
    <w:rsid w:val="00970410"/>
    <w:rsid w:val="00970BD4"/>
    <w:rsid w:val="00970DD1"/>
    <w:rsid w:val="009717ED"/>
    <w:rsid w:val="0097276D"/>
    <w:rsid w:val="00974999"/>
    <w:rsid w:val="00974BC1"/>
    <w:rsid w:val="00974C85"/>
    <w:rsid w:val="00975CDB"/>
    <w:rsid w:val="00976153"/>
    <w:rsid w:val="00980808"/>
    <w:rsid w:val="00980E54"/>
    <w:rsid w:val="00981962"/>
    <w:rsid w:val="00982283"/>
    <w:rsid w:val="009827BA"/>
    <w:rsid w:val="00983A8C"/>
    <w:rsid w:val="009846DB"/>
    <w:rsid w:val="00984A7D"/>
    <w:rsid w:val="00984EEE"/>
    <w:rsid w:val="009850DB"/>
    <w:rsid w:val="0098587A"/>
    <w:rsid w:val="0098671B"/>
    <w:rsid w:val="00986764"/>
    <w:rsid w:val="00990320"/>
    <w:rsid w:val="009917F9"/>
    <w:rsid w:val="00991C3B"/>
    <w:rsid w:val="00991CC9"/>
    <w:rsid w:val="00992C56"/>
    <w:rsid w:val="00992D86"/>
    <w:rsid w:val="00993093"/>
    <w:rsid w:val="00994B0F"/>
    <w:rsid w:val="0099737A"/>
    <w:rsid w:val="0099739A"/>
    <w:rsid w:val="009975FF"/>
    <w:rsid w:val="009979E9"/>
    <w:rsid w:val="009A019C"/>
    <w:rsid w:val="009A08AC"/>
    <w:rsid w:val="009A0977"/>
    <w:rsid w:val="009A1208"/>
    <w:rsid w:val="009A1608"/>
    <w:rsid w:val="009A1B7F"/>
    <w:rsid w:val="009A2720"/>
    <w:rsid w:val="009A378B"/>
    <w:rsid w:val="009A4500"/>
    <w:rsid w:val="009A4B1C"/>
    <w:rsid w:val="009A4D21"/>
    <w:rsid w:val="009A53B7"/>
    <w:rsid w:val="009A57F0"/>
    <w:rsid w:val="009A7DA5"/>
    <w:rsid w:val="009B0A78"/>
    <w:rsid w:val="009B0B47"/>
    <w:rsid w:val="009B1111"/>
    <w:rsid w:val="009B1920"/>
    <w:rsid w:val="009B1ABB"/>
    <w:rsid w:val="009B221D"/>
    <w:rsid w:val="009B3330"/>
    <w:rsid w:val="009B358E"/>
    <w:rsid w:val="009B3BAC"/>
    <w:rsid w:val="009B418E"/>
    <w:rsid w:val="009B490E"/>
    <w:rsid w:val="009B5572"/>
    <w:rsid w:val="009B5913"/>
    <w:rsid w:val="009B591F"/>
    <w:rsid w:val="009B6883"/>
    <w:rsid w:val="009B75CC"/>
    <w:rsid w:val="009B7F37"/>
    <w:rsid w:val="009C0063"/>
    <w:rsid w:val="009C0487"/>
    <w:rsid w:val="009C0A05"/>
    <w:rsid w:val="009C12AB"/>
    <w:rsid w:val="009C14DE"/>
    <w:rsid w:val="009C1595"/>
    <w:rsid w:val="009C252C"/>
    <w:rsid w:val="009C35E0"/>
    <w:rsid w:val="009C4127"/>
    <w:rsid w:val="009C4B0C"/>
    <w:rsid w:val="009C4B71"/>
    <w:rsid w:val="009C58FD"/>
    <w:rsid w:val="009C5F37"/>
    <w:rsid w:val="009C62C9"/>
    <w:rsid w:val="009C6B93"/>
    <w:rsid w:val="009C7BB4"/>
    <w:rsid w:val="009D075C"/>
    <w:rsid w:val="009D0CFA"/>
    <w:rsid w:val="009D0FF3"/>
    <w:rsid w:val="009D154D"/>
    <w:rsid w:val="009D1769"/>
    <w:rsid w:val="009D1B59"/>
    <w:rsid w:val="009D2041"/>
    <w:rsid w:val="009D29FE"/>
    <w:rsid w:val="009D30DE"/>
    <w:rsid w:val="009D3435"/>
    <w:rsid w:val="009D376C"/>
    <w:rsid w:val="009D42CA"/>
    <w:rsid w:val="009D6222"/>
    <w:rsid w:val="009D6C73"/>
    <w:rsid w:val="009E12E1"/>
    <w:rsid w:val="009E1423"/>
    <w:rsid w:val="009E2851"/>
    <w:rsid w:val="009E2DB2"/>
    <w:rsid w:val="009E2F4F"/>
    <w:rsid w:val="009E3325"/>
    <w:rsid w:val="009E33BB"/>
    <w:rsid w:val="009E3EC8"/>
    <w:rsid w:val="009E50D3"/>
    <w:rsid w:val="009E6687"/>
    <w:rsid w:val="009E6A86"/>
    <w:rsid w:val="009E6D2C"/>
    <w:rsid w:val="009E763C"/>
    <w:rsid w:val="009E7F63"/>
    <w:rsid w:val="009F0E1D"/>
    <w:rsid w:val="009F0E74"/>
    <w:rsid w:val="009F14BF"/>
    <w:rsid w:val="009F17E2"/>
    <w:rsid w:val="009F4DC2"/>
    <w:rsid w:val="009F4F79"/>
    <w:rsid w:val="009F6C39"/>
    <w:rsid w:val="00A00AE1"/>
    <w:rsid w:val="00A016A8"/>
    <w:rsid w:val="00A017BB"/>
    <w:rsid w:val="00A0185A"/>
    <w:rsid w:val="00A01A8E"/>
    <w:rsid w:val="00A01DA2"/>
    <w:rsid w:val="00A02225"/>
    <w:rsid w:val="00A03095"/>
    <w:rsid w:val="00A03320"/>
    <w:rsid w:val="00A03528"/>
    <w:rsid w:val="00A03B22"/>
    <w:rsid w:val="00A0418A"/>
    <w:rsid w:val="00A04567"/>
    <w:rsid w:val="00A05C57"/>
    <w:rsid w:val="00A06384"/>
    <w:rsid w:val="00A06EFB"/>
    <w:rsid w:val="00A07301"/>
    <w:rsid w:val="00A1048D"/>
    <w:rsid w:val="00A1196A"/>
    <w:rsid w:val="00A11D35"/>
    <w:rsid w:val="00A123F4"/>
    <w:rsid w:val="00A128AE"/>
    <w:rsid w:val="00A13640"/>
    <w:rsid w:val="00A1430A"/>
    <w:rsid w:val="00A15F47"/>
    <w:rsid w:val="00A16F8A"/>
    <w:rsid w:val="00A17023"/>
    <w:rsid w:val="00A17475"/>
    <w:rsid w:val="00A205ED"/>
    <w:rsid w:val="00A20FEC"/>
    <w:rsid w:val="00A2265D"/>
    <w:rsid w:val="00A22DF0"/>
    <w:rsid w:val="00A2336C"/>
    <w:rsid w:val="00A25D6F"/>
    <w:rsid w:val="00A2672B"/>
    <w:rsid w:val="00A273E9"/>
    <w:rsid w:val="00A2766E"/>
    <w:rsid w:val="00A307DE"/>
    <w:rsid w:val="00A30BBD"/>
    <w:rsid w:val="00A3136D"/>
    <w:rsid w:val="00A321C0"/>
    <w:rsid w:val="00A3226F"/>
    <w:rsid w:val="00A330AF"/>
    <w:rsid w:val="00A3599A"/>
    <w:rsid w:val="00A35AC4"/>
    <w:rsid w:val="00A35B93"/>
    <w:rsid w:val="00A35FBE"/>
    <w:rsid w:val="00A372F8"/>
    <w:rsid w:val="00A37C24"/>
    <w:rsid w:val="00A4039C"/>
    <w:rsid w:val="00A403CB"/>
    <w:rsid w:val="00A40588"/>
    <w:rsid w:val="00A40E80"/>
    <w:rsid w:val="00A419AC"/>
    <w:rsid w:val="00A419FC"/>
    <w:rsid w:val="00A4279D"/>
    <w:rsid w:val="00A428BE"/>
    <w:rsid w:val="00A435DD"/>
    <w:rsid w:val="00A44D87"/>
    <w:rsid w:val="00A45496"/>
    <w:rsid w:val="00A45A58"/>
    <w:rsid w:val="00A465DA"/>
    <w:rsid w:val="00A46786"/>
    <w:rsid w:val="00A47BE5"/>
    <w:rsid w:val="00A5175A"/>
    <w:rsid w:val="00A5177C"/>
    <w:rsid w:val="00A51E02"/>
    <w:rsid w:val="00A530B0"/>
    <w:rsid w:val="00A532EC"/>
    <w:rsid w:val="00A54989"/>
    <w:rsid w:val="00A54AE2"/>
    <w:rsid w:val="00A56012"/>
    <w:rsid w:val="00A56819"/>
    <w:rsid w:val="00A577B9"/>
    <w:rsid w:val="00A57E0A"/>
    <w:rsid w:val="00A601F4"/>
    <w:rsid w:val="00A60BB5"/>
    <w:rsid w:val="00A60EED"/>
    <w:rsid w:val="00A61DEC"/>
    <w:rsid w:val="00A628A1"/>
    <w:rsid w:val="00A62A0C"/>
    <w:rsid w:val="00A640BE"/>
    <w:rsid w:val="00A646FF"/>
    <w:rsid w:val="00A64F28"/>
    <w:rsid w:val="00A704EB"/>
    <w:rsid w:val="00A706A1"/>
    <w:rsid w:val="00A715EC"/>
    <w:rsid w:val="00A71635"/>
    <w:rsid w:val="00A71826"/>
    <w:rsid w:val="00A71B77"/>
    <w:rsid w:val="00A71E85"/>
    <w:rsid w:val="00A72AF3"/>
    <w:rsid w:val="00A74287"/>
    <w:rsid w:val="00A74351"/>
    <w:rsid w:val="00A75DC5"/>
    <w:rsid w:val="00A75E55"/>
    <w:rsid w:val="00A76499"/>
    <w:rsid w:val="00A80B0D"/>
    <w:rsid w:val="00A80C67"/>
    <w:rsid w:val="00A80CE5"/>
    <w:rsid w:val="00A80E2E"/>
    <w:rsid w:val="00A811C8"/>
    <w:rsid w:val="00A8189C"/>
    <w:rsid w:val="00A82642"/>
    <w:rsid w:val="00A8278E"/>
    <w:rsid w:val="00A82A97"/>
    <w:rsid w:val="00A837CA"/>
    <w:rsid w:val="00A83CAF"/>
    <w:rsid w:val="00A9131D"/>
    <w:rsid w:val="00A91483"/>
    <w:rsid w:val="00A91537"/>
    <w:rsid w:val="00A91624"/>
    <w:rsid w:val="00A92636"/>
    <w:rsid w:val="00A93381"/>
    <w:rsid w:val="00A93A9B"/>
    <w:rsid w:val="00A93CC3"/>
    <w:rsid w:val="00A949FF"/>
    <w:rsid w:val="00A951F8"/>
    <w:rsid w:val="00A95817"/>
    <w:rsid w:val="00A958B9"/>
    <w:rsid w:val="00A962BD"/>
    <w:rsid w:val="00A9749A"/>
    <w:rsid w:val="00A97ABE"/>
    <w:rsid w:val="00A97CAC"/>
    <w:rsid w:val="00AA0F3F"/>
    <w:rsid w:val="00AA1036"/>
    <w:rsid w:val="00AA103A"/>
    <w:rsid w:val="00AA14B7"/>
    <w:rsid w:val="00AA1AF9"/>
    <w:rsid w:val="00AA1C4A"/>
    <w:rsid w:val="00AA2DBF"/>
    <w:rsid w:val="00AA35C1"/>
    <w:rsid w:val="00AA38ED"/>
    <w:rsid w:val="00AA4033"/>
    <w:rsid w:val="00AA53E3"/>
    <w:rsid w:val="00AA5F43"/>
    <w:rsid w:val="00AA61E8"/>
    <w:rsid w:val="00AA7AD1"/>
    <w:rsid w:val="00AA7FE0"/>
    <w:rsid w:val="00AB0820"/>
    <w:rsid w:val="00AB1922"/>
    <w:rsid w:val="00AB19C0"/>
    <w:rsid w:val="00AB1B63"/>
    <w:rsid w:val="00AB2559"/>
    <w:rsid w:val="00AB27B8"/>
    <w:rsid w:val="00AB2DC5"/>
    <w:rsid w:val="00AB33AF"/>
    <w:rsid w:val="00AB3840"/>
    <w:rsid w:val="00AB466F"/>
    <w:rsid w:val="00AB5E36"/>
    <w:rsid w:val="00AB625C"/>
    <w:rsid w:val="00AB6460"/>
    <w:rsid w:val="00AC00FA"/>
    <w:rsid w:val="00AC18EC"/>
    <w:rsid w:val="00AC1A55"/>
    <w:rsid w:val="00AC2A7D"/>
    <w:rsid w:val="00AC2C0A"/>
    <w:rsid w:val="00AC3027"/>
    <w:rsid w:val="00AC3BE3"/>
    <w:rsid w:val="00AC4FBD"/>
    <w:rsid w:val="00AC58E6"/>
    <w:rsid w:val="00AC591C"/>
    <w:rsid w:val="00AC5BFB"/>
    <w:rsid w:val="00AC5ED7"/>
    <w:rsid w:val="00AC7472"/>
    <w:rsid w:val="00AC767A"/>
    <w:rsid w:val="00AC79DD"/>
    <w:rsid w:val="00AC7BA1"/>
    <w:rsid w:val="00AD1226"/>
    <w:rsid w:val="00AD1380"/>
    <w:rsid w:val="00AD147E"/>
    <w:rsid w:val="00AD2AEA"/>
    <w:rsid w:val="00AD36C5"/>
    <w:rsid w:val="00AD39EE"/>
    <w:rsid w:val="00AD42F9"/>
    <w:rsid w:val="00AD4530"/>
    <w:rsid w:val="00AD4ADB"/>
    <w:rsid w:val="00AD4B54"/>
    <w:rsid w:val="00AD4CA9"/>
    <w:rsid w:val="00AD4D9D"/>
    <w:rsid w:val="00AE0911"/>
    <w:rsid w:val="00AE0DD3"/>
    <w:rsid w:val="00AE1219"/>
    <w:rsid w:val="00AE1461"/>
    <w:rsid w:val="00AE1725"/>
    <w:rsid w:val="00AE1D47"/>
    <w:rsid w:val="00AE2713"/>
    <w:rsid w:val="00AE35E5"/>
    <w:rsid w:val="00AE3FDF"/>
    <w:rsid w:val="00AE54BE"/>
    <w:rsid w:val="00AE5C76"/>
    <w:rsid w:val="00AE6461"/>
    <w:rsid w:val="00AE6BB5"/>
    <w:rsid w:val="00AE7009"/>
    <w:rsid w:val="00AE7843"/>
    <w:rsid w:val="00AF0168"/>
    <w:rsid w:val="00AF06B8"/>
    <w:rsid w:val="00AF11AB"/>
    <w:rsid w:val="00AF11BD"/>
    <w:rsid w:val="00AF126A"/>
    <w:rsid w:val="00AF1515"/>
    <w:rsid w:val="00AF18F8"/>
    <w:rsid w:val="00AF1917"/>
    <w:rsid w:val="00AF1BF6"/>
    <w:rsid w:val="00AF1DB4"/>
    <w:rsid w:val="00AF1F9A"/>
    <w:rsid w:val="00AF3855"/>
    <w:rsid w:val="00AF3F24"/>
    <w:rsid w:val="00AF42A3"/>
    <w:rsid w:val="00AF464C"/>
    <w:rsid w:val="00AF46BC"/>
    <w:rsid w:val="00B008A8"/>
    <w:rsid w:val="00B0161A"/>
    <w:rsid w:val="00B0205B"/>
    <w:rsid w:val="00B02D93"/>
    <w:rsid w:val="00B03003"/>
    <w:rsid w:val="00B035E9"/>
    <w:rsid w:val="00B04085"/>
    <w:rsid w:val="00B0436C"/>
    <w:rsid w:val="00B04C75"/>
    <w:rsid w:val="00B04D39"/>
    <w:rsid w:val="00B0517B"/>
    <w:rsid w:val="00B100D4"/>
    <w:rsid w:val="00B13089"/>
    <w:rsid w:val="00B13E93"/>
    <w:rsid w:val="00B147CB"/>
    <w:rsid w:val="00B14C26"/>
    <w:rsid w:val="00B14F1B"/>
    <w:rsid w:val="00B1555C"/>
    <w:rsid w:val="00B15682"/>
    <w:rsid w:val="00B173D1"/>
    <w:rsid w:val="00B2042E"/>
    <w:rsid w:val="00B20E01"/>
    <w:rsid w:val="00B22F76"/>
    <w:rsid w:val="00B232CC"/>
    <w:rsid w:val="00B23BC4"/>
    <w:rsid w:val="00B23D62"/>
    <w:rsid w:val="00B24091"/>
    <w:rsid w:val="00B247CC"/>
    <w:rsid w:val="00B27611"/>
    <w:rsid w:val="00B310B6"/>
    <w:rsid w:val="00B31729"/>
    <w:rsid w:val="00B32032"/>
    <w:rsid w:val="00B3360C"/>
    <w:rsid w:val="00B3369F"/>
    <w:rsid w:val="00B338B8"/>
    <w:rsid w:val="00B33B91"/>
    <w:rsid w:val="00B33CD2"/>
    <w:rsid w:val="00B34E8C"/>
    <w:rsid w:val="00B35079"/>
    <w:rsid w:val="00B351A7"/>
    <w:rsid w:val="00B3633A"/>
    <w:rsid w:val="00B37104"/>
    <w:rsid w:val="00B37889"/>
    <w:rsid w:val="00B40FC9"/>
    <w:rsid w:val="00B414F5"/>
    <w:rsid w:val="00B41D3B"/>
    <w:rsid w:val="00B432D6"/>
    <w:rsid w:val="00B4408C"/>
    <w:rsid w:val="00B44476"/>
    <w:rsid w:val="00B4541E"/>
    <w:rsid w:val="00B45D75"/>
    <w:rsid w:val="00B4661F"/>
    <w:rsid w:val="00B47175"/>
    <w:rsid w:val="00B47624"/>
    <w:rsid w:val="00B479A1"/>
    <w:rsid w:val="00B47B3E"/>
    <w:rsid w:val="00B5104E"/>
    <w:rsid w:val="00B5139D"/>
    <w:rsid w:val="00B51774"/>
    <w:rsid w:val="00B51DF4"/>
    <w:rsid w:val="00B52329"/>
    <w:rsid w:val="00B52665"/>
    <w:rsid w:val="00B5281D"/>
    <w:rsid w:val="00B52832"/>
    <w:rsid w:val="00B52ACF"/>
    <w:rsid w:val="00B53726"/>
    <w:rsid w:val="00B53A07"/>
    <w:rsid w:val="00B53FC1"/>
    <w:rsid w:val="00B5475C"/>
    <w:rsid w:val="00B55BB7"/>
    <w:rsid w:val="00B561DA"/>
    <w:rsid w:val="00B56474"/>
    <w:rsid w:val="00B56A83"/>
    <w:rsid w:val="00B56DBE"/>
    <w:rsid w:val="00B56FEA"/>
    <w:rsid w:val="00B572E8"/>
    <w:rsid w:val="00B5785F"/>
    <w:rsid w:val="00B61B93"/>
    <w:rsid w:val="00B62991"/>
    <w:rsid w:val="00B62EFE"/>
    <w:rsid w:val="00B63AE2"/>
    <w:rsid w:val="00B63B05"/>
    <w:rsid w:val="00B63FFF"/>
    <w:rsid w:val="00B64333"/>
    <w:rsid w:val="00B662A2"/>
    <w:rsid w:val="00B6638B"/>
    <w:rsid w:val="00B6692A"/>
    <w:rsid w:val="00B70148"/>
    <w:rsid w:val="00B708B0"/>
    <w:rsid w:val="00B70F80"/>
    <w:rsid w:val="00B71029"/>
    <w:rsid w:val="00B71D0C"/>
    <w:rsid w:val="00B72873"/>
    <w:rsid w:val="00B72929"/>
    <w:rsid w:val="00B7472C"/>
    <w:rsid w:val="00B74F74"/>
    <w:rsid w:val="00B7677E"/>
    <w:rsid w:val="00B7754A"/>
    <w:rsid w:val="00B77A86"/>
    <w:rsid w:val="00B77CEF"/>
    <w:rsid w:val="00B77D81"/>
    <w:rsid w:val="00B81003"/>
    <w:rsid w:val="00B82A24"/>
    <w:rsid w:val="00B83C03"/>
    <w:rsid w:val="00B85935"/>
    <w:rsid w:val="00B85AA6"/>
    <w:rsid w:val="00B86C40"/>
    <w:rsid w:val="00B87896"/>
    <w:rsid w:val="00B87F67"/>
    <w:rsid w:val="00B910C4"/>
    <w:rsid w:val="00B91B8F"/>
    <w:rsid w:val="00B91B9C"/>
    <w:rsid w:val="00B9237B"/>
    <w:rsid w:val="00B928E7"/>
    <w:rsid w:val="00B92930"/>
    <w:rsid w:val="00B93BBD"/>
    <w:rsid w:val="00B9400A"/>
    <w:rsid w:val="00B9468B"/>
    <w:rsid w:val="00B947C2"/>
    <w:rsid w:val="00B954E0"/>
    <w:rsid w:val="00B95505"/>
    <w:rsid w:val="00B96F0B"/>
    <w:rsid w:val="00BA045C"/>
    <w:rsid w:val="00BA11D7"/>
    <w:rsid w:val="00BA2B53"/>
    <w:rsid w:val="00BA2F32"/>
    <w:rsid w:val="00BA381F"/>
    <w:rsid w:val="00BA3A32"/>
    <w:rsid w:val="00BA4A1C"/>
    <w:rsid w:val="00BA4A5A"/>
    <w:rsid w:val="00BA4B3F"/>
    <w:rsid w:val="00BA4BDE"/>
    <w:rsid w:val="00BA65BD"/>
    <w:rsid w:val="00BB1A8D"/>
    <w:rsid w:val="00BB1EF2"/>
    <w:rsid w:val="00BB2042"/>
    <w:rsid w:val="00BB2222"/>
    <w:rsid w:val="00BB2C6D"/>
    <w:rsid w:val="00BB2D72"/>
    <w:rsid w:val="00BB2F35"/>
    <w:rsid w:val="00BB2FD8"/>
    <w:rsid w:val="00BB4331"/>
    <w:rsid w:val="00BB4987"/>
    <w:rsid w:val="00BB4CF2"/>
    <w:rsid w:val="00BB54B2"/>
    <w:rsid w:val="00BB7D12"/>
    <w:rsid w:val="00BB7D48"/>
    <w:rsid w:val="00BC1A0F"/>
    <w:rsid w:val="00BC22B6"/>
    <w:rsid w:val="00BC26C4"/>
    <w:rsid w:val="00BC4440"/>
    <w:rsid w:val="00BC5640"/>
    <w:rsid w:val="00BC5783"/>
    <w:rsid w:val="00BC5EC0"/>
    <w:rsid w:val="00BC798D"/>
    <w:rsid w:val="00BD0079"/>
    <w:rsid w:val="00BD0533"/>
    <w:rsid w:val="00BD0B3A"/>
    <w:rsid w:val="00BD15D5"/>
    <w:rsid w:val="00BD2036"/>
    <w:rsid w:val="00BE0315"/>
    <w:rsid w:val="00BE1721"/>
    <w:rsid w:val="00BE1E87"/>
    <w:rsid w:val="00BE3C2A"/>
    <w:rsid w:val="00BE4069"/>
    <w:rsid w:val="00BE5A23"/>
    <w:rsid w:val="00BE7BD4"/>
    <w:rsid w:val="00BF0E54"/>
    <w:rsid w:val="00BF30EB"/>
    <w:rsid w:val="00BF3534"/>
    <w:rsid w:val="00BF359E"/>
    <w:rsid w:val="00BF3CB4"/>
    <w:rsid w:val="00BF4710"/>
    <w:rsid w:val="00BF4C8E"/>
    <w:rsid w:val="00BF58BF"/>
    <w:rsid w:val="00BF6120"/>
    <w:rsid w:val="00BF7F36"/>
    <w:rsid w:val="00C001F4"/>
    <w:rsid w:val="00C00E30"/>
    <w:rsid w:val="00C00F8A"/>
    <w:rsid w:val="00C0141A"/>
    <w:rsid w:val="00C01C9C"/>
    <w:rsid w:val="00C01F8F"/>
    <w:rsid w:val="00C031AD"/>
    <w:rsid w:val="00C04F31"/>
    <w:rsid w:val="00C0586D"/>
    <w:rsid w:val="00C072E7"/>
    <w:rsid w:val="00C077FE"/>
    <w:rsid w:val="00C1012B"/>
    <w:rsid w:val="00C10474"/>
    <w:rsid w:val="00C110E7"/>
    <w:rsid w:val="00C1199C"/>
    <w:rsid w:val="00C1239C"/>
    <w:rsid w:val="00C1273A"/>
    <w:rsid w:val="00C13C8F"/>
    <w:rsid w:val="00C140AB"/>
    <w:rsid w:val="00C140AF"/>
    <w:rsid w:val="00C1420F"/>
    <w:rsid w:val="00C146A0"/>
    <w:rsid w:val="00C14A0E"/>
    <w:rsid w:val="00C15242"/>
    <w:rsid w:val="00C16B09"/>
    <w:rsid w:val="00C1726C"/>
    <w:rsid w:val="00C177E9"/>
    <w:rsid w:val="00C216A7"/>
    <w:rsid w:val="00C21F62"/>
    <w:rsid w:val="00C21FE7"/>
    <w:rsid w:val="00C221AB"/>
    <w:rsid w:val="00C22222"/>
    <w:rsid w:val="00C244E5"/>
    <w:rsid w:val="00C24563"/>
    <w:rsid w:val="00C24C10"/>
    <w:rsid w:val="00C25831"/>
    <w:rsid w:val="00C25F57"/>
    <w:rsid w:val="00C262DE"/>
    <w:rsid w:val="00C26F46"/>
    <w:rsid w:val="00C31F45"/>
    <w:rsid w:val="00C32709"/>
    <w:rsid w:val="00C33DB6"/>
    <w:rsid w:val="00C34276"/>
    <w:rsid w:val="00C34E1E"/>
    <w:rsid w:val="00C369ED"/>
    <w:rsid w:val="00C373E5"/>
    <w:rsid w:val="00C40653"/>
    <w:rsid w:val="00C40AB4"/>
    <w:rsid w:val="00C40FF6"/>
    <w:rsid w:val="00C41517"/>
    <w:rsid w:val="00C41756"/>
    <w:rsid w:val="00C41BE0"/>
    <w:rsid w:val="00C41F9D"/>
    <w:rsid w:val="00C4260D"/>
    <w:rsid w:val="00C4298A"/>
    <w:rsid w:val="00C42D76"/>
    <w:rsid w:val="00C442B8"/>
    <w:rsid w:val="00C45BCA"/>
    <w:rsid w:val="00C45DA1"/>
    <w:rsid w:val="00C46E87"/>
    <w:rsid w:val="00C518BD"/>
    <w:rsid w:val="00C51D27"/>
    <w:rsid w:val="00C52498"/>
    <w:rsid w:val="00C53950"/>
    <w:rsid w:val="00C53B09"/>
    <w:rsid w:val="00C54C83"/>
    <w:rsid w:val="00C54D64"/>
    <w:rsid w:val="00C55D54"/>
    <w:rsid w:val="00C571AA"/>
    <w:rsid w:val="00C579F9"/>
    <w:rsid w:val="00C60425"/>
    <w:rsid w:val="00C6053B"/>
    <w:rsid w:val="00C60766"/>
    <w:rsid w:val="00C60A12"/>
    <w:rsid w:val="00C619DA"/>
    <w:rsid w:val="00C62EF4"/>
    <w:rsid w:val="00C63813"/>
    <w:rsid w:val="00C64633"/>
    <w:rsid w:val="00C64843"/>
    <w:rsid w:val="00C64BEE"/>
    <w:rsid w:val="00C6640B"/>
    <w:rsid w:val="00C668D7"/>
    <w:rsid w:val="00C678AE"/>
    <w:rsid w:val="00C71E54"/>
    <w:rsid w:val="00C72437"/>
    <w:rsid w:val="00C727E6"/>
    <w:rsid w:val="00C72F22"/>
    <w:rsid w:val="00C73B25"/>
    <w:rsid w:val="00C73B39"/>
    <w:rsid w:val="00C74354"/>
    <w:rsid w:val="00C747F8"/>
    <w:rsid w:val="00C751C2"/>
    <w:rsid w:val="00C75330"/>
    <w:rsid w:val="00C75BBF"/>
    <w:rsid w:val="00C7657F"/>
    <w:rsid w:val="00C765A7"/>
    <w:rsid w:val="00C76C09"/>
    <w:rsid w:val="00C77298"/>
    <w:rsid w:val="00C77D52"/>
    <w:rsid w:val="00C804B2"/>
    <w:rsid w:val="00C80C28"/>
    <w:rsid w:val="00C80EDD"/>
    <w:rsid w:val="00C810E3"/>
    <w:rsid w:val="00C8132F"/>
    <w:rsid w:val="00C81C9A"/>
    <w:rsid w:val="00C81FB8"/>
    <w:rsid w:val="00C827F1"/>
    <w:rsid w:val="00C85FD1"/>
    <w:rsid w:val="00C8674D"/>
    <w:rsid w:val="00C87004"/>
    <w:rsid w:val="00C87101"/>
    <w:rsid w:val="00C87D72"/>
    <w:rsid w:val="00C903CE"/>
    <w:rsid w:val="00C9161D"/>
    <w:rsid w:val="00C91E6F"/>
    <w:rsid w:val="00C92124"/>
    <w:rsid w:val="00C92C5C"/>
    <w:rsid w:val="00C9388F"/>
    <w:rsid w:val="00C939F5"/>
    <w:rsid w:val="00C93ED8"/>
    <w:rsid w:val="00C94451"/>
    <w:rsid w:val="00C94869"/>
    <w:rsid w:val="00C94C62"/>
    <w:rsid w:val="00C94CD7"/>
    <w:rsid w:val="00C96044"/>
    <w:rsid w:val="00C970CF"/>
    <w:rsid w:val="00CA0077"/>
    <w:rsid w:val="00CA09A5"/>
    <w:rsid w:val="00CA0D0D"/>
    <w:rsid w:val="00CA0F6C"/>
    <w:rsid w:val="00CA1000"/>
    <w:rsid w:val="00CA1950"/>
    <w:rsid w:val="00CA4284"/>
    <w:rsid w:val="00CA4977"/>
    <w:rsid w:val="00CA554C"/>
    <w:rsid w:val="00CA5760"/>
    <w:rsid w:val="00CA638B"/>
    <w:rsid w:val="00CA73C1"/>
    <w:rsid w:val="00CA7B4B"/>
    <w:rsid w:val="00CB0A0E"/>
    <w:rsid w:val="00CB0AFC"/>
    <w:rsid w:val="00CB0B76"/>
    <w:rsid w:val="00CB0E3D"/>
    <w:rsid w:val="00CB3D84"/>
    <w:rsid w:val="00CB4842"/>
    <w:rsid w:val="00CB4BF4"/>
    <w:rsid w:val="00CB6565"/>
    <w:rsid w:val="00CB65BA"/>
    <w:rsid w:val="00CB727A"/>
    <w:rsid w:val="00CB776B"/>
    <w:rsid w:val="00CC08AC"/>
    <w:rsid w:val="00CC0B14"/>
    <w:rsid w:val="00CC1B1B"/>
    <w:rsid w:val="00CC35EA"/>
    <w:rsid w:val="00CC49CB"/>
    <w:rsid w:val="00CC6EBB"/>
    <w:rsid w:val="00CC7537"/>
    <w:rsid w:val="00CD025F"/>
    <w:rsid w:val="00CD0D4D"/>
    <w:rsid w:val="00CD3546"/>
    <w:rsid w:val="00CD41BE"/>
    <w:rsid w:val="00CD4D1B"/>
    <w:rsid w:val="00CD4D59"/>
    <w:rsid w:val="00CD5E60"/>
    <w:rsid w:val="00CD6005"/>
    <w:rsid w:val="00CD68D3"/>
    <w:rsid w:val="00CD715C"/>
    <w:rsid w:val="00CD71AC"/>
    <w:rsid w:val="00CD7569"/>
    <w:rsid w:val="00CD7CD4"/>
    <w:rsid w:val="00CD7D18"/>
    <w:rsid w:val="00CE0C4B"/>
    <w:rsid w:val="00CE1D02"/>
    <w:rsid w:val="00CE1E85"/>
    <w:rsid w:val="00CE2E9A"/>
    <w:rsid w:val="00CE2FFC"/>
    <w:rsid w:val="00CE3E94"/>
    <w:rsid w:val="00CE42C8"/>
    <w:rsid w:val="00CE44FA"/>
    <w:rsid w:val="00CE581E"/>
    <w:rsid w:val="00CE5C00"/>
    <w:rsid w:val="00CE642A"/>
    <w:rsid w:val="00CE64C2"/>
    <w:rsid w:val="00CE680C"/>
    <w:rsid w:val="00CE71B8"/>
    <w:rsid w:val="00CE71E6"/>
    <w:rsid w:val="00CE75C7"/>
    <w:rsid w:val="00CF1848"/>
    <w:rsid w:val="00CF21AA"/>
    <w:rsid w:val="00CF3479"/>
    <w:rsid w:val="00CF3CAC"/>
    <w:rsid w:val="00CF3DD0"/>
    <w:rsid w:val="00CF4B58"/>
    <w:rsid w:val="00CF4E4C"/>
    <w:rsid w:val="00CF5AA1"/>
    <w:rsid w:val="00CF5CCF"/>
    <w:rsid w:val="00CF663A"/>
    <w:rsid w:val="00CF6746"/>
    <w:rsid w:val="00CF74E1"/>
    <w:rsid w:val="00CF796E"/>
    <w:rsid w:val="00CF7C1C"/>
    <w:rsid w:val="00D00C5C"/>
    <w:rsid w:val="00D01954"/>
    <w:rsid w:val="00D01B20"/>
    <w:rsid w:val="00D02435"/>
    <w:rsid w:val="00D03D29"/>
    <w:rsid w:val="00D06176"/>
    <w:rsid w:val="00D061DF"/>
    <w:rsid w:val="00D06510"/>
    <w:rsid w:val="00D07050"/>
    <w:rsid w:val="00D07A62"/>
    <w:rsid w:val="00D101DE"/>
    <w:rsid w:val="00D10D60"/>
    <w:rsid w:val="00D112C6"/>
    <w:rsid w:val="00D12044"/>
    <w:rsid w:val="00D12067"/>
    <w:rsid w:val="00D12232"/>
    <w:rsid w:val="00D12347"/>
    <w:rsid w:val="00D12980"/>
    <w:rsid w:val="00D130D8"/>
    <w:rsid w:val="00D14785"/>
    <w:rsid w:val="00D14A9B"/>
    <w:rsid w:val="00D158A8"/>
    <w:rsid w:val="00D161AA"/>
    <w:rsid w:val="00D16A11"/>
    <w:rsid w:val="00D210A1"/>
    <w:rsid w:val="00D21FE3"/>
    <w:rsid w:val="00D2253B"/>
    <w:rsid w:val="00D22802"/>
    <w:rsid w:val="00D23019"/>
    <w:rsid w:val="00D2324F"/>
    <w:rsid w:val="00D23CEF"/>
    <w:rsid w:val="00D24094"/>
    <w:rsid w:val="00D25393"/>
    <w:rsid w:val="00D257AB"/>
    <w:rsid w:val="00D25AB9"/>
    <w:rsid w:val="00D26AC0"/>
    <w:rsid w:val="00D27123"/>
    <w:rsid w:val="00D27958"/>
    <w:rsid w:val="00D27A7C"/>
    <w:rsid w:val="00D31948"/>
    <w:rsid w:val="00D32E03"/>
    <w:rsid w:val="00D34184"/>
    <w:rsid w:val="00D34849"/>
    <w:rsid w:val="00D35F32"/>
    <w:rsid w:val="00D3654E"/>
    <w:rsid w:val="00D3704F"/>
    <w:rsid w:val="00D379F8"/>
    <w:rsid w:val="00D37B60"/>
    <w:rsid w:val="00D37C3C"/>
    <w:rsid w:val="00D40B1C"/>
    <w:rsid w:val="00D41A09"/>
    <w:rsid w:val="00D4202D"/>
    <w:rsid w:val="00D423CC"/>
    <w:rsid w:val="00D440FC"/>
    <w:rsid w:val="00D4448A"/>
    <w:rsid w:val="00D44B36"/>
    <w:rsid w:val="00D459CB"/>
    <w:rsid w:val="00D45A1B"/>
    <w:rsid w:val="00D45C24"/>
    <w:rsid w:val="00D45CF4"/>
    <w:rsid w:val="00D46469"/>
    <w:rsid w:val="00D47C59"/>
    <w:rsid w:val="00D47D3E"/>
    <w:rsid w:val="00D47FC1"/>
    <w:rsid w:val="00D47FFC"/>
    <w:rsid w:val="00D52D3E"/>
    <w:rsid w:val="00D52D59"/>
    <w:rsid w:val="00D5418F"/>
    <w:rsid w:val="00D54DE3"/>
    <w:rsid w:val="00D55362"/>
    <w:rsid w:val="00D5592F"/>
    <w:rsid w:val="00D55BF0"/>
    <w:rsid w:val="00D564AE"/>
    <w:rsid w:val="00D5657D"/>
    <w:rsid w:val="00D56A8C"/>
    <w:rsid w:val="00D607A5"/>
    <w:rsid w:val="00D60B2B"/>
    <w:rsid w:val="00D611D3"/>
    <w:rsid w:val="00D62C1C"/>
    <w:rsid w:val="00D62DA4"/>
    <w:rsid w:val="00D63314"/>
    <w:rsid w:val="00D634E1"/>
    <w:rsid w:val="00D63F60"/>
    <w:rsid w:val="00D64057"/>
    <w:rsid w:val="00D64ED2"/>
    <w:rsid w:val="00D658FC"/>
    <w:rsid w:val="00D67B31"/>
    <w:rsid w:val="00D67D4A"/>
    <w:rsid w:val="00D704D9"/>
    <w:rsid w:val="00D713A1"/>
    <w:rsid w:val="00D71590"/>
    <w:rsid w:val="00D7369F"/>
    <w:rsid w:val="00D7399D"/>
    <w:rsid w:val="00D73AA7"/>
    <w:rsid w:val="00D73D57"/>
    <w:rsid w:val="00D76A18"/>
    <w:rsid w:val="00D7792D"/>
    <w:rsid w:val="00D8096E"/>
    <w:rsid w:val="00D81DBC"/>
    <w:rsid w:val="00D82165"/>
    <w:rsid w:val="00D8280E"/>
    <w:rsid w:val="00D83357"/>
    <w:rsid w:val="00D84159"/>
    <w:rsid w:val="00D847ED"/>
    <w:rsid w:val="00D84C03"/>
    <w:rsid w:val="00D84D4C"/>
    <w:rsid w:val="00D84DEB"/>
    <w:rsid w:val="00D84FAD"/>
    <w:rsid w:val="00D86ABA"/>
    <w:rsid w:val="00D86EFF"/>
    <w:rsid w:val="00D8745B"/>
    <w:rsid w:val="00D8754B"/>
    <w:rsid w:val="00D87AF3"/>
    <w:rsid w:val="00D906AE"/>
    <w:rsid w:val="00D90A58"/>
    <w:rsid w:val="00D91F32"/>
    <w:rsid w:val="00D94727"/>
    <w:rsid w:val="00D94884"/>
    <w:rsid w:val="00D9491C"/>
    <w:rsid w:val="00D950B5"/>
    <w:rsid w:val="00D97B68"/>
    <w:rsid w:val="00DA2692"/>
    <w:rsid w:val="00DA4097"/>
    <w:rsid w:val="00DA4303"/>
    <w:rsid w:val="00DB0DC2"/>
    <w:rsid w:val="00DB10B5"/>
    <w:rsid w:val="00DB1C6C"/>
    <w:rsid w:val="00DB1CB4"/>
    <w:rsid w:val="00DB26CA"/>
    <w:rsid w:val="00DB3909"/>
    <w:rsid w:val="00DB3AA7"/>
    <w:rsid w:val="00DB53DB"/>
    <w:rsid w:val="00DB6B53"/>
    <w:rsid w:val="00DB6BBD"/>
    <w:rsid w:val="00DC0E93"/>
    <w:rsid w:val="00DC1E9C"/>
    <w:rsid w:val="00DC220B"/>
    <w:rsid w:val="00DC25F9"/>
    <w:rsid w:val="00DC489C"/>
    <w:rsid w:val="00DC4E96"/>
    <w:rsid w:val="00DC5D4F"/>
    <w:rsid w:val="00DC5DF1"/>
    <w:rsid w:val="00DC5E81"/>
    <w:rsid w:val="00DC6711"/>
    <w:rsid w:val="00DC7BB3"/>
    <w:rsid w:val="00DD0300"/>
    <w:rsid w:val="00DD0622"/>
    <w:rsid w:val="00DD08D8"/>
    <w:rsid w:val="00DD118C"/>
    <w:rsid w:val="00DD12FD"/>
    <w:rsid w:val="00DD1AFD"/>
    <w:rsid w:val="00DD1B1F"/>
    <w:rsid w:val="00DD1EDC"/>
    <w:rsid w:val="00DD2D32"/>
    <w:rsid w:val="00DD33C4"/>
    <w:rsid w:val="00DD41A0"/>
    <w:rsid w:val="00DD49F2"/>
    <w:rsid w:val="00DD5974"/>
    <w:rsid w:val="00DD5B2F"/>
    <w:rsid w:val="00DD6259"/>
    <w:rsid w:val="00DD649D"/>
    <w:rsid w:val="00DD69D6"/>
    <w:rsid w:val="00DD7AFB"/>
    <w:rsid w:val="00DE0931"/>
    <w:rsid w:val="00DE09DD"/>
    <w:rsid w:val="00DE1FD6"/>
    <w:rsid w:val="00DE2E8D"/>
    <w:rsid w:val="00DE31F6"/>
    <w:rsid w:val="00DE41AB"/>
    <w:rsid w:val="00DE465E"/>
    <w:rsid w:val="00DE64A5"/>
    <w:rsid w:val="00DE660A"/>
    <w:rsid w:val="00DF036E"/>
    <w:rsid w:val="00DF0480"/>
    <w:rsid w:val="00DF145A"/>
    <w:rsid w:val="00DF184E"/>
    <w:rsid w:val="00DF1C57"/>
    <w:rsid w:val="00DF2FC5"/>
    <w:rsid w:val="00DF34C1"/>
    <w:rsid w:val="00DF3BF5"/>
    <w:rsid w:val="00DF46B2"/>
    <w:rsid w:val="00DF4C70"/>
    <w:rsid w:val="00DF5292"/>
    <w:rsid w:val="00DF5495"/>
    <w:rsid w:val="00DF5C78"/>
    <w:rsid w:val="00DF61C0"/>
    <w:rsid w:val="00E00E34"/>
    <w:rsid w:val="00E03272"/>
    <w:rsid w:val="00E03D0A"/>
    <w:rsid w:val="00E04454"/>
    <w:rsid w:val="00E047A8"/>
    <w:rsid w:val="00E04BE7"/>
    <w:rsid w:val="00E069D0"/>
    <w:rsid w:val="00E118AB"/>
    <w:rsid w:val="00E11CE3"/>
    <w:rsid w:val="00E11FA5"/>
    <w:rsid w:val="00E12492"/>
    <w:rsid w:val="00E14119"/>
    <w:rsid w:val="00E145E8"/>
    <w:rsid w:val="00E14638"/>
    <w:rsid w:val="00E14EC5"/>
    <w:rsid w:val="00E16C3A"/>
    <w:rsid w:val="00E173E7"/>
    <w:rsid w:val="00E20288"/>
    <w:rsid w:val="00E214B5"/>
    <w:rsid w:val="00E22922"/>
    <w:rsid w:val="00E23806"/>
    <w:rsid w:val="00E23F29"/>
    <w:rsid w:val="00E24313"/>
    <w:rsid w:val="00E245B9"/>
    <w:rsid w:val="00E25104"/>
    <w:rsid w:val="00E253B6"/>
    <w:rsid w:val="00E25521"/>
    <w:rsid w:val="00E25779"/>
    <w:rsid w:val="00E25B0A"/>
    <w:rsid w:val="00E2605A"/>
    <w:rsid w:val="00E2655F"/>
    <w:rsid w:val="00E267D8"/>
    <w:rsid w:val="00E27915"/>
    <w:rsid w:val="00E27E00"/>
    <w:rsid w:val="00E30B12"/>
    <w:rsid w:val="00E30D25"/>
    <w:rsid w:val="00E30EF8"/>
    <w:rsid w:val="00E323D6"/>
    <w:rsid w:val="00E32EC8"/>
    <w:rsid w:val="00E34EE8"/>
    <w:rsid w:val="00E354E6"/>
    <w:rsid w:val="00E35BA4"/>
    <w:rsid w:val="00E37005"/>
    <w:rsid w:val="00E37046"/>
    <w:rsid w:val="00E37328"/>
    <w:rsid w:val="00E3745C"/>
    <w:rsid w:val="00E37662"/>
    <w:rsid w:val="00E3782E"/>
    <w:rsid w:val="00E4089A"/>
    <w:rsid w:val="00E40A14"/>
    <w:rsid w:val="00E40C0D"/>
    <w:rsid w:val="00E42330"/>
    <w:rsid w:val="00E4234A"/>
    <w:rsid w:val="00E42EE2"/>
    <w:rsid w:val="00E431B9"/>
    <w:rsid w:val="00E431DC"/>
    <w:rsid w:val="00E43551"/>
    <w:rsid w:val="00E45144"/>
    <w:rsid w:val="00E45374"/>
    <w:rsid w:val="00E466D3"/>
    <w:rsid w:val="00E5035F"/>
    <w:rsid w:val="00E50731"/>
    <w:rsid w:val="00E51AAA"/>
    <w:rsid w:val="00E54398"/>
    <w:rsid w:val="00E54405"/>
    <w:rsid w:val="00E56078"/>
    <w:rsid w:val="00E56958"/>
    <w:rsid w:val="00E60843"/>
    <w:rsid w:val="00E608B9"/>
    <w:rsid w:val="00E62FE7"/>
    <w:rsid w:val="00E630F6"/>
    <w:rsid w:val="00E63222"/>
    <w:rsid w:val="00E641E7"/>
    <w:rsid w:val="00E64623"/>
    <w:rsid w:val="00E64F8D"/>
    <w:rsid w:val="00E651AF"/>
    <w:rsid w:val="00E6526F"/>
    <w:rsid w:val="00E65955"/>
    <w:rsid w:val="00E66235"/>
    <w:rsid w:val="00E66B25"/>
    <w:rsid w:val="00E71F3F"/>
    <w:rsid w:val="00E722F0"/>
    <w:rsid w:val="00E72300"/>
    <w:rsid w:val="00E72491"/>
    <w:rsid w:val="00E724D9"/>
    <w:rsid w:val="00E72D75"/>
    <w:rsid w:val="00E73BBA"/>
    <w:rsid w:val="00E7597E"/>
    <w:rsid w:val="00E76AEF"/>
    <w:rsid w:val="00E76BB8"/>
    <w:rsid w:val="00E77D68"/>
    <w:rsid w:val="00E8054B"/>
    <w:rsid w:val="00E80EAE"/>
    <w:rsid w:val="00E814F8"/>
    <w:rsid w:val="00E81A07"/>
    <w:rsid w:val="00E833D8"/>
    <w:rsid w:val="00E83468"/>
    <w:rsid w:val="00E8379F"/>
    <w:rsid w:val="00E83C24"/>
    <w:rsid w:val="00E842AF"/>
    <w:rsid w:val="00E84E47"/>
    <w:rsid w:val="00E85068"/>
    <w:rsid w:val="00E85698"/>
    <w:rsid w:val="00E85AE3"/>
    <w:rsid w:val="00E86B62"/>
    <w:rsid w:val="00E873EE"/>
    <w:rsid w:val="00E87C19"/>
    <w:rsid w:val="00E907C1"/>
    <w:rsid w:val="00E90933"/>
    <w:rsid w:val="00E9198B"/>
    <w:rsid w:val="00E91BDB"/>
    <w:rsid w:val="00E924A7"/>
    <w:rsid w:val="00E92630"/>
    <w:rsid w:val="00E92753"/>
    <w:rsid w:val="00E9296E"/>
    <w:rsid w:val="00E9318D"/>
    <w:rsid w:val="00E94720"/>
    <w:rsid w:val="00E9481E"/>
    <w:rsid w:val="00E9522F"/>
    <w:rsid w:val="00E9571F"/>
    <w:rsid w:val="00E96B90"/>
    <w:rsid w:val="00E97ACB"/>
    <w:rsid w:val="00E97F99"/>
    <w:rsid w:val="00EA271D"/>
    <w:rsid w:val="00EA2EA4"/>
    <w:rsid w:val="00EA31C8"/>
    <w:rsid w:val="00EA36C8"/>
    <w:rsid w:val="00EA37E9"/>
    <w:rsid w:val="00EA464A"/>
    <w:rsid w:val="00EA728E"/>
    <w:rsid w:val="00EA72D2"/>
    <w:rsid w:val="00EA7D02"/>
    <w:rsid w:val="00EA7F56"/>
    <w:rsid w:val="00EB00D8"/>
    <w:rsid w:val="00EB1B35"/>
    <w:rsid w:val="00EB268F"/>
    <w:rsid w:val="00EB381A"/>
    <w:rsid w:val="00EB4A30"/>
    <w:rsid w:val="00EB563C"/>
    <w:rsid w:val="00EB6784"/>
    <w:rsid w:val="00EB6818"/>
    <w:rsid w:val="00EB6BAE"/>
    <w:rsid w:val="00EB6D87"/>
    <w:rsid w:val="00EB7324"/>
    <w:rsid w:val="00EB77C0"/>
    <w:rsid w:val="00EC033E"/>
    <w:rsid w:val="00EC0370"/>
    <w:rsid w:val="00EC1393"/>
    <w:rsid w:val="00EC1B27"/>
    <w:rsid w:val="00EC2508"/>
    <w:rsid w:val="00EC2F1B"/>
    <w:rsid w:val="00EC3043"/>
    <w:rsid w:val="00EC4CCB"/>
    <w:rsid w:val="00EC53E4"/>
    <w:rsid w:val="00EC7B01"/>
    <w:rsid w:val="00ED0849"/>
    <w:rsid w:val="00ED0DF1"/>
    <w:rsid w:val="00ED1973"/>
    <w:rsid w:val="00ED1AC9"/>
    <w:rsid w:val="00ED1FA6"/>
    <w:rsid w:val="00ED2A51"/>
    <w:rsid w:val="00ED34A3"/>
    <w:rsid w:val="00ED3A9A"/>
    <w:rsid w:val="00ED3B71"/>
    <w:rsid w:val="00ED3D29"/>
    <w:rsid w:val="00ED4239"/>
    <w:rsid w:val="00ED4D36"/>
    <w:rsid w:val="00ED4ECA"/>
    <w:rsid w:val="00ED51E0"/>
    <w:rsid w:val="00ED52C2"/>
    <w:rsid w:val="00ED553D"/>
    <w:rsid w:val="00ED5AFA"/>
    <w:rsid w:val="00EE00D6"/>
    <w:rsid w:val="00EE07DB"/>
    <w:rsid w:val="00EE127B"/>
    <w:rsid w:val="00EE146B"/>
    <w:rsid w:val="00EE195C"/>
    <w:rsid w:val="00EE2618"/>
    <w:rsid w:val="00EE43C7"/>
    <w:rsid w:val="00EE4669"/>
    <w:rsid w:val="00EE4A81"/>
    <w:rsid w:val="00EE530F"/>
    <w:rsid w:val="00EE5619"/>
    <w:rsid w:val="00EE5FD0"/>
    <w:rsid w:val="00EE6366"/>
    <w:rsid w:val="00EE6697"/>
    <w:rsid w:val="00EE7740"/>
    <w:rsid w:val="00EF0DFC"/>
    <w:rsid w:val="00EF15A7"/>
    <w:rsid w:val="00EF1F7D"/>
    <w:rsid w:val="00EF2E4D"/>
    <w:rsid w:val="00EF350E"/>
    <w:rsid w:val="00EF3EBB"/>
    <w:rsid w:val="00EF41BF"/>
    <w:rsid w:val="00EF4554"/>
    <w:rsid w:val="00EF482C"/>
    <w:rsid w:val="00EF4C23"/>
    <w:rsid w:val="00EF502C"/>
    <w:rsid w:val="00EF5664"/>
    <w:rsid w:val="00EF5787"/>
    <w:rsid w:val="00EF5DF2"/>
    <w:rsid w:val="00EF6437"/>
    <w:rsid w:val="00EF6A29"/>
    <w:rsid w:val="00EF6E0A"/>
    <w:rsid w:val="00EF7DA4"/>
    <w:rsid w:val="00F0077D"/>
    <w:rsid w:val="00F01DD3"/>
    <w:rsid w:val="00F023B7"/>
    <w:rsid w:val="00F03932"/>
    <w:rsid w:val="00F03F8D"/>
    <w:rsid w:val="00F04630"/>
    <w:rsid w:val="00F05231"/>
    <w:rsid w:val="00F06608"/>
    <w:rsid w:val="00F06D01"/>
    <w:rsid w:val="00F07BB8"/>
    <w:rsid w:val="00F10EFB"/>
    <w:rsid w:val="00F12660"/>
    <w:rsid w:val="00F12676"/>
    <w:rsid w:val="00F1268C"/>
    <w:rsid w:val="00F13215"/>
    <w:rsid w:val="00F132E5"/>
    <w:rsid w:val="00F14EBA"/>
    <w:rsid w:val="00F15D2A"/>
    <w:rsid w:val="00F15DB5"/>
    <w:rsid w:val="00F16155"/>
    <w:rsid w:val="00F17BA0"/>
    <w:rsid w:val="00F20607"/>
    <w:rsid w:val="00F216F7"/>
    <w:rsid w:val="00F21BF4"/>
    <w:rsid w:val="00F21C86"/>
    <w:rsid w:val="00F21D68"/>
    <w:rsid w:val="00F23206"/>
    <w:rsid w:val="00F233E3"/>
    <w:rsid w:val="00F23AF9"/>
    <w:rsid w:val="00F23D5D"/>
    <w:rsid w:val="00F2419A"/>
    <w:rsid w:val="00F24E8F"/>
    <w:rsid w:val="00F27410"/>
    <w:rsid w:val="00F303D7"/>
    <w:rsid w:val="00F310CC"/>
    <w:rsid w:val="00F3115A"/>
    <w:rsid w:val="00F315E0"/>
    <w:rsid w:val="00F31CEA"/>
    <w:rsid w:val="00F33395"/>
    <w:rsid w:val="00F3449E"/>
    <w:rsid w:val="00F364AB"/>
    <w:rsid w:val="00F36AF6"/>
    <w:rsid w:val="00F36C22"/>
    <w:rsid w:val="00F3755E"/>
    <w:rsid w:val="00F37BF2"/>
    <w:rsid w:val="00F37D13"/>
    <w:rsid w:val="00F4085A"/>
    <w:rsid w:val="00F41C33"/>
    <w:rsid w:val="00F424C4"/>
    <w:rsid w:val="00F424CA"/>
    <w:rsid w:val="00F439BC"/>
    <w:rsid w:val="00F43F47"/>
    <w:rsid w:val="00F44073"/>
    <w:rsid w:val="00F446EC"/>
    <w:rsid w:val="00F4495C"/>
    <w:rsid w:val="00F45259"/>
    <w:rsid w:val="00F452E4"/>
    <w:rsid w:val="00F45556"/>
    <w:rsid w:val="00F45B2D"/>
    <w:rsid w:val="00F45C0A"/>
    <w:rsid w:val="00F4607D"/>
    <w:rsid w:val="00F46DA9"/>
    <w:rsid w:val="00F4748C"/>
    <w:rsid w:val="00F50174"/>
    <w:rsid w:val="00F50256"/>
    <w:rsid w:val="00F520E3"/>
    <w:rsid w:val="00F525DE"/>
    <w:rsid w:val="00F532B8"/>
    <w:rsid w:val="00F5391D"/>
    <w:rsid w:val="00F53C99"/>
    <w:rsid w:val="00F53E2F"/>
    <w:rsid w:val="00F54783"/>
    <w:rsid w:val="00F54853"/>
    <w:rsid w:val="00F54E18"/>
    <w:rsid w:val="00F55C23"/>
    <w:rsid w:val="00F56E62"/>
    <w:rsid w:val="00F5754E"/>
    <w:rsid w:val="00F57C77"/>
    <w:rsid w:val="00F57D94"/>
    <w:rsid w:val="00F608EA"/>
    <w:rsid w:val="00F61526"/>
    <w:rsid w:val="00F62881"/>
    <w:rsid w:val="00F62CAB"/>
    <w:rsid w:val="00F64C3F"/>
    <w:rsid w:val="00F6561B"/>
    <w:rsid w:val="00F65B56"/>
    <w:rsid w:val="00F65F13"/>
    <w:rsid w:val="00F661E2"/>
    <w:rsid w:val="00F667ED"/>
    <w:rsid w:val="00F67013"/>
    <w:rsid w:val="00F67484"/>
    <w:rsid w:val="00F674E5"/>
    <w:rsid w:val="00F67648"/>
    <w:rsid w:val="00F70505"/>
    <w:rsid w:val="00F7223F"/>
    <w:rsid w:val="00F74DF9"/>
    <w:rsid w:val="00F7583E"/>
    <w:rsid w:val="00F76634"/>
    <w:rsid w:val="00F76CA0"/>
    <w:rsid w:val="00F773A5"/>
    <w:rsid w:val="00F80A86"/>
    <w:rsid w:val="00F8105B"/>
    <w:rsid w:val="00F82932"/>
    <w:rsid w:val="00F82C81"/>
    <w:rsid w:val="00F82F50"/>
    <w:rsid w:val="00F832E2"/>
    <w:rsid w:val="00F83B93"/>
    <w:rsid w:val="00F85601"/>
    <w:rsid w:val="00F86620"/>
    <w:rsid w:val="00F86A2E"/>
    <w:rsid w:val="00F86BB1"/>
    <w:rsid w:val="00F87CBA"/>
    <w:rsid w:val="00F90397"/>
    <w:rsid w:val="00F905CA"/>
    <w:rsid w:val="00F906B9"/>
    <w:rsid w:val="00F90C0E"/>
    <w:rsid w:val="00F91248"/>
    <w:rsid w:val="00F91457"/>
    <w:rsid w:val="00F936CA"/>
    <w:rsid w:val="00F946A6"/>
    <w:rsid w:val="00F946AB"/>
    <w:rsid w:val="00F94774"/>
    <w:rsid w:val="00F94C5B"/>
    <w:rsid w:val="00F95190"/>
    <w:rsid w:val="00F951DF"/>
    <w:rsid w:val="00F959B4"/>
    <w:rsid w:val="00F96179"/>
    <w:rsid w:val="00F96443"/>
    <w:rsid w:val="00F96BD6"/>
    <w:rsid w:val="00F977DC"/>
    <w:rsid w:val="00F97AFE"/>
    <w:rsid w:val="00FA0148"/>
    <w:rsid w:val="00FA1925"/>
    <w:rsid w:val="00FA1934"/>
    <w:rsid w:val="00FA2041"/>
    <w:rsid w:val="00FA3085"/>
    <w:rsid w:val="00FA36C8"/>
    <w:rsid w:val="00FA3DEE"/>
    <w:rsid w:val="00FA3E21"/>
    <w:rsid w:val="00FA3EDF"/>
    <w:rsid w:val="00FA5306"/>
    <w:rsid w:val="00FA5586"/>
    <w:rsid w:val="00FA7906"/>
    <w:rsid w:val="00FB0746"/>
    <w:rsid w:val="00FB22A8"/>
    <w:rsid w:val="00FB29C8"/>
    <w:rsid w:val="00FB2F4F"/>
    <w:rsid w:val="00FB3284"/>
    <w:rsid w:val="00FB391C"/>
    <w:rsid w:val="00FB4366"/>
    <w:rsid w:val="00FB5450"/>
    <w:rsid w:val="00FB5A60"/>
    <w:rsid w:val="00FB5DF9"/>
    <w:rsid w:val="00FB646C"/>
    <w:rsid w:val="00FB6677"/>
    <w:rsid w:val="00FB6CEE"/>
    <w:rsid w:val="00FB77D8"/>
    <w:rsid w:val="00FB7CB4"/>
    <w:rsid w:val="00FC0A3E"/>
    <w:rsid w:val="00FC0F43"/>
    <w:rsid w:val="00FC2241"/>
    <w:rsid w:val="00FC2C36"/>
    <w:rsid w:val="00FC3310"/>
    <w:rsid w:val="00FC36D0"/>
    <w:rsid w:val="00FC493E"/>
    <w:rsid w:val="00FC502A"/>
    <w:rsid w:val="00FC53DB"/>
    <w:rsid w:val="00FC573D"/>
    <w:rsid w:val="00FC5A8B"/>
    <w:rsid w:val="00FC6126"/>
    <w:rsid w:val="00FC6ECC"/>
    <w:rsid w:val="00FC6F9C"/>
    <w:rsid w:val="00FC7BD5"/>
    <w:rsid w:val="00FC7C19"/>
    <w:rsid w:val="00FD0E52"/>
    <w:rsid w:val="00FD1872"/>
    <w:rsid w:val="00FD2CAE"/>
    <w:rsid w:val="00FD2EAC"/>
    <w:rsid w:val="00FD49FB"/>
    <w:rsid w:val="00FD504D"/>
    <w:rsid w:val="00FD50F6"/>
    <w:rsid w:val="00FD5BE3"/>
    <w:rsid w:val="00FD66FD"/>
    <w:rsid w:val="00FD6A93"/>
    <w:rsid w:val="00FD6BC6"/>
    <w:rsid w:val="00FD6DB0"/>
    <w:rsid w:val="00FD6E31"/>
    <w:rsid w:val="00FD74D6"/>
    <w:rsid w:val="00FD7D81"/>
    <w:rsid w:val="00FE0320"/>
    <w:rsid w:val="00FE07F6"/>
    <w:rsid w:val="00FE17EA"/>
    <w:rsid w:val="00FE1C10"/>
    <w:rsid w:val="00FE2A4E"/>
    <w:rsid w:val="00FE2DFE"/>
    <w:rsid w:val="00FE33B9"/>
    <w:rsid w:val="00FE4DFF"/>
    <w:rsid w:val="00FE6148"/>
    <w:rsid w:val="00FE6F58"/>
    <w:rsid w:val="00FF0038"/>
    <w:rsid w:val="00FF03B8"/>
    <w:rsid w:val="00FF0B8F"/>
    <w:rsid w:val="00FF2267"/>
    <w:rsid w:val="00FF29C5"/>
    <w:rsid w:val="00FF29CF"/>
    <w:rsid w:val="00FF4A53"/>
    <w:rsid w:val="00FF546F"/>
    <w:rsid w:val="00FF6114"/>
    <w:rsid w:val="00FF6951"/>
    <w:rsid w:val="00FF791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BE1E8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BE1E87"/>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2389D"/>
    <w:pPr>
      <w:spacing w:after="160" w:line="240" w:lineRule="exact"/>
    </w:pPr>
    <w:rPr>
      <w:rFonts w:asciiTheme="minorHAnsi" w:eastAsiaTheme="minorEastAsia" w:hAnsiTheme="minorHAnsi" w:cstheme="minorBidi"/>
      <w:vertAlign w:val="superscript"/>
      <w:lang w:val="fr-CA"/>
    </w:rPr>
  </w:style>
  <w:style w:type="paragraph" w:customStyle="1" w:styleId="CBD-Para-i">
    <w:name w:val="CBD-Para-i"/>
    <w:basedOn w:val="Normal"/>
    <w:rsid w:val="000E687F"/>
    <w:pPr>
      <w:tabs>
        <w:tab w:val="num" w:pos="1814"/>
        <w:tab w:val="left" w:pos="2160"/>
        <w:tab w:val="left" w:pos="2880"/>
      </w:tabs>
      <w:spacing w:before="80" w:after="80"/>
      <w:ind w:left="1814" w:hanging="170"/>
    </w:pPr>
    <w:rPr>
      <w:szCs w:val="20"/>
    </w:rPr>
  </w:style>
  <w:style w:type="paragraph" w:customStyle="1" w:styleId="aident">
    <w:name w:val="(a) ident"/>
    <w:basedOn w:val="Normal"/>
    <w:rsid w:val="00A4039C"/>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A4039C"/>
    <w:rPr>
      <w:b/>
      <w:bCs/>
    </w:rPr>
  </w:style>
  <w:style w:type="character" w:customStyle="1" w:styleId="UnresolvedMention4">
    <w:name w:val="Unresolved Mention4"/>
    <w:basedOn w:val="DefaultParagraphFont"/>
    <w:uiPriority w:val="99"/>
    <w:semiHidden/>
    <w:unhideWhenUsed/>
    <w:rsid w:val="00CE680C"/>
    <w:rPr>
      <w:color w:val="605E5C"/>
      <w:shd w:val="clear" w:color="auto" w:fill="E1DFDD"/>
    </w:rPr>
  </w:style>
  <w:style w:type="paragraph" w:customStyle="1" w:styleId="Para">
    <w:name w:val="Para"/>
    <w:link w:val="ParaChar"/>
    <w:uiPriority w:val="4"/>
    <w:qFormat/>
    <w:rsid w:val="00AB466F"/>
    <w:pPr>
      <w:spacing w:before="120" w:after="120" w:line="260" w:lineRule="atLeast"/>
      <w:jc w:val="both"/>
    </w:pPr>
    <w:rPr>
      <w:rFonts w:eastAsiaTheme="minorHAnsi"/>
      <w:color w:val="000000" w:themeColor="text1"/>
      <w:sz w:val="20"/>
      <w:szCs w:val="22"/>
      <w:lang w:val="en-GB"/>
    </w:rPr>
  </w:style>
  <w:style w:type="character" w:customStyle="1" w:styleId="ParaChar">
    <w:name w:val="Para Char"/>
    <w:basedOn w:val="DefaultParagraphFont"/>
    <w:link w:val="Para"/>
    <w:uiPriority w:val="4"/>
    <w:rsid w:val="00AB466F"/>
    <w:rPr>
      <w:rFonts w:eastAsiaTheme="minorHAnsi"/>
      <w:color w:val="000000" w:themeColor="text1"/>
      <w:sz w:val="20"/>
      <w:szCs w:val="22"/>
      <w:lang w:val="en-GB"/>
    </w:rPr>
  </w:style>
  <w:style w:type="paragraph" w:customStyle="1" w:styleId="Sourcenotes">
    <w:name w:val="Source &amp; notes"/>
    <w:uiPriority w:val="16"/>
    <w:qFormat/>
    <w:rsid w:val="00AB466F"/>
    <w:pPr>
      <w:keepLines/>
      <w:spacing w:before="120" w:after="360" w:line="220" w:lineRule="exact"/>
      <w:contextualSpacing/>
      <w:jc w:val="both"/>
    </w:pPr>
    <w:rPr>
      <w:rFonts w:asciiTheme="majorHAnsi" w:eastAsiaTheme="minorHAnsi" w:hAnsiTheme="majorHAnsi"/>
      <w:color w:val="000000" w:themeColor="text1"/>
      <w:sz w:val="18"/>
      <w:szCs w:val="22"/>
      <w:lang w:val="en-GB"/>
    </w:rPr>
  </w:style>
  <w:style w:type="paragraph" w:customStyle="1" w:styleId="BoxHeading2">
    <w:name w:val="Box Heading 2"/>
    <w:next w:val="Para"/>
    <w:uiPriority w:val="14"/>
    <w:qFormat/>
    <w:rsid w:val="00AB466F"/>
    <w:pPr>
      <w:spacing w:before="180" w:after="120"/>
    </w:pPr>
    <w:rPr>
      <w:rFonts w:asciiTheme="majorHAnsi" w:eastAsiaTheme="minorHAnsi" w:hAnsiTheme="majorHAnsi"/>
      <w:b/>
      <w:i/>
      <w:color w:val="000000" w:themeColor="text1"/>
      <w:sz w:val="22"/>
      <w:szCs w:val="22"/>
      <w:lang w:val="en-GB"/>
    </w:rPr>
  </w:style>
  <w:style w:type="table" w:customStyle="1" w:styleId="TableGrid1">
    <w:name w:val="Table Grid1"/>
    <w:basedOn w:val="TableNormal"/>
    <w:next w:val="TableGrid"/>
    <w:uiPriority w:val="59"/>
    <w:rsid w:val="00A03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qFormat/>
    <w:rsid w:val="001E433D"/>
    <w:rPr>
      <w:i/>
    </w:rPr>
  </w:style>
  <w:style w:type="character" w:customStyle="1" w:styleId="UnresolvedMention">
    <w:name w:val="Unresolved Mention"/>
    <w:basedOn w:val="DefaultParagraphFont"/>
    <w:uiPriority w:val="99"/>
    <w:semiHidden/>
    <w:unhideWhenUsed/>
    <w:rsid w:val="002108F1"/>
    <w:rPr>
      <w:color w:val="605E5C"/>
      <w:shd w:val="clear" w:color="auto" w:fill="E1DFDD"/>
    </w:rPr>
  </w:style>
  <w:style w:type="paragraph" w:styleId="NormalWeb">
    <w:name w:val="Normal (Web)"/>
    <w:basedOn w:val="Normal"/>
    <w:uiPriority w:val="99"/>
    <w:semiHidden/>
    <w:unhideWhenUsed/>
    <w:rsid w:val="00A13640"/>
    <w:rPr>
      <w:sz w:val="24"/>
    </w:rPr>
  </w:style>
  <w:style w:type="character" w:styleId="Emphasis">
    <w:name w:val="Emphasis"/>
    <w:basedOn w:val="DefaultParagraphFont"/>
    <w:uiPriority w:val="20"/>
    <w:qFormat/>
    <w:rsid w:val="004325EF"/>
    <w:rPr>
      <w:i/>
      <w:iCs/>
    </w:rPr>
  </w:style>
  <w:style w:type="character" w:customStyle="1" w:styleId="preferred">
    <w:name w:val="preferred"/>
    <w:basedOn w:val="DefaultParagraphFont"/>
    <w:rsid w:val="00A2336C"/>
  </w:style>
  <w:style w:type="character" w:customStyle="1" w:styleId="admitted">
    <w:name w:val="admitted"/>
    <w:basedOn w:val="DefaultParagraphFont"/>
    <w:rsid w:val="00514391"/>
  </w:style>
</w:styles>
</file>

<file path=word/webSettings.xml><?xml version="1.0" encoding="utf-8"?>
<w:webSettings xmlns:r="http://schemas.openxmlformats.org/officeDocument/2006/relationships" xmlns:w="http://schemas.openxmlformats.org/wordprocessingml/2006/main">
  <w:divs>
    <w:div w:id="21250123">
      <w:bodyDiv w:val="1"/>
      <w:marLeft w:val="0"/>
      <w:marRight w:val="0"/>
      <w:marTop w:val="0"/>
      <w:marBottom w:val="0"/>
      <w:divBdr>
        <w:top w:val="none" w:sz="0" w:space="0" w:color="auto"/>
        <w:left w:val="none" w:sz="0" w:space="0" w:color="auto"/>
        <w:bottom w:val="none" w:sz="0" w:space="0" w:color="auto"/>
        <w:right w:val="none" w:sz="0" w:space="0" w:color="auto"/>
      </w:divBdr>
    </w:div>
    <w:div w:id="25061494">
      <w:bodyDiv w:val="1"/>
      <w:marLeft w:val="0"/>
      <w:marRight w:val="0"/>
      <w:marTop w:val="0"/>
      <w:marBottom w:val="0"/>
      <w:divBdr>
        <w:top w:val="none" w:sz="0" w:space="0" w:color="auto"/>
        <w:left w:val="none" w:sz="0" w:space="0" w:color="auto"/>
        <w:bottom w:val="none" w:sz="0" w:space="0" w:color="auto"/>
        <w:right w:val="none" w:sz="0" w:space="0" w:color="auto"/>
      </w:divBdr>
    </w:div>
    <w:div w:id="25915250">
      <w:bodyDiv w:val="1"/>
      <w:marLeft w:val="0"/>
      <w:marRight w:val="0"/>
      <w:marTop w:val="0"/>
      <w:marBottom w:val="0"/>
      <w:divBdr>
        <w:top w:val="none" w:sz="0" w:space="0" w:color="auto"/>
        <w:left w:val="none" w:sz="0" w:space="0" w:color="auto"/>
        <w:bottom w:val="none" w:sz="0" w:space="0" w:color="auto"/>
        <w:right w:val="none" w:sz="0" w:space="0" w:color="auto"/>
      </w:divBdr>
    </w:div>
    <w:div w:id="43795078">
      <w:bodyDiv w:val="1"/>
      <w:marLeft w:val="0"/>
      <w:marRight w:val="0"/>
      <w:marTop w:val="0"/>
      <w:marBottom w:val="0"/>
      <w:divBdr>
        <w:top w:val="none" w:sz="0" w:space="0" w:color="auto"/>
        <w:left w:val="none" w:sz="0" w:space="0" w:color="auto"/>
        <w:bottom w:val="none" w:sz="0" w:space="0" w:color="auto"/>
        <w:right w:val="none" w:sz="0" w:space="0" w:color="auto"/>
      </w:divBdr>
    </w:div>
    <w:div w:id="59641069">
      <w:bodyDiv w:val="1"/>
      <w:marLeft w:val="0"/>
      <w:marRight w:val="0"/>
      <w:marTop w:val="0"/>
      <w:marBottom w:val="0"/>
      <w:divBdr>
        <w:top w:val="none" w:sz="0" w:space="0" w:color="auto"/>
        <w:left w:val="none" w:sz="0" w:space="0" w:color="auto"/>
        <w:bottom w:val="none" w:sz="0" w:space="0" w:color="auto"/>
        <w:right w:val="none" w:sz="0" w:space="0" w:color="auto"/>
      </w:divBdr>
    </w:div>
    <w:div w:id="104930764">
      <w:bodyDiv w:val="1"/>
      <w:marLeft w:val="0"/>
      <w:marRight w:val="0"/>
      <w:marTop w:val="0"/>
      <w:marBottom w:val="0"/>
      <w:divBdr>
        <w:top w:val="none" w:sz="0" w:space="0" w:color="auto"/>
        <w:left w:val="none" w:sz="0" w:space="0" w:color="auto"/>
        <w:bottom w:val="none" w:sz="0" w:space="0" w:color="auto"/>
        <w:right w:val="none" w:sz="0" w:space="0" w:color="auto"/>
      </w:divBdr>
    </w:div>
    <w:div w:id="131097804">
      <w:bodyDiv w:val="1"/>
      <w:marLeft w:val="0"/>
      <w:marRight w:val="0"/>
      <w:marTop w:val="0"/>
      <w:marBottom w:val="0"/>
      <w:divBdr>
        <w:top w:val="none" w:sz="0" w:space="0" w:color="auto"/>
        <w:left w:val="none" w:sz="0" w:space="0" w:color="auto"/>
        <w:bottom w:val="none" w:sz="0" w:space="0" w:color="auto"/>
        <w:right w:val="none" w:sz="0" w:space="0" w:color="auto"/>
      </w:divBdr>
    </w:div>
    <w:div w:id="143209095">
      <w:bodyDiv w:val="1"/>
      <w:marLeft w:val="0"/>
      <w:marRight w:val="0"/>
      <w:marTop w:val="0"/>
      <w:marBottom w:val="0"/>
      <w:divBdr>
        <w:top w:val="none" w:sz="0" w:space="0" w:color="auto"/>
        <w:left w:val="none" w:sz="0" w:space="0" w:color="auto"/>
        <w:bottom w:val="none" w:sz="0" w:space="0" w:color="auto"/>
        <w:right w:val="none" w:sz="0" w:space="0" w:color="auto"/>
      </w:divBdr>
    </w:div>
    <w:div w:id="166209988">
      <w:bodyDiv w:val="1"/>
      <w:marLeft w:val="0"/>
      <w:marRight w:val="0"/>
      <w:marTop w:val="0"/>
      <w:marBottom w:val="0"/>
      <w:divBdr>
        <w:top w:val="none" w:sz="0" w:space="0" w:color="auto"/>
        <w:left w:val="none" w:sz="0" w:space="0" w:color="auto"/>
        <w:bottom w:val="none" w:sz="0" w:space="0" w:color="auto"/>
        <w:right w:val="none" w:sz="0" w:space="0" w:color="auto"/>
      </w:divBdr>
    </w:div>
    <w:div w:id="193008779">
      <w:bodyDiv w:val="1"/>
      <w:marLeft w:val="0"/>
      <w:marRight w:val="0"/>
      <w:marTop w:val="0"/>
      <w:marBottom w:val="0"/>
      <w:divBdr>
        <w:top w:val="none" w:sz="0" w:space="0" w:color="auto"/>
        <w:left w:val="none" w:sz="0" w:space="0" w:color="auto"/>
        <w:bottom w:val="none" w:sz="0" w:space="0" w:color="auto"/>
        <w:right w:val="none" w:sz="0" w:space="0" w:color="auto"/>
      </w:divBdr>
    </w:div>
    <w:div w:id="210923547">
      <w:bodyDiv w:val="1"/>
      <w:marLeft w:val="0"/>
      <w:marRight w:val="0"/>
      <w:marTop w:val="0"/>
      <w:marBottom w:val="0"/>
      <w:divBdr>
        <w:top w:val="none" w:sz="0" w:space="0" w:color="auto"/>
        <w:left w:val="none" w:sz="0" w:space="0" w:color="auto"/>
        <w:bottom w:val="none" w:sz="0" w:space="0" w:color="auto"/>
        <w:right w:val="none" w:sz="0" w:space="0" w:color="auto"/>
      </w:divBdr>
    </w:div>
    <w:div w:id="243730373">
      <w:bodyDiv w:val="1"/>
      <w:marLeft w:val="0"/>
      <w:marRight w:val="0"/>
      <w:marTop w:val="0"/>
      <w:marBottom w:val="0"/>
      <w:divBdr>
        <w:top w:val="none" w:sz="0" w:space="0" w:color="auto"/>
        <w:left w:val="none" w:sz="0" w:space="0" w:color="auto"/>
        <w:bottom w:val="none" w:sz="0" w:space="0" w:color="auto"/>
        <w:right w:val="none" w:sz="0" w:space="0" w:color="auto"/>
      </w:divBdr>
    </w:div>
    <w:div w:id="311326094">
      <w:bodyDiv w:val="1"/>
      <w:marLeft w:val="0"/>
      <w:marRight w:val="0"/>
      <w:marTop w:val="0"/>
      <w:marBottom w:val="0"/>
      <w:divBdr>
        <w:top w:val="none" w:sz="0" w:space="0" w:color="auto"/>
        <w:left w:val="none" w:sz="0" w:space="0" w:color="auto"/>
        <w:bottom w:val="none" w:sz="0" w:space="0" w:color="auto"/>
        <w:right w:val="none" w:sz="0" w:space="0" w:color="auto"/>
      </w:divBdr>
    </w:div>
    <w:div w:id="340740729">
      <w:bodyDiv w:val="1"/>
      <w:marLeft w:val="0"/>
      <w:marRight w:val="0"/>
      <w:marTop w:val="0"/>
      <w:marBottom w:val="0"/>
      <w:divBdr>
        <w:top w:val="none" w:sz="0" w:space="0" w:color="auto"/>
        <w:left w:val="none" w:sz="0" w:space="0" w:color="auto"/>
        <w:bottom w:val="none" w:sz="0" w:space="0" w:color="auto"/>
        <w:right w:val="none" w:sz="0" w:space="0" w:color="auto"/>
      </w:divBdr>
    </w:div>
    <w:div w:id="342364986">
      <w:bodyDiv w:val="1"/>
      <w:marLeft w:val="0"/>
      <w:marRight w:val="0"/>
      <w:marTop w:val="0"/>
      <w:marBottom w:val="0"/>
      <w:divBdr>
        <w:top w:val="none" w:sz="0" w:space="0" w:color="auto"/>
        <w:left w:val="none" w:sz="0" w:space="0" w:color="auto"/>
        <w:bottom w:val="none" w:sz="0" w:space="0" w:color="auto"/>
        <w:right w:val="none" w:sz="0" w:space="0" w:color="auto"/>
      </w:divBdr>
    </w:div>
    <w:div w:id="405300070">
      <w:bodyDiv w:val="1"/>
      <w:marLeft w:val="0"/>
      <w:marRight w:val="0"/>
      <w:marTop w:val="0"/>
      <w:marBottom w:val="0"/>
      <w:divBdr>
        <w:top w:val="none" w:sz="0" w:space="0" w:color="auto"/>
        <w:left w:val="none" w:sz="0" w:space="0" w:color="auto"/>
        <w:bottom w:val="none" w:sz="0" w:space="0" w:color="auto"/>
        <w:right w:val="none" w:sz="0" w:space="0" w:color="auto"/>
      </w:divBdr>
    </w:div>
    <w:div w:id="428432662">
      <w:bodyDiv w:val="1"/>
      <w:marLeft w:val="0"/>
      <w:marRight w:val="0"/>
      <w:marTop w:val="0"/>
      <w:marBottom w:val="0"/>
      <w:divBdr>
        <w:top w:val="none" w:sz="0" w:space="0" w:color="auto"/>
        <w:left w:val="none" w:sz="0" w:space="0" w:color="auto"/>
        <w:bottom w:val="none" w:sz="0" w:space="0" w:color="auto"/>
        <w:right w:val="none" w:sz="0" w:space="0" w:color="auto"/>
      </w:divBdr>
    </w:div>
    <w:div w:id="437726074">
      <w:bodyDiv w:val="1"/>
      <w:marLeft w:val="0"/>
      <w:marRight w:val="0"/>
      <w:marTop w:val="0"/>
      <w:marBottom w:val="0"/>
      <w:divBdr>
        <w:top w:val="none" w:sz="0" w:space="0" w:color="auto"/>
        <w:left w:val="none" w:sz="0" w:space="0" w:color="auto"/>
        <w:bottom w:val="none" w:sz="0" w:space="0" w:color="auto"/>
        <w:right w:val="none" w:sz="0" w:space="0" w:color="auto"/>
      </w:divBdr>
    </w:div>
    <w:div w:id="456221852">
      <w:bodyDiv w:val="1"/>
      <w:marLeft w:val="0"/>
      <w:marRight w:val="0"/>
      <w:marTop w:val="0"/>
      <w:marBottom w:val="0"/>
      <w:divBdr>
        <w:top w:val="none" w:sz="0" w:space="0" w:color="auto"/>
        <w:left w:val="none" w:sz="0" w:space="0" w:color="auto"/>
        <w:bottom w:val="none" w:sz="0" w:space="0" w:color="auto"/>
        <w:right w:val="none" w:sz="0" w:space="0" w:color="auto"/>
      </w:divBdr>
    </w:div>
    <w:div w:id="476261340">
      <w:bodyDiv w:val="1"/>
      <w:marLeft w:val="0"/>
      <w:marRight w:val="0"/>
      <w:marTop w:val="0"/>
      <w:marBottom w:val="0"/>
      <w:divBdr>
        <w:top w:val="none" w:sz="0" w:space="0" w:color="auto"/>
        <w:left w:val="none" w:sz="0" w:space="0" w:color="auto"/>
        <w:bottom w:val="none" w:sz="0" w:space="0" w:color="auto"/>
        <w:right w:val="none" w:sz="0" w:space="0" w:color="auto"/>
      </w:divBdr>
    </w:div>
    <w:div w:id="481311191">
      <w:bodyDiv w:val="1"/>
      <w:marLeft w:val="0"/>
      <w:marRight w:val="0"/>
      <w:marTop w:val="0"/>
      <w:marBottom w:val="0"/>
      <w:divBdr>
        <w:top w:val="none" w:sz="0" w:space="0" w:color="auto"/>
        <w:left w:val="none" w:sz="0" w:space="0" w:color="auto"/>
        <w:bottom w:val="none" w:sz="0" w:space="0" w:color="auto"/>
        <w:right w:val="none" w:sz="0" w:space="0" w:color="auto"/>
      </w:divBdr>
    </w:div>
    <w:div w:id="531922590">
      <w:bodyDiv w:val="1"/>
      <w:marLeft w:val="0"/>
      <w:marRight w:val="0"/>
      <w:marTop w:val="0"/>
      <w:marBottom w:val="0"/>
      <w:divBdr>
        <w:top w:val="none" w:sz="0" w:space="0" w:color="auto"/>
        <w:left w:val="none" w:sz="0" w:space="0" w:color="auto"/>
        <w:bottom w:val="none" w:sz="0" w:space="0" w:color="auto"/>
        <w:right w:val="none" w:sz="0" w:space="0" w:color="auto"/>
      </w:divBdr>
    </w:div>
    <w:div w:id="572741217">
      <w:bodyDiv w:val="1"/>
      <w:marLeft w:val="0"/>
      <w:marRight w:val="0"/>
      <w:marTop w:val="0"/>
      <w:marBottom w:val="0"/>
      <w:divBdr>
        <w:top w:val="none" w:sz="0" w:space="0" w:color="auto"/>
        <w:left w:val="none" w:sz="0" w:space="0" w:color="auto"/>
        <w:bottom w:val="none" w:sz="0" w:space="0" w:color="auto"/>
        <w:right w:val="none" w:sz="0" w:space="0" w:color="auto"/>
      </w:divBdr>
    </w:div>
    <w:div w:id="585653747">
      <w:bodyDiv w:val="1"/>
      <w:marLeft w:val="0"/>
      <w:marRight w:val="0"/>
      <w:marTop w:val="0"/>
      <w:marBottom w:val="0"/>
      <w:divBdr>
        <w:top w:val="none" w:sz="0" w:space="0" w:color="auto"/>
        <w:left w:val="none" w:sz="0" w:space="0" w:color="auto"/>
        <w:bottom w:val="none" w:sz="0" w:space="0" w:color="auto"/>
        <w:right w:val="none" w:sz="0" w:space="0" w:color="auto"/>
      </w:divBdr>
    </w:div>
    <w:div w:id="587271463">
      <w:bodyDiv w:val="1"/>
      <w:marLeft w:val="0"/>
      <w:marRight w:val="0"/>
      <w:marTop w:val="0"/>
      <w:marBottom w:val="0"/>
      <w:divBdr>
        <w:top w:val="none" w:sz="0" w:space="0" w:color="auto"/>
        <w:left w:val="none" w:sz="0" w:space="0" w:color="auto"/>
        <w:bottom w:val="none" w:sz="0" w:space="0" w:color="auto"/>
        <w:right w:val="none" w:sz="0" w:space="0" w:color="auto"/>
      </w:divBdr>
    </w:div>
    <w:div w:id="607087097">
      <w:bodyDiv w:val="1"/>
      <w:marLeft w:val="0"/>
      <w:marRight w:val="0"/>
      <w:marTop w:val="0"/>
      <w:marBottom w:val="0"/>
      <w:divBdr>
        <w:top w:val="none" w:sz="0" w:space="0" w:color="auto"/>
        <w:left w:val="none" w:sz="0" w:space="0" w:color="auto"/>
        <w:bottom w:val="none" w:sz="0" w:space="0" w:color="auto"/>
        <w:right w:val="none" w:sz="0" w:space="0" w:color="auto"/>
      </w:divBdr>
    </w:div>
    <w:div w:id="610749544">
      <w:bodyDiv w:val="1"/>
      <w:marLeft w:val="0"/>
      <w:marRight w:val="0"/>
      <w:marTop w:val="0"/>
      <w:marBottom w:val="0"/>
      <w:divBdr>
        <w:top w:val="none" w:sz="0" w:space="0" w:color="auto"/>
        <w:left w:val="none" w:sz="0" w:space="0" w:color="auto"/>
        <w:bottom w:val="none" w:sz="0" w:space="0" w:color="auto"/>
        <w:right w:val="none" w:sz="0" w:space="0" w:color="auto"/>
      </w:divBdr>
    </w:div>
    <w:div w:id="653415756">
      <w:bodyDiv w:val="1"/>
      <w:marLeft w:val="0"/>
      <w:marRight w:val="0"/>
      <w:marTop w:val="0"/>
      <w:marBottom w:val="0"/>
      <w:divBdr>
        <w:top w:val="none" w:sz="0" w:space="0" w:color="auto"/>
        <w:left w:val="none" w:sz="0" w:space="0" w:color="auto"/>
        <w:bottom w:val="none" w:sz="0" w:space="0" w:color="auto"/>
        <w:right w:val="none" w:sz="0" w:space="0" w:color="auto"/>
      </w:divBdr>
    </w:div>
    <w:div w:id="654604399">
      <w:bodyDiv w:val="1"/>
      <w:marLeft w:val="0"/>
      <w:marRight w:val="0"/>
      <w:marTop w:val="0"/>
      <w:marBottom w:val="0"/>
      <w:divBdr>
        <w:top w:val="none" w:sz="0" w:space="0" w:color="auto"/>
        <w:left w:val="none" w:sz="0" w:space="0" w:color="auto"/>
        <w:bottom w:val="none" w:sz="0" w:space="0" w:color="auto"/>
        <w:right w:val="none" w:sz="0" w:space="0" w:color="auto"/>
      </w:divBdr>
    </w:div>
    <w:div w:id="708603663">
      <w:bodyDiv w:val="1"/>
      <w:marLeft w:val="0"/>
      <w:marRight w:val="0"/>
      <w:marTop w:val="0"/>
      <w:marBottom w:val="0"/>
      <w:divBdr>
        <w:top w:val="none" w:sz="0" w:space="0" w:color="auto"/>
        <w:left w:val="none" w:sz="0" w:space="0" w:color="auto"/>
        <w:bottom w:val="none" w:sz="0" w:space="0" w:color="auto"/>
        <w:right w:val="none" w:sz="0" w:space="0" w:color="auto"/>
      </w:divBdr>
    </w:div>
    <w:div w:id="717120696">
      <w:bodyDiv w:val="1"/>
      <w:marLeft w:val="0"/>
      <w:marRight w:val="0"/>
      <w:marTop w:val="0"/>
      <w:marBottom w:val="0"/>
      <w:divBdr>
        <w:top w:val="none" w:sz="0" w:space="0" w:color="auto"/>
        <w:left w:val="none" w:sz="0" w:space="0" w:color="auto"/>
        <w:bottom w:val="none" w:sz="0" w:space="0" w:color="auto"/>
        <w:right w:val="none" w:sz="0" w:space="0" w:color="auto"/>
      </w:divBdr>
    </w:div>
    <w:div w:id="742723472">
      <w:bodyDiv w:val="1"/>
      <w:marLeft w:val="0"/>
      <w:marRight w:val="0"/>
      <w:marTop w:val="0"/>
      <w:marBottom w:val="0"/>
      <w:divBdr>
        <w:top w:val="none" w:sz="0" w:space="0" w:color="auto"/>
        <w:left w:val="none" w:sz="0" w:space="0" w:color="auto"/>
        <w:bottom w:val="none" w:sz="0" w:space="0" w:color="auto"/>
        <w:right w:val="none" w:sz="0" w:space="0" w:color="auto"/>
      </w:divBdr>
    </w:div>
    <w:div w:id="791368605">
      <w:bodyDiv w:val="1"/>
      <w:marLeft w:val="0"/>
      <w:marRight w:val="0"/>
      <w:marTop w:val="0"/>
      <w:marBottom w:val="0"/>
      <w:divBdr>
        <w:top w:val="none" w:sz="0" w:space="0" w:color="auto"/>
        <w:left w:val="none" w:sz="0" w:space="0" w:color="auto"/>
        <w:bottom w:val="none" w:sz="0" w:space="0" w:color="auto"/>
        <w:right w:val="none" w:sz="0" w:space="0" w:color="auto"/>
      </w:divBdr>
    </w:div>
    <w:div w:id="797725104">
      <w:bodyDiv w:val="1"/>
      <w:marLeft w:val="0"/>
      <w:marRight w:val="0"/>
      <w:marTop w:val="0"/>
      <w:marBottom w:val="0"/>
      <w:divBdr>
        <w:top w:val="none" w:sz="0" w:space="0" w:color="auto"/>
        <w:left w:val="none" w:sz="0" w:space="0" w:color="auto"/>
        <w:bottom w:val="none" w:sz="0" w:space="0" w:color="auto"/>
        <w:right w:val="none" w:sz="0" w:space="0" w:color="auto"/>
      </w:divBdr>
    </w:div>
    <w:div w:id="811797181">
      <w:bodyDiv w:val="1"/>
      <w:marLeft w:val="0"/>
      <w:marRight w:val="0"/>
      <w:marTop w:val="0"/>
      <w:marBottom w:val="0"/>
      <w:divBdr>
        <w:top w:val="none" w:sz="0" w:space="0" w:color="auto"/>
        <w:left w:val="none" w:sz="0" w:space="0" w:color="auto"/>
        <w:bottom w:val="none" w:sz="0" w:space="0" w:color="auto"/>
        <w:right w:val="none" w:sz="0" w:space="0" w:color="auto"/>
      </w:divBdr>
    </w:div>
    <w:div w:id="814417360">
      <w:bodyDiv w:val="1"/>
      <w:marLeft w:val="0"/>
      <w:marRight w:val="0"/>
      <w:marTop w:val="0"/>
      <w:marBottom w:val="0"/>
      <w:divBdr>
        <w:top w:val="none" w:sz="0" w:space="0" w:color="auto"/>
        <w:left w:val="none" w:sz="0" w:space="0" w:color="auto"/>
        <w:bottom w:val="none" w:sz="0" w:space="0" w:color="auto"/>
        <w:right w:val="none" w:sz="0" w:space="0" w:color="auto"/>
      </w:divBdr>
    </w:div>
    <w:div w:id="859123244">
      <w:bodyDiv w:val="1"/>
      <w:marLeft w:val="0"/>
      <w:marRight w:val="0"/>
      <w:marTop w:val="0"/>
      <w:marBottom w:val="0"/>
      <w:divBdr>
        <w:top w:val="none" w:sz="0" w:space="0" w:color="auto"/>
        <w:left w:val="none" w:sz="0" w:space="0" w:color="auto"/>
        <w:bottom w:val="none" w:sz="0" w:space="0" w:color="auto"/>
        <w:right w:val="none" w:sz="0" w:space="0" w:color="auto"/>
      </w:divBdr>
    </w:div>
    <w:div w:id="862406312">
      <w:bodyDiv w:val="1"/>
      <w:marLeft w:val="0"/>
      <w:marRight w:val="0"/>
      <w:marTop w:val="0"/>
      <w:marBottom w:val="0"/>
      <w:divBdr>
        <w:top w:val="none" w:sz="0" w:space="0" w:color="auto"/>
        <w:left w:val="none" w:sz="0" w:space="0" w:color="auto"/>
        <w:bottom w:val="none" w:sz="0" w:space="0" w:color="auto"/>
        <w:right w:val="none" w:sz="0" w:space="0" w:color="auto"/>
      </w:divBdr>
    </w:div>
    <w:div w:id="864757237">
      <w:bodyDiv w:val="1"/>
      <w:marLeft w:val="0"/>
      <w:marRight w:val="0"/>
      <w:marTop w:val="0"/>
      <w:marBottom w:val="0"/>
      <w:divBdr>
        <w:top w:val="none" w:sz="0" w:space="0" w:color="auto"/>
        <w:left w:val="none" w:sz="0" w:space="0" w:color="auto"/>
        <w:bottom w:val="none" w:sz="0" w:space="0" w:color="auto"/>
        <w:right w:val="none" w:sz="0" w:space="0" w:color="auto"/>
      </w:divBdr>
    </w:div>
    <w:div w:id="870537530">
      <w:bodyDiv w:val="1"/>
      <w:marLeft w:val="0"/>
      <w:marRight w:val="0"/>
      <w:marTop w:val="0"/>
      <w:marBottom w:val="0"/>
      <w:divBdr>
        <w:top w:val="none" w:sz="0" w:space="0" w:color="auto"/>
        <w:left w:val="none" w:sz="0" w:space="0" w:color="auto"/>
        <w:bottom w:val="none" w:sz="0" w:space="0" w:color="auto"/>
        <w:right w:val="none" w:sz="0" w:space="0" w:color="auto"/>
      </w:divBdr>
    </w:div>
    <w:div w:id="876358207">
      <w:bodyDiv w:val="1"/>
      <w:marLeft w:val="0"/>
      <w:marRight w:val="0"/>
      <w:marTop w:val="0"/>
      <w:marBottom w:val="0"/>
      <w:divBdr>
        <w:top w:val="none" w:sz="0" w:space="0" w:color="auto"/>
        <w:left w:val="none" w:sz="0" w:space="0" w:color="auto"/>
        <w:bottom w:val="none" w:sz="0" w:space="0" w:color="auto"/>
        <w:right w:val="none" w:sz="0" w:space="0" w:color="auto"/>
      </w:divBdr>
    </w:div>
    <w:div w:id="891356003">
      <w:bodyDiv w:val="1"/>
      <w:marLeft w:val="0"/>
      <w:marRight w:val="0"/>
      <w:marTop w:val="0"/>
      <w:marBottom w:val="0"/>
      <w:divBdr>
        <w:top w:val="none" w:sz="0" w:space="0" w:color="auto"/>
        <w:left w:val="none" w:sz="0" w:space="0" w:color="auto"/>
        <w:bottom w:val="none" w:sz="0" w:space="0" w:color="auto"/>
        <w:right w:val="none" w:sz="0" w:space="0" w:color="auto"/>
      </w:divBdr>
    </w:div>
    <w:div w:id="894632213">
      <w:bodyDiv w:val="1"/>
      <w:marLeft w:val="0"/>
      <w:marRight w:val="0"/>
      <w:marTop w:val="0"/>
      <w:marBottom w:val="0"/>
      <w:divBdr>
        <w:top w:val="none" w:sz="0" w:space="0" w:color="auto"/>
        <w:left w:val="none" w:sz="0" w:space="0" w:color="auto"/>
        <w:bottom w:val="none" w:sz="0" w:space="0" w:color="auto"/>
        <w:right w:val="none" w:sz="0" w:space="0" w:color="auto"/>
      </w:divBdr>
    </w:div>
    <w:div w:id="912274638">
      <w:bodyDiv w:val="1"/>
      <w:marLeft w:val="0"/>
      <w:marRight w:val="0"/>
      <w:marTop w:val="0"/>
      <w:marBottom w:val="0"/>
      <w:divBdr>
        <w:top w:val="none" w:sz="0" w:space="0" w:color="auto"/>
        <w:left w:val="none" w:sz="0" w:space="0" w:color="auto"/>
        <w:bottom w:val="none" w:sz="0" w:space="0" w:color="auto"/>
        <w:right w:val="none" w:sz="0" w:space="0" w:color="auto"/>
      </w:divBdr>
    </w:div>
    <w:div w:id="940531401">
      <w:bodyDiv w:val="1"/>
      <w:marLeft w:val="0"/>
      <w:marRight w:val="0"/>
      <w:marTop w:val="0"/>
      <w:marBottom w:val="0"/>
      <w:divBdr>
        <w:top w:val="none" w:sz="0" w:space="0" w:color="auto"/>
        <w:left w:val="none" w:sz="0" w:space="0" w:color="auto"/>
        <w:bottom w:val="none" w:sz="0" w:space="0" w:color="auto"/>
        <w:right w:val="none" w:sz="0" w:space="0" w:color="auto"/>
      </w:divBdr>
    </w:div>
    <w:div w:id="954101224">
      <w:bodyDiv w:val="1"/>
      <w:marLeft w:val="0"/>
      <w:marRight w:val="0"/>
      <w:marTop w:val="0"/>
      <w:marBottom w:val="0"/>
      <w:divBdr>
        <w:top w:val="none" w:sz="0" w:space="0" w:color="auto"/>
        <w:left w:val="none" w:sz="0" w:space="0" w:color="auto"/>
        <w:bottom w:val="none" w:sz="0" w:space="0" w:color="auto"/>
        <w:right w:val="none" w:sz="0" w:space="0" w:color="auto"/>
      </w:divBdr>
    </w:div>
    <w:div w:id="959335712">
      <w:bodyDiv w:val="1"/>
      <w:marLeft w:val="0"/>
      <w:marRight w:val="0"/>
      <w:marTop w:val="0"/>
      <w:marBottom w:val="0"/>
      <w:divBdr>
        <w:top w:val="none" w:sz="0" w:space="0" w:color="auto"/>
        <w:left w:val="none" w:sz="0" w:space="0" w:color="auto"/>
        <w:bottom w:val="none" w:sz="0" w:space="0" w:color="auto"/>
        <w:right w:val="none" w:sz="0" w:space="0" w:color="auto"/>
      </w:divBdr>
    </w:div>
    <w:div w:id="962880369">
      <w:bodyDiv w:val="1"/>
      <w:marLeft w:val="0"/>
      <w:marRight w:val="0"/>
      <w:marTop w:val="0"/>
      <w:marBottom w:val="0"/>
      <w:divBdr>
        <w:top w:val="none" w:sz="0" w:space="0" w:color="auto"/>
        <w:left w:val="none" w:sz="0" w:space="0" w:color="auto"/>
        <w:bottom w:val="none" w:sz="0" w:space="0" w:color="auto"/>
        <w:right w:val="none" w:sz="0" w:space="0" w:color="auto"/>
      </w:divBdr>
    </w:div>
    <w:div w:id="973213813">
      <w:bodyDiv w:val="1"/>
      <w:marLeft w:val="0"/>
      <w:marRight w:val="0"/>
      <w:marTop w:val="0"/>
      <w:marBottom w:val="0"/>
      <w:divBdr>
        <w:top w:val="none" w:sz="0" w:space="0" w:color="auto"/>
        <w:left w:val="none" w:sz="0" w:space="0" w:color="auto"/>
        <w:bottom w:val="none" w:sz="0" w:space="0" w:color="auto"/>
        <w:right w:val="none" w:sz="0" w:space="0" w:color="auto"/>
      </w:divBdr>
    </w:div>
    <w:div w:id="1001346733">
      <w:bodyDiv w:val="1"/>
      <w:marLeft w:val="0"/>
      <w:marRight w:val="0"/>
      <w:marTop w:val="0"/>
      <w:marBottom w:val="0"/>
      <w:divBdr>
        <w:top w:val="none" w:sz="0" w:space="0" w:color="auto"/>
        <w:left w:val="none" w:sz="0" w:space="0" w:color="auto"/>
        <w:bottom w:val="none" w:sz="0" w:space="0" w:color="auto"/>
        <w:right w:val="none" w:sz="0" w:space="0" w:color="auto"/>
      </w:divBdr>
    </w:div>
    <w:div w:id="1013846859">
      <w:bodyDiv w:val="1"/>
      <w:marLeft w:val="0"/>
      <w:marRight w:val="0"/>
      <w:marTop w:val="0"/>
      <w:marBottom w:val="0"/>
      <w:divBdr>
        <w:top w:val="none" w:sz="0" w:space="0" w:color="auto"/>
        <w:left w:val="none" w:sz="0" w:space="0" w:color="auto"/>
        <w:bottom w:val="none" w:sz="0" w:space="0" w:color="auto"/>
        <w:right w:val="none" w:sz="0" w:space="0" w:color="auto"/>
      </w:divBdr>
    </w:div>
    <w:div w:id="1035470685">
      <w:bodyDiv w:val="1"/>
      <w:marLeft w:val="0"/>
      <w:marRight w:val="0"/>
      <w:marTop w:val="0"/>
      <w:marBottom w:val="0"/>
      <w:divBdr>
        <w:top w:val="none" w:sz="0" w:space="0" w:color="auto"/>
        <w:left w:val="none" w:sz="0" w:space="0" w:color="auto"/>
        <w:bottom w:val="none" w:sz="0" w:space="0" w:color="auto"/>
        <w:right w:val="none" w:sz="0" w:space="0" w:color="auto"/>
      </w:divBdr>
    </w:div>
    <w:div w:id="1054893698">
      <w:bodyDiv w:val="1"/>
      <w:marLeft w:val="0"/>
      <w:marRight w:val="0"/>
      <w:marTop w:val="0"/>
      <w:marBottom w:val="0"/>
      <w:divBdr>
        <w:top w:val="none" w:sz="0" w:space="0" w:color="auto"/>
        <w:left w:val="none" w:sz="0" w:space="0" w:color="auto"/>
        <w:bottom w:val="none" w:sz="0" w:space="0" w:color="auto"/>
        <w:right w:val="none" w:sz="0" w:space="0" w:color="auto"/>
      </w:divBdr>
    </w:div>
    <w:div w:id="1075205029">
      <w:bodyDiv w:val="1"/>
      <w:marLeft w:val="0"/>
      <w:marRight w:val="0"/>
      <w:marTop w:val="0"/>
      <w:marBottom w:val="0"/>
      <w:divBdr>
        <w:top w:val="none" w:sz="0" w:space="0" w:color="auto"/>
        <w:left w:val="none" w:sz="0" w:space="0" w:color="auto"/>
        <w:bottom w:val="none" w:sz="0" w:space="0" w:color="auto"/>
        <w:right w:val="none" w:sz="0" w:space="0" w:color="auto"/>
      </w:divBdr>
    </w:div>
    <w:div w:id="1076630666">
      <w:bodyDiv w:val="1"/>
      <w:marLeft w:val="0"/>
      <w:marRight w:val="0"/>
      <w:marTop w:val="0"/>
      <w:marBottom w:val="0"/>
      <w:divBdr>
        <w:top w:val="none" w:sz="0" w:space="0" w:color="auto"/>
        <w:left w:val="none" w:sz="0" w:space="0" w:color="auto"/>
        <w:bottom w:val="none" w:sz="0" w:space="0" w:color="auto"/>
        <w:right w:val="none" w:sz="0" w:space="0" w:color="auto"/>
      </w:divBdr>
    </w:div>
    <w:div w:id="1091007294">
      <w:bodyDiv w:val="1"/>
      <w:marLeft w:val="0"/>
      <w:marRight w:val="0"/>
      <w:marTop w:val="0"/>
      <w:marBottom w:val="0"/>
      <w:divBdr>
        <w:top w:val="none" w:sz="0" w:space="0" w:color="auto"/>
        <w:left w:val="none" w:sz="0" w:space="0" w:color="auto"/>
        <w:bottom w:val="none" w:sz="0" w:space="0" w:color="auto"/>
        <w:right w:val="none" w:sz="0" w:space="0" w:color="auto"/>
      </w:divBdr>
    </w:div>
    <w:div w:id="1108037722">
      <w:bodyDiv w:val="1"/>
      <w:marLeft w:val="0"/>
      <w:marRight w:val="0"/>
      <w:marTop w:val="0"/>
      <w:marBottom w:val="0"/>
      <w:divBdr>
        <w:top w:val="none" w:sz="0" w:space="0" w:color="auto"/>
        <w:left w:val="none" w:sz="0" w:space="0" w:color="auto"/>
        <w:bottom w:val="none" w:sz="0" w:space="0" w:color="auto"/>
        <w:right w:val="none" w:sz="0" w:space="0" w:color="auto"/>
      </w:divBdr>
    </w:div>
    <w:div w:id="1155606181">
      <w:bodyDiv w:val="1"/>
      <w:marLeft w:val="0"/>
      <w:marRight w:val="0"/>
      <w:marTop w:val="0"/>
      <w:marBottom w:val="0"/>
      <w:divBdr>
        <w:top w:val="none" w:sz="0" w:space="0" w:color="auto"/>
        <w:left w:val="none" w:sz="0" w:space="0" w:color="auto"/>
        <w:bottom w:val="none" w:sz="0" w:space="0" w:color="auto"/>
        <w:right w:val="none" w:sz="0" w:space="0" w:color="auto"/>
      </w:divBdr>
    </w:div>
    <w:div w:id="1164852502">
      <w:bodyDiv w:val="1"/>
      <w:marLeft w:val="0"/>
      <w:marRight w:val="0"/>
      <w:marTop w:val="0"/>
      <w:marBottom w:val="0"/>
      <w:divBdr>
        <w:top w:val="none" w:sz="0" w:space="0" w:color="auto"/>
        <w:left w:val="none" w:sz="0" w:space="0" w:color="auto"/>
        <w:bottom w:val="none" w:sz="0" w:space="0" w:color="auto"/>
        <w:right w:val="none" w:sz="0" w:space="0" w:color="auto"/>
      </w:divBdr>
    </w:div>
    <w:div w:id="1173105800">
      <w:bodyDiv w:val="1"/>
      <w:marLeft w:val="0"/>
      <w:marRight w:val="0"/>
      <w:marTop w:val="0"/>
      <w:marBottom w:val="0"/>
      <w:divBdr>
        <w:top w:val="none" w:sz="0" w:space="0" w:color="auto"/>
        <w:left w:val="none" w:sz="0" w:space="0" w:color="auto"/>
        <w:bottom w:val="none" w:sz="0" w:space="0" w:color="auto"/>
        <w:right w:val="none" w:sz="0" w:space="0" w:color="auto"/>
      </w:divBdr>
    </w:div>
    <w:div w:id="1256793029">
      <w:bodyDiv w:val="1"/>
      <w:marLeft w:val="0"/>
      <w:marRight w:val="0"/>
      <w:marTop w:val="0"/>
      <w:marBottom w:val="0"/>
      <w:divBdr>
        <w:top w:val="none" w:sz="0" w:space="0" w:color="auto"/>
        <w:left w:val="none" w:sz="0" w:space="0" w:color="auto"/>
        <w:bottom w:val="none" w:sz="0" w:space="0" w:color="auto"/>
        <w:right w:val="none" w:sz="0" w:space="0" w:color="auto"/>
      </w:divBdr>
    </w:div>
    <w:div w:id="1260674553">
      <w:bodyDiv w:val="1"/>
      <w:marLeft w:val="0"/>
      <w:marRight w:val="0"/>
      <w:marTop w:val="0"/>
      <w:marBottom w:val="0"/>
      <w:divBdr>
        <w:top w:val="none" w:sz="0" w:space="0" w:color="auto"/>
        <w:left w:val="none" w:sz="0" w:space="0" w:color="auto"/>
        <w:bottom w:val="none" w:sz="0" w:space="0" w:color="auto"/>
        <w:right w:val="none" w:sz="0" w:space="0" w:color="auto"/>
      </w:divBdr>
    </w:div>
    <w:div w:id="1263144821">
      <w:bodyDiv w:val="1"/>
      <w:marLeft w:val="0"/>
      <w:marRight w:val="0"/>
      <w:marTop w:val="0"/>
      <w:marBottom w:val="0"/>
      <w:divBdr>
        <w:top w:val="none" w:sz="0" w:space="0" w:color="auto"/>
        <w:left w:val="none" w:sz="0" w:space="0" w:color="auto"/>
        <w:bottom w:val="none" w:sz="0" w:space="0" w:color="auto"/>
        <w:right w:val="none" w:sz="0" w:space="0" w:color="auto"/>
      </w:divBdr>
    </w:div>
    <w:div w:id="1265114943">
      <w:bodyDiv w:val="1"/>
      <w:marLeft w:val="0"/>
      <w:marRight w:val="0"/>
      <w:marTop w:val="0"/>
      <w:marBottom w:val="0"/>
      <w:divBdr>
        <w:top w:val="none" w:sz="0" w:space="0" w:color="auto"/>
        <w:left w:val="none" w:sz="0" w:space="0" w:color="auto"/>
        <w:bottom w:val="none" w:sz="0" w:space="0" w:color="auto"/>
        <w:right w:val="none" w:sz="0" w:space="0" w:color="auto"/>
      </w:divBdr>
    </w:div>
    <w:div w:id="1269194670">
      <w:bodyDiv w:val="1"/>
      <w:marLeft w:val="0"/>
      <w:marRight w:val="0"/>
      <w:marTop w:val="0"/>
      <w:marBottom w:val="0"/>
      <w:divBdr>
        <w:top w:val="none" w:sz="0" w:space="0" w:color="auto"/>
        <w:left w:val="none" w:sz="0" w:space="0" w:color="auto"/>
        <w:bottom w:val="none" w:sz="0" w:space="0" w:color="auto"/>
        <w:right w:val="none" w:sz="0" w:space="0" w:color="auto"/>
      </w:divBdr>
    </w:div>
    <w:div w:id="1286619694">
      <w:bodyDiv w:val="1"/>
      <w:marLeft w:val="0"/>
      <w:marRight w:val="0"/>
      <w:marTop w:val="0"/>
      <w:marBottom w:val="0"/>
      <w:divBdr>
        <w:top w:val="none" w:sz="0" w:space="0" w:color="auto"/>
        <w:left w:val="none" w:sz="0" w:space="0" w:color="auto"/>
        <w:bottom w:val="none" w:sz="0" w:space="0" w:color="auto"/>
        <w:right w:val="none" w:sz="0" w:space="0" w:color="auto"/>
      </w:divBdr>
    </w:div>
    <w:div w:id="1324897270">
      <w:bodyDiv w:val="1"/>
      <w:marLeft w:val="0"/>
      <w:marRight w:val="0"/>
      <w:marTop w:val="0"/>
      <w:marBottom w:val="0"/>
      <w:divBdr>
        <w:top w:val="none" w:sz="0" w:space="0" w:color="auto"/>
        <w:left w:val="none" w:sz="0" w:space="0" w:color="auto"/>
        <w:bottom w:val="none" w:sz="0" w:space="0" w:color="auto"/>
        <w:right w:val="none" w:sz="0" w:space="0" w:color="auto"/>
      </w:divBdr>
    </w:div>
    <w:div w:id="1349940232">
      <w:bodyDiv w:val="1"/>
      <w:marLeft w:val="0"/>
      <w:marRight w:val="0"/>
      <w:marTop w:val="0"/>
      <w:marBottom w:val="0"/>
      <w:divBdr>
        <w:top w:val="none" w:sz="0" w:space="0" w:color="auto"/>
        <w:left w:val="none" w:sz="0" w:space="0" w:color="auto"/>
        <w:bottom w:val="none" w:sz="0" w:space="0" w:color="auto"/>
        <w:right w:val="none" w:sz="0" w:space="0" w:color="auto"/>
      </w:divBdr>
    </w:div>
    <w:div w:id="1361471894">
      <w:bodyDiv w:val="1"/>
      <w:marLeft w:val="0"/>
      <w:marRight w:val="0"/>
      <w:marTop w:val="0"/>
      <w:marBottom w:val="0"/>
      <w:divBdr>
        <w:top w:val="none" w:sz="0" w:space="0" w:color="auto"/>
        <w:left w:val="none" w:sz="0" w:space="0" w:color="auto"/>
        <w:bottom w:val="none" w:sz="0" w:space="0" w:color="auto"/>
        <w:right w:val="none" w:sz="0" w:space="0" w:color="auto"/>
      </w:divBdr>
      <w:divsChild>
        <w:div w:id="1313363833">
          <w:marLeft w:val="0"/>
          <w:marRight w:val="0"/>
          <w:marTop w:val="0"/>
          <w:marBottom w:val="0"/>
          <w:divBdr>
            <w:top w:val="none" w:sz="0" w:space="0" w:color="auto"/>
            <w:left w:val="none" w:sz="0" w:space="0" w:color="auto"/>
            <w:bottom w:val="none" w:sz="0" w:space="0" w:color="auto"/>
            <w:right w:val="none" w:sz="0" w:space="0" w:color="auto"/>
          </w:divBdr>
          <w:divsChild>
            <w:div w:id="2051489975">
              <w:marLeft w:val="0"/>
              <w:marRight w:val="0"/>
              <w:marTop w:val="0"/>
              <w:marBottom w:val="0"/>
              <w:divBdr>
                <w:top w:val="none" w:sz="0" w:space="0" w:color="auto"/>
                <w:left w:val="none" w:sz="0" w:space="0" w:color="auto"/>
                <w:bottom w:val="none" w:sz="0" w:space="0" w:color="auto"/>
                <w:right w:val="none" w:sz="0" w:space="0" w:color="auto"/>
              </w:divBdr>
              <w:divsChild>
                <w:div w:id="10691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999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1372565">
      <w:bodyDiv w:val="1"/>
      <w:marLeft w:val="0"/>
      <w:marRight w:val="0"/>
      <w:marTop w:val="0"/>
      <w:marBottom w:val="0"/>
      <w:divBdr>
        <w:top w:val="none" w:sz="0" w:space="0" w:color="auto"/>
        <w:left w:val="none" w:sz="0" w:space="0" w:color="auto"/>
        <w:bottom w:val="none" w:sz="0" w:space="0" w:color="auto"/>
        <w:right w:val="none" w:sz="0" w:space="0" w:color="auto"/>
      </w:divBdr>
    </w:div>
    <w:div w:id="1376810671">
      <w:bodyDiv w:val="1"/>
      <w:marLeft w:val="0"/>
      <w:marRight w:val="0"/>
      <w:marTop w:val="0"/>
      <w:marBottom w:val="0"/>
      <w:divBdr>
        <w:top w:val="none" w:sz="0" w:space="0" w:color="auto"/>
        <w:left w:val="none" w:sz="0" w:space="0" w:color="auto"/>
        <w:bottom w:val="none" w:sz="0" w:space="0" w:color="auto"/>
        <w:right w:val="none" w:sz="0" w:space="0" w:color="auto"/>
      </w:divBdr>
    </w:div>
    <w:div w:id="1399984496">
      <w:bodyDiv w:val="1"/>
      <w:marLeft w:val="0"/>
      <w:marRight w:val="0"/>
      <w:marTop w:val="0"/>
      <w:marBottom w:val="0"/>
      <w:divBdr>
        <w:top w:val="none" w:sz="0" w:space="0" w:color="auto"/>
        <w:left w:val="none" w:sz="0" w:space="0" w:color="auto"/>
        <w:bottom w:val="none" w:sz="0" w:space="0" w:color="auto"/>
        <w:right w:val="none" w:sz="0" w:space="0" w:color="auto"/>
      </w:divBdr>
    </w:div>
    <w:div w:id="1444495834">
      <w:bodyDiv w:val="1"/>
      <w:marLeft w:val="0"/>
      <w:marRight w:val="0"/>
      <w:marTop w:val="0"/>
      <w:marBottom w:val="0"/>
      <w:divBdr>
        <w:top w:val="none" w:sz="0" w:space="0" w:color="auto"/>
        <w:left w:val="none" w:sz="0" w:space="0" w:color="auto"/>
        <w:bottom w:val="none" w:sz="0" w:space="0" w:color="auto"/>
        <w:right w:val="none" w:sz="0" w:space="0" w:color="auto"/>
      </w:divBdr>
    </w:div>
    <w:div w:id="1481580928">
      <w:bodyDiv w:val="1"/>
      <w:marLeft w:val="0"/>
      <w:marRight w:val="0"/>
      <w:marTop w:val="0"/>
      <w:marBottom w:val="0"/>
      <w:divBdr>
        <w:top w:val="none" w:sz="0" w:space="0" w:color="auto"/>
        <w:left w:val="none" w:sz="0" w:space="0" w:color="auto"/>
        <w:bottom w:val="none" w:sz="0" w:space="0" w:color="auto"/>
        <w:right w:val="none" w:sz="0" w:space="0" w:color="auto"/>
      </w:divBdr>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509251828">
      <w:bodyDiv w:val="1"/>
      <w:marLeft w:val="0"/>
      <w:marRight w:val="0"/>
      <w:marTop w:val="0"/>
      <w:marBottom w:val="0"/>
      <w:divBdr>
        <w:top w:val="none" w:sz="0" w:space="0" w:color="auto"/>
        <w:left w:val="none" w:sz="0" w:space="0" w:color="auto"/>
        <w:bottom w:val="none" w:sz="0" w:space="0" w:color="auto"/>
        <w:right w:val="none" w:sz="0" w:space="0" w:color="auto"/>
      </w:divBdr>
    </w:div>
    <w:div w:id="1524242140">
      <w:bodyDiv w:val="1"/>
      <w:marLeft w:val="0"/>
      <w:marRight w:val="0"/>
      <w:marTop w:val="0"/>
      <w:marBottom w:val="0"/>
      <w:divBdr>
        <w:top w:val="none" w:sz="0" w:space="0" w:color="auto"/>
        <w:left w:val="none" w:sz="0" w:space="0" w:color="auto"/>
        <w:bottom w:val="none" w:sz="0" w:space="0" w:color="auto"/>
        <w:right w:val="none" w:sz="0" w:space="0" w:color="auto"/>
      </w:divBdr>
    </w:div>
    <w:div w:id="1560245854">
      <w:bodyDiv w:val="1"/>
      <w:marLeft w:val="0"/>
      <w:marRight w:val="0"/>
      <w:marTop w:val="0"/>
      <w:marBottom w:val="0"/>
      <w:divBdr>
        <w:top w:val="none" w:sz="0" w:space="0" w:color="auto"/>
        <w:left w:val="none" w:sz="0" w:space="0" w:color="auto"/>
        <w:bottom w:val="none" w:sz="0" w:space="0" w:color="auto"/>
        <w:right w:val="none" w:sz="0" w:space="0" w:color="auto"/>
      </w:divBdr>
    </w:div>
    <w:div w:id="1625384338">
      <w:bodyDiv w:val="1"/>
      <w:marLeft w:val="0"/>
      <w:marRight w:val="0"/>
      <w:marTop w:val="0"/>
      <w:marBottom w:val="0"/>
      <w:divBdr>
        <w:top w:val="none" w:sz="0" w:space="0" w:color="auto"/>
        <w:left w:val="none" w:sz="0" w:space="0" w:color="auto"/>
        <w:bottom w:val="none" w:sz="0" w:space="0" w:color="auto"/>
        <w:right w:val="none" w:sz="0" w:space="0" w:color="auto"/>
      </w:divBdr>
    </w:div>
    <w:div w:id="1636594551">
      <w:bodyDiv w:val="1"/>
      <w:marLeft w:val="0"/>
      <w:marRight w:val="0"/>
      <w:marTop w:val="0"/>
      <w:marBottom w:val="0"/>
      <w:divBdr>
        <w:top w:val="none" w:sz="0" w:space="0" w:color="auto"/>
        <w:left w:val="none" w:sz="0" w:space="0" w:color="auto"/>
        <w:bottom w:val="none" w:sz="0" w:space="0" w:color="auto"/>
        <w:right w:val="none" w:sz="0" w:space="0" w:color="auto"/>
      </w:divBdr>
    </w:div>
    <w:div w:id="1668898758">
      <w:bodyDiv w:val="1"/>
      <w:marLeft w:val="0"/>
      <w:marRight w:val="0"/>
      <w:marTop w:val="0"/>
      <w:marBottom w:val="0"/>
      <w:divBdr>
        <w:top w:val="none" w:sz="0" w:space="0" w:color="auto"/>
        <w:left w:val="none" w:sz="0" w:space="0" w:color="auto"/>
        <w:bottom w:val="none" w:sz="0" w:space="0" w:color="auto"/>
        <w:right w:val="none" w:sz="0" w:space="0" w:color="auto"/>
      </w:divBdr>
    </w:div>
    <w:div w:id="1696731500">
      <w:bodyDiv w:val="1"/>
      <w:marLeft w:val="0"/>
      <w:marRight w:val="0"/>
      <w:marTop w:val="0"/>
      <w:marBottom w:val="0"/>
      <w:divBdr>
        <w:top w:val="none" w:sz="0" w:space="0" w:color="auto"/>
        <w:left w:val="none" w:sz="0" w:space="0" w:color="auto"/>
        <w:bottom w:val="none" w:sz="0" w:space="0" w:color="auto"/>
        <w:right w:val="none" w:sz="0" w:space="0" w:color="auto"/>
      </w:divBdr>
    </w:div>
    <w:div w:id="1713114138">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 w:id="1795128268">
      <w:bodyDiv w:val="1"/>
      <w:marLeft w:val="0"/>
      <w:marRight w:val="0"/>
      <w:marTop w:val="0"/>
      <w:marBottom w:val="0"/>
      <w:divBdr>
        <w:top w:val="none" w:sz="0" w:space="0" w:color="auto"/>
        <w:left w:val="none" w:sz="0" w:space="0" w:color="auto"/>
        <w:bottom w:val="none" w:sz="0" w:space="0" w:color="auto"/>
        <w:right w:val="none" w:sz="0" w:space="0" w:color="auto"/>
      </w:divBdr>
    </w:div>
    <w:div w:id="1811827864">
      <w:bodyDiv w:val="1"/>
      <w:marLeft w:val="0"/>
      <w:marRight w:val="0"/>
      <w:marTop w:val="0"/>
      <w:marBottom w:val="0"/>
      <w:divBdr>
        <w:top w:val="none" w:sz="0" w:space="0" w:color="auto"/>
        <w:left w:val="none" w:sz="0" w:space="0" w:color="auto"/>
        <w:bottom w:val="none" w:sz="0" w:space="0" w:color="auto"/>
        <w:right w:val="none" w:sz="0" w:space="0" w:color="auto"/>
      </w:divBdr>
    </w:div>
    <w:div w:id="1909922905">
      <w:bodyDiv w:val="1"/>
      <w:marLeft w:val="0"/>
      <w:marRight w:val="0"/>
      <w:marTop w:val="0"/>
      <w:marBottom w:val="0"/>
      <w:divBdr>
        <w:top w:val="none" w:sz="0" w:space="0" w:color="auto"/>
        <w:left w:val="none" w:sz="0" w:space="0" w:color="auto"/>
        <w:bottom w:val="none" w:sz="0" w:space="0" w:color="auto"/>
        <w:right w:val="none" w:sz="0" w:space="0" w:color="auto"/>
      </w:divBdr>
    </w:div>
    <w:div w:id="1927953018">
      <w:bodyDiv w:val="1"/>
      <w:marLeft w:val="0"/>
      <w:marRight w:val="0"/>
      <w:marTop w:val="0"/>
      <w:marBottom w:val="0"/>
      <w:divBdr>
        <w:top w:val="none" w:sz="0" w:space="0" w:color="auto"/>
        <w:left w:val="none" w:sz="0" w:space="0" w:color="auto"/>
        <w:bottom w:val="none" w:sz="0" w:space="0" w:color="auto"/>
        <w:right w:val="none" w:sz="0" w:space="0" w:color="auto"/>
      </w:divBdr>
    </w:div>
    <w:div w:id="1929729398">
      <w:bodyDiv w:val="1"/>
      <w:marLeft w:val="0"/>
      <w:marRight w:val="0"/>
      <w:marTop w:val="0"/>
      <w:marBottom w:val="0"/>
      <w:divBdr>
        <w:top w:val="none" w:sz="0" w:space="0" w:color="auto"/>
        <w:left w:val="none" w:sz="0" w:space="0" w:color="auto"/>
        <w:bottom w:val="none" w:sz="0" w:space="0" w:color="auto"/>
        <w:right w:val="none" w:sz="0" w:space="0" w:color="auto"/>
      </w:divBdr>
    </w:div>
    <w:div w:id="1938832383">
      <w:bodyDiv w:val="1"/>
      <w:marLeft w:val="0"/>
      <w:marRight w:val="0"/>
      <w:marTop w:val="0"/>
      <w:marBottom w:val="0"/>
      <w:divBdr>
        <w:top w:val="none" w:sz="0" w:space="0" w:color="auto"/>
        <w:left w:val="none" w:sz="0" w:space="0" w:color="auto"/>
        <w:bottom w:val="none" w:sz="0" w:space="0" w:color="auto"/>
        <w:right w:val="none" w:sz="0" w:space="0" w:color="auto"/>
      </w:divBdr>
    </w:div>
    <w:div w:id="1950695721">
      <w:bodyDiv w:val="1"/>
      <w:marLeft w:val="0"/>
      <w:marRight w:val="0"/>
      <w:marTop w:val="0"/>
      <w:marBottom w:val="0"/>
      <w:divBdr>
        <w:top w:val="none" w:sz="0" w:space="0" w:color="auto"/>
        <w:left w:val="none" w:sz="0" w:space="0" w:color="auto"/>
        <w:bottom w:val="none" w:sz="0" w:space="0" w:color="auto"/>
        <w:right w:val="none" w:sz="0" w:space="0" w:color="auto"/>
      </w:divBdr>
    </w:div>
    <w:div w:id="1964994091">
      <w:bodyDiv w:val="1"/>
      <w:marLeft w:val="0"/>
      <w:marRight w:val="0"/>
      <w:marTop w:val="0"/>
      <w:marBottom w:val="0"/>
      <w:divBdr>
        <w:top w:val="none" w:sz="0" w:space="0" w:color="auto"/>
        <w:left w:val="none" w:sz="0" w:space="0" w:color="auto"/>
        <w:bottom w:val="none" w:sz="0" w:space="0" w:color="auto"/>
        <w:right w:val="none" w:sz="0" w:space="0" w:color="auto"/>
      </w:divBdr>
    </w:div>
    <w:div w:id="1965848262">
      <w:bodyDiv w:val="1"/>
      <w:marLeft w:val="0"/>
      <w:marRight w:val="0"/>
      <w:marTop w:val="0"/>
      <w:marBottom w:val="0"/>
      <w:divBdr>
        <w:top w:val="none" w:sz="0" w:space="0" w:color="auto"/>
        <w:left w:val="none" w:sz="0" w:space="0" w:color="auto"/>
        <w:bottom w:val="none" w:sz="0" w:space="0" w:color="auto"/>
        <w:right w:val="none" w:sz="0" w:space="0" w:color="auto"/>
      </w:divBdr>
    </w:div>
    <w:div w:id="1982540897">
      <w:bodyDiv w:val="1"/>
      <w:marLeft w:val="0"/>
      <w:marRight w:val="0"/>
      <w:marTop w:val="0"/>
      <w:marBottom w:val="0"/>
      <w:divBdr>
        <w:top w:val="none" w:sz="0" w:space="0" w:color="auto"/>
        <w:left w:val="none" w:sz="0" w:space="0" w:color="auto"/>
        <w:bottom w:val="none" w:sz="0" w:space="0" w:color="auto"/>
        <w:right w:val="none" w:sz="0" w:space="0" w:color="auto"/>
      </w:divBdr>
    </w:div>
    <w:div w:id="1996030635">
      <w:bodyDiv w:val="1"/>
      <w:marLeft w:val="0"/>
      <w:marRight w:val="0"/>
      <w:marTop w:val="0"/>
      <w:marBottom w:val="0"/>
      <w:divBdr>
        <w:top w:val="none" w:sz="0" w:space="0" w:color="auto"/>
        <w:left w:val="none" w:sz="0" w:space="0" w:color="auto"/>
        <w:bottom w:val="none" w:sz="0" w:space="0" w:color="auto"/>
        <w:right w:val="none" w:sz="0" w:space="0" w:color="auto"/>
      </w:divBdr>
    </w:div>
    <w:div w:id="2004964294">
      <w:bodyDiv w:val="1"/>
      <w:marLeft w:val="0"/>
      <w:marRight w:val="0"/>
      <w:marTop w:val="0"/>
      <w:marBottom w:val="0"/>
      <w:divBdr>
        <w:top w:val="none" w:sz="0" w:space="0" w:color="auto"/>
        <w:left w:val="none" w:sz="0" w:space="0" w:color="auto"/>
        <w:bottom w:val="none" w:sz="0" w:space="0" w:color="auto"/>
        <w:right w:val="none" w:sz="0" w:space="0" w:color="auto"/>
      </w:divBdr>
    </w:div>
    <w:div w:id="2007975944">
      <w:bodyDiv w:val="1"/>
      <w:marLeft w:val="0"/>
      <w:marRight w:val="0"/>
      <w:marTop w:val="0"/>
      <w:marBottom w:val="0"/>
      <w:divBdr>
        <w:top w:val="none" w:sz="0" w:space="0" w:color="auto"/>
        <w:left w:val="none" w:sz="0" w:space="0" w:color="auto"/>
        <w:bottom w:val="none" w:sz="0" w:space="0" w:color="auto"/>
        <w:right w:val="none" w:sz="0" w:space="0" w:color="auto"/>
      </w:divBdr>
    </w:div>
    <w:div w:id="2012563271">
      <w:bodyDiv w:val="1"/>
      <w:marLeft w:val="0"/>
      <w:marRight w:val="0"/>
      <w:marTop w:val="0"/>
      <w:marBottom w:val="0"/>
      <w:divBdr>
        <w:top w:val="none" w:sz="0" w:space="0" w:color="auto"/>
        <w:left w:val="none" w:sz="0" w:space="0" w:color="auto"/>
        <w:bottom w:val="none" w:sz="0" w:space="0" w:color="auto"/>
        <w:right w:val="none" w:sz="0" w:space="0" w:color="auto"/>
      </w:divBdr>
    </w:div>
    <w:div w:id="2017607812">
      <w:bodyDiv w:val="1"/>
      <w:marLeft w:val="0"/>
      <w:marRight w:val="0"/>
      <w:marTop w:val="0"/>
      <w:marBottom w:val="0"/>
      <w:divBdr>
        <w:top w:val="none" w:sz="0" w:space="0" w:color="auto"/>
        <w:left w:val="none" w:sz="0" w:space="0" w:color="auto"/>
        <w:bottom w:val="none" w:sz="0" w:space="0" w:color="auto"/>
        <w:right w:val="none" w:sz="0" w:space="0" w:color="auto"/>
      </w:divBdr>
    </w:div>
    <w:div w:id="2048942397">
      <w:bodyDiv w:val="1"/>
      <w:marLeft w:val="0"/>
      <w:marRight w:val="0"/>
      <w:marTop w:val="0"/>
      <w:marBottom w:val="0"/>
      <w:divBdr>
        <w:top w:val="none" w:sz="0" w:space="0" w:color="auto"/>
        <w:left w:val="none" w:sz="0" w:space="0" w:color="auto"/>
        <w:bottom w:val="none" w:sz="0" w:space="0" w:color="auto"/>
        <w:right w:val="none" w:sz="0" w:space="0" w:color="auto"/>
      </w:divBdr>
    </w:div>
    <w:div w:id="2060083930">
      <w:bodyDiv w:val="1"/>
      <w:marLeft w:val="0"/>
      <w:marRight w:val="0"/>
      <w:marTop w:val="0"/>
      <w:marBottom w:val="0"/>
      <w:divBdr>
        <w:top w:val="none" w:sz="0" w:space="0" w:color="auto"/>
        <w:left w:val="none" w:sz="0" w:space="0" w:color="auto"/>
        <w:bottom w:val="none" w:sz="0" w:space="0" w:color="auto"/>
        <w:right w:val="none" w:sz="0" w:space="0" w:color="auto"/>
      </w:divBdr>
    </w:div>
    <w:div w:id="2071489327">
      <w:bodyDiv w:val="1"/>
      <w:marLeft w:val="0"/>
      <w:marRight w:val="0"/>
      <w:marTop w:val="0"/>
      <w:marBottom w:val="0"/>
      <w:divBdr>
        <w:top w:val="none" w:sz="0" w:space="0" w:color="auto"/>
        <w:left w:val="none" w:sz="0" w:space="0" w:color="auto"/>
        <w:bottom w:val="none" w:sz="0" w:space="0" w:color="auto"/>
        <w:right w:val="none" w:sz="0" w:space="0" w:color="auto"/>
      </w:divBdr>
    </w:div>
    <w:div w:id="208221392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 w:id="2095854742">
      <w:bodyDiv w:val="1"/>
      <w:marLeft w:val="0"/>
      <w:marRight w:val="0"/>
      <w:marTop w:val="0"/>
      <w:marBottom w:val="0"/>
      <w:divBdr>
        <w:top w:val="none" w:sz="0" w:space="0" w:color="auto"/>
        <w:left w:val="none" w:sz="0" w:space="0" w:color="auto"/>
        <w:bottom w:val="none" w:sz="0" w:space="0" w:color="auto"/>
        <w:right w:val="none" w:sz="0" w:space="0" w:color="auto"/>
      </w:divBdr>
    </w:div>
    <w:div w:id="2103139737">
      <w:bodyDiv w:val="1"/>
      <w:marLeft w:val="0"/>
      <w:marRight w:val="0"/>
      <w:marTop w:val="0"/>
      <w:marBottom w:val="0"/>
      <w:divBdr>
        <w:top w:val="none" w:sz="0" w:space="0" w:color="auto"/>
        <w:left w:val="none" w:sz="0" w:space="0" w:color="auto"/>
        <w:bottom w:val="none" w:sz="0" w:space="0" w:color="auto"/>
        <w:right w:val="none" w:sz="0" w:space="0" w:color="auto"/>
      </w:divBdr>
    </w:div>
    <w:div w:id="2121534175">
      <w:bodyDiv w:val="1"/>
      <w:marLeft w:val="0"/>
      <w:marRight w:val="0"/>
      <w:marTop w:val="0"/>
      <w:marBottom w:val="0"/>
      <w:divBdr>
        <w:top w:val="none" w:sz="0" w:space="0" w:color="auto"/>
        <w:left w:val="none" w:sz="0" w:space="0" w:color="auto"/>
        <w:bottom w:val="none" w:sz="0" w:space="0" w:color="auto"/>
        <w:right w:val="none" w:sz="0" w:space="0" w:color="auto"/>
      </w:divBdr>
      <w:divsChild>
        <w:div w:id="349793981">
          <w:marLeft w:val="0"/>
          <w:marRight w:val="0"/>
          <w:marTop w:val="0"/>
          <w:marBottom w:val="0"/>
          <w:divBdr>
            <w:top w:val="none" w:sz="0" w:space="0" w:color="auto"/>
            <w:left w:val="none" w:sz="0" w:space="0" w:color="auto"/>
            <w:bottom w:val="none" w:sz="0" w:space="0" w:color="auto"/>
            <w:right w:val="none" w:sz="0" w:space="0" w:color="auto"/>
          </w:divBdr>
          <w:divsChild>
            <w:div w:id="1117680772">
              <w:marLeft w:val="0"/>
              <w:marRight w:val="0"/>
              <w:marTop w:val="0"/>
              <w:marBottom w:val="0"/>
              <w:divBdr>
                <w:top w:val="none" w:sz="0" w:space="0" w:color="auto"/>
                <w:left w:val="none" w:sz="0" w:space="0" w:color="auto"/>
                <w:bottom w:val="none" w:sz="0" w:space="0" w:color="auto"/>
                <w:right w:val="none" w:sz="0" w:space="0" w:color="auto"/>
              </w:divBdr>
              <w:divsChild>
                <w:div w:id="959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7655">
      <w:bodyDiv w:val="1"/>
      <w:marLeft w:val="0"/>
      <w:marRight w:val="0"/>
      <w:marTop w:val="0"/>
      <w:marBottom w:val="0"/>
      <w:divBdr>
        <w:top w:val="none" w:sz="0" w:space="0" w:color="auto"/>
        <w:left w:val="none" w:sz="0" w:space="0" w:color="auto"/>
        <w:bottom w:val="none" w:sz="0" w:space="0" w:color="auto"/>
        <w:right w:val="none" w:sz="0" w:space="0" w:color="auto"/>
      </w:divBdr>
    </w:div>
    <w:div w:id="213660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financial/rm2020.s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doc/c/6a88/e10e/7e47addcff24f913039efa2d/cop-14-06-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19/ntf-2019-086-resource-mobilization-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22-fr.pdf" TargetMode="External"/><Relationship Id="rId20" Type="http://schemas.openxmlformats.org/officeDocument/2006/relationships/hyperlink" Target="https://www.cbd.int/doc/c/6a88/e10e/7e47addcff24f913039efa2d/cop-14-06-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22-fr.pdf"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cbd.int/doc/decisions/cop-12/cop-12-dec-03-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2/cop-12-dec-03-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capacity4dev/b4life/wiki/biodiversity-life-b4life" TargetMode="External"/><Relationship Id="rId3" Type="http://schemas.openxmlformats.org/officeDocument/2006/relationships/hyperlink" Target="https://ec.europa.eu/environment/nature/biodiversity/financing_en.htm" TargetMode="External"/><Relationship Id="rId7" Type="http://schemas.openxmlformats.org/officeDocument/2006/relationships/hyperlink" Target="http://ec.europa.eu/environment/biodiversity/business/index_en.htm" TargetMode="External"/><Relationship Id="rId12" Type="http://schemas.openxmlformats.org/officeDocument/2006/relationships/hyperlink" Target="https://www.cbd.int/meetings/SBI-03" TargetMode="External"/><Relationship Id="rId2" Type="http://schemas.openxmlformats.org/officeDocument/2006/relationships/hyperlink" Target="https://www.wavespartnership.org/en" TargetMode="External"/><Relationship Id="rId1" Type="http://schemas.openxmlformats.org/officeDocument/2006/relationships/hyperlink" Target="https://chm.cbd.int/search/financial-analyzer" TargetMode="External"/><Relationship Id="rId6" Type="http://schemas.openxmlformats.org/officeDocument/2006/relationships/hyperlink" Target="https://www.oecd.org/environment/resources/biodiversity/report-a-comprehensive-overview-of-global-biodiversity-finance.pdf" TargetMode="External"/><Relationship Id="rId11" Type="http://schemas.openxmlformats.org/officeDocument/2006/relationships/hyperlink" Target="https://www.oecd.org/environment/resources/biodiversity/report-a-comprehensive-overview-of-global-biodiversity-finance.pdf" TargetMode="External"/><Relationship Id="rId5" Type="http://schemas.openxmlformats.org/officeDocument/2006/relationships/hyperlink" Target="https://www.thegef.org/sites/default/files/council-meeting-documents/c-53-me-inf-01%20-%20DEC17.pdf" TargetMode="External"/><Relationship Id="rId10" Type="http://schemas.openxmlformats.org/officeDocument/2006/relationships/hyperlink" Target="https://undocs.org/fr/A/RES/70/1" TargetMode="External"/><Relationship Id="rId4" Type="http://schemas.openxmlformats.org/officeDocument/2006/relationships/hyperlink" Target="https://www.thegef.org/topics/biodiversity" TargetMode="External"/><Relationship Id="rId9" Type="http://schemas.openxmlformats.org/officeDocument/2006/relationships/hyperlink" Target="https://www.cbd.int/development/doc/biodiversity-2030-agenda-technical-note-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hyphenationZone w:val="425"/>
  <w:characterSpacingControl w:val="doNotCompress"/>
  <w:compat>
    <w:useFELayout/>
  </w:compat>
  <w:rsids>
    <w:rsidRoot w:val="00810A55"/>
    <w:rsid w:val="00000F7D"/>
    <w:rsid w:val="000053D1"/>
    <w:rsid w:val="0009467D"/>
    <w:rsid w:val="000C571E"/>
    <w:rsid w:val="000D7615"/>
    <w:rsid w:val="000E06E8"/>
    <w:rsid w:val="00115491"/>
    <w:rsid w:val="0012760D"/>
    <w:rsid w:val="00153D53"/>
    <w:rsid w:val="00175F79"/>
    <w:rsid w:val="0017712A"/>
    <w:rsid w:val="00180298"/>
    <w:rsid w:val="00186006"/>
    <w:rsid w:val="00217B00"/>
    <w:rsid w:val="00261CA4"/>
    <w:rsid w:val="00276B4E"/>
    <w:rsid w:val="002855C6"/>
    <w:rsid w:val="002D2142"/>
    <w:rsid w:val="002E1630"/>
    <w:rsid w:val="002F2C5E"/>
    <w:rsid w:val="00305D68"/>
    <w:rsid w:val="0035249F"/>
    <w:rsid w:val="003545BC"/>
    <w:rsid w:val="0036274C"/>
    <w:rsid w:val="00363723"/>
    <w:rsid w:val="00376705"/>
    <w:rsid w:val="003B7BD5"/>
    <w:rsid w:val="003E5AAB"/>
    <w:rsid w:val="004251E2"/>
    <w:rsid w:val="00446EF8"/>
    <w:rsid w:val="00461E54"/>
    <w:rsid w:val="004705E0"/>
    <w:rsid w:val="00474089"/>
    <w:rsid w:val="00480921"/>
    <w:rsid w:val="004B58B9"/>
    <w:rsid w:val="004D6406"/>
    <w:rsid w:val="004F2C39"/>
    <w:rsid w:val="004F7AD4"/>
    <w:rsid w:val="00500A2B"/>
    <w:rsid w:val="00527D02"/>
    <w:rsid w:val="00560E6F"/>
    <w:rsid w:val="00560E81"/>
    <w:rsid w:val="00567126"/>
    <w:rsid w:val="0058288D"/>
    <w:rsid w:val="005F0755"/>
    <w:rsid w:val="005F6D2B"/>
    <w:rsid w:val="00610BA3"/>
    <w:rsid w:val="006136A9"/>
    <w:rsid w:val="00651002"/>
    <w:rsid w:val="00657DA6"/>
    <w:rsid w:val="006605B1"/>
    <w:rsid w:val="006801B3"/>
    <w:rsid w:val="0068258B"/>
    <w:rsid w:val="006A45D8"/>
    <w:rsid w:val="006F02C5"/>
    <w:rsid w:val="0072190A"/>
    <w:rsid w:val="0073205F"/>
    <w:rsid w:val="00741286"/>
    <w:rsid w:val="007618C1"/>
    <w:rsid w:val="00781534"/>
    <w:rsid w:val="007A1AEB"/>
    <w:rsid w:val="007A33D5"/>
    <w:rsid w:val="007B51D7"/>
    <w:rsid w:val="007C3902"/>
    <w:rsid w:val="007F1B05"/>
    <w:rsid w:val="007F3126"/>
    <w:rsid w:val="00810A55"/>
    <w:rsid w:val="00836848"/>
    <w:rsid w:val="008576BD"/>
    <w:rsid w:val="00865505"/>
    <w:rsid w:val="008674BE"/>
    <w:rsid w:val="008B01D9"/>
    <w:rsid w:val="008C2933"/>
    <w:rsid w:val="008C6619"/>
    <w:rsid w:val="008D1917"/>
    <w:rsid w:val="008D420E"/>
    <w:rsid w:val="00904343"/>
    <w:rsid w:val="00921FFE"/>
    <w:rsid w:val="00932B4F"/>
    <w:rsid w:val="00965862"/>
    <w:rsid w:val="00975686"/>
    <w:rsid w:val="0098642F"/>
    <w:rsid w:val="009B1129"/>
    <w:rsid w:val="009C0324"/>
    <w:rsid w:val="009E72FA"/>
    <w:rsid w:val="00A0349F"/>
    <w:rsid w:val="00A07BA9"/>
    <w:rsid w:val="00A22E29"/>
    <w:rsid w:val="00A42DDB"/>
    <w:rsid w:val="00A46588"/>
    <w:rsid w:val="00A470B9"/>
    <w:rsid w:val="00A53DC0"/>
    <w:rsid w:val="00A724DA"/>
    <w:rsid w:val="00A7434E"/>
    <w:rsid w:val="00A902A7"/>
    <w:rsid w:val="00AA0B38"/>
    <w:rsid w:val="00AA0D21"/>
    <w:rsid w:val="00AA67A2"/>
    <w:rsid w:val="00AB6230"/>
    <w:rsid w:val="00AD6361"/>
    <w:rsid w:val="00B156DC"/>
    <w:rsid w:val="00B157A5"/>
    <w:rsid w:val="00B30251"/>
    <w:rsid w:val="00B941E7"/>
    <w:rsid w:val="00B95B99"/>
    <w:rsid w:val="00C12A3E"/>
    <w:rsid w:val="00C41C7E"/>
    <w:rsid w:val="00C56B9A"/>
    <w:rsid w:val="00C76727"/>
    <w:rsid w:val="00C92790"/>
    <w:rsid w:val="00CC3AD5"/>
    <w:rsid w:val="00D02897"/>
    <w:rsid w:val="00D60ABC"/>
    <w:rsid w:val="00D6197E"/>
    <w:rsid w:val="00D81311"/>
    <w:rsid w:val="00DC28B0"/>
    <w:rsid w:val="00E248B2"/>
    <w:rsid w:val="00E5016F"/>
    <w:rsid w:val="00EE1879"/>
    <w:rsid w:val="00EE3C8F"/>
    <w:rsid w:val="00F365FA"/>
    <w:rsid w:val="00F37E12"/>
    <w:rsid w:val="00F60DB2"/>
    <w:rsid w:val="00F806ED"/>
    <w:rsid w:val="00F95DB3"/>
    <w:rsid w:val="00FA2101"/>
    <w:rsid w:val="00FB6196"/>
    <w:rsid w:val="00FD5232"/>
    <w:rsid w:val="00FE235A"/>
    <w:rsid w:val="00FF08E1"/>
    <w:rsid w:val="00FF487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D5232"/>
    <w:rPr>
      <w:color w:val="808080"/>
    </w:rPr>
  </w:style>
  <w:style w:type="paragraph" w:customStyle="1" w:styleId="7195B827B75242CFA3286B75B15DE087">
    <w:name w:val="7195B827B75242CFA3286B75B15DE087"/>
    <w:rsid w:val="00A470B9"/>
    <w:pPr>
      <w:spacing w:after="160" w:line="259" w:lineRule="auto"/>
    </w:pPr>
  </w:style>
  <w:style w:type="paragraph" w:customStyle="1" w:styleId="A08F36319AE44C0880EED12923A533F5">
    <w:name w:val="A08F36319AE44C0880EED12923A533F5"/>
    <w:rsid w:val="00A0349F"/>
  </w:style>
  <w:style w:type="paragraph" w:customStyle="1" w:styleId="58E1C128959B4AD5BD7F63DF87BA6BD0">
    <w:name w:val="58E1C128959B4AD5BD7F63DF87BA6BD0"/>
    <w:rsid w:val="00FD5232"/>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Mendeley_aclwWTQFdDuqg5ALUeTTNA</b:Tag>
    <b:SourceType>InternetSite</b:SourceType>
    <b:Guid>{2970A13F-09A4-40AD-B359-DE1072A03CC7}</b:Guid>
    <b:Title>Green bond issuance tops $200bn milestone</b:Title>
    <b:YearAccessed>2019</b:YearAccessed>
    <b:MonthAccessed>12</b:MonthAccessed>
    <b:DayAccessed>05</b:DayAccessed>
    <b:URL>https://www.climatebonds.net/2019/10/green-bond-issuance-tops-200bn-milestone-new-global-record-green-finance-latest-climate</b:URL>
    <b:LCID>1033</b:LCID>
    <b:Version>Mendeley</b:Version>
    <b:Year>2019</b:Year>
    <b:Author>
      <b:Author>
        <b:NameList>
          <b:Person>
            <b:Last>Climate Bonds Initiative</b:Last>
          </b:Person>
        </b:NameList>
      </b:Author>
    </b:Author>
    <b:RefOrder>1</b:RefOrder>
  </b:Source>
  <b:Source>
    <b:Tag>Cli171</b:Tag>
    <b:SourceType>Book</b:SourceType>
    <b:Guid>{E3E19380-31E8-4072-934D-1D97962C5A33}</b:Guid>
    <b:Title>Green Bond Highlights 2016</b:Title>
    <b:Year>2017</b:Year>
    <b:Author>
      <b:Author>
        <b:NameList>
          <b:Person>
            <b:Last>Climate Bond Initiative</b:Last>
          </b:Person>
        </b:NameList>
      </b:Author>
    </b:Author>
    <b:RefOrder>2</b:RefOrder>
  </b:Source>
  <b:Source>
    <b:Tag>Cli181</b:Tag>
    <b:SourceType>Book</b:SourceType>
    <b:Guid>{1107BD2C-B9A9-42F8-BBA4-3AB0AC448B09}</b:Guid>
    <b:Title>Bonds and Climate Change: The State of the Market</b:Title>
    <b:Year>2018</b:Year>
    <b:URL>www.climatebonds.net/files/reports/cbi_sotm_2018_final_01k-web.pdf</b:URL>
    <b:Author>
      <b:Author>
        <b:NameList>
          <b:Person>
            <b:Last>Climate Bonds Initiative</b:Last>
          </b:Person>
        </b:NameList>
      </b:Author>
    </b:Author>
    <b:RefOrder>3</b:RefOrder>
  </b:Source>
  <b:Source>
    <b:Tag>Mud191</b:Tag>
    <b:SourceType>Report</b:SourceType>
    <b:Guid>{588D0C52-820B-4336-A702-428E84F07F9E}</b:Guid>
    <b:Title>2019 Annual Impact Investor Survey</b:Title>
    <b:Year>2019</b:Year>
    <b:Author>
      <b:Author>
        <b:NameList>
          <b:Person>
            <b:Last>Mudaliar</b:Last>
            <b:First>A.</b:First>
          </b:Person>
          <b:Person>
            <b:Last>Bass</b:Last>
            <b:First>R.</b:First>
          </b:Person>
          <b:Person>
            <b:Last>Dithrich</b:Last>
            <b:First>H.</b:First>
          </b:Person>
          <b:Person>
            <b:Last>Nova</b:Last>
            <b:First>N.</b:First>
          </b:Person>
        </b:NameList>
      </b:Author>
    </b:Author>
    <b:Institution>Global Impact Investing Network (GIIN)</b:Institution>
    <b:RefOrder>4</b:RefOrder>
  </b:Source>
  <b:Source>
    <b:Tag>Mud19</b:Tag>
    <b:SourceType>Report</b:SourceType>
    <b:Guid>{116001A4-4990-43BB-942A-C0CD96B9A440}</b:Guid>
    <b:Title>Sizing the Impact Investing Market</b:Title>
    <b:Year>2019</b:Year>
    <b:Author>
      <b:Author>
        <b:NameList>
          <b:Person>
            <b:Last>Mudaliar</b:Last>
            <b:First>A.</b:First>
          </b:Person>
          <b:Person>
            <b:Last>Dithrich</b:Last>
            <b:First>H.</b:First>
          </b:Person>
        </b:NameList>
      </b:Author>
    </b:Author>
    <b:Publisher>Global Impact Investing Network</b:Publisher>
    <b:RefOrder>5</b:RefOrder>
  </b:Source>
  <b:Source>
    <b:Tag>OEC191</b:Tag>
    <b:SourceType>Report</b:SourceType>
    <b:Guid>{67710E29-CCED-4D92-AEA4-4F29A7021E74}</b:Guid>
    <b:Author>
      <b:Author>
        <b:NameList>
          <b:Person>
            <b:Last>OECD</b:Last>
          </b:Person>
        </b:NameList>
      </b:Author>
    </b:Author>
    <b:Title>OECD DAC Blended Finance Principles for Unlocking Commerical Finance for the Sustainable Development Goals</b:Title>
    <b:Year>2019</b:Year>
    <b:Publisher>OECD Publishing</b:Publisher>
    <b:City>Paris</b:City>
    <b:RefOrder>6</b:RefOrder>
  </b:Source>
  <b:Source>
    <b:Tag>Con19</b:Tag>
    <b:SourceType>DocumentFromInternetSite</b:SourceType>
    <b:Guid>{868E0D6B-241A-4F83-843A-5D641D0835D4}</b:Guid>
    <b:Title>Data Brief: Blending in Conservation Finance, October 2019</b:Title>
    <b:Year>2019</b:Year>
    <b:Author>
      <b:Author>
        <b:NameList>
          <b:Person>
            <b:Last>Convergence</b:Last>
          </b:Person>
        </b:NameList>
      </b:Author>
    </b:Author>
    <b:RefOrder>7</b:RefOrder>
  </b:Source>
  <b:Source>
    <b:Tag>Con18</b:Tag>
    <b:SourceType>DocumentFromInternetSite</b:SourceType>
    <b:Guid>{48A2ED9F-719A-41CF-B76B-2FBB91A82FF5}</b:Guid>
    <b:Title>Data Brief: Leverage of Concessional Capital, October 2018</b:Title>
    <b:Year>2018</b:Year>
    <b:Author>
      <b:Author>
        <b:NameList>
          <b:Person>
            <b:Last>Convergence</b:Last>
          </b:Person>
        </b:NameList>
      </b:Author>
    </b:Author>
    <b:RefOrder>8</b:RefOrder>
  </b:Source>
  <b:Source>
    <b:Tag>Cli19</b:Tag>
    <b:SourceType>Book</b:SourceType>
    <b:Guid>{247729A9-00D5-4BC4-BDB7-CE5C8151282B}</b:Guid>
    <b:Title>Green Bonds the State of the Market 2018</b:Title>
    <b:Year>2019</b:Year>
    <b:URL>www.climatebonds.net/files/reports/cbi_gbm_final_032019_web.pdf</b:URL>
    <b:Author>
      <b:Author>
        <b:NameList>
          <b:Person>
            <b:Last>Climate Bonds Initiative</b:Last>
          </b:Person>
        </b:NameList>
      </b:Author>
    </b:Autho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F153D-40E7-48E3-939D-04D773AE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5.xml><?xml version="1.0" encoding="utf-8"?>
<ds:datastoreItem xmlns:ds="http://schemas.openxmlformats.org/officeDocument/2006/customXml" ds:itemID="{B3A58B32-4FFD-4076-A71E-86866383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9558</Words>
  <Characters>52575</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Evaluation and review of the strategy for resource mobilization and Aichi Biodiversity Target 20</vt:lpstr>
    </vt:vector>
  </TitlesOfParts>
  <Company>SCBD</Company>
  <LinksUpToDate>false</LinksUpToDate>
  <CharactersWithSpaces>62009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review of the strategy for resource mobilization and Aichi Biodiversity Target 20</dc:title>
  <dc:subject>CBD/SBI/3/5/Add.1</dc:subject>
  <dc:creator>SCBD</dc:creator>
  <cp:keywords>Subsidiary Body on Implementation, third meeting, Quebec City, Canada, 9-14 November 2020, Convention on Biological Diversity</cp:keywords>
  <cp:lastModifiedBy>BUBIC</cp:lastModifiedBy>
  <cp:revision>50</cp:revision>
  <cp:lastPrinted>2020-05-25T19:18:00Z</cp:lastPrinted>
  <dcterms:created xsi:type="dcterms:W3CDTF">2020-06-28T22:55:00Z</dcterms:created>
  <dcterms:modified xsi:type="dcterms:W3CDTF">2020-06-29T15:03:00Z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