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621BB6" w:rsidRPr="00425A17" w14:paraId="7400F797" w14:textId="77777777" w:rsidTr="000540A2">
        <w:trPr>
          <w:trHeight w:val="850"/>
        </w:trPr>
        <w:tc>
          <w:tcPr>
            <w:tcW w:w="975" w:type="dxa"/>
            <w:vAlign w:val="bottom"/>
          </w:tcPr>
          <w:p w14:paraId="302DF115" w14:textId="77777777" w:rsidR="00621BB6" w:rsidRPr="00DA12F5" w:rsidRDefault="00621BB6" w:rsidP="000540A2">
            <w:pPr>
              <w:pStyle w:val="AASmallLogo"/>
              <w:rPr>
                <w:lang w:val="es-ES"/>
              </w:rPr>
            </w:pPr>
            <w:r w:rsidRPr="00DA12F5">
              <w:rPr>
                <w:noProof/>
                <w:lang w:val="es-ES"/>
              </w:rPr>
              <w:drawing>
                <wp:inline distT="0" distB="0" distL="0" distR="0" wp14:anchorId="1015C568" wp14:editId="2E42E0A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A12F5">
              <w:rPr>
                <w:lang w:val="es-ES"/>
              </w:rPr>
              <w:t xml:space="preserve"> </w:t>
            </w:r>
          </w:p>
          <w:p w14:paraId="6D868A71" w14:textId="77777777" w:rsidR="00621BB6" w:rsidRPr="00DA12F5" w:rsidRDefault="00621BB6" w:rsidP="000540A2">
            <w:pPr>
              <w:pStyle w:val="AASmallLogo"/>
              <w:rPr>
                <w:lang w:val="es-ES"/>
              </w:rPr>
            </w:pPr>
          </w:p>
        </w:tc>
        <w:tc>
          <w:tcPr>
            <w:tcW w:w="1434" w:type="dxa"/>
            <w:noWrap/>
            <w:vAlign w:val="bottom"/>
          </w:tcPr>
          <w:p w14:paraId="5D7A0CC2" w14:textId="521B90A5" w:rsidR="00621BB6" w:rsidRPr="00DA12F5" w:rsidRDefault="0088103A" w:rsidP="000540A2">
            <w:pPr>
              <w:pStyle w:val="AASmallLogo"/>
              <w:rPr>
                <w:lang w:val="es-ES"/>
              </w:rPr>
            </w:pPr>
            <w:r w:rsidRPr="00DA12F5">
              <w:rPr>
                <w:noProof/>
                <w:lang w:val="es-ES" w:eastAsia="es-ES"/>
              </w:rPr>
              <w:drawing>
                <wp:inline distT="0" distB="0" distL="0" distR="0" wp14:anchorId="0688E5CF" wp14:editId="4CE4DDD6">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621BB6" w:rsidRPr="00DA12F5">
              <w:rPr>
                <w:lang w:val="es-ES"/>
              </w:rPr>
              <w:t xml:space="preserve"> </w:t>
            </w:r>
          </w:p>
          <w:p w14:paraId="2E48441F" w14:textId="77777777" w:rsidR="00621BB6" w:rsidRPr="00DA12F5" w:rsidRDefault="00621BB6" w:rsidP="000540A2">
            <w:pPr>
              <w:pStyle w:val="AASmallLogo"/>
              <w:rPr>
                <w:lang w:val="es-ES"/>
              </w:rPr>
            </w:pPr>
          </w:p>
        </w:tc>
        <w:tc>
          <w:tcPr>
            <w:tcW w:w="8073" w:type="dxa"/>
            <w:vAlign w:val="bottom"/>
          </w:tcPr>
          <w:p w14:paraId="256A2458" w14:textId="502A5AEB" w:rsidR="00621BB6" w:rsidRPr="00DA12F5" w:rsidRDefault="00621BB6" w:rsidP="000540A2">
            <w:pPr>
              <w:pStyle w:val="ABSymbol"/>
              <w:rPr>
                <w:lang w:val="es-ES"/>
              </w:rPr>
            </w:pPr>
            <w:r w:rsidRPr="00DA12F5">
              <w:rPr>
                <w:sz w:val="40"/>
                <w:lang w:val="es-ES"/>
              </w:rPr>
              <w:t>CBD</w:t>
            </w:r>
            <w:r w:rsidRPr="00DA12F5">
              <w:rPr>
                <w:lang w:val="es-ES"/>
              </w:rPr>
              <w:t>/NP/MOP/6/</w:t>
            </w:r>
            <w:r w:rsidR="00676CFB">
              <w:rPr>
                <w:lang w:val="es-ES"/>
              </w:rPr>
              <w:t>L.8</w:t>
            </w:r>
          </w:p>
        </w:tc>
      </w:tr>
    </w:tbl>
    <w:p w14:paraId="642761D3" w14:textId="77777777" w:rsidR="00621BB6" w:rsidRPr="00DA12F5" w:rsidRDefault="00621BB6" w:rsidP="00621BB6">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621BB6" w:rsidRPr="00425A17" w14:paraId="38CA5EB7" w14:textId="77777777" w:rsidTr="000540A2">
        <w:trPr>
          <w:trHeight w:val="1814"/>
        </w:trPr>
        <w:tc>
          <w:tcPr>
            <w:tcW w:w="7370" w:type="dxa"/>
          </w:tcPr>
          <w:p w14:paraId="55E0D329" w14:textId="140D0839" w:rsidR="00621BB6" w:rsidRPr="00DA12F5" w:rsidRDefault="0088103A" w:rsidP="000540A2">
            <w:pPr>
              <w:pStyle w:val="ACLargeLogo"/>
              <w:rPr>
                <w:lang w:val="es-ES"/>
              </w:rPr>
            </w:pPr>
            <w:r w:rsidRPr="00DA12F5">
              <w:rPr>
                <w:noProof/>
                <w:lang w:val="es-ES" w:eastAsia="es-ES"/>
              </w:rPr>
              <w:drawing>
                <wp:inline distT="0" distB="0" distL="0" distR="0" wp14:anchorId="53013D69" wp14:editId="719DC2A7">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621BB6" w:rsidRPr="00DA12F5">
              <w:rPr>
                <w:lang w:val="es-ES"/>
              </w:rPr>
              <w:t xml:space="preserve"> </w:t>
            </w:r>
          </w:p>
          <w:p w14:paraId="2D11C13C" w14:textId="77777777" w:rsidR="00621BB6" w:rsidRPr="00DA12F5" w:rsidRDefault="00621BB6" w:rsidP="000540A2">
            <w:pPr>
              <w:pStyle w:val="ACLargeLogo"/>
              <w:rPr>
                <w:lang w:val="es-ES"/>
              </w:rPr>
            </w:pPr>
          </w:p>
        </w:tc>
        <w:tc>
          <w:tcPr>
            <w:tcW w:w="3112" w:type="dxa"/>
          </w:tcPr>
          <w:p w14:paraId="1D2EDF82" w14:textId="3924F367" w:rsidR="00621BB6" w:rsidRPr="00DA12F5" w:rsidRDefault="00621BB6" w:rsidP="000540A2">
            <w:pPr>
              <w:pStyle w:val="AEDistrNormal"/>
              <w:rPr>
                <w:lang w:val="es-ES"/>
              </w:rPr>
            </w:pPr>
            <w:proofErr w:type="spellStart"/>
            <w:r w:rsidRPr="00DA12F5">
              <w:rPr>
                <w:lang w:val="es-ES"/>
              </w:rPr>
              <w:t>Distr</w:t>
            </w:r>
            <w:proofErr w:type="spellEnd"/>
            <w:r w:rsidRPr="00DA12F5">
              <w:rPr>
                <w:lang w:val="es-ES"/>
              </w:rPr>
              <w:t xml:space="preserve">. </w:t>
            </w:r>
            <w:r w:rsidR="0088103A" w:rsidRPr="00DA12F5">
              <w:rPr>
                <w:lang w:val="es-ES"/>
              </w:rPr>
              <w:t>limitada</w:t>
            </w:r>
            <w:r w:rsidRPr="00DA12F5">
              <w:rPr>
                <w:lang w:val="es-ES"/>
              </w:rPr>
              <w:t xml:space="preserve"> </w:t>
            </w:r>
          </w:p>
          <w:p w14:paraId="255B52B0" w14:textId="4398124F" w:rsidR="00621BB6" w:rsidRPr="00DA12F5" w:rsidRDefault="00964E5A" w:rsidP="0088103A">
            <w:pPr>
              <w:pStyle w:val="AEDistrNormal"/>
              <w:rPr>
                <w:lang w:val="es-ES"/>
              </w:rPr>
            </w:pPr>
            <w:r w:rsidRPr="00DA12F5">
              <w:rPr>
                <w:lang w:val="es-ES"/>
              </w:rPr>
              <w:t>2</w:t>
            </w:r>
            <w:r w:rsidR="00676CFB">
              <w:rPr>
                <w:lang w:val="es-ES"/>
              </w:rPr>
              <w:t>9</w:t>
            </w:r>
            <w:r w:rsidR="00621BB6" w:rsidRPr="00DA12F5">
              <w:rPr>
                <w:lang w:val="es-ES"/>
              </w:rPr>
              <w:t xml:space="preserve"> </w:t>
            </w:r>
            <w:r w:rsidR="0088103A" w:rsidRPr="00DA12F5">
              <w:rPr>
                <w:lang w:val="es-ES"/>
              </w:rPr>
              <w:t xml:space="preserve">de octubre de </w:t>
            </w:r>
            <w:r w:rsidR="00621BB6" w:rsidRPr="00DA12F5">
              <w:rPr>
                <w:lang w:val="es-ES"/>
              </w:rPr>
              <w:t>2026</w:t>
            </w:r>
            <w:r w:rsidR="0088103A" w:rsidRPr="00DA12F5">
              <w:rPr>
                <w:lang w:val="es-ES"/>
              </w:rPr>
              <w:br/>
            </w:r>
            <w:proofErr w:type="gramStart"/>
            <w:r w:rsidR="0088103A" w:rsidRPr="00DA12F5">
              <w:rPr>
                <w:lang w:val="es-ES"/>
              </w:rPr>
              <w:t>Español</w:t>
            </w:r>
            <w:proofErr w:type="gramEnd"/>
            <w:r w:rsidR="0088103A" w:rsidRPr="00DA12F5">
              <w:rPr>
                <w:lang w:val="es-ES"/>
              </w:rPr>
              <w:br/>
            </w:r>
            <w:r w:rsidR="00621BB6" w:rsidRPr="00DA12F5">
              <w:rPr>
                <w:lang w:val="es-ES"/>
              </w:rPr>
              <w:t xml:space="preserve">Original: </w:t>
            </w:r>
            <w:r w:rsidR="0088103A" w:rsidRPr="00DA12F5">
              <w:rPr>
                <w:lang w:val="es-ES"/>
              </w:rPr>
              <w:t>inglés</w:t>
            </w:r>
            <w:r w:rsidR="00621BB6" w:rsidRPr="00DA12F5">
              <w:rPr>
                <w:lang w:val="es-ES"/>
              </w:rPr>
              <w:t xml:space="preserve"> </w:t>
            </w:r>
          </w:p>
          <w:p w14:paraId="3B80019B" w14:textId="77777777" w:rsidR="00621BB6" w:rsidRPr="00DA12F5" w:rsidRDefault="00621BB6" w:rsidP="000540A2">
            <w:pPr>
              <w:pStyle w:val="AEDistrNormal6pt"/>
              <w:rPr>
                <w:lang w:val="es-ES"/>
              </w:rPr>
            </w:pPr>
          </w:p>
        </w:tc>
      </w:tr>
    </w:tbl>
    <w:p w14:paraId="46A0704A" w14:textId="77777777" w:rsidR="00621BB6" w:rsidRPr="00DA12F5" w:rsidRDefault="00621BB6" w:rsidP="00621BB6">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621BB6" w:rsidRPr="00DA12F5" w14:paraId="5CB55E98" w14:textId="77777777" w:rsidTr="003114D7">
        <w:trPr>
          <w:trHeight w:val="2739"/>
        </w:trPr>
        <w:tc>
          <w:tcPr>
            <w:tcW w:w="6094" w:type="dxa"/>
          </w:tcPr>
          <w:p w14:paraId="24BC2C39" w14:textId="77777777" w:rsidR="0088103A" w:rsidRPr="00DA12F5" w:rsidRDefault="0088103A" w:rsidP="0088103A">
            <w:pPr>
              <w:pStyle w:val="AFCorN12Bold"/>
              <w:rPr>
                <w:lang w:val="es-ES"/>
              </w:rPr>
            </w:pPr>
            <w:r w:rsidRPr="00DA12F5">
              <w:rPr>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79840F75" w14:textId="580A3D5E" w:rsidR="00621BB6" w:rsidRPr="00DA12F5" w:rsidRDefault="00621BB6" w:rsidP="000540A2">
            <w:pPr>
              <w:pStyle w:val="AFCorNBold"/>
              <w:rPr>
                <w:lang w:val="es-ES"/>
              </w:rPr>
            </w:pPr>
            <w:r w:rsidRPr="00DA12F5">
              <w:rPr>
                <w:lang w:val="es-ES"/>
              </w:rPr>
              <w:t>S</w:t>
            </w:r>
            <w:r w:rsidR="0088103A" w:rsidRPr="00DA12F5">
              <w:rPr>
                <w:lang w:val="es-ES"/>
              </w:rPr>
              <w:t>exta reunión</w:t>
            </w:r>
            <w:r w:rsidRPr="00DA12F5">
              <w:rPr>
                <w:lang w:val="es-ES"/>
              </w:rPr>
              <w:t xml:space="preserve"> </w:t>
            </w:r>
          </w:p>
          <w:p w14:paraId="31A9BECE" w14:textId="77777777" w:rsidR="00604180" w:rsidRPr="00DA12F5" w:rsidRDefault="00604180" w:rsidP="00604180">
            <w:pPr>
              <w:pStyle w:val="AFCorNNormal"/>
              <w:rPr>
                <w:lang w:val="es-ES"/>
              </w:rPr>
            </w:pPr>
            <w:r w:rsidRPr="00DA12F5">
              <w:rPr>
                <w:lang w:val="es-ES"/>
              </w:rPr>
              <w:t xml:space="preserve">Ereván (Armenia), </w:t>
            </w:r>
            <w:r w:rsidRPr="00DA12F5">
              <w:rPr>
                <w:snapToGrid w:val="0"/>
                <w:kern w:val="22"/>
                <w:lang w:val="es-ES"/>
              </w:rPr>
              <w:t>19 a 30 de octubre de 2026</w:t>
            </w:r>
          </w:p>
          <w:p w14:paraId="176E5247" w14:textId="3F4BD6A5" w:rsidR="00621BB6" w:rsidRPr="00DA12F5" w:rsidRDefault="00604180" w:rsidP="00604180">
            <w:pPr>
              <w:pStyle w:val="AFCorNNormal"/>
              <w:rPr>
                <w:lang w:val="es-ES"/>
              </w:rPr>
            </w:pPr>
            <w:r w:rsidRPr="00DA12F5">
              <w:rPr>
                <w:lang w:val="es-ES"/>
              </w:rPr>
              <w:t>Tema 12 del programa</w:t>
            </w:r>
            <w:r w:rsidR="00621BB6" w:rsidRPr="00DA12F5">
              <w:rPr>
                <w:lang w:val="es-ES"/>
              </w:rPr>
              <w:t xml:space="preserve"> </w:t>
            </w:r>
          </w:p>
          <w:p w14:paraId="7E572ED4" w14:textId="5E617AA3" w:rsidR="00621BB6" w:rsidRPr="00DA12F5" w:rsidRDefault="00604180" w:rsidP="000540A2">
            <w:pPr>
              <w:pStyle w:val="AFCorNBold"/>
              <w:rPr>
                <w:lang w:val="es-ES"/>
              </w:rPr>
            </w:pPr>
            <w:r w:rsidRPr="00DA12F5">
              <w:rPr>
                <w:lang w:val="es-ES"/>
              </w:rPr>
              <w:t>Mecanismo mundial multilateral de participación en los beneficios</w:t>
            </w:r>
          </w:p>
          <w:p w14:paraId="71AC6E54" w14:textId="3C033EA9" w:rsidR="00621BB6" w:rsidRPr="00DA12F5" w:rsidRDefault="00621BB6" w:rsidP="000540A2">
            <w:pPr>
              <w:pStyle w:val="AFCorNNormal"/>
              <w:rPr>
                <w:lang w:val="es-ES"/>
              </w:rPr>
            </w:pPr>
          </w:p>
        </w:tc>
        <w:tc>
          <w:tcPr>
            <w:tcW w:w="4388" w:type="dxa"/>
          </w:tcPr>
          <w:p w14:paraId="7F117B55" w14:textId="77777777" w:rsidR="00621BB6" w:rsidRPr="00DA12F5" w:rsidRDefault="00621BB6" w:rsidP="000540A2">
            <w:pPr>
              <w:pStyle w:val="CBDNormal"/>
              <w:jc w:val="left"/>
              <w:rPr>
                <w:lang w:val="es-ES"/>
              </w:rPr>
            </w:pPr>
          </w:p>
        </w:tc>
      </w:tr>
    </w:tbl>
    <w:p w14:paraId="34FACAA8" w14:textId="5913B775" w:rsidR="00621BB6" w:rsidRPr="00DA12F5" w:rsidRDefault="003F1DF8" w:rsidP="00621BB6">
      <w:pPr>
        <w:pStyle w:val="CBDTitle"/>
        <w:rPr>
          <w:caps/>
          <w:lang w:val="es-ES"/>
        </w:rPr>
      </w:pPr>
      <w:sdt>
        <w:sdtPr>
          <w:rPr>
            <w:lang w:val="es-ES"/>
          </w:rPr>
          <w:alias w:val="Title"/>
          <w:tag w:val=""/>
          <w:id w:val="1569925457"/>
          <w:placeholder>
            <w:docPart w:val="DFE787A038934C91AA7274B49FE7B817"/>
          </w:placeholder>
          <w:dataBinding w:prefixMappings="xmlns:ns0='http://purl.org/dc/elements/1.1/' xmlns:ns1='http://schemas.openxmlformats.org/package/2006/metadata/core-properties' " w:xpath="/ns1:coreProperties[1]/ns0:title[1]" w:storeItemID="{6C3C8BC8-F283-45AE-878A-BAB7291924A1}"/>
          <w:text/>
        </w:sdtPr>
        <w:sdtEndPr/>
        <w:sdtContent>
          <w:r w:rsidR="00604180" w:rsidRPr="00DA12F5">
            <w:rPr>
              <w:lang w:val="es-ES"/>
            </w:rPr>
            <w:t>Mecanismo mundial multilateral de participación en los beneficios</w:t>
          </w:r>
        </w:sdtContent>
      </w:sdt>
      <w:r w:rsidR="00621BB6" w:rsidRPr="00DA12F5">
        <w:rPr>
          <w:caps/>
          <w:lang w:val="es-ES"/>
        </w:rPr>
        <w:t xml:space="preserve"> </w:t>
      </w:r>
    </w:p>
    <w:p w14:paraId="3A9B1167" w14:textId="0865F8AD" w:rsidR="008A1CFE" w:rsidRPr="00DA12F5" w:rsidRDefault="00604180" w:rsidP="00835C01">
      <w:pPr>
        <w:pStyle w:val="CBDNormalNoNumber"/>
        <w:rPr>
          <w:i/>
          <w:iCs/>
          <w:lang w:val="es-ES"/>
        </w:rPr>
      </w:pPr>
      <w:r w:rsidRPr="00DA12F5">
        <w:rPr>
          <w:i/>
          <w:iCs/>
          <w:lang w:val="es-ES"/>
        </w:rPr>
        <w:t>La Conferencia de las Partes que actúa como reunión de las Partes en el Protocolo de Nagoya</w:t>
      </w:r>
      <w:r w:rsidR="008A1CFE" w:rsidRPr="00DA12F5">
        <w:rPr>
          <w:lang w:val="es-ES"/>
        </w:rPr>
        <w:t>,</w:t>
      </w:r>
    </w:p>
    <w:p w14:paraId="7EFF6B6A" w14:textId="6DE9B7DF" w:rsidR="00D40437" w:rsidRPr="00DA12F5" w:rsidRDefault="00AD6014" w:rsidP="00D40437">
      <w:pPr>
        <w:pStyle w:val="CBDNormalNoNumber"/>
        <w:rPr>
          <w:iCs/>
          <w:lang w:val="es-ES"/>
        </w:rPr>
      </w:pPr>
      <w:r w:rsidRPr="00DA12F5">
        <w:rPr>
          <w:lang w:val="es-ES"/>
        </w:rPr>
        <w:tab/>
      </w:r>
      <w:r w:rsidR="00D40437" w:rsidRPr="00DA12F5">
        <w:rPr>
          <w:i/>
          <w:iCs/>
          <w:lang w:val="es-ES"/>
        </w:rPr>
        <w:t>Recordando</w:t>
      </w:r>
      <w:r w:rsidR="00D40437" w:rsidRPr="00DA12F5">
        <w:rPr>
          <w:lang w:val="es-ES"/>
        </w:rPr>
        <w:t xml:space="preserve"> el derecho soberano de los Estados sobre sus recursos genéticos,</w:t>
      </w:r>
    </w:p>
    <w:p w14:paraId="0820E650" w14:textId="14EE7B18" w:rsidR="00CB6E96" w:rsidRPr="00DA12F5" w:rsidRDefault="00FA3597" w:rsidP="00D40437">
      <w:pPr>
        <w:pStyle w:val="CBDNormalNoNumber"/>
        <w:rPr>
          <w:iCs/>
          <w:lang w:val="es-ES"/>
        </w:rPr>
      </w:pPr>
      <w:r w:rsidRPr="00DA12F5">
        <w:rPr>
          <w:iCs/>
          <w:lang w:val="es-ES"/>
        </w:rPr>
        <w:tab/>
      </w:r>
      <w:r w:rsidR="00CB6E96" w:rsidRPr="00DA12F5">
        <w:rPr>
          <w:i/>
          <w:iCs/>
          <w:lang w:val="es-ES"/>
        </w:rPr>
        <w:t>Recordando</w:t>
      </w:r>
      <w:r w:rsidR="00CB6E96" w:rsidRPr="00DA12F5">
        <w:rPr>
          <w:lang w:val="es-ES"/>
        </w:rPr>
        <w:t xml:space="preserve"> el artículo 10 del Protocolo de Nagoya sobre Acceso a los Recursos Genéticos y Participación Justa y Equitativa en los Beneficios que se Deriven de su Utilización</w:t>
      </w:r>
      <w:r w:rsidR="00D40437" w:rsidRPr="00DA12F5">
        <w:rPr>
          <w:rStyle w:val="FootnoteReference"/>
          <w:iCs/>
          <w:lang w:val="es-ES"/>
        </w:rPr>
        <w:footnoteReference w:id="1"/>
      </w:r>
      <w:r w:rsidR="00CB6E96" w:rsidRPr="00DA12F5">
        <w:rPr>
          <w:lang w:val="es-ES"/>
        </w:rPr>
        <w:t>,</w:t>
      </w:r>
    </w:p>
    <w:p w14:paraId="6B3DD626" w14:textId="3951E20B" w:rsidR="00D40437" w:rsidRPr="00DA12F5" w:rsidRDefault="008840DC" w:rsidP="00D40437">
      <w:pPr>
        <w:pStyle w:val="CBDNormalNoNumber"/>
        <w:rPr>
          <w:iCs/>
          <w:lang w:val="es-ES"/>
        </w:rPr>
      </w:pPr>
      <w:r w:rsidRPr="00DA12F5">
        <w:rPr>
          <w:i/>
          <w:lang w:val="es-ES"/>
        </w:rPr>
        <w:tab/>
      </w:r>
      <w:r w:rsidR="00D40437" w:rsidRPr="00DA12F5">
        <w:rPr>
          <w:i/>
          <w:iCs/>
          <w:lang w:val="es-ES"/>
        </w:rPr>
        <w:t xml:space="preserve">Recordando también </w:t>
      </w:r>
      <w:r w:rsidR="00D40437" w:rsidRPr="00DA12F5">
        <w:rPr>
          <w:lang w:val="es-ES"/>
        </w:rPr>
        <w:t xml:space="preserve">su decisión </w:t>
      </w:r>
      <w:hyperlink r:id="rId15" w:history="1">
        <w:r w:rsidR="00D40437" w:rsidRPr="00DA12F5">
          <w:rPr>
            <w:rStyle w:val="Hyperlink"/>
            <w:iCs/>
            <w:lang w:val="es-ES"/>
          </w:rPr>
          <w:t>NP-1/10</w:t>
        </w:r>
      </w:hyperlink>
      <w:r w:rsidR="00D40437" w:rsidRPr="00DA12F5">
        <w:rPr>
          <w:lang w:val="es-ES"/>
        </w:rPr>
        <w:t xml:space="preserve">, de 17 de octubre de 2014, </w:t>
      </w:r>
      <w:hyperlink r:id="rId16" w:history="1">
        <w:r w:rsidR="00D40437" w:rsidRPr="00DA12F5">
          <w:rPr>
            <w:rStyle w:val="Hyperlink"/>
            <w:iCs/>
            <w:lang w:val="es-ES"/>
          </w:rPr>
          <w:t>NP-2/10</w:t>
        </w:r>
      </w:hyperlink>
      <w:r w:rsidR="00D40437" w:rsidRPr="00DA12F5">
        <w:rPr>
          <w:lang w:val="es-ES"/>
        </w:rPr>
        <w:t xml:space="preserve">, de 17 de diciembre de 2016, y </w:t>
      </w:r>
      <w:hyperlink r:id="rId17" w:history="1">
        <w:r w:rsidR="00D40437" w:rsidRPr="00DA12F5">
          <w:rPr>
            <w:rStyle w:val="Hyperlink"/>
            <w:iCs/>
            <w:lang w:val="es-ES"/>
          </w:rPr>
          <w:t>NP-3/13</w:t>
        </w:r>
      </w:hyperlink>
      <w:r w:rsidR="00D40437" w:rsidRPr="00DA12F5">
        <w:rPr>
          <w:lang w:val="es-ES"/>
        </w:rPr>
        <w:t xml:space="preserve">, de 29 de noviembre de 2018, así como la decisión </w:t>
      </w:r>
      <w:hyperlink r:id="rId18" w:history="1">
        <w:r w:rsidR="00D40437" w:rsidRPr="00DA12F5">
          <w:rPr>
            <w:rStyle w:val="Hyperlink"/>
            <w:iCs/>
            <w:lang w:val="es-ES"/>
          </w:rPr>
          <w:t>XI/1 B</w:t>
        </w:r>
      </w:hyperlink>
      <w:r w:rsidR="00D40437" w:rsidRPr="00DA12F5">
        <w:rPr>
          <w:lang w:val="es-ES"/>
        </w:rPr>
        <w:t>, de 19 de octubre de 2012, de la Conferencia de las Partes en el Convenio sobre la Diversidad Biológica</w:t>
      </w:r>
      <w:r w:rsidR="00D40437" w:rsidRPr="00DA12F5">
        <w:rPr>
          <w:rStyle w:val="FootnoteReference"/>
          <w:iCs/>
          <w:lang w:val="es-ES"/>
        </w:rPr>
        <w:footnoteReference w:id="2"/>
      </w:r>
      <w:r w:rsidR="00D40437" w:rsidRPr="00DA12F5">
        <w:rPr>
          <w:lang w:val="es-ES"/>
        </w:rPr>
        <w:t>,  y reconociendo que se han producido nuevos acontecimientos desde que se iniciaron los trabajos en virtud de dichas decisiones,</w:t>
      </w:r>
    </w:p>
    <w:p w14:paraId="024A4EC6" w14:textId="13B8F8E5" w:rsidR="00D40437" w:rsidRPr="00DA12F5" w:rsidRDefault="00806F5D" w:rsidP="00D40437">
      <w:pPr>
        <w:pStyle w:val="CBDNormalNoNumber"/>
        <w:rPr>
          <w:iCs/>
          <w:lang w:val="es-ES"/>
        </w:rPr>
      </w:pPr>
      <w:r w:rsidRPr="00DA12F5">
        <w:rPr>
          <w:i/>
          <w:lang w:val="es-ES"/>
        </w:rPr>
        <w:tab/>
      </w:r>
      <w:r w:rsidR="00D40437" w:rsidRPr="00DA12F5">
        <w:rPr>
          <w:i/>
          <w:iCs/>
          <w:lang w:val="es-ES"/>
        </w:rPr>
        <w:t>Recordando además</w:t>
      </w:r>
      <w:r w:rsidR="00D40437" w:rsidRPr="00DA12F5">
        <w:rPr>
          <w:lang w:val="es-ES"/>
        </w:rPr>
        <w:t xml:space="preserve"> sus decisiones </w:t>
      </w:r>
      <w:hyperlink r:id="rId19" w:history="1">
        <w:r w:rsidR="00D40437" w:rsidRPr="00DA12F5">
          <w:rPr>
            <w:rStyle w:val="Hyperlink"/>
            <w:iCs/>
            <w:lang w:val="es-ES"/>
          </w:rPr>
          <w:t>NP-4/10</w:t>
        </w:r>
      </w:hyperlink>
      <w:r w:rsidR="00D40437" w:rsidRPr="00DA12F5">
        <w:rPr>
          <w:lang w:val="es-ES"/>
        </w:rPr>
        <w:t xml:space="preserve">, de 19 de diciembre de 2022, y </w:t>
      </w:r>
      <w:hyperlink r:id="rId20" w:history="1">
        <w:r w:rsidR="00D40437" w:rsidRPr="00DA12F5">
          <w:rPr>
            <w:rStyle w:val="Hyperlink"/>
            <w:iCs/>
            <w:lang w:val="es-ES"/>
          </w:rPr>
          <w:t>NP-5/7</w:t>
        </w:r>
      </w:hyperlink>
      <w:r w:rsidR="00D40437" w:rsidRPr="00DA12F5">
        <w:rPr>
          <w:lang w:val="es-ES"/>
        </w:rPr>
        <w:t>, de 25 de octubre de 2024,</w:t>
      </w:r>
    </w:p>
    <w:p w14:paraId="2E628F2D" w14:textId="1586D98A" w:rsidR="00973437" w:rsidRPr="00DA12F5" w:rsidRDefault="00973437" w:rsidP="00973437">
      <w:pPr>
        <w:pStyle w:val="CBDNormalNoNumber"/>
        <w:tabs>
          <w:tab w:val="clear" w:pos="1134"/>
        </w:tabs>
        <w:ind w:left="540" w:firstLine="591"/>
        <w:rPr>
          <w:iCs/>
          <w:lang w:val="es-ES"/>
        </w:rPr>
      </w:pPr>
      <w:r w:rsidRPr="00DA12F5">
        <w:rPr>
          <w:lang w:val="es-ES"/>
        </w:rPr>
        <w:t xml:space="preserve">[1.    </w:t>
      </w:r>
      <w:r w:rsidRPr="00DA12F5">
        <w:rPr>
          <w:i/>
          <w:iCs/>
          <w:lang w:val="es-ES"/>
        </w:rPr>
        <w:t>Destaca</w:t>
      </w:r>
      <w:r w:rsidRPr="00DA12F5">
        <w:rPr>
          <w:lang w:val="es-ES"/>
        </w:rPr>
        <w:t xml:space="preserve"> que </w:t>
      </w:r>
      <w:r w:rsidR="00F1047B" w:rsidRPr="00DA12F5">
        <w:rPr>
          <w:lang w:val="es-ES"/>
        </w:rPr>
        <w:t xml:space="preserve">todo </w:t>
      </w:r>
      <w:r w:rsidRPr="00DA12F5">
        <w:rPr>
          <w:lang w:val="es-ES"/>
        </w:rPr>
        <w:t xml:space="preserve">mecanismo multilateral mundial de participación en los beneficios, en virtud del artículo 10 del </w:t>
      </w:r>
      <w:r w:rsidR="00F1047B" w:rsidRPr="00DA12F5">
        <w:rPr>
          <w:lang w:val="es-ES"/>
        </w:rPr>
        <w:t>Protocolo de Nagoya sobre Acceso a los Recursos Genéticos y Participación Justa y Equitativa en los Beneficios que se Deriven de su Utilización</w:t>
      </w:r>
      <w:r w:rsidRPr="00DA12F5">
        <w:rPr>
          <w:lang w:val="es-ES"/>
        </w:rPr>
        <w:t>, no debe sustituir a las obligaciones existentes en el marco de los requisitos nacionales de acceso y participación en los beneficios en aquellas circunstancias en las que se pueda otorgar u obtener el consentimiento previo informado, ni debe menoscabar los requisitos aplicables en materia de consentimiento previo informado y condiciones mutuamente acordadas;]</w:t>
      </w:r>
    </w:p>
    <w:p w14:paraId="79B0F6EE" w14:textId="0B160378" w:rsidR="00973437" w:rsidRPr="00DA12F5" w:rsidRDefault="000C7FE4" w:rsidP="00973437">
      <w:pPr>
        <w:pStyle w:val="CBDNormalNoNumber"/>
        <w:tabs>
          <w:tab w:val="clear" w:pos="1134"/>
        </w:tabs>
        <w:ind w:left="540" w:firstLine="591"/>
        <w:rPr>
          <w:iCs/>
          <w:lang w:val="es-ES"/>
        </w:rPr>
      </w:pPr>
      <w:r w:rsidRPr="00DA12F5">
        <w:rPr>
          <w:iCs/>
          <w:lang w:val="es-ES"/>
        </w:rPr>
        <w:t>2</w:t>
      </w:r>
      <w:r w:rsidR="00214A6C" w:rsidRPr="00DA12F5">
        <w:rPr>
          <w:iCs/>
          <w:lang w:val="es-ES"/>
        </w:rPr>
        <w:t>.</w:t>
      </w:r>
      <w:r w:rsidR="00214A6C" w:rsidRPr="00DA12F5">
        <w:rPr>
          <w:iCs/>
          <w:lang w:val="es-ES"/>
        </w:rPr>
        <w:tab/>
      </w:r>
      <w:r w:rsidR="00973437" w:rsidRPr="00DA12F5">
        <w:rPr>
          <w:i/>
          <w:iCs/>
          <w:lang w:val="es-ES"/>
        </w:rPr>
        <w:t>Reconoce</w:t>
      </w:r>
      <w:r w:rsidR="00973437" w:rsidRPr="00DA12F5">
        <w:rPr>
          <w:lang w:val="es-ES"/>
        </w:rPr>
        <w:t xml:space="preserve"> la importancia de</w:t>
      </w:r>
      <w:r w:rsidR="00C6502D" w:rsidRPr="00DA12F5">
        <w:rPr>
          <w:lang w:val="es-ES"/>
        </w:rPr>
        <w:t xml:space="preserve"> velar por </w:t>
      </w:r>
      <w:r w:rsidR="00973437" w:rsidRPr="00DA12F5">
        <w:rPr>
          <w:lang w:val="es-ES"/>
        </w:rPr>
        <w:t xml:space="preserve">la complementariedad y el apoyo mutuo entre los instrumentos y mecanismos internacionales pertinentes en materia de acceso y participación en los beneficios, respetando al mismo tiempo sus respectivos mandatos y marcos jurídicos y evitando la duplicación de las obligaciones de participación en los beneficios, sin crear </w:t>
      </w:r>
      <w:r w:rsidR="002748DC" w:rsidRPr="00DA12F5">
        <w:rPr>
          <w:lang w:val="es-ES"/>
        </w:rPr>
        <w:t xml:space="preserve">deficiencias </w:t>
      </w:r>
      <w:r w:rsidR="00973437" w:rsidRPr="00DA12F5">
        <w:rPr>
          <w:lang w:val="es-ES"/>
        </w:rPr>
        <w:t>en la participación justa y equitativa en los beneficios;</w:t>
      </w:r>
    </w:p>
    <w:p w14:paraId="793B44E8" w14:textId="7CF8E306" w:rsidR="00973437" w:rsidRPr="00DA12F5" w:rsidRDefault="000C7FE4" w:rsidP="00973437">
      <w:pPr>
        <w:pStyle w:val="CBDNormalNoNumber"/>
        <w:tabs>
          <w:tab w:val="clear" w:pos="1134"/>
        </w:tabs>
        <w:ind w:left="540" w:firstLine="591"/>
        <w:rPr>
          <w:iCs/>
          <w:lang w:val="es-ES"/>
        </w:rPr>
      </w:pPr>
      <w:r w:rsidRPr="00DA12F5">
        <w:rPr>
          <w:iCs/>
          <w:lang w:val="es-ES"/>
        </w:rPr>
        <w:lastRenderedPageBreak/>
        <w:t>3</w:t>
      </w:r>
      <w:r w:rsidR="00112DEC" w:rsidRPr="00DA12F5">
        <w:rPr>
          <w:iCs/>
          <w:lang w:val="es-ES"/>
        </w:rPr>
        <w:t>.</w:t>
      </w:r>
      <w:r w:rsidR="00112DEC" w:rsidRPr="00DA12F5">
        <w:rPr>
          <w:iCs/>
          <w:lang w:val="es-ES"/>
        </w:rPr>
        <w:tab/>
      </w:r>
      <w:r w:rsidR="00973437" w:rsidRPr="00DA12F5">
        <w:rPr>
          <w:i/>
          <w:iCs/>
          <w:lang w:val="es-ES"/>
        </w:rPr>
        <w:t>Recuerda</w:t>
      </w:r>
      <w:r w:rsidR="00973437" w:rsidRPr="00DA12F5">
        <w:rPr>
          <w:lang w:val="es-ES"/>
        </w:rPr>
        <w:t xml:space="preserve"> las disposiciones del Protocolo de Nagoya relativas a los pueblos indígenas y las comunidades locales, y reconoce la importancia de la participación plena y efectiva de los pueblos indígenas y las comunidades locales en el examen de un mecanismo mundial multilateral de participación en los beneficios que sea compatible con sus derechos y con la legislación nacional aplicable;</w:t>
      </w:r>
    </w:p>
    <w:p w14:paraId="0029F389" w14:textId="373666D8" w:rsidR="00C2141C" w:rsidRPr="00DA12F5" w:rsidRDefault="000C7FE4" w:rsidP="003114D7">
      <w:pPr>
        <w:pStyle w:val="CBDNormalNoNumber"/>
        <w:tabs>
          <w:tab w:val="clear" w:pos="1134"/>
        </w:tabs>
        <w:ind w:left="540" w:firstLine="591"/>
        <w:rPr>
          <w:iCs/>
          <w:lang w:val="es-ES"/>
        </w:rPr>
      </w:pPr>
      <w:r w:rsidRPr="00DA12F5">
        <w:rPr>
          <w:iCs/>
          <w:lang w:val="es-ES"/>
        </w:rPr>
        <w:t>4</w:t>
      </w:r>
      <w:r w:rsidR="00C2141C" w:rsidRPr="00DA12F5">
        <w:rPr>
          <w:iCs/>
          <w:lang w:val="es-ES"/>
        </w:rPr>
        <w:t>.</w:t>
      </w:r>
      <w:r w:rsidR="00C2141C" w:rsidRPr="00DA12F5">
        <w:rPr>
          <w:iCs/>
          <w:lang w:val="es-ES"/>
        </w:rPr>
        <w:tab/>
      </w:r>
      <w:r w:rsidR="00973437" w:rsidRPr="00DA12F5">
        <w:rPr>
          <w:i/>
          <w:lang w:val="es-ES"/>
        </w:rPr>
        <w:t>Toma nota</w:t>
      </w:r>
      <w:r w:rsidR="00973437" w:rsidRPr="00DA12F5">
        <w:rPr>
          <w:iCs/>
          <w:lang w:val="es-ES"/>
        </w:rPr>
        <w:t xml:space="preserve"> de </w:t>
      </w:r>
      <w:r w:rsidR="002748DC" w:rsidRPr="00DA12F5">
        <w:rPr>
          <w:iCs/>
          <w:lang w:val="es-ES"/>
        </w:rPr>
        <w:t xml:space="preserve">los resultados </w:t>
      </w:r>
      <w:r w:rsidR="00973437" w:rsidRPr="00DA12F5">
        <w:rPr>
          <w:iCs/>
          <w:lang w:val="es-ES"/>
        </w:rPr>
        <w:t xml:space="preserve">y mensajes </w:t>
      </w:r>
      <w:r w:rsidR="002748DC" w:rsidRPr="00DA12F5">
        <w:rPr>
          <w:iCs/>
          <w:lang w:val="es-ES"/>
        </w:rPr>
        <w:t xml:space="preserve">clave </w:t>
      </w:r>
      <w:r w:rsidR="00973437" w:rsidRPr="00DA12F5">
        <w:rPr>
          <w:iCs/>
          <w:lang w:val="es-ES"/>
        </w:rPr>
        <w:t>formulados en el contexto de la segunda evaluación y revisión de la eficacia del Protocolo de Nagoya</w:t>
      </w:r>
      <w:r w:rsidR="00797A2B" w:rsidRPr="00DA12F5">
        <w:rPr>
          <w:rStyle w:val="FootnoteReference"/>
          <w:iCs/>
          <w:lang w:val="es-ES"/>
        </w:rPr>
        <w:footnoteReference w:id="3"/>
      </w:r>
      <w:r w:rsidR="00973437" w:rsidRPr="00DA12F5">
        <w:rPr>
          <w:iCs/>
          <w:lang w:val="es-ES"/>
        </w:rPr>
        <w:t>;</w:t>
      </w:r>
    </w:p>
    <w:p w14:paraId="18CEA607" w14:textId="0532B928" w:rsidR="00973437" w:rsidRPr="00DA12F5" w:rsidRDefault="000C7FE4" w:rsidP="00973437">
      <w:pPr>
        <w:pStyle w:val="CBDNormalNoNumber"/>
        <w:tabs>
          <w:tab w:val="clear" w:pos="1134"/>
        </w:tabs>
        <w:ind w:left="540" w:firstLine="591"/>
        <w:rPr>
          <w:lang w:val="es-ES"/>
        </w:rPr>
      </w:pPr>
      <w:r w:rsidRPr="00DA12F5">
        <w:rPr>
          <w:iCs/>
          <w:lang w:val="es-ES"/>
        </w:rPr>
        <w:t>5</w:t>
      </w:r>
      <w:r w:rsidR="00286795" w:rsidRPr="00DA12F5">
        <w:rPr>
          <w:iCs/>
          <w:lang w:val="es-ES"/>
        </w:rPr>
        <w:t>.</w:t>
      </w:r>
      <w:r w:rsidR="00286795" w:rsidRPr="00DA12F5">
        <w:rPr>
          <w:iCs/>
          <w:lang w:val="es-ES"/>
        </w:rPr>
        <w:tab/>
      </w:r>
      <w:r w:rsidR="00973437" w:rsidRPr="00DA12F5">
        <w:rPr>
          <w:i/>
          <w:iCs/>
          <w:lang w:val="es-ES"/>
        </w:rPr>
        <w:t>Invita</w:t>
      </w:r>
      <w:r w:rsidR="00973437" w:rsidRPr="00DA12F5">
        <w:rPr>
          <w:lang w:val="es-ES"/>
        </w:rPr>
        <w:t xml:space="preserve"> a las Partes, a otros Gobiernos, a los pueblos indígenas y las comunidades locales, a las partes interesadas y a las organizaciones pertinentes, incluidas las instituciones de investigación, a que presenten a la </w:t>
      </w:r>
      <w:proofErr w:type="gramStart"/>
      <w:r w:rsidR="00973437" w:rsidRPr="00DA12F5">
        <w:rPr>
          <w:lang w:val="es-ES"/>
        </w:rPr>
        <w:t>Secretaria Ejecutiva</w:t>
      </w:r>
      <w:proofErr w:type="gramEnd"/>
      <w:r w:rsidR="00973437" w:rsidRPr="00DA12F5">
        <w:rPr>
          <w:lang w:val="es-ES"/>
        </w:rPr>
        <w:t>:</w:t>
      </w:r>
    </w:p>
    <w:p w14:paraId="6A36C209" w14:textId="446FC88F" w:rsidR="003C540C" w:rsidRPr="00DA12F5" w:rsidRDefault="00F85EBF" w:rsidP="003C540C">
      <w:pPr>
        <w:pStyle w:val="CBDNormalNoNumber"/>
        <w:tabs>
          <w:tab w:val="clear" w:pos="1134"/>
        </w:tabs>
        <w:ind w:left="540" w:firstLine="591"/>
        <w:rPr>
          <w:lang w:val="es-ES"/>
        </w:rPr>
      </w:pPr>
      <w:r w:rsidRPr="00DA12F5">
        <w:rPr>
          <w:lang w:val="es-ES"/>
        </w:rPr>
        <w:t>a)</w:t>
      </w:r>
      <w:r w:rsidRPr="00DA12F5">
        <w:rPr>
          <w:lang w:val="es-ES"/>
        </w:rPr>
        <w:tab/>
      </w:r>
      <w:r w:rsidR="003C540C" w:rsidRPr="00DA12F5">
        <w:rPr>
          <w:lang w:val="es-ES"/>
        </w:rPr>
        <w:t xml:space="preserve">Información sobre casos concretos, incluidos los relacionados con los conocimientos tradicionales asociados a los recursos genéticos, que puedan respaldar la necesidad de un mecanismo mundial multilateral de participación en los beneficios, de conformidad con el artículo 10 del Protocolo de Nagoya, acompañada de una explicación de por qué dichos casos no pueden abordarse mediante el enfoque bilateral establecido en el Protocolo ni mediante la aplicación de su artículo 11 sobre cooperación transfronteriza, </w:t>
      </w:r>
      <w:r w:rsidR="00165E83" w:rsidRPr="00DA12F5">
        <w:rPr>
          <w:lang w:val="es-ES"/>
        </w:rPr>
        <w:t xml:space="preserve">en particular </w:t>
      </w:r>
      <w:r w:rsidR="003C540C" w:rsidRPr="00DA12F5">
        <w:rPr>
          <w:lang w:val="es-ES"/>
        </w:rPr>
        <w:t xml:space="preserve">si se está </w:t>
      </w:r>
      <w:r w:rsidR="00165E83" w:rsidRPr="00DA12F5">
        <w:rPr>
          <w:lang w:val="es-ES"/>
        </w:rPr>
        <w:t>asegurando</w:t>
      </w:r>
      <w:r w:rsidR="003C540C" w:rsidRPr="00DA12F5">
        <w:rPr>
          <w:lang w:val="es-ES"/>
        </w:rPr>
        <w:t xml:space="preserve">, y de qué manera, una participación justa y equitativa en los beneficios en dichos casos, con el fin de </w:t>
      </w:r>
      <w:r w:rsidR="00165E83" w:rsidRPr="00DA12F5">
        <w:rPr>
          <w:lang w:val="es-ES"/>
        </w:rPr>
        <w:t xml:space="preserve">determinar </w:t>
      </w:r>
      <w:r w:rsidR="003C540C" w:rsidRPr="00DA12F5">
        <w:rPr>
          <w:lang w:val="es-ES"/>
        </w:rPr>
        <w:t xml:space="preserve">posibles </w:t>
      </w:r>
      <w:r w:rsidR="00165E83" w:rsidRPr="00DA12F5">
        <w:rPr>
          <w:lang w:val="es-ES"/>
        </w:rPr>
        <w:t xml:space="preserve">deficiencias </w:t>
      </w:r>
      <w:r w:rsidR="003C540C" w:rsidRPr="00DA12F5">
        <w:rPr>
          <w:lang w:val="es-ES"/>
        </w:rPr>
        <w:t xml:space="preserve">en los acuerdos existentes de participación en los beneficios, así como información sobre novedades, </w:t>
      </w:r>
      <w:r w:rsidR="009706B5" w:rsidRPr="00DA12F5">
        <w:rPr>
          <w:lang w:val="es-ES"/>
        </w:rPr>
        <w:t xml:space="preserve">como </w:t>
      </w:r>
      <w:r w:rsidR="003C540C" w:rsidRPr="00DA12F5">
        <w:rPr>
          <w:lang w:val="es-ES"/>
        </w:rPr>
        <w:t>en el marco de otros marcos internacionales;</w:t>
      </w:r>
    </w:p>
    <w:p w14:paraId="290D77F6" w14:textId="1A2F058C" w:rsidR="003C540C" w:rsidRPr="00DA12F5" w:rsidRDefault="003C540C" w:rsidP="003C540C">
      <w:pPr>
        <w:pStyle w:val="CBDNormalNoNumber"/>
        <w:tabs>
          <w:tab w:val="clear" w:pos="1134"/>
        </w:tabs>
        <w:ind w:left="540" w:firstLine="591"/>
        <w:rPr>
          <w:lang w:val="es-ES"/>
        </w:rPr>
      </w:pPr>
      <w:r w:rsidRPr="00DA12F5">
        <w:rPr>
          <w:lang w:val="es-ES"/>
        </w:rPr>
        <w:t xml:space="preserve"> [b)    Opiniones sobre las posibles modalidades de un mecanismo mundial multilateral de participación en los beneficios, así como sobre las </w:t>
      </w:r>
      <w:r w:rsidR="009A7F2B" w:rsidRPr="00DA12F5">
        <w:rPr>
          <w:lang w:val="es-ES"/>
        </w:rPr>
        <w:t xml:space="preserve">consecuencias </w:t>
      </w:r>
      <w:r w:rsidRPr="00DA12F5">
        <w:rPr>
          <w:lang w:val="es-ES"/>
        </w:rPr>
        <w:t xml:space="preserve">para los marcos nacionales e internacionales existentes de acceso y participación en los beneficios y las interacciones con los mismos, </w:t>
      </w:r>
      <w:r w:rsidR="009A7F2B" w:rsidRPr="00DA12F5">
        <w:rPr>
          <w:lang w:val="es-ES"/>
        </w:rPr>
        <w:t xml:space="preserve">en particular </w:t>
      </w:r>
      <w:r w:rsidRPr="00DA12F5">
        <w:rPr>
          <w:lang w:val="es-ES"/>
        </w:rPr>
        <w:t>las opciones de mecanismos de gobernanza y de participación en los beneficios que proporcionen seguridad jurídica a los proveedores y usuarios de recursos genéticos, entre otras cosas mediante las contribuciones de los usuarios, una asignación transparente y la rendición de cuentas;]</w:t>
      </w:r>
    </w:p>
    <w:p w14:paraId="7644DAB4" w14:textId="3C2145A7" w:rsidR="007C464F" w:rsidRPr="00DA12F5" w:rsidRDefault="000C7FE4" w:rsidP="007C464F">
      <w:pPr>
        <w:pStyle w:val="CBDNormalNoNumber"/>
        <w:tabs>
          <w:tab w:val="clear" w:pos="1134"/>
        </w:tabs>
        <w:ind w:left="540" w:firstLine="591"/>
        <w:rPr>
          <w:lang w:val="es-ES"/>
        </w:rPr>
      </w:pPr>
      <w:r w:rsidRPr="00DA12F5">
        <w:rPr>
          <w:lang w:val="es-ES"/>
        </w:rPr>
        <w:t>6</w:t>
      </w:r>
      <w:r w:rsidR="003B2958" w:rsidRPr="00DA12F5">
        <w:rPr>
          <w:lang w:val="es-ES"/>
        </w:rPr>
        <w:t>.</w:t>
      </w:r>
      <w:r w:rsidR="003B2958" w:rsidRPr="00DA12F5">
        <w:rPr>
          <w:lang w:val="es-ES"/>
        </w:rPr>
        <w:tab/>
      </w:r>
      <w:r w:rsidR="007C464F" w:rsidRPr="00DA12F5">
        <w:rPr>
          <w:i/>
          <w:iCs/>
          <w:lang w:val="es-ES"/>
        </w:rPr>
        <w:t>Pide</w:t>
      </w:r>
      <w:r w:rsidR="007C464F" w:rsidRPr="00DA12F5">
        <w:rPr>
          <w:lang w:val="es-ES"/>
        </w:rPr>
        <w:t xml:space="preserve"> a la </w:t>
      </w:r>
      <w:proofErr w:type="gramStart"/>
      <w:r w:rsidR="007C464F" w:rsidRPr="00DA12F5">
        <w:rPr>
          <w:lang w:val="es-ES"/>
        </w:rPr>
        <w:t>Secretaria Ejecutiva</w:t>
      </w:r>
      <w:proofErr w:type="gramEnd"/>
      <w:r w:rsidR="007C464F" w:rsidRPr="00DA12F5">
        <w:rPr>
          <w:lang w:val="es-ES"/>
        </w:rPr>
        <w:t xml:space="preserve"> que, con sujeción a la disponibilidad de recursos:</w:t>
      </w:r>
    </w:p>
    <w:p w14:paraId="65572E62" w14:textId="5B521013" w:rsidR="004A01C6" w:rsidRPr="00DA12F5" w:rsidRDefault="004A01C6" w:rsidP="003114D7">
      <w:pPr>
        <w:pStyle w:val="CBDNormalNoNumber"/>
        <w:tabs>
          <w:tab w:val="clear" w:pos="1134"/>
        </w:tabs>
        <w:ind w:left="540" w:firstLine="591"/>
        <w:rPr>
          <w:lang w:val="es-ES"/>
        </w:rPr>
      </w:pPr>
      <w:r w:rsidRPr="00DA12F5">
        <w:rPr>
          <w:lang w:val="es-ES"/>
        </w:rPr>
        <w:t>a)</w:t>
      </w:r>
      <w:r w:rsidRPr="00DA12F5">
        <w:rPr>
          <w:lang w:val="es-ES"/>
        </w:rPr>
        <w:tab/>
      </w:r>
      <w:r w:rsidR="007C464F" w:rsidRPr="00DA12F5">
        <w:rPr>
          <w:iCs/>
          <w:lang w:val="es-ES"/>
        </w:rPr>
        <w:t>Sintetice la información presentada de conformidad con el párrafo 5 anterior;</w:t>
      </w:r>
    </w:p>
    <w:p w14:paraId="7AAAB44A" w14:textId="644AC396" w:rsidR="007C464F" w:rsidRPr="00DA12F5" w:rsidRDefault="00677183" w:rsidP="007C464F">
      <w:pPr>
        <w:pStyle w:val="CBDNormalNoNumber"/>
        <w:tabs>
          <w:tab w:val="clear" w:pos="1134"/>
        </w:tabs>
        <w:ind w:left="540" w:firstLine="591"/>
        <w:rPr>
          <w:iCs/>
          <w:lang w:val="es-ES"/>
        </w:rPr>
      </w:pPr>
      <w:r w:rsidRPr="00DA12F5">
        <w:rPr>
          <w:lang w:val="es-ES"/>
        </w:rPr>
        <w:t>b)</w:t>
      </w:r>
      <w:r w:rsidRPr="00DA12F5">
        <w:rPr>
          <w:lang w:val="es-ES"/>
        </w:rPr>
        <w:tab/>
      </w:r>
      <w:r w:rsidR="007C464F" w:rsidRPr="00DA12F5">
        <w:rPr>
          <w:lang w:val="es-ES"/>
        </w:rPr>
        <w:t>Actualice la información facilitada en el estudio anterior</w:t>
      </w:r>
      <w:r w:rsidR="009A7F2B" w:rsidRPr="00DA12F5">
        <w:rPr>
          <w:rStyle w:val="FootnoteReference"/>
          <w:iCs/>
          <w:lang w:val="es-ES"/>
        </w:rPr>
        <w:footnoteReference w:id="4"/>
      </w:r>
      <w:r w:rsidR="007C464F" w:rsidRPr="00DA12F5">
        <w:rPr>
          <w:lang w:val="es-ES"/>
        </w:rPr>
        <w:t xml:space="preserve"> encargado por la Secretaria Ejecutiva sobre las experiencias adquiridas con el desarrollo y la aplicación del Protocolo de Nagoya y otros mecanismos multilaterales, así como sobre la posible pertinencia de los trabajos en curso emprendidos en el marco de otros procesos, a fin de incluir </w:t>
      </w:r>
      <w:r w:rsidR="00B00B71" w:rsidRPr="00DA12F5">
        <w:rPr>
          <w:lang w:val="es-ES"/>
        </w:rPr>
        <w:t xml:space="preserve">las novedades </w:t>
      </w:r>
      <w:r w:rsidR="007C464F" w:rsidRPr="00DA12F5">
        <w:rPr>
          <w:lang w:val="es-ES"/>
        </w:rPr>
        <w:t>y los trabajos en curso en los foros internacionales pertinentes, tales como las modalidades establecidas en el marco de otros mecanismos multilaterales y las lecciones aprendidas de su experiencia que puedan ser pertinentes para el examen de la necesidad y las modalidades de un mecanismo en virtud del artículo 10 del Protocolo, reconociendo al mismo tiempo que los respectivos mecanismos tienen mandatos, ámbitos de aplicación y marcos jurídicos distintos;</w:t>
      </w:r>
    </w:p>
    <w:p w14:paraId="604ABA79" w14:textId="314BBD75" w:rsidR="007C464F" w:rsidRPr="00DA12F5" w:rsidRDefault="007C464F" w:rsidP="007C464F">
      <w:pPr>
        <w:pStyle w:val="CBDNormalNoNumber"/>
        <w:tabs>
          <w:tab w:val="clear" w:pos="1134"/>
        </w:tabs>
        <w:ind w:left="540" w:firstLine="591"/>
        <w:rPr>
          <w:lang w:val="es-ES"/>
        </w:rPr>
      </w:pPr>
      <w:r w:rsidRPr="00DA12F5">
        <w:rPr>
          <w:lang w:val="es-ES"/>
        </w:rPr>
        <w:t xml:space="preserve">[7.    </w:t>
      </w:r>
      <w:r w:rsidRPr="00DA12F5">
        <w:rPr>
          <w:i/>
          <w:iCs/>
          <w:lang w:val="es-ES"/>
        </w:rPr>
        <w:t>Decide</w:t>
      </w:r>
      <w:r w:rsidRPr="00DA12F5">
        <w:rPr>
          <w:lang w:val="es-ES"/>
        </w:rPr>
        <w:t xml:space="preserve"> crear un [</w:t>
      </w:r>
      <w:r w:rsidR="00B00B71" w:rsidRPr="00DA12F5">
        <w:rPr>
          <w:lang w:val="es-ES"/>
        </w:rPr>
        <w:t>grupo asesor oficioso de composición abierta</w:t>
      </w:r>
      <w:proofErr w:type="gramStart"/>
      <w:r w:rsidRPr="00DA12F5">
        <w:rPr>
          <w:lang w:val="es-ES"/>
        </w:rPr>
        <w:t>][</w:t>
      </w:r>
      <w:proofErr w:type="gramEnd"/>
      <w:r w:rsidRPr="00DA12F5">
        <w:rPr>
          <w:lang w:val="es-ES"/>
        </w:rPr>
        <w:t xml:space="preserve">un grupo de trabajo de composición abierta </w:t>
      </w:r>
      <w:r w:rsidR="004443E5" w:rsidRPr="00DA12F5">
        <w:rPr>
          <w:lang w:val="es-ES"/>
        </w:rPr>
        <w:t xml:space="preserve">[intergubernamental] </w:t>
      </w:r>
      <w:r w:rsidRPr="00DA12F5">
        <w:rPr>
          <w:lang w:val="es-ES"/>
        </w:rPr>
        <w:t>en el marco del Protocolo de Nagoya, que incluir</w:t>
      </w:r>
      <w:r w:rsidR="001D6C86" w:rsidRPr="00DA12F5">
        <w:rPr>
          <w:lang w:val="es-ES"/>
        </w:rPr>
        <w:t xml:space="preserve">á </w:t>
      </w:r>
      <w:r w:rsidRPr="00DA12F5">
        <w:rPr>
          <w:lang w:val="es-ES"/>
        </w:rPr>
        <w:t>a las organizaciones y partes interesadas pertinentes y estar</w:t>
      </w:r>
      <w:r w:rsidR="001D6C86" w:rsidRPr="00DA12F5">
        <w:rPr>
          <w:lang w:val="es-ES"/>
        </w:rPr>
        <w:t xml:space="preserve">á </w:t>
      </w:r>
      <w:r w:rsidRPr="00DA12F5">
        <w:rPr>
          <w:lang w:val="es-ES"/>
        </w:rPr>
        <w:t>abierto a todas las Partes, con la participación plena y efectiva de los pueblos indígenas y las comunidades locales, de conformidad con las normas y prácticas aplicables];]</w:t>
      </w:r>
    </w:p>
    <w:p w14:paraId="0A88E381" w14:textId="73CD413C" w:rsidR="007C464F" w:rsidRPr="00DA12F5" w:rsidRDefault="007C464F" w:rsidP="007C464F">
      <w:pPr>
        <w:pStyle w:val="CBDNormalNoNumber"/>
        <w:tabs>
          <w:tab w:val="clear" w:pos="1134"/>
        </w:tabs>
        <w:ind w:left="540" w:firstLine="591"/>
        <w:rPr>
          <w:lang w:val="es-ES"/>
        </w:rPr>
      </w:pPr>
      <w:r w:rsidRPr="00DA12F5">
        <w:rPr>
          <w:lang w:val="es-ES"/>
        </w:rPr>
        <w:t>[8.</w:t>
      </w:r>
      <w:r w:rsidRPr="00DA12F5">
        <w:rPr>
          <w:lang w:val="es-ES"/>
        </w:rPr>
        <w:tab/>
      </w:r>
      <w:r w:rsidRPr="00DA12F5">
        <w:rPr>
          <w:i/>
          <w:iCs/>
          <w:lang w:val="es-ES"/>
        </w:rPr>
        <w:t>Pide</w:t>
      </w:r>
      <w:r w:rsidRPr="00DA12F5">
        <w:rPr>
          <w:lang w:val="es-ES"/>
        </w:rPr>
        <w:t xml:space="preserve"> a la </w:t>
      </w:r>
      <w:proofErr w:type="gramStart"/>
      <w:r w:rsidRPr="00DA12F5">
        <w:rPr>
          <w:lang w:val="es-ES"/>
        </w:rPr>
        <w:t>Secretaria Ejecutiva</w:t>
      </w:r>
      <w:proofErr w:type="gramEnd"/>
      <w:r w:rsidRPr="00DA12F5">
        <w:rPr>
          <w:lang w:val="es-ES"/>
        </w:rPr>
        <w:t xml:space="preserve"> que convoque, con sujeción a la disponibilidad de recursos, [reuniones del Grupo Asesor Oficioso de Composición Abierta</w:t>
      </w:r>
      <w:proofErr w:type="gramStart"/>
      <w:r w:rsidRPr="00DA12F5">
        <w:rPr>
          <w:lang w:val="es-ES"/>
        </w:rPr>
        <w:t>][</w:t>
      </w:r>
      <w:proofErr w:type="gramEnd"/>
      <w:r w:rsidRPr="00DA12F5">
        <w:rPr>
          <w:lang w:val="es-ES"/>
        </w:rPr>
        <w:t>al menos dos reuniones del Grupo de Trabajo de Composición Abierta</w:t>
      </w:r>
      <w:r w:rsidR="001D6C86" w:rsidRPr="00DA12F5">
        <w:rPr>
          <w:lang w:val="es-ES"/>
        </w:rPr>
        <w:t>,</w:t>
      </w:r>
      <w:r w:rsidRPr="00DA12F5">
        <w:rPr>
          <w:lang w:val="es-ES"/>
        </w:rPr>
        <w:t xml:space="preserve"> </w:t>
      </w:r>
      <w:r w:rsidR="001D6C86" w:rsidRPr="00DA12F5">
        <w:rPr>
          <w:lang w:val="es-ES"/>
        </w:rPr>
        <w:t xml:space="preserve">con consultas en línea, según sea necesario,] </w:t>
      </w:r>
      <w:r w:rsidRPr="00DA12F5">
        <w:rPr>
          <w:lang w:val="es-ES"/>
        </w:rPr>
        <w:t xml:space="preserve">antes de la </w:t>
      </w:r>
      <w:r w:rsidRPr="00DA12F5">
        <w:rPr>
          <w:lang w:val="es-ES"/>
        </w:rPr>
        <w:lastRenderedPageBreak/>
        <w:t xml:space="preserve">séptima reunión de la Conferencia de las Partes que actúa como reunión de las Partes en el Protocolo de Nagoya, para examinar la información a la que se hace referencia en el párrafo 6 anterior, </w:t>
      </w:r>
      <w:r w:rsidR="00912D80" w:rsidRPr="00DA12F5">
        <w:rPr>
          <w:lang w:val="es-ES"/>
        </w:rPr>
        <w:t>a fin de</w:t>
      </w:r>
      <w:r w:rsidRPr="00DA12F5">
        <w:rPr>
          <w:lang w:val="es-ES"/>
        </w:rPr>
        <w:t>:</w:t>
      </w:r>
    </w:p>
    <w:p w14:paraId="4536F88B" w14:textId="3B420CF0" w:rsidR="007C464F" w:rsidRPr="00DA12F5" w:rsidRDefault="004F320A" w:rsidP="004F320A">
      <w:pPr>
        <w:pStyle w:val="CBDNormalNoNumber"/>
        <w:tabs>
          <w:tab w:val="clear" w:pos="1134"/>
        </w:tabs>
        <w:ind w:left="540" w:firstLine="591"/>
        <w:rPr>
          <w:lang w:val="es-ES"/>
        </w:rPr>
      </w:pPr>
      <w:r w:rsidRPr="00DA12F5">
        <w:rPr>
          <w:iCs/>
          <w:lang w:val="es-ES"/>
        </w:rPr>
        <w:t>a)</w:t>
      </w:r>
      <w:r w:rsidRPr="00DA12F5">
        <w:rPr>
          <w:iCs/>
          <w:lang w:val="es-ES"/>
        </w:rPr>
        <w:tab/>
      </w:r>
      <w:r w:rsidR="00912D80" w:rsidRPr="00DA12F5">
        <w:rPr>
          <w:lang w:val="es-ES"/>
        </w:rPr>
        <w:t>Sin perjuicio de los requisitos nacionales aplicables en materia de acceso y participación en los beneficios, ex</w:t>
      </w:r>
      <w:r w:rsidR="007C464F" w:rsidRPr="00DA12F5">
        <w:rPr>
          <w:lang w:val="es-ES"/>
        </w:rPr>
        <w:t xml:space="preserve">aminar los casos concretos que podrían poner de manifiesto la necesidad de un mecanismo mundial multilateral de participación en los beneficios y los posibles factores desencadenantes de dicha participación a través de </w:t>
      </w:r>
      <w:r w:rsidR="00B8502D" w:rsidRPr="00DA12F5">
        <w:rPr>
          <w:lang w:val="es-ES"/>
        </w:rPr>
        <w:t xml:space="preserve">tal </w:t>
      </w:r>
      <w:r w:rsidR="007C464F" w:rsidRPr="00DA12F5">
        <w:rPr>
          <w:lang w:val="es-ES"/>
        </w:rPr>
        <w:t xml:space="preserve">mecanismo, </w:t>
      </w:r>
      <w:r w:rsidR="00B8502D" w:rsidRPr="00DA12F5">
        <w:rPr>
          <w:lang w:val="es-ES"/>
        </w:rPr>
        <w:t xml:space="preserve">procurando </w:t>
      </w:r>
      <w:r w:rsidR="007C464F" w:rsidRPr="00DA12F5">
        <w:rPr>
          <w:lang w:val="es-ES"/>
        </w:rPr>
        <w:t>al mismo tiempo que las situaciones transfronterizas o las circunstancias en las que no se pueda otorgar u obtener el consentimiento</w:t>
      </w:r>
      <w:r w:rsidR="00912D80" w:rsidRPr="00DA12F5">
        <w:rPr>
          <w:lang w:val="es-ES"/>
        </w:rPr>
        <w:t xml:space="preserve"> fundamentado </w:t>
      </w:r>
      <w:r w:rsidR="007C464F" w:rsidRPr="00DA12F5">
        <w:rPr>
          <w:lang w:val="es-ES"/>
        </w:rPr>
        <w:t>previo no den lugar a una utilización sin una participación justa y equitativa en los beneficios;</w:t>
      </w:r>
    </w:p>
    <w:p w14:paraId="5102D777" w14:textId="3EC5D433" w:rsidR="007C464F" w:rsidRPr="00DA12F5" w:rsidRDefault="007C464F" w:rsidP="007C464F">
      <w:pPr>
        <w:pStyle w:val="CBDNormalNoNumber"/>
        <w:tabs>
          <w:tab w:val="clear" w:pos="1134"/>
        </w:tabs>
        <w:ind w:left="540" w:firstLine="591"/>
        <w:rPr>
          <w:lang w:val="es-ES"/>
        </w:rPr>
      </w:pPr>
      <w:r w:rsidRPr="00DA12F5">
        <w:rPr>
          <w:lang w:val="es-ES"/>
        </w:rPr>
        <w:t>b)</w:t>
      </w:r>
      <w:r w:rsidR="004F320A" w:rsidRPr="00DA12F5">
        <w:rPr>
          <w:lang w:val="es-ES"/>
        </w:rPr>
        <w:tab/>
      </w:r>
      <w:r w:rsidR="00E823C7" w:rsidRPr="00DA12F5">
        <w:rPr>
          <w:lang w:val="es-ES"/>
        </w:rPr>
        <w:t xml:space="preserve">Determinar </w:t>
      </w:r>
      <w:r w:rsidRPr="00DA12F5">
        <w:rPr>
          <w:lang w:val="es-ES"/>
        </w:rPr>
        <w:t>las lecciones aprendidas de otros mecanismos multilaterales,</w:t>
      </w:r>
      <w:r w:rsidR="00E823C7" w:rsidRPr="00DA12F5">
        <w:rPr>
          <w:lang w:val="es-ES"/>
        </w:rPr>
        <w:t xml:space="preserve"> en particular </w:t>
      </w:r>
      <w:r w:rsidRPr="00DA12F5">
        <w:rPr>
          <w:lang w:val="es-ES"/>
        </w:rPr>
        <w:t xml:space="preserve">en lo que respecta a las circunstancias que justifican su establecimiento [y sus modalidades, que podrían servir de base para </w:t>
      </w:r>
      <w:r w:rsidR="00E823C7" w:rsidRPr="00DA12F5">
        <w:rPr>
          <w:lang w:val="es-ES"/>
        </w:rPr>
        <w:t xml:space="preserve">la elaboración </w:t>
      </w:r>
      <w:r w:rsidRPr="00DA12F5">
        <w:rPr>
          <w:lang w:val="es-ES"/>
        </w:rPr>
        <w:t>de modalidades de acceso y participación en los beneficios en el marco de un mecanismo mundial multilateral de participación en los beneficios];</w:t>
      </w:r>
    </w:p>
    <w:p w14:paraId="0E5D873E" w14:textId="58DF6086" w:rsidR="007C464F" w:rsidRPr="00DA12F5" w:rsidRDefault="007C464F" w:rsidP="007C464F">
      <w:pPr>
        <w:pStyle w:val="CBDNormalNoNumber"/>
        <w:tabs>
          <w:tab w:val="clear" w:pos="1134"/>
        </w:tabs>
        <w:ind w:left="540" w:firstLine="591"/>
        <w:rPr>
          <w:iCs/>
          <w:lang w:val="es-ES"/>
        </w:rPr>
      </w:pPr>
      <w:r w:rsidRPr="00DA12F5">
        <w:rPr>
          <w:lang w:val="es-ES"/>
        </w:rPr>
        <w:t>c)</w:t>
      </w:r>
      <w:r w:rsidR="004F320A" w:rsidRPr="00DA12F5">
        <w:rPr>
          <w:lang w:val="es-ES"/>
        </w:rPr>
        <w:tab/>
        <w:t xml:space="preserve">Examinar </w:t>
      </w:r>
      <w:r w:rsidRPr="00DA12F5">
        <w:rPr>
          <w:lang w:val="es-ES"/>
        </w:rPr>
        <w:t>cómo un posible mecanismo mundial multilateral de participación en los beneficios podría complementar las medidas nacionales de acceso y participación en los beneficios y ser complementario y de apoyo mutuo a los instrumentos y mecanismos pertinentes de acceso y participación en los beneficios, respetando al mismo tiempo la legislación nacional en materia de acceso y participación en los beneficios, los derechos soberanos sobre los recursos genéticos y los acuerdos bilaterales existentes de acceso y participación en los beneficios, y evita</w:t>
      </w:r>
      <w:r w:rsidR="00EF5B7A" w:rsidRPr="00DA12F5">
        <w:rPr>
          <w:lang w:val="es-ES"/>
        </w:rPr>
        <w:t xml:space="preserve">r </w:t>
      </w:r>
      <w:r w:rsidRPr="00DA12F5">
        <w:rPr>
          <w:lang w:val="es-ES"/>
        </w:rPr>
        <w:t xml:space="preserve">la duplicación de las obligaciones de participación en los beneficios, sin crear </w:t>
      </w:r>
      <w:r w:rsidR="004F320A" w:rsidRPr="00DA12F5">
        <w:rPr>
          <w:lang w:val="es-ES"/>
        </w:rPr>
        <w:t>deficiencias</w:t>
      </w:r>
      <w:r w:rsidRPr="00DA12F5">
        <w:rPr>
          <w:lang w:val="es-ES"/>
        </w:rPr>
        <w:t xml:space="preserve"> en dicho proceso;</w:t>
      </w:r>
    </w:p>
    <w:p w14:paraId="1379E93B" w14:textId="4EBEBE04" w:rsidR="003744CF" w:rsidRPr="00DA12F5" w:rsidRDefault="008A28A3" w:rsidP="004F320A">
      <w:pPr>
        <w:pStyle w:val="CBDNormalNoNumber"/>
        <w:tabs>
          <w:tab w:val="clear" w:pos="1134"/>
        </w:tabs>
        <w:ind w:left="540" w:firstLine="591"/>
        <w:rPr>
          <w:iCs/>
          <w:lang w:val="es-ES"/>
        </w:rPr>
      </w:pPr>
      <w:r w:rsidRPr="00DA12F5">
        <w:rPr>
          <w:iCs/>
          <w:lang w:val="es-ES"/>
        </w:rPr>
        <w:t>[d)</w:t>
      </w:r>
      <w:r w:rsidR="004F320A" w:rsidRPr="00DA12F5">
        <w:rPr>
          <w:iCs/>
          <w:lang w:val="es-ES"/>
        </w:rPr>
        <w:tab/>
        <w:t xml:space="preserve">Estudiar </w:t>
      </w:r>
      <w:r w:rsidRPr="00DA12F5">
        <w:rPr>
          <w:iCs/>
          <w:lang w:val="es-ES"/>
        </w:rPr>
        <w:t>posibles modalidades de acceso y participación en los beneficios en el marco del mecanismo mundial multilateral de participación en los beneficios</w:t>
      </w:r>
      <w:r w:rsidR="00EF5B7A" w:rsidRPr="00DA12F5">
        <w:rPr>
          <w:iCs/>
          <w:lang w:val="es-ES"/>
        </w:rPr>
        <w:t>, en particular las contribuciones efectivas por parte de los usuarios, una asignación equitativa, la transparencia y la rendición de cuentas,</w:t>
      </w:r>
      <w:r w:rsidRPr="00DA12F5">
        <w:rPr>
          <w:iCs/>
          <w:lang w:val="es-ES"/>
        </w:rPr>
        <w:t xml:space="preserve"> que ofrezcan seguridad jurídica tanto a los proveedores como a los usuarios de recursos genéticos y conocimientos tradicionales asociados a los recursos genéticos, sin perjuicio de los debates celebrados de conformidad con los </w:t>
      </w:r>
      <w:r w:rsidR="00370217" w:rsidRPr="00DA12F5">
        <w:rPr>
          <w:iCs/>
          <w:lang w:val="es-ES"/>
        </w:rPr>
        <w:t xml:space="preserve">párrafos </w:t>
      </w:r>
      <w:r w:rsidRPr="00DA12F5">
        <w:rPr>
          <w:iCs/>
          <w:lang w:val="es-ES"/>
        </w:rPr>
        <w:t xml:space="preserve">a), b) y c) anteriores[, </w:t>
      </w:r>
      <w:r w:rsidR="00CF0DDA" w:rsidRPr="00DA12F5">
        <w:rPr>
          <w:iCs/>
          <w:lang w:val="es-ES"/>
        </w:rPr>
        <w:t xml:space="preserve">incluidas </w:t>
      </w:r>
      <w:r w:rsidR="004F320A" w:rsidRPr="00DA12F5">
        <w:rPr>
          <w:iCs/>
          <w:lang w:val="es-ES"/>
        </w:rPr>
        <w:t xml:space="preserve">las </w:t>
      </w:r>
      <w:r w:rsidRPr="00DA12F5">
        <w:rPr>
          <w:iCs/>
          <w:lang w:val="es-ES"/>
        </w:rPr>
        <w:t xml:space="preserve">opciones relativas a los acuerdos de gobernanza, las contribuciones y la participación en los beneficios], tras un examen basado en datos empíricos de la necesidad de </w:t>
      </w:r>
      <w:r w:rsidR="00CF0DDA" w:rsidRPr="00DA12F5">
        <w:rPr>
          <w:iCs/>
          <w:lang w:val="es-ES"/>
        </w:rPr>
        <w:t xml:space="preserve">contar con </w:t>
      </w:r>
      <w:r w:rsidRPr="00DA12F5">
        <w:rPr>
          <w:iCs/>
          <w:lang w:val="es-ES"/>
        </w:rPr>
        <w:t>dicho mecanismo y la determinación de las Partes de que dicho mecanismo es necesario;]</w:t>
      </w:r>
    </w:p>
    <w:p w14:paraId="3F6E0208" w14:textId="1758AC3A" w:rsidR="00370217" w:rsidRPr="00DA12F5" w:rsidRDefault="000C7FE4" w:rsidP="00370217">
      <w:pPr>
        <w:pStyle w:val="CBDNormalNoNumber"/>
        <w:tabs>
          <w:tab w:val="clear" w:pos="1134"/>
        </w:tabs>
        <w:ind w:left="540" w:firstLine="591"/>
        <w:rPr>
          <w:lang w:val="es-ES"/>
        </w:rPr>
      </w:pPr>
      <w:r w:rsidRPr="00DA12F5">
        <w:rPr>
          <w:iCs/>
          <w:lang w:val="es-ES"/>
        </w:rPr>
        <w:t>9</w:t>
      </w:r>
      <w:r w:rsidR="00EB2289" w:rsidRPr="00DA12F5">
        <w:rPr>
          <w:iCs/>
          <w:lang w:val="es-ES"/>
        </w:rPr>
        <w:t>.</w:t>
      </w:r>
      <w:r w:rsidR="009902DC" w:rsidRPr="00DA12F5">
        <w:rPr>
          <w:iCs/>
          <w:lang w:val="es-ES"/>
        </w:rPr>
        <w:tab/>
      </w:r>
      <w:r w:rsidR="00370217" w:rsidRPr="00DA12F5">
        <w:rPr>
          <w:i/>
          <w:iCs/>
          <w:lang w:val="es-ES"/>
        </w:rPr>
        <w:t>Pide</w:t>
      </w:r>
      <w:r w:rsidR="00370217" w:rsidRPr="00DA12F5">
        <w:rPr>
          <w:lang w:val="es-ES"/>
        </w:rPr>
        <w:t xml:space="preserve"> que el Grupo de Trabajo de composición abierta elabore recomendaciones, según proceda, y redacte elementos relativos a las posibles modalidades del mecanismo mundial multilateral de participación en los beneficios previsto en el artículo 10 del Protocolo de Nagoya, </w:t>
      </w:r>
      <w:r w:rsidR="00C22A85" w:rsidRPr="00DA12F5">
        <w:rPr>
          <w:lang w:val="es-ES"/>
        </w:rPr>
        <w:t xml:space="preserve">en particular </w:t>
      </w:r>
      <w:r w:rsidR="00370217" w:rsidRPr="00DA12F5">
        <w:rPr>
          <w:lang w:val="es-ES"/>
        </w:rPr>
        <w:t>su ámbito de aplicación, los factores desencadenantes de la participación en los beneficios, la gobernanza, las contribuciones, la participación en los beneficios y las relaciones con las medidas nacionales de acceso y participación en los beneficios y los instrumentos internacionales pertinentes;]</w:t>
      </w:r>
    </w:p>
    <w:p w14:paraId="7D05FF79" w14:textId="283E24E0" w:rsidR="00370217" w:rsidRPr="00DA12F5" w:rsidRDefault="000C7FE4" w:rsidP="00370217">
      <w:pPr>
        <w:pStyle w:val="CBDNormalNoNumber"/>
        <w:tabs>
          <w:tab w:val="clear" w:pos="1134"/>
        </w:tabs>
        <w:ind w:left="540" w:firstLine="591"/>
        <w:rPr>
          <w:lang w:val="es-ES"/>
        </w:rPr>
      </w:pPr>
      <w:r w:rsidRPr="00DA12F5">
        <w:rPr>
          <w:iCs/>
          <w:lang w:val="es-ES"/>
        </w:rPr>
        <w:t>10</w:t>
      </w:r>
      <w:r w:rsidR="00BE6DDA" w:rsidRPr="00DA12F5">
        <w:rPr>
          <w:iCs/>
          <w:lang w:val="es-ES"/>
        </w:rPr>
        <w:t>.</w:t>
      </w:r>
      <w:r w:rsidR="00BE6DDA" w:rsidRPr="00DA12F5">
        <w:rPr>
          <w:iCs/>
          <w:lang w:val="es-ES"/>
        </w:rPr>
        <w:tab/>
      </w:r>
      <w:r w:rsidR="00370217" w:rsidRPr="00DA12F5">
        <w:rPr>
          <w:i/>
          <w:iCs/>
          <w:lang w:val="es-ES"/>
        </w:rPr>
        <w:t>Pide</w:t>
      </w:r>
      <w:r w:rsidR="00370217" w:rsidRPr="00DA12F5">
        <w:rPr>
          <w:lang w:val="es-ES"/>
        </w:rPr>
        <w:t xml:space="preserve"> que el [Órgano Subsidiario sobre la Aplicación][Grupo Asesor Oficioso de Composición Abierta] [Grupo de Trabajo de </w:t>
      </w:r>
      <w:r w:rsidR="008A6404" w:rsidRPr="00DA12F5">
        <w:rPr>
          <w:lang w:val="es-ES"/>
        </w:rPr>
        <w:t>Composición Abierta</w:t>
      </w:r>
      <w:r w:rsidR="00370217" w:rsidRPr="00DA12F5">
        <w:rPr>
          <w:lang w:val="es-ES"/>
        </w:rPr>
        <w:t xml:space="preserve">], tenga en cuenta en sus deliberaciones el estudio destinado a </w:t>
      </w:r>
      <w:r w:rsidR="000D5EEC" w:rsidRPr="00DA12F5">
        <w:rPr>
          <w:lang w:val="es-ES"/>
        </w:rPr>
        <w:t xml:space="preserve">identificar </w:t>
      </w:r>
      <w:r w:rsidR="00370217" w:rsidRPr="00DA12F5">
        <w:rPr>
          <w:lang w:val="es-ES"/>
        </w:rPr>
        <w:t xml:space="preserve">casos concretos de recursos genéticos y conocimientos tradicionales </w:t>
      </w:r>
      <w:r w:rsidR="000D5EEC" w:rsidRPr="00DA12F5">
        <w:rPr>
          <w:lang w:val="es-ES"/>
        </w:rPr>
        <w:t xml:space="preserve">relacionados con </w:t>
      </w:r>
      <w:r w:rsidR="00370217" w:rsidRPr="00DA12F5">
        <w:rPr>
          <w:lang w:val="es-ES"/>
        </w:rPr>
        <w:t>los recursos genéticos que se dan en situaciones transfronterizas o para los que no es posible otorgar u obtener el consentimiento fundamentado previo</w:t>
      </w:r>
      <w:r w:rsidR="00370217" w:rsidRPr="00DA12F5">
        <w:rPr>
          <w:rStyle w:val="FootnoteReference"/>
          <w:iCs/>
          <w:lang w:val="es-ES"/>
        </w:rPr>
        <w:footnoteReference w:id="5"/>
      </w:r>
      <w:r w:rsidR="00370217" w:rsidRPr="00DA12F5">
        <w:rPr>
          <w:lang w:val="es-ES"/>
        </w:rPr>
        <w:t>, así como otros trabajos anteriores sobre el artículo 10 del Protocolo de Nagoya y los resultados de la segunda evaluación y revisión de la eficacia del Protocolo;</w:t>
      </w:r>
      <w:bookmarkStart w:id="0" w:name="_Hlk244072777"/>
    </w:p>
    <w:p w14:paraId="097E81FB" w14:textId="3F92931D" w:rsidR="00370217" w:rsidRPr="00DA12F5" w:rsidRDefault="00370217" w:rsidP="00370217">
      <w:pPr>
        <w:pStyle w:val="CBDNormalNoNumber"/>
        <w:tabs>
          <w:tab w:val="clear" w:pos="1134"/>
        </w:tabs>
        <w:ind w:left="540" w:firstLine="591"/>
        <w:rPr>
          <w:lang w:val="es-ES"/>
        </w:rPr>
      </w:pPr>
      <w:r w:rsidRPr="00DA12F5">
        <w:rPr>
          <w:lang w:val="es-ES"/>
        </w:rPr>
        <w:t xml:space="preserve">[11.    </w:t>
      </w:r>
      <w:r w:rsidRPr="00DA12F5">
        <w:rPr>
          <w:i/>
          <w:iCs/>
          <w:lang w:val="es-ES"/>
        </w:rPr>
        <w:t>Pide también</w:t>
      </w:r>
      <w:r w:rsidRPr="00DA12F5">
        <w:rPr>
          <w:lang w:val="es-ES"/>
        </w:rPr>
        <w:t xml:space="preserve"> que, en una reunión que se celebre antes de la séptima reunión de la Conferencia de las Partes que actúa como reunión de las Partes en el Protocolo de Nagoya, el Órgano Subsidiario sobre la Aplicación examine los resultados de [la labor solicitada en el párrafo 6 anterior][el Grupo Asesor Oficioso de Composición Abierta][el</w:t>
      </w:r>
      <w:r w:rsidR="000D5EEC" w:rsidRPr="00DA12F5">
        <w:rPr>
          <w:lang w:val="es-ES"/>
        </w:rPr>
        <w:t xml:space="preserve"> Grupo de Trabajo </w:t>
      </w:r>
      <w:r w:rsidR="00EA32AE" w:rsidRPr="00DA12F5">
        <w:rPr>
          <w:lang w:val="es-ES"/>
        </w:rPr>
        <w:t xml:space="preserve">de </w:t>
      </w:r>
      <w:r w:rsidR="008A6404" w:rsidRPr="00DA12F5">
        <w:rPr>
          <w:lang w:val="es-ES"/>
        </w:rPr>
        <w:t>Composición Abierta</w:t>
      </w:r>
      <w:r w:rsidRPr="00DA12F5">
        <w:rPr>
          <w:lang w:val="es-ES"/>
        </w:rPr>
        <w:t xml:space="preserve">, </w:t>
      </w:r>
      <w:r w:rsidR="00EA32AE" w:rsidRPr="00DA12F5">
        <w:rPr>
          <w:lang w:val="es-ES"/>
        </w:rPr>
        <w:t xml:space="preserve">en particular </w:t>
      </w:r>
      <w:r w:rsidR="00327BDF" w:rsidRPr="00DA12F5">
        <w:rPr>
          <w:lang w:val="es-ES"/>
        </w:rPr>
        <w:t xml:space="preserve">las </w:t>
      </w:r>
      <w:r w:rsidRPr="00DA12F5">
        <w:rPr>
          <w:lang w:val="es-ES"/>
        </w:rPr>
        <w:t>recomendaciones y, según proceda, los proyectos de elementos</w:t>
      </w:r>
      <w:r w:rsidR="00327BDF" w:rsidRPr="00DA12F5">
        <w:rPr>
          <w:lang w:val="es-ES"/>
        </w:rPr>
        <w:t xml:space="preserve"> mencionados en el párrafo 9 anterior</w:t>
      </w:r>
      <w:r w:rsidRPr="00DA12F5">
        <w:rPr>
          <w:lang w:val="es-ES"/>
        </w:rPr>
        <w:t xml:space="preserve">,] y formule recomendaciones a la Conferencia de las Partes que </w:t>
      </w:r>
      <w:r w:rsidRPr="00DA12F5">
        <w:rPr>
          <w:lang w:val="es-ES"/>
        </w:rPr>
        <w:lastRenderedPageBreak/>
        <w:t xml:space="preserve">actúa como reunión de las Partes en el Protocolo en su séptima reunión, sin prejuzgar </w:t>
      </w:r>
      <w:r w:rsidR="00327BDF" w:rsidRPr="00DA12F5">
        <w:rPr>
          <w:lang w:val="es-ES"/>
        </w:rPr>
        <w:t xml:space="preserve">el resultado de los debates </w:t>
      </w:r>
      <w:r w:rsidRPr="00DA12F5">
        <w:rPr>
          <w:lang w:val="es-ES"/>
        </w:rPr>
        <w:t>[sobre la necesidad [y las modalidades] de un mecanismo mundial multilateral de participación en los beneficios][</w:t>
      </w:r>
      <w:r w:rsidR="00327BDF" w:rsidRPr="00DA12F5">
        <w:rPr>
          <w:lang w:val="es-ES"/>
        </w:rPr>
        <w:t xml:space="preserve">y sobre </w:t>
      </w:r>
      <w:r w:rsidRPr="00DA12F5">
        <w:rPr>
          <w:lang w:val="es-ES"/>
        </w:rPr>
        <w:t>las opciones relativas a las posibles modalidades de dicho mecanismo para su examen en la misma reunión].]</w:t>
      </w:r>
    </w:p>
    <w:bookmarkEnd w:id="0"/>
    <w:p w14:paraId="5F2B403A" w14:textId="791488F9" w:rsidR="00A111D1" w:rsidRPr="00DA12F5" w:rsidRDefault="00A111D1" w:rsidP="005649FD">
      <w:pPr>
        <w:pStyle w:val="CBDNormalNoNumber"/>
        <w:jc w:val="center"/>
        <w:rPr>
          <w:lang w:val="es-ES"/>
        </w:rPr>
      </w:pPr>
      <w:r w:rsidRPr="00DA12F5">
        <w:rPr>
          <w:lang w:val="es-ES"/>
        </w:rPr>
        <w:t>__________</w:t>
      </w:r>
    </w:p>
    <w:sectPr w:rsidR="00A111D1" w:rsidRPr="00DA12F5" w:rsidSect="005649FD">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167F9" w14:textId="77777777" w:rsidR="003F1DF8" w:rsidRPr="003F1A75" w:rsidRDefault="003F1DF8" w:rsidP="00CF1848">
      <w:r w:rsidRPr="003F1A75">
        <w:separator/>
      </w:r>
    </w:p>
  </w:endnote>
  <w:endnote w:type="continuationSeparator" w:id="0">
    <w:p w14:paraId="4329F6FC" w14:textId="77777777" w:rsidR="003F1DF8" w:rsidRPr="003F1A75" w:rsidRDefault="003F1DF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676CFB" w:rsidRDefault="00D75CA6" w:rsidP="00D75CA6">
            <w:pPr>
              <w:pStyle w:val="Footer"/>
              <w:jc w:val="left"/>
            </w:pPr>
            <w:r w:rsidRPr="00676CFB">
              <w:rPr>
                <w:szCs w:val="20"/>
              </w:rPr>
              <w:fldChar w:fldCharType="begin"/>
            </w:r>
            <w:r w:rsidRPr="00676CFB">
              <w:rPr>
                <w:szCs w:val="20"/>
              </w:rPr>
              <w:instrText xml:space="preserve"> PAGE </w:instrText>
            </w:r>
            <w:r w:rsidRPr="00676CFB">
              <w:rPr>
                <w:szCs w:val="20"/>
              </w:rPr>
              <w:fldChar w:fldCharType="separate"/>
            </w:r>
            <w:r w:rsidRPr="00676CFB">
              <w:rPr>
                <w:noProof/>
                <w:szCs w:val="20"/>
              </w:rPr>
              <w:t>2</w:t>
            </w:r>
            <w:r w:rsidRPr="00676CFB">
              <w:rPr>
                <w:szCs w:val="20"/>
              </w:rPr>
              <w:fldChar w:fldCharType="end"/>
            </w:r>
            <w:r w:rsidRPr="00676CFB">
              <w:rPr>
                <w:szCs w:val="20"/>
              </w:rPr>
              <w:t>/</w:t>
            </w:r>
            <w:r w:rsidRPr="00676CFB">
              <w:rPr>
                <w:szCs w:val="20"/>
              </w:rPr>
              <w:fldChar w:fldCharType="begin"/>
            </w:r>
            <w:r w:rsidRPr="00676CFB">
              <w:rPr>
                <w:szCs w:val="20"/>
              </w:rPr>
              <w:instrText xml:space="preserve"> NUMPAGES  </w:instrText>
            </w:r>
            <w:r w:rsidRPr="00676CFB">
              <w:rPr>
                <w:szCs w:val="20"/>
              </w:rPr>
              <w:fldChar w:fldCharType="separate"/>
            </w:r>
            <w:r w:rsidRPr="00676CFB">
              <w:rPr>
                <w:noProof/>
                <w:szCs w:val="20"/>
              </w:rPr>
              <w:t>2</w:t>
            </w:r>
            <w:r w:rsidRPr="00676CF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D40491" w14:textId="77777777" w:rsidR="00D75CA6" w:rsidRPr="00676CFB" w:rsidRDefault="00D75CA6" w:rsidP="00676CFB">
        <w:pPr>
          <w:pStyle w:val="Footer"/>
          <w:jc w:val="right"/>
        </w:pPr>
        <w:r w:rsidRPr="00676CFB">
          <w:rPr>
            <w:szCs w:val="20"/>
          </w:rPr>
          <w:fldChar w:fldCharType="begin"/>
        </w:r>
        <w:r w:rsidRPr="00676CFB">
          <w:rPr>
            <w:szCs w:val="20"/>
          </w:rPr>
          <w:instrText xml:space="preserve"> PAGE </w:instrText>
        </w:r>
        <w:r w:rsidRPr="00676CFB">
          <w:rPr>
            <w:szCs w:val="20"/>
          </w:rPr>
          <w:fldChar w:fldCharType="separate"/>
        </w:r>
        <w:r w:rsidRPr="00676CFB">
          <w:rPr>
            <w:szCs w:val="20"/>
          </w:rPr>
          <w:t>2</w:t>
        </w:r>
        <w:r w:rsidRPr="00676CFB">
          <w:rPr>
            <w:szCs w:val="20"/>
          </w:rPr>
          <w:fldChar w:fldCharType="end"/>
        </w:r>
        <w:r w:rsidRPr="00676CFB">
          <w:rPr>
            <w:szCs w:val="20"/>
          </w:rPr>
          <w:t>/</w:t>
        </w:r>
        <w:r w:rsidRPr="00676CFB">
          <w:rPr>
            <w:szCs w:val="20"/>
          </w:rPr>
          <w:fldChar w:fldCharType="begin"/>
        </w:r>
        <w:r w:rsidRPr="00676CFB">
          <w:rPr>
            <w:szCs w:val="20"/>
          </w:rPr>
          <w:instrText xml:space="preserve"> NUMPAGES  </w:instrText>
        </w:r>
        <w:r w:rsidRPr="00676CFB">
          <w:rPr>
            <w:szCs w:val="20"/>
          </w:rPr>
          <w:fldChar w:fldCharType="separate"/>
        </w:r>
        <w:r w:rsidRPr="00676CFB">
          <w:rPr>
            <w:szCs w:val="20"/>
          </w:rPr>
          <w:t>3</w:t>
        </w:r>
        <w:r w:rsidRPr="00676CF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B409C" w14:textId="77777777" w:rsidR="003F1DF8" w:rsidRPr="003F1A75" w:rsidRDefault="003F1DF8" w:rsidP="00CF1848">
      <w:r w:rsidRPr="003F1A75">
        <w:separator/>
      </w:r>
    </w:p>
  </w:footnote>
  <w:footnote w:type="continuationSeparator" w:id="0">
    <w:p w14:paraId="3DDAFB2D" w14:textId="77777777" w:rsidR="003F1DF8" w:rsidRPr="003F1A75" w:rsidRDefault="003F1DF8" w:rsidP="00CF1848">
      <w:r w:rsidRPr="003F1A75">
        <w:continuationSeparator/>
      </w:r>
    </w:p>
  </w:footnote>
  <w:footnote w:id="1">
    <w:p w14:paraId="4BB57686" w14:textId="4A52FF18" w:rsidR="00D40437" w:rsidRPr="00370217" w:rsidRDefault="00D40437" w:rsidP="00D40437">
      <w:pPr>
        <w:pStyle w:val="FootnoteText"/>
        <w:rPr>
          <w:lang w:val="es-ES"/>
        </w:rPr>
      </w:pPr>
      <w:r>
        <w:rPr>
          <w:rStyle w:val="FootnoteReference"/>
        </w:rPr>
        <w:footnoteRef/>
      </w:r>
      <w:r w:rsidRPr="00370217">
        <w:rPr>
          <w:lang w:val="es-ES"/>
        </w:rPr>
        <w:t xml:space="preserve"> </w:t>
      </w:r>
      <w:r w:rsidR="00370217" w:rsidRPr="00370217">
        <w:rPr>
          <w:lang w:val="es-ES"/>
        </w:rPr>
        <w:t>Naciones Unidas</w:t>
      </w:r>
      <w:r w:rsidRPr="00370217">
        <w:rPr>
          <w:lang w:val="es-ES"/>
        </w:rPr>
        <w:t xml:space="preserve">, </w:t>
      </w:r>
      <w:proofErr w:type="spellStart"/>
      <w:r w:rsidRPr="00370217">
        <w:rPr>
          <w:i/>
          <w:iCs/>
          <w:lang w:val="es-ES"/>
        </w:rPr>
        <w:t>Treaty</w:t>
      </w:r>
      <w:proofErr w:type="spellEnd"/>
      <w:r w:rsidRPr="00370217">
        <w:rPr>
          <w:i/>
          <w:iCs/>
          <w:lang w:val="es-ES"/>
        </w:rPr>
        <w:t xml:space="preserve"> Series</w:t>
      </w:r>
      <w:r w:rsidRPr="00370217">
        <w:rPr>
          <w:lang w:val="es-ES"/>
        </w:rPr>
        <w:t xml:space="preserve">, vol. 3008, </w:t>
      </w:r>
      <w:r w:rsidR="00370217">
        <w:rPr>
          <w:lang w:val="es-ES"/>
        </w:rPr>
        <w:t>núm</w:t>
      </w:r>
      <w:r w:rsidRPr="00370217">
        <w:rPr>
          <w:lang w:val="es-ES"/>
        </w:rPr>
        <w:t>. 30619.</w:t>
      </w:r>
    </w:p>
  </w:footnote>
  <w:footnote w:id="2">
    <w:p w14:paraId="62DEF73C" w14:textId="23831C65" w:rsidR="00D40437" w:rsidRPr="00693B07" w:rsidRDefault="00D40437" w:rsidP="00D40437">
      <w:pPr>
        <w:pStyle w:val="FootnoteText"/>
        <w:rPr>
          <w:lang w:val="es-ES"/>
        </w:rPr>
      </w:pPr>
      <w:r>
        <w:rPr>
          <w:rStyle w:val="FootnoteReference"/>
        </w:rPr>
        <w:footnoteRef/>
      </w:r>
      <w:r w:rsidRPr="00693B07">
        <w:rPr>
          <w:lang w:val="es-ES"/>
        </w:rPr>
        <w:t xml:space="preserve"> </w:t>
      </w:r>
      <w:r w:rsidRPr="00693B07">
        <w:rPr>
          <w:i/>
          <w:iCs/>
          <w:lang w:val="es-ES"/>
        </w:rPr>
        <w:t>Ibid</w:t>
      </w:r>
      <w:r w:rsidRPr="00693B07">
        <w:rPr>
          <w:lang w:val="es-ES"/>
        </w:rPr>
        <w:t xml:space="preserve">., vol. 1760, </w:t>
      </w:r>
      <w:r w:rsidR="00370217" w:rsidRPr="00693B07">
        <w:rPr>
          <w:lang w:val="es-ES"/>
        </w:rPr>
        <w:t>núm</w:t>
      </w:r>
      <w:r w:rsidRPr="00693B07">
        <w:rPr>
          <w:lang w:val="es-ES"/>
        </w:rPr>
        <w:t>. 30619.</w:t>
      </w:r>
    </w:p>
  </w:footnote>
  <w:footnote w:id="3">
    <w:p w14:paraId="3D1450B9" w14:textId="3B6DBA6F" w:rsidR="00797A2B" w:rsidRPr="00DA12F5" w:rsidRDefault="00797A2B" w:rsidP="00797A2B">
      <w:pPr>
        <w:pStyle w:val="FootnoteText"/>
        <w:rPr>
          <w:lang w:val="es-ES"/>
        </w:rPr>
      </w:pPr>
      <w:r w:rsidRPr="00DA12F5">
        <w:rPr>
          <w:rStyle w:val="FootnoteReference"/>
          <w:lang w:val="es-ES"/>
        </w:rPr>
        <w:footnoteRef/>
      </w:r>
      <w:r w:rsidRPr="00DA12F5">
        <w:rPr>
          <w:lang w:val="es-ES"/>
        </w:rPr>
        <w:t xml:space="preserve"> Véase </w:t>
      </w:r>
      <w:hyperlink r:id="rId1" w:history="1">
        <w:r w:rsidRPr="00DA12F5">
          <w:rPr>
            <w:rStyle w:val="Hyperlink"/>
            <w:lang w:val="es-ES"/>
          </w:rPr>
          <w:t>CBD/SBI/7/7</w:t>
        </w:r>
      </w:hyperlink>
      <w:r w:rsidRPr="00DA12F5">
        <w:rPr>
          <w:lang w:val="es-ES"/>
        </w:rPr>
        <w:t>.</w:t>
      </w:r>
    </w:p>
  </w:footnote>
  <w:footnote w:id="4">
    <w:p w14:paraId="4717E7C6" w14:textId="77777777" w:rsidR="009A7F2B" w:rsidRPr="009A7F2B" w:rsidRDefault="009A7F2B" w:rsidP="009A7F2B">
      <w:pPr>
        <w:pStyle w:val="FootnoteText"/>
        <w:rPr>
          <w:lang w:val="pt-PT"/>
        </w:rPr>
      </w:pPr>
      <w:r w:rsidRPr="00DA12F5">
        <w:rPr>
          <w:rStyle w:val="FootnoteReference"/>
          <w:lang w:val="es-ES"/>
        </w:rPr>
        <w:footnoteRef/>
      </w:r>
      <w:r w:rsidRPr="00693B07">
        <w:rPr>
          <w:lang w:val="pt-PT"/>
        </w:rPr>
        <w:t xml:space="preserve"> </w:t>
      </w:r>
      <w:hyperlink r:id="rId2" w:history="1">
        <w:r w:rsidRPr="00693B07">
          <w:rPr>
            <w:rStyle w:val="Hyperlink"/>
            <w:lang w:val="pt-PT"/>
          </w:rPr>
          <w:t>UNEP/CBD/ABS/A10/EM/2016/1/2</w:t>
        </w:r>
      </w:hyperlink>
      <w:r w:rsidRPr="00693B07">
        <w:rPr>
          <w:lang w:val="pt-PT"/>
        </w:rPr>
        <w:t>.</w:t>
      </w:r>
    </w:p>
  </w:footnote>
  <w:footnote w:id="5">
    <w:p w14:paraId="2834F40F" w14:textId="77777777" w:rsidR="00370217" w:rsidRPr="007C464F" w:rsidRDefault="00370217" w:rsidP="00370217">
      <w:pPr>
        <w:pStyle w:val="FootnoteText"/>
        <w:rPr>
          <w:lang w:val="it-CH"/>
        </w:rPr>
      </w:pPr>
      <w:r>
        <w:rPr>
          <w:rStyle w:val="FootnoteReference"/>
        </w:rPr>
        <w:footnoteRef/>
      </w:r>
      <w:r w:rsidRPr="007C464F">
        <w:rPr>
          <w:lang w:val="it-CH"/>
        </w:rPr>
        <w:t xml:space="preserve"> </w:t>
      </w:r>
      <w:hyperlink r:id="rId3" w:history="1">
        <w:r w:rsidRPr="007C464F">
          <w:rPr>
            <w:rStyle w:val="Hyperlink"/>
            <w:lang w:val="it-CH"/>
          </w:rPr>
          <w:t>CBD/SBI/3/15/Add1</w:t>
        </w:r>
      </w:hyperlink>
      <w:r w:rsidRPr="007C464F">
        <w:rPr>
          <w:lang w:val="it-CH"/>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C2194B" w14:textId="7D0E9C34" w:rsidR="00534681" w:rsidRPr="003F1A75" w:rsidRDefault="00964E5A" w:rsidP="007C4951">
        <w:pPr>
          <w:pStyle w:val="Header"/>
          <w:spacing w:after="240"/>
          <w:rPr>
            <w:szCs w:val="20"/>
          </w:rPr>
        </w:pPr>
        <w:r>
          <w:rPr>
            <w:szCs w:val="20"/>
          </w:rPr>
          <w:t>CBD/NP/MOP/6/</w:t>
        </w:r>
        <w:r w:rsidR="00676CFB">
          <w:rPr>
            <w:szCs w:val="20"/>
          </w:rPr>
          <w:t>L.8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5D2D135" w14:textId="658DADDE" w:rsidR="009505C9" w:rsidRPr="003F1A75" w:rsidRDefault="00676CFB" w:rsidP="007C4951">
        <w:pPr>
          <w:pStyle w:val="Header"/>
          <w:spacing w:after="240"/>
          <w:jc w:val="right"/>
        </w:pPr>
        <w:r>
          <w:t>CBD/NP/MOP/6/L.8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6A28"/>
    <w:multiLevelType w:val="hybridMultilevel"/>
    <w:tmpl w:val="78DC0EA2"/>
    <w:lvl w:ilvl="0" w:tplc="A9F00AC0">
      <w:start w:val="1"/>
      <w:numFmt w:val="decimal"/>
      <w:lvlText w:val="%1."/>
      <w:lvlJc w:val="left"/>
      <w:pPr>
        <w:ind w:left="1020" w:hanging="360"/>
      </w:pPr>
    </w:lvl>
    <w:lvl w:ilvl="1" w:tplc="EC76085C">
      <w:start w:val="1"/>
      <w:numFmt w:val="decimal"/>
      <w:lvlText w:val="%2."/>
      <w:lvlJc w:val="left"/>
      <w:pPr>
        <w:ind w:left="1020" w:hanging="360"/>
      </w:pPr>
    </w:lvl>
    <w:lvl w:ilvl="2" w:tplc="ED0EB812">
      <w:start w:val="1"/>
      <w:numFmt w:val="decimal"/>
      <w:lvlText w:val="%3."/>
      <w:lvlJc w:val="left"/>
      <w:pPr>
        <w:ind w:left="1020" w:hanging="360"/>
      </w:pPr>
    </w:lvl>
    <w:lvl w:ilvl="3" w:tplc="253A657C">
      <w:start w:val="1"/>
      <w:numFmt w:val="decimal"/>
      <w:lvlText w:val="%4."/>
      <w:lvlJc w:val="left"/>
      <w:pPr>
        <w:ind w:left="1020" w:hanging="360"/>
      </w:pPr>
    </w:lvl>
    <w:lvl w:ilvl="4" w:tplc="D2580C58">
      <w:start w:val="1"/>
      <w:numFmt w:val="decimal"/>
      <w:lvlText w:val="%5."/>
      <w:lvlJc w:val="left"/>
      <w:pPr>
        <w:ind w:left="1020" w:hanging="360"/>
      </w:pPr>
    </w:lvl>
    <w:lvl w:ilvl="5" w:tplc="DF46314A">
      <w:start w:val="1"/>
      <w:numFmt w:val="decimal"/>
      <w:lvlText w:val="%6."/>
      <w:lvlJc w:val="left"/>
      <w:pPr>
        <w:ind w:left="1020" w:hanging="360"/>
      </w:pPr>
    </w:lvl>
    <w:lvl w:ilvl="6" w:tplc="468AAC1E">
      <w:start w:val="1"/>
      <w:numFmt w:val="decimal"/>
      <w:lvlText w:val="%7."/>
      <w:lvlJc w:val="left"/>
      <w:pPr>
        <w:ind w:left="1020" w:hanging="360"/>
      </w:pPr>
    </w:lvl>
    <w:lvl w:ilvl="7" w:tplc="901646E8">
      <w:start w:val="1"/>
      <w:numFmt w:val="decimal"/>
      <w:lvlText w:val="%8."/>
      <w:lvlJc w:val="left"/>
      <w:pPr>
        <w:ind w:left="1020" w:hanging="360"/>
      </w:pPr>
    </w:lvl>
    <w:lvl w:ilvl="8" w:tplc="99F24BB0">
      <w:start w:val="1"/>
      <w:numFmt w:val="decimal"/>
      <w:lvlText w:val="%9."/>
      <w:lvlJc w:val="left"/>
      <w:pPr>
        <w:ind w:left="1020" w:hanging="360"/>
      </w:pPr>
    </w:lvl>
  </w:abstractNum>
  <w:abstractNum w:abstractNumId="1" w15:restartNumberingAfterBreak="0">
    <w:nsid w:val="40030627"/>
    <w:multiLevelType w:val="hybridMultilevel"/>
    <w:tmpl w:val="7BBAF6B4"/>
    <w:lvl w:ilvl="0" w:tplc="EE6E8A7E">
      <w:start w:val="1"/>
      <w:numFmt w:val="decimal"/>
      <w:lvlText w:val="%1."/>
      <w:lvlJc w:val="left"/>
      <w:pPr>
        <w:ind w:left="1020" w:hanging="360"/>
      </w:pPr>
    </w:lvl>
    <w:lvl w:ilvl="1" w:tplc="ACDE4080">
      <w:start w:val="1"/>
      <w:numFmt w:val="decimal"/>
      <w:lvlText w:val="%2."/>
      <w:lvlJc w:val="left"/>
      <w:pPr>
        <w:ind w:left="1020" w:hanging="360"/>
      </w:pPr>
    </w:lvl>
    <w:lvl w:ilvl="2" w:tplc="B9FA5D86">
      <w:start w:val="1"/>
      <w:numFmt w:val="decimal"/>
      <w:lvlText w:val="%3."/>
      <w:lvlJc w:val="left"/>
      <w:pPr>
        <w:ind w:left="1020" w:hanging="360"/>
      </w:pPr>
    </w:lvl>
    <w:lvl w:ilvl="3" w:tplc="3AD8C444">
      <w:start w:val="1"/>
      <w:numFmt w:val="decimal"/>
      <w:lvlText w:val="%4."/>
      <w:lvlJc w:val="left"/>
      <w:pPr>
        <w:ind w:left="1020" w:hanging="360"/>
      </w:pPr>
    </w:lvl>
    <w:lvl w:ilvl="4" w:tplc="1E9EF0F6">
      <w:start w:val="1"/>
      <w:numFmt w:val="decimal"/>
      <w:lvlText w:val="%5."/>
      <w:lvlJc w:val="left"/>
      <w:pPr>
        <w:ind w:left="1020" w:hanging="360"/>
      </w:pPr>
    </w:lvl>
    <w:lvl w:ilvl="5" w:tplc="A1FCF21A">
      <w:start w:val="1"/>
      <w:numFmt w:val="decimal"/>
      <w:lvlText w:val="%6."/>
      <w:lvlJc w:val="left"/>
      <w:pPr>
        <w:ind w:left="1020" w:hanging="360"/>
      </w:pPr>
    </w:lvl>
    <w:lvl w:ilvl="6" w:tplc="51DA7238">
      <w:start w:val="1"/>
      <w:numFmt w:val="decimal"/>
      <w:lvlText w:val="%7."/>
      <w:lvlJc w:val="left"/>
      <w:pPr>
        <w:ind w:left="1020" w:hanging="360"/>
      </w:pPr>
    </w:lvl>
    <w:lvl w:ilvl="7" w:tplc="6E9487CE">
      <w:start w:val="1"/>
      <w:numFmt w:val="decimal"/>
      <w:lvlText w:val="%8."/>
      <w:lvlJc w:val="left"/>
      <w:pPr>
        <w:ind w:left="1020" w:hanging="360"/>
      </w:pPr>
    </w:lvl>
    <w:lvl w:ilvl="8" w:tplc="711A836A">
      <w:start w:val="1"/>
      <w:numFmt w:val="decimal"/>
      <w:lvlText w:val="%9."/>
      <w:lvlJc w:val="left"/>
      <w:pPr>
        <w:ind w:left="1020" w:hanging="36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2104764"/>
    <w:multiLevelType w:val="hybridMultilevel"/>
    <w:tmpl w:val="D87E0606"/>
    <w:lvl w:ilvl="0" w:tplc="DC1821BE">
      <w:start w:val="1"/>
      <w:numFmt w:val="decimal"/>
      <w:lvlText w:val="%1."/>
      <w:lvlJc w:val="left"/>
      <w:pPr>
        <w:ind w:left="1707" w:hanging="576"/>
      </w:pPr>
      <w:rPr>
        <w:rFonts w:hint="default"/>
      </w:rPr>
    </w:lvl>
    <w:lvl w:ilvl="1" w:tplc="10090019" w:tentative="1">
      <w:start w:val="1"/>
      <w:numFmt w:val="lowerLetter"/>
      <w:lvlText w:val="%2."/>
      <w:lvlJc w:val="left"/>
      <w:pPr>
        <w:ind w:left="2211" w:hanging="360"/>
      </w:pPr>
    </w:lvl>
    <w:lvl w:ilvl="2" w:tplc="1009001B" w:tentative="1">
      <w:start w:val="1"/>
      <w:numFmt w:val="lowerRoman"/>
      <w:lvlText w:val="%3."/>
      <w:lvlJc w:val="right"/>
      <w:pPr>
        <w:ind w:left="2931" w:hanging="180"/>
      </w:pPr>
    </w:lvl>
    <w:lvl w:ilvl="3" w:tplc="1009000F" w:tentative="1">
      <w:start w:val="1"/>
      <w:numFmt w:val="decimal"/>
      <w:lvlText w:val="%4."/>
      <w:lvlJc w:val="left"/>
      <w:pPr>
        <w:ind w:left="3651" w:hanging="360"/>
      </w:pPr>
    </w:lvl>
    <w:lvl w:ilvl="4" w:tplc="10090019" w:tentative="1">
      <w:start w:val="1"/>
      <w:numFmt w:val="lowerLetter"/>
      <w:lvlText w:val="%5."/>
      <w:lvlJc w:val="left"/>
      <w:pPr>
        <w:ind w:left="4371" w:hanging="360"/>
      </w:pPr>
    </w:lvl>
    <w:lvl w:ilvl="5" w:tplc="1009001B" w:tentative="1">
      <w:start w:val="1"/>
      <w:numFmt w:val="lowerRoman"/>
      <w:lvlText w:val="%6."/>
      <w:lvlJc w:val="right"/>
      <w:pPr>
        <w:ind w:left="5091" w:hanging="180"/>
      </w:pPr>
    </w:lvl>
    <w:lvl w:ilvl="6" w:tplc="1009000F" w:tentative="1">
      <w:start w:val="1"/>
      <w:numFmt w:val="decimal"/>
      <w:lvlText w:val="%7."/>
      <w:lvlJc w:val="left"/>
      <w:pPr>
        <w:ind w:left="5811" w:hanging="360"/>
      </w:pPr>
    </w:lvl>
    <w:lvl w:ilvl="7" w:tplc="10090019" w:tentative="1">
      <w:start w:val="1"/>
      <w:numFmt w:val="lowerLetter"/>
      <w:lvlText w:val="%8."/>
      <w:lvlJc w:val="left"/>
      <w:pPr>
        <w:ind w:left="6531" w:hanging="360"/>
      </w:pPr>
    </w:lvl>
    <w:lvl w:ilvl="8" w:tplc="1009001B" w:tentative="1">
      <w:start w:val="1"/>
      <w:numFmt w:val="lowerRoman"/>
      <w:lvlText w:val="%9."/>
      <w:lvlJc w:val="right"/>
      <w:pPr>
        <w:ind w:left="7251"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E42086F"/>
    <w:multiLevelType w:val="hybridMultilevel"/>
    <w:tmpl w:val="60E84124"/>
    <w:lvl w:ilvl="0" w:tplc="7B92229E">
      <w:start w:val="1"/>
      <w:numFmt w:val="decimal"/>
      <w:lvlText w:val="%1."/>
      <w:lvlJc w:val="left"/>
      <w:pPr>
        <w:ind w:left="1020" w:hanging="360"/>
      </w:pPr>
    </w:lvl>
    <w:lvl w:ilvl="1" w:tplc="581CC2AA">
      <w:start w:val="1"/>
      <w:numFmt w:val="decimal"/>
      <w:lvlText w:val="%2."/>
      <w:lvlJc w:val="left"/>
      <w:pPr>
        <w:ind w:left="1020" w:hanging="360"/>
      </w:pPr>
    </w:lvl>
    <w:lvl w:ilvl="2" w:tplc="A928F4DA">
      <w:start w:val="1"/>
      <w:numFmt w:val="decimal"/>
      <w:lvlText w:val="%3."/>
      <w:lvlJc w:val="left"/>
      <w:pPr>
        <w:ind w:left="1020" w:hanging="360"/>
      </w:pPr>
    </w:lvl>
    <w:lvl w:ilvl="3" w:tplc="1A5CB794">
      <w:start w:val="1"/>
      <w:numFmt w:val="decimal"/>
      <w:lvlText w:val="%4."/>
      <w:lvlJc w:val="left"/>
      <w:pPr>
        <w:ind w:left="1020" w:hanging="360"/>
      </w:pPr>
    </w:lvl>
    <w:lvl w:ilvl="4" w:tplc="5582DABC">
      <w:start w:val="1"/>
      <w:numFmt w:val="decimal"/>
      <w:lvlText w:val="%5."/>
      <w:lvlJc w:val="left"/>
      <w:pPr>
        <w:ind w:left="1020" w:hanging="360"/>
      </w:pPr>
    </w:lvl>
    <w:lvl w:ilvl="5" w:tplc="12862192">
      <w:start w:val="1"/>
      <w:numFmt w:val="decimal"/>
      <w:lvlText w:val="%6."/>
      <w:lvlJc w:val="left"/>
      <w:pPr>
        <w:ind w:left="1020" w:hanging="360"/>
      </w:pPr>
    </w:lvl>
    <w:lvl w:ilvl="6" w:tplc="50E605A0">
      <w:start w:val="1"/>
      <w:numFmt w:val="decimal"/>
      <w:lvlText w:val="%7."/>
      <w:lvlJc w:val="left"/>
      <w:pPr>
        <w:ind w:left="1020" w:hanging="360"/>
      </w:pPr>
    </w:lvl>
    <w:lvl w:ilvl="7" w:tplc="0550495C">
      <w:start w:val="1"/>
      <w:numFmt w:val="decimal"/>
      <w:lvlText w:val="%8."/>
      <w:lvlJc w:val="left"/>
      <w:pPr>
        <w:ind w:left="1020" w:hanging="360"/>
      </w:pPr>
    </w:lvl>
    <w:lvl w:ilvl="8" w:tplc="E35017DA">
      <w:start w:val="1"/>
      <w:numFmt w:val="decimal"/>
      <w:lvlText w:val="%9."/>
      <w:lvlJc w:val="left"/>
      <w:pPr>
        <w:ind w:left="1020" w:hanging="360"/>
      </w:p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5"/>
  </w:num>
  <w:num w:numId="8" w16cid:durableId="22485649">
    <w:abstractNumId w:val="6"/>
  </w:num>
  <w:num w:numId="9" w16cid:durableId="965548245">
    <w:abstractNumId w:val="10"/>
  </w:num>
  <w:num w:numId="10" w16cid:durableId="304822326">
    <w:abstractNumId w:val="0"/>
  </w:num>
  <w:num w:numId="11" w16cid:durableId="19596425">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1393"/>
    <w:rsid w:val="00014021"/>
    <w:rsid w:val="0001535B"/>
    <w:rsid w:val="00017B8D"/>
    <w:rsid w:val="00022125"/>
    <w:rsid w:val="00027712"/>
    <w:rsid w:val="00027CA6"/>
    <w:rsid w:val="0003028F"/>
    <w:rsid w:val="00030704"/>
    <w:rsid w:val="00035B88"/>
    <w:rsid w:val="00040466"/>
    <w:rsid w:val="00041787"/>
    <w:rsid w:val="00041A83"/>
    <w:rsid w:val="00044A8A"/>
    <w:rsid w:val="00045DC1"/>
    <w:rsid w:val="0005009C"/>
    <w:rsid w:val="00050F28"/>
    <w:rsid w:val="000540A2"/>
    <w:rsid w:val="00054BE7"/>
    <w:rsid w:val="00062380"/>
    <w:rsid w:val="0007171B"/>
    <w:rsid w:val="00077C02"/>
    <w:rsid w:val="000929B2"/>
    <w:rsid w:val="00095BDD"/>
    <w:rsid w:val="000A7066"/>
    <w:rsid w:val="000C7FE4"/>
    <w:rsid w:val="000D0F68"/>
    <w:rsid w:val="000D27B8"/>
    <w:rsid w:val="000D5EEC"/>
    <w:rsid w:val="000D68C0"/>
    <w:rsid w:val="000E4CF0"/>
    <w:rsid w:val="000E673A"/>
    <w:rsid w:val="000F02D3"/>
    <w:rsid w:val="000F6945"/>
    <w:rsid w:val="000F74F5"/>
    <w:rsid w:val="000F74FA"/>
    <w:rsid w:val="000F78FC"/>
    <w:rsid w:val="001031DF"/>
    <w:rsid w:val="0010527E"/>
    <w:rsid w:val="00105372"/>
    <w:rsid w:val="001053A3"/>
    <w:rsid w:val="001054A6"/>
    <w:rsid w:val="00105649"/>
    <w:rsid w:val="001078A1"/>
    <w:rsid w:val="00110608"/>
    <w:rsid w:val="0011188A"/>
    <w:rsid w:val="00112DEC"/>
    <w:rsid w:val="00113699"/>
    <w:rsid w:val="0012090B"/>
    <w:rsid w:val="001257BD"/>
    <w:rsid w:val="00127D4C"/>
    <w:rsid w:val="001312AD"/>
    <w:rsid w:val="001315E6"/>
    <w:rsid w:val="00131E7A"/>
    <w:rsid w:val="00134846"/>
    <w:rsid w:val="001354AD"/>
    <w:rsid w:val="00136A1A"/>
    <w:rsid w:val="0014073F"/>
    <w:rsid w:val="00143343"/>
    <w:rsid w:val="0015019A"/>
    <w:rsid w:val="00152548"/>
    <w:rsid w:val="001560CF"/>
    <w:rsid w:val="0016136E"/>
    <w:rsid w:val="00164666"/>
    <w:rsid w:val="00165E83"/>
    <w:rsid w:val="00172AF6"/>
    <w:rsid w:val="00173286"/>
    <w:rsid w:val="00176CEE"/>
    <w:rsid w:val="001847AD"/>
    <w:rsid w:val="00186DD8"/>
    <w:rsid w:val="00192B2F"/>
    <w:rsid w:val="00193530"/>
    <w:rsid w:val="001938EB"/>
    <w:rsid w:val="001A2791"/>
    <w:rsid w:val="001A35EC"/>
    <w:rsid w:val="001A5648"/>
    <w:rsid w:val="001A641B"/>
    <w:rsid w:val="001B13FE"/>
    <w:rsid w:val="001B3FBF"/>
    <w:rsid w:val="001B6F48"/>
    <w:rsid w:val="001B7162"/>
    <w:rsid w:val="001D36A3"/>
    <w:rsid w:val="001D5BB3"/>
    <w:rsid w:val="001D6C86"/>
    <w:rsid w:val="001E6F9E"/>
    <w:rsid w:val="00202DA9"/>
    <w:rsid w:val="002140E2"/>
    <w:rsid w:val="00214A6C"/>
    <w:rsid w:val="00227D0F"/>
    <w:rsid w:val="00227D4E"/>
    <w:rsid w:val="00231524"/>
    <w:rsid w:val="00232F34"/>
    <w:rsid w:val="002333E3"/>
    <w:rsid w:val="002402DF"/>
    <w:rsid w:val="00247C87"/>
    <w:rsid w:val="002525A4"/>
    <w:rsid w:val="00265D84"/>
    <w:rsid w:val="00267963"/>
    <w:rsid w:val="00267AF9"/>
    <w:rsid w:val="0027216C"/>
    <w:rsid w:val="002748DC"/>
    <w:rsid w:val="00284F89"/>
    <w:rsid w:val="00286795"/>
    <w:rsid w:val="002872F6"/>
    <w:rsid w:val="00297032"/>
    <w:rsid w:val="002A4F75"/>
    <w:rsid w:val="002A5CF7"/>
    <w:rsid w:val="002B0C13"/>
    <w:rsid w:val="002B3304"/>
    <w:rsid w:val="002B396A"/>
    <w:rsid w:val="002B3B2F"/>
    <w:rsid w:val="002C78D5"/>
    <w:rsid w:val="002D3174"/>
    <w:rsid w:val="002E3375"/>
    <w:rsid w:val="002E7320"/>
    <w:rsid w:val="00300398"/>
    <w:rsid w:val="003008FE"/>
    <w:rsid w:val="00301239"/>
    <w:rsid w:val="0030169D"/>
    <w:rsid w:val="0030257D"/>
    <w:rsid w:val="00304572"/>
    <w:rsid w:val="003060EB"/>
    <w:rsid w:val="0031114D"/>
    <w:rsid w:val="003114D7"/>
    <w:rsid w:val="00312BC7"/>
    <w:rsid w:val="003153EB"/>
    <w:rsid w:val="0032045A"/>
    <w:rsid w:val="0032136E"/>
    <w:rsid w:val="00321596"/>
    <w:rsid w:val="00321985"/>
    <w:rsid w:val="00327BDF"/>
    <w:rsid w:val="00335D22"/>
    <w:rsid w:val="00340C4A"/>
    <w:rsid w:val="00345F39"/>
    <w:rsid w:val="00351205"/>
    <w:rsid w:val="0035440D"/>
    <w:rsid w:val="00360FB5"/>
    <w:rsid w:val="00366B43"/>
    <w:rsid w:val="00370217"/>
    <w:rsid w:val="00372F74"/>
    <w:rsid w:val="003744CF"/>
    <w:rsid w:val="00381936"/>
    <w:rsid w:val="00382863"/>
    <w:rsid w:val="003833E5"/>
    <w:rsid w:val="00384E7E"/>
    <w:rsid w:val="00386066"/>
    <w:rsid w:val="00391AD7"/>
    <w:rsid w:val="0039259F"/>
    <w:rsid w:val="00392751"/>
    <w:rsid w:val="00394791"/>
    <w:rsid w:val="003A2099"/>
    <w:rsid w:val="003B171C"/>
    <w:rsid w:val="003B1A13"/>
    <w:rsid w:val="003B2958"/>
    <w:rsid w:val="003C0515"/>
    <w:rsid w:val="003C11C2"/>
    <w:rsid w:val="003C4DA5"/>
    <w:rsid w:val="003C540C"/>
    <w:rsid w:val="003D1E0C"/>
    <w:rsid w:val="003D71DC"/>
    <w:rsid w:val="003E48DB"/>
    <w:rsid w:val="003F1A75"/>
    <w:rsid w:val="003F1DF8"/>
    <w:rsid w:val="003F35F2"/>
    <w:rsid w:val="003F7224"/>
    <w:rsid w:val="0040158E"/>
    <w:rsid w:val="00407FE8"/>
    <w:rsid w:val="00411C19"/>
    <w:rsid w:val="00411F56"/>
    <w:rsid w:val="004152FA"/>
    <w:rsid w:val="00415CB4"/>
    <w:rsid w:val="00425A17"/>
    <w:rsid w:val="0042665D"/>
    <w:rsid w:val="00427D21"/>
    <w:rsid w:val="00432003"/>
    <w:rsid w:val="00434600"/>
    <w:rsid w:val="0043608A"/>
    <w:rsid w:val="00436506"/>
    <w:rsid w:val="004429DC"/>
    <w:rsid w:val="00442CC0"/>
    <w:rsid w:val="00443D89"/>
    <w:rsid w:val="004443E5"/>
    <w:rsid w:val="00447E07"/>
    <w:rsid w:val="00447F4A"/>
    <w:rsid w:val="00450072"/>
    <w:rsid w:val="00454E98"/>
    <w:rsid w:val="0045579C"/>
    <w:rsid w:val="004558A9"/>
    <w:rsid w:val="00456097"/>
    <w:rsid w:val="00456F67"/>
    <w:rsid w:val="00460DBC"/>
    <w:rsid w:val="00463AFE"/>
    <w:rsid w:val="00463D24"/>
    <w:rsid w:val="004644C2"/>
    <w:rsid w:val="0046537F"/>
    <w:rsid w:val="00467F9C"/>
    <w:rsid w:val="00474090"/>
    <w:rsid w:val="00474D43"/>
    <w:rsid w:val="00480C0D"/>
    <w:rsid w:val="00481F32"/>
    <w:rsid w:val="004859DB"/>
    <w:rsid w:val="00491EAF"/>
    <w:rsid w:val="00493D31"/>
    <w:rsid w:val="004A01C6"/>
    <w:rsid w:val="004A25FA"/>
    <w:rsid w:val="004A2FD5"/>
    <w:rsid w:val="004A3E0F"/>
    <w:rsid w:val="004A4054"/>
    <w:rsid w:val="004A6542"/>
    <w:rsid w:val="004B1471"/>
    <w:rsid w:val="004B4282"/>
    <w:rsid w:val="004B4AED"/>
    <w:rsid w:val="004B6C87"/>
    <w:rsid w:val="004C5C9E"/>
    <w:rsid w:val="004C5D3E"/>
    <w:rsid w:val="004E5986"/>
    <w:rsid w:val="004F0573"/>
    <w:rsid w:val="004F320A"/>
    <w:rsid w:val="004F3668"/>
    <w:rsid w:val="004F5199"/>
    <w:rsid w:val="004F6141"/>
    <w:rsid w:val="004F7579"/>
    <w:rsid w:val="00507909"/>
    <w:rsid w:val="0051006C"/>
    <w:rsid w:val="00512400"/>
    <w:rsid w:val="005156BB"/>
    <w:rsid w:val="00517D9C"/>
    <w:rsid w:val="005227DD"/>
    <w:rsid w:val="00522C90"/>
    <w:rsid w:val="00524BC7"/>
    <w:rsid w:val="00526C65"/>
    <w:rsid w:val="005272F3"/>
    <w:rsid w:val="00527C47"/>
    <w:rsid w:val="0053096B"/>
    <w:rsid w:val="00534681"/>
    <w:rsid w:val="005358E4"/>
    <w:rsid w:val="0056068E"/>
    <w:rsid w:val="00563442"/>
    <w:rsid w:val="0056348E"/>
    <w:rsid w:val="0056456C"/>
    <w:rsid w:val="005649FD"/>
    <w:rsid w:val="00565B42"/>
    <w:rsid w:val="00572DA4"/>
    <w:rsid w:val="00573946"/>
    <w:rsid w:val="005765D3"/>
    <w:rsid w:val="005815EE"/>
    <w:rsid w:val="00581AE5"/>
    <w:rsid w:val="00585E0B"/>
    <w:rsid w:val="00587EB2"/>
    <w:rsid w:val="005919A4"/>
    <w:rsid w:val="00593BBB"/>
    <w:rsid w:val="005962A1"/>
    <w:rsid w:val="005A0C7A"/>
    <w:rsid w:val="005A5014"/>
    <w:rsid w:val="005A5B56"/>
    <w:rsid w:val="005B35E2"/>
    <w:rsid w:val="005B69C8"/>
    <w:rsid w:val="005C31B3"/>
    <w:rsid w:val="005C4CE6"/>
    <w:rsid w:val="005C6269"/>
    <w:rsid w:val="005D4097"/>
    <w:rsid w:val="005E2A39"/>
    <w:rsid w:val="005E50B8"/>
    <w:rsid w:val="005F36A7"/>
    <w:rsid w:val="005F5DD2"/>
    <w:rsid w:val="00602CD3"/>
    <w:rsid w:val="00604180"/>
    <w:rsid w:val="006115A6"/>
    <w:rsid w:val="006122BA"/>
    <w:rsid w:val="0061432F"/>
    <w:rsid w:val="00615C84"/>
    <w:rsid w:val="00621BB6"/>
    <w:rsid w:val="00624C24"/>
    <w:rsid w:val="0062627B"/>
    <w:rsid w:val="0062688D"/>
    <w:rsid w:val="00637996"/>
    <w:rsid w:val="00646DD9"/>
    <w:rsid w:val="006478BF"/>
    <w:rsid w:val="00655CC5"/>
    <w:rsid w:val="00656A44"/>
    <w:rsid w:val="00657974"/>
    <w:rsid w:val="00662808"/>
    <w:rsid w:val="00665361"/>
    <w:rsid w:val="00670362"/>
    <w:rsid w:val="00676CFB"/>
    <w:rsid w:val="00677183"/>
    <w:rsid w:val="00682DB2"/>
    <w:rsid w:val="00692C4D"/>
    <w:rsid w:val="00693B07"/>
    <w:rsid w:val="006A73C1"/>
    <w:rsid w:val="006B0AD2"/>
    <w:rsid w:val="006B2290"/>
    <w:rsid w:val="006D0748"/>
    <w:rsid w:val="006D0C18"/>
    <w:rsid w:val="006D621C"/>
    <w:rsid w:val="006E386F"/>
    <w:rsid w:val="006F1BE3"/>
    <w:rsid w:val="006F6959"/>
    <w:rsid w:val="007046A7"/>
    <w:rsid w:val="00707DC5"/>
    <w:rsid w:val="00707E66"/>
    <w:rsid w:val="00717D88"/>
    <w:rsid w:val="00720E54"/>
    <w:rsid w:val="00721395"/>
    <w:rsid w:val="00726A43"/>
    <w:rsid w:val="00735206"/>
    <w:rsid w:val="00735504"/>
    <w:rsid w:val="00736FD5"/>
    <w:rsid w:val="007419E0"/>
    <w:rsid w:val="0075243C"/>
    <w:rsid w:val="0075407D"/>
    <w:rsid w:val="0075685E"/>
    <w:rsid w:val="00757E31"/>
    <w:rsid w:val="00760808"/>
    <w:rsid w:val="00761A81"/>
    <w:rsid w:val="007635DF"/>
    <w:rsid w:val="007763BB"/>
    <w:rsid w:val="00783305"/>
    <w:rsid w:val="0078336C"/>
    <w:rsid w:val="00783731"/>
    <w:rsid w:val="00786056"/>
    <w:rsid w:val="00787291"/>
    <w:rsid w:val="00791210"/>
    <w:rsid w:val="007942D3"/>
    <w:rsid w:val="0079755B"/>
    <w:rsid w:val="00797A2B"/>
    <w:rsid w:val="007A15BC"/>
    <w:rsid w:val="007B0173"/>
    <w:rsid w:val="007B2099"/>
    <w:rsid w:val="007B219D"/>
    <w:rsid w:val="007B6C09"/>
    <w:rsid w:val="007B7741"/>
    <w:rsid w:val="007C2B81"/>
    <w:rsid w:val="007C405F"/>
    <w:rsid w:val="007C464F"/>
    <w:rsid w:val="007C4951"/>
    <w:rsid w:val="007D5F28"/>
    <w:rsid w:val="007D6C82"/>
    <w:rsid w:val="007E09DA"/>
    <w:rsid w:val="007E0F8A"/>
    <w:rsid w:val="007E432F"/>
    <w:rsid w:val="007E4E32"/>
    <w:rsid w:val="007F3B1C"/>
    <w:rsid w:val="007F718D"/>
    <w:rsid w:val="00801FAD"/>
    <w:rsid w:val="00802E30"/>
    <w:rsid w:val="00806F5D"/>
    <w:rsid w:val="008071FB"/>
    <w:rsid w:val="00807533"/>
    <w:rsid w:val="008178B6"/>
    <w:rsid w:val="008209B1"/>
    <w:rsid w:val="0082288F"/>
    <w:rsid w:val="008267AA"/>
    <w:rsid w:val="0083078B"/>
    <w:rsid w:val="00835C01"/>
    <w:rsid w:val="00836A5A"/>
    <w:rsid w:val="00837B99"/>
    <w:rsid w:val="008407A8"/>
    <w:rsid w:val="00847720"/>
    <w:rsid w:val="00852A7B"/>
    <w:rsid w:val="0086062A"/>
    <w:rsid w:val="00862307"/>
    <w:rsid w:val="00865B74"/>
    <w:rsid w:val="00866063"/>
    <w:rsid w:val="008773F7"/>
    <w:rsid w:val="0087796A"/>
    <w:rsid w:val="0088103A"/>
    <w:rsid w:val="008840DC"/>
    <w:rsid w:val="008974F0"/>
    <w:rsid w:val="008A1499"/>
    <w:rsid w:val="008A1CFE"/>
    <w:rsid w:val="008A28A3"/>
    <w:rsid w:val="008A6404"/>
    <w:rsid w:val="008A6F39"/>
    <w:rsid w:val="008B012A"/>
    <w:rsid w:val="008B0996"/>
    <w:rsid w:val="008B0F45"/>
    <w:rsid w:val="008B2F35"/>
    <w:rsid w:val="008B7DE2"/>
    <w:rsid w:val="008C0247"/>
    <w:rsid w:val="008D0E12"/>
    <w:rsid w:val="008D152E"/>
    <w:rsid w:val="008E59D9"/>
    <w:rsid w:val="008F44B7"/>
    <w:rsid w:val="008F69E4"/>
    <w:rsid w:val="009025C0"/>
    <w:rsid w:val="00906E17"/>
    <w:rsid w:val="00910957"/>
    <w:rsid w:val="00911312"/>
    <w:rsid w:val="00912D80"/>
    <w:rsid w:val="00914CBB"/>
    <w:rsid w:val="00916997"/>
    <w:rsid w:val="00925A99"/>
    <w:rsid w:val="00925EED"/>
    <w:rsid w:val="009304EE"/>
    <w:rsid w:val="00930BA1"/>
    <w:rsid w:val="0093169E"/>
    <w:rsid w:val="00931D39"/>
    <w:rsid w:val="0093518C"/>
    <w:rsid w:val="009356D6"/>
    <w:rsid w:val="00945D0D"/>
    <w:rsid w:val="009505C9"/>
    <w:rsid w:val="00950648"/>
    <w:rsid w:val="00950752"/>
    <w:rsid w:val="00950A49"/>
    <w:rsid w:val="009519CB"/>
    <w:rsid w:val="00957A0E"/>
    <w:rsid w:val="00960776"/>
    <w:rsid w:val="00964E5A"/>
    <w:rsid w:val="009650C5"/>
    <w:rsid w:val="00966424"/>
    <w:rsid w:val="0097062C"/>
    <w:rsid w:val="009706B5"/>
    <w:rsid w:val="00973437"/>
    <w:rsid w:val="00975047"/>
    <w:rsid w:val="00975E6D"/>
    <w:rsid w:val="00977537"/>
    <w:rsid w:val="009813F9"/>
    <w:rsid w:val="00986BAF"/>
    <w:rsid w:val="009902DC"/>
    <w:rsid w:val="00990FA3"/>
    <w:rsid w:val="009A7F2B"/>
    <w:rsid w:val="009B610B"/>
    <w:rsid w:val="009C0878"/>
    <w:rsid w:val="009C2AC6"/>
    <w:rsid w:val="009C2DE6"/>
    <w:rsid w:val="009C6D5E"/>
    <w:rsid w:val="009D32D6"/>
    <w:rsid w:val="009E0556"/>
    <w:rsid w:val="009E1DB5"/>
    <w:rsid w:val="009E317F"/>
    <w:rsid w:val="009E5C09"/>
    <w:rsid w:val="009F3737"/>
    <w:rsid w:val="009F6BF2"/>
    <w:rsid w:val="009F75DE"/>
    <w:rsid w:val="00A02C24"/>
    <w:rsid w:val="00A038D0"/>
    <w:rsid w:val="00A06E63"/>
    <w:rsid w:val="00A10A2B"/>
    <w:rsid w:val="00A111D1"/>
    <w:rsid w:val="00A23C46"/>
    <w:rsid w:val="00A30148"/>
    <w:rsid w:val="00A33588"/>
    <w:rsid w:val="00A3390F"/>
    <w:rsid w:val="00A54AD3"/>
    <w:rsid w:val="00A5737D"/>
    <w:rsid w:val="00A61D9D"/>
    <w:rsid w:val="00A7026D"/>
    <w:rsid w:val="00A70FA7"/>
    <w:rsid w:val="00A77D33"/>
    <w:rsid w:val="00A81E61"/>
    <w:rsid w:val="00A835F2"/>
    <w:rsid w:val="00A86ABE"/>
    <w:rsid w:val="00A905EC"/>
    <w:rsid w:val="00A944A3"/>
    <w:rsid w:val="00A952CF"/>
    <w:rsid w:val="00A95377"/>
    <w:rsid w:val="00A97ACF"/>
    <w:rsid w:val="00AA587B"/>
    <w:rsid w:val="00AA6F92"/>
    <w:rsid w:val="00AB31E2"/>
    <w:rsid w:val="00AB549C"/>
    <w:rsid w:val="00AB6934"/>
    <w:rsid w:val="00AC180C"/>
    <w:rsid w:val="00AD1770"/>
    <w:rsid w:val="00AD38EF"/>
    <w:rsid w:val="00AD6014"/>
    <w:rsid w:val="00AE5964"/>
    <w:rsid w:val="00AE61FB"/>
    <w:rsid w:val="00AF18A2"/>
    <w:rsid w:val="00AF42DE"/>
    <w:rsid w:val="00AF5CFF"/>
    <w:rsid w:val="00AF781B"/>
    <w:rsid w:val="00B003E8"/>
    <w:rsid w:val="00B00B71"/>
    <w:rsid w:val="00B06234"/>
    <w:rsid w:val="00B12170"/>
    <w:rsid w:val="00B15D06"/>
    <w:rsid w:val="00B2759B"/>
    <w:rsid w:val="00B27C5D"/>
    <w:rsid w:val="00B32B72"/>
    <w:rsid w:val="00B32E28"/>
    <w:rsid w:val="00B3369F"/>
    <w:rsid w:val="00B43CA0"/>
    <w:rsid w:val="00B51FC6"/>
    <w:rsid w:val="00B523BB"/>
    <w:rsid w:val="00B644F4"/>
    <w:rsid w:val="00B71956"/>
    <w:rsid w:val="00B74D20"/>
    <w:rsid w:val="00B75DA2"/>
    <w:rsid w:val="00B8502D"/>
    <w:rsid w:val="00B85E87"/>
    <w:rsid w:val="00B92416"/>
    <w:rsid w:val="00B94E6C"/>
    <w:rsid w:val="00B97E81"/>
    <w:rsid w:val="00BA2615"/>
    <w:rsid w:val="00BA32CC"/>
    <w:rsid w:val="00BA7455"/>
    <w:rsid w:val="00BB1537"/>
    <w:rsid w:val="00BB4606"/>
    <w:rsid w:val="00BB5143"/>
    <w:rsid w:val="00BB7DC2"/>
    <w:rsid w:val="00BC7A42"/>
    <w:rsid w:val="00BD02BF"/>
    <w:rsid w:val="00BD1372"/>
    <w:rsid w:val="00BD3100"/>
    <w:rsid w:val="00BD6CEB"/>
    <w:rsid w:val="00BE4AB7"/>
    <w:rsid w:val="00BE6DDA"/>
    <w:rsid w:val="00BF1D42"/>
    <w:rsid w:val="00BF4A5F"/>
    <w:rsid w:val="00BF5268"/>
    <w:rsid w:val="00C04CC6"/>
    <w:rsid w:val="00C15646"/>
    <w:rsid w:val="00C2141C"/>
    <w:rsid w:val="00C22A85"/>
    <w:rsid w:val="00C23D2F"/>
    <w:rsid w:val="00C36385"/>
    <w:rsid w:val="00C443BD"/>
    <w:rsid w:val="00C451C5"/>
    <w:rsid w:val="00C460B5"/>
    <w:rsid w:val="00C46711"/>
    <w:rsid w:val="00C4798B"/>
    <w:rsid w:val="00C538B0"/>
    <w:rsid w:val="00C6100F"/>
    <w:rsid w:val="00C6502D"/>
    <w:rsid w:val="00C6631E"/>
    <w:rsid w:val="00C70DBA"/>
    <w:rsid w:val="00C7164C"/>
    <w:rsid w:val="00C72E10"/>
    <w:rsid w:val="00C73F5A"/>
    <w:rsid w:val="00C75225"/>
    <w:rsid w:val="00C75270"/>
    <w:rsid w:val="00C75821"/>
    <w:rsid w:val="00C7673E"/>
    <w:rsid w:val="00C8124F"/>
    <w:rsid w:val="00C843B1"/>
    <w:rsid w:val="00C84F9D"/>
    <w:rsid w:val="00C90A80"/>
    <w:rsid w:val="00C910DE"/>
    <w:rsid w:val="00C9161D"/>
    <w:rsid w:val="00CA0C1D"/>
    <w:rsid w:val="00CA0D2B"/>
    <w:rsid w:val="00CA1882"/>
    <w:rsid w:val="00CA71B0"/>
    <w:rsid w:val="00CA7F34"/>
    <w:rsid w:val="00CB2178"/>
    <w:rsid w:val="00CB281E"/>
    <w:rsid w:val="00CB28DF"/>
    <w:rsid w:val="00CB6E96"/>
    <w:rsid w:val="00CC1016"/>
    <w:rsid w:val="00CC140B"/>
    <w:rsid w:val="00CC2F59"/>
    <w:rsid w:val="00CC4513"/>
    <w:rsid w:val="00CC4DF9"/>
    <w:rsid w:val="00CC6AD9"/>
    <w:rsid w:val="00CD4779"/>
    <w:rsid w:val="00CD4F25"/>
    <w:rsid w:val="00CD5E23"/>
    <w:rsid w:val="00CD7C07"/>
    <w:rsid w:val="00CF0DDA"/>
    <w:rsid w:val="00CF115C"/>
    <w:rsid w:val="00CF1309"/>
    <w:rsid w:val="00CF1848"/>
    <w:rsid w:val="00CF253D"/>
    <w:rsid w:val="00CF3216"/>
    <w:rsid w:val="00D10AD4"/>
    <w:rsid w:val="00D12044"/>
    <w:rsid w:val="00D170D9"/>
    <w:rsid w:val="00D238D5"/>
    <w:rsid w:val="00D270FF"/>
    <w:rsid w:val="00D27BB7"/>
    <w:rsid w:val="00D33A18"/>
    <w:rsid w:val="00D33EFC"/>
    <w:rsid w:val="00D34C99"/>
    <w:rsid w:val="00D37807"/>
    <w:rsid w:val="00D40437"/>
    <w:rsid w:val="00D40DBC"/>
    <w:rsid w:val="00D43109"/>
    <w:rsid w:val="00D4542F"/>
    <w:rsid w:val="00D61556"/>
    <w:rsid w:val="00D61578"/>
    <w:rsid w:val="00D61C85"/>
    <w:rsid w:val="00D71359"/>
    <w:rsid w:val="00D72107"/>
    <w:rsid w:val="00D75560"/>
    <w:rsid w:val="00D75CA6"/>
    <w:rsid w:val="00D76A18"/>
    <w:rsid w:val="00D80849"/>
    <w:rsid w:val="00D82E8F"/>
    <w:rsid w:val="00D87507"/>
    <w:rsid w:val="00D91A60"/>
    <w:rsid w:val="00D94E20"/>
    <w:rsid w:val="00D9729B"/>
    <w:rsid w:val="00DA12F5"/>
    <w:rsid w:val="00DA1C3B"/>
    <w:rsid w:val="00DB3A47"/>
    <w:rsid w:val="00DB5347"/>
    <w:rsid w:val="00DB5E0F"/>
    <w:rsid w:val="00DB79EE"/>
    <w:rsid w:val="00DC60CD"/>
    <w:rsid w:val="00DD0B2C"/>
    <w:rsid w:val="00DD118C"/>
    <w:rsid w:val="00DE32B3"/>
    <w:rsid w:val="00DE765C"/>
    <w:rsid w:val="00DF226B"/>
    <w:rsid w:val="00DF51DB"/>
    <w:rsid w:val="00DF7039"/>
    <w:rsid w:val="00E02CF9"/>
    <w:rsid w:val="00E052E4"/>
    <w:rsid w:val="00E110B0"/>
    <w:rsid w:val="00E114C1"/>
    <w:rsid w:val="00E15287"/>
    <w:rsid w:val="00E234F6"/>
    <w:rsid w:val="00E27355"/>
    <w:rsid w:val="00E31658"/>
    <w:rsid w:val="00E33B5A"/>
    <w:rsid w:val="00E352C4"/>
    <w:rsid w:val="00E432F6"/>
    <w:rsid w:val="00E44B81"/>
    <w:rsid w:val="00E46CE8"/>
    <w:rsid w:val="00E46DE8"/>
    <w:rsid w:val="00E61536"/>
    <w:rsid w:val="00E61BD3"/>
    <w:rsid w:val="00E66235"/>
    <w:rsid w:val="00E72E0B"/>
    <w:rsid w:val="00E73449"/>
    <w:rsid w:val="00E74FF8"/>
    <w:rsid w:val="00E823C7"/>
    <w:rsid w:val="00E826E8"/>
    <w:rsid w:val="00E83C24"/>
    <w:rsid w:val="00E843E7"/>
    <w:rsid w:val="00E866A4"/>
    <w:rsid w:val="00E916B2"/>
    <w:rsid w:val="00E9318D"/>
    <w:rsid w:val="00E93F3E"/>
    <w:rsid w:val="00EA0115"/>
    <w:rsid w:val="00EA32AE"/>
    <w:rsid w:val="00EA56E0"/>
    <w:rsid w:val="00EB2289"/>
    <w:rsid w:val="00EB2394"/>
    <w:rsid w:val="00EC5449"/>
    <w:rsid w:val="00ED0AFE"/>
    <w:rsid w:val="00ED2272"/>
    <w:rsid w:val="00EE3E02"/>
    <w:rsid w:val="00EE6D98"/>
    <w:rsid w:val="00EF0408"/>
    <w:rsid w:val="00EF2E39"/>
    <w:rsid w:val="00EF3F77"/>
    <w:rsid w:val="00EF5B7A"/>
    <w:rsid w:val="00F0043C"/>
    <w:rsid w:val="00F013EF"/>
    <w:rsid w:val="00F063C2"/>
    <w:rsid w:val="00F0742B"/>
    <w:rsid w:val="00F1047B"/>
    <w:rsid w:val="00F12627"/>
    <w:rsid w:val="00F147E4"/>
    <w:rsid w:val="00F2255E"/>
    <w:rsid w:val="00F25D09"/>
    <w:rsid w:val="00F26DF7"/>
    <w:rsid w:val="00F34AD9"/>
    <w:rsid w:val="00F3630F"/>
    <w:rsid w:val="00F450B2"/>
    <w:rsid w:val="00F47656"/>
    <w:rsid w:val="00F53193"/>
    <w:rsid w:val="00F5357E"/>
    <w:rsid w:val="00F574FB"/>
    <w:rsid w:val="00F6586C"/>
    <w:rsid w:val="00F6592A"/>
    <w:rsid w:val="00F750F8"/>
    <w:rsid w:val="00F75E6F"/>
    <w:rsid w:val="00F763DA"/>
    <w:rsid w:val="00F76DF4"/>
    <w:rsid w:val="00F81999"/>
    <w:rsid w:val="00F849BD"/>
    <w:rsid w:val="00F84FDE"/>
    <w:rsid w:val="00F85113"/>
    <w:rsid w:val="00F85EBF"/>
    <w:rsid w:val="00F8701B"/>
    <w:rsid w:val="00F9038B"/>
    <w:rsid w:val="00F94774"/>
    <w:rsid w:val="00FA0150"/>
    <w:rsid w:val="00FA134E"/>
    <w:rsid w:val="00FA3597"/>
    <w:rsid w:val="00FA575E"/>
    <w:rsid w:val="00FA663B"/>
    <w:rsid w:val="00FA7B56"/>
    <w:rsid w:val="00FB1679"/>
    <w:rsid w:val="00FC28ED"/>
    <w:rsid w:val="00FC5256"/>
    <w:rsid w:val="00FC53DB"/>
    <w:rsid w:val="00FC5F88"/>
    <w:rsid w:val="00FD6933"/>
    <w:rsid w:val="00FF032B"/>
    <w:rsid w:val="00FF5740"/>
    <w:rsid w:val="00FF637C"/>
    <w:rsid w:val="00FF74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EC474E6A-0EF2-4D27-941C-4CB1C83B0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id=13162"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np-mop?m=np-mop-02" TargetMode="External"/><Relationship Id="rId20" Type="http://schemas.openxmlformats.org/officeDocument/2006/relationships/hyperlink" Target="https://www.cbd.int/decisions/np-mop?m=np-mop-0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np-mop?m=np-mop-01"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np-mop?m=np-mop-0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3/15/ADD1" TargetMode="External"/><Relationship Id="rId2" Type="http://schemas.openxmlformats.org/officeDocument/2006/relationships/hyperlink" Target="https://www.cbd.int/documents/UNEP/CBD/ABS/A10/EM/2016/1/2" TargetMode="External"/><Relationship Id="rId1" Type="http://schemas.openxmlformats.org/officeDocument/2006/relationships/hyperlink" Target="https://www.cbd.int/documents/CBD/SBI/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OMEZC\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E787A038934C91AA7274B49FE7B817"/>
        <w:category>
          <w:name w:val="General"/>
          <w:gallery w:val="placeholder"/>
        </w:category>
        <w:types>
          <w:type w:val="bbPlcHdr"/>
        </w:types>
        <w:behaviors>
          <w:behavior w:val="content"/>
        </w:behaviors>
        <w:guid w:val="{8D5B7AE0-2DF3-43A8-A74A-790B0517B75D}"/>
      </w:docPartPr>
      <w:docPartBody>
        <w:p w:rsidR="00DB583D" w:rsidRDefault="00970ABE" w:rsidP="00970ABE">
          <w:pPr>
            <w:pStyle w:val="DFE787A038934C91AA7274B49FE7B81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0B558D"/>
    <w:rsid w:val="000E5E5F"/>
    <w:rsid w:val="002307C2"/>
    <w:rsid w:val="002D3174"/>
    <w:rsid w:val="00334CED"/>
    <w:rsid w:val="00337072"/>
    <w:rsid w:val="003753C3"/>
    <w:rsid w:val="003C0515"/>
    <w:rsid w:val="00507909"/>
    <w:rsid w:val="00621D4A"/>
    <w:rsid w:val="00713543"/>
    <w:rsid w:val="00761A81"/>
    <w:rsid w:val="007E432F"/>
    <w:rsid w:val="008E72D7"/>
    <w:rsid w:val="00944D7D"/>
    <w:rsid w:val="00970ABE"/>
    <w:rsid w:val="00A976F8"/>
    <w:rsid w:val="00B26A57"/>
    <w:rsid w:val="00BA63D3"/>
    <w:rsid w:val="00BA7455"/>
    <w:rsid w:val="00C84F9D"/>
    <w:rsid w:val="00CB2178"/>
    <w:rsid w:val="00D37E27"/>
    <w:rsid w:val="00DB277E"/>
    <w:rsid w:val="00DB583D"/>
    <w:rsid w:val="00DC3BAB"/>
    <w:rsid w:val="00DF70E0"/>
    <w:rsid w:val="00EB7993"/>
    <w:rsid w:val="00F013EF"/>
    <w:rsid w:val="00F25D09"/>
    <w:rsid w:val="00F366D2"/>
    <w:rsid w:val="00F77FC4"/>
    <w:rsid w:val="00FB1679"/>
    <w:rsid w:val="00FC0F04"/>
    <w:rsid w:val="00FE69C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0ABE"/>
    <w:rPr>
      <w:color w:val="808080"/>
    </w:rPr>
  </w:style>
  <w:style w:type="paragraph" w:customStyle="1" w:styleId="DFE787A038934C91AA7274B49FE7B817">
    <w:name w:val="DFE787A038934C91AA7274B49FE7B817"/>
    <w:rsid w:val="00970A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18C5B17B-899B-4EE7-8F40-62A187A102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2</TotalTime>
  <Pages>4</Pages>
  <Words>1731</Words>
  <Characters>9873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Global multilateral benefit-sharing mechanism</vt:lpstr>
    </vt:vector>
  </TitlesOfParts>
  <Company>SCBD</Company>
  <LinksUpToDate>false</LinksUpToDate>
  <CharactersWithSpaces>11581</CharactersWithSpaces>
  <SharedDoc>false</SharedDoc>
  <HLinks>
    <vt:vector size="48" baseType="variant">
      <vt:variant>
        <vt:i4>5570625</vt:i4>
      </vt:variant>
      <vt:variant>
        <vt:i4>15</vt:i4>
      </vt:variant>
      <vt:variant>
        <vt:i4>0</vt:i4>
      </vt:variant>
      <vt:variant>
        <vt:i4>5</vt:i4>
      </vt:variant>
      <vt:variant>
        <vt:lpwstr>https://www.cbd.int/decisions/np-mop?m=np-mop-05</vt:lpwstr>
      </vt:variant>
      <vt:variant>
        <vt:lpwstr/>
      </vt:variant>
      <vt:variant>
        <vt:i4>5505089</vt:i4>
      </vt:variant>
      <vt:variant>
        <vt:i4>12</vt:i4>
      </vt:variant>
      <vt:variant>
        <vt:i4>0</vt:i4>
      </vt:variant>
      <vt:variant>
        <vt:i4>5</vt:i4>
      </vt:variant>
      <vt:variant>
        <vt:lpwstr>https://www.cbd.int/decisions/np-mop?m=np-mop-04</vt:lpwstr>
      </vt:variant>
      <vt:variant>
        <vt:lpwstr/>
      </vt:variant>
      <vt:variant>
        <vt:i4>3145833</vt:i4>
      </vt:variant>
      <vt:variant>
        <vt:i4>9</vt:i4>
      </vt:variant>
      <vt:variant>
        <vt:i4>0</vt:i4>
      </vt:variant>
      <vt:variant>
        <vt:i4>5</vt:i4>
      </vt:variant>
      <vt:variant>
        <vt:lpwstr>https://www.cbd.int/decisions/?id=13162</vt:lpwstr>
      </vt:variant>
      <vt:variant>
        <vt:lpwstr/>
      </vt:variant>
      <vt:variant>
        <vt:i4>5439553</vt:i4>
      </vt:variant>
      <vt:variant>
        <vt:i4>6</vt:i4>
      </vt:variant>
      <vt:variant>
        <vt:i4>0</vt:i4>
      </vt:variant>
      <vt:variant>
        <vt:i4>5</vt:i4>
      </vt:variant>
      <vt:variant>
        <vt:lpwstr>https://www.cbd.int/decisions/np-mop?m=np-mop-03</vt:lpwstr>
      </vt:variant>
      <vt:variant>
        <vt:lpwstr/>
      </vt:variant>
      <vt:variant>
        <vt:i4>5374017</vt:i4>
      </vt:variant>
      <vt:variant>
        <vt:i4>3</vt:i4>
      </vt:variant>
      <vt:variant>
        <vt:i4>0</vt:i4>
      </vt:variant>
      <vt:variant>
        <vt:i4>5</vt:i4>
      </vt:variant>
      <vt:variant>
        <vt:lpwstr>https://www.cbd.int/decisions/np-mop?m=np-mop-02</vt:lpwstr>
      </vt:variant>
      <vt:variant>
        <vt:lpwstr/>
      </vt:variant>
      <vt:variant>
        <vt:i4>5308481</vt:i4>
      </vt:variant>
      <vt:variant>
        <vt:i4>0</vt:i4>
      </vt:variant>
      <vt:variant>
        <vt:i4>0</vt:i4>
      </vt:variant>
      <vt:variant>
        <vt:i4>5</vt:i4>
      </vt:variant>
      <vt:variant>
        <vt:lpwstr>https://www.cbd.int/decisions/np-mop?m=np-mop-01</vt:lpwstr>
      </vt:variant>
      <vt:variant>
        <vt:lpwstr/>
      </vt:variant>
      <vt:variant>
        <vt:i4>3473530</vt:i4>
      </vt:variant>
      <vt:variant>
        <vt:i4>3</vt:i4>
      </vt:variant>
      <vt:variant>
        <vt:i4>0</vt:i4>
      </vt:variant>
      <vt:variant>
        <vt:i4>5</vt:i4>
      </vt:variant>
      <vt:variant>
        <vt:lpwstr>https://www.cbd.int/doc/c/c850/cee6/e368619e14ae3e3fb4d84de9/sbi-03-15-add1-en.pdf</vt:lpwstr>
      </vt:variant>
      <vt:variant>
        <vt:lpwstr/>
      </vt:variant>
      <vt:variant>
        <vt:i4>4063278</vt:i4>
      </vt:variant>
      <vt:variant>
        <vt:i4>0</vt:i4>
      </vt:variant>
      <vt:variant>
        <vt:i4>0</vt:i4>
      </vt:variant>
      <vt:variant>
        <vt:i4>5</vt:i4>
      </vt:variant>
      <vt:variant>
        <vt:lpwstr>https://www.cbd.int/doc/meetings/abs/abs-a10em-2016-01/official/abs-a10em-2016-01-02-en.pdf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mundial multilateral de participación en los beneficios</dc:title>
  <dc:subject>CBD/NP/MOP/6/L.8</dc:subject>
  <dc:creator>Veronique Lefebvre</dc:creator>
  <cp:keywords>Convention on Biological Diversity</cp:keywords>
  <cp:lastModifiedBy>Mariko Nishi</cp:lastModifiedBy>
  <cp:revision>3</cp:revision>
  <cp:lastPrinted>2026-10-28T10:19:00Z</cp:lastPrinted>
  <dcterms:created xsi:type="dcterms:W3CDTF">2026-10-30T07:16:00Z</dcterms:created>
  <dcterms:modified xsi:type="dcterms:W3CDTF">2026-10-30T07:17:00Z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