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133C5" w14:paraId="08C0E139" w14:textId="77777777" w:rsidTr="00CF1848">
        <w:trPr>
          <w:trHeight w:val="709"/>
        </w:trPr>
        <w:tc>
          <w:tcPr>
            <w:tcW w:w="976" w:type="dxa"/>
            <w:tcBorders>
              <w:bottom w:val="single" w:sz="12" w:space="0" w:color="auto"/>
            </w:tcBorders>
          </w:tcPr>
          <w:p w14:paraId="08C0E136" w14:textId="77777777" w:rsidR="00C9161D" w:rsidRPr="001838BA" w:rsidRDefault="00C9161D" w:rsidP="001838BA">
            <w:pPr>
              <w:suppressLineNumbers/>
              <w:suppressAutoHyphens/>
              <w:kinsoku w:val="0"/>
              <w:overflowPunct w:val="0"/>
              <w:autoSpaceDE w:val="0"/>
              <w:autoSpaceDN w:val="0"/>
              <w:adjustRightInd w:val="0"/>
              <w:snapToGrid w:val="0"/>
              <w:rPr>
                <w:kern w:val="22"/>
              </w:rPr>
            </w:pPr>
            <w:r>
              <w:rPr>
                <w:noProof/>
              </w:rPr>
              <w:drawing>
                <wp:inline distT="0" distB="0" distL="0" distR="0" wp14:anchorId="08C0E2EE" wp14:editId="08C0E2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C0E137" w14:textId="3AC23139" w:rsidR="00C9161D" w:rsidRPr="001838BA" w:rsidRDefault="00DF2B93" w:rsidP="001838BA">
            <w:pPr>
              <w:suppressLineNumbers/>
              <w:suppressAutoHyphens/>
              <w:kinsoku w:val="0"/>
              <w:overflowPunct w:val="0"/>
              <w:autoSpaceDE w:val="0"/>
              <w:autoSpaceDN w:val="0"/>
              <w:adjustRightInd w:val="0"/>
              <w:snapToGrid w:val="0"/>
              <w:rPr>
                <w:kern w:val="22"/>
              </w:rPr>
            </w:pPr>
            <w:r w:rsidRPr="00512A9C">
              <w:rPr>
                <w:noProof/>
                <w:lang w:val="fr-FR" w:eastAsia="fr-FR"/>
              </w:rPr>
              <w:drawing>
                <wp:inline distT="0" distB="0" distL="0" distR="0" wp14:anchorId="46E72BDA" wp14:editId="2D8A2ED3">
                  <wp:extent cx="340995" cy="372110"/>
                  <wp:effectExtent l="19050" t="0" r="1905" b="0"/>
                  <wp:docPr id="2" name="Image 2"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r UNEP bw (R) "/>
                          <pic:cNvPicPr>
                            <a:picLocks noChangeAspect="1" noChangeArrowheads="1"/>
                          </pic:cNvPicPr>
                        </pic:nvPicPr>
                        <pic:blipFill>
                          <a:blip r:embed="rId10" cstate="print"/>
                          <a:srcRect/>
                          <a:stretch>
                            <a:fillRect/>
                          </a:stretch>
                        </pic:blipFill>
                        <pic:spPr bwMode="auto">
                          <a:xfrm>
                            <a:off x="0" y="0"/>
                            <a:ext cx="340995" cy="37211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08C0E138" w14:textId="57E45CC5" w:rsidR="00C9161D" w:rsidRPr="001838BA" w:rsidRDefault="001F246F" w:rsidP="001838BA">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1838BA">
              <w:rPr>
                <w:rFonts w:ascii="Arial" w:hAnsi="Arial" w:cs="Arial"/>
                <w:b/>
                <w:kern w:val="22"/>
                <w:sz w:val="32"/>
                <w:szCs w:val="32"/>
              </w:rPr>
              <w:t>CBD</w:t>
            </w:r>
          </w:p>
        </w:tc>
      </w:tr>
      <w:tr w:rsidR="00C9161D" w:rsidRPr="001133C5" w14:paraId="08C0E143" w14:textId="77777777" w:rsidTr="00CF1848">
        <w:tc>
          <w:tcPr>
            <w:tcW w:w="6117" w:type="dxa"/>
            <w:gridSpan w:val="2"/>
            <w:tcBorders>
              <w:top w:val="single" w:sz="12" w:space="0" w:color="auto"/>
              <w:bottom w:val="single" w:sz="36" w:space="0" w:color="auto"/>
            </w:tcBorders>
            <w:vAlign w:val="center"/>
          </w:tcPr>
          <w:p w14:paraId="08C0E13A" w14:textId="291BD5DA" w:rsidR="00C9161D" w:rsidRPr="001838BA" w:rsidRDefault="004C756B" w:rsidP="001838BA">
            <w:pPr>
              <w:suppressLineNumbers/>
              <w:suppressAutoHyphens/>
              <w:kinsoku w:val="0"/>
              <w:overflowPunct w:val="0"/>
              <w:autoSpaceDE w:val="0"/>
              <w:autoSpaceDN w:val="0"/>
              <w:adjustRightInd w:val="0"/>
              <w:snapToGrid w:val="0"/>
              <w:rPr>
                <w:kern w:val="22"/>
              </w:rPr>
            </w:pPr>
            <w:r w:rsidRPr="00512A9C">
              <w:rPr>
                <w:noProof/>
                <w:sz w:val="32"/>
                <w:lang w:val="fr-FR" w:eastAsia="fr-FR"/>
              </w:rPr>
              <w:drawing>
                <wp:inline distT="0" distB="0" distL="0" distR="0" wp14:anchorId="2BE7E6DC" wp14:editId="7A905784">
                  <wp:extent cx="2619375" cy="1084580"/>
                  <wp:effectExtent l="19050" t="0" r="9525" b="0"/>
                  <wp:docPr id="3" name="Image 3"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ru-CMYK-black [Converted]"/>
                          <pic:cNvPicPr>
                            <a:picLocks noChangeAspect="1" noChangeArrowheads="1"/>
                          </pic:cNvPicPr>
                        </pic:nvPicPr>
                        <pic:blipFill>
                          <a:blip r:embed="rId11" cstate="print"/>
                          <a:srcRect/>
                          <a:stretch>
                            <a:fillRect/>
                          </a:stretch>
                        </pic:blipFill>
                        <pic:spPr bwMode="auto">
                          <a:xfrm>
                            <a:off x="0" y="0"/>
                            <a:ext cx="2619375" cy="108458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C318724"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r w:rsidRPr="006D27FF">
              <w:rPr>
                <w:kern w:val="22"/>
                <w:szCs w:val="22"/>
                <w:lang w:val="en-CA"/>
              </w:rPr>
              <w:t>Distr.</w:t>
            </w:r>
          </w:p>
          <w:p w14:paraId="431A6890" w14:textId="77777777" w:rsidR="001E1A2D" w:rsidRPr="006D27FF" w:rsidRDefault="006D27FF" w:rsidP="001E1A2D">
            <w:pPr>
              <w:suppressLineNumbers/>
              <w:suppressAutoHyphens/>
              <w:kinsoku w:val="0"/>
              <w:overflowPunct w:val="0"/>
              <w:autoSpaceDE w:val="0"/>
              <w:autoSpaceDN w:val="0"/>
              <w:adjustRightInd w:val="0"/>
              <w:snapToGrid w:val="0"/>
              <w:ind w:left="1215"/>
              <w:rPr>
                <w:kern w:val="22"/>
                <w:szCs w:val="22"/>
                <w:lang w:val="en-CA"/>
              </w:rPr>
            </w:pPr>
            <w:sdt>
              <w:sdtPr>
                <w:rPr>
                  <w:caps/>
                  <w:kern w:val="22"/>
                  <w:szCs w:val="22"/>
                  <w:lang w:val="en-CA"/>
                </w:rPr>
                <w:alias w:val="Status"/>
                <w:tag w:val=""/>
                <w:id w:val="307985777"/>
                <w:placeholder>
                  <w:docPart w:val="00BB9EE578AD481087DD19C0D52E7034"/>
                </w:placeholder>
                <w:dataBinding w:prefixMappings="xmlns:ns0='http://purl.org/dc/elements/1.1/' xmlns:ns1='http://schemas.openxmlformats.org/package/2006/metadata/core-properties' " w:xpath="/ns1:coreProperties[1]/ns1:contentStatus[1]" w:storeItemID="{6C3C8BC8-F283-45AE-878A-BAB7291924A1}"/>
                <w:text/>
              </w:sdtPr>
              <w:sdtEndPr/>
              <w:sdtContent>
                <w:r w:rsidR="001E1A2D" w:rsidRPr="006D27FF">
                  <w:rPr>
                    <w:caps/>
                    <w:kern w:val="22"/>
                    <w:szCs w:val="22"/>
                    <w:lang w:val="en-CA"/>
                  </w:rPr>
                  <w:t>GENERAL</w:t>
                </w:r>
              </w:sdtContent>
            </w:sdt>
          </w:p>
          <w:p w14:paraId="672A3926"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p>
          <w:p w14:paraId="59DF42AA" w14:textId="77777777" w:rsidR="001E1A2D" w:rsidRPr="006D27FF" w:rsidRDefault="006D27FF" w:rsidP="001E1A2D">
            <w:pPr>
              <w:suppressLineNumbers/>
              <w:suppressAutoHyphens/>
              <w:kinsoku w:val="0"/>
              <w:overflowPunct w:val="0"/>
              <w:autoSpaceDE w:val="0"/>
              <w:autoSpaceDN w:val="0"/>
              <w:adjustRightInd w:val="0"/>
              <w:snapToGrid w:val="0"/>
              <w:ind w:left="1215"/>
              <w:rPr>
                <w:kern w:val="22"/>
                <w:szCs w:val="22"/>
                <w:lang w:val="en-CA"/>
              </w:rPr>
            </w:pPr>
            <w:sdt>
              <w:sdtPr>
                <w:rPr>
                  <w:kern w:val="22"/>
                  <w:lang w:val="en-US"/>
                </w:rPr>
                <w:alias w:val="Subject"/>
                <w:tag w:val=""/>
                <w:id w:val="2137136483"/>
                <w:placeholder>
                  <w:docPart w:val="2F0EAC60B2A44965B36E25B31B5F9381"/>
                </w:placeholder>
                <w:dataBinding w:prefixMappings="xmlns:ns0='http://purl.org/dc/elements/1.1/' xmlns:ns1='http://schemas.openxmlformats.org/package/2006/metadata/core-properties' " w:xpath="/ns1:coreProperties[1]/ns0:subject[1]" w:storeItemID="{6C3C8BC8-F283-45AE-878A-BAB7291924A1}"/>
                <w:text/>
              </w:sdtPr>
              <w:sdtEndPr/>
              <w:sdtContent>
                <w:r w:rsidR="001E1A2D" w:rsidRPr="001838BA">
                  <w:rPr>
                    <w:kern w:val="22"/>
                    <w:lang w:val="en-US"/>
                  </w:rPr>
                  <w:t>CBD/SBI/2/2</w:t>
                </w:r>
              </w:sdtContent>
            </w:sdt>
          </w:p>
          <w:p w14:paraId="650D681F" w14:textId="77777777" w:rsidR="001E1A2D" w:rsidRPr="006D27FF" w:rsidRDefault="006D27FF" w:rsidP="001E1A2D">
            <w:pPr>
              <w:suppressLineNumbers/>
              <w:suppressAutoHyphens/>
              <w:kinsoku w:val="0"/>
              <w:overflowPunct w:val="0"/>
              <w:autoSpaceDE w:val="0"/>
              <w:autoSpaceDN w:val="0"/>
              <w:adjustRightInd w:val="0"/>
              <w:snapToGrid w:val="0"/>
              <w:ind w:left="1215"/>
              <w:rPr>
                <w:kern w:val="22"/>
                <w:szCs w:val="22"/>
                <w:lang w:val="en-CA"/>
              </w:rPr>
            </w:pPr>
            <w:sdt>
              <w:sdtPr>
                <w:rPr>
                  <w:kern w:val="22"/>
                  <w:szCs w:val="22"/>
                  <w:lang w:val="en-CA"/>
                </w:rPr>
                <w:alias w:val="Publish Date"/>
                <w:tag w:val=""/>
                <w:id w:val="276757068"/>
                <w:placeholder>
                  <w:docPart w:val="DDF3702E6AF540B08694AD02D35C6AB3"/>
                </w:placeholder>
                <w:dataBinding w:prefixMappings="xmlns:ns0='http://schemas.microsoft.com/office/2006/coverPageProps' " w:xpath="/ns0:CoverPageProperties[1]/ns0:PublishDate[1]" w:storeItemID="{55AF091B-3C7A-41E3-B477-F2FDAA23CFDA}"/>
                <w:date w:fullDate="2018-04-04T00:00:00Z">
                  <w:dateFormat w:val="d MMMM yyyy"/>
                  <w:lid w:val="en-US"/>
                  <w:storeMappedDataAs w:val="dateTime"/>
                  <w:calendar w:val="gregorian"/>
                </w:date>
              </w:sdtPr>
              <w:sdtEndPr/>
              <w:sdtContent>
                <w:r w:rsidR="001E1A2D" w:rsidRPr="006D27FF">
                  <w:rPr>
                    <w:kern w:val="22"/>
                    <w:szCs w:val="22"/>
                    <w:lang w:val="en-CA"/>
                  </w:rPr>
                  <w:t>4 April 2018</w:t>
                </w:r>
              </w:sdtContent>
            </w:sdt>
          </w:p>
          <w:p w14:paraId="4E604A79"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p>
          <w:p w14:paraId="37772492" w14:textId="497BDA81" w:rsidR="00BD4B8B" w:rsidRPr="00BD4B8B" w:rsidRDefault="00BD4B8B" w:rsidP="001E1A2D">
            <w:pPr>
              <w:suppressLineNumbers/>
              <w:suppressAutoHyphens/>
              <w:kinsoku w:val="0"/>
              <w:overflowPunct w:val="0"/>
              <w:autoSpaceDE w:val="0"/>
              <w:autoSpaceDN w:val="0"/>
              <w:adjustRightInd w:val="0"/>
              <w:snapToGrid w:val="0"/>
              <w:ind w:left="1215"/>
              <w:rPr>
                <w:kern w:val="22"/>
                <w:szCs w:val="22"/>
                <w:lang w:val="fr-FR"/>
              </w:rPr>
            </w:pPr>
            <w:r>
              <w:rPr>
                <w:kern w:val="22"/>
                <w:szCs w:val="22"/>
                <w:lang w:val="fr-FR"/>
              </w:rPr>
              <w:t>RUSSIAN</w:t>
            </w:r>
          </w:p>
          <w:p w14:paraId="5F15DC4C" w14:textId="5CB8C555" w:rsidR="001E1A2D" w:rsidRPr="001838BA" w:rsidRDefault="001E1A2D" w:rsidP="001E1A2D">
            <w:pPr>
              <w:suppressLineNumbers/>
              <w:suppressAutoHyphens/>
              <w:kinsoku w:val="0"/>
              <w:overflowPunct w:val="0"/>
              <w:autoSpaceDE w:val="0"/>
              <w:autoSpaceDN w:val="0"/>
              <w:adjustRightInd w:val="0"/>
              <w:snapToGrid w:val="0"/>
              <w:ind w:left="1215"/>
              <w:rPr>
                <w:kern w:val="22"/>
                <w:szCs w:val="22"/>
              </w:rPr>
            </w:pPr>
            <w:r w:rsidRPr="001838BA">
              <w:rPr>
                <w:kern w:val="22"/>
                <w:szCs w:val="22"/>
              </w:rPr>
              <w:t>ORIGINAL: ENGLISH</w:t>
            </w:r>
          </w:p>
          <w:p w14:paraId="08C0E142" w14:textId="77777777" w:rsidR="00C9161D" w:rsidRPr="001838BA" w:rsidRDefault="00C9161D" w:rsidP="001838BA">
            <w:pPr>
              <w:suppressLineNumbers/>
              <w:suppressAutoHyphens/>
              <w:kinsoku w:val="0"/>
              <w:overflowPunct w:val="0"/>
              <w:autoSpaceDE w:val="0"/>
              <w:autoSpaceDN w:val="0"/>
              <w:adjustRightInd w:val="0"/>
              <w:snapToGrid w:val="0"/>
              <w:rPr>
                <w:kern w:val="22"/>
              </w:rPr>
            </w:pPr>
          </w:p>
        </w:tc>
      </w:tr>
    </w:tbl>
    <w:p w14:paraId="08C0E144" w14:textId="77777777" w:rsidR="00172AF6" w:rsidRPr="001838BA" w:rsidRDefault="001133C5"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Pr>
          <w:color w:val="000000"/>
          <w:shd w:val="clear" w:color="auto" w:fill="FFFFFF"/>
        </w:rPr>
        <w:t xml:space="preserve">ВСПОМОГАТЕЛЬНЫЙ ОРГАН ПО ОСУЩЕСТВЛЕНИЮ </w:t>
      </w:r>
    </w:p>
    <w:p w14:paraId="08C0E145" w14:textId="77777777" w:rsidR="001133C5" w:rsidRPr="001838BA" w:rsidRDefault="001133C5"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Pr>
          <w:color w:val="000000"/>
          <w:shd w:val="clear" w:color="auto" w:fill="FFFFFF"/>
        </w:rPr>
        <w:t>Второе совещание</w:t>
      </w:r>
    </w:p>
    <w:p w14:paraId="08C0E146" w14:textId="77777777" w:rsidR="001133C5" w:rsidRPr="001838BA" w:rsidRDefault="001133C5" w:rsidP="001838BA">
      <w:pPr>
        <w:pStyle w:val="Cornernotation"/>
        <w:suppressLineNumbers/>
        <w:suppressAutoHyphens/>
        <w:kinsoku w:val="0"/>
        <w:overflowPunct w:val="0"/>
        <w:autoSpaceDE w:val="0"/>
        <w:autoSpaceDN w:val="0"/>
        <w:adjustRightInd w:val="0"/>
        <w:snapToGrid w:val="0"/>
        <w:ind w:left="0" w:firstLine="0"/>
        <w:jc w:val="both"/>
        <w:rPr>
          <w:color w:val="000000"/>
          <w:kern w:val="22"/>
          <w:szCs w:val="22"/>
        </w:rPr>
      </w:pPr>
      <w:r>
        <w:rPr>
          <w:color w:val="000000"/>
          <w:szCs w:val="22"/>
        </w:rPr>
        <w:t>Монреаль, Канада, 9-13 июля 2018 года</w:t>
      </w:r>
    </w:p>
    <w:p w14:paraId="08C0E147" w14:textId="17FB13F8" w:rsidR="001133C5" w:rsidRPr="001838BA" w:rsidRDefault="006D27FF" w:rsidP="001838BA">
      <w:pPr>
        <w:suppressLineNumbers/>
        <w:suppressAutoHyphens/>
        <w:kinsoku w:val="0"/>
        <w:overflowPunct w:val="0"/>
        <w:autoSpaceDE w:val="0"/>
        <w:autoSpaceDN w:val="0"/>
        <w:adjustRightInd w:val="0"/>
        <w:snapToGrid w:val="0"/>
        <w:rPr>
          <w:kern w:val="22"/>
        </w:rPr>
      </w:pPr>
      <w:r>
        <w:t xml:space="preserve">Пункт </w:t>
      </w:r>
      <w:r>
        <w:rPr>
          <w:lang w:val="en-CA"/>
        </w:rPr>
        <w:t>3</w:t>
      </w:r>
      <w:bookmarkStart w:id="0" w:name="_GoBack"/>
      <w:bookmarkEnd w:id="0"/>
      <w:r w:rsidR="001133C5">
        <w:t xml:space="preserve"> предварительной повестки дня</w:t>
      </w:r>
      <w:r w:rsidR="001133C5">
        <w:rPr>
          <w:rStyle w:val="FootnoteReference"/>
          <w:kern w:val="22"/>
        </w:rPr>
        <w:footnoteReference w:customMarkFollows="1" w:id="1"/>
        <w:t>*</w:t>
      </w:r>
    </w:p>
    <w:p w14:paraId="08C0E148" w14:textId="77777777" w:rsidR="00C9161D" w:rsidRPr="001838BA" w:rsidRDefault="00C9161D" w:rsidP="001838BA">
      <w:pPr>
        <w:suppressLineNumbers/>
        <w:suppressAutoHyphens/>
        <w:kinsoku w:val="0"/>
        <w:overflowPunct w:val="0"/>
        <w:autoSpaceDE w:val="0"/>
        <w:autoSpaceDN w:val="0"/>
        <w:adjustRightInd w:val="0"/>
        <w:snapToGrid w:val="0"/>
        <w:rPr>
          <w:kern w:val="22"/>
        </w:rPr>
      </w:pPr>
    </w:p>
    <w:p w14:paraId="08C0E149" w14:textId="43C4C2F6" w:rsidR="00C9161D" w:rsidRPr="00A42AD0" w:rsidRDefault="006D27FF" w:rsidP="001838BA">
      <w:pPr>
        <w:suppressLineNumbers/>
        <w:suppressAutoHyphens/>
        <w:kinsoku w:val="0"/>
        <w:overflowPunct w:val="0"/>
        <w:autoSpaceDE w:val="0"/>
        <w:autoSpaceDN w:val="0"/>
        <w:adjustRightInd w:val="0"/>
        <w:snapToGrid w:val="0"/>
        <w:spacing w:before="120" w:after="120"/>
        <w:jc w:val="center"/>
        <w:rPr>
          <w:b/>
          <w:caps/>
          <w:snapToGrid w:val="0"/>
          <w:szCs w:val="22"/>
        </w:rPr>
      </w:pPr>
      <w:sdt>
        <w:sdtPr>
          <w:rPr>
            <w:b/>
            <w:caps/>
            <w:snapToGrid w:val="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497D98" w:rsidRPr="00F07F72">
            <w:rPr>
              <w:b/>
              <w:caps/>
              <w:snapToGrid w:val="0"/>
              <w:szCs w:val="22"/>
            </w:rPr>
            <w:t>РЕЗУЛЬТАТЫ ОСУЩЕСТВЛЕНИЯ КОНВЕНЦИИ И СТРАТЕГИЧЕСКОГО ПЛАНА В ОБЛАСТИ СОХРАНЕНИЯ И УСТОЙЧИВОГО ИСПОЛЬЗОВАНИЯ БИОРАЗНООБРАЗИЯ НА 2011-2020 ГОДЫ</w:t>
          </w:r>
          <w:r w:rsidR="00F07F72">
            <w:rPr>
              <w:b/>
              <w:caps/>
              <w:snapToGrid w:val="0"/>
              <w:szCs w:val="22"/>
            </w:rPr>
            <w:t xml:space="preserve"> И</w:t>
          </w:r>
          <w:r w:rsidR="00497D98" w:rsidRPr="00F07F72">
            <w:rPr>
              <w:b/>
              <w:caps/>
              <w:snapToGrid w:val="0"/>
              <w:szCs w:val="22"/>
            </w:rPr>
            <w:t xml:space="preserve"> выполнения целевых задач по сохранению и устойчивому использованию биоразнообразия, принятых в Айти</w:t>
          </w:r>
        </w:sdtContent>
      </w:sdt>
    </w:p>
    <w:p w14:paraId="08C0E14A" w14:textId="77777777" w:rsidR="009E4766" w:rsidRPr="001133C5" w:rsidRDefault="009E4766" w:rsidP="001838BA">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Pr>
          <w:b w:val="0"/>
          <w:i/>
          <w:snapToGrid w:val="0"/>
          <w:szCs w:val="22"/>
        </w:rPr>
        <w:t>Записка Исполнительного секретаря</w:t>
      </w:r>
    </w:p>
    <w:p w14:paraId="08C0E14B" w14:textId="77777777" w:rsidR="009E4766" w:rsidRPr="001622FF"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ИСТОРИЯ ВОПРОСА</w:t>
      </w:r>
    </w:p>
    <w:p w14:paraId="08C0E14C" w14:textId="00E690FB"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Конференция Сторон в пункте 14 решения </w:t>
      </w:r>
      <w:hyperlink r:id="rId12" w:history="1">
        <w:r>
          <w:rPr>
            <w:rStyle w:val="Hyperlink"/>
            <w:sz w:val="22"/>
          </w:rPr>
          <w:t>X/2</w:t>
        </w:r>
      </w:hyperlink>
      <w:r>
        <w:t xml:space="preserve"> постановила, что на своих будущих совещаниях она будет проводить обзор результатов </w:t>
      </w:r>
      <w:r w:rsidR="006B5795">
        <w:t>осуществления</w:t>
      </w:r>
      <w:r>
        <w:t xml:space="preserve"> </w:t>
      </w:r>
      <w:hyperlink r:id="rId13" w:history="1">
        <w:r>
          <w:rPr>
            <w:rStyle w:val="Hyperlink"/>
            <w:sz w:val="22"/>
            <w:szCs w:val="22"/>
          </w:rPr>
          <w:t>Стратегического плана в области сохранения и устойчивого использования биоразнообразия на 2011-2020 годы</w:t>
        </w:r>
      </w:hyperlink>
      <w:r>
        <w:t xml:space="preserve">, и поручила Исполнительному секретарю подготовить анализ/обобщение национальных, региональных и других мер, включая в соответствующих случаях целевые задачи, </w:t>
      </w:r>
      <w:r w:rsidR="00425C93">
        <w:t>поставленные</w:t>
      </w:r>
      <w:r>
        <w:t xml:space="preserve"> в соответствии со Стратегическим планом (пункт 17 b)),</w:t>
      </w:r>
      <w:r w:rsidR="00425C93">
        <w:t xml:space="preserve"> </w:t>
      </w:r>
      <w:r>
        <w:t>с тем чтобы позволить Конференции Сторон оценить вклад таких национальных и региональных целевых задач в достижение глобальных целевых задач.</w:t>
      </w:r>
    </w:p>
    <w:p w14:paraId="08C0E14D" w14:textId="37926EF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Кроме того, в пункте 3 решения X/2 Конференция Сторон настоятельно призвала Стороны провести обзор и </w:t>
      </w:r>
      <w:r w:rsidR="000405E4">
        <w:t>сообразно</w:t>
      </w:r>
      <w:r>
        <w:t xml:space="preserve"> обстоятельствам обновление и пересмотр своих национальных стратегий и планов действий по сохранению биоразнообразия (НСПДСБ) в соответствии со Стратегическим планом в области сохранения и устойчивого использования биоразнообразия на 2011-2020 годы и руководящими указаниями, утвержденными в решении </w:t>
      </w:r>
      <w:hyperlink r:id="rId14" w:history="1">
        <w:r>
          <w:rPr>
            <w:rStyle w:val="Hyperlink"/>
            <w:sz w:val="22"/>
          </w:rPr>
          <w:t>IХ/9</w:t>
        </w:r>
      </w:hyperlink>
      <w:r>
        <w:t xml:space="preserve">, включая свои национальные целевые задачи, разработанные в рамках Стратегического плана </w:t>
      </w:r>
      <w:r w:rsidR="003B3753">
        <w:t xml:space="preserve">и </w:t>
      </w:r>
      <w:r>
        <w:t xml:space="preserve">его целевых задач по сохранению и устойчивому использованию биоразнообразия, принятых в Айти, в свои НСПДСБ. Затем в пункте 4 решения </w:t>
      </w:r>
      <w:hyperlink r:id="rId15" w:history="1">
        <w:r>
          <w:rPr>
            <w:rStyle w:val="Hyperlink"/>
            <w:sz w:val="22"/>
          </w:rPr>
          <w:t>XII/2 A</w:t>
        </w:r>
      </w:hyperlink>
      <w:r>
        <w:t xml:space="preserve"> Конференция Сторон настоятельно призвала те Стороны, которые еще не сделали этого, провести обзор своих НСПДСБ и </w:t>
      </w:r>
      <w:r w:rsidR="000405E4">
        <w:t>сообразно обстоятельствам</w:t>
      </w:r>
      <w:r>
        <w:t xml:space="preserve"> обновить или пересмотреть их в соответствии со Стратегическим планом в области сохранения и устойчивого использования биоразнообразия на 2011-2020 годы, при первой же возможности принять индикаторы на национальном уровне, но в любом случае не позднее октября 2015 года, и представить свои пятые национальные доклады.</w:t>
      </w:r>
    </w:p>
    <w:p w14:paraId="08C0E14E" w14:textId="2710878A"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w:t>
      </w:r>
      <w:hyperlink r:id="rId16" w:history="1">
        <w:r>
          <w:rPr>
            <w:rStyle w:val="Hyperlink"/>
            <w:sz w:val="22"/>
          </w:rPr>
          <w:t>XII/31</w:t>
        </w:r>
      </w:hyperlink>
      <w:r>
        <w:t xml:space="preserve"> Конференция Сторон подтвердила, что она должна проводить обзор результатов осуществления Стратегического плана в области сохранения и устойчивого использования биоразнообразия на 2011-2020 годы на каждом из своих совещаний в период до 2020 года и что </w:t>
      </w:r>
      <w:r w:rsidR="008E47DD">
        <w:t>подготовка</w:t>
      </w:r>
      <w:r>
        <w:t xml:space="preserve"> дальнейших руководящих указаний по разработке политики и в </w:t>
      </w:r>
      <w:r>
        <w:lastRenderedPageBreak/>
        <w:t xml:space="preserve">поддержку осуществления должна быть основана на данном обзоре, а также на информации, представленной в национальных докладах, и на другой информации, которая может стать доступной, в том числе </w:t>
      </w:r>
      <w:r w:rsidR="00F2660F">
        <w:t>по итогам</w:t>
      </w:r>
      <w:r>
        <w:t xml:space="preserve"> научных оценок. Далее, в соответствии со списком вопросов, содержащимся в приложении к этому решению, Конференции Сторон на своем 13-м совещании следовало, кроме всего прочего, провести промежуточный обзор результатов осуществления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и соответствующих средств осуществления.</w:t>
      </w:r>
    </w:p>
    <w:p w14:paraId="08C0E14F" w14:textId="64F29EEF" w:rsidR="009E4766" w:rsidRPr="00297762"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w:t>
      </w:r>
      <w:hyperlink r:id="rId17" w:history="1">
        <w:r>
          <w:rPr>
            <w:rStyle w:val="Hyperlink"/>
            <w:sz w:val="22"/>
          </w:rPr>
          <w:t>XIII/1</w:t>
        </w:r>
      </w:hyperlink>
      <w:r>
        <w:t xml:space="preserve"> Конференция сторон приняла к сведению анализ результатов осуществления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а также обновленный доклад о результатах осуществления </w:t>
      </w:r>
      <w:hyperlink r:id="rId18" w:history="1">
        <w:r>
          <w:rPr>
            <w:rStyle w:val="Hyperlink"/>
            <w:sz w:val="22"/>
          </w:rPr>
          <w:t>Глобальной стратегии сохранения растений</w:t>
        </w:r>
      </w:hyperlink>
      <w:r>
        <w:t>. В этом же решении Конференция Сторон призвала Стороны учитывать в соответствующих случаях индикаторы для Стратегического плана в области сохранения и устойчивого использования биоразнообразия на 2011-2020 годы и индикаторы для Целей устойчивого развития</w:t>
      </w:r>
      <w:r w:rsidR="00064134" w:rsidRPr="00064134">
        <w:t xml:space="preserve"> </w:t>
      </w:r>
      <w:r w:rsidR="0034527D">
        <w:t>при</w:t>
      </w:r>
      <w:r w:rsidR="00064134">
        <w:t xml:space="preserve"> обновлени</w:t>
      </w:r>
      <w:r w:rsidR="0034527D">
        <w:t>и</w:t>
      </w:r>
      <w:r w:rsidR="00064134">
        <w:t xml:space="preserve"> своих национальных стратегий и планов действий по сохранению биоразнообразия</w:t>
      </w:r>
      <w:r>
        <w:t>.</w:t>
      </w:r>
    </w:p>
    <w:p w14:paraId="08C0E150" w14:textId="67260A46" w:rsidR="009E4766" w:rsidRPr="001622FF"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Кроме того, в том же решении Конференция Сторон призвала Стороны в соответствующих случаях периодически проводить обзор своих НСПДСБ в контексте национальных обстоятельств, приоритетов и возможностей, изучить вопрос о повышении</w:t>
      </w:r>
      <w:r w:rsidR="00834E5E" w:rsidRPr="006D27FF">
        <w:t xml:space="preserve"> </w:t>
      </w:r>
      <w:r w:rsidR="00834E5E">
        <w:t>целевого</w:t>
      </w:r>
      <w:r>
        <w:t xml:space="preserve"> уровня и/или сферы охвата национальных или региональных целевых задач до уровня, соизмеримого с целевыми задачами по сохранению и устойчивому использованию биоразнообразия, принятыми в Айти, и включать целевые задачи в работу различных секторов, в том числе в Повестку дня в области устойчивого развития на период до 2030 года</w:t>
      </w:r>
      <w:r w:rsidR="009E4766" w:rsidRPr="001133C5">
        <w:rPr>
          <w:kern w:val="22"/>
          <w:szCs w:val="22"/>
          <w:vertAlign w:val="superscript"/>
        </w:rPr>
        <w:footnoteReference w:id="2"/>
      </w:r>
      <w:r>
        <w:t xml:space="preserve"> и в Цели устойчивого развития, чтобы вносить более весомый вклад в коллективные глобальные усилия по выполнению глобальных целевых задач.</w:t>
      </w:r>
    </w:p>
    <w:p w14:paraId="08C0E151" w14:textId="3F3F7FF5" w:rsidR="009E4766" w:rsidRPr="001133C5"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Далее Конференция Сторон призвала Стороны систематически учитывать гендерную проблематику в своих НСПДСБ и в соответствующих механизмах осуществления и отчетности в соответствии с Планом действий по обеспечению гендерного равенства на 2015-2020 годы</w:t>
      </w:r>
      <w:r w:rsidR="00796BFF">
        <w:t xml:space="preserve"> в рамках Конвенции</w:t>
      </w:r>
      <w:r>
        <w:t>.</w:t>
      </w:r>
      <w:r w:rsidR="009E4766" w:rsidRPr="001133C5">
        <w:rPr>
          <w:rStyle w:val="FootnoteReference"/>
          <w:kern w:val="22"/>
          <w:szCs w:val="22"/>
        </w:rPr>
        <w:footnoteReference w:id="3"/>
      </w:r>
    </w:p>
    <w:p w14:paraId="08C0E152" w14:textId="66778D5C"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В настоящем документе пр</w:t>
      </w:r>
      <w:r w:rsidR="00993E5C">
        <w:t>и</w:t>
      </w:r>
      <w:r>
        <w:t xml:space="preserve">водится обновленная оценка результатов осуществления </w:t>
      </w:r>
      <w:r w:rsidR="005521A0">
        <w:t xml:space="preserve">Конвенции и </w:t>
      </w:r>
      <w:r>
        <w:t>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Она основана на информации, приведенной в пересмотренных и обновленных НСПДСБ, а также в пятых национальных докладах, полученных к 14 марта 2018 года. Документ дополняют следующие добавления:</w:t>
      </w:r>
    </w:p>
    <w:p w14:paraId="08C0E153" w14:textId="59C5A3E4" w:rsidR="009E4766" w:rsidRPr="001133C5" w:rsidRDefault="009E4766" w:rsidP="00A02E09">
      <w:pPr>
        <w:pStyle w:val="Para1"/>
        <w:numPr>
          <w:ilvl w:val="1"/>
          <w:numId w:val="26"/>
        </w:numPr>
        <w:suppressLineNumbers/>
        <w:suppressAutoHyphens/>
        <w:kinsoku w:val="0"/>
        <w:overflowPunct w:val="0"/>
        <w:autoSpaceDE w:val="0"/>
        <w:autoSpaceDN w:val="0"/>
        <w:adjustRightInd w:val="0"/>
        <w:snapToGrid w:val="0"/>
        <w:spacing w:before="0"/>
        <w:rPr>
          <w:rFonts w:eastAsia="Malgun Gothic"/>
          <w:kern w:val="22"/>
          <w:szCs w:val="22"/>
        </w:rPr>
      </w:pPr>
      <w:r>
        <w:t>обновление и анализ национальных стратегий и планов действий по сохранению биоразнообразия, полученных после принятия Стратегического плана в области сохранения и устойчивого использования биоразнообразия на 2011-2020 годы (CBD/SBI/2/2/Add.1);</w:t>
      </w:r>
    </w:p>
    <w:p w14:paraId="08C0E154" w14:textId="77777777" w:rsidR="009E4766" w:rsidRPr="001133C5" w:rsidRDefault="009E4766" w:rsidP="00A02E09">
      <w:pPr>
        <w:pStyle w:val="Para1"/>
        <w:numPr>
          <w:ilvl w:val="1"/>
          <w:numId w:val="26"/>
        </w:numPr>
        <w:suppressLineNumbers/>
        <w:suppressAutoHyphens/>
        <w:kinsoku w:val="0"/>
        <w:overflowPunct w:val="0"/>
        <w:autoSpaceDE w:val="0"/>
        <w:autoSpaceDN w:val="0"/>
        <w:adjustRightInd w:val="0"/>
        <w:snapToGrid w:val="0"/>
        <w:spacing w:before="0"/>
        <w:rPr>
          <w:rFonts w:eastAsia="Malgun Gothic"/>
          <w:kern w:val="22"/>
          <w:szCs w:val="22"/>
        </w:rPr>
      </w:pPr>
      <w:r>
        <w:t>анализ вклада целевых задач, поставленных Сторонами, и результатов на пути выполнения целевых задач по сохранению и устойчивому использованию биоразнообразия, принятых в Айти (CBD/SBI/2/2/Add.2);</w:t>
      </w:r>
    </w:p>
    <w:p w14:paraId="08C0E155" w14:textId="6008FDCA" w:rsidR="009E4766" w:rsidRPr="001133C5" w:rsidRDefault="00962F61" w:rsidP="00A02E09">
      <w:pPr>
        <w:pStyle w:val="Para1"/>
        <w:numPr>
          <w:ilvl w:val="1"/>
          <w:numId w:val="26"/>
        </w:numPr>
        <w:suppressLineNumbers/>
        <w:suppressAutoHyphens/>
        <w:kinsoku w:val="0"/>
        <w:overflowPunct w:val="0"/>
        <w:autoSpaceDE w:val="0"/>
        <w:autoSpaceDN w:val="0"/>
        <w:adjustRightInd w:val="0"/>
        <w:snapToGrid w:val="0"/>
        <w:spacing w:before="0"/>
        <w:rPr>
          <w:rFonts w:eastAsia="Malgun Gothic"/>
          <w:kern w:val="22"/>
          <w:szCs w:val="22"/>
        </w:rPr>
      </w:pPr>
      <w:r>
        <w:t>р</w:t>
      </w:r>
      <w:r w:rsidR="009E4766">
        <w:t>езультаты выполнения Плана действий по обеспечению гендерного равенства на 2015-2020 годы (CBD/SBI/2/2/Add.3).</w:t>
      </w:r>
    </w:p>
    <w:p w14:paraId="08C0E156" w14:textId="77777777"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Дополнительные оценки результатов выполнения отдельных целевых задач по сохранению и устойчивому использованию биоразнообразия, принятых в Айти, рассматриваются в рамках других пунктов повестки дня. В их число входят следующие пункты:</w:t>
      </w:r>
    </w:p>
    <w:p w14:paraId="08C0E157" w14:textId="77777777" w:rsidR="009E4766" w:rsidRPr="001133C5" w:rsidRDefault="009E4766" w:rsidP="009970EC">
      <w:pPr>
        <w:pStyle w:val="Para1"/>
        <w:numPr>
          <w:ilvl w:val="1"/>
          <w:numId w:val="27"/>
        </w:numPr>
        <w:suppressLineNumbers/>
        <w:suppressAutoHyphens/>
        <w:kinsoku w:val="0"/>
        <w:overflowPunct w:val="0"/>
        <w:autoSpaceDE w:val="0"/>
        <w:autoSpaceDN w:val="0"/>
        <w:adjustRightInd w:val="0"/>
        <w:snapToGrid w:val="0"/>
        <w:spacing w:before="0"/>
        <w:rPr>
          <w:kern w:val="22"/>
          <w:szCs w:val="22"/>
        </w:rPr>
      </w:pPr>
      <w:r>
        <w:lastRenderedPageBreak/>
        <w:t>анализ результатов осуществления промежуточных этапов на пути к полному выполнению целевой задачи 3 по сохранению и устойчивому использованию биоразнообразия, принятой в Айти, содержащийся в документе CBD/SBI/2/8 и сопроводительной информационной записке и рассматриваемый в рамках пункта 9 повестки дня;</w:t>
      </w:r>
    </w:p>
    <w:p w14:paraId="08C0E158" w14:textId="5DA3CF8B" w:rsidR="009E4766" w:rsidRPr="001133C5" w:rsidRDefault="009E4766" w:rsidP="009970EC">
      <w:pPr>
        <w:pStyle w:val="Para1"/>
        <w:numPr>
          <w:ilvl w:val="1"/>
          <w:numId w:val="27"/>
        </w:numPr>
        <w:suppressLineNumbers/>
        <w:suppressAutoHyphens/>
        <w:kinsoku w:val="0"/>
        <w:overflowPunct w:val="0"/>
        <w:autoSpaceDE w:val="0"/>
        <w:autoSpaceDN w:val="0"/>
        <w:adjustRightInd w:val="0"/>
        <w:snapToGrid w:val="0"/>
        <w:spacing w:before="0"/>
        <w:rPr>
          <w:rFonts w:eastAsia="Malgun Gothic"/>
          <w:kern w:val="22"/>
          <w:szCs w:val="22"/>
        </w:rPr>
      </w:pPr>
      <w:r>
        <w:t>обзор и обновленный анализ результат</w:t>
      </w:r>
      <w:r w:rsidR="00736EDE">
        <w:t>ов</w:t>
      </w:r>
      <w:r>
        <w:t xml:space="preserve"> в сопоставлении с целевыми задачами по мобилизации ресурсов в рамках целевой задачи 20 по сохранению и устойчивому использованию биоразнообразия, принятой в Айти, на основе форм финансовой отчетности, полученных от Сторон (</w:t>
      </w:r>
      <w:hyperlink r:id="rId19" w:history="1">
        <w:r>
          <w:rPr>
            <w:rStyle w:val="Hyperlink"/>
            <w:sz w:val="22"/>
            <w:szCs w:val="22"/>
          </w:rPr>
          <w:t>CBD/SBI/2/8/Add.1</w:t>
        </w:r>
      </w:hyperlink>
      <w:r>
        <w:t>), которы</w:t>
      </w:r>
      <w:r w:rsidR="00937E49">
        <w:t>е</w:t>
      </w:r>
      <w:r>
        <w:t xml:space="preserve"> также рассматрива</w:t>
      </w:r>
      <w:r w:rsidR="00937E49">
        <w:t>ю</w:t>
      </w:r>
      <w:r>
        <w:t>тся в пункте 9 повестки дня;</w:t>
      </w:r>
    </w:p>
    <w:p w14:paraId="08C0E159" w14:textId="6E26BA5F" w:rsidR="009E4766" w:rsidRPr="001622FF" w:rsidRDefault="009E4766" w:rsidP="009970EC">
      <w:pPr>
        <w:pStyle w:val="Para1"/>
        <w:numPr>
          <w:ilvl w:val="1"/>
          <w:numId w:val="27"/>
        </w:numPr>
        <w:suppressLineNumbers/>
        <w:suppressAutoHyphens/>
        <w:kinsoku w:val="0"/>
        <w:overflowPunct w:val="0"/>
        <w:autoSpaceDE w:val="0"/>
        <w:autoSpaceDN w:val="0"/>
        <w:adjustRightInd w:val="0"/>
        <w:snapToGrid w:val="0"/>
        <w:spacing w:before="0"/>
        <w:rPr>
          <w:kern w:val="22"/>
          <w:szCs w:val="22"/>
        </w:rPr>
      </w:pPr>
      <w:r>
        <w:t>элементы методологического руководства по выявлению, мониторингу и оценке вклада коренных народов и местных общин в выполнение Стратегического плана на 2011-2020 годы и целевых задач по сохранению и устойчивому использованию биоразнообразия, принятых в Айти (</w:t>
      </w:r>
      <w:hyperlink r:id="rId20" w:history="1">
        <w:r>
          <w:rPr>
            <w:rStyle w:val="Hyperlink"/>
            <w:sz w:val="22"/>
            <w:szCs w:val="22"/>
          </w:rPr>
          <w:t>CBD/SBI/2/19</w:t>
        </w:r>
      </w:hyperlink>
      <w:r>
        <w:t xml:space="preserve">) и учет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конкретно предназначенных для них гарантий защищенности </w:t>
      </w:r>
      <w:r>
        <w:rPr>
          <w:color w:val="000000"/>
        </w:rPr>
        <w:t>(</w:t>
      </w:r>
      <w:hyperlink r:id="rId21" w:history="1">
        <w:r>
          <w:rPr>
            <w:rStyle w:val="Hyperlink"/>
            <w:sz w:val="22"/>
          </w:rPr>
          <w:t>CBD/SBI/2/20</w:t>
        </w:r>
      </w:hyperlink>
      <w:r>
        <w:rPr>
          <w:color w:val="000000"/>
        </w:rPr>
        <w:t xml:space="preserve">), а также </w:t>
      </w:r>
      <w:hyperlink r:id="rId22" w:history="1">
        <w:r>
          <w:rPr>
            <w:rStyle w:val="Hyperlink"/>
            <w:sz w:val="22"/>
            <w:szCs w:val="22"/>
          </w:rPr>
          <w:t>рекомендация 10/4</w:t>
        </w:r>
      </w:hyperlink>
      <w:r>
        <w:rPr>
          <w:color w:val="000000"/>
        </w:rPr>
        <w:t xml:space="preserve"> Специальной рабочей групп</w:t>
      </w:r>
      <w:r w:rsidR="00A4045F">
        <w:rPr>
          <w:color w:val="000000"/>
        </w:rPr>
        <w:t>ы</w:t>
      </w:r>
      <w:r>
        <w:rPr>
          <w:color w:val="000000"/>
        </w:rPr>
        <w:t xml:space="preserve"> по осуществлению статьи 8 j) и соответствующих положений Конвенции, которая была принята после обсуждения этих вопросов на десятом совещании Рабочей группы.</w:t>
      </w:r>
    </w:p>
    <w:p w14:paraId="08C0E15A" w14:textId="00DDFB45" w:rsidR="009E4766" w:rsidRPr="001133C5" w:rsidRDefault="009E4766" w:rsidP="009970EC">
      <w:pPr>
        <w:pStyle w:val="Para1"/>
        <w:numPr>
          <w:ilvl w:val="1"/>
          <w:numId w:val="27"/>
        </w:numPr>
        <w:suppressLineNumbers/>
        <w:suppressAutoHyphens/>
        <w:kinsoku w:val="0"/>
        <w:overflowPunct w:val="0"/>
        <w:autoSpaceDE w:val="0"/>
        <w:autoSpaceDN w:val="0"/>
        <w:adjustRightInd w:val="0"/>
        <w:snapToGrid w:val="0"/>
        <w:spacing w:before="0"/>
        <w:rPr>
          <w:rFonts w:eastAsia="Malgun Gothic"/>
          <w:kern w:val="22"/>
          <w:szCs w:val="22"/>
        </w:rPr>
      </w:pPr>
      <w:r>
        <w:t xml:space="preserve">анализ и обобщение информации, а также проект структуры индикаторов для обзора эффективности </w:t>
      </w:r>
      <w:hyperlink r:id="rId23" w:history="1">
        <w:r>
          <w:rPr>
            <w:rStyle w:val="Hyperlink"/>
            <w:sz w:val="22"/>
            <w:szCs w:val="22"/>
          </w:rPr>
          <w:t>Нагойского протокола</w:t>
        </w:r>
      </w:hyperlink>
      <w:r>
        <w:t xml:space="preserve"> (CBD/SBI/2/3), рассматриваемы</w:t>
      </w:r>
      <w:r w:rsidR="00400DE1">
        <w:t>е</w:t>
      </w:r>
      <w:r>
        <w:t xml:space="preserve"> в рамках пункта 4 повестки дня</w:t>
      </w:r>
      <w:r w:rsidR="009970EC">
        <w:t>.</w:t>
      </w:r>
    </w:p>
    <w:p w14:paraId="08C0E15B" w14:textId="2FCB569C"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Эти анали</w:t>
      </w:r>
      <w:r w:rsidR="00C00F19">
        <w:t>тические документы</w:t>
      </w:r>
      <w:r>
        <w:t xml:space="preserve"> дополняют обновленную научную оценку </w:t>
      </w:r>
      <w:r w:rsidR="00D00FB5">
        <w:t xml:space="preserve">хода работы </w:t>
      </w:r>
      <w:r>
        <w:t xml:space="preserve">в </w:t>
      </w:r>
      <w:r w:rsidR="000B273F">
        <w:t>области выполнения</w:t>
      </w:r>
      <w:r>
        <w:t xml:space="preserve"> отдельных целевых задач по сохранению и устойчивому использованию биоразнообразия, принятых в Айти (</w:t>
      </w:r>
      <w:hyperlink r:id="rId24" w:history="1">
        <w:r>
          <w:rPr>
            <w:rStyle w:val="Hyperlink"/>
            <w:sz w:val="22"/>
            <w:szCs w:val="22"/>
          </w:rPr>
          <w:t>CBD/SBSTTA/22/5</w:t>
        </w:r>
      </w:hyperlink>
      <w:r>
        <w:t>), рассматриваемую Вспомогательным органом по научным, техническим и технологическим консультациям на его 22-м совещании в рамках пункта 6 повестки дня.</w:t>
      </w:r>
    </w:p>
    <w:p w14:paraId="08C0E15C" w14:textId="77777777" w:rsidR="009E4766" w:rsidRPr="001133C5"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Pr>
          <w:caps w:val="0"/>
          <w:snapToGrid w:val="0"/>
          <w:szCs w:val="22"/>
        </w:rPr>
        <w:t>ОБЗОР ОСУЩЕСТВЛЕНИЯ</w:t>
      </w:r>
    </w:p>
    <w:p w14:paraId="08C0E15D" w14:textId="11AF0625"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По результатам промежуточного обзора осуществления Стратегического плана в области сохранения и устойчивого использования биоразнообразия на 2011-2020 годы</w:t>
      </w:r>
      <w:r w:rsidRPr="001133C5">
        <w:rPr>
          <w:rStyle w:val="FootnoteReference"/>
          <w:kern w:val="22"/>
          <w:szCs w:val="22"/>
        </w:rPr>
        <w:footnoteReference w:id="4"/>
      </w:r>
      <w:r>
        <w:t xml:space="preserve"> можно сделать вывод о наличии обнадеживающего прогресса в выполнении некоторых элементов большинства целевых задач по сохранению и устойчивому использованию биоразнообразия, принятых в Айти, но в большинстве случаев этого прогресса будет недостаточно для выполнения целевых задач, если не будут приняты дальнейшие срочные и эффективные меры для сокращения нагрузок на биоразнообразие и предотвращения его </w:t>
      </w:r>
      <w:r w:rsidR="00256DA0">
        <w:t>непрерывной утраты</w:t>
      </w:r>
      <w:r>
        <w:t>. Дополнительная информация из обновленных и пересмотренных НСПДСБ, а также из пятых национальных докладов, котор</w:t>
      </w:r>
      <w:r w:rsidR="005C70DC">
        <w:t>ая</w:t>
      </w:r>
      <w:r>
        <w:t xml:space="preserve"> не был</w:t>
      </w:r>
      <w:r w:rsidR="005C70DC">
        <w:t>а</w:t>
      </w:r>
      <w:r>
        <w:t xml:space="preserve"> доступн</w:t>
      </w:r>
      <w:r w:rsidR="005C70DC">
        <w:t>а</w:t>
      </w:r>
      <w:r>
        <w:t xml:space="preserve"> для анализа в ходе промежуточного обзора, подтверждает данный общий вывод.</w:t>
      </w:r>
    </w:p>
    <w:p w14:paraId="08C0E15E" w14:textId="77777777"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Pr>
          <w:b/>
          <w:bCs/>
          <w:snapToGrid w:val="0"/>
          <w:szCs w:val="22"/>
        </w:rPr>
        <w:t>Национальные стратегии и планы действий по сохранению биоразнообразия</w:t>
      </w:r>
    </w:p>
    <w:p w14:paraId="08C0E15F" w14:textId="4F76F252"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НСПДСБ являются основным инструментом осуществления Конвенции на национальном уровне. За период с 1993 года 190 Сторон разработали по крайней мере один НСПДСБ</w:t>
      </w:r>
      <w:r w:rsidR="00E850EE">
        <w:t>. При этом</w:t>
      </w:r>
      <w:r>
        <w:t xml:space="preserve"> </w:t>
      </w:r>
      <w:r w:rsidR="00085C34">
        <w:t>шесть</w:t>
      </w:r>
      <w:r>
        <w:t xml:space="preserve"> Сторон должны еще представить свои первые </w:t>
      </w:r>
      <w:r w:rsidR="00E850EE">
        <w:t>НСПДСБ</w:t>
      </w:r>
      <w:r>
        <w:t>.</w:t>
      </w:r>
    </w:p>
    <w:p w14:paraId="08C0E160" w14:textId="17CEC7F3"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X/2 Конференция Сторон настоятельно призвала Стороны провести </w:t>
      </w:r>
      <w:r w:rsidR="00660408">
        <w:t>сообразно</w:t>
      </w:r>
      <w:r w:rsidR="00391DA5">
        <w:t xml:space="preserve"> обстоятельствам </w:t>
      </w:r>
      <w:r>
        <w:t xml:space="preserve">обзор, пересмотр и обновление своих НСПДСБ в соответствии со Стратегическим планом в области сохранения и устойчивого использования биоразнообразия на 2011-2020 годы. В целевой задаче 17 по сохранению и устойчивому использованию биоразнообразия, принятой в Айти, срок выполнения которой был установлен на 2015 год, содержится призыв к Сторонам разработать и принять в качестве политического инструмента </w:t>
      </w:r>
      <w:r>
        <w:lastRenderedPageBreak/>
        <w:t>эффективные совместные и обновленные НСПДСБ и приступить к их реализации. Стороны также взяли на себя обязательство поставить национальные целевые задачи, используя Стратегический план и целевые задачи по сохранению и устойчивому использованию биоразнообразия, принятые в Айти, в качестве гибкой структуры.</w:t>
      </w:r>
    </w:p>
    <w:p w14:paraId="08C0E161" w14:textId="24923A61"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Со времени 10-го совещания Конференции Сторон большинство Сторон </w:t>
      </w:r>
      <w:r w:rsidR="00E65F17">
        <w:t>приступили к</w:t>
      </w:r>
      <w:r>
        <w:t xml:space="preserve"> пересмотр</w:t>
      </w:r>
      <w:r w:rsidR="00E65F17">
        <w:t>у</w:t>
      </w:r>
      <w:r>
        <w:t xml:space="preserve"> своих НСПДСБ во исполнение решения X/2. В общей сложности 69 Сторон выполнили задачу к установленному сроку на 2015 год</w:t>
      </w:r>
      <w:r w:rsidR="006B3C9A">
        <w:t>, а</w:t>
      </w:r>
      <w:r>
        <w:t xml:space="preserve"> другие </w:t>
      </w:r>
      <w:r w:rsidR="006B3C9A">
        <w:t xml:space="preserve">85 </w:t>
      </w:r>
      <w:r>
        <w:t>представили свои НСПДСБ к 14 марта 2018 года, и таким образом общее число Сторон достигло 154</w:t>
      </w:r>
      <w:r w:rsidR="008C3030">
        <w:rPr>
          <w:rStyle w:val="FootnoteReference"/>
          <w:kern w:val="22"/>
          <w:szCs w:val="22"/>
        </w:rPr>
        <w:footnoteReference w:id="5"/>
      </w:r>
      <w:r>
        <w:t xml:space="preserve"> (список Сторон приведен в приложении II)</w:t>
      </w:r>
      <w:r w:rsidR="00F94DE8" w:rsidRPr="001133C5">
        <w:rPr>
          <w:rStyle w:val="FootnoteReference"/>
          <w:kern w:val="22"/>
          <w:szCs w:val="22"/>
        </w:rPr>
        <w:footnoteReference w:id="6"/>
      </w:r>
      <w:r>
        <w:t>. Это составляет практически 80</w:t>
      </w:r>
      <w:r w:rsidR="005A702D">
        <w:t xml:space="preserve"> </w:t>
      </w:r>
      <w:r>
        <w:t>% от общего числа Сторон Конвенции.</w:t>
      </w:r>
    </w:p>
    <w:p w14:paraId="08C0E162" w14:textId="0BD95B40" w:rsidR="009E4766" w:rsidRPr="00003917" w:rsidRDefault="000E0202"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документе, посвященном обновлению и анализу национальных стратегий и планов действий по сохранению биоразнообразия (CBD/SBI/2/2/Add.1), приводится резюме результатов пересмотра и осуществления НСПДСБ и национальных целевых задач и анализируется содержание НСПДСБ, принятых после Нагойского совещания, которые были представлены к 14 марта 2018 года. Данный анализ основан на критериях, приведенных в решении </w:t>
      </w:r>
      <w:hyperlink r:id="rId25" w:history="1">
        <w:r>
          <w:rPr>
            <w:rStyle w:val="Hyperlink"/>
            <w:sz w:val="22"/>
            <w:szCs w:val="22"/>
          </w:rPr>
          <w:t>IX/8</w:t>
        </w:r>
      </w:hyperlink>
      <w:r>
        <w:t>, в котором излагаются подробные руководящие указания касательно процесса разработки, содержания и компонентов НСПДСБ. В документе указывается, что во многих из пересмотренных НСПДСБ отмеча</w:t>
      </w:r>
      <w:r w:rsidR="00FF7062">
        <w:t>е</w:t>
      </w:r>
      <w:r>
        <w:t>тся существенный прогресс в сравнении с предыдущими НСПДСБ, как подчерк</w:t>
      </w:r>
      <w:r w:rsidR="00115288">
        <w:t>ивалось</w:t>
      </w:r>
      <w:r>
        <w:t xml:space="preserve"> в глобальной оценке, проведенной в 2010 году</w:t>
      </w:r>
      <w:r w:rsidR="00894673" w:rsidRPr="00003917">
        <w:rPr>
          <w:kern w:val="22"/>
          <w:szCs w:val="22"/>
          <w:vertAlign w:val="superscript"/>
        </w:rPr>
        <w:footnoteReference w:id="7"/>
      </w:r>
      <w:r>
        <w:t>, в плане их правового статуса, использования результатов оценок предварявших их документов, привлечения других государственных министерств и прочих критериев.</w:t>
      </w:r>
    </w:p>
    <w:p w14:paraId="08C0E163" w14:textId="0474C100" w:rsidR="009E4766" w:rsidRPr="003362B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В анализ НСПДСБ включен также раздел об использовании Сторонами пересмотренных НСПДСБ в качестве политических инструментов в соответствии с обязательством, взятым в целевой задаче 17 по сохранению и устойчивому использованию биоразнообразия, принятой в Айти. В его выводах говорится, что 49 пересмотренных НСПДСБ были приняты в качестве общегосударственных инструментов, тогда как другие шесть НСПДСБ</w:t>
      </w:r>
      <w:r w:rsidRPr="001838BA">
        <w:rPr>
          <w:kern w:val="22"/>
          <w:szCs w:val="22"/>
          <w:vertAlign w:val="superscript"/>
        </w:rPr>
        <w:footnoteReference w:id="8"/>
      </w:r>
      <w:r>
        <w:t xml:space="preserve"> были приняты в качестве инструментов, относящихся к сектору окружающей среды. Другие 15 стран заявили о своем намерении принять НСПДСБ в качестве политического документа. При этом большинство остальных стран (83 Стороны, что составляет 54 %) представили недостаточно информации для выяснения, были ли НСПДСБ приняты в качестве политического инструмента.</w:t>
      </w:r>
    </w:p>
    <w:p w14:paraId="08C0E164" w14:textId="616A0C95"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Результаты анализа также показывают, что в немногих пересмотренных НСПДСБ содержатся стратегии мобилизации ресурсов (23 Стороны), коммуникационные стратегии и стратегии информирования общественности (32 Стороны) или стратегии по развитию потенциала (18 Сторон), включение которых предлагается в руководящих указаниях по разработке НСПДСБ. Кроме того, только в </w:t>
      </w:r>
      <w:r w:rsidR="00EC3169">
        <w:t>нескольких</w:t>
      </w:r>
      <w:r>
        <w:t xml:space="preserve"> НСПДСБ наглядно показано, что тематика биоразнообразия </w:t>
      </w:r>
      <w:r w:rsidR="00CA7C8B">
        <w:t>в значительной степени</w:t>
      </w:r>
      <w:r>
        <w:t xml:space="preserve"> учитывается в межсекторальных планах и политик</w:t>
      </w:r>
      <w:r w:rsidR="00093350">
        <w:t>е</w:t>
      </w:r>
      <w:r>
        <w:t xml:space="preserve">, </w:t>
      </w:r>
      <w:r w:rsidR="00093350">
        <w:t>стратегиях</w:t>
      </w:r>
      <w:r>
        <w:t xml:space="preserve"> искоренения нищеты или даже в планах </w:t>
      </w:r>
      <w:r w:rsidR="00AF22CC">
        <w:t xml:space="preserve">в области </w:t>
      </w:r>
      <w:r>
        <w:t>устойчивого развития. В пересмотренных НСПДСБ содержится мало фактических сведений об использовании оценочных исследований в целях стимулирования актуализации тематики в странах.</w:t>
      </w:r>
    </w:p>
    <w:p w14:paraId="08C0E165" w14:textId="2A6674C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Данные выводы существенно расходятся с устремлениями, изложенными в пересмотренных НСПДСБ. Многие Стороны поставили целевые задачи или иным образом </w:t>
      </w:r>
      <w:r w:rsidR="002D199A">
        <w:t>обозначили</w:t>
      </w:r>
      <w:r>
        <w:t xml:space="preserve"> свое намерение </w:t>
      </w:r>
      <w:r w:rsidR="002D199A">
        <w:t>принимать</w:t>
      </w:r>
      <w:r>
        <w:t xml:space="preserve"> меры по мобилизации ресурсов, стоимостной оценке, учреждению национальных механизмов посредничества, коммуникации и </w:t>
      </w:r>
      <w:r w:rsidR="00E41833">
        <w:t>повышени</w:t>
      </w:r>
      <w:r w:rsidR="0093709D">
        <w:t xml:space="preserve">ю </w:t>
      </w:r>
      <w:r w:rsidR="0093709D">
        <w:lastRenderedPageBreak/>
        <w:t>информированности</w:t>
      </w:r>
      <w:r>
        <w:t xml:space="preserve"> общественности, развитию потенциала, разработке субнациональных планов по сохранению и устойчивому использованию биоразнообразия и по другим темам.</w:t>
      </w:r>
    </w:p>
    <w:p w14:paraId="08C0E166" w14:textId="2B193A95"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большинстве НСПДСБ, разработанных или пересмотренных в период после 10-го совещания Конференции Сторон, содержатся целевые задачи, связанные с целевыми задачами по сохранению и устойчивому использованию биоразнообразия, принятыми в Айти, хотя некоторые целевые задачи, принятые в Айти, такие как целевые задачи 3, 6, 10, 14, 17 и 18, во многих НСПДСБ (свыше 30 %) не сопровождаются соответствующими национальными целевыми задачами или обязательствами. По целевым задачам 1, 9, 16, 19 и 20 по сохранению и устойчивому использованию биоразнообразия, принятым в Айти, принято самое большое число во многом аналогичных национальных целевых задач или обязательств. Однако даже в этих случаях число НСПДСБ с целевыми задачами, сфера охвата и </w:t>
      </w:r>
      <w:r w:rsidR="00330CEE">
        <w:t xml:space="preserve">целевой </w:t>
      </w:r>
      <w:r>
        <w:t xml:space="preserve">уровень которых </w:t>
      </w:r>
      <w:r w:rsidR="00561F04">
        <w:t>сопоставимы</w:t>
      </w:r>
      <w:r>
        <w:t xml:space="preserve"> с целевыми задачами по сохранению и устойчивому использованию биоразнообразия, принятыми в Айти, редко превышает 20 %. В целом уровень большинства национальных целевых задач и/или обязательств, приведенных в НСПДСБ, ниже уровня целевых задач, принятых в Айти, или не охватывает всех элементов целевой задачи, принятой в Айти. В большинстве случаев национальные целевые задачи, поставленные на сегодняшний день, носят намного более общий характер, чем целевые задачи, принятые в Айти. По мере поступления большего числа НСПДСБ </w:t>
      </w:r>
      <w:r w:rsidR="00C74351">
        <w:t>эта</w:t>
      </w:r>
      <w:r>
        <w:t xml:space="preserve"> общая картина может измениться.</w:t>
      </w:r>
    </w:p>
    <w:p w14:paraId="08C0E167" w14:textId="4193913E"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 xml:space="preserve">Многие страны поставили целевые задачи или взяли обязательства </w:t>
      </w:r>
      <w:r w:rsidR="00B032EE">
        <w:t>на уровне</w:t>
      </w:r>
      <w:r>
        <w:t xml:space="preserve"> других международных процессов </w:t>
      </w:r>
      <w:r w:rsidR="002F2371">
        <w:t>вне</w:t>
      </w:r>
      <w:r>
        <w:t xml:space="preserve"> рам</w:t>
      </w:r>
      <w:r w:rsidR="002F2371">
        <w:t>ок</w:t>
      </w:r>
      <w:r>
        <w:t xml:space="preserve"> Конвенции о биологическом разнообразии, и многие из данных целевых задач и обязательств могут быть актуальны для целевых задач по сохранению и устойчивому использованию биоразнообразия, принятых в Айти. Например, в рамки предполагаем</w:t>
      </w:r>
      <w:r w:rsidR="00D2452F">
        <w:t>ого</w:t>
      </w:r>
      <w:r>
        <w:t xml:space="preserve"> определяем</w:t>
      </w:r>
      <w:r w:rsidR="00D2452F">
        <w:t>ого</w:t>
      </w:r>
      <w:r>
        <w:t xml:space="preserve"> на национальном уровне вклад</w:t>
      </w:r>
      <w:r w:rsidR="00D2452F">
        <w:t>а</w:t>
      </w:r>
      <w:r>
        <w:t xml:space="preserve"> по Парижскому соглашению </w:t>
      </w:r>
      <w:r w:rsidR="005429FF">
        <w:t>об изменении</w:t>
      </w:r>
      <w:r w:rsidR="00CA4095">
        <w:t xml:space="preserve"> климат</w:t>
      </w:r>
      <w:r w:rsidR="005429FF">
        <w:t>а</w:t>
      </w:r>
      <w:r w:rsidR="00A06591">
        <w:rPr>
          <w:rStyle w:val="FootnoteReference"/>
          <w:kern w:val="22"/>
          <w:szCs w:val="22"/>
        </w:rPr>
        <w:footnoteReference w:id="9"/>
      </w:r>
      <w:r>
        <w:t xml:space="preserve"> многие страны включили целевые задачи по сокращению обезлесения или стимулированию восстановления экосистем, связанные соответственно с целевыми задачами 5 и 15 по сохранению и устойчивому использованию биоразнообразия, принятыми в Айти. Однако такие целевые задачи не всегда отражены в обновленных НСПДСБ. </w:t>
      </w:r>
      <w:r w:rsidR="0020596E">
        <w:t>Таким образом</w:t>
      </w:r>
      <w:r>
        <w:t xml:space="preserve">, </w:t>
      </w:r>
      <w:r w:rsidR="009254BD">
        <w:t>при определении</w:t>
      </w:r>
      <w:r>
        <w:t xml:space="preserve"> или пересм</w:t>
      </w:r>
      <w:r w:rsidR="009254BD">
        <w:t>отре</w:t>
      </w:r>
      <w:r>
        <w:t xml:space="preserve"> свои</w:t>
      </w:r>
      <w:r w:rsidR="00F50B8F">
        <w:t>х</w:t>
      </w:r>
      <w:r>
        <w:t xml:space="preserve"> национальны</w:t>
      </w:r>
      <w:r w:rsidR="00F50B8F">
        <w:t>х</w:t>
      </w:r>
      <w:r>
        <w:t xml:space="preserve"> целевы</w:t>
      </w:r>
      <w:r w:rsidR="00F50B8F">
        <w:t>х</w:t>
      </w:r>
      <w:r>
        <w:t xml:space="preserve"> задач по Конвенции у </w:t>
      </w:r>
      <w:r w:rsidR="009254BD">
        <w:t>Сторон</w:t>
      </w:r>
      <w:r>
        <w:t xml:space="preserve"> </w:t>
      </w:r>
      <w:r w:rsidR="009254BD">
        <w:t>есть</w:t>
      </w:r>
      <w:r>
        <w:t xml:space="preserve"> возможность принимать в расчет соответствующие целевые задачи в рамках других процессов.</w:t>
      </w:r>
    </w:p>
    <w:p w14:paraId="08C0E168" w14:textId="5A6E25AA" w:rsidR="009E4766" w:rsidRPr="001133C5" w:rsidRDefault="00A06591"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X/2 Конференция Сторон настоятельно призывала Стороны разработать национальные и региональные целевые задачи </w:t>
      </w:r>
      <w:r w:rsidR="002361E4">
        <w:t>для</w:t>
      </w:r>
      <w:r>
        <w:t xml:space="preserve"> внесения вклада в коллективные глобальные усилия по выполнению глобальных целевых задач по сохранению и устойчивому использованию биоразнообразия, принятых в Айти. Если в НСПДСБ, которые еще предстоит окончательно </w:t>
      </w:r>
      <w:r w:rsidR="00496570">
        <w:t>доработать</w:t>
      </w:r>
      <w:r>
        <w:t>, будет прослеживаться та же тенденция, что в уже разработанных НСПДСБ, то маловероятно, что совокупность дополнительных национальных обязательств будет соответствовать сфере охвата и уровню, заложенных в глобальных целевых задачах, принятых в Айти. Более подробная информация о достигнутых результатах разработки, пересмотра и обновления НСПДСБ приведена в документах CBD/SBI/2/2/Add.1 и Add.2.</w:t>
      </w:r>
    </w:p>
    <w:p w14:paraId="08C0E169" w14:textId="77777777"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szCs w:val="22"/>
        </w:rPr>
        <w:t>Национальные доклады</w:t>
      </w:r>
    </w:p>
    <w:p w14:paraId="08C0E16A" w14:textId="31F93B43"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При утверждении Стратегического плана в области сохранения и устойчивого использования биоразнообразия на 2011–2020 годы</w:t>
      </w:r>
      <w:r w:rsidRPr="001133C5">
        <w:rPr>
          <w:rStyle w:val="FootnoteReference"/>
          <w:rFonts w:eastAsia="Malgun Gothic"/>
          <w:kern w:val="22"/>
          <w:szCs w:val="22"/>
        </w:rPr>
        <w:footnoteReference w:id="10"/>
      </w:r>
      <w:r>
        <w:t xml:space="preserve"> Конференция Сторон отметила необходи</w:t>
      </w:r>
      <w:r w:rsidR="00CC7833">
        <w:t>-</w:t>
      </w:r>
      <w:r>
        <w:t xml:space="preserve">мость контроля за его осуществлением. Национальные доклады являются основным источником информации для такой деятельности. В решении </w:t>
      </w:r>
      <w:hyperlink r:id="rId26" w:history="1">
        <w:r>
          <w:rPr>
            <w:rStyle w:val="Hyperlink"/>
            <w:sz w:val="22"/>
          </w:rPr>
          <w:t>X/10</w:t>
        </w:r>
      </w:hyperlink>
      <w:r>
        <w:t xml:space="preserve"> Конференция Сторон предложила Сторонам представить свой пятый национальный доклад к 31 марта 2014 года. К 14 марта 2018 года был </w:t>
      </w:r>
      <w:r>
        <w:lastRenderedPageBreak/>
        <w:t>получен 191 пятый национальный доклад (т. е. доклады всех Сторон за исключением Багамских островов, Габона, Исландии, Лесото и Ливии, или 97 % Сторон)</w:t>
      </w:r>
      <w:r w:rsidR="001C5114">
        <w:rPr>
          <w:rStyle w:val="FootnoteReference"/>
          <w:rFonts w:eastAsia="Malgun Gothic"/>
          <w:kern w:val="22"/>
          <w:szCs w:val="22"/>
        </w:rPr>
        <w:footnoteReference w:id="11"/>
      </w:r>
      <w:r>
        <w:t>.</w:t>
      </w:r>
    </w:p>
    <w:p w14:paraId="08C0E16B" w14:textId="6087021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Информация, приведенная в этих национальных докладах о тенденциях</w:t>
      </w:r>
      <w:r w:rsidR="00A946FD">
        <w:t>,</w:t>
      </w:r>
      <w:r>
        <w:t xml:space="preserve"> состоянии и нагрузках на биоразнообразие, а также информация о различных мерах, которые, как сообщили страны, были приняты или будут приняты в ближайшем будущем, использовались для определения общих результатов выполнения целевых задач по сохранению и устойчивому использованию биоразнообразия, принятых в Айти, и Стратегического плана в области сохранения и устойчивого использования биоразнообразия на 2011-2020 годы. Результаты оценки информации, приведенной в национальных докладах, говорят о том, что большинство Сторон достигло прогресса в выполнении целевых задач, принятых в Айти, но что его темпы недостаточны для выполнения целевых задач в установленные сроки, если не будут приняты дополнительные меры.</w:t>
      </w:r>
    </w:p>
    <w:p w14:paraId="08C0E16C" w14:textId="3A2F3DA1"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По всем целевым задачам по сохранению и устойчивому использованию биоразнообразия, принятым в Айти, информация, приведенная в одной трети – двух третях национальных докладов, говорит о том, что в выполнении той или иной задачи достиг</w:t>
      </w:r>
      <w:r w:rsidR="003C12C3">
        <w:t>аются определенные результаты</w:t>
      </w:r>
      <w:r>
        <w:t>, но недостаточными темпами. Кроме того, по всем целевым задачам по сохранению и устойчивому использованию биоразнообразия, принятым в Айти, информация, приведенная в 7</w:t>
      </w:r>
      <w:r w:rsidR="00E769E1">
        <w:t xml:space="preserve"> </w:t>
      </w:r>
      <w:r w:rsidR="00E55884">
        <w:t xml:space="preserve">– </w:t>
      </w:r>
      <w:r>
        <w:t xml:space="preserve">43 % национальных докладов, говорит о том, что либо не было </w:t>
      </w:r>
      <w:r w:rsidR="009C2F8D">
        <w:t>достиг</w:t>
      </w:r>
      <w:r w:rsidR="008E5A27">
        <w:t>нуто</w:t>
      </w:r>
      <w:r>
        <w:t xml:space="preserve"> существенных изменений, либо страна отклоняется от курса на выполнение той или иной задачи. Число оценок, в которых отмечен курс на выполнение или на перевыполнение определенной целевой задачи по сохранению и устойчивому использованию биоразнообразия, принятой в Айти, варьируется от 3 % до 29 % и зависит от целевой задачи. В целом, оценка информации в национальных докладах показывает, что от 63 до 86 % Сторон не </w:t>
      </w:r>
      <w:r w:rsidR="002B5BF5">
        <w:t>соблюдают</w:t>
      </w:r>
      <w:r>
        <w:t xml:space="preserve"> темп</w:t>
      </w:r>
      <w:r w:rsidR="002B5BF5">
        <w:t>ы</w:t>
      </w:r>
      <w:r>
        <w:t xml:space="preserve"> выполнения конкретной целевой задачи по сохранению и устойчивому использованию биоразнообразия, принятой в Айти. Результаты данной оценки соответствуют результатам, приведенным в четвертом издании </w:t>
      </w:r>
      <w:r>
        <w:rPr>
          <w:i/>
          <w:iCs/>
        </w:rPr>
        <w:t>Глобальной перспективы в области биоразнообразия</w:t>
      </w:r>
      <w:r>
        <w:t xml:space="preserve">, в которой на основе оценки 64-х пятых национальных докладов сделан вывод о том, что от 2 % до 42 % Сторон смогут выполнить или перевыполнить ту или иную целевую задачу по сохранению и устойчивому использованию биоразнообразия, принятую в Айти. Более подробная информация о результатах выполнения целевых задач по сохранению и устойчивому использованию биоразнообразия, принятых в Айти, </w:t>
      </w:r>
      <w:r w:rsidR="009C0A3E">
        <w:t>представленных</w:t>
      </w:r>
      <w:r>
        <w:t xml:space="preserve"> в национальных докладах, приводится в документе CBD/SBI/2/2/Add.2.</w:t>
      </w:r>
    </w:p>
    <w:p w14:paraId="08C0E16D" w14:textId="7040167E" w:rsidR="009E4766" w:rsidRPr="001133C5" w:rsidRDefault="00443C3B"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t>Срок выполнения т</w:t>
      </w:r>
      <w:r w:rsidR="009E4766">
        <w:t>р</w:t>
      </w:r>
      <w:r>
        <w:t>ех</w:t>
      </w:r>
      <w:r w:rsidR="009E4766">
        <w:t xml:space="preserve"> целевы</w:t>
      </w:r>
      <w:r>
        <w:t>х</w:t>
      </w:r>
      <w:r w:rsidR="009E4766">
        <w:t xml:space="preserve"> задач по сохранению и устойчивому использованию биоразнообразия, принятые в Айти, установлен на 2015 год. Как было ранее отмечено в решении XII/1, целевая задача 10 по сохранению и устойчивому использованию биоразнообразия, принятая в Айти (К 2015 году сведены к минимуму многочисленные антропогенные нагрузки на коралловые рифы и другие уязвимые экосистемы, на которые воздействует изменение климата или подкисление океанов, в целях поддержания их целостности и функционирования), не выполнена, хотя она остается </w:t>
      </w:r>
      <w:r w:rsidR="005858A6">
        <w:t>актуальной</w:t>
      </w:r>
      <w:r w:rsidR="009E4766">
        <w:t xml:space="preserve">. В целях ускорения прогресса Конференция Сторон в решении </w:t>
      </w:r>
      <w:hyperlink r:id="rId27" w:history="1">
        <w:r w:rsidR="009E4766">
          <w:rPr>
            <w:rStyle w:val="Hyperlink"/>
            <w:sz w:val="22"/>
          </w:rPr>
          <w:t>XII/23</w:t>
        </w:r>
      </w:hyperlink>
      <w:r w:rsidR="00FD3088" w:rsidRPr="00FD3088">
        <w:rPr>
          <w:rStyle w:val="Hyperlink"/>
          <w:sz w:val="22"/>
          <w:u w:val="none"/>
        </w:rPr>
        <w:t xml:space="preserve"> </w:t>
      </w:r>
      <w:r w:rsidR="00E4748E">
        <w:t xml:space="preserve">утвердила </w:t>
      </w:r>
      <w:r w:rsidR="009E4766">
        <w:t>приоритетные меры по выполнению целевой задачи 10 по сохранению и устойчивому использованию биоразнообразия, принятой в Айти, касательно коралловых рифов и тесно связанных с ними экосистем.</w:t>
      </w:r>
    </w:p>
    <w:p w14:paraId="08C0E16E" w14:textId="23567228" w:rsidR="009E4766" w:rsidRPr="005F5109" w:rsidRDefault="009E4766" w:rsidP="003A4784">
      <w:pPr>
        <w:pStyle w:val="Para1"/>
        <w:tabs>
          <w:tab w:val="clear" w:pos="360"/>
          <w:tab w:val="num" w:pos="709"/>
        </w:tabs>
        <w:rPr>
          <w:rFonts w:eastAsia="Malgun Gothic"/>
        </w:rPr>
      </w:pPr>
      <w:r>
        <w:t xml:space="preserve">Успешно выполняется целевая задача 16 по сохранению и устойчивому использованию биоразнообразия, принятая в Айти (К 2015 году Нагойский протокол регулирования доступа к генетическим ресурсам и совместного использования на справедливой и равной основе выгод от их применения вступил в силу и функционирует в соответствии с национальным законодательством). Со времени принятия Нагойского протокола и Стратегического плана в области сохранения и устойчивого использования биоразнообразия </w:t>
      </w:r>
      <w:r w:rsidR="008152EF">
        <w:t>в 2010</w:t>
      </w:r>
      <w:r>
        <w:t xml:space="preserve"> год</w:t>
      </w:r>
      <w:r w:rsidR="008152EF">
        <w:t>у</w:t>
      </w:r>
      <w:r>
        <w:t xml:space="preserve"> Стороны Конвенции предприняли целый ряд инициатив для выполнения целевой задачи 16 и добиваются прогресса в ратификации и введении в действие Протокола. Вступление в силу Протокола 12 </w:t>
      </w:r>
      <w:r>
        <w:lastRenderedPageBreak/>
        <w:t xml:space="preserve">октября 2014 года ознаменовало собой выполнение первой части целевой задачи 16, и многие Стороны </w:t>
      </w:r>
      <w:r w:rsidR="00845221">
        <w:t xml:space="preserve">в настоящее время </w:t>
      </w:r>
      <w:r>
        <w:t xml:space="preserve">проводят пересмотр </w:t>
      </w:r>
      <w:r w:rsidR="009E13F1">
        <w:t>действующих</w:t>
      </w:r>
      <w:r>
        <w:t xml:space="preserve"> мер регулирования доступа к генетическим ресурсам и совместного использования выгод (ДГРСИВ) или разрабатывают новые для осуществления Протокола. Совершенно очевидно, что Стороны все еще находятся в процессе внедрения институциональных структур для осуществления Протокола и публикуют необходимую информацию в </w:t>
      </w:r>
      <w:hyperlink r:id="rId28" w:history="1">
        <w:r>
          <w:rPr>
            <w:rStyle w:val="Hyperlink"/>
            <w:sz w:val="22"/>
            <w:szCs w:val="22"/>
          </w:rPr>
          <w:t>Механизме посредничества для регулирования ДГРСИВ</w:t>
        </w:r>
      </w:hyperlink>
      <w:r>
        <w:t xml:space="preserve">. Несмотря на достигнутый прогресс, введение Протокола в действие, как </w:t>
      </w:r>
      <w:r w:rsidR="005632CF">
        <w:t>предполагается</w:t>
      </w:r>
      <w:r>
        <w:t xml:space="preserve"> во второй части целевой задачи 16, </w:t>
      </w:r>
      <w:r w:rsidR="00D941AA">
        <w:t>в полной мере</w:t>
      </w:r>
      <w:r>
        <w:t xml:space="preserve"> еще не обеспечено. Дополнительная информация по данному вопросу приведена в документе CBD/SBI/2/INF/3.</w:t>
      </w:r>
    </w:p>
    <w:p w14:paraId="08C0E16F" w14:textId="20FC4379"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t xml:space="preserve">Согласно информации, содержащейся в промежуточных национальных докладах, а также в Механизме посредничества для регулирования ДГРСИВ, в 81 стране (65 Сторон Нагойского протокола и 16 стран, не являющихся Сторонами) приняты меры по регулированию ДГРСИВ, 46 из них в настоящее время пересматривают </w:t>
      </w:r>
      <w:r w:rsidR="00EE0A38">
        <w:t>действующие</w:t>
      </w:r>
      <w:r>
        <w:t xml:space="preserve"> или разрабатывают новые меры или планируют сделать это. В семи странах отсутствуют меры регулирования ДГРСИВ, однако они находятся в процессе разработки или планируются к разработке. В целом 63 стран</w:t>
      </w:r>
      <w:r w:rsidR="00C26F93">
        <w:t>ы</w:t>
      </w:r>
      <w:r>
        <w:t xml:space="preserve"> назначили компетентные национальные органы и 30 стран создали контрольные пункты. </w:t>
      </w:r>
    </w:p>
    <w:p w14:paraId="08C0E170" w14:textId="1159CECC" w:rsidR="009E4766" w:rsidRPr="001133C5" w:rsidRDefault="006E5C03" w:rsidP="00055105">
      <w:pPr>
        <w:pStyle w:val="Para1"/>
        <w:tabs>
          <w:tab w:val="clear" w:pos="360"/>
          <w:tab w:val="num" w:pos="709"/>
        </w:tabs>
        <w:rPr>
          <w:rFonts w:eastAsia="Malgun Gothic"/>
          <w:kern w:val="22"/>
        </w:rPr>
      </w:pPr>
      <w:r>
        <w:t xml:space="preserve"> В том, что касается</w:t>
      </w:r>
      <w:r w:rsidR="009E4766">
        <w:t xml:space="preserve"> целевой задач</w:t>
      </w:r>
      <w:r w:rsidR="00EF3951">
        <w:t>и</w:t>
      </w:r>
      <w:r w:rsidR="009E4766">
        <w:t xml:space="preserve"> 17 по сохранению и устойчивому использованию биоразнообразия, принятой в Айти (К 2015 году каждая Сторона разработала и приняла в качестве политического инструмента эффективную совместную и обновленную </w:t>
      </w:r>
      <w:r w:rsidR="00822097" w:rsidRPr="00822097">
        <w:rPr>
          <w:color w:val="000000"/>
          <w:szCs w:val="22"/>
        </w:rPr>
        <w:t xml:space="preserve">национальную стратегию и план действий по сохранению биоразнообразия </w:t>
      </w:r>
      <w:r w:rsidR="009E4766">
        <w:t>и приступила к их реализации), примерно 67 % Сторон разработало или пересмотрело НСПДСБ со времени принятия Стратегического плана. Кроме того, менее половины и</w:t>
      </w:r>
      <w:r w:rsidR="00A13979">
        <w:t>з</w:t>
      </w:r>
      <w:r w:rsidR="009E4766">
        <w:t xml:space="preserve"> них четко приняли свои НСПДСБ в качестве общегосударственных инструментов. Учитывая это, становится </w:t>
      </w:r>
      <w:r w:rsidR="006D168A">
        <w:t>очевидно</w:t>
      </w:r>
      <w:r w:rsidR="009E4766">
        <w:t xml:space="preserve">, что целевая задача 17 по сохранению и устойчивому использованию биоразнообразия, принятая в Айти, крайний срок выполнения которой </w:t>
      </w:r>
      <w:r w:rsidR="00BC021E">
        <w:t xml:space="preserve">был </w:t>
      </w:r>
      <w:r w:rsidR="009E4766">
        <w:t xml:space="preserve">намечен на 2015 год, не была выполнена. Данная оценка </w:t>
      </w:r>
      <w:r w:rsidR="00055105">
        <w:t>расходится с</w:t>
      </w:r>
      <w:r w:rsidR="009E4766">
        <w:t xml:space="preserve"> </w:t>
      </w:r>
      <w:r w:rsidR="004953B8">
        <w:t>вывод</w:t>
      </w:r>
      <w:r w:rsidR="00055105">
        <w:t>ами</w:t>
      </w:r>
      <w:r w:rsidR="0070790F">
        <w:t xml:space="preserve"> </w:t>
      </w:r>
      <w:r w:rsidR="009E4766">
        <w:t>четверто</w:t>
      </w:r>
      <w:r w:rsidR="0070790F">
        <w:t>го</w:t>
      </w:r>
      <w:r w:rsidR="009E4766">
        <w:t xml:space="preserve"> издани</w:t>
      </w:r>
      <w:r w:rsidR="0070790F">
        <w:t>я</w:t>
      </w:r>
      <w:r w:rsidR="009E4766">
        <w:t xml:space="preserve"> Г</w:t>
      </w:r>
      <w:r w:rsidR="009E4766">
        <w:rPr>
          <w:i/>
          <w:iCs/>
        </w:rPr>
        <w:t>лобальной перспективы в области биоразнообразия</w:t>
      </w:r>
      <w:r w:rsidR="009E4766">
        <w:t>, в которо</w:t>
      </w:r>
      <w:r w:rsidR="0070790F">
        <w:t>м</w:t>
      </w:r>
      <w:r w:rsidR="009E4766">
        <w:t xml:space="preserve"> </w:t>
      </w:r>
      <w:r w:rsidR="00837C50">
        <w:t xml:space="preserve">на основе информации, имевшейся на момент его подготовки, </w:t>
      </w:r>
      <w:r w:rsidR="009E4766">
        <w:t xml:space="preserve">отмечался курс на выполнение первой части целевой задачи 17 по сохранению и устойчивому использованию биоразнообразия, принятой в Айти (каждая Сторона разработала НСПДСБ). Доклад о результатах работы и обновленная методология по проведению добровольного коллегиального обзора НСПДСБ приведены в документе </w:t>
      </w:r>
      <w:hyperlink r:id="rId29" w:history="1">
        <w:r w:rsidR="009E4766">
          <w:rPr>
            <w:rStyle w:val="Hyperlink"/>
            <w:sz w:val="22"/>
            <w:szCs w:val="22"/>
          </w:rPr>
          <w:t>UNEP/CBD/COP/13/19</w:t>
        </w:r>
      </w:hyperlink>
      <w:r w:rsidR="009E4766">
        <w:t>.</w:t>
      </w:r>
    </w:p>
    <w:p w14:paraId="08C0E171" w14:textId="77777777" w:rsidR="009E4766" w:rsidRPr="00EF572C"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sidRPr="00EF572C">
        <w:rPr>
          <w:b/>
          <w:bCs/>
          <w:snapToGrid w:val="0"/>
          <w:szCs w:val="22"/>
        </w:rPr>
        <w:t>Результаты выполнения Плана действий по обеспечению гендерного равенства</w:t>
      </w:r>
    </w:p>
    <w:p w14:paraId="08C0E172" w14:textId="088A33B1" w:rsidR="009E4766" w:rsidRPr="00EF572C"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rsidRPr="00EF572C">
        <w:t xml:space="preserve">В решении </w:t>
      </w:r>
      <w:hyperlink r:id="rId30" w:history="1">
        <w:r w:rsidRPr="00EF572C">
          <w:rPr>
            <w:rStyle w:val="Hyperlink"/>
            <w:color w:val="auto"/>
            <w:sz w:val="22"/>
            <w:szCs w:val="22"/>
          </w:rPr>
          <w:t>XII/7</w:t>
        </w:r>
      </w:hyperlink>
      <w:r w:rsidRPr="00EF572C">
        <w:t xml:space="preserve"> Конференция Сторон приветствовала План действий по обеспечению гендерного равенства на 2015-2020 годы в рамках Конвенции о биологическом разнообразии, поручила Исполнительному секретарю оказывать содействие его осуществлению и предложила Сторонам представить доклад о принятых мерах в этом отношении. В число стратегических целей Плана входит: а) учет гендерн</w:t>
      </w:r>
      <w:r w:rsidR="00E779C4" w:rsidRPr="00EF572C">
        <w:t>ых</w:t>
      </w:r>
      <w:r w:rsidRPr="00EF572C">
        <w:t xml:space="preserve"> </w:t>
      </w:r>
      <w:r w:rsidR="00E779C4" w:rsidRPr="00EF572C">
        <w:t>аспектов</w:t>
      </w:r>
      <w:r w:rsidRPr="00EF572C">
        <w:t xml:space="preserve"> при осуществлении Конвенции и</w:t>
      </w:r>
      <w:r w:rsidR="00E779C4" w:rsidRPr="00EF572C">
        <w:t xml:space="preserve"> в</w:t>
      </w:r>
      <w:r w:rsidRPr="00EF572C">
        <w:t xml:space="preserve"> соответствующей работе Сторон и секретариата; в) содействие обеспечению гендерного равенства в процессе достижения целей Конвенции, </w:t>
      </w:r>
      <w:r w:rsidR="007E3F93" w:rsidRPr="00EF572C">
        <w:t>С</w:t>
      </w:r>
      <w:r w:rsidRPr="00EF572C">
        <w:t>тратегического плана по биоразнообразию на 2011-2020 годы и целевых задач по сохранению и устойчивому использованию биоразнообразия, принятых в Айти; с) демонстрация преимущества учета гендерной проблематики в процессе достижения целей Конвенции; и d) повышение эффективности всей работы в рамках Конвенции. В основе настоящего обзора результат</w:t>
      </w:r>
      <w:r w:rsidR="00BD3105" w:rsidRPr="00EF572C">
        <w:t>ов</w:t>
      </w:r>
      <w:r w:rsidRPr="00EF572C">
        <w:t xml:space="preserve"> выполнения Плана действий по обеспечению гендерного равенства на 2015-2020 годы лежит анализ мер, принятых Сторонами, субъектами деятельности и секретариатом в свете этих стратегических целей. Результаты достижения этих целей и конкретные примеры принятых мер подробно изложены в добавлении к настоящему документу (CBD/SBI/2/2/Add.3).</w:t>
      </w:r>
    </w:p>
    <w:p w14:paraId="08C0E173" w14:textId="4F0D7335" w:rsidR="009E4766" w:rsidRPr="00EF572C" w:rsidRDefault="006E0D78"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t>Н</w:t>
      </w:r>
      <w:r w:rsidRPr="00EF572C">
        <w:t>екоторые гендерные аспекты или женск</w:t>
      </w:r>
      <w:r w:rsidR="00BB3DE1">
        <w:t>ая</w:t>
      </w:r>
      <w:r w:rsidRPr="00EF572C">
        <w:t xml:space="preserve"> проблематик</w:t>
      </w:r>
      <w:r w:rsidR="00BB3DE1">
        <w:t>а рассматрива</w:t>
      </w:r>
      <w:r w:rsidR="00DE3DE5">
        <w:t>ю</w:t>
      </w:r>
      <w:r w:rsidR="00BB3DE1">
        <w:t>тся</w:t>
      </w:r>
      <w:r w:rsidRPr="00EF572C">
        <w:t xml:space="preserve"> </w:t>
      </w:r>
      <w:r w:rsidR="00BB3DE1">
        <w:t>менее чем в</w:t>
      </w:r>
      <w:r w:rsidR="009E4766" w:rsidRPr="00EF572C">
        <w:t xml:space="preserve"> половин</w:t>
      </w:r>
      <w:r w:rsidR="00BB3DE1">
        <w:t>е</w:t>
      </w:r>
      <w:r w:rsidR="009E4766" w:rsidRPr="00EF572C">
        <w:t xml:space="preserve"> НСПДСБ, разработанных после вступления в силу Нагойского протокола, треть планов рассматривают гендерные вопросы в качестве части национальных целевых задач или мер, </w:t>
      </w:r>
      <w:r w:rsidR="009E4766" w:rsidRPr="00EF572C">
        <w:lastRenderedPageBreak/>
        <w:t>связанных с одной из национальных целевых задач. Большинство этих мер направлено на повышение осведомленности женщин по вопросам сохранения биоразнообразия, а также на расширение участия женщин в сохранении биоразнообразия. Приблизительно в кажд</w:t>
      </w:r>
      <w:r w:rsidR="00236DB1" w:rsidRPr="00EF572C">
        <w:t>ых</w:t>
      </w:r>
      <w:r w:rsidR="009E4766" w:rsidRPr="00EF572C">
        <w:t xml:space="preserve"> пят</w:t>
      </w:r>
      <w:r w:rsidR="00236DB1" w:rsidRPr="00EF572C">
        <w:t>ых</w:t>
      </w:r>
      <w:r w:rsidR="009E4766" w:rsidRPr="00EF572C">
        <w:t xml:space="preserve"> НСПДСБ (21 %) низкая доля женщин – субъектов деятельности была определена в качестве одного из препятствий в деле сохранения биоразнообразия или косвенного фактора утраты биоразнообразия. Необходимость укрепления научных исследований и обеспечения систематического сбора дезагрегированных по признаку пола данных призна</w:t>
      </w:r>
      <w:r w:rsidR="002A416C" w:rsidRPr="00EF572C">
        <w:t>ется</w:t>
      </w:r>
      <w:r w:rsidR="009E4766" w:rsidRPr="00EF572C">
        <w:t xml:space="preserve"> в качестве важного фактора, позволяющего принимать целенаправленные меры. В число дополнительных потребностей, выявленных на основе других материалов, полученных от Сторон и субъектов</w:t>
      </w:r>
      <w:r w:rsidR="00F22B8A" w:rsidRPr="00EF572C">
        <w:t xml:space="preserve"> деятельности</w:t>
      </w:r>
      <w:r w:rsidR="009E4766" w:rsidRPr="00EF572C">
        <w:t xml:space="preserve">, входят повышение квалификации и уровня знаний сотрудников, а также наличие инструментов, руководящих принципов и методологий. С точки зрения подготовки наиболее необходимые направления </w:t>
      </w:r>
      <w:r w:rsidR="00A551F7">
        <w:t xml:space="preserve">деятельности </w:t>
      </w:r>
      <w:r w:rsidR="009E4766" w:rsidRPr="00EF572C">
        <w:t xml:space="preserve">включают </w:t>
      </w:r>
      <w:r w:rsidR="00A551F7">
        <w:t xml:space="preserve">в себя </w:t>
      </w:r>
      <w:r w:rsidR="009E4766" w:rsidRPr="00EF572C">
        <w:t>учет гендерной проблематики при разработке проектов и управлении ими, а также при разработке и оценке политики.</w:t>
      </w:r>
    </w:p>
    <w:p w14:paraId="08C0E174" w14:textId="242AFC5F" w:rsidR="009E4766" w:rsidRPr="00EF572C"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EF572C">
        <w:t xml:space="preserve">В целом, даже </w:t>
      </w:r>
      <w:r w:rsidR="00AD77EA" w:rsidRPr="00EF572C">
        <w:t>в случае</w:t>
      </w:r>
      <w:r w:rsidRPr="00EF572C">
        <w:t xml:space="preserve"> стран, которые признали гендерное равенство в качестве руководящего принципа, или указали на то, что неспособность привлечь женщин в качестве субъектов деятельности, является одним из препятствий в деле сохранения биоразнообразия, зачастую имеется ограниченный объем информации о стратегиях и мерах по учету гендерных аспектов в НСПДСБ или об участии женских групп и/или министерств по делам женщин в процессе пересмотра и осуществления НСПДСБ.  Кроме того, в пересмотренных НСПДСБ с течением времени не прослеживается какая-либо четкая </w:t>
      </w:r>
      <w:r w:rsidR="009105F8" w:rsidRPr="00EF572C">
        <w:t>тенденция</w:t>
      </w:r>
      <w:r w:rsidRPr="00EF572C">
        <w:t xml:space="preserve">, которая дала бы основание сделать вывод об уделении повышенного внимания гендерной проблематике в период с окончания </w:t>
      </w:r>
      <w:r w:rsidR="004E5528">
        <w:t>10-го</w:t>
      </w:r>
      <w:r w:rsidRPr="00EF572C">
        <w:t xml:space="preserve"> совещания Конференции Сторон до феврал</w:t>
      </w:r>
      <w:r w:rsidR="00EF572C">
        <w:t>я</w:t>
      </w:r>
      <w:r w:rsidRPr="00EF572C">
        <w:t xml:space="preserve"> 2018 года.</w:t>
      </w:r>
    </w:p>
    <w:p w14:paraId="08C0E175" w14:textId="7B6341D8" w:rsidR="009E4766" w:rsidRPr="00EF572C"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EF572C">
        <w:t xml:space="preserve">В целях учета гендерной проблематики применяется целый ряд подходов, что также способствует поощрению гендерного равенства в рамках достижения целей Плана действий по обеспечению гендерного равенства. Тем не менее, еще требуется предпринять значительные усилия для более эффективного учета гендерной проблематики и укрепления довода о том, что стратегии и меры по учету гендерных аспектов могут способствовать достижению целей в области сохранения биоразнообразия. Разработка </w:t>
      </w:r>
      <w:r w:rsidRPr="005840DD">
        <w:t>рамочной программы в области биоразнообразия на период после 2020 года</w:t>
      </w:r>
      <w:r w:rsidRPr="00EF572C">
        <w:t xml:space="preserve"> предоставляет возможность уделить повышенное внимани</w:t>
      </w:r>
      <w:r w:rsidR="004E5528">
        <w:t>е</w:t>
      </w:r>
      <w:r w:rsidRPr="00EF572C">
        <w:t xml:space="preserve"> гендерным аспектам и их дальнейшему учету в контексте Конвенции. Обзор выполнения Плана действий по обеспечению гендерного равенства на 2015-2020 годы поможет определить области, которые, возможно, необходимо будет укрепить в пересмотренном или обновленном Плане и в рамочной программе на период после 2020 года.</w:t>
      </w:r>
    </w:p>
    <w:p w14:paraId="08C0E176" w14:textId="77777777" w:rsidR="009E4766" w:rsidRPr="001622FF"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Pr>
          <w:snapToGrid w:val="0"/>
          <w:szCs w:val="22"/>
        </w:rPr>
        <w:t>ЗАКЛЮЧЕНИЕ</w:t>
      </w:r>
    </w:p>
    <w:p w14:paraId="08C0E177" w14:textId="4C074B26"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 xml:space="preserve">Несмотря на то, что информация, полученная в результате оценки НСПДСБ, относится к обязательствам, а информация из национальных докладов касается мер и результатов, оба источника информации </w:t>
      </w:r>
      <w:r w:rsidR="00852499">
        <w:t>в совокупности</w:t>
      </w:r>
      <w:r>
        <w:t xml:space="preserve"> дают достоверную картину. Прилагаются усилия для воплощения целевых задач по сохранению и устойчивому использованию биоразнообразия, принятых в Айти, в национальные обязательства и принимаются национальные меры по выполнению целевых задач, принятых в Айти. Необходимо, однако, значительно расширить масштаб этих обязательств и усилий, иначе невозможно будет выполнить целевые задачи по сохранению и устойчивому использованию биоразнообразия, принятые в Айти, и в более общем смысле Стратегический план в области сохранения и устойчивого использования биоразнообразия на 2011-2020 годы.</w:t>
      </w:r>
    </w:p>
    <w:p w14:paraId="08C0E178" w14:textId="6E75266B"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 xml:space="preserve">Информация, полученная в результате этой оценки, в целом соответствует информации, приведенной в четвертом издании </w:t>
      </w:r>
      <w:r w:rsidRPr="00B35B4A">
        <w:rPr>
          <w:i/>
        </w:rPr>
        <w:t>Глобальной перспективы в области биоразнообразия</w:t>
      </w:r>
      <w:r>
        <w:t xml:space="preserve">, на основании которой был сделан вывод о достижении прогресса по всем целевым задачам, но и о его недостаточности для выполнения целевых задач по сохранению и устойчивому использованию биоразнообразия, принятых в Айти, </w:t>
      </w:r>
      <w:r w:rsidR="006E48EA">
        <w:t>а также</w:t>
      </w:r>
      <w:r>
        <w:t xml:space="preserve"> о необходимости дополнительных мер для </w:t>
      </w:r>
      <w:r>
        <w:lastRenderedPageBreak/>
        <w:t>поддержания курса на выполнение Стратегического плана в области сохранения и устойчивого использования биоразнообразия на 2011-2020 годы.</w:t>
      </w:r>
    </w:p>
    <w:p w14:paraId="08C0E179" w14:textId="5A0646B3" w:rsidR="009E4766" w:rsidRPr="001133C5" w:rsidRDefault="008C6A2F"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 xml:space="preserve"> В том, что касается</w:t>
      </w:r>
      <w:r w:rsidR="009E4766">
        <w:t xml:space="preserve"> </w:t>
      </w:r>
      <w:r>
        <w:t>у</w:t>
      </w:r>
      <w:r w:rsidR="009E4766">
        <w:t>чет</w:t>
      </w:r>
      <w:r>
        <w:t>а</w:t>
      </w:r>
      <w:r w:rsidR="009E4766">
        <w:t xml:space="preserve"> гендерной проблематики в работе по осуществлению Конвенции, следует отметить, что существует значительный пробел в плане решения </w:t>
      </w:r>
      <w:r w:rsidR="003330FB">
        <w:t>проблем</w:t>
      </w:r>
      <w:r w:rsidR="009E4766">
        <w:t xml:space="preserve"> обеспечения гендерного равенства и расширения прав и возможностей женщин в рамках НСПДСБ. Необходимо повысить внимание к гендерным вопросам, без чего достижение целей Плана действий по обеспечению гендерного равенства на 2015-2020 годы </w:t>
      </w:r>
      <w:r w:rsidR="00567A4D">
        <w:t>не представляется возможным</w:t>
      </w:r>
      <w:r w:rsidR="009E4766">
        <w:t>. Разработка рамочной программы в области биоразнообразия на период после 2020 года предоставляет возможность уделить повышенное внимания гендерным аспектам и их дальнейшему учету во всех направлениях работы в рамках Конвенции.</w:t>
      </w:r>
    </w:p>
    <w:p w14:paraId="08C0E17A" w14:textId="77777777" w:rsidR="009E4766" w:rsidRPr="001838BA" w:rsidRDefault="009E4766" w:rsidP="001838BA">
      <w:pPr>
        <w:pStyle w:val="Heading1"/>
        <w:numPr>
          <w:ilvl w:val="0"/>
          <w:numId w:val="21"/>
        </w:numPr>
        <w:suppressLineNumbers/>
        <w:tabs>
          <w:tab w:val="clear" w:pos="720"/>
          <w:tab w:val="left" w:pos="450"/>
        </w:tabs>
        <w:suppressAutoHyphens/>
        <w:kinsoku w:val="0"/>
        <w:overflowPunct w:val="0"/>
        <w:autoSpaceDE w:val="0"/>
        <w:autoSpaceDN w:val="0"/>
        <w:adjustRightInd w:val="0"/>
        <w:snapToGrid w:val="0"/>
        <w:spacing w:before="120"/>
        <w:ind w:left="0" w:firstLine="0"/>
        <w:rPr>
          <w:rFonts w:ascii="Times New Roman Bold" w:eastAsia="Malgun Gothic" w:hAnsi="Times New Roman Bold" w:cs="Times New Roman Bold"/>
          <w:bCs/>
          <w:kern w:val="22"/>
          <w:szCs w:val="22"/>
        </w:rPr>
      </w:pPr>
      <w:bookmarkStart w:id="1" w:name="_Hlk513725519"/>
      <w:r>
        <w:rPr>
          <w:rFonts w:ascii="Times New Roman Bold" w:hAnsi="Times New Roman Bold"/>
          <w:bCs/>
          <w:szCs w:val="22"/>
        </w:rPr>
        <w:t>Предлагаемые рекомендации</w:t>
      </w:r>
    </w:p>
    <w:p w14:paraId="08C0E17B" w14:textId="4C6F3B45" w:rsidR="003D38C0" w:rsidRPr="001838BA" w:rsidRDefault="003D38C0"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rPr>
      </w:pPr>
      <w:r>
        <w:t>Вспомогательный орган по осуществлению, возможно, пожелает рекомендовать, чтобы Конференция Сторон на своем 1</w:t>
      </w:r>
      <w:r w:rsidR="00643305">
        <w:t>4</w:t>
      </w:r>
      <w:r>
        <w:t>-м совещании приняла следующее решение:</w:t>
      </w:r>
    </w:p>
    <w:p w14:paraId="08C0E17C" w14:textId="694BFCB6" w:rsidR="009E4766" w:rsidRPr="001838BA" w:rsidRDefault="001622FF" w:rsidP="001838BA">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rPr>
      </w:pPr>
      <w:r>
        <w:rPr>
          <w:rFonts w:ascii="Times New Roman" w:hAnsi="Times New Roman"/>
          <w:b/>
          <w:sz w:val="22"/>
          <w:szCs w:val="22"/>
        </w:rPr>
        <w:t>Обзор национальных стратегий и планов действий по сохранению биоразнообразия и национальных докладов</w:t>
      </w:r>
    </w:p>
    <w:p w14:paraId="08C0E17D" w14:textId="77777777" w:rsidR="001622FF" w:rsidRPr="001838BA" w:rsidRDefault="001622FF"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993"/>
        <w:jc w:val="both"/>
        <w:rPr>
          <w:rFonts w:ascii="Times New Roman" w:hAnsi="Times New Roman" w:cs="Times New Roman"/>
          <w:i/>
          <w:kern w:val="22"/>
          <w:sz w:val="22"/>
          <w:szCs w:val="22"/>
        </w:rPr>
      </w:pPr>
      <w:r>
        <w:rPr>
          <w:rFonts w:ascii="Times New Roman" w:hAnsi="Times New Roman"/>
          <w:i/>
          <w:sz w:val="22"/>
          <w:szCs w:val="22"/>
        </w:rPr>
        <w:t>Конференция Сторон</w:t>
      </w:r>
    </w:p>
    <w:p w14:paraId="08C0E17E" w14:textId="77777777" w:rsidR="009E4766" w:rsidRPr="001838BA"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rPr>
      </w:pPr>
      <w:r>
        <w:rPr>
          <w:rFonts w:ascii="Times New Roman" w:hAnsi="Times New Roman"/>
          <w:sz w:val="22"/>
          <w:szCs w:val="22"/>
        </w:rPr>
        <w:t>1.</w:t>
      </w:r>
      <w:r>
        <w:rPr>
          <w:rFonts w:ascii="Times New Roman" w:hAnsi="Times New Roman"/>
          <w:i/>
          <w:sz w:val="22"/>
          <w:szCs w:val="22"/>
        </w:rPr>
        <w:tab/>
      </w:r>
      <w:r>
        <w:rPr>
          <w:rFonts w:ascii="Times New Roman" w:hAnsi="Times New Roman"/>
          <w:i/>
          <w:iCs/>
          <w:sz w:val="22"/>
          <w:szCs w:val="22"/>
        </w:rPr>
        <w:t xml:space="preserve">принимает к сведению </w:t>
      </w:r>
      <w:r>
        <w:rPr>
          <w:rFonts w:ascii="Times New Roman" w:hAnsi="Times New Roman"/>
          <w:sz w:val="22"/>
          <w:szCs w:val="22"/>
        </w:rPr>
        <w:t xml:space="preserve">обновленный анализ национальных стратегий и планов действий по сохранению биоразнообразия и национальных докладов и </w:t>
      </w:r>
      <w:r>
        <w:rPr>
          <w:rFonts w:ascii="Times New Roman" w:hAnsi="Times New Roman"/>
          <w:i/>
          <w:iCs/>
          <w:sz w:val="22"/>
          <w:szCs w:val="22"/>
        </w:rPr>
        <w:t>поручает</w:t>
      </w:r>
      <w:r>
        <w:rPr>
          <w:rFonts w:ascii="Times New Roman" w:hAnsi="Times New Roman"/>
          <w:sz w:val="22"/>
          <w:szCs w:val="22"/>
        </w:rPr>
        <w:t xml:space="preserve"> Исполнительному секретарю периодически обновлять эту информацию и распространить ее через Механизм посредничества Конвенции;</w:t>
      </w:r>
    </w:p>
    <w:p w14:paraId="08C0E17F" w14:textId="5355DC04" w:rsidR="009E4766" w:rsidRPr="001838BA"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rPr>
      </w:pPr>
      <w:r>
        <w:rPr>
          <w:rFonts w:ascii="Times New Roman" w:hAnsi="Times New Roman"/>
          <w:sz w:val="22"/>
          <w:szCs w:val="22"/>
        </w:rPr>
        <w:t>2.</w:t>
      </w:r>
      <w:r>
        <w:rPr>
          <w:rFonts w:ascii="Times New Roman" w:hAnsi="Times New Roman"/>
          <w:i/>
          <w:sz w:val="22"/>
          <w:szCs w:val="22"/>
        </w:rPr>
        <w:tab/>
      </w:r>
      <w:r>
        <w:rPr>
          <w:rFonts w:ascii="Times New Roman" w:hAnsi="Times New Roman"/>
          <w:i/>
          <w:iCs/>
          <w:sz w:val="22"/>
          <w:szCs w:val="22"/>
        </w:rPr>
        <w:t>также принимает к сведению</w:t>
      </w:r>
      <w:r>
        <w:rPr>
          <w:rFonts w:ascii="Times New Roman" w:hAnsi="Times New Roman"/>
          <w:sz w:val="22"/>
          <w:szCs w:val="22"/>
        </w:rPr>
        <w:t xml:space="preserve"> прогресс в деле принятия Сторонами национальных стратегий и планов действий по сохранению биоразнообразия в качестве общегосударственных политических инструментов, и </w:t>
      </w:r>
      <w:r>
        <w:rPr>
          <w:rFonts w:ascii="Times New Roman" w:hAnsi="Times New Roman"/>
          <w:i/>
          <w:iCs/>
          <w:sz w:val="22"/>
          <w:szCs w:val="22"/>
        </w:rPr>
        <w:t>поручает</w:t>
      </w:r>
      <w:r>
        <w:rPr>
          <w:rFonts w:ascii="Times New Roman" w:hAnsi="Times New Roman"/>
          <w:sz w:val="22"/>
          <w:szCs w:val="22"/>
        </w:rPr>
        <w:t xml:space="preserve"> Исполнительному секретарю в сотрудничестве с секретариатом Глобального экологического фонда, Программой развития Организации Объединенных Наций и Программой Организации Объединенных Наций по окружающей среде проанализировать положение дел в области принятия правомочными Сторонами национальных стратегий и планов действий по сохранению биоразнообразия;</w:t>
      </w:r>
    </w:p>
    <w:p w14:paraId="08C0E180" w14:textId="77777777" w:rsidR="009E4766" w:rsidRPr="001838BA" w:rsidRDefault="001622FF" w:rsidP="001838BA">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rPr>
      </w:pPr>
      <w:r>
        <w:rPr>
          <w:rFonts w:ascii="Times New Roman" w:hAnsi="Times New Roman"/>
          <w:b/>
          <w:sz w:val="22"/>
          <w:szCs w:val="22"/>
        </w:rPr>
        <w:t>План действий по обеспечению гендерного равенства</w:t>
      </w:r>
    </w:p>
    <w:p w14:paraId="08C0E181" w14:textId="77777777" w:rsidR="009E4766" w:rsidRPr="001838BA" w:rsidRDefault="009E4766"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r>
        <w:rPr>
          <w:rFonts w:ascii="Times New Roman" w:hAnsi="Times New Roman"/>
          <w:i/>
          <w:iCs/>
          <w:sz w:val="22"/>
          <w:szCs w:val="22"/>
        </w:rPr>
        <w:t>ссылаясь</w:t>
      </w:r>
      <w:r>
        <w:rPr>
          <w:rFonts w:ascii="Times New Roman" w:hAnsi="Times New Roman"/>
          <w:sz w:val="22"/>
          <w:szCs w:val="22"/>
        </w:rPr>
        <w:t xml:space="preserve"> на решение XII/7, в котором она приветствовала План действий по обеспечению гендерного равенства на 2015-2020 годы в рамках Конвенции,</w:t>
      </w:r>
    </w:p>
    <w:p w14:paraId="08C0E182" w14:textId="79F9D732" w:rsidR="009E4766" w:rsidRPr="001838BA" w:rsidRDefault="009E4766"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r>
        <w:rPr>
          <w:rFonts w:ascii="Times New Roman" w:hAnsi="Times New Roman"/>
          <w:i/>
          <w:iCs/>
          <w:sz w:val="22"/>
          <w:szCs w:val="22"/>
        </w:rPr>
        <w:t>отмечая</w:t>
      </w:r>
      <w:r>
        <w:rPr>
          <w:rFonts w:ascii="Times New Roman" w:hAnsi="Times New Roman"/>
          <w:sz w:val="22"/>
          <w:szCs w:val="22"/>
        </w:rPr>
        <w:t xml:space="preserve">, что в настоящее время План действий по обеспечению гендерного равенства на 2015-2020 годы находится в середине периода его выполнения и </w:t>
      </w:r>
      <w:r>
        <w:rPr>
          <w:rFonts w:ascii="Times New Roman" w:hAnsi="Times New Roman"/>
          <w:i/>
          <w:iCs/>
          <w:sz w:val="22"/>
          <w:szCs w:val="22"/>
        </w:rPr>
        <w:t>признавая</w:t>
      </w:r>
      <w:r>
        <w:rPr>
          <w:rFonts w:ascii="Times New Roman" w:hAnsi="Times New Roman"/>
          <w:sz w:val="22"/>
          <w:szCs w:val="22"/>
        </w:rPr>
        <w:t xml:space="preserve"> необходимость эффективной реализации </w:t>
      </w:r>
      <w:r w:rsidR="00EA3E61">
        <w:rPr>
          <w:rFonts w:ascii="Times New Roman" w:hAnsi="Times New Roman"/>
          <w:sz w:val="22"/>
          <w:szCs w:val="22"/>
        </w:rPr>
        <w:t>П</w:t>
      </w:r>
      <w:r>
        <w:rPr>
          <w:rFonts w:ascii="Times New Roman" w:hAnsi="Times New Roman"/>
          <w:sz w:val="22"/>
          <w:szCs w:val="22"/>
        </w:rPr>
        <w:t>лана, в том числе в интересах выполнени</w:t>
      </w:r>
      <w:r w:rsidR="00EA3E61">
        <w:rPr>
          <w:rFonts w:ascii="Times New Roman" w:hAnsi="Times New Roman"/>
          <w:sz w:val="22"/>
          <w:szCs w:val="22"/>
        </w:rPr>
        <w:t>я</w:t>
      </w:r>
      <w:r>
        <w:rPr>
          <w:rFonts w:ascii="Times New Roman" w:hAnsi="Times New Roman"/>
          <w:sz w:val="22"/>
          <w:szCs w:val="22"/>
        </w:rPr>
        <w:t xml:space="preserve"> целевых задач по сохранению и устойчивому использованию биоразнообразия, принятых в Айти, и осуществления Стратегического плана в области сохранения и устойчивого использования биоразнообразия на 2011-2020 годы,</w:t>
      </w:r>
    </w:p>
    <w:p w14:paraId="08C0E183" w14:textId="0DE581B5" w:rsidR="009E4766" w:rsidRPr="001838BA"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rPr>
      </w:pPr>
      <w:r>
        <w:rPr>
          <w:rFonts w:ascii="Times New Roman" w:hAnsi="Times New Roman"/>
          <w:sz w:val="22"/>
          <w:szCs w:val="22"/>
        </w:rPr>
        <w:t>1.</w:t>
      </w:r>
      <w:r>
        <w:rPr>
          <w:rFonts w:ascii="Times New Roman" w:hAnsi="Times New Roman"/>
          <w:i/>
          <w:sz w:val="22"/>
          <w:szCs w:val="22"/>
        </w:rPr>
        <w:tab/>
      </w:r>
      <w:r w:rsidRPr="00861F9C">
        <w:rPr>
          <w:rFonts w:ascii="Times New Roman" w:hAnsi="Times New Roman"/>
          <w:i/>
          <w:iCs/>
          <w:sz w:val="22"/>
          <w:szCs w:val="22"/>
        </w:rPr>
        <w:t>подчеркивает</w:t>
      </w:r>
      <w:r w:rsidRPr="00861F9C">
        <w:rPr>
          <w:rFonts w:ascii="Times New Roman" w:hAnsi="Times New Roman"/>
          <w:sz w:val="22"/>
          <w:szCs w:val="22"/>
        </w:rPr>
        <w:t xml:space="preserve"> необходимость учета гендерных аспектов при разработке</w:t>
      </w:r>
      <w:r w:rsidR="00A249D1">
        <w:rPr>
          <w:rFonts w:ascii="Times New Roman" w:hAnsi="Times New Roman"/>
          <w:sz w:val="22"/>
          <w:szCs w:val="22"/>
        </w:rPr>
        <w:t xml:space="preserve"> </w:t>
      </w:r>
      <w:r w:rsidRPr="00861F9C">
        <w:rPr>
          <w:rFonts w:ascii="Times New Roman" w:hAnsi="Times New Roman"/>
          <w:sz w:val="22"/>
          <w:szCs w:val="22"/>
        </w:rPr>
        <w:t>рамочной программы в области биоразнообразия на период после 2020 года и в соответствии с гендерными целевыми показателями целей в области устойчивого развития</w:t>
      </w:r>
      <w:r w:rsidR="00861F9C" w:rsidRPr="00861F9C">
        <w:rPr>
          <w:rStyle w:val="FootnoteReference"/>
          <w:rFonts w:ascii="Times New Roman" w:hAnsi="Times New Roman" w:cs="Times New Roman"/>
          <w:kern w:val="22"/>
          <w:szCs w:val="22"/>
          <w:lang w:val="en-GB"/>
        </w:rPr>
        <w:footnoteReference w:id="12"/>
      </w:r>
      <w:r w:rsidRPr="00861F9C">
        <w:rPr>
          <w:rFonts w:ascii="Times New Roman" w:hAnsi="Times New Roman"/>
          <w:sz w:val="22"/>
          <w:szCs w:val="22"/>
        </w:rPr>
        <w:t>;</w:t>
      </w:r>
    </w:p>
    <w:p w14:paraId="08C0E184" w14:textId="77777777" w:rsidR="009E4766" w:rsidRPr="001838BA"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r>
        <w:rPr>
          <w:rFonts w:ascii="Times New Roman" w:hAnsi="Times New Roman"/>
          <w:sz w:val="22"/>
          <w:szCs w:val="22"/>
        </w:rPr>
        <w:t>2.</w:t>
      </w:r>
      <w:r>
        <w:rPr>
          <w:rFonts w:ascii="Times New Roman" w:hAnsi="Times New Roman"/>
          <w:i/>
          <w:sz w:val="22"/>
          <w:szCs w:val="22"/>
        </w:rPr>
        <w:tab/>
      </w:r>
      <w:r>
        <w:rPr>
          <w:rFonts w:ascii="Times New Roman" w:hAnsi="Times New Roman"/>
          <w:i/>
          <w:iCs/>
          <w:sz w:val="22"/>
          <w:szCs w:val="22"/>
        </w:rPr>
        <w:t>просит</w:t>
      </w:r>
      <w:r>
        <w:rPr>
          <w:rFonts w:ascii="Times New Roman" w:hAnsi="Times New Roman"/>
          <w:sz w:val="22"/>
          <w:szCs w:val="22"/>
        </w:rPr>
        <w:t xml:space="preserve"> Стороны и другие соответствующие субъекты деятельности поддерживать усилия по расширению знаний о взаимосвязях между гендерной проблематикой и биоразнообразием, включая предоставление целевых ресурсов для текущего наращивания потенциала в области гендерных вопросов и биоразнообразия, а также сбор данных, дезагрегированных по половому признаку;</w:t>
      </w:r>
    </w:p>
    <w:p w14:paraId="08C0E185" w14:textId="77777777" w:rsidR="009E4766" w:rsidRPr="006D1747"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rPr>
      </w:pPr>
      <w:r>
        <w:rPr>
          <w:rFonts w:ascii="Times New Roman" w:hAnsi="Times New Roman"/>
          <w:sz w:val="22"/>
          <w:szCs w:val="22"/>
        </w:rPr>
        <w:lastRenderedPageBreak/>
        <w:t>3.</w:t>
      </w:r>
      <w:r>
        <w:rPr>
          <w:rFonts w:ascii="Times New Roman" w:hAnsi="Times New Roman"/>
          <w:i/>
          <w:sz w:val="22"/>
          <w:szCs w:val="22"/>
        </w:rPr>
        <w:tab/>
      </w:r>
      <w:r>
        <w:rPr>
          <w:rFonts w:ascii="Times New Roman" w:hAnsi="Times New Roman"/>
          <w:i/>
          <w:iCs/>
          <w:sz w:val="22"/>
          <w:szCs w:val="22"/>
        </w:rPr>
        <w:t>просит</w:t>
      </w:r>
      <w:r>
        <w:rPr>
          <w:rFonts w:ascii="Times New Roman" w:hAnsi="Times New Roman"/>
          <w:sz w:val="22"/>
          <w:szCs w:val="22"/>
        </w:rPr>
        <w:t xml:space="preserve"> также Стороны и другие соответствующие субъекты деятельности поддерживать согласованные подходы и совместную деятельность в области создания потенциала и осуществления гендерно-ориентированных мер в рамках трех конвенций, принятых в Рио-де-Жанейро.</w:t>
      </w:r>
    </w:p>
    <w:p w14:paraId="08C0E186" w14:textId="77777777" w:rsidR="009758E5" w:rsidRPr="006D1747" w:rsidRDefault="009758E5" w:rsidP="009758E5">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r>
        <w:rPr>
          <w:rFonts w:ascii="Times New Roman" w:hAnsi="Times New Roman"/>
          <w:sz w:val="22"/>
          <w:szCs w:val="22"/>
        </w:rPr>
        <w:t>4.</w:t>
      </w:r>
      <w:r>
        <w:rPr>
          <w:rFonts w:ascii="Times New Roman" w:hAnsi="Times New Roman"/>
          <w:i/>
          <w:sz w:val="22"/>
          <w:szCs w:val="22"/>
        </w:rPr>
        <w:tab/>
      </w:r>
      <w:r>
        <w:rPr>
          <w:rFonts w:ascii="Times New Roman" w:hAnsi="Times New Roman"/>
          <w:i/>
          <w:iCs/>
          <w:sz w:val="22"/>
          <w:szCs w:val="22"/>
        </w:rPr>
        <w:t>поручает</w:t>
      </w:r>
      <w:r>
        <w:rPr>
          <w:rFonts w:ascii="Times New Roman" w:hAnsi="Times New Roman"/>
          <w:sz w:val="22"/>
          <w:szCs w:val="22"/>
        </w:rPr>
        <w:t xml:space="preserve"> Исполнительному секретарю при условии наличия ресурсов провести обзор выполнения Плана действий по обеспечению гендерного равенства на 2015-2020 годы параллельно с подготовкой пятого издания </w:t>
      </w:r>
      <w:r>
        <w:rPr>
          <w:rFonts w:ascii="Times New Roman" w:hAnsi="Times New Roman"/>
          <w:i/>
          <w:iCs/>
          <w:sz w:val="22"/>
          <w:szCs w:val="22"/>
        </w:rPr>
        <w:t>Глобальной перспективы в области биоразнообразия</w:t>
      </w:r>
      <w:r>
        <w:rPr>
          <w:rFonts w:ascii="Times New Roman" w:hAnsi="Times New Roman"/>
          <w:sz w:val="22"/>
          <w:szCs w:val="22"/>
        </w:rPr>
        <w:t xml:space="preserve"> в целях выявления пробелов, передового опыта и извлечения полезных выводов.</w:t>
      </w:r>
    </w:p>
    <w:p w14:paraId="08C0E187" w14:textId="77777777" w:rsidR="009758E5" w:rsidRPr="006D27FF"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p>
    <w:bookmarkEnd w:id="1"/>
    <w:p w14:paraId="08C0E188" w14:textId="77777777" w:rsidR="009E4766" w:rsidRPr="006D1747"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Pr>
          <w:i/>
          <w:iCs/>
          <w:snapToGrid w:val="0"/>
          <w:szCs w:val="22"/>
        </w:rPr>
        <w:br w:type="page"/>
      </w:r>
      <w:r>
        <w:rPr>
          <w:i/>
          <w:iCs/>
          <w:snapToGrid w:val="0"/>
          <w:szCs w:val="22"/>
        </w:rPr>
        <w:lastRenderedPageBreak/>
        <w:t>Приложение I</w:t>
      </w:r>
    </w:p>
    <w:p w14:paraId="08C0E189" w14:textId="77777777" w:rsidR="009E4766" w:rsidRPr="006D1747" w:rsidRDefault="009E4766" w:rsidP="004D4E96">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Pr>
          <w:bCs/>
          <w:snapToGrid w:val="0"/>
          <w:szCs w:val="22"/>
        </w:rPr>
        <w:t>СПИСОК НАЦИОНАЛЬНЫХ ДОКЛАДОВ, ПОЛУЧЕННЫХ СЕКРЕТАРИАТОМ КОНВЕНЦИИ О БИОЛОГИЧЕСКОМ РАЗНООБРАЗИИ К 14 МАРТА 2018 ГОДА</w:t>
      </w:r>
    </w:p>
    <w:p w14:paraId="08C0E18A" w14:textId="77777777"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headerReference w:type="even" r:id="rId31"/>
          <w:headerReference w:type="default" r:id="rId32"/>
          <w:pgSz w:w="12240" w:h="15840" w:code="1"/>
          <w:pgMar w:top="1021" w:right="1440" w:bottom="1140" w:left="1440" w:header="454" w:footer="720" w:gutter="0"/>
          <w:cols w:space="720"/>
          <w:titlePg/>
          <w:docGrid w:linePitch="299"/>
        </w:sectPr>
      </w:pPr>
    </w:p>
    <w:p w14:paraId="08C0E18B" w14:textId="77777777"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type w:val="continuous"/>
          <w:pgSz w:w="12240" w:h="15840" w:code="1"/>
          <w:pgMar w:top="1021" w:right="1440" w:bottom="1140" w:left="1440" w:header="454" w:footer="720" w:gutter="0"/>
          <w:cols w:num="2" w:space="720"/>
          <w:titlePg/>
          <w:docGrid w:linePitch="299"/>
        </w:sectPr>
      </w:pPr>
    </w:p>
    <w:p w14:paraId="63830C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Австралия</w:t>
      </w:r>
    </w:p>
    <w:p w14:paraId="35750E0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Австрия</w:t>
      </w:r>
    </w:p>
    <w:p w14:paraId="66A8EE2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Азербайджан</w:t>
      </w:r>
    </w:p>
    <w:p w14:paraId="79C60BF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Албания</w:t>
      </w:r>
    </w:p>
    <w:p w14:paraId="3DC4DCF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Алжир</w:t>
      </w:r>
    </w:p>
    <w:p w14:paraId="445EB7D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Ангола</w:t>
      </w:r>
    </w:p>
    <w:p w14:paraId="00BF9C7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Андорра</w:t>
      </w:r>
    </w:p>
    <w:p w14:paraId="51E1F6D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Антигуа и Барбуда</w:t>
      </w:r>
    </w:p>
    <w:p w14:paraId="64C6804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Аргентина</w:t>
      </w:r>
    </w:p>
    <w:p w14:paraId="2E32F1C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Армения</w:t>
      </w:r>
    </w:p>
    <w:p w14:paraId="7371AFD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Афганистан</w:t>
      </w:r>
    </w:p>
    <w:p w14:paraId="6B748B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Бангладеш</w:t>
      </w:r>
    </w:p>
    <w:p w14:paraId="7129BB0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Барбадос</w:t>
      </w:r>
    </w:p>
    <w:p w14:paraId="68F8B5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Бахрейн</w:t>
      </w:r>
    </w:p>
    <w:p w14:paraId="285C19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Беларусь</w:t>
      </w:r>
    </w:p>
    <w:p w14:paraId="703EEF0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Белиз</w:t>
      </w:r>
    </w:p>
    <w:p w14:paraId="39658A6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Бельгия</w:t>
      </w:r>
    </w:p>
    <w:p w14:paraId="077C8D8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Бенин</w:t>
      </w:r>
    </w:p>
    <w:p w14:paraId="504E5FA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Болгария</w:t>
      </w:r>
    </w:p>
    <w:p w14:paraId="69B7EA1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Боливия (многонациональное государство)</w:t>
      </w:r>
    </w:p>
    <w:p w14:paraId="4F9D956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Босния и Герцеговина</w:t>
      </w:r>
    </w:p>
    <w:p w14:paraId="6B79911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Ботсвана</w:t>
      </w:r>
    </w:p>
    <w:p w14:paraId="31BF34A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Бразилия</w:t>
      </w:r>
    </w:p>
    <w:p w14:paraId="0F53F81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Бруней-Даруссалам</w:t>
      </w:r>
    </w:p>
    <w:p w14:paraId="236027E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Буркина Фасо</w:t>
      </w:r>
    </w:p>
    <w:p w14:paraId="3AE865B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Бурунди</w:t>
      </w:r>
    </w:p>
    <w:p w14:paraId="00932DA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Бутан</w:t>
      </w:r>
    </w:p>
    <w:p w14:paraId="294AD8B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Бывшая Югославская Республика Македония</w:t>
      </w:r>
    </w:p>
    <w:p w14:paraId="376828F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Вануату</w:t>
      </w:r>
    </w:p>
    <w:p w14:paraId="31F94EB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Венгрия</w:t>
      </w:r>
    </w:p>
    <w:p w14:paraId="444D615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Венесуэла (Боливарианская Республика)</w:t>
      </w:r>
    </w:p>
    <w:p w14:paraId="679C8D3D" w14:textId="0619B0F6" w:rsidR="00BC52AA" w:rsidRPr="00BC52AA" w:rsidRDefault="00C9054E"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В</w:t>
      </w:r>
      <w:r w:rsidR="00BC52AA" w:rsidRPr="00BC52AA">
        <w:rPr>
          <w:snapToGrid w:val="0"/>
          <w:szCs w:val="22"/>
        </w:rPr>
        <w:t>осточный Тимор</w:t>
      </w:r>
    </w:p>
    <w:p w14:paraId="7BE34B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Вьетнам</w:t>
      </w:r>
    </w:p>
    <w:p w14:paraId="59CCC9A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Гаити</w:t>
      </w:r>
    </w:p>
    <w:p w14:paraId="205FD45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Гайана</w:t>
      </w:r>
    </w:p>
    <w:p w14:paraId="1761156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Гамбия</w:t>
      </w:r>
    </w:p>
    <w:p w14:paraId="027F9C9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Гана</w:t>
      </w:r>
    </w:p>
    <w:p w14:paraId="74A703D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Гватемала</w:t>
      </w:r>
    </w:p>
    <w:p w14:paraId="464BA87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Гвинея</w:t>
      </w:r>
    </w:p>
    <w:p w14:paraId="5F8B187A" w14:textId="6EA53715"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Гвинея</w:t>
      </w:r>
      <w:r w:rsidR="00F81CCD">
        <w:rPr>
          <w:snapToGrid w:val="0"/>
          <w:szCs w:val="22"/>
        </w:rPr>
        <w:t>-</w:t>
      </w:r>
      <w:r w:rsidRPr="00BC52AA">
        <w:rPr>
          <w:snapToGrid w:val="0"/>
          <w:szCs w:val="22"/>
        </w:rPr>
        <w:t>Бисау</w:t>
      </w:r>
    </w:p>
    <w:p w14:paraId="7636D71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Германия</w:t>
      </w:r>
    </w:p>
    <w:p w14:paraId="30E64DD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Гондурас</w:t>
      </w:r>
    </w:p>
    <w:p w14:paraId="0E4626A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Гренада</w:t>
      </w:r>
    </w:p>
    <w:p w14:paraId="34448DF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Греция</w:t>
      </w:r>
    </w:p>
    <w:p w14:paraId="4506D4E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Грузия</w:t>
      </w:r>
    </w:p>
    <w:p w14:paraId="3223A20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Дания</w:t>
      </w:r>
    </w:p>
    <w:p w14:paraId="1C0AB74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Демократическая Республика Конго</w:t>
      </w:r>
    </w:p>
    <w:p w14:paraId="62264AD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Джибути</w:t>
      </w:r>
    </w:p>
    <w:p w14:paraId="721182A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Доминика</w:t>
      </w:r>
    </w:p>
    <w:p w14:paraId="24CE202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Доминиканская Республика</w:t>
      </w:r>
    </w:p>
    <w:p w14:paraId="12B3555A" w14:textId="1AF61449" w:rsidR="00BC52AA" w:rsidRPr="00BC52AA" w:rsidRDefault="00044A30"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Е</w:t>
      </w:r>
      <w:r w:rsidR="00BC52AA" w:rsidRPr="00BC52AA">
        <w:rPr>
          <w:snapToGrid w:val="0"/>
          <w:szCs w:val="22"/>
        </w:rPr>
        <w:t xml:space="preserve">вропейский </w:t>
      </w:r>
      <w:r>
        <w:rPr>
          <w:snapToGrid w:val="0"/>
          <w:szCs w:val="22"/>
        </w:rPr>
        <w:t>с</w:t>
      </w:r>
      <w:r w:rsidR="00BC52AA" w:rsidRPr="00BC52AA">
        <w:rPr>
          <w:snapToGrid w:val="0"/>
          <w:szCs w:val="22"/>
        </w:rPr>
        <w:t>оюз</w:t>
      </w:r>
    </w:p>
    <w:p w14:paraId="04DE1C7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Египет</w:t>
      </w:r>
    </w:p>
    <w:p w14:paraId="57F7A3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Замбия</w:t>
      </w:r>
    </w:p>
    <w:p w14:paraId="5239F9E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Зимбабве</w:t>
      </w:r>
    </w:p>
    <w:p w14:paraId="1535401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Израиль</w:t>
      </w:r>
    </w:p>
    <w:p w14:paraId="36E8105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Индия</w:t>
      </w:r>
    </w:p>
    <w:p w14:paraId="7FC7A1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Индонезия</w:t>
      </w:r>
    </w:p>
    <w:p w14:paraId="288FCCD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Иордания</w:t>
      </w:r>
    </w:p>
    <w:p w14:paraId="2FB3296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Ирак</w:t>
      </w:r>
    </w:p>
    <w:p w14:paraId="07483C92" w14:textId="6C172F2A"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Иран (</w:t>
      </w:r>
      <w:r w:rsidR="001C715D">
        <w:rPr>
          <w:snapToGrid w:val="0"/>
          <w:szCs w:val="22"/>
        </w:rPr>
        <w:t>И</w:t>
      </w:r>
      <w:r w:rsidRPr="00BC52AA">
        <w:rPr>
          <w:snapToGrid w:val="0"/>
          <w:szCs w:val="22"/>
        </w:rPr>
        <w:t xml:space="preserve">сламская </w:t>
      </w:r>
      <w:r w:rsidR="001C715D">
        <w:rPr>
          <w:snapToGrid w:val="0"/>
          <w:szCs w:val="22"/>
        </w:rPr>
        <w:t>Р</w:t>
      </w:r>
      <w:r w:rsidRPr="00BC52AA">
        <w:rPr>
          <w:snapToGrid w:val="0"/>
          <w:szCs w:val="22"/>
        </w:rPr>
        <w:t>еспублика)</w:t>
      </w:r>
    </w:p>
    <w:p w14:paraId="794872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Ирландия</w:t>
      </w:r>
    </w:p>
    <w:p w14:paraId="6B6E99C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Испания</w:t>
      </w:r>
    </w:p>
    <w:p w14:paraId="0D0F899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Италия</w:t>
      </w:r>
    </w:p>
    <w:p w14:paraId="281F502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Йемен</w:t>
      </w:r>
    </w:p>
    <w:p w14:paraId="54520B1B" w14:textId="0C69CAFA"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Кабо</w:t>
      </w:r>
      <w:r w:rsidR="00665FA9">
        <w:rPr>
          <w:snapToGrid w:val="0"/>
          <w:szCs w:val="22"/>
        </w:rPr>
        <w:t>-</w:t>
      </w:r>
      <w:r w:rsidRPr="00BC52AA">
        <w:rPr>
          <w:snapToGrid w:val="0"/>
          <w:szCs w:val="22"/>
        </w:rPr>
        <w:t>Верде</w:t>
      </w:r>
    </w:p>
    <w:p w14:paraId="6A80F41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Казахстан</w:t>
      </w:r>
    </w:p>
    <w:p w14:paraId="7020AB5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Камбоджа</w:t>
      </w:r>
    </w:p>
    <w:p w14:paraId="3059D6B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Камерун</w:t>
      </w:r>
    </w:p>
    <w:p w14:paraId="018DECB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Канада</w:t>
      </w:r>
    </w:p>
    <w:p w14:paraId="3CBDF21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Катар</w:t>
      </w:r>
    </w:p>
    <w:p w14:paraId="5DFDCB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Кения</w:t>
      </w:r>
    </w:p>
    <w:p w14:paraId="6C6D37F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Кипр</w:t>
      </w:r>
    </w:p>
    <w:p w14:paraId="3507F2C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Кирибати</w:t>
      </w:r>
    </w:p>
    <w:p w14:paraId="0CF9175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Китай</w:t>
      </w:r>
    </w:p>
    <w:p w14:paraId="4B01C2D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Колумбия</w:t>
      </w:r>
    </w:p>
    <w:p w14:paraId="1D9CA89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Коморские острова</w:t>
      </w:r>
    </w:p>
    <w:p w14:paraId="1DFBA33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Конго</w:t>
      </w:r>
    </w:p>
    <w:p w14:paraId="59B01A1D" w14:textId="650E93E1"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 xml:space="preserve">Корейская </w:t>
      </w:r>
      <w:r w:rsidR="001C715D">
        <w:rPr>
          <w:snapToGrid w:val="0"/>
          <w:szCs w:val="22"/>
        </w:rPr>
        <w:t>Н</w:t>
      </w:r>
      <w:r w:rsidRPr="00BC52AA">
        <w:rPr>
          <w:snapToGrid w:val="0"/>
          <w:szCs w:val="22"/>
        </w:rPr>
        <w:t>ародно-Демократическая Республика</w:t>
      </w:r>
    </w:p>
    <w:p w14:paraId="53E6B4C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Коста Рика</w:t>
      </w:r>
    </w:p>
    <w:p w14:paraId="54B24C3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Кот-д'Ивуар</w:t>
      </w:r>
    </w:p>
    <w:p w14:paraId="572312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Куба</w:t>
      </w:r>
    </w:p>
    <w:p w14:paraId="77820DE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Кувейт</w:t>
      </w:r>
    </w:p>
    <w:p w14:paraId="535B5EE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Кыргызстан</w:t>
      </w:r>
    </w:p>
    <w:p w14:paraId="7353DE8A" w14:textId="578EF034"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 xml:space="preserve">Лаосская </w:t>
      </w:r>
      <w:r w:rsidR="001C715D">
        <w:rPr>
          <w:snapToGrid w:val="0"/>
          <w:szCs w:val="22"/>
        </w:rPr>
        <w:t>Н</w:t>
      </w:r>
      <w:r w:rsidRPr="00BC52AA">
        <w:rPr>
          <w:snapToGrid w:val="0"/>
          <w:szCs w:val="22"/>
        </w:rPr>
        <w:t>ародно-Демократическая Республика</w:t>
      </w:r>
    </w:p>
    <w:p w14:paraId="738D37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Латвия</w:t>
      </w:r>
    </w:p>
    <w:p w14:paraId="0B8B0B6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Либерия</w:t>
      </w:r>
    </w:p>
    <w:p w14:paraId="70401AB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Ливан</w:t>
      </w:r>
    </w:p>
    <w:p w14:paraId="664EE60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Литва</w:t>
      </w:r>
    </w:p>
    <w:p w14:paraId="7BDC8AD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Лихтенштейн</w:t>
      </w:r>
    </w:p>
    <w:p w14:paraId="56C644B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Люксембург</w:t>
      </w:r>
    </w:p>
    <w:p w14:paraId="0F4659A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Маврикий</w:t>
      </w:r>
    </w:p>
    <w:p w14:paraId="18EB02B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Мавритания</w:t>
      </w:r>
    </w:p>
    <w:p w14:paraId="0AD4CBA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Мадагаскар</w:t>
      </w:r>
    </w:p>
    <w:p w14:paraId="20967C7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Малави</w:t>
      </w:r>
    </w:p>
    <w:p w14:paraId="4831F28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Малайзия</w:t>
      </w:r>
    </w:p>
    <w:p w14:paraId="3F31938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Мали</w:t>
      </w:r>
    </w:p>
    <w:p w14:paraId="6BF4CF1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Мальдивы</w:t>
      </w:r>
    </w:p>
    <w:p w14:paraId="29B9C90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Мальта</w:t>
      </w:r>
    </w:p>
    <w:p w14:paraId="5760D37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Марокко</w:t>
      </w:r>
    </w:p>
    <w:p w14:paraId="389CC37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Маршалловы острова</w:t>
      </w:r>
    </w:p>
    <w:p w14:paraId="71025F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Мексика</w:t>
      </w:r>
    </w:p>
    <w:p w14:paraId="030EEEF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Микронезия (Федеративные Штаты)</w:t>
      </w:r>
    </w:p>
    <w:p w14:paraId="6EF2DD2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Мозамбик</w:t>
      </w:r>
    </w:p>
    <w:p w14:paraId="761A6C4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Монако</w:t>
      </w:r>
    </w:p>
    <w:p w14:paraId="6EB87AD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Монголия</w:t>
      </w:r>
    </w:p>
    <w:p w14:paraId="364D79F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Мьянма</w:t>
      </w:r>
    </w:p>
    <w:p w14:paraId="554D26A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Намибия</w:t>
      </w:r>
    </w:p>
    <w:p w14:paraId="0BD02B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Науру</w:t>
      </w:r>
    </w:p>
    <w:p w14:paraId="4C25C4D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Непал</w:t>
      </w:r>
    </w:p>
    <w:p w14:paraId="5FFCEBF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Нигер</w:t>
      </w:r>
    </w:p>
    <w:p w14:paraId="04F4E1E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Нигерия</w:t>
      </w:r>
    </w:p>
    <w:p w14:paraId="418B5B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Нидерланды</w:t>
      </w:r>
    </w:p>
    <w:p w14:paraId="1A3665C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Никарагуа</w:t>
      </w:r>
    </w:p>
    <w:p w14:paraId="33EC651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Ниуэ</w:t>
      </w:r>
    </w:p>
    <w:p w14:paraId="0EEF8B69" w14:textId="114D327A"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Н</w:t>
      </w:r>
      <w:r w:rsidR="00BC52AA" w:rsidRPr="00BC52AA">
        <w:rPr>
          <w:snapToGrid w:val="0"/>
          <w:szCs w:val="22"/>
        </w:rPr>
        <w:t>овая Зеландия</w:t>
      </w:r>
    </w:p>
    <w:p w14:paraId="16C4036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Норвегия</w:t>
      </w:r>
    </w:p>
    <w:p w14:paraId="78C2579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Объединенная Республика Танзания</w:t>
      </w:r>
    </w:p>
    <w:p w14:paraId="52A7DE6D" w14:textId="6E5064F4"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О</w:t>
      </w:r>
      <w:r w:rsidR="00BC52AA" w:rsidRPr="00BC52AA">
        <w:rPr>
          <w:snapToGrid w:val="0"/>
          <w:szCs w:val="22"/>
        </w:rPr>
        <w:t xml:space="preserve">бъединенные </w:t>
      </w:r>
      <w:r>
        <w:rPr>
          <w:snapToGrid w:val="0"/>
          <w:szCs w:val="22"/>
        </w:rPr>
        <w:t>А</w:t>
      </w:r>
      <w:r w:rsidR="00BC52AA" w:rsidRPr="00BC52AA">
        <w:rPr>
          <w:snapToGrid w:val="0"/>
          <w:szCs w:val="22"/>
        </w:rPr>
        <w:t>рабские Эмираты</w:t>
      </w:r>
    </w:p>
    <w:p w14:paraId="0D0CE50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Оман</w:t>
      </w:r>
    </w:p>
    <w:p w14:paraId="42BAE076" w14:textId="68F73602"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О</w:t>
      </w:r>
      <w:r w:rsidR="00BC52AA" w:rsidRPr="00BC52AA">
        <w:rPr>
          <w:snapToGrid w:val="0"/>
          <w:szCs w:val="22"/>
        </w:rPr>
        <w:t>строва Кука</w:t>
      </w:r>
    </w:p>
    <w:p w14:paraId="1641DB1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Пакистан</w:t>
      </w:r>
    </w:p>
    <w:p w14:paraId="777E10F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Палау</w:t>
      </w:r>
    </w:p>
    <w:p w14:paraId="3A5D9BE3" w14:textId="19E95BD3"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П</w:t>
      </w:r>
      <w:r w:rsidR="00BC52AA" w:rsidRPr="00BC52AA">
        <w:rPr>
          <w:snapToGrid w:val="0"/>
          <w:szCs w:val="22"/>
        </w:rPr>
        <w:t>алестинское государство</w:t>
      </w:r>
    </w:p>
    <w:p w14:paraId="34322A4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Панама</w:t>
      </w:r>
    </w:p>
    <w:p w14:paraId="038DE0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Папуа новая Гвинея</w:t>
      </w:r>
    </w:p>
    <w:p w14:paraId="74DE297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Парагвай</w:t>
      </w:r>
    </w:p>
    <w:p w14:paraId="09EA860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Перу</w:t>
      </w:r>
    </w:p>
    <w:p w14:paraId="0524069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Польша</w:t>
      </w:r>
    </w:p>
    <w:p w14:paraId="521EB9F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Португалия</w:t>
      </w:r>
    </w:p>
    <w:p w14:paraId="7FD0CEA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Республика Корея</w:t>
      </w:r>
    </w:p>
    <w:p w14:paraId="0895F1E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Республика Молдова</w:t>
      </w:r>
    </w:p>
    <w:p w14:paraId="7B6D2A9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Российская Федерация</w:t>
      </w:r>
    </w:p>
    <w:p w14:paraId="2606D0B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Руанда</w:t>
      </w:r>
    </w:p>
    <w:p w14:paraId="6E8301B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Румыния</w:t>
      </w:r>
    </w:p>
    <w:p w14:paraId="32E654A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Сальвадор</w:t>
      </w:r>
    </w:p>
    <w:p w14:paraId="494B407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Самоа</w:t>
      </w:r>
    </w:p>
    <w:p w14:paraId="66F62532" w14:textId="216FF090"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Сан</w:t>
      </w:r>
      <w:r w:rsidR="00871F74">
        <w:rPr>
          <w:snapToGrid w:val="0"/>
          <w:szCs w:val="22"/>
        </w:rPr>
        <w:t>-</w:t>
      </w:r>
      <w:r w:rsidRPr="00BC52AA">
        <w:rPr>
          <w:snapToGrid w:val="0"/>
          <w:szCs w:val="22"/>
        </w:rPr>
        <w:t>Марино</w:t>
      </w:r>
    </w:p>
    <w:p w14:paraId="0BFDDFE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Сан-Томе и Принсипи</w:t>
      </w:r>
    </w:p>
    <w:p w14:paraId="2584957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Саудовская Аравия</w:t>
      </w:r>
    </w:p>
    <w:p w14:paraId="6A66AE3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Свазиленд</w:t>
      </w:r>
    </w:p>
    <w:p w14:paraId="0035CEA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Сейшельские острова</w:t>
      </w:r>
    </w:p>
    <w:p w14:paraId="2B463E6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Сенегал</w:t>
      </w:r>
    </w:p>
    <w:p w14:paraId="40D5C0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Сент-Винсент и Гренадины</w:t>
      </w:r>
    </w:p>
    <w:p w14:paraId="633F36F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Сент-Китс и Невис</w:t>
      </w:r>
    </w:p>
    <w:p w14:paraId="0B2D932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Сент-Люсия</w:t>
      </w:r>
    </w:p>
    <w:p w14:paraId="6E721F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Сербия</w:t>
      </w:r>
    </w:p>
    <w:p w14:paraId="2B23A29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Сингапур</w:t>
      </w:r>
    </w:p>
    <w:p w14:paraId="112099F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Сирийская Арабская Республика</w:t>
      </w:r>
    </w:p>
    <w:p w14:paraId="2ABFC49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Словакия</w:t>
      </w:r>
    </w:p>
    <w:p w14:paraId="19E6AF1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Словения</w:t>
      </w:r>
    </w:p>
    <w:p w14:paraId="41D839C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Соединенное Королевство Великобритании и Северной Ирландии</w:t>
      </w:r>
    </w:p>
    <w:p w14:paraId="1F2D967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Соломоновы острова</w:t>
      </w:r>
    </w:p>
    <w:p w14:paraId="32F2CA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Сомали</w:t>
      </w:r>
    </w:p>
    <w:p w14:paraId="27606CB9" w14:textId="77777777" w:rsidR="00BC52AA" w:rsidRPr="00BC52AA" w:rsidRDefault="00BC52AA" w:rsidP="0059162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Судан</w:t>
      </w:r>
    </w:p>
    <w:p w14:paraId="3937C1A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Суринам</w:t>
      </w:r>
    </w:p>
    <w:p w14:paraId="2B0C482F" w14:textId="062F5C2F"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Сьерра</w:t>
      </w:r>
      <w:r w:rsidR="00975236">
        <w:rPr>
          <w:snapToGrid w:val="0"/>
          <w:szCs w:val="22"/>
        </w:rPr>
        <w:t>-</w:t>
      </w:r>
      <w:r w:rsidRPr="00BC52AA">
        <w:rPr>
          <w:snapToGrid w:val="0"/>
          <w:szCs w:val="22"/>
        </w:rPr>
        <w:t>Леоне</w:t>
      </w:r>
    </w:p>
    <w:p w14:paraId="1139EED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Таджикистан</w:t>
      </w:r>
    </w:p>
    <w:p w14:paraId="768D928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Таиланд</w:t>
      </w:r>
    </w:p>
    <w:p w14:paraId="303B947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Того</w:t>
      </w:r>
    </w:p>
    <w:p w14:paraId="78BAAAD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Тонга</w:t>
      </w:r>
    </w:p>
    <w:p w14:paraId="2C39A4C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Тринидад и Тобаго</w:t>
      </w:r>
    </w:p>
    <w:p w14:paraId="3A72F4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Тувалу</w:t>
      </w:r>
    </w:p>
    <w:p w14:paraId="67132CE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Тунис</w:t>
      </w:r>
    </w:p>
    <w:p w14:paraId="65AE683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Туркменистан</w:t>
      </w:r>
    </w:p>
    <w:p w14:paraId="6EE0FF1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Турция</w:t>
      </w:r>
    </w:p>
    <w:p w14:paraId="48A5F70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Уганда</w:t>
      </w:r>
    </w:p>
    <w:p w14:paraId="2202CF3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Узбекистан</w:t>
      </w:r>
    </w:p>
    <w:p w14:paraId="60D52F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Украина</w:t>
      </w:r>
    </w:p>
    <w:p w14:paraId="6D7DC1E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Уругвай</w:t>
      </w:r>
    </w:p>
    <w:p w14:paraId="0C84AE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Фиджи</w:t>
      </w:r>
    </w:p>
    <w:p w14:paraId="592B5B8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Филиппины</w:t>
      </w:r>
    </w:p>
    <w:p w14:paraId="6F63477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Финляндия</w:t>
      </w:r>
    </w:p>
    <w:p w14:paraId="4EB9C95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Франция</w:t>
      </w:r>
    </w:p>
    <w:p w14:paraId="486E0D7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Хорватия</w:t>
      </w:r>
    </w:p>
    <w:p w14:paraId="41072F3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Центральноафриканская Республика</w:t>
      </w:r>
    </w:p>
    <w:p w14:paraId="4BAA8E5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Чад</w:t>
      </w:r>
    </w:p>
    <w:p w14:paraId="692499F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Черногория</w:t>
      </w:r>
    </w:p>
    <w:p w14:paraId="3C348A0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Чехия</w:t>
      </w:r>
    </w:p>
    <w:p w14:paraId="46A0FA5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Чили</w:t>
      </w:r>
    </w:p>
    <w:p w14:paraId="28B027A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Швейцария</w:t>
      </w:r>
    </w:p>
    <w:p w14:paraId="08EF1CC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Швеция</w:t>
      </w:r>
    </w:p>
    <w:p w14:paraId="582F943F" w14:textId="24FF1614"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Шри-Ланка</w:t>
      </w:r>
    </w:p>
    <w:p w14:paraId="345717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Эквадор</w:t>
      </w:r>
    </w:p>
    <w:p w14:paraId="0C2198A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Экваториальная Гвинея</w:t>
      </w:r>
    </w:p>
    <w:p w14:paraId="7FE92C8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Эритрея</w:t>
      </w:r>
    </w:p>
    <w:p w14:paraId="2F5F3C2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Эстония</w:t>
      </w:r>
    </w:p>
    <w:p w14:paraId="73933B5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Эфиопия</w:t>
      </w:r>
    </w:p>
    <w:p w14:paraId="7257977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Южная Африка</w:t>
      </w:r>
    </w:p>
    <w:p w14:paraId="255BD3C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Южный Судан</w:t>
      </w:r>
    </w:p>
    <w:p w14:paraId="4ED76D4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Ямайка</w:t>
      </w:r>
    </w:p>
    <w:p w14:paraId="39871DC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Япония</w:t>
      </w:r>
    </w:p>
    <w:p w14:paraId="05076092" w14:textId="77777777" w:rsidR="00445CE1" w:rsidRDefault="00445CE1" w:rsidP="00445CE1">
      <w:pPr>
        <w:suppressLineNumbers/>
        <w:suppressAutoHyphens/>
        <w:kinsoku w:val="0"/>
        <w:overflowPunct w:val="0"/>
        <w:autoSpaceDE w:val="0"/>
        <w:autoSpaceDN w:val="0"/>
        <w:adjustRightInd w:val="0"/>
        <w:snapToGrid w:val="0"/>
        <w:spacing w:before="60" w:after="60"/>
        <w:rPr>
          <w:snapToGrid w:val="0"/>
          <w:kern w:val="22"/>
          <w:szCs w:val="22"/>
        </w:rPr>
      </w:pPr>
    </w:p>
    <w:p w14:paraId="7B84EB5C" w14:textId="068F1BF2" w:rsidR="003561CE" w:rsidRDefault="003561CE" w:rsidP="003561CE">
      <w:pPr>
        <w:suppressLineNumbers/>
        <w:suppressAutoHyphens/>
        <w:kinsoku w:val="0"/>
        <w:overflowPunct w:val="0"/>
        <w:autoSpaceDE w:val="0"/>
        <w:autoSpaceDN w:val="0"/>
        <w:adjustRightInd w:val="0"/>
        <w:snapToGrid w:val="0"/>
        <w:spacing w:before="60" w:after="60"/>
        <w:rPr>
          <w:snapToGrid w:val="0"/>
          <w:kern w:val="22"/>
          <w:szCs w:val="22"/>
        </w:rPr>
        <w:sectPr w:rsidR="003561CE" w:rsidSect="00F32057">
          <w:type w:val="continuous"/>
          <w:pgSz w:w="12240" w:h="15840" w:code="1"/>
          <w:pgMar w:top="1021" w:right="1440" w:bottom="1140" w:left="1440" w:header="454" w:footer="720" w:gutter="0"/>
          <w:cols w:num="2" w:space="720"/>
          <w:titlePg/>
          <w:docGrid w:linePitch="299"/>
        </w:sectPr>
      </w:pPr>
    </w:p>
    <w:p w14:paraId="354616DE" w14:textId="77777777" w:rsidR="005752E0" w:rsidRPr="006D1747" w:rsidRDefault="005752E0" w:rsidP="005752E0">
      <w:pPr>
        <w:suppressLineNumbers/>
        <w:tabs>
          <w:tab w:val="left" w:pos="450"/>
        </w:tabs>
        <w:suppressAutoHyphens/>
        <w:kinsoku w:val="0"/>
        <w:overflowPunct w:val="0"/>
        <w:autoSpaceDE w:val="0"/>
        <w:autoSpaceDN w:val="0"/>
        <w:adjustRightInd w:val="0"/>
        <w:snapToGrid w:val="0"/>
        <w:spacing w:before="60" w:after="60"/>
        <w:rPr>
          <w:snapToGrid w:val="0"/>
          <w:kern w:val="22"/>
          <w:szCs w:val="22"/>
        </w:rPr>
      </w:pPr>
    </w:p>
    <w:p w14:paraId="5CE81298" w14:textId="77777777" w:rsidR="005752E0" w:rsidRDefault="005752E0" w:rsidP="005752E0">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rPr>
        <w:sectPr w:rsidR="005752E0" w:rsidSect="00F32057">
          <w:type w:val="continuous"/>
          <w:pgSz w:w="12240" w:h="15840" w:code="1"/>
          <w:pgMar w:top="1021" w:right="1440" w:bottom="1140" w:left="1440" w:header="454" w:footer="720" w:gutter="0"/>
          <w:cols w:num="3" w:space="720"/>
          <w:titlePg/>
          <w:docGrid w:linePitch="299"/>
        </w:sectPr>
      </w:pPr>
    </w:p>
    <w:p w14:paraId="5CBD63FB" w14:textId="77777777" w:rsidR="00213CD3" w:rsidRDefault="00213CD3" w:rsidP="001838BA">
      <w:pPr>
        <w:suppressLineNumbers/>
        <w:suppressAutoHyphens/>
        <w:kinsoku w:val="0"/>
        <w:overflowPunct w:val="0"/>
        <w:autoSpaceDE w:val="0"/>
        <w:autoSpaceDN w:val="0"/>
        <w:adjustRightInd w:val="0"/>
        <w:snapToGrid w:val="0"/>
        <w:jc w:val="left"/>
      </w:pPr>
    </w:p>
    <w:p w14:paraId="08C0E24D" w14:textId="417265EF" w:rsidR="009A720E" w:rsidRPr="006D1747" w:rsidRDefault="009A720E" w:rsidP="001838BA">
      <w:pPr>
        <w:suppressLineNumbers/>
        <w:suppressAutoHyphens/>
        <w:kinsoku w:val="0"/>
        <w:overflowPunct w:val="0"/>
        <w:autoSpaceDE w:val="0"/>
        <w:autoSpaceDN w:val="0"/>
        <w:adjustRightInd w:val="0"/>
        <w:snapToGrid w:val="0"/>
        <w:jc w:val="left"/>
        <w:rPr>
          <w:b/>
          <w:bCs/>
          <w:snapToGrid w:val="0"/>
          <w:kern w:val="22"/>
          <w:szCs w:val="22"/>
        </w:rPr>
      </w:pPr>
      <w:r>
        <w:br w:type="page"/>
      </w:r>
    </w:p>
    <w:p w14:paraId="08C0E24E" w14:textId="77777777" w:rsidR="009E4766" w:rsidRPr="006D1747" w:rsidRDefault="009E4766" w:rsidP="001838BA">
      <w:pPr>
        <w:suppressLineNumbers/>
        <w:suppressAutoHyphens/>
        <w:kinsoku w:val="0"/>
        <w:overflowPunct w:val="0"/>
        <w:autoSpaceDE w:val="0"/>
        <w:autoSpaceDN w:val="0"/>
        <w:adjustRightInd w:val="0"/>
        <w:snapToGrid w:val="0"/>
        <w:jc w:val="center"/>
        <w:rPr>
          <w:i/>
          <w:iCs/>
          <w:snapToGrid w:val="0"/>
          <w:kern w:val="22"/>
          <w:szCs w:val="22"/>
        </w:rPr>
      </w:pPr>
      <w:r>
        <w:rPr>
          <w:i/>
          <w:iCs/>
          <w:snapToGrid w:val="0"/>
          <w:szCs w:val="22"/>
        </w:rPr>
        <w:lastRenderedPageBreak/>
        <w:t>Приложение II</w:t>
      </w:r>
    </w:p>
    <w:p w14:paraId="08C0E24F" w14:textId="77777777" w:rsidR="001622FF" w:rsidRPr="006D1747" w:rsidRDefault="009E4766" w:rsidP="001838BA">
      <w:pPr>
        <w:pStyle w:val="Heading1"/>
        <w:suppressLineNumbers/>
        <w:suppressAutoHyphens/>
        <w:kinsoku w:val="0"/>
        <w:overflowPunct w:val="0"/>
        <w:autoSpaceDE w:val="0"/>
        <w:autoSpaceDN w:val="0"/>
        <w:adjustRightInd w:val="0"/>
        <w:snapToGrid w:val="0"/>
        <w:spacing w:before="120"/>
        <w:rPr>
          <w:bCs/>
          <w:snapToGrid w:val="0"/>
          <w:kern w:val="22"/>
          <w:szCs w:val="22"/>
        </w:rPr>
      </w:pPr>
      <w:r>
        <w:rPr>
          <w:bCs/>
          <w:snapToGrid w:val="0"/>
          <w:szCs w:val="22"/>
        </w:rPr>
        <w:t xml:space="preserve">СПИСОК НАЦИОНАЛЬНЫХ СТРАТЕГИЙ И ПЛАНОВ ДЕЙСТВИЙ ПО СОХРАНЕНИЮ БИОРАЗНООБРАЗИЯ, ПОЛУЧЕННЫХ СЕКРЕТАРИАТОМ КОНВЕНЦИИ О БИОЛОГИЧЕСКОМ РАЗНООБРАЗИИ В ПЕРИОД МЕЖДУ ОКТЯБРЕМ 2010 ГОДА И 14 МАРТА 2018 ГОДА </w:t>
      </w:r>
    </w:p>
    <w:p w14:paraId="08C0E250" w14:textId="77777777" w:rsidR="008C5228" w:rsidRDefault="008C5228" w:rsidP="001838BA">
      <w:pPr>
        <w:pStyle w:val="Heading2"/>
        <w:suppressLineNumbers/>
        <w:suppressAutoHyphens/>
        <w:kinsoku w:val="0"/>
        <w:overflowPunct w:val="0"/>
        <w:autoSpaceDE w:val="0"/>
        <w:autoSpaceDN w:val="0"/>
        <w:adjustRightInd w:val="0"/>
        <w:snapToGrid w:val="0"/>
        <w:sectPr w:rsidR="008C5228" w:rsidSect="001838BA">
          <w:type w:val="continuous"/>
          <w:pgSz w:w="12240" w:h="15840" w:code="1"/>
          <w:pgMar w:top="567" w:right="1389" w:bottom="1134" w:left="1389" w:header="461" w:footer="720" w:gutter="0"/>
          <w:cols w:space="708"/>
          <w:docGrid w:linePitch="360"/>
        </w:sectPr>
      </w:pPr>
    </w:p>
    <w:p w14:paraId="08C0E251" w14:textId="77777777" w:rsidR="001622FF" w:rsidRPr="001838BA" w:rsidRDefault="001622FF" w:rsidP="001838BA">
      <w:pPr>
        <w:pStyle w:val="Heading2"/>
        <w:suppressLineNumbers/>
        <w:suppressAutoHyphens/>
        <w:kinsoku w:val="0"/>
        <w:overflowPunct w:val="0"/>
        <w:autoSpaceDE w:val="0"/>
        <w:autoSpaceDN w:val="0"/>
        <w:adjustRightInd w:val="0"/>
        <w:snapToGrid w:val="0"/>
        <w:rPr>
          <w:bCs w:val="0"/>
        </w:rPr>
      </w:pPr>
    </w:p>
    <w:p w14:paraId="08C0E252" w14:textId="77777777" w:rsidR="008C5228" w:rsidRDefault="008C5228" w:rsidP="001838B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sectPr w:rsidR="008C5228" w:rsidSect="009A720E">
          <w:type w:val="continuous"/>
          <w:pgSz w:w="12240" w:h="15840" w:code="1"/>
          <w:pgMar w:top="567" w:right="1389" w:bottom="1134" w:left="1389" w:header="709" w:footer="709" w:gutter="0"/>
          <w:cols w:space="708"/>
          <w:docGrid w:linePitch="360"/>
        </w:sectPr>
      </w:pPr>
    </w:p>
    <w:p w14:paraId="7317A2E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Австралия</w:t>
      </w:r>
    </w:p>
    <w:p w14:paraId="6CD1B45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Австрия</w:t>
      </w:r>
    </w:p>
    <w:p w14:paraId="4401270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Азербайджан</w:t>
      </w:r>
    </w:p>
    <w:p w14:paraId="7B43304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Албания</w:t>
      </w:r>
    </w:p>
    <w:p w14:paraId="5B9EF8F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Алжир</w:t>
      </w:r>
    </w:p>
    <w:p w14:paraId="7CC2F7E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Андорра</w:t>
      </w:r>
    </w:p>
    <w:p w14:paraId="5EADF5C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Антигуа и Барбуда</w:t>
      </w:r>
    </w:p>
    <w:p w14:paraId="52BB5DA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Аргентина</w:t>
      </w:r>
    </w:p>
    <w:p w14:paraId="7905125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Армения</w:t>
      </w:r>
    </w:p>
    <w:p w14:paraId="529D1CF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Афганистан</w:t>
      </w:r>
    </w:p>
    <w:p w14:paraId="706D4B0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Бангладеш</w:t>
      </w:r>
    </w:p>
    <w:p w14:paraId="2BE546A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Бахрейн</w:t>
      </w:r>
    </w:p>
    <w:p w14:paraId="15D55EF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Беларусь</w:t>
      </w:r>
    </w:p>
    <w:p w14:paraId="35A84CA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Белиз</w:t>
      </w:r>
    </w:p>
    <w:p w14:paraId="1492256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Бельгия</w:t>
      </w:r>
    </w:p>
    <w:p w14:paraId="45B1756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Бенин</w:t>
      </w:r>
    </w:p>
    <w:p w14:paraId="43F19E8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Босния и Герцеговина</w:t>
      </w:r>
    </w:p>
    <w:p w14:paraId="275A63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Ботсвана</w:t>
      </w:r>
    </w:p>
    <w:p w14:paraId="519B848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Бразилия</w:t>
      </w:r>
    </w:p>
    <w:p w14:paraId="5638C87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Бруней-Даруссалам</w:t>
      </w:r>
    </w:p>
    <w:p w14:paraId="5B6FAD1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Буркина Фасо</w:t>
      </w:r>
    </w:p>
    <w:p w14:paraId="66500AB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Бурунди</w:t>
      </w:r>
    </w:p>
    <w:p w14:paraId="27B90E7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Бутан</w:t>
      </w:r>
    </w:p>
    <w:p w14:paraId="016DA7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Венгрия</w:t>
      </w:r>
    </w:p>
    <w:p w14:paraId="66C86E0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Венесуэла (Боливарианская Республика)</w:t>
      </w:r>
    </w:p>
    <w:p w14:paraId="3230D144" w14:textId="0C14AABB" w:rsidR="003B76D1" w:rsidRPr="003B76D1" w:rsidRDefault="00A45D12"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В</w:t>
      </w:r>
      <w:r w:rsidR="003B76D1" w:rsidRPr="003B76D1">
        <w:rPr>
          <w:snapToGrid w:val="0"/>
          <w:szCs w:val="22"/>
        </w:rPr>
        <w:t>осточный Тимор</w:t>
      </w:r>
    </w:p>
    <w:p w14:paraId="15D8E5C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Вьетнам</w:t>
      </w:r>
    </w:p>
    <w:p w14:paraId="3CF41FD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Гайана</w:t>
      </w:r>
    </w:p>
    <w:p w14:paraId="7C757FE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Гамбия</w:t>
      </w:r>
    </w:p>
    <w:p w14:paraId="42B9694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Гана</w:t>
      </w:r>
    </w:p>
    <w:p w14:paraId="5E07F1C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Гватемала</w:t>
      </w:r>
    </w:p>
    <w:p w14:paraId="71D423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Гвинея</w:t>
      </w:r>
    </w:p>
    <w:p w14:paraId="726BAA1A" w14:textId="3451E5C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Гвинея</w:t>
      </w:r>
      <w:r w:rsidR="00F81CCD">
        <w:rPr>
          <w:snapToGrid w:val="0"/>
          <w:szCs w:val="22"/>
        </w:rPr>
        <w:t>-</w:t>
      </w:r>
      <w:r w:rsidRPr="003B76D1">
        <w:rPr>
          <w:snapToGrid w:val="0"/>
          <w:szCs w:val="22"/>
        </w:rPr>
        <w:t>Бисау</w:t>
      </w:r>
    </w:p>
    <w:p w14:paraId="27699A5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Германия</w:t>
      </w:r>
    </w:p>
    <w:p w14:paraId="1951B41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Гондурас</w:t>
      </w:r>
    </w:p>
    <w:p w14:paraId="6E75FB8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Гренада</w:t>
      </w:r>
    </w:p>
    <w:p w14:paraId="3F3FD7A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Греция</w:t>
      </w:r>
    </w:p>
    <w:p w14:paraId="0F4087D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Грузия</w:t>
      </w:r>
    </w:p>
    <w:p w14:paraId="39A7439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Дания</w:t>
      </w:r>
    </w:p>
    <w:p w14:paraId="60D858C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Демократическая Республика Конго</w:t>
      </w:r>
    </w:p>
    <w:p w14:paraId="66D1FC1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Джибути</w:t>
      </w:r>
    </w:p>
    <w:p w14:paraId="20C0001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Доминика</w:t>
      </w:r>
    </w:p>
    <w:p w14:paraId="00D0BCD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Доминиканская Республика</w:t>
      </w:r>
    </w:p>
    <w:p w14:paraId="62E84975" w14:textId="1ADB72AB" w:rsidR="003B76D1" w:rsidRPr="003B76D1" w:rsidRDefault="00F81CCD"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Е</w:t>
      </w:r>
      <w:r w:rsidR="003B76D1" w:rsidRPr="003B76D1">
        <w:rPr>
          <w:snapToGrid w:val="0"/>
          <w:szCs w:val="22"/>
        </w:rPr>
        <w:t xml:space="preserve">вропейский </w:t>
      </w:r>
      <w:r>
        <w:rPr>
          <w:snapToGrid w:val="0"/>
          <w:szCs w:val="22"/>
        </w:rPr>
        <w:t>с</w:t>
      </w:r>
      <w:r w:rsidR="003B76D1" w:rsidRPr="003B76D1">
        <w:rPr>
          <w:snapToGrid w:val="0"/>
          <w:szCs w:val="22"/>
        </w:rPr>
        <w:t>оюз</w:t>
      </w:r>
    </w:p>
    <w:p w14:paraId="0456FBC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Египет</w:t>
      </w:r>
    </w:p>
    <w:p w14:paraId="1806B4C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Замбия</w:t>
      </w:r>
    </w:p>
    <w:p w14:paraId="5452E155" w14:textId="77777777" w:rsidR="003B76D1" w:rsidRPr="003847C2"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Зимбабве</w:t>
      </w:r>
    </w:p>
    <w:p w14:paraId="0A9B50F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Индия</w:t>
      </w:r>
    </w:p>
    <w:p w14:paraId="037D304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Индонезия</w:t>
      </w:r>
    </w:p>
    <w:p w14:paraId="74B2D26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Иордания</w:t>
      </w:r>
    </w:p>
    <w:p w14:paraId="0B3E06B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Ирак</w:t>
      </w:r>
    </w:p>
    <w:p w14:paraId="65938F5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Иран (Исламская Республика)</w:t>
      </w:r>
    </w:p>
    <w:p w14:paraId="68EECAA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Ирландия</w:t>
      </w:r>
    </w:p>
    <w:p w14:paraId="2BE2596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Испания</w:t>
      </w:r>
    </w:p>
    <w:p w14:paraId="258C258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Италия</w:t>
      </w:r>
    </w:p>
    <w:p w14:paraId="0C894BF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Йемен</w:t>
      </w:r>
    </w:p>
    <w:p w14:paraId="0A352AD7" w14:textId="148BC208"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Кабо</w:t>
      </w:r>
      <w:r w:rsidR="00665FA9">
        <w:rPr>
          <w:snapToGrid w:val="0"/>
          <w:szCs w:val="22"/>
        </w:rPr>
        <w:t>-</w:t>
      </w:r>
      <w:r w:rsidRPr="003B76D1">
        <w:rPr>
          <w:snapToGrid w:val="0"/>
          <w:szCs w:val="22"/>
        </w:rPr>
        <w:t>Верде</w:t>
      </w:r>
    </w:p>
    <w:p w14:paraId="34B92C3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Камбоджа</w:t>
      </w:r>
    </w:p>
    <w:p w14:paraId="3EE2C12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Камерун</w:t>
      </w:r>
    </w:p>
    <w:p w14:paraId="1C17E5D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Канада</w:t>
      </w:r>
    </w:p>
    <w:p w14:paraId="5BD8E3D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Катар</w:t>
      </w:r>
    </w:p>
    <w:p w14:paraId="2AAA53B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Кирибати</w:t>
      </w:r>
    </w:p>
    <w:p w14:paraId="6359DFA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Китай</w:t>
      </w:r>
    </w:p>
    <w:p w14:paraId="09E5090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Колумбия</w:t>
      </w:r>
    </w:p>
    <w:p w14:paraId="3297BD0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Коморские острова</w:t>
      </w:r>
    </w:p>
    <w:p w14:paraId="023AFEC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Конго</w:t>
      </w:r>
    </w:p>
    <w:p w14:paraId="2C4CADE0" w14:textId="3BB9486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 xml:space="preserve">Корейская </w:t>
      </w:r>
      <w:r w:rsidR="00CC1711">
        <w:rPr>
          <w:snapToGrid w:val="0"/>
          <w:szCs w:val="22"/>
        </w:rPr>
        <w:t>Н</w:t>
      </w:r>
      <w:r w:rsidRPr="003B76D1">
        <w:rPr>
          <w:snapToGrid w:val="0"/>
          <w:szCs w:val="22"/>
        </w:rPr>
        <w:t>ародно-Демократическая Республика</w:t>
      </w:r>
    </w:p>
    <w:p w14:paraId="14B729D8" w14:textId="3EF90BB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Коста</w:t>
      </w:r>
      <w:r w:rsidR="00CC1711">
        <w:rPr>
          <w:snapToGrid w:val="0"/>
          <w:szCs w:val="22"/>
        </w:rPr>
        <w:t>-</w:t>
      </w:r>
      <w:r w:rsidRPr="003B76D1">
        <w:rPr>
          <w:snapToGrid w:val="0"/>
          <w:szCs w:val="22"/>
        </w:rPr>
        <w:t>Рика</w:t>
      </w:r>
    </w:p>
    <w:p w14:paraId="51CD08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Кот-д'Ивуар</w:t>
      </w:r>
    </w:p>
    <w:p w14:paraId="41BF95D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Куба</w:t>
      </w:r>
    </w:p>
    <w:p w14:paraId="6DE43D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Кыргызстан</w:t>
      </w:r>
    </w:p>
    <w:p w14:paraId="68212CF6" w14:textId="7E012E4E"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lastRenderedPageBreak/>
        <w:t xml:space="preserve">Лаосская </w:t>
      </w:r>
      <w:r w:rsidR="00665FA9">
        <w:rPr>
          <w:snapToGrid w:val="0"/>
          <w:szCs w:val="22"/>
        </w:rPr>
        <w:t>Н</w:t>
      </w:r>
      <w:r w:rsidRPr="003B76D1">
        <w:rPr>
          <w:snapToGrid w:val="0"/>
          <w:szCs w:val="22"/>
        </w:rPr>
        <w:t>ародно-Демократическая Республика</w:t>
      </w:r>
    </w:p>
    <w:p w14:paraId="5BC6C74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Латвия</w:t>
      </w:r>
    </w:p>
    <w:p w14:paraId="73D8274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Либерия</w:t>
      </w:r>
    </w:p>
    <w:p w14:paraId="46673D2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Ливан</w:t>
      </w:r>
    </w:p>
    <w:p w14:paraId="01A31A0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Литва</w:t>
      </w:r>
    </w:p>
    <w:p w14:paraId="692B46B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Лихтенштейн</w:t>
      </w:r>
    </w:p>
    <w:p w14:paraId="3C453DE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Люксембург</w:t>
      </w:r>
    </w:p>
    <w:p w14:paraId="47641D7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Маврикий</w:t>
      </w:r>
    </w:p>
    <w:p w14:paraId="66CBE6B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Мавритания</w:t>
      </w:r>
    </w:p>
    <w:p w14:paraId="375F4EC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Мадагаскар</w:t>
      </w:r>
    </w:p>
    <w:p w14:paraId="5E5D0C2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Малави</w:t>
      </w:r>
    </w:p>
    <w:p w14:paraId="32A7AC9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Малайзия</w:t>
      </w:r>
    </w:p>
    <w:p w14:paraId="65955C8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Мали</w:t>
      </w:r>
    </w:p>
    <w:p w14:paraId="2E0B4C9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Мальдивы</w:t>
      </w:r>
    </w:p>
    <w:p w14:paraId="0285CA0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Мальта</w:t>
      </w:r>
    </w:p>
    <w:p w14:paraId="61A4E0A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Марокко</w:t>
      </w:r>
    </w:p>
    <w:p w14:paraId="0D4AA27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Мексика</w:t>
      </w:r>
    </w:p>
    <w:p w14:paraId="034854A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Мозамбик</w:t>
      </w:r>
    </w:p>
    <w:p w14:paraId="08E449D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Монголия</w:t>
      </w:r>
    </w:p>
    <w:p w14:paraId="38F14EF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Мьянма</w:t>
      </w:r>
    </w:p>
    <w:p w14:paraId="1C6E46D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Намибия</w:t>
      </w:r>
    </w:p>
    <w:p w14:paraId="4DA156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Науру</w:t>
      </w:r>
    </w:p>
    <w:p w14:paraId="417646B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Непал</w:t>
      </w:r>
    </w:p>
    <w:p w14:paraId="7183AB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Нигер</w:t>
      </w:r>
    </w:p>
    <w:p w14:paraId="634ACF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Нигерия</w:t>
      </w:r>
    </w:p>
    <w:p w14:paraId="47FD349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Нидерланды</w:t>
      </w:r>
    </w:p>
    <w:p w14:paraId="57D7987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Никарагуа</w:t>
      </w:r>
    </w:p>
    <w:p w14:paraId="0500E0A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Ниуэ</w:t>
      </w:r>
    </w:p>
    <w:p w14:paraId="0DB63A56" w14:textId="1BA578D5" w:rsidR="003B76D1" w:rsidRPr="003B76D1" w:rsidRDefault="0072205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Н</w:t>
      </w:r>
      <w:r w:rsidR="003B76D1" w:rsidRPr="003B76D1">
        <w:rPr>
          <w:snapToGrid w:val="0"/>
          <w:szCs w:val="22"/>
        </w:rPr>
        <w:t>овая Зеландия</w:t>
      </w:r>
    </w:p>
    <w:p w14:paraId="22E8B16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Норвегия</w:t>
      </w:r>
    </w:p>
    <w:p w14:paraId="53EADD8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Объединенная Республика Танзания</w:t>
      </w:r>
    </w:p>
    <w:p w14:paraId="7440D8A8" w14:textId="35AEA034" w:rsidR="003B76D1" w:rsidRPr="003B76D1" w:rsidRDefault="0072205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О</w:t>
      </w:r>
      <w:r w:rsidR="003B76D1" w:rsidRPr="003B76D1">
        <w:rPr>
          <w:snapToGrid w:val="0"/>
          <w:szCs w:val="22"/>
        </w:rPr>
        <w:t xml:space="preserve">бъединенные </w:t>
      </w:r>
      <w:r>
        <w:rPr>
          <w:snapToGrid w:val="0"/>
          <w:szCs w:val="22"/>
        </w:rPr>
        <w:t>А</w:t>
      </w:r>
      <w:r w:rsidR="003B76D1" w:rsidRPr="003B76D1">
        <w:rPr>
          <w:snapToGrid w:val="0"/>
          <w:szCs w:val="22"/>
        </w:rPr>
        <w:t>рабские Эмираты</w:t>
      </w:r>
    </w:p>
    <w:p w14:paraId="76C49EB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Парагвай</w:t>
      </w:r>
    </w:p>
    <w:p w14:paraId="7009ABB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Перу</w:t>
      </w:r>
    </w:p>
    <w:p w14:paraId="3E0D989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Польша</w:t>
      </w:r>
    </w:p>
    <w:p w14:paraId="2AA2F41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Республика Корея</w:t>
      </w:r>
    </w:p>
    <w:p w14:paraId="487A715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Республика Молдова</w:t>
      </w:r>
    </w:p>
    <w:p w14:paraId="1C5AFAC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Российская Федерация</w:t>
      </w:r>
    </w:p>
    <w:p w14:paraId="6953C5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Руанда</w:t>
      </w:r>
    </w:p>
    <w:p w14:paraId="4DC2954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Румыния</w:t>
      </w:r>
    </w:p>
    <w:p w14:paraId="3CE639CF"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Сальвадор</w:t>
      </w:r>
    </w:p>
    <w:p w14:paraId="674492B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Самоа</w:t>
      </w:r>
    </w:p>
    <w:p w14:paraId="4CBC57A2" w14:textId="73ADF551"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Сан</w:t>
      </w:r>
      <w:r w:rsidR="00363CFB">
        <w:rPr>
          <w:snapToGrid w:val="0"/>
          <w:szCs w:val="22"/>
        </w:rPr>
        <w:t>-</w:t>
      </w:r>
      <w:r w:rsidRPr="003B76D1">
        <w:rPr>
          <w:snapToGrid w:val="0"/>
          <w:szCs w:val="22"/>
        </w:rPr>
        <w:t>Марино</w:t>
      </w:r>
    </w:p>
    <w:p w14:paraId="707AB8B1"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Сан-Томе и Принсипи</w:t>
      </w:r>
    </w:p>
    <w:p w14:paraId="2F0C4C2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Свазиленд</w:t>
      </w:r>
    </w:p>
    <w:p w14:paraId="05D20C6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Сейшельские острова</w:t>
      </w:r>
    </w:p>
    <w:p w14:paraId="663165B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Сенегал</w:t>
      </w:r>
    </w:p>
    <w:p w14:paraId="1016EE3A"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Сент-Китс и Невис</w:t>
      </w:r>
    </w:p>
    <w:p w14:paraId="5ABDE00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Сербия</w:t>
      </w:r>
    </w:p>
    <w:p w14:paraId="4147D51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Словакия</w:t>
      </w:r>
    </w:p>
    <w:p w14:paraId="7BC6B2D0" w14:textId="77777777" w:rsidR="003B76D1" w:rsidRPr="003B76D1" w:rsidRDefault="003B76D1" w:rsidP="00A9412F">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Соединенное Королевство Великобритании и Северной Ирландии</w:t>
      </w:r>
    </w:p>
    <w:p w14:paraId="10C6BF2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Соломоновы острова</w:t>
      </w:r>
    </w:p>
    <w:p w14:paraId="339F7902"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Сомали</w:t>
      </w:r>
    </w:p>
    <w:p w14:paraId="07F20CA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Судан</w:t>
      </w:r>
    </w:p>
    <w:p w14:paraId="6BDC5515"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Суринам</w:t>
      </w:r>
    </w:p>
    <w:p w14:paraId="7EB8EE7A"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Таджикистан</w:t>
      </w:r>
    </w:p>
    <w:p w14:paraId="17A1B53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Таиланд</w:t>
      </w:r>
    </w:p>
    <w:p w14:paraId="31B27C7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Того</w:t>
      </w:r>
    </w:p>
    <w:p w14:paraId="275DA78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Тонга</w:t>
      </w:r>
    </w:p>
    <w:p w14:paraId="4EF034F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Тувалу</w:t>
      </w:r>
    </w:p>
    <w:p w14:paraId="702CC28A"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Тунис</w:t>
      </w:r>
    </w:p>
    <w:p w14:paraId="00302E0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Уганда</w:t>
      </w:r>
    </w:p>
    <w:p w14:paraId="5362B32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Украина</w:t>
      </w:r>
    </w:p>
    <w:p w14:paraId="0C8005F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Уругвай</w:t>
      </w:r>
    </w:p>
    <w:p w14:paraId="26717CF8"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Филиппины</w:t>
      </w:r>
    </w:p>
    <w:p w14:paraId="6AD3FE5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Финляндия</w:t>
      </w:r>
    </w:p>
    <w:p w14:paraId="61D093E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Франция</w:t>
      </w:r>
    </w:p>
    <w:p w14:paraId="19C64E4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Хорватия</w:t>
      </w:r>
    </w:p>
    <w:p w14:paraId="67B6837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Чад</w:t>
      </w:r>
    </w:p>
    <w:p w14:paraId="5FDF2FFE"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Черногория</w:t>
      </w:r>
    </w:p>
    <w:p w14:paraId="10411E75"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Чехия</w:t>
      </w:r>
    </w:p>
    <w:p w14:paraId="2D3A39A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Чили</w:t>
      </w:r>
    </w:p>
    <w:p w14:paraId="2DC2C2F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Швейцария</w:t>
      </w:r>
    </w:p>
    <w:p w14:paraId="23BF3F6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Швеция</w:t>
      </w:r>
    </w:p>
    <w:p w14:paraId="7AEFFD93" w14:textId="4E1BEC9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Шри</w:t>
      </w:r>
      <w:r w:rsidR="00CC1711">
        <w:rPr>
          <w:snapToGrid w:val="0"/>
          <w:szCs w:val="22"/>
        </w:rPr>
        <w:t>-</w:t>
      </w:r>
      <w:r w:rsidRPr="003B76D1">
        <w:rPr>
          <w:snapToGrid w:val="0"/>
          <w:szCs w:val="22"/>
        </w:rPr>
        <w:t>Ланка</w:t>
      </w:r>
    </w:p>
    <w:p w14:paraId="63DFE23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Эквадор</w:t>
      </w:r>
    </w:p>
    <w:p w14:paraId="1EF654E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Экваториальная Гвинея</w:t>
      </w:r>
    </w:p>
    <w:p w14:paraId="6B235A6F"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Эритрея</w:t>
      </w:r>
    </w:p>
    <w:p w14:paraId="4651499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Эстония</w:t>
      </w:r>
    </w:p>
    <w:p w14:paraId="3780E3A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Эфиопия</w:t>
      </w:r>
    </w:p>
    <w:p w14:paraId="66AB11B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lastRenderedPageBreak/>
        <w:t>Южная Африка</w:t>
      </w:r>
    </w:p>
    <w:p w14:paraId="4BD3068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Ямайка</w:t>
      </w:r>
    </w:p>
    <w:p w14:paraId="79AE1E3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Япония</w:t>
      </w:r>
    </w:p>
    <w:p w14:paraId="7A28CF22" w14:textId="77777777" w:rsidR="003B76D1" w:rsidRDefault="003B76D1" w:rsidP="003B76D1">
      <w:pPr>
        <w:suppressLineNumbers/>
        <w:tabs>
          <w:tab w:val="left" w:pos="270"/>
        </w:tabs>
        <w:suppressAutoHyphens/>
        <w:kinsoku w:val="0"/>
        <w:overflowPunct w:val="0"/>
        <w:autoSpaceDE w:val="0"/>
        <w:autoSpaceDN w:val="0"/>
        <w:adjustRightInd w:val="0"/>
        <w:snapToGrid w:val="0"/>
        <w:spacing w:before="60" w:after="60"/>
        <w:jc w:val="left"/>
        <w:rPr>
          <w:snapToGrid w:val="0"/>
          <w:kern w:val="22"/>
          <w:szCs w:val="22"/>
        </w:rPr>
      </w:pPr>
    </w:p>
    <w:p w14:paraId="08C0E2EC" w14:textId="6B2EB6D4" w:rsidR="003B76D1" w:rsidRDefault="003B76D1" w:rsidP="003B76D1">
      <w:pPr>
        <w:suppressLineNumbers/>
        <w:tabs>
          <w:tab w:val="left" w:pos="270"/>
        </w:tabs>
        <w:suppressAutoHyphens/>
        <w:kinsoku w:val="0"/>
        <w:overflowPunct w:val="0"/>
        <w:autoSpaceDE w:val="0"/>
        <w:autoSpaceDN w:val="0"/>
        <w:adjustRightInd w:val="0"/>
        <w:snapToGrid w:val="0"/>
        <w:spacing w:before="60" w:after="60"/>
        <w:jc w:val="left"/>
        <w:rPr>
          <w:snapToGrid w:val="0"/>
          <w:kern w:val="22"/>
          <w:szCs w:val="22"/>
        </w:rPr>
        <w:sectPr w:rsidR="003B76D1" w:rsidSect="001838BA">
          <w:headerReference w:type="default" r:id="rId33"/>
          <w:type w:val="continuous"/>
          <w:pgSz w:w="12240" w:h="15840" w:code="1"/>
          <w:pgMar w:top="567" w:right="1389" w:bottom="1134" w:left="1389" w:header="709" w:footer="709" w:gutter="0"/>
          <w:cols w:num="2" w:space="708"/>
          <w:docGrid w:linePitch="360"/>
        </w:sectPr>
      </w:pPr>
    </w:p>
    <w:p w14:paraId="08C0E2ED" w14:textId="77777777" w:rsidR="00B3369F" w:rsidRPr="001838BA"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rPr>
      </w:pPr>
      <w:r>
        <w:t>________</w:t>
      </w:r>
    </w:p>
    <w:sectPr w:rsidR="00B3369F" w:rsidRPr="001838BA"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F64C8" w14:textId="77777777" w:rsidR="00A7003C" w:rsidRDefault="00A7003C" w:rsidP="00CF1848">
      <w:r>
        <w:separator/>
      </w:r>
    </w:p>
  </w:endnote>
  <w:endnote w:type="continuationSeparator" w:id="0">
    <w:p w14:paraId="2E427D77" w14:textId="77777777" w:rsidR="00A7003C" w:rsidRDefault="00A7003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97CFA" w14:textId="77777777" w:rsidR="00A7003C" w:rsidRDefault="00A7003C" w:rsidP="00CF1848">
      <w:r>
        <w:separator/>
      </w:r>
    </w:p>
  </w:footnote>
  <w:footnote w:type="continuationSeparator" w:id="0">
    <w:p w14:paraId="2DAA4546" w14:textId="77777777" w:rsidR="00A7003C" w:rsidRDefault="00A7003C" w:rsidP="00CF1848">
      <w:r>
        <w:continuationSeparator/>
      </w:r>
    </w:p>
  </w:footnote>
  <w:footnote w:id="1">
    <w:p w14:paraId="08C0E301" w14:textId="77777777" w:rsidR="005B206A" w:rsidRPr="001838BA" w:rsidRDefault="005B206A" w:rsidP="001838BA">
      <w:pPr>
        <w:pStyle w:val="Default"/>
        <w:keepLines/>
        <w:suppressLineNumbers/>
        <w:suppressAutoHyphens/>
        <w:kinsoku w:val="0"/>
        <w:overflowPunct w:val="0"/>
        <w:snapToGrid w:val="0"/>
        <w:spacing w:after="60"/>
        <w:rPr>
          <w:snapToGrid w:val="0"/>
          <w:kern w:val="18"/>
          <w:sz w:val="18"/>
          <w:szCs w:val="18"/>
        </w:rPr>
      </w:pPr>
      <w:r>
        <w:rPr>
          <w:rStyle w:val="FootnoteReference"/>
          <w:snapToGrid w:val="0"/>
          <w:sz w:val="18"/>
          <w:szCs w:val="18"/>
        </w:rPr>
        <w:t>*</w:t>
      </w:r>
      <w:r>
        <w:rPr>
          <w:snapToGrid w:val="0"/>
          <w:sz w:val="18"/>
          <w:szCs w:val="18"/>
        </w:rPr>
        <w:t xml:space="preserve"> </w:t>
      </w:r>
      <w:hyperlink r:id="rId1" w:history="1">
        <w:r>
          <w:rPr>
            <w:rStyle w:val="Hyperlink"/>
            <w:snapToGrid w:val="0"/>
            <w:szCs w:val="18"/>
          </w:rPr>
          <w:t>CBD/SBI/2/1</w:t>
        </w:r>
      </w:hyperlink>
      <w:r>
        <w:rPr>
          <w:snapToGrid w:val="0"/>
          <w:sz w:val="18"/>
          <w:szCs w:val="18"/>
        </w:rPr>
        <w:t>.</w:t>
      </w:r>
    </w:p>
  </w:footnote>
  <w:footnote w:id="2">
    <w:p w14:paraId="08C0E302" w14:textId="77777777"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rStyle w:val="FootnoteReference"/>
          <w:snapToGrid w:val="0"/>
          <w:sz w:val="18"/>
          <w:szCs w:val="18"/>
        </w:rPr>
        <w:t xml:space="preserve"> </w:t>
      </w:r>
      <w:r>
        <w:rPr>
          <w:snapToGrid w:val="0"/>
          <w:szCs w:val="18"/>
        </w:rPr>
        <w:t xml:space="preserve">Приложение </w:t>
      </w:r>
      <w:hyperlink r:id="rId2" w:history="1">
        <w:r>
          <w:rPr>
            <w:rStyle w:val="Hyperlink"/>
            <w:snapToGrid w:val="0"/>
            <w:szCs w:val="18"/>
          </w:rPr>
          <w:t>к резолюции Генеральной Ассамблеи 70/1.</w:t>
        </w:r>
      </w:hyperlink>
    </w:p>
  </w:footnote>
  <w:footnote w:id="3">
    <w:p w14:paraId="08C0E303" w14:textId="420CCF2E"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Решение</w:t>
      </w:r>
      <w:r w:rsidR="000F2676" w:rsidRPr="006D27FF">
        <w:rPr>
          <w:snapToGrid w:val="0"/>
          <w:szCs w:val="18"/>
        </w:rPr>
        <w:t xml:space="preserve"> </w:t>
      </w:r>
      <w:hyperlink r:id="rId3" w:history="1">
        <w:r>
          <w:rPr>
            <w:rStyle w:val="Hyperlink"/>
            <w:snapToGrid w:val="0"/>
            <w:szCs w:val="18"/>
          </w:rPr>
          <w:t>XII/7</w:t>
        </w:r>
      </w:hyperlink>
      <w:r>
        <w:rPr>
          <w:snapToGrid w:val="0"/>
          <w:szCs w:val="18"/>
        </w:rPr>
        <w:t>.</w:t>
      </w:r>
    </w:p>
  </w:footnote>
  <w:footnote w:id="4">
    <w:p w14:paraId="08C0E304" w14:textId="77777777"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Промежуточный обзор был подкреплен четвертым изданием</w:t>
      </w:r>
      <w:r>
        <w:rPr>
          <w:i/>
          <w:iCs/>
          <w:snapToGrid w:val="0"/>
          <w:szCs w:val="18"/>
        </w:rPr>
        <w:t xml:space="preserve"> Глобальной перспективы в области биоразнообразия</w:t>
      </w:r>
      <w:r>
        <w:rPr>
          <w:snapToGrid w:val="0"/>
          <w:szCs w:val="18"/>
        </w:rPr>
        <w:t xml:space="preserve"> и привел к принятию решения XII/1.</w:t>
      </w:r>
    </w:p>
  </w:footnote>
  <w:footnote w:id="5">
    <w:p w14:paraId="08C0E305" w14:textId="77777777" w:rsidR="008C3030" w:rsidRPr="001838BA" w:rsidRDefault="008C3030" w:rsidP="00C5229D">
      <w:pPr>
        <w:pStyle w:val="FootnoteText"/>
        <w:suppressLineNumbers/>
        <w:suppressAutoHyphens/>
        <w:kinsoku w:val="0"/>
        <w:overflowPunct w:val="0"/>
        <w:autoSpaceDE w:val="0"/>
        <w:autoSpaceDN w:val="0"/>
        <w:adjustRightInd w:val="0"/>
        <w:snapToGrid w:val="0"/>
        <w:ind w:firstLine="0"/>
        <w:rPr>
          <w:snapToGrid w:val="0"/>
          <w:kern w:val="18"/>
          <w:szCs w:val="18"/>
        </w:rPr>
      </w:pPr>
      <w:r>
        <w:rPr>
          <w:rStyle w:val="FootnoteReference"/>
          <w:snapToGrid w:val="0"/>
          <w:kern w:val="18"/>
          <w:sz w:val="18"/>
          <w:szCs w:val="18"/>
        </w:rPr>
        <w:footnoteRef/>
      </w:r>
      <w:r>
        <w:rPr>
          <w:snapToGrid w:val="0"/>
          <w:szCs w:val="18"/>
        </w:rPr>
        <w:t xml:space="preserve"> НСПДСБ двух дополнительных Сторон были получены после этой даты. Они включены в список, содержащийся в приложении II к настоящему документу, но не учитываются в анализе (CBD/SBI/2/2/Add.1 и Add.2).</w:t>
      </w:r>
    </w:p>
  </w:footnote>
  <w:footnote w:id="6">
    <w:p w14:paraId="0A1D3F97" w14:textId="7ADB606F" w:rsidR="00F94DE8" w:rsidRPr="001838BA" w:rsidRDefault="00F94DE8" w:rsidP="00C5229D">
      <w:pPr>
        <w:pStyle w:val="FootnoteText"/>
        <w:suppressLineNumbers/>
        <w:suppressAutoHyphens/>
        <w:kinsoku w:val="0"/>
        <w:overflowPunct w:val="0"/>
        <w:autoSpaceDE w:val="0"/>
        <w:autoSpaceDN w:val="0"/>
        <w:adjustRightInd w:val="0"/>
        <w:snapToGrid w:val="0"/>
        <w:ind w:firstLine="0"/>
        <w:rPr>
          <w:snapToGrid w:val="0"/>
          <w:kern w:val="18"/>
          <w:szCs w:val="18"/>
        </w:rPr>
      </w:pPr>
      <w:r>
        <w:rPr>
          <w:rStyle w:val="FootnoteReference"/>
          <w:snapToGrid w:val="0"/>
          <w:kern w:val="18"/>
          <w:sz w:val="18"/>
          <w:szCs w:val="18"/>
        </w:rPr>
        <w:footnoteRef/>
      </w:r>
      <w:r>
        <w:rPr>
          <w:snapToGrid w:val="0"/>
          <w:szCs w:val="18"/>
        </w:rPr>
        <w:t xml:space="preserve"> Таким образом</w:t>
      </w:r>
      <w:r w:rsidR="00CC3E9A">
        <w:rPr>
          <w:snapToGrid w:val="0"/>
          <w:szCs w:val="18"/>
        </w:rPr>
        <w:t>,</w:t>
      </w:r>
      <w:r>
        <w:rPr>
          <w:snapToGrid w:val="0"/>
          <w:szCs w:val="18"/>
        </w:rPr>
        <w:t xml:space="preserve"> анализ охватывает 153 НСПДСБ, которые были представлены на одном из официальных языков Организации Объединенных Наций.</w:t>
      </w:r>
    </w:p>
  </w:footnote>
  <w:footnote w:id="7">
    <w:p w14:paraId="4B87EFCB" w14:textId="77777777" w:rsidR="00894673" w:rsidRPr="001838BA" w:rsidRDefault="00894673" w:rsidP="008946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Pr="006D27FF">
        <w:rPr>
          <w:snapToGrid w:val="0"/>
          <w:szCs w:val="18"/>
          <w:lang w:val="en-CA"/>
        </w:rPr>
        <w:t xml:space="preserve"> </w:t>
      </w:r>
      <w:hyperlink r:id="rId4" w:history="1">
        <w:r w:rsidRPr="006D27FF">
          <w:rPr>
            <w:lang w:val="en-CA"/>
          </w:rPr>
          <w:t xml:space="preserve">Prip, C; Gross, T; Johnston, S; Vierros, M (2010). </w:t>
        </w:r>
      </w:hyperlink>
      <w:r w:rsidRPr="00275B01">
        <w:rPr>
          <w:i/>
        </w:rPr>
        <w:t>Biodiversity Planning: An Assessment of National Biodiversity Strategies and Action Plans</w:t>
      </w:r>
      <w:r w:rsidRPr="00275B01">
        <w:t xml:space="preserve"> (Планирование в области биоразнообразия: оценка национальных стратегий и планов </w:t>
      </w:r>
      <w:r>
        <w:t>действий по сохранению биоразнообразия)</w:t>
      </w:r>
      <w:r w:rsidRPr="00275B01">
        <w:t>, United Nations University Institute of Advanced Studies, Yokohama, Japan.</w:t>
      </w:r>
    </w:p>
  </w:footnote>
  <w:footnote w:id="8">
    <w:p w14:paraId="08C0E308" w14:textId="77777777"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Pr>
          <w:rStyle w:val="FootnoteReference"/>
          <w:noProof/>
          <w:snapToGrid w:val="0"/>
          <w:kern w:val="18"/>
          <w:sz w:val="18"/>
          <w:szCs w:val="18"/>
        </w:rPr>
        <w:footnoteRef/>
      </w:r>
      <w:r>
        <w:rPr>
          <w:snapToGrid w:val="0"/>
          <w:szCs w:val="18"/>
        </w:rPr>
        <w:t xml:space="preserve"> Австралия, Бутан, Гватемала, Доминиканская Республика, Литва и Таджикистан.</w:t>
      </w:r>
    </w:p>
  </w:footnote>
  <w:footnote w:id="9">
    <w:p w14:paraId="08C0E309" w14:textId="18D86FCA" w:rsidR="00A06591" w:rsidRPr="001838BA" w:rsidRDefault="00A06591"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Рамочная конвенция Организации Объединенных Наций об изменении климата, 21-я сессия Конференции Сторон, </w:t>
      </w:r>
      <w:r w:rsidRPr="00CC3F10">
        <w:rPr>
          <w:snapToGrid w:val="0"/>
          <w:szCs w:val="18"/>
        </w:rPr>
        <w:t>решение 1/CP.21</w:t>
      </w:r>
      <w:r>
        <w:rPr>
          <w:snapToGrid w:val="0"/>
          <w:szCs w:val="18"/>
        </w:rPr>
        <w:t>.</w:t>
      </w:r>
    </w:p>
  </w:footnote>
  <w:footnote w:id="10">
    <w:p w14:paraId="08C0E30A" w14:textId="77777777"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Решение X/2.</w:t>
      </w:r>
    </w:p>
  </w:footnote>
  <w:footnote w:id="11">
    <w:p w14:paraId="48724D20" w14:textId="77777777" w:rsidR="001C5114" w:rsidRPr="001838BA" w:rsidRDefault="001C5114" w:rsidP="001C511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См. список Сторон в приложении I. </w:t>
      </w:r>
    </w:p>
  </w:footnote>
  <w:footnote w:id="12">
    <w:p w14:paraId="29F7010F" w14:textId="44E3D2DF" w:rsidR="00861F9C" w:rsidRPr="001838BA" w:rsidRDefault="00861F9C" w:rsidP="00861F9C">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См.</w:t>
      </w:r>
      <w:r w:rsidR="00403948">
        <w:rPr>
          <w:snapToGrid w:val="0"/>
          <w:szCs w:val="18"/>
        </w:rPr>
        <w:t xml:space="preserve"> </w:t>
      </w:r>
      <w:r>
        <w:t xml:space="preserve">приложение </w:t>
      </w:r>
      <w:hyperlink r:id="rId5" w:history="1">
        <w:r>
          <w:rPr>
            <w:rStyle w:val="Hyperlink"/>
            <w:snapToGrid w:val="0"/>
            <w:szCs w:val="18"/>
          </w:rPr>
          <w:t>к резолюции Генеральной Ассамблеи 70/1</w:t>
        </w:r>
      </w:hyperlink>
      <w:r>
        <w:rPr>
          <w:snapToGrid w:val="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904E3" w14:textId="77777777" w:rsidR="005D6121" w:rsidRDefault="006D27FF" w:rsidP="005D6121">
    <w:pPr>
      <w:suppressLineNumbers/>
      <w:suppressAutoHyphens/>
      <w:jc w:val="left"/>
      <w:rPr>
        <w:noProof/>
        <w:kern w:val="22"/>
      </w:rPr>
    </w:pPr>
    <w:sdt>
      <w:sdtPr>
        <w:rPr>
          <w:noProof/>
          <w:kern w:val="22"/>
        </w:rPr>
        <w:alias w:val="Предмет"/>
        <w:tag w:val=""/>
        <w:id w:val="2036152591"/>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r w:rsidR="005B206A">
          <w:rPr>
            <w:noProof/>
            <w:kern w:val="22"/>
          </w:rPr>
          <w:t>CBD/SBI/2/2</w:t>
        </w:r>
      </w:sdtContent>
    </w:sdt>
  </w:p>
  <w:p w14:paraId="08C0E2F9" w14:textId="7FD26E3B" w:rsidR="005B206A" w:rsidRPr="00EE5658" w:rsidRDefault="005D6121" w:rsidP="005D6121">
    <w:pPr>
      <w:suppressLineNumbers/>
      <w:suppressAutoHyphens/>
      <w:jc w:val="left"/>
      <w:rPr>
        <w:noProof/>
        <w:kern w:val="22"/>
      </w:rPr>
    </w:pPr>
    <w:r>
      <w:t>Страница</w:t>
    </w:r>
    <w:r w:rsidR="005B206A">
      <w:t xml:space="preserve"> </w:t>
    </w:r>
    <w:r w:rsidR="005B206A" w:rsidRPr="00EE5658">
      <w:fldChar w:fldCharType="begin"/>
    </w:r>
    <w:r w:rsidR="005B206A" w:rsidRPr="00EE5658">
      <w:instrText xml:space="preserve"> PAGE   \* MERGEFORMAT </w:instrText>
    </w:r>
    <w:r w:rsidR="005B206A" w:rsidRPr="00EE5658">
      <w:fldChar w:fldCharType="separate"/>
    </w:r>
    <w:r w:rsidR="006D27FF">
      <w:rPr>
        <w:noProof/>
      </w:rPr>
      <w:t>16</w:t>
    </w:r>
    <w:r w:rsidR="005B206A" w:rsidRPr="00EE5658">
      <w:fldChar w:fldCharType="end"/>
    </w:r>
  </w:p>
  <w:p w14:paraId="08C0E2FA" w14:textId="77777777" w:rsidR="005B206A" w:rsidRPr="00EE5658" w:rsidRDefault="005B206A"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Предмет"/>
      <w:tag w:val=""/>
      <w:id w:val="-1658074425"/>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14:paraId="08C0E2FB" w14:textId="77777777" w:rsidR="005B206A" w:rsidRPr="00EE5658" w:rsidRDefault="005B206A" w:rsidP="00F32057">
        <w:pPr>
          <w:suppressLineNumbers/>
          <w:suppressAutoHyphens/>
          <w:jc w:val="right"/>
          <w:rPr>
            <w:noProof/>
            <w:kern w:val="22"/>
          </w:rPr>
        </w:pPr>
        <w:r>
          <w:rPr>
            <w:noProof/>
            <w:kern w:val="22"/>
          </w:rPr>
          <w:t>CBD/SBI/2/2</w:t>
        </w:r>
      </w:p>
    </w:sdtContent>
  </w:sdt>
  <w:p w14:paraId="08C0E2FC" w14:textId="027A3189" w:rsidR="005B206A" w:rsidRPr="00EE5658" w:rsidRDefault="005D6121" w:rsidP="00F32057">
    <w:pPr>
      <w:pStyle w:val="Header"/>
      <w:suppressLineNumbers/>
      <w:tabs>
        <w:tab w:val="clear" w:pos="4320"/>
        <w:tab w:val="clear" w:pos="8640"/>
      </w:tabs>
      <w:suppressAutoHyphens/>
      <w:jc w:val="right"/>
      <w:rPr>
        <w:noProof/>
        <w:kern w:val="22"/>
      </w:rPr>
    </w:pPr>
    <w:r>
      <w:t xml:space="preserve">Страница </w:t>
    </w:r>
    <w:r w:rsidR="005B206A" w:rsidRPr="00EE5658">
      <w:fldChar w:fldCharType="begin"/>
    </w:r>
    <w:r w:rsidR="005B206A" w:rsidRPr="00EE5658">
      <w:instrText xml:space="preserve"> PAGE   \* MERGEFORMAT </w:instrText>
    </w:r>
    <w:r w:rsidR="005B206A" w:rsidRPr="00EE5658">
      <w:fldChar w:fldCharType="separate"/>
    </w:r>
    <w:r w:rsidR="006D27FF">
      <w:rPr>
        <w:noProof/>
      </w:rPr>
      <w:t>13</w:t>
    </w:r>
    <w:r w:rsidR="005B206A" w:rsidRPr="00EE5658">
      <w:fldChar w:fldCharType="end"/>
    </w:r>
  </w:p>
  <w:p w14:paraId="08C0E2FD" w14:textId="77777777" w:rsidR="005B206A" w:rsidRPr="00EE5658" w:rsidRDefault="005B206A"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Предмет"/>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08C0E2FE" w14:textId="77777777" w:rsidR="005B206A" w:rsidRDefault="005B206A" w:rsidP="009505C9">
        <w:pPr>
          <w:pStyle w:val="Header"/>
          <w:jc w:val="right"/>
        </w:pPr>
        <w:r>
          <w:t>CBD/SBI/2/2</w:t>
        </w:r>
      </w:p>
    </w:sdtContent>
  </w:sdt>
  <w:p w14:paraId="08C0E2FF" w14:textId="229ED3AB" w:rsidR="005B206A" w:rsidRDefault="005B206A" w:rsidP="009505C9">
    <w:pPr>
      <w:pStyle w:val="Header"/>
      <w:jc w:val="right"/>
    </w:pPr>
    <w:r>
      <w:t xml:space="preserve">Page </w:t>
    </w:r>
    <w:r>
      <w:fldChar w:fldCharType="begin"/>
    </w:r>
    <w:r>
      <w:instrText xml:space="preserve"> PAGE   \* MERGEFORMAT </w:instrText>
    </w:r>
    <w:r>
      <w:fldChar w:fldCharType="separate"/>
    </w:r>
    <w:r w:rsidR="006D27FF">
      <w:rPr>
        <w:noProof/>
      </w:rPr>
      <w:t>15</w:t>
    </w:r>
    <w:r>
      <w:fldChar w:fldCharType="end"/>
    </w:r>
  </w:p>
  <w:p w14:paraId="08C0E300" w14:textId="77777777" w:rsidR="005B206A" w:rsidRDefault="005B2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01C66"/>
    <w:multiLevelType w:val="hybridMultilevel"/>
    <w:tmpl w:val="6F66FD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E3861"/>
    <w:multiLevelType w:val="hybridMultilevel"/>
    <w:tmpl w:val="0040F15A"/>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A6761C0"/>
    <w:multiLevelType w:val="multilevel"/>
    <w:tmpl w:val="8A9887E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49A12E0"/>
    <w:multiLevelType w:val="hybridMultilevel"/>
    <w:tmpl w:val="BCA248F4"/>
    <w:lvl w:ilvl="0" w:tplc="EDE885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3A7EC3"/>
    <w:multiLevelType w:val="hybridMultilevel"/>
    <w:tmpl w:val="87068622"/>
    <w:lvl w:ilvl="0" w:tplc="A62204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B660577"/>
    <w:multiLevelType w:val="multilevel"/>
    <w:tmpl w:val="9A72A66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9"/>
  </w:num>
  <w:num w:numId="4">
    <w:abstractNumId w:val="12"/>
  </w:num>
  <w:num w:numId="5">
    <w:abstractNumId w:val="11"/>
  </w:num>
  <w:num w:numId="6">
    <w:abstractNumId w:val="1"/>
  </w:num>
  <w:num w:numId="7">
    <w:abstractNumId w:val="5"/>
  </w:num>
  <w:num w:numId="8">
    <w:abstractNumId w:val="9"/>
    <w:lvlOverride w:ilvl="0">
      <w:startOverride w:val="1"/>
    </w:lvlOverride>
  </w:num>
  <w:num w:numId="9">
    <w:abstractNumId w:val="18"/>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4"/>
  </w:num>
  <w:num w:numId="15">
    <w:abstractNumId w:val="13"/>
  </w:num>
  <w:num w:numId="16">
    <w:abstractNumId w:val="2"/>
  </w:num>
  <w:num w:numId="17">
    <w:abstractNumId w:val="19"/>
  </w:num>
  <w:num w:numId="18">
    <w:abstractNumId w:val="20"/>
  </w:num>
  <w:num w:numId="19">
    <w:abstractNumId w:val="3"/>
  </w:num>
  <w:num w:numId="20">
    <w:abstractNumId w:val="4"/>
  </w:num>
  <w:num w:numId="21">
    <w:abstractNumId w:val="10"/>
  </w:num>
  <w:num w:numId="22">
    <w:abstractNumId w:val="15"/>
  </w:num>
  <w:num w:numId="23">
    <w:abstractNumId w:val="12"/>
  </w:num>
  <w:num w:numId="24">
    <w:abstractNumId w:val="0"/>
  </w:num>
  <w:num w:numId="25">
    <w:abstractNumId w:val="8"/>
  </w:num>
  <w:num w:numId="26">
    <w:abstractNumId w:val="17"/>
  </w:num>
  <w:num w:numId="27">
    <w:abstractNumId w:val="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autoHyphenation/>
  <w:hyphenationZone w:val="425"/>
  <w:doNotHyphenateCaps/>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2568"/>
    <w:rsid w:val="00003917"/>
    <w:rsid w:val="00020778"/>
    <w:rsid w:val="000367E3"/>
    <w:rsid w:val="000405E4"/>
    <w:rsid w:val="00041293"/>
    <w:rsid w:val="00044A30"/>
    <w:rsid w:val="000460AB"/>
    <w:rsid w:val="0004670D"/>
    <w:rsid w:val="000521F7"/>
    <w:rsid w:val="00055105"/>
    <w:rsid w:val="00064134"/>
    <w:rsid w:val="000822F5"/>
    <w:rsid w:val="000842C2"/>
    <w:rsid w:val="00085C34"/>
    <w:rsid w:val="00093350"/>
    <w:rsid w:val="000A5ADD"/>
    <w:rsid w:val="000B13F9"/>
    <w:rsid w:val="000B273F"/>
    <w:rsid w:val="000B682B"/>
    <w:rsid w:val="000D676E"/>
    <w:rsid w:val="000E0202"/>
    <w:rsid w:val="000E389B"/>
    <w:rsid w:val="000E479C"/>
    <w:rsid w:val="000E673A"/>
    <w:rsid w:val="000F2676"/>
    <w:rsid w:val="000F74F5"/>
    <w:rsid w:val="00100A7C"/>
    <w:rsid w:val="001039D1"/>
    <w:rsid w:val="00103C1F"/>
    <w:rsid w:val="00105372"/>
    <w:rsid w:val="001073B0"/>
    <w:rsid w:val="00107DF0"/>
    <w:rsid w:val="001133C5"/>
    <w:rsid w:val="00115288"/>
    <w:rsid w:val="00123290"/>
    <w:rsid w:val="00126394"/>
    <w:rsid w:val="00131E7A"/>
    <w:rsid w:val="00145180"/>
    <w:rsid w:val="00145BC8"/>
    <w:rsid w:val="001574FC"/>
    <w:rsid w:val="001622FF"/>
    <w:rsid w:val="00172AF6"/>
    <w:rsid w:val="00176CEE"/>
    <w:rsid w:val="001838BA"/>
    <w:rsid w:val="00186DD8"/>
    <w:rsid w:val="00191102"/>
    <w:rsid w:val="001919E2"/>
    <w:rsid w:val="00196DF6"/>
    <w:rsid w:val="001A4731"/>
    <w:rsid w:val="001B5DEE"/>
    <w:rsid w:val="001C2E16"/>
    <w:rsid w:val="001C5114"/>
    <w:rsid w:val="001C715D"/>
    <w:rsid w:val="001D1F36"/>
    <w:rsid w:val="001E1A2D"/>
    <w:rsid w:val="001F246F"/>
    <w:rsid w:val="0020596E"/>
    <w:rsid w:val="00213CD3"/>
    <w:rsid w:val="002265C9"/>
    <w:rsid w:val="002361E4"/>
    <w:rsid w:val="00236DB1"/>
    <w:rsid w:val="0024504E"/>
    <w:rsid w:val="00256DA0"/>
    <w:rsid w:val="00261FFA"/>
    <w:rsid w:val="002644FE"/>
    <w:rsid w:val="00275B01"/>
    <w:rsid w:val="00281BA1"/>
    <w:rsid w:val="00284AD2"/>
    <w:rsid w:val="00297762"/>
    <w:rsid w:val="002A416C"/>
    <w:rsid w:val="002B3989"/>
    <w:rsid w:val="002B41AD"/>
    <w:rsid w:val="002B5BF5"/>
    <w:rsid w:val="002C048D"/>
    <w:rsid w:val="002D199A"/>
    <w:rsid w:val="002D79DD"/>
    <w:rsid w:val="002F1C45"/>
    <w:rsid w:val="002F2371"/>
    <w:rsid w:val="002F7C2F"/>
    <w:rsid w:val="00301637"/>
    <w:rsid w:val="00326D9C"/>
    <w:rsid w:val="00330CEE"/>
    <w:rsid w:val="003330FB"/>
    <w:rsid w:val="0033448F"/>
    <w:rsid w:val="003362BA"/>
    <w:rsid w:val="0034527D"/>
    <w:rsid w:val="00345C9E"/>
    <w:rsid w:val="00354D98"/>
    <w:rsid w:val="003561CE"/>
    <w:rsid w:val="003623AE"/>
    <w:rsid w:val="00363CFB"/>
    <w:rsid w:val="00372F74"/>
    <w:rsid w:val="003847C2"/>
    <w:rsid w:val="00391DA5"/>
    <w:rsid w:val="003A4784"/>
    <w:rsid w:val="003B0E8D"/>
    <w:rsid w:val="003B3677"/>
    <w:rsid w:val="003B3753"/>
    <w:rsid w:val="003B41D3"/>
    <w:rsid w:val="003B76D1"/>
    <w:rsid w:val="003C12C3"/>
    <w:rsid w:val="003D38C0"/>
    <w:rsid w:val="003D3D56"/>
    <w:rsid w:val="003F077C"/>
    <w:rsid w:val="003F7224"/>
    <w:rsid w:val="004007D7"/>
    <w:rsid w:val="00400DE1"/>
    <w:rsid w:val="00403948"/>
    <w:rsid w:val="00403DC3"/>
    <w:rsid w:val="00411C02"/>
    <w:rsid w:val="00425C93"/>
    <w:rsid w:val="00427D21"/>
    <w:rsid w:val="00442C87"/>
    <w:rsid w:val="00443C3B"/>
    <w:rsid w:val="00445CE1"/>
    <w:rsid w:val="004476E1"/>
    <w:rsid w:val="004644C2"/>
    <w:rsid w:val="00467F9C"/>
    <w:rsid w:val="00474BB9"/>
    <w:rsid w:val="00480F8C"/>
    <w:rsid w:val="00485773"/>
    <w:rsid w:val="00493331"/>
    <w:rsid w:val="004953B8"/>
    <w:rsid w:val="00496570"/>
    <w:rsid w:val="00497D98"/>
    <w:rsid w:val="004A21D1"/>
    <w:rsid w:val="004C2683"/>
    <w:rsid w:val="004C4E04"/>
    <w:rsid w:val="004C756B"/>
    <w:rsid w:val="004D4E96"/>
    <w:rsid w:val="004E5528"/>
    <w:rsid w:val="00501F2A"/>
    <w:rsid w:val="00523741"/>
    <w:rsid w:val="005245F5"/>
    <w:rsid w:val="00534681"/>
    <w:rsid w:val="005378AA"/>
    <w:rsid w:val="005429FF"/>
    <w:rsid w:val="005521A0"/>
    <w:rsid w:val="00560749"/>
    <w:rsid w:val="00561F04"/>
    <w:rsid w:val="005632CF"/>
    <w:rsid w:val="00565E1B"/>
    <w:rsid w:val="00567A4D"/>
    <w:rsid w:val="00571107"/>
    <w:rsid w:val="00574268"/>
    <w:rsid w:val="005752E0"/>
    <w:rsid w:val="00576A85"/>
    <w:rsid w:val="005840DD"/>
    <w:rsid w:val="005858A6"/>
    <w:rsid w:val="00591622"/>
    <w:rsid w:val="00593971"/>
    <w:rsid w:val="00594745"/>
    <w:rsid w:val="005976B4"/>
    <w:rsid w:val="005A6CD5"/>
    <w:rsid w:val="005A702D"/>
    <w:rsid w:val="005B206A"/>
    <w:rsid w:val="005C70DC"/>
    <w:rsid w:val="005D6121"/>
    <w:rsid w:val="005D6B2D"/>
    <w:rsid w:val="005E540D"/>
    <w:rsid w:val="005F2E90"/>
    <w:rsid w:val="005F5109"/>
    <w:rsid w:val="00602355"/>
    <w:rsid w:val="006058C3"/>
    <w:rsid w:val="006122BA"/>
    <w:rsid w:val="00623269"/>
    <w:rsid w:val="00626ADC"/>
    <w:rsid w:val="00643305"/>
    <w:rsid w:val="00660408"/>
    <w:rsid w:val="00665FA9"/>
    <w:rsid w:val="00686293"/>
    <w:rsid w:val="00696788"/>
    <w:rsid w:val="006A1A1B"/>
    <w:rsid w:val="006B137D"/>
    <w:rsid w:val="006B2290"/>
    <w:rsid w:val="006B3C9A"/>
    <w:rsid w:val="006B5795"/>
    <w:rsid w:val="006D168A"/>
    <w:rsid w:val="006D1747"/>
    <w:rsid w:val="006D27FF"/>
    <w:rsid w:val="006D3187"/>
    <w:rsid w:val="006D5CE9"/>
    <w:rsid w:val="006E0D78"/>
    <w:rsid w:val="006E48EA"/>
    <w:rsid w:val="006E4C63"/>
    <w:rsid w:val="006E5292"/>
    <w:rsid w:val="006E5C03"/>
    <w:rsid w:val="00705A6C"/>
    <w:rsid w:val="0070790F"/>
    <w:rsid w:val="00717D88"/>
    <w:rsid w:val="00722051"/>
    <w:rsid w:val="00735B46"/>
    <w:rsid w:val="00736EDE"/>
    <w:rsid w:val="0073723D"/>
    <w:rsid w:val="00747586"/>
    <w:rsid w:val="00750A63"/>
    <w:rsid w:val="0075184D"/>
    <w:rsid w:val="007731E5"/>
    <w:rsid w:val="007942D3"/>
    <w:rsid w:val="00796BFF"/>
    <w:rsid w:val="007A1E14"/>
    <w:rsid w:val="007A31DC"/>
    <w:rsid w:val="007B572A"/>
    <w:rsid w:val="007B6C09"/>
    <w:rsid w:val="007E09DA"/>
    <w:rsid w:val="007E3F93"/>
    <w:rsid w:val="008152EF"/>
    <w:rsid w:val="00817570"/>
    <w:rsid w:val="008178B6"/>
    <w:rsid w:val="00822097"/>
    <w:rsid w:val="00834242"/>
    <w:rsid w:val="00834E5E"/>
    <w:rsid w:val="00837C50"/>
    <w:rsid w:val="00845221"/>
    <w:rsid w:val="008476AA"/>
    <w:rsid w:val="00852499"/>
    <w:rsid w:val="008531AA"/>
    <w:rsid w:val="00861F9C"/>
    <w:rsid w:val="00862EFF"/>
    <w:rsid w:val="00865B74"/>
    <w:rsid w:val="00871F74"/>
    <w:rsid w:val="00894673"/>
    <w:rsid w:val="008A707D"/>
    <w:rsid w:val="008C074D"/>
    <w:rsid w:val="008C1BF3"/>
    <w:rsid w:val="008C3030"/>
    <w:rsid w:val="008C5228"/>
    <w:rsid w:val="008C6A2F"/>
    <w:rsid w:val="008D4307"/>
    <w:rsid w:val="008D62E8"/>
    <w:rsid w:val="008E47DD"/>
    <w:rsid w:val="008E5A27"/>
    <w:rsid w:val="00906CD5"/>
    <w:rsid w:val="009105F8"/>
    <w:rsid w:val="009237EF"/>
    <w:rsid w:val="00923BDA"/>
    <w:rsid w:val="009240D8"/>
    <w:rsid w:val="009254BD"/>
    <w:rsid w:val="00930BA1"/>
    <w:rsid w:val="0093169E"/>
    <w:rsid w:val="0093709D"/>
    <w:rsid w:val="00937E49"/>
    <w:rsid w:val="00945290"/>
    <w:rsid w:val="009457C6"/>
    <w:rsid w:val="009505C9"/>
    <w:rsid w:val="00962F61"/>
    <w:rsid w:val="00975236"/>
    <w:rsid w:val="009758E5"/>
    <w:rsid w:val="00980F71"/>
    <w:rsid w:val="00992414"/>
    <w:rsid w:val="00992BEE"/>
    <w:rsid w:val="00993E5C"/>
    <w:rsid w:val="009970EC"/>
    <w:rsid w:val="009A720E"/>
    <w:rsid w:val="009C0A3E"/>
    <w:rsid w:val="009C2F8D"/>
    <w:rsid w:val="009C6B5A"/>
    <w:rsid w:val="009D57CE"/>
    <w:rsid w:val="009E13F1"/>
    <w:rsid w:val="009E4766"/>
    <w:rsid w:val="009F5689"/>
    <w:rsid w:val="00A02E09"/>
    <w:rsid w:val="00A04C0A"/>
    <w:rsid w:val="00A06591"/>
    <w:rsid w:val="00A13979"/>
    <w:rsid w:val="00A249D1"/>
    <w:rsid w:val="00A250B3"/>
    <w:rsid w:val="00A4045F"/>
    <w:rsid w:val="00A42AD0"/>
    <w:rsid w:val="00A45D12"/>
    <w:rsid w:val="00A5202D"/>
    <w:rsid w:val="00A551F7"/>
    <w:rsid w:val="00A649B9"/>
    <w:rsid w:val="00A65E02"/>
    <w:rsid w:val="00A66914"/>
    <w:rsid w:val="00A7003C"/>
    <w:rsid w:val="00A73C85"/>
    <w:rsid w:val="00A86525"/>
    <w:rsid w:val="00A9412F"/>
    <w:rsid w:val="00A946FD"/>
    <w:rsid w:val="00A953A1"/>
    <w:rsid w:val="00AA3812"/>
    <w:rsid w:val="00AA5F32"/>
    <w:rsid w:val="00AC5409"/>
    <w:rsid w:val="00AD77EA"/>
    <w:rsid w:val="00AE793F"/>
    <w:rsid w:val="00AF22CC"/>
    <w:rsid w:val="00B01A08"/>
    <w:rsid w:val="00B032EE"/>
    <w:rsid w:val="00B03CD7"/>
    <w:rsid w:val="00B17D13"/>
    <w:rsid w:val="00B268DE"/>
    <w:rsid w:val="00B3369F"/>
    <w:rsid w:val="00B35B4A"/>
    <w:rsid w:val="00B4170C"/>
    <w:rsid w:val="00B519A4"/>
    <w:rsid w:val="00B81E70"/>
    <w:rsid w:val="00B859B7"/>
    <w:rsid w:val="00B96B6A"/>
    <w:rsid w:val="00BB3DE1"/>
    <w:rsid w:val="00BC021E"/>
    <w:rsid w:val="00BC1C6B"/>
    <w:rsid w:val="00BC52AA"/>
    <w:rsid w:val="00BD1338"/>
    <w:rsid w:val="00BD26F0"/>
    <w:rsid w:val="00BD3105"/>
    <w:rsid w:val="00BD4B8B"/>
    <w:rsid w:val="00BD7B3F"/>
    <w:rsid w:val="00C00F19"/>
    <w:rsid w:val="00C26F93"/>
    <w:rsid w:val="00C443BD"/>
    <w:rsid w:val="00C45CC8"/>
    <w:rsid w:val="00C5229D"/>
    <w:rsid w:val="00C67242"/>
    <w:rsid w:val="00C74351"/>
    <w:rsid w:val="00C835ED"/>
    <w:rsid w:val="00C835F9"/>
    <w:rsid w:val="00C84997"/>
    <w:rsid w:val="00C9054E"/>
    <w:rsid w:val="00C90ABA"/>
    <w:rsid w:val="00C9161D"/>
    <w:rsid w:val="00C9756C"/>
    <w:rsid w:val="00CA4095"/>
    <w:rsid w:val="00CA7C8B"/>
    <w:rsid w:val="00CB192B"/>
    <w:rsid w:val="00CC1575"/>
    <w:rsid w:val="00CC1711"/>
    <w:rsid w:val="00CC3E9A"/>
    <w:rsid w:val="00CC3F10"/>
    <w:rsid w:val="00CC4EEA"/>
    <w:rsid w:val="00CC5B48"/>
    <w:rsid w:val="00CC7833"/>
    <w:rsid w:val="00CD7A42"/>
    <w:rsid w:val="00CE411F"/>
    <w:rsid w:val="00CF1848"/>
    <w:rsid w:val="00D00FB5"/>
    <w:rsid w:val="00D02ED1"/>
    <w:rsid w:val="00D0779A"/>
    <w:rsid w:val="00D12044"/>
    <w:rsid w:val="00D20006"/>
    <w:rsid w:val="00D2452F"/>
    <w:rsid w:val="00D35345"/>
    <w:rsid w:val="00D37651"/>
    <w:rsid w:val="00D5591A"/>
    <w:rsid w:val="00D6256A"/>
    <w:rsid w:val="00D6765A"/>
    <w:rsid w:val="00D7100B"/>
    <w:rsid w:val="00D76A18"/>
    <w:rsid w:val="00D941AA"/>
    <w:rsid w:val="00D94F21"/>
    <w:rsid w:val="00DA73D9"/>
    <w:rsid w:val="00DD118C"/>
    <w:rsid w:val="00DE1117"/>
    <w:rsid w:val="00DE3DE5"/>
    <w:rsid w:val="00DF2247"/>
    <w:rsid w:val="00DF2B93"/>
    <w:rsid w:val="00DF55CF"/>
    <w:rsid w:val="00E03533"/>
    <w:rsid w:val="00E13495"/>
    <w:rsid w:val="00E14D63"/>
    <w:rsid w:val="00E20A41"/>
    <w:rsid w:val="00E246CE"/>
    <w:rsid w:val="00E41833"/>
    <w:rsid w:val="00E4748E"/>
    <w:rsid w:val="00E55884"/>
    <w:rsid w:val="00E65F17"/>
    <w:rsid w:val="00E66235"/>
    <w:rsid w:val="00E769E1"/>
    <w:rsid w:val="00E779C4"/>
    <w:rsid w:val="00E83C24"/>
    <w:rsid w:val="00E850EE"/>
    <w:rsid w:val="00E90AC5"/>
    <w:rsid w:val="00E9318D"/>
    <w:rsid w:val="00EA3E61"/>
    <w:rsid w:val="00EC3169"/>
    <w:rsid w:val="00ED4413"/>
    <w:rsid w:val="00EE0A38"/>
    <w:rsid w:val="00EE34F6"/>
    <w:rsid w:val="00EE4C28"/>
    <w:rsid w:val="00EF3951"/>
    <w:rsid w:val="00EF572C"/>
    <w:rsid w:val="00EF671E"/>
    <w:rsid w:val="00F07F72"/>
    <w:rsid w:val="00F1118A"/>
    <w:rsid w:val="00F22B8A"/>
    <w:rsid w:val="00F2660F"/>
    <w:rsid w:val="00F3010C"/>
    <w:rsid w:val="00F32057"/>
    <w:rsid w:val="00F429E9"/>
    <w:rsid w:val="00F43118"/>
    <w:rsid w:val="00F50B8F"/>
    <w:rsid w:val="00F51F6D"/>
    <w:rsid w:val="00F634CD"/>
    <w:rsid w:val="00F67BD7"/>
    <w:rsid w:val="00F77C86"/>
    <w:rsid w:val="00F81CCD"/>
    <w:rsid w:val="00F861C5"/>
    <w:rsid w:val="00F863D7"/>
    <w:rsid w:val="00F90978"/>
    <w:rsid w:val="00F94774"/>
    <w:rsid w:val="00F94DE8"/>
    <w:rsid w:val="00FA319C"/>
    <w:rsid w:val="00FB5378"/>
    <w:rsid w:val="00FC53DB"/>
    <w:rsid w:val="00FD0DBF"/>
    <w:rsid w:val="00FD3088"/>
    <w:rsid w:val="00FD5AA7"/>
    <w:rsid w:val="00FF474F"/>
    <w:rsid w:val="00FF706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C0E136"/>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ru.pdf" TargetMode="External"/><Relationship Id="rId18" Type="http://schemas.openxmlformats.org/officeDocument/2006/relationships/hyperlink" Target="https://www.cbd.int/doc/decisions/cop-10/cop-10-dec-17-ru.pdf" TargetMode="External"/><Relationship Id="rId26" Type="http://schemas.openxmlformats.org/officeDocument/2006/relationships/hyperlink" Target="https://www.cbd.int/doc/decisions/cop-10/cop-10-dec-10-ru.pdf" TargetMode="External"/><Relationship Id="rId3" Type="http://schemas.openxmlformats.org/officeDocument/2006/relationships/numbering" Target="numbering.xml"/><Relationship Id="rId21" Type="http://schemas.openxmlformats.org/officeDocument/2006/relationships/hyperlink" Target="https://www.cbd.int/doc/c/6b12/6da9/e96c8a0d0993cb60ac790653/sbi-02-20-ru.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0/cop-10-dec-02-ru.pdf" TargetMode="External"/><Relationship Id="rId17" Type="http://schemas.openxmlformats.org/officeDocument/2006/relationships/hyperlink" Target="https://www.cbd.int/doc/decisions/cop-13/cop-13-dec-01-ru.pdf" TargetMode="External"/><Relationship Id="rId25" Type="http://schemas.openxmlformats.org/officeDocument/2006/relationships/hyperlink" Target="https://www.cbd.int/doc/decisions/cop-09/cop-09-dec-08-ru.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31-ru.pdf" TargetMode="External"/><Relationship Id="rId20" Type="http://schemas.openxmlformats.org/officeDocument/2006/relationships/hyperlink" Target="https://www.cbd.int/doc/c/3918/cd75/314abbf6deefd40b372e9a42/sbi-02-19-ru.pdf" TargetMode="External"/><Relationship Id="rId29" Type="http://schemas.openxmlformats.org/officeDocument/2006/relationships/hyperlink" Target="https://www.cbd.int/doc/meetings/cop/cop-13/official/cop-13-19-ru.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c/f4a6/5773/1f2b9585e9b7b73bf3dd66fb/sbstta-22-05-ru.pdf"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cop-12/cop-12-dec-02-ru.pdf" TargetMode="External"/><Relationship Id="rId23" Type="http://schemas.openxmlformats.org/officeDocument/2006/relationships/hyperlink" Target="https://www.cbd.int/abs/" TargetMode="External"/><Relationship Id="rId28" Type="http://schemas.openxmlformats.org/officeDocument/2006/relationships/hyperlink" Target="https://absch.cbd.int/ru/"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cbd.int/doc/c/9f63/8ad3/2aab7f3f33590decf1a320e0/sbi-02-08-add1-ru.pdf"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ru.pdf" TargetMode="External"/><Relationship Id="rId22" Type="http://schemas.openxmlformats.org/officeDocument/2006/relationships/hyperlink" Target="https://www.cbd.int/doc/recommendations/wg8j-10/wg8j-10-rec-04-ru.pdf" TargetMode="External"/><Relationship Id="rId27" Type="http://schemas.openxmlformats.org/officeDocument/2006/relationships/hyperlink" Target="https://www.cbd.int/doc/decisions/cop-12/cop-12-dec-23-ru.pdf" TargetMode="External"/><Relationship Id="rId30" Type="http://schemas.openxmlformats.org/officeDocument/2006/relationships/hyperlink" Target="https://www.cbd.int/doc/decisions/cop-12/cop-12-dec-07-ru.pdf" TargetMode="Externa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ru.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6ada/4011/af94c4f5feeba81fc82c6db0/sbi-02-01-ru.pdf" TargetMode="External"/><Relationship Id="rId5" Type="http://schemas.openxmlformats.org/officeDocument/2006/relationships/hyperlink" Target="http://www.un.org/en/ga/search/view_doc.asp?symbol=A/RES/70/1" TargetMode="External"/><Relationship Id="rId4" Type="http://schemas.openxmlformats.org/officeDocument/2006/relationships/hyperlink" Target="http://archive.ias.unu.edu/resource_centre/UNU-IAS_Biodiversity_Planning_NBSAPs_Assessment_final_web_Oct_20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
      <w:docPartPr>
        <w:name w:val="00BB9EE578AD481087DD19C0D52E7034"/>
        <w:category>
          <w:name w:val="Général"/>
          <w:gallery w:val="placeholder"/>
        </w:category>
        <w:types>
          <w:type w:val="bbPlcHdr"/>
        </w:types>
        <w:behaviors>
          <w:behavior w:val="content"/>
        </w:behaviors>
        <w:guid w:val="{9B515820-28D3-4DED-911F-7DBF8745E76E}"/>
      </w:docPartPr>
      <w:docPartBody>
        <w:p w:rsidR="00016F31" w:rsidRDefault="00871AF3" w:rsidP="00871AF3">
          <w:pPr>
            <w:pStyle w:val="00BB9EE578AD481087DD19C0D52E7034"/>
          </w:pPr>
          <w:r w:rsidRPr="007E02EB">
            <w:rPr>
              <w:rStyle w:val="PlaceholderText"/>
            </w:rPr>
            <w:t>[Status]</w:t>
          </w:r>
        </w:p>
      </w:docPartBody>
    </w:docPart>
    <w:docPart>
      <w:docPartPr>
        <w:name w:val="2F0EAC60B2A44965B36E25B31B5F9381"/>
        <w:category>
          <w:name w:val="Général"/>
          <w:gallery w:val="placeholder"/>
        </w:category>
        <w:types>
          <w:type w:val="bbPlcHdr"/>
        </w:types>
        <w:behaviors>
          <w:behavior w:val="content"/>
        </w:behaviors>
        <w:guid w:val="{EF74E141-7B44-4715-80BF-AF67D39B2CA9}"/>
      </w:docPartPr>
      <w:docPartBody>
        <w:p w:rsidR="00016F31" w:rsidRDefault="00871AF3" w:rsidP="00871AF3">
          <w:pPr>
            <w:pStyle w:val="2F0EAC60B2A44965B36E25B31B5F9381"/>
          </w:pPr>
          <w:r w:rsidRPr="007E02EB">
            <w:rPr>
              <w:rStyle w:val="PlaceholderText"/>
            </w:rPr>
            <w:t>[Subject]</w:t>
          </w:r>
        </w:p>
      </w:docPartBody>
    </w:docPart>
    <w:docPart>
      <w:docPartPr>
        <w:name w:val="DDF3702E6AF540B08694AD02D35C6AB3"/>
        <w:category>
          <w:name w:val="Général"/>
          <w:gallery w:val="placeholder"/>
        </w:category>
        <w:types>
          <w:type w:val="bbPlcHdr"/>
        </w:types>
        <w:behaviors>
          <w:behavior w:val="content"/>
        </w:behaviors>
        <w:guid w:val="{62ADF1C3-3909-4843-BA9E-7177B6E6652C}"/>
      </w:docPartPr>
      <w:docPartBody>
        <w:p w:rsidR="00016F31" w:rsidRDefault="00871AF3" w:rsidP="00871AF3">
          <w:pPr>
            <w:pStyle w:val="DDF3702E6AF540B08694AD02D35C6AB3"/>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6F31"/>
    <w:rsid w:val="00040D42"/>
    <w:rsid w:val="00101ADA"/>
    <w:rsid w:val="0019742F"/>
    <w:rsid w:val="004D697A"/>
    <w:rsid w:val="00500A2B"/>
    <w:rsid w:val="00555E22"/>
    <w:rsid w:val="0058288D"/>
    <w:rsid w:val="00602E3F"/>
    <w:rsid w:val="006801B3"/>
    <w:rsid w:val="00810A55"/>
    <w:rsid w:val="00851940"/>
    <w:rsid w:val="00871AF3"/>
    <w:rsid w:val="0087299E"/>
    <w:rsid w:val="008C6619"/>
    <w:rsid w:val="008D420E"/>
    <w:rsid w:val="0098642F"/>
    <w:rsid w:val="00A352CA"/>
    <w:rsid w:val="00CA3EDD"/>
    <w:rsid w:val="00CF768B"/>
    <w:rsid w:val="00F97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AF3"/>
    <w:rPr>
      <w:color w:val="808080"/>
    </w:rPr>
  </w:style>
  <w:style w:type="paragraph" w:customStyle="1" w:styleId="00BB9EE578AD481087DD19C0D52E7034">
    <w:name w:val="00BB9EE578AD481087DD19C0D52E7034"/>
    <w:rsid w:val="00871AF3"/>
    <w:pPr>
      <w:spacing w:after="160" w:line="259" w:lineRule="auto"/>
    </w:pPr>
    <w:rPr>
      <w:lang w:val="fr-FR" w:eastAsia="fr-FR"/>
    </w:rPr>
  </w:style>
  <w:style w:type="paragraph" w:customStyle="1" w:styleId="2F0EAC60B2A44965B36E25B31B5F9381">
    <w:name w:val="2F0EAC60B2A44965B36E25B31B5F9381"/>
    <w:rsid w:val="00871AF3"/>
    <w:pPr>
      <w:spacing w:after="160" w:line="259" w:lineRule="auto"/>
    </w:pPr>
    <w:rPr>
      <w:lang w:val="fr-FR" w:eastAsia="fr-FR"/>
    </w:rPr>
  </w:style>
  <w:style w:type="paragraph" w:customStyle="1" w:styleId="DDF3702E6AF540B08694AD02D35C6AB3">
    <w:name w:val="DDF3702E6AF540B08694AD02D35C6AB3"/>
    <w:rsid w:val="00871AF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DD3026-49F4-43D9-AF1F-B7B2BDA09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16</Pages>
  <Words>5752</Words>
  <Characters>32788</Characters>
  <Application>Microsoft Office Word</Application>
  <DocSecurity>0</DocSecurity>
  <Lines>273</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Progress in the implementation of the Convention and the Strategic Plan for Biodiversity 2011-2020 and Towards the Achievement of the Aichi Biodiversity Targets</vt:lpstr>
      <vt:lpstr>Progress in the implementation of the Convention and the Strategic Plan for Biodiversity 2011-2020 and Towards the Achievement of the Aichi Biodiversity Targets</vt:lpstr>
    </vt:vector>
  </TitlesOfParts>
  <Company>SCBD</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dc:title>
  <dc:subject>CBD/SBI/2/2</dc:subject>
  <dc:creator>SCBD</dc:creator>
  <cp:lastModifiedBy>Tatiana Zavarzina</cp:lastModifiedBy>
  <cp:revision>250</cp:revision>
  <cp:lastPrinted>2018-05-10T15:01:00Z</cp:lastPrinted>
  <dcterms:created xsi:type="dcterms:W3CDTF">2018-05-17T15:02:00Z</dcterms:created>
  <dcterms:modified xsi:type="dcterms:W3CDTF">2018-05-23T17:04:00Z</dcterms:modified>
  <cp:contentStatus>GENERAL</cp:contentStatus>
</cp:coreProperties>
</file>