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lang w:val="fr-CA" w:eastAsia="fr-CA"/>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AFAC695" w:rsidR="00A96B21" w:rsidRPr="00550DCE" w:rsidRDefault="002777BC" w:rsidP="00B60E5F">
            <w:pPr>
              <w:spacing w:after="120"/>
              <w:jc w:val="left"/>
            </w:pPr>
            <w:r w:rsidRPr="002777BC">
              <w:rPr>
                <w:noProof/>
                <w:lang w:val="fr-CA" w:eastAsia="fr-CA"/>
              </w:rPr>
              <w:drawing>
                <wp:inline distT="0" distB="0" distL="0" distR="0" wp14:anchorId="61A12AA7" wp14:editId="7EEE316A">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313B4893" w:rsidR="00A96B21" w:rsidRPr="00550DCE" w:rsidRDefault="00A96B21" w:rsidP="00A608A8">
            <w:pPr>
              <w:pStyle w:val="ABSymbol"/>
            </w:pPr>
            <w:r w:rsidRPr="00550DCE">
              <w:rPr>
                <w:sz w:val="40"/>
                <w:szCs w:val="40"/>
              </w:rPr>
              <w:t>CBD</w:t>
            </w:r>
            <w:r w:rsidRPr="00550DCE">
              <w:t>/</w:t>
            </w:r>
            <w:r w:rsidR="00D23F1E">
              <w:t>NP/MOP/5/</w:t>
            </w:r>
            <w:r w:rsidR="00A608A8">
              <w:t>L.6</w:t>
            </w:r>
          </w:p>
        </w:tc>
      </w:tr>
      <w:tr w:rsidR="00A96B21" w:rsidRPr="00A608A8" w14:paraId="1819DB77" w14:textId="77777777" w:rsidTr="00B60E5F">
        <w:tc>
          <w:tcPr>
            <w:tcW w:w="2297" w:type="pct"/>
            <w:gridSpan w:val="2"/>
            <w:tcBorders>
              <w:top w:val="single" w:sz="8" w:space="0" w:color="auto"/>
              <w:bottom w:val="single" w:sz="12" w:space="0" w:color="auto"/>
            </w:tcBorders>
          </w:tcPr>
          <w:p w14:paraId="445EC18F" w14:textId="7A5F2D83" w:rsidR="00A96B21" w:rsidRPr="00550DCE" w:rsidRDefault="002777BC" w:rsidP="00B60E5F">
            <w:pPr>
              <w:pStyle w:val="Cornernotation"/>
              <w:suppressLineNumbers/>
              <w:suppressAutoHyphens/>
              <w:spacing w:before="120" w:after="120"/>
              <w:ind w:left="0" w:right="0" w:firstLine="0"/>
            </w:pPr>
            <w:r w:rsidRPr="00F32592">
              <w:rPr>
                <w:bCs/>
                <w:noProof/>
                <w:lang w:val="fr-CA" w:eastAsia="fr-CA"/>
              </w:rPr>
              <w:drawing>
                <wp:inline distT="0" distB="0" distL="0" distR="0" wp14:anchorId="30620728" wp14:editId="3BB95A1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37813D72" w:rsidR="00A96B21" w:rsidRPr="00D33408" w:rsidRDefault="00A96B21" w:rsidP="003C6F10">
            <w:pPr>
              <w:ind w:left="2584"/>
              <w:rPr>
                <w:sz w:val="22"/>
                <w:szCs w:val="22"/>
                <w:lang w:val="fr-FR"/>
              </w:rPr>
            </w:pPr>
            <w:proofErr w:type="spellStart"/>
            <w:r w:rsidRPr="00D33408">
              <w:rPr>
                <w:sz w:val="22"/>
                <w:szCs w:val="22"/>
                <w:lang w:val="fr-FR"/>
              </w:rPr>
              <w:t>Distr</w:t>
            </w:r>
            <w:proofErr w:type="spellEnd"/>
            <w:r w:rsidRPr="00D33408">
              <w:rPr>
                <w:sz w:val="22"/>
                <w:szCs w:val="22"/>
                <w:lang w:val="fr-FR"/>
              </w:rPr>
              <w:t>.</w:t>
            </w:r>
            <w:r w:rsidR="009B6EE0">
              <w:rPr>
                <w:sz w:val="22"/>
                <w:szCs w:val="22"/>
                <w:lang w:val="fr-FR"/>
              </w:rPr>
              <w:t xml:space="preserve"> </w:t>
            </w:r>
            <w:r w:rsidRPr="00D33408">
              <w:rPr>
                <w:sz w:val="22"/>
                <w:szCs w:val="22"/>
                <w:lang w:val="fr-FR"/>
              </w:rPr>
              <w:t xml:space="preserve">: </w:t>
            </w:r>
            <w:r w:rsidR="009B6EE0">
              <w:rPr>
                <w:sz w:val="22"/>
                <w:szCs w:val="22"/>
                <w:lang w:val="fr-FR"/>
              </w:rPr>
              <w:t>L</w:t>
            </w:r>
            <w:r w:rsidR="00D33408" w:rsidRPr="00D33408">
              <w:rPr>
                <w:sz w:val="22"/>
                <w:szCs w:val="22"/>
                <w:lang w:val="fr-FR"/>
              </w:rPr>
              <w:t>imitée</w:t>
            </w:r>
          </w:p>
          <w:p w14:paraId="2DD21927" w14:textId="4C673D43" w:rsidR="00A96B21" w:rsidRPr="00D33408" w:rsidRDefault="00A608A8" w:rsidP="003C6F10">
            <w:pPr>
              <w:ind w:left="2584"/>
              <w:rPr>
                <w:sz w:val="22"/>
                <w:szCs w:val="22"/>
                <w:lang w:val="fr-FR"/>
              </w:rPr>
            </w:pPr>
            <w:r>
              <w:rPr>
                <w:sz w:val="22"/>
                <w:szCs w:val="22"/>
                <w:lang w:val="fr-FR"/>
              </w:rPr>
              <w:t>24</w:t>
            </w:r>
            <w:r w:rsidR="00D33408" w:rsidRPr="00D33408">
              <w:rPr>
                <w:sz w:val="22"/>
                <w:szCs w:val="22"/>
                <w:lang w:val="fr-FR"/>
              </w:rPr>
              <w:t xml:space="preserve"> octob</w:t>
            </w:r>
            <w:r w:rsidR="007A7F22" w:rsidRPr="00D33408">
              <w:rPr>
                <w:sz w:val="22"/>
                <w:szCs w:val="22"/>
                <w:lang w:val="fr-FR"/>
              </w:rPr>
              <w:t>r</w:t>
            </w:r>
            <w:r w:rsidR="00D33408" w:rsidRPr="00D33408">
              <w:rPr>
                <w:sz w:val="22"/>
                <w:szCs w:val="22"/>
                <w:lang w:val="fr-FR"/>
              </w:rPr>
              <w:t>e</w:t>
            </w:r>
            <w:r w:rsidR="00A96B21" w:rsidRPr="00D33408">
              <w:rPr>
                <w:sz w:val="22"/>
                <w:szCs w:val="22"/>
                <w:lang w:val="fr-FR"/>
              </w:rPr>
              <w:t xml:space="preserve"> 202</w:t>
            </w:r>
            <w:r w:rsidR="00D23F1E" w:rsidRPr="00D33408">
              <w:rPr>
                <w:sz w:val="22"/>
                <w:szCs w:val="22"/>
                <w:lang w:val="fr-FR"/>
              </w:rPr>
              <w:t>4</w:t>
            </w:r>
          </w:p>
          <w:p w14:paraId="701BBB65" w14:textId="5995C79C" w:rsidR="00A96B21" w:rsidRPr="00D33408" w:rsidRDefault="00D33408" w:rsidP="003C6F10">
            <w:pPr>
              <w:ind w:left="2584"/>
              <w:rPr>
                <w:sz w:val="22"/>
                <w:szCs w:val="22"/>
                <w:lang w:val="fr-FR"/>
              </w:rPr>
            </w:pPr>
            <w:r>
              <w:rPr>
                <w:sz w:val="22"/>
                <w:szCs w:val="22"/>
                <w:lang w:val="fr-FR"/>
              </w:rPr>
              <w:t>Français</w:t>
            </w:r>
          </w:p>
          <w:p w14:paraId="72F0F472" w14:textId="6454B0ED" w:rsidR="00A96B21" w:rsidRPr="00D33408" w:rsidRDefault="00A96B21" w:rsidP="003C6F10">
            <w:pPr>
              <w:ind w:left="2584"/>
              <w:rPr>
                <w:sz w:val="22"/>
                <w:szCs w:val="22"/>
                <w:lang w:val="fr-FR"/>
              </w:rPr>
            </w:pPr>
            <w:r w:rsidRPr="00D33408">
              <w:rPr>
                <w:sz w:val="22"/>
                <w:szCs w:val="22"/>
                <w:lang w:val="fr-FR"/>
              </w:rPr>
              <w:t>Original</w:t>
            </w:r>
            <w:r w:rsidR="009B6EE0">
              <w:rPr>
                <w:sz w:val="22"/>
                <w:szCs w:val="22"/>
                <w:lang w:val="fr-FR"/>
              </w:rPr>
              <w:t xml:space="preserve"> : A</w:t>
            </w:r>
            <w:bookmarkStart w:id="1" w:name="_GoBack"/>
            <w:bookmarkEnd w:id="1"/>
            <w:r w:rsidRPr="00D33408">
              <w:rPr>
                <w:sz w:val="22"/>
                <w:szCs w:val="22"/>
                <w:lang w:val="fr-FR"/>
              </w:rPr>
              <w:t>ngl</w:t>
            </w:r>
            <w:r w:rsidR="00D33408">
              <w:rPr>
                <w:sz w:val="22"/>
                <w:szCs w:val="22"/>
                <w:lang w:val="fr-FR"/>
              </w:rPr>
              <w:t>ais</w:t>
            </w:r>
          </w:p>
          <w:p w14:paraId="20DEA2D7" w14:textId="77777777" w:rsidR="00A96B21" w:rsidRPr="00D33408" w:rsidRDefault="00A96B21" w:rsidP="00B60E5F">
            <w:pPr>
              <w:rPr>
                <w:lang w:val="fr-FR"/>
              </w:rPr>
            </w:pPr>
          </w:p>
        </w:tc>
      </w:tr>
    </w:tbl>
    <w:p w14:paraId="26B5CCCC" w14:textId="067648C3" w:rsidR="00317EA5" w:rsidRPr="00D33408" w:rsidRDefault="00D33408" w:rsidP="00F35ED1">
      <w:pPr>
        <w:pStyle w:val="Cornernotation"/>
        <w:ind w:left="0" w:right="4257" w:firstLine="0"/>
        <w:rPr>
          <w:bCs/>
          <w:lang w:val="fr-FR"/>
        </w:rPr>
      </w:pPr>
      <w:r w:rsidRPr="00D33408">
        <w:rPr>
          <w:bCs/>
          <w:lang w:val="fr-FR"/>
        </w:rPr>
        <w:t>Conférence des</w:t>
      </w:r>
      <w:r w:rsidR="00317EA5" w:rsidRPr="00D33408">
        <w:rPr>
          <w:bCs/>
          <w:lang w:val="fr-FR"/>
        </w:rPr>
        <w:t xml:space="preserve"> Parties </w:t>
      </w:r>
      <w:r w:rsidRPr="00D33408">
        <w:rPr>
          <w:bCs/>
          <w:lang w:val="fr-FR"/>
        </w:rPr>
        <w:t>à la</w:t>
      </w:r>
      <w:r w:rsidR="00317EA5" w:rsidRPr="00D33408">
        <w:rPr>
          <w:bCs/>
          <w:lang w:val="fr-FR"/>
        </w:rPr>
        <w:t xml:space="preserve"> Convention</w:t>
      </w:r>
      <w:r w:rsidRPr="00D33408">
        <w:rPr>
          <w:bCs/>
          <w:lang w:val="fr-FR"/>
        </w:rPr>
        <w:t xml:space="preserve"> sur la </w:t>
      </w:r>
      <w:r w:rsidRPr="00D33408">
        <w:rPr>
          <w:bCs/>
          <w:lang w:val="fr-FR"/>
        </w:rPr>
        <w:br/>
        <w:t>diversité biologique</w:t>
      </w:r>
      <w:r w:rsidR="00317EA5" w:rsidRPr="00D33408">
        <w:rPr>
          <w:bCs/>
          <w:lang w:val="fr-FR"/>
        </w:rPr>
        <w:t xml:space="preserve"> </w:t>
      </w:r>
      <w:r w:rsidRPr="00D33408">
        <w:rPr>
          <w:bCs/>
          <w:lang w:val="fr-FR"/>
        </w:rPr>
        <w:t xml:space="preserve">siégeant en tant que </w:t>
      </w:r>
      <w:r>
        <w:rPr>
          <w:bCs/>
          <w:lang w:val="fr-FR"/>
        </w:rPr>
        <w:t>ré</w:t>
      </w:r>
      <w:r w:rsidRPr="00D33408">
        <w:rPr>
          <w:bCs/>
          <w:lang w:val="fr-FR"/>
        </w:rPr>
        <w:t>union des</w:t>
      </w:r>
      <w:r>
        <w:rPr>
          <w:bCs/>
          <w:lang w:val="fr-FR"/>
        </w:rPr>
        <w:t xml:space="preserve"> Parties au Protocole de Nagoya</w:t>
      </w:r>
      <w:r w:rsidR="00186E3D">
        <w:rPr>
          <w:bCs/>
          <w:lang w:val="fr-FR"/>
        </w:rPr>
        <w:t xml:space="preserve"> sur l’accès aux ressources gén</w:t>
      </w:r>
      <w:r>
        <w:rPr>
          <w:bCs/>
          <w:lang w:val="fr-FR"/>
        </w:rPr>
        <w:t>étiques et le partage juste et équitable des avantages découlant de leur utilisat</w:t>
      </w:r>
      <w:r w:rsidR="00317EA5" w:rsidRPr="00D33408">
        <w:rPr>
          <w:bCs/>
          <w:lang w:val="fr-FR"/>
        </w:rPr>
        <w:t>ion</w:t>
      </w:r>
    </w:p>
    <w:p w14:paraId="646B77EF" w14:textId="7D304299" w:rsidR="00A96B21" w:rsidRPr="00D33408" w:rsidRDefault="00D33408" w:rsidP="00A96B21">
      <w:pPr>
        <w:pStyle w:val="Cornernotation"/>
        <w:rPr>
          <w:bCs/>
          <w:sz w:val="22"/>
          <w:lang w:val="fr-FR"/>
        </w:rPr>
      </w:pPr>
      <w:r w:rsidRPr="00D33408">
        <w:rPr>
          <w:bCs/>
          <w:sz w:val="22"/>
          <w:lang w:val="fr-FR"/>
        </w:rPr>
        <w:t>Cinquième réunion</w:t>
      </w:r>
      <w:r w:rsidR="00A96B21" w:rsidRPr="00D33408">
        <w:rPr>
          <w:bCs/>
          <w:sz w:val="22"/>
          <w:lang w:val="fr-FR"/>
        </w:rPr>
        <w:t xml:space="preserve"> </w:t>
      </w:r>
    </w:p>
    <w:p w14:paraId="09E4FAB9" w14:textId="081BC2E5" w:rsidR="00A96B21" w:rsidRPr="00D33408" w:rsidRDefault="00D33408" w:rsidP="00A96B21">
      <w:pPr>
        <w:pStyle w:val="Venuedate"/>
        <w:rPr>
          <w:lang w:val="fr-FR"/>
        </w:rPr>
      </w:pPr>
      <w:r w:rsidRPr="00D33408">
        <w:rPr>
          <w:lang w:val="fr-FR"/>
        </w:rPr>
        <w:t>Cali, Colombie, 21 octob</w:t>
      </w:r>
      <w:r w:rsidR="00D23F1E" w:rsidRPr="00D33408">
        <w:rPr>
          <w:lang w:val="fr-FR"/>
        </w:rPr>
        <w:t>r</w:t>
      </w:r>
      <w:r w:rsidRPr="00D33408">
        <w:rPr>
          <w:lang w:val="fr-FR"/>
        </w:rPr>
        <w:t>e</w:t>
      </w:r>
      <w:r w:rsidR="00D23F1E" w:rsidRPr="00D33408">
        <w:rPr>
          <w:lang w:val="fr-FR"/>
        </w:rPr>
        <w:t>–1</w:t>
      </w:r>
      <w:r w:rsidRPr="00D33408">
        <w:rPr>
          <w:vertAlign w:val="superscript"/>
          <w:lang w:val="fr-FR"/>
        </w:rPr>
        <w:t>er</w:t>
      </w:r>
      <w:r w:rsidRPr="00D33408">
        <w:rPr>
          <w:lang w:val="fr-FR"/>
        </w:rPr>
        <w:t xml:space="preserve"> novemb</w:t>
      </w:r>
      <w:r w:rsidR="00D23F1E" w:rsidRPr="00D33408">
        <w:rPr>
          <w:lang w:val="fr-FR"/>
        </w:rPr>
        <w:t>r</w:t>
      </w:r>
      <w:r w:rsidRPr="00D33408">
        <w:rPr>
          <w:lang w:val="fr-FR"/>
        </w:rPr>
        <w:t>e</w:t>
      </w:r>
      <w:r w:rsidR="00D23F1E" w:rsidRPr="00D33408">
        <w:rPr>
          <w:lang w:val="fr-FR"/>
        </w:rPr>
        <w:t xml:space="preserve"> 2024</w:t>
      </w:r>
    </w:p>
    <w:p w14:paraId="30733817" w14:textId="0ACC9184" w:rsidR="00A96B21" w:rsidRPr="00D33408" w:rsidRDefault="00D33408" w:rsidP="00A96B21">
      <w:pPr>
        <w:pStyle w:val="Cornernotation-Item"/>
        <w:rPr>
          <w:b w:val="0"/>
          <w:bCs w:val="0"/>
          <w:lang w:val="fr-FR"/>
        </w:rPr>
      </w:pPr>
      <w:r w:rsidRPr="00D33408">
        <w:rPr>
          <w:b w:val="0"/>
          <w:bCs w:val="0"/>
          <w:lang w:val="fr-FR"/>
        </w:rPr>
        <w:t>Point</w:t>
      </w:r>
      <w:r w:rsidR="00A96B21" w:rsidRPr="00D33408">
        <w:rPr>
          <w:b w:val="0"/>
          <w:bCs w:val="0"/>
          <w:lang w:val="fr-FR"/>
        </w:rPr>
        <w:t xml:space="preserve"> </w:t>
      </w:r>
      <w:r w:rsidR="00A22B61" w:rsidRPr="00D33408">
        <w:rPr>
          <w:b w:val="0"/>
          <w:bCs w:val="0"/>
          <w:lang w:val="fr-FR"/>
        </w:rPr>
        <w:t>13</w:t>
      </w:r>
      <w:r w:rsidRPr="00D33408">
        <w:rPr>
          <w:b w:val="0"/>
          <w:bCs w:val="0"/>
          <w:lang w:val="fr-FR"/>
        </w:rPr>
        <w:t xml:space="preserve"> de l’ordre du jour</w:t>
      </w:r>
      <w:r w:rsidR="00A96B21" w:rsidRPr="00D33408">
        <w:rPr>
          <w:b w:val="0"/>
          <w:bCs w:val="0"/>
          <w:lang w:val="fr-FR"/>
        </w:rPr>
        <w:t xml:space="preserve"> </w:t>
      </w:r>
    </w:p>
    <w:p w14:paraId="3209F4DA" w14:textId="77777777" w:rsidR="00D33408" w:rsidRDefault="00D33408" w:rsidP="00BA3309">
      <w:pPr>
        <w:pStyle w:val="AFCorNotBold"/>
        <w:jc w:val="left"/>
        <w:rPr>
          <w:lang w:val="fr-FR"/>
        </w:rPr>
      </w:pPr>
      <w:r w:rsidRPr="00D33408">
        <w:rPr>
          <w:lang w:val="fr-FR"/>
        </w:rPr>
        <w:t>Renforcer l’application du Protocole de Nagoya</w:t>
      </w:r>
      <w:r w:rsidR="00A22B61" w:rsidRPr="00D33408">
        <w:rPr>
          <w:lang w:val="fr-FR"/>
        </w:rPr>
        <w:br/>
      </w:r>
      <w:r w:rsidRPr="00D33408">
        <w:rPr>
          <w:lang w:val="fr-FR"/>
        </w:rPr>
        <w:t xml:space="preserve">dans le </w:t>
      </w:r>
      <w:r w:rsidR="00BA3309" w:rsidRPr="00D33408">
        <w:rPr>
          <w:lang w:val="fr-FR"/>
        </w:rPr>
        <w:t>context</w:t>
      </w:r>
      <w:r w:rsidRPr="00D33408">
        <w:rPr>
          <w:lang w:val="fr-FR"/>
        </w:rPr>
        <w:t>e du Cadre mondial de la biodiversité</w:t>
      </w:r>
    </w:p>
    <w:p w14:paraId="4F3B9CA0" w14:textId="59E8B5E7" w:rsidR="00A96B21" w:rsidRPr="00D33408" w:rsidRDefault="00D33408" w:rsidP="00BA3309">
      <w:pPr>
        <w:pStyle w:val="AFCorNotBold"/>
        <w:jc w:val="left"/>
        <w:rPr>
          <w:lang w:val="fr-FR"/>
        </w:rPr>
      </w:pPr>
      <w:r w:rsidRPr="00D33408">
        <w:rPr>
          <w:lang w:val="fr-FR"/>
        </w:rPr>
        <w:t>de Kunming-Montréal</w:t>
      </w:r>
    </w:p>
    <w:p w14:paraId="11AD0D22" w14:textId="77AB592C" w:rsidR="007A7F22" w:rsidRPr="00D33408" w:rsidRDefault="007A7F22" w:rsidP="00A96B21">
      <w:pPr>
        <w:pStyle w:val="Cornernotation-Item"/>
        <w:rPr>
          <w:b w:val="0"/>
          <w:bCs w:val="0"/>
          <w:lang w:val="fr-FR"/>
        </w:rPr>
      </w:pPr>
      <w:r w:rsidRPr="00D33408">
        <w:rPr>
          <w:b w:val="0"/>
          <w:bCs w:val="0"/>
          <w:lang w:val="fr-FR"/>
        </w:rPr>
        <w:t>Group</w:t>
      </w:r>
      <w:r w:rsidR="00D33408" w:rsidRPr="00D33408">
        <w:rPr>
          <w:b w:val="0"/>
          <w:bCs w:val="0"/>
          <w:lang w:val="fr-FR"/>
        </w:rPr>
        <w:t>e de travail</w:t>
      </w:r>
      <w:r w:rsidRPr="00D33408">
        <w:rPr>
          <w:b w:val="0"/>
          <w:bCs w:val="0"/>
          <w:lang w:val="fr-FR"/>
        </w:rPr>
        <w:t xml:space="preserve"> I</w:t>
      </w:r>
      <w:r w:rsidR="00E15315" w:rsidRPr="00D33408">
        <w:rPr>
          <w:b w:val="0"/>
          <w:bCs w:val="0"/>
          <w:lang w:val="fr-FR"/>
        </w:rPr>
        <w:t>I</w:t>
      </w:r>
    </w:p>
    <w:bookmarkEnd w:id="0"/>
    <w:p w14:paraId="3CF490E6" w14:textId="2AD143D5" w:rsidR="00A96B21" w:rsidRPr="00D33408" w:rsidRDefault="00CF71C6" w:rsidP="00A22B61">
      <w:pPr>
        <w:pStyle w:val="Titre"/>
        <w:jc w:val="left"/>
        <w:rPr>
          <w:rFonts w:hint="eastAsia"/>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D33408" w:rsidRPr="00D33408">
            <w:rPr>
              <w:lang w:val="fr-FR"/>
            </w:rPr>
            <w:t>Renforcer l’application du Protocole de Nagoya dans le</w:t>
          </w:r>
          <w:r w:rsidR="00A22B61" w:rsidRPr="00D33408">
            <w:rPr>
              <w:lang w:val="fr-FR"/>
            </w:rPr>
            <w:t xml:space="preserve"> </w:t>
          </w:r>
          <w:r w:rsidR="00D33408" w:rsidRPr="00D33408">
            <w:rPr>
              <w:lang w:val="fr-FR"/>
            </w:rPr>
            <w:t>context</w:t>
          </w:r>
          <w:r w:rsidR="00D33408">
            <w:rPr>
              <w:lang w:val="fr-FR"/>
            </w:rPr>
            <w:t>e</w:t>
          </w:r>
          <w:r w:rsidR="00D33408" w:rsidRPr="00D33408">
            <w:rPr>
              <w:lang w:val="fr-FR"/>
            </w:rPr>
            <w:t xml:space="preserve"> du </w:t>
          </w:r>
          <w:r w:rsidR="00D33408">
            <w:rPr>
              <w:lang w:val="fr-FR"/>
            </w:rPr>
            <w:t>Cadre mondial de la biodiversité de</w:t>
          </w:r>
          <w:r w:rsidR="00A22B61" w:rsidRPr="00D33408">
            <w:rPr>
              <w:lang w:val="fr-FR"/>
            </w:rPr>
            <w:t xml:space="preserve"> Kunming-Mo</w:t>
          </w:r>
          <w:r w:rsidR="00D33408">
            <w:rPr>
              <w:lang w:val="fr-FR"/>
            </w:rPr>
            <w:t>ntréal</w:t>
          </w:r>
        </w:sdtContent>
      </w:sdt>
    </w:p>
    <w:p w14:paraId="0D679B2E" w14:textId="09E110D8" w:rsidR="00A96B21" w:rsidRPr="00D33408" w:rsidRDefault="00D33408" w:rsidP="00A96B21">
      <w:pPr>
        <w:pStyle w:val="Sous-titre"/>
        <w:spacing w:before="120" w:after="120"/>
        <w:ind w:left="567"/>
        <w:jc w:val="left"/>
        <w:rPr>
          <w:rFonts w:ascii="Times New Roman" w:hAnsi="Times New Roman" w:cs="Times New Roman"/>
          <w:color w:val="auto"/>
          <w:lang w:val="fr-FR"/>
        </w:rPr>
      </w:pPr>
      <w:r w:rsidRPr="00D33408">
        <w:rPr>
          <w:rFonts w:ascii="Times New Roman" w:hAnsi="Times New Roman" w:cs="Times New Roman"/>
          <w:color w:val="auto"/>
          <w:lang w:val="fr-FR"/>
        </w:rPr>
        <w:t xml:space="preserve">Projet de décision remis par le </w:t>
      </w:r>
      <w:r>
        <w:rPr>
          <w:rFonts w:ascii="Times New Roman" w:hAnsi="Times New Roman" w:cs="Times New Roman"/>
          <w:color w:val="auto"/>
          <w:lang w:val="fr-FR"/>
        </w:rPr>
        <w:t>pré</w:t>
      </w:r>
      <w:r w:rsidRPr="00D33408">
        <w:rPr>
          <w:rFonts w:ascii="Times New Roman" w:hAnsi="Times New Roman" w:cs="Times New Roman"/>
          <w:color w:val="auto"/>
          <w:lang w:val="fr-FR"/>
        </w:rPr>
        <w:t>sident du</w:t>
      </w:r>
      <w:r>
        <w:rPr>
          <w:rFonts w:ascii="Times New Roman" w:hAnsi="Times New Roman" w:cs="Times New Roman"/>
          <w:color w:val="auto"/>
          <w:lang w:val="fr-FR"/>
        </w:rPr>
        <w:t xml:space="preserve"> </w:t>
      </w:r>
      <w:r w:rsidR="00186E3D">
        <w:rPr>
          <w:rFonts w:ascii="Times New Roman" w:hAnsi="Times New Roman" w:cs="Times New Roman"/>
          <w:color w:val="auto"/>
          <w:lang w:val="fr-FR"/>
        </w:rPr>
        <w:t>Gro</w:t>
      </w:r>
      <w:r w:rsidR="00FC0705" w:rsidRPr="00D33408">
        <w:rPr>
          <w:rFonts w:ascii="Times New Roman" w:hAnsi="Times New Roman" w:cs="Times New Roman"/>
          <w:color w:val="auto"/>
          <w:lang w:val="fr-FR"/>
        </w:rPr>
        <w:t>up</w:t>
      </w:r>
      <w:r>
        <w:rPr>
          <w:rFonts w:ascii="Times New Roman" w:hAnsi="Times New Roman" w:cs="Times New Roman"/>
          <w:color w:val="auto"/>
          <w:lang w:val="fr-FR"/>
        </w:rPr>
        <w:t>e de travail</w:t>
      </w:r>
      <w:r w:rsidR="00FC0705" w:rsidRPr="00D33408">
        <w:rPr>
          <w:rFonts w:ascii="Times New Roman" w:hAnsi="Times New Roman" w:cs="Times New Roman"/>
          <w:color w:val="auto"/>
          <w:lang w:val="fr-FR"/>
        </w:rPr>
        <w:t xml:space="preserve"> I</w:t>
      </w:r>
      <w:r w:rsidR="00E15315" w:rsidRPr="00D33408">
        <w:rPr>
          <w:rFonts w:ascii="Times New Roman" w:hAnsi="Times New Roman" w:cs="Times New Roman"/>
          <w:color w:val="auto"/>
          <w:lang w:val="fr-FR"/>
        </w:rPr>
        <w:t>I</w:t>
      </w:r>
    </w:p>
    <w:p w14:paraId="68F62D10" w14:textId="77777777" w:rsidR="00F26B87" w:rsidRPr="00C87559" w:rsidRDefault="00F26B87" w:rsidP="0064672B">
      <w:pPr>
        <w:tabs>
          <w:tab w:val="clear" w:pos="1134"/>
        </w:tabs>
        <w:spacing w:before="240" w:after="120"/>
        <w:ind w:left="567" w:firstLine="567"/>
        <w:rPr>
          <w:i/>
          <w:iCs/>
          <w:lang w:val="fr-CA"/>
        </w:rPr>
      </w:pPr>
      <w:r w:rsidRPr="00C87559">
        <w:rPr>
          <w:i/>
          <w:iCs/>
          <w:lang w:val="fr-CA"/>
        </w:rPr>
        <w:t>La Conférence des Parties siégeant en tant que réunion des Parties au Protocole de Nagoya</w:t>
      </w:r>
      <w:r w:rsidRPr="00C87559">
        <w:rPr>
          <w:lang w:val="fr-CA"/>
        </w:rPr>
        <w:t>,</w:t>
      </w:r>
    </w:p>
    <w:p w14:paraId="472BA4F1" w14:textId="77777777" w:rsidR="00F26B87" w:rsidRPr="00C87559" w:rsidRDefault="00F26B87" w:rsidP="00F26B87">
      <w:pPr>
        <w:tabs>
          <w:tab w:val="clear" w:pos="1134"/>
        </w:tabs>
        <w:spacing w:before="120" w:after="120"/>
        <w:ind w:left="567" w:firstLine="567"/>
        <w:rPr>
          <w:i/>
          <w:iCs/>
          <w:lang w:val="fr-CA"/>
        </w:rPr>
      </w:pPr>
      <w:r w:rsidRPr="00C87559">
        <w:rPr>
          <w:i/>
          <w:iCs/>
          <w:lang w:val="fr-CA"/>
        </w:rPr>
        <w:t xml:space="preserve">Rappelant </w:t>
      </w:r>
      <w:r w:rsidRPr="00C87559">
        <w:rPr>
          <w:iCs/>
          <w:lang w:val="fr-CA"/>
        </w:rPr>
        <w:t>ses décisions</w:t>
      </w:r>
      <w:r>
        <w:rPr>
          <w:iCs/>
          <w:lang w:val="fr-CA"/>
        </w:rPr>
        <w:t> </w:t>
      </w:r>
      <w:r w:rsidRPr="00C87559">
        <w:rPr>
          <w:iCs/>
          <w:lang w:val="fr-CA"/>
        </w:rPr>
        <w:t>NP-4/3 du 10</w:t>
      </w:r>
      <w:r>
        <w:rPr>
          <w:iCs/>
          <w:lang w:val="fr-CA"/>
        </w:rPr>
        <w:t> </w:t>
      </w:r>
      <w:r w:rsidRPr="00C87559">
        <w:rPr>
          <w:iCs/>
          <w:lang w:val="fr-CA"/>
        </w:rPr>
        <w:t>décembre</w:t>
      </w:r>
      <w:r>
        <w:rPr>
          <w:iCs/>
          <w:lang w:val="fr-CA"/>
        </w:rPr>
        <w:t> </w:t>
      </w:r>
      <w:r w:rsidRPr="00C87559">
        <w:rPr>
          <w:iCs/>
          <w:lang w:val="fr-CA"/>
        </w:rPr>
        <w:t>2022 et NP-4/5 du 19</w:t>
      </w:r>
      <w:r>
        <w:rPr>
          <w:iCs/>
          <w:lang w:val="fr-CA"/>
        </w:rPr>
        <w:t> </w:t>
      </w:r>
      <w:r w:rsidRPr="00C87559">
        <w:rPr>
          <w:iCs/>
          <w:lang w:val="fr-CA"/>
        </w:rPr>
        <w:t>décembre</w:t>
      </w:r>
      <w:r>
        <w:rPr>
          <w:iCs/>
          <w:lang w:val="fr-CA"/>
        </w:rPr>
        <w:t> </w:t>
      </w:r>
      <w:r w:rsidRPr="00C87559">
        <w:rPr>
          <w:iCs/>
          <w:lang w:val="fr-CA"/>
        </w:rPr>
        <w:t>2022</w:t>
      </w:r>
      <w:r w:rsidRPr="00C87559">
        <w:rPr>
          <w:lang w:val="fr-CA"/>
        </w:rPr>
        <w:t>,</w:t>
      </w:r>
    </w:p>
    <w:p w14:paraId="70637B21" w14:textId="343F21DD" w:rsidR="00F26B87" w:rsidRPr="00C87559" w:rsidRDefault="00F26B87" w:rsidP="00F26B87">
      <w:pPr>
        <w:tabs>
          <w:tab w:val="clear" w:pos="1134"/>
        </w:tabs>
        <w:spacing w:before="120" w:after="120"/>
        <w:ind w:left="567" w:firstLine="567"/>
        <w:rPr>
          <w:lang w:val="fr-CA"/>
        </w:rPr>
      </w:pPr>
      <w:r w:rsidRPr="00C87559">
        <w:rPr>
          <w:i/>
          <w:iCs/>
          <w:lang w:val="fr-CA"/>
        </w:rPr>
        <w:t xml:space="preserve">Rappelant également </w:t>
      </w:r>
      <w:r w:rsidRPr="00C87559">
        <w:rPr>
          <w:iCs/>
          <w:lang w:val="fr-CA"/>
        </w:rPr>
        <w:t>que les objectifs et les cibles du Cadre mondial de la biodiversité de Kunming-Montréal</w:t>
      </w:r>
      <w:r w:rsidRPr="00C87559">
        <w:rPr>
          <w:vertAlign w:val="superscript"/>
          <w:lang w:val="fr-CA"/>
        </w:rPr>
        <w:footnoteReference w:id="1"/>
      </w:r>
      <w:r w:rsidRPr="00C87559">
        <w:rPr>
          <w:lang w:val="fr-CA"/>
        </w:rPr>
        <w:t xml:space="preserve"> sont intégrés et ont pour but de contribuer de manière équilibrée aux trois objectifs de la Convent</w:t>
      </w:r>
      <w:r w:rsidR="00F35ED1">
        <w:rPr>
          <w:lang w:val="fr-CA"/>
        </w:rPr>
        <w:t>ion sur la diversité biologique</w:t>
      </w:r>
      <w:r w:rsidRPr="00C87559">
        <w:rPr>
          <w:vertAlign w:val="superscript"/>
          <w:lang w:val="fr-CA"/>
        </w:rPr>
        <w:footnoteReference w:id="2"/>
      </w:r>
      <w:r w:rsidR="00F35ED1">
        <w:rPr>
          <w:lang w:val="fr-CA"/>
        </w:rPr>
        <w:t>,</w:t>
      </w:r>
    </w:p>
    <w:p w14:paraId="33778911" w14:textId="3231BDD0" w:rsidR="00F26B87" w:rsidRPr="00C87559" w:rsidRDefault="00F26B87" w:rsidP="00F26B87">
      <w:pPr>
        <w:spacing w:before="120" w:after="120"/>
        <w:ind w:left="567" w:firstLine="567"/>
        <w:rPr>
          <w:iCs/>
          <w:lang w:val="fr-CA"/>
        </w:rPr>
      </w:pPr>
      <w:r w:rsidRPr="00C87559">
        <w:rPr>
          <w:iCs/>
          <w:lang w:val="fr-CA"/>
        </w:rPr>
        <w:t>1.</w:t>
      </w:r>
      <w:r w:rsidRPr="00C87559">
        <w:rPr>
          <w:i/>
          <w:lang w:val="fr-CA"/>
        </w:rPr>
        <w:tab/>
        <w:t xml:space="preserve">Prend note </w:t>
      </w:r>
      <w:r w:rsidRPr="00C87559">
        <w:rPr>
          <w:lang w:val="fr-CA"/>
        </w:rPr>
        <w:t>de la décision</w:t>
      </w:r>
      <w:r>
        <w:rPr>
          <w:lang w:val="fr-CA"/>
        </w:rPr>
        <w:t> </w:t>
      </w:r>
      <w:r w:rsidRPr="00C87559">
        <w:rPr>
          <w:lang w:val="fr-CA"/>
        </w:rPr>
        <w:t>16/-- de la Conférence des Parties sur les progrès réalisés dans la révision ou la mise à jour par les Parties des stratégies et plans d’action nationaux pour la biod</w:t>
      </w:r>
      <w:r w:rsidR="00F35ED1">
        <w:rPr>
          <w:lang w:val="fr-CA"/>
        </w:rPr>
        <w:t>iversité, y compris les cibles nationales</w:t>
      </w:r>
      <w:r w:rsidRPr="00C87559">
        <w:rPr>
          <w:lang w:val="fr-CA"/>
        </w:rPr>
        <w:t>, conformément au Cadre mondial de la biodiversité de Kunming-Montréal, et se réjouit des progrès accomplis par les Parties et les autres gouvernements concerna</w:t>
      </w:r>
      <w:r w:rsidR="00F35ED1">
        <w:rPr>
          <w:lang w:val="fr-CA"/>
        </w:rPr>
        <w:t>nt la communication des cibles nationales</w:t>
      </w:r>
      <w:r w:rsidRPr="00C87559">
        <w:rPr>
          <w:lang w:val="fr-CA"/>
        </w:rPr>
        <w:t xml:space="preserve"> en vue de réaliser la cible</w:t>
      </w:r>
      <w:r>
        <w:rPr>
          <w:lang w:val="fr-CA"/>
        </w:rPr>
        <w:t> </w:t>
      </w:r>
      <w:r w:rsidR="00F35ED1">
        <w:rPr>
          <w:lang w:val="fr-CA"/>
        </w:rPr>
        <w:t>13 et l’objectif C du Cadre</w:t>
      </w:r>
      <w:r w:rsidRPr="00C87559">
        <w:rPr>
          <w:iCs/>
          <w:lang w:val="fr-CA"/>
        </w:rPr>
        <w:t>;</w:t>
      </w:r>
    </w:p>
    <w:p w14:paraId="0BD21032" w14:textId="2E1D6A94" w:rsidR="00F26B87" w:rsidRPr="00C87559" w:rsidRDefault="00F26B87" w:rsidP="00F26B87">
      <w:pPr>
        <w:spacing w:before="120" w:after="120"/>
        <w:ind w:left="567" w:firstLine="567"/>
        <w:rPr>
          <w:lang w:val="fr-CA"/>
        </w:rPr>
      </w:pPr>
      <w:r w:rsidRPr="00C87559">
        <w:rPr>
          <w:lang w:val="fr-CA"/>
        </w:rPr>
        <w:t>2.</w:t>
      </w:r>
      <w:r w:rsidRPr="00C87559">
        <w:rPr>
          <w:i/>
          <w:iCs/>
          <w:lang w:val="fr-CA"/>
        </w:rPr>
        <w:tab/>
        <w:t xml:space="preserve">Prend note également </w:t>
      </w:r>
      <w:r w:rsidRPr="00C87559">
        <w:rPr>
          <w:iCs/>
          <w:lang w:val="fr-CA"/>
        </w:rPr>
        <w:t>de la décision</w:t>
      </w:r>
      <w:r>
        <w:rPr>
          <w:iCs/>
          <w:lang w:val="fr-CA"/>
        </w:rPr>
        <w:t> </w:t>
      </w:r>
      <w:r w:rsidRPr="00C87559">
        <w:rPr>
          <w:iCs/>
          <w:lang w:val="fr-CA"/>
        </w:rPr>
        <w:t xml:space="preserve">16/-- de la Conférence des Parties sur l’approche multidimensionnelle renforcée pour la planification, le suivi, l’établissement de rapports et l’examen, </w:t>
      </w:r>
      <w:r w:rsidR="00F35ED1">
        <w:rPr>
          <w:iCs/>
          <w:lang w:val="fr-CA"/>
        </w:rPr>
        <w:t xml:space="preserve">de la </w:t>
      </w:r>
      <w:r w:rsidRPr="00C87559">
        <w:rPr>
          <w:iCs/>
          <w:lang w:val="fr-CA"/>
        </w:rPr>
        <w:t>décision</w:t>
      </w:r>
      <w:r>
        <w:rPr>
          <w:iCs/>
          <w:lang w:val="fr-CA"/>
        </w:rPr>
        <w:t> </w:t>
      </w:r>
      <w:r w:rsidRPr="00C87559">
        <w:rPr>
          <w:iCs/>
          <w:lang w:val="fr-CA"/>
        </w:rPr>
        <w:t>16/</w:t>
      </w:r>
      <w:r w:rsidR="00F35ED1">
        <w:rPr>
          <w:iCs/>
          <w:lang w:val="fr-CA"/>
        </w:rPr>
        <w:t>-- sur le cadre de suivi du</w:t>
      </w:r>
      <w:r w:rsidRPr="00C87559">
        <w:rPr>
          <w:iCs/>
          <w:lang w:val="fr-CA"/>
        </w:rPr>
        <w:t xml:space="preserve"> Cadre mondial de la biodiversité de Kunming-Montréal, qui comprend des indicateurs pour l’objectif C et la cible</w:t>
      </w:r>
      <w:r>
        <w:rPr>
          <w:iCs/>
          <w:lang w:val="fr-CA"/>
        </w:rPr>
        <w:t> </w:t>
      </w:r>
      <w:r w:rsidRPr="00C87559">
        <w:rPr>
          <w:iCs/>
          <w:lang w:val="fr-CA"/>
        </w:rPr>
        <w:t>13 du Cadre, et les méthodologies pertinentes proposées présentées dans le document</w:t>
      </w:r>
      <w:r w:rsidR="00F35ED1">
        <w:rPr>
          <w:lang w:val="fr-CA"/>
        </w:rPr>
        <w:t xml:space="preserve"> CBD/COP/16/INF/3</w:t>
      </w:r>
      <w:r w:rsidRPr="00C87559">
        <w:rPr>
          <w:lang w:val="fr-CA"/>
        </w:rPr>
        <w:t>;</w:t>
      </w:r>
    </w:p>
    <w:p w14:paraId="14C3F86D" w14:textId="77777777" w:rsidR="00F26B87" w:rsidRPr="00C87559" w:rsidRDefault="00F26B87" w:rsidP="00F26B87">
      <w:pPr>
        <w:spacing w:before="120" w:after="120"/>
        <w:ind w:left="567" w:firstLine="567"/>
        <w:rPr>
          <w:iCs/>
          <w:lang w:val="fr-CA"/>
        </w:rPr>
      </w:pPr>
      <w:r w:rsidRPr="00C87559">
        <w:rPr>
          <w:iCs/>
          <w:lang w:val="fr-CA"/>
        </w:rPr>
        <w:lastRenderedPageBreak/>
        <w:t>3.</w:t>
      </w:r>
      <w:r w:rsidRPr="00C87559">
        <w:rPr>
          <w:iCs/>
          <w:lang w:val="fr-CA"/>
        </w:rPr>
        <w:tab/>
      </w:r>
      <w:r w:rsidRPr="00C87559">
        <w:rPr>
          <w:i/>
          <w:lang w:val="fr-CA"/>
        </w:rPr>
        <w:t xml:space="preserve">Invite </w:t>
      </w:r>
      <w:r w:rsidRPr="00C87559">
        <w:rPr>
          <w:lang w:val="fr-CA"/>
        </w:rPr>
        <w:t>les Parties et encourage les autres gouvernements à </w:t>
      </w:r>
      <w:r w:rsidRPr="00C87559">
        <w:rPr>
          <w:iCs/>
          <w:lang w:val="fr-CA"/>
        </w:rPr>
        <w:t>:</w:t>
      </w:r>
    </w:p>
    <w:p w14:paraId="3D1E3228" w14:textId="5F3CE199" w:rsidR="00F26B87" w:rsidRPr="00C87559" w:rsidRDefault="00F26B87" w:rsidP="00F26B87">
      <w:pPr>
        <w:spacing w:before="120" w:after="120"/>
        <w:ind w:left="567" w:firstLine="567"/>
        <w:rPr>
          <w:lang w:val="fr-CA"/>
        </w:rPr>
      </w:pPr>
      <w:r w:rsidRPr="00C87559">
        <w:rPr>
          <w:iCs/>
          <w:lang w:val="fr-CA"/>
        </w:rPr>
        <w:t>a)</w:t>
      </w:r>
      <w:r w:rsidRPr="00C87559">
        <w:rPr>
          <w:iCs/>
          <w:lang w:val="fr-CA"/>
        </w:rPr>
        <w:tab/>
        <w:t>Aborder tous les éléments de l’objectif C et de la cible</w:t>
      </w:r>
      <w:r>
        <w:rPr>
          <w:iCs/>
          <w:lang w:val="fr-CA"/>
        </w:rPr>
        <w:t> </w:t>
      </w:r>
      <w:r w:rsidRPr="00C87559">
        <w:rPr>
          <w:iCs/>
          <w:lang w:val="fr-CA"/>
        </w:rPr>
        <w:t>13 du Cadre lors de l’élaboration des cibles nationales et de la révision et la mise à jour des stratégies et plans d’action</w:t>
      </w:r>
      <w:r w:rsidR="00F35ED1">
        <w:rPr>
          <w:iCs/>
          <w:lang w:val="fr-CA"/>
        </w:rPr>
        <w:t xml:space="preserve"> nationaux pour la biodiversité</w:t>
      </w:r>
      <w:r w:rsidRPr="00C87559">
        <w:rPr>
          <w:vertAlign w:val="superscript"/>
          <w:lang w:val="fr-CA"/>
        </w:rPr>
        <w:footnoteReference w:id="3"/>
      </w:r>
      <w:r w:rsidR="00F35ED1">
        <w:rPr>
          <w:iCs/>
          <w:lang w:val="fr-CA"/>
        </w:rPr>
        <w:t>;</w:t>
      </w:r>
    </w:p>
    <w:p w14:paraId="4A770A16" w14:textId="40FB8AE4" w:rsidR="00F26B87" w:rsidRPr="00C87559" w:rsidRDefault="00F26B87" w:rsidP="00F26B87">
      <w:pPr>
        <w:tabs>
          <w:tab w:val="clear" w:pos="567"/>
        </w:tabs>
        <w:spacing w:before="120" w:after="120"/>
        <w:ind w:left="567" w:firstLine="567"/>
        <w:rPr>
          <w:lang w:val="fr-CA"/>
        </w:rPr>
      </w:pPr>
      <w:r w:rsidRPr="00C87559">
        <w:rPr>
          <w:lang w:val="fr-CA"/>
        </w:rPr>
        <w:t>b)</w:t>
      </w:r>
      <w:r w:rsidRPr="00C87559">
        <w:rPr>
          <w:lang w:val="fr-CA"/>
        </w:rPr>
        <w:tab/>
        <w:t>Mettre en place, conformément aux circonstances et aux priorités nationales, les mécanismes et outils nécessaires à la collecte d’information</w:t>
      </w:r>
      <w:r w:rsidR="00F35ED1">
        <w:rPr>
          <w:lang w:val="fr-CA"/>
        </w:rPr>
        <w:t>s</w:t>
      </w:r>
      <w:r w:rsidRPr="00C87559">
        <w:rPr>
          <w:lang w:val="fr-CA"/>
        </w:rPr>
        <w:t xml:space="preserve"> nationale</w:t>
      </w:r>
      <w:r w:rsidR="00F35ED1">
        <w:rPr>
          <w:lang w:val="fr-CA"/>
        </w:rPr>
        <w:t>s</w:t>
      </w:r>
      <w:r w:rsidRPr="00C87559">
        <w:rPr>
          <w:lang w:val="fr-CA"/>
        </w:rPr>
        <w:t xml:space="preserve"> sur les avantages monétaires et non monétaires perçus, afin de pouvoir communiquer les progrès accomplis dans la réali</w:t>
      </w:r>
      <w:r w:rsidR="00F35ED1">
        <w:rPr>
          <w:lang w:val="fr-CA"/>
        </w:rPr>
        <w:t>sation de l’objectif C du Cadre</w:t>
      </w:r>
      <w:r w:rsidRPr="00C87559">
        <w:rPr>
          <w:lang w:val="fr-CA"/>
        </w:rPr>
        <w:t>;</w:t>
      </w:r>
    </w:p>
    <w:p w14:paraId="53CADADD" w14:textId="0D7CB970" w:rsidR="00F26B87" w:rsidRPr="00C87559" w:rsidRDefault="00F26B87" w:rsidP="00F26B87">
      <w:pPr>
        <w:tabs>
          <w:tab w:val="clear" w:pos="567"/>
        </w:tabs>
        <w:spacing w:before="120" w:after="120"/>
        <w:ind w:left="567" w:firstLine="567"/>
        <w:rPr>
          <w:lang w:val="fr-CA"/>
        </w:rPr>
      </w:pPr>
      <w:r w:rsidRPr="00C87559">
        <w:rPr>
          <w:lang w:val="fr-CA"/>
        </w:rPr>
        <w:t>c)</w:t>
      </w:r>
      <w:r w:rsidRPr="00C87559">
        <w:rPr>
          <w:lang w:val="fr-CA"/>
        </w:rPr>
        <w:tab/>
        <w:t>Inc</w:t>
      </w:r>
      <w:r w:rsidR="00F35ED1">
        <w:rPr>
          <w:lang w:val="fr-CA"/>
        </w:rPr>
        <w:t xml:space="preserve">lure les besoins de capacités et </w:t>
      </w:r>
      <w:r w:rsidRPr="00C87559">
        <w:rPr>
          <w:lang w:val="fr-CA"/>
        </w:rPr>
        <w:t>financiers en lien avec la collecte d’information</w:t>
      </w:r>
      <w:r w:rsidR="00F35ED1">
        <w:rPr>
          <w:lang w:val="fr-CA"/>
        </w:rPr>
        <w:t>s</w:t>
      </w:r>
      <w:r w:rsidRPr="00C87559">
        <w:rPr>
          <w:lang w:val="fr-CA"/>
        </w:rPr>
        <w:t xml:space="preserve"> </w:t>
      </w:r>
      <w:r w:rsidRPr="00C87559">
        <w:rPr>
          <w:rFonts w:eastAsia="Times New Roman"/>
          <w:lang w:val="fr-CA"/>
        </w:rPr>
        <w:t>nationale</w:t>
      </w:r>
      <w:r w:rsidR="00F35ED1">
        <w:rPr>
          <w:rFonts w:eastAsia="Times New Roman"/>
          <w:lang w:val="fr-CA"/>
        </w:rPr>
        <w:t>s</w:t>
      </w:r>
      <w:r w:rsidRPr="00C87559">
        <w:rPr>
          <w:lang w:val="fr-CA"/>
        </w:rPr>
        <w:t xml:space="preserve"> sur les avantages monétaires et non monét</w:t>
      </w:r>
      <w:r w:rsidR="00F35ED1">
        <w:rPr>
          <w:lang w:val="fr-CA"/>
        </w:rPr>
        <w:t>aires perçus et l’application</w:t>
      </w:r>
      <w:r w:rsidRPr="00C87559">
        <w:rPr>
          <w:lang w:val="fr-CA"/>
        </w:rPr>
        <w:t xml:space="preserve"> du Protocole de Nagoya sur l’accès aux ressources génétiques et le partage juste et équitable des avantage</w:t>
      </w:r>
      <w:r w:rsidR="00186E3D">
        <w:rPr>
          <w:lang w:val="fr-CA"/>
        </w:rPr>
        <w:t>s découlant de leur u</w:t>
      </w:r>
      <w:r w:rsidR="00F35ED1">
        <w:rPr>
          <w:lang w:val="fr-CA"/>
        </w:rPr>
        <w:t>tilisation</w:t>
      </w:r>
      <w:r w:rsidRPr="00C87559">
        <w:rPr>
          <w:vertAlign w:val="superscript"/>
          <w:lang w:val="fr-CA"/>
        </w:rPr>
        <w:footnoteReference w:id="4"/>
      </w:r>
      <w:r w:rsidR="00F35ED1">
        <w:rPr>
          <w:lang w:val="fr-CA"/>
        </w:rPr>
        <w:t>,</w:t>
      </w:r>
      <w:r w:rsidRPr="00C87559">
        <w:rPr>
          <w:lang w:val="fr-CA"/>
        </w:rPr>
        <w:t xml:space="preserve"> selon qu’il convient, dans la mise à jour ou la révision des stratégies et plans d’action nationaux pou</w:t>
      </w:r>
      <w:r w:rsidR="00F35ED1">
        <w:rPr>
          <w:lang w:val="fr-CA"/>
        </w:rPr>
        <w:t xml:space="preserve">r la biodiversité et des plans nationaux de financement, </w:t>
      </w:r>
      <w:r w:rsidRPr="00C87559">
        <w:rPr>
          <w:lang w:val="fr-CA"/>
        </w:rPr>
        <w:t xml:space="preserve">de développement et </w:t>
      </w:r>
      <w:r w:rsidR="00F35ED1">
        <w:rPr>
          <w:lang w:val="fr-CA"/>
        </w:rPr>
        <w:t xml:space="preserve">de </w:t>
      </w:r>
      <w:r w:rsidRPr="00C87559">
        <w:rPr>
          <w:lang w:val="fr-CA"/>
        </w:rPr>
        <w:t>renforcement des capacités connexes;</w:t>
      </w:r>
    </w:p>
    <w:p w14:paraId="283B2734" w14:textId="77777777" w:rsidR="00F26B87" w:rsidRPr="00C87559" w:rsidRDefault="00F26B87" w:rsidP="00F26B87">
      <w:pPr>
        <w:tabs>
          <w:tab w:val="clear" w:pos="567"/>
        </w:tabs>
        <w:spacing w:before="120" w:after="120"/>
        <w:ind w:left="567" w:firstLine="567"/>
        <w:rPr>
          <w:lang w:val="fr-CA"/>
        </w:rPr>
      </w:pPr>
      <w:r w:rsidRPr="00C87559">
        <w:rPr>
          <w:lang w:val="fr-CA"/>
        </w:rPr>
        <w:t>4.</w:t>
      </w:r>
      <w:r w:rsidRPr="00C87559">
        <w:rPr>
          <w:lang w:val="fr-CA"/>
        </w:rPr>
        <w:tab/>
      </w:r>
      <w:r w:rsidRPr="00C87559">
        <w:rPr>
          <w:i/>
          <w:iCs/>
          <w:lang w:val="fr-CA"/>
        </w:rPr>
        <w:t xml:space="preserve">Invite </w:t>
      </w:r>
      <w:r w:rsidRPr="00C87559">
        <w:rPr>
          <w:iCs/>
          <w:lang w:val="fr-CA"/>
        </w:rPr>
        <w:t>les Parties et encourage les autres gouvernements et organisations pertinentes à </w:t>
      </w:r>
      <w:r w:rsidRPr="00C87559">
        <w:rPr>
          <w:lang w:val="fr-CA"/>
        </w:rPr>
        <w:t>:</w:t>
      </w:r>
    </w:p>
    <w:p w14:paraId="005BC458" w14:textId="5C0725AD" w:rsidR="00F26B87" w:rsidRPr="00C87559" w:rsidRDefault="00F26B87" w:rsidP="00F26B87">
      <w:pPr>
        <w:tabs>
          <w:tab w:val="clear" w:pos="567"/>
        </w:tabs>
        <w:spacing w:before="120" w:after="120"/>
        <w:ind w:left="567" w:firstLine="567"/>
        <w:rPr>
          <w:iCs/>
          <w:lang w:val="fr-CA"/>
        </w:rPr>
      </w:pPr>
      <w:r w:rsidRPr="00C87559">
        <w:rPr>
          <w:iCs/>
          <w:lang w:val="fr-CA"/>
        </w:rPr>
        <w:t>a)</w:t>
      </w:r>
      <w:r w:rsidRPr="00C87559">
        <w:rPr>
          <w:iCs/>
          <w:lang w:val="fr-CA"/>
        </w:rPr>
        <w:tab/>
        <w:t>Améliorer l’intégration du Protocole de Nagoya et la participation des autorités nationales pertinentes aux mécanismes de planification, de suivi, d’établissement de rapport et d’examen dont il est question dans les décisions</w:t>
      </w:r>
      <w:r>
        <w:rPr>
          <w:iCs/>
          <w:lang w:val="fr-CA"/>
        </w:rPr>
        <w:t> </w:t>
      </w:r>
      <w:r w:rsidRPr="00C87559">
        <w:rPr>
          <w:iCs/>
          <w:lang w:val="fr-CA"/>
        </w:rPr>
        <w:t>16/-- et 16/</w:t>
      </w:r>
      <w:r>
        <w:rPr>
          <w:iCs/>
          <w:lang w:val="fr-CA"/>
        </w:rPr>
        <w:t> </w:t>
      </w:r>
      <w:r w:rsidR="00F35ED1">
        <w:rPr>
          <w:iCs/>
          <w:lang w:val="fr-CA"/>
        </w:rPr>
        <w:t>-- </w:t>
      </w:r>
      <w:r w:rsidRPr="00C87559">
        <w:rPr>
          <w:iCs/>
          <w:vertAlign w:val="superscript"/>
          <w:lang w:val="fr-CA"/>
        </w:rPr>
        <w:footnoteReference w:id="5"/>
      </w:r>
      <w:r w:rsidR="00F35ED1">
        <w:rPr>
          <w:iCs/>
          <w:lang w:val="fr-CA"/>
        </w:rPr>
        <w:t>;</w:t>
      </w:r>
    </w:p>
    <w:p w14:paraId="5B881E43" w14:textId="469DE246" w:rsidR="00F26B87" w:rsidRPr="00C87559" w:rsidRDefault="00F26B87" w:rsidP="00F26B87">
      <w:pPr>
        <w:tabs>
          <w:tab w:val="clear" w:pos="567"/>
        </w:tabs>
        <w:spacing w:before="120" w:after="120"/>
        <w:ind w:left="567" w:firstLine="567"/>
        <w:rPr>
          <w:iCs/>
          <w:lang w:val="fr-CA"/>
        </w:rPr>
      </w:pPr>
      <w:r w:rsidRPr="00C87559">
        <w:rPr>
          <w:iCs/>
          <w:lang w:val="fr-CA"/>
        </w:rPr>
        <w:t>b)</w:t>
      </w:r>
      <w:r w:rsidRPr="00C87559">
        <w:rPr>
          <w:iCs/>
          <w:lang w:val="fr-CA"/>
        </w:rPr>
        <w:tab/>
        <w:t xml:space="preserve">Soutenir le développement des mécanismes et outils dont il </w:t>
      </w:r>
      <w:r w:rsidR="00F35ED1">
        <w:rPr>
          <w:iCs/>
          <w:lang w:val="fr-CA"/>
        </w:rPr>
        <w:t>est question au paragraphe 3 b)</w:t>
      </w:r>
      <w:r w:rsidRPr="00C87559">
        <w:rPr>
          <w:iCs/>
          <w:lang w:val="fr-CA"/>
        </w:rPr>
        <w:t xml:space="preserve"> ci-dessus, et la continuation et l’amélioration de la méthodologie pour recueillir les informations mondiales sur certains types de partage des avantages </w:t>
      </w:r>
      <w:r w:rsidR="00F35ED1">
        <w:rPr>
          <w:iCs/>
          <w:lang w:val="fr-CA"/>
        </w:rPr>
        <w:t>non monétaires aux fins de ventila</w:t>
      </w:r>
      <w:r w:rsidRPr="00C87559">
        <w:rPr>
          <w:iCs/>
          <w:lang w:val="fr-CA"/>
        </w:rPr>
        <w:t>tion nationale.</w:t>
      </w:r>
    </w:p>
    <w:p w14:paraId="36CE006D" w14:textId="77777777" w:rsidR="00537248" w:rsidRPr="002777BC" w:rsidRDefault="00537248" w:rsidP="005C0058">
      <w:pPr>
        <w:pStyle w:val="Para2"/>
        <w:rPr>
          <w:lang w:val="fr-FR"/>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2544A" w14:textId="77777777" w:rsidR="00CF71C6" w:rsidRDefault="00CF71C6" w:rsidP="00A96B21">
      <w:r>
        <w:separator/>
      </w:r>
    </w:p>
  </w:endnote>
  <w:endnote w:type="continuationSeparator" w:id="0">
    <w:p w14:paraId="7A7FD968" w14:textId="77777777" w:rsidR="00CF71C6" w:rsidRDefault="00CF71C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9B6EE0">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B6EE0">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F26B8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F26B87">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6BFC86" w14:textId="77777777" w:rsidR="00CF71C6" w:rsidRDefault="00CF71C6" w:rsidP="00A96B21">
      <w:r>
        <w:separator/>
      </w:r>
    </w:p>
  </w:footnote>
  <w:footnote w:type="continuationSeparator" w:id="0">
    <w:p w14:paraId="74D3DBF6" w14:textId="77777777" w:rsidR="00CF71C6" w:rsidRDefault="00CF71C6" w:rsidP="00A96B21">
      <w:r>
        <w:continuationSeparator/>
      </w:r>
    </w:p>
  </w:footnote>
  <w:footnote w:id="1">
    <w:p w14:paraId="0FFDD652" w14:textId="77777777" w:rsidR="00F26B87" w:rsidRPr="00332F43" w:rsidRDefault="00F26B87" w:rsidP="00F26B87">
      <w:pPr>
        <w:pStyle w:val="Notedebasdepage"/>
        <w:rPr>
          <w:lang w:val="fr-CA"/>
        </w:rPr>
      </w:pPr>
      <w:r w:rsidRPr="00332F43">
        <w:rPr>
          <w:rStyle w:val="Appelnotedebasdep"/>
          <w:lang w:val="fr-CA"/>
        </w:rPr>
        <w:footnoteRef/>
      </w:r>
      <w:r w:rsidRPr="00332F43">
        <w:rPr>
          <w:lang w:val="fr-CA"/>
        </w:rPr>
        <w:t xml:space="preserve"> </w:t>
      </w:r>
      <w:r>
        <w:rPr>
          <w:lang w:val="fr-CA"/>
        </w:rPr>
        <w:t>Annexe à la décision </w:t>
      </w:r>
      <w:r w:rsidRPr="00332F43">
        <w:rPr>
          <w:lang w:val="fr-CA"/>
        </w:rPr>
        <w:t>15</w:t>
      </w:r>
      <w:r>
        <w:rPr>
          <w:lang w:val="fr-CA"/>
        </w:rPr>
        <w:t>/4</w:t>
      </w:r>
      <w:r w:rsidRPr="00332F43">
        <w:rPr>
          <w:lang w:val="fr-CA"/>
        </w:rPr>
        <w:t>.</w:t>
      </w:r>
    </w:p>
  </w:footnote>
  <w:footnote w:id="2">
    <w:p w14:paraId="1813D1D2" w14:textId="77777777" w:rsidR="00F26B87" w:rsidRPr="00332F43" w:rsidRDefault="00F26B87" w:rsidP="00F26B87">
      <w:pPr>
        <w:pStyle w:val="Notedebasdepage"/>
        <w:rPr>
          <w:lang w:val="fr-CA"/>
        </w:rPr>
      </w:pPr>
      <w:r w:rsidRPr="00332F43">
        <w:rPr>
          <w:rStyle w:val="Appelnotedebasdep"/>
          <w:lang w:val="fr-CA"/>
        </w:rPr>
        <w:footnoteRef/>
      </w:r>
      <w:r w:rsidRPr="00332F43">
        <w:rPr>
          <w:lang w:val="fr-CA"/>
        </w:rPr>
        <w:t xml:space="preserve"> </w:t>
      </w:r>
      <w:r>
        <w:rPr>
          <w:lang w:val="fr-CA"/>
        </w:rPr>
        <w:t xml:space="preserve">Nations Unies, </w:t>
      </w:r>
      <w:r w:rsidRPr="00A34DF7">
        <w:rPr>
          <w:i/>
          <w:lang w:val="fr-CA"/>
        </w:rPr>
        <w:t>Série des Traités</w:t>
      </w:r>
      <w:r w:rsidRPr="00332F43">
        <w:rPr>
          <w:lang w:val="fr-CA"/>
        </w:rPr>
        <w:t>, vol.</w:t>
      </w:r>
      <w:r>
        <w:rPr>
          <w:lang w:val="fr-CA"/>
        </w:rPr>
        <w:t> </w:t>
      </w:r>
      <w:r w:rsidRPr="00332F43">
        <w:rPr>
          <w:lang w:val="fr-CA"/>
        </w:rPr>
        <w:t xml:space="preserve">1760, </w:t>
      </w:r>
      <w:r>
        <w:rPr>
          <w:lang w:val="fr-CA"/>
        </w:rPr>
        <w:t>n</w:t>
      </w:r>
      <w:r w:rsidRPr="00A34DF7">
        <w:rPr>
          <w:vertAlign w:val="superscript"/>
          <w:lang w:val="fr-CA"/>
        </w:rPr>
        <w:t>o</w:t>
      </w:r>
      <w:r>
        <w:rPr>
          <w:lang w:val="fr-CA"/>
        </w:rPr>
        <w:t> </w:t>
      </w:r>
      <w:r w:rsidRPr="00332F43">
        <w:rPr>
          <w:lang w:val="fr-CA"/>
        </w:rPr>
        <w:t>30619.</w:t>
      </w:r>
    </w:p>
  </w:footnote>
  <w:footnote w:id="3">
    <w:p w14:paraId="4B652A73" w14:textId="77777777" w:rsidR="00F26B87" w:rsidRPr="00A34DF7" w:rsidRDefault="00F26B87" w:rsidP="00F26B87">
      <w:pPr>
        <w:pStyle w:val="Notedebasdepage"/>
        <w:rPr>
          <w:lang w:val="fr-CA"/>
        </w:rPr>
      </w:pPr>
      <w:r w:rsidRPr="00332F43">
        <w:rPr>
          <w:rStyle w:val="Appelnotedebasdep"/>
          <w:lang w:val="fr-CA"/>
        </w:rPr>
        <w:footnoteRef/>
      </w:r>
      <w:r w:rsidRPr="00332F43">
        <w:rPr>
          <w:lang w:val="fr-CA"/>
        </w:rPr>
        <w:t xml:space="preserve"> </w:t>
      </w:r>
      <w:r>
        <w:rPr>
          <w:lang w:val="fr-CA"/>
        </w:rPr>
        <w:t>Les notes d’orientation préparées par le Secrétariat pour la cible 13 sont publiées sur le site </w:t>
      </w:r>
      <w:hyperlink r:id="rId1" w:history="1">
        <w:r w:rsidRPr="00150E9A">
          <w:rPr>
            <w:rStyle w:val="Lienhypertexte"/>
            <w:lang w:val="fr-CA"/>
          </w:rPr>
          <w:t>www.cbd.int/gbf/targets/13</w:t>
        </w:r>
      </w:hyperlink>
      <w:r w:rsidRPr="00A34DF7">
        <w:rPr>
          <w:lang w:val="fr-CA"/>
        </w:rPr>
        <w:t>.</w:t>
      </w:r>
    </w:p>
  </w:footnote>
  <w:footnote w:id="4">
    <w:p w14:paraId="031A4A5C" w14:textId="77777777" w:rsidR="00F26B87" w:rsidRPr="00332F43" w:rsidRDefault="00F26B87" w:rsidP="00F26B87">
      <w:pPr>
        <w:pStyle w:val="Notedebasdepage"/>
        <w:rPr>
          <w:lang w:val="fr-CA"/>
        </w:rPr>
      </w:pPr>
      <w:r w:rsidRPr="00332F43">
        <w:rPr>
          <w:rStyle w:val="Appelnotedebasdep"/>
          <w:lang w:val="fr-CA"/>
        </w:rPr>
        <w:footnoteRef/>
      </w:r>
      <w:r w:rsidRPr="00332F43">
        <w:rPr>
          <w:lang w:val="fr-CA"/>
        </w:rPr>
        <w:t xml:space="preserve"> </w:t>
      </w:r>
      <w:r>
        <w:rPr>
          <w:szCs w:val="18"/>
          <w:lang w:val="fr-CA"/>
        </w:rPr>
        <w:t>Nations Unies</w:t>
      </w:r>
      <w:r w:rsidRPr="00332F43">
        <w:rPr>
          <w:szCs w:val="18"/>
          <w:lang w:val="fr-CA"/>
        </w:rPr>
        <w:t xml:space="preserve">, </w:t>
      </w:r>
      <w:r>
        <w:rPr>
          <w:i/>
          <w:iCs/>
          <w:szCs w:val="18"/>
          <w:lang w:val="fr-CA"/>
        </w:rPr>
        <w:t>Série des Traités</w:t>
      </w:r>
      <w:r w:rsidRPr="00332F43">
        <w:rPr>
          <w:szCs w:val="18"/>
          <w:lang w:val="fr-CA"/>
        </w:rPr>
        <w:t xml:space="preserve">, vol. 3008, </w:t>
      </w:r>
      <w:r>
        <w:rPr>
          <w:szCs w:val="18"/>
          <w:lang w:val="fr-CA"/>
        </w:rPr>
        <w:t>n</w:t>
      </w:r>
      <w:r w:rsidRPr="00A34DF7">
        <w:rPr>
          <w:szCs w:val="18"/>
          <w:vertAlign w:val="superscript"/>
          <w:lang w:val="fr-CA"/>
        </w:rPr>
        <w:t>o</w:t>
      </w:r>
      <w:r w:rsidRPr="00332F43">
        <w:rPr>
          <w:szCs w:val="18"/>
          <w:lang w:val="fr-CA"/>
        </w:rPr>
        <w:t> 30619.</w:t>
      </w:r>
    </w:p>
  </w:footnote>
  <w:footnote w:id="5">
    <w:p w14:paraId="22A350F7" w14:textId="77777777" w:rsidR="00F26B87" w:rsidRPr="00A34DF7" w:rsidRDefault="00F26B87" w:rsidP="00F26B87">
      <w:pPr>
        <w:pStyle w:val="Notedebasdepage"/>
        <w:rPr>
          <w:lang w:val="fr-CA"/>
        </w:rPr>
      </w:pPr>
      <w:r>
        <w:rPr>
          <w:rStyle w:val="Appelnotedebasdep"/>
        </w:rPr>
        <w:footnoteRef/>
      </w:r>
      <w:r w:rsidRPr="00A34DF7">
        <w:rPr>
          <w:lang w:val="fr-CA"/>
        </w:rPr>
        <w:t xml:space="preserve"> </w:t>
      </w:r>
      <w:r>
        <w:rPr>
          <w:lang w:val="fr-CA"/>
        </w:rPr>
        <w:t>Les décisions sont les mêmes que celles mentionnées au paragraphe opérationnel 2. Les numéros des décisions seront ajoutés après leur adoption</w:t>
      </w:r>
      <w:r w:rsidRPr="00A34DF7">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5AEBBB67" w14:textId="63B04CA3" w:rsidR="002B559C" w:rsidRPr="002B559C" w:rsidRDefault="00CF71C6" w:rsidP="002B559C">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1940" w:rsidRPr="00807CD3">
          <w:rPr>
            <w:szCs w:val="20"/>
            <w:lang w:val="fr-FR"/>
          </w:rPr>
          <w:t>CBD/</w:t>
        </w:r>
        <w:proofErr w:type="spellStart"/>
        <w:r w:rsidR="00021940" w:rsidRPr="00807CD3">
          <w:rPr>
            <w:szCs w:val="20"/>
            <w:lang w:val="fr-FR"/>
          </w:rPr>
          <w:t>NP</w:t>
        </w:r>
        <w:proofErr w:type="spellEnd"/>
        <w:r w:rsidR="00021940" w:rsidRPr="00807CD3">
          <w:rPr>
            <w:szCs w:val="20"/>
            <w:lang w:val="fr-FR"/>
          </w:rPr>
          <w:t>/</w:t>
        </w:r>
        <w:proofErr w:type="spellStart"/>
        <w:r w:rsidR="00021940" w:rsidRPr="00807CD3">
          <w:rPr>
            <w:szCs w:val="20"/>
            <w:lang w:val="fr-FR"/>
          </w:rPr>
          <w:t>MOP</w:t>
        </w:r>
        <w:proofErr w:type="spellEnd"/>
        <w:r w:rsidR="00021940" w:rsidRPr="00807CD3">
          <w:rPr>
            <w:szCs w:val="20"/>
            <w:lang w:val="fr-FR"/>
          </w:rPr>
          <w:t>/5/</w:t>
        </w:r>
        <w:r w:rsidR="00A608A8">
          <w:rPr>
            <w:szCs w:val="20"/>
            <w:lang w:val="fr-FR"/>
          </w:rPr>
          <w:t>L.6</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6E77566" w:rsidR="002B559C" w:rsidRPr="002B559C" w:rsidRDefault="00A608A8" w:rsidP="002B559C">
        <w:pPr>
          <w:pStyle w:val="En-tte"/>
          <w:spacing w:after="240"/>
          <w:jc w:val="right"/>
          <w:rPr>
            <w:szCs w:val="20"/>
            <w:lang w:val="fr-FR"/>
          </w:rPr>
        </w:pPr>
        <w:r>
          <w:rPr>
            <w:szCs w:val="20"/>
            <w:lang w:val="fr-FR"/>
          </w:rPr>
          <w:t>CBD/</w:t>
        </w:r>
        <w:proofErr w:type="spellStart"/>
        <w:r>
          <w:rPr>
            <w:szCs w:val="20"/>
            <w:lang w:val="fr-FR"/>
          </w:rPr>
          <w:t>NP</w:t>
        </w:r>
        <w:proofErr w:type="spellEnd"/>
        <w:r>
          <w:rPr>
            <w:szCs w:val="20"/>
            <w:lang w:val="fr-FR"/>
          </w:rPr>
          <w:t>/</w:t>
        </w:r>
        <w:proofErr w:type="spellStart"/>
        <w:r>
          <w:rPr>
            <w:szCs w:val="20"/>
            <w:lang w:val="fr-FR"/>
          </w:rPr>
          <w:t>MOP</w:t>
        </w:r>
        <w:proofErr w:type="spellEnd"/>
        <w:r>
          <w:rPr>
            <w:szCs w:val="20"/>
            <w:lang w:val="fr-FR"/>
          </w:rPr>
          <w:t>/5/L.6</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hideGrammaticalErrors/>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21940"/>
    <w:rsid w:val="00040598"/>
    <w:rsid w:val="00052B03"/>
    <w:rsid w:val="000A69AC"/>
    <w:rsid w:val="000B0607"/>
    <w:rsid w:val="000C04BB"/>
    <w:rsid w:val="000D11FE"/>
    <w:rsid w:val="00132581"/>
    <w:rsid w:val="00170D3D"/>
    <w:rsid w:val="00173C53"/>
    <w:rsid w:val="00184909"/>
    <w:rsid w:val="00186E3D"/>
    <w:rsid w:val="001B1E9C"/>
    <w:rsid w:val="001D7501"/>
    <w:rsid w:val="0021066C"/>
    <w:rsid w:val="002777BC"/>
    <w:rsid w:val="002B00CA"/>
    <w:rsid w:val="002B559C"/>
    <w:rsid w:val="002D4858"/>
    <w:rsid w:val="00303F0B"/>
    <w:rsid w:val="00310608"/>
    <w:rsid w:val="00317EA5"/>
    <w:rsid w:val="00323F22"/>
    <w:rsid w:val="003412B7"/>
    <w:rsid w:val="00343445"/>
    <w:rsid w:val="003476A9"/>
    <w:rsid w:val="00394E74"/>
    <w:rsid w:val="003B0DF4"/>
    <w:rsid w:val="003C6F10"/>
    <w:rsid w:val="004202A4"/>
    <w:rsid w:val="00434349"/>
    <w:rsid w:val="00441498"/>
    <w:rsid w:val="004701EE"/>
    <w:rsid w:val="00472D7F"/>
    <w:rsid w:val="00480A8D"/>
    <w:rsid w:val="004A2A2D"/>
    <w:rsid w:val="00537248"/>
    <w:rsid w:val="005A206E"/>
    <w:rsid w:val="005C0058"/>
    <w:rsid w:val="005D02AF"/>
    <w:rsid w:val="005E2605"/>
    <w:rsid w:val="0064672B"/>
    <w:rsid w:val="00657ED6"/>
    <w:rsid w:val="0066298B"/>
    <w:rsid w:val="00695A2A"/>
    <w:rsid w:val="006B293D"/>
    <w:rsid w:val="00722D66"/>
    <w:rsid w:val="0076622F"/>
    <w:rsid w:val="007A7F22"/>
    <w:rsid w:val="007C77BC"/>
    <w:rsid w:val="00807CD3"/>
    <w:rsid w:val="00851C72"/>
    <w:rsid w:val="00855E32"/>
    <w:rsid w:val="00874541"/>
    <w:rsid w:val="008E0581"/>
    <w:rsid w:val="00913955"/>
    <w:rsid w:val="00935461"/>
    <w:rsid w:val="009459E3"/>
    <w:rsid w:val="00992BAB"/>
    <w:rsid w:val="00995DDC"/>
    <w:rsid w:val="009B6EE0"/>
    <w:rsid w:val="009C1114"/>
    <w:rsid w:val="00A15E68"/>
    <w:rsid w:val="00A22B61"/>
    <w:rsid w:val="00A54FA0"/>
    <w:rsid w:val="00A57558"/>
    <w:rsid w:val="00A608A8"/>
    <w:rsid w:val="00A96B21"/>
    <w:rsid w:val="00AD7EDB"/>
    <w:rsid w:val="00AE1A95"/>
    <w:rsid w:val="00B36EA9"/>
    <w:rsid w:val="00B75168"/>
    <w:rsid w:val="00B75632"/>
    <w:rsid w:val="00BA3309"/>
    <w:rsid w:val="00BF0832"/>
    <w:rsid w:val="00BF1608"/>
    <w:rsid w:val="00C2354A"/>
    <w:rsid w:val="00C35912"/>
    <w:rsid w:val="00CC1768"/>
    <w:rsid w:val="00CF70AB"/>
    <w:rsid w:val="00CF71C6"/>
    <w:rsid w:val="00D23F1E"/>
    <w:rsid w:val="00D3059B"/>
    <w:rsid w:val="00D33408"/>
    <w:rsid w:val="00D5077B"/>
    <w:rsid w:val="00D60046"/>
    <w:rsid w:val="00D668AA"/>
    <w:rsid w:val="00D71FFB"/>
    <w:rsid w:val="00DD74C2"/>
    <w:rsid w:val="00DF4433"/>
    <w:rsid w:val="00E15315"/>
    <w:rsid w:val="00E1597C"/>
    <w:rsid w:val="00ED3849"/>
    <w:rsid w:val="00F258FB"/>
    <w:rsid w:val="00F26B87"/>
    <w:rsid w:val="00F35ED1"/>
    <w:rsid w:val="00F6660F"/>
    <w:rsid w:val="00F7593A"/>
    <w:rsid w:val="00F75F90"/>
    <w:rsid w:val="00FA18C9"/>
    <w:rsid w:val="00FC0705"/>
    <w:rsid w:val="00FD4750"/>
    <w:rsid w:val="00FF57F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17EA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17EA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05220C"/>
    <w:rsid w:val="00063399"/>
    <w:rsid w:val="001A0747"/>
    <w:rsid w:val="001F2607"/>
    <w:rsid w:val="002E2410"/>
    <w:rsid w:val="00303F0B"/>
    <w:rsid w:val="004202A4"/>
    <w:rsid w:val="0058270C"/>
    <w:rsid w:val="005872C8"/>
    <w:rsid w:val="006C13B7"/>
    <w:rsid w:val="00760256"/>
    <w:rsid w:val="00851C72"/>
    <w:rsid w:val="00967CF3"/>
    <w:rsid w:val="00986A85"/>
    <w:rsid w:val="00C05839"/>
    <w:rsid w:val="00DC2AEA"/>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6FDBE8F-63C5-4F33-B621-F8EF6CBE4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3E1B67-5DA0-4D12-BE70-DFA12A5BB12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2</Pages>
  <Words>598</Words>
  <Characters>3295</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Renforcer l’application du Protocole de Nagoya dans le contexte du Cadre mondial de la biodiversité de Kunming-Montréal</vt:lpstr>
      <vt:lpstr>Title of the document</vt:lpstr>
    </vt:vector>
  </TitlesOfParts>
  <Company/>
  <LinksUpToDate>false</LinksUpToDate>
  <CharactersWithSpaces>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Renforcer l’application du Protocole de Nagoya dans le contexte du Cadre mondial de la biodiversité de Kunming-Montréal</dc:title>
  <dc:subject>CBD/NP/MOP/5/L.6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Louise</cp:lastModifiedBy>
  <cp:revision>3</cp:revision>
  <dcterms:created xsi:type="dcterms:W3CDTF">2024-10-25T00:16:00Z</dcterms:created>
  <dcterms:modified xsi:type="dcterms:W3CDTF">2024-10-25T00:20:00Z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