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4411"/>
        <w:gridCol w:w="1244"/>
        <w:gridCol w:w="3717"/>
      </w:tblGrid>
      <w:tr w:rsidR="0035639D" w:rsidRPr="0093372E" w14:paraId="487227A5" w14:textId="77777777" w:rsidTr="003E2895">
        <w:trPr>
          <w:trHeight w:val="851"/>
        </w:trPr>
        <w:tc>
          <w:tcPr>
            <w:tcW w:w="472" w:type="pct"/>
            <w:tcBorders>
              <w:bottom w:val="single" w:sz="8" w:space="0" w:color="auto"/>
            </w:tcBorders>
            <w:vAlign w:val="bottom"/>
          </w:tcPr>
          <w:p w14:paraId="109FB5DD" w14:textId="77777777" w:rsidR="0035639D" w:rsidRPr="0093372E" w:rsidRDefault="0035639D" w:rsidP="003E2895">
            <w:pPr>
              <w:spacing w:after="120"/>
              <w:jc w:val="left"/>
            </w:pPr>
            <w:r w:rsidRPr="0093372E">
              <w:rPr>
                <w:noProof/>
              </w:rPr>
              <w:drawing>
                <wp:inline distT="0" distB="0" distL="0" distR="0" wp14:anchorId="5E67C419" wp14:editId="4DDAE725">
                  <wp:extent cx="476494" cy="403200"/>
                  <wp:effectExtent l="0" t="0" r="6350" b="3810"/>
                  <wp:docPr id="94891815"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5A10A57E" w14:textId="5C2E9B99" w:rsidR="0035639D" w:rsidRPr="0093372E" w:rsidRDefault="0035639D" w:rsidP="003E2895">
            <w:pPr>
              <w:spacing w:after="120"/>
              <w:jc w:val="left"/>
            </w:pPr>
            <w:r w:rsidRPr="0035639D">
              <w:rPr>
                <w:noProof/>
                <w:lang w:val="fr-FR" w:eastAsia="fr-FR"/>
              </w:rPr>
              <w:drawing>
                <wp:inline distT="0" distB="0" distL="0" distR="0" wp14:anchorId="03141B98" wp14:editId="357355FC">
                  <wp:extent cx="593725" cy="340995"/>
                  <wp:effectExtent l="0" t="0" r="0" b="1905"/>
                  <wp:docPr id="278728325" name="Image 27872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397" w:type="pct"/>
            <w:gridSpan w:val="2"/>
            <w:tcBorders>
              <w:bottom w:val="single" w:sz="8" w:space="0" w:color="auto"/>
            </w:tcBorders>
            <w:vAlign w:val="bottom"/>
          </w:tcPr>
          <w:p w14:paraId="4BA9B42E" w14:textId="77777777" w:rsidR="0035639D" w:rsidRPr="0093372E" w:rsidRDefault="0035639D" w:rsidP="003E2895">
            <w:pPr>
              <w:pStyle w:val="ABSymbol"/>
              <w:tabs>
                <w:tab w:val="clear" w:pos="1871"/>
              </w:tabs>
              <w:ind w:left="0"/>
            </w:pPr>
            <w:r w:rsidRPr="0093372E">
              <w:rPr>
                <w:sz w:val="40"/>
                <w:szCs w:val="40"/>
              </w:rPr>
              <w:t>CBD</w:t>
            </w:r>
            <w:r w:rsidRPr="0093372E">
              <w:t>/SBI/7/7</w:t>
            </w:r>
          </w:p>
        </w:tc>
      </w:tr>
      <w:tr w:rsidR="00A96B21" w:rsidRPr="0096543B" w14:paraId="026E5D1A" w14:textId="77777777" w:rsidTr="0035639D">
        <w:tc>
          <w:tcPr>
            <w:tcW w:w="3204" w:type="pct"/>
            <w:gridSpan w:val="3"/>
            <w:tcBorders>
              <w:top w:val="single" w:sz="8" w:space="0" w:color="auto"/>
              <w:bottom w:val="single" w:sz="12" w:space="0" w:color="auto"/>
            </w:tcBorders>
          </w:tcPr>
          <w:p w14:paraId="4DD2B434" w14:textId="700EF969" w:rsidR="00A96B21" w:rsidRPr="00124D03" w:rsidRDefault="008B5C0C" w:rsidP="00695A97">
            <w:pPr>
              <w:pStyle w:val="Cornernotation"/>
              <w:suppressLineNumbers/>
              <w:suppressAutoHyphens/>
              <w:spacing w:before="120" w:after="120"/>
              <w:ind w:left="0" w:right="0" w:firstLine="0"/>
              <w:rPr>
                <w:lang w:val="fr-FR"/>
              </w:rPr>
            </w:pPr>
            <w:bookmarkStart w:id="0" w:name="_Hlk137651738"/>
            <w:r w:rsidRPr="00124D03">
              <w:rPr>
                <w:noProof/>
                <w:lang w:val="fr-FR"/>
              </w:rPr>
              <w:drawing>
                <wp:inline distT="0" distB="0" distL="0" distR="0" wp14:anchorId="09832AD5" wp14:editId="080EE042">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96" w:type="pct"/>
            <w:tcBorders>
              <w:top w:val="single" w:sz="8" w:space="0" w:color="auto"/>
              <w:bottom w:val="single" w:sz="12" w:space="0" w:color="auto"/>
            </w:tcBorders>
          </w:tcPr>
          <w:p w14:paraId="27581565" w14:textId="246B5C61" w:rsidR="00A96B21" w:rsidRPr="00124D03" w:rsidRDefault="00A96B21" w:rsidP="008F6163">
            <w:pPr>
              <w:ind w:left="1134"/>
              <w:rPr>
                <w:sz w:val="22"/>
                <w:szCs w:val="22"/>
                <w:lang w:val="fr-FR"/>
              </w:rPr>
            </w:pPr>
            <w:proofErr w:type="spellStart"/>
            <w:r w:rsidRPr="00124D03">
              <w:rPr>
                <w:sz w:val="22"/>
                <w:szCs w:val="22"/>
                <w:lang w:val="fr-FR"/>
              </w:rPr>
              <w:t>Distr</w:t>
            </w:r>
            <w:proofErr w:type="spellEnd"/>
            <w:r w:rsidRPr="00124D03">
              <w:rPr>
                <w:sz w:val="22"/>
                <w:szCs w:val="22"/>
                <w:lang w:val="fr-FR"/>
              </w:rPr>
              <w:t>.</w:t>
            </w:r>
            <w:r w:rsidR="000C07A1" w:rsidRPr="00124D03">
              <w:rPr>
                <w:sz w:val="22"/>
                <w:szCs w:val="22"/>
                <w:lang w:val="fr-FR"/>
              </w:rPr>
              <w:t xml:space="preserve"> </w:t>
            </w:r>
            <w:proofErr w:type="gramStart"/>
            <w:r w:rsidR="000C07A1" w:rsidRPr="00124D03">
              <w:rPr>
                <w:sz w:val="22"/>
                <w:szCs w:val="22"/>
                <w:lang w:val="fr-FR"/>
              </w:rPr>
              <w:t>générale</w:t>
            </w:r>
            <w:proofErr w:type="gramEnd"/>
          </w:p>
          <w:p w14:paraId="793989BF" w14:textId="2B23D17F" w:rsidR="00A96B21" w:rsidRPr="00124D03" w:rsidRDefault="003134F0" w:rsidP="008F6163">
            <w:pPr>
              <w:ind w:left="1134"/>
              <w:rPr>
                <w:sz w:val="24"/>
                <w:szCs w:val="24"/>
                <w:lang w:val="fr-FR"/>
              </w:rPr>
            </w:pPr>
            <w:r w:rsidRPr="00124D03">
              <w:rPr>
                <w:sz w:val="22"/>
                <w:szCs w:val="22"/>
                <w:lang w:val="fr-FR"/>
              </w:rPr>
              <w:t>1</w:t>
            </w:r>
            <w:r w:rsidR="000C07A1" w:rsidRPr="00124D03">
              <w:rPr>
                <w:sz w:val="22"/>
                <w:szCs w:val="22"/>
                <w:vertAlign w:val="superscript"/>
                <w:lang w:val="fr-FR"/>
              </w:rPr>
              <w:t>er</w:t>
            </w:r>
            <w:r w:rsidR="00132CD2">
              <w:rPr>
                <w:sz w:val="22"/>
                <w:szCs w:val="22"/>
                <w:lang w:val="fr-FR"/>
              </w:rPr>
              <w:t> </w:t>
            </w:r>
            <w:r w:rsidR="000C07A1" w:rsidRPr="00124D03">
              <w:rPr>
                <w:sz w:val="22"/>
                <w:szCs w:val="22"/>
                <w:lang w:val="fr-FR"/>
              </w:rPr>
              <w:t>juillet </w:t>
            </w:r>
            <w:r w:rsidR="00A96B21" w:rsidRPr="00124D03">
              <w:rPr>
                <w:sz w:val="22"/>
                <w:szCs w:val="22"/>
                <w:lang w:val="fr-FR"/>
              </w:rPr>
              <w:t>202</w:t>
            </w:r>
            <w:r w:rsidR="00C43438" w:rsidRPr="00124D03">
              <w:rPr>
                <w:sz w:val="22"/>
                <w:szCs w:val="22"/>
                <w:lang w:val="fr-FR"/>
              </w:rPr>
              <w:t>6</w:t>
            </w:r>
          </w:p>
          <w:p w14:paraId="2F665E39" w14:textId="7989A73B" w:rsidR="00A96B21" w:rsidRPr="00124D03" w:rsidRDefault="000C07A1" w:rsidP="008F6163">
            <w:pPr>
              <w:ind w:left="1134"/>
              <w:rPr>
                <w:sz w:val="22"/>
                <w:szCs w:val="22"/>
                <w:lang w:val="fr-FR"/>
              </w:rPr>
            </w:pPr>
            <w:r w:rsidRPr="00124D03">
              <w:rPr>
                <w:sz w:val="22"/>
                <w:szCs w:val="22"/>
                <w:lang w:val="fr-FR"/>
              </w:rPr>
              <w:t>Français</w:t>
            </w:r>
          </w:p>
          <w:p w14:paraId="053971AC" w14:textId="25E9470D" w:rsidR="00A96B21" w:rsidRPr="00124D03" w:rsidRDefault="00E561C8" w:rsidP="008F6163">
            <w:pPr>
              <w:ind w:left="1134"/>
              <w:rPr>
                <w:sz w:val="22"/>
                <w:szCs w:val="22"/>
                <w:lang w:val="fr-FR"/>
              </w:rPr>
            </w:pPr>
            <w:r w:rsidRPr="00124D03">
              <w:rPr>
                <w:sz w:val="22"/>
                <w:szCs w:val="22"/>
                <w:lang w:val="fr-FR"/>
              </w:rPr>
              <w:t>Original</w:t>
            </w:r>
            <w:r w:rsidR="000C07A1" w:rsidRPr="00124D03">
              <w:rPr>
                <w:sz w:val="22"/>
                <w:szCs w:val="22"/>
                <w:lang w:val="fr-FR"/>
              </w:rPr>
              <w:t> </w:t>
            </w:r>
            <w:r w:rsidRPr="00124D03">
              <w:rPr>
                <w:sz w:val="22"/>
                <w:szCs w:val="22"/>
                <w:lang w:val="fr-FR"/>
              </w:rPr>
              <w:t xml:space="preserve">: </w:t>
            </w:r>
            <w:r w:rsidR="000C07A1" w:rsidRPr="00124D03">
              <w:rPr>
                <w:sz w:val="22"/>
                <w:szCs w:val="22"/>
                <w:lang w:val="fr-FR"/>
              </w:rPr>
              <w:t>anglais</w:t>
            </w:r>
          </w:p>
          <w:p w14:paraId="07CA9979" w14:textId="77777777" w:rsidR="00A96B21" w:rsidRPr="00124D03" w:rsidRDefault="00A96B21" w:rsidP="008F6163">
            <w:pPr>
              <w:ind w:left="1134"/>
              <w:rPr>
                <w:lang w:val="fr-FR"/>
              </w:rPr>
            </w:pPr>
          </w:p>
        </w:tc>
      </w:tr>
    </w:tbl>
    <w:p w14:paraId="692BABBD" w14:textId="77777777" w:rsidR="00B347D9" w:rsidRPr="00124D03" w:rsidRDefault="00B347D9" w:rsidP="009477BD">
      <w:pPr>
        <w:rPr>
          <w:sz w:val="4"/>
          <w:szCs w:val="4"/>
          <w:lang w:val="fr-FR"/>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124D03" w14:paraId="04E9B171" w14:textId="77777777" w:rsidTr="006B144A">
        <w:trPr>
          <w:trHeight w:val="57"/>
        </w:trPr>
        <w:tc>
          <w:tcPr>
            <w:tcW w:w="5103" w:type="dxa"/>
          </w:tcPr>
          <w:p w14:paraId="497CBFC9" w14:textId="77777777" w:rsidR="00375F8D" w:rsidRPr="00124D03" w:rsidRDefault="00375F8D" w:rsidP="00375F8D">
            <w:pPr>
              <w:pStyle w:val="AFCorN12Bold"/>
              <w:rPr>
                <w:lang w:val="fr-FR"/>
              </w:rPr>
            </w:pPr>
            <w:r w:rsidRPr="00124D03">
              <w:rPr>
                <w:lang w:val="fr-FR"/>
              </w:rPr>
              <w:t>Organe subsidiaire chargé de l’application</w:t>
            </w:r>
          </w:p>
          <w:p w14:paraId="57F212C5" w14:textId="59C1A6BA" w:rsidR="006F524B" w:rsidRPr="00124D03" w:rsidRDefault="00375F8D" w:rsidP="006F524B">
            <w:pPr>
              <w:pStyle w:val="AFCorNBold"/>
              <w:rPr>
                <w:lang w:val="fr-FR"/>
              </w:rPr>
            </w:pPr>
            <w:r w:rsidRPr="00124D03">
              <w:rPr>
                <w:lang w:val="fr-FR"/>
              </w:rPr>
              <w:t>Septième réunion</w:t>
            </w:r>
            <w:r w:rsidR="006F524B" w:rsidRPr="00124D03">
              <w:rPr>
                <w:lang w:val="fr-FR"/>
              </w:rPr>
              <w:t xml:space="preserve"> </w:t>
            </w:r>
          </w:p>
          <w:p w14:paraId="7CC70161" w14:textId="4F78719C" w:rsidR="006F524B" w:rsidRPr="00124D03" w:rsidRDefault="006F524B" w:rsidP="006F524B">
            <w:pPr>
              <w:pStyle w:val="AFCorNNormal"/>
              <w:rPr>
                <w:lang w:val="fr-FR"/>
              </w:rPr>
            </w:pPr>
            <w:r w:rsidRPr="00124D03">
              <w:rPr>
                <w:lang w:val="fr-FR"/>
              </w:rPr>
              <w:t xml:space="preserve">Nairobi, </w:t>
            </w:r>
            <w:r w:rsidRPr="00124D03">
              <w:rPr>
                <w:snapToGrid w:val="0"/>
                <w:kern w:val="22"/>
                <w:lang w:val="fr-FR"/>
              </w:rPr>
              <w:t>4–12</w:t>
            </w:r>
            <w:r w:rsidR="00375F8D" w:rsidRPr="00124D03">
              <w:rPr>
                <w:snapToGrid w:val="0"/>
                <w:kern w:val="22"/>
                <w:lang w:val="fr-FR"/>
              </w:rPr>
              <w:t> août </w:t>
            </w:r>
            <w:r w:rsidRPr="00124D03">
              <w:rPr>
                <w:snapToGrid w:val="0"/>
                <w:kern w:val="22"/>
                <w:lang w:val="fr-FR"/>
              </w:rPr>
              <w:t>2026</w:t>
            </w:r>
          </w:p>
          <w:p w14:paraId="798CE311" w14:textId="35FAECBD" w:rsidR="006F524B" w:rsidRPr="00124D03" w:rsidRDefault="00375F8D" w:rsidP="006F524B">
            <w:pPr>
              <w:pStyle w:val="AFCorNNormal"/>
              <w:rPr>
                <w:lang w:val="fr-FR"/>
              </w:rPr>
            </w:pPr>
            <w:r w:rsidRPr="00124D03">
              <w:rPr>
                <w:lang w:val="fr-FR"/>
              </w:rPr>
              <w:t>Point </w:t>
            </w:r>
            <w:r w:rsidR="006F524B" w:rsidRPr="00124D03">
              <w:rPr>
                <w:lang w:val="fr-FR"/>
              </w:rPr>
              <w:t xml:space="preserve">7 </w:t>
            </w:r>
            <w:r w:rsidRPr="00124D03">
              <w:rPr>
                <w:lang w:val="fr-FR"/>
              </w:rPr>
              <w:t>de l’ordre du jour provisoire</w:t>
            </w:r>
            <w:r w:rsidR="00446CD2" w:rsidRPr="00124D03">
              <w:rPr>
                <w:rStyle w:val="FootnoteReference"/>
                <w:lang w:val="fr-FR"/>
              </w:rPr>
              <w:footnoteReference w:customMarkFollows="1" w:id="2"/>
              <w:t>*</w:t>
            </w:r>
            <w:r w:rsidR="006F524B" w:rsidRPr="00124D03">
              <w:rPr>
                <w:lang w:val="fr-FR"/>
              </w:rPr>
              <w:t xml:space="preserve"> </w:t>
            </w:r>
          </w:p>
          <w:p w14:paraId="3D4B8827" w14:textId="77777777" w:rsidR="00486E01" w:rsidRPr="00124D03" w:rsidRDefault="00486E01" w:rsidP="00486E01">
            <w:pPr>
              <w:pStyle w:val="AFCorNBold"/>
              <w:rPr>
                <w:lang w:val="fr-FR"/>
              </w:rPr>
            </w:pPr>
            <w:r w:rsidRPr="00124D03">
              <w:rPr>
                <w:lang w:val="fr-FR"/>
              </w:rPr>
              <w:t>Deuxième évaluation et examen de l’efficacité du Protocole de Nagoya sur l’accès aux</w:t>
            </w:r>
          </w:p>
          <w:p w14:paraId="15B32373" w14:textId="77777777" w:rsidR="00486E01" w:rsidRPr="00124D03" w:rsidRDefault="00486E01" w:rsidP="00486E01">
            <w:pPr>
              <w:pStyle w:val="AFCorNBold"/>
              <w:rPr>
                <w:lang w:val="fr-FR"/>
              </w:rPr>
            </w:pPr>
            <w:proofErr w:type="gramStart"/>
            <w:r w:rsidRPr="00124D03">
              <w:rPr>
                <w:lang w:val="fr-FR"/>
              </w:rPr>
              <w:t>ressources</w:t>
            </w:r>
            <w:proofErr w:type="gramEnd"/>
            <w:r w:rsidRPr="00124D03">
              <w:rPr>
                <w:lang w:val="fr-FR"/>
              </w:rPr>
              <w:t xml:space="preserve"> génétiques et le partage juste et équitable des avantages découlant de leur</w:t>
            </w:r>
          </w:p>
          <w:p w14:paraId="3D0BB348" w14:textId="1463C01B" w:rsidR="006F524B" w:rsidRPr="00124D03" w:rsidRDefault="00486E01" w:rsidP="00486E01">
            <w:pPr>
              <w:pStyle w:val="AFCorNBold"/>
              <w:rPr>
                <w:lang w:val="fr-FR"/>
              </w:rPr>
            </w:pPr>
            <w:proofErr w:type="gramStart"/>
            <w:r w:rsidRPr="00124D03">
              <w:rPr>
                <w:lang w:val="fr-FR"/>
              </w:rPr>
              <w:t>utilisation</w:t>
            </w:r>
            <w:proofErr w:type="gramEnd"/>
          </w:p>
        </w:tc>
      </w:tr>
    </w:tbl>
    <w:p w14:paraId="31B084E7" w14:textId="7A8A38A3" w:rsidR="00B347D9" w:rsidRPr="00124D03" w:rsidDel="00071E9E" w:rsidRDefault="00017C22" w:rsidP="00486E01">
      <w:pPr>
        <w:pStyle w:val="CBDTitle"/>
        <w:rPr>
          <w:bCs/>
          <w:lang w:val="fr-FR"/>
        </w:rPr>
      </w:pPr>
      <w:sdt>
        <w:sdtPr>
          <w:rPr>
            <w:lang w:val="fr-FR"/>
          </w:r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EndPr/>
        <w:sdtContent>
          <w:r w:rsidR="00486E01" w:rsidRPr="00124D03">
            <w:rPr>
              <w:lang w:val="fr-FR"/>
            </w:rPr>
            <w:t>Deuxième évaluation et examen de l’efficacité du Protocole de Nagoya sur l’accès aux ressources génétiques et le partage juste et équitable des avantages découlant de leur utilisation</w:t>
          </w:r>
        </w:sdtContent>
      </w:sdt>
      <w:r w:rsidR="00651EA2" w:rsidRPr="00124D03">
        <w:rPr>
          <w:rStyle w:val="FootnoteReference"/>
          <w:lang w:val="fr-FR"/>
        </w:rPr>
        <w:footnoteReference w:customMarkFollows="1" w:id="3"/>
        <w:t>**</w:t>
      </w:r>
    </w:p>
    <w:bookmarkEnd w:id="0"/>
    <w:p w14:paraId="61487005" w14:textId="35749A60" w:rsidR="002219C2" w:rsidRPr="00124D03" w:rsidRDefault="002219C2" w:rsidP="009477BD">
      <w:pPr>
        <w:pStyle w:val="CBDSubTitle"/>
        <w:rPr>
          <w:lang w:val="fr-FR"/>
        </w:rPr>
      </w:pPr>
      <w:r w:rsidRPr="00124D03">
        <w:rPr>
          <w:lang w:val="fr-FR"/>
        </w:rPr>
        <w:t xml:space="preserve">Note </w:t>
      </w:r>
      <w:r w:rsidR="00486E01" w:rsidRPr="00124D03">
        <w:rPr>
          <w:lang w:val="fr-FR"/>
        </w:rPr>
        <w:t>du</w:t>
      </w:r>
      <w:r w:rsidRPr="00124D03">
        <w:rPr>
          <w:lang w:val="fr-FR"/>
        </w:rPr>
        <w:t xml:space="preserve"> Secr</w:t>
      </w:r>
      <w:r w:rsidR="00486E01" w:rsidRPr="00124D03">
        <w:rPr>
          <w:lang w:val="fr-FR"/>
        </w:rPr>
        <w:t>é</w:t>
      </w:r>
      <w:r w:rsidRPr="00124D03">
        <w:rPr>
          <w:lang w:val="fr-FR"/>
        </w:rPr>
        <w:t>tariat</w:t>
      </w:r>
    </w:p>
    <w:p w14:paraId="125AF2E4" w14:textId="7A962CD6" w:rsidR="004E1D61" w:rsidRPr="00124D03" w:rsidRDefault="004E1D61" w:rsidP="009477BD">
      <w:pPr>
        <w:pStyle w:val="CBDH1"/>
        <w:rPr>
          <w:lang w:val="fr-FR"/>
        </w:rPr>
      </w:pPr>
      <w:r w:rsidRPr="00124D03">
        <w:rPr>
          <w:lang w:val="fr-FR"/>
        </w:rPr>
        <w:t>I.</w:t>
      </w:r>
      <w:r w:rsidRPr="00124D03">
        <w:rPr>
          <w:lang w:val="fr-FR"/>
        </w:rPr>
        <w:tab/>
        <w:t>Introduction</w:t>
      </w:r>
    </w:p>
    <w:p w14:paraId="2B8E05F4" w14:textId="3E31E084" w:rsidR="008C32A4" w:rsidRPr="00124D03" w:rsidRDefault="00DC7D32" w:rsidP="004C30D5">
      <w:pPr>
        <w:pStyle w:val="CBDNormalNumber"/>
        <w:numPr>
          <w:ilvl w:val="0"/>
          <w:numId w:val="11"/>
        </w:numPr>
        <w:rPr>
          <w:lang w:val="fr-FR"/>
        </w:rPr>
      </w:pPr>
      <w:r w:rsidRPr="00124D03">
        <w:rPr>
          <w:lang w:val="fr-FR"/>
        </w:rPr>
        <w:t>Dans sa décision </w:t>
      </w:r>
      <w:hyperlink r:id="rId14" w:history="1">
        <w:r w:rsidRPr="00124D03">
          <w:rPr>
            <w:rStyle w:val="Hyperlink"/>
            <w:lang w:val="fr-FR"/>
          </w:rPr>
          <w:t>NP-5/5</w:t>
        </w:r>
      </w:hyperlink>
      <w:r w:rsidRPr="00124D03">
        <w:rPr>
          <w:lang w:val="fr-FR"/>
        </w:rPr>
        <w:t xml:space="preserve">, la Conférence des Parties siégeant en tant que réunion des Parties au Protocole de Nagoya sur l’accès aux ressources génétiques et le partage juste et équitable des avantages découlant de leur utilisation a décidé de réaliser le deuxième exercice d’évaluation et d’examen sur l’efficacité du Protocole sur la base des éléments et des sources d’information contenus </w:t>
      </w:r>
      <w:r w:rsidR="005708B0">
        <w:rPr>
          <w:lang w:val="fr-FR"/>
        </w:rPr>
        <w:t>à</w:t>
      </w:r>
      <w:r w:rsidRPr="00124D03">
        <w:rPr>
          <w:lang w:val="fr-FR"/>
        </w:rPr>
        <w:t xml:space="preserve"> l’annexe </w:t>
      </w:r>
      <w:r w:rsidR="005708B0">
        <w:rPr>
          <w:lang w:val="fr-FR"/>
        </w:rPr>
        <w:t>de</w:t>
      </w:r>
      <w:r w:rsidRPr="00124D03">
        <w:rPr>
          <w:lang w:val="fr-FR"/>
        </w:rPr>
        <w:t xml:space="preserve"> cette décision. Les éléments portent sur divers aspects de la mise en œuvre du Protocole et </w:t>
      </w:r>
      <w:r w:rsidR="004E226E" w:rsidRPr="00124D03">
        <w:rPr>
          <w:lang w:val="fr-FR"/>
        </w:rPr>
        <w:t xml:space="preserve">une des principales sources d’information </w:t>
      </w:r>
      <w:r w:rsidR="004E226E">
        <w:rPr>
          <w:lang w:val="fr-FR"/>
        </w:rPr>
        <w:t xml:space="preserve">est </w:t>
      </w:r>
      <w:r w:rsidRPr="00124D03">
        <w:rPr>
          <w:lang w:val="fr-FR"/>
        </w:rPr>
        <w:t>le premier rapport national sur la mise en œuvre du Protocole, qui était attendu le 28 février 2026</w:t>
      </w:r>
      <w:r w:rsidR="008C32A4" w:rsidRPr="00124D03">
        <w:rPr>
          <w:lang w:val="fr-FR"/>
        </w:rPr>
        <w:t>.</w:t>
      </w:r>
    </w:p>
    <w:p w14:paraId="02872FA5" w14:textId="7A333B1E" w:rsidR="008C32A4" w:rsidRPr="00124D03" w:rsidRDefault="00002220" w:rsidP="002578E7">
      <w:pPr>
        <w:pStyle w:val="CBDNormalNumber"/>
        <w:numPr>
          <w:ilvl w:val="0"/>
          <w:numId w:val="11"/>
        </w:numPr>
        <w:rPr>
          <w:lang w:val="fr-FR"/>
        </w:rPr>
      </w:pPr>
      <w:r w:rsidRPr="00124D03">
        <w:rPr>
          <w:lang w:val="fr-FR"/>
        </w:rPr>
        <w:t>Le Comité consultatif informel sur le renforcement des capacités pour la mise en œuvre du Protocole de Nagoya et le Comité chargé du respect des obligations au titre du Protocole de Nagoya ont été priés de travailler de manière complémentaire et non redondante afin de contribuer au deuxième exercice d’évaluation et d’examen, ainsi que de transmettre leurs conclusions pour examen par l’Organe subsidiaire chargé de l’application.</w:t>
      </w:r>
    </w:p>
    <w:p w14:paraId="065B4137" w14:textId="73FAA691" w:rsidR="00FB021C" w:rsidRPr="00124D03" w:rsidRDefault="00FA0EE3" w:rsidP="00291FCD">
      <w:pPr>
        <w:pStyle w:val="CBDNormalNumber"/>
        <w:numPr>
          <w:ilvl w:val="0"/>
          <w:numId w:val="11"/>
        </w:numPr>
        <w:rPr>
          <w:lang w:val="fr-FR"/>
        </w:rPr>
      </w:pPr>
      <w:r w:rsidRPr="00124D03">
        <w:rPr>
          <w:lang w:val="fr-FR"/>
        </w:rPr>
        <w:t>À l’alinéa</w:t>
      </w:r>
      <w:r w:rsidR="001E1DEC" w:rsidRPr="00124D03">
        <w:rPr>
          <w:lang w:val="fr-FR"/>
        </w:rPr>
        <w:t> </w:t>
      </w:r>
      <w:r w:rsidR="00FB021C" w:rsidRPr="00124D03">
        <w:rPr>
          <w:lang w:val="fr-FR"/>
        </w:rPr>
        <w:t>18</w:t>
      </w:r>
      <w:r w:rsidR="004D18C9" w:rsidRPr="00124D03">
        <w:rPr>
          <w:lang w:val="fr-FR"/>
        </w:rPr>
        <w:t> </w:t>
      </w:r>
      <w:r w:rsidR="00FB021C" w:rsidRPr="00124D03">
        <w:rPr>
          <w:lang w:val="fr-FR"/>
        </w:rPr>
        <w:t xml:space="preserve">a) </w:t>
      </w:r>
      <w:r w:rsidRPr="00124D03">
        <w:rPr>
          <w:lang w:val="fr-FR"/>
        </w:rPr>
        <w:t>de la décision</w:t>
      </w:r>
      <w:r w:rsidR="00132CD2">
        <w:rPr>
          <w:lang w:val="fr-FR"/>
        </w:rPr>
        <w:t> </w:t>
      </w:r>
      <w:hyperlink r:id="rId15" w:history="1">
        <w:r w:rsidR="00FB021C" w:rsidRPr="00124D03">
          <w:rPr>
            <w:rStyle w:val="Hyperlink"/>
            <w:iCs/>
            <w:lang w:val="fr-FR"/>
          </w:rPr>
          <w:t>NP-3/1</w:t>
        </w:r>
      </w:hyperlink>
      <w:r w:rsidR="00FB021C" w:rsidRPr="00124D03">
        <w:rPr>
          <w:iCs/>
          <w:lang w:val="fr-FR"/>
        </w:rPr>
        <w:t>,</w:t>
      </w:r>
      <w:r w:rsidR="00FB021C" w:rsidRPr="00124D03">
        <w:rPr>
          <w:lang w:val="fr-FR"/>
        </w:rPr>
        <w:t xml:space="preserve"> </w:t>
      </w:r>
      <w:r w:rsidRPr="00124D03">
        <w:rPr>
          <w:lang w:val="fr-FR"/>
        </w:rPr>
        <w:t xml:space="preserve">la Secrétaire exécutive a été priée de d’entreprendre </w:t>
      </w:r>
      <w:r w:rsidR="0029503F" w:rsidRPr="00124D03">
        <w:rPr>
          <w:lang w:val="fr-FR"/>
        </w:rPr>
        <w:t>des</w:t>
      </w:r>
      <w:r w:rsidRPr="00124D03">
        <w:rPr>
          <w:lang w:val="fr-FR"/>
        </w:rPr>
        <w:t xml:space="preserve"> enquête</w:t>
      </w:r>
      <w:r w:rsidR="0029503F" w:rsidRPr="00124D03">
        <w:rPr>
          <w:lang w:val="fr-FR"/>
        </w:rPr>
        <w:t>s</w:t>
      </w:r>
      <w:r w:rsidRPr="00124D03">
        <w:rPr>
          <w:lang w:val="fr-FR"/>
        </w:rPr>
        <w:t xml:space="preserve"> ciblée</w:t>
      </w:r>
      <w:r w:rsidR="0029503F" w:rsidRPr="00124D03">
        <w:rPr>
          <w:lang w:val="fr-FR"/>
        </w:rPr>
        <w:t>s</w:t>
      </w:r>
      <w:r w:rsidRPr="00124D03">
        <w:rPr>
          <w:lang w:val="fr-FR"/>
        </w:rPr>
        <w:t xml:space="preserve"> des correspondants nationaux chargés de l’accès et du partage des avantages, des autorités nationales compétentes et des utilisateurs et fournisseurs de ressources génétiques ou de connaissances traditionnelles associées, sur les </w:t>
      </w:r>
      <w:r w:rsidR="00981514">
        <w:rPr>
          <w:lang w:val="fr-FR"/>
        </w:rPr>
        <w:t>difficultés</w:t>
      </w:r>
      <w:r w:rsidRPr="00124D03">
        <w:rPr>
          <w:lang w:val="fr-FR"/>
        </w:rPr>
        <w:t xml:space="preserve"> lié</w:t>
      </w:r>
      <w:r w:rsidR="00DA605A">
        <w:rPr>
          <w:lang w:val="fr-FR"/>
        </w:rPr>
        <w:t>e</w:t>
      </w:r>
      <w:r w:rsidRPr="00124D03">
        <w:rPr>
          <w:lang w:val="fr-FR"/>
        </w:rPr>
        <w:t xml:space="preserve">s à </w:t>
      </w:r>
      <w:r w:rsidR="00981514">
        <w:rPr>
          <w:lang w:val="fr-FR"/>
        </w:rPr>
        <w:t xml:space="preserve">la mise en œuvre </w:t>
      </w:r>
      <w:r w:rsidRPr="00124D03">
        <w:rPr>
          <w:lang w:val="fr-FR"/>
        </w:rPr>
        <w:t>du Protocole</w:t>
      </w:r>
      <w:r w:rsidR="00981514">
        <w:rPr>
          <w:lang w:val="fr-FR"/>
        </w:rPr>
        <w:t>,</w:t>
      </w:r>
      <w:r w:rsidRPr="00124D03">
        <w:rPr>
          <w:lang w:val="fr-FR"/>
        </w:rPr>
        <w:t xml:space="preserve"> </w:t>
      </w:r>
      <w:r w:rsidR="001639F6">
        <w:rPr>
          <w:lang w:val="fr-FR"/>
        </w:rPr>
        <w:t>pour constituer</w:t>
      </w:r>
      <w:r w:rsidRPr="00124D03">
        <w:rPr>
          <w:lang w:val="fr-FR"/>
        </w:rPr>
        <w:t xml:space="preserve"> une </w:t>
      </w:r>
      <w:r w:rsidR="001639F6">
        <w:rPr>
          <w:lang w:val="fr-FR"/>
        </w:rPr>
        <w:t xml:space="preserve">nouvelle </w:t>
      </w:r>
      <w:r w:rsidRPr="00124D03">
        <w:rPr>
          <w:lang w:val="fr-FR"/>
        </w:rPr>
        <w:t xml:space="preserve">source d’information pour les prochains </w:t>
      </w:r>
      <w:r w:rsidR="001639F6">
        <w:rPr>
          <w:lang w:val="fr-FR"/>
        </w:rPr>
        <w:t>exercices</w:t>
      </w:r>
      <w:r w:rsidRPr="00124D03">
        <w:rPr>
          <w:lang w:val="fr-FR"/>
        </w:rPr>
        <w:t xml:space="preserve"> d’évaluation et d’examen de l’efficacité du Protocole.</w:t>
      </w:r>
    </w:p>
    <w:p w14:paraId="6CC6B182" w14:textId="3CCB8202" w:rsidR="009D390F" w:rsidRPr="00124D03" w:rsidRDefault="00FA0EE3" w:rsidP="00807082">
      <w:pPr>
        <w:pStyle w:val="CBDNormalNumber"/>
        <w:numPr>
          <w:ilvl w:val="0"/>
          <w:numId w:val="11"/>
        </w:numPr>
        <w:rPr>
          <w:lang w:val="fr-FR"/>
        </w:rPr>
      </w:pPr>
      <w:r w:rsidRPr="00124D03">
        <w:rPr>
          <w:lang w:val="fr-FR"/>
        </w:rPr>
        <w:lastRenderedPageBreak/>
        <w:t xml:space="preserve">Conformément à la demande qui lui avait été adressée à l’alinéa </w:t>
      </w:r>
      <w:r w:rsidR="00FB021C" w:rsidRPr="00124D03">
        <w:rPr>
          <w:lang w:val="fr-FR"/>
        </w:rPr>
        <w:t>7</w:t>
      </w:r>
      <w:r w:rsidR="004D18C9" w:rsidRPr="00124D03">
        <w:rPr>
          <w:lang w:val="fr-FR"/>
        </w:rPr>
        <w:t> </w:t>
      </w:r>
      <w:r w:rsidR="00FB021C" w:rsidRPr="00124D03">
        <w:rPr>
          <w:lang w:val="fr-FR"/>
        </w:rPr>
        <w:t xml:space="preserve">b) </w:t>
      </w:r>
      <w:r w:rsidRPr="00124D03">
        <w:rPr>
          <w:lang w:val="fr-FR"/>
        </w:rPr>
        <w:t>de la</w:t>
      </w:r>
      <w:r w:rsidR="00FB021C" w:rsidRPr="00124D03">
        <w:rPr>
          <w:lang w:val="fr-FR"/>
        </w:rPr>
        <w:t xml:space="preserve"> d</w:t>
      </w:r>
      <w:r w:rsidRPr="00124D03">
        <w:rPr>
          <w:lang w:val="fr-FR"/>
        </w:rPr>
        <w:t>é</w:t>
      </w:r>
      <w:r w:rsidR="00FB021C" w:rsidRPr="00124D03">
        <w:rPr>
          <w:lang w:val="fr-FR"/>
        </w:rPr>
        <w:t>cision</w:t>
      </w:r>
      <w:r w:rsidR="00132CD2">
        <w:rPr>
          <w:lang w:val="fr-FR"/>
        </w:rPr>
        <w:t> </w:t>
      </w:r>
      <w:hyperlink r:id="rId16" w:history="1">
        <w:r w:rsidR="00FB021C" w:rsidRPr="00124D03">
          <w:rPr>
            <w:rStyle w:val="Hyperlink"/>
            <w:lang w:val="fr-FR"/>
          </w:rPr>
          <w:t>NP-5/5</w:t>
        </w:r>
      </w:hyperlink>
      <w:r w:rsidR="00FB021C" w:rsidRPr="00124D03">
        <w:rPr>
          <w:lang w:val="fr-FR"/>
        </w:rPr>
        <w:t xml:space="preserve">, </w:t>
      </w:r>
      <w:r w:rsidRPr="00124D03">
        <w:rPr>
          <w:lang w:val="fr-FR"/>
        </w:rPr>
        <w:t xml:space="preserve">la Secrétaire exécutive </w:t>
      </w:r>
      <w:r w:rsidR="0029503F" w:rsidRPr="00124D03">
        <w:rPr>
          <w:lang w:val="fr-FR"/>
        </w:rPr>
        <w:t xml:space="preserve">a </w:t>
      </w:r>
      <w:r w:rsidR="004919CD" w:rsidRPr="00124D03">
        <w:rPr>
          <w:lang w:val="fr-FR"/>
        </w:rPr>
        <w:t>fait réaliser</w:t>
      </w:r>
      <w:r w:rsidR="0029503F" w:rsidRPr="00124D03">
        <w:rPr>
          <w:lang w:val="fr-FR"/>
        </w:rPr>
        <w:t xml:space="preserve"> une étude </w:t>
      </w:r>
      <w:r w:rsidR="004919CD" w:rsidRPr="00124D03">
        <w:rPr>
          <w:lang w:val="fr-FR"/>
        </w:rPr>
        <w:t>préliminaire</w:t>
      </w:r>
      <w:r w:rsidR="0029503F" w:rsidRPr="00124D03">
        <w:rPr>
          <w:lang w:val="fr-FR"/>
        </w:rPr>
        <w:t xml:space="preserve"> sur les </w:t>
      </w:r>
      <w:r w:rsidR="004919CD" w:rsidRPr="00124D03">
        <w:rPr>
          <w:lang w:val="fr-FR"/>
        </w:rPr>
        <w:t xml:space="preserve">possibles </w:t>
      </w:r>
      <w:r w:rsidR="0029503F" w:rsidRPr="00124D03">
        <w:rPr>
          <w:lang w:val="fr-FR"/>
        </w:rPr>
        <w:t xml:space="preserve">raisons et les causes sous-jacentes des difficultés </w:t>
      </w:r>
      <w:r w:rsidR="001639F6">
        <w:rPr>
          <w:lang w:val="fr-FR"/>
        </w:rPr>
        <w:t>à mettre en œuvre efficacement le</w:t>
      </w:r>
      <w:r w:rsidR="0029503F" w:rsidRPr="00124D03">
        <w:rPr>
          <w:lang w:val="fr-FR"/>
        </w:rPr>
        <w:t xml:space="preserve"> Protocole de Nagoya et </w:t>
      </w:r>
      <w:r w:rsidR="001639F6">
        <w:rPr>
          <w:lang w:val="fr-FR"/>
        </w:rPr>
        <w:t>à respecter ses dispositions</w:t>
      </w:r>
      <w:r w:rsidR="0029503F" w:rsidRPr="00124D03">
        <w:rPr>
          <w:lang w:val="fr-FR"/>
        </w:rPr>
        <w:t xml:space="preserve">, ainsi que sur les </w:t>
      </w:r>
      <w:r w:rsidR="004919CD" w:rsidRPr="00124D03">
        <w:rPr>
          <w:lang w:val="fr-FR"/>
        </w:rPr>
        <w:t xml:space="preserve">éventuels </w:t>
      </w:r>
      <w:r w:rsidR="0029503F" w:rsidRPr="00124D03">
        <w:rPr>
          <w:lang w:val="fr-FR"/>
        </w:rPr>
        <w:t xml:space="preserve">moyens </w:t>
      </w:r>
      <w:r w:rsidR="004919CD" w:rsidRPr="00124D03">
        <w:rPr>
          <w:lang w:val="fr-FR"/>
        </w:rPr>
        <w:t>d’</w:t>
      </w:r>
      <w:r w:rsidR="0029503F" w:rsidRPr="00124D03">
        <w:rPr>
          <w:lang w:val="fr-FR"/>
        </w:rPr>
        <w:t xml:space="preserve">améliorer sa mise en œuvre, </w:t>
      </w:r>
      <w:r w:rsidR="004919CD" w:rsidRPr="00124D03">
        <w:rPr>
          <w:lang w:val="fr-FR"/>
        </w:rPr>
        <w:t>en tenant compte des</w:t>
      </w:r>
      <w:r w:rsidR="0029503F" w:rsidRPr="00124D03">
        <w:rPr>
          <w:lang w:val="fr-FR"/>
        </w:rPr>
        <w:t xml:space="preserve"> difficultés rencontrées </w:t>
      </w:r>
      <w:r w:rsidR="001639F6">
        <w:rPr>
          <w:lang w:val="fr-FR"/>
        </w:rPr>
        <w:t xml:space="preserve">spécifiquement </w:t>
      </w:r>
      <w:r w:rsidR="0029503F" w:rsidRPr="00124D03">
        <w:rPr>
          <w:lang w:val="fr-FR"/>
        </w:rPr>
        <w:t xml:space="preserve">par les pays en développement Parties, y compris </w:t>
      </w:r>
      <w:r w:rsidR="004919CD" w:rsidRPr="00124D03">
        <w:rPr>
          <w:lang w:val="fr-FR"/>
        </w:rPr>
        <w:t>celles liées aux</w:t>
      </w:r>
      <w:r w:rsidR="0029503F" w:rsidRPr="00124D03">
        <w:rPr>
          <w:lang w:val="fr-FR"/>
        </w:rPr>
        <w:t xml:space="preserve"> moyens de mise en œuvre. Les</w:t>
      </w:r>
      <w:r w:rsidR="004919CD" w:rsidRPr="00124D03">
        <w:rPr>
          <w:lang w:val="fr-FR"/>
        </w:rPr>
        <w:t xml:space="preserve"> principales</w:t>
      </w:r>
      <w:r w:rsidR="0029503F" w:rsidRPr="00124D03">
        <w:rPr>
          <w:lang w:val="fr-FR"/>
        </w:rPr>
        <w:t xml:space="preserve"> conclusions de cette étude seront incluses</w:t>
      </w:r>
      <w:r w:rsidR="001639F6">
        <w:rPr>
          <w:lang w:val="fr-FR"/>
        </w:rPr>
        <w:t xml:space="preserve"> </w:t>
      </w:r>
      <w:r w:rsidR="0029503F" w:rsidRPr="00124D03">
        <w:rPr>
          <w:lang w:val="fr-FR"/>
        </w:rPr>
        <w:t>dans le contexte des éléments à l’examen en tant que source d’information complémentaire</w:t>
      </w:r>
      <w:r w:rsidR="001639F6" w:rsidRPr="00124D03">
        <w:rPr>
          <w:lang w:val="fr-FR"/>
        </w:rPr>
        <w:t>, au besoin</w:t>
      </w:r>
      <w:r w:rsidR="0029503F" w:rsidRPr="00124D03">
        <w:rPr>
          <w:lang w:val="fr-FR"/>
        </w:rPr>
        <w:t xml:space="preserve">. Les études ciblées mentionnées </w:t>
      </w:r>
      <w:r w:rsidR="004639D6" w:rsidRPr="00124D03">
        <w:rPr>
          <w:lang w:val="fr-FR"/>
        </w:rPr>
        <w:t xml:space="preserve">au paragraphe 3 ci-dessus ont été </w:t>
      </w:r>
      <w:r w:rsidR="001639F6">
        <w:rPr>
          <w:lang w:val="fr-FR"/>
        </w:rPr>
        <w:t>réalisées</w:t>
      </w:r>
      <w:r w:rsidR="004639D6" w:rsidRPr="00124D03">
        <w:rPr>
          <w:lang w:val="fr-FR"/>
        </w:rPr>
        <w:t xml:space="preserve"> et analysées dans le cadre de l’étude exploratoire.</w:t>
      </w:r>
    </w:p>
    <w:p w14:paraId="50138064" w14:textId="5113B777" w:rsidR="009D390F" w:rsidRPr="00124D03" w:rsidRDefault="00FA4528" w:rsidP="00807082">
      <w:pPr>
        <w:pStyle w:val="CBDNormalNumber"/>
        <w:numPr>
          <w:ilvl w:val="0"/>
          <w:numId w:val="11"/>
        </w:numPr>
        <w:rPr>
          <w:lang w:val="fr-FR"/>
        </w:rPr>
      </w:pPr>
      <w:r w:rsidRPr="00124D03">
        <w:rPr>
          <w:lang w:val="fr-FR"/>
        </w:rPr>
        <w:t>Le Comité chargé du respect des obligations s’est réuni du</w:t>
      </w:r>
      <w:r w:rsidR="009D390F" w:rsidRPr="00124D03">
        <w:rPr>
          <w:lang w:val="fr-FR"/>
        </w:rPr>
        <w:t xml:space="preserve"> </w:t>
      </w:r>
      <w:r w:rsidR="00483B3A" w:rsidRPr="00124D03">
        <w:rPr>
          <w:lang w:val="fr-FR"/>
        </w:rPr>
        <w:t>27</w:t>
      </w:r>
      <w:r w:rsidR="009D390F" w:rsidRPr="00124D03">
        <w:rPr>
          <w:lang w:val="fr-FR"/>
        </w:rPr>
        <w:t xml:space="preserve"> </w:t>
      </w:r>
      <w:r w:rsidRPr="00124D03">
        <w:rPr>
          <w:lang w:val="fr-FR"/>
        </w:rPr>
        <w:t>au</w:t>
      </w:r>
      <w:r w:rsidR="009D390F" w:rsidRPr="00124D03">
        <w:rPr>
          <w:lang w:val="fr-FR"/>
        </w:rPr>
        <w:t xml:space="preserve"> </w:t>
      </w:r>
      <w:r w:rsidR="00483B3A" w:rsidRPr="00124D03">
        <w:rPr>
          <w:lang w:val="fr-FR"/>
        </w:rPr>
        <w:t>29</w:t>
      </w:r>
      <w:r w:rsidR="001E1DEC" w:rsidRPr="00124D03">
        <w:rPr>
          <w:lang w:val="fr-FR"/>
        </w:rPr>
        <w:t> </w:t>
      </w:r>
      <w:r w:rsidRPr="00124D03">
        <w:rPr>
          <w:lang w:val="fr-FR"/>
        </w:rPr>
        <w:t>mai</w:t>
      </w:r>
      <w:r w:rsidR="00132CD2">
        <w:rPr>
          <w:lang w:val="fr-FR"/>
        </w:rPr>
        <w:t> </w:t>
      </w:r>
      <w:r w:rsidR="00483B3A" w:rsidRPr="00124D03">
        <w:rPr>
          <w:lang w:val="fr-FR"/>
        </w:rPr>
        <w:t>2026</w:t>
      </w:r>
      <w:r w:rsidR="009D390F" w:rsidRPr="00124D03">
        <w:rPr>
          <w:lang w:val="fr-FR"/>
        </w:rPr>
        <w:t xml:space="preserve"> </w:t>
      </w:r>
      <w:r w:rsidRPr="00124D03">
        <w:rPr>
          <w:lang w:val="fr-FR"/>
        </w:rPr>
        <w:t>et le Comité consultatif informel</w:t>
      </w:r>
      <w:r w:rsidR="009D390F" w:rsidRPr="00124D03">
        <w:rPr>
          <w:lang w:val="fr-FR"/>
        </w:rPr>
        <w:t xml:space="preserve"> </w:t>
      </w:r>
      <w:r w:rsidRPr="00124D03">
        <w:rPr>
          <w:lang w:val="fr-FR"/>
        </w:rPr>
        <w:t>du</w:t>
      </w:r>
      <w:r w:rsidR="00870099" w:rsidRPr="00124D03">
        <w:rPr>
          <w:lang w:val="fr-FR"/>
        </w:rPr>
        <w:t xml:space="preserve"> 1</w:t>
      </w:r>
      <w:r w:rsidRPr="00124D03">
        <w:rPr>
          <w:vertAlign w:val="superscript"/>
          <w:lang w:val="fr-FR"/>
        </w:rPr>
        <w:t>er</w:t>
      </w:r>
      <w:r w:rsidR="00870099" w:rsidRPr="00124D03">
        <w:rPr>
          <w:lang w:val="fr-FR"/>
        </w:rPr>
        <w:t xml:space="preserve"> </w:t>
      </w:r>
      <w:r w:rsidRPr="00124D03">
        <w:rPr>
          <w:lang w:val="fr-FR"/>
        </w:rPr>
        <w:t>au</w:t>
      </w:r>
      <w:r w:rsidR="00870099" w:rsidRPr="00124D03">
        <w:rPr>
          <w:lang w:val="fr-FR"/>
        </w:rPr>
        <w:t xml:space="preserve"> 4</w:t>
      </w:r>
      <w:r w:rsidR="001E1DEC" w:rsidRPr="00124D03">
        <w:rPr>
          <w:lang w:val="fr-FR"/>
        </w:rPr>
        <w:t> </w:t>
      </w:r>
      <w:r w:rsidRPr="00124D03">
        <w:rPr>
          <w:lang w:val="fr-FR"/>
        </w:rPr>
        <w:t>juin</w:t>
      </w:r>
      <w:r w:rsidR="00132CD2">
        <w:rPr>
          <w:lang w:val="fr-FR"/>
        </w:rPr>
        <w:t> </w:t>
      </w:r>
      <w:r w:rsidR="00870099" w:rsidRPr="00124D03">
        <w:rPr>
          <w:lang w:val="fr-FR"/>
        </w:rPr>
        <w:t>2026</w:t>
      </w:r>
      <w:r w:rsidRPr="00124D03">
        <w:rPr>
          <w:lang w:val="fr-FR"/>
        </w:rPr>
        <w:t>. Les deux comités ont examiné de manière complémentaire et non redondante</w:t>
      </w:r>
      <w:r w:rsidR="009D390F" w:rsidRPr="00124D03">
        <w:rPr>
          <w:vertAlign w:val="superscript"/>
          <w:lang w:val="fr-FR"/>
        </w:rPr>
        <w:footnoteReference w:id="4"/>
      </w:r>
      <w:r w:rsidR="009D390F" w:rsidRPr="00124D03">
        <w:rPr>
          <w:lang w:val="fr-FR"/>
        </w:rPr>
        <w:t xml:space="preserve"> </w:t>
      </w:r>
      <w:r w:rsidRPr="00124D03">
        <w:rPr>
          <w:lang w:val="fr-FR"/>
        </w:rPr>
        <w:t xml:space="preserve">les documents suivants, qui sont également </w:t>
      </w:r>
      <w:r w:rsidRPr="004C40A8">
        <w:rPr>
          <w:lang w:val="fr-FR"/>
        </w:rPr>
        <w:t xml:space="preserve">disponibles pour </w:t>
      </w:r>
      <w:r w:rsidR="004C40A8">
        <w:rPr>
          <w:lang w:val="fr-FR"/>
        </w:rPr>
        <w:t>examen</w:t>
      </w:r>
      <w:r w:rsidRPr="00124D03">
        <w:rPr>
          <w:lang w:val="fr-FR"/>
        </w:rPr>
        <w:t xml:space="preserve"> par cette réunion :</w:t>
      </w:r>
    </w:p>
    <w:p w14:paraId="26D980DB" w14:textId="4F87CD9C" w:rsidR="009E387C" w:rsidRPr="00124D03" w:rsidRDefault="00FA4528" w:rsidP="00FA4528">
      <w:pPr>
        <w:pStyle w:val="ListParagraph"/>
        <w:numPr>
          <w:ilvl w:val="1"/>
          <w:numId w:val="11"/>
        </w:numPr>
        <w:tabs>
          <w:tab w:val="left" w:pos="2835"/>
          <w:tab w:val="left" w:pos="3402"/>
          <w:tab w:val="left" w:pos="3969"/>
        </w:tabs>
        <w:spacing w:before="120" w:after="120"/>
        <w:rPr>
          <w:lang w:val="fr-FR"/>
        </w:rPr>
      </w:pPr>
      <w:r w:rsidRPr="00124D03">
        <w:rPr>
          <w:lang w:val="fr-FR"/>
        </w:rPr>
        <w:t>Le d</w:t>
      </w:r>
      <w:r w:rsidR="004C77E6" w:rsidRPr="00124D03">
        <w:rPr>
          <w:lang w:val="fr-FR"/>
        </w:rPr>
        <w:t>ocument</w:t>
      </w:r>
      <w:r w:rsidR="00132CD2">
        <w:rPr>
          <w:lang w:val="fr-FR"/>
        </w:rPr>
        <w:t> </w:t>
      </w:r>
      <w:hyperlink r:id="rId17" w:history="1">
        <w:r w:rsidR="004C77E6" w:rsidRPr="00124D03">
          <w:rPr>
            <w:rStyle w:val="Hyperlink"/>
            <w:lang w:val="fr-FR"/>
          </w:rPr>
          <w:t>CBD/SBI/7/7/Add.1</w:t>
        </w:r>
      </w:hyperlink>
      <w:r w:rsidR="004C77E6" w:rsidRPr="00124D03">
        <w:rPr>
          <w:lang w:val="fr-FR"/>
        </w:rPr>
        <w:t xml:space="preserve"> </w:t>
      </w:r>
      <w:r w:rsidRPr="00124D03">
        <w:rPr>
          <w:lang w:val="fr-FR"/>
        </w:rPr>
        <w:t>qui contient une analyse des informations aux fins du deuxième exercice d’évaluation et d’examen de l’efficacité du Protocole de Nagoya en ce qui concerne les éléments a) à i) figurant à l’annexe de la décision</w:t>
      </w:r>
      <w:r w:rsidR="00132CD2">
        <w:rPr>
          <w:lang w:val="fr-FR"/>
        </w:rPr>
        <w:t> </w:t>
      </w:r>
      <w:hyperlink r:id="rId18" w:history="1">
        <w:r w:rsidR="00C67E97" w:rsidRPr="00124D03">
          <w:rPr>
            <w:color w:val="0563C1" w:themeColor="hyperlink"/>
            <w:u w:val="single"/>
            <w:lang w:val="fr-FR"/>
          </w:rPr>
          <w:t>NP-5/5</w:t>
        </w:r>
      </w:hyperlink>
      <w:r w:rsidRPr="00124D03">
        <w:rPr>
          <w:lang w:val="fr-FR"/>
        </w:rPr>
        <w:t> </w:t>
      </w:r>
      <w:r w:rsidR="009E387C" w:rsidRPr="00124D03">
        <w:rPr>
          <w:lang w:val="fr-FR"/>
        </w:rPr>
        <w:t xml:space="preserve">; </w:t>
      </w:r>
    </w:p>
    <w:p w14:paraId="42A97DFF" w14:textId="10E976D7" w:rsidR="006F5F26" w:rsidRPr="00124D03" w:rsidRDefault="00FA4528" w:rsidP="00C047AD">
      <w:pPr>
        <w:numPr>
          <w:ilvl w:val="1"/>
          <w:numId w:val="11"/>
        </w:numPr>
        <w:tabs>
          <w:tab w:val="left" w:pos="2835"/>
          <w:tab w:val="left" w:pos="3402"/>
          <w:tab w:val="left" w:pos="3969"/>
        </w:tabs>
        <w:spacing w:before="120" w:after="120"/>
        <w:rPr>
          <w:lang w:val="fr-FR"/>
        </w:rPr>
      </w:pPr>
      <w:r w:rsidRPr="00124D03">
        <w:rPr>
          <w:lang w:val="fr-FR"/>
        </w:rPr>
        <w:t>Le d</w:t>
      </w:r>
      <w:r w:rsidR="004C77E6" w:rsidRPr="00124D03">
        <w:rPr>
          <w:lang w:val="fr-FR"/>
        </w:rPr>
        <w:t>ocument</w:t>
      </w:r>
      <w:r w:rsidR="00132CD2">
        <w:rPr>
          <w:lang w:val="fr-FR"/>
        </w:rPr>
        <w:t> </w:t>
      </w:r>
      <w:hyperlink r:id="rId19" w:history="1">
        <w:r w:rsidR="004C77E6" w:rsidRPr="00124D03">
          <w:rPr>
            <w:rStyle w:val="Hyperlink"/>
            <w:lang w:val="fr-FR"/>
          </w:rPr>
          <w:t>CBD/SBI/7/7/Add.2</w:t>
        </w:r>
        <w:r w:rsidR="004C77E6" w:rsidRPr="00124D03">
          <w:rPr>
            <w:rStyle w:val="Hyperlink"/>
            <w:color w:val="000000" w:themeColor="text1"/>
            <w:u w:val="none"/>
            <w:lang w:val="fr-FR"/>
          </w:rPr>
          <w:t xml:space="preserve"> </w:t>
        </w:r>
      </w:hyperlink>
      <w:r w:rsidRPr="00124D03">
        <w:rPr>
          <w:lang w:val="fr-FR"/>
        </w:rPr>
        <w:t xml:space="preserve">qui contient un résumé des points de vue visant à </w:t>
      </w:r>
      <w:r w:rsidR="00AA695D">
        <w:rPr>
          <w:lang w:val="fr-FR"/>
        </w:rPr>
        <w:t>éclairer l’</w:t>
      </w:r>
      <w:r w:rsidRPr="00124D03">
        <w:rPr>
          <w:lang w:val="fr-FR"/>
        </w:rPr>
        <w:t xml:space="preserve">examen préliminaire des procédures </w:t>
      </w:r>
      <w:r w:rsidR="0000450C" w:rsidRPr="00124D03">
        <w:rPr>
          <w:lang w:val="fr-FR"/>
        </w:rPr>
        <w:t>et mécanismes de respect des obligations du Protocole de Nagoya pour appuyer l’examen de l’élément j).</w:t>
      </w:r>
    </w:p>
    <w:p w14:paraId="5267AA0A" w14:textId="3ACC8A57" w:rsidR="00EC38D3" w:rsidRPr="00124D03" w:rsidRDefault="0000450C" w:rsidP="00807082">
      <w:pPr>
        <w:pStyle w:val="CBDNormalNumber"/>
        <w:numPr>
          <w:ilvl w:val="0"/>
          <w:numId w:val="11"/>
        </w:numPr>
        <w:rPr>
          <w:lang w:val="fr-FR"/>
        </w:rPr>
      </w:pPr>
      <w:r w:rsidRPr="00124D03">
        <w:rPr>
          <w:lang w:val="fr-FR"/>
        </w:rPr>
        <w:t>Le d</w:t>
      </w:r>
      <w:r w:rsidR="00A07BAA" w:rsidRPr="00124D03">
        <w:rPr>
          <w:lang w:val="fr-FR"/>
        </w:rPr>
        <w:t>ocument</w:t>
      </w:r>
      <w:r w:rsidR="00132CD2">
        <w:rPr>
          <w:lang w:val="fr-FR"/>
        </w:rPr>
        <w:t> </w:t>
      </w:r>
      <w:hyperlink r:id="rId20" w:history="1">
        <w:r w:rsidR="00A07BAA" w:rsidRPr="00124D03">
          <w:rPr>
            <w:rStyle w:val="Hyperlink"/>
            <w:lang w:val="fr-FR"/>
          </w:rPr>
          <w:t>CBD/SBI/7/7/Add.1</w:t>
        </w:r>
      </w:hyperlink>
      <w:r w:rsidR="00A07BAA" w:rsidRPr="00124D03">
        <w:rPr>
          <w:lang w:val="fr-FR"/>
        </w:rPr>
        <w:t xml:space="preserve"> </w:t>
      </w:r>
      <w:r w:rsidRPr="00124D03">
        <w:rPr>
          <w:lang w:val="fr-FR"/>
        </w:rPr>
        <w:t xml:space="preserve">s’est fondé sur de nombreuses sources d’information, </w:t>
      </w:r>
      <w:r w:rsidR="00AA695D">
        <w:rPr>
          <w:lang w:val="fr-FR"/>
        </w:rPr>
        <w:t xml:space="preserve">mentionnées et analysées </w:t>
      </w:r>
      <w:r w:rsidRPr="00124D03">
        <w:rPr>
          <w:lang w:val="fr-FR"/>
        </w:rPr>
        <w:t>dans les différents documents d’information complémentaires listés ci-dessous et publiés sous la forme de documents d’information pour la réunion :</w:t>
      </w:r>
    </w:p>
    <w:p w14:paraId="2FCF8C66" w14:textId="6923F210" w:rsidR="00665AB5" w:rsidRPr="00124D03" w:rsidRDefault="0000450C" w:rsidP="00C047AD">
      <w:pPr>
        <w:numPr>
          <w:ilvl w:val="1"/>
          <w:numId w:val="11"/>
        </w:numPr>
        <w:tabs>
          <w:tab w:val="left" w:pos="2835"/>
          <w:tab w:val="left" w:pos="3402"/>
          <w:tab w:val="left" w:pos="3969"/>
        </w:tabs>
        <w:spacing w:before="120" w:after="120"/>
        <w:rPr>
          <w:lang w:val="fr-FR"/>
        </w:rPr>
      </w:pPr>
      <w:r w:rsidRPr="00124D03">
        <w:rPr>
          <w:lang w:val="fr-FR"/>
        </w:rPr>
        <w:t>L’analyse des informations issues des rapports nationaux et d’autres sources pour le deuxième exercice d’évaluation et d’examen de l’efficacité du Protocole de Nagoya</w:t>
      </w:r>
      <w:r w:rsidR="00665AB5" w:rsidRPr="00124D03">
        <w:rPr>
          <w:vertAlign w:val="superscript"/>
          <w:lang w:val="fr-FR"/>
        </w:rPr>
        <w:footnoteReference w:id="5"/>
      </w:r>
      <w:r w:rsidRPr="00124D03">
        <w:rPr>
          <w:lang w:val="fr-FR"/>
        </w:rPr>
        <w:t> ;</w:t>
      </w:r>
    </w:p>
    <w:p w14:paraId="4849F23B" w14:textId="4362C9D7" w:rsidR="00665AB5" w:rsidRPr="00124D03" w:rsidRDefault="0000450C" w:rsidP="00C047AD">
      <w:pPr>
        <w:numPr>
          <w:ilvl w:val="1"/>
          <w:numId w:val="11"/>
        </w:numPr>
        <w:tabs>
          <w:tab w:val="left" w:pos="2835"/>
          <w:tab w:val="left" w:pos="3402"/>
          <w:tab w:val="left" w:pos="3969"/>
        </w:tabs>
        <w:spacing w:before="120" w:after="120"/>
        <w:rPr>
          <w:lang w:val="fr-FR"/>
        </w:rPr>
      </w:pPr>
      <w:r w:rsidRPr="00124D03">
        <w:rPr>
          <w:lang w:val="fr-FR"/>
        </w:rPr>
        <w:t>L’étude préliminaire sur les possibles raisons et les causes sous-jacentes des difficultés rencontrées dans la mise en œuvre efficace et le respect des obligations, ainsi que sur les éventuels moyens d’améliorer la mise en œuvre</w:t>
      </w:r>
      <w:r w:rsidR="00665AB5" w:rsidRPr="00124D03">
        <w:rPr>
          <w:vertAlign w:val="superscript"/>
          <w:lang w:val="fr-FR"/>
        </w:rPr>
        <w:footnoteReference w:id="6"/>
      </w:r>
      <w:r w:rsidRPr="00124D03">
        <w:rPr>
          <w:lang w:val="fr-FR"/>
        </w:rPr>
        <w:t> ;</w:t>
      </w:r>
      <w:r w:rsidR="00665AB5" w:rsidRPr="00124D03">
        <w:rPr>
          <w:lang w:val="fr-FR"/>
        </w:rPr>
        <w:t xml:space="preserve"> </w:t>
      </w:r>
    </w:p>
    <w:p w14:paraId="57DEAA38" w14:textId="37247F09" w:rsidR="00665AB5" w:rsidRPr="00124D03" w:rsidRDefault="0021533F" w:rsidP="00C047AD">
      <w:pPr>
        <w:numPr>
          <w:ilvl w:val="1"/>
          <w:numId w:val="11"/>
        </w:numPr>
        <w:tabs>
          <w:tab w:val="left" w:pos="2835"/>
          <w:tab w:val="left" w:pos="3402"/>
          <w:tab w:val="left" w:pos="3969"/>
        </w:tabs>
        <w:spacing w:before="120" w:after="120"/>
        <w:rPr>
          <w:lang w:val="fr-FR"/>
        </w:rPr>
      </w:pPr>
      <w:r w:rsidRPr="00124D03">
        <w:rPr>
          <w:lang w:val="fr-FR"/>
        </w:rPr>
        <w:t>L’analyse des informations publiée</w:t>
      </w:r>
      <w:r w:rsidR="00DA605A">
        <w:rPr>
          <w:lang w:val="fr-FR"/>
        </w:rPr>
        <w:t>s</w:t>
      </w:r>
      <w:r w:rsidRPr="00124D03">
        <w:rPr>
          <w:lang w:val="fr-FR"/>
        </w:rPr>
        <w:t xml:space="preserve"> dans le Centre d’échange sur l’accès et le partage des avantages</w:t>
      </w:r>
      <w:r w:rsidR="00665AB5" w:rsidRPr="00124D03">
        <w:rPr>
          <w:vertAlign w:val="superscript"/>
          <w:lang w:val="fr-FR"/>
        </w:rPr>
        <w:footnoteReference w:id="7"/>
      </w:r>
      <w:r w:rsidRPr="00124D03">
        <w:rPr>
          <w:lang w:val="fr-FR"/>
        </w:rPr>
        <w:t> ;</w:t>
      </w:r>
    </w:p>
    <w:p w14:paraId="14351457" w14:textId="65847536" w:rsidR="00665AB5" w:rsidRPr="00124D03" w:rsidRDefault="0021533F" w:rsidP="00C047AD">
      <w:pPr>
        <w:numPr>
          <w:ilvl w:val="1"/>
          <w:numId w:val="11"/>
        </w:numPr>
        <w:tabs>
          <w:tab w:val="left" w:pos="2835"/>
          <w:tab w:val="left" w:pos="3402"/>
          <w:tab w:val="left" w:pos="3969"/>
        </w:tabs>
        <w:spacing w:before="120" w:after="120"/>
        <w:rPr>
          <w:lang w:val="fr-FR"/>
        </w:rPr>
      </w:pPr>
      <w:r w:rsidRPr="00124D03">
        <w:rPr>
          <w:lang w:val="fr-FR"/>
        </w:rPr>
        <w:t>L’analyse des réponses à l’étude ciblée du Centre d’échange sur l’accès et le partage des avantages</w:t>
      </w:r>
      <w:r w:rsidR="00665AB5" w:rsidRPr="00124D03">
        <w:rPr>
          <w:vertAlign w:val="superscript"/>
          <w:lang w:val="fr-FR"/>
        </w:rPr>
        <w:footnoteReference w:id="8"/>
      </w:r>
      <w:r w:rsidRPr="00124D03">
        <w:rPr>
          <w:lang w:val="fr-FR"/>
        </w:rPr>
        <w:t> ;</w:t>
      </w:r>
    </w:p>
    <w:p w14:paraId="535A19F5" w14:textId="0BF45318" w:rsidR="00665AB5" w:rsidRPr="00124D03" w:rsidRDefault="0021533F" w:rsidP="00C047AD">
      <w:pPr>
        <w:numPr>
          <w:ilvl w:val="1"/>
          <w:numId w:val="11"/>
        </w:numPr>
        <w:tabs>
          <w:tab w:val="left" w:pos="2835"/>
          <w:tab w:val="left" w:pos="3402"/>
          <w:tab w:val="left" w:pos="3969"/>
        </w:tabs>
        <w:spacing w:before="120" w:after="120"/>
        <w:rPr>
          <w:lang w:val="fr-FR"/>
        </w:rPr>
      </w:pPr>
      <w:r w:rsidRPr="00124D03">
        <w:rPr>
          <w:lang w:val="fr-FR"/>
        </w:rPr>
        <w:t xml:space="preserve">L’analyse de l’appui en matière de </w:t>
      </w:r>
      <w:r w:rsidR="00AA695D">
        <w:rPr>
          <w:lang w:val="fr-FR"/>
        </w:rPr>
        <w:t>renforcement</w:t>
      </w:r>
      <w:r w:rsidRPr="00124D03">
        <w:rPr>
          <w:lang w:val="fr-FR"/>
        </w:rPr>
        <w:t xml:space="preserve"> des capacités disponible pour la mise en œuvre du Protocole de Nagoya</w:t>
      </w:r>
      <w:r w:rsidR="00665AB5" w:rsidRPr="00124D03">
        <w:rPr>
          <w:vertAlign w:val="superscript"/>
          <w:lang w:val="fr-FR"/>
        </w:rPr>
        <w:footnoteReference w:id="9"/>
      </w:r>
      <w:r w:rsidRPr="00124D03">
        <w:rPr>
          <w:lang w:val="fr-FR"/>
        </w:rPr>
        <w:t> ;</w:t>
      </w:r>
    </w:p>
    <w:p w14:paraId="7CBDF4BA" w14:textId="2812D931" w:rsidR="00FD0F04" w:rsidRPr="00124D03" w:rsidRDefault="0021533F" w:rsidP="00C047AD">
      <w:pPr>
        <w:numPr>
          <w:ilvl w:val="1"/>
          <w:numId w:val="11"/>
        </w:numPr>
        <w:tabs>
          <w:tab w:val="left" w:pos="2835"/>
          <w:tab w:val="left" w:pos="3402"/>
          <w:tab w:val="left" w:pos="3969"/>
        </w:tabs>
        <w:spacing w:before="120" w:after="120"/>
        <w:rPr>
          <w:lang w:val="fr-FR"/>
        </w:rPr>
      </w:pPr>
      <w:r w:rsidRPr="00124D03">
        <w:rPr>
          <w:lang w:val="fr-FR"/>
        </w:rPr>
        <w:t>L’analyse des financements et de la mobilisation de</w:t>
      </w:r>
      <w:r w:rsidR="00AA695D">
        <w:rPr>
          <w:lang w:val="fr-FR"/>
        </w:rPr>
        <w:t>s</w:t>
      </w:r>
      <w:r w:rsidRPr="00124D03">
        <w:rPr>
          <w:lang w:val="fr-FR"/>
        </w:rPr>
        <w:t xml:space="preserve"> ressources à l’appui de la mise en œuvre du Protocole de Nagoya</w:t>
      </w:r>
      <w:r w:rsidR="00665AB5" w:rsidRPr="00124D03">
        <w:rPr>
          <w:vertAlign w:val="superscript"/>
          <w:lang w:val="fr-FR"/>
        </w:rPr>
        <w:footnoteReference w:id="10"/>
      </w:r>
      <w:r w:rsidRPr="00124D03">
        <w:rPr>
          <w:lang w:val="fr-FR"/>
        </w:rPr>
        <w:t>.</w:t>
      </w:r>
      <w:r w:rsidR="00665AB5" w:rsidRPr="00124D03">
        <w:rPr>
          <w:lang w:val="fr-FR"/>
        </w:rPr>
        <w:t xml:space="preserve"> </w:t>
      </w:r>
    </w:p>
    <w:p w14:paraId="02E6ACA4" w14:textId="0E2A4268" w:rsidR="009E5D1E" w:rsidRPr="00124D03" w:rsidRDefault="00124D03" w:rsidP="004C30D5">
      <w:pPr>
        <w:pStyle w:val="CBDNormalNumber"/>
        <w:numPr>
          <w:ilvl w:val="0"/>
          <w:numId w:val="11"/>
        </w:numPr>
        <w:rPr>
          <w:lang w:val="fr-FR"/>
        </w:rPr>
      </w:pPr>
      <w:r w:rsidRPr="00124D03">
        <w:rPr>
          <w:lang w:val="fr-FR"/>
        </w:rPr>
        <w:t>Conformément au paragraphe 8 de la décision</w:t>
      </w:r>
      <w:r w:rsidR="009E5D1E" w:rsidRPr="00124D03">
        <w:rPr>
          <w:lang w:val="fr-FR"/>
        </w:rPr>
        <w:t> </w:t>
      </w:r>
      <w:hyperlink r:id="rId21" w:history="1">
        <w:r w:rsidR="00807082" w:rsidRPr="00124D03">
          <w:rPr>
            <w:rStyle w:val="Hyperlink"/>
            <w:lang w:val="fr-FR"/>
          </w:rPr>
          <w:t>NP-5/5</w:t>
        </w:r>
      </w:hyperlink>
      <w:r w:rsidR="009E5D1E" w:rsidRPr="00124D03">
        <w:rPr>
          <w:lang w:val="fr-FR"/>
        </w:rPr>
        <w:t xml:space="preserve">, </w:t>
      </w:r>
      <w:r w:rsidRPr="00124D03">
        <w:rPr>
          <w:lang w:val="fr-FR"/>
        </w:rPr>
        <w:t xml:space="preserve">les conclusions du Comité chargé du respect des obligations et du Comité consultatif informel </w:t>
      </w:r>
      <w:r w:rsidR="0099095B">
        <w:rPr>
          <w:lang w:val="fr-FR"/>
        </w:rPr>
        <w:t>figure</w:t>
      </w:r>
      <w:r w:rsidR="00DA605A">
        <w:rPr>
          <w:lang w:val="fr-FR"/>
        </w:rPr>
        <w:t>nt</w:t>
      </w:r>
      <w:r w:rsidR="0099095B">
        <w:rPr>
          <w:lang w:val="fr-FR"/>
        </w:rPr>
        <w:t xml:space="preserve"> dans le présent document</w:t>
      </w:r>
      <w:r w:rsidR="0099095B" w:rsidRPr="00A554DF">
        <w:rPr>
          <w:lang w:val="fr-CA"/>
        </w:rPr>
        <w:t xml:space="preserve"> </w:t>
      </w:r>
      <w:r w:rsidRPr="00124D03">
        <w:rPr>
          <w:lang w:val="fr-FR"/>
        </w:rPr>
        <w:t>(sect</w:t>
      </w:r>
      <w:r w:rsidR="0099095B">
        <w:rPr>
          <w:lang w:val="fr-FR"/>
        </w:rPr>
        <w:t>ion</w:t>
      </w:r>
      <w:r w:rsidR="00BA5E79">
        <w:rPr>
          <w:lang w:val="fr-FR"/>
        </w:rPr>
        <w:t> </w:t>
      </w:r>
      <w:r w:rsidRPr="00124D03">
        <w:rPr>
          <w:lang w:val="fr-FR"/>
        </w:rPr>
        <w:t xml:space="preserve">II). </w:t>
      </w:r>
      <w:r w:rsidR="0099095B">
        <w:rPr>
          <w:lang w:val="fr-FR"/>
        </w:rPr>
        <w:t>On trouvera dans l</w:t>
      </w:r>
      <w:r w:rsidRPr="00124D03">
        <w:rPr>
          <w:lang w:val="fr-FR"/>
        </w:rPr>
        <w:t>a section III le projet de recommandations pour examen par l’Organe subsidiaire</w:t>
      </w:r>
      <w:r w:rsidR="006A6E59" w:rsidRPr="00124D03">
        <w:rPr>
          <w:lang w:val="fr-FR"/>
        </w:rPr>
        <w:t>.</w:t>
      </w:r>
      <w:r w:rsidR="003E3383" w:rsidRPr="00124D03">
        <w:rPr>
          <w:lang w:val="fr-FR"/>
        </w:rPr>
        <w:t xml:space="preserve"> </w:t>
      </w:r>
    </w:p>
    <w:p w14:paraId="7970FEB3" w14:textId="1F5C0E19" w:rsidR="00853A7B" w:rsidRPr="00124D03" w:rsidRDefault="00192D05" w:rsidP="009477BD">
      <w:pPr>
        <w:pStyle w:val="CBDH1"/>
        <w:rPr>
          <w:lang w:val="fr-FR"/>
        </w:rPr>
      </w:pPr>
      <w:bookmarkStart w:id="1" w:name="_Hlk153269236"/>
      <w:r w:rsidRPr="00124D03">
        <w:rPr>
          <w:lang w:val="fr-FR"/>
        </w:rPr>
        <w:lastRenderedPageBreak/>
        <w:t>II.</w:t>
      </w:r>
      <w:r w:rsidR="00D21481" w:rsidRPr="00124D03">
        <w:rPr>
          <w:lang w:val="fr-FR"/>
        </w:rPr>
        <w:tab/>
      </w:r>
      <w:r w:rsidR="00124D03">
        <w:rPr>
          <w:lang w:val="fr-FR"/>
        </w:rPr>
        <w:t xml:space="preserve">Contributions du Comité chargé du respect des obligations et du Comité consultatif informel sur le </w:t>
      </w:r>
      <w:r w:rsidR="000B2EF9">
        <w:rPr>
          <w:lang w:val="fr-FR"/>
        </w:rPr>
        <w:t>deuxième</w:t>
      </w:r>
      <w:r w:rsidR="00124D03">
        <w:rPr>
          <w:lang w:val="fr-FR"/>
        </w:rPr>
        <w:t xml:space="preserve"> exercice d’évaluation et d’examen du Protocole de Nagoya</w:t>
      </w:r>
    </w:p>
    <w:p w14:paraId="70D21301" w14:textId="65C3AABF" w:rsidR="00951DAD" w:rsidRPr="00124D03" w:rsidRDefault="0065686B" w:rsidP="00807082">
      <w:pPr>
        <w:pStyle w:val="CBDNormalNumber"/>
        <w:numPr>
          <w:ilvl w:val="0"/>
          <w:numId w:val="11"/>
        </w:numPr>
        <w:rPr>
          <w:lang w:val="fr-FR"/>
        </w:rPr>
      </w:pPr>
      <w:r>
        <w:rPr>
          <w:lang w:val="fr-FR"/>
        </w:rPr>
        <w:t>En ce qui concerne</w:t>
      </w:r>
      <w:r w:rsidR="000B2EF9">
        <w:rPr>
          <w:lang w:val="fr-FR"/>
        </w:rPr>
        <w:t xml:space="preserve"> les éléments </w:t>
      </w:r>
      <w:r w:rsidR="00951DAD" w:rsidRPr="00124D03">
        <w:rPr>
          <w:lang w:val="fr-FR"/>
        </w:rPr>
        <w:t xml:space="preserve">a) </w:t>
      </w:r>
      <w:r w:rsidR="000B2EF9">
        <w:rPr>
          <w:lang w:val="fr-FR"/>
        </w:rPr>
        <w:t>à</w:t>
      </w:r>
      <w:r w:rsidR="00951DAD" w:rsidRPr="00124D03">
        <w:rPr>
          <w:lang w:val="fr-FR"/>
        </w:rPr>
        <w:t xml:space="preserve"> i)</w:t>
      </w:r>
      <w:r w:rsidR="008B6C51" w:rsidRPr="00124D03">
        <w:rPr>
          <w:lang w:val="fr-FR"/>
        </w:rPr>
        <w:t>,</w:t>
      </w:r>
      <w:r w:rsidR="00951DAD" w:rsidRPr="00124D03">
        <w:rPr>
          <w:lang w:val="fr-FR"/>
        </w:rPr>
        <w:t xml:space="preserve"> </w:t>
      </w:r>
      <w:r w:rsidR="000B2EF9">
        <w:rPr>
          <w:lang w:val="fr-FR"/>
        </w:rPr>
        <w:t xml:space="preserve">le Comité chargé du respect des obligations et le Comité consultatif informel ont examiné les progrès réalisés dans la mise en œuvre et les </w:t>
      </w:r>
      <w:r w:rsidRPr="00E34B03">
        <w:rPr>
          <w:lang w:val="fr-FR"/>
        </w:rPr>
        <w:t>données révisées relatives aux indicateurs</w:t>
      </w:r>
      <w:r w:rsidR="000B2EF9">
        <w:rPr>
          <w:lang w:val="fr-FR"/>
        </w:rPr>
        <w:t xml:space="preserve"> (</w:t>
      </w:r>
      <w:r>
        <w:rPr>
          <w:lang w:val="fr-FR"/>
        </w:rPr>
        <w:t xml:space="preserve">le </w:t>
      </w:r>
      <w:r w:rsidR="000B2EF9">
        <w:rPr>
          <w:lang w:val="fr-FR"/>
        </w:rPr>
        <w:t>cadre d’indicateurs figur</w:t>
      </w:r>
      <w:r>
        <w:rPr>
          <w:lang w:val="fr-FR"/>
        </w:rPr>
        <w:t>e</w:t>
      </w:r>
      <w:r w:rsidR="000B2EF9">
        <w:rPr>
          <w:lang w:val="fr-FR"/>
        </w:rPr>
        <w:t xml:space="preserve"> à l’annexe II de la décision</w:t>
      </w:r>
      <w:r w:rsidR="00132CD2">
        <w:rPr>
          <w:lang w:val="fr-FR"/>
        </w:rPr>
        <w:t> </w:t>
      </w:r>
      <w:hyperlink r:id="rId22" w:history="1">
        <w:r w:rsidR="00951DAD" w:rsidRPr="00124D03">
          <w:rPr>
            <w:rStyle w:val="Hyperlink"/>
            <w:lang w:val="fr-FR"/>
          </w:rPr>
          <w:t>NP-3/1</w:t>
        </w:r>
      </w:hyperlink>
      <w:r w:rsidR="00951DAD" w:rsidRPr="00124D03">
        <w:rPr>
          <w:lang w:val="fr-FR"/>
        </w:rPr>
        <w:t>)</w:t>
      </w:r>
      <w:r w:rsidR="000B2EF9">
        <w:rPr>
          <w:lang w:val="fr-FR"/>
        </w:rPr>
        <w:t>, ainsi que les difficultés, les causes sous-jacentes et les éventuels moyens d’améliorer la mise en œuvre du Protocole de Nagoya.</w:t>
      </w:r>
      <w:r>
        <w:rPr>
          <w:lang w:val="fr-FR"/>
        </w:rPr>
        <w:t xml:space="preserve"> I</w:t>
      </w:r>
      <w:r w:rsidR="000B2EF9">
        <w:rPr>
          <w:lang w:val="fr-FR"/>
        </w:rPr>
        <w:t xml:space="preserve">ls se sont </w:t>
      </w:r>
      <w:r>
        <w:rPr>
          <w:lang w:val="fr-FR"/>
        </w:rPr>
        <w:t xml:space="preserve">ensuite </w:t>
      </w:r>
      <w:r w:rsidR="000B2EF9">
        <w:rPr>
          <w:lang w:val="fr-FR"/>
        </w:rPr>
        <w:t xml:space="preserve">mis d’accord sur des </w:t>
      </w:r>
      <w:r w:rsidRPr="0065686B">
        <w:rPr>
          <w:lang w:val="fr-FR"/>
        </w:rPr>
        <w:t>conclusions</w:t>
      </w:r>
      <w:r w:rsidR="000B2EF9" w:rsidRPr="0065686B">
        <w:rPr>
          <w:lang w:val="fr-FR"/>
        </w:rPr>
        <w:t xml:space="preserve"> et des messages </w:t>
      </w:r>
      <w:r w:rsidRPr="0065686B">
        <w:rPr>
          <w:lang w:val="fr-FR"/>
        </w:rPr>
        <w:t>essentiels</w:t>
      </w:r>
      <w:r w:rsidR="000B2EF9">
        <w:rPr>
          <w:lang w:val="fr-FR"/>
        </w:rPr>
        <w:t xml:space="preserve"> ; </w:t>
      </w:r>
      <w:r>
        <w:rPr>
          <w:lang w:val="fr-FR"/>
        </w:rPr>
        <w:t xml:space="preserve">et </w:t>
      </w:r>
      <w:r w:rsidR="000B2EF9">
        <w:rPr>
          <w:lang w:val="fr-FR"/>
        </w:rPr>
        <w:t>des mesures indicatives qui pourraient être prises à l’échelle mondiale, régionale ou sous-régionale pour améliorer la mise en œuvre du Protocole, selon qu’il conviendra, qui constituent leurs contributions au deuxième exercice d’évaluation et d’examen.</w:t>
      </w:r>
    </w:p>
    <w:p w14:paraId="2AB80E98" w14:textId="5F3C1C22" w:rsidR="00A875F0" w:rsidRPr="00124D03" w:rsidRDefault="0065686B" w:rsidP="002A43B7">
      <w:pPr>
        <w:pStyle w:val="CBDNormalNumber"/>
        <w:numPr>
          <w:ilvl w:val="0"/>
          <w:numId w:val="11"/>
        </w:numPr>
        <w:rPr>
          <w:iCs/>
          <w:lang w:val="fr-FR"/>
        </w:rPr>
      </w:pPr>
      <w:r>
        <w:rPr>
          <w:iCs/>
          <w:lang w:val="fr-FR"/>
        </w:rPr>
        <w:t>En ce qui concerne</w:t>
      </w:r>
      <w:r w:rsidR="001D2DAF">
        <w:rPr>
          <w:iCs/>
          <w:lang w:val="fr-FR"/>
        </w:rPr>
        <w:t xml:space="preserve"> l’élément </w:t>
      </w:r>
      <w:r w:rsidR="00951DAD" w:rsidRPr="00124D03">
        <w:rPr>
          <w:iCs/>
          <w:lang w:val="fr-FR"/>
        </w:rPr>
        <w:t xml:space="preserve">j), </w:t>
      </w:r>
      <w:r w:rsidR="001D2DAF">
        <w:rPr>
          <w:iCs/>
          <w:lang w:val="fr-FR"/>
        </w:rPr>
        <w:t>le Comité chargé du respect des obligations a examiné le document</w:t>
      </w:r>
      <w:r w:rsidR="00132CD2">
        <w:rPr>
          <w:iCs/>
          <w:lang w:val="fr-FR"/>
        </w:rPr>
        <w:t> </w:t>
      </w:r>
      <w:hyperlink r:id="rId23" w:history="1">
        <w:r w:rsidR="00951DAD" w:rsidRPr="00124D03">
          <w:rPr>
            <w:rStyle w:val="Hyperlink"/>
            <w:iCs/>
            <w:lang w:val="fr-FR"/>
          </w:rPr>
          <w:t>CBD/SBI/7/7/Add.2</w:t>
        </w:r>
      </w:hyperlink>
      <w:r w:rsidR="00951DAD" w:rsidRPr="00124D03">
        <w:rPr>
          <w:iCs/>
          <w:lang w:val="fr-FR"/>
        </w:rPr>
        <w:t>.</w:t>
      </w:r>
      <w:r w:rsidR="00D35D3E" w:rsidRPr="00124D03">
        <w:rPr>
          <w:iCs/>
          <w:lang w:val="fr-FR"/>
        </w:rPr>
        <w:t xml:space="preserve"> </w:t>
      </w:r>
      <w:r>
        <w:rPr>
          <w:iCs/>
          <w:lang w:val="fr-FR"/>
        </w:rPr>
        <w:t>Il</w:t>
      </w:r>
      <w:r w:rsidR="0081555F">
        <w:rPr>
          <w:iCs/>
          <w:lang w:val="fr-FR"/>
        </w:rPr>
        <w:t xml:space="preserve"> a reconnu que l’expérience acquise en matière de procédures et de mécanismes de respect des obligations était pour l’instant limitée et qu’il n’avait pas pleinement exploré les outils mis à disposition par les procédures et les mécanismes. Cette conclusion est </w:t>
      </w:r>
      <w:r w:rsidR="0081555F" w:rsidRPr="009C65F1">
        <w:rPr>
          <w:iCs/>
          <w:lang w:val="fr-FR"/>
        </w:rPr>
        <w:t>reflétée</w:t>
      </w:r>
      <w:r w:rsidR="0081555F">
        <w:rPr>
          <w:iCs/>
          <w:lang w:val="fr-FR"/>
        </w:rPr>
        <w:t xml:space="preserve"> </w:t>
      </w:r>
      <w:r w:rsidR="00C937C2">
        <w:rPr>
          <w:iCs/>
          <w:lang w:val="fr-FR"/>
        </w:rPr>
        <w:t>à</w:t>
      </w:r>
      <w:r w:rsidR="0081555F">
        <w:rPr>
          <w:iCs/>
          <w:lang w:val="fr-FR"/>
        </w:rPr>
        <w:t xml:space="preserve"> l’annexe I </w:t>
      </w:r>
      <w:r w:rsidR="00C937C2">
        <w:rPr>
          <w:iCs/>
          <w:lang w:val="fr-FR"/>
        </w:rPr>
        <w:t>du</w:t>
      </w:r>
      <w:r w:rsidR="0081555F">
        <w:rPr>
          <w:iCs/>
          <w:lang w:val="fr-FR"/>
        </w:rPr>
        <w:t xml:space="preserve"> présent document.</w:t>
      </w:r>
    </w:p>
    <w:p w14:paraId="05C4FA91" w14:textId="771ACC32" w:rsidR="00FB3B8F" w:rsidRPr="00E66D42" w:rsidRDefault="000D5D89" w:rsidP="002549FF">
      <w:pPr>
        <w:pStyle w:val="CBDNormalNumber"/>
        <w:numPr>
          <w:ilvl w:val="0"/>
          <w:numId w:val="11"/>
        </w:numPr>
        <w:rPr>
          <w:iCs/>
          <w:lang w:val="fr-FR"/>
        </w:rPr>
      </w:pPr>
      <w:r w:rsidRPr="00E66D42">
        <w:rPr>
          <w:iCs/>
          <w:lang w:val="fr-FR"/>
        </w:rPr>
        <w:t>Les contributions et conclusions complètes du Comité chargé du respect des obligations et du Comité consultatif informel</w:t>
      </w:r>
      <w:r w:rsidR="00491C2D" w:rsidRPr="00E66D42">
        <w:rPr>
          <w:iCs/>
          <w:lang w:val="fr-FR"/>
        </w:rPr>
        <w:t xml:space="preserve"> relatives</w:t>
      </w:r>
      <w:r w:rsidRPr="00E66D42">
        <w:rPr>
          <w:iCs/>
          <w:lang w:val="fr-FR"/>
        </w:rPr>
        <w:t xml:space="preserve"> au deuxième exercice d’évaluation et d’examen figurent dans les rapports des réunions</w:t>
      </w:r>
      <w:r w:rsidR="00FB3B8F" w:rsidRPr="00124D03">
        <w:rPr>
          <w:vertAlign w:val="superscript"/>
          <w:lang w:val="fr-FR"/>
        </w:rPr>
        <w:footnoteReference w:id="11"/>
      </w:r>
      <w:r w:rsidR="0062424C" w:rsidRPr="00E66D42">
        <w:rPr>
          <w:iCs/>
          <w:lang w:val="fr-FR"/>
        </w:rPr>
        <w:t xml:space="preserve"> </w:t>
      </w:r>
      <w:r w:rsidRPr="00E66D42">
        <w:rPr>
          <w:iCs/>
          <w:lang w:val="fr-FR"/>
        </w:rPr>
        <w:t xml:space="preserve">et </w:t>
      </w:r>
      <w:r w:rsidR="00491C2D" w:rsidRPr="00E66D42">
        <w:rPr>
          <w:iCs/>
          <w:lang w:val="fr-FR"/>
        </w:rPr>
        <w:t xml:space="preserve">une partie des messages essentiels </w:t>
      </w:r>
      <w:r w:rsidR="00E66D42">
        <w:rPr>
          <w:iCs/>
          <w:lang w:val="fr-FR"/>
        </w:rPr>
        <w:t xml:space="preserve">et des mesures </w:t>
      </w:r>
      <w:r w:rsidR="00491C2D" w:rsidRPr="00E66D42">
        <w:rPr>
          <w:iCs/>
          <w:lang w:val="fr-FR"/>
        </w:rPr>
        <w:t>étaient redondants.</w:t>
      </w:r>
    </w:p>
    <w:p w14:paraId="15B58B04" w14:textId="23E7911A" w:rsidR="00E609CC" w:rsidRPr="00124D03" w:rsidRDefault="00491C2D" w:rsidP="00EB2D8F">
      <w:pPr>
        <w:pStyle w:val="CBDNormalNumber"/>
        <w:numPr>
          <w:ilvl w:val="0"/>
          <w:numId w:val="11"/>
        </w:numPr>
        <w:rPr>
          <w:iCs/>
          <w:lang w:val="fr-FR"/>
        </w:rPr>
      </w:pPr>
      <w:r>
        <w:rPr>
          <w:iCs/>
          <w:lang w:val="fr-FR"/>
        </w:rPr>
        <w:t>Dans la continuité</w:t>
      </w:r>
      <w:r w:rsidR="004C22DC">
        <w:rPr>
          <w:iCs/>
          <w:lang w:val="fr-FR"/>
        </w:rPr>
        <w:t xml:space="preserve"> des contributions de ces comités, l’annexe I contient </w:t>
      </w:r>
      <w:r>
        <w:rPr>
          <w:iCs/>
          <w:lang w:val="fr-FR"/>
        </w:rPr>
        <w:t xml:space="preserve">des conclusions et </w:t>
      </w:r>
      <w:r w:rsidR="00E66D42">
        <w:rPr>
          <w:iCs/>
          <w:lang w:val="fr-FR"/>
        </w:rPr>
        <w:t xml:space="preserve">des </w:t>
      </w:r>
      <w:r>
        <w:rPr>
          <w:iCs/>
          <w:lang w:val="fr-FR"/>
        </w:rPr>
        <w:t>messages essentiels</w:t>
      </w:r>
      <w:r w:rsidR="004C22DC">
        <w:rPr>
          <w:iCs/>
          <w:lang w:val="fr-FR"/>
        </w:rPr>
        <w:t xml:space="preserve">, tandis que l’annexe II </w:t>
      </w:r>
      <w:r w:rsidR="00C105BB">
        <w:rPr>
          <w:iCs/>
          <w:lang w:val="fr-FR"/>
        </w:rPr>
        <w:t>contient</w:t>
      </w:r>
      <w:r w:rsidR="004C22DC">
        <w:rPr>
          <w:iCs/>
          <w:lang w:val="fr-FR"/>
        </w:rPr>
        <w:t xml:space="preserve"> une liste de mesures indicatives pouvant être prises au niveau national pour améliorer la mise en œuvre du Protocole de Nagoya, selon qu’il conviendra, et faire face aux difficultés recensées, sur la base de l’expérience acquise et des leçons tirées.</w:t>
      </w:r>
    </w:p>
    <w:bookmarkEnd w:id="1"/>
    <w:p w14:paraId="135461BD" w14:textId="6183170A" w:rsidR="008219B5" w:rsidRPr="00124D03" w:rsidRDefault="004C22DC" w:rsidP="008219B5">
      <w:pPr>
        <w:pStyle w:val="CBDNormalNumber"/>
        <w:numPr>
          <w:ilvl w:val="0"/>
          <w:numId w:val="11"/>
        </w:numPr>
        <w:rPr>
          <w:lang w:val="fr-FR"/>
        </w:rPr>
      </w:pPr>
      <w:r>
        <w:rPr>
          <w:lang w:val="fr-FR"/>
        </w:rPr>
        <w:t xml:space="preserve">Les contributions des comités sur les mesures pouvant être prises au niveau mondial, régional et sous-régional pour améliorer la mise en œuvre du Protocole ont servi de </w:t>
      </w:r>
      <w:r w:rsidR="00E66D42">
        <w:rPr>
          <w:lang w:val="fr-FR"/>
        </w:rPr>
        <w:t>base</w:t>
      </w:r>
      <w:r>
        <w:rPr>
          <w:lang w:val="fr-FR"/>
        </w:rPr>
        <w:t xml:space="preserve"> aux projets de recommandations figurant à la section suivante. L’annexe</w:t>
      </w:r>
      <w:r w:rsidR="00132CD2">
        <w:rPr>
          <w:lang w:val="fr-FR"/>
        </w:rPr>
        <w:t> </w:t>
      </w:r>
      <w:r>
        <w:rPr>
          <w:lang w:val="fr-FR"/>
        </w:rPr>
        <w:t>III contient des informations relatives aux ressources extrabudgétaires nécessaires pour mettre en œuvre les demandes adressées à la Secrétaire exécutive dans le projet de décision.</w:t>
      </w:r>
    </w:p>
    <w:p w14:paraId="52BF6B5B" w14:textId="2537ABD5" w:rsidR="0020478B" w:rsidRPr="00124D03" w:rsidRDefault="003E3383" w:rsidP="009477BD">
      <w:pPr>
        <w:pStyle w:val="CBDH1"/>
        <w:rPr>
          <w:lang w:val="fr-FR"/>
        </w:rPr>
      </w:pPr>
      <w:r w:rsidRPr="00124D03">
        <w:rPr>
          <w:lang w:val="fr-FR"/>
        </w:rPr>
        <w:t>I</w:t>
      </w:r>
      <w:r w:rsidR="00065803" w:rsidRPr="00124D03">
        <w:rPr>
          <w:lang w:val="fr-FR"/>
        </w:rPr>
        <w:t>II.</w:t>
      </w:r>
      <w:r w:rsidR="00065803" w:rsidRPr="00124D03">
        <w:rPr>
          <w:lang w:val="fr-FR"/>
        </w:rPr>
        <w:tab/>
      </w:r>
      <w:r w:rsidR="00241A37" w:rsidRPr="00124D03">
        <w:rPr>
          <w:lang w:val="fr-FR"/>
        </w:rPr>
        <w:t>Recomm</w:t>
      </w:r>
      <w:r w:rsidR="004C22DC">
        <w:rPr>
          <w:lang w:val="fr-FR"/>
        </w:rPr>
        <w:t>a</w:t>
      </w:r>
      <w:r w:rsidR="00241A37" w:rsidRPr="00124D03">
        <w:rPr>
          <w:lang w:val="fr-FR"/>
        </w:rPr>
        <w:t>ndations</w:t>
      </w:r>
    </w:p>
    <w:p w14:paraId="1233A8E9" w14:textId="252990A6" w:rsidR="000C5A9A" w:rsidRPr="00124D03" w:rsidRDefault="00B842C3">
      <w:pPr>
        <w:pStyle w:val="CBDNormalNumber"/>
        <w:numPr>
          <w:ilvl w:val="0"/>
          <w:numId w:val="18"/>
        </w:numPr>
        <w:rPr>
          <w:lang w:val="fr-FR"/>
        </w:rPr>
      </w:pPr>
      <w:r>
        <w:rPr>
          <w:lang w:val="fr-FR"/>
        </w:rPr>
        <w:t xml:space="preserve">Les projets de recommandations ci-dessous </w:t>
      </w:r>
      <w:r w:rsidR="00315AEA">
        <w:rPr>
          <w:lang w:val="fr-FR"/>
        </w:rPr>
        <w:t>s’inspirent du</w:t>
      </w:r>
      <w:r>
        <w:rPr>
          <w:lang w:val="fr-FR"/>
        </w:rPr>
        <w:t xml:space="preserve"> deuxième exercice d’évaluation et d’examen et </w:t>
      </w:r>
      <w:r w:rsidR="00315AEA">
        <w:rPr>
          <w:lang w:val="fr-FR"/>
        </w:rPr>
        <w:t>d</w:t>
      </w:r>
      <w:r>
        <w:rPr>
          <w:lang w:val="fr-FR"/>
        </w:rPr>
        <w:t>es conclusions</w:t>
      </w:r>
      <w:r w:rsidR="00315AEA">
        <w:rPr>
          <w:lang w:val="fr-FR"/>
        </w:rPr>
        <w:t xml:space="preserve"> qu’en ont</w:t>
      </w:r>
      <w:r>
        <w:rPr>
          <w:lang w:val="fr-FR"/>
        </w:rPr>
        <w:t xml:space="preserve"> tirées le Comité chargé du respect des obligations et le Comité consultatif informel. Ils portent sur des mesures stratégiques visant à améliorer l’appui à la mise en œuvre du Protocole, y compris par le biais de la création et du renforcement des capacités, de mécanismes financiers et </w:t>
      </w:r>
      <w:r w:rsidR="00315AEA">
        <w:rPr>
          <w:lang w:val="fr-FR"/>
        </w:rPr>
        <w:t>du</w:t>
      </w:r>
      <w:r>
        <w:rPr>
          <w:lang w:val="fr-FR"/>
        </w:rPr>
        <w:t xml:space="preserve"> renforcement des outils de partage des informations, </w:t>
      </w:r>
      <w:r w:rsidR="00315AEA">
        <w:rPr>
          <w:lang w:val="fr-FR"/>
        </w:rPr>
        <w:t>comme</w:t>
      </w:r>
      <w:r>
        <w:rPr>
          <w:lang w:val="fr-FR"/>
        </w:rPr>
        <w:t xml:space="preserve"> le Centre d’échange sur</w:t>
      </w:r>
      <w:r w:rsidRPr="00124D03">
        <w:rPr>
          <w:lang w:val="fr-FR"/>
        </w:rPr>
        <w:t xml:space="preserve"> l’accès et le partage des avantage</w:t>
      </w:r>
      <w:r>
        <w:rPr>
          <w:lang w:val="fr-FR"/>
        </w:rPr>
        <w:t xml:space="preserve">s. </w:t>
      </w:r>
      <w:r w:rsidR="00863F67">
        <w:rPr>
          <w:lang w:val="fr-FR"/>
        </w:rPr>
        <w:t xml:space="preserve">Les recommandations devraient en principe être examinées au titre </w:t>
      </w:r>
      <w:r w:rsidR="00315AEA">
        <w:rPr>
          <w:lang w:val="fr-FR"/>
        </w:rPr>
        <w:t>des</w:t>
      </w:r>
      <w:r w:rsidR="00863F67">
        <w:rPr>
          <w:lang w:val="fr-FR"/>
        </w:rPr>
        <w:t xml:space="preserve"> point</w:t>
      </w:r>
      <w:r w:rsidR="00315AEA">
        <w:rPr>
          <w:lang w:val="fr-FR"/>
        </w:rPr>
        <w:t>s</w:t>
      </w:r>
      <w:r w:rsidR="00863F67">
        <w:rPr>
          <w:lang w:val="fr-FR"/>
        </w:rPr>
        <w:t xml:space="preserve"> de l’ordre du jour de la Conférence des Parties siégeant en tant que réunion des Parties au Protocole de Nagoya</w:t>
      </w:r>
      <w:r w:rsidR="007B3888" w:rsidRPr="00124D03">
        <w:rPr>
          <w:rStyle w:val="FootnoteReference"/>
          <w:rFonts w:eastAsia="Times New Roman"/>
          <w:color w:val="000000" w:themeColor="text1"/>
          <w:kern w:val="22"/>
          <w:sz w:val="24"/>
          <w:lang w:val="fr-FR"/>
        </w:rPr>
        <w:footnoteReference w:id="12"/>
      </w:r>
      <w:r w:rsidR="007B3888" w:rsidRPr="00124D03">
        <w:rPr>
          <w:rStyle w:val="FootnoteReference"/>
          <w:rFonts w:eastAsia="Times New Roman"/>
          <w:color w:val="000000" w:themeColor="text1"/>
          <w:kern w:val="22"/>
          <w:sz w:val="24"/>
          <w:vertAlign w:val="baseline"/>
          <w:lang w:val="fr-FR"/>
        </w:rPr>
        <w:t xml:space="preserve"> </w:t>
      </w:r>
      <w:r w:rsidR="00315AEA">
        <w:rPr>
          <w:rFonts w:eastAsia="Times New Roman"/>
          <w:color w:val="000000" w:themeColor="text1"/>
          <w:kern w:val="22"/>
          <w:szCs w:val="20"/>
          <w:lang w:val="fr-FR"/>
        </w:rPr>
        <w:t>les plus pertinents</w:t>
      </w:r>
      <w:r w:rsidR="00863F67">
        <w:rPr>
          <w:rFonts w:eastAsia="Times New Roman"/>
          <w:color w:val="000000" w:themeColor="text1"/>
          <w:kern w:val="22"/>
          <w:szCs w:val="20"/>
          <w:lang w:val="fr-FR"/>
        </w:rPr>
        <w:t xml:space="preserve">, </w:t>
      </w:r>
      <w:r w:rsidR="008F6163" w:rsidRPr="00315AEA">
        <w:rPr>
          <w:rFonts w:eastAsia="Times New Roman"/>
          <w:color w:val="000000" w:themeColor="text1"/>
          <w:kern w:val="22"/>
          <w:szCs w:val="20"/>
          <w:lang w:val="fr-FR"/>
        </w:rPr>
        <w:t xml:space="preserve">comme </w:t>
      </w:r>
      <w:r w:rsidR="00315AEA">
        <w:rPr>
          <w:rFonts w:eastAsia="Times New Roman"/>
          <w:color w:val="000000" w:themeColor="text1"/>
          <w:kern w:val="22"/>
          <w:szCs w:val="20"/>
          <w:lang w:val="fr-FR"/>
        </w:rPr>
        <w:t>l’indiquent</w:t>
      </w:r>
      <w:r w:rsidR="00863F67">
        <w:rPr>
          <w:rFonts w:eastAsia="Times New Roman"/>
          <w:color w:val="000000" w:themeColor="text1"/>
          <w:kern w:val="22"/>
          <w:szCs w:val="20"/>
          <w:lang w:val="fr-FR"/>
        </w:rPr>
        <w:t xml:space="preserve"> les titres des sections ci-dessous.</w:t>
      </w:r>
    </w:p>
    <w:p w14:paraId="4709D807" w14:textId="0684A204" w:rsidR="005672EE" w:rsidRPr="00124D03" w:rsidRDefault="00635429" w:rsidP="006B144A">
      <w:pPr>
        <w:pStyle w:val="CBDH2"/>
        <w:rPr>
          <w:lang w:val="fr-FR"/>
        </w:rPr>
      </w:pPr>
      <w:r w:rsidRPr="00124D03">
        <w:rPr>
          <w:lang w:val="fr-FR"/>
        </w:rPr>
        <w:t>A.</w:t>
      </w:r>
      <w:r w:rsidRPr="00124D03">
        <w:rPr>
          <w:lang w:val="fr-FR"/>
        </w:rPr>
        <w:tab/>
      </w:r>
      <w:r w:rsidR="00863F67">
        <w:rPr>
          <w:lang w:val="fr-FR"/>
        </w:rPr>
        <w:t>Évaluation et examen de l’efficacité du Protocole de Nagoya</w:t>
      </w:r>
      <w:r w:rsidR="00666A73" w:rsidRPr="00124D03">
        <w:rPr>
          <w:rStyle w:val="FootnoteReference"/>
          <w:rFonts w:eastAsia="Times New Roman"/>
          <w:color w:val="000000" w:themeColor="text1"/>
          <w:kern w:val="22"/>
          <w:lang w:val="fr-FR"/>
        </w:rPr>
        <w:footnoteReference w:id="13"/>
      </w:r>
    </w:p>
    <w:p w14:paraId="10954FF6" w14:textId="210C51EB" w:rsidR="00015841" w:rsidRPr="00124D03" w:rsidRDefault="00670E42">
      <w:pPr>
        <w:pStyle w:val="CBDNormalNumber"/>
        <w:numPr>
          <w:ilvl w:val="0"/>
          <w:numId w:val="18"/>
        </w:numPr>
        <w:rPr>
          <w:lang w:val="fr-FR"/>
        </w:rPr>
      </w:pPr>
      <w:r>
        <w:rPr>
          <w:lang w:val="fr-FR"/>
        </w:rPr>
        <w:t>L’Organe subsidiaire souhaitera peut-être adopter une recommandation sur le modèle suivant :</w:t>
      </w:r>
      <w:r w:rsidR="00015841" w:rsidRPr="00124D03">
        <w:rPr>
          <w:lang w:val="fr-FR"/>
        </w:rPr>
        <w:t xml:space="preserve"> </w:t>
      </w:r>
    </w:p>
    <w:p w14:paraId="16074888" w14:textId="2D305278" w:rsidR="00015841" w:rsidRPr="00124D03" w:rsidRDefault="00015841" w:rsidP="006B144A">
      <w:pPr>
        <w:pStyle w:val="CBDNormalNoNumber"/>
        <w:rPr>
          <w:i/>
          <w:iCs/>
          <w:lang w:val="fr-FR"/>
        </w:rPr>
      </w:pPr>
      <w:r w:rsidRPr="00124D03">
        <w:rPr>
          <w:lang w:val="fr-FR"/>
        </w:rPr>
        <w:lastRenderedPageBreak/>
        <w:tab/>
      </w:r>
      <w:r w:rsidR="00A704B3">
        <w:rPr>
          <w:i/>
          <w:iCs/>
          <w:lang w:val="fr-FR"/>
        </w:rPr>
        <w:t>L’Organe subsidiaire chargé de l’application</w:t>
      </w:r>
    </w:p>
    <w:p w14:paraId="0FE20B46" w14:textId="6DB57FD9" w:rsidR="0004737D" w:rsidRPr="00124D03" w:rsidRDefault="00D231D8" w:rsidP="006B144A">
      <w:pPr>
        <w:pStyle w:val="CBDNormalNoNumber"/>
        <w:rPr>
          <w:lang w:val="fr-FR"/>
        </w:rPr>
      </w:pPr>
      <w:r w:rsidRPr="00124D03">
        <w:rPr>
          <w:lang w:val="fr-FR"/>
        </w:rPr>
        <w:tab/>
      </w:r>
      <w:r w:rsidR="00504F0E">
        <w:rPr>
          <w:i/>
          <w:iCs/>
          <w:lang w:val="fr-FR"/>
        </w:rPr>
        <w:t>Recommande</w:t>
      </w:r>
      <w:r w:rsidR="0004737D" w:rsidRPr="00124D03">
        <w:rPr>
          <w:lang w:val="fr-FR"/>
        </w:rPr>
        <w:t xml:space="preserve"> </w:t>
      </w:r>
      <w:r w:rsidR="00504F0E">
        <w:rPr>
          <w:lang w:val="fr-FR"/>
        </w:rPr>
        <w:t>que</w:t>
      </w:r>
      <w:r w:rsidR="00015841" w:rsidRPr="00124D03">
        <w:rPr>
          <w:lang w:val="fr-FR"/>
        </w:rPr>
        <w:t>,</w:t>
      </w:r>
      <w:r w:rsidR="00504F0E">
        <w:rPr>
          <w:lang w:val="fr-FR"/>
        </w:rPr>
        <w:t xml:space="preserve"> à sa sixième réunion, la Conférence des Parties siégeant en tant que réunion des Parties au Protocole de Nagoya </w:t>
      </w:r>
      <w:r w:rsidR="00504F0E" w:rsidRPr="00124D03">
        <w:rPr>
          <w:lang w:val="fr-FR"/>
        </w:rPr>
        <w:t>sur l’accès aux ressources génétiques et le partage juste et équitable des avantages découlant de leur utilisatio</w:t>
      </w:r>
      <w:r w:rsidR="00504F0E">
        <w:rPr>
          <w:lang w:val="fr-FR"/>
        </w:rPr>
        <w:t>n</w:t>
      </w:r>
      <w:r w:rsidR="00102565" w:rsidRPr="00124D03">
        <w:rPr>
          <w:rStyle w:val="FootnoteReference"/>
          <w:lang w:val="fr-FR"/>
        </w:rPr>
        <w:footnoteReference w:id="14"/>
      </w:r>
      <w:r w:rsidR="0004737D" w:rsidRPr="00124D03">
        <w:rPr>
          <w:lang w:val="fr-FR"/>
        </w:rPr>
        <w:t xml:space="preserve"> </w:t>
      </w:r>
      <w:r w:rsidR="00504F0E">
        <w:rPr>
          <w:lang w:val="fr-FR"/>
        </w:rPr>
        <w:t>adopte une décision sur le modèle suivant :</w:t>
      </w:r>
    </w:p>
    <w:p w14:paraId="7100E710" w14:textId="6D72207C" w:rsidR="000B76C1" w:rsidRPr="00504F0E" w:rsidRDefault="00504F0E" w:rsidP="006B144A">
      <w:pPr>
        <w:pStyle w:val="Para2"/>
        <w:ind w:left="1134" w:firstLine="567"/>
        <w:rPr>
          <w:i/>
          <w:iCs/>
          <w:lang w:val="fr-FR"/>
        </w:rPr>
      </w:pPr>
      <w:r w:rsidRPr="00504F0E">
        <w:rPr>
          <w:i/>
          <w:iCs/>
          <w:lang w:val="fr-FR"/>
        </w:rPr>
        <w:t>La Conférence des Parties siégeant en tant que réunion des Parties au Protocole de Nagoya</w:t>
      </w:r>
    </w:p>
    <w:p w14:paraId="6A8640AE" w14:textId="469EF6D0" w:rsidR="001A3B16" w:rsidRPr="00124D03" w:rsidRDefault="00AE4324" w:rsidP="006B144A">
      <w:pPr>
        <w:pStyle w:val="CBDNormalNoNumber"/>
        <w:tabs>
          <w:tab w:val="clear" w:pos="567"/>
        </w:tabs>
        <w:ind w:left="1134" w:firstLine="567"/>
        <w:rPr>
          <w:lang w:val="fr-FR"/>
        </w:rPr>
      </w:pPr>
      <w:r w:rsidRPr="00124D03">
        <w:rPr>
          <w:lang w:val="fr-FR"/>
        </w:rPr>
        <w:t>1.</w:t>
      </w:r>
      <w:r w:rsidRPr="00124D03">
        <w:rPr>
          <w:lang w:val="fr-FR"/>
        </w:rPr>
        <w:tab/>
      </w:r>
      <w:r w:rsidR="00504F0E">
        <w:rPr>
          <w:i/>
          <w:lang w:val="fr-FR"/>
        </w:rPr>
        <w:t>Se félicite</w:t>
      </w:r>
      <w:r w:rsidR="001A3B16" w:rsidRPr="00124D03">
        <w:rPr>
          <w:lang w:val="fr-FR"/>
        </w:rPr>
        <w:t xml:space="preserve"> </w:t>
      </w:r>
      <w:r w:rsidR="00504F0E">
        <w:rPr>
          <w:lang w:val="fr-FR"/>
        </w:rPr>
        <w:t xml:space="preserve">des contributions au deuxième exercice d’évaluation et d’examen de l’efficacité du Protocole de Nagoya </w:t>
      </w:r>
      <w:r w:rsidR="00504F0E" w:rsidRPr="00124D03">
        <w:rPr>
          <w:lang w:val="fr-FR"/>
        </w:rPr>
        <w:t>sur l’accès aux ressources génétiques et le partage juste et équitable des avantages découlant de leur utilisatio</w:t>
      </w:r>
      <w:r w:rsidR="00504F0E">
        <w:rPr>
          <w:lang w:val="fr-FR"/>
        </w:rPr>
        <w:t>n</w:t>
      </w:r>
      <w:r w:rsidR="00504F0E" w:rsidRPr="00124D03">
        <w:rPr>
          <w:lang w:val="fr-FR"/>
        </w:rPr>
        <w:t xml:space="preserve"> </w:t>
      </w:r>
      <w:r w:rsidR="00504F0E">
        <w:rPr>
          <w:lang w:val="fr-FR"/>
        </w:rPr>
        <w:t xml:space="preserve">formulées par le Comité chargé du respect des obligations au titre du Protocole de Nagoya et le Comité consultatif informel sur la création et le renforcement des capacités pour la mise en œuvre du Protocole de Nagoya sous la forme de </w:t>
      </w:r>
      <w:r w:rsidR="00E66D42" w:rsidRPr="0065686B">
        <w:rPr>
          <w:lang w:val="fr-FR"/>
        </w:rPr>
        <w:t>conclusions et de messages essentiels</w:t>
      </w:r>
      <w:r w:rsidR="00504F0E">
        <w:rPr>
          <w:lang w:val="fr-FR"/>
        </w:rPr>
        <w:t>, ainsi que de mesures indicatives pouvant être prises à l’échelle nationale, régionale et mondiale pour améliorer la mise en œuvre du Protocole</w:t>
      </w:r>
      <w:r w:rsidR="0021393F" w:rsidRPr="00124D03">
        <w:rPr>
          <w:vertAlign w:val="superscript"/>
          <w:lang w:val="fr-FR"/>
        </w:rPr>
        <w:footnoteReference w:id="15"/>
      </w:r>
      <w:r w:rsidR="00504F0E">
        <w:rPr>
          <w:lang w:val="fr-FR"/>
        </w:rPr>
        <w:t> ;</w:t>
      </w:r>
    </w:p>
    <w:p w14:paraId="69ACF8FA" w14:textId="33B76BDE" w:rsidR="00BE4820"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2.</w:t>
      </w:r>
      <w:r w:rsidRPr="00124D03">
        <w:rPr>
          <w:rFonts w:eastAsia="Times New Roman"/>
          <w:szCs w:val="24"/>
          <w:lang w:val="fr-FR"/>
        </w:rPr>
        <w:tab/>
      </w:r>
      <w:r w:rsidR="007C06E8">
        <w:rPr>
          <w:i/>
          <w:iCs/>
          <w:lang w:val="fr-FR"/>
        </w:rPr>
        <w:t xml:space="preserve">Se félicite également </w:t>
      </w:r>
      <w:r w:rsidR="007C06E8">
        <w:rPr>
          <w:lang w:val="fr-FR"/>
        </w:rPr>
        <w:t xml:space="preserve">de l’étude préliminaire sur </w:t>
      </w:r>
      <w:r w:rsidR="007C06E8" w:rsidRPr="00124D03">
        <w:rPr>
          <w:lang w:val="fr-FR"/>
        </w:rPr>
        <w:t>les possibles raisons et les causes sous-jacentes des difficultés rencontrées dans la mise en œuvre efficace et le respect des obligations, ainsi que sur les éventuels moyens d’améliorer la mise en œuvre</w:t>
      </w:r>
      <w:r w:rsidR="00BE4820" w:rsidRPr="00124D03">
        <w:rPr>
          <w:vertAlign w:val="superscript"/>
          <w:lang w:val="fr-FR"/>
        </w:rPr>
        <w:footnoteReference w:id="16"/>
      </w:r>
      <w:r w:rsidR="007C06E8">
        <w:rPr>
          <w:lang w:val="fr-FR"/>
        </w:rPr>
        <w:t> ;</w:t>
      </w:r>
    </w:p>
    <w:p w14:paraId="68849824" w14:textId="57419FF9" w:rsidR="00886444" w:rsidRPr="00124D03" w:rsidRDefault="00AE4324" w:rsidP="006B144A">
      <w:pPr>
        <w:pStyle w:val="CBDNormalNoNumber"/>
        <w:tabs>
          <w:tab w:val="clear" w:pos="567"/>
        </w:tabs>
        <w:ind w:left="1134" w:firstLine="567"/>
        <w:rPr>
          <w:lang w:val="fr-FR"/>
        </w:rPr>
      </w:pPr>
      <w:r w:rsidRPr="00124D03">
        <w:rPr>
          <w:rFonts w:eastAsia="Times New Roman"/>
          <w:lang w:val="fr-FR"/>
        </w:rPr>
        <w:t>3.</w:t>
      </w:r>
      <w:r w:rsidRPr="00124D03">
        <w:rPr>
          <w:rFonts w:eastAsia="Times New Roman"/>
          <w:lang w:val="fr-FR"/>
        </w:rPr>
        <w:tab/>
      </w:r>
      <w:r w:rsidR="007C06E8">
        <w:rPr>
          <w:i/>
          <w:iCs/>
          <w:lang w:val="fr-FR"/>
        </w:rPr>
        <w:t xml:space="preserve">Se félicite en outre </w:t>
      </w:r>
      <w:r w:rsidR="007C06E8">
        <w:rPr>
          <w:lang w:val="fr-FR"/>
        </w:rPr>
        <w:t>de</w:t>
      </w:r>
      <w:r w:rsidR="00315AEA">
        <w:rPr>
          <w:lang w:val="fr-FR"/>
        </w:rPr>
        <w:t xml:space="preserve">s </w:t>
      </w:r>
      <w:r w:rsidR="00315AEA" w:rsidRPr="00E34B03">
        <w:rPr>
          <w:lang w:val="fr-FR"/>
        </w:rPr>
        <w:t>données révisées relatives aux indicateurs</w:t>
      </w:r>
      <w:r w:rsidR="00315AEA">
        <w:rPr>
          <w:lang w:val="fr-FR"/>
        </w:rPr>
        <w:t>,</w:t>
      </w:r>
      <w:r w:rsidR="00315AEA" w:rsidRPr="00315AEA">
        <w:rPr>
          <w:lang w:val="fr-FR"/>
        </w:rPr>
        <w:t xml:space="preserve"> </w:t>
      </w:r>
      <w:r w:rsidR="007C06E8" w:rsidRPr="00315AEA">
        <w:rPr>
          <w:lang w:val="fr-FR"/>
        </w:rPr>
        <w:t xml:space="preserve">produites en réponse au cadre </w:t>
      </w:r>
      <w:r w:rsidR="00315AEA" w:rsidRPr="00315AEA">
        <w:rPr>
          <w:lang w:val="fr-FR"/>
        </w:rPr>
        <w:t>d’</w:t>
      </w:r>
      <w:r w:rsidR="007C06E8" w:rsidRPr="00315AEA">
        <w:rPr>
          <w:lang w:val="fr-FR"/>
        </w:rPr>
        <w:t>indicateurs</w:t>
      </w:r>
      <w:r w:rsidR="007C06E8">
        <w:rPr>
          <w:lang w:val="fr-FR"/>
        </w:rPr>
        <w:t xml:space="preserve"> figurant à l’annexe II de la décision</w:t>
      </w:r>
      <w:r w:rsidR="002C5F8D" w:rsidRPr="00124D03">
        <w:rPr>
          <w:lang w:val="fr-FR"/>
        </w:rPr>
        <w:t> </w:t>
      </w:r>
      <w:hyperlink r:id="rId24" w:history="1">
        <w:r w:rsidR="00521E7B" w:rsidRPr="00124D03">
          <w:rPr>
            <w:rStyle w:val="Hyperlink"/>
            <w:lang w:val="fr-FR"/>
          </w:rPr>
          <w:t>NP-3/1 </w:t>
        </w:r>
        <w:r w:rsidR="004317EB" w:rsidRPr="00124D03">
          <w:rPr>
            <w:rStyle w:val="Hyperlink"/>
            <w:lang w:val="fr-FR"/>
          </w:rPr>
          <w:t>A</w:t>
        </w:r>
      </w:hyperlink>
      <w:r w:rsidR="00646552" w:rsidRPr="00124D03">
        <w:rPr>
          <w:lang w:val="fr-FR"/>
        </w:rPr>
        <w:t xml:space="preserve"> </w:t>
      </w:r>
      <w:r w:rsidR="007C06E8">
        <w:rPr>
          <w:lang w:val="fr-FR"/>
        </w:rPr>
        <w:t>du</w:t>
      </w:r>
      <w:r w:rsidR="00646552" w:rsidRPr="00124D03">
        <w:rPr>
          <w:lang w:val="fr-FR"/>
        </w:rPr>
        <w:t xml:space="preserve"> 25</w:t>
      </w:r>
      <w:r w:rsidR="005E0E9C" w:rsidRPr="00124D03">
        <w:rPr>
          <w:lang w:val="fr-FR"/>
        </w:rPr>
        <w:t> </w:t>
      </w:r>
      <w:r w:rsidR="007C06E8">
        <w:rPr>
          <w:lang w:val="fr-FR"/>
        </w:rPr>
        <w:t>novembre</w:t>
      </w:r>
      <w:r w:rsidR="00132CD2">
        <w:rPr>
          <w:lang w:val="fr-FR"/>
        </w:rPr>
        <w:t> </w:t>
      </w:r>
      <w:r w:rsidR="00646552" w:rsidRPr="00124D03">
        <w:rPr>
          <w:lang w:val="fr-FR"/>
        </w:rPr>
        <w:t>2018</w:t>
      </w:r>
      <w:r w:rsidR="00AC3C85" w:rsidRPr="00124D03">
        <w:rPr>
          <w:rStyle w:val="FootnoteReference"/>
          <w:lang w:val="fr-FR"/>
        </w:rPr>
        <w:footnoteReference w:id="17"/>
      </w:r>
      <w:r w:rsidR="007C06E8">
        <w:rPr>
          <w:lang w:val="fr-FR"/>
        </w:rPr>
        <w:t> ;</w:t>
      </w:r>
    </w:p>
    <w:p w14:paraId="5314AFEB" w14:textId="65781CD2" w:rsidR="00723DF4" w:rsidRPr="00124D03" w:rsidRDefault="00AE4324" w:rsidP="006B144A">
      <w:pPr>
        <w:pStyle w:val="CBDNormalNoNumber"/>
        <w:tabs>
          <w:tab w:val="clear" w:pos="567"/>
        </w:tabs>
        <w:ind w:left="1134" w:firstLine="567"/>
        <w:rPr>
          <w:rFonts w:eastAsia="Times New Roman"/>
          <w:szCs w:val="24"/>
          <w:lang w:val="fr-FR"/>
        </w:rPr>
      </w:pPr>
      <w:r w:rsidRPr="00124D03">
        <w:rPr>
          <w:rFonts w:eastAsia="Times New Roman"/>
          <w:szCs w:val="24"/>
          <w:lang w:val="fr-FR"/>
        </w:rPr>
        <w:t>4.</w:t>
      </w:r>
      <w:r w:rsidRPr="00124D03">
        <w:rPr>
          <w:rFonts w:eastAsia="Times New Roman"/>
          <w:szCs w:val="24"/>
          <w:lang w:val="fr-FR"/>
        </w:rPr>
        <w:tab/>
      </w:r>
      <w:r w:rsidR="007C06E8">
        <w:rPr>
          <w:i/>
          <w:lang w:val="fr-FR"/>
        </w:rPr>
        <w:t>Prend note</w:t>
      </w:r>
      <w:r w:rsidR="002571EE" w:rsidRPr="00124D03">
        <w:rPr>
          <w:lang w:val="fr-FR"/>
        </w:rPr>
        <w:t xml:space="preserve"> </w:t>
      </w:r>
      <w:r w:rsidR="007C06E8">
        <w:rPr>
          <w:lang w:val="fr-FR"/>
        </w:rPr>
        <w:t xml:space="preserve">des résultats du deuxième exercice d’évaluation et d’examen </w:t>
      </w:r>
      <w:r w:rsidR="00A96707">
        <w:rPr>
          <w:lang w:val="fr-FR"/>
        </w:rPr>
        <w:t>prenant la forme</w:t>
      </w:r>
      <w:r w:rsidR="007C06E8">
        <w:rPr>
          <w:lang w:val="fr-FR"/>
        </w:rPr>
        <w:t xml:space="preserve"> de </w:t>
      </w:r>
      <w:r w:rsidR="00E66D42" w:rsidRPr="0065686B">
        <w:rPr>
          <w:lang w:val="fr-FR"/>
        </w:rPr>
        <w:t>conclusions et de messages essentiels</w:t>
      </w:r>
      <w:r w:rsidR="00E66D42">
        <w:rPr>
          <w:lang w:val="fr-FR"/>
        </w:rPr>
        <w:t> </w:t>
      </w:r>
      <w:r w:rsidR="007C06E8">
        <w:rPr>
          <w:lang w:val="fr-FR"/>
        </w:rPr>
        <w:t xml:space="preserve">ainsi que de mesures indicatives </w:t>
      </w:r>
      <w:r w:rsidR="000C3EFE">
        <w:rPr>
          <w:lang w:val="fr-FR"/>
        </w:rPr>
        <w:t>qui pourraient être prises à l’échelle nationale pour améliorer la mise en œuvre du Protocole de Nagoya</w:t>
      </w:r>
      <w:r w:rsidR="009562FA" w:rsidRPr="00124D03">
        <w:rPr>
          <w:rStyle w:val="FootnoteReference"/>
          <w:rFonts w:eastAsia="Times New Roman"/>
          <w:iCs/>
          <w:szCs w:val="24"/>
          <w:lang w:val="fr-FR"/>
        </w:rPr>
        <w:footnoteReference w:id="18"/>
      </w:r>
      <w:r w:rsidR="000C3EFE">
        <w:rPr>
          <w:lang w:val="fr-FR"/>
        </w:rPr>
        <w:t>, et de décisions connexes de la Conférence des Parties siégeant en tant que réunion des Parties au Protocole</w:t>
      </w:r>
      <w:r w:rsidR="00671C4A" w:rsidRPr="00124D03">
        <w:rPr>
          <w:rStyle w:val="FootnoteReference"/>
          <w:rFonts w:eastAsia="Times New Roman"/>
          <w:szCs w:val="24"/>
          <w:lang w:val="fr-FR"/>
        </w:rPr>
        <w:footnoteReference w:id="19"/>
      </w:r>
      <w:r w:rsidR="000C3EFE">
        <w:rPr>
          <w:lang w:val="fr-FR"/>
        </w:rPr>
        <w:t> ;</w:t>
      </w:r>
      <w:r w:rsidR="008F587E" w:rsidRPr="00124D03">
        <w:rPr>
          <w:rFonts w:eastAsia="Times New Roman"/>
          <w:szCs w:val="24"/>
          <w:lang w:val="fr-FR"/>
        </w:rPr>
        <w:t xml:space="preserve"> </w:t>
      </w:r>
    </w:p>
    <w:p w14:paraId="5EA8DE7E" w14:textId="1851CDBC" w:rsidR="00071922"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5.</w:t>
      </w:r>
      <w:r w:rsidRPr="00124D03">
        <w:rPr>
          <w:rFonts w:eastAsia="Times New Roman"/>
          <w:szCs w:val="24"/>
          <w:lang w:val="fr-FR"/>
        </w:rPr>
        <w:tab/>
      </w:r>
      <w:r w:rsidR="00886444" w:rsidRPr="00124D03">
        <w:rPr>
          <w:i/>
          <w:lang w:val="fr-FR"/>
        </w:rPr>
        <w:t>Invite</w:t>
      </w:r>
      <w:r w:rsidR="00886444" w:rsidRPr="00124D03">
        <w:rPr>
          <w:rFonts w:eastAsia="Times New Roman"/>
          <w:iCs/>
          <w:szCs w:val="24"/>
          <w:lang w:val="fr-FR"/>
        </w:rPr>
        <w:t xml:space="preserve"> </w:t>
      </w:r>
      <w:r w:rsidR="0043434B">
        <w:rPr>
          <w:rFonts w:eastAsia="Times New Roman"/>
          <w:iCs/>
          <w:szCs w:val="24"/>
          <w:lang w:val="fr-FR"/>
        </w:rPr>
        <w:t xml:space="preserve">les </w:t>
      </w:r>
      <w:r w:rsidR="00886444" w:rsidRPr="00124D03">
        <w:rPr>
          <w:lang w:val="fr-FR"/>
        </w:rPr>
        <w:t>Parties</w:t>
      </w:r>
      <w:r w:rsidR="00886444" w:rsidRPr="00124D03">
        <w:rPr>
          <w:rFonts w:eastAsia="Times New Roman"/>
          <w:iCs/>
          <w:szCs w:val="24"/>
          <w:lang w:val="fr-FR"/>
        </w:rPr>
        <w:t xml:space="preserve">, </w:t>
      </w:r>
      <w:r w:rsidR="0043434B">
        <w:rPr>
          <w:rFonts w:eastAsia="Times New Roman"/>
          <w:iCs/>
          <w:szCs w:val="24"/>
          <w:lang w:val="fr-FR"/>
        </w:rPr>
        <w:t xml:space="preserve">les autres gouvernements, les peuples autochtones et communautés locales, ainsi que les parties prenantes et les organisations concernées, y compris, selon qu’il conviendra, les centres régionaux et sous-régionaux d’appui à la coopération technique et scientifique, à tenir compte des résultats du deuxième exercice d’évaluation et d’examen dans leurs efforts </w:t>
      </w:r>
      <w:r w:rsidR="00A96707">
        <w:rPr>
          <w:rFonts w:eastAsia="Times New Roman"/>
          <w:iCs/>
          <w:szCs w:val="24"/>
          <w:lang w:val="fr-FR"/>
        </w:rPr>
        <w:t>pour</w:t>
      </w:r>
      <w:r w:rsidR="0043434B">
        <w:rPr>
          <w:rFonts w:eastAsia="Times New Roman"/>
          <w:iCs/>
          <w:szCs w:val="24"/>
          <w:lang w:val="fr-FR"/>
        </w:rPr>
        <w:t xml:space="preserve"> appuyer </w:t>
      </w:r>
      <w:r w:rsidR="00A96707">
        <w:rPr>
          <w:rFonts w:eastAsia="Times New Roman"/>
          <w:iCs/>
          <w:szCs w:val="24"/>
          <w:lang w:val="fr-FR"/>
        </w:rPr>
        <w:t>la</w:t>
      </w:r>
      <w:r w:rsidR="0043434B">
        <w:rPr>
          <w:rFonts w:eastAsia="Times New Roman"/>
          <w:iCs/>
          <w:szCs w:val="24"/>
          <w:lang w:val="fr-FR"/>
        </w:rPr>
        <w:t xml:space="preserve"> mise en œuvre efficace du Protocole de Nagoya ;</w:t>
      </w:r>
      <w:r w:rsidR="00886444" w:rsidRPr="00124D03">
        <w:rPr>
          <w:rFonts w:eastAsia="Times New Roman"/>
          <w:iCs/>
          <w:szCs w:val="24"/>
          <w:lang w:val="fr-FR"/>
        </w:rPr>
        <w:t xml:space="preserve"> </w:t>
      </w:r>
    </w:p>
    <w:p w14:paraId="5D576117" w14:textId="4F9CD3EF" w:rsidR="00B814CA"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6.</w:t>
      </w:r>
      <w:r w:rsidRPr="00124D03">
        <w:rPr>
          <w:rFonts w:eastAsia="Times New Roman"/>
          <w:szCs w:val="24"/>
          <w:lang w:val="fr-FR"/>
        </w:rPr>
        <w:tab/>
      </w:r>
      <w:r w:rsidR="0043434B">
        <w:rPr>
          <w:i/>
          <w:lang w:val="fr-FR"/>
        </w:rPr>
        <w:t>Rappelle</w:t>
      </w:r>
      <w:r w:rsidR="000C1C8E" w:rsidRPr="00124D03">
        <w:rPr>
          <w:lang w:val="fr-FR"/>
        </w:rPr>
        <w:t xml:space="preserve"> </w:t>
      </w:r>
      <w:r w:rsidR="0043434B">
        <w:rPr>
          <w:lang w:val="fr-FR"/>
        </w:rPr>
        <w:t xml:space="preserve">aux </w:t>
      </w:r>
      <w:r w:rsidR="000C1C8E" w:rsidRPr="00124D03">
        <w:rPr>
          <w:rFonts w:eastAsia="Times New Roman"/>
          <w:iCs/>
          <w:szCs w:val="24"/>
          <w:lang w:val="fr-FR"/>
        </w:rPr>
        <w:t>Parties</w:t>
      </w:r>
      <w:r w:rsidR="00B814CA" w:rsidRPr="00124D03">
        <w:rPr>
          <w:rFonts w:eastAsia="Times New Roman"/>
          <w:iCs/>
          <w:szCs w:val="24"/>
          <w:lang w:val="fr-FR"/>
        </w:rPr>
        <w:t xml:space="preserve"> </w:t>
      </w:r>
      <w:r w:rsidR="0043434B">
        <w:rPr>
          <w:rFonts w:eastAsia="Times New Roman"/>
          <w:iCs/>
          <w:szCs w:val="24"/>
          <w:lang w:val="fr-FR"/>
        </w:rPr>
        <w:t>que</w:t>
      </w:r>
      <w:r w:rsidR="00D54537" w:rsidRPr="00124D03">
        <w:rPr>
          <w:rFonts w:eastAsia="Times New Roman"/>
          <w:iCs/>
          <w:szCs w:val="24"/>
          <w:lang w:val="fr-FR"/>
        </w:rPr>
        <w:t>,</w:t>
      </w:r>
      <w:r w:rsidR="00B814CA" w:rsidRPr="00124D03">
        <w:rPr>
          <w:rFonts w:eastAsia="Times New Roman"/>
          <w:iCs/>
          <w:szCs w:val="24"/>
          <w:lang w:val="fr-FR"/>
        </w:rPr>
        <w:t xml:space="preserve"> </w:t>
      </w:r>
      <w:r w:rsidR="0043434B">
        <w:rPr>
          <w:rFonts w:eastAsia="Times New Roman"/>
          <w:iCs/>
          <w:szCs w:val="24"/>
          <w:lang w:val="fr-FR"/>
        </w:rPr>
        <w:t xml:space="preserve">pour garantir le partage des avantages, toutes les Parties doivent </w:t>
      </w:r>
      <w:r w:rsidR="0043434B" w:rsidRPr="0043434B">
        <w:rPr>
          <w:rFonts w:eastAsia="Times New Roman"/>
          <w:iCs/>
          <w:szCs w:val="24"/>
          <w:lang w:val="fr-FR"/>
        </w:rPr>
        <w:t>s’acquitter de leurs obligations</w:t>
      </w:r>
      <w:r w:rsidR="0043434B">
        <w:rPr>
          <w:rFonts w:eastAsia="Times New Roman"/>
          <w:iCs/>
          <w:szCs w:val="24"/>
          <w:lang w:val="fr-FR"/>
        </w:rPr>
        <w:t xml:space="preserve"> au titre du Protocole de Nagoya ;</w:t>
      </w:r>
    </w:p>
    <w:p w14:paraId="4FB81E5B" w14:textId="23A53F54" w:rsidR="00455661" w:rsidRPr="00124D03" w:rsidRDefault="00AE4324" w:rsidP="006B144A">
      <w:pPr>
        <w:pStyle w:val="CBDNormalNoNumber"/>
        <w:tabs>
          <w:tab w:val="clear" w:pos="567"/>
        </w:tabs>
        <w:ind w:left="1134" w:firstLine="567"/>
        <w:rPr>
          <w:lang w:val="fr-FR"/>
        </w:rPr>
      </w:pPr>
      <w:r w:rsidRPr="00124D03">
        <w:rPr>
          <w:rFonts w:eastAsia="Times New Roman"/>
          <w:lang w:val="fr-FR"/>
        </w:rPr>
        <w:t>7.</w:t>
      </w:r>
      <w:r w:rsidRPr="00124D03">
        <w:rPr>
          <w:rFonts w:eastAsia="Times New Roman"/>
          <w:lang w:val="fr-FR"/>
        </w:rPr>
        <w:tab/>
      </w:r>
      <w:r w:rsidR="0043434B">
        <w:rPr>
          <w:i/>
          <w:lang w:val="fr-FR"/>
        </w:rPr>
        <w:t>Exhorte</w:t>
      </w:r>
      <w:r w:rsidR="00EE3879" w:rsidRPr="00124D03">
        <w:rPr>
          <w:lang w:val="fr-FR"/>
        </w:rPr>
        <w:t xml:space="preserve"> </w:t>
      </w:r>
      <w:r w:rsidR="0043434B">
        <w:rPr>
          <w:lang w:val="fr-FR"/>
        </w:rPr>
        <w:t xml:space="preserve">les </w:t>
      </w:r>
      <w:r w:rsidR="00EE3879" w:rsidRPr="00124D03">
        <w:rPr>
          <w:lang w:val="fr-FR"/>
        </w:rPr>
        <w:t>Parties</w:t>
      </w:r>
      <w:r w:rsidR="002C5918" w:rsidRPr="00124D03">
        <w:rPr>
          <w:lang w:val="fr-FR"/>
        </w:rPr>
        <w:t xml:space="preserve"> </w:t>
      </w:r>
      <w:r w:rsidR="0043434B">
        <w:rPr>
          <w:lang w:val="fr-FR"/>
        </w:rPr>
        <w:t>qui ne l’ont pas encore fait</w:t>
      </w:r>
      <w:r w:rsidR="00721225">
        <w:rPr>
          <w:lang w:val="fr-FR"/>
        </w:rPr>
        <w:t xml:space="preserve"> à </w:t>
      </w:r>
      <w:r w:rsidR="0043434B">
        <w:rPr>
          <w:lang w:val="fr-FR"/>
        </w:rPr>
        <w:t>prendre les mesures nécessaires pour garantir une mise en œuvre pleine et entière du Protocole de Nagoya et réaliser tous ses objectifs ;</w:t>
      </w:r>
    </w:p>
    <w:p w14:paraId="54242155" w14:textId="318C0D82" w:rsidR="00E759FD" w:rsidRPr="00124D03" w:rsidRDefault="00AE4324" w:rsidP="006B144A">
      <w:pPr>
        <w:pStyle w:val="CBDNormalNoNumber"/>
        <w:tabs>
          <w:tab w:val="clear" w:pos="567"/>
        </w:tabs>
        <w:ind w:left="1134" w:firstLine="567"/>
        <w:rPr>
          <w:lang w:val="fr-FR"/>
        </w:rPr>
      </w:pPr>
      <w:r w:rsidRPr="00124D03">
        <w:rPr>
          <w:rFonts w:eastAsia="Times New Roman"/>
          <w:lang w:val="fr-FR"/>
        </w:rPr>
        <w:t>8.</w:t>
      </w:r>
      <w:r w:rsidRPr="00124D03">
        <w:rPr>
          <w:rFonts w:eastAsia="Times New Roman"/>
          <w:lang w:val="fr-FR"/>
        </w:rPr>
        <w:tab/>
      </w:r>
      <w:r w:rsidR="0001697B" w:rsidRPr="00124D03">
        <w:rPr>
          <w:i/>
          <w:lang w:val="fr-FR"/>
        </w:rPr>
        <w:t>I</w:t>
      </w:r>
      <w:r w:rsidR="00E759FD" w:rsidRPr="00124D03">
        <w:rPr>
          <w:i/>
          <w:lang w:val="fr-FR"/>
        </w:rPr>
        <w:t>nvite</w:t>
      </w:r>
      <w:r w:rsidR="00E759FD" w:rsidRPr="00124D03">
        <w:rPr>
          <w:lang w:val="fr-FR"/>
        </w:rPr>
        <w:t xml:space="preserve"> </w:t>
      </w:r>
      <w:r w:rsidR="0043434B">
        <w:rPr>
          <w:lang w:val="fr-FR"/>
        </w:rPr>
        <w:t xml:space="preserve">les </w:t>
      </w:r>
      <w:r w:rsidR="00E759FD" w:rsidRPr="00124D03">
        <w:rPr>
          <w:lang w:val="fr-FR"/>
        </w:rPr>
        <w:t xml:space="preserve">Parties </w:t>
      </w:r>
      <w:r w:rsidR="0043434B">
        <w:rPr>
          <w:lang w:val="fr-FR"/>
        </w:rPr>
        <w:t xml:space="preserve">à tenir compte des mesures indicatives mentionnées au paragraphe 4 ci-dessus dans leurs efforts de mise en œuvre du Protocole de Nagoya, selon qu’il conviendra et </w:t>
      </w:r>
      <w:r w:rsidR="008141A9">
        <w:rPr>
          <w:lang w:val="fr-FR"/>
        </w:rPr>
        <w:t>en fonction des</w:t>
      </w:r>
      <w:r w:rsidR="0043434B">
        <w:rPr>
          <w:lang w:val="fr-FR"/>
        </w:rPr>
        <w:t xml:space="preserve"> circonstances et </w:t>
      </w:r>
      <w:r w:rsidR="008141A9">
        <w:rPr>
          <w:lang w:val="fr-FR"/>
        </w:rPr>
        <w:t>des</w:t>
      </w:r>
      <w:r w:rsidR="0043434B">
        <w:rPr>
          <w:lang w:val="fr-FR"/>
        </w:rPr>
        <w:t xml:space="preserve"> priorités </w:t>
      </w:r>
      <w:r w:rsidR="008141A9">
        <w:rPr>
          <w:lang w:val="fr-FR"/>
        </w:rPr>
        <w:t>de chaque pays</w:t>
      </w:r>
      <w:r w:rsidR="0043434B">
        <w:rPr>
          <w:lang w:val="fr-FR"/>
        </w:rPr>
        <w:t> ;</w:t>
      </w:r>
    </w:p>
    <w:p w14:paraId="1E5865C1" w14:textId="704A403D" w:rsidR="00C03CA1" w:rsidRPr="00124D03" w:rsidRDefault="00AE4324" w:rsidP="00721225">
      <w:pPr>
        <w:pStyle w:val="CBDNormalNoNumber"/>
        <w:keepNext/>
        <w:tabs>
          <w:tab w:val="clear" w:pos="567"/>
        </w:tabs>
        <w:ind w:left="1134" w:firstLine="567"/>
        <w:rPr>
          <w:lang w:val="fr-FR"/>
        </w:rPr>
      </w:pPr>
      <w:r w:rsidRPr="00124D03">
        <w:rPr>
          <w:rFonts w:eastAsia="Times New Roman"/>
          <w:lang w:val="fr-FR"/>
        </w:rPr>
        <w:lastRenderedPageBreak/>
        <w:t>9.</w:t>
      </w:r>
      <w:r w:rsidRPr="00124D03">
        <w:rPr>
          <w:rFonts w:eastAsia="Times New Roman"/>
          <w:lang w:val="fr-FR"/>
        </w:rPr>
        <w:tab/>
      </w:r>
      <w:r w:rsidR="00816D90">
        <w:rPr>
          <w:i/>
          <w:lang w:val="fr-FR"/>
        </w:rPr>
        <w:t>Exhorte</w:t>
      </w:r>
      <w:r w:rsidR="00C03CA1" w:rsidRPr="00124D03">
        <w:rPr>
          <w:lang w:val="fr-FR"/>
        </w:rPr>
        <w:t xml:space="preserve"> </w:t>
      </w:r>
      <w:r w:rsidR="00816D90">
        <w:rPr>
          <w:lang w:val="fr-FR"/>
        </w:rPr>
        <w:t xml:space="preserve">les </w:t>
      </w:r>
      <w:r w:rsidR="00542CB7" w:rsidRPr="00124D03">
        <w:rPr>
          <w:lang w:val="fr-FR"/>
        </w:rPr>
        <w:t>Parties</w:t>
      </w:r>
      <w:r w:rsidR="00816D90">
        <w:rPr>
          <w:lang w:val="fr-FR"/>
        </w:rPr>
        <w:t xml:space="preserve"> à </w:t>
      </w:r>
      <w:r w:rsidR="00D2165B" w:rsidRPr="00124D03">
        <w:rPr>
          <w:lang w:val="fr-FR"/>
        </w:rPr>
        <w:t>:</w:t>
      </w:r>
      <w:r w:rsidR="00542CB7" w:rsidRPr="00124D03">
        <w:rPr>
          <w:lang w:val="fr-FR"/>
        </w:rPr>
        <w:t xml:space="preserve"> </w:t>
      </w:r>
    </w:p>
    <w:p w14:paraId="2680BF22" w14:textId="178346B6" w:rsidR="00542CB7" w:rsidRPr="00124D03" w:rsidRDefault="00AE4324" w:rsidP="006B144A">
      <w:pPr>
        <w:pStyle w:val="CBDNormalNoNumber"/>
        <w:tabs>
          <w:tab w:val="clear" w:pos="567"/>
        </w:tabs>
        <w:ind w:left="1134" w:firstLine="567"/>
        <w:rPr>
          <w:lang w:val="fr-FR"/>
        </w:rPr>
      </w:pPr>
      <w:r w:rsidRPr="00124D03">
        <w:rPr>
          <w:lang w:val="fr-FR"/>
        </w:rPr>
        <w:t>a)</w:t>
      </w:r>
      <w:r w:rsidRPr="00124D03">
        <w:rPr>
          <w:lang w:val="fr-FR"/>
        </w:rPr>
        <w:tab/>
      </w:r>
      <w:r w:rsidR="00816D90">
        <w:rPr>
          <w:lang w:val="fr-FR"/>
        </w:rPr>
        <w:t xml:space="preserve">Élaborer des procédures </w:t>
      </w:r>
      <w:r w:rsidR="008F6163">
        <w:rPr>
          <w:lang w:val="fr-FR"/>
        </w:rPr>
        <w:t xml:space="preserve">claires et </w:t>
      </w:r>
      <w:r w:rsidR="000F1882">
        <w:rPr>
          <w:lang w:val="fr-FR"/>
        </w:rPr>
        <w:t xml:space="preserve">étape </w:t>
      </w:r>
      <w:r w:rsidR="008F6163">
        <w:rPr>
          <w:lang w:val="fr-FR"/>
        </w:rPr>
        <w:t xml:space="preserve">par étape </w:t>
      </w:r>
      <w:r w:rsidR="00AF3846">
        <w:rPr>
          <w:lang w:val="fr-FR"/>
        </w:rPr>
        <w:t xml:space="preserve">sur l’accès et le partage des avantages, qui incluent des définitions claires et des modèles, formulaires ou </w:t>
      </w:r>
      <w:r w:rsidR="000F1882">
        <w:rPr>
          <w:lang w:val="fr-FR"/>
        </w:rPr>
        <w:t>listes de contrôle</w:t>
      </w:r>
      <w:r w:rsidR="00AF3846">
        <w:rPr>
          <w:lang w:val="fr-FR"/>
        </w:rPr>
        <w:t xml:space="preserve"> standardisés et les publier sur le Centre d’échange sur l’accès et le partage des avantages ;</w:t>
      </w:r>
    </w:p>
    <w:p w14:paraId="1469044F" w14:textId="1A455E96" w:rsidR="00F57EB3" w:rsidRPr="00124D03" w:rsidRDefault="00AE4324" w:rsidP="006B144A">
      <w:pPr>
        <w:pStyle w:val="CBDNormalNoNumber"/>
        <w:tabs>
          <w:tab w:val="clear" w:pos="567"/>
        </w:tabs>
        <w:ind w:left="1134" w:firstLine="567"/>
        <w:rPr>
          <w:lang w:val="fr-FR"/>
        </w:rPr>
      </w:pPr>
      <w:r w:rsidRPr="00124D03">
        <w:rPr>
          <w:lang w:val="fr-FR"/>
        </w:rPr>
        <w:t>b)</w:t>
      </w:r>
      <w:r w:rsidRPr="00124D03">
        <w:rPr>
          <w:lang w:val="fr-FR"/>
        </w:rPr>
        <w:tab/>
      </w:r>
      <w:r w:rsidR="000F1882">
        <w:rPr>
          <w:lang w:val="fr-FR"/>
        </w:rPr>
        <w:t>Désigner</w:t>
      </w:r>
      <w:r w:rsidR="00AF3846">
        <w:rPr>
          <w:lang w:val="fr-FR"/>
        </w:rPr>
        <w:t xml:space="preserve"> et rendre pleinement opérationnels leurs points de contrôle et publier</w:t>
      </w:r>
      <w:r w:rsidR="00D2165B" w:rsidRPr="00124D03">
        <w:rPr>
          <w:lang w:val="fr-FR"/>
        </w:rPr>
        <w:t xml:space="preserve"> </w:t>
      </w:r>
      <w:r w:rsidR="00AF3846">
        <w:rPr>
          <w:lang w:val="fr-FR"/>
        </w:rPr>
        <w:t xml:space="preserve">les informations </w:t>
      </w:r>
      <w:r w:rsidR="000F1882">
        <w:rPr>
          <w:lang w:val="fr-FR"/>
        </w:rPr>
        <w:t>recueillies</w:t>
      </w:r>
      <w:r w:rsidR="00AF3846">
        <w:rPr>
          <w:lang w:val="fr-FR"/>
        </w:rPr>
        <w:t xml:space="preserve"> ou reçues par </w:t>
      </w:r>
      <w:r w:rsidR="000F1882">
        <w:rPr>
          <w:lang w:val="fr-FR"/>
        </w:rPr>
        <w:t>les points de contrôle</w:t>
      </w:r>
      <w:r w:rsidR="00AF3846">
        <w:rPr>
          <w:lang w:val="fr-FR"/>
        </w:rPr>
        <w:t xml:space="preserve"> sur le Centre d’échange sur l’accès et le partage des avantages, tout en rappelant que les dispositions des articles 15 à 17 du Protocole de Nagoya concernent toutes les Parties ;</w:t>
      </w:r>
    </w:p>
    <w:p w14:paraId="35846295" w14:textId="116773C9" w:rsidR="00F622B6" w:rsidRPr="00124D03" w:rsidRDefault="00AE4324" w:rsidP="006B144A">
      <w:pPr>
        <w:pStyle w:val="CBDNormalNoNumber"/>
        <w:tabs>
          <w:tab w:val="clear" w:pos="567"/>
        </w:tabs>
        <w:ind w:left="1134" w:firstLine="567"/>
        <w:rPr>
          <w:lang w:val="fr-FR"/>
        </w:rPr>
      </w:pPr>
      <w:r w:rsidRPr="00124D03">
        <w:rPr>
          <w:rFonts w:eastAsia="Times New Roman"/>
          <w:lang w:val="fr-FR"/>
        </w:rPr>
        <w:t>10.</w:t>
      </w:r>
      <w:r w:rsidRPr="00124D03">
        <w:rPr>
          <w:rFonts w:eastAsia="Times New Roman"/>
          <w:lang w:val="fr-FR"/>
        </w:rPr>
        <w:tab/>
      </w:r>
      <w:r w:rsidR="001B6F19" w:rsidRPr="00124D03">
        <w:rPr>
          <w:i/>
          <w:lang w:val="fr-FR"/>
        </w:rPr>
        <w:t>Invite</w:t>
      </w:r>
      <w:r w:rsidR="00F622B6" w:rsidRPr="00124D03">
        <w:rPr>
          <w:lang w:val="fr-FR"/>
        </w:rPr>
        <w:t xml:space="preserve"> </w:t>
      </w:r>
      <w:r w:rsidR="00C66455">
        <w:rPr>
          <w:lang w:val="fr-FR"/>
        </w:rPr>
        <w:t xml:space="preserve">les Parties à garantir la participation pleine et entière des peuples autochtones et communautés locales aux processus d’accès et de partage des avantages, y compris en créant des protocoles et des procédures communautaires pour l’accès et le partage des avantages, conformément à l’article 12 du Protocole de Nagoya, et à </w:t>
      </w:r>
      <w:r w:rsidR="002B4365">
        <w:rPr>
          <w:lang w:val="fr-FR"/>
        </w:rPr>
        <w:t>les diffuser</w:t>
      </w:r>
      <w:r w:rsidR="00C66455">
        <w:rPr>
          <w:lang w:val="fr-FR"/>
        </w:rPr>
        <w:t xml:space="preserve"> par le biais du Centre d’échange sur l’accès et le partage des avantages </w:t>
      </w:r>
      <w:r w:rsidR="002B4365">
        <w:rPr>
          <w:lang w:val="fr-FR"/>
        </w:rPr>
        <w:t>comme</w:t>
      </w:r>
      <w:r w:rsidR="00C66455">
        <w:rPr>
          <w:lang w:val="fr-FR"/>
        </w:rPr>
        <w:t xml:space="preserve"> des </w:t>
      </w:r>
      <w:r w:rsidR="002B4365">
        <w:rPr>
          <w:lang w:val="fr-FR"/>
        </w:rPr>
        <w:t>fichiers</w:t>
      </w:r>
      <w:r w:rsidR="00C66455">
        <w:rPr>
          <w:lang w:val="fr-FR"/>
        </w:rPr>
        <w:t xml:space="preserve"> nationa</w:t>
      </w:r>
      <w:r w:rsidR="002B4365">
        <w:rPr>
          <w:lang w:val="fr-FR"/>
        </w:rPr>
        <w:t>ux</w:t>
      </w:r>
      <w:r w:rsidR="00C66455">
        <w:rPr>
          <w:lang w:val="fr-FR"/>
        </w:rPr>
        <w:t xml:space="preserve">, et invite les organisations concernées à </w:t>
      </w:r>
      <w:r w:rsidR="002B4365">
        <w:rPr>
          <w:lang w:val="fr-FR"/>
        </w:rPr>
        <w:t>aider</w:t>
      </w:r>
      <w:r w:rsidR="00C66455">
        <w:rPr>
          <w:lang w:val="fr-FR"/>
        </w:rPr>
        <w:t xml:space="preserve"> les peuples autochtones et communautés locales à créer des protocoles et des procédures communautaires ;</w:t>
      </w:r>
    </w:p>
    <w:p w14:paraId="7B2F8620" w14:textId="0E68408E" w:rsidR="002571EE"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11.</w:t>
      </w:r>
      <w:r w:rsidRPr="00124D03">
        <w:rPr>
          <w:rFonts w:eastAsia="Times New Roman"/>
          <w:szCs w:val="24"/>
          <w:lang w:val="fr-FR"/>
        </w:rPr>
        <w:tab/>
      </w:r>
      <w:r w:rsidR="00A61DD0">
        <w:rPr>
          <w:rFonts w:eastAsia="Times New Roman"/>
          <w:i/>
          <w:iCs/>
          <w:szCs w:val="24"/>
          <w:lang w:val="fr-FR"/>
        </w:rPr>
        <w:t xml:space="preserve">Invite également </w:t>
      </w:r>
      <w:r w:rsidR="00A61DD0">
        <w:rPr>
          <w:rFonts w:eastAsia="Times New Roman"/>
          <w:szCs w:val="24"/>
          <w:lang w:val="fr-FR"/>
        </w:rPr>
        <w:t>les</w:t>
      </w:r>
      <w:r w:rsidR="001B6F19" w:rsidRPr="00124D03">
        <w:rPr>
          <w:lang w:val="fr-FR"/>
        </w:rPr>
        <w:t xml:space="preserve"> </w:t>
      </w:r>
      <w:r w:rsidR="000A5638" w:rsidRPr="00124D03">
        <w:rPr>
          <w:lang w:val="fr-FR"/>
        </w:rPr>
        <w:t xml:space="preserve">Parties </w:t>
      </w:r>
      <w:r w:rsidR="00A61DD0">
        <w:rPr>
          <w:lang w:val="fr-FR"/>
        </w:rPr>
        <w:t>à impliquer les organisations d’utilisateurs et les parties prenantes concernées dans les processus d’accès et de partage des avantages, et encourage les organisations et les réseaux d’utilisateurs à faciliter le respect par les utilisateurs des obligations en matière d’accès et de partage des avantages, y compris en créant des outils tels que ceux décrits aux articles</w:t>
      </w:r>
      <w:r w:rsidR="00132CD2">
        <w:rPr>
          <w:lang w:val="fr-FR"/>
        </w:rPr>
        <w:t> </w:t>
      </w:r>
      <w:r w:rsidR="00A61DD0">
        <w:rPr>
          <w:lang w:val="fr-FR"/>
        </w:rPr>
        <w:t>19 et 20 du Protocole de Nagoya, et à rendre ces outils disponibles sur le Centre d’échange sur l’accès et le partage des avantages ;</w:t>
      </w:r>
    </w:p>
    <w:p w14:paraId="28C0F6DB" w14:textId="3B045C3C" w:rsidR="00FB26D6"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12.</w:t>
      </w:r>
      <w:r w:rsidRPr="00124D03">
        <w:rPr>
          <w:rFonts w:eastAsia="Times New Roman"/>
          <w:szCs w:val="24"/>
          <w:lang w:val="fr-FR"/>
        </w:rPr>
        <w:tab/>
      </w:r>
      <w:r w:rsidR="00A61DD0">
        <w:rPr>
          <w:i/>
          <w:lang w:val="fr-FR"/>
        </w:rPr>
        <w:t>Prie</w:t>
      </w:r>
      <w:r w:rsidR="00FB26D6" w:rsidRPr="00124D03">
        <w:rPr>
          <w:rFonts w:eastAsia="Times New Roman"/>
          <w:iCs/>
          <w:szCs w:val="24"/>
          <w:lang w:val="fr-FR"/>
        </w:rPr>
        <w:t xml:space="preserve"> </w:t>
      </w:r>
      <w:r w:rsidR="00A61DD0">
        <w:rPr>
          <w:rFonts w:eastAsia="Times New Roman"/>
          <w:iCs/>
          <w:szCs w:val="24"/>
          <w:lang w:val="fr-FR"/>
        </w:rPr>
        <w:t xml:space="preserve">la Secrétaire exécutive de diffuser </w:t>
      </w:r>
      <w:r w:rsidR="005A64F6">
        <w:rPr>
          <w:rFonts w:eastAsia="Times New Roman"/>
          <w:iCs/>
          <w:szCs w:val="24"/>
          <w:lang w:val="fr-FR"/>
        </w:rPr>
        <w:t xml:space="preserve">largement </w:t>
      </w:r>
      <w:r w:rsidR="00A61DD0">
        <w:rPr>
          <w:rFonts w:eastAsia="Times New Roman"/>
          <w:iCs/>
          <w:szCs w:val="24"/>
          <w:lang w:val="fr-FR"/>
        </w:rPr>
        <w:t>les résultats du deuxième exercice d’évaluation et d’examen auprès des Parties, des autres gouvernements, des peuples autochtones et communautés locales, ainsi qu’auprès des parties prenantes et des organisations concernées, y compris les centres d’appui à la coopération ;</w:t>
      </w:r>
    </w:p>
    <w:p w14:paraId="47F586C3" w14:textId="6EC91C64" w:rsidR="000C1C8E"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13.</w:t>
      </w:r>
      <w:r w:rsidRPr="00124D03">
        <w:rPr>
          <w:rFonts w:eastAsia="Times New Roman"/>
          <w:szCs w:val="24"/>
          <w:lang w:val="fr-FR"/>
        </w:rPr>
        <w:tab/>
      </w:r>
      <w:r w:rsidR="00A61DD0">
        <w:rPr>
          <w:rFonts w:eastAsia="Times New Roman"/>
          <w:i/>
          <w:iCs/>
          <w:szCs w:val="24"/>
          <w:lang w:val="fr-FR"/>
        </w:rPr>
        <w:t>Prie également</w:t>
      </w:r>
      <w:r w:rsidR="000C1C8E" w:rsidRPr="00124D03">
        <w:rPr>
          <w:rFonts w:eastAsia="Times New Roman"/>
          <w:iCs/>
          <w:szCs w:val="24"/>
          <w:lang w:val="fr-FR"/>
        </w:rPr>
        <w:t xml:space="preserve"> </w:t>
      </w:r>
      <w:r w:rsidR="00A61DD0">
        <w:rPr>
          <w:rFonts w:eastAsia="Times New Roman"/>
          <w:iCs/>
          <w:szCs w:val="24"/>
          <w:lang w:val="fr-FR"/>
        </w:rPr>
        <w:t>la Secrétaire exécutive de proposer une méthode pour procéder au troisième exercice d’évaluation et d’examen de l’efficacité du Protocole de Nagoya, en tenant compte des résultats et des leçons tirées du deuxième exercice d’évaluation et d’examen ;</w:t>
      </w:r>
    </w:p>
    <w:p w14:paraId="313FB464" w14:textId="315348BB" w:rsidR="000C1C8E" w:rsidRPr="00124D03" w:rsidRDefault="00AE4324"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14.</w:t>
      </w:r>
      <w:r w:rsidRPr="00124D03">
        <w:rPr>
          <w:rFonts w:eastAsia="Times New Roman"/>
          <w:szCs w:val="24"/>
          <w:lang w:val="fr-FR"/>
        </w:rPr>
        <w:tab/>
      </w:r>
      <w:r w:rsidR="004F4125">
        <w:rPr>
          <w:i/>
          <w:lang w:val="fr-FR"/>
        </w:rPr>
        <w:t xml:space="preserve">Prie </w:t>
      </w:r>
      <w:r w:rsidR="004F4125">
        <w:rPr>
          <w:lang w:val="fr-FR"/>
        </w:rPr>
        <w:t>l’Organe subsidiaire chargé de l’application d’examiner la méthode proposée, mentionn</w:t>
      </w:r>
      <w:r w:rsidR="008F6163">
        <w:rPr>
          <w:lang w:val="fr-FR"/>
        </w:rPr>
        <w:t>é</w:t>
      </w:r>
      <w:r w:rsidR="004F4125">
        <w:rPr>
          <w:lang w:val="fr-FR"/>
        </w:rPr>
        <w:t>e au paragraphe 13 ci-dessus, lors d’une réunion qui se tiendra avant la septième réunion de la Conférence des Parties siégeant en tant que réunion des Parties au Protocole de Nagoya et de formuler des recommandations pour examen par la Conférence des Parties siégeant en tant que réunion des Parties au Protocole à sa septième réunion.</w:t>
      </w:r>
    </w:p>
    <w:p w14:paraId="04AAC609" w14:textId="13561353" w:rsidR="004E4F34" w:rsidRPr="00124D03" w:rsidRDefault="0071703F" w:rsidP="006B144A">
      <w:pPr>
        <w:pStyle w:val="CBDH2"/>
        <w:rPr>
          <w:u w:color="000000"/>
          <w:bdr w:val="nil"/>
          <w:lang w:val="fr-FR"/>
        </w:rPr>
      </w:pPr>
      <w:r w:rsidRPr="00124D03">
        <w:rPr>
          <w:u w:color="000000"/>
          <w:bdr w:val="nil"/>
          <w:lang w:val="fr-FR"/>
        </w:rPr>
        <w:t>B</w:t>
      </w:r>
      <w:r w:rsidR="00434D57" w:rsidRPr="00124D03">
        <w:rPr>
          <w:u w:color="000000"/>
          <w:bdr w:val="nil"/>
          <w:lang w:val="fr-FR"/>
        </w:rPr>
        <w:t>.</w:t>
      </w:r>
      <w:r w:rsidR="00434D57" w:rsidRPr="00124D03">
        <w:rPr>
          <w:u w:color="000000"/>
          <w:bdr w:val="nil"/>
          <w:lang w:val="fr-FR"/>
        </w:rPr>
        <w:tab/>
      </w:r>
      <w:r w:rsidR="00863F67">
        <w:rPr>
          <w:u w:color="000000"/>
          <w:bdr w:val="nil"/>
          <w:lang w:val="fr-FR"/>
        </w:rPr>
        <w:t>Amélioration de la mise en œuvre du Protocole de Nagoya</w:t>
      </w:r>
      <w:r w:rsidR="00A15ADA" w:rsidRPr="00124D03">
        <w:rPr>
          <w:rStyle w:val="FootnoteReference"/>
          <w:rFonts w:eastAsia="Arial Unicode MS"/>
          <w:bCs/>
          <w:color w:val="000000"/>
          <w:kern w:val="22"/>
          <w:u w:color="000000"/>
          <w:bdr w:val="nil"/>
          <w:lang w:val="fr-FR"/>
        </w:rPr>
        <w:footnoteReference w:id="20"/>
      </w:r>
    </w:p>
    <w:p w14:paraId="498A8A2A" w14:textId="40BC5939" w:rsidR="00F101D3" w:rsidRPr="00124D03" w:rsidRDefault="00F101D3" w:rsidP="0096543B">
      <w:pPr>
        <w:pStyle w:val="CBDNormalNumber"/>
        <w:numPr>
          <w:ilvl w:val="0"/>
          <w:numId w:val="22"/>
        </w:numPr>
        <w:rPr>
          <w:lang w:val="fr-FR"/>
        </w:rPr>
      </w:pPr>
      <w:r>
        <w:rPr>
          <w:lang w:val="fr-FR"/>
        </w:rPr>
        <w:t>L’Organe subsidiaire souhaitera peut-être également adopter une recommandation sur le modèle suivant :</w:t>
      </w:r>
      <w:r w:rsidRPr="00124D03">
        <w:rPr>
          <w:lang w:val="fr-FR"/>
        </w:rPr>
        <w:t xml:space="preserve"> </w:t>
      </w:r>
    </w:p>
    <w:p w14:paraId="39548819" w14:textId="2013215B" w:rsidR="00DC0783" w:rsidRPr="00124D03" w:rsidRDefault="00DC0783" w:rsidP="006B144A">
      <w:pPr>
        <w:pStyle w:val="CBDNormalNoNumber"/>
        <w:rPr>
          <w:i/>
          <w:iCs/>
          <w:lang w:val="fr-FR"/>
        </w:rPr>
      </w:pPr>
      <w:r w:rsidRPr="00124D03">
        <w:rPr>
          <w:i/>
          <w:iCs/>
          <w:lang w:val="fr-FR"/>
        </w:rPr>
        <w:tab/>
      </w:r>
      <w:r w:rsidR="007E07D5">
        <w:rPr>
          <w:i/>
          <w:iCs/>
          <w:lang w:val="fr-FR"/>
        </w:rPr>
        <w:t>L’Organe subsidiaire chargé de l’application</w:t>
      </w:r>
    </w:p>
    <w:p w14:paraId="47FC192D" w14:textId="744DF58C" w:rsidR="00DC0783" w:rsidRPr="00124D03" w:rsidRDefault="00DC0783" w:rsidP="006B144A">
      <w:pPr>
        <w:pStyle w:val="CBDNormalNoNumber"/>
        <w:rPr>
          <w:lang w:val="fr-FR"/>
        </w:rPr>
      </w:pPr>
      <w:r w:rsidRPr="00124D03">
        <w:rPr>
          <w:lang w:val="fr-FR"/>
        </w:rPr>
        <w:tab/>
      </w:r>
      <w:r w:rsidR="00504F0E">
        <w:rPr>
          <w:i/>
          <w:iCs/>
          <w:lang w:val="fr-FR"/>
        </w:rPr>
        <w:t>Recommande</w:t>
      </w:r>
      <w:r w:rsidR="00504F0E" w:rsidRPr="00124D03">
        <w:rPr>
          <w:lang w:val="fr-FR"/>
        </w:rPr>
        <w:t xml:space="preserve"> </w:t>
      </w:r>
      <w:r w:rsidR="00504F0E">
        <w:rPr>
          <w:lang w:val="fr-FR"/>
        </w:rPr>
        <w:t>que</w:t>
      </w:r>
      <w:r w:rsidR="00504F0E" w:rsidRPr="00124D03">
        <w:rPr>
          <w:lang w:val="fr-FR"/>
        </w:rPr>
        <w:t>,</w:t>
      </w:r>
      <w:r w:rsidR="00504F0E">
        <w:rPr>
          <w:lang w:val="fr-FR"/>
        </w:rPr>
        <w:t xml:space="preserve"> à sa sixième réunion, la Conférence des Parties siégeant en tant que réunion des Parties au Protocole de Nagoya </w:t>
      </w:r>
      <w:r w:rsidR="00504F0E" w:rsidRPr="00124D03">
        <w:rPr>
          <w:lang w:val="fr-FR"/>
        </w:rPr>
        <w:t xml:space="preserve">sur l’accès aux ressources génétiques et le partage juste et </w:t>
      </w:r>
      <w:r w:rsidR="00504F0E" w:rsidRPr="00124D03">
        <w:rPr>
          <w:lang w:val="fr-FR"/>
        </w:rPr>
        <w:lastRenderedPageBreak/>
        <w:t>équitable des avantages découlant de leur utilisatio</w:t>
      </w:r>
      <w:r w:rsidR="00504F0E">
        <w:rPr>
          <w:lang w:val="fr-FR"/>
        </w:rPr>
        <w:t>n</w:t>
      </w:r>
      <w:r w:rsidRPr="00124D03">
        <w:rPr>
          <w:rStyle w:val="FootnoteReference"/>
          <w:lang w:val="fr-FR"/>
        </w:rPr>
        <w:footnoteReference w:id="21"/>
      </w:r>
      <w:r w:rsidRPr="00124D03">
        <w:rPr>
          <w:lang w:val="fr-FR"/>
        </w:rPr>
        <w:t xml:space="preserve"> adopt</w:t>
      </w:r>
      <w:r w:rsidR="00504F0E">
        <w:rPr>
          <w:lang w:val="fr-FR"/>
        </w:rPr>
        <w:t>e des éléments d</w:t>
      </w:r>
      <w:r w:rsidR="005A64F6">
        <w:rPr>
          <w:lang w:val="fr-FR"/>
        </w:rPr>
        <w:t>’une</w:t>
      </w:r>
      <w:r w:rsidR="00504F0E">
        <w:rPr>
          <w:lang w:val="fr-FR"/>
        </w:rPr>
        <w:t xml:space="preserve"> décision</w:t>
      </w:r>
      <w:r w:rsidR="00076A2F" w:rsidRPr="00124D03">
        <w:rPr>
          <w:rStyle w:val="FootnoteReference"/>
          <w:lang w:val="fr-FR"/>
        </w:rPr>
        <w:footnoteReference w:id="22"/>
      </w:r>
      <w:r w:rsidR="00076A2F" w:rsidRPr="00124D03">
        <w:rPr>
          <w:vertAlign w:val="superscript"/>
          <w:lang w:val="fr-FR"/>
        </w:rPr>
        <w:t>,</w:t>
      </w:r>
      <w:r w:rsidR="00793F2A" w:rsidRPr="00124D03">
        <w:rPr>
          <w:rStyle w:val="FootnoteReference"/>
          <w:lang w:val="fr-FR"/>
        </w:rPr>
        <w:footnoteReference w:id="23"/>
      </w:r>
      <w:r w:rsidRPr="00124D03">
        <w:rPr>
          <w:lang w:val="fr-FR"/>
        </w:rPr>
        <w:t xml:space="preserve"> </w:t>
      </w:r>
      <w:r w:rsidR="00504F0E">
        <w:rPr>
          <w:lang w:val="fr-FR"/>
        </w:rPr>
        <w:t>sur le modèle suivant :</w:t>
      </w:r>
    </w:p>
    <w:p w14:paraId="08E6F167" w14:textId="77777777" w:rsidR="00504F0E" w:rsidRPr="00504F0E" w:rsidRDefault="00504F0E" w:rsidP="005C3F88">
      <w:pPr>
        <w:pStyle w:val="Para2"/>
        <w:ind w:left="1134"/>
        <w:rPr>
          <w:i/>
          <w:iCs/>
          <w:lang w:val="fr-FR"/>
        </w:rPr>
      </w:pPr>
      <w:r w:rsidRPr="00504F0E">
        <w:rPr>
          <w:i/>
          <w:iCs/>
          <w:lang w:val="fr-FR"/>
        </w:rPr>
        <w:t>La Conférence des Parties siégeant en tant que réunion des Parties au Protocole de Nagoya</w:t>
      </w:r>
    </w:p>
    <w:p w14:paraId="37AEC311" w14:textId="3B3DC017" w:rsidR="00D569CA" w:rsidRPr="00124D03" w:rsidRDefault="00536824" w:rsidP="006B144A">
      <w:pPr>
        <w:pStyle w:val="CBDNormalNoNumber"/>
        <w:keepNext/>
        <w:rPr>
          <w:bCs/>
          <w:u w:color="000000"/>
          <w:bdr w:val="nil"/>
          <w:lang w:val="fr-FR"/>
        </w:rPr>
      </w:pPr>
      <w:r w:rsidRPr="00124D03">
        <w:rPr>
          <w:b/>
          <w:bCs/>
          <w:u w:color="000000"/>
          <w:bdr w:val="nil"/>
          <w:lang w:val="fr-FR"/>
        </w:rPr>
        <w:tab/>
      </w:r>
      <w:r w:rsidR="00343ABB" w:rsidRPr="00124D03">
        <w:rPr>
          <w:b/>
          <w:bCs/>
          <w:u w:color="000000"/>
          <w:bdr w:val="nil"/>
          <w:lang w:val="fr-FR"/>
        </w:rPr>
        <w:t>I</w:t>
      </w:r>
      <w:r w:rsidR="00343ABB" w:rsidRPr="00124D03">
        <w:rPr>
          <w:b/>
          <w:bCs/>
          <w:u w:color="000000"/>
          <w:bdr w:val="nil"/>
          <w:lang w:val="fr-FR"/>
        </w:rPr>
        <w:br/>
      </w:r>
      <w:r w:rsidRPr="00124D03">
        <w:rPr>
          <w:b/>
          <w:bCs/>
          <w:u w:color="000000"/>
          <w:bdr w:val="nil"/>
          <w:lang w:val="fr-FR"/>
        </w:rPr>
        <w:tab/>
      </w:r>
      <w:r w:rsidR="005E5B85">
        <w:rPr>
          <w:b/>
          <w:bCs/>
          <w:u w:color="000000"/>
          <w:bdr w:val="nil"/>
          <w:lang w:val="fr-FR"/>
        </w:rPr>
        <w:t>Création et renforcement des capacités et sensibilisation</w:t>
      </w:r>
    </w:p>
    <w:p w14:paraId="12FC271C" w14:textId="712EEFA5" w:rsidR="009A750D" w:rsidRPr="00124D03" w:rsidRDefault="008F6AFE" w:rsidP="006B144A">
      <w:pPr>
        <w:pStyle w:val="CBDNormalNumber"/>
        <w:tabs>
          <w:tab w:val="clear" w:pos="567"/>
          <w:tab w:val="left" w:pos="993"/>
        </w:tabs>
        <w:ind w:left="1134"/>
        <w:rPr>
          <w:rFonts w:eastAsia="Times New Roman"/>
          <w:color w:val="000000" w:themeColor="text1"/>
          <w:kern w:val="22"/>
          <w:lang w:val="fr-FR"/>
        </w:rPr>
      </w:pPr>
      <w:r w:rsidRPr="00124D03">
        <w:rPr>
          <w:rFonts w:eastAsia="Times New Roman"/>
          <w:kern w:val="22"/>
          <w:lang w:val="fr-FR"/>
        </w:rPr>
        <w:t>1.</w:t>
      </w:r>
      <w:r w:rsidRPr="00124D03">
        <w:rPr>
          <w:rFonts w:eastAsia="Times New Roman"/>
          <w:kern w:val="22"/>
          <w:lang w:val="fr-FR"/>
        </w:rPr>
        <w:tab/>
      </w:r>
      <w:r w:rsidR="001A259A">
        <w:rPr>
          <w:i/>
          <w:lang w:val="fr-FR"/>
        </w:rPr>
        <w:t>Rappelle</w:t>
      </w:r>
      <w:r w:rsidR="00383D33" w:rsidRPr="00124D03">
        <w:rPr>
          <w:i/>
          <w:lang w:val="fr-FR"/>
        </w:rPr>
        <w:t xml:space="preserve"> </w:t>
      </w:r>
      <w:r w:rsidR="001A259A">
        <w:rPr>
          <w:iCs/>
          <w:lang w:val="fr-FR"/>
        </w:rPr>
        <w:t>sa décision</w:t>
      </w:r>
      <w:r w:rsidR="00132CD2">
        <w:rPr>
          <w:rFonts w:eastAsia="Times New Roman"/>
          <w:color w:val="000000" w:themeColor="text1"/>
          <w:kern w:val="22"/>
          <w:lang w:val="fr-FR"/>
        </w:rPr>
        <w:t> </w:t>
      </w:r>
      <w:hyperlink r:id="rId25" w:history="1">
        <w:r w:rsidR="004F6236" w:rsidRPr="00124D03">
          <w:rPr>
            <w:rStyle w:val="Hyperlink"/>
            <w:rFonts w:eastAsia="Times New Roman"/>
            <w:kern w:val="22"/>
            <w:lang w:val="fr-FR"/>
          </w:rPr>
          <w:t>NP-5/3</w:t>
        </w:r>
      </w:hyperlink>
      <w:r w:rsidR="00E24C98" w:rsidRPr="00124D03">
        <w:rPr>
          <w:lang w:val="fr-FR"/>
        </w:rPr>
        <w:t xml:space="preserve"> </w:t>
      </w:r>
      <w:r w:rsidR="001A259A">
        <w:rPr>
          <w:lang w:val="fr-FR"/>
        </w:rPr>
        <w:t>du</w:t>
      </w:r>
      <w:r w:rsidR="00E24C98" w:rsidRPr="00124D03">
        <w:rPr>
          <w:lang w:val="fr-FR"/>
        </w:rPr>
        <w:t xml:space="preserve"> 1</w:t>
      </w:r>
      <w:r w:rsidR="001A259A" w:rsidRPr="001A259A">
        <w:rPr>
          <w:vertAlign w:val="superscript"/>
          <w:lang w:val="fr-FR"/>
        </w:rPr>
        <w:t>er</w:t>
      </w:r>
      <w:r w:rsidR="00132CD2">
        <w:rPr>
          <w:lang w:val="fr-FR"/>
        </w:rPr>
        <w:t> </w:t>
      </w:r>
      <w:r w:rsidR="001A259A">
        <w:rPr>
          <w:lang w:val="fr-FR"/>
        </w:rPr>
        <w:t>novembre</w:t>
      </w:r>
      <w:r w:rsidR="00132CD2">
        <w:rPr>
          <w:lang w:val="fr-FR"/>
        </w:rPr>
        <w:t> </w:t>
      </w:r>
      <w:r w:rsidR="00E24C98" w:rsidRPr="00124D03">
        <w:rPr>
          <w:lang w:val="fr-FR"/>
        </w:rPr>
        <w:t>2024</w:t>
      </w:r>
      <w:r w:rsidR="004F6236" w:rsidRPr="00124D03">
        <w:rPr>
          <w:rFonts w:eastAsia="Times New Roman"/>
          <w:color w:val="000000" w:themeColor="text1"/>
          <w:kern w:val="22"/>
          <w:lang w:val="fr-FR"/>
        </w:rPr>
        <w:t xml:space="preserve">, </w:t>
      </w:r>
      <w:r w:rsidR="001A259A">
        <w:rPr>
          <w:rFonts w:eastAsia="Times New Roman"/>
          <w:color w:val="000000" w:themeColor="text1"/>
          <w:kern w:val="22"/>
          <w:lang w:val="fr-FR"/>
        </w:rPr>
        <w:t>par laquelle elle a adopté le plan d’action pour la création et le renforcement des capacités au titre du Protocole de Nagoya sur l’accès aux ressources génétiques et le partage juste et équitable des avantages découlant de leur utilisation, et sa décision</w:t>
      </w:r>
      <w:r w:rsidR="00132CD2">
        <w:rPr>
          <w:rFonts w:eastAsia="Times New Roman"/>
          <w:color w:val="000000" w:themeColor="text1"/>
          <w:kern w:val="22"/>
          <w:lang w:val="fr-FR"/>
        </w:rPr>
        <w:t> </w:t>
      </w:r>
      <w:hyperlink r:id="rId26" w:history="1">
        <w:r w:rsidR="00B814CA" w:rsidRPr="00124D03">
          <w:rPr>
            <w:rStyle w:val="Hyperlink"/>
            <w:rFonts w:eastAsia="Times New Roman"/>
            <w:kern w:val="22"/>
            <w:lang w:val="fr-FR"/>
          </w:rPr>
          <w:t>NP-1/9</w:t>
        </w:r>
      </w:hyperlink>
      <w:r w:rsidR="00B814CA" w:rsidRPr="00124D03">
        <w:rPr>
          <w:rFonts w:eastAsia="Times New Roman"/>
          <w:color w:val="000000" w:themeColor="text1"/>
          <w:kern w:val="22"/>
          <w:lang w:val="fr-FR"/>
        </w:rPr>
        <w:t xml:space="preserve"> </w:t>
      </w:r>
      <w:r w:rsidR="001A259A">
        <w:rPr>
          <w:rFonts w:eastAsia="Times New Roman"/>
          <w:color w:val="000000" w:themeColor="text1"/>
          <w:kern w:val="22"/>
          <w:lang w:val="fr-FR"/>
        </w:rPr>
        <w:t>du</w:t>
      </w:r>
      <w:r w:rsidR="000D2E36" w:rsidRPr="00124D03">
        <w:rPr>
          <w:rFonts w:eastAsia="Times New Roman"/>
          <w:color w:val="000000" w:themeColor="text1"/>
          <w:kern w:val="22"/>
          <w:lang w:val="fr-FR"/>
        </w:rPr>
        <w:t xml:space="preserve"> </w:t>
      </w:r>
      <w:r w:rsidR="00171EBD" w:rsidRPr="00124D03">
        <w:rPr>
          <w:rFonts w:eastAsia="Times New Roman"/>
          <w:color w:val="000000" w:themeColor="text1"/>
          <w:kern w:val="22"/>
          <w:lang w:val="fr-FR"/>
        </w:rPr>
        <w:t>17</w:t>
      </w:r>
      <w:r w:rsidR="001A259A">
        <w:rPr>
          <w:rFonts w:eastAsia="Times New Roman"/>
          <w:color w:val="000000" w:themeColor="text1"/>
          <w:kern w:val="22"/>
          <w:lang w:val="fr-FR"/>
        </w:rPr>
        <w:t> octobre</w:t>
      </w:r>
      <w:r w:rsidR="00132CD2">
        <w:rPr>
          <w:rFonts w:eastAsia="Times New Roman"/>
          <w:color w:val="000000" w:themeColor="text1"/>
          <w:kern w:val="22"/>
          <w:lang w:val="fr-FR"/>
        </w:rPr>
        <w:t> </w:t>
      </w:r>
      <w:r w:rsidR="00171EBD" w:rsidRPr="00124D03">
        <w:rPr>
          <w:rFonts w:eastAsia="Times New Roman"/>
          <w:color w:val="000000" w:themeColor="text1"/>
          <w:kern w:val="22"/>
          <w:lang w:val="fr-FR"/>
        </w:rPr>
        <w:t xml:space="preserve">2014, </w:t>
      </w:r>
      <w:r w:rsidR="001A259A">
        <w:rPr>
          <w:rFonts w:eastAsia="Times New Roman"/>
          <w:color w:val="000000" w:themeColor="text1"/>
          <w:kern w:val="22"/>
          <w:lang w:val="fr-FR"/>
        </w:rPr>
        <w:t>par laquelle elle a adopté la stratégie</w:t>
      </w:r>
      <w:r w:rsidR="00AE005D" w:rsidRPr="00124D03">
        <w:rPr>
          <w:rFonts w:eastAsia="Times New Roman"/>
          <w:color w:val="000000" w:themeColor="text1"/>
          <w:kern w:val="22"/>
          <w:lang w:val="fr-FR"/>
        </w:rPr>
        <w:t xml:space="preserve"> </w:t>
      </w:r>
      <w:r w:rsidR="001A259A">
        <w:rPr>
          <w:rFonts w:eastAsia="Times New Roman"/>
          <w:color w:val="000000" w:themeColor="text1"/>
          <w:kern w:val="22"/>
          <w:lang w:val="fr-FR"/>
        </w:rPr>
        <w:t>de sensibilisation pour le Protocole </w:t>
      </w:r>
      <w:r w:rsidR="00E24390" w:rsidRPr="00124D03">
        <w:rPr>
          <w:rFonts w:eastAsia="Times New Roman"/>
          <w:color w:val="000000" w:themeColor="text1"/>
          <w:kern w:val="22"/>
          <w:lang w:val="fr-FR"/>
        </w:rPr>
        <w:t>;</w:t>
      </w:r>
    </w:p>
    <w:p w14:paraId="5C7EB9E3" w14:textId="11DD6667" w:rsidR="00054330"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2.</w:t>
      </w:r>
      <w:r w:rsidRPr="00124D03">
        <w:rPr>
          <w:rFonts w:eastAsia="Times New Roman"/>
          <w:szCs w:val="24"/>
          <w:lang w:val="fr-FR"/>
        </w:rPr>
        <w:tab/>
      </w:r>
      <w:r w:rsidR="00DA11FE" w:rsidRPr="00124D03">
        <w:rPr>
          <w:i/>
          <w:lang w:val="fr-FR"/>
        </w:rPr>
        <w:t>E</w:t>
      </w:r>
      <w:r w:rsidR="00B2622E" w:rsidRPr="00124D03">
        <w:rPr>
          <w:i/>
          <w:lang w:val="fr-FR"/>
        </w:rPr>
        <w:t>ncourage</w:t>
      </w:r>
      <w:r w:rsidR="00B2622E" w:rsidRPr="00124D03">
        <w:rPr>
          <w:rFonts w:eastAsia="Times New Roman"/>
          <w:color w:val="000000" w:themeColor="text1"/>
          <w:kern w:val="22"/>
          <w:lang w:val="fr-FR"/>
        </w:rPr>
        <w:t xml:space="preserve"> </w:t>
      </w:r>
      <w:r w:rsidR="001A259A">
        <w:rPr>
          <w:rFonts w:eastAsia="Times New Roman"/>
          <w:color w:val="000000" w:themeColor="text1"/>
          <w:kern w:val="22"/>
          <w:lang w:val="fr-FR"/>
        </w:rPr>
        <w:t xml:space="preserve">les </w:t>
      </w:r>
      <w:r w:rsidR="00B2622E" w:rsidRPr="00124D03">
        <w:rPr>
          <w:rFonts w:eastAsia="Times New Roman"/>
          <w:color w:val="000000" w:themeColor="text1"/>
          <w:kern w:val="22"/>
          <w:lang w:val="fr-FR"/>
        </w:rPr>
        <w:t xml:space="preserve">Parties, </w:t>
      </w:r>
      <w:r w:rsidR="001A259A">
        <w:rPr>
          <w:rFonts w:eastAsia="Times New Roman"/>
          <w:color w:val="000000" w:themeColor="text1"/>
          <w:kern w:val="22"/>
          <w:lang w:val="fr-FR"/>
        </w:rPr>
        <w:t>les autres gouvernements et les organisations concernées, y compris les centres régionaux et sous-régionaux d’appui à la coopération technique et scientifique, en mesure de le faire, à :</w:t>
      </w:r>
    </w:p>
    <w:p w14:paraId="18677530" w14:textId="49254C5F" w:rsidR="00054330"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a)</w:t>
      </w:r>
      <w:r w:rsidRPr="00124D03">
        <w:rPr>
          <w:rFonts w:eastAsia="Times New Roman"/>
          <w:iCs/>
          <w:szCs w:val="24"/>
          <w:lang w:val="fr-FR"/>
        </w:rPr>
        <w:tab/>
      </w:r>
      <w:r w:rsidR="001A259A">
        <w:rPr>
          <w:rFonts w:eastAsia="Times New Roman"/>
          <w:iCs/>
          <w:szCs w:val="24"/>
          <w:lang w:val="fr-FR"/>
        </w:rPr>
        <w:t xml:space="preserve">Redoubler d’efforts pour </w:t>
      </w:r>
      <w:r w:rsidR="00711304">
        <w:rPr>
          <w:rFonts w:eastAsia="Times New Roman"/>
          <w:iCs/>
          <w:szCs w:val="24"/>
          <w:lang w:val="fr-FR"/>
        </w:rPr>
        <w:t>renforcer</w:t>
      </w:r>
      <w:r w:rsidR="001A259A">
        <w:rPr>
          <w:rFonts w:eastAsia="Times New Roman"/>
          <w:iCs/>
          <w:szCs w:val="24"/>
          <w:lang w:val="fr-FR"/>
        </w:rPr>
        <w:t xml:space="preserve"> </w:t>
      </w:r>
      <w:r w:rsidR="00711304">
        <w:rPr>
          <w:rFonts w:eastAsia="Times New Roman"/>
          <w:iCs/>
          <w:szCs w:val="24"/>
          <w:lang w:val="fr-FR"/>
        </w:rPr>
        <w:t>l</w:t>
      </w:r>
      <w:r w:rsidR="001A259A">
        <w:rPr>
          <w:rFonts w:eastAsia="Times New Roman"/>
          <w:iCs/>
          <w:szCs w:val="24"/>
          <w:lang w:val="fr-FR"/>
        </w:rPr>
        <w:t>es capacités visant à mettre en œuvre le Protocole de Nagoya, conformément à l’article 22 ;</w:t>
      </w:r>
    </w:p>
    <w:p w14:paraId="075E10B3" w14:textId="0B9B7CBB" w:rsidR="00272B4D"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b)</w:t>
      </w:r>
      <w:r w:rsidRPr="00124D03">
        <w:rPr>
          <w:rFonts w:eastAsia="Times New Roman"/>
          <w:iCs/>
          <w:szCs w:val="24"/>
          <w:lang w:val="fr-FR"/>
        </w:rPr>
        <w:tab/>
      </w:r>
      <w:r w:rsidR="001A259A">
        <w:rPr>
          <w:rFonts w:eastAsia="Times New Roman"/>
          <w:iCs/>
          <w:szCs w:val="24"/>
          <w:lang w:val="fr-FR"/>
        </w:rPr>
        <w:t xml:space="preserve">Tenir compte des </w:t>
      </w:r>
      <w:r w:rsidR="00E66D42" w:rsidRPr="0065686B">
        <w:rPr>
          <w:lang w:val="fr-FR"/>
        </w:rPr>
        <w:t>conclusions et des messages essentiels</w:t>
      </w:r>
      <w:r w:rsidR="00E66D42">
        <w:rPr>
          <w:lang w:val="fr-FR"/>
        </w:rPr>
        <w:t> </w:t>
      </w:r>
      <w:r w:rsidR="001A259A">
        <w:rPr>
          <w:rFonts w:eastAsia="Times New Roman"/>
          <w:iCs/>
          <w:szCs w:val="24"/>
          <w:lang w:val="fr-FR"/>
        </w:rPr>
        <w:t>du deuxième exercice d’évaluation</w:t>
      </w:r>
      <w:r w:rsidR="00ED7641">
        <w:rPr>
          <w:rFonts w:eastAsia="Times New Roman"/>
          <w:iCs/>
          <w:szCs w:val="24"/>
          <w:lang w:val="fr-FR"/>
        </w:rPr>
        <w:t xml:space="preserve"> </w:t>
      </w:r>
      <w:r w:rsidR="001A259A">
        <w:rPr>
          <w:rFonts w:eastAsia="Times New Roman"/>
          <w:iCs/>
          <w:szCs w:val="24"/>
          <w:lang w:val="fr-FR"/>
        </w:rPr>
        <w:t xml:space="preserve">et d’examen de l’efficacité du Protocole de Nagoya, qui </w:t>
      </w:r>
      <w:r w:rsidR="00711304">
        <w:rPr>
          <w:rFonts w:eastAsia="Times New Roman"/>
          <w:iCs/>
          <w:szCs w:val="24"/>
          <w:lang w:val="fr-FR"/>
        </w:rPr>
        <w:t>indiquent</w:t>
      </w:r>
      <w:r w:rsidR="001A259A">
        <w:rPr>
          <w:rFonts w:eastAsia="Times New Roman"/>
          <w:iCs/>
          <w:szCs w:val="24"/>
          <w:lang w:val="fr-FR"/>
        </w:rPr>
        <w:t xml:space="preserve"> des domaines où les Parties ont besoin de davantage d’appui, </w:t>
      </w:r>
      <w:r w:rsidR="00711304">
        <w:rPr>
          <w:rFonts w:eastAsia="Times New Roman"/>
          <w:iCs/>
          <w:szCs w:val="24"/>
          <w:lang w:val="fr-FR"/>
        </w:rPr>
        <w:t>ainsi que</w:t>
      </w:r>
      <w:r w:rsidR="001A259A">
        <w:rPr>
          <w:rFonts w:eastAsia="Times New Roman"/>
          <w:iCs/>
          <w:szCs w:val="24"/>
          <w:lang w:val="fr-FR"/>
        </w:rPr>
        <w:t xml:space="preserve"> des mesures indicatives pouvant être prises au niveau national pour améliorer la mise en œuvre du Protocole</w:t>
      </w:r>
      <w:r w:rsidR="00353A70" w:rsidRPr="00124D03">
        <w:rPr>
          <w:rStyle w:val="FootnoteReference"/>
          <w:rFonts w:eastAsia="Times New Roman"/>
          <w:iCs/>
          <w:szCs w:val="24"/>
          <w:lang w:val="fr-FR"/>
        </w:rPr>
        <w:footnoteReference w:id="24"/>
      </w:r>
      <w:r w:rsidR="001A259A">
        <w:rPr>
          <w:rFonts w:eastAsia="Times New Roman"/>
          <w:iCs/>
          <w:szCs w:val="24"/>
          <w:lang w:val="fr-FR"/>
        </w:rPr>
        <w:t> ;</w:t>
      </w:r>
    </w:p>
    <w:p w14:paraId="7F062C17" w14:textId="13D3B2A8" w:rsidR="00DA11FE"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c)</w:t>
      </w:r>
      <w:r w:rsidRPr="00124D03">
        <w:rPr>
          <w:rFonts w:eastAsia="Times New Roman"/>
          <w:iCs/>
          <w:szCs w:val="24"/>
          <w:lang w:val="fr-FR"/>
        </w:rPr>
        <w:tab/>
      </w:r>
      <w:r w:rsidR="00746298">
        <w:rPr>
          <w:rFonts w:eastAsia="Times New Roman"/>
          <w:iCs/>
          <w:szCs w:val="24"/>
          <w:lang w:val="fr-FR"/>
        </w:rPr>
        <w:t>Promouvoir</w:t>
      </w:r>
      <w:r w:rsidR="001A259A">
        <w:rPr>
          <w:rFonts w:eastAsia="Times New Roman"/>
          <w:iCs/>
          <w:szCs w:val="24"/>
          <w:lang w:val="fr-FR"/>
        </w:rPr>
        <w:t xml:space="preserve"> </w:t>
      </w:r>
      <w:r w:rsidR="00711304">
        <w:rPr>
          <w:rFonts w:eastAsia="Times New Roman"/>
          <w:iCs/>
          <w:szCs w:val="24"/>
          <w:lang w:val="fr-FR"/>
        </w:rPr>
        <w:t>le partage</w:t>
      </w:r>
      <w:r w:rsidR="001A259A">
        <w:rPr>
          <w:rFonts w:eastAsia="Times New Roman"/>
          <w:iCs/>
          <w:szCs w:val="24"/>
          <w:lang w:val="fr-FR"/>
        </w:rPr>
        <w:t xml:space="preserve"> d’expérience, des meilleures pratiques, des exemples de réussite et </w:t>
      </w:r>
      <w:r w:rsidR="00711304">
        <w:rPr>
          <w:rFonts w:eastAsia="Times New Roman"/>
          <w:iCs/>
          <w:szCs w:val="24"/>
          <w:lang w:val="fr-FR"/>
        </w:rPr>
        <w:t>d</w:t>
      </w:r>
      <w:r w:rsidR="001A259A">
        <w:rPr>
          <w:rFonts w:eastAsia="Times New Roman"/>
          <w:iCs/>
          <w:szCs w:val="24"/>
          <w:lang w:val="fr-FR"/>
        </w:rPr>
        <w:t xml:space="preserve">es leçons tirées en matière de mise en œuvre du Protocole de Nagoya </w:t>
      </w:r>
      <w:r w:rsidR="00746298">
        <w:rPr>
          <w:rFonts w:eastAsia="Times New Roman"/>
          <w:iCs/>
          <w:szCs w:val="24"/>
          <w:lang w:val="fr-FR"/>
        </w:rPr>
        <w:t xml:space="preserve">entre un grand nombre d’acteurs différents impliqués dans des processus d’accès et de partage des </w:t>
      </w:r>
      <w:r w:rsidR="00711304">
        <w:rPr>
          <w:rFonts w:eastAsia="Times New Roman"/>
          <w:iCs/>
          <w:szCs w:val="24"/>
          <w:lang w:val="fr-FR"/>
        </w:rPr>
        <w:t>avantages</w:t>
      </w:r>
      <w:r w:rsidR="00746298">
        <w:rPr>
          <w:rFonts w:eastAsia="Times New Roman"/>
          <w:iCs/>
          <w:szCs w:val="24"/>
          <w:lang w:val="fr-FR"/>
        </w:rPr>
        <w:t xml:space="preserve">, </w:t>
      </w:r>
      <w:r w:rsidR="00FF4A6A">
        <w:rPr>
          <w:rFonts w:eastAsia="Times New Roman"/>
          <w:iCs/>
          <w:szCs w:val="24"/>
          <w:lang w:val="fr-FR"/>
        </w:rPr>
        <w:t>ainsi qu’à rédiger</w:t>
      </w:r>
      <w:r w:rsidR="00746298">
        <w:rPr>
          <w:rFonts w:eastAsia="Times New Roman"/>
          <w:iCs/>
          <w:szCs w:val="24"/>
          <w:lang w:val="fr-FR"/>
        </w:rPr>
        <w:t xml:space="preserve"> des documents d’orientation, en particulier dans le</w:t>
      </w:r>
      <w:r w:rsidR="00042DC8">
        <w:rPr>
          <w:rFonts w:eastAsia="Times New Roman"/>
          <w:iCs/>
          <w:szCs w:val="24"/>
          <w:lang w:val="fr-FR"/>
        </w:rPr>
        <w:t>s</w:t>
      </w:r>
      <w:r w:rsidR="00746298">
        <w:rPr>
          <w:rFonts w:eastAsia="Times New Roman"/>
          <w:iCs/>
          <w:szCs w:val="24"/>
          <w:lang w:val="fr-FR"/>
        </w:rPr>
        <w:t xml:space="preserve"> domaines recensés dans les </w:t>
      </w:r>
      <w:r w:rsidR="001C7A1E" w:rsidRPr="0065686B">
        <w:rPr>
          <w:lang w:val="fr-FR"/>
        </w:rPr>
        <w:t xml:space="preserve">conclusions et </w:t>
      </w:r>
      <w:r w:rsidR="001C7A1E">
        <w:rPr>
          <w:lang w:val="fr-FR"/>
        </w:rPr>
        <w:t>l</w:t>
      </w:r>
      <w:r w:rsidR="001C7A1E" w:rsidRPr="0065686B">
        <w:rPr>
          <w:lang w:val="fr-FR"/>
        </w:rPr>
        <w:t>es messages essentiels</w:t>
      </w:r>
      <w:r w:rsidR="001C7A1E">
        <w:rPr>
          <w:lang w:val="fr-FR"/>
        </w:rPr>
        <w:t> </w:t>
      </w:r>
      <w:r w:rsidR="00746298">
        <w:rPr>
          <w:rFonts w:eastAsia="Times New Roman"/>
          <w:iCs/>
          <w:szCs w:val="24"/>
          <w:lang w:val="fr-FR"/>
        </w:rPr>
        <w:t>;</w:t>
      </w:r>
    </w:p>
    <w:p w14:paraId="15D641F0" w14:textId="7D7EEB27" w:rsidR="00805801"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d)</w:t>
      </w:r>
      <w:r w:rsidRPr="00124D03">
        <w:rPr>
          <w:rFonts w:eastAsia="Times New Roman"/>
          <w:iCs/>
          <w:szCs w:val="24"/>
          <w:lang w:val="fr-FR"/>
        </w:rPr>
        <w:tab/>
      </w:r>
      <w:r w:rsidR="00042DC8">
        <w:rPr>
          <w:rFonts w:eastAsia="Times New Roman"/>
          <w:iCs/>
          <w:szCs w:val="24"/>
          <w:lang w:val="fr-FR"/>
        </w:rPr>
        <w:t xml:space="preserve">Promouvoir </w:t>
      </w:r>
      <w:r w:rsidR="00711304">
        <w:rPr>
          <w:rFonts w:eastAsia="Times New Roman"/>
          <w:iCs/>
          <w:szCs w:val="24"/>
          <w:lang w:val="fr-FR"/>
        </w:rPr>
        <w:t>la création</w:t>
      </w:r>
      <w:r w:rsidR="00042DC8">
        <w:rPr>
          <w:rFonts w:eastAsia="Times New Roman"/>
          <w:iCs/>
          <w:szCs w:val="24"/>
          <w:lang w:val="fr-FR"/>
        </w:rPr>
        <w:t xml:space="preserve"> d’initiative</w:t>
      </w:r>
      <w:r w:rsidR="008F6163">
        <w:rPr>
          <w:rFonts w:eastAsia="Times New Roman"/>
          <w:iCs/>
          <w:szCs w:val="24"/>
          <w:lang w:val="fr-FR"/>
        </w:rPr>
        <w:t>s</w:t>
      </w:r>
      <w:r w:rsidR="00042DC8">
        <w:rPr>
          <w:rFonts w:eastAsia="Times New Roman"/>
          <w:iCs/>
          <w:szCs w:val="24"/>
          <w:lang w:val="fr-FR"/>
        </w:rPr>
        <w:t xml:space="preserve"> régionales et mondiales visant à faciliter </w:t>
      </w:r>
      <w:r w:rsidR="00711304">
        <w:rPr>
          <w:rFonts w:eastAsia="Times New Roman"/>
          <w:iCs/>
          <w:szCs w:val="24"/>
          <w:lang w:val="fr-FR"/>
        </w:rPr>
        <w:t>le partage</w:t>
      </w:r>
      <w:r w:rsidR="00042DC8">
        <w:rPr>
          <w:rFonts w:eastAsia="Times New Roman"/>
          <w:iCs/>
          <w:szCs w:val="24"/>
          <w:lang w:val="fr-FR"/>
        </w:rPr>
        <w:t xml:space="preserve"> d’expérience et des leçons tirées entre différents acteurs ;</w:t>
      </w:r>
    </w:p>
    <w:p w14:paraId="752A2A5E" w14:textId="0B75B0A2" w:rsidR="00E90A90" w:rsidRPr="00124D03" w:rsidRDefault="008F6AFE" w:rsidP="006B144A">
      <w:pPr>
        <w:pStyle w:val="CBDNormalNoNumber"/>
        <w:tabs>
          <w:tab w:val="clear" w:pos="567"/>
        </w:tabs>
        <w:ind w:left="1134" w:firstLine="567"/>
        <w:rPr>
          <w:u w:color="000000"/>
          <w:bdr w:val="nil"/>
          <w:lang w:val="fr-FR"/>
        </w:rPr>
      </w:pPr>
      <w:r w:rsidRPr="00124D03">
        <w:rPr>
          <w:u w:color="000000"/>
          <w:bdr w:val="nil"/>
          <w:lang w:val="fr-FR"/>
        </w:rPr>
        <w:t>e)</w:t>
      </w:r>
      <w:r w:rsidRPr="00124D03">
        <w:rPr>
          <w:u w:color="000000"/>
          <w:bdr w:val="nil"/>
          <w:lang w:val="fr-FR"/>
        </w:rPr>
        <w:tab/>
      </w:r>
      <w:r w:rsidR="00042DC8">
        <w:rPr>
          <w:u w:color="000000"/>
          <w:bdr w:val="nil"/>
          <w:lang w:val="fr-FR"/>
        </w:rPr>
        <w:t>Créer ou renforcer des mécanismes qui facilitent les partenariats entre utilisateurs et fournisseurs de ressources génétiques et de connaissances traditionnelles associées ;</w:t>
      </w:r>
    </w:p>
    <w:p w14:paraId="437C9DEF" w14:textId="140D4AE5" w:rsidR="006B30E7"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f)</w:t>
      </w:r>
      <w:r w:rsidRPr="00124D03">
        <w:rPr>
          <w:rFonts w:eastAsia="Times New Roman"/>
          <w:iCs/>
          <w:szCs w:val="24"/>
          <w:lang w:val="fr-FR"/>
        </w:rPr>
        <w:tab/>
      </w:r>
      <w:r w:rsidR="00042DC8">
        <w:rPr>
          <w:u w:color="000000"/>
          <w:bdr w:val="nil"/>
          <w:lang w:val="fr-FR"/>
        </w:rPr>
        <w:t>Documenter et partager par le biais du Centre d’échange sur l’accès et le partage des avantages</w:t>
      </w:r>
      <w:r w:rsidR="008F6163">
        <w:rPr>
          <w:u w:color="000000"/>
          <w:bdr w:val="nil"/>
          <w:lang w:val="fr-FR"/>
        </w:rPr>
        <w:t>,</w:t>
      </w:r>
      <w:r w:rsidR="00042DC8">
        <w:rPr>
          <w:u w:color="000000"/>
          <w:bdr w:val="nil"/>
          <w:lang w:val="fr-FR"/>
        </w:rPr>
        <w:t xml:space="preserve"> les leçons tirées, les meilleures pratiques et les ressources de création et de renforcement des capacités pour la mise en œuvre du Protocole de Nagoya ;</w:t>
      </w:r>
    </w:p>
    <w:p w14:paraId="7A04BD99" w14:textId="18EAAC38" w:rsidR="00DD5812" w:rsidRPr="00124D03" w:rsidRDefault="008F6AFE" w:rsidP="006B144A">
      <w:pPr>
        <w:pStyle w:val="CBDNormalNoNumber"/>
        <w:tabs>
          <w:tab w:val="clear" w:pos="567"/>
        </w:tabs>
        <w:ind w:left="1134" w:firstLine="567"/>
        <w:rPr>
          <w:u w:color="000000"/>
          <w:bdr w:val="nil"/>
          <w:lang w:val="fr-FR"/>
        </w:rPr>
      </w:pPr>
      <w:r w:rsidRPr="00124D03">
        <w:rPr>
          <w:u w:color="000000"/>
          <w:bdr w:val="nil"/>
          <w:lang w:val="fr-FR"/>
        </w:rPr>
        <w:t>g)</w:t>
      </w:r>
      <w:r w:rsidRPr="00124D03">
        <w:rPr>
          <w:u w:color="000000"/>
          <w:bdr w:val="nil"/>
          <w:lang w:val="fr-FR"/>
        </w:rPr>
        <w:tab/>
      </w:r>
      <w:r w:rsidR="00194D3F">
        <w:rPr>
          <w:u w:color="000000"/>
          <w:bdr w:val="nil"/>
          <w:lang w:val="fr-FR"/>
        </w:rPr>
        <w:t>Appuyer les travaux relatifs aux systèmes d’information qui pourraient faciliter l’accès et le partage des avantages, ainsi que le respect des obligations au titre du Protocole de Nagoya, et de rendre ces systèmes compatibles avec le Centre d’échange sur l’accès et le partage des avantages, selon qu’il conviendra ;</w:t>
      </w:r>
    </w:p>
    <w:p w14:paraId="22EA87F3" w14:textId="2E73218D" w:rsidR="00DD5812" w:rsidRPr="00124D03" w:rsidRDefault="008F6AFE" w:rsidP="006B144A">
      <w:pPr>
        <w:pStyle w:val="CBDNormalNoNumber"/>
        <w:tabs>
          <w:tab w:val="clear" w:pos="567"/>
        </w:tabs>
        <w:ind w:left="1134" w:firstLine="567"/>
        <w:rPr>
          <w:u w:color="000000"/>
          <w:bdr w:val="nil"/>
          <w:lang w:val="fr-FR"/>
        </w:rPr>
      </w:pPr>
      <w:r w:rsidRPr="00124D03">
        <w:rPr>
          <w:u w:color="000000"/>
          <w:bdr w:val="nil"/>
          <w:lang w:val="fr-FR"/>
        </w:rPr>
        <w:t>h)</w:t>
      </w:r>
      <w:r w:rsidRPr="00124D03">
        <w:rPr>
          <w:u w:color="000000"/>
          <w:bdr w:val="nil"/>
          <w:lang w:val="fr-FR"/>
        </w:rPr>
        <w:tab/>
      </w:r>
      <w:r w:rsidR="00711304">
        <w:rPr>
          <w:u w:color="000000"/>
          <w:bdr w:val="nil"/>
          <w:lang w:val="fr-FR"/>
        </w:rPr>
        <w:t>Aider les</w:t>
      </w:r>
      <w:r w:rsidR="005D41F2">
        <w:rPr>
          <w:u w:color="000000"/>
          <w:bdr w:val="nil"/>
          <w:lang w:val="fr-FR"/>
        </w:rPr>
        <w:t xml:space="preserve"> peuples autochtones et communautés locales </w:t>
      </w:r>
      <w:r w:rsidR="00711304">
        <w:rPr>
          <w:u w:color="000000"/>
          <w:bdr w:val="nil"/>
          <w:lang w:val="fr-FR"/>
        </w:rPr>
        <w:t>à utiliser le</w:t>
      </w:r>
      <w:r w:rsidR="005D41F2">
        <w:rPr>
          <w:u w:color="000000"/>
          <w:bdr w:val="nil"/>
          <w:lang w:val="fr-FR"/>
        </w:rPr>
        <w:t xml:space="preserve"> Centre d’échange sur l’accès et le partage des avantages</w:t>
      </w:r>
      <w:r w:rsidR="00711304">
        <w:rPr>
          <w:u w:color="000000"/>
          <w:bdr w:val="nil"/>
          <w:lang w:val="fr-FR"/>
        </w:rPr>
        <w:t xml:space="preserve"> et à y publier des informations</w:t>
      </w:r>
      <w:r w:rsidR="005D41F2">
        <w:rPr>
          <w:u w:color="000000"/>
          <w:bdr w:val="nil"/>
          <w:lang w:val="fr-FR"/>
        </w:rPr>
        <w:t xml:space="preserve">, par exemple en </w:t>
      </w:r>
      <w:r w:rsidR="00711304">
        <w:rPr>
          <w:u w:color="000000"/>
          <w:bdr w:val="nil"/>
          <w:lang w:val="fr-FR"/>
        </w:rPr>
        <w:t>intégrant</w:t>
      </w:r>
      <w:r w:rsidR="005D41F2">
        <w:rPr>
          <w:u w:color="000000"/>
          <w:bdr w:val="nil"/>
          <w:lang w:val="fr-FR"/>
        </w:rPr>
        <w:t xml:space="preserve"> des formations sur le Centre d’échange dans les activités</w:t>
      </w:r>
      <w:r w:rsidR="00C64679">
        <w:rPr>
          <w:u w:color="000000"/>
          <w:bdr w:val="nil"/>
          <w:lang w:val="fr-FR"/>
        </w:rPr>
        <w:t xml:space="preserve"> pertinentes</w:t>
      </w:r>
      <w:r w:rsidR="005D41F2">
        <w:rPr>
          <w:u w:color="000000"/>
          <w:bdr w:val="nil"/>
          <w:lang w:val="fr-FR"/>
        </w:rPr>
        <w:t xml:space="preserve"> de création et de renforcement des capacités, selon qu’il conviendra ;</w:t>
      </w:r>
    </w:p>
    <w:p w14:paraId="7B0071F1" w14:textId="55920F04" w:rsidR="00542CB7" w:rsidRPr="00124D03" w:rsidRDefault="008F6AFE" w:rsidP="006B144A">
      <w:pPr>
        <w:pStyle w:val="CBDNormalNoNumber"/>
        <w:tabs>
          <w:tab w:val="clear" w:pos="567"/>
        </w:tabs>
        <w:ind w:left="1134" w:firstLine="567"/>
        <w:rPr>
          <w:lang w:val="fr-FR"/>
        </w:rPr>
      </w:pPr>
      <w:r w:rsidRPr="00124D03">
        <w:rPr>
          <w:rFonts w:eastAsia="Times New Roman"/>
          <w:lang w:val="fr-FR"/>
        </w:rPr>
        <w:t>3.</w:t>
      </w:r>
      <w:r w:rsidRPr="00124D03">
        <w:rPr>
          <w:rFonts w:eastAsia="Times New Roman"/>
          <w:lang w:val="fr-FR"/>
        </w:rPr>
        <w:tab/>
      </w:r>
      <w:r w:rsidR="00542CB7" w:rsidRPr="00124D03">
        <w:rPr>
          <w:i/>
          <w:iCs/>
          <w:lang w:val="fr-FR"/>
        </w:rPr>
        <w:t xml:space="preserve">Invite </w:t>
      </w:r>
      <w:r w:rsidR="00E97C7A">
        <w:rPr>
          <w:lang w:val="fr-FR"/>
        </w:rPr>
        <w:t xml:space="preserve">les </w:t>
      </w:r>
      <w:r w:rsidR="00542CB7" w:rsidRPr="00124D03">
        <w:rPr>
          <w:lang w:val="fr-FR"/>
        </w:rPr>
        <w:t xml:space="preserve">Parties, </w:t>
      </w:r>
      <w:r w:rsidR="00E97C7A">
        <w:rPr>
          <w:lang w:val="fr-FR"/>
        </w:rPr>
        <w:t xml:space="preserve">les autres gouvernements, les peuples autochtones et communautés locales, ainsi que les parties prenantes et les organisations concernées, y compris, selon qu’il conviendra, les centres d’appui à la coopération, à renforcer leurs efforts </w:t>
      </w:r>
      <w:r w:rsidR="00E97C7A">
        <w:rPr>
          <w:lang w:val="fr-FR"/>
        </w:rPr>
        <w:lastRenderedPageBreak/>
        <w:t>de communication, notamment par le biais de campagnes ciblées sur différents acteurs de l’accès et du partage des avantages, et à envisager de :</w:t>
      </w:r>
    </w:p>
    <w:p w14:paraId="4F87883C" w14:textId="48596A60" w:rsidR="00776B0B"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a)</w:t>
      </w:r>
      <w:r w:rsidRPr="00124D03">
        <w:rPr>
          <w:rFonts w:eastAsia="Times New Roman"/>
          <w:iCs/>
          <w:szCs w:val="24"/>
          <w:lang w:val="fr-FR"/>
        </w:rPr>
        <w:tab/>
      </w:r>
      <w:r w:rsidR="003C182B">
        <w:rPr>
          <w:rFonts w:eastAsia="Times New Roman"/>
          <w:iCs/>
          <w:szCs w:val="24"/>
          <w:lang w:val="fr-FR"/>
        </w:rPr>
        <w:t>Favoriser la reconnaissance plus large du troisième objectif de la Convention sur la diversité biologique</w:t>
      </w:r>
      <w:r w:rsidR="00FD2868" w:rsidRPr="00124D03">
        <w:rPr>
          <w:rStyle w:val="FootnoteReference"/>
          <w:rFonts w:eastAsia="Times New Roman"/>
          <w:iCs/>
          <w:szCs w:val="24"/>
          <w:lang w:val="fr-FR"/>
        </w:rPr>
        <w:footnoteReference w:id="25"/>
      </w:r>
      <w:r w:rsidR="003C182B">
        <w:rPr>
          <w:rFonts w:eastAsia="Times New Roman"/>
          <w:iCs/>
          <w:szCs w:val="24"/>
          <w:lang w:val="fr-FR"/>
        </w:rPr>
        <w:t xml:space="preserve">, c’est-à-dire le partage juste et équitable des avantages découlant de l’utilisation de ressources génétiques, </w:t>
      </w:r>
      <w:proofErr w:type="gramStart"/>
      <w:r w:rsidR="003C182B">
        <w:rPr>
          <w:rFonts w:eastAsia="Times New Roman"/>
          <w:iCs/>
          <w:szCs w:val="24"/>
          <w:lang w:val="fr-FR"/>
        </w:rPr>
        <w:t>de manière à ce</w:t>
      </w:r>
      <w:proofErr w:type="gramEnd"/>
      <w:r w:rsidR="003C182B">
        <w:rPr>
          <w:rFonts w:eastAsia="Times New Roman"/>
          <w:iCs/>
          <w:szCs w:val="24"/>
          <w:lang w:val="fr-FR"/>
        </w:rPr>
        <w:t xml:space="preserve"> qu’il soit reconnu comme </w:t>
      </w:r>
      <w:r w:rsidR="0089633F">
        <w:rPr>
          <w:rFonts w:eastAsia="Times New Roman"/>
          <w:iCs/>
          <w:szCs w:val="24"/>
          <w:lang w:val="fr-FR"/>
        </w:rPr>
        <w:t xml:space="preserve">une </w:t>
      </w:r>
      <w:r w:rsidR="003C182B">
        <w:rPr>
          <w:rFonts w:eastAsia="Times New Roman"/>
          <w:iCs/>
          <w:szCs w:val="24"/>
          <w:lang w:val="fr-FR"/>
        </w:rPr>
        <w:t xml:space="preserve">stratégie de valorisation de la biodiversité, d’appui à sa conservation et à son utilisation durable, et d’ouvrir des possibilités de développement durable, dans le même esprit que les </w:t>
      </w:r>
      <w:r w:rsidR="001C7A1E" w:rsidRPr="0065686B">
        <w:rPr>
          <w:lang w:val="fr-FR"/>
        </w:rPr>
        <w:t xml:space="preserve">conclusions et </w:t>
      </w:r>
      <w:r w:rsidR="001C7A1E">
        <w:rPr>
          <w:lang w:val="fr-FR"/>
        </w:rPr>
        <w:t>l</w:t>
      </w:r>
      <w:r w:rsidR="001C7A1E" w:rsidRPr="0065686B">
        <w:rPr>
          <w:lang w:val="fr-FR"/>
        </w:rPr>
        <w:t>es messages essentiels</w:t>
      </w:r>
      <w:r w:rsidR="001C7A1E">
        <w:rPr>
          <w:lang w:val="fr-FR"/>
        </w:rPr>
        <w:t> </w:t>
      </w:r>
      <w:r w:rsidR="003C182B">
        <w:rPr>
          <w:rFonts w:eastAsia="Times New Roman"/>
          <w:iCs/>
          <w:szCs w:val="24"/>
          <w:lang w:val="fr-FR"/>
        </w:rPr>
        <w:t>;</w:t>
      </w:r>
    </w:p>
    <w:p w14:paraId="5B201612" w14:textId="0C3BDF6E" w:rsidR="00542CB7"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b)</w:t>
      </w:r>
      <w:r w:rsidRPr="00124D03">
        <w:rPr>
          <w:rFonts w:eastAsia="Times New Roman"/>
          <w:iCs/>
          <w:szCs w:val="24"/>
          <w:lang w:val="fr-FR"/>
        </w:rPr>
        <w:tab/>
      </w:r>
      <w:r w:rsidR="003C182B">
        <w:rPr>
          <w:rFonts w:eastAsia="Times New Roman"/>
          <w:iCs/>
          <w:szCs w:val="24"/>
          <w:lang w:val="fr-FR"/>
        </w:rPr>
        <w:t>Mettre en œuvre la stratégie de sensibilisation du Protocole de Nagoya ;</w:t>
      </w:r>
    </w:p>
    <w:p w14:paraId="78FBA38D" w14:textId="19B95350" w:rsidR="00542CB7"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iCs/>
          <w:szCs w:val="24"/>
          <w:lang w:val="fr-FR"/>
        </w:rPr>
        <w:t>c)</w:t>
      </w:r>
      <w:r w:rsidRPr="00124D03">
        <w:rPr>
          <w:rFonts w:eastAsia="Times New Roman"/>
          <w:iCs/>
          <w:szCs w:val="24"/>
          <w:lang w:val="fr-FR"/>
        </w:rPr>
        <w:tab/>
      </w:r>
      <w:r w:rsidR="003C182B">
        <w:rPr>
          <w:rFonts w:eastAsia="Times New Roman"/>
          <w:iCs/>
          <w:szCs w:val="24"/>
          <w:lang w:val="fr-FR"/>
        </w:rPr>
        <w:t>Recourir à des outils existants, tels que la boîte à outils pour la communication, l’éducation et la sensibilisation du public</w:t>
      </w:r>
      <w:r w:rsidR="009F7E9D" w:rsidRPr="00124D03">
        <w:rPr>
          <w:rStyle w:val="FootnoteReference"/>
          <w:rFonts w:eastAsia="Times New Roman"/>
          <w:iCs/>
          <w:szCs w:val="24"/>
          <w:lang w:val="fr-FR"/>
        </w:rPr>
        <w:footnoteReference w:id="26"/>
      </w:r>
      <w:r w:rsidR="003C182B">
        <w:rPr>
          <w:rFonts w:eastAsia="Times New Roman"/>
          <w:iCs/>
          <w:szCs w:val="24"/>
          <w:lang w:val="fr-FR"/>
        </w:rPr>
        <w:t>, incluant des considérations sur l’accès et le partage des avantages ;</w:t>
      </w:r>
    </w:p>
    <w:p w14:paraId="75A0E6F2" w14:textId="0C3EDA54" w:rsidR="00C5436E" w:rsidRPr="00124D03" w:rsidRDefault="008F6AFE" w:rsidP="006B144A">
      <w:pPr>
        <w:pStyle w:val="CBDNormalNoNumber"/>
        <w:tabs>
          <w:tab w:val="clear" w:pos="567"/>
        </w:tabs>
        <w:ind w:left="1134" w:firstLine="567"/>
        <w:rPr>
          <w:rFonts w:eastAsia="Times New Roman"/>
          <w:kern w:val="22"/>
          <w:lang w:val="fr-FR"/>
        </w:rPr>
      </w:pPr>
      <w:r w:rsidRPr="00124D03">
        <w:rPr>
          <w:rFonts w:eastAsia="Times New Roman"/>
          <w:kern w:val="22"/>
          <w:lang w:val="fr-FR"/>
        </w:rPr>
        <w:t>4.</w:t>
      </w:r>
      <w:r w:rsidRPr="00124D03">
        <w:rPr>
          <w:rFonts w:eastAsia="Times New Roman"/>
          <w:kern w:val="22"/>
          <w:lang w:val="fr-FR"/>
        </w:rPr>
        <w:tab/>
      </w:r>
      <w:r w:rsidR="003C182B">
        <w:rPr>
          <w:i/>
          <w:lang w:val="fr-FR"/>
        </w:rPr>
        <w:t>Prie</w:t>
      </w:r>
      <w:r w:rsidR="003C4235" w:rsidRPr="00124D03">
        <w:rPr>
          <w:rFonts w:eastAsia="Times New Roman"/>
          <w:kern w:val="22"/>
          <w:lang w:val="fr-FR"/>
        </w:rPr>
        <w:t xml:space="preserve"> </w:t>
      </w:r>
      <w:r w:rsidR="003C182B">
        <w:rPr>
          <w:rFonts w:eastAsia="Times New Roman"/>
          <w:kern w:val="22"/>
          <w:lang w:val="fr-FR"/>
        </w:rPr>
        <w:t>la Secrétaire exécutive, selon la disponibilité des ressources, de :</w:t>
      </w:r>
    </w:p>
    <w:p w14:paraId="1E4A47E9" w14:textId="36C6798A" w:rsidR="00542CB7" w:rsidRPr="00124D03" w:rsidRDefault="008F6AFE" w:rsidP="006B144A">
      <w:pPr>
        <w:pStyle w:val="CBDNormalNoNumber"/>
        <w:tabs>
          <w:tab w:val="clear" w:pos="567"/>
        </w:tabs>
        <w:ind w:left="1134" w:firstLine="567"/>
        <w:rPr>
          <w:rFonts w:eastAsia="Times New Roman"/>
          <w:i/>
          <w:szCs w:val="24"/>
          <w:lang w:val="fr-FR"/>
        </w:rPr>
      </w:pPr>
      <w:r w:rsidRPr="00124D03">
        <w:rPr>
          <w:rFonts w:eastAsia="Times New Roman"/>
          <w:szCs w:val="24"/>
          <w:lang w:val="fr-FR"/>
        </w:rPr>
        <w:t>a)</w:t>
      </w:r>
      <w:r w:rsidRPr="00124D03">
        <w:rPr>
          <w:rFonts w:eastAsia="Times New Roman"/>
          <w:szCs w:val="24"/>
          <w:lang w:val="fr-FR"/>
        </w:rPr>
        <w:tab/>
      </w:r>
      <w:r w:rsidR="003C182B">
        <w:rPr>
          <w:rFonts w:eastAsia="Times New Roman"/>
          <w:szCs w:val="24"/>
          <w:lang w:val="fr-FR"/>
        </w:rPr>
        <w:t xml:space="preserve">Contribuer aux efforts de communication des acteurs mentionnés au paragraphe 3 ci-dessus et </w:t>
      </w:r>
      <w:r w:rsidR="00F670EB">
        <w:rPr>
          <w:rFonts w:eastAsia="Times New Roman"/>
          <w:szCs w:val="24"/>
          <w:lang w:val="fr-FR"/>
        </w:rPr>
        <w:t xml:space="preserve">de </w:t>
      </w:r>
      <w:r w:rsidR="003C182B">
        <w:rPr>
          <w:rFonts w:eastAsia="Times New Roman"/>
          <w:szCs w:val="24"/>
          <w:lang w:val="fr-FR"/>
        </w:rPr>
        <w:t xml:space="preserve">les encourager en </w:t>
      </w:r>
      <w:r w:rsidR="00B14B34">
        <w:rPr>
          <w:rFonts w:eastAsia="Times New Roman"/>
          <w:szCs w:val="24"/>
          <w:lang w:val="fr-FR"/>
        </w:rPr>
        <w:t xml:space="preserve">créant des </w:t>
      </w:r>
      <w:r w:rsidR="00F670EB">
        <w:rPr>
          <w:rFonts w:eastAsia="Times New Roman"/>
          <w:szCs w:val="24"/>
          <w:lang w:val="fr-FR"/>
        </w:rPr>
        <w:t>documents</w:t>
      </w:r>
      <w:r w:rsidR="00B14B34">
        <w:rPr>
          <w:rFonts w:eastAsia="Times New Roman"/>
          <w:szCs w:val="24"/>
          <w:lang w:val="fr-FR"/>
        </w:rPr>
        <w:t xml:space="preserve"> de communication ciblés qui soulignent les exemples de réussite et les meilleures pratiques et en diffusant ces informations, notamment par le biais du Centre d’échange sur l’accès et le partage des avantages ;</w:t>
      </w:r>
    </w:p>
    <w:p w14:paraId="58D9C428" w14:textId="755E8524" w:rsidR="003C4235" w:rsidRPr="00124D03" w:rsidRDefault="008F6AFE" w:rsidP="006B144A">
      <w:pPr>
        <w:pStyle w:val="CBDNormalNoNumber"/>
        <w:tabs>
          <w:tab w:val="clear" w:pos="567"/>
        </w:tabs>
        <w:ind w:left="1134" w:firstLine="567"/>
        <w:rPr>
          <w:rFonts w:eastAsia="Times New Roman"/>
          <w:i/>
          <w:szCs w:val="24"/>
          <w:lang w:val="fr-FR"/>
        </w:rPr>
      </w:pPr>
      <w:r w:rsidRPr="00124D03">
        <w:rPr>
          <w:rFonts w:eastAsia="Times New Roman"/>
          <w:szCs w:val="24"/>
          <w:lang w:val="fr-FR"/>
        </w:rPr>
        <w:t>b)</w:t>
      </w:r>
      <w:r w:rsidRPr="00124D03">
        <w:rPr>
          <w:rFonts w:eastAsia="Times New Roman"/>
          <w:szCs w:val="24"/>
          <w:lang w:val="fr-FR"/>
        </w:rPr>
        <w:tab/>
      </w:r>
      <w:r w:rsidR="00B14B34">
        <w:rPr>
          <w:rFonts w:eastAsia="Times New Roman"/>
          <w:szCs w:val="24"/>
          <w:lang w:val="fr-FR"/>
        </w:rPr>
        <w:t>Faciliter et encourage</w:t>
      </w:r>
      <w:r w:rsidR="00F670EB">
        <w:rPr>
          <w:rFonts w:eastAsia="Times New Roman"/>
          <w:szCs w:val="24"/>
          <w:lang w:val="fr-FR"/>
        </w:rPr>
        <w:t>r</w:t>
      </w:r>
      <w:r w:rsidR="00B14B34">
        <w:rPr>
          <w:rFonts w:eastAsia="Times New Roman"/>
          <w:szCs w:val="24"/>
          <w:lang w:val="fr-FR"/>
        </w:rPr>
        <w:t xml:space="preserve"> les échanges mentionnés aux alinéas</w:t>
      </w:r>
      <w:r w:rsidR="00132CD2">
        <w:rPr>
          <w:rFonts w:eastAsia="Times New Roman"/>
          <w:szCs w:val="24"/>
          <w:lang w:val="fr-FR"/>
        </w:rPr>
        <w:t> </w:t>
      </w:r>
      <w:r w:rsidR="00B14B34">
        <w:rPr>
          <w:rFonts w:eastAsia="Times New Roman"/>
          <w:szCs w:val="24"/>
          <w:lang w:val="fr-FR"/>
        </w:rPr>
        <w:t xml:space="preserve">2 c) et d) ci-dessus </w:t>
      </w:r>
      <w:r w:rsidR="00F670EB">
        <w:rPr>
          <w:rFonts w:eastAsia="Times New Roman"/>
          <w:szCs w:val="24"/>
          <w:lang w:val="fr-FR"/>
        </w:rPr>
        <w:t>au sujet des</w:t>
      </w:r>
      <w:r w:rsidR="00B14B34">
        <w:rPr>
          <w:rFonts w:eastAsia="Times New Roman"/>
          <w:szCs w:val="24"/>
          <w:lang w:val="fr-FR"/>
        </w:rPr>
        <w:t xml:space="preserve"> domaines recensés dans les </w:t>
      </w:r>
      <w:r w:rsidR="001C7A1E" w:rsidRPr="0065686B">
        <w:rPr>
          <w:lang w:val="fr-FR"/>
        </w:rPr>
        <w:t xml:space="preserve">conclusions et </w:t>
      </w:r>
      <w:r w:rsidR="001C7A1E">
        <w:rPr>
          <w:lang w:val="fr-FR"/>
        </w:rPr>
        <w:t>l</w:t>
      </w:r>
      <w:r w:rsidR="001C7A1E" w:rsidRPr="0065686B">
        <w:rPr>
          <w:lang w:val="fr-FR"/>
        </w:rPr>
        <w:t>es messages essentiels</w:t>
      </w:r>
      <w:r w:rsidR="00B14B34">
        <w:rPr>
          <w:rFonts w:eastAsia="Times New Roman"/>
          <w:szCs w:val="24"/>
          <w:lang w:val="fr-FR"/>
        </w:rPr>
        <w:t>, y compris par l’organisation d’ateliers régionaux ;</w:t>
      </w:r>
    </w:p>
    <w:p w14:paraId="1EBE6A80" w14:textId="61E2AB03" w:rsidR="00C5436E" w:rsidRPr="00124D03" w:rsidRDefault="008F6AFE" w:rsidP="006B144A">
      <w:pPr>
        <w:pStyle w:val="CBDNormalNoNumber"/>
        <w:tabs>
          <w:tab w:val="clear" w:pos="567"/>
        </w:tabs>
        <w:ind w:left="1134" w:firstLine="567"/>
        <w:rPr>
          <w:rFonts w:eastAsia="Times New Roman"/>
          <w:i/>
          <w:szCs w:val="24"/>
          <w:lang w:val="fr-FR"/>
        </w:rPr>
      </w:pPr>
      <w:r w:rsidRPr="00124D03">
        <w:rPr>
          <w:rFonts w:eastAsia="Times New Roman"/>
          <w:szCs w:val="24"/>
          <w:lang w:val="fr-FR"/>
        </w:rPr>
        <w:t>c)</w:t>
      </w:r>
      <w:r w:rsidRPr="00124D03">
        <w:rPr>
          <w:rFonts w:eastAsia="Times New Roman"/>
          <w:szCs w:val="24"/>
          <w:lang w:val="fr-FR"/>
        </w:rPr>
        <w:tab/>
      </w:r>
      <w:r w:rsidR="001F17C9">
        <w:rPr>
          <w:rFonts w:eastAsia="Times New Roman"/>
          <w:szCs w:val="24"/>
          <w:lang w:val="fr-FR"/>
        </w:rPr>
        <w:t xml:space="preserve">Promouvoir l’intégration de l’accès et du partage des avantages dans les initiatives régionales et sous-régionales de </w:t>
      </w:r>
      <w:r w:rsidR="00F670EB">
        <w:rPr>
          <w:rFonts w:eastAsia="Times New Roman"/>
          <w:szCs w:val="24"/>
          <w:lang w:val="fr-FR"/>
        </w:rPr>
        <w:t>renforcement</w:t>
      </w:r>
      <w:r w:rsidR="001F17C9">
        <w:rPr>
          <w:rFonts w:eastAsia="Times New Roman"/>
          <w:szCs w:val="24"/>
          <w:lang w:val="fr-FR"/>
        </w:rPr>
        <w:t xml:space="preserve"> de</w:t>
      </w:r>
      <w:r w:rsidR="00F670EB">
        <w:rPr>
          <w:rFonts w:eastAsia="Times New Roman"/>
          <w:szCs w:val="24"/>
          <w:lang w:val="fr-FR"/>
        </w:rPr>
        <w:t>s</w:t>
      </w:r>
      <w:r w:rsidR="001F17C9">
        <w:rPr>
          <w:rFonts w:eastAsia="Times New Roman"/>
          <w:szCs w:val="24"/>
          <w:lang w:val="fr-FR"/>
        </w:rPr>
        <w:t xml:space="preserve"> capacités, </w:t>
      </w:r>
      <w:r w:rsidR="00F670EB">
        <w:rPr>
          <w:rFonts w:eastAsia="Times New Roman"/>
          <w:szCs w:val="24"/>
          <w:lang w:val="fr-FR"/>
        </w:rPr>
        <w:t xml:space="preserve">dans </w:t>
      </w:r>
      <w:r w:rsidR="001F17C9">
        <w:rPr>
          <w:rFonts w:eastAsia="Times New Roman"/>
          <w:szCs w:val="24"/>
          <w:lang w:val="fr-FR"/>
        </w:rPr>
        <w:t xml:space="preserve">les cadres de coopération existants et </w:t>
      </w:r>
      <w:r w:rsidR="00F670EB">
        <w:rPr>
          <w:rFonts w:eastAsia="Times New Roman"/>
          <w:szCs w:val="24"/>
          <w:lang w:val="fr-FR"/>
        </w:rPr>
        <w:t xml:space="preserve">dans </w:t>
      </w:r>
      <w:r w:rsidR="001F17C9">
        <w:rPr>
          <w:rFonts w:eastAsia="Times New Roman"/>
          <w:szCs w:val="24"/>
          <w:lang w:val="fr-FR"/>
        </w:rPr>
        <w:t xml:space="preserve">les travaux des institutions régionales et sous-régionales </w:t>
      </w:r>
      <w:r w:rsidR="00F670EB">
        <w:rPr>
          <w:rFonts w:eastAsia="Times New Roman"/>
          <w:szCs w:val="24"/>
          <w:lang w:val="fr-FR"/>
        </w:rPr>
        <w:t>concernées</w:t>
      </w:r>
      <w:r w:rsidR="001F17C9">
        <w:rPr>
          <w:rFonts w:eastAsia="Times New Roman"/>
          <w:szCs w:val="24"/>
          <w:lang w:val="fr-FR"/>
        </w:rPr>
        <w:t>, y compris les centres d’appui à la coopération ;</w:t>
      </w:r>
    </w:p>
    <w:p w14:paraId="4DACEFD7" w14:textId="094EA683" w:rsidR="00D569CA" w:rsidRPr="00124D03" w:rsidRDefault="001755CD" w:rsidP="006B144A">
      <w:pPr>
        <w:pStyle w:val="CBDNormalNoNumber"/>
        <w:keepNext/>
        <w:rPr>
          <w:bCs/>
          <w:lang w:val="fr-FR"/>
        </w:rPr>
      </w:pPr>
      <w:r w:rsidRPr="00124D03">
        <w:rPr>
          <w:b/>
          <w:bCs/>
          <w:lang w:val="fr-FR"/>
        </w:rPr>
        <w:tab/>
      </w:r>
      <w:r w:rsidR="00343ABB" w:rsidRPr="00572D31">
        <w:rPr>
          <w:b/>
          <w:bCs/>
          <w:lang w:val="fr-FR"/>
        </w:rPr>
        <w:t>II</w:t>
      </w:r>
      <w:r w:rsidR="003C4289" w:rsidRPr="00572D31">
        <w:rPr>
          <w:b/>
          <w:bCs/>
          <w:lang w:val="fr-FR"/>
        </w:rPr>
        <w:br/>
      </w:r>
      <w:r w:rsidRPr="00572D31">
        <w:rPr>
          <w:b/>
          <w:bCs/>
          <w:lang w:val="fr-FR"/>
        </w:rPr>
        <w:tab/>
      </w:r>
      <w:r w:rsidR="001927F2" w:rsidRPr="00572D31">
        <w:rPr>
          <w:b/>
          <w:bCs/>
          <w:lang w:val="fr-FR"/>
        </w:rPr>
        <w:t xml:space="preserve">Centre d’échange sur l’accès et le partage des avantages et </w:t>
      </w:r>
      <w:r w:rsidR="00E31CA4" w:rsidRPr="00572D31">
        <w:rPr>
          <w:b/>
          <w:bCs/>
          <w:lang w:val="fr-FR"/>
        </w:rPr>
        <w:t>échange d’</w:t>
      </w:r>
      <w:r w:rsidR="001927F2" w:rsidRPr="00572D31">
        <w:rPr>
          <w:b/>
          <w:bCs/>
          <w:lang w:val="fr-FR"/>
        </w:rPr>
        <w:t>informations</w:t>
      </w:r>
    </w:p>
    <w:p w14:paraId="4001E780" w14:textId="5544F3A0" w:rsidR="000C1C8E"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5.</w:t>
      </w:r>
      <w:r w:rsidRPr="00124D03">
        <w:rPr>
          <w:rFonts w:eastAsia="Times New Roman"/>
          <w:kern w:val="22"/>
          <w:lang w:val="fr-FR"/>
        </w:rPr>
        <w:tab/>
      </w:r>
      <w:r w:rsidR="00E31CA4">
        <w:rPr>
          <w:i/>
          <w:lang w:val="fr-FR"/>
        </w:rPr>
        <w:t>Souligne</w:t>
      </w:r>
      <w:r w:rsidR="000C1C8E" w:rsidRPr="00124D03">
        <w:rPr>
          <w:rFonts w:eastAsia="Times New Roman"/>
          <w:color w:val="000000" w:themeColor="text1"/>
          <w:kern w:val="22"/>
          <w:lang w:val="fr-FR"/>
        </w:rPr>
        <w:t xml:space="preserve"> </w:t>
      </w:r>
      <w:r w:rsidR="00E31CA4">
        <w:rPr>
          <w:rFonts w:eastAsia="Times New Roman"/>
          <w:color w:val="000000" w:themeColor="text1"/>
          <w:kern w:val="22"/>
          <w:lang w:val="fr-FR"/>
        </w:rPr>
        <w:t>le rôle clé du Centre d’échange sur l’accès et le partage des avantages dans l’appui à la mise en œuvre du Protocole de Nagoya ;</w:t>
      </w:r>
    </w:p>
    <w:p w14:paraId="58AEB1D7" w14:textId="0D4D6FBD" w:rsidR="000C1C8E"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6.</w:t>
      </w:r>
      <w:r w:rsidRPr="00124D03">
        <w:rPr>
          <w:rFonts w:eastAsia="Times New Roman"/>
          <w:kern w:val="22"/>
          <w:lang w:val="fr-FR"/>
        </w:rPr>
        <w:tab/>
      </w:r>
      <w:r w:rsidR="00E31CA4">
        <w:rPr>
          <w:rFonts w:eastAsia="Times New Roman"/>
          <w:i/>
          <w:iCs/>
          <w:color w:val="000000" w:themeColor="text1"/>
          <w:kern w:val="22"/>
          <w:lang w:val="fr-FR"/>
        </w:rPr>
        <w:t>Met l’accent</w:t>
      </w:r>
      <w:r w:rsidR="00E95AD5" w:rsidRPr="00124D03">
        <w:rPr>
          <w:rFonts w:eastAsia="Times New Roman"/>
          <w:i/>
          <w:iCs/>
          <w:color w:val="000000" w:themeColor="text1"/>
          <w:kern w:val="22"/>
          <w:lang w:val="fr-FR"/>
        </w:rPr>
        <w:t xml:space="preserve"> </w:t>
      </w:r>
      <w:r w:rsidR="00E31CA4">
        <w:rPr>
          <w:rFonts w:eastAsia="Times New Roman"/>
          <w:color w:val="000000" w:themeColor="text1"/>
          <w:kern w:val="22"/>
          <w:lang w:val="fr-FR"/>
        </w:rPr>
        <w:t xml:space="preserve">sur l’importance pour les Parties de publier toutes les informations </w:t>
      </w:r>
      <w:r w:rsidR="00E31CA4" w:rsidRPr="00572D31">
        <w:rPr>
          <w:rFonts w:eastAsia="Times New Roman"/>
          <w:color w:val="000000" w:themeColor="text1"/>
          <w:kern w:val="22"/>
          <w:lang w:val="fr-FR"/>
        </w:rPr>
        <w:t>obligatoires</w:t>
      </w:r>
      <w:r w:rsidR="00E31CA4">
        <w:rPr>
          <w:rFonts w:eastAsia="Times New Roman"/>
          <w:color w:val="000000" w:themeColor="text1"/>
          <w:kern w:val="22"/>
          <w:lang w:val="fr-FR"/>
        </w:rPr>
        <w:t xml:space="preserve"> </w:t>
      </w:r>
      <w:r w:rsidR="00572D31">
        <w:rPr>
          <w:rFonts w:eastAsia="Times New Roman"/>
          <w:color w:val="000000" w:themeColor="text1"/>
          <w:kern w:val="22"/>
          <w:lang w:val="fr-FR"/>
        </w:rPr>
        <w:t>qu’elles ont à leur disposition</w:t>
      </w:r>
      <w:r w:rsidR="00E31CA4">
        <w:rPr>
          <w:rFonts w:eastAsia="Times New Roman"/>
          <w:color w:val="000000" w:themeColor="text1"/>
          <w:kern w:val="22"/>
          <w:lang w:val="fr-FR"/>
        </w:rPr>
        <w:t xml:space="preserve"> sur le Centre d’échange sur l’accès et le partage des avantages et de garantir que ces informations soient toujours à jour afin de renforcer l’efficacité du Protocole de Nagoya ;</w:t>
      </w:r>
    </w:p>
    <w:p w14:paraId="29B9C958" w14:textId="360F56BB" w:rsidR="00590390"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7.</w:t>
      </w:r>
      <w:r w:rsidRPr="00124D03">
        <w:rPr>
          <w:rFonts w:eastAsia="Times New Roman"/>
          <w:kern w:val="22"/>
          <w:lang w:val="fr-FR"/>
        </w:rPr>
        <w:tab/>
      </w:r>
      <w:r w:rsidR="00E31CA4">
        <w:rPr>
          <w:rFonts w:eastAsia="Times New Roman"/>
          <w:i/>
          <w:iCs/>
          <w:color w:val="000000" w:themeColor="text1"/>
          <w:kern w:val="22"/>
          <w:lang w:val="fr-FR"/>
        </w:rPr>
        <w:t>Prie</w:t>
      </w:r>
      <w:r w:rsidR="00645FC7" w:rsidRPr="00124D03">
        <w:rPr>
          <w:rFonts w:eastAsia="Times New Roman"/>
          <w:i/>
          <w:iCs/>
          <w:color w:val="000000" w:themeColor="text1"/>
          <w:kern w:val="22"/>
          <w:lang w:val="fr-FR"/>
        </w:rPr>
        <w:t xml:space="preserve"> </w:t>
      </w:r>
      <w:r w:rsidR="00E31CA4">
        <w:rPr>
          <w:rFonts w:eastAsia="Times New Roman"/>
          <w:color w:val="000000" w:themeColor="text1"/>
          <w:kern w:val="22"/>
          <w:lang w:val="fr-FR"/>
        </w:rPr>
        <w:t xml:space="preserve">les </w:t>
      </w:r>
      <w:r w:rsidR="00645FC7" w:rsidRPr="00124D03">
        <w:rPr>
          <w:rFonts w:eastAsia="Times New Roman"/>
          <w:color w:val="000000" w:themeColor="text1"/>
          <w:kern w:val="22"/>
          <w:lang w:val="fr-FR"/>
        </w:rPr>
        <w:t xml:space="preserve">Parties </w:t>
      </w:r>
      <w:r w:rsidR="00E31CA4">
        <w:rPr>
          <w:rFonts w:eastAsia="Times New Roman"/>
          <w:color w:val="000000" w:themeColor="text1"/>
          <w:kern w:val="22"/>
          <w:lang w:val="fr-FR"/>
        </w:rPr>
        <w:t xml:space="preserve">de </w:t>
      </w:r>
      <w:r w:rsidR="00F70C66">
        <w:rPr>
          <w:rFonts w:eastAsia="Times New Roman"/>
          <w:color w:val="000000" w:themeColor="text1"/>
          <w:kern w:val="22"/>
          <w:lang w:val="fr-FR"/>
        </w:rPr>
        <w:t>communiquer</w:t>
      </w:r>
      <w:r w:rsidR="00E31CA4">
        <w:rPr>
          <w:rFonts w:eastAsia="Times New Roman"/>
          <w:color w:val="000000" w:themeColor="text1"/>
          <w:kern w:val="22"/>
          <w:lang w:val="fr-FR"/>
        </w:rPr>
        <w:t xml:space="preserve"> des informations à jour, exactes et pratiques sur les procédures d’accès et de partage des avantages</w:t>
      </w:r>
      <w:r w:rsidR="00F70C66">
        <w:rPr>
          <w:rFonts w:eastAsia="Times New Roman"/>
          <w:color w:val="000000" w:themeColor="text1"/>
          <w:kern w:val="22"/>
          <w:lang w:val="fr-FR"/>
        </w:rPr>
        <w:t xml:space="preserve"> et les clauses contractuelles types au Centre</w:t>
      </w:r>
      <w:r w:rsidR="00E31CA4">
        <w:rPr>
          <w:rFonts w:eastAsia="Times New Roman"/>
          <w:color w:val="000000" w:themeColor="text1"/>
          <w:kern w:val="22"/>
          <w:lang w:val="fr-FR"/>
        </w:rPr>
        <w:t xml:space="preserve"> </w:t>
      </w:r>
      <w:r w:rsidR="00F70C66">
        <w:rPr>
          <w:rFonts w:eastAsia="Times New Roman"/>
          <w:color w:val="000000" w:themeColor="text1"/>
          <w:kern w:val="22"/>
          <w:lang w:val="fr-FR"/>
        </w:rPr>
        <w:t>d’échange sur l’accès et le partage des avantages, conformément à l’article 14 du Protocole de Nagoya ;</w:t>
      </w:r>
    </w:p>
    <w:p w14:paraId="19177C2A" w14:textId="318B4A41" w:rsidR="008C7C3B"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8.</w:t>
      </w:r>
      <w:r w:rsidRPr="00124D03">
        <w:rPr>
          <w:rFonts w:eastAsia="Times New Roman"/>
          <w:kern w:val="22"/>
          <w:lang w:val="fr-FR"/>
        </w:rPr>
        <w:tab/>
      </w:r>
      <w:r w:rsidR="008C7C3B" w:rsidRPr="00124D03">
        <w:rPr>
          <w:i/>
          <w:lang w:val="fr-FR"/>
        </w:rPr>
        <w:t>Note</w:t>
      </w:r>
      <w:r w:rsidR="00991AEE">
        <w:rPr>
          <w:i/>
          <w:lang w:val="fr-FR"/>
        </w:rPr>
        <w:t xml:space="preserve"> avec inquiétude</w:t>
      </w:r>
      <w:r w:rsidR="008C7C3B" w:rsidRPr="00124D03">
        <w:rPr>
          <w:rFonts w:eastAsia="Times New Roman"/>
          <w:color w:val="000000" w:themeColor="text1"/>
          <w:kern w:val="22"/>
          <w:lang w:val="fr-FR"/>
        </w:rPr>
        <w:t xml:space="preserve"> </w:t>
      </w:r>
      <w:r w:rsidR="00991AEE">
        <w:rPr>
          <w:rFonts w:eastAsia="Times New Roman"/>
          <w:color w:val="000000" w:themeColor="text1"/>
          <w:kern w:val="22"/>
          <w:lang w:val="fr-FR"/>
        </w:rPr>
        <w:t xml:space="preserve">que nombre de Parties n’ont pas encore communiqué toutes les informations obligatoires </w:t>
      </w:r>
      <w:r w:rsidR="00467E6F">
        <w:rPr>
          <w:rFonts w:eastAsia="Times New Roman"/>
          <w:color w:val="000000" w:themeColor="text1"/>
          <w:kern w:val="22"/>
          <w:lang w:val="fr-FR"/>
        </w:rPr>
        <w:t>qu’elles ont à leur disposition</w:t>
      </w:r>
      <w:r w:rsidR="00991AEE">
        <w:rPr>
          <w:rFonts w:eastAsia="Times New Roman"/>
          <w:color w:val="000000" w:themeColor="text1"/>
          <w:kern w:val="22"/>
          <w:lang w:val="fr-FR"/>
        </w:rPr>
        <w:t xml:space="preserve"> au Centre d’échange sur l’accès et le partage des avantages, et exhorte ces Parties à communiquer ces informations, tel qu’exigé au titre de l’article 14 du Protocole de Nagoya, aussi rapidement que possible et de les tenir à jour ;</w:t>
      </w:r>
    </w:p>
    <w:p w14:paraId="5C3D81B4" w14:textId="35FE7775" w:rsidR="00FE08A3"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9.</w:t>
      </w:r>
      <w:r w:rsidRPr="00124D03">
        <w:rPr>
          <w:rFonts w:eastAsia="Times New Roman"/>
          <w:kern w:val="22"/>
          <w:lang w:val="fr-FR"/>
        </w:rPr>
        <w:tab/>
      </w:r>
      <w:r w:rsidR="009D0EBF" w:rsidRPr="00124D03">
        <w:rPr>
          <w:i/>
          <w:iCs/>
          <w:lang w:val="fr-FR"/>
        </w:rPr>
        <w:t xml:space="preserve">Encourage </w:t>
      </w:r>
      <w:r w:rsidR="00991AEE">
        <w:rPr>
          <w:lang w:val="fr-FR"/>
        </w:rPr>
        <w:t xml:space="preserve">les </w:t>
      </w:r>
      <w:r w:rsidR="00FE08A3" w:rsidRPr="00124D03">
        <w:rPr>
          <w:lang w:val="fr-FR"/>
        </w:rPr>
        <w:t xml:space="preserve">Parties </w:t>
      </w:r>
      <w:r w:rsidR="00991AEE">
        <w:rPr>
          <w:lang w:val="fr-FR"/>
        </w:rPr>
        <w:t xml:space="preserve">à </w:t>
      </w:r>
      <w:r w:rsidR="000F778B">
        <w:rPr>
          <w:lang w:val="fr-FR"/>
        </w:rPr>
        <w:t>tirer parti</w:t>
      </w:r>
      <w:r w:rsidR="00991AEE">
        <w:rPr>
          <w:lang w:val="fr-FR"/>
        </w:rPr>
        <w:t xml:space="preserve"> de </w:t>
      </w:r>
      <w:r w:rsidR="000F778B">
        <w:rPr>
          <w:lang w:val="fr-FR"/>
        </w:rPr>
        <w:t>la</w:t>
      </w:r>
      <w:r w:rsidR="00991AEE">
        <w:rPr>
          <w:lang w:val="fr-FR"/>
        </w:rPr>
        <w:t xml:space="preserve"> compatibilité entre le Centre d’échange sur l’accès et le partage des avantages et les systèmes d’information nationaux pour faciliter </w:t>
      </w:r>
      <w:r w:rsidR="00991AEE">
        <w:rPr>
          <w:lang w:val="fr-FR"/>
        </w:rPr>
        <w:lastRenderedPageBreak/>
        <w:t xml:space="preserve">la publication d’informations relatives aux certificats de conformité reconnus à l’échelle internationale et aux communiqués </w:t>
      </w:r>
      <w:r w:rsidR="00FB07DC">
        <w:rPr>
          <w:lang w:val="fr-FR"/>
        </w:rPr>
        <w:t>de</w:t>
      </w:r>
      <w:r w:rsidR="00991AEE">
        <w:rPr>
          <w:lang w:val="fr-FR"/>
        </w:rPr>
        <w:t xml:space="preserve"> point</w:t>
      </w:r>
      <w:r w:rsidR="00FB07DC">
        <w:rPr>
          <w:lang w:val="fr-FR"/>
        </w:rPr>
        <w:t>s</w:t>
      </w:r>
      <w:r w:rsidR="00991AEE">
        <w:rPr>
          <w:lang w:val="fr-FR"/>
        </w:rPr>
        <w:t xml:space="preserve"> de contrôle ;</w:t>
      </w:r>
    </w:p>
    <w:p w14:paraId="315BBBFE" w14:textId="6F1F1177" w:rsidR="002C5D4D" w:rsidRPr="00124D03" w:rsidRDefault="008F6AFE" w:rsidP="006B144A">
      <w:pPr>
        <w:pStyle w:val="CBDNormalNoNumber"/>
        <w:keepNext/>
        <w:tabs>
          <w:tab w:val="clear" w:pos="567"/>
        </w:tabs>
        <w:ind w:left="1134" w:firstLine="567"/>
        <w:rPr>
          <w:rFonts w:eastAsia="Times New Roman"/>
          <w:color w:val="000000" w:themeColor="text1"/>
          <w:kern w:val="22"/>
          <w:lang w:val="fr-FR"/>
        </w:rPr>
      </w:pPr>
      <w:r w:rsidRPr="00124D03">
        <w:rPr>
          <w:rFonts w:eastAsia="Times New Roman"/>
          <w:kern w:val="22"/>
          <w:lang w:val="fr-FR"/>
        </w:rPr>
        <w:t>10.</w:t>
      </w:r>
      <w:r w:rsidRPr="00124D03">
        <w:rPr>
          <w:rFonts w:eastAsia="Times New Roman"/>
          <w:kern w:val="22"/>
          <w:lang w:val="fr-FR"/>
        </w:rPr>
        <w:tab/>
      </w:r>
      <w:r w:rsidR="00991AEE">
        <w:rPr>
          <w:i/>
          <w:lang w:val="fr-FR"/>
        </w:rPr>
        <w:t>Prie</w:t>
      </w:r>
      <w:r w:rsidR="000C1C8E" w:rsidRPr="00124D03">
        <w:rPr>
          <w:rFonts w:eastAsia="Times New Roman"/>
          <w:color w:val="000000" w:themeColor="text1"/>
          <w:kern w:val="22"/>
          <w:lang w:val="fr-FR"/>
        </w:rPr>
        <w:t xml:space="preserve"> </w:t>
      </w:r>
      <w:r w:rsidR="00E03E2B">
        <w:rPr>
          <w:rFonts w:eastAsia="Times New Roman"/>
          <w:color w:val="000000" w:themeColor="text1"/>
          <w:kern w:val="22"/>
          <w:lang w:val="fr-FR"/>
        </w:rPr>
        <w:t>la Secrétaire exécutive, selon la disponibilité des ressources</w:t>
      </w:r>
      <w:r w:rsidR="009E3B55">
        <w:rPr>
          <w:rFonts w:eastAsia="Times New Roman"/>
          <w:color w:val="000000" w:themeColor="text1"/>
          <w:kern w:val="22"/>
          <w:lang w:val="fr-FR"/>
        </w:rPr>
        <w:t> :</w:t>
      </w:r>
    </w:p>
    <w:p w14:paraId="3BAB567A" w14:textId="63138984" w:rsidR="000C1C8E" w:rsidRPr="00124D03" w:rsidRDefault="008F6AFE" w:rsidP="006B144A">
      <w:pPr>
        <w:pStyle w:val="CBDNormalNoNumber"/>
        <w:tabs>
          <w:tab w:val="clear" w:pos="567"/>
        </w:tabs>
        <w:ind w:left="1134" w:firstLine="567"/>
        <w:rPr>
          <w:lang w:val="fr-FR"/>
        </w:rPr>
      </w:pPr>
      <w:r w:rsidRPr="00124D03">
        <w:rPr>
          <w:lang w:val="fr-FR"/>
        </w:rPr>
        <w:t>a)</w:t>
      </w:r>
      <w:r w:rsidRPr="00124D03">
        <w:rPr>
          <w:lang w:val="fr-FR"/>
        </w:rPr>
        <w:tab/>
      </w:r>
      <w:r w:rsidR="009E3B55">
        <w:rPr>
          <w:lang w:val="fr-FR"/>
        </w:rPr>
        <w:t>De</w:t>
      </w:r>
      <w:r w:rsidR="000F778B">
        <w:rPr>
          <w:lang w:val="fr-FR"/>
        </w:rPr>
        <w:t xml:space="preserve"> poursuivre l’administration et l’avancement du</w:t>
      </w:r>
      <w:r w:rsidR="00E03E2B">
        <w:rPr>
          <w:lang w:val="fr-FR"/>
        </w:rPr>
        <w:t xml:space="preserve"> Centre d’échange sur l’accès et le partage des avantages, et d’encourager la publication d</w:t>
      </w:r>
      <w:r w:rsidR="000F778B">
        <w:rPr>
          <w:lang w:val="fr-FR"/>
        </w:rPr>
        <w:t>’</w:t>
      </w:r>
      <w:r w:rsidR="00E03E2B">
        <w:rPr>
          <w:lang w:val="fr-FR"/>
        </w:rPr>
        <w:t>informations et leur utilisation par le biais du Centre d’échange, conformément à ses modalités de fonctionnement et en tenant compte :</w:t>
      </w:r>
    </w:p>
    <w:p w14:paraId="381C95CB" w14:textId="2B89D157" w:rsidR="000C1C8E" w:rsidRPr="00124D03" w:rsidRDefault="008F6AFE" w:rsidP="006B144A">
      <w:pPr>
        <w:pStyle w:val="CBDNormalNumber"/>
        <w:tabs>
          <w:tab w:val="clear" w:pos="567"/>
        </w:tabs>
        <w:ind w:left="2268" w:hanging="567"/>
        <w:rPr>
          <w:rFonts w:eastAsia="Times New Roman"/>
          <w:szCs w:val="24"/>
          <w:lang w:val="fr-FR"/>
        </w:rPr>
      </w:pPr>
      <w:r w:rsidRPr="00124D03">
        <w:rPr>
          <w:rFonts w:eastAsia="Times New Roman"/>
          <w:szCs w:val="24"/>
          <w:lang w:val="fr-FR"/>
        </w:rPr>
        <w:t>i)</w:t>
      </w:r>
      <w:r w:rsidRPr="00124D03">
        <w:rPr>
          <w:rFonts w:eastAsia="Times New Roman"/>
          <w:szCs w:val="24"/>
          <w:lang w:val="fr-FR"/>
        </w:rPr>
        <w:tab/>
      </w:r>
      <w:r w:rsidR="00E03E2B">
        <w:rPr>
          <w:rFonts w:eastAsia="Times New Roman"/>
          <w:szCs w:val="24"/>
          <w:lang w:val="fr-FR"/>
        </w:rPr>
        <w:t>Des retours reçus, en particulier des Parties et du Comité consultatif inform</w:t>
      </w:r>
      <w:r w:rsidR="008663C8">
        <w:rPr>
          <w:rFonts w:eastAsia="Times New Roman"/>
          <w:szCs w:val="24"/>
          <w:lang w:val="fr-FR"/>
        </w:rPr>
        <w:t xml:space="preserve">el </w:t>
      </w:r>
      <w:r w:rsidR="00A55F77">
        <w:rPr>
          <w:rFonts w:eastAsia="Times New Roman"/>
          <w:szCs w:val="24"/>
          <w:lang w:val="fr-FR"/>
        </w:rPr>
        <w:t>sur le Centre d’échange sur l’accès et le partage des avantages, y compris sur les objectifs et</w:t>
      </w:r>
      <w:r w:rsidR="000F778B">
        <w:rPr>
          <w:rFonts w:eastAsia="Times New Roman"/>
          <w:szCs w:val="24"/>
          <w:lang w:val="fr-FR"/>
        </w:rPr>
        <w:t xml:space="preserve"> les</w:t>
      </w:r>
      <w:r w:rsidR="00A55F77">
        <w:rPr>
          <w:rFonts w:eastAsia="Times New Roman"/>
          <w:szCs w:val="24"/>
          <w:lang w:val="fr-FR"/>
        </w:rPr>
        <w:t xml:space="preserve"> priorités pour l’administration et l</w:t>
      </w:r>
      <w:r w:rsidR="000F778B">
        <w:rPr>
          <w:rFonts w:eastAsia="Times New Roman"/>
          <w:szCs w:val="24"/>
          <w:lang w:val="fr-FR"/>
        </w:rPr>
        <w:t xml:space="preserve">’avancement </w:t>
      </w:r>
      <w:r w:rsidR="00A55F77">
        <w:rPr>
          <w:rFonts w:eastAsia="Times New Roman"/>
          <w:szCs w:val="24"/>
          <w:lang w:val="fr-FR"/>
        </w:rPr>
        <w:t>du Centre d’échange par le Secrétariat</w:t>
      </w:r>
      <w:r w:rsidR="00BF497B" w:rsidRPr="00124D03">
        <w:rPr>
          <w:rStyle w:val="FootnoteReference"/>
          <w:rFonts w:eastAsia="Times New Roman"/>
          <w:iCs/>
          <w:szCs w:val="24"/>
          <w:lang w:val="fr-FR"/>
        </w:rPr>
        <w:footnoteReference w:id="27"/>
      </w:r>
      <w:r w:rsidR="00A55F77">
        <w:rPr>
          <w:rFonts w:eastAsia="Times New Roman"/>
          <w:szCs w:val="24"/>
          <w:lang w:val="fr-FR"/>
        </w:rPr>
        <w:t> ;</w:t>
      </w:r>
    </w:p>
    <w:p w14:paraId="13FA7437" w14:textId="6A0444E6" w:rsidR="000C1C8E" w:rsidRPr="00124D03" w:rsidRDefault="008F6AFE" w:rsidP="006B144A">
      <w:pPr>
        <w:pStyle w:val="CBDNormalNumber"/>
        <w:tabs>
          <w:tab w:val="clear" w:pos="567"/>
        </w:tabs>
        <w:ind w:left="2268" w:hanging="567"/>
        <w:rPr>
          <w:rFonts w:eastAsia="Times New Roman"/>
          <w:szCs w:val="24"/>
          <w:lang w:val="fr-FR"/>
        </w:rPr>
      </w:pPr>
      <w:r w:rsidRPr="00124D03">
        <w:rPr>
          <w:rFonts w:eastAsia="Times New Roman"/>
          <w:szCs w:val="24"/>
          <w:lang w:val="fr-FR"/>
        </w:rPr>
        <w:t>ii)</w:t>
      </w:r>
      <w:r w:rsidRPr="00124D03">
        <w:rPr>
          <w:rFonts w:eastAsia="Times New Roman"/>
          <w:szCs w:val="24"/>
          <w:lang w:val="fr-FR"/>
        </w:rPr>
        <w:tab/>
      </w:r>
      <w:r w:rsidR="009E3B55">
        <w:rPr>
          <w:rFonts w:eastAsia="Times New Roman"/>
          <w:szCs w:val="24"/>
          <w:lang w:val="fr-FR"/>
        </w:rPr>
        <w:t xml:space="preserve">Des informations pertinentes issues du deuxième exercice d’évaluation et d’examen ; </w:t>
      </w:r>
    </w:p>
    <w:p w14:paraId="5C8CA4F0" w14:textId="2A636B8C" w:rsidR="00045218" w:rsidRPr="00124D03" w:rsidRDefault="008F6AFE" w:rsidP="006B144A">
      <w:pPr>
        <w:pStyle w:val="CBDNormalNoNumber"/>
        <w:tabs>
          <w:tab w:val="clear" w:pos="567"/>
        </w:tabs>
        <w:ind w:left="1134" w:firstLine="567"/>
        <w:rPr>
          <w:rFonts w:eastAsia="Times New Roman"/>
          <w:szCs w:val="24"/>
          <w:lang w:val="fr-FR"/>
        </w:rPr>
      </w:pPr>
      <w:r w:rsidRPr="00124D03">
        <w:rPr>
          <w:rFonts w:eastAsia="Times New Roman"/>
          <w:szCs w:val="24"/>
          <w:lang w:val="fr-FR"/>
        </w:rPr>
        <w:t>b)</w:t>
      </w:r>
      <w:r w:rsidRPr="00124D03">
        <w:rPr>
          <w:rFonts w:eastAsia="Times New Roman"/>
          <w:szCs w:val="24"/>
          <w:lang w:val="fr-FR"/>
        </w:rPr>
        <w:tab/>
      </w:r>
      <w:r w:rsidR="009E3B55">
        <w:rPr>
          <w:rFonts w:eastAsia="Times New Roman"/>
          <w:szCs w:val="24"/>
          <w:lang w:val="fr-FR"/>
        </w:rPr>
        <w:t>D’organiser une réunion du</w:t>
      </w:r>
      <w:r w:rsidR="009E3B55" w:rsidRPr="009E3B55">
        <w:rPr>
          <w:rFonts w:eastAsia="Times New Roman"/>
          <w:szCs w:val="24"/>
          <w:lang w:val="fr-FR"/>
        </w:rPr>
        <w:t xml:space="preserve"> </w:t>
      </w:r>
      <w:r w:rsidR="009E3B55">
        <w:rPr>
          <w:rFonts w:eastAsia="Times New Roman"/>
          <w:szCs w:val="24"/>
          <w:lang w:val="fr-FR"/>
        </w:rPr>
        <w:t>Comité consultatif informel sur le Centre d’échange sur l’accès et le partage des avantages avant la septième réunion de la Conférence des Parties siégeant en tant que réunion des Parties au Protocole de Nagoya et, au besoin, des discussions informelles en ligne, et de faire rapport sur les résultats des travaux du Comité à la septième réunion ;</w:t>
      </w:r>
    </w:p>
    <w:p w14:paraId="466E13F9" w14:textId="7BA20DD6" w:rsidR="00385604" w:rsidRPr="00124D03" w:rsidRDefault="003C4289" w:rsidP="006B144A">
      <w:pPr>
        <w:pStyle w:val="CBDNormalNoNumber"/>
        <w:keepNext/>
        <w:rPr>
          <w:bCs/>
          <w:u w:color="000000"/>
          <w:bdr w:val="nil"/>
          <w:lang w:val="fr-FR"/>
        </w:rPr>
      </w:pPr>
      <w:r w:rsidRPr="00124D03">
        <w:rPr>
          <w:b/>
          <w:bCs/>
          <w:u w:color="000000"/>
          <w:bdr w:val="nil"/>
          <w:lang w:val="fr-FR"/>
        </w:rPr>
        <w:tab/>
      </w:r>
      <w:r w:rsidR="00343ABB" w:rsidRPr="00124D03">
        <w:rPr>
          <w:b/>
          <w:bCs/>
          <w:u w:color="000000"/>
          <w:bdr w:val="nil"/>
          <w:lang w:val="fr-FR"/>
        </w:rPr>
        <w:t>III</w:t>
      </w:r>
      <w:r w:rsidRPr="00124D03">
        <w:rPr>
          <w:b/>
          <w:bCs/>
          <w:u w:color="000000"/>
          <w:bdr w:val="nil"/>
          <w:lang w:val="fr-FR"/>
        </w:rPr>
        <w:br/>
      </w:r>
      <w:r w:rsidRPr="00124D03">
        <w:rPr>
          <w:b/>
          <w:bCs/>
          <w:u w:color="000000"/>
          <w:bdr w:val="nil"/>
          <w:lang w:val="fr-FR"/>
        </w:rPr>
        <w:tab/>
      </w:r>
      <w:r w:rsidR="009E3B55">
        <w:rPr>
          <w:b/>
          <w:bCs/>
          <w:u w:color="000000"/>
          <w:bdr w:val="nil"/>
          <w:lang w:val="fr-FR"/>
        </w:rPr>
        <w:t>Le Protocole de Nagoya dans le contexte du Cadre mondial de la biodiversité de Kunming-Montréal</w:t>
      </w:r>
    </w:p>
    <w:p w14:paraId="60AB8382" w14:textId="4478A7D7" w:rsidR="00F31F40"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11.</w:t>
      </w:r>
      <w:r w:rsidRPr="00124D03">
        <w:rPr>
          <w:rFonts w:eastAsia="Times New Roman"/>
          <w:kern w:val="22"/>
          <w:lang w:val="fr-FR"/>
        </w:rPr>
        <w:tab/>
      </w:r>
      <w:r w:rsidR="009E3B55">
        <w:rPr>
          <w:i/>
          <w:iCs/>
          <w:lang w:val="fr-FR"/>
        </w:rPr>
        <w:t>Rappelle</w:t>
      </w:r>
      <w:r w:rsidR="00B6040A" w:rsidRPr="00124D03">
        <w:rPr>
          <w:rFonts w:eastAsia="Times New Roman"/>
          <w:color w:val="000000" w:themeColor="text1"/>
          <w:kern w:val="22"/>
          <w:lang w:val="fr-FR"/>
        </w:rPr>
        <w:t xml:space="preserve"> </w:t>
      </w:r>
      <w:r w:rsidR="009E3B55">
        <w:rPr>
          <w:rFonts w:eastAsia="Times New Roman"/>
          <w:color w:val="000000" w:themeColor="text1"/>
          <w:kern w:val="22"/>
          <w:lang w:val="fr-FR"/>
        </w:rPr>
        <w:t>sa décision </w:t>
      </w:r>
      <w:hyperlink r:id="rId27" w:history="1">
        <w:r w:rsidR="00714247" w:rsidRPr="00124D03">
          <w:rPr>
            <w:rStyle w:val="Hyperlink"/>
            <w:rFonts w:eastAsia="Times New Roman"/>
            <w:iCs/>
            <w:szCs w:val="24"/>
            <w:lang w:val="fr-FR"/>
          </w:rPr>
          <w:t>NP-5/6</w:t>
        </w:r>
      </w:hyperlink>
      <w:r w:rsidR="00FA406C" w:rsidRPr="00124D03">
        <w:rPr>
          <w:lang w:val="fr-FR"/>
        </w:rPr>
        <w:t xml:space="preserve"> </w:t>
      </w:r>
      <w:r w:rsidR="009E3B55">
        <w:rPr>
          <w:lang w:val="fr-FR"/>
        </w:rPr>
        <w:t>du</w:t>
      </w:r>
      <w:r w:rsidR="00FA406C" w:rsidRPr="00124D03">
        <w:rPr>
          <w:lang w:val="fr-FR"/>
        </w:rPr>
        <w:t xml:space="preserve"> 25</w:t>
      </w:r>
      <w:r w:rsidR="00281C1A" w:rsidRPr="00124D03">
        <w:rPr>
          <w:lang w:val="fr-FR"/>
        </w:rPr>
        <w:t> </w:t>
      </w:r>
      <w:r w:rsidR="009E3B55">
        <w:rPr>
          <w:lang w:val="fr-FR"/>
        </w:rPr>
        <w:t>octobre</w:t>
      </w:r>
      <w:r w:rsidR="00132CD2">
        <w:rPr>
          <w:lang w:val="fr-FR"/>
        </w:rPr>
        <w:t> </w:t>
      </w:r>
      <w:r w:rsidR="00FA406C" w:rsidRPr="00124D03">
        <w:rPr>
          <w:lang w:val="fr-FR"/>
        </w:rPr>
        <w:t>2024</w:t>
      </w:r>
      <w:r w:rsidR="009E3B55">
        <w:rPr>
          <w:lang w:val="fr-FR"/>
        </w:rPr>
        <w:t> </w:t>
      </w:r>
      <w:r w:rsidR="00896257" w:rsidRPr="00124D03">
        <w:rPr>
          <w:rFonts w:eastAsia="Times New Roman"/>
          <w:color w:val="000000" w:themeColor="text1"/>
          <w:kern w:val="22"/>
          <w:lang w:val="fr-FR"/>
        </w:rPr>
        <w:t>;</w:t>
      </w:r>
    </w:p>
    <w:p w14:paraId="30CA9A53" w14:textId="606D8A5D" w:rsidR="00885CC6" w:rsidRPr="00124D03" w:rsidRDefault="008F6AFE" w:rsidP="006B144A">
      <w:pPr>
        <w:pStyle w:val="CBDNormalNoNumber"/>
        <w:tabs>
          <w:tab w:val="clear" w:pos="567"/>
        </w:tabs>
        <w:ind w:left="1134" w:firstLine="567"/>
        <w:rPr>
          <w:rFonts w:eastAsia="Times New Roman"/>
          <w:color w:val="000000" w:themeColor="text1"/>
          <w:kern w:val="22"/>
          <w:lang w:val="fr-FR"/>
        </w:rPr>
      </w:pPr>
      <w:r w:rsidRPr="00124D03">
        <w:rPr>
          <w:rFonts w:eastAsia="Times New Roman"/>
          <w:kern w:val="22"/>
          <w:lang w:val="fr-FR"/>
        </w:rPr>
        <w:t>12.</w:t>
      </w:r>
      <w:r w:rsidRPr="00124D03">
        <w:rPr>
          <w:rFonts w:eastAsia="Times New Roman"/>
          <w:kern w:val="22"/>
          <w:lang w:val="fr-FR"/>
        </w:rPr>
        <w:tab/>
      </w:r>
      <w:r w:rsidR="00C554C4" w:rsidRPr="00124D03">
        <w:rPr>
          <w:i/>
          <w:iCs/>
          <w:lang w:val="fr-FR"/>
        </w:rPr>
        <w:t>Encourag</w:t>
      </w:r>
      <w:r w:rsidR="009E3B55">
        <w:rPr>
          <w:i/>
          <w:iCs/>
          <w:lang w:val="fr-FR"/>
        </w:rPr>
        <w:t>e</w:t>
      </w:r>
      <w:r w:rsidR="00C554C4" w:rsidRPr="00124D03">
        <w:rPr>
          <w:rFonts w:eastAsia="Times New Roman"/>
          <w:color w:val="000000" w:themeColor="text1"/>
          <w:kern w:val="22"/>
          <w:lang w:val="fr-FR"/>
        </w:rPr>
        <w:t xml:space="preserve"> </w:t>
      </w:r>
      <w:r w:rsidR="009E3B55">
        <w:rPr>
          <w:rFonts w:eastAsia="Times New Roman"/>
          <w:color w:val="000000" w:themeColor="text1"/>
          <w:kern w:val="22"/>
          <w:lang w:val="fr-FR"/>
        </w:rPr>
        <w:t>les Parties à communiquer, dans leur deuxième rapport national sur la mise en œuvre du Protocole de Nagoya, des informations complètes et ventilées sur les avantages reçus, y compris, selon qu’il conviendra et si cela est possible, les détails des avantages reçus découlant de l’utilisation des ressources génétiques et des connaissances traditionnelles associées, les bénéficiaires des avantages, notamment les peuples autochtones et communautés locales, et la proportion des avantages allouée à la conservation et à l’utilisation durable de la biodiversité.</w:t>
      </w:r>
    </w:p>
    <w:p w14:paraId="0EB95406" w14:textId="1EDAC1DA" w:rsidR="00B25527" w:rsidRPr="00124D03" w:rsidRDefault="00B25527" w:rsidP="00B25527">
      <w:pPr>
        <w:pStyle w:val="AISpacer"/>
        <w:rPr>
          <w:lang w:val="fr-FR"/>
        </w:rPr>
      </w:pPr>
    </w:p>
    <w:p w14:paraId="6E2FF2AC" w14:textId="77777777" w:rsidR="00A41A62" w:rsidRPr="00124D03" w:rsidRDefault="00A41A62" w:rsidP="00B25527">
      <w:pPr>
        <w:pStyle w:val="AISpacer"/>
        <w:rPr>
          <w:lang w:val="fr-FR"/>
        </w:rPr>
      </w:pPr>
    </w:p>
    <w:p w14:paraId="427A779B" w14:textId="5DFC532D" w:rsidR="003C5A93" w:rsidRPr="00124D03" w:rsidRDefault="00926ECD" w:rsidP="006B144A">
      <w:pPr>
        <w:pStyle w:val="CBDH2"/>
        <w:rPr>
          <w:bCs/>
          <w:u w:color="000000"/>
          <w:bdr w:val="nil"/>
          <w:lang w:val="fr-FR"/>
        </w:rPr>
      </w:pPr>
      <w:r w:rsidRPr="00124D03">
        <w:rPr>
          <w:u w:color="000000"/>
          <w:bdr w:val="nil"/>
          <w:lang w:val="fr-FR"/>
        </w:rPr>
        <w:t>C</w:t>
      </w:r>
      <w:r w:rsidR="00281C1A" w:rsidRPr="00124D03">
        <w:rPr>
          <w:u w:color="000000"/>
          <w:bdr w:val="nil"/>
          <w:lang w:val="fr-FR"/>
        </w:rPr>
        <w:t>.</w:t>
      </w:r>
      <w:r w:rsidR="00281C1A" w:rsidRPr="00124D03">
        <w:rPr>
          <w:u w:color="000000"/>
          <w:bdr w:val="nil"/>
          <w:lang w:val="fr-FR"/>
        </w:rPr>
        <w:tab/>
      </w:r>
      <w:r w:rsidR="00863F67">
        <w:rPr>
          <w:u w:color="000000"/>
          <w:bdr w:val="nil"/>
          <w:lang w:val="fr-FR"/>
        </w:rPr>
        <w:t>Mécanisme de financement et ressources financières</w:t>
      </w:r>
      <w:r w:rsidR="001C6E97" w:rsidRPr="00124D03">
        <w:rPr>
          <w:rStyle w:val="FootnoteReference"/>
          <w:rFonts w:eastAsia="Arial Unicode MS"/>
          <w:bCs/>
          <w:color w:val="000000"/>
          <w:kern w:val="22"/>
          <w:u w:color="000000"/>
          <w:bdr w:val="nil"/>
          <w:lang w:val="fr-FR"/>
        </w:rPr>
        <w:footnoteReference w:id="28"/>
      </w:r>
    </w:p>
    <w:p w14:paraId="32C89921" w14:textId="581409E4" w:rsidR="00F101D3" w:rsidRPr="00124D03" w:rsidRDefault="00F101D3" w:rsidP="0096543B">
      <w:pPr>
        <w:pStyle w:val="CBDNormalNumber"/>
        <w:numPr>
          <w:ilvl w:val="0"/>
          <w:numId w:val="21"/>
        </w:numPr>
        <w:rPr>
          <w:lang w:val="fr-FR"/>
        </w:rPr>
      </w:pPr>
      <w:r>
        <w:rPr>
          <w:lang w:val="fr-FR"/>
        </w:rPr>
        <w:t>L’Organe subsidiaire souhaitera peut-être en outre adopter une recommandation sur le modèle suivant :</w:t>
      </w:r>
      <w:r w:rsidRPr="00124D03">
        <w:rPr>
          <w:lang w:val="fr-FR"/>
        </w:rPr>
        <w:t xml:space="preserve"> </w:t>
      </w:r>
    </w:p>
    <w:p w14:paraId="266A33BC" w14:textId="49CFE0D4" w:rsidR="00B81A9D" w:rsidRPr="00124D03" w:rsidRDefault="00B81A9D" w:rsidP="006B144A">
      <w:pPr>
        <w:pStyle w:val="CBDNormalNoNumber"/>
        <w:keepNext/>
        <w:rPr>
          <w:i/>
          <w:iCs/>
          <w:lang w:val="fr-FR"/>
        </w:rPr>
      </w:pPr>
      <w:r w:rsidRPr="00124D03">
        <w:rPr>
          <w:i/>
          <w:iCs/>
          <w:lang w:val="fr-FR"/>
        </w:rPr>
        <w:tab/>
      </w:r>
      <w:r w:rsidR="007E07D5">
        <w:rPr>
          <w:i/>
          <w:iCs/>
          <w:lang w:val="fr-FR"/>
        </w:rPr>
        <w:t>L’Organe subsidiaire chargé de l’application</w:t>
      </w:r>
    </w:p>
    <w:p w14:paraId="2FDA17BA" w14:textId="4FB2D48E" w:rsidR="00B81A9D" w:rsidRPr="00124D03" w:rsidRDefault="00B81A9D" w:rsidP="006B144A">
      <w:pPr>
        <w:pStyle w:val="CBDNormalNumber"/>
        <w:ind w:left="567"/>
        <w:rPr>
          <w:lang w:val="fr-FR"/>
        </w:rPr>
      </w:pPr>
      <w:r w:rsidRPr="00124D03">
        <w:rPr>
          <w:lang w:val="fr-FR"/>
        </w:rPr>
        <w:tab/>
      </w:r>
      <w:r w:rsidR="00504F0E">
        <w:rPr>
          <w:i/>
          <w:iCs/>
          <w:lang w:val="fr-FR"/>
        </w:rPr>
        <w:t>Recommande</w:t>
      </w:r>
      <w:r w:rsidR="00504F0E" w:rsidRPr="00124D03">
        <w:rPr>
          <w:lang w:val="fr-FR"/>
        </w:rPr>
        <w:t xml:space="preserve"> </w:t>
      </w:r>
      <w:r w:rsidR="00504F0E">
        <w:rPr>
          <w:lang w:val="fr-FR"/>
        </w:rPr>
        <w:t>que</w:t>
      </w:r>
      <w:r w:rsidR="00504F0E" w:rsidRPr="00124D03">
        <w:rPr>
          <w:lang w:val="fr-FR"/>
        </w:rPr>
        <w:t>,</w:t>
      </w:r>
      <w:r w:rsidR="00504F0E">
        <w:rPr>
          <w:lang w:val="fr-FR"/>
        </w:rPr>
        <w:t xml:space="preserve"> à sa sixième réunion, la Conférence des Parties siégeant en tant que réunion des Parties au Protocole de Nagoya </w:t>
      </w:r>
      <w:r w:rsidR="00504F0E" w:rsidRPr="00124D03">
        <w:rPr>
          <w:lang w:val="fr-FR"/>
        </w:rPr>
        <w:t>sur l’accès aux ressources génétiques et le partage juste et équitable des avantages découlant de leur utilisatio</w:t>
      </w:r>
      <w:r w:rsidR="00504F0E">
        <w:rPr>
          <w:lang w:val="fr-FR"/>
        </w:rPr>
        <w:t>n</w:t>
      </w:r>
      <w:r w:rsidRPr="00124D03">
        <w:rPr>
          <w:rStyle w:val="FootnoteReference"/>
          <w:lang w:val="fr-FR"/>
        </w:rPr>
        <w:footnoteReference w:id="29"/>
      </w:r>
      <w:r w:rsidRPr="00124D03">
        <w:rPr>
          <w:lang w:val="fr-FR"/>
        </w:rPr>
        <w:t xml:space="preserve"> adopt</w:t>
      </w:r>
      <w:r w:rsidR="00504F0E">
        <w:rPr>
          <w:lang w:val="fr-FR"/>
        </w:rPr>
        <w:t>e des éléments de décision</w:t>
      </w:r>
      <w:r w:rsidR="009240A6" w:rsidRPr="00124D03">
        <w:rPr>
          <w:rStyle w:val="FootnoteReference"/>
          <w:lang w:val="fr-FR"/>
        </w:rPr>
        <w:footnoteReference w:id="30"/>
      </w:r>
      <w:r w:rsidR="009240A6" w:rsidRPr="00124D03">
        <w:rPr>
          <w:lang w:val="fr-FR"/>
        </w:rPr>
        <w:t xml:space="preserve"> </w:t>
      </w:r>
      <w:r w:rsidR="00504F0E">
        <w:rPr>
          <w:lang w:val="fr-FR"/>
        </w:rPr>
        <w:t>sur le modèle suivant :</w:t>
      </w:r>
    </w:p>
    <w:p w14:paraId="4BEFDBB3" w14:textId="0621BAF4" w:rsidR="00504F0E" w:rsidRDefault="00504F0E" w:rsidP="006B144A">
      <w:pPr>
        <w:pStyle w:val="CBDNormalNoNumber"/>
        <w:tabs>
          <w:tab w:val="clear" w:pos="567"/>
        </w:tabs>
        <w:ind w:left="1134" w:firstLine="567"/>
        <w:rPr>
          <w:rFonts w:eastAsia="Times New Roman"/>
          <w:szCs w:val="24"/>
          <w:lang w:val="fr-FR"/>
        </w:rPr>
      </w:pPr>
      <w:r w:rsidRPr="00504F0E">
        <w:rPr>
          <w:i/>
          <w:iCs/>
          <w:lang w:val="fr-FR"/>
        </w:rPr>
        <w:t>La Conférence des Parties siégeant en tant que réunion des Parties au Protocole de Nagoya</w:t>
      </w:r>
    </w:p>
    <w:p w14:paraId="15175496" w14:textId="62A1E4F3" w:rsidR="006E6B05"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lastRenderedPageBreak/>
        <w:t>1.</w:t>
      </w:r>
      <w:r w:rsidRPr="00124D03">
        <w:rPr>
          <w:rFonts w:eastAsia="Times New Roman"/>
          <w:szCs w:val="24"/>
          <w:lang w:val="fr-FR"/>
        </w:rPr>
        <w:tab/>
      </w:r>
      <w:r w:rsidR="00375073">
        <w:rPr>
          <w:rFonts w:eastAsia="Times New Roman"/>
          <w:i/>
          <w:szCs w:val="24"/>
          <w:lang w:val="fr-FR"/>
        </w:rPr>
        <w:t xml:space="preserve">Rappelle </w:t>
      </w:r>
      <w:r w:rsidR="00375073">
        <w:rPr>
          <w:rFonts w:eastAsia="Times New Roman"/>
          <w:iCs/>
          <w:szCs w:val="24"/>
          <w:lang w:val="fr-FR"/>
        </w:rPr>
        <w:t>ses décision</w:t>
      </w:r>
      <w:r w:rsidR="008F6163">
        <w:rPr>
          <w:rFonts w:eastAsia="Times New Roman"/>
          <w:iCs/>
          <w:szCs w:val="24"/>
          <w:lang w:val="fr-FR"/>
        </w:rPr>
        <w:t>s</w:t>
      </w:r>
      <w:r w:rsidR="00132CD2">
        <w:rPr>
          <w:rFonts w:eastAsia="Times New Roman"/>
          <w:iCs/>
          <w:szCs w:val="24"/>
          <w:lang w:val="fr-FR"/>
        </w:rPr>
        <w:t> </w:t>
      </w:r>
      <w:hyperlink r:id="rId28" w:history="1">
        <w:r w:rsidR="006E6B05" w:rsidRPr="00124D03">
          <w:rPr>
            <w:rStyle w:val="Hyperlink"/>
            <w:rFonts w:eastAsia="Times New Roman"/>
            <w:iCs/>
            <w:szCs w:val="24"/>
            <w:lang w:val="fr-FR"/>
          </w:rPr>
          <w:t>NP-4/8</w:t>
        </w:r>
      </w:hyperlink>
      <w:r w:rsidR="00B814CA" w:rsidRPr="00124D03">
        <w:rPr>
          <w:rFonts w:eastAsia="Times New Roman"/>
          <w:iCs/>
          <w:szCs w:val="24"/>
          <w:lang w:val="fr-FR"/>
        </w:rPr>
        <w:t xml:space="preserve"> </w:t>
      </w:r>
      <w:r w:rsidR="00375073">
        <w:rPr>
          <w:rFonts w:eastAsia="Times New Roman"/>
          <w:iCs/>
          <w:szCs w:val="24"/>
          <w:lang w:val="fr-FR"/>
        </w:rPr>
        <w:t>du</w:t>
      </w:r>
      <w:r w:rsidR="008A08C2" w:rsidRPr="00124D03">
        <w:rPr>
          <w:rFonts w:eastAsia="Times New Roman"/>
          <w:iCs/>
          <w:szCs w:val="24"/>
          <w:lang w:val="fr-FR"/>
        </w:rPr>
        <w:t xml:space="preserve"> 10</w:t>
      </w:r>
      <w:r w:rsidR="00281C1A" w:rsidRPr="00124D03">
        <w:rPr>
          <w:rFonts w:eastAsia="Times New Roman"/>
          <w:iCs/>
          <w:szCs w:val="24"/>
          <w:lang w:val="fr-FR"/>
        </w:rPr>
        <w:t> </w:t>
      </w:r>
      <w:r w:rsidR="00375073">
        <w:rPr>
          <w:rFonts w:eastAsia="Times New Roman"/>
          <w:iCs/>
          <w:szCs w:val="24"/>
          <w:lang w:val="fr-FR"/>
        </w:rPr>
        <w:t>décembre</w:t>
      </w:r>
      <w:r w:rsidR="00132CD2">
        <w:rPr>
          <w:rFonts w:eastAsia="Times New Roman"/>
          <w:iCs/>
          <w:szCs w:val="24"/>
          <w:lang w:val="fr-FR"/>
        </w:rPr>
        <w:t> </w:t>
      </w:r>
      <w:r w:rsidR="008A08C2" w:rsidRPr="00124D03">
        <w:rPr>
          <w:rFonts w:eastAsia="Times New Roman"/>
          <w:iCs/>
          <w:szCs w:val="24"/>
          <w:lang w:val="fr-FR"/>
        </w:rPr>
        <w:t xml:space="preserve">2022 </w:t>
      </w:r>
      <w:r w:rsidR="00375073">
        <w:rPr>
          <w:rFonts w:eastAsia="Times New Roman"/>
          <w:iCs/>
          <w:szCs w:val="24"/>
          <w:lang w:val="fr-FR"/>
        </w:rPr>
        <w:t>et</w:t>
      </w:r>
      <w:r w:rsidR="00B814CA" w:rsidRPr="00124D03">
        <w:rPr>
          <w:rFonts w:eastAsia="Times New Roman"/>
          <w:iCs/>
          <w:szCs w:val="24"/>
          <w:lang w:val="fr-FR"/>
        </w:rPr>
        <w:t xml:space="preserve"> </w:t>
      </w:r>
      <w:hyperlink r:id="rId29" w:history="1">
        <w:r w:rsidR="00B814CA" w:rsidRPr="00124D03">
          <w:rPr>
            <w:rStyle w:val="Hyperlink"/>
            <w:rFonts w:eastAsia="Times New Roman"/>
            <w:iCs/>
            <w:szCs w:val="24"/>
            <w:lang w:val="fr-FR"/>
          </w:rPr>
          <w:t>NP</w:t>
        </w:r>
        <w:r w:rsidR="009F7227" w:rsidRPr="00124D03">
          <w:rPr>
            <w:rStyle w:val="Hyperlink"/>
            <w:rFonts w:eastAsia="Times New Roman"/>
            <w:iCs/>
            <w:szCs w:val="24"/>
            <w:lang w:val="fr-FR"/>
          </w:rPr>
          <w:t>-</w:t>
        </w:r>
        <w:r w:rsidR="00B814CA" w:rsidRPr="00124D03">
          <w:rPr>
            <w:rStyle w:val="Hyperlink"/>
            <w:rFonts w:eastAsia="Times New Roman"/>
            <w:iCs/>
            <w:szCs w:val="24"/>
            <w:lang w:val="fr-FR"/>
          </w:rPr>
          <w:t>5/2</w:t>
        </w:r>
      </w:hyperlink>
      <w:r w:rsidR="008A08C2" w:rsidRPr="00124D03">
        <w:rPr>
          <w:lang w:val="fr-FR"/>
        </w:rPr>
        <w:t xml:space="preserve"> </w:t>
      </w:r>
      <w:r w:rsidR="00375073">
        <w:rPr>
          <w:lang w:val="fr-FR"/>
        </w:rPr>
        <w:t>du</w:t>
      </w:r>
      <w:r w:rsidR="008A08C2" w:rsidRPr="00124D03">
        <w:rPr>
          <w:lang w:val="fr-FR"/>
        </w:rPr>
        <w:t xml:space="preserve"> 1</w:t>
      </w:r>
      <w:r w:rsidR="00375073" w:rsidRPr="00375073">
        <w:rPr>
          <w:vertAlign w:val="superscript"/>
          <w:lang w:val="fr-FR"/>
        </w:rPr>
        <w:t>er</w:t>
      </w:r>
      <w:r w:rsidR="005E0E9C" w:rsidRPr="00124D03">
        <w:rPr>
          <w:lang w:val="fr-FR"/>
        </w:rPr>
        <w:t> </w:t>
      </w:r>
      <w:r w:rsidR="00375073">
        <w:rPr>
          <w:lang w:val="fr-FR"/>
        </w:rPr>
        <w:t>novembre</w:t>
      </w:r>
      <w:r w:rsidR="00132CD2">
        <w:rPr>
          <w:lang w:val="fr-FR"/>
        </w:rPr>
        <w:t> </w:t>
      </w:r>
      <w:r w:rsidR="008A08C2" w:rsidRPr="00124D03">
        <w:rPr>
          <w:lang w:val="fr-FR"/>
        </w:rPr>
        <w:t>2024</w:t>
      </w:r>
      <w:r w:rsidR="00375073">
        <w:rPr>
          <w:lang w:val="fr-FR"/>
        </w:rPr>
        <w:t> </w:t>
      </w:r>
      <w:r w:rsidR="00327FBF" w:rsidRPr="00124D03">
        <w:rPr>
          <w:lang w:val="fr-FR"/>
        </w:rPr>
        <w:t>;</w:t>
      </w:r>
    </w:p>
    <w:p w14:paraId="440FBEC3" w14:textId="085475EF" w:rsidR="00A64A31"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2.</w:t>
      </w:r>
      <w:r w:rsidRPr="00124D03">
        <w:rPr>
          <w:rFonts w:eastAsia="Times New Roman"/>
          <w:szCs w:val="24"/>
          <w:lang w:val="fr-FR"/>
        </w:rPr>
        <w:tab/>
      </w:r>
      <w:r w:rsidR="00D8154F" w:rsidRPr="00124D03">
        <w:rPr>
          <w:rFonts w:eastAsia="Times New Roman"/>
          <w:i/>
          <w:szCs w:val="24"/>
          <w:lang w:val="fr-FR"/>
        </w:rPr>
        <w:t>Invite</w:t>
      </w:r>
      <w:r w:rsidR="005C1AB7" w:rsidRPr="00124D03">
        <w:rPr>
          <w:rFonts w:eastAsia="Times New Roman"/>
          <w:i/>
          <w:szCs w:val="24"/>
          <w:lang w:val="fr-FR"/>
        </w:rPr>
        <w:t xml:space="preserve"> </w:t>
      </w:r>
      <w:r w:rsidR="00375073">
        <w:rPr>
          <w:rFonts w:eastAsia="Times New Roman"/>
          <w:iCs/>
          <w:szCs w:val="24"/>
          <w:lang w:val="fr-FR"/>
        </w:rPr>
        <w:t xml:space="preserve">les organisations internationales, les banques de développement régionales et les autres programmes et initiatives, ainsi que les Parties et le </w:t>
      </w:r>
      <w:r w:rsidR="00375073" w:rsidRPr="00DD274C">
        <w:rPr>
          <w:rFonts w:eastAsia="Times New Roman"/>
          <w:iCs/>
          <w:szCs w:val="24"/>
          <w:lang w:val="fr-FR"/>
        </w:rPr>
        <w:t>secteur industriel</w:t>
      </w:r>
      <w:r w:rsidR="00375073">
        <w:rPr>
          <w:rFonts w:eastAsia="Times New Roman"/>
          <w:iCs/>
          <w:szCs w:val="24"/>
          <w:lang w:val="fr-FR"/>
        </w:rPr>
        <w:t xml:space="preserve"> à :</w:t>
      </w:r>
    </w:p>
    <w:p w14:paraId="21182F44" w14:textId="4B1DC1EF" w:rsidR="00A64A31" w:rsidRPr="00124D03" w:rsidRDefault="008F6AFE" w:rsidP="006B144A">
      <w:pPr>
        <w:pStyle w:val="CBDNormalNoNumber"/>
        <w:tabs>
          <w:tab w:val="clear" w:pos="567"/>
        </w:tabs>
        <w:ind w:left="1134" w:firstLine="567"/>
        <w:rPr>
          <w:rFonts w:eastAsia="Arial Unicode MS"/>
          <w:color w:val="000000"/>
          <w:kern w:val="22"/>
          <w:u w:color="000000"/>
          <w:bdr w:val="nil"/>
          <w:lang w:val="fr-FR"/>
        </w:rPr>
      </w:pPr>
      <w:r w:rsidRPr="00124D03">
        <w:rPr>
          <w:rFonts w:eastAsia="Arial Unicode MS"/>
          <w:color w:val="000000"/>
          <w:kern w:val="22"/>
          <w:u w:color="000000"/>
          <w:bdr w:val="nil"/>
          <w:lang w:val="fr-FR"/>
        </w:rPr>
        <w:t>a)</w:t>
      </w:r>
      <w:r w:rsidRPr="00124D03">
        <w:rPr>
          <w:rFonts w:eastAsia="Arial Unicode MS"/>
          <w:color w:val="000000"/>
          <w:kern w:val="22"/>
          <w:u w:color="000000"/>
          <w:bdr w:val="nil"/>
          <w:lang w:val="fr-FR"/>
        </w:rPr>
        <w:tab/>
      </w:r>
      <w:r w:rsidR="00375073">
        <w:rPr>
          <w:rFonts w:eastAsia="Arial Unicode MS"/>
          <w:color w:val="000000"/>
          <w:kern w:val="22"/>
          <w:u w:color="000000"/>
          <w:bdr w:val="nil"/>
          <w:lang w:val="fr-FR"/>
        </w:rPr>
        <w:t xml:space="preserve">Fournir des ressources financières et des contributions en nature supplémentaires à l’appui de la mise en œuvre du Protocole de Nagoya </w:t>
      </w:r>
      <w:r w:rsidR="00375073">
        <w:rPr>
          <w:rFonts w:eastAsia="Times New Roman"/>
          <w:color w:val="000000" w:themeColor="text1"/>
          <w:kern w:val="22"/>
          <w:lang w:val="fr-FR"/>
        </w:rPr>
        <w:t>sur l’accès aux ressources génétiques et le partage juste et équitable des avantages découlant de leur utilisation</w:t>
      </w:r>
      <w:r w:rsidR="00375073">
        <w:rPr>
          <w:rFonts w:eastAsia="Arial Unicode MS"/>
          <w:bCs/>
          <w:color w:val="000000"/>
          <w:kern w:val="22"/>
          <w:u w:color="000000"/>
          <w:bdr w:val="nil"/>
          <w:lang w:val="fr-FR"/>
        </w:rPr>
        <w:t> </w:t>
      </w:r>
      <w:r w:rsidR="00A64A31" w:rsidRPr="00124D03">
        <w:rPr>
          <w:rFonts w:eastAsia="Arial Unicode MS"/>
          <w:color w:val="000000"/>
          <w:kern w:val="22"/>
          <w:u w:color="000000"/>
          <w:bdr w:val="nil"/>
          <w:lang w:val="fr-FR"/>
        </w:rPr>
        <w:t>;</w:t>
      </w:r>
    </w:p>
    <w:p w14:paraId="501A8C3E" w14:textId="2FE84503" w:rsidR="00DC1968" w:rsidRPr="00124D03" w:rsidRDefault="008F6AFE" w:rsidP="006B144A">
      <w:pPr>
        <w:pStyle w:val="CBDNormalNoNumber"/>
        <w:tabs>
          <w:tab w:val="clear" w:pos="567"/>
        </w:tabs>
        <w:ind w:left="1134" w:firstLine="567"/>
        <w:rPr>
          <w:rFonts w:eastAsia="Arial Unicode MS"/>
          <w:color w:val="000000"/>
          <w:kern w:val="22"/>
          <w:u w:color="000000"/>
          <w:bdr w:val="nil"/>
          <w:lang w:val="fr-FR"/>
        </w:rPr>
      </w:pPr>
      <w:r w:rsidRPr="00124D03">
        <w:rPr>
          <w:rFonts w:eastAsia="Arial Unicode MS"/>
          <w:color w:val="000000"/>
          <w:kern w:val="22"/>
          <w:u w:color="000000"/>
          <w:bdr w:val="nil"/>
          <w:lang w:val="fr-FR"/>
        </w:rPr>
        <w:t>b)</w:t>
      </w:r>
      <w:r w:rsidRPr="00124D03">
        <w:rPr>
          <w:rFonts w:eastAsia="Arial Unicode MS"/>
          <w:color w:val="000000"/>
          <w:kern w:val="22"/>
          <w:u w:color="000000"/>
          <w:bdr w:val="nil"/>
          <w:lang w:val="fr-FR"/>
        </w:rPr>
        <w:tab/>
      </w:r>
      <w:r w:rsidR="00DD274C">
        <w:rPr>
          <w:rFonts w:eastAsia="Times New Roman"/>
          <w:iCs/>
          <w:szCs w:val="24"/>
          <w:lang w:val="fr-FR"/>
        </w:rPr>
        <w:t xml:space="preserve">Tenir compte des </w:t>
      </w:r>
      <w:r w:rsidR="00DD274C" w:rsidRPr="0065686B">
        <w:rPr>
          <w:lang w:val="fr-FR"/>
        </w:rPr>
        <w:t>conclusions et des messages essentiels</w:t>
      </w:r>
      <w:r w:rsidR="00DD274C">
        <w:rPr>
          <w:lang w:val="fr-FR"/>
        </w:rPr>
        <w:t> </w:t>
      </w:r>
      <w:r w:rsidR="00DD274C">
        <w:rPr>
          <w:rFonts w:eastAsia="Times New Roman"/>
          <w:iCs/>
          <w:szCs w:val="24"/>
          <w:lang w:val="fr-FR"/>
        </w:rPr>
        <w:t>du deuxième exercice d’évaluation et d’examen de l’efficacité du Protocole de Nagoya, qui indiquent des domaines où les Parties ont besoin de davantage d’appui, ainsi que des mesures indicatives pouvant être prises au niveau national pour améliorer la mise en œuvre du Protocole</w:t>
      </w:r>
      <w:r w:rsidR="00037D4B" w:rsidRPr="00124D03">
        <w:rPr>
          <w:rStyle w:val="FootnoteReference"/>
          <w:rFonts w:eastAsia="Arial Unicode MS"/>
          <w:color w:val="000000"/>
          <w:kern w:val="22"/>
          <w:u w:color="000000"/>
          <w:bdr w:val="nil"/>
          <w:lang w:val="fr-FR"/>
        </w:rPr>
        <w:footnoteReference w:id="31"/>
      </w:r>
      <w:r w:rsidR="001800E0">
        <w:rPr>
          <w:rFonts w:eastAsia="Arial Unicode MS"/>
          <w:bCs/>
          <w:color w:val="000000"/>
          <w:kern w:val="22"/>
          <w:u w:color="000000"/>
          <w:bdr w:val="nil"/>
          <w:lang w:val="fr-FR"/>
        </w:rPr>
        <w:t> ;</w:t>
      </w:r>
      <w:r w:rsidR="00DC1968" w:rsidRPr="00124D03">
        <w:rPr>
          <w:rFonts w:eastAsia="Arial Unicode MS"/>
          <w:color w:val="000000"/>
          <w:kern w:val="22"/>
          <w:u w:color="000000"/>
          <w:bdr w:val="nil"/>
          <w:lang w:val="fr-FR"/>
        </w:rPr>
        <w:t xml:space="preserve"> </w:t>
      </w:r>
    </w:p>
    <w:p w14:paraId="49BA80E6" w14:textId="7B583AE6" w:rsidR="003D6D9E" w:rsidRPr="00124D03" w:rsidRDefault="008F6AFE" w:rsidP="006B144A">
      <w:pPr>
        <w:pStyle w:val="CBDNormalNoNumber"/>
        <w:tabs>
          <w:tab w:val="clear" w:pos="567"/>
        </w:tabs>
        <w:ind w:left="1134" w:firstLine="567"/>
        <w:rPr>
          <w:rFonts w:eastAsia="Times New Roman"/>
          <w:i/>
          <w:szCs w:val="24"/>
          <w:lang w:val="fr-FR"/>
        </w:rPr>
      </w:pPr>
      <w:r w:rsidRPr="00124D03">
        <w:rPr>
          <w:rFonts w:eastAsia="Times New Roman"/>
          <w:szCs w:val="24"/>
          <w:lang w:val="fr-FR"/>
        </w:rPr>
        <w:t>3.</w:t>
      </w:r>
      <w:r w:rsidRPr="00124D03">
        <w:rPr>
          <w:rFonts w:eastAsia="Times New Roman"/>
          <w:szCs w:val="24"/>
          <w:lang w:val="fr-FR"/>
        </w:rPr>
        <w:tab/>
      </w:r>
      <w:r w:rsidR="00DC1968" w:rsidRPr="00124D03">
        <w:rPr>
          <w:rFonts w:eastAsia="Times New Roman"/>
          <w:i/>
          <w:szCs w:val="24"/>
          <w:lang w:val="fr-FR"/>
        </w:rPr>
        <w:t>Recomm</w:t>
      </w:r>
      <w:r w:rsidR="001800E0">
        <w:rPr>
          <w:rFonts w:eastAsia="Times New Roman"/>
          <w:i/>
          <w:szCs w:val="24"/>
          <w:lang w:val="fr-FR"/>
        </w:rPr>
        <w:t>a</w:t>
      </w:r>
      <w:r w:rsidR="00DC1968" w:rsidRPr="00124D03">
        <w:rPr>
          <w:rFonts w:eastAsia="Times New Roman"/>
          <w:i/>
          <w:szCs w:val="24"/>
          <w:lang w:val="fr-FR"/>
        </w:rPr>
        <w:t>nd</w:t>
      </w:r>
      <w:r w:rsidR="001800E0">
        <w:rPr>
          <w:rFonts w:eastAsia="Times New Roman"/>
          <w:i/>
          <w:szCs w:val="24"/>
          <w:lang w:val="fr-FR"/>
        </w:rPr>
        <w:t>e</w:t>
      </w:r>
      <w:r w:rsidR="00DC1968" w:rsidRPr="00124D03">
        <w:rPr>
          <w:rFonts w:eastAsia="Times New Roman"/>
          <w:i/>
          <w:szCs w:val="24"/>
          <w:lang w:val="fr-FR"/>
        </w:rPr>
        <w:t xml:space="preserve"> </w:t>
      </w:r>
      <w:r w:rsidR="001800E0">
        <w:rPr>
          <w:rFonts w:eastAsia="Times New Roman"/>
          <w:iCs/>
          <w:szCs w:val="24"/>
          <w:lang w:val="fr-FR"/>
        </w:rPr>
        <w:t xml:space="preserve">que, lorsqu’elle adoptera des </w:t>
      </w:r>
      <w:r w:rsidR="00DD274C">
        <w:rPr>
          <w:rFonts w:eastAsia="Times New Roman"/>
          <w:iCs/>
          <w:szCs w:val="24"/>
          <w:lang w:val="fr-FR"/>
        </w:rPr>
        <w:t>directives</w:t>
      </w:r>
      <w:r w:rsidR="001800E0">
        <w:rPr>
          <w:rFonts w:eastAsia="Times New Roman"/>
          <w:iCs/>
          <w:szCs w:val="24"/>
          <w:lang w:val="fr-FR"/>
        </w:rPr>
        <w:t xml:space="preserve"> sur le mécanisme financier à l’appui de la mise en œuvre du Protocole de Nagoya, la Conférence des Parties invite le Fonds pour l’environnement mondial à continuer d’assister les Parties qui peuvent y prétendre dans la mise en œuvre du Protocole, en tenant compte des résultats du deuxième exercice d’évaluation et d’examen, </w:t>
      </w:r>
      <w:r w:rsidR="001800E0" w:rsidRPr="00DD274C">
        <w:rPr>
          <w:rFonts w:eastAsia="Times New Roman"/>
          <w:iCs/>
          <w:szCs w:val="24"/>
          <w:lang w:val="fr-FR"/>
        </w:rPr>
        <w:t>à encourager</w:t>
      </w:r>
      <w:r w:rsidR="001800E0">
        <w:rPr>
          <w:rFonts w:eastAsia="Times New Roman"/>
          <w:iCs/>
          <w:szCs w:val="24"/>
          <w:lang w:val="fr-FR"/>
        </w:rPr>
        <w:t xml:space="preserve"> </w:t>
      </w:r>
      <w:r w:rsidR="00DD274C">
        <w:rPr>
          <w:rFonts w:eastAsia="Times New Roman"/>
          <w:iCs/>
          <w:szCs w:val="24"/>
          <w:lang w:val="fr-FR"/>
        </w:rPr>
        <w:t>des</w:t>
      </w:r>
      <w:r w:rsidR="001800E0">
        <w:rPr>
          <w:rFonts w:eastAsia="Times New Roman"/>
          <w:iCs/>
          <w:szCs w:val="24"/>
          <w:lang w:val="fr-FR"/>
        </w:rPr>
        <w:t xml:space="preserve"> projets mondiaux et régionaux et </w:t>
      </w:r>
      <w:r w:rsidR="001800E0" w:rsidRPr="00DD274C">
        <w:rPr>
          <w:rFonts w:eastAsia="Times New Roman"/>
          <w:iCs/>
          <w:szCs w:val="24"/>
          <w:lang w:val="fr-FR"/>
        </w:rPr>
        <w:t xml:space="preserve">à </w:t>
      </w:r>
      <w:r w:rsidR="00DD274C">
        <w:rPr>
          <w:rFonts w:eastAsia="Times New Roman"/>
          <w:iCs/>
          <w:szCs w:val="24"/>
          <w:lang w:val="fr-FR"/>
        </w:rPr>
        <w:t>mettre à dispositions</w:t>
      </w:r>
      <w:r w:rsidR="001800E0">
        <w:rPr>
          <w:rFonts w:eastAsia="Times New Roman"/>
          <w:iCs/>
          <w:szCs w:val="24"/>
          <w:lang w:val="fr-FR"/>
        </w:rPr>
        <w:t xml:space="preserve"> des fonds à cet effet ;</w:t>
      </w:r>
    </w:p>
    <w:p w14:paraId="2E0BAC3B" w14:textId="0A5D99D4" w:rsidR="000C0B23" w:rsidRPr="00124D03" w:rsidRDefault="008F6AFE" w:rsidP="006B144A">
      <w:pPr>
        <w:pStyle w:val="CBDNormalNoNumber"/>
        <w:tabs>
          <w:tab w:val="clear" w:pos="567"/>
        </w:tabs>
        <w:ind w:left="1134" w:firstLine="567"/>
        <w:rPr>
          <w:rFonts w:eastAsia="Times New Roman"/>
          <w:iCs/>
          <w:szCs w:val="24"/>
          <w:lang w:val="fr-FR"/>
        </w:rPr>
      </w:pPr>
      <w:r w:rsidRPr="00124D03">
        <w:rPr>
          <w:rFonts w:eastAsia="Times New Roman"/>
          <w:szCs w:val="24"/>
          <w:lang w:val="fr-FR"/>
        </w:rPr>
        <w:t>4.</w:t>
      </w:r>
      <w:r w:rsidRPr="00124D03">
        <w:rPr>
          <w:rFonts w:eastAsia="Times New Roman"/>
          <w:szCs w:val="24"/>
          <w:lang w:val="fr-FR"/>
        </w:rPr>
        <w:tab/>
      </w:r>
      <w:r w:rsidR="003348AC">
        <w:rPr>
          <w:rFonts w:eastAsia="Times New Roman"/>
          <w:i/>
          <w:szCs w:val="24"/>
          <w:lang w:val="fr-FR"/>
        </w:rPr>
        <w:t>Prie</w:t>
      </w:r>
      <w:r w:rsidR="004B1945" w:rsidRPr="00124D03">
        <w:rPr>
          <w:rFonts w:eastAsia="Times New Roman"/>
          <w:i/>
          <w:szCs w:val="24"/>
          <w:lang w:val="fr-FR"/>
        </w:rPr>
        <w:t xml:space="preserve"> </w:t>
      </w:r>
      <w:r w:rsidR="003348AC">
        <w:rPr>
          <w:rFonts w:eastAsia="Times New Roman"/>
          <w:iCs/>
          <w:szCs w:val="24"/>
          <w:lang w:val="fr-FR"/>
        </w:rPr>
        <w:t>la Secrétaire exécutive de :</w:t>
      </w:r>
    </w:p>
    <w:p w14:paraId="77F4DBF7" w14:textId="55CF9F81" w:rsidR="00742BAF" w:rsidRPr="00124D03" w:rsidRDefault="008F6AFE" w:rsidP="006B144A">
      <w:pPr>
        <w:pStyle w:val="CBDNormalNoNumber"/>
        <w:tabs>
          <w:tab w:val="clear" w:pos="567"/>
        </w:tabs>
        <w:ind w:left="1134" w:firstLine="567"/>
        <w:rPr>
          <w:rFonts w:eastAsia="Arial Unicode MS"/>
          <w:bCs/>
          <w:color w:val="000000"/>
          <w:kern w:val="22"/>
          <w:u w:color="000000"/>
          <w:bdr w:val="nil"/>
          <w:lang w:val="fr-FR"/>
        </w:rPr>
      </w:pPr>
      <w:r w:rsidRPr="00124D03">
        <w:rPr>
          <w:rFonts w:eastAsia="Arial Unicode MS"/>
          <w:bCs/>
          <w:color w:val="000000"/>
          <w:kern w:val="22"/>
          <w:u w:color="000000"/>
          <w:bdr w:val="nil"/>
          <w:lang w:val="fr-FR"/>
        </w:rPr>
        <w:t>a)</w:t>
      </w:r>
      <w:r w:rsidRPr="00124D03">
        <w:rPr>
          <w:rFonts w:eastAsia="Arial Unicode MS"/>
          <w:bCs/>
          <w:color w:val="000000"/>
          <w:kern w:val="22"/>
          <w:u w:color="000000"/>
          <w:bdr w:val="nil"/>
          <w:lang w:val="fr-FR"/>
        </w:rPr>
        <w:tab/>
      </w:r>
      <w:r w:rsidR="003348AC">
        <w:rPr>
          <w:rFonts w:eastAsia="Arial Unicode MS"/>
          <w:bCs/>
          <w:color w:val="000000"/>
          <w:kern w:val="22"/>
          <w:u w:color="000000"/>
          <w:bdr w:val="nil"/>
          <w:lang w:val="fr-FR"/>
        </w:rPr>
        <w:t xml:space="preserve">Diffuser </w:t>
      </w:r>
      <w:r w:rsidR="005431A8">
        <w:rPr>
          <w:rFonts w:eastAsia="Arial Unicode MS"/>
          <w:bCs/>
          <w:color w:val="000000"/>
          <w:kern w:val="22"/>
          <w:u w:color="000000"/>
          <w:bdr w:val="nil"/>
          <w:lang w:val="fr-FR"/>
        </w:rPr>
        <w:t>auprès des Parties, des peuples autochtones et communautés locales d</w:t>
      </w:r>
      <w:r w:rsidR="003348AC">
        <w:rPr>
          <w:rFonts w:eastAsia="Arial Unicode MS"/>
          <w:bCs/>
          <w:color w:val="000000"/>
          <w:kern w:val="22"/>
          <w:u w:color="000000"/>
          <w:bdr w:val="nil"/>
          <w:lang w:val="fr-FR"/>
        </w:rPr>
        <w:t>es informations sur les ressources financières existantes et les possibilités de financement pour la mise en œuvre du Protocole de Nagoya ;</w:t>
      </w:r>
    </w:p>
    <w:p w14:paraId="4BB78049" w14:textId="6D00A3CF" w:rsidR="00742BAF" w:rsidRPr="00124D03" w:rsidRDefault="008F6AFE" w:rsidP="006B144A">
      <w:pPr>
        <w:pStyle w:val="CBDNormalNoNumber"/>
        <w:tabs>
          <w:tab w:val="clear" w:pos="567"/>
        </w:tabs>
        <w:ind w:left="1134" w:firstLine="567"/>
        <w:rPr>
          <w:rFonts w:eastAsia="Arial Unicode MS"/>
          <w:bCs/>
          <w:color w:val="000000"/>
          <w:kern w:val="22"/>
          <w:u w:color="000000"/>
          <w:bdr w:val="nil"/>
          <w:lang w:val="fr-FR"/>
        </w:rPr>
      </w:pPr>
      <w:r w:rsidRPr="00124D03">
        <w:rPr>
          <w:rFonts w:eastAsia="Arial Unicode MS"/>
          <w:bCs/>
          <w:color w:val="000000"/>
          <w:kern w:val="22"/>
          <w:u w:color="000000"/>
          <w:bdr w:val="nil"/>
          <w:lang w:val="fr-FR"/>
        </w:rPr>
        <w:t>b)</w:t>
      </w:r>
      <w:r w:rsidRPr="00124D03">
        <w:rPr>
          <w:rFonts w:eastAsia="Arial Unicode MS"/>
          <w:bCs/>
          <w:color w:val="000000"/>
          <w:kern w:val="22"/>
          <w:u w:color="000000"/>
          <w:bdr w:val="nil"/>
          <w:lang w:val="fr-FR"/>
        </w:rPr>
        <w:tab/>
      </w:r>
      <w:r w:rsidR="003348AC">
        <w:rPr>
          <w:rFonts w:eastAsia="Arial Unicode MS"/>
          <w:bCs/>
          <w:color w:val="000000"/>
          <w:kern w:val="22"/>
          <w:u w:color="000000"/>
          <w:bdr w:val="nil"/>
          <w:lang w:val="fr-FR"/>
        </w:rPr>
        <w:t xml:space="preserve">Tenir compte des résultats du deuxième exercice d’évaluation et d’examen lorsqu’elle préparera des documents relatifs au cadre quadriennal des priorités du programme axé sur les résultats </w:t>
      </w:r>
      <w:r w:rsidR="00215E7E">
        <w:rPr>
          <w:rFonts w:eastAsia="Arial Unicode MS"/>
          <w:bCs/>
          <w:color w:val="000000"/>
          <w:kern w:val="22"/>
          <w:u w:color="000000"/>
          <w:bdr w:val="nil"/>
          <w:lang w:val="fr-FR"/>
        </w:rPr>
        <w:t>pour la dixième période de reconstitution du Fonds pour l’environnement mondial qui ser</w:t>
      </w:r>
      <w:r w:rsidR="008F6163">
        <w:rPr>
          <w:rFonts w:eastAsia="Arial Unicode MS"/>
          <w:bCs/>
          <w:color w:val="000000"/>
          <w:kern w:val="22"/>
          <w:u w:color="000000"/>
          <w:bdr w:val="nil"/>
          <w:lang w:val="fr-FR"/>
        </w:rPr>
        <w:t>a</w:t>
      </w:r>
      <w:r w:rsidR="00215E7E">
        <w:rPr>
          <w:rFonts w:eastAsia="Arial Unicode MS"/>
          <w:bCs/>
          <w:color w:val="000000"/>
          <w:kern w:val="22"/>
          <w:u w:color="000000"/>
          <w:bdr w:val="nil"/>
          <w:lang w:val="fr-FR"/>
        </w:rPr>
        <w:t xml:space="preserve"> transmis pour examen à la septième réunion de la Conférence des Parties siégeant en tant que réunion des Parties au Protocole de Nagoya.</w:t>
      </w:r>
    </w:p>
    <w:p w14:paraId="7D702A6D" w14:textId="3BFCC806" w:rsidR="00037D4B" w:rsidRPr="00124D03" w:rsidRDefault="00037D4B">
      <w:pPr>
        <w:tabs>
          <w:tab w:val="clear" w:pos="567"/>
          <w:tab w:val="clear" w:pos="1134"/>
          <w:tab w:val="clear" w:pos="1701"/>
          <w:tab w:val="clear" w:pos="2268"/>
        </w:tabs>
        <w:spacing w:after="160" w:line="259" w:lineRule="auto"/>
        <w:jc w:val="left"/>
        <w:rPr>
          <w:rFonts w:eastAsia="Times New Roman"/>
          <w:i/>
          <w:szCs w:val="24"/>
          <w:lang w:val="fr-FR"/>
        </w:rPr>
      </w:pPr>
      <w:r w:rsidRPr="00124D03">
        <w:rPr>
          <w:rFonts w:eastAsia="Times New Roman"/>
          <w:i/>
          <w:szCs w:val="24"/>
          <w:lang w:val="fr-FR"/>
        </w:rPr>
        <w:br w:type="page"/>
      </w:r>
    </w:p>
    <w:p w14:paraId="274C9A73" w14:textId="5DB6225D" w:rsidR="00AB64EF" w:rsidRPr="00124D03" w:rsidRDefault="00AB64EF" w:rsidP="00AB64EF">
      <w:pPr>
        <w:pStyle w:val="CBDAnnex"/>
        <w:rPr>
          <w:u w:color="000000"/>
          <w:bdr w:val="nil"/>
          <w:lang w:val="fr-FR"/>
        </w:rPr>
      </w:pPr>
      <w:r w:rsidRPr="00124D03">
        <w:rPr>
          <w:u w:color="000000"/>
          <w:bdr w:val="nil"/>
          <w:lang w:val="fr-FR"/>
        </w:rPr>
        <w:lastRenderedPageBreak/>
        <w:t>Annex</w:t>
      </w:r>
      <w:r w:rsidR="00215E7E">
        <w:rPr>
          <w:u w:color="000000"/>
          <w:bdr w:val="nil"/>
          <w:lang w:val="fr-FR"/>
        </w:rPr>
        <w:t>e</w:t>
      </w:r>
      <w:r w:rsidR="002C5F8D" w:rsidRPr="00124D03">
        <w:rPr>
          <w:u w:color="000000"/>
          <w:bdr w:val="nil"/>
          <w:lang w:val="fr-FR"/>
        </w:rPr>
        <w:t> </w:t>
      </w:r>
      <w:r w:rsidRPr="00124D03">
        <w:rPr>
          <w:u w:color="000000"/>
          <w:bdr w:val="nil"/>
          <w:lang w:val="fr-FR"/>
        </w:rPr>
        <w:t>I</w:t>
      </w:r>
    </w:p>
    <w:p w14:paraId="16C243A2" w14:textId="77937A90" w:rsidR="00CD1BA4" w:rsidRPr="00124D03" w:rsidRDefault="00786736" w:rsidP="00AB64EF">
      <w:pPr>
        <w:pStyle w:val="CBDAnnex"/>
        <w:rPr>
          <w:u w:color="000000"/>
          <w:bdr w:val="nil"/>
          <w:lang w:val="fr-FR"/>
        </w:rPr>
      </w:pPr>
      <w:r>
        <w:rPr>
          <w:u w:color="000000"/>
          <w:bdr w:val="nil"/>
          <w:lang w:val="fr-FR"/>
        </w:rPr>
        <w:t xml:space="preserve">Conclusions et messages essentiels </w:t>
      </w:r>
    </w:p>
    <w:p w14:paraId="2A439FD5" w14:textId="5F2D9EC8" w:rsidR="006E04A3" w:rsidRPr="00124D03" w:rsidRDefault="00742B8B" w:rsidP="00742B8B">
      <w:pPr>
        <w:keepNext/>
        <w:keepLines/>
        <w:tabs>
          <w:tab w:val="clear" w:pos="567"/>
          <w:tab w:val="clear" w:pos="1134"/>
          <w:tab w:val="clear" w:pos="1701"/>
          <w:tab w:val="clear" w:pos="2268"/>
        </w:tabs>
        <w:spacing w:before="120" w:after="120"/>
        <w:jc w:val="left"/>
        <w:outlineLvl w:val="1"/>
        <w:rPr>
          <w:rFonts w:eastAsia="Times New Roman"/>
          <w:b/>
          <w:bCs/>
          <w:szCs w:val="24"/>
          <w:lang w:val="fr-FR"/>
        </w:rPr>
      </w:pPr>
      <w:r>
        <w:rPr>
          <w:rFonts w:eastAsia="Times New Roman"/>
          <w:b/>
          <w:bCs/>
          <w:szCs w:val="24"/>
          <w:lang w:val="fr-FR"/>
        </w:rPr>
        <w:t>É</w:t>
      </w:r>
      <w:r w:rsidR="00CC35D7" w:rsidRPr="00124D03">
        <w:rPr>
          <w:rFonts w:eastAsia="Times New Roman"/>
          <w:b/>
          <w:bCs/>
          <w:szCs w:val="24"/>
          <w:lang w:val="fr-FR"/>
        </w:rPr>
        <w:t>l</w:t>
      </w:r>
      <w:r>
        <w:rPr>
          <w:rFonts w:eastAsia="Times New Roman"/>
          <w:b/>
          <w:bCs/>
          <w:szCs w:val="24"/>
          <w:lang w:val="fr-FR"/>
        </w:rPr>
        <w:t>é</w:t>
      </w:r>
      <w:r w:rsidR="00CC35D7" w:rsidRPr="00124D03">
        <w:rPr>
          <w:rFonts w:eastAsia="Times New Roman"/>
          <w:b/>
          <w:bCs/>
          <w:szCs w:val="24"/>
          <w:lang w:val="fr-FR"/>
        </w:rPr>
        <w:t>ment a)</w:t>
      </w:r>
      <w:r>
        <w:rPr>
          <w:rFonts w:eastAsia="Times New Roman"/>
          <w:b/>
          <w:bCs/>
          <w:szCs w:val="24"/>
          <w:lang w:val="fr-FR"/>
        </w:rPr>
        <w:t> </w:t>
      </w:r>
      <w:r w:rsidR="00CC35D7" w:rsidRPr="00124D03">
        <w:rPr>
          <w:rFonts w:eastAsia="Times New Roman"/>
          <w:b/>
          <w:bCs/>
          <w:szCs w:val="24"/>
          <w:lang w:val="fr-FR"/>
        </w:rPr>
        <w:t xml:space="preserve">: </w:t>
      </w:r>
      <w:r w:rsidR="00786736">
        <w:rPr>
          <w:rFonts w:eastAsia="Times New Roman"/>
          <w:b/>
          <w:bCs/>
          <w:szCs w:val="24"/>
          <w:lang w:val="fr-FR"/>
        </w:rPr>
        <w:t>État d’avancement de la</w:t>
      </w:r>
      <w:r w:rsidR="005064E5">
        <w:rPr>
          <w:rFonts w:eastAsia="Times New Roman"/>
          <w:b/>
          <w:bCs/>
          <w:szCs w:val="24"/>
          <w:lang w:val="fr-FR"/>
        </w:rPr>
        <w:t xml:space="preserve"> mise en œuvre </w:t>
      </w:r>
      <w:r w:rsidRPr="00742B8B">
        <w:rPr>
          <w:rFonts w:eastAsia="Times New Roman"/>
          <w:b/>
          <w:bCs/>
          <w:szCs w:val="24"/>
          <w:lang w:val="fr-FR"/>
        </w:rPr>
        <w:t>des dispositions du Protocole de Nagoya et des obligations connexes</w:t>
      </w:r>
      <w:r>
        <w:rPr>
          <w:rFonts w:eastAsia="Times New Roman"/>
          <w:b/>
          <w:bCs/>
          <w:szCs w:val="24"/>
          <w:lang w:val="fr-FR"/>
        </w:rPr>
        <w:t xml:space="preserve"> </w:t>
      </w:r>
      <w:r w:rsidRPr="00742B8B">
        <w:rPr>
          <w:rFonts w:eastAsia="Times New Roman"/>
          <w:b/>
          <w:bCs/>
          <w:szCs w:val="24"/>
          <w:lang w:val="fr-FR"/>
        </w:rPr>
        <w:t>des Parties, y compris une évaluation des progrès accomplis par les Parties dans la mise</w:t>
      </w:r>
      <w:r>
        <w:rPr>
          <w:rFonts w:eastAsia="Times New Roman"/>
          <w:b/>
          <w:bCs/>
          <w:szCs w:val="24"/>
          <w:lang w:val="fr-FR"/>
        </w:rPr>
        <w:t xml:space="preserve"> </w:t>
      </w:r>
      <w:r w:rsidRPr="00742B8B">
        <w:rPr>
          <w:rFonts w:eastAsia="Times New Roman"/>
          <w:b/>
          <w:bCs/>
          <w:szCs w:val="24"/>
          <w:lang w:val="fr-FR"/>
        </w:rPr>
        <w:t xml:space="preserve">en place de structures institutionnelles et de mesures </w:t>
      </w:r>
      <w:r w:rsidR="00786736">
        <w:rPr>
          <w:rFonts w:eastAsia="Times New Roman"/>
          <w:b/>
          <w:bCs/>
          <w:szCs w:val="24"/>
          <w:lang w:val="fr-FR"/>
        </w:rPr>
        <w:t>d</w:t>
      </w:r>
      <w:r w:rsidRPr="00742B8B">
        <w:rPr>
          <w:rFonts w:eastAsia="Times New Roman"/>
          <w:b/>
          <w:bCs/>
          <w:szCs w:val="24"/>
          <w:lang w:val="fr-FR"/>
        </w:rPr>
        <w:t xml:space="preserve">’accès et </w:t>
      </w:r>
      <w:r w:rsidR="00786736">
        <w:rPr>
          <w:rFonts w:eastAsia="Times New Roman"/>
          <w:b/>
          <w:bCs/>
          <w:szCs w:val="24"/>
          <w:lang w:val="fr-FR"/>
        </w:rPr>
        <w:t>de</w:t>
      </w:r>
      <w:r w:rsidRPr="00742B8B">
        <w:rPr>
          <w:rFonts w:eastAsia="Times New Roman"/>
          <w:b/>
          <w:bCs/>
          <w:szCs w:val="24"/>
          <w:lang w:val="fr-FR"/>
        </w:rPr>
        <w:t xml:space="preserve"> partage des</w:t>
      </w:r>
      <w:r>
        <w:rPr>
          <w:rFonts w:eastAsia="Times New Roman"/>
          <w:b/>
          <w:bCs/>
          <w:szCs w:val="24"/>
          <w:lang w:val="fr-FR"/>
        </w:rPr>
        <w:t xml:space="preserve"> </w:t>
      </w:r>
      <w:r w:rsidRPr="00742B8B">
        <w:rPr>
          <w:rFonts w:eastAsia="Times New Roman"/>
          <w:b/>
          <w:bCs/>
          <w:szCs w:val="24"/>
          <w:lang w:val="fr-FR"/>
        </w:rPr>
        <w:t xml:space="preserve">avantages aux fins </w:t>
      </w:r>
      <w:r w:rsidR="005064E5">
        <w:rPr>
          <w:rFonts w:eastAsia="Times New Roman"/>
          <w:b/>
          <w:bCs/>
          <w:szCs w:val="24"/>
          <w:lang w:val="fr-FR"/>
        </w:rPr>
        <w:t>de mise en œuvre</w:t>
      </w:r>
      <w:r w:rsidRPr="00742B8B">
        <w:rPr>
          <w:rFonts w:eastAsia="Times New Roman"/>
          <w:b/>
          <w:bCs/>
          <w:szCs w:val="24"/>
          <w:lang w:val="fr-FR"/>
        </w:rPr>
        <w:t xml:space="preserve"> du Protocole</w:t>
      </w:r>
    </w:p>
    <w:p w14:paraId="71B66041" w14:textId="408C7845" w:rsidR="001C2D55" w:rsidRPr="00124D03" w:rsidRDefault="005064E5">
      <w:pPr>
        <w:pStyle w:val="CBDNormalNumber"/>
        <w:numPr>
          <w:ilvl w:val="0"/>
          <w:numId w:val="19"/>
        </w:numPr>
        <w:rPr>
          <w:rFonts w:eastAsia="Times New Roman"/>
          <w:color w:val="000000" w:themeColor="text1"/>
          <w:kern w:val="22"/>
          <w:lang w:val="fr-FR"/>
        </w:rPr>
      </w:pPr>
      <w:r>
        <w:rPr>
          <w:rFonts w:eastAsia="Times New Roman"/>
          <w:color w:val="000000" w:themeColor="text1"/>
          <w:kern w:val="22"/>
          <w:lang w:val="fr-FR"/>
        </w:rPr>
        <w:t>Depuis février 2018, 37</w:t>
      </w:r>
      <w:r w:rsidR="00132CD2">
        <w:rPr>
          <w:rFonts w:eastAsia="Times New Roman"/>
          <w:color w:val="000000" w:themeColor="text1"/>
          <w:kern w:val="22"/>
          <w:lang w:val="fr-FR"/>
        </w:rPr>
        <w:t> </w:t>
      </w:r>
      <w:r>
        <w:rPr>
          <w:rFonts w:eastAsia="Times New Roman"/>
          <w:color w:val="000000" w:themeColor="text1"/>
          <w:kern w:val="22"/>
          <w:lang w:val="fr-FR"/>
        </w:rPr>
        <w:t>pays ont ratifié le Protocole de Nagoya, portant le nombre de Parties au Protocole à 142 en date du 9</w:t>
      </w:r>
      <w:r w:rsidR="00132CD2">
        <w:rPr>
          <w:rFonts w:eastAsia="Times New Roman"/>
          <w:color w:val="000000" w:themeColor="text1"/>
          <w:kern w:val="22"/>
          <w:lang w:val="fr-FR"/>
        </w:rPr>
        <w:t> </w:t>
      </w:r>
      <w:r>
        <w:rPr>
          <w:rFonts w:eastAsia="Times New Roman"/>
          <w:color w:val="000000" w:themeColor="text1"/>
          <w:kern w:val="22"/>
          <w:lang w:val="fr-FR"/>
        </w:rPr>
        <w:t>mars 2026.</w:t>
      </w:r>
    </w:p>
    <w:p w14:paraId="1149B7CB" w14:textId="5CFE32E2" w:rsidR="00786736" w:rsidRPr="00F9452E" w:rsidRDefault="00786736" w:rsidP="00786736">
      <w:pPr>
        <w:pStyle w:val="CBDNormalNumber"/>
        <w:numPr>
          <w:ilvl w:val="0"/>
          <w:numId w:val="19"/>
        </w:numPr>
        <w:rPr>
          <w:lang w:val="fr-FR"/>
        </w:rPr>
      </w:pPr>
      <w:r w:rsidRPr="00E34B03">
        <w:rPr>
          <w:lang w:val="fr-FR"/>
        </w:rPr>
        <w:t>D</w:t>
      </w:r>
      <w:r>
        <w:rPr>
          <w:lang w:val="fr-FR"/>
        </w:rPr>
        <w:t>’</w:t>
      </w:r>
      <w:r w:rsidRPr="00E34B03">
        <w:rPr>
          <w:lang w:val="fr-FR"/>
        </w:rPr>
        <w:t>après les données révisées relatives aux indicateurs, et en comparaison avec les données de février</w:t>
      </w:r>
      <w:r w:rsidR="00132CD2">
        <w:rPr>
          <w:lang w:val="fr-FR"/>
        </w:rPr>
        <w:t> </w:t>
      </w:r>
      <w:r w:rsidRPr="00E34B03">
        <w:rPr>
          <w:lang w:val="fr-FR"/>
        </w:rPr>
        <w:t xml:space="preserve">2018, des progrès significatifs ont été réalisés dans la mise en place des fondements législatifs, administratifs et politiques nécessaires à </w:t>
      </w:r>
      <w:r w:rsidR="004011EA">
        <w:rPr>
          <w:lang w:val="fr-FR"/>
        </w:rPr>
        <w:t>la mise en œuvre</w:t>
      </w:r>
      <w:r w:rsidRPr="00E34B03">
        <w:rPr>
          <w:lang w:val="fr-FR"/>
        </w:rPr>
        <w:t xml:space="preserve"> du Protocole de Nagoya, notamment la désignation de correspondants nationaux et d</w:t>
      </w:r>
      <w:r>
        <w:rPr>
          <w:lang w:val="fr-FR"/>
        </w:rPr>
        <w:t>’</w:t>
      </w:r>
      <w:r w:rsidRPr="00E34B03">
        <w:rPr>
          <w:lang w:val="fr-FR"/>
        </w:rPr>
        <w:t>autorités nationales compétentes, ainsi que l</w:t>
      </w:r>
      <w:r>
        <w:rPr>
          <w:lang w:val="fr-FR"/>
        </w:rPr>
        <w:t>’</w:t>
      </w:r>
      <w:r w:rsidRPr="00E34B03">
        <w:rPr>
          <w:lang w:val="fr-FR"/>
        </w:rPr>
        <w:t>adoption de mesures législatives, administratives et stratégiques en matière d</w:t>
      </w:r>
      <w:r>
        <w:rPr>
          <w:lang w:val="fr-FR"/>
        </w:rPr>
        <w:t>’</w:t>
      </w:r>
      <w:r w:rsidRPr="00E34B03">
        <w:rPr>
          <w:lang w:val="fr-FR"/>
        </w:rPr>
        <w:t>accès et de partage des avantages</w:t>
      </w:r>
      <w:r>
        <w:rPr>
          <w:lang w:val="fr-FR"/>
        </w:rPr>
        <w:t> ;</w:t>
      </w:r>
      <w:r w:rsidRPr="00E34B03">
        <w:rPr>
          <w:lang w:val="fr-FR"/>
        </w:rPr>
        <w:t xml:space="preserve"> toutefois, ces progrès ont été inégaux d</w:t>
      </w:r>
      <w:r>
        <w:rPr>
          <w:lang w:val="fr-FR"/>
        </w:rPr>
        <w:t>’</w:t>
      </w:r>
      <w:r w:rsidRPr="00E34B03">
        <w:rPr>
          <w:lang w:val="fr-FR"/>
        </w:rPr>
        <w:t>une région à l</w:t>
      </w:r>
      <w:r>
        <w:rPr>
          <w:lang w:val="fr-FR"/>
        </w:rPr>
        <w:t>’</w:t>
      </w:r>
      <w:r w:rsidRPr="00E34B03">
        <w:rPr>
          <w:lang w:val="fr-FR"/>
        </w:rPr>
        <w:t>autre. Des divergences subsistent quant à la compréhension du rôle des points de contrôle</w:t>
      </w:r>
      <w:r>
        <w:rPr>
          <w:lang w:val="fr-FR"/>
        </w:rPr>
        <w:t> ;</w:t>
      </w:r>
      <w:r w:rsidRPr="00E34B03">
        <w:rPr>
          <w:lang w:val="fr-FR"/>
        </w:rPr>
        <w:t xml:space="preserve"> leur désignation et leur mise en œuvre constituent un défi pour de nombreuses Parties</w:t>
      </w:r>
      <w:r>
        <w:rPr>
          <w:lang w:val="fr-FR"/>
        </w:rPr>
        <w:t> ;</w:t>
      </w:r>
      <w:r w:rsidRPr="00E34B03">
        <w:rPr>
          <w:lang w:val="fr-FR"/>
        </w:rPr>
        <w:t xml:space="preserve"> et </w:t>
      </w:r>
      <w:r w:rsidR="00EA658B">
        <w:rPr>
          <w:lang w:val="fr-FR"/>
        </w:rPr>
        <w:t>le peu de</w:t>
      </w:r>
      <w:r w:rsidRPr="00E34B03">
        <w:rPr>
          <w:lang w:val="fr-FR"/>
        </w:rPr>
        <w:t xml:space="preserve"> progrès </w:t>
      </w:r>
      <w:r w:rsidR="00EA658B">
        <w:rPr>
          <w:lang w:val="fr-FR"/>
        </w:rPr>
        <w:t xml:space="preserve">réalisés </w:t>
      </w:r>
      <w:r w:rsidRPr="00E34B03">
        <w:rPr>
          <w:lang w:val="fr-FR"/>
        </w:rPr>
        <w:t>dans ce domaine est préoccupant. À cet égard, les informations disponibles montrent que de nombreuses Parties doivent encore adopter des mesures supplémentaires pour rendre le Protocole de Nagoya pleinement opérationnel et traduire ses principes en pratique.</w:t>
      </w:r>
    </w:p>
    <w:p w14:paraId="541C986C" w14:textId="4B8505AD" w:rsidR="00786736" w:rsidRPr="00F9452E" w:rsidRDefault="00786736" w:rsidP="00786736">
      <w:pPr>
        <w:pStyle w:val="CBDNormalNumber"/>
        <w:numPr>
          <w:ilvl w:val="0"/>
          <w:numId w:val="19"/>
        </w:numPr>
        <w:rPr>
          <w:rFonts w:eastAsia="Times New Roman"/>
          <w:szCs w:val="24"/>
          <w:lang w:val="fr-FR"/>
        </w:rPr>
      </w:pPr>
      <w:r w:rsidRPr="00850613">
        <w:rPr>
          <w:rFonts w:eastAsia="Times New Roman"/>
          <w:szCs w:val="24"/>
          <w:lang w:val="fr-FR"/>
        </w:rPr>
        <w:t>Si les données relatives aux indicateurs mettent en évidence les progrès accomplis par les Parties dans la mise en place de structures institutionnelles et de mesures d</w:t>
      </w:r>
      <w:r>
        <w:rPr>
          <w:rFonts w:eastAsia="Times New Roman"/>
          <w:szCs w:val="24"/>
          <w:lang w:val="fr-FR"/>
        </w:rPr>
        <w:t>’</w:t>
      </w:r>
      <w:r w:rsidRPr="00850613">
        <w:rPr>
          <w:rFonts w:eastAsia="Times New Roman"/>
          <w:szCs w:val="24"/>
          <w:lang w:val="fr-FR"/>
        </w:rPr>
        <w:t>accès et de partage des avantages, elles ne permettent toutefois pas de déterminer si ces institutions et ces mesures sont opérationnelles ou efficaces pour atteindre l</w:t>
      </w:r>
      <w:r>
        <w:rPr>
          <w:rFonts w:eastAsia="Times New Roman"/>
          <w:szCs w:val="24"/>
          <w:lang w:val="fr-FR"/>
        </w:rPr>
        <w:t>’</w:t>
      </w:r>
      <w:r w:rsidRPr="00850613">
        <w:rPr>
          <w:rFonts w:eastAsia="Times New Roman"/>
          <w:szCs w:val="24"/>
          <w:lang w:val="fr-FR"/>
        </w:rPr>
        <w:t>objectif du Protocole. Il est préoccupant de constater que de nombreuses Parties disposent encore d</w:t>
      </w:r>
      <w:r>
        <w:rPr>
          <w:rFonts w:eastAsia="Times New Roman"/>
          <w:szCs w:val="24"/>
          <w:lang w:val="fr-FR"/>
        </w:rPr>
        <w:t>’</w:t>
      </w:r>
      <w:r w:rsidRPr="00850613">
        <w:rPr>
          <w:rFonts w:eastAsia="Times New Roman"/>
          <w:szCs w:val="24"/>
          <w:lang w:val="fr-FR"/>
        </w:rPr>
        <w:t>informations qui n</w:t>
      </w:r>
      <w:r>
        <w:rPr>
          <w:rFonts w:eastAsia="Times New Roman"/>
          <w:szCs w:val="24"/>
          <w:lang w:val="fr-FR"/>
        </w:rPr>
        <w:t>’</w:t>
      </w:r>
      <w:r w:rsidRPr="00850613">
        <w:rPr>
          <w:rFonts w:eastAsia="Times New Roman"/>
          <w:szCs w:val="24"/>
          <w:lang w:val="fr-FR"/>
        </w:rPr>
        <w:t>ont pas été publiées sur le Centre d</w:t>
      </w:r>
      <w:r>
        <w:rPr>
          <w:rFonts w:eastAsia="Times New Roman"/>
          <w:szCs w:val="24"/>
          <w:lang w:val="fr-FR"/>
        </w:rPr>
        <w:t>’</w:t>
      </w:r>
      <w:r w:rsidRPr="00850613">
        <w:rPr>
          <w:rFonts w:eastAsia="Times New Roman"/>
          <w:szCs w:val="24"/>
          <w:lang w:val="fr-FR"/>
        </w:rPr>
        <w:t>échange pour l</w:t>
      </w:r>
      <w:r>
        <w:rPr>
          <w:rFonts w:eastAsia="Times New Roman"/>
          <w:szCs w:val="24"/>
          <w:lang w:val="fr-FR"/>
        </w:rPr>
        <w:t>’</w:t>
      </w:r>
      <w:r w:rsidRPr="00850613">
        <w:rPr>
          <w:rFonts w:eastAsia="Times New Roman"/>
          <w:szCs w:val="24"/>
          <w:lang w:val="fr-FR"/>
        </w:rPr>
        <w:t>accès et le partage des avantages, comme l</w:t>
      </w:r>
      <w:r>
        <w:rPr>
          <w:rFonts w:eastAsia="Times New Roman"/>
          <w:szCs w:val="24"/>
          <w:lang w:val="fr-FR"/>
        </w:rPr>
        <w:t>’</w:t>
      </w:r>
      <w:r w:rsidRPr="00850613">
        <w:rPr>
          <w:rFonts w:eastAsia="Times New Roman"/>
          <w:szCs w:val="24"/>
          <w:lang w:val="fr-FR"/>
        </w:rPr>
        <w:t>exige l</w:t>
      </w:r>
      <w:r>
        <w:rPr>
          <w:rFonts w:eastAsia="Times New Roman"/>
          <w:szCs w:val="24"/>
          <w:lang w:val="fr-FR"/>
        </w:rPr>
        <w:t>’</w:t>
      </w:r>
      <w:r w:rsidRPr="00850613">
        <w:rPr>
          <w:rFonts w:eastAsia="Times New Roman"/>
          <w:szCs w:val="24"/>
          <w:lang w:val="fr-FR"/>
        </w:rPr>
        <w:t>article</w:t>
      </w:r>
      <w:r>
        <w:rPr>
          <w:rFonts w:eastAsia="Times New Roman"/>
          <w:szCs w:val="24"/>
          <w:lang w:val="fr-FR"/>
        </w:rPr>
        <w:t> </w:t>
      </w:r>
      <w:r w:rsidRPr="00850613">
        <w:rPr>
          <w:rFonts w:eastAsia="Times New Roman"/>
          <w:szCs w:val="24"/>
          <w:lang w:val="fr-FR"/>
        </w:rPr>
        <w:t>14 du Protocole.</w:t>
      </w:r>
    </w:p>
    <w:p w14:paraId="6810517B" w14:textId="71F74E25" w:rsidR="00786736" w:rsidRPr="00F9452E" w:rsidRDefault="00786736" w:rsidP="00786736">
      <w:pPr>
        <w:pStyle w:val="CBDNormalNumber"/>
        <w:numPr>
          <w:ilvl w:val="0"/>
          <w:numId w:val="19"/>
        </w:numPr>
        <w:rPr>
          <w:rFonts w:eastAsia="Times New Roman"/>
          <w:szCs w:val="24"/>
          <w:lang w:val="fr-FR"/>
        </w:rPr>
      </w:pPr>
      <w:r w:rsidRPr="002531E0">
        <w:rPr>
          <w:rFonts w:eastAsia="Times New Roman"/>
          <w:szCs w:val="24"/>
          <w:lang w:val="fr-FR"/>
        </w:rPr>
        <w:t>L</w:t>
      </w:r>
      <w:r>
        <w:rPr>
          <w:rFonts w:eastAsia="Times New Roman"/>
          <w:szCs w:val="24"/>
          <w:lang w:val="fr-FR"/>
        </w:rPr>
        <w:t>’</w:t>
      </w:r>
      <w:r w:rsidRPr="002531E0">
        <w:rPr>
          <w:rFonts w:eastAsia="Times New Roman"/>
          <w:szCs w:val="24"/>
          <w:lang w:val="fr-FR"/>
        </w:rPr>
        <w:t xml:space="preserve">insuffisance des ressources humaines et des capacités, la multiplicité des rôles et des responsabilités des correspondants nationaux, ainsi que les problèmes liés à la coordination interne entre les différents </w:t>
      </w:r>
      <w:r w:rsidR="00132CD2">
        <w:rPr>
          <w:rFonts w:eastAsia="Times New Roman"/>
          <w:szCs w:val="24"/>
          <w:lang w:val="fr-FR"/>
        </w:rPr>
        <w:t xml:space="preserve">ministères ou </w:t>
      </w:r>
      <w:r w:rsidRPr="002531E0">
        <w:rPr>
          <w:rFonts w:eastAsia="Times New Roman"/>
          <w:szCs w:val="24"/>
          <w:lang w:val="fr-FR"/>
        </w:rPr>
        <w:t>autorités, ou entre les autorités nationales compétentes et les postes de contrôle, constituent des défis persistants</w:t>
      </w:r>
      <w:r w:rsidRPr="00F9452E">
        <w:rPr>
          <w:rFonts w:eastAsia="Times New Roman"/>
          <w:szCs w:val="24"/>
          <w:lang w:val="fr-FR"/>
        </w:rPr>
        <w:t xml:space="preserve">. </w:t>
      </w:r>
    </w:p>
    <w:p w14:paraId="5512CB40" w14:textId="545094D1" w:rsidR="00786736" w:rsidRPr="00F9452E" w:rsidRDefault="00786736" w:rsidP="00786736">
      <w:pPr>
        <w:pStyle w:val="CBDNormalNumber"/>
        <w:numPr>
          <w:ilvl w:val="0"/>
          <w:numId w:val="19"/>
        </w:numPr>
        <w:rPr>
          <w:rFonts w:eastAsia="Times New Roman"/>
          <w:szCs w:val="24"/>
          <w:lang w:val="fr-FR"/>
        </w:rPr>
      </w:pPr>
      <w:r w:rsidRPr="002F6782">
        <w:rPr>
          <w:rFonts w:eastAsia="Times New Roman"/>
          <w:szCs w:val="24"/>
          <w:lang w:val="fr-FR"/>
        </w:rPr>
        <w:t>Si les indicateurs relatifs à la mise en œuvre de l</w:t>
      </w:r>
      <w:r>
        <w:rPr>
          <w:rFonts w:eastAsia="Times New Roman"/>
          <w:szCs w:val="24"/>
          <w:lang w:val="fr-FR"/>
        </w:rPr>
        <w:t>’</w:t>
      </w:r>
      <w:r w:rsidRPr="002F6782">
        <w:rPr>
          <w:rFonts w:eastAsia="Times New Roman"/>
          <w:szCs w:val="24"/>
          <w:lang w:val="fr-FR"/>
        </w:rPr>
        <w:t>article</w:t>
      </w:r>
      <w:r w:rsidR="00132CD2">
        <w:rPr>
          <w:rFonts w:eastAsia="Times New Roman"/>
          <w:szCs w:val="24"/>
          <w:lang w:val="fr-FR"/>
        </w:rPr>
        <w:t> </w:t>
      </w:r>
      <w:r w:rsidRPr="002F6782">
        <w:rPr>
          <w:rFonts w:eastAsia="Times New Roman"/>
          <w:szCs w:val="24"/>
          <w:lang w:val="fr-FR"/>
        </w:rPr>
        <w:t>6 montrent des progrès significatifs de la part des Parties, la diversité des approches nationales concernant les exigences et les procédures d</w:t>
      </w:r>
      <w:r>
        <w:rPr>
          <w:rFonts w:eastAsia="Times New Roman"/>
          <w:szCs w:val="24"/>
          <w:lang w:val="fr-FR"/>
        </w:rPr>
        <w:t>’</w:t>
      </w:r>
      <w:r w:rsidRPr="002F6782">
        <w:rPr>
          <w:rFonts w:eastAsia="Times New Roman"/>
          <w:szCs w:val="24"/>
          <w:lang w:val="fr-FR"/>
        </w:rPr>
        <w:t>accès et de partage des avantages pose des défis majeurs aux utilisateurs, notamment en ce qui concerne la compréhension du champ d</w:t>
      </w:r>
      <w:r>
        <w:rPr>
          <w:rFonts w:eastAsia="Times New Roman"/>
          <w:szCs w:val="24"/>
          <w:lang w:val="fr-FR"/>
        </w:rPr>
        <w:t>’</w:t>
      </w:r>
      <w:r w:rsidRPr="002F6782">
        <w:rPr>
          <w:rFonts w:eastAsia="Times New Roman"/>
          <w:szCs w:val="24"/>
          <w:lang w:val="fr-FR"/>
        </w:rPr>
        <w:t xml:space="preserve">application et de la terminologie, ainsi que les étapes à suivre pour obtenir le </w:t>
      </w:r>
      <w:r w:rsidR="00015094" w:rsidRPr="005E5E81">
        <w:rPr>
          <w:rFonts w:eastAsia="Times New Roman"/>
          <w:szCs w:val="24"/>
          <w:lang w:val="fr-FR"/>
        </w:rPr>
        <w:t xml:space="preserve">consentement préalable </w:t>
      </w:r>
      <w:r w:rsidR="00015094">
        <w:rPr>
          <w:rFonts w:eastAsia="Times New Roman"/>
          <w:szCs w:val="24"/>
          <w:lang w:val="fr-FR"/>
        </w:rPr>
        <w:t xml:space="preserve">donné </w:t>
      </w:r>
      <w:r w:rsidR="00015094" w:rsidRPr="005E5E81">
        <w:rPr>
          <w:rFonts w:eastAsia="Times New Roman"/>
          <w:szCs w:val="24"/>
          <w:lang w:val="fr-FR"/>
        </w:rPr>
        <w:t>en connaissance de cause</w:t>
      </w:r>
      <w:r w:rsidR="00015094" w:rsidRPr="002F6782">
        <w:rPr>
          <w:rFonts w:eastAsia="Times New Roman"/>
          <w:szCs w:val="24"/>
          <w:lang w:val="fr-FR"/>
        </w:rPr>
        <w:t xml:space="preserve"> </w:t>
      </w:r>
      <w:r w:rsidRPr="002F6782">
        <w:rPr>
          <w:rFonts w:eastAsia="Times New Roman"/>
          <w:szCs w:val="24"/>
          <w:lang w:val="fr-FR"/>
        </w:rPr>
        <w:t>ainsi qu</w:t>
      </w:r>
      <w:r>
        <w:rPr>
          <w:rFonts w:eastAsia="Times New Roman"/>
          <w:szCs w:val="24"/>
          <w:lang w:val="fr-FR"/>
        </w:rPr>
        <w:t>’</w:t>
      </w:r>
      <w:r w:rsidRPr="002F6782">
        <w:rPr>
          <w:rFonts w:eastAsia="Times New Roman"/>
          <w:szCs w:val="24"/>
          <w:lang w:val="fr-FR"/>
        </w:rPr>
        <w:t>u</w:t>
      </w:r>
      <w:r w:rsidR="00304DCB">
        <w:rPr>
          <w:rFonts w:eastAsia="Times New Roman"/>
          <w:szCs w:val="24"/>
          <w:lang w:val="fr-FR"/>
        </w:rPr>
        <w:t>n permis</w:t>
      </w:r>
      <w:r w:rsidRPr="002F6782">
        <w:rPr>
          <w:rFonts w:eastAsia="Times New Roman"/>
          <w:szCs w:val="24"/>
          <w:lang w:val="fr-FR"/>
        </w:rPr>
        <w:t>, et négocier des conditions convenues d</w:t>
      </w:r>
      <w:r>
        <w:rPr>
          <w:rFonts w:eastAsia="Times New Roman"/>
          <w:szCs w:val="24"/>
          <w:lang w:val="fr-FR"/>
        </w:rPr>
        <w:t>’</w:t>
      </w:r>
      <w:r w:rsidRPr="002F6782">
        <w:rPr>
          <w:rFonts w:eastAsia="Times New Roman"/>
          <w:szCs w:val="24"/>
          <w:lang w:val="fr-FR"/>
        </w:rPr>
        <w:t>un commun accord et le partage des avantages. En outre, bien que le certificat de conformité reconnu au niveau international constitue un outil important pour garantir la sécurité juridique en matière d</w:t>
      </w:r>
      <w:r>
        <w:rPr>
          <w:rFonts w:eastAsia="Times New Roman"/>
          <w:szCs w:val="24"/>
          <w:lang w:val="fr-FR"/>
        </w:rPr>
        <w:t>’</w:t>
      </w:r>
      <w:r w:rsidRPr="002F6782">
        <w:rPr>
          <w:rFonts w:eastAsia="Times New Roman"/>
          <w:szCs w:val="24"/>
          <w:lang w:val="fr-FR"/>
        </w:rPr>
        <w:t>accès et pour appuyer le suivi de l</w:t>
      </w:r>
      <w:r>
        <w:rPr>
          <w:rFonts w:eastAsia="Times New Roman"/>
          <w:szCs w:val="24"/>
          <w:lang w:val="fr-FR"/>
        </w:rPr>
        <w:t>’</w:t>
      </w:r>
      <w:r w:rsidRPr="002F6782">
        <w:rPr>
          <w:rFonts w:eastAsia="Times New Roman"/>
          <w:szCs w:val="24"/>
          <w:lang w:val="fr-FR"/>
        </w:rPr>
        <w:t>utilisation des ressources génétiques, à ce jour, seul un nombre limité de Parties ayant mis en place des mesures d</w:t>
      </w:r>
      <w:r>
        <w:rPr>
          <w:rFonts w:eastAsia="Times New Roman"/>
          <w:szCs w:val="24"/>
          <w:lang w:val="fr-FR"/>
        </w:rPr>
        <w:t>’</w:t>
      </w:r>
      <w:r w:rsidRPr="002F6782">
        <w:rPr>
          <w:rFonts w:eastAsia="Times New Roman"/>
          <w:szCs w:val="24"/>
          <w:lang w:val="fr-FR"/>
        </w:rPr>
        <w:t>accès ont publié sur le Centre d</w:t>
      </w:r>
      <w:r>
        <w:rPr>
          <w:rFonts w:eastAsia="Times New Roman"/>
          <w:szCs w:val="24"/>
          <w:lang w:val="fr-FR"/>
        </w:rPr>
        <w:t>’</w:t>
      </w:r>
      <w:r w:rsidRPr="002F6782">
        <w:rPr>
          <w:rFonts w:eastAsia="Times New Roman"/>
          <w:szCs w:val="24"/>
          <w:lang w:val="fr-FR"/>
        </w:rPr>
        <w:t>échange d</w:t>
      </w:r>
      <w:r>
        <w:rPr>
          <w:rFonts w:eastAsia="Times New Roman"/>
          <w:szCs w:val="24"/>
          <w:lang w:val="fr-FR"/>
        </w:rPr>
        <w:t>’</w:t>
      </w:r>
      <w:r w:rsidRPr="002F6782">
        <w:rPr>
          <w:rFonts w:eastAsia="Times New Roman"/>
          <w:szCs w:val="24"/>
          <w:lang w:val="fr-FR"/>
        </w:rPr>
        <w:t xml:space="preserve">informations des </w:t>
      </w:r>
      <w:r w:rsidR="007A2738">
        <w:rPr>
          <w:rFonts w:eastAsia="Times New Roman"/>
          <w:szCs w:val="24"/>
          <w:lang w:val="fr-FR"/>
        </w:rPr>
        <w:t>permis</w:t>
      </w:r>
      <w:r w:rsidRPr="002F6782">
        <w:rPr>
          <w:rFonts w:eastAsia="Times New Roman"/>
          <w:szCs w:val="24"/>
          <w:lang w:val="fr-FR"/>
        </w:rPr>
        <w:t xml:space="preserve"> faisant office de tels certificats.</w:t>
      </w:r>
    </w:p>
    <w:p w14:paraId="4D0C41D9" w14:textId="68429BAB" w:rsidR="00786736" w:rsidRPr="00F9452E" w:rsidRDefault="00786736" w:rsidP="00786736">
      <w:pPr>
        <w:pStyle w:val="CBDNormalNumber"/>
        <w:numPr>
          <w:ilvl w:val="0"/>
          <w:numId w:val="19"/>
        </w:numPr>
        <w:rPr>
          <w:rFonts w:eastAsia="Times New Roman"/>
          <w:szCs w:val="24"/>
          <w:lang w:val="fr-FR"/>
        </w:rPr>
      </w:pPr>
      <w:r w:rsidRPr="00E80A55">
        <w:rPr>
          <w:rFonts w:eastAsia="Times New Roman"/>
          <w:szCs w:val="24"/>
          <w:lang w:val="fr-FR"/>
        </w:rPr>
        <w:t>L</w:t>
      </w:r>
      <w:r>
        <w:rPr>
          <w:rFonts w:eastAsia="Times New Roman"/>
          <w:szCs w:val="24"/>
          <w:lang w:val="fr-FR"/>
        </w:rPr>
        <w:t>’</w:t>
      </w:r>
      <w:r w:rsidRPr="00E80A55">
        <w:rPr>
          <w:rFonts w:eastAsia="Times New Roman"/>
          <w:szCs w:val="24"/>
          <w:lang w:val="fr-FR"/>
        </w:rPr>
        <w:t>élaboration de procédures claires (par exemple, des instructions détaillées à l</w:t>
      </w:r>
      <w:r>
        <w:rPr>
          <w:rFonts w:eastAsia="Times New Roman"/>
          <w:szCs w:val="24"/>
          <w:lang w:val="fr-FR"/>
        </w:rPr>
        <w:t>’</w:t>
      </w:r>
      <w:r w:rsidRPr="00E80A55">
        <w:rPr>
          <w:rFonts w:eastAsia="Times New Roman"/>
          <w:szCs w:val="24"/>
          <w:lang w:val="fr-FR"/>
        </w:rPr>
        <w:t>intention des utilisateurs concernant les règles et exigences applicables), d</w:t>
      </w:r>
      <w:r>
        <w:rPr>
          <w:rFonts w:eastAsia="Times New Roman"/>
          <w:szCs w:val="24"/>
          <w:lang w:val="fr-FR"/>
        </w:rPr>
        <w:t>’</w:t>
      </w:r>
      <w:r w:rsidRPr="00E80A55">
        <w:rPr>
          <w:rFonts w:eastAsia="Times New Roman"/>
          <w:szCs w:val="24"/>
          <w:lang w:val="fr-FR"/>
        </w:rPr>
        <w:t xml:space="preserve">informations pratiques et de clauses contractuelles types, ainsi que leur publication sur </w:t>
      </w:r>
      <w:r w:rsidR="00666271">
        <w:rPr>
          <w:rFonts w:eastAsia="Times New Roman"/>
          <w:szCs w:val="24"/>
          <w:lang w:val="fr-FR"/>
        </w:rPr>
        <w:t>le Centre d’échange</w:t>
      </w:r>
      <w:r w:rsidRPr="00E80A55">
        <w:rPr>
          <w:rFonts w:eastAsia="Times New Roman"/>
          <w:szCs w:val="24"/>
          <w:lang w:val="fr-FR"/>
        </w:rPr>
        <w:t>, permettr</w:t>
      </w:r>
      <w:r w:rsidR="00FD6CB1">
        <w:rPr>
          <w:rFonts w:eastAsia="Times New Roman"/>
          <w:szCs w:val="24"/>
          <w:lang w:val="fr-FR"/>
        </w:rPr>
        <w:t>a</w:t>
      </w:r>
      <w:r w:rsidRPr="00E80A55">
        <w:rPr>
          <w:rFonts w:eastAsia="Times New Roman"/>
          <w:szCs w:val="24"/>
          <w:lang w:val="fr-FR"/>
        </w:rPr>
        <w:t xml:space="preserve"> à </w:t>
      </w:r>
      <w:r w:rsidR="00666271">
        <w:rPr>
          <w:rFonts w:eastAsia="Times New Roman"/>
          <w:szCs w:val="24"/>
          <w:lang w:val="fr-FR"/>
        </w:rPr>
        <w:t>ce</w:t>
      </w:r>
      <w:r w:rsidRPr="00E80A55">
        <w:rPr>
          <w:rFonts w:eastAsia="Times New Roman"/>
          <w:szCs w:val="24"/>
          <w:lang w:val="fr-FR"/>
        </w:rPr>
        <w:t xml:space="preserve"> derni</w:t>
      </w:r>
      <w:r w:rsidR="00666271">
        <w:rPr>
          <w:rFonts w:eastAsia="Times New Roman"/>
          <w:szCs w:val="24"/>
          <w:lang w:val="fr-FR"/>
        </w:rPr>
        <w:t>er</w:t>
      </w:r>
      <w:r w:rsidRPr="00E80A55">
        <w:rPr>
          <w:rFonts w:eastAsia="Times New Roman"/>
          <w:szCs w:val="24"/>
          <w:lang w:val="fr-FR"/>
        </w:rPr>
        <w:t xml:space="preserve"> d</w:t>
      </w:r>
      <w:r>
        <w:rPr>
          <w:rFonts w:eastAsia="Times New Roman"/>
          <w:szCs w:val="24"/>
          <w:lang w:val="fr-FR"/>
        </w:rPr>
        <w:t>’</w:t>
      </w:r>
      <w:r w:rsidRPr="00E80A55">
        <w:rPr>
          <w:rFonts w:eastAsia="Times New Roman"/>
          <w:szCs w:val="24"/>
          <w:lang w:val="fr-FR"/>
        </w:rPr>
        <w:t>atteindre plus efficacement son objectif, qui consiste à fournir aux utilisateurs des informations essentielles sur l</w:t>
      </w:r>
      <w:r>
        <w:rPr>
          <w:rFonts w:eastAsia="Times New Roman"/>
          <w:szCs w:val="24"/>
          <w:lang w:val="fr-FR"/>
        </w:rPr>
        <w:t>’</w:t>
      </w:r>
      <w:r w:rsidRPr="00E80A55">
        <w:rPr>
          <w:rFonts w:eastAsia="Times New Roman"/>
          <w:szCs w:val="24"/>
          <w:lang w:val="fr-FR"/>
        </w:rPr>
        <w:t xml:space="preserve">accès aux ressources génétiques et aux </w:t>
      </w:r>
      <w:r w:rsidR="00666271">
        <w:rPr>
          <w:rFonts w:eastAsia="Times New Roman"/>
          <w:szCs w:val="24"/>
          <w:lang w:val="fr-FR"/>
        </w:rPr>
        <w:t>connaissances</w:t>
      </w:r>
      <w:r w:rsidRPr="00E80A55">
        <w:rPr>
          <w:rFonts w:eastAsia="Times New Roman"/>
          <w:szCs w:val="24"/>
          <w:lang w:val="fr-FR"/>
        </w:rPr>
        <w:t xml:space="preserve"> traditionnel</w:t>
      </w:r>
      <w:r w:rsidR="00666271">
        <w:rPr>
          <w:rFonts w:eastAsia="Times New Roman"/>
          <w:szCs w:val="24"/>
          <w:lang w:val="fr-FR"/>
        </w:rPr>
        <w:t>le</w:t>
      </w:r>
      <w:r w:rsidRPr="00E80A55">
        <w:rPr>
          <w:rFonts w:eastAsia="Times New Roman"/>
          <w:szCs w:val="24"/>
          <w:lang w:val="fr-FR"/>
        </w:rPr>
        <w:t>s associé</w:t>
      </w:r>
      <w:r w:rsidR="00666271">
        <w:rPr>
          <w:rFonts w:eastAsia="Times New Roman"/>
          <w:szCs w:val="24"/>
          <w:lang w:val="fr-FR"/>
        </w:rPr>
        <w:t>e</w:t>
      </w:r>
      <w:r w:rsidRPr="00E80A55">
        <w:rPr>
          <w:rFonts w:eastAsia="Times New Roman"/>
          <w:szCs w:val="24"/>
          <w:lang w:val="fr-FR"/>
        </w:rPr>
        <w:t>s, ainsi que sur le partage des avantages</w:t>
      </w:r>
      <w:r w:rsidRPr="00F9452E">
        <w:rPr>
          <w:rFonts w:eastAsia="Times New Roman"/>
          <w:szCs w:val="24"/>
          <w:lang w:val="fr-FR"/>
        </w:rPr>
        <w:t>.</w:t>
      </w:r>
    </w:p>
    <w:p w14:paraId="6A46F560" w14:textId="619ECB9B" w:rsidR="00786736" w:rsidRPr="005E5E81" w:rsidRDefault="00786736" w:rsidP="00786736">
      <w:pPr>
        <w:pStyle w:val="CBDNormalNumber"/>
        <w:numPr>
          <w:ilvl w:val="0"/>
          <w:numId w:val="19"/>
        </w:numPr>
        <w:rPr>
          <w:rFonts w:eastAsia="Times New Roman"/>
          <w:szCs w:val="24"/>
          <w:lang w:val="fr-FR"/>
        </w:rPr>
      </w:pPr>
      <w:r w:rsidRPr="005E5E81">
        <w:rPr>
          <w:rFonts w:eastAsia="Times New Roman"/>
          <w:szCs w:val="24"/>
          <w:lang w:val="fr-FR"/>
        </w:rPr>
        <w:t>Les indicateurs relatifs à l</w:t>
      </w:r>
      <w:r>
        <w:rPr>
          <w:rFonts w:eastAsia="Times New Roman"/>
          <w:szCs w:val="24"/>
          <w:lang w:val="fr-FR"/>
        </w:rPr>
        <w:t>’</w:t>
      </w:r>
      <w:r w:rsidRPr="005E5E81">
        <w:rPr>
          <w:rFonts w:eastAsia="Times New Roman"/>
          <w:szCs w:val="24"/>
          <w:lang w:val="fr-FR"/>
        </w:rPr>
        <w:t>article</w:t>
      </w:r>
      <w:r w:rsidR="00132CD2">
        <w:rPr>
          <w:rFonts w:eastAsia="Times New Roman"/>
          <w:szCs w:val="24"/>
          <w:lang w:val="fr-FR"/>
        </w:rPr>
        <w:t> </w:t>
      </w:r>
      <w:r w:rsidRPr="005E5E81">
        <w:rPr>
          <w:rFonts w:eastAsia="Times New Roman"/>
          <w:szCs w:val="24"/>
          <w:lang w:val="fr-FR"/>
        </w:rPr>
        <w:t>5 montrent que les Parties ont réalisé des progrès significatifs, même s</w:t>
      </w:r>
      <w:r>
        <w:rPr>
          <w:rFonts w:eastAsia="Times New Roman"/>
          <w:szCs w:val="24"/>
          <w:lang w:val="fr-FR"/>
        </w:rPr>
        <w:t>’</w:t>
      </w:r>
      <w:r w:rsidRPr="005E5E81">
        <w:rPr>
          <w:rFonts w:eastAsia="Times New Roman"/>
          <w:szCs w:val="24"/>
          <w:lang w:val="fr-FR"/>
        </w:rPr>
        <w:t xml:space="preserve">ils ne permettent pas de déterminer si les mesures mises en place sont efficaces </w:t>
      </w:r>
      <w:r w:rsidRPr="005E5E81">
        <w:rPr>
          <w:rFonts w:eastAsia="Times New Roman"/>
          <w:szCs w:val="24"/>
          <w:lang w:val="fr-FR"/>
        </w:rPr>
        <w:lastRenderedPageBreak/>
        <w:t>pour atteindre l</w:t>
      </w:r>
      <w:r>
        <w:rPr>
          <w:rFonts w:eastAsia="Times New Roman"/>
          <w:szCs w:val="24"/>
          <w:lang w:val="fr-FR"/>
        </w:rPr>
        <w:t>’</w:t>
      </w:r>
      <w:r w:rsidRPr="005E5E81">
        <w:rPr>
          <w:rFonts w:eastAsia="Times New Roman"/>
          <w:szCs w:val="24"/>
          <w:lang w:val="fr-FR"/>
        </w:rPr>
        <w:t>objectif du Protocole. Il convient de prendre note que les Parties ont adopté des approches différentes pour répondre à la question du rapport</w:t>
      </w:r>
      <w:r>
        <w:rPr>
          <w:rFonts w:eastAsia="Times New Roman"/>
          <w:szCs w:val="24"/>
          <w:lang w:val="fr-FR"/>
        </w:rPr>
        <w:t> :</w:t>
      </w:r>
      <w:r w:rsidRPr="005E5E81">
        <w:rPr>
          <w:rFonts w:eastAsia="Times New Roman"/>
          <w:szCs w:val="24"/>
          <w:lang w:val="fr-FR"/>
        </w:rPr>
        <w:t xml:space="preserve"> certaines ont fourni des informations sur les mesures visant à garantir le partage des avantages découlant de l</w:t>
      </w:r>
      <w:r>
        <w:rPr>
          <w:rFonts w:eastAsia="Times New Roman"/>
          <w:szCs w:val="24"/>
          <w:lang w:val="fr-FR"/>
        </w:rPr>
        <w:t>’</w:t>
      </w:r>
      <w:r w:rsidRPr="005E5E81">
        <w:rPr>
          <w:rFonts w:eastAsia="Times New Roman"/>
          <w:szCs w:val="24"/>
          <w:lang w:val="fr-FR"/>
        </w:rPr>
        <w:t xml:space="preserve">utilisation des ressources génétiques ou des </w:t>
      </w:r>
      <w:r w:rsidR="00785576">
        <w:rPr>
          <w:rFonts w:eastAsia="Times New Roman"/>
          <w:szCs w:val="24"/>
          <w:lang w:val="fr-FR"/>
        </w:rPr>
        <w:t>connaissances</w:t>
      </w:r>
      <w:r w:rsidR="00785576" w:rsidRPr="00E80A55">
        <w:rPr>
          <w:rFonts w:eastAsia="Times New Roman"/>
          <w:szCs w:val="24"/>
          <w:lang w:val="fr-FR"/>
        </w:rPr>
        <w:t xml:space="preserve"> traditionnel</w:t>
      </w:r>
      <w:r w:rsidR="00785576">
        <w:rPr>
          <w:rFonts w:eastAsia="Times New Roman"/>
          <w:szCs w:val="24"/>
          <w:lang w:val="fr-FR"/>
        </w:rPr>
        <w:t>le</w:t>
      </w:r>
      <w:r w:rsidR="00785576" w:rsidRPr="00E80A55">
        <w:rPr>
          <w:rFonts w:eastAsia="Times New Roman"/>
          <w:szCs w:val="24"/>
          <w:lang w:val="fr-FR"/>
        </w:rPr>
        <w:t>s associé</w:t>
      </w:r>
      <w:r w:rsidR="00785576">
        <w:rPr>
          <w:rFonts w:eastAsia="Times New Roman"/>
          <w:szCs w:val="24"/>
          <w:lang w:val="fr-FR"/>
        </w:rPr>
        <w:t>e</w:t>
      </w:r>
      <w:r w:rsidR="00785576" w:rsidRPr="00E80A55">
        <w:rPr>
          <w:rFonts w:eastAsia="Times New Roman"/>
          <w:szCs w:val="24"/>
          <w:lang w:val="fr-FR"/>
        </w:rPr>
        <w:t>s</w:t>
      </w:r>
      <w:r w:rsidR="00785576" w:rsidRPr="005E5E81">
        <w:rPr>
          <w:rFonts w:eastAsia="Times New Roman"/>
          <w:szCs w:val="24"/>
          <w:lang w:val="fr-FR"/>
        </w:rPr>
        <w:t xml:space="preserve"> </w:t>
      </w:r>
      <w:r w:rsidRPr="005E5E81">
        <w:rPr>
          <w:rFonts w:eastAsia="Times New Roman"/>
          <w:szCs w:val="24"/>
          <w:lang w:val="fr-FR"/>
        </w:rPr>
        <w:t>auxquel</w:t>
      </w:r>
      <w:r w:rsidR="00015094">
        <w:rPr>
          <w:rFonts w:eastAsia="Times New Roman"/>
          <w:szCs w:val="24"/>
          <w:lang w:val="fr-FR"/>
        </w:rPr>
        <w:t>le</w:t>
      </w:r>
      <w:r w:rsidRPr="005E5E81">
        <w:rPr>
          <w:rFonts w:eastAsia="Times New Roman"/>
          <w:szCs w:val="24"/>
          <w:lang w:val="fr-FR"/>
        </w:rPr>
        <w:t>s elles ont accès dans leur juridiction (par le biais d</w:t>
      </w:r>
      <w:r>
        <w:rPr>
          <w:rFonts w:eastAsia="Times New Roman"/>
          <w:szCs w:val="24"/>
          <w:lang w:val="fr-FR"/>
        </w:rPr>
        <w:t>’</w:t>
      </w:r>
      <w:r w:rsidRPr="005E5E81">
        <w:rPr>
          <w:rFonts w:eastAsia="Times New Roman"/>
          <w:szCs w:val="24"/>
          <w:lang w:val="fr-FR"/>
        </w:rPr>
        <w:t xml:space="preserve">exigences en matière de consentement préalable </w:t>
      </w:r>
      <w:r w:rsidR="00015094">
        <w:rPr>
          <w:rFonts w:eastAsia="Times New Roman"/>
          <w:szCs w:val="24"/>
          <w:lang w:val="fr-FR"/>
        </w:rPr>
        <w:t xml:space="preserve">donné </w:t>
      </w:r>
      <w:r w:rsidRPr="005E5E81">
        <w:rPr>
          <w:rFonts w:eastAsia="Times New Roman"/>
          <w:szCs w:val="24"/>
          <w:lang w:val="fr-FR"/>
        </w:rPr>
        <w:t>en connaissance de cause et de conditions convenues d</w:t>
      </w:r>
      <w:r>
        <w:rPr>
          <w:rFonts w:eastAsia="Times New Roman"/>
          <w:szCs w:val="24"/>
          <w:lang w:val="fr-FR"/>
        </w:rPr>
        <w:t>’</w:t>
      </w:r>
      <w:r w:rsidRPr="005E5E81">
        <w:rPr>
          <w:rFonts w:eastAsia="Times New Roman"/>
          <w:szCs w:val="24"/>
          <w:lang w:val="fr-FR"/>
        </w:rPr>
        <w:t>un commun accord), tandis que d</w:t>
      </w:r>
      <w:r>
        <w:rPr>
          <w:rFonts w:eastAsia="Times New Roman"/>
          <w:szCs w:val="24"/>
          <w:lang w:val="fr-FR"/>
        </w:rPr>
        <w:t>’</w:t>
      </w:r>
      <w:r w:rsidRPr="005E5E81">
        <w:rPr>
          <w:rFonts w:eastAsia="Times New Roman"/>
          <w:szCs w:val="24"/>
          <w:lang w:val="fr-FR"/>
        </w:rPr>
        <w:t>autres ont fourni des informations sur les mesures visant à garantir le partage des avantages découlant de l</w:t>
      </w:r>
      <w:r>
        <w:rPr>
          <w:rFonts w:eastAsia="Times New Roman"/>
          <w:szCs w:val="24"/>
          <w:lang w:val="fr-FR"/>
        </w:rPr>
        <w:t>’</w:t>
      </w:r>
      <w:r w:rsidRPr="005E5E81">
        <w:rPr>
          <w:rFonts w:eastAsia="Times New Roman"/>
          <w:szCs w:val="24"/>
          <w:lang w:val="fr-FR"/>
        </w:rPr>
        <w:t xml:space="preserve">utilisation des ressources génétiques et des </w:t>
      </w:r>
      <w:r w:rsidR="00785576">
        <w:rPr>
          <w:rFonts w:eastAsia="Times New Roman"/>
          <w:szCs w:val="24"/>
          <w:lang w:val="fr-FR"/>
        </w:rPr>
        <w:t>connaissances</w:t>
      </w:r>
      <w:r w:rsidR="00785576" w:rsidRPr="00E80A55">
        <w:rPr>
          <w:rFonts w:eastAsia="Times New Roman"/>
          <w:szCs w:val="24"/>
          <w:lang w:val="fr-FR"/>
        </w:rPr>
        <w:t xml:space="preserve"> traditionnel</w:t>
      </w:r>
      <w:r w:rsidR="00785576">
        <w:rPr>
          <w:rFonts w:eastAsia="Times New Roman"/>
          <w:szCs w:val="24"/>
          <w:lang w:val="fr-FR"/>
        </w:rPr>
        <w:t>le</w:t>
      </w:r>
      <w:r w:rsidR="00785576" w:rsidRPr="00E80A55">
        <w:rPr>
          <w:rFonts w:eastAsia="Times New Roman"/>
          <w:szCs w:val="24"/>
          <w:lang w:val="fr-FR"/>
        </w:rPr>
        <w:t>s associé</w:t>
      </w:r>
      <w:r w:rsidR="00785576">
        <w:rPr>
          <w:rFonts w:eastAsia="Times New Roman"/>
          <w:szCs w:val="24"/>
          <w:lang w:val="fr-FR"/>
        </w:rPr>
        <w:t>e</w:t>
      </w:r>
      <w:r w:rsidR="00785576" w:rsidRPr="00E80A55">
        <w:rPr>
          <w:rFonts w:eastAsia="Times New Roman"/>
          <w:szCs w:val="24"/>
          <w:lang w:val="fr-FR"/>
        </w:rPr>
        <w:t>s</w:t>
      </w:r>
      <w:r w:rsidR="00785576" w:rsidRPr="005E5E81">
        <w:rPr>
          <w:rFonts w:eastAsia="Times New Roman"/>
          <w:szCs w:val="24"/>
          <w:lang w:val="fr-FR"/>
        </w:rPr>
        <w:t xml:space="preserve"> </w:t>
      </w:r>
      <w:r w:rsidRPr="005E5E81">
        <w:rPr>
          <w:rFonts w:eastAsia="Times New Roman"/>
          <w:szCs w:val="24"/>
          <w:lang w:val="fr-FR"/>
        </w:rPr>
        <w:t>obtenu</w:t>
      </w:r>
      <w:r w:rsidR="00785576">
        <w:rPr>
          <w:rFonts w:eastAsia="Times New Roman"/>
          <w:szCs w:val="24"/>
          <w:lang w:val="fr-FR"/>
        </w:rPr>
        <w:t>e</w:t>
      </w:r>
      <w:r w:rsidRPr="005E5E81">
        <w:rPr>
          <w:rFonts w:eastAsia="Times New Roman"/>
          <w:szCs w:val="24"/>
          <w:lang w:val="fr-FR"/>
        </w:rPr>
        <w:t>s auprès d</w:t>
      </w:r>
      <w:r>
        <w:rPr>
          <w:rFonts w:eastAsia="Times New Roman"/>
          <w:szCs w:val="24"/>
          <w:lang w:val="fr-FR"/>
        </w:rPr>
        <w:t>’</w:t>
      </w:r>
      <w:r w:rsidRPr="005E5E81">
        <w:rPr>
          <w:rFonts w:eastAsia="Times New Roman"/>
          <w:szCs w:val="24"/>
          <w:lang w:val="fr-FR"/>
        </w:rPr>
        <w:t>autres Parties (par l</w:t>
      </w:r>
      <w:r>
        <w:rPr>
          <w:rFonts w:eastAsia="Times New Roman"/>
          <w:szCs w:val="24"/>
          <w:lang w:val="fr-FR"/>
        </w:rPr>
        <w:t>’</w:t>
      </w:r>
      <w:r w:rsidRPr="005E5E81">
        <w:rPr>
          <w:rFonts w:eastAsia="Times New Roman"/>
          <w:szCs w:val="24"/>
          <w:lang w:val="fr-FR"/>
        </w:rPr>
        <w:t>adoption de mesures de respect des obligations) et que d</w:t>
      </w:r>
      <w:r>
        <w:rPr>
          <w:rFonts w:eastAsia="Times New Roman"/>
          <w:szCs w:val="24"/>
          <w:lang w:val="fr-FR"/>
        </w:rPr>
        <w:t>’</w:t>
      </w:r>
      <w:r w:rsidRPr="005E5E81">
        <w:rPr>
          <w:rFonts w:eastAsia="Times New Roman"/>
          <w:szCs w:val="24"/>
          <w:lang w:val="fr-FR"/>
        </w:rPr>
        <w:t xml:space="preserve">autres encore ont </w:t>
      </w:r>
      <w:r>
        <w:rPr>
          <w:rFonts w:eastAsia="Times New Roman"/>
          <w:szCs w:val="24"/>
          <w:lang w:val="fr-FR"/>
        </w:rPr>
        <w:t>adopté</w:t>
      </w:r>
      <w:r w:rsidRPr="005E5E81">
        <w:rPr>
          <w:rFonts w:eastAsia="Times New Roman"/>
          <w:szCs w:val="24"/>
          <w:lang w:val="fr-FR"/>
        </w:rPr>
        <w:t xml:space="preserve"> ces deux approches.</w:t>
      </w:r>
    </w:p>
    <w:p w14:paraId="3F405205" w14:textId="77777777" w:rsidR="00786736" w:rsidRPr="00F9452E" w:rsidRDefault="00786736" w:rsidP="00786736">
      <w:pPr>
        <w:pStyle w:val="CBDNormalNumber"/>
        <w:numPr>
          <w:ilvl w:val="0"/>
          <w:numId w:val="19"/>
        </w:numPr>
        <w:rPr>
          <w:rFonts w:eastAsia="Times New Roman"/>
          <w:szCs w:val="24"/>
          <w:lang w:val="fr-FR"/>
        </w:rPr>
      </w:pPr>
      <w:r w:rsidRPr="00450786">
        <w:rPr>
          <w:rFonts w:eastAsia="Times New Roman"/>
          <w:szCs w:val="24"/>
          <w:lang w:val="fr-FR"/>
        </w:rPr>
        <w:t>En ce qui concerne l</w:t>
      </w:r>
      <w:r>
        <w:rPr>
          <w:rFonts w:eastAsia="Times New Roman"/>
          <w:szCs w:val="24"/>
          <w:lang w:val="fr-FR"/>
        </w:rPr>
        <w:t>’</w:t>
      </w:r>
      <w:r w:rsidRPr="00450786">
        <w:rPr>
          <w:rFonts w:eastAsia="Times New Roman"/>
          <w:szCs w:val="24"/>
          <w:lang w:val="fr-FR"/>
        </w:rPr>
        <w:t>atténuation des asymétries liées à la négociation entre les fournisseurs, y compris les peuples autochtones et les communautés locales, et les utilisateurs de ressources génétiques, il est nécessaire de renforcer la capacité des fournisseurs à négocier des conditions convenues d</w:t>
      </w:r>
      <w:r>
        <w:rPr>
          <w:rFonts w:eastAsia="Times New Roman"/>
          <w:szCs w:val="24"/>
          <w:lang w:val="fr-FR"/>
        </w:rPr>
        <w:t>’</w:t>
      </w:r>
      <w:r w:rsidRPr="00450786">
        <w:rPr>
          <w:rFonts w:eastAsia="Times New Roman"/>
          <w:szCs w:val="24"/>
          <w:lang w:val="fr-FR"/>
        </w:rPr>
        <w:t>un commun accord et à comprendre le contexte de la recherche commerciale et non commerciale, les chaînes d</w:t>
      </w:r>
      <w:r>
        <w:rPr>
          <w:rFonts w:eastAsia="Times New Roman"/>
          <w:szCs w:val="24"/>
          <w:lang w:val="fr-FR"/>
        </w:rPr>
        <w:t>’</w:t>
      </w:r>
      <w:r w:rsidRPr="00450786">
        <w:rPr>
          <w:rFonts w:eastAsia="Times New Roman"/>
          <w:szCs w:val="24"/>
          <w:lang w:val="fr-FR"/>
        </w:rPr>
        <w:t>approvisionnement et de valeur, ainsi que le processus d</w:t>
      </w:r>
      <w:r>
        <w:rPr>
          <w:rFonts w:eastAsia="Times New Roman"/>
          <w:szCs w:val="24"/>
          <w:lang w:val="fr-FR"/>
        </w:rPr>
        <w:t>’</w:t>
      </w:r>
      <w:r w:rsidRPr="00450786">
        <w:rPr>
          <w:rFonts w:eastAsia="Times New Roman"/>
          <w:szCs w:val="24"/>
          <w:lang w:val="fr-FR"/>
        </w:rPr>
        <w:t>innovation.</w:t>
      </w:r>
      <w:r w:rsidRPr="00F9452E">
        <w:rPr>
          <w:rFonts w:eastAsia="Times New Roman"/>
          <w:szCs w:val="24"/>
          <w:lang w:val="fr-FR"/>
        </w:rPr>
        <w:t xml:space="preserve"> </w:t>
      </w:r>
    </w:p>
    <w:p w14:paraId="2197641B" w14:textId="77777777" w:rsidR="00786736" w:rsidRPr="00C57C3F" w:rsidRDefault="00786736" w:rsidP="00786736">
      <w:pPr>
        <w:pStyle w:val="CBDNormalNumber"/>
        <w:numPr>
          <w:ilvl w:val="0"/>
          <w:numId w:val="19"/>
        </w:numPr>
        <w:rPr>
          <w:rFonts w:eastAsia="Times New Roman"/>
          <w:szCs w:val="24"/>
          <w:lang w:val="fr-FR"/>
        </w:rPr>
      </w:pPr>
      <w:r w:rsidRPr="00C57C3F">
        <w:rPr>
          <w:rFonts w:eastAsia="Times New Roman"/>
          <w:szCs w:val="24"/>
          <w:lang w:val="fr-FR"/>
        </w:rPr>
        <w:t>L</w:t>
      </w:r>
      <w:r>
        <w:rPr>
          <w:rFonts w:eastAsia="Times New Roman"/>
          <w:szCs w:val="24"/>
          <w:lang w:val="fr-FR"/>
        </w:rPr>
        <w:t>’</w:t>
      </w:r>
      <w:r w:rsidRPr="00C57C3F">
        <w:rPr>
          <w:rFonts w:eastAsia="Times New Roman"/>
          <w:szCs w:val="24"/>
          <w:lang w:val="fr-FR"/>
        </w:rPr>
        <w:t>évaluation des indicateurs sur la mise en œuvre de l</w:t>
      </w:r>
      <w:r>
        <w:rPr>
          <w:rFonts w:eastAsia="Times New Roman"/>
          <w:szCs w:val="24"/>
          <w:lang w:val="fr-FR"/>
        </w:rPr>
        <w:t>’</w:t>
      </w:r>
      <w:r w:rsidRPr="00C57C3F">
        <w:rPr>
          <w:rFonts w:eastAsia="Times New Roman"/>
          <w:szCs w:val="24"/>
          <w:lang w:val="fr-FR"/>
        </w:rPr>
        <w:t>article</w:t>
      </w:r>
      <w:r>
        <w:rPr>
          <w:rFonts w:eastAsia="Times New Roman"/>
          <w:szCs w:val="24"/>
          <w:lang w:val="fr-FR"/>
        </w:rPr>
        <w:t> </w:t>
      </w:r>
      <w:r w:rsidRPr="00C57C3F">
        <w:rPr>
          <w:rFonts w:eastAsia="Times New Roman"/>
          <w:szCs w:val="24"/>
          <w:lang w:val="fr-FR"/>
        </w:rPr>
        <w:t>15 a montré que des progrès significatifs ont été réalisés dans la mise en place des éléments fondamentaux des dispositions du Protocole relatives au respect des obligations.</w:t>
      </w:r>
    </w:p>
    <w:p w14:paraId="47E834ED" w14:textId="366704C9" w:rsidR="00786736" w:rsidRPr="00F9452E" w:rsidRDefault="00786736" w:rsidP="00786736">
      <w:pPr>
        <w:pStyle w:val="CBDNormalNumber"/>
        <w:numPr>
          <w:ilvl w:val="0"/>
          <w:numId w:val="19"/>
        </w:numPr>
        <w:rPr>
          <w:rFonts w:eastAsia="Times New Roman"/>
          <w:szCs w:val="24"/>
          <w:lang w:val="fr-FR"/>
        </w:rPr>
      </w:pPr>
      <w:r w:rsidRPr="00CE7488">
        <w:rPr>
          <w:rFonts w:eastAsia="Times New Roman"/>
          <w:szCs w:val="24"/>
          <w:lang w:val="fr-FR"/>
        </w:rPr>
        <w:t>En ce qui concerne l</w:t>
      </w:r>
      <w:r>
        <w:rPr>
          <w:rFonts w:eastAsia="Times New Roman"/>
          <w:szCs w:val="24"/>
          <w:lang w:val="fr-FR"/>
        </w:rPr>
        <w:t>’</w:t>
      </w:r>
      <w:r w:rsidRPr="00CE7488">
        <w:rPr>
          <w:rFonts w:eastAsia="Times New Roman"/>
          <w:szCs w:val="24"/>
          <w:lang w:val="fr-FR"/>
        </w:rPr>
        <w:t>article</w:t>
      </w:r>
      <w:r>
        <w:rPr>
          <w:rFonts w:eastAsia="Times New Roman"/>
          <w:szCs w:val="24"/>
          <w:lang w:val="fr-FR"/>
        </w:rPr>
        <w:t> </w:t>
      </w:r>
      <w:r w:rsidRPr="00CE7488">
        <w:rPr>
          <w:rFonts w:eastAsia="Times New Roman"/>
          <w:szCs w:val="24"/>
          <w:lang w:val="fr-FR"/>
        </w:rPr>
        <w:t>17, les informations disponibles indiquent que les progrès demeurent limités et inégaux selon les régions et les Parties</w:t>
      </w:r>
      <w:r w:rsidRPr="00F9452E">
        <w:rPr>
          <w:rStyle w:val="FootnoteReference"/>
          <w:rFonts w:eastAsia="Times New Roman"/>
          <w:szCs w:val="24"/>
          <w:lang w:val="fr-FR"/>
        </w:rPr>
        <w:footnoteReference w:id="32"/>
      </w:r>
      <w:r>
        <w:rPr>
          <w:rFonts w:eastAsia="Times New Roman"/>
          <w:szCs w:val="24"/>
          <w:lang w:val="fr-FR"/>
        </w:rPr>
        <w:t>.</w:t>
      </w:r>
      <w:r w:rsidRPr="00F9452E">
        <w:rPr>
          <w:rFonts w:eastAsia="Times New Roman"/>
          <w:szCs w:val="24"/>
          <w:lang w:val="fr-FR"/>
        </w:rPr>
        <w:t xml:space="preserve"> </w:t>
      </w:r>
      <w:r w:rsidRPr="007516A0">
        <w:rPr>
          <w:rFonts w:eastAsia="Times New Roman"/>
          <w:szCs w:val="24"/>
          <w:lang w:val="fr-FR"/>
        </w:rPr>
        <w:t>Il existe des divergences d</w:t>
      </w:r>
      <w:r>
        <w:rPr>
          <w:rFonts w:eastAsia="Times New Roman"/>
          <w:szCs w:val="24"/>
          <w:lang w:val="fr-FR"/>
        </w:rPr>
        <w:t>’</w:t>
      </w:r>
      <w:r w:rsidRPr="007516A0">
        <w:rPr>
          <w:rFonts w:eastAsia="Times New Roman"/>
          <w:szCs w:val="24"/>
          <w:lang w:val="fr-FR"/>
        </w:rPr>
        <w:t>interprétation quant au rôle des points de contrôle, et des défis importants subsistent pour mettre pleinement en œuvre les dispositions de cet article, notamment en ce qui concerne la désignation et la mise en place de points de contrôle efficaces par toutes les Parties, ainsi que l</w:t>
      </w:r>
      <w:r>
        <w:rPr>
          <w:rFonts w:eastAsia="Times New Roman"/>
          <w:szCs w:val="24"/>
          <w:lang w:val="fr-FR"/>
        </w:rPr>
        <w:t>’</w:t>
      </w:r>
      <w:r w:rsidRPr="007516A0">
        <w:rPr>
          <w:rFonts w:eastAsia="Times New Roman"/>
          <w:szCs w:val="24"/>
          <w:lang w:val="fr-FR"/>
        </w:rPr>
        <w:t xml:space="preserve">utilisation des communiqués </w:t>
      </w:r>
      <w:r w:rsidR="00FB07DC">
        <w:rPr>
          <w:rFonts w:eastAsia="Times New Roman"/>
          <w:szCs w:val="24"/>
          <w:lang w:val="fr-FR"/>
        </w:rPr>
        <w:t>de</w:t>
      </w:r>
      <w:r w:rsidRPr="007516A0">
        <w:rPr>
          <w:rFonts w:eastAsia="Times New Roman"/>
          <w:szCs w:val="24"/>
          <w:lang w:val="fr-FR"/>
        </w:rPr>
        <w:t xml:space="preserve"> points de contrôle dans le cadre du système de suivi de l</w:t>
      </w:r>
      <w:r>
        <w:rPr>
          <w:rFonts w:eastAsia="Times New Roman"/>
          <w:szCs w:val="24"/>
          <w:lang w:val="fr-FR"/>
        </w:rPr>
        <w:t>’</w:t>
      </w:r>
      <w:r w:rsidRPr="007516A0">
        <w:rPr>
          <w:rFonts w:eastAsia="Times New Roman"/>
          <w:szCs w:val="24"/>
          <w:lang w:val="fr-FR"/>
        </w:rPr>
        <w:t>utilisation des ressources génétiques établi en vertu du Protocole.</w:t>
      </w:r>
    </w:p>
    <w:p w14:paraId="32434F20" w14:textId="6A5CDFE0" w:rsidR="00786736" w:rsidRPr="00F9452E" w:rsidRDefault="00786736" w:rsidP="00786736">
      <w:pPr>
        <w:pStyle w:val="CBDNormalNumber"/>
        <w:numPr>
          <w:ilvl w:val="0"/>
          <w:numId w:val="19"/>
        </w:numPr>
        <w:rPr>
          <w:rFonts w:eastAsia="Times New Roman"/>
          <w:szCs w:val="24"/>
          <w:lang w:val="fr-FR"/>
        </w:rPr>
      </w:pPr>
      <w:r w:rsidRPr="00F75A9F">
        <w:rPr>
          <w:rFonts w:eastAsia="Times New Roman"/>
          <w:szCs w:val="24"/>
          <w:lang w:val="fr-FR"/>
        </w:rPr>
        <w:t>La situation décrite au paragraphe</w:t>
      </w:r>
      <w:r>
        <w:rPr>
          <w:rFonts w:eastAsia="Times New Roman"/>
          <w:szCs w:val="24"/>
          <w:lang w:val="fr-FR"/>
        </w:rPr>
        <w:t> </w:t>
      </w:r>
      <w:r w:rsidRPr="00F75A9F">
        <w:rPr>
          <w:rFonts w:eastAsia="Times New Roman"/>
          <w:szCs w:val="24"/>
          <w:lang w:val="fr-FR"/>
        </w:rPr>
        <w:t xml:space="preserve">9 ci-dessus est également illustrée par le nombre limité de communiqués </w:t>
      </w:r>
      <w:r w:rsidR="00FB07DC">
        <w:rPr>
          <w:rFonts w:eastAsia="Times New Roman"/>
          <w:szCs w:val="24"/>
          <w:lang w:val="fr-FR"/>
        </w:rPr>
        <w:t>de</w:t>
      </w:r>
      <w:r w:rsidRPr="00F75A9F">
        <w:rPr>
          <w:rFonts w:eastAsia="Times New Roman"/>
          <w:szCs w:val="24"/>
          <w:lang w:val="fr-FR"/>
        </w:rPr>
        <w:t xml:space="preserve"> points de contrôle ayant fait l</w:t>
      </w:r>
      <w:r>
        <w:rPr>
          <w:rFonts w:eastAsia="Times New Roman"/>
          <w:szCs w:val="24"/>
          <w:lang w:val="fr-FR"/>
        </w:rPr>
        <w:t>’</w:t>
      </w:r>
      <w:r w:rsidRPr="00F75A9F">
        <w:rPr>
          <w:rFonts w:eastAsia="Times New Roman"/>
          <w:szCs w:val="24"/>
          <w:lang w:val="fr-FR"/>
        </w:rPr>
        <w:t>objet d</w:t>
      </w:r>
      <w:r>
        <w:rPr>
          <w:rFonts w:eastAsia="Times New Roman"/>
          <w:szCs w:val="24"/>
          <w:lang w:val="fr-FR"/>
        </w:rPr>
        <w:t>’</w:t>
      </w:r>
      <w:r w:rsidRPr="00F75A9F">
        <w:rPr>
          <w:rFonts w:eastAsia="Times New Roman"/>
          <w:szCs w:val="24"/>
          <w:lang w:val="fr-FR"/>
        </w:rPr>
        <w:t>une publication, ce qui indique que le système de suivi prévu à l</w:t>
      </w:r>
      <w:r>
        <w:rPr>
          <w:rFonts w:eastAsia="Times New Roman"/>
          <w:szCs w:val="24"/>
          <w:lang w:val="fr-FR"/>
        </w:rPr>
        <w:t>’</w:t>
      </w:r>
      <w:r w:rsidRPr="00F75A9F">
        <w:rPr>
          <w:rFonts w:eastAsia="Times New Roman"/>
          <w:szCs w:val="24"/>
          <w:lang w:val="fr-FR"/>
        </w:rPr>
        <w:t>article</w:t>
      </w:r>
      <w:r>
        <w:rPr>
          <w:rFonts w:eastAsia="Times New Roman"/>
          <w:szCs w:val="24"/>
          <w:lang w:val="fr-FR"/>
        </w:rPr>
        <w:t> </w:t>
      </w:r>
      <w:r w:rsidRPr="00F75A9F">
        <w:rPr>
          <w:rFonts w:eastAsia="Times New Roman"/>
          <w:szCs w:val="24"/>
          <w:lang w:val="fr-FR"/>
        </w:rPr>
        <w:t>17 n</w:t>
      </w:r>
      <w:r>
        <w:rPr>
          <w:rFonts w:eastAsia="Times New Roman"/>
          <w:szCs w:val="24"/>
          <w:lang w:val="fr-FR"/>
        </w:rPr>
        <w:t>’</w:t>
      </w:r>
      <w:r w:rsidRPr="00F75A9F">
        <w:rPr>
          <w:rFonts w:eastAsia="Times New Roman"/>
          <w:szCs w:val="24"/>
          <w:lang w:val="fr-FR"/>
        </w:rPr>
        <w:t xml:space="preserve">a pas encore été mis en œuvre de manière généralisée ni systématique. Un certain nombre de pays continuent </w:t>
      </w:r>
      <w:r w:rsidR="00F80778">
        <w:rPr>
          <w:rFonts w:eastAsia="Times New Roman"/>
          <w:szCs w:val="24"/>
          <w:lang w:val="fr-FR"/>
        </w:rPr>
        <w:t>de</w:t>
      </w:r>
      <w:r w:rsidRPr="00F75A9F">
        <w:rPr>
          <w:rFonts w:eastAsia="Times New Roman"/>
          <w:szCs w:val="24"/>
          <w:lang w:val="fr-FR"/>
        </w:rPr>
        <w:t xml:space="preserve"> s</w:t>
      </w:r>
      <w:r>
        <w:rPr>
          <w:rFonts w:eastAsia="Times New Roman"/>
          <w:szCs w:val="24"/>
          <w:lang w:val="fr-FR"/>
        </w:rPr>
        <w:t>’</w:t>
      </w:r>
      <w:r w:rsidRPr="00F75A9F">
        <w:rPr>
          <w:rFonts w:eastAsia="Times New Roman"/>
          <w:szCs w:val="24"/>
          <w:lang w:val="fr-FR"/>
        </w:rPr>
        <w:t>inquiéter du détournement et de l</w:t>
      </w:r>
      <w:r>
        <w:rPr>
          <w:rFonts w:eastAsia="Times New Roman"/>
          <w:szCs w:val="24"/>
          <w:lang w:val="fr-FR"/>
        </w:rPr>
        <w:t>’</w:t>
      </w:r>
      <w:r w:rsidRPr="00F75A9F">
        <w:rPr>
          <w:rFonts w:eastAsia="Times New Roman"/>
          <w:szCs w:val="24"/>
          <w:lang w:val="fr-FR"/>
        </w:rPr>
        <w:t>utilisation abusive de leurs ressources génétiques dès lors que celles-ci quittent leur territoire, ce qui les incite à adopter des mesures d</w:t>
      </w:r>
      <w:r>
        <w:rPr>
          <w:rFonts w:eastAsia="Times New Roman"/>
          <w:szCs w:val="24"/>
          <w:lang w:val="fr-FR"/>
        </w:rPr>
        <w:t>’</w:t>
      </w:r>
      <w:r w:rsidRPr="00F75A9F">
        <w:rPr>
          <w:rFonts w:eastAsia="Times New Roman"/>
          <w:szCs w:val="24"/>
          <w:lang w:val="fr-FR"/>
        </w:rPr>
        <w:t>accès et des systèmes de suivi de l</w:t>
      </w:r>
      <w:r>
        <w:rPr>
          <w:rFonts w:eastAsia="Times New Roman"/>
          <w:szCs w:val="24"/>
          <w:lang w:val="fr-FR"/>
        </w:rPr>
        <w:t>’</w:t>
      </w:r>
      <w:r w:rsidRPr="00F75A9F">
        <w:rPr>
          <w:rFonts w:eastAsia="Times New Roman"/>
          <w:szCs w:val="24"/>
          <w:lang w:val="fr-FR"/>
        </w:rPr>
        <w:t xml:space="preserve">utilisation de leurs ressources génétiques plus </w:t>
      </w:r>
      <w:r w:rsidR="00F80778">
        <w:rPr>
          <w:rFonts w:eastAsia="Times New Roman"/>
          <w:szCs w:val="24"/>
          <w:lang w:val="fr-FR"/>
        </w:rPr>
        <w:t>conservatoires</w:t>
      </w:r>
      <w:r w:rsidRPr="00F75A9F">
        <w:rPr>
          <w:rFonts w:eastAsia="Times New Roman"/>
          <w:szCs w:val="24"/>
          <w:lang w:val="fr-FR"/>
        </w:rPr>
        <w:t>, ainsi que leurs propres systèmes de suivi de l</w:t>
      </w:r>
      <w:r>
        <w:rPr>
          <w:rFonts w:eastAsia="Times New Roman"/>
          <w:szCs w:val="24"/>
          <w:lang w:val="fr-FR"/>
        </w:rPr>
        <w:t>’</w:t>
      </w:r>
      <w:r w:rsidRPr="00F75A9F">
        <w:rPr>
          <w:rFonts w:eastAsia="Times New Roman"/>
          <w:szCs w:val="24"/>
          <w:lang w:val="fr-FR"/>
        </w:rPr>
        <w:t>utilisation.</w:t>
      </w:r>
    </w:p>
    <w:p w14:paraId="5B3F4F19" w14:textId="7A069792" w:rsidR="00786736" w:rsidRPr="00F9452E" w:rsidRDefault="00786736" w:rsidP="00786736">
      <w:pPr>
        <w:pStyle w:val="CBDNormalNumber"/>
        <w:numPr>
          <w:ilvl w:val="0"/>
          <w:numId w:val="19"/>
        </w:numPr>
        <w:rPr>
          <w:rFonts w:eastAsia="Times New Roman"/>
          <w:szCs w:val="24"/>
          <w:lang w:val="fr-FR"/>
        </w:rPr>
      </w:pPr>
      <w:r w:rsidRPr="009D6A52">
        <w:rPr>
          <w:rFonts w:eastAsia="Times New Roman"/>
          <w:szCs w:val="24"/>
          <w:lang w:val="fr-FR"/>
        </w:rPr>
        <w:t>L</w:t>
      </w:r>
      <w:r>
        <w:rPr>
          <w:rFonts w:eastAsia="Times New Roman"/>
          <w:szCs w:val="24"/>
          <w:lang w:val="fr-FR"/>
        </w:rPr>
        <w:t>’</w:t>
      </w:r>
      <w:r w:rsidRPr="009D6A52">
        <w:rPr>
          <w:rFonts w:eastAsia="Times New Roman"/>
          <w:szCs w:val="24"/>
          <w:lang w:val="fr-FR"/>
        </w:rPr>
        <w:t>expérience montre que la coopération entre les pays utilisateurs et les pays fournisseurs reste essentielle pour renforcer le respect des mesures nationales en matière d</w:t>
      </w:r>
      <w:r>
        <w:rPr>
          <w:rFonts w:eastAsia="Times New Roman"/>
          <w:szCs w:val="24"/>
          <w:lang w:val="fr-FR"/>
        </w:rPr>
        <w:t>’</w:t>
      </w:r>
      <w:r w:rsidRPr="009D6A52">
        <w:rPr>
          <w:rFonts w:eastAsia="Times New Roman"/>
          <w:szCs w:val="24"/>
          <w:lang w:val="fr-FR"/>
        </w:rPr>
        <w:t>accès et de partage des avantages. Une grande partie de la coopération rapportée a été suscitée par l</w:t>
      </w:r>
      <w:r>
        <w:rPr>
          <w:rFonts w:eastAsia="Times New Roman"/>
          <w:szCs w:val="24"/>
          <w:lang w:val="fr-FR"/>
        </w:rPr>
        <w:t>’</w:t>
      </w:r>
      <w:r w:rsidRPr="009D6A52">
        <w:rPr>
          <w:rFonts w:eastAsia="Times New Roman"/>
          <w:szCs w:val="24"/>
          <w:lang w:val="fr-FR"/>
        </w:rPr>
        <w:t>émission ou la réception de communiqués de point</w:t>
      </w:r>
      <w:r w:rsidR="00FB07DC">
        <w:rPr>
          <w:rFonts w:eastAsia="Times New Roman"/>
          <w:szCs w:val="24"/>
          <w:lang w:val="fr-FR"/>
        </w:rPr>
        <w:t>s</w:t>
      </w:r>
      <w:r w:rsidRPr="009D6A52">
        <w:rPr>
          <w:rFonts w:eastAsia="Times New Roman"/>
          <w:szCs w:val="24"/>
          <w:lang w:val="fr-FR"/>
        </w:rPr>
        <w:t xml:space="preserve"> de contrôle, ce qui souligne l</w:t>
      </w:r>
      <w:r>
        <w:rPr>
          <w:rFonts w:eastAsia="Times New Roman"/>
          <w:szCs w:val="24"/>
          <w:lang w:val="fr-FR"/>
        </w:rPr>
        <w:t>’</w:t>
      </w:r>
      <w:r w:rsidRPr="009D6A52">
        <w:rPr>
          <w:rFonts w:eastAsia="Times New Roman"/>
          <w:szCs w:val="24"/>
          <w:lang w:val="fr-FR"/>
        </w:rPr>
        <w:t xml:space="preserve">utilité de cet outil </w:t>
      </w:r>
      <w:r w:rsidR="00F80778">
        <w:rPr>
          <w:rFonts w:eastAsia="Times New Roman"/>
          <w:szCs w:val="24"/>
          <w:lang w:val="fr-FR"/>
        </w:rPr>
        <w:t>à l’appui du respect des obligations</w:t>
      </w:r>
      <w:r w:rsidRPr="009D6A52">
        <w:rPr>
          <w:rFonts w:eastAsia="Times New Roman"/>
          <w:szCs w:val="24"/>
          <w:lang w:val="fr-FR"/>
        </w:rPr>
        <w:t>.</w:t>
      </w:r>
    </w:p>
    <w:p w14:paraId="26CA4F12" w14:textId="16129304" w:rsidR="00786736" w:rsidRPr="00F9452E" w:rsidRDefault="00786736" w:rsidP="00786736">
      <w:pPr>
        <w:pStyle w:val="CBDNormalNumber"/>
        <w:numPr>
          <w:ilvl w:val="0"/>
          <w:numId w:val="19"/>
        </w:numPr>
        <w:rPr>
          <w:rFonts w:eastAsia="Times New Roman"/>
          <w:szCs w:val="24"/>
          <w:lang w:val="fr-FR"/>
        </w:rPr>
      </w:pPr>
      <w:r w:rsidRPr="00950199">
        <w:rPr>
          <w:rFonts w:eastAsia="Times New Roman"/>
          <w:szCs w:val="24"/>
          <w:lang w:val="fr-FR"/>
        </w:rPr>
        <w:t>Les indicateurs relatifs à la mise en œuvre des articles</w:t>
      </w:r>
      <w:r w:rsidR="00132CD2">
        <w:rPr>
          <w:rFonts w:eastAsia="Times New Roman"/>
          <w:szCs w:val="24"/>
          <w:lang w:val="fr-FR"/>
        </w:rPr>
        <w:t> </w:t>
      </w:r>
      <w:r w:rsidRPr="00950199">
        <w:rPr>
          <w:rFonts w:eastAsia="Times New Roman"/>
          <w:szCs w:val="24"/>
          <w:lang w:val="fr-FR"/>
        </w:rPr>
        <w:t>6, 7 et 12 témoignent de progrès inégaux. Parmi les Parties ayant signalé la présence de peuples autochtones et communautés locales sur leur territoire, la plupart ont intégré l</w:t>
      </w:r>
      <w:r>
        <w:rPr>
          <w:rFonts w:eastAsia="Times New Roman"/>
          <w:szCs w:val="24"/>
          <w:lang w:val="fr-FR"/>
        </w:rPr>
        <w:t>’</w:t>
      </w:r>
      <w:r w:rsidRPr="00950199">
        <w:rPr>
          <w:rFonts w:eastAsia="Times New Roman"/>
          <w:szCs w:val="24"/>
          <w:lang w:val="fr-FR"/>
        </w:rPr>
        <w:t xml:space="preserve">exigence </w:t>
      </w:r>
      <w:r w:rsidR="008E1FB7">
        <w:rPr>
          <w:rFonts w:eastAsia="Times New Roman"/>
          <w:szCs w:val="24"/>
          <w:lang w:val="fr-FR"/>
        </w:rPr>
        <w:t xml:space="preserve">d’un </w:t>
      </w:r>
      <w:r w:rsidR="00015094" w:rsidRPr="005E5E81">
        <w:rPr>
          <w:rFonts w:eastAsia="Times New Roman"/>
          <w:szCs w:val="24"/>
          <w:lang w:val="fr-FR"/>
        </w:rPr>
        <w:t xml:space="preserve">consentement préalable </w:t>
      </w:r>
      <w:r w:rsidR="00015094">
        <w:rPr>
          <w:rFonts w:eastAsia="Times New Roman"/>
          <w:szCs w:val="24"/>
          <w:lang w:val="fr-FR"/>
        </w:rPr>
        <w:t xml:space="preserve">donné </w:t>
      </w:r>
      <w:r w:rsidR="00015094" w:rsidRPr="005E5E81">
        <w:rPr>
          <w:rFonts w:eastAsia="Times New Roman"/>
          <w:szCs w:val="24"/>
          <w:lang w:val="fr-FR"/>
        </w:rPr>
        <w:t>en connaissance de cause</w:t>
      </w:r>
      <w:r w:rsidR="00015094" w:rsidRPr="00950199">
        <w:rPr>
          <w:rFonts w:eastAsia="Times New Roman"/>
          <w:szCs w:val="24"/>
          <w:lang w:val="fr-FR"/>
        </w:rPr>
        <w:t xml:space="preserve"> </w:t>
      </w:r>
      <w:r w:rsidRPr="00950199">
        <w:rPr>
          <w:rFonts w:eastAsia="Times New Roman"/>
          <w:szCs w:val="24"/>
          <w:lang w:val="fr-FR"/>
        </w:rPr>
        <w:t>dans leurs mesures d</w:t>
      </w:r>
      <w:r>
        <w:rPr>
          <w:rFonts w:eastAsia="Times New Roman"/>
          <w:szCs w:val="24"/>
          <w:lang w:val="fr-FR"/>
        </w:rPr>
        <w:t>’</w:t>
      </w:r>
      <w:r w:rsidRPr="00950199">
        <w:rPr>
          <w:rFonts w:eastAsia="Times New Roman"/>
          <w:szCs w:val="24"/>
          <w:lang w:val="fr-FR"/>
        </w:rPr>
        <w:t>accès et de partage des avantages</w:t>
      </w:r>
      <w:r>
        <w:rPr>
          <w:rFonts w:eastAsia="Times New Roman"/>
          <w:szCs w:val="24"/>
          <w:lang w:val="fr-FR"/>
        </w:rPr>
        <w:t> ;</w:t>
      </w:r>
      <w:r w:rsidRPr="00950199">
        <w:rPr>
          <w:rFonts w:eastAsia="Times New Roman"/>
          <w:szCs w:val="24"/>
          <w:lang w:val="fr-FR"/>
        </w:rPr>
        <w:t xml:space="preserve"> à cet égard, les indicateurs relatifs aux dispositions du Protocole concernant les peuples autochtones et communautés locales ont fait état de progrès modérés. Toutefois, de nombreuses Parties n</w:t>
      </w:r>
      <w:r>
        <w:rPr>
          <w:rFonts w:eastAsia="Times New Roman"/>
          <w:szCs w:val="24"/>
          <w:lang w:val="fr-FR"/>
        </w:rPr>
        <w:t>’</w:t>
      </w:r>
      <w:r w:rsidRPr="00950199">
        <w:rPr>
          <w:rFonts w:eastAsia="Times New Roman"/>
          <w:szCs w:val="24"/>
          <w:lang w:val="fr-FR"/>
        </w:rPr>
        <w:t>ont pas encore pleinement mis en œuvre ces dispositions et peu d</w:t>
      </w:r>
      <w:r>
        <w:rPr>
          <w:rFonts w:eastAsia="Times New Roman"/>
          <w:szCs w:val="24"/>
          <w:lang w:val="fr-FR"/>
        </w:rPr>
        <w:t>’</w:t>
      </w:r>
      <w:r w:rsidRPr="00950199">
        <w:rPr>
          <w:rFonts w:eastAsia="Times New Roman"/>
          <w:szCs w:val="24"/>
          <w:lang w:val="fr-FR"/>
        </w:rPr>
        <w:t xml:space="preserve">exemples ont été rapportés, ce qui souligne la </w:t>
      </w:r>
      <w:r w:rsidRPr="00950199">
        <w:rPr>
          <w:rFonts w:eastAsia="Times New Roman"/>
          <w:szCs w:val="24"/>
          <w:lang w:val="fr-FR"/>
        </w:rPr>
        <w:lastRenderedPageBreak/>
        <w:t>nécessité de mener des études de cas sur les expériences concrètes en matière de mise en œuvre des mesures relatives aux peuples autochtones et communautés locales.</w:t>
      </w:r>
      <w:r w:rsidRPr="00F9452E">
        <w:rPr>
          <w:rFonts w:eastAsia="Times New Roman"/>
          <w:szCs w:val="24"/>
          <w:lang w:val="fr-FR"/>
        </w:rPr>
        <w:t xml:space="preserve"> </w:t>
      </w:r>
    </w:p>
    <w:p w14:paraId="3A4828FA" w14:textId="34CC4459" w:rsidR="00786736" w:rsidRPr="001A1AEC" w:rsidRDefault="00786736" w:rsidP="00786736">
      <w:pPr>
        <w:pStyle w:val="CBDNormalNumber"/>
        <w:numPr>
          <w:ilvl w:val="0"/>
          <w:numId w:val="19"/>
        </w:numPr>
        <w:rPr>
          <w:rFonts w:eastAsia="Times New Roman"/>
          <w:szCs w:val="24"/>
          <w:lang w:val="fr-FR"/>
        </w:rPr>
      </w:pPr>
      <w:r w:rsidRPr="001A1AEC">
        <w:rPr>
          <w:rFonts w:eastAsia="Times New Roman"/>
          <w:szCs w:val="24"/>
          <w:lang w:val="fr-FR"/>
        </w:rPr>
        <w:t>Afin d</w:t>
      </w:r>
      <w:r>
        <w:rPr>
          <w:rFonts w:eastAsia="Times New Roman"/>
          <w:szCs w:val="24"/>
          <w:lang w:val="fr-FR"/>
        </w:rPr>
        <w:t>’</w:t>
      </w:r>
      <w:r w:rsidRPr="001A1AEC">
        <w:rPr>
          <w:rFonts w:eastAsia="Times New Roman"/>
          <w:szCs w:val="24"/>
          <w:lang w:val="fr-FR"/>
        </w:rPr>
        <w:t>améliorer la mise en œuvre des dispositions relatives aux peuples autochtones et communautés locales, il est essentiel d</w:t>
      </w:r>
      <w:r>
        <w:rPr>
          <w:rFonts w:eastAsia="Times New Roman"/>
          <w:szCs w:val="24"/>
          <w:lang w:val="fr-FR"/>
        </w:rPr>
        <w:t>’</w:t>
      </w:r>
      <w:r w:rsidRPr="001A1AEC">
        <w:rPr>
          <w:rFonts w:eastAsia="Times New Roman"/>
          <w:szCs w:val="24"/>
          <w:lang w:val="fr-FR"/>
        </w:rPr>
        <w:t>apporter un appui à la participation pleine et effective de ces derniers aux processus d</w:t>
      </w:r>
      <w:r>
        <w:rPr>
          <w:rFonts w:eastAsia="Times New Roman"/>
          <w:szCs w:val="24"/>
          <w:lang w:val="fr-FR"/>
        </w:rPr>
        <w:t>’</w:t>
      </w:r>
      <w:r w:rsidRPr="001A1AEC">
        <w:rPr>
          <w:rFonts w:eastAsia="Times New Roman"/>
          <w:szCs w:val="24"/>
          <w:lang w:val="fr-FR"/>
        </w:rPr>
        <w:t xml:space="preserve">accès et de partage des avantages, grâce à une implication précoce, à des actions ciblées de sensibilisation et de renforcement des capacités, à la mise en place de mécanismes de coordination et à leur </w:t>
      </w:r>
      <w:r w:rsidR="008E1FB7">
        <w:rPr>
          <w:rFonts w:eastAsia="Times New Roman"/>
          <w:szCs w:val="24"/>
          <w:lang w:val="fr-FR"/>
        </w:rPr>
        <w:t>émancipation</w:t>
      </w:r>
      <w:r w:rsidRPr="001A1AEC">
        <w:rPr>
          <w:rFonts w:eastAsia="Times New Roman"/>
          <w:szCs w:val="24"/>
          <w:lang w:val="fr-FR"/>
        </w:rPr>
        <w:t>.</w:t>
      </w:r>
    </w:p>
    <w:p w14:paraId="7D58C493" w14:textId="57BFED87" w:rsidR="00786736" w:rsidRPr="00F9452E" w:rsidRDefault="00786736" w:rsidP="00786736">
      <w:pPr>
        <w:pStyle w:val="CBDNormalNumber"/>
        <w:numPr>
          <w:ilvl w:val="0"/>
          <w:numId w:val="19"/>
        </w:numPr>
        <w:rPr>
          <w:rFonts w:eastAsia="Times New Roman"/>
          <w:szCs w:val="24"/>
          <w:lang w:val="fr-FR"/>
        </w:rPr>
      </w:pPr>
      <w:r w:rsidRPr="00162960">
        <w:rPr>
          <w:rFonts w:eastAsia="Times New Roman"/>
          <w:szCs w:val="24"/>
          <w:lang w:val="fr-FR"/>
        </w:rPr>
        <w:t>L</w:t>
      </w:r>
      <w:r>
        <w:rPr>
          <w:rFonts w:eastAsia="Times New Roman"/>
          <w:szCs w:val="24"/>
          <w:lang w:val="fr-FR"/>
        </w:rPr>
        <w:t>’</w:t>
      </w:r>
      <w:r w:rsidRPr="00162960">
        <w:rPr>
          <w:rFonts w:eastAsia="Times New Roman"/>
          <w:szCs w:val="24"/>
          <w:lang w:val="fr-FR"/>
        </w:rPr>
        <w:t>élaboration de protocoles communautaires constitue une première étape essentielle, puisqu</w:t>
      </w:r>
      <w:r>
        <w:rPr>
          <w:rFonts w:eastAsia="Times New Roman"/>
          <w:szCs w:val="24"/>
          <w:lang w:val="fr-FR"/>
        </w:rPr>
        <w:t>’</w:t>
      </w:r>
      <w:r w:rsidRPr="00162960">
        <w:rPr>
          <w:rFonts w:eastAsia="Times New Roman"/>
          <w:szCs w:val="24"/>
          <w:lang w:val="fr-FR"/>
        </w:rPr>
        <w:t>elle permet aux peuples autochtones et communautés locales d</w:t>
      </w:r>
      <w:r>
        <w:rPr>
          <w:rFonts w:eastAsia="Times New Roman"/>
          <w:szCs w:val="24"/>
          <w:lang w:val="fr-FR"/>
        </w:rPr>
        <w:t>’</w:t>
      </w:r>
      <w:r w:rsidRPr="00162960">
        <w:rPr>
          <w:rFonts w:eastAsia="Times New Roman"/>
          <w:szCs w:val="24"/>
          <w:lang w:val="fr-FR"/>
        </w:rPr>
        <w:t xml:space="preserve">exprimer clairement leurs valeurs, leurs pratiques coutumières et leurs aspirations, et de les communiquer efficacement aux utilisateurs des ressources génétiques et des </w:t>
      </w:r>
      <w:r w:rsidR="00785576">
        <w:rPr>
          <w:rFonts w:eastAsia="Times New Roman"/>
          <w:szCs w:val="24"/>
          <w:lang w:val="fr-FR"/>
        </w:rPr>
        <w:t>connaissances</w:t>
      </w:r>
      <w:r w:rsidR="00785576" w:rsidRPr="00E80A55">
        <w:rPr>
          <w:rFonts w:eastAsia="Times New Roman"/>
          <w:szCs w:val="24"/>
          <w:lang w:val="fr-FR"/>
        </w:rPr>
        <w:t xml:space="preserve"> traditionnel</w:t>
      </w:r>
      <w:r w:rsidR="00785576">
        <w:rPr>
          <w:rFonts w:eastAsia="Times New Roman"/>
          <w:szCs w:val="24"/>
          <w:lang w:val="fr-FR"/>
        </w:rPr>
        <w:t>le</w:t>
      </w:r>
      <w:r w:rsidR="00785576" w:rsidRPr="00E80A55">
        <w:rPr>
          <w:rFonts w:eastAsia="Times New Roman"/>
          <w:szCs w:val="24"/>
          <w:lang w:val="fr-FR"/>
        </w:rPr>
        <w:t>s associé</w:t>
      </w:r>
      <w:r w:rsidR="00785576">
        <w:rPr>
          <w:rFonts w:eastAsia="Times New Roman"/>
          <w:szCs w:val="24"/>
          <w:lang w:val="fr-FR"/>
        </w:rPr>
        <w:t>e</w:t>
      </w:r>
      <w:r w:rsidR="00785576" w:rsidRPr="00E80A55">
        <w:rPr>
          <w:rFonts w:eastAsia="Times New Roman"/>
          <w:szCs w:val="24"/>
          <w:lang w:val="fr-FR"/>
        </w:rPr>
        <w:t>s</w:t>
      </w:r>
      <w:r w:rsidRPr="00162960">
        <w:rPr>
          <w:rFonts w:eastAsia="Times New Roman"/>
          <w:szCs w:val="24"/>
          <w:lang w:val="fr-FR"/>
        </w:rPr>
        <w:t>, ainsi qu</w:t>
      </w:r>
      <w:r>
        <w:rPr>
          <w:rFonts w:eastAsia="Times New Roman"/>
          <w:szCs w:val="24"/>
          <w:lang w:val="fr-FR"/>
        </w:rPr>
        <w:t>’</w:t>
      </w:r>
      <w:r w:rsidRPr="00162960">
        <w:rPr>
          <w:rFonts w:eastAsia="Times New Roman"/>
          <w:szCs w:val="24"/>
          <w:lang w:val="fr-FR"/>
        </w:rPr>
        <w:t>aux autorités publiques. À cet égard, les Parties doivent continuer à fournir un appui à l</w:t>
      </w:r>
      <w:r>
        <w:rPr>
          <w:rFonts w:eastAsia="Times New Roman"/>
          <w:szCs w:val="24"/>
          <w:lang w:val="fr-FR"/>
        </w:rPr>
        <w:t>’</w:t>
      </w:r>
      <w:r w:rsidRPr="00162960">
        <w:rPr>
          <w:rFonts w:eastAsia="Times New Roman"/>
          <w:szCs w:val="24"/>
          <w:lang w:val="fr-FR"/>
        </w:rPr>
        <w:t>élaboration et à la mise en œuvre de protocoles communautaires par les peuples autochtones et communautés locales, conformément à l</w:t>
      </w:r>
      <w:r>
        <w:rPr>
          <w:rFonts w:eastAsia="Times New Roman"/>
          <w:szCs w:val="24"/>
          <w:lang w:val="fr-FR"/>
        </w:rPr>
        <w:t>’</w:t>
      </w:r>
      <w:r w:rsidRPr="00162960">
        <w:rPr>
          <w:rFonts w:eastAsia="Times New Roman"/>
          <w:szCs w:val="24"/>
          <w:lang w:val="fr-FR"/>
        </w:rPr>
        <w:t>article</w:t>
      </w:r>
      <w:r w:rsidR="00132CD2">
        <w:rPr>
          <w:rFonts w:eastAsia="Times New Roman"/>
          <w:szCs w:val="24"/>
          <w:lang w:val="fr-FR"/>
        </w:rPr>
        <w:t> </w:t>
      </w:r>
      <w:r w:rsidRPr="00162960">
        <w:rPr>
          <w:rFonts w:eastAsia="Times New Roman"/>
          <w:szCs w:val="24"/>
          <w:lang w:val="fr-FR"/>
        </w:rPr>
        <w:t>12 du Protocole.</w:t>
      </w:r>
    </w:p>
    <w:p w14:paraId="3DF24657" w14:textId="2A0D980C" w:rsidR="00CC35D7" w:rsidRPr="00124D03" w:rsidRDefault="00D069D9">
      <w:pPr>
        <w:pStyle w:val="CBDNormalNumber"/>
        <w:numPr>
          <w:ilvl w:val="0"/>
          <w:numId w:val="19"/>
        </w:numPr>
        <w:ind w:left="540"/>
        <w:rPr>
          <w:lang w:val="fr-FR"/>
        </w:rPr>
      </w:pPr>
      <w:r>
        <w:rPr>
          <w:lang w:val="fr-FR"/>
        </w:rPr>
        <w:t xml:space="preserve">Les données des indicateurs relatifs à l’article 8 du Protocole de Nagoya montrent d’importants progrès dans la mise en œuvre des dispositions de l’article. Cependant, les avis divergent sur ce que signifie en pratique </w:t>
      </w:r>
      <w:r w:rsidR="00132CD2">
        <w:rPr>
          <w:lang w:val="fr-FR"/>
        </w:rPr>
        <w:t>la mise en œuvre de</w:t>
      </w:r>
      <w:r>
        <w:rPr>
          <w:lang w:val="fr-FR"/>
        </w:rPr>
        <w:t xml:space="preserve"> ces dispositions et les indicateurs ne précisent pas si les mesures prises sont opérationnelles ou efficaces pour la réalisation des objectifs du Protocole.</w:t>
      </w:r>
    </w:p>
    <w:p w14:paraId="12814443" w14:textId="26DF9F34" w:rsidR="00CC35D7" w:rsidRPr="00124D03" w:rsidDel="00C80262" w:rsidRDefault="0018413B">
      <w:pPr>
        <w:pStyle w:val="CBDNormalNumber"/>
        <w:numPr>
          <w:ilvl w:val="0"/>
          <w:numId w:val="19"/>
        </w:numPr>
        <w:ind w:left="540"/>
        <w:rPr>
          <w:lang w:val="fr-FR"/>
        </w:rPr>
      </w:pPr>
      <w:r>
        <w:rPr>
          <w:lang w:val="fr-FR"/>
        </w:rPr>
        <w:t>Davantage de travaux pourraient être menés pour appuyer la mise en œuvre de l’article</w:t>
      </w:r>
      <w:r w:rsidR="00132CD2">
        <w:rPr>
          <w:lang w:val="fr-FR"/>
        </w:rPr>
        <w:t> </w:t>
      </w:r>
      <w:r>
        <w:rPr>
          <w:lang w:val="fr-FR"/>
        </w:rPr>
        <w:t xml:space="preserve">8 a) du Protocole, </w:t>
      </w:r>
      <w:r w:rsidR="00990DA5">
        <w:rPr>
          <w:lang w:val="fr-FR"/>
        </w:rPr>
        <w:t>c’est-à-dire</w:t>
      </w:r>
      <w:r>
        <w:rPr>
          <w:lang w:val="fr-FR"/>
        </w:rPr>
        <w:t xml:space="preserve"> la mise en œuvre plus large de mesures simplifiées d’accès pour la recherche à des fins non commerciales et la prise en compte du changement d’intention et </w:t>
      </w:r>
      <w:r w:rsidR="00990DA5">
        <w:rPr>
          <w:lang w:val="fr-FR"/>
        </w:rPr>
        <w:t>des</w:t>
      </w:r>
      <w:r>
        <w:rPr>
          <w:lang w:val="fr-FR"/>
        </w:rPr>
        <w:t xml:space="preserve"> transferts par des tiers</w:t>
      </w:r>
      <w:r w:rsidR="00CC35D7" w:rsidRPr="00124D03">
        <w:rPr>
          <w:vertAlign w:val="superscript"/>
          <w:lang w:val="fr-FR"/>
        </w:rPr>
        <w:footnoteReference w:id="33"/>
      </w:r>
      <w:r>
        <w:rPr>
          <w:lang w:val="fr-FR"/>
        </w:rPr>
        <w:t>.</w:t>
      </w:r>
    </w:p>
    <w:p w14:paraId="04246ADA" w14:textId="27A7050C" w:rsidR="00CC35D7" w:rsidRPr="00124D03" w:rsidRDefault="00137736">
      <w:pPr>
        <w:pStyle w:val="CBDNormalNumber"/>
        <w:numPr>
          <w:ilvl w:val="0"/>
          <w:numId w:val="19"/>
        </w:numPr>
        <w:ind w:left="540"/>
        <w:rPr>
          <w:lang w:val="fr-FR"/>
        </w:rPr>
      </w:pPr>
      <w:r w:rsidRPr="00517DA0">
        <w:rPr>
          <w:lang w:val="fr-FR"/>
        </w:rPr>
        <w:t>La mise en œuvre du Protocole de Nagoya dans un esprit de complémentarité réciproque avec</w:t>
      </w:r>
      <w:r>
        <w:rPr>
          <w:lang w:val="fr-FR"/>
        </w:rPr>
        <w:t xml:space="preserve"> d’autres instruments internationaux d’accès et de partage des avantages pertinents, conformément au paragraphe 3 de l’article</w:t>
      </w:r>
      <w:r w:rsidR="00132CD2">
        <w:rPr>
          <w:lang w:val="fr-FR"/>
        </w:rPr>
        <w:t> </w:t>
      </w:r>
      <w:r>
        <w:rPr>
          <w:lang w:val="fr-FR"/>
        </w:rPr>
        <w:t>4</w:t>
      </w:r>
      <w:r w:rsidR="00132CD2">
        <w:rPr>
          <w:lang w:val="fr-FR"/>
        </w:rPr>
        <w:t>,</w:t>
      </w:r>
      <w:r>
        <w:rPr>
          <w:lang w:val="fr-FR"/>
        </w:rPr>
        <w:t xml:space="preserve"> pourrait également être renforcée. Promouvoir la coordination institutionnelle et la </w:t>
      </w:r>
      <w:r w:rsidR="009B315E">
        <w:rPr>
          <w:lang w:val="fr-FR"/>
        </w:rPr>
        <w:t>sécurité</w:t>
      </w:r>
      <w:r>
        <w:rPr>
          <w:lang w:val="fr-FR"/>
        </w:rPr>
        <w:t xml:space="preserve"> juridique en matière de mise en œuvre nationale d’instruments internationaux d’accès et de partage des avantages et renforcer la </w:t>
      </w:r>
      <w:r w:rsidR="009B315E">
        <w:rPr>
          <w:lang w:val="fr-FR"/>
        </w:rPr>
        <w:t>sensibilisation aux</w:t>
      </w:r>
      <w:r>
        <w:rPr>
          <w:lang w:val="fr-FR"/>
        </w:rPr>
        <w:t xml:space="preserve"> différents régimes d’accès et de partage des avantages pourrait appuyer les efforts dans ce sens. Ces efforts contribueront également à la mise en œuvre des considérations spéciales de l’article 8.</w:t>
      </w:r>
    </w:p>
    <w:p w14:paraId="0423DCA1" w14:textId="38FAC088" w:rsidR="00CC35D7" w:rsidRPr="00124D03" w:rsidRDefault="00137736">
      <w:pPr>
        <w:pStyle w:val="CBDNormalNumber"/>
        <w:numPr>
          <w:ilvl w:val="0"/>
          <w:numId w:val="19"/>
        </w:numPr>
        <w:ind w:left="540"/>
        <w:rPr>
          <w:lang w:val="fr-FR"/>
        </w:rPr>
      </w:pPr>
      <w:r>
        <w:rPr>
          <w:lang w:val="fr-FR"/>
        </w:rPr>
        <w:t>Les Parties cherchent généralement à coopérer en réponse à l’article 11 du Protocole. Lorsqu’une telle coopération a lieu, elle tend à reposer sur des arrangements informels ou des initiatives régionales et écosystémiques opérant au sein de cadres de conservation et de communautés existants. Cependant, la coopération transfrontière mentionnée à l’article</w:t>
      </w:r>
      <w:r w:rsidR="00132CD2">
        <w:rPr>
          <w:lang w:val="fr-FR"/>
        </w:rPr>
        <w:t> </w:t>
      </w:r>
      <w:r>
        <w:rPr>
          <w:lang w:val="fr-FR"/>
        </w:rPr>
        <w:t>11 demeure limitée en pratique.</w:t>
      </w:r>
    </w:p>
    <w:p w14:paraId="6ED3BF23" w14:textId="34B3E5D9" w:rsidR="00CC35D7" w:rsidRPr="00124D03" w:rsidRDefault="00517798">
      <w:pPr>
        <w:pStyle w:val="CBDNormalNumber"/>
        <w:numPr>
          <w:ilvl w:val="0"/>
          <w:numId w:val="19"/>
        </w:numPr>
        <w:ind w:left="540"/>
        <w:rPr>
          <w:lang w:val="fr-FR"/>
        </w:rPr>
      </w:pPr>
      <w:r>
        <w:rPr>
          <w:lang w:val="fr-FR"/>
        </w:rPr>
        <w:t xml:space="preserve">La plupart des Parties ont pris des mesures pour sensibiliser le public, </w:t>
      </w:r>
      <w:r w:rsidR="008F6163">
        <w:rPr>
          <w:lang w:val="fr-FR"/>
        </w:rPr>
        <w:t xml:space="preserve">comme </w:t>
      </w:r>
      <w:r>
        <w:rPr>
          <w:lang w:val="fr-FR"/>
        </w:rPr>
        <w:t>indiqué à l’article</w:t>
      </w:r>
      <w:r w:rsidR="00132CD2">
        <w:rPr>
          <w:lang w:val="fr-FR"/>
        </w:rPr>
        <w:t> </w:t>
      </w:r>
      <w:r>
        <w:rPr>
          <w:lang w:val="fr-FR"/>
        </w:rPr>
        <w:t xml:space="preserve">21 du Protocole, et nombre d’entre elles disposent d’une forme ou d’une autre de stratégie de sensibilisation. Ces efforts </w:t>
      </w:r>
      <w:r w:rsidR="007034A9">
        <w:rPr>
          <w:lang w:val="fr-FR"/>
        </w:rPr>
        <w:t xml:space="preserve">reposent largement sur des activités </w:t>
      </w:r>
      <w:r w:rsidR="007B6B78">
        <w:rPr>
          <w:lang w:val="fr-FR"/>
        </w:rPr>
        <w:t xml:space="preserve">dont l’ampleur </w:t>
      </w:r>
      <w:r w:rsidR="007034A9">
        <w:rPr>
          <w:lang w:val="fr-FR"/>
        </w:rPr>
        <w:t>est incertaine et inégale entre les Parties, dans la mesure où elles sont étroitement liées aux ressources et aux capacités disponibles.</w:t>
      </w:r>
    </w:p>
    <w:p w14:paraId="2C6BC0C3" w14:textId="4E4F1E79" w:rsidR="00C546FC" w:rsidRPr="00124D03" w:rsidRDefault="007034A9">
      <w:pPr>
        <w:pStyle w:val="CBDNormalNumber"/>
        <w:numPr>
          <w:ilvl w:val="0"/>
          <w:numId w:val="19"/>
        </w:numPr>
        <w:ind w:left="540"/>
        <w:rPr>
          <w:lang w:val="fr-FR"/>
        </w:rPr>
      </w:pPr>
      <w:r>
        <w:rPr>
          <w:lang w:val="fr-FR"/>
        </w:rPr>
        <w:t>Renforcer les efforts de sensibilisation à tous les niveaux</w:t>
      </w:r>
      <w:r w:rsidR="007B6B78">
        <w:rPr>
          <w:lang w:val="fr-FR"/>
        </w:rPr>
        <w:t xml:space="preserve"> et mener</w:t>
      </w:r>
      <w:r>
        <w:rPr>
          <w:lang w:val="fr-FR"/>
        </w:rPr>
        <w:t xml:space="preserve"> des campagnes de communication </w:t>
      </w:r>
      <w:r w:rsidRPr="007B6B78">
        <w:rPr>
          <w:lang w:val="fr-FR"/>
        </w:rPr>
        <w:t>peut</w:t>
      </w:r>
      <w:r>
        <w:rPr>
          <w:lang w:val="fr-FR"/>
        </w:rPr>
        <w:t xml:space="preserve"> aider à </w:t>
      </w:r>
      <w:r w:rsidR="00EB05C8">
        <w:rPr>
          <w:lang w:val="fr-FR"/>
        </w:rPr>
        <w:t>aborder</w:t>
      </w:r>
      <w:r>
        <w:rPr>
          <w:lang w:val="fr-FR"/>
        </w:rPr>
        <w:t xml:space="preserve"> nombre des causes profondes </w:t>
      </w:r>
      <w:r w:rsidR="00EB05C8">
        <w:rPr>
          <w:lang w:val="fr-FR"/>
        </w:rPr>
        <w:t>à l’origine des</w:t>
      </w:r>
      <w:r>
        <w:rPr>
          <w:lang w:val="fr-FR"/>
        </w:rPr>
        <w:t xml:space="preserve"> difficultés recensées en matière de mise en œuvre efficace et à mobiliser </w:t>
      </w:r>
      <w:r w:rsidR="00C82D65">
        <w:rPr>
          <w:lang w:val="fr-FR"/>
        </w:rPr>
        <w:t>la</w:t>
      </w:r>
      <w:r>
        <w:rPr>
          <w:lang w:val="fr-FR"/>
        </w:rPr>
        <w:t xml:space="preserve"> volonté politique. Cela nécessite de remettre l’accent sur des efforts de sensibilisation plus systématiques, continus et ancrés stratégiquement qui vont au-delà d’activités ponctuelles. Ces efforts pourraient également tirer parti de la dynamique générée par les récentes évolutions politiques relatives à l’accès et au partage des avantages.</w:t>
      </w:r>
    </w:p>
    <w:p w14:paraId="3BABCAB1" w14:textId="6F1BFB50" w:rsidR="00786736" w:rsidRPr="00F9452E" w:rsidRDefault="00786736" w:rsidP="00786736">
      <w:pPr>
        <w:pStyle w:val="CBDNormalNumber"/>
        <w:numPr>
          <w:ilvl w:val="0"/>
          <w:numId w:val="19"/>
        </w:numPr>
        <w:rPr>
          <w:b/>
          <w:bCs/>
          <w:lang w:val="fr-FR"/>
        </w:rPr>
      </w:pPr>
      <w:r w:rsidRPr="004A353C">
        <w:rPr>
          <w:rFonts w:eastAsia="Times New Roman"/>
          <w:szCs w:val="24"/>
          <w:lang w:val="fr-FR"/>
        </w:rPr>
        <w:t xml:space="preserve">Il est nécessaire de renforcer davantage la volonté politique en appui à </w:t>
      </w:r>
      <w:r w:rsidR="00814077">
        <w:rPr>
          <w:rFonts w:eastAsia="Times New Roman"/>
          <w:szCs w:val="24"/>
          <w:lang w:val="fr-FR"/>
        </w:rPr>
        <w:t>la mise en œuvre efficace</w:t>
      </w:r>
      <w:r w:rsidRPr="000B457F">
        <w:rPr>
          <w:rFonts w:eastAsia="Times New Roman"/>
          <w:szCs w:val="24"/>
          <w:lang w:val="fr-FR"/>
        </w:rPr>
        <w:t xml:space="preserve"> des dispositions du Protocole. Cela pourrait se faire, par exemple, en mettant en avant la </w:t>
      </w:r>
      <w:r w:rsidRPr="000B457F">
        <w:rPr>
          <w:rFonts w:eastAsia="Times New Roman"/>
          <w:szCs w:val="24"/>
          <w:lang w:val="fr-FR"/>
        </w:rPr>
        <w:lastRenderedPageBreak/>
        <w:t>contribution de l</w:t>
      </w:r>
      <w:r>
        <w:rPr>
          <w:rFonts w:eastAsia="Times New Roman"/>
          <w:szCs w:val="24"/>
          <w:lang w:val="fr-FR"/>
        </w:rPr>
        <w:t>’</w:t>
      </w:r>
      <w:r w:rsidRPr="000B457F">
        <w:rPr>
          <w:rFonts w:eastAsia="Times New Roman"/>
          <w:szCs w:val="24"/>
          <w:lang w:val="fr-FR"/>
        </w:rPr>
        <w:t>accès et du partage des avantages à la conservation et à l</w:t>
      </w:r>
      <w:r>
        <w:rPr>
          <w:rFonts w:eastAsia="Times New Roman"/>
          <w:szCs w:val="24"/>
          <w:lang w:val="fr-FR"/>
        </w:rPr>
        <w:t>’</w:t>
      </w:r>
      <w:r w:rsidRPr="000B457F">
        <w:rPr>
          <w:rFonts w:eastAsia="Times New Roman"/>
          <w:szCs w:val="24"/>
          <w:lang w:val="fr-FR"/>
        </w:rPr>
        <w:t>utilisation durable de la biodiversité</w:t>
      </w:r>
      <w:r w:rsidR="00C82D65">
        <w:rPr>
          <w:rFonts w:eastAsia="Times New Roman"/>
          <w:szCs w:val="24"/>
          <w:lang w:val="fr-FR"/>
        </w:rPr>
        <w:t>,</w:t>
      </w:r>
      <w:r w:rsidRPr="000B457F">
        <w:rPr>
          <w:rFonts w:eastAsia="Times New Roman"/>
          <w:szCs w:val="24"/>
          <w:lang w:val="fr-FR"/>
        </w:rPr>
        <w:t xml:space="preserve"> en intégrant l</w:t>
      </w:r>
      <w:r>
        <w:rPr>
          <w:rFonts w:eastAsia="Times New Roman"/>
          <w:szCs w:val="24"/>
          <w:lang w:val="fr-FR"/>
        </w:rPr>
        <w:t>’</w:t>
      </w:r>
      <w:r w:rsidRPr="000B457F">
        <w:rPr>
          <w:rFonts w:eastAsia="Times New Roman"/>
          <w:szCs w:val="24"/>
          <w:lang w:val="fr-FR"/>
        </w:rPr>
        <w:t>accès et le partage des avantages dans des objectifs politiques plus larges (liés, par exemple, à la bioéconomie, à la recherche, à l</w:t>
      </w:r>
      <w:r>
        <w:rPr>
          <w:rFonts w:eastAsia="Times New Roman"/>
          <w:szCs w:val="24"/>
          <w:lang w:val="fr-FR"/>
        </w:rPr>
        <w:t>’</w:t>
      </w:r>
      <w:r w:rsidRPr="000B457F">
        <w:rPr>
          <w:rFonts w:eastAsia="Times New Roman"/>
          <w:szCs w:val="24"/>
          <w:lang w:val="fr-FR"/>
        </w:rPr>
        <w:t xml:space="preserve">innovation et aux stratégies de développement) et en </w:t>
      </w:r>
      <w:r w:rsidR="00C82D65">
        <w:rPr>
          <w:rFonts w:eastAsia="Times New Roman"/>
          <w:szCs w:val="24"/>
          <w:lang w:val="fr-FR"/>
        </w:rPr>
        <w:t>démontrant l’utilité d</w:t>
      </w:r>
      <w:r w:rsidRPr="000B457F">
        <w:rPr>
          <w:rFonts w:eastAsia="Times New Roman"/>
          <w:szCs w:val="24"/>
          <w:lang w:val="fr-FR"/>
        </w:rPr>
        <w:t xml:space="preserve">es ressources génétiques et </w:t>
      </w:r>
      <w:r w:rsidR="00C82D65">
        <w:rPr>
          <w:rFonts w:eastAsia="Times New Roman"/>
          <w:szCs w:val="24"/>
          <w:lang w:val="fr-FR"/>
        </w:rPr>
        <w:t>d</w:t>
      </w:r>
      <w:r w:rsidRPr="000B457F">
        <w:rPr>
          <w:rFonts w:eastAsia="Times New Roman"/>
          <w:szCs w:val="24"/>
          <w:lang w:val="fr-FR"/>
        </w:rPr>
        <w:t xml:space="preserve">es </w:t>
      </w:r>
      <w:r w:rsidR="00785576">
        <w:rPr>
          <w:rFonts w:eastAsia="Times New Roman"/>
          <w:szCs w:val="24"/>
          <w:lang w:val="fr-FR"/>
        </w:rPr>
        <w:t>connaissances</w:t>
      </w:r>
      <w:r w:rsidR="00785576" w:rsidRPr="00E80A55">
        <w:rPr>
          <w:rFonts w:eastAsia="Times New Roman"/>
          <w:szCs w:val="24"/>
          <w:lang w:val="fr-FR"/>
        </w:rPr>
        <w:t xml:space="preserve"> traditionnel</w:t>
      </w:r>
      <w:r w:rsidR="00785576">
        <w:rPr>
          <w:rFonts w:eastAsia="Times New Roman"/>
          <w:szCs w:val="24"/>
          <w:lang w:val="fr-FR"/>
        </w:rPr>
        <w:t>le</w:t>
      </w:r>
      <w:r w:rsidR="00785576" w:rsidRPr="00E80A55">
        <w:rPr>
          <w:rFonts w:eastAsia="Times New Roman"/>
          <w:szCs w:val="24"/>
          <w:lang w:val="fr-FR"/>
        </w:rPr>
        <w:t>s associé</w:t>
      </w:r>
      <w:r w:rsidR="00785576">
        <w:rPr>
          <w:rFonts w:eastAsia="Times New Roman"/>
          <w:szCs w:val="24"/>
          <w:lang w:val="fr-FR"/>
        </w:rPr>
        <w:t>e</w:t>
      </w:r>
      <w:r w:rsidR="00785576" w:rsidRPr="00E80A55">
        <w:rPr>
          <w:rFonts w:eastAsia="Times New Roman"/>
          <w:szCs w:val="24"/>
          <w:lang w:val="fr-FR"/>
        </w:rPr>
        <w:t>s</w:t>
      </w:r>
      <w:r w:rsidRPr="000B457F">
        <w:rPr>
          <w:rFonts w:eastAsia="Times New Roman"/>
          <w:szCs w:val="24"/>
          <w:lang w:val="fr-FR"/>
        </w:rPr>
        <w:t xml:space="preserve">. Dans ce contexte, il est nécessaire de </w:t>
      </w:r>
      <w:r w:rsidR="001433F7">
        <w:rPr>
          <w:rFonts w:eastAsia="Times New Roman"/>
          <w:szCs w:val="24"/>
          <w:lang w:val="fr-FR"/>
        </w:rPr>
        <w:t>changer de langage</w:t>
      </w:r>
      <w:r w:rsidRPr="000B457F">
        <w:rPr>
          <w:rFonts w:eastAsia="Times New Roman"/>
          <w:szCs w:val="24"/>
          <w:lang w:val="fr-FR"/>
        </w:rPr>
        <w:t xml:space="preserve"> afin que le troisième objectif de la Convention ne soit pas perçu comme une contrainte réglementaire, mais plutôt comme un mécanisme stratégique visant à valoriser la biodiversité, à </w:t>
      </w:r>
      <w:r w:rsidR="00C82D65">
        <w:rPr>
          <w:rFonts w:eastAsia="Times New Roman"/>
          <w:szCs w:val="24"/>
          <w:lang w:val="fr-FR"/>
        </w:rPr>
        <w:t>appuyer</w:t>
      </w:r>
      <w:r w:rsidRPr="000B457F">
        <w:rPr>
          <w:rFonts w:eastAsia="Times New Roman"/>
          <w:szCs w:val="24"/>
          <w:lang w:val="fr-FR"/>
        </w:rPr>
        <w:t xml:space="preserve"> sa conservation et son utilisation durable, et à créer des opportunités de développement durable.</w:t>
      </w:r>
    </w:p>
    <w:p w14:paraId="152D9156" w14:textId="5AD31CDC" w:rsidR="00CC35D7" w:rsidRPr="00124D03" w:rsidRDefault="007F2A07">
      <w:pPr>
        <w:pStyle w:val="CBDNormalNumber"/>
        <w:numPr>
          <w:ilvl w:val="0"/>
          <w:numId w:val="19"/>
        </w:numPr>
        <w:ind w:left="540"/>
        <w:rPr>
          <w:lang w:val="fr-FR"/>
        </w:rPr>
      </w:pPr>
      <w:r>
        <w:rPr>
          <w:lang w:val="fr-FR"/>
        </w:rPr>
        <w:t xml:space="preserve">Ce changement de </w:t>
      </w:r>
      <w:r w:rsidR="001433F7">
        <w:rPr>
          <w:lang w:val="fr-FR"/>
        </w:rPr>
        <w:t>langage</w:t>
      </w:r>
      <w:r>
        <w:rPr>
          <w:lang w:val="fr-FR"/>
        </w:rPr>
        <w:t xml:space="preserve"> devrait œuvrer en faveur de processus </w:t>
      </w:r>
      <w:r w:rsidR="001433F7">
        <w:rPr>
          <w:lang w:val="fr-FR"/>
        </w:rPr>
        <w:t xml:space="preserve">efficaces </w:t>
      </w:r>
      <w:r>
        <w:rPr>
          <w:lang w:val="fr-FR"/>
        </w:rPr>
        <w:t>d’accès et de partage des avantages.</w:t>
      </w:r>
    </w:p>
    <w:p w14:paraId="102D40A6" w14:textId="5F3F1566" w:rsidR="00CC35D7" w:rsidRPr="00124D03" w:rsidRDefault="00EE30E7">
      <w:pPr>
        <w:pStyle w:val="CBDNormalNumber"/>
        <w:numPr>
          <w:ilvl w:val="0"/>
          <w:numId w:val="19"/>
        </w:numPr>
        <w:ind w:left="540"/>
        <w:rPr>
          <w:lang w:val="fr-FR"/>
        </w:rPr>
      </w:pPr>
      <w:r>
        <w:rPr>
          <w:lang w:val="fr-FR"/>
        </w:rPr>
        <w:t>Plus</w:t>
      </w:r>
      <w:r w:rsidR="00EA3F24">
        <w:rPr>
          <w:lang w:val="fr-FR"/>
        </w:rPr>
        <w:t xml:space="preserve"> les </w:t>
      </w:r>
      <w:r w:rsidR="001433F7">
        <w:rPr>
          <w:lang w:val="fr-FR"/>
        </w:rPr>
        <w:t>discours</w:t>
      </w:r>
      <w:r w:rsidR="00EA3F24">
        <w:rPr>
          <w:lang w:val="fr-FR"/>
        </w:rPr>
        <w:t xml:space="preserve"> et les pratiques changent, </w:t>
      </w:r>
      <w:r>
        <w:rPr>
          <w:lang w:val="fr-FR"/>
        </w:rPr>
        <w:t xml:space="preserve">plus </w:t>
      </w:r>
      <w:r w:rsidR="00EA3F24">
        <w:rPr>
          <w:lang w:val="fr-FR"/>
        </w:rPr>
        <w:t xml:space="preserve">la mise en œuvre peut </w:t>
      </w:r>
      <w:r>
        <w:rPr>
          <w:lang w:val="fr-FR"/>
        </w:rPr>
        <w:t>basculer</w:t>
      </w:r>
      <w:r w:rsidR="00EA3F24">
        <w:rPr>
          <w:lang w:val="fr-FR"/>
        </w:rPr>
        <w:t xml:space="preserve"> vers des approches qui soulignent et favorisent les partenariats, la création de valeur pour la biodiversité et la confiance entre les acteurs impliqués dans l’accès et le partage des avantages. Mettre en avant différents exemples de réussite et partager les meilleur</w:t>
      </w:r>
      <w:r w:rsidR="00132CD2">
        <w:rPr>
          <w:lang w:val="fr-FR"/>
        </w:rPr>
        <w:t>e</w:t>
      </w:r>
      <w:r w:rsidR="00EA3F24">
        <w:rPr>
          <w:lang w:val="fr-FR"/>
        </w:rPr>
        <w:t>s pratiques ancrées dans des expériences</w:t>
      </w:r>
      <w:r>
        <w:rPr>
          <w:lang w:val="fr-FR"/>
        </w:rPr>
        <w:t xml:space="preserve"> pratiques,</w:t>
      </w:r>
      <w:r w:rsidR="00EA3F24">
        <w:rPr>
          <w:lang w:val="fr-FR"/>
        </w:rPr>
        <w:t xml:space="preserve"> des preuves</w:t>
      </w:r>
      <w:r>
        <w:rPr>
          <w:lang w:val="fr-FR"/>
        </w:rPr>
        <w:t xml:space="preserve"> et des </w:t>
      </w:r>
      <w:r w:rsidR="00EA3F24">
        <w:rPr>
          <w:lang w:val="fr-FR"/>
        </w:rPr>
        <w:t xml:space="preserve">exemples réels peut aider à illustrer les avantages de ce changement de paradigme ainsi que les moyens </w:t>
      </w:r>
      <w:r>
        <w:rPr>
          <w:lang w:val="fr-FR"/>
        </w:rPr>
        <w:t>concrets</w:t>
      </w:r>
      <w:r w:rsidR="00EA3F24">
        <w:rPr>
          <w:lang w:val="fr-FR"/>
        </w:rPr>
        <w:t xml:space="preserve"> de le rendre opérationnel tout en préservant des attentes réalistes quant aux résultats de l’accès et du partage des avantages.</w:t>
      </w:r>
    </w:p>
    <w:p w14:paraId="3315E0D2" w14:textId="3B2E101B" w:rsidR="00CC35D7" w:rsidRPr="00124D03" w:rsidRDefault="003A0B58" w:rsidP="00CC35D7">
      <w:pPr>
        <w:keepNext/>
        <w:keepLines/>
        <w:tabs>
          <w:tab w:val="clear" w:pos="567"/>
          <w:tab w:val="clear" w:pos="1134"/>
          <w:tab w:val="clear" w:pos="1701"/>
          <w:tab w:val="clear" w:pos="2268"/>
        </w:tabs>
        <w:spacing w:before="120" w:after="120"/>
        <w:outlineLvl w:val="1"/>
        <w:rPr>
          <w:rFonts w:eastAsia="Times New Roman"/>
          <w:b/>
          <w:szCs w:val="24"/>
          <w:lang w:val="fr-FR"/>
        </w:rPr>
      </w:pPr>
      <w:r w:rsidRPr="00814077">
        <w:rPr>
          <w:rFonts w:eastAsia="Times New Roman"/>
          <w:b/>
          <w:szCs w:val="24"/>
          <w:lang w:val="fr-FR"/>
        </w:rPr>
        <w:t>Élé</w:t>
      </w:r>
      <w:r w:rsidR="00CC35D7" w:rsidRPr="00814077">
        <w:rPr>
          <w:rFonts w:eastAsia="Times New Roman"/>
          <w:b/>
          <w:szCs w:val="24"/>
          <w:lang w:val="fr-FR"/>
        </w:rPr>
        <w:t>ment b)</w:t>
      </w:r>
      <w:r w:rsidRPr="00814077">
        <w:rPr>
          <w:rFonts w:eastAsia="Times New Roman"/>
          <w:b/>
          <w:szCs w:val="24"/>
          <w:lang w:val="fr-FR"/>
        </w:rPr>
        <w:t> </w:t>
      </w:r>
      <w:r w:rsidR="001B7227" w:rsidRPr="00814077">
        <w:rPr>
          <w:rFonts w:eastAsia="Times New Roman"/>
          <w:b/>
          <w:szCs w:val="24"/>
          <w:lang w:val="fr-FR"/>
        </w:rPr>
        <w:t>:</w:t>
      </w:r>
      <w:r w:rsidR="00CC35D7" w:rsidRPr="00814077">
        <w:rPr>
          <w:rFonts w:eastAsia="Times New Roman"/>
          <w:b/>
          <w:szCs w:val="24"/>
          <w:lang w:val="fr-FR"/>
        </w:rPr>
        <w:t xml:space="preserve"> </w:t>
      </w:r>
      <w:r w:rsidR="009D377F" w:rsidRPr="00814077">
        <w:rPr>
          <w:rFonts w:eastAsia="Times New Roman"/>
          <w:b/>
          <w:szCs w:val="24"/>
          <w:lang w:val="fr-FR"/>
        </w:rPr>
        <w:t>É</w:t>
      </w:r>
      <w:r w:rsidRPr="00814077">
        <w:rPr>
          <w:rFonts w:eastAsia="Times New Roman"/>
          <w:b/>
          <w:szCs w:val="24"/>
          <w:lang w:val="fr-FR"/>
        </w:rPr>
        <w:t>valuation de l’efficacité</w:t>
      </w:r>
    </w:p>
    <w:p w14:paraId="695E9AD3" w14:textId="72EA26C0" w:rsidR="00CC35D7" w:rsidRPr="00124D03" w:rsidRDefault="003759EA">
      <w:pPr>
        <w:pStyle w:val="CBDNormalNumber"/>
        <w:numPr>
          <w:ilvl w:val="0"/>
          <w:numId w:val="19"/>
        </w:numPr>
        <w:ind w:left="540"/>
        <w:rPr>
          <w:lang w:val="fr-FR"/>
        </w:rPr>
      </w:pPr>
      <w:r>
        <w:rPr>
          <w:lang w:val="fr-FR"/>
        </w:rPr>
        <w:t>Les données des indicateurs relatifs à l’accès montrent que des progrès ont été réalisés dans l’élaboration de mesures et la création</w:t>
      </w:r>
      <w:r w:rsidR="001F3A6C">
        <w:rPr>
          <w:lang w:val="fr-FR"/>
        </w:rPr>
        <w:t xml:space="preserve"> d’une partie</w:t>
      </w:r>
      <w:r>
        <w:rPr>
          <w:lang w:val="fr-FR"/>
        </w:rPr>
        <w:t xml:space="preserve"> des conditions nécessaires à l’accès. </w:t>
      </w:r>
      <w:r w:rsidR="001F3A6C">
        <w:rPr>
          <w:lang w:val="fr-FR"/>
        </w:rPr>
        <w:t>L</w:t>
      </w:r>
      <w:r>
        <w:rPr>
          <w:lang w:val="fr-FR"/>
        </w:rPr>
        <w:t xml:space="preserve">es indicateurs ne </w:t>
      </w:r>
      <w:r w:rsidR="001F3A6C">
        <w:rPr>
          <w:lang w:val="fr-FR"/>
        </w:rPr>
        <w:t>permettent cependant</w:t>
      </w:r>
      <w:r>
        <w:rPr>
          <w:lang w:val="fr-FR"/>
        </w:rPr>
        <w:t xml:space="preserve"> pas </w:t>
      </w:r>
      <w:r w:rsidR="001F3A6C">
        <w:rPr>
          <w:lang w:val="fr-FR"/>
        </w:rPr>
        <w:t xml:space="preserve">de déterminer </w:t>
      </w:r>
      <w:r>
        <w:rPr>
          <w:lang w:val="fr-FR"/>
        </w:rPr>
        <w:t xml:space="preserve">si ces mesures sont pleinement opérationnelles. De plus, l’efficacité devrait être évaluée </w:t>
      </w:r>
      <w:r w:rsidR="001F3A6C">
        <w:rPr>
          <w:lang w:val="fr-FR"/>
        </w:rPr>
        <w:t>à partir</w:t>
      </w:r>
      <w:r>
        <w:rPr>
          <w:lang w:val="fr-FR"/>
        </w:rPr>
        <w:t xml:space="preserve"> de la chaîne de valeur </w:t>
      </w:r>
      <w:r w:rsidR="001F3A6C">
        <w:rPr>
          <w:lang w:val="fr-FR"/>
        </w:rPr>
        <w:t xml:space="preserve">complète </w:t>
      </w:r>
      <w:r>
        <w:rPr>
          <w:lang w:val="fr-FR"/>
        </w:rPr>
        <w:t xml:space="preserve">de l’accès et du partage des avantages, de la demande d’accès à la </w:t>
      </w:r>
      <w:r w:rsidR="001F3A6C">
        <w:rPr>
          <w:lang w:val="fr-FR"/>
        </w:rPr>
        <w:t>fourniture</w:t>
      </w:r>
      <w:r>
        <w:rPr>
          <w:lang w:val="fr-FR"/>
        </w:rPr>
        <w:t xml:space="preserve"> des avantages.</w:t>
      </w:r>
      <w:r w:rsidR="00CC35D7" w:rsidRPr="00124D03">
        <w:rPr>
          <w:lang w:val="fr-FR"/>
        </w:rPr>
        <w:t xml:space="preserve"> </w:t>
      </w:r>
    </w:p>
    <w:p w14:paraId="6D6675E1" w14:textId="068721C6" w:rsidR="00CC35D7" w:rsidRPr="00124D03" w:rsidRDefault="003759EA">
      <w:pPr>
        <w:pStyle w:val="CBDNormalNumber"/>
        <w:numPr>
          <w:ilvl w:val="0"/>
          <w:numId w:val="19"/>
        </w:numPr>
        <w:ind w:left="540"/>
        <w:rPr>
          <w:lang w:val="fr-FR"/>
        </w:rPr>
      </w:pPr>
      <w:r>
        <w:rPr>
          <w:lang w:val="fr-FR"/>
        </w:rPr>
        <w:t xml:space="preserve">Tel que souligné dans les </w:t>
      </w:r>
      <w:r w:rsidR="001C7A1E">
        <w:rPr>
          <w:lang w:val="fr-FR"/>
        </w:rPr>
        <w:t>conclusions et les messages essentiels</w:t>
      </w:r>
      <w:r>
        <w:rPr>
          <w:lang w:val="fr-FR"/>
        </w:rPr>
        <w:t xml:space="preserve"> pour l’élément a), les Parties </w:t>
      </w:r>
      <w:r w:rsidR="00814077">
        <w:rPr>
          <w:lang w:val="fr-FR"/>
        </w:rPr>
        <w:t>se trouvent</w:t>
      </w:r>
      <w:r>
        <w:rPr>
          <w:lang w:val="fr-FR"/>
        </w:rPr>
        <w:t xml:space="preserve"> à des stades différents de mise en œuvre et d’opérationnalisation des mesures portant sur les dispositions du Protocole relatives à l’accès, au partage des avantages, </w:t>
      </w:r>
      <w:r w:rsidR="00814077">
        <w:rPr>
          <w:lang w:val="fr-FR"/>
        </w:rPr>
        <w:t>au respect des obligations</w:t>
      </w:r>
      <w:r>
        <w:rPr>
          <w:lang w:val="fr-FR"/>
        </w:rPr>
        <w:t xml:space="preserve">, aux considérations spéciales et aux peuples autochtones et communautés locales. En outre, certaines Parties n’ont pas encore publié les informations nationales obligatoires sur le Centre d’échange sur l’accès et le partage des avantages, et ceci a des incidences sur la mise en œuvre </w:t>
      </w:r>
      <w:r w:rsidR="00814077">
        <w:rPr>
          <w:lang w:val="fr-FR"/>
        </w:rPr>
        <w:t>efficace</w:t>
      </w:r>
      <w:r>
        <w:rPr>
          <w:lang w:val="fr-FR"/>
        </w:rPr>
        <w:t xml:space="preserve"> du Protocole.</w:t>
      </w:r>
    </w:p>
    <w:p w14:paraId="0EC521CB" w14:textId="5E5AD21A" w:rsidR="00CC35D7" w:rsidRPr="00124D03" w:rsidRDefault="003759EA">
      <w:pPr>
        <w:pStyle w:val="CBDNormalNumber"/>
        <w:numPr>
          <w:ilvl w:val="0"/>
          <w:numId w:val="19"/>
        </w:numPr>
        <w:ind w:left="540"/>
        <w:rPr>
          <w:lang w:val="fr-FR"/>
        </w:rPr>
      </w:pPr>
      <w:r>
        <w:rPr>
          <w:lang w:val="fr-FR"/>
        </w:rPr>
        <w:t>Traduire les mesures d’accès en partage efficace des avantages nécessite</w:t>
      </w:r>
      <w:r w:rsidR="00C94B40">
        <w:rPr>
          <w:lang w:val="fr-FR"/>
        </w:rPr>
        <w:t xml:space="preserve"> la présence de</w:t>
      </w:r>
      <w:r>
        <w:rPr>
          <w:lang w:val="fr-FR"/>
        </w:rPr>
        <w:t xml:space="preserve"> plusieurs conditions </w:t>
      </w:r>
      <w:r w:rsidR="00C94B40">
        <w:rPr>
          <w:lang w:val="fr-FR"/>
        </w:rPr>
        <w:t>propices. Celle</w:t>
      </w:r>
      <w:r w:rsidR="00FD6CB1">
        <w:rPr>
          <w:lang w:val="fr-FR"/>
        </w:rPr>
        <w:t>s</w:t>
      </w:r>
      <w:r w:rsidR="00C94B40">
        <w:rPr>
          <w:lang w:val="fr-FR"/>
        </w:rPr>
        <w:t>-ci incluent des processus clairs et efficace</w:t>
      </w:r>
      <w:r w:rsidR="00110BA1">
        <w:rPr>
          <w:lang w:val="fr-FR"/>
        </w:rPr>
        <w:t>s</w:t>
      </w:r>
      <w:r w:rsidR="00C94B40">
        <w:rPr>
          <w:lang w:val="fr-FR"/>
        </w:rPr>
        <w:t xml:space="preserve"> d’accès et de partage des avantages, </w:t>
      </w:r>
      <w:r w:rsidR="00110BA1">
        <w:rPr>
          <w:lang w:val="fr-FR"/>
        </w:rPr>
        <w:t>davantage de</w:t>
      </w:r>
      <w:r w:rsidR="00C94B40">
        <w:rPr>
          <w:lang w:val="fr-FR"/>
        </w:rPr>
        <w:t xml:space="preserve"> cohérence et de coordination entre les autorités réglementaires concernées impliquées dans </w:t>
      </w:r>
      <w:r w:rsidR="00110BA1">
        <w:rPr>
          <w:lang w:val="fr-FR"/>
        </w:rPr>
        <w:t>d</w:t>
      </w:r>
      <w:r w:rsidR="00C94B40">
        <w:rPr>
          <w:lang w:val="fr-FR"/>
        </w:rPr>
        <w:t xml:space="preserve">es activités de recherche et d’innovation, ainsi qu’une sensibilité accrue des utilisateurs, une meilleure compréhension des exigences liées à l’accès et au partage des avantages et un attachement au respect des obligations. Cependant, même lorsque ces conditions sont présentes, réaliser des </w:t>
      </w:r>
      <w:r w:rsidR="00674ED5">
        <w:rPr>
          <w:lang w:val="fr-FR"/>
        </w:rPr>
        <w:t>avantages</w:t>
      </w:r>
      <w:r w:rsidR="00C94B40">
        <w:rPr>
          <w:lang w:val="fr-FR"/>
        </w:rPr>
        <w:t xml:space="preserve"> monétaires peut prendre un temps considérable. Ceci s’explique en ce que les obligations de partage des avantages se déclenchent souvent à différentes étapes de la chaîne de valeur et dépendent de la progression des activités de recherche, de développement et de commercialisation.</w:t>
      </w:r>
    </w:p>
    <w:p w14:paraId="3BAE0F56" w14:textId="4C25D9D8" w:rsidR="00CC35D7" w:rsidRPr="00124D03" w:rsidRDefault="00C94B40">
      <w:pPr>
        <w:pStyle w:val="CBDNormalNumber"/>
        <w:numPr>
          <w:ilvl w:val="0"/>
          <w:numId w:val="19"/>
        </w:numPr>
        <w:ind w:left="540"/>
        <w:rPr>
          <w:lang w:val="fr-FR"/>
        </w:rPr>
      </w:pPr>
      <w:r>
        <w:rPr>
          <w:lang w:val="fr-FR"/>
        </w:rPr>
        <w:t xml:space="preserve">En ce qui concerne le partage des avantages, les informations transmises montrent qu’environ un tiers des Parties </w:t>
      </w:r>
      <w:r w:rsidR="00110BA1">
        <w:rPr>
          <w:lang w:val="fr-FR"/>
        </w:rPr>
        <w:t>exigeant</w:t>
      </w:r>
      <w:r>
        <w:rPr>
          <w:lang w:val="fr-FR"/>
        </w:rPr>
        <w:t xml:space="preserve"> un consentement préalable donné en connaissance de cause ont rapporté avoir obtenu des avantages découlant de l’accès à des ressources génétiques ; cependant, des </w:t>
      </w:r>
      <w:r w:rsidR="00674ED5">
        <w:rPr>
          <w:lang w:val="fr-FR"/>
        </w:rPr>
        <w:t xml:space="preserve">avantages monétaires sont perçus par un nombre relativement faible de Parties. Les avantages non monétaires issus de ressources génétiques sont plus communs et ont été rapportés par deux tiers des Parties </w:t>
      </w:r>
      <w:r w:rsidR="00110BA1">
        <w:rPr>
          <w:lang w:val="fr-FR"/>
        </w:rPr>
        <w:t>exigeant</w:t>
      </w:r>
      <w:r w:rsidR="00674ED5">
        <w:rPr>
          <w:lang w:val="fr-FR"/>
        </w:rPr>
        <w:t xml:space="preserve"> un consentement préalable donné en connaissance de cause. Leur qualité, leur valeur et leur </w:t>
      </w:r>
      <w:r w:rsidR="00110BA1">
        <w:rPr>
          <w:lang w:val="fr-FR"/>
        </w:rPr>
        <w:t>fourniture</w:t>
      </w:r>
      <w:r w:rsidR="00674ED5">
        <w:rPr>
          <w:lang w:val="fr-FR"/>
        </w:rPr>
        <w:t xml:space="preserve"> devrai</w:t>
      </w:r>
      <w:r w:rsidR="00132CD2">
        <w:rPr>
          <w:lang w:val="fr-FR"/>
        </w:rPr>
        <w:t>en</w:t>
      </w:r>
      <w:r w:rsidR="00674ED5">
        <w:rPr>
          <w:lang w:val="fr-FR"/>
        </w:rPr>
        <w:t>t être documentées et faire l’objet d’un suivi.</w:t>
      </w:r>
      <w:r w:rsidR="00CC35D7" w:rsidRPr="00124D03">
        <w:rPr>
          <w:lang w:val="fr-FR"/>
        </w:rPr>
        <w:t xml:space="preserve"> </w:t>
      </w:r>
    </w:p>
    <w:p w14:paraId="1F8F1EA0" w14:textId="68B658E9" w:rsidR="00CC35D7" w:rsidRPr="00124D03" w:rsidRDefault="005E6155">
      <w:pPr>
        <w:pStyle w:val="CBDNormalNumber"/>
        <w:numPr>
          <w:ilvl w:val="0"/>
          <w:numId w:val="19"/>
        </w:numPr>
        <w:ind w:left="540"/>
        <w:rPr>
          <w:rFonts w:eastAsia="Times New Roman"/>
          <w:szCs w:val="24"/>
          <w:lang w:val="fr-FR"/>
        </w:rPr>
      </w:pPr>
      <w:r>
        <w:rPr>
          <w:lang w:val="fr-FR"/>
        </w:rPr>
        <w:t>Mesurer les avantages reçus est un défi pour nombre de Parties. Ceci est dû à des informations ventilées insuffisantes sur les avantages monétaires perçus grâce à l’utilisation de ressources génétiques et</w:t>
      </w:r>
      <w:r w:rsidR="00110BA1">
        <w:rPr>
          <w:lang w:val="fr-FR"/>
        </w:rPr>
        <w:t xml:space="preserve"> ceux perçus</w:t>
      </w:r>
      <w:r>
        <w:rPr>
          <w:lang w:val="fr-FR"/>
        </w:rPr>
        <w:t xml:space="preserve"> grâce à l’utilisation des connaissances traditionnelles associées. Cependant, </w:t>
      </w:r>
      <w:r>
        <w:rPr>
          <w:lang w:val="fr-FR"/>
        </w:rPr>
        <w:lastRenderedPageBreak/>
        <w:t>les informations disponibles indiquent que les avantages générés par l’accès à des connaissances traditionnelles représente</w:t>
      </w:r>
      <w:r w:rsidR="00132CD2">
        <w:rPr>
          <w:lang w:val="fr-FR"/>
        </w:rPr>
        <w:t>nt</w:t>
      </w:r>
      <w:r>
        <w:rPr>
          <w:lang w:val="fr-FR"/>
        </w:rPr>
        <w:t xml:space="preserve"> une proportion comparativement faible des avantages totaux (monétaires et non monétaires), à la fois en termes de montants rapportés et de Parties en ayant perçu.</w:t>
      </w:r>
    </w:p>
    <w:p w14:paraId="5096A56F" w14:textId="2DB34BBA" w:rsidR="00CC35D7" w:rsidRPr="00124D03" w:rsidRDefault="005E6155">
      <w:pPr>
        <w:pStyle w:val="CBDNormalNumber"/>
        <w:numPr>
          <w:ilvl w:val="0"/>
          <w:numId w:val="19"/>
        </w:numPr>
        <w:ind w:left="540"/>
        <w:rPr>
          <w:lang w:val="fr-FR"/>
        </w:rPr>
      </w:pPr>
      <w:r>
        <w:rPr>
          <w:lang w:val="fr-FR"/>
        </w:rPr>
        <w:t xml:space="preserve">Des </w:t>
      </w:r>
      <w:r w:rsidR="00CC35D7" w:rsidRPr="00124D03">
        <w:rPr>
          <w:lang w:val="fr-FR"/>
        </w:rPr>
        <w:t xml:space="preserve">Parties </w:t>
      </w:r>
      <w:r>
        <w:rPr>
          <w:lang w:val="fr-FR"/>
        </w:rPr>
        <w:t xml:space="preserve">ont indiqué que le Protocole de Nagoya a entraîné une prise de conscience </w:t>
      </w:r>
      <w:r w:rsidR="00110BA1">
        <w:rPr>
          <w:lang w:val="fr-FR"/>
        </w:rPr>
        <w:t>sur</w:t>
      </w:r>
      <w:r>
        <w:rPr>
          <w:lang w:val="fr-FR"/>
        </w:rPr>
        <w:t xml:space="preserve"> la valeur des ressources génétiques et des connaissances traditionnelles associées</w:t>
      </w:r>
      <w:r w:rsidR="00FC5A64">
        <w:rPr>
          <w:lang w:val="fr-FR"/>
        </w:rPr>
        <w:t>, ainsi que de la gestion durable de la biodiversité pertinente pour les chaînes de valeur de l’accès et du partage des avantages. Il a également favorisé l’emploi local, la participation pleine et entière des peuples autochtones et communautés locales dans la gouvernance de la biodiversité et des capacités de recherche nationales accrues, y compris par le biais de transferts de technologies.</w:t>
      </w:r>
    </w:p>
    <w:p w14:paraId="3E556DD7" w14:textId="758D3CBC" w:rsidR="00CC35D7" w:rsidRPr="00124D03" w:rsidRDefault="00A604FF">
      <w:pPr>
        <w:pStyle w:val="CBDNormalNumber"/>
        <w:numPr>
          <w:ilvl w:val="0"/>
          <w:numId w:val="19"/>
        </w:numPr>
        <w:ind w:left="540"/>
        <w:rPr>
          <w:lang w:val="fr-FR"/>
        </w:rPr>
      </w:pPr>
      <w:r>
        <w:rPr>
          <w:lang w:val="fr-FR"/>
        </w:rPr>
        <w:t xml:space="preserve">Tandis que les incidences de l’accès et du partage des avantages ainsi que du Protocole de Nagoya dépendent en partie du stade de mise en œuvre atteint par les Parties, les avantages monétaires et non monétaires rapportés illustrent le fait que l’accès et le partage des avantages recèlent un potentiel considérable lorsqu’ils sont pleinement opérationnels et appuyés par </w:t>
      </w:r>
      <w:r w:rsidR="00CF1AA8">
        <w:rPr>
          <w:lang w:val="fr-FR"/>
        </w:rPr>
        <w:t xml:space="preserve">une </w:t>
      </w:r>
      <w:r>
        <w:rPr>
          <w:lang w:val="fr-FR"/>
        </w:rPr>
        <w:t>expérience acquise lors de la mise en œuvre. Au fur et à mesure que les Parties avancent dans la mise en œuvre, le partage des avantages se généraliser</w:t>
      </w:r>
      <w:r w:rsidR="00CF1AA8">
        <w:rPr>
          <w:lang w:val="fr-FR"/>
        </w:rPr>
        <w:t>a certainement</w:t>
      </w:r>
      <w:r>
        <w:rPr>
          <w:lang w:val="fr-FR"/>
        </w:rPr>
        <w:t xml:space="preserve"> et contribuer</w:t>
      </w:r>
      <w:r w:rsidR="00CF1AA8">
        <w:rPr>
          <w:lang w:val="fr-FR"/>
        </w:rPr>
        <w:t>a</w:t>
      </w:r>
      <w:r>
        <w:rPr>
          <w:lang w:val="fr-FR"/>
        </w:rPr>
        <w:t xml:space="preserve"> davantage à la conservation et à l’utilisation durable de la diversité biologique.</w:t>
      </w:r>
    </w:p>
    <w:p w14:paraId="6E6394C3" w14:textId="7B5F24A1" w:rsidR="00CC35D7" w:rsidRPr="00124D03" w:rsidRDefault="00193D6C">
      <w:pPr>
        <w:pStyle w:val="CBDNormalNumber"/>
        <w:numPr>
          <w:ilvl w:val="0"/>
          <w:numId w:val="19"/>
        </w:numPr>
        <w:ind w:left="540"/>
        <w:rPr>
          <w:lang w:val="fr-FR"/>
        </w:rPr>
      </w:pPr>
      <w:r>
        <w:rPr>
          <w:lang w:val="fr-FR"/>
        </w:rPr>
        <w:t xml:space="preserve">La reconnaissance des principes d’accès et de partage des avantages requiert des changements fondamentaux en termes d’état d’esprit et de pratiques, </w:t>
      </w:r>
      <w:r w:rsidR="00CF1AA8">
        <w:rPr>
          <w:lang w:val="fr-FR"/>
        </w:rPr>
        <w:t>notamment</w:t>
      </w:r>
      <w:r>
        <w:rPr>
          <w:lang w:val="fr-FR"/>
        </w:rPr>
        <w:t xml:space="preserve"> des informations claires sur les mesures d’accès, des processus d’accès et de partage des avantages efficaces et </w:t>
      </w:r>
      <w:r w:rsidR="00CF1AA8">
        <w:rPr>
          <w:lang w:val="fr-FR"/>
        </w:rPr>
        <w:t>l</w:t>
      </w:r>
      <w:r>
        <w:rPr>
          <w:lang w:val="fr-FR"/>
        </w:rPr>
        <w:t xml:space="preserve">es meilleures pratiques </w:t>
      </w:r>
      <w:r w:rsidR="00CF1AA8">
        <w:rPr>
          <w:lang w:val="fr-FR"/>
        </w:rPr>
        <w:t>puisant dans les</w:t>
      </w:r>
      <w:r>
        <w:rPr>
          <w:lang w:val="fr-FR"/>
        </w:rPr>
        <w:t xml:space="preserve"> leçons tirées par les fournisseurs aussi bien que les utilisateurs. Ceci peut être favorisé par des initiatives de création et de renforcement des capacités.</w:t>
      </w:r>
      <w:r w:rsidR="00CC35D7" w:rsidRPr="00124D03">
        <w:rPr>
          <w:lang w:val="fr-FR"/>
        </w:rPr>
        <w:t xml:space="preserve"> </w:t>
      </w:r>
    </w:p>
    <w:p w14:paraId="7D4EFDDD" w14:textId="1639AC8B" w:rsidR="00CC35D7" w:rsidRPr="00124D03" w:rsidRDefault="00193D6C">
      <w:pPr>
        <w:pStyle w:val="CBDNormalNumber"/>
        <w:numPr>
          <w:ilvl w:val="0"/>
          <w:numId w:val="19"/>
        </w:numPr>
        <w:ind w:left="540"/>
        <w:rPr>
          <w:lang w:val="fr-FR"/>
        </w:rPr>
      </w:pPr>
      <w:r>
        <w:rPr>
          <w:lang w:val="fr-FR"/>
        </w:rPr>
        <w:t xml:space="preserve">Ces changements peuvent uniquement survenir </w:t>
      </w:r>
      <w:r w:rsidR="00CD1B46">
        <w:rPr>
          <w:lang w:val="fr-FR"/>
        </w:rPr>
        <w:t>progressivement</w:t>
      </w:r>
      <w:r>
        <w:rPr>
          <w:lang w:val="fr-FR"/>
        </w:rPr>
        <w:t xml:space="preserve"> et s’ils s’accompagnent des conditions </w:t>
      </w:r>
      <w:r w:rsidR="00351A9E">
        <w:rPr>
          <w:lang w:val="fr-FR"/>
        </w:rPr>
        <w:t>propices nécessaires et d’un appui structurel sur le long terme, y compris un engagement et une mise en œuvre politiques continus, des incitations appropriées et une intégration de l’accès et du partage des av</w:t>
      </w:r>
      <w:r w:rsidR="004F24A6">
        <w:rPr>
          <w:lang w:val="fr-FR"/>
        </w:rPr>
        <w:t>a</w:t>
      </w:r>
      <w:r w:rsidR="00351A9E">
        <w:rPr>
          <w:lang w:val="fr-FR"/>
        </w:rPr>
        <w:t>ntages dans les objectifs politiques plus généraux.</w:t>
      </w:r>
    </w:p>
    <w:p w14:paraId="48EBA620" w14:textId="37B87CBB" w:rsidR="00CC35D7" w:rsidRPr="00124D03" w:rsidRDefault="00A32DF6" w:rsidP="00CC35D7">
      <w:pPr>
        <w:keepNext/>
        <w:keepLines/>
        <w:tabs>
          <w:tab w:val="clear" w:pos="567"/>
          <w:tab w:val="clear" w:pos="1134"/>
          <w:tab w:val="clear" w:pos="1701"/>
          <w:tab w:val="clear" w:pos="2268"/>
        </w:tabs>
        <w:spacing w:before="120" w:after="120"/>
        <w:outlineLvl w:val="1"/>
        <w:rPr>
          <w:rFonts w:eastAsia="Times New Roman"/>
          <w:b/>
          <w:szCs w:val="24"/>
          <w:lang w:val="fr-FR"/>
        </w:rPr>
      </w:pPr>
      <w:r>
        <w:rPr>
          <w:rFonts w:eastAsia="Times New Roman"/>
          <w:b/>
          <w:szCs w:val="24"/>
          <w:lang w:val="fr-FR"/>
        </w:rPr>
        <w:t>Élé</w:t>
      </w:r>
      <w:r w:rsidR="00CC35D7" w:rsidRPr="00124D03">
        <w:rPr>
          <w:rFonts w:eastAsia="Times New Roman"/>
          <w:b/>
          <w:szCs w:val="24"/>
          <w:lang w:val="fr-FR"/>
        </w:rPr>
        <w:t>ment c)</w:t>
      </w:r>
      <w:r>
        <w:rPr>
          <w:rFonts w:eastAsia="Times New Roman"/>
          <w:b/>
          <w:szCs w:val="24"/>
          <w:lang w:val="fr-FR"/>
        </w:rPr>
        <w:t> </w:t>
      </w:r>
      <w:r w:rsidR="002C5F8D" w:rsidRPr="00124D03">
        <w:rPr>
          <w:rFonts w:eastAsia="Times New Roman"/>
          <w:b/>
          <w:szCs w:val="24"/>
          <w:lang w:val="fr-FR"/>
        </w:rPr>
        <w:t>:</w:t>
      </w:r>
      <w:r w:rsidR="00CC35D7" w:rsidRPr="00124D03">
        <w:rPr>
          <w:rFonts w:eastAsia="Times New Roman"/>
          <w:b/>
          <w:szCs w:val="24"/>
          <w:lang w:val="fr-FR"/>
        </w:rPr>
        <w:t xml:space="preserve"> </w:t>
      </w:r>
      <w:r w:rsidR="004F24A6">
        <w:rPr>
          <w:rFonts w:eastAsia="Times New Roman"/>
          <w:b/>
          <w:szCs w:val="24"/>
          <w:lang w:val="fr-FR"/>
        </w:rPr>
        <w:t>É</w:t>
      </w:r>
      <w:r>
        <w:rPr>
          <w:rFonts w:eastAsia="Times New Roman"/>
          <w:b/>
          <w:szCs w:val="24"/>
          <w:lang w:val="fr-FR"/>
        </w:rPr>
        <w:t>valuation de l’appui disponible pour la mise en œuvre</w:t>
      </w:r>
    </w:p>
    <w:p w14:paraId="1350EAB3" w14:textId="7FB5ECFC" w:rsidR="00CC35D7" w:rsidRPr="00124D03" w:rsidRDefault="001666A2">
      <w:pPr>
        <w:pStyle w:val="CBDNormalNumber"/>
        <w:numPr>
          <w:ilvl w:val="0"/>
          <w:numId w:val="19"/>
        </w:numPr>
        <w:ind w:left="540"/>
        <w:rPr>
          <w:lang w:val="fr-FR"/>
        </w:rPr>
      </w:pPr>
      <w:r w:rsidRPr="0005146C">
        <w:rPr>
          <w:lang w:val="fr-FR"/>
        </w:rPr>
        <w:t>Si les indicateurs mesurant l’appui à la mise en œuvre montrent que d’importants progrès ont</w:t>
      </w:r>
      <w:r>
        <w:rPr>
          <w:lang w:val="fr-FR"/>
        </w:rPr>
        <w:t xml:space="preserve"> été accomplis, nombre de Parties continuent néanmoins de faire face à des lacunes opérationnelles et de capacités techniques, en particulier </w:t>
      </w:r>
      <w:r w:rsidR="00080EFB">
        <w:rPr>
          <w:lang w:val="fr-FR"/>
        </w:rPr>
        <w:t xml:space="preserve">dans les négociations de </w:t>
      </w:r>
      <w:r w:rsidR="009A3DE3">
        <w:rPr>
          <w:lang w:val="fr-FR"/>
        </w:rPr>
        <w:t>conditions</w:t>
      </w:r>
      <w:r w:rsidR="00080EFB">
        <w:rPr>
          <w:lang w:val="fr-FR"/>
        </w:rPr>
        <w:t xml:space="preserve"> convenues d’un commun accord, la surveillance, </w:t>
      </w:r>
      <w:r w:rsidR="00E611C0">
        <w:rPr>
          <w:lang w:val="fr-FR"/>
        </w:rPr>
        <w:t>l’application</w:t>
      </w:r>
      <w:r w:rsidR="00080EFB">
        <w:rPr>
          <w:lang w:val="fr-FR"/>
        </w:rPr>
        <w:t xml:space="preserve"> et le suivi des avantages, qui limitent l’efficacité de la mise en œuvre de l’accès et du partage des avantages.</w:t>
      </w:r>
    </w:p>
    <w:p w14:paraId="22489D09" w14:textId="2336B987" w:rsidR="00CC35D7" w:rsidRPr="00124D03" w:rsidRDefault="00080EFB">
      <w:pPr>
        <w:pStyle w:val="CBDNormalNumber"/>
        <w:numPr>
          <w:ilvl w:val="0"/>
          <w:numId w:val="19"/>
        </w:numPr>
        <w:ind w:left="540"/>
        <w:rPr>
          <w:lang w:val="fr-FR"/>
        </w:rPr>
      </w:pPr>
      <w:r>
        <w:rPr>
          <w:lang w:val="fr-FR"/>
        </w:rPr>
        <w:t>Les contraintes en matière de ressources humaines et de capacités institutionnelles sont systématiquement mentionnées comme</w:t>
      </w:r>
      <w:r w:rsidR="001E21DF">
        <w:rPr>
          <w:lang w:val="fr-FR"/>
        </w:rPr>
        <w:t xml:space="preserve"> étant</w:t>
      </w:r>
      <w:r>
        <w:rPr>
          <w:lang w:val="fr-FR"/>
        </w:rPr>
        <w:t xml:space="preserve"> </w:t>
      </w:r>
      <w:r w:rsidR="001E21DF">
        <w:rPr>
          <w:lang w:val="fr-FR"/>
        </w:rPr>
        <w:t>des</w:t>
      </w:r>
      <w:r>
        <w:rPr>
          <w:lang w:val="fr-FR"/>
        </w:rPr>
        <w:t xml:space="preserve"> obstacle</w:t>
      </w:r>
      <w:r w:rsidR="001E21DF">
        <w:rPr>
          <w:lang w:val="fr-FR"/>
        </w:rPr>
        <w:t>s</w:t>
      </w:r>
      <w:r>
        <w:rPr>
          <w:lang w:val="fr-FR"/>
        </w:rPr>
        <w:t xml:space="preserve"> majeur</w:t>
      </w:r>
      <w:r w:rsidR="001E21DF">
        <w:rPr>
          <w:lang w:val="fr-FR"/>
        </w:rPr>
        <w:t>s</w:t>
      </w:r>
      <w:r>
        <w:rPr>
          <w:lang w:val="fr-FR"/>
        </w:rPr>
        <w:t xml:space="preserve"> à la mise en œuvre. Des formations trop ponctuelles, une rotation importante des effectifs et des financements pour des projets à court terme affaiblissent l’apprentissage institutionnel et la continuité des systèmes d’accès et de partage des avantages.</w:t>
      </w:r>
    </w:p>
    <w:p w14:paraId="56BD2B19" w14:textId="2E022816" w:rsidR="00CC35D7" w:rsidRPr="00124D03" w:rsidRDefault="00A81EF9">
      <w:pPr>
        <w:pStyle w:val="CBDNormalNumber"/>
        <w:numPr>
          <w:ilvl w:val="0"/>
          <w:numId w:val="19"/>
        </w:numPr>
        <w:ind w:left="540"/>
        <w:rPr>
          <w:lang w:val="fr-FR"/>
        </w:rPr>
      </w:pPr>
      <w:r>
        <w:rPr>
          <w:lang w:val="fr-FR"/>
        </w:rPr>
        <w:t xml:space="preserve">Sans allocation adéquate de ressources humaines et </w:t>
      </w:r>
      <w:r w:rsidR="001E21DF">
        <w:rPr>
          <w:lang w:val="fr-FR"/>
        </w:rPr>
        <w:t>sans les</w:t>
      </w:r>
      <w:r>
        <w:rPr>
          <w:lang w:val="fr-FR"/>
        </w:rPr>
        <w:t xml:space="preserve"> capacités institutionnelles nécessaires, la participation pleine et effective </w:t>
      </w:r>
      <w:r w:rsidR="00132CD2">
        <w:rPr>
          <w:lang w:val="fr-FR"/>
        </w:rPr>
        <w:t>des</w:t>
      </w:r>
      <w:r>
        <w:rPr>
          <w:lang w:val="fr-FR"/>
        </w:rPr>
        <w:t xml:space="preserve"> peuples autochtones et communautés locales, la sensibilisation et l’implication des utilisateurs de ressources génétiques et des parties prenantes clés,</w:t>
      </w:r>
      <w:r w:rsidR="00132CD2">
        <w:rPr>
          <w:lang w:val="fr-FR"/>
        </w:rPr>
        <w:t xml:space="preserve"> ainsi que</w:t>
      </w:r>
      <w:r>
        <w:rPr>
          <w:lang w:val="fr-FR"/>
        </w:rPr>
        <w:t xml:space="preserve"> le partage des avantages ne pe</w:t>
      </w:r>
      <w:r w:rsidR="00132CD2">
        <w:rPr>
          <w:lang w:val="fr-FR"/>
        </w:rPr>
        <w:t>uvent</w:t>
      </w:r>
      <w:r>
        <w:rPr>
          <w:lang w:val="fr-FR"/>
        </w:rPr>
        <w:t xml:space="preserve"> pas être réalisés en pratique.</w:t>
      </w:r>
    </w:p>
    <w:p w14:paraId="322B4D34" w14:textId="23C89D0D" w:rsidR="00CC35D7" w:rsidRPr="00124D03" w:rsidRDefault="00A81EF9">
      <w:pPr>
        <w:pStyle w:val="CBDNormalNumber"/>
        <w:numPr>
          <w:ilvl w:val="0"/>
          <w:numId w:val="19"/>
        </w:numPr>
        <w:ind w:left="540"/>
        <w:rPr>
          <w:lang w:val="fr-FR"/>
        </w:rPr>
      </w:pPr>
      <w:r>
        <w:rPr>
          <w:lang w:val="fr-FR"/>
        </w:rPr>
        <w:t>Des priorités concurrentes dans la planification nationale et l’allocation de</w:t>
      </w:r>
      <w:r w:rsidR="001E21DF">
        <w:rPr>
          <w:lang w:val="fr-FR"/>
        </w:rPr>
        <w:t>s</w:t>
      </w:r>
      <w:r>
        <w:rPr>
          <w:lang w:val="fr-FR"/>
        </w:rPr>
        <w:t xml:space="preserve"> ressources, combinées à des procédures de financement complexes et la dépendance à un faible nombre de canaux de financement externes limitent l’efficacité de la mise en œuvre du Protocole pour de nombreuses Parties.</w:t>
      </w:r>
    </w:p>
    <w:p w14:paraId="423D85AE" w14:textId="5B158E07" w:rsidR="00CC35D7" w:rsidRPr="00124D03" w:rsidRDefault="00A81EF9">
      <w:pPr>
        <w:pStyle w:val="CBDNormalNumber"/>
        <w:numPr>
          <w:ilvl w:val="0"/>
          <w:numId w:val="19"/>
        </w:numPr>
        <w:ind w:left="540"/>
        <w:rPr>
          <w:lang w:val="fr-FR"/>
        </w:rPr>
      </w:pPr>
      <w:r>
        <w:rPr>
          <w:lang w:val="fr-FR"/>
        </w:rPr>
        <w:t>La planification d</w:t>
      </w:r>
      <w:r w:rsidR="00D00352">
        <w:rPr>
          <w:lang w:val="fr-FR"/>
        </w:rPr>
        <w:t>u</w:t>
      </w:r>
      <w:r>
        <w:rPr>
          <w:lang w:val="fr-FR"/>
        </w:rPr>
        <w:t xml:space="preserve"> </w:t>
      </w:r>
      <w:r w:rsidR="00D00352">
        <w:rPr>
          <w:lang w:val="fr-FR"/>
        </w:rPr>
        <w:t>renforcement</w:t>
      </w:r>
      <w:r>
        <w:rPr>
          <w:lang w:val="fr-FR"/>
        </w:rPr>
        <w:t xml:space="preserve"> de</w:t>
      </w:r>
      <w:r w:rsidR="00D00352">
        <w:rPr>
          <w:lang w:val="fr-FR"/>
        </w:rPr>
        <w:t>s</w:t>
      </w:r>
      <w:r>
        <w:rPr>
          <w:lang w:val="fr-FR"/>
        </w:rPr>
        <w:t xml:space="preserve"> capacités à long terme, des ressources financières adaptées, prévisibles et flexibles, ainsi que d’importantes capacités institutionnelles sont essentielles pour garantir que toutes les Parties remplissent leurs obligations au titre du Protocole et créent les </w:t>
      </w:r>
      <w:r>
        <w:rPr>
          <w:lang w:val="fr-FR"/>
        </w:rPr>
        <w:lastRenderedPageBreak/>
        <w:t xml:space="preserve">conditions propices nécessaires </w:t>
      </w:r>
      <w:r w:rsidR="00D00352">
        <w:rPr>
          <w:lang w:val="fr-FR"/>
        </w:rPr>
        <w:t>à</w:t>
      </w:r>
      <w:r>
        <w:rPr>
          <w:lang w:val="fr-FR"/>
        </w:rPr>
        <w:t xml:space="preserve"> </w:t>
      </w:r>
      <w:r w:rsidR="00D00352">
        <w:rPr>
          <w:lang w:val="fr-FR"/>
        </w:rPr>
        <w:t>l’</w:t>
      </w:r>
      <w:r>
        <w:rPr>
          <w:lang w:val="fr-FR"/>
        </w:rPr>
        <w:t>augmentation des avantages partagés découlant de l’utilisation des ressources génétiques et des connaissances traditionnelles associées.</w:t>
      </w:r>
    </w:p>
    <w:p w14:paraId="4D3E2A1E" w14:textId="2841D18A" w:rsidR="00CC35D7" w:rsidRPr="00124D03" w:rsidRDefault="00596E15">
      <w:pPr>
        <w:pStyle w:val="CBDNormalNumber"/>
        <w:numPr>
          <w:ilvl w:val="0"/>
          <w:numId w:val="19"/>
        </w:numPr>
        <w:ind w:left="540"/>
        <w:rPr>
          <w:lang w:val="fr-FR"/>
        </w:rPr>
      </w:pPr>
      <w:r>
        <w:rPr>
          <w:lang w:val="fr-FR"/>
        </w:rPr>
        <w:t>Le Plan d’action pour la création et le renforcement des capacités au titre du Protocole de Nagoya</w:t>
      </w:r>
      <w:r w:rsidR="00FD6CB1">
        <w:rPr>
          <w:lang w:val="fr-FR"/>
        </w:rPr>
        <w:t>,</w:t>
      </w:r>
      <w:r>
        <w:rPr>
          <w:lang w:val="fr-FR"/>
        </w:rPr>
        <w:t xml:space="preserve"> adopté dans la décision</w:t>
      </w:r>
      <w:r w:rsidR="00FD6CB1">
        <w:rPr>
          <w:lang w:val="fr-FR"/>
        </w:rPr>
        <w:t> </w:t>
      </w:r>
      <w:r w:rsidR="00CC35D7" w:rsidRPr="00124D03">
        <w:rPr>
          <w:lang w:val="fr-FR"/>
        </w:rPr>
        <w:t xml:space="preserve">NP-5/3, </w:t>
      </w:r>
      <w:r>
        <w:rPr>
          <w:lang w:val="fr-FR"/>
        </w:rPr>
        <w:t xml:space="preserve">fournit des orientations pour aborder ces besoins persistants de manière stratégique et progressive et recense les résultats pertinents </w:t>
      </w:r>
      <w:r w:rsidR="00D00352">
        <w:rPr>
          <w:lang w:val="fr-FR"/>
        </w:rPr>
        <w:t>ainsi que</w:t>
      </w:r>
      <w:r>
        <w:rPr>
          <w:lang w:val="fr-FR"/>
        </w:rPr>
        <w:t xml:space="preserve"> des activités indicatives de création et de renforcement des capacités à l’appui de la mise en œuvre du Protocole</w:t>
      </w:r>
      <w:r w:rsidR="00D00352">
        <w:rPr>
          <w:lang w:val="fr-FR"/>
        </w:rPr>
        <w:t>,</w:t>
      </w:r>
      <w:r>
        <w:rPr>
          <w:lang w:val="fr-FR"/>
        </w:rPr>
        <w:t xml:space="preserve"> qui peuvent être adaptés aux </w:t>
      </w:r>
      <w:r w:rsidR="00D00352">
        <w:rPr>
          <w:lang w:val="fr-FR"/>
        </w:rPr>
        <w:t xml:space="preserve">différents </w:t>
      </w:r>
      <w:r>
        <w:rPr>
          <w:lang w:val="fr-FR"/>
        </w:rPr>
        <w:t>besoins, priorités et circonstances. Le Plan d’action pourrait servir d’outil de planification nationale</w:t>
      </w:r>
      <w:r w:rsidR="00D00352">
        <w:rPr>
          <w:lang w:val="fr-FR"/>
        </w:rPr>
        <w:t>,</w:t>
      </w:r>
      <w:r>
        <w:rPr>
          <w:lang w:val="fr-FR"/>
        </w:rPr>
        <w:t xml:space="preserve"> avec des calendriers et des budgets ciblés. Les Parties, les peuples autochtones et communautés locales, les parties prenantes et les organisations concernées pourraient se servir du Plan d’action pour faciliter la mise en œuvre du Protocole.</w:t>
      </w:r>
    </w:p>
    <w:p w14:paraId="64E2ACCB" w14:textId="67101DAC" w:rsidR="00CC35D7" w:rsidRPr="00124D03" w:rsidRDefault="00596E15">
      <w:pPr>
        <w:pStyle w:val="CBDNormalNumber"/>
        <w:numPr>
          <w:ilvl w:val="0"/>
          <w:numId w:val="19"/>
        </w:numPr>
        <w:ind w:left="540"/>
        <w:rPr>
          <w:lang w:val="fr-FR"/>
        </w:rPr>
      </w:pPr>
      <w:r>
        <w:rPr>
          <w:lang w:val="fr-FR"/>
        </w:rPr>
        <w:t xml:space="preserve">En tant que mécanisme financier de la Convention et du Protocole, le Fonds pour l’environnement mondial continue de jouer un rôle central pour favoriser la mise en œuvre du Protocole. Renforcer et diversifier le recours à différentes sources, tout en </w:t>
      </w:r>
      <w:r w:rsidR="00D00352">
        <w:rPr>
          <w:lang w:val="fr-FR"/>
        </w:rPr>
        <w:t>allouant</w:t>
      </w:r>
      <w:r>
        <w:rPr>
          <w:lang w:val="fr-FR"/>
        </w:rPr>
        <w:t xml:space="preserve"> des financement</w:t>
      </w:r>
      <w:r w:rsidR="00D00352">
        <w:rPr>
          <w:lang w:val="fr-FR"/>
        </w:rPr>
        <w:t>s</w:t>
      </w:r>
      <w:r>
        <w:rPr>
          <w:lang w:val="fr-FR"/>
        </w:rPr>
        <w:t xml:space="preserve"> existants </w:t>
      </w:r>
      <w:r w:rsidR="00D00352">
        <w:rPr>
          <w:lang w:val="fr-FR"/>
        </w:rPr>
        <w:t>à</w:t>
      </w:r>
      <w:r>
        <w:rPr>
          <w:lang w:val="fr-FR"/>
        </w:rPr>
        <w:t xml:space="preserve"> la réalisation d’objectifs d’accès et de partage des avantages, pourrait participer à la mobilisation de l’appui financier nécessaire à la mise en œuvre du Protocole.</w:t>
      </w:r>
    </w:p>
    <w:p w14:paraId="4C4A43EB" w14:textId="283296E9" w:rsidR="00CC35D7" w:rsidRPr="00124D03" w:rsidRDefault="00A32DF6" w:rsidP="00A32DF6">
      <w:pPr>
        <w:keepNext/>
        <w:keepLines/>
        <w:tabs>
          <w:tab w:val="clear" w:pos="567"/>
          <w:tab w:val="clear" w:pos="1134"/>
          <w:tab w:val="clear" w:pos="1701"/>
          <w:tab w:val="clear" w:pos="2268"/>
        </w:tabs>
        <w:spacing w:before="120" w:after="120"/>
        <w:outlineLvl w:val="1"/>
        <w:rPr>
          <w:rFonts w:eastAsia="Times New Roman"/>
          <w:b/>
          <w:szCs w:val="24"/>
          <w:lang w:val="fr-FR"/>
        </w:rPr>
      </w:pPr>
      <w:r>
        <w:rPr>
          <w:rFonts w:eastAsia="Times New Roman"/>
          <w:b/>
          <w:szCs w:val="24"/>
          <w:lang w:val="fr-FR"/>
        </w:rPr>
        <w:t>Élé</w:t>
      </w:r>
      <w:r w:rsidRPr="00124D03">
        <w:rPr>
          <w:rFonts w:eastAsia="Times New Roman"/>
          <w:b/>
          <w:szCs w:val="24"/>
          <w:lang w:val="fr-FR"/>
        </w:rPr>
        <w:t xml:space="preserve">ment </w:t>
      </w:r>
      <w:r w:rsidR="00CC35D7" w:rsidRPr="00124D03">
        <w:rPr>
          <w:rFonts w:eastAsia="Times New Roman"/>
          <w:b/>
          <w:szCs w:val="24"/>
          <w:lang w:val="fr-FR"/>
        </w:rPr>
        <w:t>d)</w:t>
      </w:r>
      <w:r w:rsidR="002427B2">
        <w:rPr>
          <w:rFonts w:eastAsia="Times New Roman"/>
          <w:b/>
          <w:szCs w:val="24"/>
          <w:lang w:val="fr-FR"/>
        </w:rPr>
        <w:t> </w:t>
      </w:r>
      <w:r w:rsidR="00CC35D7" w:rsidRPr="00124D03">
        <w:rPr>
          <w:rFonts w:eastAsia="Times New Roman"/>
          <w:b/>
          <w:szCs w:val="24"/>
          <w:lang w:val="fr-FR"/>
        </w:rPr>
        <w:t xml:space="preserve">: </w:t>
      </w:r>
      <w:r w:rsidRPr="00A32DF6">
        <w:rPr>
          <w:rFonts w:eastAsia="Times New Roman"/>
          <w:b/>
          <w:szCs w:val="24"/>
          <w:lang w:val="fr-FR"/>
        </w:rPr>
        <w:t>Évaluation de l’efficacité de l’article</w:t>
      </w:r>
      <w:r w:rsidR="00132CD2">
        <w:rPr>
          <w:rFonts w:eastAsia="Times New Roman"/>
          <w:b/>
          <w:szCs w:val="24"/>
          <w:lang w:val="fr-FR"/>
        </w:rPr>
        <w:t> </w:t>
      </w:r>
      <w:r w:rsidRPr="00A32DF6">
        <w:rPr>
          <w:rFonts w:eastAsia="Times New Roman"/>
          <w:b/>
          <w:szCs w:val="24"/>
          <w:lang w:val="fr-FR"/>
        </w:rPr>
        <w:t>18 (étendue de</w:t>
      </w:r>
      <w:r>
        <w:rPr>
          <w:rFonts w:eastAsia="Times New Roman"/>
          <w:b/>
          <w:szCs w:val="24"/>
          <w:lang w:val="fr-FR"/>
        </w:rPr>
        <w:t xml:space="preserve"> </w:t>
      </w:r>
      <w:r w:rsidRPr="00A32DF6">
        <w:rPr>
          <w:rFonts w:eastAsia="Times New Roman"/>
          <w:b/>
          <w:szCs w:val="24"/>
          <w:lang w:val="fr-FR"/>
        </w:rPr>
        <w:t>la mise en œuvre)</w:t>
      </w:r>
    </w:p>
    <w:p w14:paraId="581C6A28" w14:textId="5DB9945C" w:rsidR="00CC35D7" w:rsidRPr="00124D03" w:rsidRDefault="002427B2">
      <w:pPr>
        <w:pStyle w:val="CBDNormalNumber"/>
        <w:numPr>
          <w:ilvl w:val="0"/>
          <w:numId w:val="19"/>
        </w:numPr>
        <w:ind w:left="540"/>
        <w:rPr>
          <w:lang w:val="fr-FR"/>
        </w:rPr>
      </w:pPr>
      <w:r>
        <w:rPr>
          <w:lang w:val="fr-FR"/>
        </w:rPr>
        <w:t xml:space="preserve">Les indicateurs visant à mesurer cet élément montrent que des progrès ont été réalisés dans la mise en œuvre des dispositions de l’article 18. Cependant, pour mieux comprendre si ces mesures sont efficaces, il serait utile de disposer de plus d’informations sur des cas précis de </w:t>
      </w:r>
      <w:r w:rsidR="0005146C">
        <w:rPr>
          <w:lang w:val="fr-FR"/>
        </w:rPr>
        <w:t>règlements de différends</w:t>
      </w:r>
      <w:r>
        <w:rPr>
          <w:lang w:val="fr-FR"/>
        </w:rPr>
        <w:t xml:space="preserve"> relatifs au respect des obligations des </w:t>
      </w:r>
      <w:r w:rsidR="009A3DE3">
        <w:rPr>
          <w:lang w:val="fr-FR"/>
        </w:rPr>
        <w:t>conditions</w:t>
      </w:r>
      <w:r>
        <w:rPr>
          <w:lang w:val="fr-FR"/>
        </w:rPr>
        <w:t xml:space="preserve"> convenues d’un commun accord, y compris le nombre de </w:t>
      </w:r>
      <w:r w:rsidR="0005146C">
        <w:rPr>
          <w:lang w:val="fr-FR"/>
        </w:rPr>
        <w:t>différends</w:t>
      </w:r>
      <w:r>
        <w:rPr>
          <w:lang w:val="fr-FR"/>
        </w:rPr>
        <w:t xml:space="preserve"> traités et les moyens juridiques utilisés. </w:t>
      </w:r>
    </w:p>
    <w:p w14:paraId="55216DED" w14:textId="129A57BA" w:rsidR="00CC35D7" w:rsidRPr="00124D03" w:rsidRDefault="002427B2">
      <w:pPr>
        <w:pStyle w:val="CBDNormalNumber"/>
        <w:numPr>
          <w:ilvl w:val="0"/>
          <w:numId w:val="19"/>
        </w:numPr>
        <w:ind w:left="540"/>
        <w:rPr>
          <w:lang w:val="fr-FR"/>
        </w:rPr>
      </w:pPr>
      <w:r>
        <w:rPr>
          <w:lang w:val="fr-FR"/>
        </w:rPr>
        <w:t xml:space="preserve">Les efforts réalisés pour élaborer des clauses contractuelles types et pour appuyer les capacités en matière de </w:t>
      </w:r>
      <w:r w:rsidR="009A3DE3">
        <w:rPr>
          <w:lang w:val="fr-FR"/>
        </w:rPr>
        <w:t>conditions</w:t>
      </w:r>
      <w:r>
        <w:rPr>
          <w:lang w:val="fr-FR"/>
        </w:rPr>
        <w:t xml:space="preserve"> convenues d’un commun accord pourrai</w:t>
      </w:r>
      <w:r w:rsidR="00132CD2">
        <w:rPr>
          <w:lang w:val="fr-FR"/>
        </w:rPr>
        <w:t>en</w:t>
      </w:r>
      <w:r>
        <w:rPr>
          <w:lang w:val="fr-FR"/>
        </w:rPr>
        <w:t xml:space="preserve">t intégrer les questions relatives à la mise en œuvre de l’article 18 et prendre en compte les meilleures pratiques d’autres </w:t>
      </w:r>
      <w:r w:rsidR="0005146C">
        <w:rPr>
          <w:lang w:val="fr-FR"/>
        </w:rPr>
        <w:t>domaines de compétence</w:t>
      </w:r>
      <w:r>
        <w:rPr>
          <w:lang w:val="fr-FR"/>
        </w:rPr>
        <w:t xml:space="preserve"> (par exemple le droit </w:t>
      </w:r>
      <w:r w:rsidR="0005146C">
        <w:rPr>
          <w:lang w:val="fr-FR"/>
        </w:rPr>
        <w:t>contractuel</w:t>
      </w:r>
      <w:r>
        <w:rPr>
          <w:lang w:val="fr-FR"/>
        </w:rPr>
        <w:t>, le droit international</w:t>
      </w:r>
      <w:r w:rsidR="0005146C" w:rsidRPr="0005146C">
        <w:rPr>
          <w:lang w:val="fr-FR"/>
        </w:rPr>
        <w:t xml:space="preserve"> </w:t>
      </w:r>
      <w:r w:rsidR="0005146C">
        <w:rPr>
          <w:lang w:val="fr-FR"/>
        </w:rPr>
        <w:t>privé</w:t>
      </w:r>
      <w:r>
        <w:rPr>
          <w:lang w:val="fr-FR"/>
        </w:rPr>
        <w:t>).</w:t>
      </w:r>
    </w:p>
    <w:p w14:paraId="026799EE" w14:textId="16CD47AB" w:rsidR="00CC35D7" w:rsidRPr="00124D03" w:rsidRDefault="00A32DF6" w:rsidP="00A32DF6">
      <w:pPr>
        <w:keepNext/>
        <w:keepLines/>
        <w:tabs>
          <w:tab w:val="clear" w:pos="567"/>
          <w:tab w:val="clear" w:pos="1134"/>
          <w:tab w:val="clear" w:pos="1701"/>
          <w:tab w:val="clear" w:pos="2268"/>
        </w:tabs>
        <w:spacing w:before="120" w:after="120"/>
        <w:jc w:val="left"/>
        <w:outlineLvl w:val="1"/>
        <w:rPr>
          <w:rFonts w:eastAsia="Times New Roman"/>
          <w:b/>
          <w:szCs w:val="24"/>
          <w:lang w:val="fr-FR"/>
        </w:rPr>
      </w:pPr>
      <w:r>
        <w:rPr>
          <w:rFonts w:eastAsia="Times New Roman"/>
          <w:b/>
          <w:szCs w:val="24"/>
          <w:lang w:val="fr-FR"/>
        </w:rPr>
        <w:t>Élé</w:t>
      </w:r>
      <w:r w:rsidRPr="00124D03">
        <w:rPr>
          <w:rFonts w:eastAsia="Times New Roman"/>
          <w:b/>
          <w:szCs w:val="24"/>
          <w:lang w:val="fr-FR"/>
        </w:rPr>
        <w:t xml:space="preserve">ment </w:t>
      </w:r>
      <w:r w:rsidR="00CC35D7" w:rsidRPr="00124D03">
        <w:rPr>
          <w:rFonts w:eastAsia="Times New Roman"/>
          <w:b/>
          <w:szCs w:val="24"/>
          <w:lang w:val="fr-FR"/>
        </w:rPr>
        <w:t>e)</w:t>
      </w:r>
      <w:r>
        <w:rPr>
          <w:rFonts w:eastAsia="Times New Roman"/>
          <w:b/>
          <w:szCs w:val="24"/>
          <w:lang w:val="fr-FR"/>
        </w:rPr>
        <w:t> </w:t>
      </w:r>
      <w:r w:rsidR="00CC35D7" w:rsidRPr="00124D03">
        <w:rPr>
          <w:rFonts w:eastAsia="Times New Roman"/>
          <w:b/>
          <w:szCs w:val="24"/>
          <w:lang w:val="fr-FR"/>
        </w:rPr>
        <w:t xml:space="preserve">: </w:t>
      </w:r>
      <w:r w:rsidRPr="00A32DF6">
        <w:rPr>
          <w:rFonts w:eastAsia="Times New Roman"/>
          <w:b/>
          <w:szCs w:val="24"/>
          <w:lang w:val="fr-FR"/>
        </w:rPr>
        <w:t xml:space="preserve">Évaluation de </w:t>
      </w:r>
      <w:r w:rsidR="008C2A7C">
        <w:rPr>
          <w:rFonts w:eastAsia="Times New Roman"/>
          <w:b/>
          <w:szCs w:val="24"/>
          <w:lang w:val="fr-FR"/>
        </w:rPr>
        <w:t>la mise en œuvre</w:t>
      </w:r>
      <w:r w:rsidRPr="00A32DF6">
        <w:rPr>
          <w:rFonts w:eastAsia="Times New Roman"/>
          <w:b/>
          <w:szCs w:val="24"/>
          <w:lang w:val="fr-FR"/>
        </w:rPr>
        <w:t xml:space="preserve"> de l’article</w:t>
      </w:r>
      <w:r w:rsidR="00132CD2">
        <w:rPr>
          <w:rFonts w:eastAsia="Times New Roman"/>
          <w:b/>
          <w:szCs w:val="24"/>
          <w:lang w:val="fr-FR"/>
        </w:rPr>
        <w:t> </w:t>
      </w:r>
      <w:r w:rsidRPr="00A32DF6">
        <w:rPr>
          <w:rFonts w:eastAsia="Times New Roman"/>
          <w:b/>
          <w:szCs w:val="24"/>
          <w:lang w:val="fr-FR"/>
        </w:rPr>
        <w:t>16 à la</w:t>
      </w:r>
      <w:r>
        <w:rPr>
          <w:rFonts w:eastAsia="Times New Roman"/>
          <w:b/>
          <w:szCs w:val="24"/>
          <w:lang w:val="fr-FR"/>
        </w:rPr>
        <w:t xml:space="preserve"> </w:t>
      </w:r>
      <w:r w:rsidRPr="00A32DF6">
        <w:rPr>
          <w:rFonts w:eastAsia="Times New Roman"/>
          <w:b/>
          <w:szCs w:val="24"/>
          <w:lang w:val="fr-FR"/>
        </w:rPr>
        <w:t xml:space="preserve">lumière des </w:t>
      </w:r>
      <w:r w:rsidR="00BB2E03">
        <w:rPr>
          <w:rFonts w:eastAsia="Times New Roman"/>
          <w:b/>
          <w:szCs w:val="24"/>
          <w:lang w:val="fr-FR"/>
        </w:rPr>
        <w:t>évolutions</w:t>
      </w:r>
      <w:r w:rsidRPr="00A32DF6">
        <w:rPr>
          <w:rFonts w:eastAsia="Times New Roman"/>
          <w:b/>
          <w:szCs w:val="24"/>
          <w:lang w:val="fr-FR"/>
        </w:rPr>
        <w:t xml:space="preserve"> dans d’autres</w:t>
      </w:r>
      <w:r>
        <w:rPr>
          <w:rFonts w:eastAsia="Times New Roman"/>
          <w:b/>
          <w:szCs w:val="24"/>
          <w:lang w:val="fr-FR"/>
        </w:rPr>
        <w:t xml:space="preserve"> </w:t>
      </w:r>
      <w:r w:rsidRPr="00A32DF6">
        <w:rPr>
          <w:rFonts w:eastAsia="Times New Roman"/>
          <w:b/>
          <w:szCs w:val="24"/>
          <w:lang w:val="fr-FR"/>
        </w:rPr>
        <w:t xml:space="preserve">organisations internationales </w:t>
      </w:r>
      <w:r w:rsidR="00BB2E03">
        <w:rPr>
          <w:rFonts w:eastAsia="Times New Roman"/>
          <w:b/>
          <w:szCs w:val="24"/>
          <w:lang w:val="fr-FR"/>
        </w:rPr>
        <w:t>concernées</w:t>
      </w:r>
      <w:r w:rsidRPr="00A32DF6">
        <w:rPr>
          <w:rFonts w:eastAsia="Times New Roman"/>
          <w:b/>
          <w:szCs w:val="24"/>
          <w:lang w:val="fr-FR"/>
        </w:rPr>
        <w:t>, y compris</w:t>
      </w:r>
      <w:r>
        <w:rPr>
          <w:rFonts w:eastAsia="Times New Roman"/>
          <w:b/>
          <w:szCs w:val="24"/>
          <w:lang w:val="fr-FR"/>
        </w:rPr>
        <w:t xml:space="preserve"> </w:t>
      </w:r>
      <w:r w:rsidRPr="00A32DF6">
        <w:rPr>
          <w:rFonts w:eastAsia="Times New Roman"/>
          <w:b/>
          <w:szCs w:val="24"/>
          <w:lang w:val="fr-FR"/>
        </w:rPr>
        <w:t>l’Organisation mondiale de la propriété intellectuell</w:t>
      </w:r>
      <w:r>
        <w:rPr>
          <w:rFonts w:eastAsia="Times New Roman"/>
          <w:b/>
          <w:szCs w:val="24"/>
          <w:lang w:val="fr-FR"/>
        </w:rPr>
        <w:t>e</w:t>
      </w:r>
    </w:p>
    <w:p w14:paraId="5B88FC87" w14:textId="3139F860" w:rsidR="00CC35D7" w:rsidRPr="00124D03" w:rsidRDefault="00F238BD">
      <w:pPr>
        <w:pStyle w:val="CBDNormalNumber"/>
        <w:numPr>
          <w:ilvl w:val="0"/>
          <w:numId w:val="19"/>
        </w:numPr>
        <w:ind w:left="540"/>
        <w:rPr>
          <w:lang w:val="fr-FR"/>
        </w:rPr>
      </w:pPr>
      <w:r>
        <w:rPr>
          <w:lang w:val="fr-FR"/>
        </w:rPr>
        <w:t xml:space="preserve">L’indicateur montre que d’importants progrès ont été accomplis dans la mise en place des mesures visant </w:t>
      </w:r>
      <w:r w:rsidR="00132CD2">
        <w:rPr>
          <w:lang w:val="fr-FR"/>
        </w:rPr>
        <w:t xml:space="preserve">à </w:t>
      </w:r>
      <w:r>
        <w:rPr>
          <w:lang w:val="fr-FR"/>
        </w:rPr>
        <w:t xml:space="preserve">mettre en œuvre l’article 16 du Protocole. Cependant, nombre de Parties n’ont pas encore rendu pleinement opérationnelles ces dispositions. De plus, nombre de Parties ont rapporté </w:t>
      </w:r>
      <w:r w:rsidR="000060AC">
        <w:rPr>
          <w:lang w:val="fr-FR"/>
        </w:rPr>
        <w:t xml:space="preserve">ne pas avoir mis en place de mesures visant à mettre en œuvre l’article 16 en raison de l’absence de peuples autochtones et communautés locales </w:t>
      </w:r>
      <w:r w:rsidR="00136194">
        <w:rPr>
          <w:lang w:val="fr-FR"/>
        </w:rPr>
        <w:t>sur le territoire de</w:t>
      </w:r>
      <w:r w:rsidR="000060AC">
        <w:rPr>
          <w:lang w:val="fr-FR"/>
        </w:rPr>
        <w:t xml:space="preserve"> leur pays. Davantage de travaux pourraient être </w:t>
      </w:r>
      <w:r w:rsidR="00136194">
        <w:rPr>
          <w:lang w:val="fr-FR"/>
        </w:rPr>
        <w:t>menés</w:t>
      </w:r>
      <w:r w:rsidR="000060AC">
        <w:rPr>
          <w:lang w:val="fr-FR"/>
        </w:rPr>
        <w:t xml:space="preserve"> pour </w:t>
      </w:r>
      <w:r w:rsidR="00136194">
        <w:rPr>
          <w:lang w:val="fr-FR"/>
        </w:rPr>
        <w:t xml:space="preserve">contribuer à une meilleure </w:t>
      </w:r>
      <w:r w:rsidR="000060AC">
        <w:rPr>
          <w:lang w:val="fr-FR"/>
        </w:rPr>
        <w:t>compréhension du fait que l’article 16 s’applique à toutes les Parties, et non uniquement aux Parties dont les territoires comptent des peuples autochtones et communautés locales, et pour garantir que les avantages soient partagés avec les peuples autochtones et communautés locales, conformément au Protocole.</w:t>
      </w:r>
    </w:p>
    <w:p w14:paraId="314CA24F" w14:textId="0F71E25E" w:rsidR="00CC35D7" w:rsidRPr="00124D03" w:rsidRDefault="00610036">
      <w:pPr>
        <w:pStyle w:val="CBDNormalNumber"/>
        <w:numPr>
          <w:ilvl w:val="0"/>
          <w:numId w:val="19"/>
        </w:numPr>
        <w:ind w:left="540"/>
        <w:rPr>
          <w:rFonts w:eastAsia="Times New Roman"/>
          <w:lang w:val="fr-FR"/>
        </w:rPr>
      </w:pPr>
      <w:r>
        <w:rPr>
          <w:lang w:val="fr-FR"/>
        </w:rPr>
        <w:t xml:space="preserve">L’entrée en vigueur et la mise en œuvre du Traité sur la propriété intellectuelle, les ressources génétiques et les </w:t>
      </w:r>
      <w:r w:rsidRPr="00785576">
        <w:rPr>
          <w:lang w:val="fr-FR"/>
        </w:rPr>
        <w:t>connaissances</w:t>
      </w:r>
      <w:r>
        <w:rPr>
          <w:lang w:val="fr-FR"/>
        </w:rPr>
        <w:t xml:space="preserve"> traditionnelles associées</w:t>
      </w:r>
      <w:r w:rsidR="00CC35D7" w:rsidRPr="00124D03">
        <w:rPr>
          <w:lang w:val="fr-FR"/>
        </w:rPr>
        <w:t xml:space="preserve"> </w:t>
      </w:r>
      <w:r>
        <w:rPr>
          <w:lang w:val="fr-FR"/>
        </w:rPr>
        <w:t>peuvent appuyer ces efforts dans la mesure où il inclut l’obligation de divulguer l’origine ou la source d’une ressource génétique</w:t>
      </w:r>
      <w:r w:rsidR="00165A5C">
        <w:rPr>
          <w:lang w:val="fr-FR"/>
        </w:rPr>
        <w:t>,</w:t>
      </w:r>
      <w:r>
        <w:rPr>
          <w:lang w:val="fr-FR"/>
        </w:rPr>
        <w:t xml:space="preserve"> ou </w:t>
      </w:r>
      <w:r w:rsidR="00165A5C">
        <w:rPr>
          <w:lang w:val="fr-FR"/>
        </w:rPr>
        <w:t xml:space="preserve">bien </w:t>
      </w:r>
      <w:r>
        <w:rPr>
          <w:lang w:val="fr-FR"/>
        </w:rPr>
        <w:t>les peuples autochtones et communautés locales fournissant la connaissance traditionnelle associée, contribuant de ce fait à une plus grande transparence au sein des systèmes d’innovation et une mise en œuvre renforcée des cadres d’accès et de partage des avantages.</w:t>
      </w:r>
    </w:p>
    <w:p w14:paraId="43100C8A" w14:textId="2D135E35" w:rsidR="00CC35D7" w:rsidRPr="00124D03" w:rsidRDefault="00A32DF6" w:rsidP="00A32DF6">
      <w:pPr>
        <w:keepNext/>
        <w:keepLines/>
        <w:tabs>
          <w:tab w:val="clear" w:pos="567"/>
          <w:tab w:val="clear" w:pos="1134"/>
          <w:tab w:val="clear" w:pos="1701"/>
          <w:tab w:val="clear" w:pos="2268"/>
        </w:tabs>
        <w:spacing w:before="120" w:after="120"/>
        <w:jc w:val="left"/>
        <w:outlineLvl w:val="1"/>
        <w:rPr>
          <w:rFonts w:eastAsia="Times New Roman"/>
          <w:b/>
          <w:szCs w:val="24"/>
          <w:lang w:val="fr-FR"/>
        </w:rPr>
      </w:pPr>
      <w:r>
        <w:rPr>
          <w:rFonts w:eastAsia="Times New Roman"/>
          <w:b/>
          <w:szCs w:val="24"/>
          <w:lang w:val="fr-FR"/>
        </w:rPr>
        <w:t>Élé</w:t>
      </w:r>
      <w:r w:rsidRPr="00124D03">
        <w:rPr>
          <w:rFonts w:eastAsia="Times New Roman"/>
          <w:b/>
          <w:szCs w:val="24"/>
          <w:lang w:val="fr-FR"/>
        </w:rPr>
        <w:t xml:space="preserve">ment </w:t>
      </w:r>
      <w:r w:rsidR="00CC35D7" w:rsidRPr="00124D03">
        <w:rPr>
          <w:rFonts w:eastAsia="Times New Roman"/>
          <w:b/>
          <w:szCs w:val="24"/>
          <w:lang w:val="fr-FR"/>
        </w:rPr>
        <w:t>f)</w:t>
      </w:r>
      <w:r>
        <w:rPr>
          <w:rFonts w:eastAsia="Times New Roman"/>
          <w:b/>
          <w:szCs w:val="24"/>
          <w:lang w:val="fr-FR"/>
        </w:rPr>
        <w:t> </w:t>
      </w:r>
      <w:r w:rsidR="00CC35D7" w:rsidRPr="00124D03">
        <w:rPr>
          <w:rFonts w:eastAsia="Times New Roman"/>
          <w:b/>
          <w:szCs w:val="24"/>
          <w:lang w:val="fr-FR"/>
        </w:rPr>
        <w:t xml:space="preserve">: </w:t>
      </w:r>
      <w:r w:rsidRPr="00A32DF6">
        <w:rPr>
          <w:rFonts w:eastAsia="Times New Roman"/>
          <w:b/>
          <w:szCs w:val="24"/>
          <w:lang w:val="fr-FR"/>
        </w:rPr>
        <w:t>Bilan de l’utilisation des clauses contractuelles</w:t>
      </w:r>
      <w:r>
        <w:rPr>
          <w:rFonts w:eastAsia="Times New Roman"/>
          <w:b/>
          <w:szCs w:val="24"/>
          <w:lang w:val="fr-FR"/>
        </w:rPr>
        <w:t xml:space="preserve"> </w:t>
      </w:r>
      <w:r w:rsidRPr="00A32DF6">
        <w:rPr>
          <w:rFonts w:eastAsia="Times New Roman"/>
          <w:b/>
          <w:szCs w:val="24"/>
          <w:lang w:val="fr-FR"/>
        </w:rPr>
        <w:t>types, des codes de conduite, des lignes directrices, des</w:t>
      </w:r>
      <w:r>
        <w:rPr>
          <w:rFonts w:eastAsia="Times New Roman"/>
          <w:b/>
          <w:szCs w:val="24"/>
          <w:lang w:val="fr-FR"/>
        </w:rPr>
        <w:t xml:space="preserve"> </w:t>
      </w:r>
      <w:r w:rsidRPr="00A32DF6">
        <w:rPr>
          <w:rFonts w:eastAsia="Times New Roman"/>
          <w:b/>
          <w:szCs w:val="24"/>
          <w:lang w:val="fr-FR"/>
        </w:rPr>
        <w:t>bonnes pratiques et des normes, ainsi que du droit</w:t>
      </w:r>
      <w:r>
        <w:rPr>
          <w:rFonts w:eastAsia="Times New Roman"/>
          <w:b/>
          <w:szCs w:val="24"/>
          <w:lang w:val="fr-FR"/>
        </w:rPr>
        <w:t xml:space="preserve"> </w:t>
      </w:r>
      <w:r w:rsidRPr="00A32DF6">
        <w:rPr>
          <w:rFonts w:eastAsia="Times New Roman"/>
          <w:b/>
          <w:szCs w:val="24"/>
          <w:lang w:val="fr-FR"/>
        </w:rPr>
        <w:t>coutumier, des protocoles communautaires et des</w:t>
      </w:r>
      <w:r>
        <w:rPr>
          <w:rFonts w:eastAsia="Times New Roman"/>
          <w:b/>
          <w:szCs w:val="24"/>
          <w:lang w:val="fr-FR"/>
        </w:rPr>
        <w:t xml:space="preserve"> </w:t>
      </w:r>
      <w:r w:rsidRPr="00A32DF6">
        <w:rPr>
          <w:rFonts w:eastAsia="Times New Roman"/>
          <w:b/>
          <w:szCs w:val="24"/>
          <w:lang w:val="fr-FR"/>
        </w:rPr>
        <w:t>procédures des peuples autochtones et communautés</w:t>
      </w:r>
      <w:r>
        <w:rPr>
          <w:rFonts w:eastAsia="Times New Roman"/>
          <w:b/>
          <w:szCs w:val="24"/>
          <w:lang w:val="fr-FR"/>
        </w:rPr>
        <w:t xml:space="preserve"> </w:t>
      </w:r>
      <w:r w:rsidRPr="00A32DF6">
        <w:rPr>
          <w:rFonts w:eastAsia="Times New Roman"/>
          <w:b/>
          <w:szCs w:val="24"/>
          <w:lang w:val="fr-FR"/>
        </w:rPr>
        <w:t>locale</w:t>
      </w:r>
      <w:r>
        <w:rPr>
          <w:rFonts w:eastAsia="Times New Roman"/>
          <w:b/>
          <w:szCs w:val="24"/>
          <w:lang w:val="fr-FR"/>
        </w:rPr>
        <w:t>s</w:t>
      </w:r>
    </w:p>
    <w:p w14:paraId="59BDE04D" w14:textId="1C610F6F" w:rsidR="00CC35D7" w:rsidRPr="00124D03" w:rsidRDefault="00CF15B1">
      <w:pPr>
        <w:pStyle w:val="CBDNormalNumber"/>
        <w:numPr>
          <w:ilvl w:val="0"/>
          <w:numId w:val="19"/>
        </w:numPr>
        <w:ind w:left="540"/>
        <w:rPr>
          <w:rFonts w:eastAsia="Times New Roman"/>
          <w:lang w:val="fr-FR"/>
        </w:rPr>
      </w:pPr>
      <w:r>
        <w:rPr>
          <w:lang w:val="fr-FR"/>
        </w:rPr>
        <w:t xml:space="preserve">Une augmentation du nombre de protocoles communautaires publiés dans le Centre d’échange sur l’accès et le partage des avantages par les peuples autochtones et communautés locales a été notée. </w:t>
      </w:r>
      <w:r>
        <w:rPr>
          <w:lang w:val="fr-FR"/>
        </w:rPr>
        <w:lastRenderedPageBreak/>
        <w:t xml:space="preserve">Ils ont cependant été élaborés dans un nombre relativement faible de pays, majoritairement dans un contexte de projets de coopération ou de </w:t>
      </w:r>
      <w:r w:rsidR="00FE7D7C">
        <w:rPr>
          <w:lang w:val="fr-FR"/>
        </w:rPr>
        <w:t>renforcement</w:t>
      </w:r>
      <w:r>
        <w:rPr>
          <w:lang w:val="fr-FR"/>
        </w:rPr>
        <w:t xml:space="preserve"> de</w:t>
      </w:r>
      <w:r w:rsidR="0005606A">
        <w:rPr>
          <w:lang w:val="fr-FR"/>
        </w:rPr>
        <w:t>s</w:t>
      </w:r>
      <w:r>
        <w:rPr>
          <w:lang w:val="fr-FR"/>
        </w:rPr>
        <w:t xml:space="preserve"> capacités.</w:t>
      </w:r>
    </w:p>
    <w:p w14:paraId="55881BBC" w14:textId="5E734D96" w:rsidR="00CC35D7" w:rsidRPr="00124D03" w:rsidRDefault="00CF15B1">
      <w:pPr>
        <w:pStyle w:val="CBDNormalNumber"/>
        <w:numPr>
          <w:ilvl w:val="0"/>
          <w:numId w:val="19"/>
        </w:numPr>
        <w:ind w:left="540"/>
        <w:rPr>
          <w:lang w:val="fr-FR"/>
        </w:rPr>
      </w:pPr>
      <w:r>
        <w:rPr>
          <w:lang w:val="fr-FR"/>
        </w:rPr>
        <w:t xml:space="preserve">Dans le contexte des articles 19 et 20, les organisations et les réseaux d’utilisateurs jouent un rôle important dans la clarification de la manière dont l’accès et le partage des avantages peuvent être intégrés dans leurs pratiques et dans l’assistance à leur personnel et </w:t>
      </w:r>
      <w:r w:rsidR="0005606A">
        <w:rPr>
          <w:lang w:val="fr-FR"/>
        </w:rPr>
        <w:t xml:space="preserve">à </w:t>
      </w:r>
      <w:r>
        <w:rPr>
          <w:lang w:val="fr-FR"/>
        </w:rPr>
        <w:t xml:space="preserve">leurs membres pour comprendre les obligations en matière d’accès et de partage des avantages, et s’y conformer. À cet égard, ils ont élaboré un certain nombre d’outils et d’approches (par exemple des bases de données, des </w:t>
      </w:r>
      <w:r w:rsidR="000F1882">
        <w:rPr>
          <w:lang w:val="fr-FR"/>
        </w:rPr>
        <w:t>listes de contrôle</w:t>
      </w:r>
      <w:r>
        <w:rPr>
          <w:lang w:val="fr-FR"/>
        </w:rPr>
        <w:t xml:space="preserve">, des systèmes de diligence raisonnable, des formations, des services de conseil, etc.). Les clauses contractuelles types, les codes de conduite, les lignes directrices, les </w:t>
      </w:r>
      <w:r w:rsidR="0005606A">
        <w:rPr>
          <w:lang w:val="fr-FR"/>
        </w:rPr>
        <w:t>meilleures</w:t>
      </w:r>
      <w:r>
        <w:rPr>
          <w:lang w:val="fr-FR"/>
        </w:rPr>
        <w:t xml:space="preserve"> pratiques et les normes font partie des outils élaborés à l’appui du respect des obligations en matière d’accès et de partage des avantages.</w:t>
      </w:r>
      <w:r w:rsidR="00CC35D7" w:rsidRPr="00124D03">
        <w:rPr>
          <w:lang w:val="fr-FR"/>
        </w:rPr>
        <w:t xml:space="preserve"> </w:t>
      </w:r>
    </w:p>
    <w:p w14:paraId="59EB62E7" w14:textId="6B6F79C1" w:rsidR="00CC35D7" w:rsidRPr="00124D03" w:rsidRDefault="004A33FE" w:rsidP="004A33FE">
      <w:pPr>
        <w:keepNext/>
        <w:keepLines/>
        <w:tabs>
          <w:tab w:val="clear" w:pos="567"/>
          <w:tab w:val="clear" w:pos="1134"/>
          <w:tab w:val="clear" w:pos="1701"/>
          <w:tab w:val="clear" w:pos="2268"/>
        </w:tabs>
        <w:spacing w:before="120" w:after="120"/>
        <w:outlineLvl w:val="1"/>
        <w:rPr>
          <w:rFonts w:eastAsia="Times New Roman"/>
          <w:b/>
          <w:szCs w:val="24"/>
          <w:lang w:val="fr-FR"/>
        </w:rPr>
      </w:pPr>
      <w:r>
        <w:rPr>
          <w:rFonts w:eastAsia="Times New Roman"/>
          <w:b/>
          <w:szCs w:val="24"/>
          <w:lang w:val="fr-FR"/>
        </w:rPr>
        <w:t>Élé</w:t>
      </w:r>
      <w:r w:rsidRPr="00124D03">
        <w:rPr>
          <w:rFonts w:eastAsia="Times New Roman"/>
          <w:b/>
          <w:szCs w:val="24"/>
          <w:lang w:val="fr-FR"/>
        </w:rPr>
        <w:t xml:space="preserve">ment </w:t>
      </w:r>
      <w:r w:rsidR="00CC35D7" w:rsidRPr="00124D03">
        <w:rPr>
          <w:rFonts w:eastAsia="Times New Roman"/>
          <w:b/>
          <w:szCs w:val="24"/>
          <w:lang w:val="fr-FR"/>
        </w:rPr>
        <w:t>g)</w:t>
      </w:r>
      <w:r>
        <w:rPr>
          <w:rFonts w:eastAsia="Times New Roman"/>
          <w:b/>
          <w:szCs w:val="24"/>
          <w:lang w:val="fr-FR"/>
        </w:rPr>
        <w:t> </w:t>
      </w:r>
      <w:r w:rsidR="00CC35D7" w:rsidRPr="00124D03">
        <w:rPr>
          <w:rFonts w:eastAsia="Times New Roman"/>
          <w:b/>
          <w:szCs w:val="24"/>
          <w:lang w:val="fr-FR"/>
        </w:rPr>
        <w:t xml:space="preserve">: </w:t>
      </w:r>
      <w:r w:rsidRPr="004A33FE">
        <w:rPr>
          <w:rFonts w:eastAsia="Times New Roman"/>
          <w:b/>
          <w:szCs w:val="24"/>
          <w:lang w:val="fr-FR"/>
        </w:rPr>
        <w:t>Examen de la mise en œuvre et du fonctionnement</w:t>
      </w:r>
      <w:r>
        <w:rPr>
          <w:rFonts w:eastAsia="Times New Roman"/>
          <w:b/>
          <w:szCs w:val="24"/>
          <w:lang w:val="fr-FR"/>
        </w:rPr>
        <w:t xml:space="preserve"> </w:t>
      </w:r>
      <w:r w:rsidRPr="004A33FE">
        <w:rPr>
          <w:rFonts w:eastAsia="Times New Roman"/>
          <w:b/>
          <w:szCs w:val="24"/>
          <w:lang w:val="fr-FR"/>
        </w:rPr>
        <w:t>du Centre d’échange sur l’accès et le partage des</w:t>
      </w:r>
      <w:r>
        <w:rPr>
          <w:rFonts w:eastAsia="Times New Roman"/>
          <w:b/>
          <w:szCs w:val="24"/>
          <w:lang w:val="fr-FR"/>
        </w:rPr>
        <w:t xml:space="preserve"> </w:t>
      </w:r>
      <w:r w:rsidRPr="004A33FE">
        <w:rPr>
          <w:rFonts w:eastAsia="Times New Roman"/>
          <w:b/>
          <w:szCs w:val="24"/>
          <w:lang w:val="fr-FR"/>
        </w:rPr>
        <w:t xml:space="preserve">avantages, </w:t>
      </w:r>
      <w:r>
        <w:rPr>
          <w:rFonts w:eastAsia="Times New Roman"/>
          <w:b/>
          <w:szCs w:val="24"/>
          <w:lang w:val="fr-FR"/>
        </w:rPr>
        <w:t xml:space="preserve">y compris les </w:t>
      </w:r>
      <w:r w:rsidR="007B5DD6" w:rsidRPr="007B5DD6">
        <w:rPr>
          <w:rFonts w:eastAsia="Times New Roman"/>
          <w:b/>
          <w:szCs w:val="24"/>
          <w:lang w:val="fr-FR"/>
        </w:rPr>
        <w:t>dossiers</w:t>
      </w:r>
      <w:r w:rsidRPr="007B5DD6">
        <w:rPr>
          <w:rFonts w:eastAsia="Times New Roman"/>
          <w:b/>
          <w:szCs w:val="24"/>
          <w:lang w:val="fr-FR"/>
        </w:rPr>
        <w:t xml:space="preserve"> de référence</w:t>
      </w:r>
    </w:p>
    <w:p w14:paraId="29CD91A6" w14:textId="69F7757E" w:rsidR="00E03AEF" w:rsidRPr="00F9452E" w:rsidRDefault="00E03AEF" w:rsidP="00E03AEF">
      <w:pPr>
        <w:pStyle w:val="CBDNormalNumber"/>
        <w:numPr>
          <w:ilvl w:val="0"/>
          <w:numId w:val="19"/>
        </w:numPr>
        <w:rPr>
          <w:lang w:val="fr-FR"/>
        </w:rPr>
      </w:pPr>
      <w:r w:rsidRPr="000A7816">
        <w:rPr>
          <w:rFonts w:eastAsia="Times New Roman"/>
          <w:szCs w:val="24"/>
          <w:lang w:val="fr-FR"/>
        </w:rPr>
        <w:t>Dans l</w:t>
      </w:r>
      <w:r>
        <w:rPr>
          <w:rFonts w:eastAsia="Times New Roman"/>
          <w:szCs w:val="24"/>
          <w:lang w:val="fr-FR"/>
        </w:rPr>
        <w:t>’</w:t>
      </w:r>
      <w:r w:rsidRPr="000A7816">
        <w:rPr>
          <w:rFonts w:eastAsia="Times New Roman"/>
          <w:szCs w:val="24"/>
          <w:lang w:val="fr-FR"/>
        </w:rPr>
        <w:t xml:space="preserve">ensemble, on observe une tendance à la hausse continue tant du nombre de </w:t>
      </w:r>
      <w:r w:rsidR="00E53506">
        <w:rPr>
          <w:rFonts w:eastAsia="Times New Roman"/>
          <w:szCs w:val="24"/>
          <w:lang w:val="fr-FR"/>
        </w:rPr>
        <w:t>fichiers</w:t>
      </w:r>
      <w:r w:rsidRPr="000A7816">
        <w:rPr>
          <w:rFonts w:eastAsia="Times New Roman"/>
          <w:szCs w:val="24"/>
          <w:lang w:val="fr-FR"/>
        </w:rPr>
        <w:t xml:space="preserve"> nation</w:t>
      </w:r>
      <w:r w:rsidR="00E53506">
        <w:rPr>
          <w:rFonts w:eastAsia="Times New Roman"/>
          <w:szCs w:val="24"/>
          <w:lang w:val="fr-FR"/>
        </w:rPr>
        <w:t>aux</w:t>
      </w:r>
      <w:r w:rsidRPr="000A7816">
        <w:rPr>
          <w:rFonts w:eastAsia="Times New Roman"/>
          <w:szCs w:val="24"/>
          <w:lang w:val="fr-FR"/>
        </w:rPr>
        <w:t xml:space="preserve"> publiés, tous types confondus, que du pourcentage de Parties publiant des informations nationales. Toutefois, dans le même temps, les objectifs fondamentaux du Centre d</w:t>
      </w:r>
      <w:r>
        <w:rPr>
          <w:rFonts w:eastAsia="Times New Roman"/>
          <w:szCs w:val="24"/>
          <w:lang w:val="fr-FR"/>
        </w:rPr>
        <w:t>’</w:t>
      </w:r>
      <w:r w:rsidRPr="000A7816">
        <w:rPr>
          <w:rFonts w:eastAsia="Times New Roman"/>
          <w:szCs w:val="24"/>
          <w:lang w:val="fr-FR"/>
        </w:rPr>
        <w:t xml:space="preserve">échange </w:t>
      </w:r>
      <w:r w:rsidR="00394AF9">
        <w:rPr>
          <w:rFonts w:eastAsia="Times New Roman"/>
          <w:szCs w:val="24"/>
          <w:lang w:val="fr-FR"/>
        </w:rPr>
        <w:t>sur</w:t>
      </w:r>
      <w:r w:rsidRPr="000A7816">
        <w:rPr>
          <w:rFonts w:eastAsia="Times New Roman"/>
          <w:szCs w:val="24"/>
          <w:lang w:val="fr-FR"/>
        </w:rPr>
        <w:t xml:space="preserve"> l</w:t>
      </w:r>
      <w:r>
        <w:rPr>
          <w:rFonts w:eastAsia="Times New Roman"/>
          <w:szCs w:val="24"/>
          <w:lang w:val="fr-FR"/>
        </w:rPr>
        <w:t>’</w:t>
      </w:r>
      <w:r w:rsidRPr="000A7816">
        <w:rPr>
          <w:rFonts w:eastAsia="Times New Roman"/>
          <w:szCs w:val="24"/>
          <w:lang w:val="fr-FR"/>
        </w:rPr>
        <w:t>accès et le partage des avantages n</w:t>
      </w:r>
      <w:r>
        <w:rPr>
          <w:rFonts w:eastAsia="Times New Roman"/>
          <w:szCs w:val="24"/>
          <w:lang w:val="fr-FR"/>
        </w:rPr>
        <w:t>’</w:t>
      </w:r>
      <w:r w:rsidRPr="000A7816">
        <w:rPr>
          <w:rFonts w:eastAsia="Times New Roman"/>
          <w:szCs w:val="24"/>
          <w:lang w:val="fr-FR"/>
        </w:rPr>
        <w:t xml:space="preserve">ont pas été pleinement atteints en raison </w:t>
      </w:r>
      <w:r w:rsidR="00394AF9">
        <w:rPr>
          <w:rFonts w:eastAsia="Times New Roman"/>
          <w:szCs w:val="24"/>
          <w:lang w:val="fr-FR"/>
        </w:rPr>
        <w:t>du respect</w:t>
      </w:r>
      <w:r w:rsidRPr="000A7816">
        <w:rPr>
          <w:rFonts w:eastAsia="Times New Roman"/>
          <w:szCs w:val="24"/>
          <w:lang w:val="fr-FR"/>
        </w:rPr>
        <w:t xml:space="preserve"> insuffisant </w:t>
      </w:r>
      <w:r w:rsidR="00394AF9">
        <w:rPr>
          <w:rFonts w:eastAsia="Times New Roman"/>
          <w:szCs w:val="24"/>
          <w:lang w:val="fr-FR"/>
        </w:rPr>
        <w:t>par les</w:t>
      </w:r>
      <w:r w:rsidRPr="000A7816">
        <w:rPr>
          <w:rFonts w:eastAsia="Times New Roman"/>
          <w:szCs w:val="24"/>
          <w:lang w:val="fr-FR"/>
        </w:rPr>
        <w:t xml:space="preserve"> Parties </w:t>
      </w:r>
      <w:r w:rsidR="00394AF9">
        <w:rPr>
          <w:rFonts w:eastAsia="Times New Roman"/>
          <w:szCs w:val="24"/>
          <w:lang w:val="fr-FR"/>
        </w:rPr>
        <w:t>de</w:t>
      </w:r>
      <w:r w:rsidRPr="000A7816">
        <w:rPr>
          <w:rFonts w:eastAsia="Times New Roman"/>
          <w:szCs w:val="24"/>
          <w:lang w:val="fr-FR"/>
        </w:rPr>
        <w:t xml:space="preserve"> leurs obligations au titre de l</w:t>
      </w:r>
      <w:r>
        <w:rPr>
          <w:rFonts w:eastAsia="Times New Roman"/>
          <w:szCs w:val="24"/>
          <w:lang w:val="fr-FR"/>
        </w:rPr>
        <w:t>’</w:t>
      </w:r>
      <w:r w:rsidRPr="000A7816">
        <w:rPr>
          <w:rFonts w:eastAsia="Times New Roman"/>
          <w:szCs w:val="24"/>
          <w:lang w:val="fr-FR"/>
        </w:rPr>
        <w:t>article</w:t>
      </w:r>
      <w:r w:rsidR="00132CD2">
        <w:rPr>
          <w:rFonts w:eastAsia="Times New Roman"/>
          <w:szCs w:val="24"/>
          <w:lang w:val="fr-FR"/>
        </w:rPr>
        <w:t> </w:t>
      </w:r>
      <w:r w:rsidRPr="000A7816">
        <w:rPr>
          <w:rFonts w:eastAsia="Times New Roman"/>
          <w:szCs w:val="24"/>
          <w:lang w:val="fr-FR"/>
        </w:rPr>
        <w:t>14 du Protocole</w:t>
      </w:r>
      <w:r w:rsidRPr="00F9452E">
        <w:rPr>
          <w:lang w:val="fr-FR"/>
        </w:rPr>
        <w:t xml:space="preserve">. </w:t>
      </w:r>
    </w:p>
    <w:p w14:paraId="4E59504A" w14:textId="506F214D" w:rsidR="00E03AEF" w:rsidRPr="00F9452E" w:rsidRDefault="00E03AEF" w:rsidP="00E03AEF">
      <w:pPr>
        <w:pStyle w:val="CBDNormalNumber"/>
        <w:numPr>
          <w:ilvl w:val="0"/>
          <w:numId w:val="19"/>
        </w:numPr>
        <w:rPr>
          <w:rFonts w:eastAsia="Times New Roman"/>
          <w:szCs w:val="24"/>
          <w:lang w:val="fr-FR"/>
        </w:rPr>
      </w:pPr>
      <w:r w:rsidRPr="008829D1">
        <w:rPr>
          <w:rFonts w:eastAsia="Times New Roman"/>
          <w:szCs w:val="24"/>
          <w:lang w:val="fr-FR"/>
        </w:rPr>
        <w:t>Compte tenu du rôle central joué par le Centre d</w:t>
      </w:r>
      <w:r>
        <w:rPr>
          <w:rFonts w:eastAsia="Times New Roman"/>
          <w:szCs w:val="24"/>
          <w:lang w:val="fr-FR"/>
        </w:rPr>
        <w:t>’</w:t>
      </w:r>
      <w:r w:rsidRPr="008829D1">
        <w:rPr>
          <w:rFonts w:eastAsia="Times New Roman"/>
          <w:szCs w:val="24"/>
          <w:lang w:val="fr-FR"/>
        </w:rPr>
        <w:t xml:space="preserve">échange </w:t>
      </w:r>
      <w:r w:rsidR="00394AF9">
        <w:rPr>
          <w:rFonts w:eastAsia="Times New Roman"/>
          <w:szCs w:val="24"/>
          <w:lang w:val="fr-FR"/>
        </w:rPr>
        <w:t>sur</w:t>
      </w:r>
      <w:r w:rsidRPr="008829D1">
        <w:rPr>
          <w:rFonts w:eastAsia="Times New Roman"/>
          <w:szCs w:val="24"/>
          <w:lang w:val="fr-FR"/>
        </w:rPr>
        <w:t xml:space="preserve"> l</w:t>
      </w:r>
      <w:r>
        <w:rPr>
          <w:rFonts w:eastAsia="Times New Roman"/>
          <w:szCs w:val="24"/>
          <w:lang w:val="fr-FR"/>
        </w:rPr>
        <w:t>’</w:t>
      </w:r>
      <w:r w:rsidRPr="008829D1">
        <w:rPr>
          <w:rFonts w:eastAsia="Times New Roman"/>
          <w:szCs w:val="24"/>
          <w:lang w:val="fr-FR"/>
        </w:rPr>
        <w:t>accès et le partage des avantages, il est particulièrement préoccupant de constater que, bien que de nombreuses Parties disposent d</w:t>
      </w:r>
      <w:r>
        <w:rPr>
          <w:rFonts w:eastAsia="Times New Roman"/>
          <w:szCs w:val="24"/>
          <w:lang w:val="fr-FR"/>
        </w:rPr>
        <w:t>’</w:t>
      </w:r>
      <w:r w:rsidRPr="008829D1">
        <w:rPr>
          <w:rFonts w:eastAsia="Times New Roman"/>
          <w:szCs w:val="24"/>
          <w:lang w:val="fr-FR"/>
        </w:rPr>
        <w:t>informations nationales obligatoires, elles ne les ont pas encore mises à disposition sur le Centre d</w:t>
      </w:r>
      <w:r>
        <w:rPr>
          <w:rFonts w:eastAsia="Times New Roman"/>
          <w:szCs w:val="24"/>
          <w:lang w:val="fr-FR"/>
        </w:rPr>
        <w:t>’</w:t>
      </w:r>
      <w:r w:rsidRPr="008829D1">
        <w:rPr>
          <w:rFonts w:eastAsia="Times New Roman"/>
          <w:szCs w:val="24"/>
          <w:lang w:val="fr-FR"/>
        </w:rPr>
        <w:t>échange, alors qu</w:t>
      </w:r>
      <w:r>
        <w:rPr>
          <w:rFonts w:eastAsia="Times New Roman"/>
          <w:szCs w:val="24"/>
          <w:lang w:val="fr-FR"/>
        </w:rPr>
        <w:t>’</w:t>
      </w:r>
      <w:r w:rsidRPr="008829D1">
        <w:rPr>
          <w:rFonts w:eastAsia="Times New Roman"/>
          <w:szCs w:val="24"/>
          <w:lang w:val="fr-FR"/>
        </w:rPr>
        <w:t>elles ont les moyens de les publier, comme l</w:t>
      </w:r>
      <w:r>
        <w:rPr>
          <w:rFonts w:eastAsia="Times New Roman"/>
          <w:szCs w:val="24"/>
          <w:lang w:val="fr-FR"/>
        </w:rPr>
        <w:t>’</w:t>
      </w:r>
      <w:r w:rsidRPr="008829D1">
        <w:rPr>
          <w:rFonts w:eastAsia="Times New Roman"/>
          <w:szCs w:val="24"/>
          <w:lang w:val="fr-FR"/>
        </w:rPr>
        <w:t>illustre le taux élevé de soumission des premiers rapports nationaux.</w:t>
      </w:r>
    </w:p>
    <w:p w14:paraId="536A0F8F" w14:textId="46E23543" w:rsidR="00E03AEF" w:rsidRPr="00DE03F7" w:rsidRDefault="00E03AEF" w:rsidP="00E03AEF">
      <w:pPr>
        <w:pStyle w:val="CBDNormalNumber"/>
        <w:numPr>
          <w:ilvl w:val="0"/>
          <w:numId w:val="19"/>
        </w:numPr>
        <w:rPr>
          <w:rFonts w:eastAsia="Times New Roman"/>
          <w:szCs w:val="24"/>
          <w:lang w:val="fr-FR"/>
        </w:rPr>
      </w:pPr>
      <w:r w:rsidRPr="00DE03F7">
        <w:rPr>
          <w:rFonts w:eastAsia="Times New Roman"/>
          <w:szCs w:val="24"/>
          <w:lang w:val="fr-FR"/>
        </w:rPr>
        <w:t>Les Parties ont invoqué les raisons suivantes pour justifier la non-publication d</w:t>
      </w:r>
      <w:r>
        <w:rPr>
          <w:rFonts w:eastAsia="Times New Roman"/>
          <w:szCs w:val="24"/>
          <w:lang w:val="fr-FR"/>
        </w:rPr>
        <w:t>’</w:t>
      </w:r>
      <w:r w:rsidRPr="00DE03F7">
        <w:rPr>
          <w:rFonts w:eastAsia="Times New Roman"/>
          <w:szCs w:val="24"/>
          <w:lang w:val="fr-FR"/>
        </w:rPr>
        <w:t>informations</w:t>
      </w:r>
      <w:r>
        <w:rPr>
          <w:rFonts w:eastAsia="Times New Roman"/>
          <w:szCs w:val="24"/>
          <w:lang w:val="fr-FR"/>
        </w:rPr>
        <w:t> :</w:t>
      </w:r>
      <w:r w:rsidRPr="00DE03F7">
        <w:rPr>
          <w:rFonts w:eastAsia="Times New Roman"/>
          <w:szCs w:val="24"/>
          <w:lang w:val="fr-FR"/>
        </w:rPr>
        <w:t xml:space="preserve"> insuffisance des ressources, forte rotation du personnel, absence de hiérarchisation des priorités ou de coordination, et méconnaissance du système prévu par le Protocole pour le suivi de l</w:t>
      </w:r>
      <w:r>
        <w:rPr>
          <w:rFonts w:eastAsia="Times New Roman"/>
          <w:szCs w:val="24"/>
          <w:lang w:val="fr-FR"/>
        </w:rPr>
        <w:t>’</w:t>
      </w:r>
      <w:r w:rsidRPr="00DE03F7">
        <w:rPr>
          <w:rFonts w:eastAsia="Times New Roman"/>
          <w:szCs w:val="24"/>
          <w:lang w:val="fr-FR"/>
        </w:rPr>
        <w:t>utilisation des ressources génétiques, tel que défini à l</w:t>
      </w:r>
      <w:r>
        <w:rPr>
          <w:rFonts w:eastAsia="Times New Roman"/>
          <w:szCs w:val="24"/>
          <w:lang w:val="fr-FR"/>
        </w:rPr>
        <w:t>’</w:t>
      </w:r>
      <w:r w:rsidRPr="00DE03F7">
        <w:rPr>
          <w:rFonts w:eastAsia="Times New Roman"/>
          <w:szCs w:val="24"/>
          <w:lang w:val="fr-FR"/>
        </w:rPr>
        <w:t>article</w:t>
      </w:r>
      <w:r w:rsidR="00132CD2">
        <w:rPr>
          <w:rFonts w:eastAsia="Times New Roman"/>
          <w:szCs w:val="24"/>
          <w:lang w:val="fr-FR"/>
        </w:rPr>
        <w:t> </w:t>
      </w:r>
      <w:r w:rsidRPr="00DE03F7">
        <w:rPr>
          <w:rFonts w:eastAsia="Times New Roman"/>
          <w:szCs w:val="24"/>
          <w:lang w:val="fr-FR"/>
        </w:rPr>
        <w:t>17. Le partage d</w:t>
      </w:r>
      <w:r>
        <w:rPr>
          <w:rFonts w:eastAsia="Times New Roman"/>
          <w:szCs w:val="24"/>
          <w:lang w:val="fr-FR"/>
        </w:rPr>
        <w:t>’</w:t>
      </w:r>
      <w:r w:rsidRPr="00DE03F7">
        <w:rPr>
          <w:rFonts w:eastAsia="Times New Roman"/>
          <w:szCs w:val="24"/>
          <w:lang w:val="fr-FR"/>
        </w:rPr>
        <w:t>informations par le biais du Centre d</w:t>
      </w:r>
      <w:r>
        <w:rPr>
          <w:rFonts w:eastAsia="Times New Roman"/>
          <w:szCs w:val="24"/>
          <w:lang w:val="fr-FR"/>
        </w:rPr>
        <w:t>’</w:t>
      </w:r>
      <w:r w:rsidRPr="00DE03F7">
        <w:rPr>
          <w:rFonts w:eastAsia="Times New Roman"/>
          <w:szCs w:val="24"/>
          <w:lang w:val="fr-FR"/>
        </w:rPr>
        <w:t>échange présente des avantages considérables pour les Parties, car il atténue le nombre de demandes des utilisateurs concernant l</w:t>
      </w:r>
      <w:r>
        <w:rPr>
          <w:rFonts w:eastAsia="Times New Roman"/>
          <w:szCs w:val="24"/>
          <w:lang w:val="fr-FR"/>
        </w:rPr>
        <w:t>’</w:t>
      </w:r>
      <w:r w:rsidRPr="00DE03F7">
        <w:rPr>
          <w:rFonts w:eastAsia="Times New Roman"/>
          <w:szCs w:val="24"/>
          <w:lang w:val="fr-FR"/>
        </w:rPr>
        <w:t>accès et le partage des avantages, favorise le respect par les utilisateurs des règles et procédures nationales et fournit un appui aux Parties pour le suivi de l</w:t>
      </w:r>
      <w:r>
        <w:rPr>
          <w:rFonts w:eastAsia="Times New Roman"/>
          <w:szCs w:val="24"/>
          <w:lang w:val="fr-FR"/>
        </w:rPr>
        <w:t>’</w:t>
      </w:r>
      <w:r w:rsidRPr="00DE03F7">
        <w:rPr>
          <w:rFonts w:eastAsia="Times New Roman"/>
          <w:szCs w:val="24"/>
          <w:lang w:val="fr-FR"/>
        </w:rPr>
        <w:t>utilisation des ressources génétiques à l</w:t>
      </w:r>
      <w:r>
        <w:rPr>
          <w:rFonts w:eastAsia="Times New Roman"/>
          <w:szCs w:val="24"/>
          <w:lang w:val="fr-FR"/>
        </w:rPr>
        <w:t>’</w:t>
      </w:r>
      <w:r w:rsidRPr="00DE03F7">
        <w:rPr>
          <w:rFonts w:eastAsia="Times New Roman"/>
          <w:szCs w:val="24"/>
          <w:lang w:val="fr-FR"/>
        </w:rPr>
        <w:t>échelle internationale.</w:t>
      </w:r>
    </w:p>
    <w:p w14:paraId="363E101C" w14:textId="578ED0CE" w:rsidR="00CC35D7" w:rsidRPr="00124D03" w:rsidRDefault="00263B71">
      <w:pPr>
        <w:pStyle w:val="CBDNormalNumber"/>
        <w:numPr>
          <w:ilvl w:val="0"/>
          <w:numId w:val="19"/>
        </w:numPr>
        <w:ind w:left="540"/>
        <w:rPr>
          <w:lang w:val="fr-FR"/>
        </w:rPr>
      </w:pPr>
      <w:r>
        <w:rPr>
          <w:lang w:val="fr-FR"/>
        </w:rPr>
        <w:t>Un des objectifs fondamentaux du Centre d’échange sur l’accès et le partage des avantages est de favoriser et d’appuyer l</w:t>
      </w:r>
      <w:r w:rsidR="00F537D6">
        <w:rPr>
          <w:lang w:val="fr-FR"/>
        </w:rPr>
        <w:t xml:space="preserve">e renforcement </w:t>
      </w:r>
      <w:r>
        <w:rPr>
          <w:lang w:val="fr-FR"/>
        </w:rPr>
        <w:t>de</w:t>
      </w:r>
      <w:r w:rsidR="00F537D6">
        <w:rPr>
          <w:lang w:val="fr-FR"/>
        </w:rPr>
        <w:t>s</w:t>
      </w:r>
      <w:r>
        <w:rPr>
          <w:lang w:val="fr-FR"/>
        </w:rPr>
        <w:t xml:space="preserve"> capacités pour la mise en œuvre du Protocole et </w:t>
      </w:r>
      <w:r w:rsidR="00F537D6">
        <w:rPr>
          <w:lang w:val="fr-FR"/>
        </w:rPr>
        <w:t xml:space="preserve">de </w:t>
      </w:r>
      <w:r>
        <w:rPr>
          <w:lang w:val="fr-FR"/>
        </w:rPr>
        <w:t>faciliter l’échange d’informations entre tous les acteurs.</w:t>
      </w:r>
    </w:p>
    <w:p w14:paraId="05FCD3FF" w14:textId="598C60DB" w:rsidR="00CC35D7" w:rsidRPr="00124D03" w:rsidRDefault="00263B71">
      <w:pPr>
        <w:pStyle w:val="CBDNormalNumber"/>
        <w:numPr>
          <w:ilvl w:val="0"/>
          <w:numId w:val="19"/>
        </w:numPr>
        <w:ind w:left="540"/>
        <w:rPr>
          <w:lang w:val="fr-FR"/>
        </w:rPr>
      </w:pPr>
      <w:r>
        <w:rPr>
          <w:lang w:val="fr-FR"/>
        </w:rPr>
        <w:t>Cependant, pour réussir à réaliser cet objectif, davantage de travaux sont nécessaire</w:t>
      </w:r>
      <w:r w:rsidR="00132CD2">
        <w:rPr>
          <w:lang w:val="fr-FR"/>
        </w:rPr>
        <w:t>s</w:t>
      </w:r>
      <w:r>
        <w:rPr>
          <w:lang w:val="fr-FR"/>
        </w:rPr>
        <w:t xml:space="preserve"> </w:t>
      </w:r>
      <w:r w:rsidR="00F537D6">
        <w:rPr>
          <w:lang w:val="fr-FR"/>
        </w:rPr>
        <w:t>afin de</w:t>
      </w:r>
      <w:r>
        <w:rPr>
          <w:lang w:val="fr-FR"/>
        </w:rPr>
        <w:t xml:space="preserve"> garantir que le Centre d’échange sur l’accès et le partage des avantages offre suffisamment de valeur ajoutée pour inciter à la publication continue de </w:t>
      </w:r>
      <w:r w:rsidR="002D40CB">
        <w:rPr>
          <w:lang w:val="fr-FR"/>
        </w:rPr>
        <w:t>dossiers</w:t>
      </w:r>
      <w:r>
        <w:rPr>
          <w:lang w:val="fr-FR"/>
        </w:rPr>
        <w:t xml:space="preserve"> de référence. Tous les acteurs devraient être capables de publier des informations et de trouver des informations et des ressources à jour, pertinentes et pratiques sur l’accès et le partage des avantages.</w:t>
      </w:r>
    </w:p>
    <w:p w14:paraId="4F5D9E99" w14:textId="6C89DD7E" w:rsidR="00CC35D7" w:rsidRPr="00124D03" w:rsidRDefault="00263B71">
      <w:pPr>
        <w:pStyle w:val="CBDNormalNumber"/>
        <w:numPr>
          <w:ilvl w:val="0"/>
          <w:numId w:val="19"/>
        </w:numPr>
        <w:ind w:left="540"/>
        <w:rPr>
          <w:lang w:val="fr-FR"/>
        </w:rPr>
      </w:pPr>
      <w:r>
        <w:rPr>
          <w:lang w:val="fr-FR"/>
        </w:rPr>
        <w:t xml:space="preserve">Renforcer cet élément du Centre d’échange, y compris les activités de communication </w:t>
      </w:r>
      <w:r w:rsidR="0019145D">
        <w:rPr>
          <w:lang w:val="fr-FR"/>
        </w:rPr>
        <w:t>pour l</w:t>
      </w:r>
      <w:r w:rsidR="00F537D6">
        <w:rPr>
          <w:lang w:val="fr-FR"/>
        </w:rPr>
        <w:t xml:space="preserve">e renforcement </w:t>
      </w:r>
      <w:r w:rsidR="0019145D">
        <w:rPr>
          <w:lang w:val="fr-FR"/>
        </w:rPr>
        <w:t>de</w:t>
      </w:r>
      <w:r w:rsidR="00F537D6">
        <w:rPr>
          <w:lang w:val="fr-FR"/>
        </w:rPr>
        <w:t>s</w:t>
      </w:r>
      <w:r w:rsidR="0019145D">
        <w:rPr>
          <w:lang w:val="fr-FR"/>
        </w:rPr>
        <w:t xml:space="preserve"> capacités à l’appui des utilisateurs et des fournisseurs, peut avoir des </w:t>
      </w:r>
      <w:r w:rsidR="00F537D6">
        <w:rPr>
          <w:lang w:val="fr-FR"/>
        </w:rPr>
        <w:t>effets</w:t>
      </w:r>
      <w:r w:rsidR="0019145D">
        <w:rPr>
          <w:lang w:val="fr-FR"/>
        </w:rPr>
        <w:t xml:space="preserve"> significati</w:t>
      </w:r>
      <w:r w:rsidR="00F537D6">
        <w:rPr>
          <w:lang w:val="fr-FR"/>
        </w:rPr>
        <w:t>f</w:t>
      </w:r>
      <w:r w:rsidR="0019145D">
        <w:rPr>
          <w:lang w:val="fr-FR"/>
        </w:rPr>
        <w:t xml:space="preserve">s sur l’efficacité de la mise en œuvre et l’évolution </w:t>
      </w:r>
      <w:r w:rsidR="00F537D6">
        <w:rPr>
          <w:lang w:val="fr-FR"/>
        </w:rPr>
        <w:t>du langage</w:t>
      </w:r>
      <w:r w:rsidR="0019145D">
        <w:rPr>
          <w:lang w:val="fr-FR"/>
        </w:rPr>
        <w:t xml:space="preserve"> autour de l’accès et du partage des avantages, compte tenu de la fréquentation du site Web.</w:t>
      </w:r>
    </w:p>
    <w:p w14:paraId="199359F7" w14:textId="4602F10D" w:rsidR="00CC35D7" w:rsidRPr="00124D03" w:rsidRDefault="004A33FE" w:rsidP="004A33FE">
      <w:pPr>
        <w:keepNext/>
        <w:keepLines/>
        <w:tabs>
          <w:tab w:val="clear" w:pos="567"/>
          <w:tab w:val="clear" w:pos="1134"/>
          <w:tab w:val="clear" w:pos="1701"/>
          <w:tab w:val="clear" w:pos="2268"/>
        </w:tabs>
        <w:spacing w:before="120" w:after="120"/>
        <w:jc w:val="left"/>
        <w:outlineLvl w:val="1"/>
        <w:rPr>
          <w:rFonts w:eastAsia="Times New Roman"/>
          <w:b/>
          <w:szCs w:val="24"/>
          <w:lang w:val="fr-FR"/>
        </w:rPr>
      </w:pPr>
      <w:r>
        <w:rPr>
          <w:rFonts w:eastAsia="Times New Roman"/>
          <w:b/>
          <w:szCs w:val="24"/>
          <w:lang w:val="fr-FR"/>
        </w:rPr>
        <w:t>Élé</w:t>
      </w:r>
      <w:r w:rsidRPr="00124D03">
        <w:rPr>
          <w:rFonts w:eastAsia="Times New Roman"/>
          <w:b/>
          <w:szCs w:val="24"/>
          <w:lang w:val="fr-FR"/>
        </w:rPr>
        <w:t xml:space="preserve">ment </w:t>
      </w:r>
      <w:r w:rsidR="00CC35D7" w:rsidRPr="00124D03">
        <w:rPr>
          <w:rFonts w:eastAsia="Times New Roman"/>
          <w:b/>
          <w:szCs w:val="24"/>
          <w:lang w:val="fr-FR"/>
        </w:rPr>
        <w:t>h)</w:t>
      </w:r>
      <w:r>
        <w:rPr>
          <w:rFonts w:eastAsia="Times New Roman"/>
          <w:b/>
          <w:szCs w:val="24"/>
          <w:lang w:val="fr-FR"/>
        </w:rPr>
        <w:t> </w:t>
      </w:r>
      <w:r w:rsidR="00CC35D7" w:rsidRPr="00124D03">
        <w:rPr>
          <w:rFonts w:eastAsia="Times New Roman"/>
          <w:b/>
          <w:szCs w:val="24"/>
          <w:lang w:val="fr-FR"/>
        </w:rPr>
        <w:t xml:space="preserve">: </w:t>
      </w:r>
      <w:r w:rsidR="00273273">
        <w:rPr>
          <w:rFonts w:eastAsia="Times New Roman"/>
          <w:b/>
          <w:szCs w:val="24"/>
          <w:lang w:val="fr-FR"/>
        </w:rPr>
        <w:t>É</w:t>
      </w:r>
      <w:r w:rsidRPr="004A33FE">
        <w:rPr>
          <w:rFonts w:eastAsia="Times New Roman"/>
          <w:b/>
          <w:szCs w:val="24"/>
          <w:lang w:val="fr-FR"/>
        </w:rPr>
        <w:t xml:space="preserve">tat d’avancement de </w:t>
      </w:r>
      <w:r w:rsidR="00F537D6">
        <w:rPr>
          <w:rFonts w:eastAsia="Times New Roman"/>
          <w:b/>
          <w:szCs w:val="24"/>
          <w:lang w:val="fr-FR"/>
        </w:rPr>
        <w:t>la mise en œuvre</w:t>
      </w:r>
      <w:r w:rsidRPr="004A33FE">
        <w:rPr>
          <w:rFonts w:eastAsia="Times New Roman"/>
          <w:b/>
          <w:szCs w:val="24"/>
          <w:lang w:val="fr-FR"/>
        </w:rPr>
        <w:t xml:space="preserve"> de l’article</w:t>
      </w:r>
      <w:r w:rsidR="00132CD2">
        <w:rPr>
          <w:rFonts w:eastAsia="Times New Roman"/>
          <w:b/>
          <w:szCs w:val="24"/>
          <w:lang w:val="fr-FR"/>
        </w:rPr>
        <w:t> </w:t>
      </w:r>
      <w:r w:rsidRPr="004A33FE">
        <w:rPr>
          <w:rFonts w:eastAsia="Times New Roman"/>
          <w:b/>
          <w:szCs w:val="24"/>
          <w:lang w:val="fr-FR"/>
        </w:rPr>
        <w:t>10,</w:t>
      </w:r>
      <w:r>
        <w:rPr>
          <w:rFonts w:eastAsia="Times New Roman"/>
          <w:b/>
          <w:szCs w:val="24"/>
          <w:lang w:val="fr-FR"/>
        </w:rPr>
        <w:t xml:space="preserve"> </w:t>
      </w:r>
      <w:r w:rsidRPr="004A33FE">
        <w:rPr>
          <w:rFonts w:eastAsia="Times New Roman"/>
          <w:b/>
          <w:szCs w:val="24"/>
          <w:lang w:val="fr-FR"/>
        </w:rPr>
        <w:t>relatif à un mécanisme multilatéral mondial de partage</w:t>
      </w:r>
      <w:r>
        <w:rPr>
          <w:rFonts w:eastAsia="Times New Roman"/>
          <w:b/>
          <w:szCs w:val="24"/>
          <w:lang w:val="fr-FR"/>
        </w:rPr>
        <w:t xml:space="preserve"> </w:t>
      </w:r>
      <w:r w:rsidRPr="004A33FE">
        <w:rPr>
          <w:rFonts w:eastAsia="Times New Roman"/>
          <w:b/>
          <w:szCs w:val="24"/>
          <w:lang w:val="fr-FR"/>
        </w:rPr>
        <w:t>des avantages</w:t>
      </w:r>
    </w:p>
    <w:p w14:paraId="44EF1DAA" w14:textId="2B88423E" w:rsidR="00CC35D7" w:rsidRPr="00124D03" w:rsidRDefault="00E50016">
      <w:pPr>
        <w:pStyle w:val="CBDNormalNumber"/>
        <w:numPr>
          <w:ilvl w:val="0"/>
          <w:numId w:val="19"/>
        </w:numPr>
        <w:ind w:left="540"/>
        <w:rPr>
          <w:lang w:val="fr-FR"/>
        </w:rPr>
      </w:pPr>
      <w:r>
        <w:rPr>
          <w:lang w:val="fr-FR"/>
        </w:rPr>
        <w:t xml:space="preserve">À sa cinquième réunion, la Conférence des Parties siégeant en tant que réunion des Parties au Protocole de Nagoya n’a pas demandé que davantage de travaux soient entrepris sur l’article 10 dans la période intersessions et a décidé que, à sa sixième réunion, elle réexaminerait la question de la </w:t>
      </w:r>
      <w:r>
        <w:rPr>
          <w:lang w:val="fr-FR"/>
        </w:rPr>
        <w:lastRenderedPageBreak/>
        <w:t xml:space="preserve">nécessité et des modalités d’un mécanisme multilatéral mondial de partage des avantages, tel que décrit à l’article 10 du Protocole de Nagoya, en tenant compte de l’analyse et du résumé des informations </w:t>
      </w:r>
      <w:r w:rsidR="00F537D6">
        <w:rPr>
          <w:lang w:val="fr-FR"/>
        </w:rPr>
        <w:t>en vue du</w:t>
      </w:r>
      <w:r>
        <w:rPr>
          <w:lang w:val="fr-FR"/>
        </w:rPr>
        <w:t xml:space="preserve"> deuxième exercice d’évaluation et d’examen du Protocole </w:t>
      </w:r>
      <w:r w:rsidR="00CC35D7" w:rsidRPr="00124D03">
        <w:rPr>
          <w:lang w:val="fr-FR"/>
        </w:rPr>
        <w:t>(</w:t>
      </w:r>
      <w:r w:rsidRPr="00124D03">
        <w:rPr>
          <w:color w:val="0000FF"/>
          <w:u w:val="single"/>
          <w:lang w:val="fr-FR"/>
        </w:rPr>
        <w:t>décision</w:t>
      </w:r>
      <w:r w:rsidR="00731CC6" w:rsidRPr="00124D03">
        <w:rPr>
          <w:color w:val="0000FF"/>
          <w:u w:val="single"/>
          <w:lang w:val="fr-FR"/>
        </w:rPr>
        <w:t xml:space="preserve"> </w:t>
      </w:r>
      <w:hyperlink r:id="rId30" w:history="1">
        <w:r w:rsidR="00731CC6" w:rsidRPr="00124D03">
          <w:rPr>
            <w:rStyle w:val="Hyperlink"/>
            <w:lang w:val="fr-FR"/>
          </w:rPr>
          <w:t>NP-5/7</w:t>
        </w:r>
      </w:hyperlink>
      <w:r w:rsidR="00CC35D7" w:rsidRPr="00124D03">
        <w:rPr>
          <w:lang w:val="fr-FR"/>
        </w:rPr>
        <w:t xml:space="preserve">). </w:t>
      </w:r>
    </w:p>
    <w:p w14:paraId="7429A402" w14:textId="1E86BF1C" w:rsidR="00CC35D7" w:rsidRPr="00124D03" w:rsidRDefault="004A33FE" w:rsidP="004A33FE">
      <w:pPr>
        <w:keepNext/>
        <w:keepLines/>
        <w:tabs>
          <w:tab w:val="clear" w:pos="567"/>
          <w:tab w:val="clear" w:pos="1134"/>
          <w:tab w:val="clear" w:pos="1701"/>
          <w:tab w:val="clear" w:pos="2268"/>
        </w:tabs>
        <w:spacing w:before="120" w:after="120"/>
        <w:outlineLvl w:val="1"/>
        <w:rPr>
          <w:rFonts w:eastAsia="Times New Roman"/>
          <w:b/>
          <w:szCs w:val="24"/>
          <w:lang w:val="fr-FR"/>
        </w:rPr>
      </w:pPr>
      <w:r>
        <w:rPr>
          <w:rFonts w:eastAsia="Times New Roman"/>
          <w:b/>
          <w:szCs w:val="24"/>
          <w:lang w:val="fr-FR"/>
        </w:rPr>
        <w:t>Élé</w:t>
      </w:r>
      <w:r w:rsidRPr="00124D03">
        <w:rPr>
          <w:rFonts w:eastAsia="Times New Roman"/>
          <w:b/>
          <w:szCs w:val="24"/>
          <w:lang w:val="fr-FR"/>
        </w:rPr>
        <w:t xml:space="preserve">ment </w:t>
      </w:r>
      <w:r w:rsidR="00CC35D7" w:rsidRPr="00124D03">
        <w:rPr>
          <w:rFonts w:eastAsia="Times New Roman"/>
          <w:b/>
          <w:szCs w:val="24"/>
          <w:lang w:val="fr-FR"/>
        </w:rPr>
        <w:t>i)</w:t>
      </w:r>
      <w:r>
        <w:rPr>
          <w:rFonts w:eastAsia="Times New Roman"/>
          <w:b/>
          <w:szCs w:val="24"/>
          <w:lang w:val="fr-FR"/>
        </w:rPr>
        <w:t> </w:t>
      </w:r>
      <w:r w:rsidR="00CC35D7" w:rsidRPr="00124D03">
        <w:rPr>
          <w:rFonts w:eastAsia="Times New Roman"/>
          <w:b/>
          <w:szCs w:val="24"/>
          <w:lang w:val="fr-FR"/>
        </w:rPr>
        <w:t xml:space="preserve">: </w:t>
      </w:r>
      <w:r w:rsidR="00273273">
        <w:rPr>
          <w:rFonts w:eastAsia="Times New Roman"/>
          <w:b/>
          <w:szCs w:val="24"/>
          <w:lang w:val="fr-FR"/>
        </w:rPr>
        <w:t>É</w:t>
      </w:r>
      <w:r w:rsidRPr="004A33FE">
        <w:rPr>
          <w:rFonts w:eastAsia="Times New Roman"/>
          <w:b/>
          <w:szCs w:val="24"/>
          <w:lang w:val="fr-FR"/>
        </w:rPr>
        <w:t xml:space="preserve">tat d’avancement de </w:t>
      </w:r>
      <w:r w:rsidR="00B26EF4">
        <w:rPr>
          <w:rFonts w:eastAsia="Times New Roman"/>
          <w:b/>
          <w:szCs w:val="24"/>
          <w:lang w:val="fr-FR"/>
        </w:rPr>
        <w:t>la mise en œuvre</w:t>
      </w:r>
      <w:r w:rsidRPr="004A33FE">
        <w:rPr>
          <w:rFonts w:eastAsia="Times New Roman"/>
          <w:b/>
          <w:szCs w:val="24"/>
          <w:lang w:val="fr-FR"/>
        </w:rPr>
        <w:t xml:space="preserve"> de l’article</w:t>
      </w:r>
      <w:r w:rsidR="00132CD2">
        <w:rPr>
          <w:rFonts w:eastAsia="Times New Roman"/>
          <w:b/>
          <w:szCs w:val="24"/>
          <w:lang w:val="fr-FR"/>
        </w:rPr>
        <w:t> </w:t>
      </w:r>
      <w:r w:rsidRPr="004A33FE">
        <w:rPr>
          <w:rFonts w:eastAsia="Times New Roman"/>
          <w:b/>
          <w:szCs w:val="24"/>
          <w:lang w:val="fr-FR"/>
        </w:rPr>
        <w:t>23,</w:t>
      </w:r>
      <w:r>
        <w:rPr>
          <w:rFonts w:eastAsia="Times New Roman"/>
          <w:b/>
          <w:szCs w:val="24"/>
          <w:lang w:val="fr-FR"/>
        </w:rPr>
        <w:t xml:space="preserve"> </w:t>
      </w:r>
      <w:r w:rsidRPr="004A33FE">
        <w:rPr>
          <w:rFonts w:eastAsia="Times New Roman"/>
          <w:b/>
          <w:szCs w:val="24"/>
          <w:lang w:val="fr-FR"/>
        </w:rPr>
        <w:t>relatif au transfert de technologie, à la collaboration et</w:t>
      </w:r>
      <w:r>
        <w:rPr>
          <w:rFonts w:eastAsia="Times New Roman"/>
          <w:b/>
          <w:szCs w:val="24"/>
          <w:lang w:val="fr-FR"/>
        </w:rPr>
        <w:t xml:space="preserve"> </w:t>
      </w:r>
      <w:r w:rsidRPr="004A33FE">
        <w:rPr>
          <w:rFonts w:eastAsia="Times New Roman"/>
          <w:b/>
          <w:szCs w:val="24"/>
          <w:lang w:val="fr-FR"/>
        </w:rPr>
        <w:t>à la coopération</w:t>
      </w:r>
    </w:p>
    <w:p w14:paraId="7C85DFE0" w14:textId="2AEDC918" w:rsidR="00CC35D7" w:rsidRPr="00124D03" w:rsidRDefault="00B612AB">
      <w:pPr>
        <w:pStyle w:val="CBDNormalNumber"/>
        <w:numPr>
          <w:ilvl w:val="0"/>
          <w:numId w:val="19"/>
        </w:numPr>
        <w:ind w:left="540"/>
        <w:rPr>
          <w:lang w:val="fr-FR"/>
        </w:rPr>
      </w:pPr>
      <w:r>
        <w:rPr>
          <w:lang w:val="fr-FR"/>
        </w:rPr>
        <w:t xml:space="preserve">Les transferts de technologies surviennent à la fois dans le cadre du partage des </w:t>
      </w:r>
      <w:r w:rsidR="00052AAD">
        <w:rPr>
          <w:lang w:val="fr-FR"/>
        </w:rPr>
        <w:t>avantages</w:t>
      </w:r>
      <w:r>
        <w:rPr>
          <w:lang w:val="fr-FR"/>
        </w:rPr>
        <w:t xml:space="preserve"> </w:t>
      </w:r>
      <w:r w:rsidR="00B26EF4">
        <w:rPr>
          <w:lang w:val="fr-FR"/>
        </w:rPr>
        <w:t xml:space="preserve">dans des conditions </w:t>
      </w:r>
      <w:r>
        <w:rPr>
          <w:lang w:val="fr-FR"/>
        </w:rPr>
        <w:t>convenu</w:t>
      </w:r>
      <w:r w:rsidR="00B26EF4">
        <w:rPr>
          <w:lang w:val="fr-FR"/>
        </w:rPr>
        <w:t>es</w:t>
      </w:r>
      <w:r>
        <w:rPr>
          <w:lang w:val="fr-FR"/>
        </w:rPr>
        <w:t xml:space="preserve"> d’un commun accord et de mécanismes de coopération </w:t>
      </w:r>
      <w:r w:rsidR="00B26EF4">
        <w:rPr>
          <w:lang w:val="fr-FR"/>
        </w:rPr>
        <w:t>dépassant le domaine de</w:t>
      </w:r>
      <w:r>
        <w:rPr>
          <w:lang w:val="fr-FR"/>
        </w:rPr>
        <w:t xml:space="preserve"> l’accès et </w:t>
      </w:r>
      <w:r w:rsidR="00B26EF4">
        <w:rPr>
          <w:lang w:val="fr-FR"/>
        </w:rPr>
        <w:t>du</w:t>
      </w:r>
      <w:r>
        <w:rPr>
          <w:lang w:val="fr-FR"/>
        </w:rPr>
        <w:t xml:space="preserve"> partage des avantages</w:t>
      </w:r>
      <w:r w:rsidR="00B26EF4">
        <w:rPr>
          <w:lang w:val="fr-FR"/>
        </w:rPr>
        <w:t xml:space="preserve"> et portant</w:t>
      </w:r>
      <w:r>
        <w:rPr>
          <w:lang w:val="fr-FR"/>
        </w:rPr>
        <w:t xml:space="preserve"> notamment</w:t>
      </w:r>
      <w:r w:rsidR="00B26EF4">
        <w:rPr>
          <w:lang w:val="fr-FR"/>
        </w:rPr>
        <w:t xml:space="preserve"> sur</w:t>
      </w:r>
      <w:r>
        <w:rPr>
          <w:lang w:val="fr-FR"/>
        </w:rPr>
        <w:t xml:space="preserve"> la coopération en matière de recherche, les initiatives de création et de renforcement des capacités et les partenariats techniques.</w:t>
      </w:r>
    </w:p>
    <w:p w14:paraId="36EA9E05" w14:textId="1515DFAA" w:rsidR="00CC35D7" w:rsidRPr="00124D03" w:rsidRDefault="00A647E1">
      <w:pPr>
        <w:pStyle w:val="CBDNormalNumber"/>
        <w:numPr>
          <w:ilvl w:val="0"/>
          <w:numId w:val="19"/>
        </w:numPr>
        <w:ind w:left="540"/>
        <w:rPr>
          <w:lang w:val="fr-FR"/>
        </w:rPr>
      </w:pPr>
      <w:r>
        <w:rPr>
          <w:lang w:val="fr-FR"/>
        </w:rPr>
        <w:t>Créer et mettre en œuvre des instruments politiques, des mesures d’accès et de partage des avantages</w:t>
      </w:r>
      <w:r w:rsidR="00927E6F">
        <w:rPr>
          <w:lang w:val="fr-FR"/>
        </w:rPr>
        <w:t xml:space="preserve"> et des modèles ou des clauses contractuelles types qui appuient l’intégration de dispositions de transfert de technologies dans les accords d’accès et de partage des avantages peut faire partie d’un objectif politique général de renforcement des capacités </w:t>
      </w:r>
      <w:r w:rsidR="000215B4">
        <w:rPr>
          <w:lang w:val="fr-FR"/>
        </w:rPr>
        <w:t>de</w:t>
      </w:r>
      <w:r w:rsidR="00927E6F">
        <w:rPr>
          <w:lang w:val="fr-FR"/>
        </w:rPr>
        <w:t xml:space="preserve"> recherche-développement endogène fondée sur la biodiversité pour ajouter de la valeur aux ressources génétiques, </w:t>
      </w:r>
      <w:r w:rsidR="002C42A4">
        <w:rPr>
          <w:lang w:val="fr-FR"/>
        </w:rPr>
        <w:t xml:space="preserve">selon les </w:t>
      </w:r>
      <w:r w:rsidR="00927E6F">
        <w:rPr>
          <w:lang w:val="fr-FR"/>
        </w:rPr>
        <w:t>priorités et aux circonstances de chaque pays.</w:t>
      </w:r>
    </w:p>
    <w:p w14:paraId="20360D3D" w14:textId="51E362DF" w:rsidR="000D2BD6" w:rsidRPr="00124D03" w:rsidRDefault="004A33FE" w:rsidP="004A33FE">
      <w:pPr>
        <w:tabs>
          <w:tab w:val="left" w:pos="2835"/>
          <w:tab w:val="left" w:pos="3402"/>
          <w:tab w:val="left" w:pos="3969"/>
        </w:tabs>
        <w:spacing w:before="120" w:after="120"/>
        <w:rPr>
          <w:rFonts w:eastAsia="Times New Roman"/>
          <w:b/>
          <w:bCs/>
          <w:szCs w:val="24"/>
          <w:lang w:val="fr-FR"/>
        </w:rPr>
      </w:pPr>
      <w:r>
        <w:rPr>
          <w:rFonts w:eastAsia="Times New Roman"/>
          <w:b/>
          <w:szCs w:val="24"/>
          <w:lang w:val="fr-FR"/>
        </w:rPr>
        <w:t>Élé</w:t>
      </w:r>
      <w:r w:rsidRPr="00124D03">
        <w:rPr>
          <w:rFonts w:eastAsia="Times New Roman"/>
          <w:b/>
          <w:szCs w:val="24"/>
          <w:lang w:val="fr-FR"/>
        </w:rPr>
        <w:t xml:space="preserve">ment </w:t>
      </w:r>
      <w:r w:rsidR="000D2BD6" w:rsidRPr="00124D03">
        <w:rPr>
          <w:rFonts w:eastAsia="Times New Roman"/>
          <w:b/>
          <w:bCs/>
          <w:szCs w:val="24"/>
          <w:lang w:val="fr-FR"/>
        </w:rPr>
        <w:t>j)</w:t>
      </w:r>
      <w:r>
        <w:rPr>
          <w:rFonts w:eastAsia="Times New Roman"/>
          <w:b/>
          <w:bCs/>
          <w:szCs w:val="24"/>
          <w:lang w:val="fr-FR"/>
        </w:rPr>
        <w:t> </w:t>
      </w:r>
      <w:r w:rsidR="002C5F8D" w:rsidRPr="00124D03">
        <w:rPr>
          <w:rFonts w:eastAsia="Times New Roman"/>
          <w:b/>
          <w:bCs/>
          <w:szCs w:val="24"/>
          <w:lang w:val="fr-FR"/>
        </w:rPr>
        <w:t>:</w:t>
      </w:r>
      <w:r w:rsidR="000D2BD6" w:rsidRPr="00124D03">
        <w:rPr>
          <w:rFonts w:eastAsia="Times New Roman"/>
          <w:b/>
          <w:bCs/>
          <w:szCs w:val="24"/>
          <w:lang w:val="fr-FR"/>
        </w:rPr>
        <w:t xml:space="preserve"> </w:t>
      </w:r>
      <w:r w:rsidRPr="004A33FE">
        <w:rPr>
          <w:rFonts w:eastAsia="Times New Roman"/>
          <w:b/>
          <w:bCs/>
          <w:szCs w:val="24"/>
          <w:lang w:val="fr-FR"/>
        </w:rPr>
        <w:t>Examen préliminaire des procédures et mécanismes</w:t>
      </w:r>
      <w:r>
        <w:rPr>
          <w:rFonts w:eastAsia="Times New Roman"/>
          <w:b/>
          <w:bCs/>
          <w:szCs w:val="24"/>
          <w:lang w:val="fr-FR"/>
        </w:rPr>
        <w:t xml:space="preserve"> </w:t>
      </w:r>
      <w:r w:rsidRPr="004A33FE">
        <w:rPr>
          <w:rFonts w:eastAsia="Times New Roman"/>
          <w:b/>
          <w:bCs/>
          <w:szCs w:val="24"/>
          <w:lang w:val="fr-FR"/>
        </w:rPr>
        <w:t>de respect des obligations (article</w:t>
      </w:r>
      <w:r>
        <w:rPr>
          <w:rFonts w:eastAsia="Times New Roman"/>
          <w:b/>
          <w:bCs/>
          <w:szCs w:val="24"/>
          <w:lang w:val="fr-FR"/>
        </w:rPr>
        <w:t> </w:t>
      </w:r>
      <w:r w:rsidRPr="004A33FE">
        <w:rPr>
          <w:rFonts w:eastAsia="Times New Roman"/>
          <w:b/>
          <w:bCs/>
          <w:szCs w:val="24"/>
          <w:lang w:val="fr-FR"/>
        </w:rPr>
        <w:t>30)</w:t>
      </w:r>
    </w:p>
    <w:p w14:paraId="00BC9998" w14:textId="178FF97B" w:rsidR="00211531" w:rsidRPr="00E03AEF" w:rsidRDefault="00E03AEF" w:rsidP="00E03AEF">
      <w:pPr>
        <w:pStyle w:val="CBDNormalNumber"/>
        <w:numPr>
          <w:ilvl w:val="0"/>
          <w:numId w:val="19"/>
        </w:numPr>
        <w:rPr>
          <w:rFonts w:eastAsia="Times New Roman"/>
          <w:szCs w:val="24"/>
          <w:lang w:val="fr-FR"/>
        </w:rPr>
        <w:sectPr w:rsidR="00211531" w:rsidRPr="00E03AEF" w:rsidSect="00687928">
          <w:headerReference w:type="even" r:id="rId31"/>
          <w:headerReference w:type="default" r:id="rId32"/>
          <w:footerReference w:type="even" r:id="rId33"/>
          <w:footerReference w:type="default" r:id="rId34"/>
          <w:pgSz w:w="12240" w:h="15840" w:code="1"/>
          <w:pgMar w:top="1021" w:right="1440" w:bottom="1134" w:left="1440" w:header="720" w:footer="720" w:gutter="0"/>
          <w:cols w:space="720"/>
          <w:noEndnote/>
          <w:titlePg/>
          <w:docGrid w:linePitch="299"/>
        </w:sectPr>
      </w:pPr>
      <w:r w:rsidRPr="007E6D7B">
        <w:rPr>
          <w:rFonts w:eastAsia="Times New Roman"/>
          <w:szCs w:val="24"/>
          <w:lang w:val="fr-FR"/>
        </w:rPr>
        <w:t>L</w:t>
      </w:r>
      <w:r>
        <w:rPr>
          <w:rFonts w:eastAsia="Times New Roman"/>
          <w:szCs w:val="24"/>
          <w:lang w:val="fr-FR"/>
        </w:rPr>
        <w:t>’</w:t>
      </w:r>
      <w:r w:rsidRPr="007E6D7B">
        <w:rPr>
          <w:rFonts w:eastAsia="Times New Roman"/>
          <w:szCs w:val="24"/>
          <w:lang w:val="fr-FR"/>
        </w:rPr>
        <w:t xml:space="preserve">expérience acquise en matière de procédures et de mécanismes de </w:t>
      </w:r>
      <w:r w:rsidR="003C2334">
        <w:rPr>
          <w:rFonts w:eastAsia="Times New Roman"/>
          <w:szCs w:val="24"/>
          <w:lang w:val="fr-FR"/>
        </w:rPr>
        <w:t>respect des obligations</w:t>
      </w:r>
      <w:r w:rsidRPr="007E6D7B">
        <w:rPr>
          <w:rFonts w:eastAsia="Times New Roman"/>
          <w:szCs w:val="24"/>
          <w:lang w:val="fr-FR"/>
        </w:rPr>
        <w:t>, y compris le Comité chargé du respect des obligations, étant encore relativement limitée, il serait prématuré d</w:t>
      </w:r>
      <w:r>
        <w:rPr>
          <w:rFonts w:eastAsia="Times New Roman"/>
          <w:szCs w:val="24"/>
          <w:lang w:val="fr-FR"/>
        </w:rPr>
        <w:t>’</w:t>
      </w:r>
      <w:r w:rsidRPr="007E6D7B">
        <w:rPr>
          <w:rFonts w:eastAsia="Times New Roman"/>
          <w:szCs w:val="24"/>
          <w:lang w:val="fr-FR"/>
        </w:rPr>
        <w:t xml:space="preserve">apporter des modifications à ce stade. Les procédures et mécanismes de </w:t>
      </w:r>
      <w:r w:rsidR="003C2334">
        <w:rPr>
          <w:rFonts w:eastAsia="Times New Roman"/>
          <w:szCs w:val="24"/>
          <w:lang w:val="fr-FR"/>
        </w:rPr>
        <w:t>respect des obligations</w:t>
      </w:r>
      <w:r w:rsidRPr="007E6D7B">
        <w:rPr>
          <w:rFonts w:eastAsia="Times New Roman"/>
          <w:szCs w:val="24"/>
          <w:lang w:val="fr-FR"/>
        </w:rPr>
        <w:t xml:space="preserve"> font encore l</w:t>
      </w:r>
      <w:r>
        <w:rPr>
          <w:rFonts w:eastAsia="Times New Roman"/>
          <w:szCs w:val="24"/>
          <w:lang w:val="fr-FR"/>
        </w:rPr>
        <w:t>’</w:t>
      </w:r>
      <w:r w:rsidRPr="007E6D7B">
        <w:rPr>
          <w:rFonts w:eastAsia="Times New Roman"/>
          <w:szCs w:val="24"/>
          <w:lang w:val="fr-FR"/>
        </w:rPr>
        <w:t>objet d</w:t>
      </w:r>
      <w:r>
        <w:rPr>
          <w:rFonts w:eastAsia="Times New Roman"/>
          <w:szCs w:val="24"/>
          <w:lang w:val="fr-FR"/>
        </w:rPr>
        <w:t>’</w:t>
      </w:r>
      <w:r w:rsidRPr="007E6D7B">
        <w:rPr>
          <w:rFonts w:eastAsia="Times New Roman"/>
          <w:szCs w:val="24"/>
          <w:lang w:val="fr-FR"/>
        </w:rPr>
        <w:t>une analyse en tant qu</w:t>
      </w:r>
      <w:r>
        <w:rPr>
          <w:rFonts w:eastAsia="Times New Roman"/>
          <w:szCs w:val="24"/>
          <w:lang w:val="fr-FR"/>
        </w:rPr>
        <w:t>’</w:t>
      </w:r>
      <w:r w:rsidRPr="007E6D7B">
        <w:rPr>
          <w:rFonts w:eastAsia="Times New Roman"/>
          <w:szCs w:val="24"/>
          <w:lang w:val="fr-FR"/>
        </w:rPr>
        <w:t>outils destinés à fournir un appui aux Parties dans leur effort pour s</w:t>
      </w:r>
      <w:r>
        <w:rPr>
          <w:rFonts w:eastAsia="Times New Roman"/>
          <w:szCs w:val="24"/>
          <w:lang w:val="fr-FR"/>
        </w:rPr>
        <w:t>’</w:t>
      </w:r>
      <w:r w:rsidRPr="007E6D7B">
        <w:rPr>
          <w:rFonts w:eastAsia="Times New Roman"/>
          <w:szCs w:val="24"/>
          <w:lang w:val="fr-FR"/>
        </w:rPr>
        <w:t xml:space="preserve">acquitter des obligations qui leur incombent en vertu du Protocole. Accroître la visibilité de ces procédures et mécanismes pourrait favoriser la participation des Parties aux efforts déployés par le Comité pour </w:t>
      </w:r>
      <w:r w:rsidR="003C2334">
        <w:rPr>
          <w:rFonts w:eastAsia="Times New Roman"/>
          <w:szCs w:val="24"/>
          <w:lang w:val="fr-FR"/>
        </w:rPr>
        <w:t>appuyer</w:t>
      </w:r>
      <w:r w:rsidRPr="007E6D7B">
        <w:rPr>
          <w:rFonts w:eastAsia="Times New Roman"/>
          <w:szCs w:val="24"/>
          <w:lang w:val="fr-FR"/>
        </w:rPr>
        <w:t xml:space="preserve"> le respect des obligations.</w:t>
      </w:r>
    </w:p>
    <w:p w14:paraId="09ED0C3D" w14:textId="2862E66D" w:rsidR="001D1325" w:rsidRPr="00124D03" w:rsidRDefault="001D1325" w:rsidP="00622EA4">
      <w:pPr>
        <w:pStyle w:val="CBDAnnex"/>
        <w:rPr>
          <w:lang w:val="fr-FR"/>
        </w:rPr>
      </w:pPr>
      <w:r w:rsidRPr="00124D03">
        <w:rPr>
          <w:lang w:val="fr-FR"/>
        </w:rPr>
        <w:lastRenderedPageBreak/>
        <w:t>Annex</w:t>
      </w:r>
      <w:r w:rsidR="007E3050">
        <w:rPr>
          <w:lang w:val="fr-FR"/>
        </w:rPr>
        <w:t>e</w:t>
      </w:r>
      <w:r w:rsidR="002C5F8D" w:rsidRPr="00124D03">
        <w:rPr>
          <w:lang w:val="fr-FR"/>
        </w:rPr>
        <w:t> </w:t>
      </w:r>
      <w:r w:rsidRPr="00124D03">
        <w:rPr>
          <w:lang w:val="fr-FR"/>
        </w:rPr>
        <w:t>II</w:t>
      </w:r>
    </w:p>
    <w:p w14:paraId="312B786C" w14:textId="58249170" w:rsidR="00903128" w:rsidRPr="00124D03" w:rsidRDefault="00C51BAC" w:rsidP="00622EA4">
      <w:pPr>
        <w:pStyle w:val="CBDAnnex"/>
        <w:rPr>
          <w:lang w:val="fr-FR"/>
        </w:rPr>
      </w:pPr>
      <w:r>
        <w:rPr>
          <w:lang w:val="fr-FR"/>
        </w:rPr>
        <w:t>Me</w:t>
      </w:r>
      <w:r w:rsidR="00132CD2">
        <w:rPr>
          <w:lang w:val="fr-FR"/>
        </w:rPr>
        <w:t>s</w:t>
      </w:r>
      <w:r>
        <w:rPr>
          <w:lang w:val="fr-FR"/>
        </w:rPr>
        <w:t>ures indicatives pouvant être prises au niveau national pour améliorer la mise en œuvre du Protocole de Nagoya</w:t>
      </w:r>
    </w:p>
    <w:p w14:paraId="34AC92D4" w14:textId="0D3C18A8" w:rsidR="00525C96" w:rsidRPr="00124D03" w:rsidRDefault="00C51BAC" w:rsidP="006B144A">
      <w:pPr>
        <w:pStyle w:val="ListParagraph"/>
        <w:ind w:left="567"/>
        <w:rPr>
          <w:lang w:val="fr-FR"/>
        </w:rPr>
      </w:pPr>
      <w:r>
        <w:rPr>
          <w:lang w:val="fr-FR"/>
        </w:rPr>
        <w:t>Ci-dessous figure une liste des mesures indicatives pouvant être prises au niveau national, selon qu’il conviendra et selon les circonstances et priorités de chaque pays, pour améliorer la mise en œuvre du Protocole de Nagoya, sur la base des expériences et des leçons tirées et en vue de faire face aux difficultés recensées.</w:t>
      </w:r>
    </w:p>
    <w:p w14:paraId="0E23685E" w14:textId="141031A1" w:rsidR="00903128" w:rsidRPr="00124D03" w:rsidRDefault="00903128" w:rsidP="00C546FC">
      <w:pPr>
        <w:pStyle w:val="CBDNormalNumber"/>
        <w:ind w:left="567"/>
        <w:jc w:val="left"/>
        <w:rPr>
          <w:sz w:val="10"/>
          <w:szCs w:val="10"/>
          <w:lang w:val="fr-FR"/>
        </w:rPr>
      </w:pPr>
    </w:p>
    <w:tbl>
      <w:tblPr>
        <w:tblStyle w:val="TableGrid20"/>
        <w:tblW w:w="0" w:type="auto"/>
        <w:tblLayout w:type="fixed"/>
        <w:tblLook w:val="04A0" w:firstRow="1" w:lastRow="0" w:firstColumn="1" w:lastColumn="0" w:noHBand="0" w:noVBand="1"/>
      </w:tblPr>
      <w:tblGrid>
        <w:gridCol w:w="1555"/>
        <w:gridCol w:w="5953"/>
        <w:gridCol w:w="5954"/>
      </w:tblGrid>
      <w:tr w:rsidR="00633908" w:rsidRPr="00124D03" w14:paraId="4C4E12C0" w14:textId="77777777" w:rsidTr="00AD184A">
        <w:tc>
          <w:tcPr>
            <w:tcW w:w="1555" w:type="dxa"/>
          </w:tcPr>
          <w:p w14:paraId="5E5D14DD" w14:textId="18A4AFDF" w:rsidR="00633908" w:rsidRPr="00124D03" w:rsidRDefault="00565E44" w:rsidP="00C546FC">
            <w:pPr>
              <w:tabs>
                <w:tab w:val="clear" w:pos="567"/>
                <w:tab w:val="clear" w:pos="1134"/>
                <w:tab w:val="clear" w:pos="1701"/>
                <w:tab w:val="clear" w:pos="2268"/>
              </w:tabs>
              <w:jc w:val="left"/>
              <w:rPr>
                <w:rFonts w:eastAsia="DengXian"/>
                <w:bCs/>
                <w:i/>
                <w:iCs/>
                <w:kern w:val="2"/>
                <w:sz w:val="20"/>
                <w:szCs w:val="20"/>
                <w:lang w:val="fr-FR"/>
                <w14:ligatures w14:val="standardContextual"/>
              </w:rPr>
            </w:pPr>
            <w:r>
              <w:rPr>
                <w:rFonts w:eastAsia="DengXian"/>
                <w:bCs/>
                <w:i/>
                <w:iCs/>
                <w:kern w:val="2"/>
                <w:sz w:val="20"/>
                <w:szCs w:val="20"/>
                <w:lang w:val="fr-FR"/>
                <w14:ligatures w14:val="standardContextual"/>
              </w:rPr>
              <w:t>Sujet</w:t>
            </w:r>
          </w:p>
        </w:tc>
        <w:tc>
          <w:tcPr>
            <w:tcW w:w="5953" w:type="dxa"/>
          </w:tcPr>
          <w:p w14:paraId="33F6486A" w14:textId="07AEAAB5" w:rsidR="00633908" w:rsidRPr="00124D03" w:rsidRDefault="00565E44" w:rsidP="00211531">
            <w:pPr>
              <w:tabs>
                <w:tab w:val="clear" w:pos="567"/>
                <w:tab w:val="clear" w:pos="1134"/>
                <w:tab w:val="clear" w:pos="1701"/>
                <w:tab w:val="clear" w:pos="2268"/>
              </w:tabs>
              <w:jc w:val="center"/>
              <w:rPr>
                <w:rFonts w:eastAsia="DengXian"/>
                <w:bCs/>
                <w:i/>
                <w:iCs/>
                <w:kern w:val="2"/>
                <w:sz w:val="20"/>
                <w:szCs w:val="20"/>
                <w:lang w:val="fr-FR"/>
                <w14:ligatures w14:val="standardContextual"/>
              </w:rPr>
            </w:pPr>
            <w:r>
              <w:rPr>
                <w:rFonts w:eastAsia="DengXian"/>
                <w:bCs/>
                <w:i/>
                <w:iCs/>
                <w:kern w:val="2"/>
                <w:sz w:val="20"/>
                <w:szCs w:val="20"/>
                <w:lang w:val="fr-FR"/>
                <w14:ligatures w14:val="standardContextual"/>
              </w:rPr>
              <w:t>Mesures nationales</w:t>
            </w:r>
          </w:p>
        </w:tc>
        <w:tc>
          <w:tcPr>
            <w:tcW w:w="5954" w:type="dxa"/>
          </w:tcPr>
          <w:p w14:paraId="0A44DF8E" w14:textId="76601F7D" w:rsidR="00633908" w:rsidRPr="00124D03" w:rsidRDefault="00565E44" w:rsidP="00211531">
            <w:pPr>
              <w:tabs>
                <w:tab w:val="clear" w:pos="567"/>
                <w:tab w:val="clear" w:pos="1134"/>
                <w:tab w:val="clear" w:pos="1701"/>
                <w:tab w:val="clear" w:pos="2268"/>
              </w:tabs>
              <w:jc w:val="center"/>
              <w:rPr>
                <w:rFonts w:eastAsia="DengXian"/>
                <w:bCs/>
                <w:i/>
                <w:iCs/>
                <w:kern w:val="2"/>
                <w:sz w:val="20"/>
                <w:szCs w:val="20"/>
                <w:lang w:val="fr-FR"/>
                <w14:ligatures w14:val="standardContextual"/>
              </w:rPr>
            </w:pPr>
            <w:r>
              <w:rPr>
                <w:rFonts w:eastAsia="DengXian"/>
                <w:bCs/>
                <w:i/>
                <w:iCs/>
                <w:kern w:val="2"/>
                <w:sz w:val="20"/>
                <w:szCs w:val="20"/>
                <w:lang w:val="fr-FR"/>
                <w14:ligatures w14:val="standardContextual"/>
              </w:rPr>
              <w:t>Justification</w:t>
            </w:r>
            <w:r w:rsidR="00112699">
              <w:rPr>
                <w:rFonts w:eastAsia="DengXian"/>
                <w:bCs/>
                <w:i/>
                <w:iCs/>
                <w:kern w:val="2"/>
                <w:sz w:val="20"/>
                <w:szCs w:val="20"/>
                <w:lang w:val="fr-FR"/>
                <w14:ligatures w14:val="standardContextual"/>
              </w:rPr>
              <w:t>s</w:t>
            </w:r>
            <w:r w:rsidR="00633908" w:rsidRPr="00124D03">
              <w:rPr>
                <w:rFonts w:eastAsia="DengXian"/>
                <w:bCs/>
                <w:i/>
                <w:iCs/>
                <w:kern w:val="2"/>
                <w:sz w:val="20"/>
                <w:szCs w:val="20"/>
                <w:lang w:val="fr-FR"/>
                <w14:ligatures w14:val="standardContextual"/>
              </w:rPr>
              <w:t>/</w:t>
            </w:r>
            <w:r>
              <w:rPr>
                <w:rFonts w:eastAsia="DengXian"/>
                <w:bCs/>
                <w:i/>
                <w:iCs/>
                <w:kern w:val="2"/>
                <w:sz w:val="20"/>
                <w:szCs w:val="20"/>
                <w:lang w:val="fr-FR"/>
                <w14:ligatures w14:val="standardContextual"/>
              </w:rPr>
              <w:t>directives</w:t>
            </w:r>
          </w:p>
        </w:tc>
      </w:tr>
      <w:tr w:rsidR="00633908" w:rsidRPr="0096543B" w14:paraId="16C10557" w14:textId="77777777" w:rsidTr="00AD184A">
        <w:tc>
          <w:tcPr>
            <w:tcW w:w="1555" w:type="dxa"/>
            <w:vMerge w:val="restart"/>
          </w:tcPr>
          <w:p w14:paraId="6A322C5C" w14:textId="221C9B7F" w:rsidR="00633908" w:rsidRPr="00124D03" w:rsidRDefault="00AD184A"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Mesures d’accès et de partage des avantages</w:t>
            </w:r>
          </w:p>
        </w:tc>
        <w:tc>
          <w:tcPr>
            <w:tcW w:w="5953" w:type="dxa"/>
          </w:tcPr>
          <w:p w14:paraId="21DCB2BF" w14:textId="2C311E36" w:rsidR="00633908" w:rsidRPr="00124D03" w:rsidRDefault="00D9228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Créer une vision politique claire avant de rédiger des lois</w:t>
            </w:r>
          </w:p>
          <w:p w14:paraId="2AC1FD63" w14:textId="3B0B5586" w:rsidR="00633908" w:rsidRPr="00124D03" w:rsidRDefault="00D9228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Intégrer l’accès et le partage des avantages dans des approches politiques plus générales</w:t>
            </w:r>
          </w:p>
        </w:tc>
        <w:tc>
          <w:tcPr>
            <w:tcW w:w="5954" w:type="dxa"/>
          </w:tcPr>
          <w:p w14:paraId="6F229B0D" w14:textId="52D2F552" w:rsidR="00633908" w:rsidRPr="00124D03" w:rsidRDefault="00582027"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w:t>
            </w:r>
            <w:r w:rsidR="00911AC4">
              <w:rPr>
                <w:rFonts w:eastAsia="DengXian"/>
                <w:kern w:val="2"/>
                <w:sz w:val="20"/>
                <w:szCs w:val="20"/>
                <w:lang w:val="fr-FR"/>
                <w14:ligatures w14:val="standardContextual"/>
              </w:rPr>
              <w:t>enforcer la pertinence politique de l’accès et du partage des avantages</w:t>
            </w:r>
          </w:p>
        </w:tc>
      </w:tr>
      <w:tr w:rsidR="00633908" w:rsidRPr="0096543B" w14:paraId="55C48BFF" w14:textId="77777777" w:rsidTr="00AD184A">
        <w:tc>
          <w:tcPr>
            <w:tcW w:w="1555" w:type="dxa"/>
            <w:vMerge/>
          </w:tcPr>
          <w:p w14:paraId="05F68DB6" w14:textId="77777777" w:rsidR="00633908" w:rsidRPr="00124D03" w:rsidRDefault="00633908" w:rsidP="00211531">
            <w:pPr>
              <w:tabs>
                <w:tab w:val="clear" w:pos="567"/>
                <w:tab w:val="clear" w:pos="1134"/>
                <w:tab w:val="clear" w:pos="1701"/>
                <w:tab w:val="clear" w:pos="2268"/>
              </w:tabs>
              <w:jc w:val="left"/>
              <w:rPr>
                <w:rFonts w:eastAsia="DengXian"/>
                <w:b/>
                <w:kern w:val="2"/>
                <w:sz w:val="20"/>
                <w:szCs w:val="20"/>
                <w:lang w:val="fr-FR"/>
                <w14:ligatures w14:val="standardContextual"/>
              </w:rPr>
            </w:pPr>
          </w:p>
        </w:tc>
        <w:tc>
          <w:tcPr>
            <w:tcW w:w="5953" w:type="dxa"/>
          </w:tcPr>
          <w:p w14:paraId="5EA72DF2" w14:textId="2F85EC2A" w:rsidR="00633908" w:rsidRPr="00124D03" w:rsidRDefault="00D9228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Introduire une certaine souplesse dans les cadres </w:t>
            </w:r>
            <w:r w:rsidR="008B329E">
              <w:rPr>
                <w:rFonts w:eastAsia="DengXian"/>
                <w:kern w:val="2"/>
                <w:sz w:val="20"/>
                <w:szCs w:val="20"/>
                <w:lang w:val="fr-FR"/>
                <w14:ligatures w14:val="standardContextual"/>
              </w:rPr>
              <w:t>juridiques</w:t>
            </w:r>
            <w:r>
              <w:rPr>
                <w:rFonts w:eastAsia="DengXian"/>
                <w:kern w:val="2"/>
                <w:sz w:val="20"/>
                <w:szCs w:val="20"/>
                <w:lang w:val="fr-FR"/>
                <w14:ligatures w14:val="standardContextual"/>
              </w:rPr>
              <w:t>, par exemple en adoptant des mesures provisoires</w:t>
            </w:r>
          </w:p>
        </w:tc>
        <w:tc>
          <w:tcPr>
            <w:tcW w:w="5954" w:type="dxa"/>
          </w:tcPr>
          <w:p w14:paraId="4E9A8AE9" w14:textId="17B53E08" w:rsidR="00633908" w:rsidRPr="00124D03" w:rsidRDefault="00582027"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w:t>
            </w:r>
            <w:r w:rsidR="00911AC4">
              <w:rPr>
                <w:rFonts w:eastAsia="DengXian"/>
                <w:kern w:val="2"/>
                <w:sz w:val="20"/>
                <w:szCs w:val="20"/>
                <w:lang w:val="fr-FR"/>
                <w14:ligatures w14:val="standardContextual"/>
              </w:rPr>
              <w:t xml:space="preserve">ider les Parties à s’adapter au fur et à mesure qu’elles gagnent en expérience de mise en œuvre </w:t>
            </w:r>
          </w:p>
        </w:tc>
      </w:tr>
      <w:tr w:rsidR="00633908" w:rsidRPr="0096543B" w14:paraId="07E61006" w14:textId="77777777" w:rsidTr="00AD184A">
        <w:tc>
          <w:tcPr>
            <w:tcW w:w="1555" w:type="dxa"/>
            <w:vMerge w:val="restart"/>
          </w:tcPr>
          <w:p w14:paraId="3DCCA68C" w14:textId="558A09F3" w:rsidR="004B7C08" w:rsidRPr="00124D03" w:rsidRDefault="00AD184A" w:rsidP="00C546FC">
            <w:pPr>
              <w:tabs>
                <w:tab w:val="clear" w:pos="567"/>
                <w:tab w:val="clear" w:pos="1134"/>
                <w:tab w:val="clear" w:pos="1701"/>
                <w:tab w:val="clear" w:pos="2268"/>
              </w:tabs>
              <w:jc w:val="left"/>
              <w:rPr>
                <w:rFonts w:eastAsia="DengXian"/>
                <w:b/>
                <w:bCs/>
                <w:kern w:val="2"/>
                <w:sz w:val="20"/>
                <w:szCs w:val="20"/>
                <w:lang w:val="fr-FR"/>
                <w14:ligatures w14:val="standardContextual"/>
              </w:rPr>
            </w:pPr>
            <w:r>
              <w:rPr>
                <w:rFonts w:eastAsia="DengXian"/>
                <w:b/>
                <w:kern w:val="2"/>
                <w:sz w:val="20"/>
                <w:szCs w:val="20"/>
                <w:lang w:val="fr-FR"/>
                <w14:ligatures w14:val="standardContextual"/>
              </w:rPr>
              <w:t>Arrangements institutionnels</w:t>
            </w:r>
          </w:p>
          <w:p w14:paraId="703B9BE9" w14:textId="6F1E2E9C" w:rsidR="00633908" w:rsidRPr="00124D03" w:rsidRDefault="004B7C08" w:rsidP="00C546FC">
            <w:pPr>
              <w:jc w:val="left"/>
              <w:rPr>
                <w:rFonts w:eastAsia="DengXian"/>
                <w:b/>
                <w:kern w:val="2"/>
                <w:sz w:val="20"/>
                <w:szCs w:val="20"/>
                <w:lang w:val="fr-FR"/>
                <w14:ligatures w14:val="standardContextual"/>
              </w:rPr>
            </w:pPr>
            <w:r w:rsidRPr="00124D03">
              <w:rPr>
                <w:rFonts w:eastAsia="DengXian"/>
                <w:b/>
                <w:bCs/>
                <w:kern w:val="2"/>
                <w:sz w:val="20"/>
                <w:szCs w:val="20"/>
                <w:lang w:val="fr-FR"/>
                <w14:ligatures w14:val="standardContextual"/>
              </w:rPr>
              <w:br/>
            </w:r>
          </w:p>
        </w:tc>
        <w:tc>
          <w:tcPr>
            <w:tcW w:w="5953" w:type="dxa"/>
          </w:tcPr>
          <w:p w14:paraId="39D93786" w14:textId="756017BB" w:rsidR="00633908" w:rsidRPr="00124D03" w:rsidRDefault="008B329E" w:rsidP="00211531">
            <w:pPr>
              <w:tabs>
                <w:tab w:val="clear" w:pos="567"/>
                <w:tab w:val="clear" w:pos="1134"/>
                <w:tab w:val="clear" w:pos="1701"/>
                <w:tab w:val="clear" w:pos="2268"/>
              </w:tabs>
              <w:jc w:val="left"/>
              <w:rPr>
                <w:rFonts w:eastAsia="DengXian"/>
                <w:kern w:val="2"/>
                <w:sz w:val="20"/>
                <w:szCs w:val="20"/>
                <w:lang w:val="fr-FR"/>
                <w14:ligatures w14:val="standardContextual"/>
              </w:rPr>
            </w:pPr>
            <w:r w:rsidRPr="008B329E">
              <w:rPr>
                <w:rFonts w:eastAsia="DengXian"/>
                <w:kern w:val="2"/>
                <w:sz w:val="20"/>
                <w:szCs w:val="20"/>
                <w:lang w:val="fr-FR"/>
                <w14:ligatures w14:val="standardContextual"/>
              </w:rPr>
              <w:t xml:space="preserve">Assurer une coopération précoce entre </w:t>
            </w:r>
            <w:r w:rsidR="00342697" w:rsidRPr="008B329E">
              <w:rPr>
                <w:rFonts w:eastAsia="DengXian"/>
                <w:kern w:val="2"/>
                <w:sz w:val="20"/>
                <w:szCs w:val="20"/>
                <w:lang w:val="fr-FR"/>
                <w14:ligatures w14:val="standardContextual"/>
              </w:rPr>
              <w:t xml:space="preserve">l’agence principale </w:t>
            </w:r>
            <w:r w:rsidRPr="008B329E">
              <w:rPr>
                <w:rFonts w:eastAsia="DengXian"/>
                <w:kern w:val="2"/>
                <w:sz w:val="20"/>
                <w:szCs w:val="20"/>
                <w:lang w:val="fr-FR"/>
                <w14:ligatures w14:val="standardContextual"/>
              </w:rPr>
              <w:t>et</w:t>
            </w:r>
            <w:r w:rsidR="00342697" w:rsidRPr="008B329E">
              <w:rPr>
                <w:rFonts w:eastAsia="DengXian"/>
                <w:kern w:val="2"/>
                <w:sz w:val="20"/>
                <w:szCs w:val="20"/>
                <w:lang w:val="fr-FR"/>
                <w14:ligatures w14:val="standardContextual"/>
              </w:rPr>
              <w:t xml:space="preserve"> d’autres agences concernées</w:t>
            </w:r>
          </w:p>
          <w:p w14:paraId="5D33EF83" w14:textId="5DEB86B7" w:rsidR="00633908" w:rsidRPr="00124D03" w:rsidRDefault="00342697"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Clarifier les rôles et les responsabilités</w:t>
            </w:r>
          </w:p>
          <w:p w14:paraId="2BC0134A" w14:textId="0DEC615D" w:rsidR="00633908" w:rsidRPr="00124D03" w:rsidRDefault="00342697" w:rsidP="007654A8">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Créer des canaux efficaces de coordination et de communication entre les autorités concernées (tels que les comités ou les systèmes numériques), y compris entre les entités responsables de l’accès et du partage des avantages au titre de différents instruments internationaux</w:t>
            </w:r>
          </w:p>
          <w:p w14:paraId="7318C36B" w14:textId="07EC4D44" w:rsidR="00633908" w:rsidRPr="00124D03" w:rsidRDefault="008B329E"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Améliorer la connaissance de</w:t>
            </w:r>
            <w:r w:rsidR="00342697">
              <w:rPr>
                <w:rFonts w:eastAsia="DengXian"/>
                <w:kern w:val="2"/>
                <w:sz w:val="20"/>
                <w:szCs w:val="20"/>
                <w:lang w:val="fr-FR"/>
                <w14:ligatures w14:val="standardContextual"/>
              </w:rPr>
              <w:t xml:space="preserve"> la portée des différents régimes d’accès et de partage des avantages et </w:t>
            </w:r>
            <w:r>
              <w:rPr>
                <w:rFonts w:eastAsia="DengXian"/>
                <w:kern w:val="2"/>
                <w:sz w:val="20"/>
                <w:szCs w:val="20"/>
                <w:lang w:val="fr-FR"/>
                <w14:ligatures w14:val="standardContextual"/>
              </w:rPr>
              <w:t>d</w:t>
            </w:r>
            <w:r w:rsidR="00342697">
              <w:rPr>
                <w:rFonts w:eastAsia="DengXian"/>
                <w:kern w:val="2"/>
                <w:sz w:val="20"/>
                <w:szCs w:val="20"/>
                <w:lang w:val="fr-FR"/>
                <w14:ligatures w14:val="standardContextual"/>
              </w:rPr>
              <w:t>es relations entre ces derniers</w:t>
            </w:r>
          </w:p>
          <w:p w14:paraId="180DC4CD" w14:textId="335D3145" w:rsidR="00633908" w:rsidRPr="00124D03" w:rsidRDefault="00342697"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Créer des protocoles et procédures internes</w:t>
            </w:r>
          </w:p>
        </w:tc>
        <w:tc>
          <w:tcPr>
            <w:tcW w:w="5954" w:type="dxa"/>
          </w:tcPr>
          <w:p w14:paraId="6343B9B9" w14:textId="0231648B" w:rsidR="00633908" w:rsidRPr="00124D03" w:rsidRDefault="00582027"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w:t>
            </w:r>
            <w:r w:rsidR="00911AC4">
              <w:rPr>
                <w:rFonts w:eastAsia="DengXian"/>
                <w:kern w:val="2"/>
                <w:sz w:val="20"/>
                <w:szCs w:val="20"/>
                <w:lang w:val="fr-FR"/>
                <w14:ligatures w14:val="standardContextual"/>
              </w:rPr>
              <w:t>enforcer la coordination et la coopération nationales</w:t>
            </w:r>
          </w:p>
          <w:p w14:paraId="7DB7E31C" w14:textId="29C489F6" w:rsidR="00911AC4" w:rsidRDefault="00582027"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Assurer la</w:t>
            </w:r>
            <w:r w:rsidR="00911AC4">
              <w:rPr>
                <w:rFonts w:eastAsia="DengXian"/>
                <w:kern w:val="2"/>
                <w:sz w:val="20"/>
                <w:szCs w:val="20"/>
                <w:lang w:val="fr-FR"/>
                <w14:ligatures w14:val="standardContextual"/>
              </w:rPr>
              <w:t xml:space="preserve"> mise en œuvre dans un esprit de complémentarité réciproque</w:t>
            </w:r>
            <w:r w:rsidR="008B329E">
              <w:rPr>
                <w:rFonts w:eastAsia="DengXian"/>
                <w:kern w:val="2"/>
                <w:sz w:val="20"/>
                <w:szCs w:val="20"/>
                <w:lang w:val="fr-FR"/>
                <w14:ligatures w14:val="standardContextual"/>
              </w:rPr>
              <w:t>,</w:t>
            </w:r>
            <w:r w:rsidR="00911AC4">
              <w:rPr>
                <w:rFonts w:eastAsia="DengXian"/>
                <w:kern w:val="2"/>
                <w:sz w:val="20"/>
                <w:szCs w:val="20"/>
                <w:lang w:val="fr-FR"/>
                <w14:ligatures w14:val="standardContextual"/>
              </w:rPr>
              <w:t xml:space="preserve"> dans le </w:t>
            </w:r>
            <w:r w:rsidR="008B329E">
              <w:rPr>
                <w:rFonts w:eastAsia="DengXian"/>
                <w:kern w:val="2"/>
                <w:sz w:val="20"/>
                <w:szCs w:val="20"/>
                <w:lang w:val="fr-FR"/>
                <w14:ligatures w14:val="standardContextual"/>
              </w:rPr>
              <w:t>cadre</w:t>
            </w:r>
            <w:r w:rsidR="00911AC4">
              <w:rPr>
                <w:rFonts w:eastAsia="DengXian"/>
                <w:kern w:val="2"/>
                <w:sz w:val="20"/>
                <w:szCs w:val="20"/>
                <w:lang w:val="fr-FR"/>
                <w14:ligatures w14:val="standardContextual"/>
              </w:rPr>
              <w:t xml:space="preserve"> de l’article 4, paragraphe</w:t>
            </w:r>
            <w:r w:rsidR="00132CD2">
              <w:rPr>
                <w:rFonts w:eastAsia="DengXian"/>
                <w:kern w:val="2"/>
                <w:sz w:val="20"/>
                <w:szCs w:val="20"/>
                <w:lang w:val="fr-FR"/>
                <w14:ligatures w14:val="standardContextual"/>
              </w:rPr>
              <w:t> </w:t>
            </w:r>
            <w:r w:rsidR="00911AC4">
              <w:rPr>
                <w:rFonts w:eastAsia="DengXian"/>
                <w:kern w:val="2"/>
                <w:sz w:val="20"/>
                <w:szCs w:val="20"/>
                <w:lang w:val="fr-FR"/>
                <w14:ligatures w14:val="standardContextual"/>
              </w:rPr>
              <w:t>3, du Protocole.</w:t>
            </w:r>
          </w:p>
          <w:p w14:paraId="76EED40D" w14:textId="57BD3930" w:rsidR="00633908" w:rsidRPr="00124D03" w:rsidRDefault="008B329E"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C</w:t>
            </w:r>
            <w:r w:rsidR="00911AC4">
              <w:rPr>
                <w:rFonts w:eastAsia="DengXian"/>
                <w:kern w:val="2"/>
                <w:sz w:val="20"/>
                <w:szCs w:val="20"/>
                <w:lang w:val="fr-FR"/>
                <w14:ligatures w14:val="standardContextual"/>
              </w:rPr>
              <w:t>ontribuer à la mise en œuvre des considérations au titre de l’article 8.</w:t>
            </w:r>
          </w:p>
        </w:tc>
      </w:tr>
      <w:tr w:rsidR="00633908" w:rsidRPr="0096543B" w14:paraId="6D2779DE" w14:textId="77777777" w:rsidTr="00AD184A">
        <w:tc>
          <w:tcPr>
            <w:tcW w:w="1555" w:type="dxa"/>
            <w:vMerge/>
          </w:tcPr>
          <w:p w14:paraId="200164CA" w14:textId="77777777" w:rsidR="00633908" w:rsidRPr="00124D03" w:rsidRDefault="00633908" w:rsidP="00C546FC">
            <w:pPr>
              <w:jc w:val="left"/>
              <w:rPr>
                <w:rFonts w:eastAsia="DengXian"/>
                <w:b/>
                <w:kern w:val="2"/>
                <w:sz w:val="20"/>
                <w:szCs w:val="20"/>
                <w:lang w:val="fr-FR"/>
                <w14:ligatures w14:val="standardContextual"/>
              </w:rPr>
            </w:pPr>
          </w:p>
        </w:tc>
        <w:tc>
          <w:tcPr>
            <w:tcW w:w="5953" w:type="dxa"/>
          </w:tcPr>
          <w:p w14:paraId="70844C1B" w14:textId="67552528" w:rsidR="00633908" w:rsidRPr="00124D03" w:rsidRDefault="00D60A7F"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Garantir que les coordonnateurs nationaux et les autorités nationales compétentes aient l’autorité, le personnel dédié, les capacités et la formation nécessaires à l’accomplissement des dispositions de l’article 13 du Protocole</w:t>
            </w:r>
          </w:p>
        </w:tc>
        <w:tc>
          <w:tcPr>
            <w:tcW w:w="5954" w:type="dxa"/>
          </w:tcPr>
          <w:p w14:paraId="1E68A6E4" w14:textId="198EA58E"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Ê</w:t>
            </w:r>
            <w:r w:rsidR="00911AC4">
              <w:rPr>
                <w:rFonts w:eastAsia="DengXian"/>
                <w:kern w:val="2"/>
                <w:sz w:val="20"/>
                <w:szCs w:val="20"/>
                <w:lang w:val="fr-FR"/>
                <w14:ligatures w14:val="standardContextual"/>
              </w:rPr>
              <w:t xml:space="preserve">tre capable de répondre aux utilisateurs et aux peuples autochtones et communautés locales et </w:t>
            </w:r>
            <w:r w:rsidR="008B329E">
              <w:rPr>
                <w:rFonts w:eastAsia="DengXian"/>
                <w:kern w:val="2"/>
                <w:sz w:val="20"/>
                <w:szCs w:val="20"/>
                <w:lang w:val="fr-FR"/>
                <w14:ligatures w14:val="standardContextual"/>
              </w:rPr>
              <w:t xml:space="preserve">de </w:t>
            </w:r>
            <w:r w:rsidR="00911AC4">
              <w:rPr>
                <w:rFonts w:eastAsia="DengXian"/>
                <w:kern w:val="2"/>
                <w:sz w:val="20"/>
                <w:szCs w:val="20"/>
                <w:lang w:val="fr-FR"/>
                <w14:ligatures w14:val="standardContextual"/>
              </w:rPr>
              <w:t xml:space="preserve">négocier des </w:t>
            </w:r>
            <w:r w:rsidR="009A3DE3">
              <w:rPr>
                <w:rFonts w:eastAsia="DengXian"/>
                <w:kern w:val="2"/>
                <w:sz w:val="20"/>
                <w:szCs w:val="20"/>
                <w:lang w:val="fr-FR"/>
                <w14:ligatures w14:val="standardContextual"/>
              </w:rPr>
              <w:t>conditions</w:t>
            </w:r>
            <w:r w:rsidR="00911AC4">
              <w:rPr>
                <w:rFonts w:eastAsia="DengXian"/>
                <w:kern w:val="2"/>
                <w:sz w:val="20"/>
                <w:szCs w:val="20"/>
                <w:lang w:val="fr-FR"/>
                <w14:ligatures w14:val="standardContextual"/>
              </w:rPr>
              <w:t xml:space="preserve"> convenues d’un commun accord</w:t>
            </w:r>
          </w:p>
        </w:tc>
      </w:tr>
      <w:tr w:rsidR="00633908" w:rsidRPr="00124D03" w14:paraId="3AD956B7" w14:textId="77777777" w:rsidTr="00AD184A">
        <w:tc>
          <w:tcPr>
            <w:tcW w:w="1555" w:type="dxa"/>
            <w:vMerge/>
          </w:tcPr>
          <w:p w14:paraId="1E7B289F" w14:textId="77777777" w:rsidR="00633908" w:rsidRPr="00124D03" w:rsidRDefault="00633908" w:rsidP="00C546FC">
            <w:pPr>
              <w:jc w:val="left"/>
              <w:rPr>
                <w:rFonts w:eastAsia="DengXian"/>
                <w:b/>
                <w:kern w:val="2"/>
                <w:sz w:val="20"/>
                <w:szCs w:val="20"/>
                <w:lang w:val="fr-FR"/>
                <w14:ligatures w14:val="standardContextual"/>
              </w:rPr>
            </w:pPr>
          </w:p>
        </w:tc>
        <w:tc>
          <w:tcPr>
            <w:tcW w:w="5953" w:type="dxa"/>
          </w:tcPr>
          <w:p w14:paraId="16B0A80F" w14:textId="1071F522" w:rsidR="00633908" w:rsidRPr="00124D03" w:rsidRDefault="00D60A7F" w:rsidP="00214A87">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Renforcer les autorités nationales compétentes pour qu’elles participent à identifier les peuples autochtones et communautés locales concernés devant être impliqués et faciliter une communication efficace entre les utilisateurs et les représentants des peuples autochtones et communautés locales</w:t>
            </w:r>
          </w:p>
        </w:tc>
        <w:tc>
          <w:tcPr>
            <w:tcW w:w="5954" w:type="dxa"/>
          </w:tcPr>
          <w:p w14:paraId="122C081E" w14:textId="06E4F703"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Times New Roman"/>
                <w:sz w:val="20"/>
                <w:szCs w:val="20"/>
                <w:lang w:val="fr-FR"/>
              </w:rPr>
              <w:t>R</w:t>
            </w:r>
            <w:r w:rsidR="00911AC4">
              <w:rPr>
                <w:rFonts w:eastAsia="Times New Roman"/>
                <w:sz w:val="20"/>
                <w:szCs w:val="20"/>
                <w:lang w:val="fr-FR"/>
              </w:rPr>
              <w:t>enforcer la coordination</w:t>
            </w:r>
          </w:p>
        </w:tc>
      </w:tr>
      <w:tr w:rsidR="00633908" w:rsidRPr="0096543B" w14:paraId="26B167C4" w14:textId="77777777" w:rsidTr="00AD184A">
        <w:tc>
          <w:tcPr>
            <w:tcW w:w="1555" w:type="dxa"/>
            <w:vMerge/>
          </w:tcPr>
          <w:p w14:paraId="3EE06DEB" w14:textId="1FFDC9F4" w:rsidR="00633908" w:rsidRPr="00124D03" w:rsidRDefault="00633908" w:rsidP="00211531">
            <w:pPr>
              <w:tabs>
                <w:tab w:val="clear" w:pos="567"/>
                <w:tab w:val="clear" w:pos="1134"/>
                <w:tab w:val="clear" w:pos="1701"/>
                <w:tab w:val="clear" w:pos="2268"/>
              </w:tabs>
              <w:jc w:val="left"/>
              <w:rPr>
                <w:rFonts w:eastAsia="DengXian"/>
                <w:b/>
                <w:kern w:val="2"/>
                <w:sz w:val="20"/>
                <w:szCs w:val="20"/>
                <w:lang w:val="fr-FR"/>
                <w14:ligatures w14:val="standardContextual"/>
              </w:rPr>
            </w:pPr>
          </w:p>
        </w:tc>
        <w:tc>
          <w:tcPr>
            <w:tcW w:w="5953" w:type="dxa"/>
          </w:tcPr>
          <w:p w14:paraId="42E59621" w14:textId="03A81E46" w:rsidR="00633908" w:rsidRPr="00124D03" w:rsidRDefault="008B329E"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Désigner</w:t>
            </w:r>
            <w:r w:rsidR="00D60A7F">
              <w:rPr>
                <w:rFonts w:eastAsia="DengXian"/>
                <w:kern w:val="2"/>
                <w:sz w:val="20"/>
                <w:szCs w:val="20"/>
                <w:lang w:val="fr-FR"/>
                <w14:ligatures w14:val="standardContextual"/>
              </w:rPr>
              <w:t xml:space="preserve"> des points de contrôle efficaces</w:t>
            </w:r>
            <w:r w:rsidR="00633908" w:rsidRPr="00124D03">
              <w:rPr>
                <w:rFonts w:eastAsia="DengXian"/>
                <w:kern w:val="2"/>
                <w:sz w:val="20"/>
                <w:szCs w:val="20"/>
                <w:lang w:val="fr-FR"/>
                <w14:ligatures w14:val="standardContextual"/>
              </w:rPr>
              <w:t xml:space="preserve"> </w:t>
            </w:r>
          </w:p>
          <w:p w14:paraId="7CBD4DF2" w14:textId="6BB5477E" w:rsidR="00633908" w:rsidRPr="00124D03" w:rsidRDefault="00D60A7F"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Renforcer les capacités institutionnelles pour mettre en œuvre les dispositions de respect des obligations du Protocole</w:t>
            </w:r>
            <w:r w:rsidR="00633908" w:rsidRPr="00124D03">
              <w:rPr>
                <w:rFonts w:eastAsia="DengXian"/>
                <w:kern w:val="2"/>
                <w:sz w:val="20"/>
                <w:szCs w:val="20"/>
                <w:lang w:val="fr-FR"/>
                <w14:ligatures w14:val="standardContextual"/>
              </w:rPr>
              <w:t xml:space="preserve"> (</w:t>
            </w:r>
            <w:r>
              <w:rPr>
                <w:rFonts w:eastAsia="DengXian"/>
                <w:kern w:val="2"/>
                <w:sz w:val="20"/>
                <w:szCs w:val="20"/>
                <w:lang w:val="fr-FR"/>
                <w14:ligatures w14:val="standardContextual"/>
              </w:rPr>
              <w:t>a</w:t>
            </w:r>
            <w:r w:rsidR="00633908" w:rsidRPr="00124D03">
              <w:rPr>
                <w:rFonts w:eastAsia="DengXian"/>
                <w:kern w:val="2"/>
                <w:sz w:val="20"/>
                <w:szCs w:val="20"/>
                <w:lang w:val="fr-FR"/>
                <w14:ligatures w14:val="standardContextual"/>
              </w:rPr>
              <w:t>rticle</w:t>
            </w:r>
            <w:r w:rsidR="00757D78" w:rsidRPr="00124D03">
              <w:rPr>
                <w:rFonts w:eastAsia="DengXian"/>
                <w:kern w:val="2"/>
                <w:sz w:val="20"/>
                <w:szCs w:val="20"/>
                <w:lang w:val="fr-FR"/>
                <w14:ligatures w14:val="standardContextual"/>
              </w:rPr>
              <w:t>s</w:t>
            </w:r>
            <w:r w:rsidR="00E7381E" w:rsidRPr="00124D03">
              <w:rPr>
                <w:rFonts w:eastAsia="DengXian"/>
                <w:kern w:val="2"/>
                <w:sz w:val="20"/>
                <w:szCs w:val="20"/>
                <w:lang w:val="fr-FR"/>
                <w14:ligatures w14:val="standardContextual"/>
              </w:rPr>
              <w:t> </w:t>
            </w:r>
            <w:r w:rsidR="00633908" w:rsidRPr="00124D03">
              <w:rPr>
                <w:rFonts w:eastAsia="DengXian"/>
                <w:kern w:val="2"/>
                <w:sz w:val="20"/>
                <w:szCs w:val="20"/>
                <w:lang w:val="fr-FR"/>
                <w14:ligatures w14:val="standardContextual"/>
              </w:rPr>
              <w:t xml:space="preserve">15, 16 </w:t>
            </w:r>
            <w:r>
              <w:rPr>
                <w:rFonts w:eastAsia="DengXian"/>
                <w:kern w:val="2"/>
                <w:sz w:val="20"/>
                <w:szCs w:val="20"/>
                <w:lang w:val="fr-FR"/>
                <w14:ligatures w14:val="standardContextual"/>
              </w:rPr>
              <w:t>et</w:t>
            </w:r>
            <w:r w:rsidR="00633908" w:rsidRPr="00124D03">
              <w:rPr>
                <w:rFonts w:eastAsia="DengXian"/>
                <w:kern w:val="2"/>
                <w:sz w:val="20"/>
                <w:szCs w:val="20"/>
                <w:lang w:val="fr-FR"/>
                <w14:ligatures w14:val="standardContextual"/>
              </w:rPr>
              <w:t xml:space="preserve"> 17)</w:t>
            </w:r>
          </w:p>
        </w:tc>
        <w:tc>
          <w:tcPr>
            <w:tcW w:w="5954" w:type="dxa"/>
          </w:tcPr>
          <w:p w14:paraId="05643494" w14:textId="7C1235E3"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Œuvrer </w:t>
            </w:r>
            <w:r w:rsidR="00911AC4">
              <w:rPr>
                <w:rFonts w:eastAsia="DengXian"/>
                <w:kern w:val="2"/>
                <w:sz w:val="20"/>
                <w:szCs w:val="20"/>
                <w:lang w:val="fr-FR"/>
                <w14:ligatures w14:val="standardContextual"/>
              </w:rPr>
              <w:t>à l’opérationnalisation complète des dispositions de respect des obligations et de surveillance du Protocole</w:t>
            </w:r>
          </w:p>
        </w:tc>
      </w:tr>
      <w:tr w:rsidR="00633908" w:rsidRPr="0096543B" w14:paraId="2A2DD2DF" w14:textId="77777777" w:rsidTr="00AD184A">
        <w:tc>
          <w:tcPr>
            <w:tcW w:w="1555" w:type="dxa"/>
            <w:vMerge/>
          </w:tcPr>
          <w:p w14:paraId="7EE68FF5" w14:textId="77777777" w:rsidR="00633908" w:rsidRPr="00124D03" w:rsidRDefault="00633908" w:rsidP="00211531">
            <w:pPr>
              <w:tabs>
                <w:tab w:val="clear" w:pos="567"/>
                <w:tab w:val="clear" w:pos="1134"/>
                <w:tab w:val="clear" w:pos="1701"/>
                <w:tab w:val="clear" w:pos="2268"/>
              </w:tabs>
              <w:jc w:val="left"/>
              <w:rPr>
                <w:rFonts w:eastAsia="DengXian"/>
                <w:b/>
                <w:kern w:val="2"/>
                <w:sz w:val="20"/>
                <w:szCs w:val="20"/>
                <w:lang w:val="fr-FR"/>
                <w14:ligatures w14:val="standardContextual"/>
              </w:rPr>
            </w:pPr>
          </w:p>
        </w:tc>
        <w:tc>
          <w:tcPr>
            <w:tcW w:w="5953" w:type="dxa"/>
          </w:tcPr>
          <w:p w14:paraId="6E2DAE53" w14:textId="5E2B7EDC" w:rsidR="00633908" w:rsidRPr="00124D03" w:rsidRDefault="00633908" w:rsidP="00211531">
            <w:pPr>
              <w:tabs>
                <w:tab w:val="clear" w:pos="567"/>
                <w:tab w:val="clear" w:pos="1134"/>
                <w:tab w:val="clear" w:pos="1701"/>
                <w:tab w:val="clear" w:pos="2268"/>
              </w:tabs>
              <w:jc w:val="left"/>
              <w:rPr>
                <w:rFonts w:eastAsia="DengXian"/>
                <w:kern w:val="2"/>
                <w:sz w:val="20"/>
                <w:szCs w:val="20"/>
                <w:lang w:val="fr-FR"/>
                <w14:ligatures w14:val="standardContextual"/>
              </w:rPr>
            </w:pPr>
            <w:r w:rsidRPr="00124D03">
              <w:rPr>
                <w:rFonts w:eastAsia="DengXian"/>
                <w:kern w:val="2"/>
                <w:sz w:val="20"/>
                <w:szCs w:val="20"/>
                <w:lang w:val="fr-FR"/>
                <w14:ligatures w14:val="standardContextual"/>
              </w:rPr>
              <w:t>D</w:t>
            </w:r>
            <w:r w:rsidR="00D60A7F">
              <w:rPr>
                <w:rFonts w:eastAsia="DengXian"/>
                <w:kern w:val="2"/>
                <w:sz w:val="20"/>
                <w:szCs w:val="20"/>
                <w:lang w:val="fr-FR"/>
                <w14:ligatures w14:val="standardContextual"/>
              </w:rPr>
              <w:t xml:space="preserve">ésigner une autorité de publication </w:t>
            </w:r>
            <w:r w:rsidR="008B329E">
              <w:rPr>
                <w:rFonts w:eastAsia="DengXian"/>
                <w:kern w:val="2"/>
                <w:sz w:val="20"/>
                <w:szCs w:val="20"/>
                <w:lang w:val="fr-FR"/>
                <w14:ligatures w14:val="standardContextual"/>
              </w:rPr>
              <w:t>du</w:t>
            </w:r>
            <w:r w:rsidR="00D60A7F">
              <w:rPr>
                <w:rFonts w:eastAsia="DengXian"/>
                <w:kern w:val="2"/>
                <w:sz w:val="20"/>
                <w:szCs w:val="20"/>
                <w:lang w:val="fr-FR"/>
                <w14:ligatures w14:val="standardContextual"/>
              </w:rPr>
              <w:t xml:space="preserve"> Centre d’échange sur l’accès et le partage des avantages</w:t>
            </w:r>
            <w:r w:rsidRPr="00124D03">
              <w:rPr>
                <w:rFonts w:eastAsia="DengXian"/>
                <w:kern w:val="2"/>
                <w:sz w:val="20"/>
                <w:szCs w:val="20"/>
                <w:lang w:val="fr-FR"/>
                <w14:ligatures w14:val="standardContextual"/>
              </w:rPr>
              <w:t xml:space="preserve"> </w:t>
            </w:r>
          </w:p>
          <w:p w14:paraId="69859DF6" w14:textId="0368A6A6" w:rsidR="00633908" w:rsidRPr="00124D03" w:rsidRDefault="00E933E2"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Inclure</w:t>
            </w:r>
            <w:r w:rsidR="00D60A7F">
              <w:rPr>
                <w:rFonts w:eastAsia="DengXian"/>
                <w:kern w:val="2"/>
                <w:sz w:val="20"/>
                <w:szCs w:val="20"/>
                <w:lang w:val="fr-FR"/>
                <w14:ligatures w14:val="standardContextual"/>
              </w:rPr>
              <w:t xml:space="preserve"> des formations sur le Centre d’échange dans</w:t>
            </w:r>
            <w:r>
              <w:rPr>
                <w:rFonts w:eastAsia="DengXian"/>
                <w:kern w:val="2"/>
                <w:sz w:val="20"/>
                <w:szCs w:val="20"/>
                <w:lang w:val="fr-FR"/>
                <w14:ligatures w14:val="standardContextual"/>
              </w:rPr>
              <w:t xml:space="preserve"> les activités d’intégration</w:t>
            </w:r>
          </w:p>
        </w:tc>
        <w:tc>
          <w:tcPr>
            <w:tcW w:w="5954" w:type="dxa"/>
          </w:tcPr>
          <w:p w14:paraId="4609D14A" w14:textId="0162B8BA"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G</w:t>
            </w:r>
            <w:r w:rsidR="00911AC4">
              <w:rPr>
                <w:rFonts w:eastAsia="DengXian"/>
                <w:kern w:val="2"/>
                <w:sz w:val="20"/>
                <w:szCs w:val="20"/>
                <w:lang w:val="fr-FR"/>
                <w14:ligatures w14:val="standardContextual"/>
              </w:rPr>
              <w:t xml:space="preserve">arantir que toutes les informations publiées soient </w:t>
            </w:r>
            <w:r w:rsidR="00572D31">
              <w:rPr>
                <w:rFonts w:eastAsia="DengXian"/>
                <w:kern w:val="2"/>
                <w:sz w:val="20"/>
                <w:szCs w:val="20"/>
                <w:lang w:val="fr-FR"/>
                <w14:ligatures w14:val="standardContextual"/>
              </w:rPr>
              <w:t>exactes</w:t>
            </w:r>
            <w:r w:rsidR="00911AC4">
              <w:rPr>
                <w:rFonts w:eastAsia="DengXian"/>
                <w:kern w:val="2"/>
                <w:sz w:val="20"/>
                <w:szCs w:val="20"/>
                <w:lang w:val="fr-FR"/>
                <w14:ligatures w14:val="standardContextual"/>
              </w:rPr>
              <w:t xml:space="preserve">, complètes et à jour et </w:t>
            </w:r>
            <w:r w:rsidR="008B329E">
              <w:rPr>
                <w:rFonts w:eastAsia="DengXian"/>
                <w:kern w:val="2"/>
                <w:sz w:val="20"/>
                <w:szCs w:val="20"/>
                <w:lang w:val="fr-FR"/>
                <w14:ligatures w14:val="standardContextual"/>
              </w:rPr>
              <w:t>aborder la question</w:t>
            </w:r>
            <w:r w:rsidR="00911AC4">
              <w:rPr>
                <w:rFonts w:eastAsia="DengXian"/>
                <w:kern w:val="2"/>
                <w:sz w:val="20"/>
                <w:szCs w:val="20"/>
                <w:lang w:val="fr-FR"/>
                <w14:ligatures w14:val="standardContextual"/>
              </w:rPr>
              <w:t xml:space="preserve"> </w:t>
            </w:r>
            <w:r w:rsidR="008B329E">
              <w:rPr>
                <w:rFonts w:eastAsia="DengXian"/>
                <w:kern w:val="2"/>
                <w:sz w:val="20"/>
                <w:szCs w:val="20"/>
                <w:lang w:val="fr-FR"/>
                <w14:ligatures w14:val="standardContextual"/>
              </w:rPr>
              <w:t>de</w:t>
            </w:r>
            <w:r w:rsidR="00911AC4">
              <w:rPr>
                <w:rFonts w:eastAsia="DengXian"/>
                <w:kern w:val="2"/>
                <w:sz w:val="20"/>
                <w:szCs w:val="20"/>
                <w:lang w:val="fr-FR"/>
                <w14:ligatures w14:val="standardContextual"/>
              </w:rPr>
              <w:t xml:space="preserve"> la rotation des effectifs</w:t>
            </w:r>
          </w:p>
          <w:p w14:paraId="01AEE572" w14:textId="4D9D0A7E" w:rsidR="00633908" w:rsidRPr="00124D03" w:rsidRDefault="00304DC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Garantir la disponibilité de</w:t>
            </w:r>
            <w:r w:rsidR="00911AC4">
              <w:rPr>
                <w:rFonts w:eastAsia="DengXian"/>
                <w:kern w:val="2"/>
                <w:sz w:val="20"/>
                <w:szCs w:val="20"/>
                <w:lang w:val="fr-FR"/>
                <w14:ligatures w14:val="standardContextual"/>
              </w:rPr>
              <w:t xml:space="preserve"> ressources sur la </w:t>
            </w:r>
            <w:r w:rsidR="00911AC4" w:rsidRPr="00304DCB">
              <w:rPr>
                <w:rFonts w:eastAsia="DengXian"/>
                <w:kern w:val="2"/>
                <w:sz w:val="20"/>
                <w:szCs w:val="20"/>
                <w:lang w:val="fr-FR"/>
                <w14:ligatures w14:val="standardContextual"/>
              </w:rPr>
              <w:t>base de connaissance</w:t>
            </w:r>
            <w:r w:rsidRPr="00304DCB">
              <w:rPr>
                <w:rFonts w:eastAsia="DengXian"/>
                <w:kern w:val="2"/>
                <w:sz w:val="20"/>
                <w:szCs w:val="20"/>
                <w:lang w:val="fr-FR"/>
                <w14:ligatures w14:val="standardContextual"/>
              </w:rPr>
              <w:t>s</w:t>
            </w:r>
            <w:r w:rsidR="00911AC4">
              <w:rPr>
                <w:rFonts w:eastAsia="DengXian"/>
                <w:kern w:val="2"/>
                <w:sz w:val="20"/>
                <w:szCs w:val="20"/>
                <w:lang w:val="fr-FR"/>
                <w14:ligatures w14:val="standardContextual"/>
              </w:rPr>
              <w:t xml:space="preserve"> du Centre d’échange, ainsi que de formations en ligne et d</w:t>
            </w:r>
            <w:r>
              <w:rPr>
                <w:rFonts w:eastAsia="DengXian"/>
                <w:kern w:val="2"/>
                <w:sz w:val="20"/>
                <w:szCs w:val="20"/>
                <w:lang w:val="fr-FR"/>
                <w14:ligatures w14:val="standardContextual"/>
              </w:rPr>
              <w:t>’</w:t>
            </w:r>
            <w:r w:rsidR="00911AC4">
              <w:rPr>
                <w:rFonts w:eastAsia="DengXian"/>
                <w:kern w:val="2"/>
                <w:sz w:val="20"/>
                <w:szCs w:val="20"/>
                <w:lang w:val="fr-FR"/>
                <w14:ligatures w14:val="standardContextual"/>
              </w:rPr>
              <w:t>orientations élaborées par le Secrétariat</w:t>
            </w:r>
          </w:p>
        </w:tc>
      </w:tr>
      <w:tr w:rsidR="00633908" w:rsidRPr="0096543B" w14:paraId="246BFF3B" w14:textId="77777777" w:rsidTr="00AD184A">
        <w:tc>
          <w:tcPr>
            <w:tcW w:w="1555" w:type="dxa"/>
            <w:vMerge w:val="restart"/>
          </w:tcPr>
          <w:p w14:paraId="3AFF741A" w14:textId="382296E1" w:rsidR="00633908" w:rsidRPr="00124D03" w:rsidRDefault="00AD184A"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lastRenderedPageBreak/>
              <w:t>Procédures d’accès et de partage des avantages</w:t>
            </w:r>
          </w:p>
        </w:tc>
        <w:tc>
          <w:tcPr>
            <w:tcW w:w="5953" w:type="dxa"/>
          </w:tcPr>
          <w:p w14:paraId="7515E109" w14:textId="62F5D1A6" w:rsidR="00633908" w:rsidRPr="00124D03" w:rsidRDefault="00E933E2"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Créer et </w:t>
            </w:r>
            <w:r w:rsidR="00304DCB">
              <w:rPr>
                <w:rFonts w:eastAsia="DengXian"/>
                <w:kern w:val="2"/>
                <w:sz w:val="20"/>
                <w:szCs w:val="20"/>
                <w:lang w:val="fr-FR"/>
                <w14:ligatures w14:val="standardContextual"/>
              </w:rPr>
              <w:t>diffuser</w:t>
            </w:r>
            <w:r>
              <w:rPr>
                <w:rFonts w:eastAsia="DengXian"/>
                <w:kern w:val="2"/>
                <w:sz w:val="20"/>
                <w:szCs w:val="20"/>
                <w:lang w:val="fr-FR"/>
                <w14:ligatures w14:val="standardContextual"/>
              </w:rPr>
              <w:t xml:space="preserve"> des guides nationaux, des procédures </w:t>
            </w:r>
            <w:r w:rsidR="00304DCB">
              <w:rPr>
                <w:rFonts w:eastAsia="DengXian"/>
                <w:kern w:val="2"/>
                <w:sz w:val="20"/>
                <w:szCs w:val="20"/>
                <w:lang w:val="fr-FR"/>
                <w14:ligatures w14:val="standardContextual"/>
              </w:rPr>
              <w:t>étape par étape</w:t>
            </w:r>
            <w:r>
              <w:rPr>
                <w:rFonts w:eastAsia="DengXian"/>
                <w:kern w:val="2"/>
                <w:sz w:val="20"/>
                <w:szCs w:val="20"/>
                <w:lang w:val="fr-FR"/>
                <w14:ligatures w14:val="standardContextual"/>
              </w:rPr>
              <w:t xml:space="preserve">, des documents standardisés, des </w:t>
            </w:r>
            <w:r w:rsidR="000F1882" w:rsidRPr="000F1882">
              <w:rPr>
                <w:rFonts w:eastAsia="DengXian"/>
                <w:kern w:val="2"/>
                <w:sz w:val="20"/>
                <w:szCs w:val="20"/>
                <w:lang w:val="fr-FR"/>
                <w14:ligatures w14:val="standardContextual"/>
              </w:rPr>
              <w:t>listes de contrôle</w:t>
            </w:r>
            <w:r>
              <w:rPr>
                <w:rFonts w:eastAsia="DengXian"/>
                <w:kern w:val="2"/>
                <w:sz w:val="20"/>
                <w:szCs w:val="20"/>
                <w:lang w:val="fr-FR"/>
                <w14:ligatures w14:val="standardContextual"/>
              </w:rPr>
              <w:t>, et inclure des définitions claires de ce qui est inclus ou non dans le champ des mesures nationales d’accès et de partage des avantages</w:t>
            </w:r>
          </w:p>
          <w:p w14:paraId="6366FD12" w14:textId="7082EB48" w:rsidR="00633908" w:rsidRPr="00124D03" w:rsidRDefault="00E933E2"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Rendre disponibles les informations en différentes langues</w:t>
            </w:r>
          </w:p>
        </w:tc>
        <w:tc>
          <w:tcPr>
            <w:tcW w:w="5954" w:type="dxa"/>
          </w:tcPr>
          <w:p w14:paraId="01077D79" w14:textId="5DC72509"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w:t>
            </w:r>
            <w:r w:rsidR="007F5639">
              <w:rPr>
                <w:rFonts w:eastAsia="DengXian"/>
                <w:kern w:val="2"/>
                <w:sz w:val="20"/>
                <w:szCs w:val="20"/>
                <w:lang w:val="fr-FR"/>
                <w14:ligatures w14:val="standardContextual"/>
              </w:rPr>
              <w:t>ider les utilisateurs à déterminer rapidement si les obligations en matière d’accès et de partage des avantages s’appliquent et simplifier les échanges préliminaires</w:t>
            </w:r>
          </w:p>
        </w:tc>
      </w:tr>
      <w:tr w:rsidR="00633908" w:rsidRPr="0096543B" w14:paraId="061865AF" w14:textId="77777777" w:rsidTr="00AD184A">
        <w:tc>
          <w:tcPr>
            <w:tcW w:w="1555" w:type="dxa"/>
            <w:vMerge/>
          </w:tcPr>
          <w:p w14:paraId="5E2B2FE5" w14:textId="77777777" w:rsidR="00633908" w:rsidRPr="00124D03" w:rsidRDefault="00633908" w:rsidP="00211531">
            <w:pPr>
              <w:tabs>
                <w:tab w:val="clear" w:pos="567"/>
                <w:tab w:val="clear" w:pos="1134"/>
                <w:tab w:val="clear" w:pos="1701"/>
                <w:tab w:val="clear" w:pos="2268"/>
              </w:tabs>
              <w:jc w:val="left"/>
              <w:rPr>
                <w:rFonts w:eastAsia="DengXian"/>
                <w:b/>
                <w:kern w:val="2"/>
                <w:sz w:val="20"/>
                <w:szCs w:val="20"/>
                <w:lang w:val="fr-FR"/>
                <w14:ligatures w14:val="standardContextual"/>
              </w:rPr>
            </w:pPr>
          </w:p>
        </w:tc>
        <w:tc>
          <w:tcPr>
            <w:tcW w:w="5953" w:type="dxa"/>
          </w:tcPr>
          <w:p w14:paraId="39D941E4" w14:textId="0E2C4370" w:rsidR="00633908" w:rsidRPr="00124D03" w:rsidRDefault="005D0810" w:rsidP="00203362">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Élaborer des procédures simplifiées pour une utilisation non commerciale</w:t>
            </w:r>
          </w:p>
          <w:p w14:paraId="5EC193F4" w14:textId="4564ED27" w:rsidR="00633908" w:rsidRPr="00124D03" w:rsidRDefault="005D0810"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Élaborer des approches rationalisées et simplifiées pour </w:t>
            </w:r>
            <w:r w:rsidR="00304DCB">
              <w:rPr>
                <w:rFonts w:eastAsia="DengXian"/>
                <w:kern w:val="2"/>
                <w:sz w:val="20"/>
                <w:szCs w:val="20"/>
                <w:lang w:val="fr-FR"/>
                <w14:ligatures w14:val="standardContextual"/>
              </w:rPr>
              <w:t>les permis</w:t>
            </w:r>
            <w:r>
              <w:rPr>
                <w:rFonts w:eastAsia="DengXian"/>
                <w:kern w:val="2"/>
                <w:sz w:val="20"/>
                <w:szCs w:val="20"/>
                <w:lang w:val="fr-FR"/>
                <w14:ligatures w14:val="standardContextual"/>
              </w:rPr>
              <w:t xml:space="preserve"> et </w:t>
            </w:r>
            <w:r w:rsidR="00304DCB">
              <w:rPr>
                <w:rFonts w:eastAsia="DengXian"/>
                <w:kern w:val="2"/>
                <w:sz w:val="20"/>
                <w:szCs w:val="20"/>
                <w:lang w:val="fr-FR"/>
                <w14:ligatures w14:val="standardContextual"/>
              </w:rPr>
              <w:t>la négociation</w:t>
            </w:r>
            <w:r>
              <w:rPr>
                <w:rFonts w:eastAsia="DengXian"/>
                <w:kern w:val="2"/>
                <w:sz w:val="20"/>
                <w:szCs w:val="20"/>
                <w:lang w:val="fr-FR"/>
                <w14:ligatures w14:val="standardContextual"/>
              </w:rPr>
              <w:t xml:space="preserve"> des </w:t>
            </w:r>
            <w:r w:rsidR="009A3DE3">
              <w:rPr>
                <w:rFonts w:eastAsia="DengXian"/>
                <w:kern w:val="2"/>
                <w:sz w:val="20"/>
                <w:szCs w:val="20"/>
                <w:lang w:val="fr-FR"/>
                <w14:ligatures w14:val="standardContextual"/>
              </w:rPr>
              <w:t>conditions</w:t>
            </w:r>
            <w:r>
              <w:rPr>
                <w:rFonts w:eastAsia="DengXian"/>
                <w:kern w:val="2"/>
                <w:sz w:val="20"/>
                <w:szCs w:val="20"/>
                <w:lang w:val="fr-FR"/>
                <w14:ligatures w14:val="standardContextual"/>
              </w:rPr>
              <w:t xml:space="preserve"> convenues d’un commun accord</w:t>
            </w:r>
          </w:p>
          <w:p w14:paraId="4355E676" w14:textId="27F0C29B" w:rsidR="00633908" w:rsidRPr="00124D03" w:rsidRDefault="0081176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Intégrer</w:t>
            </w:r>
            <w:r w:rsidR="005D0810">
              <w:rPr>
                <w:rFonts w:eastAsia="DengXian"/>
                <w:kern w:val="2"/>
                <w:sz w:val="20"/>
                <w:szCs w:val="20"/>
                <w:lang w:val="fr-FR"/>
                <w14:ligatures w14:val="standardContextual"/>
              </w:rPr>
              <w:t xml:space="preserve"> l’accès et le partage des avantages dans </w:t>
            </w:r>
            <w:r>
              <w:rPr>
                <w:rFonts w:eastAsia="DengXian"/>
                <w:kern w:val="2"/>
                <w:sz w:val="20"/>
                <w:szCs w:val="20"/>
                <w:lang w:val="fr-FR"/>
                <w14:ligatures w14:val="standardContextual"/>
              </w:rPr>
              <w:t>d</w:t>
            </w:r>
            <w:r w:rsidR="005D0810">
              <w:rPr>
                <w:rFonts w:eastAsia="DengXian"/>
                <w:kern w:val="2"/>
                <w:sz w:val="20"/>
                <w:szCs w:val="20"/>
                <w:lang w:val="fr-FR"/>
                <w14:ligatures w14:val="standardContextual"/>
              </w:rPr>
              <w:t>es cadres de coopération institutionnelle plus généraux (par exemple des programmes de recherche ou des réseaux régionaux)</w:t>
            </w:r>
          </w:p>
        </w:tc>
        <w:tc>
          <w:tcPr>
            <w:tcW w:w="5954" w:type="dxa"/>
          </w:tcPr>
          <w:p w14:paraId="51770925" w14:textId="530C9AFA"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Permettre aux pays de garder une vue d’ensemble, tout en évitant les obstacles aux activités scientifiques bénéfiques à tous</w:t>
            </w:r>
          </w:p>
          <w:p w14:paraId="3A5B23C7" w14:textId="34E2335E" w:rsidR="00633908" w:rsidRPr="00124D03" w:rsidRDefault="000A77AC"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Aborder les considérations spéciales de l’article 8 du Protocole</w:t>
            </w:r>
          </w:p>
        </w:tc>
      </w:tr>
      <w:tr w:rsidR="00633908" w:rsidRPr="0096543B" w14:paraId="6A277C15" w14:textId="77777777" w:rsidTr="00AD184A">
        <w:trPr>
          <w:trHeight w:val="58"/>
        </w:trPr>
        <w:tc>
          <w:tcPr>
            <w:tcW w:w="1555" w:type="dxa"/>
            <w:vMerge w:val="restart"/>
          </w:tcPr>
          <w:p w14:paraId="71019881" w14:textId="7484BD5F" w:rsidR="00633908" w:rsidRPr="00124D03" w:rsidRDefault="00AD184A"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Systèmes d’i</w:t>
            </w:r>
            <w:r w:rsidR="00633908" w:rsidRPr="00124D03">
              <w:rPr>
                <w:rFonts w:eastAsia="DengXian"/>
                <w:b/>
                <w:kern w:val="2"/>
                <w:sz w:val="20"/>
                <w:szCs w:val="20"/>
                <w:lang w:val="fr-FR"/>
                <w14:ligatures w14:val="standardContextual"/>
              </w:rPr>
              <w:t xml:space="preserve">nformation </w:t>
            </w:r>
          </w:p>
        </w:tc>
        <w:tc>
          <w:tcPr>
            <w:tcW w:w="5953" w:type="dxa"/>
          </w:tcPr>
          <w:p w14:paraId="56DF3C9B" w14:textId="041F0342" w:rsidR="00095A63" w:rsidRPr="00124D03" w:rsidRDefault="005D0810" w:rsidP="00095A63">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Créer des systèmes d’assistance utilisateurs, y compris des systèmes en ligne </w:t>
            </w:r>
            <w:r w:rsidR="0081176D">
              <w:rPr>
                <w:rFonts w:eastAsia="DengXian"/>
                <w:kern w:val="2"/>
                <w:sz w:val="20"/>
                <w:szCs w:val="20"/>
                <w:lang w:val="fr-FR"/>
                <w14:ligatures w14:val="standardContextual"/>
              </w:rPr>
              <w:t>pour soumettre et surveiller des demandes</w:t>
            </w:r>
            <w:r>
              <w:rPr>
                <w:rFonts w:eastAsia="DengXian"/>
                <w:kern w:val="2"/>
                <w:sz w:val="20"/>
                <w:szCs w:val="20"/>
                <w:lang w:val="fr-FR"/>
                <w14:ligatures w14:val="standardContextual"/>
              </w:rPr>
              <w:t xml:space="preserve"> d’accès et de partage des avantages</w:t>
            </w:r>
          </w:p>
          <w:p w14:paraId="654473F6" w14:textId="51681C94" w:rsidR="00633908" w:rsidRPr="00124D03" w:rsidRDefault="00633908" w:rsidP="007250B6">
            <w:pPr>
              <w:tabs>
                <w:tab w:val="clear" w:pos="567"/>
                <w:tab w:val="clear" w:pos="1134"/>
                <w:tab w:val="clear" w:pos="1701"/>
                <w:tab w:val="clear" w:pos="2268"/>
              </w:tabs>
              <w:jc w:val="left"/>
              <w:rPr>
                <w:rFonts w:eastAsia="DengXian"/>
                <w:kern w:val="2"/>
                <w:sz w:val="20"/>
                <w:szCs w:val="20"/>
                <w:lang w:val="fr-FR"/>
                <w14:ligatures w14:val="standardContextual"/>
              </w:rPr>
            </w:pPr>
          </w:p>
        </w:tc>
        <w:tc>
          <w:tcPr>
            <w:tcW w:w="5954" w:type="dxa"/>
          </w:tcPr>
          <w:p w14:paraId="3B574ADA" w14:textId="514E9794" w:rsidR="00633908" w:rsidRPr="00124D03" w:rsidRDefault="00CC72DA" w:rsidP="00C95137">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Aider à réduire la charge administrative et les coûts de transaction pour les fournisseurs et les utilisateurs, tout en incluant des plans pour la durabilité à long terme</w:t>
            </w:r>
          </w:p>
        </w:tc>
      </w:tr>
      <w:tr w:rsidR="00095A63" w:rsidRPr="0096543B" w14:paraId="7A718558" w14:textId="77777777" w:rsidTr="00AD184A">
        <w:trPr>
          <w:trHeight w:val="58"/>
        </w:trPr>
        <w:tc>
          <w:tcPr>
            <w:tcW w:w="1555" w:type="dxa"/>
            <w:vMerge/>
          </w:tcPr>
          <w:p w14:paraId="72EBEDB6" w14:textId="77777777" w:rsidR="00095A63" w:rsidRPr="00124D03" w:rsidRDefault="00095A63" w:rsidP="00C546FC">
            <w:pPr>
              <w:tabs>
                <w:tab w:val="clear" w:pos="567"/>
                <w:tab w:val="clear" w:pos="1134"/>
                <w:tab w:val="clear" w:pos="1701"/>
                <w:tab w:val="clear" w:pos="2268"/>
              </w:tabs>
              <w:jc w:val="left"/>
              <w:rPr>
                <w:rFonts w:eastAsia="DengXian"/>
                <w:b/>
                <w:bCs/>
                <w:kern w:val="2"/>
                <w:sz w:val="20"/>
                <w:szCs w:val="20"/>
                <w:lang w:val="fr-FR"/>
                <w14:ligatures w14:val="standardContextual"/>
              </w:rPr>
            </w:pPr>
          </w:p>
        </w:tc>
        <w:tc>
          <w:tcPr>
            <w:tcW w:w="5953" w:type="dxa"/>
          </w:tcPr>
          <w:p w14:paraId="600B4877" w14:textId="1815D887" w:rsidR="00095A63" w:rsidRPr="00124D03" w:rsidRDefault="005D0810" w:rsidP="00095A63">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Inclure des fonctions de compatibilité avec le Centre d’échange dans les systèmes d’information nationaux</w:t>
            </w:r>
          </w:p>
        </w:tc>
        <w:tc>
          <w:tcPr>
            <w:tcW w:w="5954" w:type="dxa"/>
          </w:tcPr>
          <w:p w14:paraId="2BE7E60F" w14:textId="1E60FCC0" w:rsidR="00095A63" w:rsidRPr="00124D03" w:rsidRDefault="00CC72DA" w:rsidP="00C546FC">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Réduire la charge de la publication manuelle des certificats de conformité reconnus à l’échelle internationale et des communiqués de points de contrôle </w:t>
            </w:r>
          </w:p>
        </w:tc>
      </w:tr>
      <w:tr w:rsidR="00633908" w:rsidRPr="0096543B" w14:paraId="5693848F" w14:textId="77777777" w:rsidTr="00AD184A">
        <w:tc>
          <w:tcPr>
            <w:tcW w:w="1555" w:type="dxa"/>
            <w:vMerge/>
          </w:tcPr>
          <w:p w14:paraId="682BE874" w14:textId="77777777" w:rsidR="00633908" w:rsidRPr="00124D03" w:rsidRDefault="00633908" w:rsidP="00211531">
            <w:pPr>
              <w:tabs>
                <w:tab w:val="clear" w:pos="567"/>
                <w:tab w:val="clear" w:pos="1134"/>
                <w:tab w:val="clear" w:pos="1701"/>
                <w:tab w:val="clear" w:pos="2268"/>
              </w:tabs>
              <w:jc w:val="left"/>
              <w:rPr>
                <w:rFonts w:eastAsia="DengXian"/>
                <w:b/>
                <w:kern w:val="2"/>
                <w:sz w:val="20"/>
                <w:szCs w:val="20"/>
                <w:lang w:val="fr-FR"/>
                <w14:ligatures w14:val="standardContextual"/>
              </w:rPr>
            </w:pPr>
          </w:p>
        </w:tc>
        <w:tc>
          <w:tcPr>
            <w:tcW w:w="5953" w:type="dxa"/>
          </w:tcPr>
          <w:p w14:paraId="2E6B221F" w14:textId="3EB3A992" w:rsidR="005D0810" w:rsidRDefault="005D0810"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Créer ou améliorer les systèmes et les approches de suivi de la mise en œuvre des </w:t>
            </w:r>
            <w:r w:rsidR="009A3DE3">
              <w:rPr>
                <w:rFonts w:eastAsia="DengXian"/>
                <w:kern w:val="2"/>
                <w:sz w:val="20"/>
                <w:szCs w:val="20"/>
                <w:lang w:val="fr-FR"/>
                <w14:ligatures w14:val="standardContextual"/>
              </w:rPr>
              <w:t>conditions</w:t>
            </w:r>
            <w:r>
              <w:rPr>
                <w:rFonts w:eastAsia="DengXian"/>
                <w:kern w:val="2"/>
                <w:sz w:val="20"/>
                <w:szCs w:val="20"/>
                <w:lang w:val="fr-FR"/>
                <w14:ligatures w14:val="standardContextual"/>
              </w:rPr>
              <w:t xml:space="preserve"> convenues d’un commun accord et des avantages perçus</w:t>
            </w:r>
          </w:p>
          <w:p w14:paraId="39B5D7EB" w14:textId="600473E4" w:rsidR="00633908" w:rsidRPr="00124D03" w:rsidRDefault="0081176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Fournir des </w:t>
            </w:r>
            <w:r w:rsidR="005D0810">
              <w:rPr>
                <w:rFonts w:eastAsia="DengXian"/>
                <w:kern w:val="2"/>
                <w:sz w:val="20"/>
                <w:szCs w:val="20"/>
                <w:lang w:val="fr-FR"/>
                <w14:ligatures w14:val="standardContextual"/>
              </w:rPr>
              <w:t>informations ventilées sur les avantages perçus</w:t>
            </w:r>
          </w:p>
        </w:tc>
        <w:tc>
          <w:tcPr>
            <w:tcW w:w="5954" w:type="dxa"/>
          </w:tcPr>
          <w:p w14:paraId="10293189" w14:textId="63323332" w:rsidR="00633908" w:rsidRPr="00124D03" w:rsidRDefault="00580ED3"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Appuyer </w:t>
            </w:r>
            <w:r w:rsidR="0081176D">
              <w:rPr>
                <w:rFonts w:eastAsia="DengXian"/>
                <w:kern w:val="2"/>
                <w:sz w:val="20"/>
                <w:szCs w:val="20"/>
                <w:lang w:val="fr-FR"/>
                <w14:ligatures w14:val="standardContextual"/>
              </w:rPr>
              <w:t>le respect des</w:t>
            </w:r>
            <w:r>
              <w:rPr>
                <w:rFonts w:eastAsia="DengXian"/>
                <w:kern w:val="2"/>
                <w:sz w:val="20"/>
                <w:szCs w:val="20"/>
                <w:lang w:val="fr-FR"/>
                <w14:ligatures w14:val="standardContextual"/>
              </w:rPr>
              <w:t xml:space="preserve"> </w:t>
            </w:r>
            <w:r w:rsidR="009A3DE3">
              <w:rPr>
                <w:rFonts w:eastAsia="DengXian"/>
                <w:kern w:val="2"/>
                <w:sz w:val="20"/>
                <w:szCs w:val="20"/>
                <w:lang w:val="fr-FR"/>
                <w14:ligatures w14:val="standardContextual"/>
              </w:rPr>
              <w:t>conditions</w:t>
            </w:r>
            <w:r>
              <w:rPr>
                <w:rFonts w:eastAsia="DengXian"/>
                <w:kern w:val="2"/>
                <w:sz w:val="20"/>
                <w:szCs w:val="20"/>
                <w:lang w:val="fr-FR"/>
                <w14:ligatures w14:val="standardContextual"/>
              </w:rPr>
              <w:t xml:space="preserve"> convenues d’un commun accord</w:t>
            </w:r>
          </w:p>
          <w:p w14:paraId="175DFC1C" w14:textId="3248F205" w:rsidR="00633908" w:rsidRPr="00124D03" w:rsidRDefault="00580ED3"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Aider à mesurer les </w:t>
            </w:r>
            <w:r w:rsidR="0081176D">
              <w:rPr>
                <w:rFonts w:eastAsia="DengXian"/>
                <w:kern w:val="2"/>
                <w:sz w:val="20"/>
                <w:szCs w:val="20"/>
                <w:lang w:val="fr-FR"/>
                <w14:ligatures w14:val="standardContextual"/>
              </w:rPr>
              <w:t>effets</w:t>
            </w:r>
            <w:r>
              <w:rPr>
                <w:rFonts w:eastAsia="DengXian"/>
                <w:kern w:val="2"/>
                <w:sz w:val="20"/>
                <w:szCs w:val="20"/>
                <w:lang w:val="fr-FR"/>
                <w14:ligatures w14:val="standardContextual"/>
              </w:rPr>
              <w:t xml:space="preserve"> de l’accès et du partage des avantages dans le pays et mobiliser les volontés politiques</w:t>
            </w:r>
          </w:p>
          <w:p w14:paraId="6B16DBFB" w14:textId="1EC9B889" w:rsidR="00633908" w:rsidRPr="00124D03" w:rsidRDefault="00580ED3" w:rsidP="00C95137">
            <w:pPr>
              <w:tabs>
                <w:tab w:val="clear" w:pos="567"/>
                <w:tab w:val="clear" w:pos="1134"/>
                <w:tab w:val="clear" w:pos="1701"/>
                <w:tab w:val="clear" w:pos="2268"/>
              </w:tabs>
              <w:jc w:val="left"/>
              <w:rPr>
                <w:rFonts w:ascii="Aptos" w:eastAsia="DengXian" w:hAnsi="Aptos" w:cs="Arial"/>
                <w:kern w:val="2"/>
                <w:sz w:val="20"/>
                <w:szCs w:val="20"/>
                <w:lang w:val="fr-FR"/>
                <w14:ligatures w14:val="standardContextual"/>
              </w:rPr>
            </w:pPr>
            <w:r>
              <w:rPr>
                <w:rFonts w:eastAsia="DengXian"/>
                <w:kern w:val="2"/>
                <w:sz w:val="20"/>
                <w:szCs w:val="20"/>
                <w:lang w:val="fr-FR"/>
                <w14:ligatures w14:val="standardContextual"/>
              </w:rPr>
              <w:t>Appuyer l’établissement de rapports sur les progrès accomplis dans la réalisation de l’Objectif C et de la Cible 13</w:t>
            </w:r>
            <w:r w:rsidR="00633908" w:rsidRPr="00124D03">
              <w:rPr>
                <w:rStyle w:val="FootnoteReference"/>
                <w:rFonts w:ascii="Aptos" w:eastAsia="DengXian" w:hAnsi="Aptos" w:cs="Arial"/>
                <w:kern w:val="2"/>
                <w:sz w:val="20"/>
                <w:szCs w:val="20"/>
                <w:lang w:val="fr-FR"/>
                <w14:ligatures w14:val="standardContextual"/>
              </w:rPr>
              <w:footnoteReference w:id="34"/>
            </w:r>
          </w:p>
        </w:tc>
      </w:tr>
      <w:tr w:rsidR="00633908" w:rsidRPr="0096543B" w14:paraId="4ED5F86B" w14:textId="77777777" w:rsidTr="00AD184A">
        <w:tc>
          <w:tcPr>
            <w:tcW w:w="1555" w:type="dxa"/>
          </w:tcPr>
          <w:p w14:paraId="74514D3E" w14:textId="5F6B6B0D" w:rsidR="00633908" w:rsidRPr="00124D03" w:rsidRDefault="009A3DE3"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Conditions</w:t>
            </w:r>
            <w:r w:rsidR="00AD184A">
              <w:rPr>
                <w:rFonts w:eastAsia="DengXian"/>
                <w:b/>
                <w:kern w:val="2"/>
                <w:sz w:val="20"/>
                <w:szCs w:val="20"/>
                <w:lang w:val="fr-FR"/>
                <w14:ligatures w14:val="standardContextual"/>
              </w:rPr>
              <w:t xml:space="preserve"> convenues d’un commun accord</w:t>
            </w:r>
          </w:p>
        </w:tc>
        <w:tc>
          <w:tcPr>
            <w:tcW w:w="5953" w:type="dxa"/>
          </w:tcPr>
          <w:p w14:paraId="6E0D47EB" w14:textId="4C83168B"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Créer et diffuser des modèles de formulaires pour les </w:t>
            </w:r>
            <w:r w:rsidR="009A3DE3">
              <w:rPr>
                <w:rFonts w:eastAsia="DengXian"/>
                <w:kern w:val="2"/>
                <w:sz w:val="20"/>
                <w:szCs w:val="20"/>
                <w:lang w:val="fr-FR"/>
                <w14:ligatures w14:val="standardContextual"/>
              </w:rPr>
              <w:t>conditions</w:t>
            </w:r>
            <w:r>
              <w:rPr>
                <w:rFonts w:eastAsia="DengXian"/>
                <w:kern w:val="2"/>
                <w:sz w:val="20"/>
                <w:szCs w:val="20"/>
                <w:lang w:val="fr-FR"/>
                <w14:ligatures w14:val="standardContextual"/>
              </w:rPr>
              <w:t xml:space="preserve"> convenues d’un commun accord, des paramètres définis pour le partage des avantages, une liste des éventuels avantages monétaires et non monétaires</w:t>
            </w:r>
            <w:r w:rsidR="00633908" w:rsidRPr="00124D03">
              <w:rPr>
                <w:rFonts w:eastAsia="DengXian"/>
                <w:kern w:val="2"/>
                <w:sz w:val="20"/>
                <w:szCs w:val="20"/>
                <w:lang w:val="fr-FR"/>
                <w14:ligatures w14:val="standardContextual"/>
              </w:rPr>
              <w:t xml:space="preserve"> </w:t>
            </w:r>
          </w:p>
          <w:p w14:paraId="0E8D0114" w14:textId="2F292636"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Élaborer des approches pour gérer les changements </w:t>
            </w:r>
            <w:r w:rsidRPr="0081176D">
              <w:rPr>
                <w:rFonts w:eastAsia="DengXian"/>
                <w:kern w:val="2"/>
                <w:sz w:val="20"/>
                <w:szCs w:val="20"/>
                <w:lang w:val="fr-FR"/>
                <w14:ligatures w14:val="standardContextual"/>
              </w:rPr>
              <w:t>d’intention</w:t>
            </w:r>
            <w:r>
              <w:rPr>
                <w:rFonts w:eastAsia="DengXian"/>
                <w:kern w:val="2"/>
                <w:sz w:val="20"/>
                <w:szCs w:val="20"/>
                <w:lang w:val="fr-FR"/>
                <w14:ligatures w14:val="standardContextual"/>
              </w:rPr>
              <w:t xml:space="preserve"> et les transferts par des tiers</w:t>
            </w:r>
          </w:p>
          <w:p w14:paraId="2EA94070" w14:textId="3A057CB1" w:rsidR="00633908" w:rsidRPr="00124D03" w:rsidRDefault="000E4A79" w:rsidP="00C32CCB">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Impliquer les départements gouvernementaux ou les entités disposant d’une expertise juridique et commerciale pertinente</w:t>
            </w:r>
          </w:p>
          <w:p w14:paraId="0AA1B35A" w14:textId="3B6C0C26" w:rsidR="00633908" w:rsidRPr="00124D03" w:rsidRDefault="00633908" w:rsidP="00C32CCB">
            <w:pPr>
              <w:tabs>
                <w:tab w:val="clear" w:pos="567"/>
                <w:tab w:val="clear" w:pos="1134"/>
                <w:tab w:val="clear" w:pos="1701"/>
                <w:tab w:val="clear" w:pos="2268"/>
              </w:tabs>
              <w:jc w:val="left"/>
              <w:rPr>
                <w:rFonts w:eastAsia="DengXian"/>
                <w:kern w:val="2"/>
                <w:sz w:val="20"/>
                <w:szCs w:val="20"/>
                <w:lang w:val="fr-FR"/>
                <w14:ligatures w14:val="standardContextual"/>
              </w:rPr>
            </w:pPr>
            <w:r w:rsidRPr="00124D03">
              <w:rPr>
                <w:rFonts w:eastAsia="DengXian"/>
                <w:kern w:val="2"/>
                <w:sz w:val="20"/>
                <w:szCs w:val="20"/>
                <w:lang w:val="fr-FR"/>
                <w14:ligatures w14:val="standardContextual"/>
              </w:rPr>
              <w:t>I</w:t>
            </w:r>
            <w:r w:rsidR="000E4A79">
              <w:rPr>
                <w:rFonts w:eastAsia="DengXian"/>
                <w:kern w:val="2"/>
                <w:sz w:val="20"/>
                <w:szCs w:val="20"/>
                <w:lang w:val="fr-FR"/>
                <w14:ligatures w14:val="standardContextual"/>
              </w:rPr>
              <w:t>nclure les perspectives des utilisateurs de différents secteurs tout au long du processus</w:t>
            </w:r>
          </w:p>
        </w:tc>
        <w:tc>
          <w:tcPr>
            <w:tcW w:w="5954" w:type="dxa"/>
          </w:tcPr>
          <w:p w14:paraId="786A464E" w14:textId="271460CC"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Appuyer les capacités de négociation de </w:t>
            </w:r>
            <w:r w:rsidR="009A3DE3">
              <w:rPr>
                <w:rFonts w:eastAsia="DengXian"/>
                <w:kern w:val="2"/>
                <w:sz w:val="20"/>
                <w:szCs w:val="20"/>
                <w:lang w:val="fr-FR"/>
                <w14:ligatures w14:val="standardContextual"/>
              </w:rPr>
              <w:t>conditions</w:t>
            </w:r>
            <w:r>
              <w:rPr>
                <w:rFonts w:eastAsia="DengXian"/>
                <w:kern w:val="2"/>
                <w:sz w:val="20"/>
                <w:szCs w:val="20"/>
                <w:lang w:val="fr-FR"/>
                <w14:ligatures w14:val="standardContextual"/>
              </w:rPr>
              <w:t xml:space="preserve"> convenues d’un commun accord </w:t>
            </w:r>
            <w:r w:rsidR="0081176D">
              <w:rPr>
                <w:rFonts w:eastAsia="DengXian"/>
                <w:kern w:val="2"/>
                <w:sz w:val="20"/>
                <w:szCs w:val="20"/>
                <w:lang w:val="fr-FR"/>
                <w14:ligatures w14:val="standardContextual"/>
              </w:rPr>
              <w:t>inspirée des</w:t>
            </w:r>
            <w:r>
              <w:rPr>
                <w:rFonts w:eastAsia="DengXian"/>
                <w:kern w:val="2"/>
                <w:sz w:val="20"/>
                <w:szCs w:val="20"/>
                <w:lang w:val="fr-FR"/>
                <w14:ligatures w14:val="standardContextual"/>
              </w:rPr>
              <w:t xml:space="preserve"> meilleures pratiques</w:t>
            </w:r>
            <w:r w:rsidR="00633908" w:rsidRPr="00124D03">
              <w:rPr>
                <w:rFonts w:eastAsia="DengXian"/>
                <w:kern w:val="2"/>
                <w:sz w:val="20"/>
                <w:szCs w:val="20"/>
                <w:lang w:val="fr-FR"/>
                <w14:ligatures w14:val="standardContextual"/>
              </w:rPr>
              <w:t xml:space="preserve"> </w:t>
            </w:r>
          </w:p>
          <w:p w14:paraId="23D062BE" w14:textId="6ED3825E"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Aider à recenser la </w:t>
            </w:r>
            <w:r w:rsidRPr="0081176D">
              <w:rPr>
                <w:rFonts w:eastAsia="DengXian"/>
                <w:kern w:val="2"/>
                <w:sz w:val="20"/>
                <w:szCs w:val="20"/>
                <w:lang w:val="fr-FR"/>
                <w14:ligatures w14:val="standardContextual"/>
              </w:rPr>
              <w:t>législation applicable portant sur</w:t>
            </w:r>
            <w:r>
              <w:rPr>
                <w:rFonts w:eastAsia="DengXian"/>
                <w:kern w:val="2"/>
                <w:sz w:val="20"/>
                <w:szCs w:val="20"/>
                <w:lang w:val="fr-FR"/>
                <w14:ligatures w14:val="standardContextual"/>
              </w:rPr>
              <w:t xml:space="preserve"> le droit contractuel, le droit international </w:t>
            </w:r>
            <w:r w:rsidR="0081176D">
              <w:rPr>
                <w:rFonts w:eastAsia="DengXian"/>
                <w:kern w:val="2"/>
                <w:sz w:val="20"/>
                <w:szCs w:val="20"/>
                <w:lang w:val="fr-FR"/>
                <w14:ligatures w14:val="standardContextual"/>
              </w:rPr>
              <w:t xml:space="preserve">privé </w:t>
            </w:r>
            <w:r>
              <w:rPr>
                <w:rFonts w:eastAsia="DengXian"/>
                <w:kern w:val="2"/>
                <w:sz w:val="20"/>
                <w:szCs w:val="20"/>
                <w:lang w:val="fr-FR"/>
                <w14:ligatures w14:val="standardContextual"/>
              </w:rPr>
              <w:t>ou les mesures nationales relatives à l’accès à la justice</w:t>
            </w:r>
          </w:p>
          <w:p w14:paraId="20180A89" w14:textId="5CD25F0D" w:rsidR="00633908" w:rsidRPr="00124D03" w:rsidRDefault="00633908" w:rsidP="00211531">
            <w:pPr>
              <w:tabs>
                <w:tab w:val="clear" w:pos="567"/>
                <w:tab w:val="clear" w:pos="1134"/>
                <w:tab w:val="clear" w:pos="1701"/>
                <w:tab w:val="clear" w:pos="2268"/>
              </w:tabs>
              <w:jc w:val="left"/>
              <w:rPr>
                <w:rFonts w:eastAsia="DengXian"/>
                <w:kern w:val="2"/>
                <w:sz w:val="20"/>
                <w:szCs w:val="20"/>
                <w:lang w:val="fr-FR"/>
                <w14:ligatures w14:val="standardContextual"/>
              </w:rPr>
            </w:pPr>
          </w:p>
        </w:tc>
      </w:tr>
      <w:tr w:rsidR="00633908" w:rsidRPr="0096543B" w14:paraId="51CCDCE4" w14:textId="77777777" w:rsidTr="00AD184A">
        <w:tc>
          <w:tcPr>
            <w:tcW w:w="1555" w:type="dxa"/>
          </w:tcPr>
          <w:p w14:paraId="01A7FE29" w14:textId="6EB79F50" w:rsidR="00633908" w:rsidRPr="00124D03" w:rsidRDefault="00AD184A"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 xml:space="preserve">Participation pleine et </w:t>
            </w:r>
            <w:r>
              <w:rPr>
                <w:rFonts w:eastAsia="DengXian"/>
                <w:b/>
                <w:kern w:val="2"/>
                <w:sz w:val="20"/>
                <w:szCs w:val="20"/>
                <w:lang w:val="fr-FR"/>
                <w14:ligatures w14:val="standardContextual"/>
              </w:rPr>
              <w:lastRenderedPageBreak/>
              <w:t>entière des peuples autochtones et communautés locales</w:t>
            </w:r>
          </w:p>
        </w:tc>
        <w:tc>
          <w:tcPr>
            <w:tcW w:w="5953" w:type="dxa"/>
          </w:tcPr>
          <w:p w14:paraId="24CE23D8" w14:textId="184DB4E6"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 xml:space="preserve">Développer des politiques claires pour une participation pleine et </w:t>
            </w:r>
            <w:r w:rsidR="0081176D">
              <w:rPr>
                <w:rFonts w:eastAsia="DengXian"/>
                <w:kern w:val="2"/>
                <w:sz w:val="20"/>
                <w:szCs w:val="20"/>
                <w:lang w:val="fr-FR"/>
                <w14:ligatures w14:val="standardContextual"/>
              </w:rPr>
              <w:t>efficace</w:t>
            </w:r>
            <w:r>
              <w:rPr>
                <w:rFonts w:eastAsia="DengXian"/>
                <w:kern w:val="2"/>
                <w:sz w:val="20"/>
                <w:szCs w:val="20"/>
                <w:lang w:val="fr-FR"/>
                <w14:ligatures w14:val="standardContextual"/>
              </w:rPr>
              <w:t xml:space="preserve"> des peuples autochtones et communautés locales</w:t>
            </w:r>
          </w:p>
          <w:p w14:paraId="1341CABF" w14:textId="737E090A" w:rsidR="00633908" w:rsidRPr="00124D03" w:rsidRDefault="00633908" w:rsidP="00211531">
            <w:pPr>
              <w:tabs>
                <w:tab w:val="clear" w:pos="567"/>
                <w:tab w:val="clear" w:pos="1134"/>
                <w:tab w:val="clear" w:pos="1701"/>
                <w:tab w:val="clear" w:pos="2268"/>
              </w:tabs>
              <w:jc w:val="left"/>
              <w:rPr>
                <w:rFonts w:eastAsia="DengXian"/>
                <w:kern w:val="2"/>
                <w:sz w:val="20"/>
                <w:szCs w:val="20"/>
                <w:lang w:val="fr-FR"/>
                <w14:ligatures w14:val="standardContextual"/>
              </w:rPr>
            </w:pPr>
            <w:r w:rsidRPr="00124D03">
              <w:rPr>
                <w:rFonts w:eastAsia="DengXian"/>
                <w:kern w:val="2"/>
                <w:sz w:val="20"/>
                <w:szCs w:val="20"/>
                <w:lang w:val="fr-FR"/>
                <w14:ligatures w14:val="standardContextual"/>
              </w:rPr>
              <w:lastRenderedPageBreak/>
              <w:t>Inclu</w:t>
            </w:r>
            <w:r w:rsidR="000E4A79">
              <w:rPr>
                <w:rFonts w:eastAsia="DengXian"/>
                <w:kern w:val="2"/>
                <w:sz w:val="20"/>
                <w:szCs w:val="20"/>
                <w:lang w:val="fr-FR"/>
                <w14:ligatures w14:val="standardContextual"/>
              </w:rPr>
              <w:t>re les peuples autochtones et communautés locales dans les comités nationaux portant sur l’accès et le partage des avantages</w:t>
            </w:r>
          </w:p>
          <w:p w14:paraId="5E0BC5FB" w14:textId="5B6F5EB2"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Appuyer la création et la mise en œuvre de protocoles communautaires par les peuples autochtones et communautés locales, conformément à l’article 12</w:t>
            </w:r>
          </w:p>
          <w:p w14:paraId="04B72669" w14:textId="50BA4889" w:rsidR="00633908" w:rsidRPr="00124D03" w:rsidRDefault="000E4A7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Sensibiliser le public et renforcer les capacités conformément au Protocole</w:t>
            </w:r>
          </w:p>
        </w:tc>
        <w:tc>
          <w:tcPr>
            <w:tcW w:w="5954" w:type="dxa"/>
          </w:tcPr>
          <w:p w14:paraId="694DE9B0" w14:textId="77777777" w:rsidR="004950C3" w:rsidRDefault="004950C3" w:rsidP="004950C3">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Garantir leur implication et leur émancipation dans les processus d’accès et de partage des avantages</w:t>
            </w:r>
          </w:p>
          <w:p w14:paraId="017B52E4" w14:textId="204F4274" w:rsidR="00633908" w:rsidRPr="00124D03" w:rsidRDefault="004950C3" w:rsidP="004950C3">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 xml:space="preserve">Instaurer une </w:t>
            </w:r>
            <w:r w:rsidR="0081176D">
              <w:rPr>
                <w:rFonts w:eastAsia="DengXian"/>
                <w:kern w:val="2"/>
                <w:sz w:val="20"/>
                <w:szCs w:val="20"/>
                <w:lang w:val="fr-FR"/>
                <w14:ligatures w14:val="standardContextual"/>
              </w:rPr>
              <w:t xml:space="preserve">relation de </w:t>
            </w:r>
            <w:r>
              <w:rPr>
                <w:rFonts w:eastAsia="DengXian"/>
                <w:kern w:val="2"/>
                <w:sz w:val="20"/>
                <w:szCs w:val="20"/>
                <w:lang w:val="fr-FR"/>
                <w14:ligatures w14:val="standardContextual"/>
              </w:rPr>
              <w:t>confiance entre toutes les parties impliquées</w:t>
            </w:r>
          </w:p>
        </w:tc>
      </w:tr>
      <w:tr w:rsidR="00633908" w:rsidRPr="0096543B" w14:paraId="6A9DA566" w14:textId="77777777" w:rsidTr="00AD184A">
        <w:tc>
          <w:tcPr>
            <w:tcW w:w="1555" w:type="dxa"/>
          </w:tcPr>
          <w:p w14:paraId="3B42EF9E" w14:textId="35D4A42B" w:rsidR="00633908" w:rsidRPr="00124D03" w:rsidRDefault="004950C3"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lastRenderedPageBreak/>
              <w:t>Dialogue avec les utilisateurs</w:t>
            </w:r>
          </w:p>
        </w:tc>
        <w:tc>
          <w:tcPr>
            <w:tcW w:w="5953" w:type="dxa"/>
          </w:tcPr>
          <w:p w14:paraId="11EF639B" w14:textId="5574B192"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Sensibiliser les utilisateurs à l’accès et au partage des avantages</w:t>
            </w:r>
          </w:p>
          <w:p w14:paraId="27CCF7AB" w14:textId="09103CB2"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Faciliter l’échange d’informations, d’expérience et des meilleures pratiques </w:t>
            </w:r>
            <w:r w:rsidR="00C46F6B">
              <w:rPr>
                <w:rFonts w:eastAsia="DengXian"/>
                <w:kern w:val="2"/>
                <w:sz w:val="20"/>
                <w:szCs w:val="20"/>
                <w:lang w:val="fr-FR"/>
                <w14:ligatures w14:val="standardContextual"/>
              </w:rPr>
              <w:t>pour aider</w:t>
            </w:r>
            <w:r>
              <w:rPr>
                <w:rFonts w:eastAsia="DengXian"/>
                <w:kern w:val="2"/>
                <w:sz w:val="20"/>
                <w:szCs w:val="20"/>
                <w:lang w:val="fr-FR"/>
                <w14:ligatures w14:val="standardContextual"/>
              </w:rPr>
              <w:t xml:space="preserve"> différents groupes d’utilisateurs à respecter les obligations en matière d’accès et de partage des avantages</w:t>
            </w:r>
          </w:p>
        </w:tc>
        <w:tc>
          <w:tcPr>
            <w:tcW w:w="5954" w:type="dxa"/>
          </w:tcPr>
          <w:p w14:paraId="7D462419" w14:textId="4ED92B54"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Garantir que les </w:t>
            </w:r>
            <w:r w:rsidR="00BB1B5D">
              <w:rPr>
                <w:rFonts w:eastAsia="DengXian"/>
                <w:kern w:val="2"/>
                <w:sz w:val="20"/>
                <w:szCs w:val="20"/>
                <w:lang w:val="fr-FR"/>
                <w14:ligatures w14:val="standardContextual"/>
              </w:rPr>
              <w:t>procédures, les mesures et les clauses types</w:t>
            </w:r>
            <w:r>
              <w:rPr>
                <w:rFonts w:eastAsia="DengXian"/>
                <w:kern w:val="2"/>
                <w:sz w:val="20"/>
                <w:szCs w:val="20"/>
                <w:lang w:val="fr-FR"/>
                <w14:ligatures w14:val="standardContextual"/>
              </w:rPr>
              <w:t xml:space="preserve"> d’accès et de partage des avantages</w:t>
            </w:r>
            <w:r w:rsidR="00BB1B5D">
              <w:rPr>
                <w:rFonts w:eastAsia="DengXian"/>
                <w:kern w:val="2"/>
                <w:sz w:val="20"/>
                <w:szCs w:val="20"/>
                <w:lang w:val="fr-FR"/>
                <w14:ligatures w14:val="standardContextual"/>
              </w:rPr>
              <w:t xml:space="preserve"> tiennent aussi compte des perspectives et des circonstances des utilisateurs</w:t>
            </w:r>
          </w:p>
          <w:p w14:paraId="6CB4AEB2" w14:textId="2C72210D" w:rsidR="00633908" w:rsidRPr="00124D03" w:rsidRDefault="00BB1B5D" w:rsidP="00C15C35">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Appuyer le respect des obligations en matière d’accès et de partage des avantages par les utilisateurs</w:t>
            </w:r>
            <w:r w:rsidR="00633908" w:rsidRPr="00124D03">
              <w:rPr>
                <w:rFonts w:eastAsia="DengXian"/>
                <w:kern w:val="2"/>
                <w:sz w:val="20"/>
                <w:szCs w:val="20"/>
                <w:lang w:val="fr-FR"/>
                <w14:ligatures w14:val="standardContextual"/>
              </w:rPr>
              <w:t xml:space="preserve"> </w:t>
            </w:r>
          </w:p>
        </w:tc>
      </w:tr>
      <w:tr w:rsidR="00633908" w:rsidRPr="0096543B" w14:paraId="37B0DAE3" w14:textId="77777777" w:rsidTr="00AD184A">
        <w:tc>
          <w:tcPr>
            <w:tcW w:w="1555" w:type="dxa"/>
          </w:tcPr>
          <w:p w14:paraId="3CDF2700" w14:textId="2846ECD9" w:rsidR="00633908" w:rsidRPr="00124D03" w:rsidRDefault="004950C3"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Sensibilisation</w:t>
            </w:r>
          </w:p>
        </w:tc>
        <w:tc>
          <w:tcPr>
            <w:tcW w:w="5953" w:type="dxa"/>
          </w:tcPr>
          <w:p w14:paraId="57E808E2" w14:textId="283B2C3D"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Renforcer les efforts de sensibilisation ciblant différents acteurs, notamment les peuples autochtones et communautés locales, les femmes, la jeunesse et les parties prenantes concernées</w:t>
            </w:r>
          </w:p>
        </w:tc>
        <w:tc>
          <w:tcPr>
            <w:tcW w:w="5954" w:type="dxa"/>
          </w:tcPr>
          <w:p w14:paraId="7BA9B6CA" w14:textId="04808713" w:rsidR="00633908" w:rsidRPr="00124D03" w:rsidRDefault="00BB1B5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Contribuer </w:t>
            </w:r>
            <w:r w:rsidR="00C46F6B">
              <w:rPr>
                <w:rFonts w:eastAsia="DengXian"/>
                <w:kern w:val="2"/>
                <w:sz w:val="20"/>
                <w:szCs w:val="20"/>
                <w:lang w:val="fr-FR"/>
                <w14:ligatures w14:val="standardContextual"/>
              </w:rPr>
              <w:t>à changer le langage utilisé dans l</w:t>
            </w:r>
            <w:r>
              <w:rPr>
                <w:rFonts w:eastAsia="DengXian"/>
                <w:kern w:val="2"/>
                <w:sz w:val="20"/>
                <w:szCs w:val="20"/>
                <w:lang w:val="fr-FR"/>
                <w14:ligatures w14:val="standardContextual"/>
              </w:rPr>
              <w:t xml:space="preserve">a communication </w:t>
            </w:r>
            <w:r w:rsidR="00C46F6B">
              <w:rPr>
                <w:rFonts w:eastAsia="DengXian"/>
                <w:kern w:val="2"/>
                <w:sz w:val="20"/>
                <w:szCs w:val="20"/>
                <w:lang w:val="fr-FR"/>
                <w14:ligatures w14:val="standardContextual"/>
              </w:rPr>
              <w:t>sur le</w:t>
            </w:r>
            <w:r>
              <w:rPr>
                <w:rFonts w:eastAsia="DengXian"/>
                <w:kern w:val="2"/>
                <w:sz w:val="20"/>
                <w:szCs w:val="20"/>
                <w:lang w:val="fr-FR"/>
                <w14:ligatures w14:val="standardContextual"/>
              </w:rPr>
              <w:t xml:space="preserve"> troisième objectif</w:t>
            </w:r>
          </w:p>
          <w:p w14:paraId="14CB36D4" w14:textId="6DF801A4" w:rsidR="00633908" w:rsidRPr="00124D03" w:rsidRDefault="00BB1B5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Tenir compte des mesures indicatives décrites dans la stratégie de sensibilisation pour le Protocole de Nagoya </w:t>
            </w:r>
            <w:r w:rsidR="00633908" w:rsidRPr="00124D03">
              <w:rPr>
                <w:rFonts w:eastAsia="DengXian"/>
                <w:kern w:val="2"/>
                <w:sz w:val="20"/>
                <w:szCs w:val="20"/>
                <w:lang w:val="fr-FR"/>
                <w14:ligatures w14:val="standardContextual"/>
              </w:rPr>
              <w:t>(d</w:t>
            </w:r>
            <w:r>
              <w:rPr>
                <w:rFonts w:eastAsia="DengXian"/>
                <w:kern w:val="2"/>
                <w:sz w:val="20"/>
                <w:szCs w:val="20"/>
                <w:lang w:val="fr-FR"/>
                <w14:ligatures w14:val="standardContextual"/>
              </w:rPr>
              <w:t>é</w:t>
            </w:r>
            <w:r w:rsidR="00633908" w:rsidRPr="00124D03">
              <w:rPr>
                <w:rFonts w:eastAsia="DengXian"/>
                <w:kern w:val="2"/>
                <w:sz w:val="20"/>
                <w:szCs w:val="20"/>
                <w:lang w:val="fr-FR"/>
                <w14:ligatures w14:val="standardContextual"/>
              </w:rPr>
              <w:t>cision</w:t>
            </w:r>
            <w:r w:rsidR="00132CD2">
              <w:rPr>
                <w:rFonts w:eastAsia="DengXian"/>
                <w:kern w:val="2"/>
                <w:sz w:val="20"/>
                <w:szCs w:val="20"/>
                <w:lang w:val="fr-FR"/>
                <w14:ligatures w14:val="standardContextual"/>
              </w:rPr>
              <w:t> </w:t>
            </w:r>
            <w:r w:rsidR="00633908" w:rsidRPr="00124D03">
              <w:rPr>
                <w:rFonts w:eastAsia="DengXian"/>
                <w:kern w:val="2"/>
                <w:sz w:val="20"/>
                <w:szCs w:val="20"/>
                <w:lang w:val="fr-FR"/>
                <w14:ligatures w14:val="standardContextual"/>
              </w:rPr>
              <w:t xml:space="preserve">NP-1/9) </w:t>
            </w:r>
            <w:r>
              <w:rPr>
                <w:rFonts w:eastAsia="DengXian"/>
                <w:kern w:val="2"/>
                <w:sz w:val="20"/>
                <w:szCs w:val="20"/>
                <w:lang w:val="fr-FR"/>
                <w14:ligatures w14:val="standardContextual"/>
              </w:rPr>
              <w:t xml:space="preserve">et le Plan d’action pour la création et le renforcement des capacités pour le Protocole de Nagoya </w:t>
            </w:r>
            <w:r w:rsidR="00633908" w:rsidRPr="00124D03">
              <w:rPr>
                <w:rFonts w:eastAsia="DengXian"/>
                <w:kern w:val="2"/>
                <w:sz w:val="20"/>
                <w:szCs w:val="20"/>
                <w:lang w:val="fr-FR"/>
                <w14:ligatures w14:val="standardContextual"/>
              </w:rPr>
              <w:t>(d</w:t>
            </w:r>
            <w:r>
              <w:rPr>
                <w:rFonts w:eastAsia="DengXian"/>
                <w:kern w:val="2"/>
                <w:sz w:val="20"/>
                <w:szCs w:val="20"/>
                <w:lang w:val="fr-FR"/>
                <w14:ligatures w14:val="standardContextual"/>
              </w:rPr>
              <w:t>é</w:t>
            </w:r>
            <w:r w:rsidR="00633908" w:rsidRPr="00124D03">
              <w:rPr>
                <w:rFonts w:eastAsia="DengXian"/>
                <w:kern w:val="2"/>
                <w:sz w:val="20"/>
                <w:szCs w:val="20"/>
                <w:lang w:val="fr-FR"/>
                <w14:ligatures w14:val="standardContextual"/>
              </w:rPr>
              <w:t>cision</w:t>
            </w:r>
            <w:r w:rsidR="00132CD2">
              <w:rPr>
                <w:rFonts w:eastAsia="DengXian"/>
                <w:kern w:val="2"/>
                <w:sz w:val="20"/>
                <w:szCs w:val="20"/>
                <w:lang w:val="fr-FR"/>
                <w14:ligatures w14:val="standardContextual"/>
              </w:rPr>
              <w:t> </w:t>
            </w:r>
            <w:r w:rsidR="00633908" w:rsidRPr="00124D03">
              <w:rPr>
                <w:rFonts w:eastAsia="DengXian"/>
                <w:kern w:val="2"/>
                <w:sz w:val="20"/>
                <w:szCs w:val="20"/>
                <w:lang w:val="fr-FR"/>
                <w14:ligatures w14:val="standardContextual"/>
              </w:rPr>
              <w:t xml:space="preserve">NP-5/3), </w:t>
            </w:r>
            <w:r>
              <w:rPr>
                <w:rFonts w:eastAsia="DengXian"/>
                <w:kern w:val="2"/>
                <w:sz w:val="20"/>
                <w:szCs w:val="20"/>
                <w:lang w:val="fr-FR"/>
                <w14:ligatures w14:val="standardContextual"/>
              </w:rPr>
              <w:t>selon qu’il conviendra</w:t>
            </w:r>
          </w:p>
        </w:tc>
      </w:tr>
      <w:tr w:rsidR="00633908" w:rsidRPr="0096543B" w14:paraId="5F46B26C" w14:textId="77777777" w:rsidTr="00AD184A">
        <w:tc>
          <w:tcPr>
            <w:tcW w:w="1555" w:type="dxa"/>
          </w:tcPr>
          <w:p w14:paraId="16CA09CA" w14:textId="44E9E658" w:rsidR="00633908" w:rsidRPr="00124D03" w:rsidRDefault="004950C3"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Création et renforcement des capacités</w:t>
            </w:r>
          </w:p>
        </w:tc>
        <w:tc>
          <w:tcPr>
            <w:tcW w:w="5953" w:type="dxa"/>
          </w:tcPr>
          <w:p w14:paraId="5FE63D42" w14:textId="1D32CBDF"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Améliorer la planification de la création et du renforcement des capacités à long terme pour une mise en œuvre efficace du Protocole de Nagoya</w:t>
            </w:r>
          </w:p>
          <w:p w14:paraId="1EC8F3A1" w14:textId="68AF50F7"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Inclure des plans chiffrés et prioritaires de </w:t>
            </w:r>
            <w:r w:rsidR="00C46F6B">
              <w:rPr>
                <w:rFonts w:eastAsia="DengXian"/>
                <w:kern w:val="2"/>
                <w:sz w:val="20"/>
                <w:szCs w:val="20"/>
                <w:lang w:val="fr-FR"/>
                <w14:ligatures w14:val="standardContextual"/>
              </w:rPr>
              <w:t>renforcement</w:t>
            </w:r>
            <w:r>
              <w:rPr>
                <w:rFonts w:eastAsia="DengXian"/>
                <w:kern w:val="2"/>
                <w:sz w:val="20"/>
                <w:szCs w:val="20"/>
                <w:lang w:val="fr-FR"/>
                <w14:ligatures w14:val="standardContextual"/>
              </w:rPr>
              <w:t xml:space="preserve"> de</w:t>
            </w:r>
            <w:r w:rsidR="00C46F6B">
              <w:rPr>
                <w:rFonts w:eastAsia="DengXian"/>
                <w:kern w:val="2"/>
                <w:sz w:val="20"/>
                <w:szCs w:val="20"/>
                <w:lang w:val="fr-FR"/>
                <w14:ligatures w14:val="standardContextual"/>
              </w:rPr>
              <w:t>s</w:t>
            </w:r>
            <w:r>
              <w:rPr>
                <w:rFonts w:eastAsia="DengXian"/>
                <w:kern w:val="2"/>
                <w:sz w:val="20"/>
                <w:szCs w:val="20"/>
                <w:lang w:val="fr-FR"/>
                <w14:ligatures w14:val="standardContextual"/>
              </w:rPr>
              <w:t xml:space="preserve"> capacités en matière d’accès et de partage des avantages </w:t>
            </w:r>
            <w:r w:rsidR="00C46F6B">
              <w:rPr>
                <w:rFonts w:eastAsia="DengXian"/>
                <w:kern w:val="2"/>
                <w:sz w:val="20"/>
                <w:szCs w:val="20"/>
                <w:lang w:val="fr-FR"/>
                <w14:ligatures w14:val="standardContextual"/>
              </w:rPr>
              <w:t>dans les</w:t>
            </w:r>
            <w:r>
              <w:rPr>
                <w:rFonts w:eastAsia="DengXian"/>
                <w:kern w:val="2"/>
                <w:sz w:val="20"/>
                <w:szCs w:val="20"/>
                <w:lang w:val="fr-FR"/>
                <w14:ligatures w14:val="standardContextual"/>
              </w:rPr>
              <w:t xml:space="preserve"> stratégies et plans d’action nationaux pour la biodiversité et les aligner sur les plans nationaux de financement de la diversité biologique, y compris ceux au titre d’initiatives telles que l’Initiative pour le financement de la diversité biologique</w:t>
            </w:r>
            <w:r w:rsidR="00633908" w:rsidRPr="00124D03">
              <w:rPr>
                <w:rFonts w:eastAsia="DengXian"/>
                <w:kern w:val="2"/>
                <w:sz w:val="20"/>
                <w:szCs w:val="20"/>
                <w:lang w:val="fr-FR"/>
                <w14:ligatures w14:val="standardContextual"/>
              </w:rPr>
              <w:t xml:space="preserve"> </w:t>
            </w:r>
          </w:p>
        </w:tc>
        <w:tc>
          <w:tcPr>
            <w:tcW w:w="5954" w:type="dxa"/>
          </w:tcPr>
          <w:p w14:paraId="1E373B7C" w14:textId="18C9B211" w:rsidR="00633908" w:rsidRPr="00124D03" w:rsidRDefault="00E70059"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Aider à renforcer l’appui à long terme, prévisible et coordonné et aider à faire face à certaines des difficultés financières et de capacités empêchant une mise en œuvre efficace</w:t>
            </w:r>
          </w:p>
          <w:p w14:paraId="47F1CF46" w14:textId="474120E5" w:rsidR="00633908" w:rsidRPr="00124D03" w:rsidRDefault="00633908" w:rsidP="00211531">
            <w:pPr>
              <w:tabs>
                <w:tab w:val="clear" w:pos="567"/>
                <w:tab w:val="clear" w:pos="1134"/>
                <w:tab w:val="clear" w:pos="1701"/>
                <w:tab w:val="clear" w:pos="2268"/>
              </w:tabs>
              <w:jc w:val="left"/>
              <w:rPr>
                <w:rFonts w:eastAsia="DengXian"/>
                <w:kern w:val="2"/>
                <w:sz w:val="20"/>
                <w:szCs w:val="20"/>
                <w:lang w:val="fr-FR"/>
                <w14:ligatures w14:val="standardContextual"/>
              </w:rPr>
            </w:pPr>
            <w:r w:rsidRPr="00124D03">
              <w:rPr>
                <w:rFonts w:eastAsia="DengXian"/>
                <w:kern w:val="2"/>
                <w:sz w:val="20"/>
                <w:szCs w:val="20"/>
                <w:lang w:val="fr-FR"/>
                <w14:ligatures w14:val="standardContextual"/>
              </w:rPr>
              <w:t>T</w:t>
            </w:r>
            <w:r w:rsidR="00E70059">
              <w:rPr>
                <w:rFonts w:eastAsia="DengXian"/>
                <w:kern w:val="2"/>
                <w:sz w:val="20"/>
                <w:szCs w:val="20"/>
                <w:lang w:val="fr-FR"/>
                <w14:ligatures w14:val="standardContextual"/>
              </w:rPr>
              <w:t>enir compte du Plan d’action pour la création et le renforcement des capacités pour le Protocole de Nagoya</w:t>
            </w:r>
          </w:p>
        </w:tc>
      </w:tr>
      <w:tr w:rsidR="00633908" w:rsidRPr="0096543B" w14:paraId="188AB3D0" w14:textId="77777777" w:rsidTr="00AD184A">
        <w:tc>
          <w:tcPr>
            <w:tcW w:w="1555" w:type="dxa"/>
          </w:tcPr>
          <w:p w14:paraId="3637D17F" w14:textId="5443D1CF" w:rsidR="00633908" w:rsidRPr="00124D03" w:rsidRDefault="004950C3"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Ressources financières</w:t>
            </w:r>
          </w:p>
        </w:tc>
        <w:tc>
          <w:tcPr>
            <w:tcW w:w="5953" w:type="dxa"/>
          </w:tcPr>
          <w:p w14:paraId="166CBD12" w14:textId="061E3629"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Renforcer les capacités nationales de levées de fonds, de création de projets, de planification financière et de mobilisation de ressources</w:t>
            </w:r>
          </w:p>
          <w:p w14:paraId="649E1D66" w14:textId="7B057685" w:rsidR="00633908" w:rsidRPr="00124D03" w:rsidRDefault="003F638B"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Explorer des approches de financement mixte, renforcer les financements nationaux prévisibles, complétés par des financements internationaux par projet</w:t>
            </w:r>
          </w:p>
        </w:tc>
        <w:tc>
          <w:tcPr>
            <w:tcW w:w="5954" w:type="dxa"/>
          </w:tcPr>
          <w:p w14:paraId="6CB8B475" w14:textId="6CA393CB" w:rsidR="001A4AEF" w:rsidRDefault="00E70059" w:rsidP="001A4AEF">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Améliorer l’accès</w:t>
            </w:r>
            <w:r w:rsidR="001A4AEF">
              <w:rPr>
                <w:rFonts w:eastAsia="DengXian"/>
                <w:kern w:val="2"/>
                <w:sz w:val="20"/>
                <w:szCs w:val="20"/>
                <w:lang w:val="fr-FR"/>
                <w14:ligatures w14:val="standardContextual"/>
              </w:rPr>
              <w:t xml:space="preserve"> à </w:t>
            </w:r>
            <w:r w:rsidR="004A31EA">
              <w:rPr>
                <w:rFonts w:eastAsia="DengXian"/>
                <w:kern w:val="2"/>
                <w:sz w:val="20"/>
                <w:szCs w:val="20"/>
                <w:lang w:val="fr-FR"/>
                <w14:ligatures w14:val="standardContextual"/>
              </w:rPr>
              <w:t xml:space="preserve">un </w:t>
            </w:r>
            <w:r w:rsidR="001A4AEF">
              <w:rPr>
                <w:rFonts w:eastAsia="DengXian"/>
                <w:kern w:val="2"/>
                <w:sz w:val="20"/>
                <w:szCs w:val="20"/>
                <w:lang w:val="fr-FR"/>
                <w14:ligatures w14:val="standardContextual"/>
              </w:rPr>
              <w:t>appui financier</w:t>
            </w:r>
            <w:r>
              <w:rPr>
                <w:rFonts w:eastAsia="DengXian"/>
                <w:kern w:val="2"/>
                <w:sz w:val="20"/>
                <w:szCs w:val="20"/>
                <w:lang w:val="fr-FR"/>
                <w14:ligatures w14:val="standardContextual"/>
              </w:rPr>
              <w:t xml:space="preserve">, </w:t>
            </w:r>
            <w:r w:rsidR="001A4AEF">
              <w:rPr>
                <w:rFonts w:eastAsia="DengXian"/>
                <w:kern w:val="2"/>
                <w:sz w:val="20"/>
                <w:szCs w:val="20"/>
                <w:lang w:val="fr-FR"/>
                <w14:ligatures w14:val="standardContextual"/>
              </w:rPr>
              <w:t>s</w:t>
            </w:r>
            <w:r>
              <w:rPr>
                <w:rFonts w:eastAsia="DengXian"/>
                <w:kern w:val="2"/>
                <w:sz w:val="20"/>
                <w:szCs w:val="20"/>
                <w:lang w:val="fr-FR"/>
                <w14:ligatures w14:val="standardContextual"/>
              </w:rPr>
              <w:t xml:space="preserve">a gestion et </w:t>
            </w:r>
            <w:r w:rsidR="001A4AEF">
              <w:rPr>
                <w:rFonts w:eastAsia="DengXian"/>
                <w:kern w:val="2"/>
                <w:sz w:val="20"/>
                <w:szCs w:val="20"/>
                <w:lang w:val="fr-FR"/>
                <w14:ligatures w14:val="standardContextual"/>
              </w:rPr>
              <w:t>s</w:t>
            </w:r>
            <w:r>
              <w:rPr>
                <w:rFonts w:eastAsia="DengXian"/>
                <w:kern w:val="2"/>
                <w:sz w:val="20"/>
                <w:szCs w:val="20"/>
                <w:lang w:val="fr-FR"/>
                <w14:ligatures w14:val="standardContextual"/>
              </w:rPr>
              <w:t xml:space="preserve">a </w:t>
            </w:r>
            <w:r w:rsidR="004A31EA">
              <w:rPr>
                <w:rFonts w:eastAsia="DengXian"/>
                <w:kern w:val="2"/>
                <w:sz w:val="20"/>
                <w:szCs w:val="20"/>
                <w:lang w:val="fr-FR"/>
                <w14:ligatures w14:val="standardContextual"/>
              </w:rPr>
              <w:t>durée dans le temps</w:t>
            </w:r>
          </w:p>
          <w:p w14:paraId="03CFB607" w14:textId="48F150E1" w:rsidR="00633908" w:rsidRPr="00124D03" w:rsidRDefault="00E70059" w:rsidP="001A4AEF">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Réduire la dépendance à une assistance à court terme, par projet</w:t>
            </w:r>
          </w:p>
        </w:tc>
      </w:tr>
      <w:tr w:rsidR="00633908" w:rsidRPr="0096543B" w14:paraId="569B00A8" w14:textId="77777777" w:rsidTr="00AD184A">
        <w:tc>
          <w:tcPr>
            <w:tcW w:w="1555" w:type="dxa"/>
          </w:tcPr>
          <w:p w14:paraId="1C20F9BF" w14:textId="20129F68" w:rsidR="00633908" w:rsidRPr="00124D03" w:rsidRDefault="004950C3" w:rsidP="00211531">
            <w:pPr>
              <w:tabs>
                <w:tab w:val="clear" w:pos="567"/>
                <w:tab w:val="clear" w:pos="1134"/>
                <w:tab w:val="clear" w:pos="1701"/>
                <w:tab w:val="clear" w:pos="2268"/>
              </w:tabs>
              <w:jc w:val="left"/>
              <w:rPr>
                <w:rFonts w:eastAsia="DengXian"/>
                <w:b/>
                <w:kern w:val="2"/>
                <w:sz w:val="20"/>
                <w:szCs w:val="20"/>
                <w:lang w:val="fr-FR"/>
                <w14:ligatures w14:val="standardContextual"/>
              </w:rPr>
            </w:pPr>
            <w:r>
              <w:rPr>
                <w:rFonts w:eastAsia="DengXian"/>
                <w:b/>
                <w:kern w:val="2"/>
                <w:sz w:val="20"/>
                <w:szCs w:val="20"/>
                <w:lang w:val="fr-FR"/>
                <w14:ligatures w14:val="standardContextual"/>
              </w:rPr>
              <w:t>Transfert de technologies</w:t>
            </w:r>
          </w:p>
        </w:tc>
        <w:tc>
          <w:tcPr>
            <w:tcW w:w="5953" w:type="dxa"/>
          </w:tcPr>
          <w:p w14:paraId="3819DD4B" w14:textId="44FC08B3" w:rsidR="00633908" w:rsidRPr="00124D03" w:rsidRDefault="00642A7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Améliorer l’intégration de l’accès et du partage des avantages dans la planification nationale de la recherche</w:t>
            </w:r>
          </w:p>
          <w:p w14:paraId="534B55F8" w14:textId="084F6309" w:rsidR="00633908" w:rsidRPr="00124D03" w:rsidRDefault="00642A7D" w:rsidP="00211531">
            <w:pPr>
              <w:tabs>
                <w:tab w:val="clear" w:pos="567"/>
                <w:tab w:val="clear" w:pos="1134"/>
                <w:tab w:val="clear" w:pos="1701"/>
                <w:tab w:val="clear" w:pos="2268"/>
              </w:tabs>
              <w:jc w:val="left"/>
              <w:rPr>
                <w:rFonts w:eastAsia="MS Mincho"/>
                <w:sz w:val="20"/>
                <w:szCs w:val="20"/>
                <w:lang w:val="fr-FR"/>
              </w:rPr>
            </w:pPr>
            <w:r>
              <w:rPr>
                <w:rFonts w:eastAsia="DengXian"/>
                <w:kern w:val="2"/>
                <w:sz w:val="20"/>
                <w:szCs w:val="20"/>
                <w:lang w:val="fr-FR"/>
                <w14:ligatures w14:val="standardContextual"/>
              </w:rPr>
              <w:t>Minimiser les éventuels obstacles qui pourraient entraver l’utilisation efficace de technologies, tels que les obstacles à l’obtention d’équipements, de</w:t>
            </w:r>
            <w:r w:rsidRPr="00124D03">
              <w:rPr>
                <w:rFonts w:eastAsia="DengXian"/>
                <w:kern w:val="2"/>
                <w:sz w:val="20"/>
                <w:szCs w:val="20"/>
                <w:lang w:val="fr-FR"/>
                <w14:ligatures w14:val="standardContextual"/>
              </w:rPr>
              <w:t xml:space="preserve"> mat</w:t>
            </w:r>
            <w:r>
              <w:rPr>
                <w:rFonts w:eastAsia="DengXian"/>
                <w:kern w:val="2"/>
                <w:sz w:val="20"/>
                <w:szCs w:val="20"/>
                <w:lang w:val="fr-FR"/>
                <w14:ligatures w14:val="standardContextual"/>
              </w:rPr>
              <w:t>ériel</w:t>
            </w:r>
            <w:r w:rsidRPr="00124D03">
              <w:rPr>
                <w:sz w:val="18"/>
                <w:szCs w:val="18"/>
                <w:vertAlign w:val="superscript"/>
                <w:lang w:val="fr-FR"/>
              </w:rPr>
              <w:footnoteReference w:id="35"/>
            </w:r>
            <w:r>
              <w:rPr>
                <w:rFonts w:eastAsia="DengXian"/>
                <w:kern w:val="2"/>
                <w:sz w:val="20"/>
                <w:szCs w:val="20"/>
                <w:lang w:val="fr-FR"/>
                <w14:ligatures w14:val="standardContextual"/>
              </w:rPr>
              <w:t xml:space="preserve"> et d’informations scientifiques</w:t>
            </w:r>
          </w:p>
        </w:tc>
        <w:tc>
          <w:tcPr>
            <w:tcW w:w="5954" w:type="dxa"/>
          </w:tcPr>
          <w:p w14:paraId="0C2DEF20" w14:textId="26AF1E57" w:rsidR="00633908" w:rsidRPr="00124D03" w:rsidRDefault="00642A7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Garantir que les transferts de technologies </w:t>
            </w:r>
            <w:r w:rsidR="00E4650F">
              <w:rPr>
                <w:rFonts w:eastAsia="DengXian"/>
                <w:kern w:val="2"/>
                <w:sz w:val="20"/>
                <w:szCs w:val="20"/>
                <w:lang w:val="fr-FR"/>
                <w14:ligatures w14:val="standardContextual"/>
              </w:rPr>
              <w:t>soient recensés, facilités, négociés et mis en œuvre, en tenant compte des besoins, des conditions et des priorités des pays</w:t>
            </w:r>
          </w:p>
        </w:tc>
      </w:tr>
      <w:tr w:rsidR="00633908" w:rsidRPr="0096543B" w14:paraId="05F456B4" w14:textId="77777777" w:rsidTr="00AD184A">
        <w:tc>
          <w:tcPr>
            <w:tcW w:w="1555" w:type="dxa"/>
            <w:vMerge w:val="restart"/>
          </w:tcPr>
          <w:p w14:paraId="137507D9" w14:textId="20CF8591" w:rsidR="00633908" w:rsidRPr="00124D03" w:rsidRDefault="00633908" w:rsidP="00211531">
            <w:pPr>
              <w:tabs>
                <w:tab w:val="clear" w:pos="567"/>
                <w:tab w:val="clear" w:pos="1134"/>
                <w:tab w:val="clear" w:pos="1701"/>
                <w:tab w:val="clear" w:pos="2268"/>
              </w:tabs>
              <w:jc w:val="left"/>
              <w:rPr>
                <w:rFonts w:eastAsia="DengXian"/>
                <w:b/>
                <w:kern w:val="2"/>
                <w:sz w:val="20"/>
                <w:szCs w:val="20"/>
                <w:lang w:val="fr-FR"/>
                <w14:ligatures w14:val="standardContextual"/>
              </w:rPr>
            </w:pPr>
            <w:r w:rsidRPr="00124D03">
              <w:rPr>
                <w:rFonts w:eastAsia="DengXian"/>
                <w:b/>
                <w:kern w:val="2"/>
                <w:sz w:val="20"/>
                <w:szCs w:val="20"/>
                <w:lang w:val="fr-FR"/>
                <w14:ligatures w14:val="standardContextual"/>
              </w:rPr>
              <w:t>Publication</w:t>
            </w:r>
            <w:r w:rsidR="004950C3">
              <w:rPr>
                <w:rFonts w:eastAsia="DengXian"/>
                <w:b/>
                <w:kern w:val="2"/>
                <w:sz w:val="20"/>
                <w:szCs w:val="20"/>
                <w:lang w:val="fr-FR"/>
                <w14:ligatures w14:val="standardContextual"/>
              </w:rPr>
              <w:t xml:space="preserve"> d’informations par le biais du </w:t>
            </w:r>
            <w:r w:rsidR="004950C3">
              <w:rPr>
                <w:rFonts w:eastAsia="DengXian"/>
                <w:b/>
                <w:kern w:val="2"/>
                <w:sz w:val="20"/>
                <w:szCs w:val="20"/>
                <w:lang w:val="fr-FR"/>
                <w14:ligatures w14:val="standardContextual"/>
              </w:rPr>
              <w:lastRenderedPageBreak/>
              <w:t>Centre d’échange sur l’accès et le partage des avantages</w:t>
            </w:r>
          </w:p>
        </w:tc>
        <w:tc>
          <w:tcPr>
            <w:tcW w:w="5953" w:type="dxa"/>
          </w:tcPr>
          <w:p w14:paraId="0BBAC901" w14:textId="30039AFE" w:rsidR="00633908" w:rsidRPr="00124D03" w:rsidRDefault="00642A7D"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 xml:space="preserve">Publier toutes les informations nationales disponibles sur le Centre d’échange et garantir qu’elles </w:t>
            </w:r>
            <w:r w:rsidR="00572D31">
              <w:rPr>
                <w:rFonts w:eastAsia="DengXian"/>
                <w:kern w:val="2"/>
                <w:sz w:val="20"/>
                <w:szCs w:val="20"/>
                <w:lang w:val="fr-FR"/>
                <w14:ligatures w14:val="standardContextual"/>
              </w:rPr>
              <w:t>soient</w:t>
            </w:r>
            <w:r>
              <w:rPr>
                <w:rFonts w:eastAsia="DengXian"/>
                <w:kern w:val="2"/>
                <w:sz w:val="20"/>
                <w:szCs w:val="20"/>
                <w:lang w:val="fr-FR"/>
                <w14:ligatures w14:val="standardContextual"/>
              </w:rPr>
              <w:t xml:space="preserve"> exactes, fiables et à jour, conformément à l’article 14 du Protocole</w:t>
            </w:r>
          </w:p>
        </w:tc>
        <w:tc>
          <w:tcPr>
            <w:tcW w:w="5954" w:type="dxa"/>
          </w:tcPr>
          <w:p w14:paraId="6D81A897" w14:textId="7D8897F7" w:rsidR="00633908" w:rsidRPr="00124D03" w:rsidRDefault="00E4650F"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Faciliter la compréhension et le respect par les chercheurs et les entreprises des obligations en matière d’accès et de partage des avantages </w:t>
            </w:r>
          </w:p>
          <w:p w14:paraId="222D938E" w14:textId="6A17ACC7" w:rsidR="00633908" w:rsidRPr="00124D03" w:rsidRDefault="004D2DA3"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lastRenderedPageBreak/>
              <w:t>Renforcer la confiance dans le système de surveillance créé au titre du Protocole</w:t>
            </w:r>
          </w:p>
          <w:p w14:paraId="49827B3D" w14:textId="33FFCFCB" w:rsidR="00633908" w:rsidRPr="00124D03" w:rsidRDefault="004D2DA3"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Permettre la collecte d’informations sur le partage d’avantages non monétaires en utilisant la méthode mondiale créée dans le cadre de l’établissement de rapports au titre du Cadre mondial de la biodiversité de Kunming-Montréal</w:t>
            </w:r>
          </w:p>
        </w:tc>
      </w:tr>
      <w:tr w:rsidR="00633908" w:rsidRPr="0096543B" w14:paraId="2D458C8F" w14:textId="77777777" w:rsidTr="00AD184A">
        <w:tc>
          <w:tcPr>
            <w:tcW w:w="1555" w:type="dxa"/>
            <w:vMerge/>
          </w:tcPr>
          <w:p w14:paraId="09AEEA0C" w14:textId="77777777" w:rsidR="00633908" w:rsidRPr="00124D03" w:rsidRDefault="00633908" w:rsidP="00211531">
            <w:pPr>
              <w:tabs>
                <w:tab w:val="clear" w:pos="567"/>
                <w:tab w:val="clear" w:pos="1134"/>
                <w:tab w:val="clear" w:pos="1701"/>
                <w:tab w:val="clear" w:pos="2268"/>
              </w:tabs>
              <w:jc w:val="left"/>
              <w:rPr>
                <w:rFonts w:eastAsia="DengXian"/>
                <w:kern w:val="2"/>
                <w:sz w:val="20"/>
                <w:szCs w:val="20"/>
                <w:lang w:val="fr-FR"/>
                <w14:ligatures w14:val="standardContextual"/>
              </w:rPr>
            </w:pPr>
          </w:p>
        </w:tc>
        <w:tc>
          <w:tcPr>
            <w:tcW w:w="5953" w:type="dxa"/>
          </w:tcPr>
          <w:p w14:paraId="682C4E61" w14:textId="0A7FA162" w:rsidR="00633908" w:rsidRPr="00124D03" w:rsidRDefault="00E4650F" w:rsidP="003223D6">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Publier les informations pertinentes sur le Centre d’échange pour appuyer la création et le renforcement des capacités, y compris les initiatives, les ressources, les études de cas, les leçons tir</w:t>
            </w:r>
            <w:r w:rsidR="00263496">
              <w:rPr>
                <w:rFonts w:eastAsia="DengXian"/>
                <w:kern w:val="2"/>
                <w:sz w:val="20"/>
                <w:szCs w:val="20"/>
                <w:lang w:val="fr-FR"/>
                <w14:ligatures w14:val="standardContextual"/>
              </w:rPr>
              <w:t>é</w:t>
            </w:r>
            <w:r>
              <w:rPr>
                <w:rFonts w:eastAsia="DengXian"/>
                <w:kern w:val="2"/>
                <w:sz w:val="20"/>
                <w:szCs w:val="20"/>
                <w:lang w:val="fr-FR"/>
                <w14:ligatures w14:val="standardContextual"/>
              </w:rPr>
              <w:t>es et les exemples de réussite</w:t>
            </w:r>
          </w:p>
        </w:tc>
        <w:tc>
          <w:tcPr>
            <w:tcW w:w="5954" w:type="dxa"/>
          </w:tcPr>
          <w:p w14:paraId="06C7CFB6" w14:textId="5A69CC0E" w:rsidR="00633908" w:rsidRPr="00124D03" w:rsidRDefault="004D2DA3"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Appuyer la création et le renforcement de</w:t>
            </w:r>
            <w:r w:rsidR="004A31EA">
              <w:rPr>
                <w:rFonts w:eastAsia="DengXian"/>
                <w:kern w:val="2"/>
                <w:sz w:val="20"/>
                <w:szCs w:val="20"/>
                <w:lang w:val="fr-FR"/>
                <w14:ligatures w14:val="standardContextual"/>
              </w:rPr>
              <w:t>s</w:t>
            </w:r>
            <w:r>
              <w:rPr>
                <w:rFonts w:eastAsia="DengXian"/>
                <w:kern w:val="2"/>
                <w:sz w:val="20"/>
                <w:szCs w:val="20"/>
                <w:lang w:val="fr-FR"/>
                <w14:ligatures w14:val="standardContextual"/>
              </w:rPr>
              <w:t xml:space="preserve"> capacités pour la mise en œuvre efficace du Protocole de Nagoya</w:t>
            </w:r>
          </w:p>
        </w:tc>
      </w:tr>
      <w:tr w:rsidR="00633908" w:rsidRPr="0096543B" w14:paraId="54ED86D3" w14:textId="77777777" w:rsidTr="00AD184A">
        <w:tc>
          <w:tcPr>
            <w:tcW w:w="1555" w:type="dxa"/>
            <w:vMerge/>
          </w:tcPr>
          <w:p w14:paraId="602E1639" w14:textId="77777777" w:rsidR="00633908" w:rsidRPr="00124D03" w:rsidRDefault="00633908" w:rsidP="00211531">
            <w:pPr>
              <w:tabs>
                <w:tab w:val="clear" w:pos="567"/>
                <w:tab w:val="clear" w:pos="1134"/>
                <w:tab w:val="clear" w:pos="1701"/>
                <w:tab w:val="clear" w:pos="2268"/>
              </w:tabs>
              <w:jc w:val="left"/>
              <w:rPr>
                <w:rFonts w:eastAsia="DengXian"/>
                <w:kern w:val="2"/>
                <w:sz w:val="20"/>
                <w:szCs w:val="20"/>
                <w:lang w:val="fr-FR"/>
                <w14:ligatures w14:val="standardContextual"/>
              </w:rPr>
            </w:pPr>
          </w:p>
        </w:tc>
        <w:tc>
          <w:tcPr>
            <w:tcW w:w="5953" w:type="dxa"/>
          </w:tcPr>
          <w:p w14:paraId="63178576" w14:textId="3BF95373" w:rsidR="00633908" w:rsidRPr="00124D03" w:rsidRDefault="00E4650F"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 xml:space="preserve">Publier les protocoles communautaires sur le Centre d’échange en tant </w:t>
            </w:r>
            <w:r w:rsidR="00E53506">
              <w:rPr>
                <w:rFonts w:eastAsia="DengXian"/>
                <w:kern w:val="2"/>
                <w:sz w:val="20"/>
                <w:szCs w:val="20"/>
                <w:lang w:val="fr-FR"/>
                <w14:ligatures w14:val="standardContextual"/>
              </w:rPr>
              <w:t>que fichiers</w:t>
            </w:r>
            <w:r>
              <w:rPr>
                <w:rFonts w:eastAsia="DengXian"/>
                <w:kern w:val="2"/>
                <w:sz w:val="20"/>
                <w:szCs w:val="20"/>
                <w:lang w:val="fr-FR"/>
                <w14:ligatures w14:val="standardContextual"/>
              </w:rPr>
              <w:t xml:space="preserve"> nationaux </w:t>
            </w:r>
          </w:p>
        </w:tc>
        <w:tc>
          <w:tcPr>
            <w:tcW w:w="5954" w:type="dxa"/>
          </w:tcPr>
          <w:p w14:paraId="1867EA45" w14:textId="394F4C52" w:rsidR="00633908" w:rsidRPr="00124D03" w:rsidRDefault="004A31EA" w:rsidP="00211531">
            <w:pPr>
              <w:tabs>
                <w:tab w:val="clear" w:pos="567"/>
                <w:tab w:val="clear" w:pos="1134"/>
                <w:tab w:val="clear" w:pos="1701"/>
                <w:tab w:val="clear" w:pos="2268"/>
              </w:tabs>
              <w:jc w:val="left"/>
              <w:rPr>
                <w:rFonts w:eastAsia="DengXian"/>
                <w:kern w:val="2"/>
                <w:sz w:val="20"/>
                <w:szCs w:val="20"/>
                <w:lang w:val="fr-FR"/>
                <w14:ligatures w14:val="standardContextual"/>
              </w:rPr>
            </w:pPr>
            <w:r>
              <w:rPr>
                <w:rFonts w:eastAsia="DengXian"/>
                <w:kern w:val="2"/>
                <w:sz w:val="20"/>
                <w:szCs w:val="20"/>
                <w:lang w:val="fr-FR"/>
                <w14:ligatures w14:val="standardContextual"/>
              </w:rPr>
              <w:t>Accorder davantage de visibilité et de reconnaissance à</w:t>
            </w:r>
            <w:r w:rsidR="004D2DA3">
              <w:rPr>
                <w:rFonts w:eastAsia="DengXian"/>
                <w:kern w:val="2"/>
                <w:sz w:val="20"/>
                <w:szCs w:val="20"/>
                <w:lang w:val="fr-FR"/>
                <w14:ligatures w14:val="standardContextual"/>
              </w:rPr>
              <w:t xml:space="preserve"> ces documents</w:t>
            </w:r>
            <w:r>
              <w:rPr>
                <w:rFonts w:eastAsia="DengXian"/>
                <w:kern w:val="2"/>
                <w:sz w:val="20"/>
                <w:szCs w:val="20"/>
                <w:lang w:val="fr-FR"/>
                <w14:ligatures w14:val="standardContextual"/>
              </w:rPr>
              <w:t xml:space="preserve">, </w:t>
            </w:r>
            <w:r w:rsidR="004D2DA3" w:rsidRPr="004A31EA">
              <w:rPr>
                <w:rFonts w:eastAsia="DengXian"/>
                <w:kern w:val="2"/>
                <w:sz w:val="20"/>
                <w:szCs w:val="20"/>
                <w:lang w:val="fr-FR"/>
                <w14:ligatures w14:val="standardContextual"/>
              </w:rPr>
              <w:t>en tant qu’éléments des cadres nationaux</w:t>
            </w:r>
          </w:p>
        </w:tc>
      </w:tr>
    </w:tbl>
    <w:p w14:paraId="668F94AA" w14:textId="77777777" w:rsidR="00245FA6" w:rsidRPr="00124D03" w:rsidRDefault="00245FA6" w:rsidP="008051C2">
      <w:pPr>
        <w:pStyle w:val="CBDAnnex"/>
        <w:rPr>
          <w:lang w:val="fr-FR"/>
        </w:rPr>
        <w:sectPr w:rsidR="00245FA6" w:rsidRPr="00124D03" w:rsidSect="006B144A">
          <w:pgSz w:w="15840" w:h="12240" w:orient="landscape" w:code="1"/>
          <w:pgMar w:top="1134" w:right="1134" w:bottom="1134" w:left="1134" w:header="720" w:footer="720" w:gutter="0"/>
          <w:cols w:space="720"/>
          <w:noEndnote/>
          <w:docGrid w:linePitch="299"/>
        </w:sectPr>
      </w:pPr>
    </w:p>
    <w:p w14:paraId="043F2F63" w14:textId="782DD1CA" w:rsidR="008051C2" w:rsidRPr="00124D03" w:rsidRDefault="008051C2" w:rsidP="008051C2">
      <w:pPr>
        <w:pStyle w:val="CBDAnnex"/>
        <w:rPr>
          <w:lang w:val="fr-FR"/>
        </w:rPr>
      </w:pPr>
      <w:r w:rsidRPr="00124D03">
        <w:rPr>
          <w:lang w:val="fr-FR"/>
        </w:rPr>
        <w:lastRenderedPageBreak/>
        <w:t>Annex</w:t>
      </w:r>
      <w:r w:rsidR="00C14E3E">
        <w:rPr>
          <w:lang w:val="fr-FR"/>
        </w:rPr>
        <w:t>e</w:t>
      </w:r>
      <w:r w:rsidR="002C5F8D" w:rsidRPr="00124D03">
        <w:rPr>
          <w:lang w:val="fr-FR"/>
        </w:rPr>
        <w:t> </w:t>
      </w:r>
      <w:r w:rsidR="00245FA6" w:rsidRPr="00124D03">
        <w:rPr>
          <w:lang w:val="fr-FR"/>
        </w:rPr>
        <w:t>III</w:t>
      </w:r>
    </w:p>
    <w:p w14:paraId="2DBCAE07" w14:textId="77777777" w:rsidR="00C14E3E" w:rsidRPr="00282C6C" w:rsidRDefault="00C14E3E" w:rsidP="00EC7D27">
      <w:pPr>
        <w:pStyle w:val="CBDTitle"/>
        <w:rPr>
          <w:lang w:val="fr-FR"/>
        </w:rPr>
      </w:pPr>
      <w:bookmarkStart w:id="4" w:name="_Hlk216086750"/>
      <w:r w:rsidRPr="00282C6C">
        <w:rPr>
          <w:lang w:val="fr-FR"/>
        </w:rPr>
        <w:t>Estimation des ressources extrabudgétaires nécessaires</w:t>
      </w:r>
    </w:p>
    <w:p w14:paraId="3A6D12CB" w14:textId="2402CE21" w:rsidR="00C14E3E" w:rsidRPr="00282C6C" w:rsidRDefault="00C14E3E" w:rsidP="00EC7D27">
      <w:pPr>
        <w:pStyle w:val="CBDNormalNoNumber"/>
        <w:rPr>
          <w:lang w:val="fr-FR"/>
        </w:rPr>
      </w:pPr>
      <w:r w:rsidRPr="00282C6C">
        <w:rPr>
          <w:lang w:val="fr-FR" w:bidi="ar-SY"/>
        </w:rPr>
        <w:t xml:space="preserve">Le tableau ci-dessous donne une estimation des ressources extrabudgétaires nécessaires pour les activités demandées au Secrétariat, telles qu’elles sont décrites dans </w:t>
      </w:r>
      <w:r w:rsidR="00E03AEF">
        <w:rPr>
          <w:lang w:val="fr-FR" w:bidi="ar-SY"/>
        </w:rPr>
        <w:t>les éléments du</w:t>
      </w:r>
      <w:r w:rsidRPr="00282C6C">
        <w:rPr>
          <w:lang w:val="fr-FR" w:bidi="ar-SY"/>
        </w:rPr>
        <w:t xml:space="preserve"> projet de décision</w:t>
      </w:r>
      <w:r w:rsidR="00E03AEF">
        <w:rPr>
          <w:lang w:val="fr-FR" w:bidi="ar-SY"/>
        </w:rPr>
        <w:t xml:space="preserve"> à la section III.B du présent document</w:t>
      </w:r>
      <w:r w:rsidRPr="00282C6C">
        <w:rPr>
          <w:lang w:val="fr-FR" w:bidi="ar-SY"/>
        </w:rPr>
        <w:t xml:space="preserve">, afin d’appuyer son examen. La présente annexe ne fait pas partie du projet de décision soumis à l’Organe subsidiaire </w:t>
      </w:r>
      <w:r w:rsidR="00621103">
        <w:rPr>
          <w:lang w:val="fr-FR" w:bidi="ar-SY"/>
        </w:rPr>
        <w:t xml:space="preserve">chargé de l’application </w:t>
      </w:r>
      <w:r w:rsidRPr="00282C6C">
        <w:rPr>
          <w:lang w:val="fr-FR" w:bidi="ar-SY"/>
        </w:rPr>
        <w:t>pour examen.</w:t>
      </w:r>
    </w:p>
    <w:p w14:paraId="0576BDD5" w14:textId="77777777" w:rsidR="00C14E3E" w:rsidRPr="00282C6C" w:rsidRDefault="00C14E3E" w:rsidP="00EC7D27">
      <w:pPr>
        <w:pStyle w:val="CBDTableTitle"/>
        <w:tabs>
          <w:tab w:val="clear" w:pos="567"/>
        </w:tabs>
        <w:ind w:left="0"/>
        <w:rPr>
          <w:lang w:val="fr-FR"/>
        </w:rPr>
      </w:pPr>
      <w:r w:rsidRPr="00282C6C">
        <w:rPr>
          <w:lang w:val="fr-FR"/>
        </w:rPr>
        <w:t>Ressources extrabudgétaires nécessaires</w:t>
      </w:r>
    </w:p>
    <w:p w14:paraId="375D3DD1" w14:textId="77777777" w:rsidR="00C14E3E" w:rsidRPr="00282C6C" w:rsidRDefault="00C14E3E" w:rsidP="00C14E3E">
      <w:pPr>
        <w:spacing w:before="120" w:after="120"/>
        <w:rPr>
          <w:iCs/>
          <w:lang w:val="fr-FR"/>
        </w:rPr>
      </w:pPr>
      <w:r w:rsidRPr="00282C6C">
        <w:rPr>
          <w:iCs/>
          <w:sz w:val="18"/>
          <w:szCs w:val="18"/>
          <w:lang w:val="fr-FR"/>
        </w:rPr>
        <w:t>(Dollars des États-Unis)</w:t>
      </w:r>
    </w:p>
    <w:tbl>
      <w:tblPr>
        <w:tblW w:w="10206" w:type="dxa"/>
        <w:tblLayout w:type="fixed"/>
        <w:tblCellMar>
          <w:left w:w="0" w:type="dxa"/>
          <w:right w:w="0" w:type="dxa"/>
        </w:tblCellMar>
        <w:tblLook w:val="04A0" w:firstRow="1" w:lastRow="0" w:firstColumn="1" w:lastColumn="0" w:noHBand="0" w:noVBand="1"/>
      </w:tblPr>
      <w:tblGrid>
        <w:gridCol w:w="630"/>
        <w:gridCol w:w="3199"/>
        <w:gridCol w:w="1276"/>
        <w:gridCol w:w="1133"/>
        <w:gridCol w:w="1135"/>
        <w:gridCol w:w="710"/>
        <w:gridCol w:w="284"/>
        <w:gridCol w:w="853"/>
        <w:gridCol w:w="139"/>
        <w:gridCol w:w="565"/>
        <w:gridCol w:w="282"/>
      </w:tblGrid>
      <w:tr w:rsidR="00C47B9A" w:rsidRPr="00124D03" w14:paraId="3B011C8A" w14:textId="77777777" w:rsidTr="00C47B9A">
        <w:trPr>
          <w:trHeight w:val="290"/>
        </w:trPr>
        <w:tc>
          <w:tcPr>
            <w:tcW w:w="309" w:type="pct"/>
            <w:tcBorders>
              <w:top w:val="single" w:sz="4" w:space="0" w:color="auto"/>
              <w:bottom w:val="single" w:sz="4" w:space="0" w:color="auto"/>
            </w:tcBorders>
            <w:vAlign w:val="bottom"/>
          </w:tcPr>
          <w:p w14:paraId="0AA99D9F" w14:textId="1DCDAF1D" w:rsidR="00C47B9A" w:rsidRPr="00124D03" w:rsidRDefault="00C47B9A" w:rsidP="00C47B9A">
            <w:pPr>
              <w:jc w:val="left"/>
              <w:rPr>
                <w:sz w:val="20"/>
                <w:szCs w:val="20"/>
                <w:lang w:val="fr-FR"/>
              </w:rPr>
            </w:pPr>
            <w:r>
              <w:rPr>
                <w:i/>
                <w:iCs/>
                <w:sz w:val="20"/>
                <w:szCs w:val="20"/>
                <w:lang w:val="fr-FR"/>
              </w:rPr>
              <w:t>Par.</w:t>
            </w:r>
          </w:p>
        </w:tc>
        <w:tc>
          <w:tcPr>
            <w:tcW w:w="1567" w:type="pct"/>
            <w:tcBorders>
              <w:top w:val="single" w:sz="4" w:space="0" w:color="auto"/>
              <w:bottom w:val="single" w:sz="4" w:space="0" w:color="auto"/>
            </w:tcBorders>
            <w:noWrap/>
            <w:tcMar>
              <w:top w:w="0" w:type="dxa"/>
              <w:left w:w="108" w:type="dxa"/>
              <w:bottom w:w="0" w:type="dxa"/>
              <w:right w:w="108" w:type="dxa"/>
            </w:tcMar>
            <w:vAlign w:val="bottom"/>
          </w:tcPr>
          <w:p w14:paraId="281094BC" w14:textId="49C946FC" w:rsidR="00C47B9A" w:rsidRPr="00124D03" w:rsidRDefault="00C47B9A" w:rsidP="00C47B9A">
            <w:pPr>
              <w:jc w:val="left"/>
              <w:rPr>
                <w:sz w:val="20"/>
                <w:szCs w:val="20"/>
                <w:lang w:val="fr-FR"/>
              </w:rPr>
            </w:pPr>
            <w:r w:rsidRPr="00124D03">
              <w:rPr>
                <w:i/>
                <w:iCs/>
                <w:sz w:val="20"/>
                <w:szCs w:val="20"/>
                <w:lang w:val="fr-FR"/>
              </w:rPr>
              <w:t>Activit</w:t>
            </w:r>
            <w:r>
              <w:rPr>
                <w:i/>
                <w:iCs/>
                <w:sz w:val="20"/>
                <w:szCs w:val="20"/>
                <w:lang w:val="fr-FR"/>
              </w:rPr>
              <w:t>é</w:t>
            </w:r>
          </w:p>
        </w:tc>
        <w:tc>
          <w:tcPr>
            <w:tcW w:w="625" w:type="pct"/>
            <w:tcBorders>
              <w:top w:val="single" w:sz="4" w:space="0" w:color="auto"/>
              <w:bottom w:val="single" w:sz="4" w:space="0" w:color="auto"/>
            </w:tcBorders>
            <w:noWrap/>
            <w:tcMar>
              <w:top w:w="0" w:type="dxa"/>
              <w:left w:w="108" w:type="dxa"/>
              <w:bottom w:w="0" w:type="dxa"/>
              <w:right w:w="108" w:type="dxa"/>
            </w:tcMar>
            <w:vAlign w:val="bottom"/>
          </w:tcPr>
          <w:p w14:paraId="1F26BE13" w14:textId="19B7DFBB" w:rsidR="00C47B9A" w:rsidRPr="00124D03" w:rsidRDefault="00C47B9A" w:rsidP="00C47B9A">
            <w:pPr>
              <w:jc w:val="center"/>
              <w:rPr>
                <w:sz w:val="20"/>
                <w:szCs w:val="20"/>
                <w:lang w:val="fr-FR"/>
              </w:rPr>
            </w:pPr>
            <w:r w:rsidRPr="00282C6C">
              <w:rPr>
                <w:i/>
                <w:iCs/>
                <w:sz w:val="20"/>
                <w:szCs w:val="20"/>
                <w:lang w:val="fr-FR"/>
              </w:rPr>
              <w:t xml:space="preserve">Dépenses relatives aux </w:t>
            </w:r>
            <w:proofErr w:type="spellStart"/>
            <w:r w:rsidRPr="00282C6C">
              <w:rPr>
                <w:i/>
                <w:iCs/>
                <w:sz w:val="20"/>
                <w:szCs w:val="20"/>
                <w:lang w:val="fr-FR"/>
              </w:rPr>
              <w:t>réunions</w:t>
            </w:r>
            <w:r w:rsidRPr="00282C6C">
              <w:rPr>
                <w:i/>
                <w:iCs/>
                <w:sz w:val="20"/>
                <w:szCs w:val="20"/>
                <w:vertAlign w:val="superscript"/>
                <w:lang w:val="fr-FR"/>
              </w:rPr>
              <w:t>a</w:t>
            </w:r>
            <w:proofErr w:type="spellEnd"/>
          </w:p>
        </w:tc>
        <w:tc>
          <w:tcPr>
            <w:tcW w:w="555" w:type="pct"/>
            <w:tcBorders>
              <w:top w:val="single" w:sz="4" w:space="0" w:color="auto"/>
              <w:bottom w:val="single" w:sz="4" w:space="0" w:color="auto"/>
            </w:tcBorders>
            <w:noWrap/>
            <w:tcMar>
              <w:top w:w="0" w:type="dxa"/>
              <w:left w:w="108" w:type="dxa"/>
              <w:bottom w:w="0" w:type="dxa"/>
              <w:right w:w="108" w:type="dxa"/>
            </w:tcMar>
            <w:vAlign w:val="bottom"/>
          </w:tcPr>
          <w:p w14:paraId="2C56A736" w14:textId="4037FBCB" w:rsidR="00C47B9A" w:rsidRPr="00124D03" w:rsidRDefault="00C47B9A" w:rsidP="00C47B9A">
            <w:pPr>
              <w:jc w:val="center"/>
              <w:rPr>
                <w:sz w:val="20"/>
                <w:szCs w:val="20"/>
                <w:lang w:val="fr-FR"/>
              </w:rPr>
            </w:pPr>
            <w:r w:rsidRPr="00282C6C">
              <w:rPr>
                <w:i/>
                <w:iCs/>
                <w:sz w:val="20"/>
                <w:szCs w:val="20"/>
                <w:lang w:val="fr-FR"/>
              </w:rPr>
              <w:t>Frais de voyage du personnel</w:t>
            </w:r>
          </w:p>
        </w:tc>
        <w:tc>
          <w:tcPr>
            <w:tcW w:w="556" w:type="pct"/>
            <w:tcBorders>
              <w:top w:val="single" w:sz="4" w:space="0" w:color="auto"/>
              <w:bottom w:val="single" w:sz="4" w:space="0" w:color="auto"/>
            </w:tcBorders>
            <w:noWrap/>
            <w:tcMar>
              <w:top w:w="0" w:type="dxa"/>
              <w:left w:w="108" w:type="dxa"/>
              <w:bottom w:w="0" w:type="dxa"/>
              <w:right w:w="108" w:type="dxa"/>
            </w:tcMar>
            <w:vAlign w:val="bottom"/>
          </w:tcPr>
          <w:p w14:paraId="135980F6" w14:textId="5950F852" w:rsidR="00C47B9A" w:rsidRPr="00124D03" w:rsidRDefault="00C47B9A" w:rsidP="00C47B9A">
            <w:pPr>
              <w:jc w:val="center"/>
              <w:rPr>
                <w:sz w:val="20"/>
                <w:szCs w:val="20"/>
                <w:lang w:val="fr-FR"/>
              </w:rPr>
            </w:pPr>
            <w:r w:rsidRPr="00282C6C">
              <w:rPr>
                <w:i/>
                <w:iCs/>
                <w:sz w:val="20"/>
                <w:szCs w:val="20"/>
                <w:lang w:val="fr-FR"/>
              </w:rPr>
              <w:t xml:space="preserve">Dépenses de </w:t>
            </w:r>
            <w:proofErr w:type="spellStart"/>
            <w:r w:rsidRPr="00282C6C">
              <w:rPr>
                <w:i/>
                <w:iCs/>
                <w:sz w:val="20"/>
                <w:szCs w:val="20"/>
                <w:lang w:val="fr-FR"/>
              </w:rPr>
              <w:t>personnel</w:t>
            </w:r>
            <w:r w:rsidRPr="00282C6C">
              <w:rPr>
                <w:i/>
                <w:iCs/>
                <w:sz w:val="20"/>
                <w:szCs w:val="20"/>
                <w:vertAlign w:val="superscript"/>
                <w:lang w:val="fr-FR"/>
              </w:rPr>
              <w:t>b</w:t>
            </w:r>
            <w:proofErr w:type="spellEnd"/>
          </w:p>
        </w:tc>
        <w:tc>
          <w:tcPr>
            <w:tcW w:w="348" w:type="pct"/>
            <w:tcBorders>
              <w:top w:val="single" w:sz="4" w:space="0" w:color="auto"/>
              <w:bottom w:val="single" w:sz="4" w:space="0" w:color="auto"/>
            </w:tcBorders>
            <w:noWrap/>
            <w:tcMar>
              <w:top w:w="0" w:type="dxa"/>
              <w:left w:w="108" w:type="dxa"/>
              <w:bottom w:w="0" w:type="dxa"/>
              <w:right w:w="108" w:type="dxa"/>
            </w:tcMar>
            <w:vAlign w:val="bottom"/>
          </w:tcPr>
          <w:p w14:paraId="6BB515A3" w14:textId="388C3ECF" w:rsidR="00C47B9A" w:rsidRPr="00124D03" w:rsidRDefault="00C47B9A" w:rsidP="00C47B9A">
            <w:pPr>
              <w:jc w:val="center"/>
              <w:rPr>
                <w:sz w:val="20"/>
                <w:szCs w:val="20"/>
                <w:lang w:val="fr-FR"/>
              </w:rPr>
            </w:pPr>
            <w:r w:rsidRPr="00282C6C">
              <w:rPr>
                <w:i/>
                <w:iCs/>
                <w:sz w:val="20"/>
                <w:szCs w:val="20"/>
                <w:lang w:val="fr-FR"/>
              </w:rPr>
              <w:t>Sous-total</w:t>
            </w:r>
          </w:p>
        </w:tc>
        <w:tc>
          <w:tcPr>
            <w:tcW w:w="625" w:type="pct"/>
            <w:gridSpan w:val="3"/>
            <w:tcBorders>
              <w:top w:val="single" w:sz="4" w:space="0" w:color="auto"/>
              <w:bottom w:val="single" w:sz="4" w:space="0" w:color="auto"/>
            </w:tcBorders>
            <w:noWrap/>
            <w:tcMar>
              <w:top w:w="0" w:type="dxa"/>
              <w:left w:w="108" w:type="dxa"/>
              <w:bottom w:w="0" w:type="dxa"/>
              <w:right w:w="108" w:type="dxa"/>
            </w:tcMar>
          </w:tcPr>
          <w:p w14:paraId="1D0BF7DE" w14:textId="279DDB86" w:rsidR="00C47B9A" w:rsidRPr="00124D03" w:rsidRDefault="00C47B9A" w:rsidP="00C47B9A">
            <w:pPr>
              <w:jc w:val="center"/>
              <w:rPr>
                <w:sz w:val="20"/>
                <w:szCs w:val="20"/>
                <w:lang w:val="fr-FR"/>
              </w:rPr>
            </w:pPr>
            <w:r w:rsidRPr="00282C6C">
              <w:rPr>
                <w:i/>
                <w:iCs/>
                <w:sz w:val="20"/>
                <w:szCs w:val="20"/>
                <w:lang w:val="fr-FR"/>
              </w:rPr>
              <w:t xml:space="preserve">DAP </w:t>
            </w:r>
            <w:r w:rsidRPr="00282C6C">
              <w:rPr>
                <w:i/>
                <w:iCs/>
                <w:sz w:val="20"/>
                <w:szCs w:val="20"/>
                <w:lang w:val="fr-FR"/>
              </w:rPr>
              <w:br/>
              <w:t>(13 pour cent)</w:t>
            </w:r>
          </w:p>
        </w:tc>
        <w:tc>
          <w:tcPr>
            <w:tcW w:w="415" w:type="pct"/>
            <w:gridSpan w:val="2"/>
            <w:tcBorders>
              <w:top w:val="single" w:sz="4" w:space="0" w:color="auto"/>
              <w:bottom w:val="single" w:sz="4" w:space="0" w:color="auto"/>
            </w:tcBorders>
            <w:noWrap/>
            <w:tcMar>
              <w:top w:w="0" w:type="dxa"/>
              <w:left w:w="108" w:type="dxa"/>
              <w:bottom w:w="0" w:type="dxa"/>
              <w:right w:w="108" w:type="dxa"/>
            </w:tcMar>
            <w:vAlign w:val="bottom"/>
          </w:tcPr>
          <w:p w14:paraId="6F30B79E" w14:textId="77777777" w:rsidR="00C47B9A" w:rsidRPr="00124D03" w:rsidRDefault="00C47B9A" w:rsidP="00C47B9A">
            <w:pPr>
              <w:jc w:val="right"/>
              <w:rPr>
                <w:i/>
                <w:iCs/>
                <w:sz w:val="20"/>
                <w:szCs w:val="20"/>
                <w:lang w:val="fr-FR"/>
              </w:rPr>
            </w:pPr>
            <w:r w:rsidRPr="00124D03">
              <w:rPr>
                <w:i/>
                <w:iCs/>
                <w:sz w:val="20"/>
                <w:szCs w:val="20"/>
                <w:lang w:val="fr-FR"/>
              </w:rPr>
              <w:t>Total</w:t>
            </w:r>
          </w:p>
        </w:tc>
      </w:tr>
      <w:tr w:rsidR="00BE2956" w:rsidRPr="0096543B" w14:paraId="0E5FD62D" w14:textId="77777777" w:rsidTr="00C47B9A">
        <w:trPr>
          <w:gridAfter w:val="1"/>
          <w:wAfter w:w="138" w:type="pct"/>
          <w:trHeight w:val="290"/>
        </w:trPr>
        <w:tc>
          <w:tcPr>
            <w:tcW w:w="4862" w:type="pct"/>
            <w:gridSpan w:val="10"/>
            <w:tcBorders>
              <w:top w:val="single" w:sz="4" w:space="0" w:color="auto"/>
            </w:tcBorders>
            <w:vAlign w:val="center"/>
          </w:tcPr>
          <w:p w14:paraId="28C8E73C" w14:textId="77777777" w:rsidR="00DA7C41" w:rsidRDefault="00DA7C41" w:rsidP="00DA7C41">
            <w:pPr>
              <w:jc w:val="left"/>
              <w:rPr>
                <w:b/>
                <w:bCs/>
                <w:sz w:val="20"/>
                <w:szCs w:val="20"/>
                <w:u w:color="000000"/>
                <w:bdr w:val="nil"/>
                <w:lang w:val="fr-FR"/>
              </w:rPr>
            </w:pPr>
            <w:r>
              <w:rPr>
                <w:b/>
                <w:bCs/>
                <w:sz w:val="20"/>
                <w:szCs w:val="20"/>
                <w:u w:color="000000"/>
                <w:bdr w:val="nil"/>
                <w:lang w:val="fr-FR"/>
              </w:rPr>
              <w:t>Création et renforcement des capacités</w:t>
            </w:r>
          </w:p>
          <w:p w14:paraId="092292A1" w14:textId="7FC44CF2" w:rsidR="00BE2956" w:rsidRPr="00C47B9A" w:rsidRDefault="00DA7C41" w:rsidP="00DA7C41">
            <w:pPr>
              <w:jc w:val="left"/>
              <w:rPr>
                <w:b/>
                <w:bCs/>
                <w:sz w:val="20"/>
                <w:szCs w:val="20"/>
                <w:u w:color="000000"/>
                <w:bdr w:val="nil"/>
                <w:lang w:val="fr-FR"/>
              </w:rPr>
            </w:pPr>
            <w:proofErr w:type="gramStart"/>
            <w:r>
              <w:rPr>
                <w:b/>
                <w:bCs/>
                <w:sz w:val="20"/>
                <w:szCs w:val="20"/>
                <w:u w:color="000000"/>
                <w:bdr w:val="nil"/>
                <w:lang w:val="fr-FR"/>
              </w:rPr>
              <w:t>et</w:t>
            </w:r>
            <w:proofErr w:type="gramEnd"/>
            <w:r>
              <w:rPr>
                <w:b/>
                <w:bCs/>
                <w:sz w:val="20"/>
                <w:szCs w:val="20"/>
                <w:u w:color="000000"/>
                <w:bdr w:val="nil"/>
                <w:lang w:val="fr-FR"/>
              </w:rPr>
              <w:t xml:space="preserve"> sensibilisation</w:t>
            </w:r>
          </w:p>
        </w:tc>
      </w:tr>
      <w:tr w:rsidR="008051C2" w:rsidRPr="00124D03" w14:paraId="15CD0DD6" w14:textId="77777777" w:rsidTr="00C47B9A">
        <w:trPr>
          <w:trHeight w:val="290"/>
        </w:trPr>
        <w:tc>
          <w:tcPr>
            <w:tcW w:w="309" w:type="pct"/>
          </w:tcPr>
          <w:p w14:paraId="34B0A297" w14:textId="1A44EF9B" w:rsidR="008051C2" w:rsidRPr="00124D03" w:rsidRDefault="008051C2" w:rsidP="00BE2956">
            <w:pPr>
              <w:jc w:val="left"/>
              <w:rPr>
                <w:sz w:val="20"/>
                <w:szCs w:val="20"/>
                <w:lang w:val="fr-FR"/>
              </w:rPr>
            </w:pPr>
            <w:r w:rsidRPr="00124D03">
              <w:rPr>
                <w:sz w:val="20"/>
                <w:szCs w:val="20"/>
                <w:lang w:val="fr-FR"/>
              </w:rPr>
              <w:t>4</w:t>
            </w:r>
            <w:r w:rsidR="00BE2956" w:rsidRPr="00124D03">
              <w:rPr>
                <w:sz w:val="20"/>
                <w:szCs w:val="20"/>
                <w:lang w:val="fr-FR"/>
              </w:rPr>
              <w:t> </w:t>
            </w:r>
            <w:r w:rsidR="00DA7ADC" w:rsidRPr="00124D03">
              <w:rPr>
                <w:sz w:val="20"/>
                <w:szCs w:val="20"/>
                <w:lang w:val="fr-FR"/>
              </w:rPr>
              <w:t>a</w:t>
            </w:r>
            <w:r w:rsidR="00750594" w:rsidRPr="00124D03">
              <w:rPr>
                <w:sz w:val="20"/>
                <w:szCs w:val="20"/>
                <w:lang w:val="fr-FR"/>
              </w:rPr>
              <w:t>)</w:t>
            </w:r>
          </w:p>
        </w:tc>
        <w:tc>
          <w:tcPr>
            <w:tcW w:w="1567" w:type="pct"/>
            <w:noWrap/>
            <w:tcMar>
              <w:top w:w="0" w:type="dxa"/>
              <w:left w:w="108" w:type="dxa"/>
              <w:bottom w:w="0" w:type="dxa"/>
              <w:right w:w="108" w:type="dxa"/>
            </w:tcMar>
            <w:hideMark/>
          </w:tcPr>
          <w:p w14:paraId="775A4721" w14:textId="0781C28D" w:rsidR="008051C2" w:rsidRPr="00124D03" w:rsidRDefault="00CC4739" w:rsidP="00843637">
            <w:pPr>
              <w:jc w:val="left"/>
              <w:rPr>
                <w:sz w:val="20"/>
                <w:szCs w:val="20"/>
                <w:lang w:val="fr-FR"/>
              </w:rPr>
            </w:pPr>
            <w:r>
              <w:rPr>
                <w:sz w:val="20"/>
                <w:szCs w:val="20"/>
                <w:lang w:val="fr-FR"/>
              </w:rPr>
              <w:t xml:space="preserve">Créer </w:t>
            </w:r>
            <w:r w:rsidRPr="00CC4739">
              <w:rPr>
                <w:sz w:val="20"/>
                <w:szCs w:val="20"/>
                <w:lang w:val="fr-FR"/>
              </w:rPr>
              <w:t xml:space="preserve">des matériaux de communication ciblés qui soulignent les exemples de réussite et les meilleures pratiques et </w:t>
            </w:r>
            <w:r>
              <w:rPr>
                <w:sz w:val="20"/>
                <w:szCs w:val="20"/>
                <w:lang w:val="fr-FR"/>
              </w:rPr>
              <w:t>diffuser</w:t>
            </w:r>
            <w:r w:rsidRPr="00CC4739">
              <w:rPr>
                <w:sz w:val="20"/>
                <w:szCs w:val="20"/>
                <w:lang w:val="fr-FR"/>
              </w:rPr>
              <w:t xml:space="preserve"> ces informations, notamment par le biais du Centre d’échange sur l’accès et le partage des avantages </w:t>
            </w:r>
          </w:p>
        </w:tc>
        <w:tc>
          <w:tcPr>
            <w:tcW w:w="625" w:type="pct"/>
            <w:noWrap/>
            <w:tcMar>
              <w:top w:w="0" w:type="dxa"/>
              <w:left w:w="108" w:type="dxa"/>
              <w:bottom w:w="0" w:type="dxa"/>
              <w:right w:w="108" w:type="dxa"/>
            </w:tcMar>
            <w:vAlign w:val="bottom"/>
            <w:hideMark/>
          </w:tcPr>
          <w:p w14:paraId="5D67B9BE" w14:textId="77777777" w:rsidR="008051C2" w:rsidRPr="00124D03" w:rsidRDefault="008051C2" w:rsidP="007E3C4A">
            <w:pPr>
              <w:jc w:val="right"/>
              <w:rPr>
                <w:sz w:val="20"/>
                <w:szCs w:val="20"/>
                <w:lang w:val="fr-FR"/>
              </w:rPr>
            </w:pPr>
            <w:r w:rsidRPr="00124D03">
              <w:rPr>
                <w:sz w:val="20"/>
                <w:szCs w:val="20"/>
                <w:lang w:val="fr-FR"/>
              </w:rPr>
              <w:t>–</w:t>
            </w:r>
          </w:p>
        </w:tc>
        <w:tc>
          <w:tcPr>
            <w:tcW w:w="555" w:type="pct"/>
            <w:noWrap/>
            <w:tcMar>
              <w:top w:w="0" w:type="dxa"/>
              <w:left w:w="108" w:type="dxa"/>
              <w:bottom w:w="0" w:type="dxa"/>
              <w:right w:w="108" w:type="dxa"/>
            </w:tcMar>
            <w:vAlign w:val="bottom"/>
            <w:hideMark/>
          </w:tcPr>
          <w:p w14:paraId="6F4D987E" w14:textId="06398EC8" w:rsidR="008051C2" w:rsidRPr="00124D03" w:rsidRDefault="008051C2" w:rsidP="007E3C4A">
            <w:pPr>
              <w:jc w:val="right"/>
              <w:rPr>
                <w:sz w:val="20"/>
                <w:szCs w:val="20"/>
                <w:lang w:val="fr-FR"/>
              </w:rPr>
            </w:pPr>
            <w:r w:rsidRPr="00124D03">
              <w:rPr>
                <w:sz w:val="20"/>
                <w:szCs w:val="20"/>
                <w:lang w:val="fr-FR"/>
              </w:rPr>
              <w:t>27</w:t>
            </w:r>
            <w:r w:rsidR="00132CD2">
              <w:rPr>
                <w:sz w:val="20"/>
                <w:szCs w:val="20"/>
                <w:lang w:val="fr-FR"/>
              </w:rPr>
              <w:t> </w:t>
            </w:r>
            <w:r w:rsidRPr="00124D03">
              <w:rPr>
                <w:sz w:val="20"/>
                <w:szCs w:val="20"/>
                <w:lang w:val="fr-FR"/>
              </w:rPr>
              <w:t>500</w:t>
            </w:r>
          </w:p>
        </w:tc>
        <w:tc>
          <w:tcPr>
            <w:tcW w:w="556" w:type="pct"/>
            <w:noWrap/>
            <w:tcMar>
              <w:top w:w="0" w:type="dxa"/>
              <w:left w:w="108" w:type="dxa"/>
              <w:bottom w:w="0" w:type="dxa"/>
              <w:right w:w="108" w:type="dxa"/>
            </w:tcMar>
            <w:vAlign w:val="bottom"/>
            <w:hideMark/>
          </w:tcPr>
          <w:p w14:paraId="0EE01E40" w14:textId="2082F6A6" w:rsidR="008051C2" w:rsidRPr="00124D03" w:rsidRDefault="008051C2" w:rsidP="007E3C4A">
            <w:pPr>
              <w:jc w:val="right"/>
              <w:rPr>
                <w:sz w:val="20"/>
                <w:szCs w:val="20"/>
                <w:lang w:val="fr-FR"/>
              </w:rPr>
            </w:pPr>
            <w:r w:rsidRPr="00124D03">
              <w:rPr>
                <w:sz w:val="20"/>
                <w:szCs w:val="20"/>
                <w:lang w:val="fr-FR"/>
              </w:rPr>
              <w:t>31</w:t>
            </w:r>
            <w:r w:rsidR="00132CD2">
              <w:rPr>
                <w:sz w:val="20"/>
                <w:szCs w:val="20"/>
                <w:lang w:val="fr-FR"/>
              </w:rPr>
              <w:t> </w:t>
            </w:r>
            <w:r w:rsidRPr="00124D03">
              <w:rPr>
                <w:sz w:val="20"/>
                <w:szCs w:val="20"/>
                <w:lang w:val="fr-FR"/>
              </w:rPr>
              <w:t>500</w:t>
            </w:r>
          </w:p>
        </w:tc>
        <w:tc>
          <w:tcPr>
            <w:tcW w:w="487" w:type="pct"/>
            <w:gridSpan w:val="2"/>
            <w:noWrap/>
            <w:tcMar>
              <w:top w:w="0" w:type="dxa"/>
              <w:left w:w="108" w:type="dxa"/>
              <w:bottom w:w="0" w:type="dxa"/>
              <w:right w:w="108" w:type="dxa"/>
            </w:tcMar>
            <w:vAlign w:val="bottom"/>
            <w:hideMark/>
          </w:tcPr>
          <w:p w14:paraId="46F5361F" w14:textId="4EB4F911" w:rsidR="008051C2" w:rsidRPr="00124D03" w:rsidRDefault="008051C2" w:rsidP="007E3C4A">
            <w:pPr>
              <w:jc w:val="right"/>
              <w:rPr>
                <w:sz w:val="20"/>
                <w:szCs w:val="20"/>
                <w:lang w:val="fr-FR"/>
              </w:rPr>
            </w:pPr>
            <w:r w:rsidRPr="00124D03">
              <w:rPr>
                <w:sz w:val="20"/>
                <w:szCs w:val="20"/>
                <w:lang w:val="fr-FR"/>
              </w:rPr>
              <w:t>59</w:t>
            </w:r>
            <w:r w:rsidR="00132CD2">
              <w:rPr>
                <w:sz w:val="20"/>
                <w:szCs w:val="20"/>
                <w:lang w:val="fr-FR"/>
              </w:rPr>
              <w:t> </w:t>
            </w:r>
            <w:r w:rsidRPr="00124D03">
              <w:rPr>
                <w:sz w:val="20"/>
                <w:szCs w:val="20"/>
                <w:lang w:val="fr-FR"/>
              </w:rPr>
              <w:t>000</w:t>
            </w:r>
          </w:p>
        </w:tc>
        <w:tc>
          <w:tcPr>
            <w:tcW w:w="418" w:type="pct"/>
            <w:noWrap/>
            <w:tcMar>
              <w:top w:w="0" w:type="dxa"/>
              <w:left w:w="108" w:type="dxa"/>
              <w:bottom w:w="0" w:type="dxa"/>
              <w:right w:w="108" w:type="dxa"/>
            </w:tcMar>
            <w:vAlign w:val="bottom"/>
            <w:hideMark/>
          </w:tcPr>
          <w:p w14:paraId="482A17EE" w14:textId="66DB83F4" w:rsidR="008051C2" w:rsidRPr="00124D03" w:rsidRDefault="008051C2" w:rsidP="007E3C4A">
            <w:pPr>
              <w:jc w:val="right"/>
              <w:rPr>
                <w:sz w:val="20"/>
                <w:szCs w:val="20"/>
                <w:lang w:val="fr-FR"/>
              </w:rPr>
            </w:pPr>
            <w:r w:rsidRPr="00124D03">
              <w:rPr>
                <w:sz w:val="20"/>
                <w:szCs w:val="20"/>
                <w:lang w:val="fr-FR"/>
              </w:rPr>
              <w:t>7</w:t>
            </w:r>
            <w:r w:rsidR="00132CD2">
              <w:rPr>
                <w:sz w:val="20"/>
                <w:szCs w:val="20"/>
                <w:lang w:val="fr-FR"/>
              </w:rPr>
              <w:t> </w:t>
            </w:r>
            <w:r w:rsidRPr="00124D03">
              <w:rPr>
                <w:sz w:val="20"/>
                <w:szCs w:val="20"/>
                <w:lang w:val="fr-FR"/>
              </w:rPr>
              <w:t>670</w:t>
            </w:r>
          </w:p>
        </w:tc>
        <w:tc>
          <w:tcPr>
            <w:tcW w:w="483" w:type="pct"/>
            <w:gridSpan w:val="3"/>
            <w:noWrap/>
            <w:tcMar>
              <w:top w:w="0" w:type="dxa"/>
              <w:left w:w="108" w:type="dxa"/>
              <w:bottom w:w="0" w:type="dxa"/>
              <w:right w:w="108" w:type="dxa"/>
            </w:tcMar>
            <w:vAlign w:val="bottom"/>
            <w:hideMark/>
          </w:tcPr>
          <w:p w14:paraId="11E4E90B" w14:textId="61BFD344" w:rsidR="008051C2" w:rsidRPr="00124D03" w:rsidRDefault="008051C2" w:rsidP="007E3C4A">
            <w:pPr>
              <w:jc w:val="right"/>
              <w:rPr>
                <w:sz w:val="20"/>
                <w:szCs w:val="20"/>
                <w:lang w:val="fr-FR"/>
              </w:rPr>
            </w:pPr>
            <w:r w:rsidRPr="00124D03">
              <w:rPr>
                <w:sz w:val="20"/>
                <w:szCs w:val="20"/>
                <w:lang w:val="fr-FR"/>
              </w:rPr>
              <w:t>66</w:t>
            </w:r>
            <w:r w:rsidR="00132CD2">
              <w:rPr>
                <w:sz w:val="20"/>
                <w:szCs w:val="20"/>
                <w:lang w:val="fr-FR"/>
              </w:rPr>
              <w:t> </w:t>
            </w:r>
            <w:r w:rsidRPr="00124D03">
              <w:rPr>
                <w:sz w:val="20"/>
                <w:szCs w:val="20"/>
                <w:lang w:val="fr-FR"/>
              </w:rPr>
              <w:t>670</w:t>
            </w:r>
          </w:p>
        </w:tc>
      </w:tr>
      <w:tr w:rsidR="008051C2" w:rsidRPr="00124D03" w14:paraId="7FAF5A43" w14:textId="77777777" w:rsidTr="00C47B9A">
        <w:trPr>
          <w:trHeight w:val="290"/>
        </w:trPr>
        <w:tc>
          <w:tcPr>
            <w:tcW w:w="309" w:type="pct"/>
          </w:tcPr>
          <w:p w14:paraId="76987F1D" w14:textId="61A8C3C8" w:rsidR="008051C2" w:rsidRPr="00124D03" w:rsidRDefault="008051C2" w:rsidP="001F5484">
            <w:pPr>
              <w:jc w:val="left"/>
              <w:rPr>
                <w:sz w:val="20"/>
                <w:szCs w:val="20"/>
                <w:lang w:val="fr-FR"/>
              </w:rPr>
            </w:pPr>
            <w:r w:rsidRPr="00124D03">
              <w:rPr>
                <w:sz w:val="20"/>
                <w:szCs w:val="20"/>
                <w:lang w:val="fr-FR"/>
              </w:rPr>
              <w:t>4</w:t>
            </w:r>
            <w:r w:rsidR="00591C11" w:rsidRPr="00124D03">
              <w:rPr>
                <w:sz w:val="20"/>
                <w:szCs w:val="20"/>
                <w:lang w:val="fr-FR"/>
              </w:rPr>
              <w:t> </w:t>
            </w:r>
            <w:r w:rsidR="00DA7ADC" w:rsidRPr="00124D03">
              <w:rPr>
                <w:sz w:val="20"/>
                <w:szCs w:val="20"/>
                <w:lang w:val="fr-FR"/>
              </w:rPr>
              <w:t>b</w:t>
            </w:r>
            <w:r w:rsidR="00DE770C" w:rsidRPr="00124D03">
              <w:rPr>
                <w:sz w:val="20"/>
                <w:szCs w:val="20"/>
                <w:lang w:val="fr-FR"/>
              </w:rPr>
              <w:t>)</w:t>
            </w:r>
          </w:p>
        </w:tc>
        <w:tc>
          <w:tcPr>
            <w:tcW w:w="1567" w:type="pct"/>
            <w:noWrap/>
            <w:tcMar>
              <w:top w:w="0" w:type="dxa"/>
              <w:left w:w="108" w:type="dxa"/>
              <w:bottom w:w="0" w:type="dxa"/>
              <w:right w:w="108" w:type="dxa"/>
            </w:tcMar>
          </w:tcPr>
          <w:p w14:paraId="53517A76" w14:textId="3D998D12" w:rsidR="008051C2" w:rsidRPr="00124D03" w:rsidRDefault="00CC4739" w:rsidP="007E3C4A">
            <w:pPr>
              <w:jc w:val="left"/>
              <w:rPr>
                <w:sz w:val="20"/>
                <w:szCs w:val="20"/>
                <w:lang w:val="fr-FR"/>
              </w:rPr>
            </w:pPr>
            <w:r>
              <w:rPr>
                <w:sz w:val="20"/>
                <w:szCs w:val="20"/>
                <w:lang w:val="fr-FR"/>
              </w:rPr>
              <w:t xml:space="preserve">Organiser des ateliers régionaux d’apprentissage par les pairs et d’échange pour faciliter le dialogue, le partage d’expérience et promouvoir les meilleures pratiques dans les domaines recensés dans les </w:t>
            </w:r>
            <w:r w:rsidR="001C7A1E" w:rsidRPr="001C7A1E">
              <w:rPr>
                <w:sz w:val="20"/>
                <w:szCs w:val="20"/>
                <w:lang w:val="fr-FR"/>
              </w:rPr>
              <w:t>conclusions et les messages essentiels</w:t>
            </w:r>
          </w:p>
        </w:tc>
        <w:tc>
          <w:tcPr>
            <w:tcW w:w="625" w:type="pct"/>
            <w:noWrap/>
            <w:tcMar>
              <w:top w:w="0" w:type="dxa"/>
              <w:left w:w="108" w:type="dxa"/>
              <w:bottom w:w="0" w:type="dxa"/>
              <w:right w:w="108" w:type="dxa"/>
            </w:tcMar>
            <w:vAlign w:val="bottom"/>
          </w:tcPr>
          <w:p w14:paraId="77D3F5AD" w14:textId="2CE0CAD2" w:rsidR="008051C2" w:rsidRPr="00124D03" w:rsidRDefault="00D623E4" w:rsidP="007E3C4A">
            <w:pPr>
              <w:jc w:val="right"/>
              <w:rPr>
                <w:sz w:val="20"/>
                <w:szCs w:val="20"/>
                <w:lang w:val="fr-FR"/>
              </w:rPr>
            </w:pPr>
            <w:r w:rsidRPr="00124D03">
              <w:rPr>
                <w:sz w:val="20"/>
                <w:szCs w:val="20"/>
                <w:lang w:val="fr-FR"/>
              </w:rPr>
              <w:t>279</w:t>
            </w:r>
            <w:r w:rsidR="00132CD2">
              <w:rPr>
                <w:sz w:val="20"/>
                <w:szCs w:val="20"/>
                <w:lang w:val="fr-FR"/>
              </w:rPr>
              <w:t> </w:t>
            </w:r>
            <w:r w:rsidRPr="00124D03">
              <w:rPr>
                <w:sz w:val="20"/>
                <w:szCs w:val="20"/>
                <w:lang w:val="fr-FR"/>
              </w:rPr>
              <w:t>6</w:t>
            </w:r>
            <w:r w:rsidR="008051C2" w:rsidRPr="00124D03">
              <w:rPr>
                <w:sz w:val="20"/>
                <w:szCs w:val="20"/>
                <w:lang w:val="fr-FR"/>
              </w:rPr>
              <w:t>00</w:t>
            </w:r>
          </w:p>
        </w:tc>
        <w:tc>
          <w:tcPr>
            <w:tcW w:w="555" w:type="pct"/>
            <w:noWrap/>
            <w:tcMar>
              <w:top w:w="0" w:type="dxa"/>
              <w:left w:w="108" w:type="dxa"/>
              <w:bottom w:w="0" w:type="dxa"/>
              <w:right w:w="108" w:type="dxa"/>
            </w:tcMar>
            <w:vAlign w:val="bottom"/>
          </w:tcPr>
          <w:p w14:paraId="1984F4DF" w14:textId="72F00A93" w:rsidR="008051C2" w:rsidRPr="00124D03" w:rsidRDefault="002549DC" w:rsidP="007E3C4A">
            <w:pPr>
              <w:jc w:val="right"/>
              <w:rPr>
                <w:sz w:val="20"/>
                <w:szCs w:val="20"/>
                <w:lang w:val="fr-FR"/>
              </w:rPr>
            </w:pPr>
            <w:r w:rsidRPr="00124D03">
              <w:rPr>
                <w:sz w:val="20"/>
                <w:szCs w:val="20"/>
                <w:lang w:val="fr-FR"/>
              </w:rPr>
              <w:t>4</w:t>
            </w:r>
            <w:r w:rsidR="008051C2" w:rsidRPr="00124D03">
              <w:rPr>
                <w:sz w:val="20"/>
                <w:szCs w:val="20"/>
                <w:lang w:val="fr-FR"/>
              </w:rPr>
              <w:t>5</w:t>
            </w:r>
            <w:r w:rsidR="00132CD2">
              <w:rPr>
                <w:sz w:val="20"/>
                <w:szCs w:val="20"/>
                <w:lang w:val="fr-FR"/>
              </w:rPr>
              <w:t> </w:t>
            </w:r>
            <w:r w:rsidR="008051C2" w:rsidRPr="00124D03">
              <w:rPr>
                <w:sz w:val="20"/>
                <w:szCs w:val="20"/>
                <w:lang w:val="fr-FR"/>
              </w:rPr>
              <w:t>000</w:t>
            </w:r>
          </w:p>
        </w:tc>
        <w:tc>
          <w:tcPr>
            <w:tcW w:w="556" w:type="pct"/>
            <w:noWrap/>
            <w:tcMar>
              <w:top w:w="0" w:type="dxa"/>
              <w:left w:w="108" w:type="dxa"/>
              <w:bottom w:w="0" w:type="dxa"/>
              <w:right w:w="108" w:type="dxa"/>
            </w:tcMar>
            <w:vAlign w:val="bottom"/>
          </w:tcPr>
          <w:p w14:paraId="1CB2CEC7" w14:textId="77777777" w:rsidR="008051C2" w:rsidRPr="00124D03" w:rsidRDefault="008051C2" w:rsidP="007E3C4A">
            <w:pPr>
              <w:jc w:val="right"/>
              <w:rPr>
                <w:sz w:val="20"/>
                <w:szCs w:val="20"/>
                <w:lang w:val="fr-FR"/>
              </w:rPr>
            </w:pPr>
            <w:r w:rsidRPr="00124D03">
              <w:rPr>
                <w:sz w:val="20"/>
                <w:szCs w:val="20"/>
                <w:lang w:val="fr-FR"/>
              </w:rPr>
              <w:t>–</w:t>
            </w:r>
          </w:p>
        </w:tc>
        <w:tc>
          <w:tcPr>
            <w:tcW w:w="487" w:type="pct"/>
            <w:gridSpan w:val="2"/>
            <w:noWrap/>
            <w:tcMar>
              <w:top w:w="0" w:type="dxa"/>
              <w:left w:w="108" w:type="dxa"/>
              <w:bottom w:w="0" w:type="dxa"/>
              <w:right w:w="108" w:type="dxa"/>
            </w:tcMar>
            <w:vAlign w:val="bottom"/>
          </w:tcPr>
          <w:p w14:paraId="12B371E0" w14:textId="15B5F193" w:rsidR="008051C2" w:rsidRPr="00124D03" w:rsidRDefault="002549DC" w:rsidP="007E3C4A">
            <w:pPr>
              <w:jc w:val="right"/>
              <w:rPr>
                <w:sz w:val="20"/>
                <w:szCs w:val="20"/>
                <w:lang w:val="fr-FR"/>
              </w:rPr>
            </w:pPr>
            <w:r w:rsidRPr="00124D03">
              <w:rPr>
                <w:sz w:val="20"/>
                <w:szCs w:val="20"/>
                <w:lang w:val="fr-FR"/>
              </w:rPr>
              <w:t>324</w:t>
            </w:r>
            <w:r w:rsidR="00132CD2">
              <w:rPr>
                <w:sz w:val="20"/>
                <w:szCs w:val="20"/>
                <w:lang w:val="fr-FR"/>
              </w:rPr>
              <w:t> </w:t>
            </w:r>
            <w:r w:rsidRPr="00124D03">
              <w:rPr>
                <w:sz w:val="20"/>
                <w:szCs w:val="20"/>
                <w:lang w:val="fr-FR"/>
              </w:rPr>
              <w:t>6</w:t>
            </w:r>
            <w:r w:rsidR="008051C2" w:rsidRPr="00124D03">
              <w:rPr>
                <w:sz w:val="20"/>
                <w:szCs w:val="20"/>
                <w:lang w:val="fr-FR"/>
              </w:rPr>
              <w:t>00</w:t>
            </w:r>
          </w:p>
        </w:tc>
        <w:tc>
          <w:tcPr>
            <w:tcW w:w="418" w:type="pct"/>
            <w:noWrap/>
            <w:tcMar>
              <w:top w:w="0" w:type="dxa"/>
              <w:left w:w="108" w:type="dxa"/>
              <w:bottom w:w="0" w:type="dxa"/>
              <w:right w:w="108" w:type="dxa"/>
            </w:tcMar>
            <w:vAlign w:val="bottom"/>
          </w:tcPr>
          <w:p w14:paraId="09246017" w14:textId="4FA4AC94" w:rsidR="008051C2" w:rsidRPr="00124D03" w:rsidRDefault="00DD0BDA" w:rsidP="007E3C4A">
            <w:pPr>
              <w:jc w:val="right"/>
              <w:rPr>
                <w:sz w:val="20"/>
                <w:szCs w:val="20"/>
                <w:lang w:val="fr-FR"/>
              </w:rPr>
            </w:pPr>
            <w:r w:rsidRPr="00124D03">
              <w:rPr>
                <w:sz w:val="20"/>
                <w:szCs w:val="20"/>
                <w:lang w:val="fr-FR"/>
              </w:rPr>
              <w:t>4</w:t>
            </w:r>
            <w:r w:rsidR="00B632F9" w:rsidRPr="00124D03">
              <w:rPr>
                <w:sz w:val="20"/>
                <w:szCs w:val="20"/>
                <w:lang w:val="fr-FR"/>
              </w:rPr>
              <w:t>2</w:t>
            </w:r>
            <w:r w:rsidR="00132CD2">
              <w:rPr>
                <w:sz w:val="20"/>
                <w:szCs w:val="20"/>
                <w:lang w:val="fr-FR"/>
              </w:rPr>
              <w:t> </w:t>
            </w:r>
            <w:r w:rsidR="00B632F9" w:rsidRPr="00124D03">
              <w:rPr>
                <w:sz w:val="20"/>
                <w:szCs w:val="20"/>
                <w:lang w:val="fr-FR"/>
              </w:rPr>
              <w:t>198</w:t>
            </w:r>
          </w:p>
        </w:tc>
        <w:tc>
          <w:tcPr>
            <w:tcW w:w="483" w:type="pct"/>
            <w:gridSpan w:val="3"/>
            <w:noWrap/>
            <w:tcMar>
              <w:top w:w="0" w:type="dxa"/>
              <w:left w:w="108" w:type="dxa"/>
              <w:bottom w:w="0" w:type="dxa"/>
              <w:right w:w="108" w:type="dxa"/>
            </w:tcMar>
            <w:vAlign w:val="bottom"/>
          </w:tcPr>
          <w:p w14:paraId="5387114B" w14:textId="189EF750" w:rsidR="008051C2" w:rsidRPr="00124D03" w:rsidRDefault="00B632F9" w:rsidP="007E3C4A">
            <w:pPr>
              <w:jc w:val="right"/>
              <w:rPr>
                <w:sz w:val="20"/>
                <w:szCs w:val="20"/>
                <w:lang w:val="fr-FR"/>
              </w:rPr>
            </w:pPr>
            <w:r w:rsidRPr="00124D03">
              <w:rPr>
                <w:sz w:val="20"/>
                <w:szCs w:val="20"/>
                <w:lang w:val="fr-FR"/>
              </w:rPr>
              <w:t>366</w:t>
            </w:r>
            <w:r w:rsidR="00132CD2">
              <w:rPr>
                <w:sz w:val="20"/>
                <w:szCs w:val="20"/>
                <w:lang w:val="fr-FR"/>
              </w:rPr>
              <w:t> </w:t>
            </w:r>
            <w:r w:rsidR="00CE7B57" w:rsidRPr="00124D03">
              <w:rPr>
                <w:sz w:val="20"/>
                <w:szCs w:val="20"/>
                <w:lang w:val="fr-FR"/>
              </w:rPr>
              <w:t>798</w:t>
            </w:r>
          </w:p>
        </w:tc>
      </w:tr>
      <w:tr w:rsidR="00CB75FB" w:rsidRPr="0096543B" w14:paraId="70A70648" w14:textId="77777777" w:rsidTr="00C47B9A">
        <w:trPr>
          <w:gridAfter w:val="1"/>
          <w:wAfter w:w="138" w:type="pct"/>
          <w:trHeight w:val="290"/>
        </w:trPr>
        <w:tc>
          <w:tcPr>
            <w:tcW w:w="4862" w:type="pct"/>
            <w:gridSpan w:val="10"/>
            <w:vAlign w:val="center"/>
          </w:tcPr>
          <w:p w14:paraId="251081FA" w14:textId="3E5BC46F" w:rsidR="00DA7C41" w:rsidRDefault="00DA7C41" w:rsidP="006B144A">
            <w:pPr>
              <w:jc w:val="left"/>
              <w:rPr>
                <w:b/>
                <w:bCs/>
                <w:sz w:val="20"/>
                <w:szCs w:val="20"/>
                <w:lang w:val="fr-FR"/>
              </w:rPr>
            </w:pPr>
            <w:r>
              <w:rPr>
                <w:b/>
                <w:bCs/>
                <w:sz w:val="20"/>
                <w:szCs w:val="20"/>
                <w:lang w:val="fr-FR"/>
              </w:rPr>
              <w:t>Centre d’échange sur l’accès et le partage</w:t>
            </w:r>
          </w:p>
          <w:p w14:paraId="543E2F3C" w14:textId="6BE0AB17" w:rsidR="00CB75FB" w:rsidRPr="00124D03" w:rsidRDefault="00DA7C41" w:rsidP="006B144A">
            <w:pPr>
              <w:jc w:val="left"/>
              <w:rPr>
                <w:b/>
                <w:bCs/>
                <w:sz w:val="20"/>
                <w:szCs w:val="20"/>
                <w:lang w:val="fr-FR"/>
              </w:rPr>
            </w:pPr>
            <w:proofErr w:type="gramStart"/>
            <w:r>
              <w:rPr>
                <w:b/>
                <w:bCs/>
                <w:sz w:val="20"/>
                <w:szCs w:val="20"/>
                <w:lang w:val="fr-FR"/>
              </w:rPr>
              <w:t>des</w:t>
            </w:r>
            <w:proofErr w:type="gramEnd"/>
            <w:r>
              <w:rPr>
                <w:b/>
                <w:bCs/>
                <w:sz w:val="20"/>
                <w:szCs w:val="20"/>
                <w:lang w:val="fr-FR"/>
              </w:rPr>
              <w:t xml:space="preserve"> avantages et partage des informations</w:t>
            </w:r>
          </w:p>
        </w:tc>
      </w:tr>
      <w:tr w:rsidR="008051C2" w:rsidRPr="00124D03" w14:paraId="06D569FD" w14:textId="77777777" w:rsidTr="00C47B9A">
        <w:trPr>
          <w:trHeight w:val="290"/>
        </w:trPr>
        <w:tc>
          <w:tcPr>
            <w:tcW w:w="309" w:type="pct"/>
            <w:tcBorders>
              <w:bottom w:val="single" w:sz="4" w:space="0" w:color="auto"/>
            </w:tcBorders>
          </w:tcPr>
          <w:p w14:paraId="0526AB63" w14:textId="179FDB52" w:rsidR="008051C2" w:rsidRPr="00124D03" w:rsidRDefault="008051C2" w:rsidP="001F5484">
            <w:pPr>
              <w:jc w:val="left"/>
              <w:rPr>
                <w:sz w:val="20"/>
                <w:szCs w:val="20"/>
                <w:lang w:val="fr-FR"/>
              </w:rPr>
            </w:pPr>
            <w:r w:rsidRPr="00124D03">
              <w:rPr>
                <w:sz w:val="20"/>
                <w:szCs w:val="20"/>
                <w:lang w:val="fr-FR"/>
              </w:rPr>
              <w:t>10</w:t>
            </w:r>
            <w:r w:rsidR="00CB75FB" w:rsidRPr="00124D03">
              <w:rPr>
                <w:sz w:val="20"/>
                <w:szCs w:val="20"/>
                <w:lang w:val="fr-FR"/>
              </w:rPr>
              <w:t> </w:t>
            </w:r>
            <w:r w:rsidR="00DA7ADC" w:rsidRPr="00124D03">
              <w:rPr>
                <w:sz w:val="20"/>
                <w:szCs w:val="20"/>
                <w:lang w:val="fr-FR"/>
              </w:rPr>
              <w:t>a</w:t>
            </w:r>
            <w:r w:rsidR="00DE770C" w:rsidRPr="00124D03">
              <w:rPr>
                <w:sz w:val="20"/>
                <w:szCs w:val="20"/>
                <w:lang w:val="fr-FR"/>
              </w:rPr>
              <w:t>)</w:t>
            </w:r>
            <w:r w:rsidR="00A56FC0" w:rsidRPr="00124D03">
              <w:rPr>
                <w:sz w:val="20"/>
                <w:szCs w:val="20"/>
                <w:lang w:val="fr-FR"/>
              </w:rPr>
              <w:t xml:space="preserve"> </w:t>
            </w:r>
            <w:r w:rsidR="00DA7ADC" w:rsidRPr="00124D03">
              <w:rPr>
                <w:sz w:val="20"/>
                <w:szCs w:val="20"/>
                <w:lang w:val="fr-FR"/>
              </w:rPr>
              <w:t>i</w:t>
            </w:r>
            <w:r w:rsidR="00F94D80" w:rsidRPr="00124D03">
              <w:rPr>
                <w:sz w:val="20"/>
                <w:szCs w:val="20"/>
                <w:lang w:val="fr-FR"/>
              </w:rPr>
              <w:t>)</w:t>
            </w:r>
          </w:p>
        </w:tc>
        <w:tc>
          <w:tcPr>
            <w:tcW w:w="1567" w:type="pct"/>
            <w:tcBorders>
              <w:bottom w:val="single" w:sz="4" w:space="0" w:color="auto"/>
            </w:tcBorders>
            <w:noWrap/>
            <w:tcMar>
              <w:top w:w="0" w:type="dxa"/>
              <w:left w:w="108" w:type="dxa"/>
              <w:bottom w:w="0" w:type="dxa"/>
              <w:right w:w="108" w:type="dxa"/>
            </w:tcMar>
          </w:tcPr>
          <w:p w14:paraId="3789AFEF" w14:textId="12C8FBC0" w:rsidR="008051C2" w:rsidRPr="00124D03" w:rsidRDefault="0053410C" w:rsidP="00DD003A">
            <w:pPr>
              <w:jc w:val="left"/>
              <w:rPr>
                <w:sz w:val="20"/>
                <w:szCs w:val="20"/>
                <w:lang w:val="fr-FR"/>
              </w:rPr>
            </w:pPr>
            <w:r>
              <w:rPr>
                <w:sz w:val="20"/>
                <w:szCs w:val="20"/>
                <w:lang w:val="fr-FR"/>
              </w:rPr>
              <w:t>Poursuivre l’administration et l’avancement du</w:t>
            </w:r>
            <w:r w:rsidR="00DD003A" w:rsidRPr="00DD003A">
              <w:rPr>
                <w:sz w:val="20"/>
                <w:szCs w:val="20"/>
                <w:lang w:val="fr-FR"/>
              </w:rPr>
              <w:t xml:space="preserve"> Centre d’échange sur l’accès et le partage des avantages, en tenant compte</w:t>
            </w:r>
            <w:r w:rsidR="00DD003A">
              <w:rPr>
                <w:sz w:val="20"/>
                <w:szCs w:val="20"/>
                <w:lang w:val="fr-FR"/>
              </w:rPr>
              <w:t xml:space="preserve"> des objectifs recensés par le </w:t>
            </w:r>
            <w:r w:rsidR="00DD003A" w:rsidRPr="00DD003A">
              <w:rPr>
                <w:sz w:val="20"/>
                <w:szCs w:val="20"/>
                <w:lang w:val="fr-FR"/>
              </w:rPr>
              <w:t>Comité consultatif informel sur le Centre d’échange sur l’accès et le partage des avantages</w:t>
            </w:r>
          </w:p>
        </w:tc>
        <w:tc>
          <w:tcPr>
            <w:tcW w:w="625" w:type="pct"/>
            <w:tcBorders>
              <w:bottom w:val="single" w:sz="4" w:space="0" w:color="auto"/>
            </w:tcBorders>
            <w:noWrap/>
            <w:tcMar>
              <w:top w:w="0" w:type="dxa"/>
              <w:left w:w="108" w:type="dxa"/>
              <w:bottom w:w="0" w:type="dxa"/>
              <w:right w:w="108" w:type="dxa"/>
            </w:tcMar>
            <w:vAlign w:val="bottom"/>
          </w:tcPr>
          <w:p w14:paraId="382F3BCA" w14:textId="77777777" w:rsidR="008051C2" w:rsidRPr="00124D03" w:rsidRDefault="008051C2" w:rsidP="007E3C4A">
            <w:pPr>
              <w:jc w:val="right"/>
              <w:rPr>
                <w:lang w:val="fr-FR"/>
              </w:rPr>
            </w:pPr>
            <w:r w:rsidRPr="00124D03">
              <w:rPr>
                <w:sz w:val="20"/>
                <w:szCs w:val="20"/>
                <w:lang w:val="fr-FR"/>
              </w:rPr>
              <w:t>–</w:t>
            </w:r>
          </w:p>
        </w:tc>
        <w:tc>
          <w:tcPr>
            <w:tcW w:w="555" w:type="pct"/>
            <w:tcBorders>
              <w:bottom w:val="single" w:sz="4" w:space="0" w:color="auto"/>
            </w:tcBorders>
            <w:noWrap/>
            <w:tcMar>
              <w:top w:w="0" w:type="dxa"/>
              <w:left w:w="108" w:type="dxa"/>
              <w:bottom w:w="0" w:type="dxa"/>
              <w:right w:w="108" w:type="dxa"/>
            </w:tcMar>
            <w:vAlign w:val="bottom"/>
          </w:tcPr>
          <w:p w14:paraId="071597AB" w14:textId="77777777" w:rsidR="008051C2" w:rsidRPr="00124D03" w:rsidRDefault="008051C2" w:rsidP="007E3C4A">
            <w:pPr>
              <w:jc w:val="right"/>
              <w:rPr>
                <w:lang w:val="fr-FR"/>
              </w:rPr>
            </w:pPr>
            <w:r w:rsidRPr="00124D03">
              <w:rPr>
                <w:sz w:val="20"/>
                <w:szCs w:val="20"/>
                <w:lang w:val="fr-FR"/>
              </w:rPr>
              <w:t>–</w:t>
            </w:r>
          </w:p>
        </w:tc>
        <w:tc>
          <w:tcPr>
            <w:tcW w:w="556" w:type="pct"/>
            <w:tcBorders>
              <w:bottom w:val="single" w:sz="4" w:space="0" w:color="auto"/>
            </w:tcBorders>
            <w:noWrap/>
            <w:tcMar>
              <w:top w:w="0" w:type="dxa"/>
              <w:left w:w="108" w:type="dxa"/>
              <w:bottom w:w="0" w:type="dxa"/>
              <w:right w:w="108" w:type="dxa"/>
            </w:tcMar>
            <w:vAlign w:val="bottom"/>
          </w:tcPr>
          <w:p w14:paraId="62682215" w14:textId="1730A123" w:rsidR="008051C2" w:rsidRPr="00124D03" w:rsidRDefault="00CE7B57" w:rsidP="007E3C4A">
            <w:pPr>
              <w:jc w:val="right"/>
              <w:rPr>
                <w:sz w:val="20"/>
                <w:szCs w:val="20"/>
                <w:lang w:val="fr-FR"/>
              </w:rPr>
            </w:pPr>
            <w:r w:rsidRPr="00124D03">
              <w:rPr>
                <w:sz w:val="20"/>
                <w:szCs w:val="20"/>
                <w:lang w:val="fr-FR"/>
              </w:rPr>
              <w:t>162</w:t>
            </w:r>
            <w:r w:rsidR="00132CD2">
              <w:rPr>
                <w:sz w:val="20"/>
                <w:szCs w:val="20"/>
                <w:lang w:val="fr-FR"/>
              </w:rPr>
              <w:t> </w:t>
            </w:r>
            <w:r w:rsidR="008051C2" w:rsidRPr="00124D03">
              <w:rPr>
                <w:sz w:val="20"/>
                <w:szCs w:val="20"/>
                <w:lang w:val="fr-FR"/>
              </w:rPr>
              <w:t>000</w:t>
            </w:r>
          </w:p>
        </w:tc>
        <w:tc>
          <w:tcPr>
            <w:tcW w:w="487" w:type="pct"/>
            <w:gridSpan w:val="2"/>
            <w:tcBorders>
              <w:bottom w:val="single" w:sz="4" w:space="0" w:color="auto"/>
            </w:tcBorders>
            <w:noWrap/>
            <w:tcMar>
              <w:top w:w="0" w:type="dxa"/>
              <w:left w:w="108" w:type="dxa"/>
              <w:bottom w:w="0" w:type="dxa"/>
              <w:right w:w="108" w:type="dxa"/>
            </w:tcMar>
            <w:vAlign w:val="bottom"/>
          </w:tcPr>
          <w:p w14:paraId="4FF06ADA" w14:textId="551D81A5" w:rsidR="008051C2" w:rsidRPr="00124D03" w:rsidRDefault="00CE7B57" w:rsidP="007E3C4A">
            <w:pPr>
              <w:jc w:val="right"/>
              <w:rPr>
                <w:sz w:val="20"/>
                <w:szCs w:val="20"/>
                <w:lang w:val="fr-FR"/>
              </w:rPr>
            </w:pPr>
            <w:r w:rsidRPr="00124D03">
              <w:rPr>
                <w:sz w:val="20"/>
                <w:szCs w:val="20"/>
                <w:lang w:val="fr-FR"/>
              </w:rPr>
              <w:t>162</w:t>
            </w:r>
            <w:r w:rsidR="00132CD2">
              <w:rPr>
                <w:sz w:val="20"/>
                <w:szCs w:val="20"/>
                <w:lang w:val="fr-FR"/>
              </w:rPr>
              <w:t> </w:t>
            </w:r>
            <w:r w:rsidR="008051C2" w:rsidRPr="00124D03">
              <w:rPr>
                <w:sz w:val="20"/>
                <w:szCs w:val="20"/>
                <w:lang w:val="fr-FR"/>
              </w:rPr>
              <w:t>000</w:t>
            </w:r>
          </w:p>
        </w:tc>
        <w:tc>
          <w:tcPr>
            <w:tcW w:w="418" w:type="pct"/>
            <w:tcBorders>
              <w:bottom w:val="single" w:sz="4" w:space="0" w:color="auto"/>
            </w:tcBorders>
            <w:noWrap/>
            <w:tcMar>
              <w:top w:w="0" w:type="dxa"/>
              <w:left w:w="108" w:type="dxa"/>
              <w:bottom w:w="0" w:type="dxa"/>
              <w:right w:w="108" w:type="dxa"/>
            </w:tcMar>
            <w:vAlign w:val="bottom"/>
          </w:tcPr>
          <w:p w14:paraId="55400443" w14:textId="68AE2772" w:rsidR="008051C2" w:rsidRPr="00124D03" w:rsidRDefault="008051C2" w:rsidP="007E3C4A">
            <w:pPr>
              <w:jc w:val="right"/>
              <w:rPr>
                <w:sz w:val="20"/>
                <w:szCs w:val="20"/>
                <w:lang w:val="fr-FR"/>
              </w:rPr>
            </w:pPr>
            <w:r w:rsidRPr="00124D03">
              <w:rPr>
                <w:sz w:val="20"/>
                <w:szCs w:val="20"/>
                <w:lang w:val="fr-FR"/>
              </w:rPr>
              <w:t>2</w:t>
            </w:r>
            <w:r w:rsidR="00DF48B5" w:rsidRPr="00124D03">
              <w:rPr>
                <w:sz w:val="20"/>
                <w:szCs w:val="20"/>
                <w:lang w:val="fr-FR"/>
              </w:rPr>
              <w:t>1</w:t>
            </w:r>
            <w:r w:rsidR="00132CD2">
              <w:rPr>
                <w:sz w:val="20"/>
                <w:szCs w:val="20"/>
                <w:lang w:val="fr-FR"/>
              </w:rPr>
              <w:t> </w:t>
            </w:r>
            <w:r w:rsidRPr="00124D03">
              <w:rPr>
                <w:sz w:val="20"/>
                <w:szCs w:val="20"/>
                <w:lang w:val="fr-FR"/>
              </w:rPr>
              <w:t>0</w:t>
            </w:r>
            <w:r w:rsidR="00DF48B5" w:rsidRPr="00124D03">
              <w:rPr>
                <w:sz w:val="20"/>
                <w:szCs w:val="20"/>
                <w:lang w:val="fr-FR"/>
              </w:rPr>
              <w:t>6</w:t>
            </w:r>
            <w:r w:rsidRPr="00124D03">
              <w:rPr>
                <w:sz w:val="20"/>
                <w:szCs w:val="20"/>
                <w:lang w:val="fr-FR"/>
              </w:rPr>
              <w:t>0</w:t>
            </w:r>
          </w:p>
        </w:tc>
        <w:tc>
          <w:tcPr>
            <w:tcW w:w="483" w:type="pct"/>
            <w:gridSpan w:val="3"/>
            <w:tcBorders>
              <w:bottom w:val="single" w:sz="4" w:space="0" w:color="auto"/>
            </w:tcBorders>
            <w:noWrap/>
            <w:tcMar>
              <w:top w:w="0" w:type="dxa"/>
              <w:left w:w="108" w:type="dxa"/>
              <w:bottom w:w="0" w:type="dxa"/>
              <w:right w:w="108" w:type="dxa"/>
            </w:tcMar>
            <w:vAlign w:val="bottom"/>
          </w:tcPr>
          <w:p w14:paraId="13F05ABB" w14:textId="44B86D1C" w:rsidR="008051C2" w:rsidRPr="00124D03" w:rsidRDefault="001E4724" w:rsidP="007E3C4A">
            <w:pPr>
              <w:jc w:val="right"/>
              <w:rPr>
                <w:sz w:val="20"/>
                <w:szCs w:val="20"/>
                <w:lang w:val="fr-FR"/>
              </w:rPr>
            </w:pPr>
            <w:r w:rsidRPr="00124D03">
              <w:rPr>
                <w:sz w:val="20"/>
                <w:szCs w:val="20"/>
                <w:lang w:val="fr-FR"/>
              </w:rPr>
              <w:t>183</w:t>
            </w:r>
            <w:r w:rsidR="00132CD2">
              <w:rPr>
                <w:sz w:val="20"/>
                <w:szCs w:val="20"/>
                <w:lang w:val="fr-FR"/>
              </w:rPr>
              <w:t> </w:t>
            </w:r>
            <w:r w:rsidR="008051C2" w:rsidRPr="00124D03">
              <w:rPr>
                <w:sz w:val="20"/>
                <w:szCs w:val="20"/>
                <w:lang w:val="fr-FR"/>
              </w:rPr>
              <w:t>0</w:t>
            </w:r>
            <w:r w:rsidRPr="00124D03">
              <w:rPr>
                <w:sz w:val="20"/>
                <w:szCs w:val="20"/>
                <w:lang w:val="fr-FR"/>
              </w:rPr>
              <w:t>6</w:t>
            </w:r>
            <w:r w:rsidR="008051C2" w:rsidRPr="00124D03">
              <w:rPr>
                <w:sz w:val="20"/>
                <w:szCs w:val="20"/>
                <w:lang w:val="fr-FR"/>
              </w:rPr>
              <w:t>0</w:t>
            </w:r>
          </w:p>
        </w:tc>
      </w:tr>
      <w:tr w:rsidR="007C5792" w:rsidRPr="00124D03" w14:paraId="38ED8E7B" w14:textId="77777777" w:rsidTr="00C47B9A">
        <w:trPr>
          <w:trHeight w:val="290"/>
        </w:trPr>
        <w:tc>
          <w:tcPr>
            <w:tcW w:w="309" w:type="pct"/>
            <w:tcBorders>
              <w:top w:val="single" w:sz="4" w:space="0" w:color="auto"/>
              <w:bottom w:val="single" w:sz="8" w:space="0" w:color="auto"/>
            </w:tcBorders>
          </w:tcPr>
          <w:p w14:paraId="444FCF46" w14:textId="77777777" w:rsidR="007C5792" w:rsidRPr="00124D03" w:rsidRDefault="007C5792" w:rsidP="007C5792">
            <w:pPr>
              <w:rPr>
                <w:sz w:val="20"/>
                <w:szCs w:val="20"/>
                <w:lang w:val="fr-FR"/>
              </w:rPr>
            </w:pPr>
          </w:p>
        </w:tc>
        <w:tc>
          <w:tcPr>
            <w:tcW w:w="1567" w:type="pct"/>
            <w:tcBorders>
              <w:top w:val="single" w:sz="4" w:space="0" w:color="auto"/>
              <w:bottom w:val="single" w:sz="8" w:space="0" w:color="auto"/>
            </w:tcBorders>
            <w:noWrap/>
            <w:tcMar>
              <w:top w:w="0" w:type="dxa"/>
              <w:left w:w="108" w:type="dxa"/>
              <w:bottom w:w="0" w:type="dxa"/>
              <w:right w:w="108" w:type="dxa"/>
            </w:tcMar>
            <w:vAlign w:val="bottom"/>
          </w:tcPr>
          <w:p w14:paraId="44CF8B65" w14:textId="77777777" w:rsidR="007C5792" w:rsidRPr="00124D03" w:rsidRDefault="007C5792" w:rsidP="007C5792">
            <w:pPr>
              <w:tabs>
                <w:tab w:val="clear" w:pos="567"/>
                <w:tab w:val="left" w:pos="230"/>
              </w:tabs>
              <w:jc w:val="left"/>
              <w:rPr>
                <w:sz w:val="20"/>
                <w:szCs w:val="20"/>
                <w:lang w:val="fr-FR"/>
              </w:rPr>
            </w:pPr>
            <w:r w:rsidRPr="00124D03">
              <w:rPr>
                <w:b/>
                <w:bCs/>
                <w:sz w:val="20"/>
                <w:szCs w:val="20"/>
                <w:lang w:val="fr-FR"/>
              </w:rPr>
              <w:tab/>
              <w:t>Total</w:t>
            </w:r>
          </w:p>
        </w:tc>
        <w:tc>
          <w:tcPr>
            <w:tcW w:w="1736" w:type="pct"/>
            <w:gridSpan w:val="3"/>
            <w:tcBorders>
              <w:top w:val="single" w:sz="4" w:space="0" w:color="auto"/>
              <w:bottom w:val="single" w:sz="8" w:space="0" w:color="auto"/>
            </w:tcBorders>
            <w:vAlign w:val="bottom"/>
          </w:tcPr>
          <w:p w14:paraId="692368CC" w14:textId="77777777" w:rsidR="007C5792" w:rsidRPr="00124D03" w:rsidRDefault="007C5792" w:rsidP="007C5792">
            <w:pPr>
              <w:tabs>
                <w:tab w:val="clear" w:pos="1134"/>
              </w:tabs>
              <w:ind w:right="143"/>
              <w:jc w:val="right"/>
              <w:rPr>
                <w:b/>
                <w:bCs/>
                <w:sz w:val="20"/>
                <w:szCs w:val="20"/>
                <w:lang w:val="fr-FR"/>
              </w:rPr>
            </w:pPr>
          </w:p>
        </w:tc>
        <w:tc>
          <w:tcPr>
            <w:tcW w:w="487" w:type="pct"/>
            <w:gridSpan w:val="2"/>
            <w:tcBorders>
              <w:top w:val="single" w:sz="4" w:space="0" w:color="auto"/>
              <w:bottom w:val="single" w:sz="8" w:space="0" w:color="auto"/>
            </w:tcBorders>
            <w:noWrap/>
            <w:tcMar>
              <w:top w:w="0" w:type="dxa"/>
              <w:left w:w="108" w:type="dxa"/>
              <w:bottom w:w="0" w:type="dxa"/>
              <w:right w:w="108" w:type="dxa"/>
            </w:tcMar>
          </w:tcPr>
          <w:p w14:paraId="0E78426A" w14:textId="69A6263E" w:rsidR="007C5792" w:rsidRPr="00124D03" w:rsidRDefault="007C5792" w:rsidP="007C5792">
            <w:pPr>
              <w:jc w:val="right"/>
              <w:rPr>
                <w:b/>
                <w:bCs/>
                <w:sz w:val="20"/>
                <w:szCs w:val="20"/>
                <w:lang w:val="fr-FR"/>
              </w:rPr>
            </w:pPr>
            <w:r w:rsidRPr="00124D03">
              <w:rPr>
                <w:b/>
                <w:bCs/>
                <w:sz w:val="20"/>
                <w:szCs w:val="20"/>
                <w:lang w:val="fr-FR"/>
              </w:rPr>
              <w:t>545</w:t>
            </w:r>
            <w:r w:rsidR="00132CD2">
              <w:rPr>
                <w:b/>
                <w:bCs/>
                <w:sz w:val="20"/>
                <w:szCs w:val="20"/>
                <w:lang w:val="fr-FR"/>
              </w:rPr>
              <w:t> </w:t>
            </w:r>
            <w:r w:rsidRPr="00124D03">
              <w:rPr>
                <w:b/>
                <w:bCs/>
                <w:sz w:val="20"/>
                <w:szCs w:val="20"/>
                <w:lang w:val="fr-FR"/>
              </w:rPr>
              <w:t>600</w:t>
            </w:r>
          </w:p>
        </w:tc>
        <w:tc>
          <w:tcPr>
            <w:tcW w:w="418" w:type="pct"/>
            <w:tcBorders>
              <w:top w:val="single" w:sz="4" w:space="0" w:color="auto"/>
              <w:bottom w:val="single" w:sz="8" w:space="0" w:color="auto"/>
            </w:tcBorders>
            <w:noWrap/>
            <w:tcMar>
              <w:top w:w="0" w:type="dxa"/>
              <w:left w:w="108" w:type="dxa"/>
              <w:bottom w:w="0" w:type="dxa"/>
              <w:right w:w="108" w:type="dxa"/>
            </w:tcMar>
          </w:tcPr>
          <w:p w14:paraId="369889FD" w14:textId="339524BC" w:rsidR="007C5792" w:rsidRPr="00124D03" w:rsidRDefault="007C5792" w:rsidP="007C5792">
            <w:pPr>
              <w:jc w:val="right"/>
              <w:rPr>
                <w:b/>
                <w:bCs/>
                <w:sz w:val="20"/>
                <w:szCs w:val="20"/>
                <w:lang w:val="fr-FR"/>
              </w:rPr>
            </w:pPr>
            <w:r w:rsidRPr="00124D03">
              <w:rPr>
                <w:b/>
                <w:bCs/>
                <w:sz w:val="20"/>
                <w:szCs w:val="20"/>
                <w:lang w:val="fr-FR"/>
              </w:rPr>
              <w:t>70</w:t>
            </w:r>
            <w:r w:rsidR="00132CD2">
              <w:rPr>
                <w:b/>
                <w:bCs/>
                <w:sz w:val="20"/>
                <w:szCs w:val="20"/>
                <w:lang w:val="fr-FR"/>
              </w:rPr>
              <w:t> </w:t>
            </w:r>
            <w:r w:rsidRPr="00124D03">
              <w:rPr>
                <w:b/>
                <w:bCs/>
                <w:sz w:val="20"/>
                <w:szCs w:val="20"/>
                <w:lang w:val="fr-FR"/>
              </w:rPr>
              <w:t>928</w:t>
            </w:r>
          </w:p>
        </w:tc>
        <w:tc>
          <w:tcPr>
            <w:tcW w:w="483" w:type="pct"/>
            <w:gridSpan w:val="3"/>
            <w:tcBorders>
              <w:top w:val="single" w:sz="4" w:space="0" w:color="auto"/>
              <w:bottom w:val="single" w:sz="8" w:space="0" w:color="auto"/>
            </w:tcBorders>
            <w:noWrap/>
            <w:tcMar>
              <w:top w:w="0" w:type="dxa"/>
              <w:left w:w="108" w:type="dxa"/>
              <w:bottom w:w="0" w:type="dxa"/>
              <w:right w:w="108" w:type="dxa"/>
            </w:tcMar>
          </w:tcPr>
          <w:p w14:paraId="14F29291" w14:textId="041AE9F7" w:rsidR="007C5792" w:rsidRPr="00124D03" w:rsidRDefault="007C5792" w:rsidP="007C5792">
            <w:pPr>
              <w:ind w:right="-22"/>
              <w:jc w:val="right"/>
              <w:rPr>
                <w:b/>
                <w:bCs/>
                <w:sz w:val="20"/>
                <w:szCs w:val="20"/>
                <w:lang w:val="fr-FR"/>
              </w:rPr>
            </w:pPr>
            <w:r w:rsidRPr="00124D03">
              <w:rPr>
                <w:b/>
                <w:bCs/>
                <w:sz w:val="20"/>
                <w:szCs w:val="20"/>
                <w:lang w:val="fr-FR"/>
              </w:rPr>
              <w:t>616</w:t>
            </w:r>
            <w:r w:rsidR="00132CD2">
              <w:rPr>
                <w:b/>
                <w:bCs/>
                <w:sz w:val="20"/>
                <w:szCs w:val="20"/>
                <w:lang w:val="fr-FR"/>
              </w:rPr>
              <w:t> </w:t>
            </w:r>
            <w:r w:rsidRPr="00124D03">
              <w:rPr>
                <w:b/>
                <w:bCs/>
                <w:sz w:val="20"/>
                <w:szCs w:val="20"/>
                <w:lang w:val="fr-FR"/>
              </w:rPr>
              <w:t>528</w:t>
            </w:r>
          </w:p>
        </w:tc>
      </w:tr>
    </w:tbl>
    <w:bookmarkEnd w:id="4"/>
    <w:p w14:paraId="098CED7D" w14:textId="77777777" w:rsidR="00C47B9A" w:rsidRPr="00282C6C" w:rsidRDefault="00C47B9A" w:rsidP="00C47B9A">
      <w:pPr>
        <w:spacing w:before="120"/>
        <w:ind w:firstLine="567"/>
        <w:rPr>
          <w:sz w:val="18"/>
          <w:szCs w:val="18"/>
          <w:lang w:val="fr-FR"/>
        </w:rPr>
      </w:pPr>
      <w:r w:rsidRPr="00282C6C">
        <w:rPr>
          <w:i/>
          <w:iCs/>
          <w:sz w:val="18"/>
          <w:szCs w:val="18"/>
          <w:lang w:val="fr-FR"/>
        </w:rPr>
        <w:t xml:space="preserve">Abréviations : </w:t>
      </w:r>
      <w:r w:rsidRPr="00282C6C">
        <w:rPr>
          <w:sz w:val="18"/>
          <w:szCs w:val="18"/>
          <w:lang w:val="fr-FR"/>
        </w:rPr>
        <w:t>DAP, dépenses d’appui au programme ; Par., paragraphe du projet de décision.</w:t>
      </w:r>
    </w:p>
    <w:p w14:paraId="7E7F7A9F" w14:textId="77777777" w:rsidR="00C47B9A" w:rsidRDefault="00C47B9A" w:rsidP="00C47B9A">
      <w:pPr>
        <w:tabs>
          <w:tab w:val="left" w:pos="851"/>
        </w:tabs>
        <w:ind w:firstLine="567"/>
        <w:rPr>
          <w:sz w:val="18"/>
          <w:szCs w:val="18"/>
          <w:lang w:val="fr-FR"/>
        </w:rPr>
      </w:pPr>
      <w:proofErr w:type="gramStart"/>
      <w:r w:rsidRPr="00121C66">
        <w:rPr>
          <w:i/>
          <w:iCs/>
          <w:sz w:val="18"/>
          <w:szCs w:val="18"/>
          <w:vertAlign w:val="superscript"/>
          <w:lang w:val="fr-FR"/>
        </w:rPr>
        <w:t>a</w:t>
      </w:r>
      <w:proofErr w:type="gramEnd"/>
      <w:r>
        <w:rPr>
          <w:sz w:val="18"/>
          <w:szCs w:val="18"/>
          <w:lang w:val="fr-FR"/>
        </w:rPr>
        <w:tab/>
      </w:r>
      <w:r>
        <w:rPr>
          <w:sz w:val="18"/>
          <w:szCs w:val="18"/>
          <w:lang w:val="fr-FR"/>
        </w:rPr>
        <w:tab/>
      </w:r>
      <w:r w:rsidRPr="00282C6C">
        <w:rPr>
          <w:sz w:val="18"/>
          <w:szCs w:val="18"/>
          <w:lang w:val="fr-FR"/>
        </w:rPr>
        <w:t>Y compris les dépenses liées au déplacement des participants</w:t>
      </w:r>
      <w:r w:rsidRPr="00121C66">
        <w:rPr>
          <w:sz w:val="18"/>
          <w:szCs w:val="18"/>
          <w:lang w:val="fr-FR"/>
        </w:rPr>
        <w:t>.</w:t>
      </w:r>
    </w:p>
    <w:p w14:paraId="7B901806" w14:textId="77777777" w:rsidR="00C47B9A" w:rsidRPr="00121C66" w:rsidRDefault="00C47B9A" w:rsidP="00C47B9A">
      <w:pPr>
        <w:ind w:firstLine="567"/>
        <w:rPr>
          <w:sz w:val="18"/>
          <w:szCs w:val="18"/>
          <w:lang w:val="fr-FR"/>
        </w:rPr>
      </w:pPr>
      <w:proofErr w:type="gramStart"/>
      <w:r w:rsidRPr="00282C6C">
        <w:rPr>
          <w:i/>
          <w:iCs/>
          <w:sz w:val="18"/>
          <w:szCs w:val="18"/>
          <w:vertAlign w:val="superscript"/>
          <w:lang w:val="fr-FR"/>
        </w:rPr>
        <w:t>b</w:t>
      </w:r>
      <w:proofErr w:type="gramEnd"/>
      <w:r>
        <w:rPr>
          <w:sz w:val="18"/>
          <w:szCs w:val="18"/>
          <w:lang w:val="fr-FR"/>
        </w:rPr>
        <w:tab/>
      </w:r>
      <w:r w:rsidRPr="00282C6C">
        <w:rPr>
          <w:sz w:val="18"/>
          <w:szCs w:val="18"/>
          <w:lang w:val="fr-FR"/>
        </w:rPr>
        <w:t xml:space="preserve">Consultants, partenaires et personnel supplémentaire.   </w:t>
      </w:r>
    </w:p>
    <w:p w14:paraId="3E5CDF31" w14:textId="50591F83" w:rsidR="00AB60EF" w:rsidRPr="00124D03" w:rsidRDefault="008051C2" w:rsidP="006B144A">
      <w:pPr>
        <w:pStyle w:val="Para1"/>
        <w:numPr>
          <w:ilvl w:val="0"/>
          <w:numId w:val="0"/>
        </w:numPr>
        <w:ind w:left="567"/>
        <w:jc w:val="center"/>
        <w:rPr>
          <w:bCs/>
          <w:caps/>
          <w:kern w:val="22"/>
          <w:lang w:val="fr-FR"/>
        </w:rPr>
      </w:pPr>
      <w:r w:rsidRPr="00124D03">
        <w:rPr>
          <w:lang w:val="fr-FR"/>
        </w:rPr>
        <w:t>__________</w:t>
      </w:r>
    </w:p>
    <w:sectPr w:rsidR="00AB60EF" w:rsidRPr="00124D03" w:rsidSect="006B144A">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921A" w14:textId="77777777" w:rsidR="00017C22" w:rsidRPr="00E561C8" w:rsidRDefault="00017C22" w:rsidP="00A96B21">
      <w:r w:rsidRPr="00E561C8">
        <w:separator/>
      </w:r>
    </w:p>
  </w:endnote>
  <w:endnote w:type="continuationSeparator" w:id="0">
    <w:p w14:paraId="2B02EF8B" w14:textId="77777777" w:rsidR="00017C22" w:rsidRPr="00E561C8" w:rsidRDefault="00017C22" w:rsidP="00A96B21">
      <w:r w:rsidRPr="00E561C8">
        <w:continuationSeparator/>
      </w:r>
    </w:p>
  </w:endnote>
  <w:endnote w:type="continuationNotice" w:id="1">
    <w:p w14:paraId="341072C4" w14:textId="77777777" w:rsidR="00017C22" w:rsidRPr="00E561C8" w:rsidRDefault="00017C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0DDA7" w14:textId="77777777" w:rsidR="00017C22" w:rsidRPr="00E561C8" w:rsidRDefault="00017C22" w:rsidP="00A96B21">
      <w:r w:rsidRPr="00E561C8">
        <w:separator/>
      </w:r>
    </w:p>
  </w:footnote>
  <w:footnote w:type="continuationSeparator" w:id="0">
    <w:p w14:paraId="341D9D9D" w14:textId="77777777" w:rsidR="00017C22" w:rsidRPr="00E561C8" w:rsidRDefault="00017C22" w:rsidP="00A96B21">
      <w:r w:rsidRPr="00E561C8">
        <w:continuationSeparator/>
      </w:r>
    </w:p>
  </w:footnote>
  <w:footnote w:type="continuationNotice" w:id="1">
    <w:p w14:paraId="48362EE7" w14:textId="77777777" w:rsidR="00017C22" w:rsidRPr="00E561C8" w:rsidRDefault="00017C22"/>
  </w:footnote>
  <w:footnote w:id="2">
    <w:p w14:paraId="01B78C8A" w14:textId="5ED5986D" w:rsidR="00446CD2" w:rsidRPr="00C66455" w:rsidRDefault="00446CD2">
      <w:pPr>
        <w:pStyle w:val="FootnoteText"/>
        <w:rPr>
          <w:lang w:val="fr-FR"/>
        </w:rPr>
      </w:pPr>
      <w:r w:rsidRPr="00C66455">
        <w:rPr>
          <w:rStyle w:val="FootnoteReference"/>
          <w:lang w:val="fr-FR"/>
        </w:rPr>
        <w:t>*</w:t>
      </w:r>
      <w:r w:rsidRPr="00C66455">
        <w:rPr>
          <w:lang w:val="fr-FR"/>
        </w:rPr>
        <w:t xml:space="preserve"> </w:t>
      </w:r>
      <w:hyperlink r:id="rId1" w:history="1">
        <w:r w:rsidRPr="00C66455">
          <w:rPr>
            <w:rStyle w:val="Hyperlink"/>
            <w:lang w:val="fr-FR"/>
          </w:rPr>
          <w:t>CBD/SBI/7/1</w:t>
        </w:r>
      </w:hyperlink>
      <w:r w:rsidRPr="00C66455">
        <w:rPr>
          <w:lang w:val="fr-FR"/>
        </w:rPr>
        <w:t>.</w:t>
      </w:r>
    </w:p>
  </w:footnote>
  <w:footnote w:id="3">
    <w:p w14:paraId="7CF59A12" w14:textId="16B5AFA8" w:rsidR="00651EA2" w:rsidRPr="00C66455" w:rsidRDefault="00651EA2">
      <w:pPr>
        <w:pStyle w:val="FootnoteText"/>
        <w:rPr>
          <w:lang w:val="fr-FR"/>
        </w:rPr>
      </w:pPr>
      <w:r w:rsidRPr="00C66455">
        <w:rPr>
          <w:rStyle w:val="FootnoteReference"/>
          <w:lang w:val="fr-FR"/>
        </w:rPr>
        <w:t>**</w:t>
      </w:r>
      <w:r w:rsidRPr="00C66455">
        <w:rPr>
          <w:lang w:val="fr-FR"/>
        </w:rPr>
        <w:t xml:space="preserve"> </w:t>
      </w:r>
      <w:r w:rsidR="00AF3846" w:rsidRPr="00C66455">
        <w:rPr>
          <w:lang w:val="fr-FR"/>
        </w:rPr>
        <w:t>Le présent document n’a pas fait l’objet d’une relecture par les services d’édition, exception faite des projets de décisions à la section III.</w:t>
      </w:r>
    </w:p>
  </w:footnote>
  <w:footnote w:id="4">
    <w:p w14:paraId="5B58FA91" w14:textId="378123CA" w:rsidR="009D390F" w:rsidRPr="00C66455" w:rsidRDefault="009D390F" w:rsidP="009D390F">
      <w:pPr>
        <w:pStyle w:val="FootnoteText"/>
        <w:rPr>
          <w:lang w:val="fr-FR"/>
        </w:rPr>
      </w:pPr>
      <w:r w:rsidRPr="00C66455">
        <w:rPr>
          <w:rStyle w:val="FootnoteReference"/>
          <w:lang w:val="fr-FR"/>
        </w:rPr>
        <w:footnoteRef/>
      </w:r>
      <w:r w:rsidRPr="00C66455">
        <w:rPr>
          <w:lang w:val="fr-FR"/>
        </w:rPr>
        <w:t xml:space="preserve"> </w:t>
      </w:r>
      <w:r w:rsidR="001A66F6">
        <w:rPr>
          <w:lang w:val="fr-FR"/>
        </w:rPr>
        <w:t>Conformément à la répartition des éléments définie dans les documents</w:t>
      </w:r>
      <w:r w:rsidR="00132CD2">
        <w:rPr>
          <w:lang w:val="fr-FR"/>
        </w:rPr>
        <w:t> </w:t>
      </w:r>
      <w:hyperlink r:id="rId2" w:history="1">
        <w:r w:rsidRPr="00C66455">
          <w:rPr>
            <w:rStyle w:val="Hyperlink"/>
            <w:lang w:val="fr-FR"/>
          </w:rPr>
          <w:t>CBD/NP/CC/5/4</w:t>
        </w:r>
      </w:hyperlink>
      <w:r w:rsidRPr="00C66455">
        <w:rPr>
          <w:lang w:val="fr-FR"/>
        </w:rPr>
        <w:t xml:space="preserve"> </w:t>
      </w:r>
      <w:r w:rsidR="001A66F6">
        <w:rPr>
          <w:lang w:val="fr-FR"/>
        </w:rPr>
        <w:t>et</w:t>
      </w:r>
      <w:r w:rsidRPr="00C66455">
        <w:rPr>
          <w:lang w:val="fr-FR"/>
        </w:rPr>
        <w:t xml:space="preserve"> </w:t>
      </w:r>
      <w:r>
        <w:fldChar w:fldCharType="begin"/>
      </w:r>
      <w:r w:rsidRPr="0096543B">
        <w:rPr>
          <w:lang w:val="fr-CA"/>
        </w:rPr>
        <w:instrText>HYPERLINK "https://www.cbd.int/documents/CBD/NP/CB-IAC/2026/1/2"</w:instrText>
      </w:r>
      <w:r>
        <w:fldChar w:fldCharType="separate"/>
      </w:r>
      <w:r w:rsidRPr="00C66455">
        <w:rPr>
          <w:rStyle w:val="Hyperlink"/>
          <w:lang w:val="fr-FR"/>
        </w:rPr>
        <w:t>CBD/NP/CB-IAC/2026/1/2</w:t>
      </w:r>
      <w:r>
        <w:fldChar w:fldCharType="end"/>
      </w:r>
      <w:r w:rsidR="005741C1" w:rsidRPr="00C66455">
        <w:rPr>
          <w:lang w:val="fr-FR"/>
        </w:rPr>
        <w:t>.</w:t>
      </w:r>
    </w:p>
  </w:footnote>
  <w:footnote w:id="5">
    <w:p w14:paraId="75483B0F" w14:textId="77777777" w:rsidR="00665AB5" w:rsidRPr="00C66455" w:rsidRDefault="00665AB5" w:rsidP="00665AB5">
      <w:pPr>
        <w:pStyle w:val="FootnoteText"/>
        <w:rPr>
          <w:szCs w:val="18"/>
          <w:lang w:val="fr-FR"/>
        </w:rPr>
      </w:pPr>
      <w:r w:rsidRPr="00C66455">
        <w:rPr>
          <w:rStyle w:val="FootnoteReference"/>
          <w:szCs w:val="18"/>
          <w:lang w:val="fr-FR"/>
        </w:rPr>
        <w:footnoteRef/>
      </w:r>
      <w:r w:rsidRPr="00C66455">
        <w:rPr>
          <w:szCs w:val="18"/>
          <w:lang w:val="fr-FR"/>
        </w:rPr>
        <w:t xml:space="preserve"> </w:t>
      </w:r>
      <w:hyperlink r:id="rId3" w:history="1">
        <w:r w:rsidRPr="00C66455">
          <w:rPr>
            <w:rStyle w:val="Hyperlink"/>
            <w:szCs w:val="18"/>
            <w:lang w:val="fr-FR"/>
          </w:rPr>
          <w:t>CBD/SBI/7/INF/2</w:t>
        </w:r>
      </w:hyperlink>
      <w:r w:rsidRPr="00C66455">
        <w:rPr>
          <w:lang w:val="fr-FR"/>
        </w:rPr>
        <w:t>.</w:t>
      </w:r>
    </w:p>
  </w:footnote>
  <w:footnote w:id="6">
    <w:p w14:paraId="6F0EAC54" w14:textId="2D6245C7" w:rsidR="00665AB5" w:rsidRPr="00C66455" w:rsidRDefault="00665AB5" w:rsidP="00665AB5">
      <w:pPr>
        <w:pStyle w:val="FootnoteText"/>
        <w:rPr>
          <w:szCs w:val="18"/>
          <w:lang w:val="fr-FR"/>
        </w:rPr>
      </w:pPr>
      <w:r w:rsidRPr="00C66455">
        <w:rPr>
          <w:rStyle w:val="FootnoteReference"/>
          <w:szCs w:val="18"/>
          <w:lang w:val="fr-FR"/>
        </w:rPr>
        <w:footnoteRef/>
      </w:r>
      <w:r w:rsidRPr="00C66455">
        <w:rPr>
          <w:szCs w:val="18"/>
          <w:lang w:val="fr-FR"/>
        </w:rPr>
        <w:t xml:space="preserve"> </w:t>
      </w:r>
      <w:hyperlink r:id="rId4" w:history="1">
        <w:r w:rsidR="000E0531" w:rsidRPr="00C66455">
          <w:rPr>
            <w:rStyle w:val="Hyperlink"/>
            <w:szCs w:val="18"/>
            <w:lang w:val="fr-FR"/>
          </w:rPr>
          <w:t>CBD/SBI/7/INF/3</w:t>
        </w:r>
        <w:r w:rsidR="000E0531" w:rsidRPr="00C66455">
          <w:rPr>
            <w:rStyle w:val="Hyperlink"/>
            <w:lang w:val="fr-FR"/>
          </w:rPr>
          <w:t>/Rev.1</w:t>
        </w:r>
      </w:hyperlink>
      <w:r w:rsidR="005741C1" w:rsidRPr="00C66455">
        <w:rPr>
          <w:lang w:val="fr-FR"/>
        </w:rPr>
        <w:t>.</w:t>
      </w:r>
    </w:p>
  </w:footnote>
  <w:footnote w:id="7">
    <w:p w14:paraId="20F5F25A" w14:textId="77777777" w:rsidR="00665AB5" w:rsidRPr="00C66455" w:rsidRDefault="00665AB5" w:rsidP="00665AB5">
      <w:pPr>
        <w:pStyle w:val="FootnoteText"/>
        <w:rPr>
          <w:szCs w:val="18"/>
          <w:lang w:val="fr-FR"/>
        </w:rPr>
      </w:pPr>
      <w:r w:rsidRPr="00C66455">
        <w:rPr>
          <w:rStyle w:val="FootnoteReference"/>
          <w:szCs w:val="18"/>
          <w:lang w:val="fr-FR"/>
        </w:rPr>
        <w:footnoteRef/>
      </w:r>
      <w:r w:rsidRPr="00C66455">
        <w:rPr>
          <w:szCs w:val="18"/>
          <w:lang w:val="fr-FR"/>
        </w:rPr>
        <w:t xml:space="preserve"> </w:t>
      </w:r>
      <w:hyperlink r:id="rId5" w:history="1">
        <w:r w:rsidRPr="00C66455">
          <w:rPr>
            <w:rStyle w:val="Hyperlink"/>
            <w:szCs w:val="18"/>
            <w:lang w:val="fr-FR"/>
          </w:rPr>
          <w:t>CBD/SBI/7/INF/4</w:t>
        </w:r>
      </w:hyperlink>
      <w:r w:rsidRPr="00C66455">
        <w:rPr>
          <w:lang w:val="fr-FR"/>
        </w:rPr>
        <w:t>.</w:t>
      </w:r>
    </w:p>
  </w:footnote>
  <w:footnote w:id="8">
    <w:p w14:paraId="165F2676" w14:textId="77777777" w:rsidR="00665AB5" w:rsidRPr="00C66455" w:rsidRDefault="00665AB5" w:rsidP="00665AB5">
      <w:pPr>
        <w:pStyle w:val="FootnoteText"/>
        <w:rPr>
          <w:szCs w:val="18"/>
          <w:lang w:val="fr-FR"/>
        </w:rPr>
      </w:pPr>
      <w:r w:rsidRPr="00C66455">
        <w:rPr>
          <w:rStyle w:val="FootnoteReference"/>
          <w:szCs w:val="18"/>
          <w:lang w:val="fr-FR"/>
        </w:rPr>
        <w:footnoteRef/>
      </w:r>
      <w:r w:rsidRPr="00C66455">
        <w:rPr>
          <w:szCs w:val="18"/>
          <w:lang w:val="fr-FR"/>
        </w:rPr>
        <w:t xml:space="preserve"> </w:t>
      </w:r>
      <w:hyperlink r:id="rId6" w:history="1">
        <w:r w:rsidRPr="00C66455">
          <w:rPr>
            <w:rStyle w:val="Hyperlink"/>
            <w:szCs w:val="18"/>
            <w:lang w:val="fr-FR"/>
          </w:rPr>
          <w:t>CBD/SBI/7/INF/5</w:t>
        </w:r>
      </w:hyperlink>
      <w:r w:rsidRPr="00C66455">
        <w:rPr>
          <w:lang w:val="fr-FR"/>
        </w:rPr>
        <w:t>.</w:t>
      </w:r>
    </w:p>
  </w:footnote>
  <w:footnote w:id="9">
    <w:p w14:paraId="5B534672" w14:textId="77777777" w:rsidR="00665AB5" w:rsidRPr="00C66455" w:rsidRDefault="00665AB5" w:rsidP="00665AB5">
      <w:pPr>
        <w:pStyle w:val="FootnoteText"/>
        <w:rPr>
          <w:szCs w:val="18"/>
          <w:lang w:val="fr-FR"/>
        </w:rPr>
      </w:pPr>
      <w:r w:rsidRPr="00C66455">
        <w:rPr>
          <w:rStyle w:val="FootnoteReference"/>
          <w:szCs w:val="18"/>
          <w:lang w:val="fr-FR"/>
        </w:rPr>
        <w:footnoteRef/>
      </w:r>
      <w:r w:rsidRPr="00C66455">
        <w:rPr>
          <w:szCs w:val="18"/>
          <w:lang w:val="fr-FR"/>
        </w:rPr>
        <w:t xml:space="preserve"> </w:t>
      </w:r>
      <w:hyperlink r:id="rId7" w:history="1">
        <w:r w:rsidRPr="00C66455">
          <w:rPr>
            <w:rStyle w:val="Hyperlink"/>
            <w:szCs w:val="18"/>
            <w:lang w:val="fr-FR"/>
          </w:rPr>
          <w:t>CBD/SBI/7/INF/6</w:t>
        </w:r>
      </w:hyperlink>
      <w:r w:rsidRPr="00C66455">
        <w:rPr>
          <w:lang w:val="fr-FR"/>
        </w:rPr>
        <w:t>.</w:t>
      </w:r>
    </w:p>
  </w:footnote>
  <w:footnote w:id="10">
    <w:p w14:paraId="24C26B7E" w14:textId="77777777" w:rsidR="00665AB5" w:rsidRPr="00C66455" w:rsidRDefault="00665AB5" w:rsidP="00665AB5">
      <w:pPr>
        <w:pStyle w:val="FootnoteText"/>
        <w:rPr>
          <w:lang w:val="fr-FR"/>
        </w:rPr>
      </w:pPr>
      <w:r w:rsidRPr="00C66455">
        <w:rPr>
          <w:rStyle w:val="FootnoteReference"/>
          <w:szCs w:val="18"/>
          <w:lang w:val="fr-FR"/>
        </w:rPr>
        <w:footnoteRef/>
      </w:r>
      <w:r w:rsidRPr="00C66455">
        <w:rPr>
          <w:szCs w:val="18"/>
          <w:lang w:val="fr-FR"/>
        </w:rPr>
        <w:t xml:space="preserve"> </w:t>
      </w:r>
      <w:hyperlink r:id="rId8" w:history="1">
        <w:r w:rsidRPr="00C66455">
          <w:rPr>
            <w:rStyle w:val="Hyperlink"/>
            <w:szCs w:val="18"/>
            <w:lang w:val="fr-FR"/>
          </w:rPr>
          <w:t>CBD/SBI/7/INF/7</w:t>
        </w:r>
      </w:hyperlink>
      <w:r w:rsidRPr="00C66455">
        <w:rPr>
          <w:lang w:val="fr-FR"/>
        </w:rPr>
        <w:t>.</w:t>
      </w:r>
    </w:p>
  </w:footnote>
  <w:footnote w:id="11">
    <w:p w14:paraId="70CD3B21" w14:textId="22901B55" w:rsidR="00FB3B8F" w:rsidRPr="00C66455" w:rsidRDefault="00FB3B8F" w:rsidP="00FB3B8F">
      <w:pPr>
        <w:pStyle w:val="FootnoteText"/>
        <w:rPr>
          <w:lang w:val="fr-FR"/>
        </w:rPr>
      </w:pPr>
      <w:r w:rsidRPr="00C66455">
        <w:rPr>
          <w:rStyle w:val="FootnoteReference"/>
          <w:lang w:val="fr-FR"/>
        </w:rPr>
        <w:footnoteRef/>
      </w:r>
      <w:r w:rsidRPr="00C66455">
        <w:rPr>
          <w:lang w:val="fr-FR"/>
        </w:rPr>
        <w:t xml:space="preserve"> </w:t>
      </w:r>
      <w:r w:rsidR="00FC2AC1" w:rsidRPr="00C66455">
        <w:rPr>
          <w:lang w:val="fr-FR"/>
        </w:rPr>
        <w:t>CBD/NP/CC/5/5-CBD/NP/MOP/6/3</w:t>
      </w:r>
      <w:r w:rsidR="00FB1359" w:rsidRPr="00C66455">
        <w:rPr>
          <w:lang w:val="fr-FR"/>
        </w:rPr>
        <w:t xml:space="preserve"> </w:t>
      </w:r>
      <w:r w:rsidR="00C66455">
        <w:rPr>
          <w:lang w:val="fr-FR"/>
        </w:rPr>
        <w:t>et</w:t>
      </w:r>
      <w:r w:rsidR="000A22C3" w:rsidRPr="00C66455">
        <w:rPr>
          <w:lang w:val="fr-FR"/>
        </w:rPr>
        <w:t xml:space="preserve"> </w:t>
      </w:r>
      <w:r w:rsidR="00DF4B92" w:rsidRPr="00C66455">
        <w:rPr>
          <w:lang w:val="fr-FR"/>
        </w:rPr>
        <w:t>CBD/NP/CB-IAC/2026/1/4</w:t>
      </w:r>
      <w:r w:rsidR="00407EB7" w:rsidRPr="00C66455">
        <w:rPr>
          <w:lang w:val="fr-FR"/>
        </w:rPr>
        <w:t>,</w:t>
      </w:r>
      <w:r w:rsidRPr="00C66455">
        <w:rPr>
          <w:lang w:val="fr-FR"/>
        </w:rPr>
        <w:t xml:space="preserve"> </w:t>
      </w:r>
      <w:r w:rsidR="00C66455">
        <w:rPr>
          <w:lang w:val="fr-FR"/>
        </w:rPr>
        <w:t>respectivement</w:t>
      </w:r>
      <w:r w:rsidRPr="00C66455">
        <w:rPr>
          <w:lang w:val="fr-FR"/>
        </w:rPr>
        <w:t>.</w:t>
      </w:r>
    </w:p>
  </w:footnote>
  <w:footnote w:id="12">
    <w:p w14:paraId="791F8DA3" w14:textId="788EE402" w:rsidR="007B3888" w:rsidRPr="00C66455" w:rsidRDefault="007B3888" w:rsidP="007B3888">
      <w:pPr>
        <w:pStyle w:val="FootnoteText"/>
        <w:rPr>
          <w:lang w:val="fr-FR"/>
        </w:rPr>
      </w:pPr>
      <w:r w:rsidRPr="00C66455">
        <w:rPr>
          <w:rStyle w:val="FootnoteReference"/>
          <w:lang w:val="fr-FR"/>
        </w:rPr>
        <w:footnoteRef/>
      </w:r>
      <w:r w:rsidRPr="00C66455">
        <w:rPr>
          <w:lang w:val="fr-FR"/>
        </w:rPr>
        <w:t xml:space="preserve"> </w:t>
      </w:r>
      <w:r w:rsidR="001A66F6">
        <w:rPr>
          <w:lang w:val="fr-FR"/>
        </w:rPr>
        <w:t xml:space="preserve">Conformément à l’ordre du jour provisoire de la sixième réunion de la Conférence des Parties siégeant en tant que réunion des Parties au Protocole de Nagoya </w:t>
      </w:r>
      <w:r w:rsidR="0084188D" w:rsidRPr="00C66455">
        <w:rPr>
          <w:lang w:val="fr-FR"/>
        </w:rPr>
        <w:t>(</w:t>
      </w:r>
      <w:hyperlink r:id="rId9" w:history="1">
        <w:r w:rsidRPr="00C66455">
          <w:rPr>
            <w:rStyle w:val="Hyperlink"/>
            <w:lang w:val="fr-FR"/>
          </w:rPr>
          <w:t>CBD/NP/MOP/6/1</w:t>
        </w:r>
      </w:hyperlink>
      <w:r w:rsidR="0084188D" w:rsidRPr="00C66455">
        <w:rPr>
          <w:lang w:val="fr-FR"/>
        </w:rPr>
        <w:t>).</w:t>
      </w:r>
    </w:p>
  </w:footnote>
  <w:footnote w:id="13">
    <w:p w14:paraId="3C3C58E5" w14:textId="0196596A" w:rsidR="00666A73" w:rsidRPr="00C66455" w:rsidRDefault="00666A73" w:rsidP="00B614FF">
      <w:pPr>
        <w:pStyle w:val="FootnoteText"/>
        <w:rPr>
          <w:lang w:val="fr-FR"/>
        </w:rPr>
      </w:pPr>
      <w:r w:rsidRPr="00C66455">
        <w:rPr>
          <w:rStyle w:val="FootnoteReference"/>
          <w:lang w:val="fr-FR"/>
        </w:rPr>
        <w:footnoteRef/>
      </w:r>
      <w:r w:rsidRPr="00C66455">
        <w:rPr>
          <w:lang w:val="fr-FR"/>
        </w:rPr>
        <w:t xml:space="preserve"> </w:t>
      </w:r>
      <w:r w:rsidR="00E65FA9">
        <w:rPr>
          <w:lang w:val="fr-FR"/>
        </w:rPr>
        <w:t>Point</w:t>
      </w:r>
      <w:r w:rsidR="00E65FA9" w:rsidRPr="00C66455">
        <w:rPr>
          <w:lang w:val="fr-FR"/>
        </w:rPr>
        <w:t> </w:t>
      </w:r>
      <w:r w:rsidR="00E65FA9">
        <w:rPr>
          <w:lang w:val="fr-FR"/>
        </w:rPr>
        <w:t>8</w:t>
      </w:r>
      <w:r w:rsidR="00E65FA9" w:rsidRPr="00C66455">
        <w:rPr>
          <w:lang w:val="fr-FR"/>
        </w:rPr>
        <w:t xml:space="preserve"> </w:t>
      </w:r>
      <w:r w:rsidR="00E65FA9">
        <w:rPr>
          <w:lang w:val="fr-FR"/>
        </w:rPr>
        <w:t>de l’ordre du jour provisoire de la sixième réunion de la Conférence des Parties siégeant en tant que réunion des Parties au Protocole de Nagoya.</w:t>
      </w:r>
    </w:p>
  </w:footnote>
  <w:footnote w:id="14">
    <w:p w14:paraId="64F8A440" w14:textId="17AA9884" w:rsidR="00102565" w:rsidRPr="00C66455" w:rsidRDefault="00102565" w:rsidP="00102565">
      <w:pPr>
        <w:pStyle w:val="FootnoteText"/>
        <w:rPr>
          <w:lang w:val="fr-FR"/>
        </w:rPr>
      </w:pPr>
      <w:r w:rsidRPr="00C66455">
        <w:rPr>
          <w:rStyle w:val="FootnoteReference"/>
          <w:lang w:val="fr-FR"/>
        </w:rPr>
        <w:footnoteRef/>
      </w:r>
      <w:r w:rsidRPr="00C66455">
        <w:rPr>
          <w:lang w:val="fr-FR"/>
        </w:rPr>
        <w:t xml:space="preserve"> </w:t>
      </w:r>
      <w:r w:rsidR="002613C9">
        <w:rPr>
          <w:lang w:val="fr-FR"/>
        </w:rPr>
        <w:t>Nations Unies</w:t>
      </w:r>
      <w:r w:rsidR="002613C9" w:rsidRPr="00114478">
        <w:rPr>
          <w:lang w:val="fr-FR"/>
        </w:rPr>
        <w:t xml:space="preserve">, </w:t>
      </w:r>
      <w:r w:rsidR="002613C9">
        <w:rPr>
          <w:i/>
          <w:iCs/>
          <w:lang w:val="fr-FR"/>
        </w:rPr>
        <w:t>Recueil des Traités</w:t>
      </w:r>
      <w:r w:rsidR="002613C9" w:rsidRPr="00114478">
        <w:rPr>
          <w:lang w:val="fr-FR"/>
        </w:rPr>
        <w:t xml:space="preserve">, </w:t>
      </w:r>
      <w:r w:rsidRPr="00C66455">
        <w:rPr>
          <w:lang w:val="fr-FR"/>
        </w:rPr>
        <w:t>vol.</w:t>
      </w:r>
      <w:r w:rsidR="00132CD2">
        <w:rPr>
          <w:lang w:val="fr-FR"/>
        </w:rPr>
        <w:t> </w:t>
      </w:r>
      <w:r w:rsidRPr="00C66455">
        <w:rPr>
          <w:lang w:val="fr-FR"/>
        </w:rPr>
        <w:t xml:space="preserve">3008, </w:t>
      </w:r>
      <w:r w:rsidR="002613C9">
        <w:rPr>
          <w:lang w:val="fr-FR"/>
        </w:rPr>
        <w:t>n</w:t>
      </w:r>
      <w:r w:rsidR="002613C9">
        <w:rPr>
          <w:vertAlign w:val="superscript"/>
          <w:lang w:val="fr-FR"/>
        </w:rPr>
        <w:t>o</w:t>
      </w:r>
      <w:r w:rsidR="002613C9">
        <w:rPr>
          <w:lang w:val="fr-FR"/>
        </w:rPr>
        <w:t> </w:t>
      </w:r>
      <w:r w:rsidRPr="00C66455">
        <w:rPr>
          <w:lang w:val="fr-FR"/>
        </w:rPr>
        <w:t>30619.</w:t>
      </w:r>
    </w:p>
  </w:footnote>
  <w:footnote w:id="15">
    <w:p w14:paraId="590342FA" w14:textId="76CC7104" w:rsidR="0021393F" w:rsidRPr="00C66455" w:rsidRDefault="0021393F">
      <w:pPr>
        <w:pStyle w:val="FootnoteText"/>
        <w:rPr>
          <w:lang w:val="fr-FR"/>
        </w:rPr>
      </w:pPr>
      <w:r w:rsidRPr="00C66455">
        <w:rPr>
          <w:rStyle w:val="FootnoteReference"/>
          <w:lang w:val="fr-FR"/>
        </w:rPr>
        <w:footnoteRef/>
      </w:r>
      <w:r w:rsidRPr="00C66455">
        <w:rPr>
          <w:lang w:val="fr-FR"/>
        </w:rPr>
        <w:t xml:space="preserve"> </w:t>
      </w:r>
      <w:r w:rsidR="002613C9">
        <w:rPr>
          <w:lang w:val="fr-FR"/>
        </w:rPr>
        <w:t>Voir</w:t>
      </w:r>
      <w:r w:rsidR="002A28B7" w:rsidRPr="00C66455">
        <w:rPr>
          <w:lang w:val="fr-FR"/>
        </w:rPr>
        <w:t xml:space="preserve"> </w:t>
      </w:r>
      <w:r w:rsidR="006E5C92" w:rsidRPr="00C66455">
        <w:rPr>
          <w:lang w:val="fr-FR"/>
        </w:rPr>
        <w:t>CBD/NP/MOP/6/3</w:t>
      </w:r>
      <w:r w:rsidR="00570927" w:rsidRPr="00C66455">
        <w:rPr>
          <w:lang w:val="fr-FR"/>
        </w:rPr>
        <w:t xml:space="preserve"> </w:t>
      </w:r>
      <w:r w:rsidR="002613C9">
        <w:rPr>
          <w:lang w:val="fr-FR"/>
        </w:rPr>
        <w:t>et</w:t>
      </w:r>
      <w:r w:rsidR="00570927" w:rsidRPr="00C66455">
        <w:rPr>
          <w:lang w:val="fr-FR"/>
        </w:rPr>
        <w:t xml:space="preserve"> </w:t>
      </w:r>
      <w:r w:rsidR="006F2830" w:rsidRPr="00C66455">
        <w:rPr>
          <w:lang w:val="fr-FR"/>
        </w:rPr>
        <w:t>CBD/NP/CB-IAC/2026/1/4</w:t>
      </w:r>
      <w:r w:rsidR="00570927" w:rsidRPr="00C66455">
        <w:rPr>
          <w:lang w:val="fr-FR"/>
        </w:rPr>
        <w:t xml:space="preserve">, </w:t>
      </w:r>
      <w:r w:rsidR="002613C9">
        <w:rPr>
          <w:lang w:val="fr-FR"/>
        </w:rPr>
        <w:t>respectivement</w:t>
      </w:r>
      <w:r w:rsidR="00B63662" w:rsidRPr="00C66455">
        <w:rPr>
          <w:lang w:val="fr-FR"/>
        </w:rPr>
        <w:t>.</w:t>
      </w:r>
    </w:p>
  </w:footnote>
  <w:footnote w:id="16">
    <w:p w14:paraId="1B029DFF" w14:textId="7760239D" w:rsidR="00BE4820" w:rsidRPr="00C66455" w:rsidRDefault="00BE4820">
      <w:pPr>
        <w:pStyle w:val="FootnoteText"/>
        <w:rPr>
          <w:lang w:val="fr-FR"/>
        </w:rPr>
      </w:pPr>
      <w:r w:rsidRPr="00C66455">
        <w:rPr>
          <w:rStyle w:val="FootnoteReference"/>
          <w:lang w:val="fr-FR"/>
        </w:rPr>
        <w:footnoteRef/>
      </w:r>
      <w:r w:rsidRPr="00C66455">
        <w:rPr>
          <w:lang w:val="fr-FR"/>
        </w:rPr>
        <w:t xml:space="preserve"> </w:t>
      </w:r>
      <w:hyperlink r:id="rId10" w:history="1">
        <w:r w:rsidRPr="00C66455">
          <w:rPr>
            <w:rStyle w:val="Hyperlink"/>
            <w:lang w:val="fr-FR"/>
          </w:rPr>
          <w:t>CBD/SBI/7/INF/3/Rev.1</w:t>
        </w:r>
      </w:hyperlink>
      <w:r w:rsidR="00083A37" w:rsidRPr="00C66455">
        <w:rPr>
          <w:lang w:val="fr-FR"/>
        </w:rPr>
        <w:t>.</w:t>
      </w:r>
      <w:r w:rsidRPr="00C66455">
        <w:rPr>
          <w:lang w:val="fr-FR"/>
        </w:rPr>
        <w:t xml:space="preserve"> </w:t>
      </w:r>
    </w:p>
  </w:footnote>
  <w:footnote w:id="17">
    <w:p w14:paraId="3753913A" w14:textId="32466974" w:rsidR="00AC3C85" w:rsidRPr="00C66455" w:rsidRDefault="00AC3C85">
      <w:pPr>
        <w:pStyle w:val="FootnoteText"/>
        <w:rPr>
          <w:lang w:val="fr-FR"/>
        </w:rPr>
      </w:pPr>
      <w:r w:rsidRPr="00C66455">
        <w:rPr>
          <w:rStyle w:val="FootnoteReference"/>
          <w:lang w:val="fr-FR"/>
        </w:rPr>
        <w:footnoteRef/>
      </w:r>
      <w:r w:rsidRPr="00C66455">
        <w:rPr>
          <w:lang w:val="fr-FR"/>
        </w:rPr>
        <w:t xml:space="preserve"> </w:t>
      </w:r>
      <w:r w:rsidR="002613C9">
        <w:rPr>
          <w:lang w:val="fr-FR"/>
        </w:rPr>
        <w:t>Voir</w:t>
      </w:r>
      <w:r w:rsidRPr="00C66455">
        <w:rPr>
          <w:lang w:val="fr-FR"/>
        </w:rPr>
        <w:t xml:space="preserve"> </w:t>
      </w:r>
      <w:hyperlink r:id="rId11" w:history="1">
        <w:r w:rsidRPr="00C66455">
          <w:rPr>
            <w:rStyle w:val="Hyperlink"/>
            <w:lang w:val="fr-FR"/>
          </w:rPr>
          <w:t>CBD/SBI/7/7/Add.1</w:t>
        </w:r>
      </w:hyperlink>
      <w:r w:rsidRPr="00C66455">
        <w:rPr>
          <w:lang w:val="fr-FR"/>
        </w:rPr>
        <w:t>.</w:t>
      </w:r>
    </w:p>
  </w:footnote>
  <w:footnote w:id="18">
    <w:p w14:paraId="2EF72B68" w14:textId="1F285440" w:rsidR="009562FA" w:rsidRPr="00C66455" w:rsidRDefault="009562FA">
      <w:pPr>
        <w:pStyle w:val="FootnoteText"/>
        <w:rPr>
          <w:lang w:val="fr-FR"/>
        </w:rPr>
      </w:pPr>
      <w:r w:rsidRPr="00C66455">
        <w:rPr>
          <w:rStyle w:val="FootnoteReference"/>
          <w:lang w:val="fr-FR"/>
        </w:rPr>
        <w:footnoteRef/>
      </w:r>
      <w:r w:rsidRPr="00C66455">
        <w:rPr>
          <w:lang w:val="fr-FR"/>
        </w:rPr>
        <w:t xml:space="preserve"> </w:t>
      </w:r>
      <w:r w:rsidRPr="00C66455">
        <w:rPr>
          <w:rFonts w:eastAsia="Times New Roman"/>
          <w:iCs/>
          <w:szCs w:val="24"/>
          <w:lang w:val="fr-FR"/>
        </w:rPr>
        <w:t xml:space="preserve">CBD/SBI/7/7, annexes I </w:t>
      </w:r>
      <w:r w:rsidR="002613C9">
        <w:rPr>
          <w:rFonts w:eastAsia="Times New Roman"/>
          <w:iCs/>
          <w:szCs w:val="24"/>
          <w:lang w:val="fr-FR"/>
        </w:rPr>
        <w:t>et</w:t>
      </w:r>
      <w:r w:rsidRPr="00C66455">
        <w:rPr>
          <w:rFonts w:eastAsia="Times New Roman"/>
          <w:iCs/>
          <w:szCs w:val="24"/>
          <w:lang w:val="fr-FR"/>
        </w:rPr>
        <w:t xml:space="preserve"> II, </w:t>
      </w:r>
      <w:r w:rsidR="002613C9">
        <w:rPr>
          <w:rFonts w:eastAsia="Times New Roman"/>
          <w:iCs/>
          <w:szCs w:val="24"/>
          <w:lang w:val="fr-FR"/>
        </w:rPr>
        <w:t>respectivement</w:t>
      </w:r>
      <w:r w:rsidRPr="00C66455">
        <w:rPr>
          <w:rFonts w:eastAsia="Times New Roman"/>
          <w:iCs/>
          <w:szCs w:val="24"/>
          <w:lang w:val="fr-FR"/>
        </w:rPr>
        <w:t>.</w:t>
      </w:r>
    </w:p>
  </w:footnote>
  <w:footnote w:id="19">
    <w:p w14:paraId="50DBB000" w14:textId="1B74D358" w:rsidR="00671C4A" w:rsidRPr="00C66455" w:rsidRDefault="00671C4A" w:rsidP="00671C4A">
      <w:pPr>
        <w:pStyle w:val="FootnoteText"/>
        <w:rPr>
          <w:lang w:val="fr-FR"/>
        </w:rPr>
      </w:pPr>
      <w:r w:rsidRPr="00C66455">
        <w:rPr>
          <w:rStyle w:val="FootnoteReference"/>
          <w:lang w:val="fr-FR"/>
        </w:rPr>
        <w:footnoteRef/>
      </w:r>
      <w:r w:rsidRPr="00C66455">
        <w:rPr>
          <w:lang w:val="fr-FR"/>
        </w:rPr>
        <w:t xml:space="preserve"> </w:t>
      </w:r>
      <w:r w:rsidR="001A66F6">
        <w:rPr>
          <w:lang w:val="fr-FR"/>
        </w:rPr>
        <w:t>Voir les décisions</w:t>
      </w:r>
      <w:r w:rsidR="00132CD2">
        <w:rPr>
          <w:lang w:val="fr-FR"/>
        </w:rPr>
        <w:t> </w:t>
      </w:r>
      <w:r w:rsidRPr="00C66455">
        <w:rPr>
          <w:lang w:val="fr-FR"/>
        </w:rPr>
        <w:t xml:space="preserve">NP-6/-- </w:t>
      </w:r>
      <w:r w:rsidR="001A66F6">
        <w:rPr>
          <w:lang w:val="fr-FR"/>
        </w:rPr>
        <w:t>sur l’amélioration de la mise en œuvre du Protocole de Nagoya</w:t>
      </w:r>
      <w:r w:rsidR="00132CD2">
        <w:rPr>
          <w:lang w:val="fr-FR"/>
        </w:rPr>
        <w:t> </w:t>
      </w:r>
      <w:r w:rsidRPr="00C66455">
        <w:rPr>
          <w:lang w:val="fr-FR"/>
        </w:rPr>
        <w:t xml:space="preserve">NP-6/-- </w:t>
      </w:r>
      <w:r w:rsidR="001A66F6">
        <w:rPr>
          <w:lang w:val="fr-FR"/>
        </w:rPr>
        <w:t>sur le mécanisme de financement et les ressources financières</w:t>
      </w:r>
      <w:r w:rsidRPr="00C66455">
        <w:rPr>
          <w:lang w:val="fr-FR"/>
        </w:rPr>
        <w:t>.</w:t>
      </w:r>
    </w:p>
  </w:footnote>
  <w:footnote w:id="20">
    <w:p w14:paraId="0223F711" w14:textId="658F78F2" w:rsidR="00A15ADA" w:rsidRPr="00C66455" w:rsidRDefault="00A15ADA">
      <w:pPr>
        <w:pStyle w:val="FootnoteText"/>
        <w:rPr>
          <w:lang w:val="fr-FR"/>
        </w:rPr>
      </w:pPr>
      <w:r w:rsidRPr="00C66455">
        <w:rPr>
          <w:rStyle w:val="FootnoteReference"/>
          <w:lang w:val="fr-FR"/>
        </w:rPr>
        <w:footnoteRef/>
      </w:r>
      <w:r w:rsidRPr="00C66455">
        <w:rPr>
          <w:lang w:val="fr-FR"/>
        </w:rPr>
        <w:t xml:space="preserve"> </w:t>
      </w:r>
      <w:r w:rsidR="004018E1">
        <w:rPr>
          <w:lang w:val="fr-FR"/>
        </w:rPr>
        <w:t>Point</w:t>
      </w:r>
      <w:r w:rsidR="004018E1" w:rsidRPr="00C66455">
        <w:rPr>
          <w:lang w:val="fr-FR"/>
        </w:rPr>
        <w:t> </w:t>
      </w:r>
      <w:r w:rsidR="004018E1">
        <w:rPr>
          <w:lang w:val="fr-FR"/>
        </w:rPr>
        <w:t>9</w:t>
      </w:r>
      <w:r w:rsidR="004018E1" w:rsidRPr="00C66455">
        <w:rPr>
          <w:lang w:val="fr-FR"/>
        </w:rPr>
        <w:t xml:space="preserve"> </w:t>
      </w:r>
      <w:r w:rsidR="004018E1">
        <w:rPr>
          <w:lang w:val="fr-FR"/>
        </w:rPr>
        <w:t>de l’ordre du jour provisoire de la sixième réunion de la Conférence des Parties siégeant en tant que réunion des Parties au Protocole de Nagoya.</w:t>
      </w:r>
    </w:p>
  </w:footnote>
  <w:footnote w:id="21">
    <w:p w14:paraId="490A20DD" w14:textId="40F54F92" w:rsidR="00DC0783" w:rsidRPr="00C66455" w:rsidRDefault="00DC0783" w:rsidP="00DC0783">
      <w:pPr>
        <w:pStyle w:val="FootnoteText"/>
        <w:rPr>
          <w:lang w:val="fr-FR"/>
        </w:rPr>
      </w:pPr>
      <w:r w:rsidRPr="00C66455">
        <w:rPr>
          <w:rStyle w:val="FootnoteReference"/>
          <w:lang w:val="fr-FR"/>
        </w:rPr>
        <w:footnoteRef/>
      </w:r>
      <w:r w:rsidRPr="00C66455">
        <w:rPr>
          <w:lang w:val="fr-FR"/>
        </w:rPr>
        <w:t xml:space="preserve"> </w:t>
      </w:r>
      <w:r w:rsidR="004018E1">
        <w:rPr>
          <w:lang w:val="fr-FR"/>
        </w:rPr>
        <w:t>Nations Unies</w:t>
      </w:r>
      <w:r w:rsidR="004018E1" w:rsidRPr="00114478">
        <w:rPr>
          <w:lang w:val="fr-FR"/>
        </w:rPr>
        <w:t xml:space="preserve">, </w:t>
      </w:r>
      <w:r w:rsidR="004018E1">
        <w:rPr>
          <w:i/>
          <w:iCs/>
          <w:lang w:val="fr-FR"/>
        </w:rPr>
        <w:t>Recueil des Traités</w:t>
      </w:r>
      <w:r w:rsidR="004018E1" w:rsidRPr="00C66455">
        <w:rPr>
          <w:lang w:val="fr-FR"/>
        </w:rPr>
        <w:t>, vol.</w:t>
      </w:r>
      <w:r w:rsidR="00132CD2">
        <w:rPr>
          <w:lang w:val="fr-FR"/>
        </w:rPr>
        <w:t> </w:t>
      </w:r>
      <w:r w:rsidR="004018E1" w:rsidRPr="00C66455">
        <w:rPr>
          <w:lang w:val="fr-FR"/>
        </w:rPr>
        <w:t xml:space="preserve">3008, </w:t>
      </w:r>
      <w:r w:rsidR="004018E1">
        <w:rPr>
          <w:lang w:val="fr-FR"/>
        </w:rPr>
        <w:t>n</w:t>
      </w:r>
      <w:r w:rsidR="004018E1">
        <w:rPr>
          <w:vertAlign w:val="superscript"/>
          <w:lang w:val="fr-FR"/>
        </w:rPr>
        <w:t>o</w:t>
      </w:r>
      <w:r w:rsidR="00132CD2">
        <w:rPr>
          <w:lang w:val="fr-FR"/>
        </w:rPr>
        <w:t> </w:t>
      </w:r>
      <w:r w:rsidR="004018E1" w:rsidRPr="00C66455">
        <w:rPr>
          <w:lang w:val="fr-FR"/>
        </w:rPr>
        <w:t>30619</w:t>
      </w:r>
      <w:r w:rsidRPr="00C66455">
        <w:rPr>
          <w:lang w:val="fr-FR"/>
        </w:rPr>
        <w:t>.</w:t>
      </w:r>
    </w:p>
  </w:footnote>
  <w:footnote w:id="22">
    <w:p w14:paraId="0A9CEF1E" w14:textId="6B11A709" w:rsidR="00076A2F" w:rsidRPr="00C66455" w:rsidRDefault="00076A2F" w:rsidP="00076A2F">
      <w:pPr>
        <w:pStyle w:val="FootnoteText"/>
        <w:rPr>
          <w:lang w:val="fr-FR"/>
        </w:rPr>
      </w:pPr>
      <w:r w:rsidRPr="00C66455">
        <w:rPr>
          <w:rStyle w:val="FootnoteReference"/>
          <w:lang w:val="fr-FR"/>
        </w:rPr>
        <w:footnoteRef/>
      </w:r>
      <w:r w:rsidRPr="00C66455">
        <w:rPr>
          <w:lang w:val="fr-FR"/>
        </w:rPr>
        <w:t xml:space="preserve"> </w:t>
      </w:r>
      <w:r w:rsidR="004018E1">
        <w:rPr>
          <w:lang w:val="fr-FR"/>
        </w:rPr>
        <w:t>Des éléments additionnels devraient être inclus dans le document </w:t>
      </w:r>
      <w:r w:rsidRPr="00C66455">
        <w:rPr>
          <w:lang w:val="fr-FR"/>
        </w:rPr>
        <w:t>CBD/NP/MOP/6/7.</w:t>
      </w:r>
    </w:p>
  </w:footnote>
  <w:footnote w:id="23">
    <w:p w14:paraId="0CEE33F1" w14:textId="4D58CAEB" w:rsidR="00793F2A" w:rsidRPr="00C66455" w:rsidRDefault="00793F2A" w:rsidP="00793F2A">
      <w:pPr>
        <w:pStyle w:val="FootnoteText"/>
        <w:rPr>
          <w:lang w:val="fr-FR"/>
        </w:rPr>
      </w:pPr>
      <w:r w:rsidRPr="00C66455">
        <w:rPr>
          <w:rStyle w:val="FootnoteReference"/>
          <w:lang w:val="fr-FR"/>
        </w:rPr>
        <w:footnoteRef/>
      </w:r>
      <w:r w:rsidRPr="00C66455">
        <w:rPr>
          <w:lang w:val="fr-FR"/>
        </w:rPr>
        <w:t xml:space="preserve"> </w:t>
      </w:r>
      <w:r w:rsidR="004018E1">
        <w:rPr>
          <w:lang w:val="fr-FR"/>
        </w:rPr>
        <w:t>L’</w:t>
      </w:r>
      <w:r w:rsidR="004018E1" w:rsidRPr="00037D3C">
        <w:rPr>
          <w:lang w:val="fr-FR"/>
        </w:rPr>
        <w:t xml:space="preserve">estimation des ressources extrabudgétaires nécessaires pour les activités </w:t>
      </w:r>
      <w:r w:rsidR="004018E1">
        <w:rPr>
          <w:lang w:val="fr-FR"/>
        </w:rPr>
        <w:t>décrites dans les éléments du projet de décision figure à l’annexe III du présent document.</w:t>
      </w:r>
    </w:p>
  </w:footnote>
  <w:footnote w:id="24">
    <w:p w14:paraId="47DAC1C1" w14:textId="575FD13F" w:rsidR="00353A70" w:rsidRPr="00C66455" w:rsidRDefault="00353A70" w:rsidP="00353A70">
      <w:pPr>
        <w:pStyle w:val="FootnoteText"/>
        <w:rPr>
          <w:lang w:val="fr-FR"/>
        </w:rPr>
      </w:pPr>
      <w:r w:rsidRPr="00C66455">
        <w:rPr>
          <w:rStyle w:val="FootnoteReference"/>
          <w:lang w:val="fr-FR"/>
        </w:rPr>
        <w:footnoteRef/>
      </w:r>
      <w:r w:rsidRPr="00C66455">
        <w:rPr>
          <w:lang w:val="fr-FR"/>
        </w:rPr>
        <w:t xml:space="preserve"> </w:t>
      </w:r>
      <w:r w:rsidR="004018E1">
        <w:rPr>
          <w:lang w:val="fr-FR"/>
        </w:rPr>
        <w:t>Voir</w:t>
      </w:r>
      <w:r w:rsidRPr="00C66455">
        <w:rPr>
          <w:lang w:val="fr-FR"/>
        </w:rPr>
        <w:t xml:space="preserve"> </w:t>
      </w:r>
      <w:r w:rsidRPr="00C66455">
        <w:rPr>
          <w:rFonts w:eastAsia="Times New Roman"/>
          <w:iCs/>
          <w:szCs w:val="24"/>
          <w:lang w:val="fr-FR"/>
        </w:rPr>
        <w:t xml:space="preserve">CBD/SBI/7/7, annexes I </w:t>
      </w:r>
      <w:r w:rsidR="004018E1">
        <w:rPr>
          <w:rFonts w:eastAsia="Times New Roman"/>
          <w:iCs/>
          <w:szCs w:val="24"/>
          <w:lang w:val="fr-FR"/>
        </w:rPr>
        <w:t>et</w:t>
      </w:r>
      <w:r w:rsidRPr="00C66455">
        <w:rPr>
          <w:rFonts w:eastAsia="Times New Roman"/>
          <w:iCs/>
          <w:szCs w:val="24"/>
          <w:lang w:val="fr-FR"/>
        </w:rPr>
        <w:t xml:space="preserve"> II.</w:t>
      </w:r>
    </w:p>
  </w:footnote>
  <w:footnote w:id="25">
    <w:p w14:paraId="7A13EE0A" w14:textId="2D318B5D" w:rsidR="00FD2868" w:rsidRPr="00C66455" w:rsidRDefault="00FD2868">
      <w:pPr>
        <w:pStyle w:val="FootnoteText"/>
        <w:rPr>
          <w:lang w:val="fr-FR"/>
        </w:rPr>
      </w:pPr>
      <w:r w:rsidRPr="00C66455">
        <w:rPr>
          <w:rStyle w:val="FootnoteReference"/>
          <w:lang w:val="fr-FR"/>
        </w:rPr>
        <w:footnoteRef/>
      </w:r>
      <w:r w:rsidRPr="00C66455">
        <w:rPr>
          <w:lang w:val="fr-FR"/>
        </w:rPr>
        <w:t xml:space="preserve"> </w:t>
      </w:r>
      <w:r w:rsidR="004018E1">
        <w:rPr>
          <w:lang w:val="fr-FR"/>
        </w:rPr>
        <w:t>Nations Unies</w:t>
      </w:r>
      <w:r w:rsidR="004018E1" w:rsidRPr="00114478">
        <w:rPr>
          <w:lang w:val="fr-FR"/>
        </w:rPr>
        <w:t xml:space="preserve">, </w:t>
      </w:r>
      <w:r w:rsidR="004018E1">
        <w:rPr>
          <w:i/>
          <w:iCs/>
          <w:lang w:val="fr-FR"/>
        </w:rPr>
        <w:t>Recueil des Traités</w:t>
      </w:r>
      <w:r w:rsidR="004018E1" w:rsidRPr="00114478">
        <w:rPr>
          <w:lang w:val="fr-FR"/>
        </w:rPr>
        <w:t>, vol.</w:t>
      </w:r>
      <w:r w:rsidR="004018E1">
        <w:rPr>
          <w:lang w:val="fr-FR"/>
        </w:rPr>
        <w:t> </w:t>
      </w:r>
      <w:r w:rsidR="004018E1" w:rsidRPr="00114478">
        <w:rPr>
          <w:lang w:val="fr-FR"/>
        </w:rPr>
        <w:t xml:space="preserve">1760, </w:t>
      </w:r>
      <w:r w:rsidR="004018E1">
        <w:rPr>
          <w:lang w:val="fr-FR"/>
        </w:rPr>
        <w:t>n</w:t>
      </w:r>
      <w:r w:rsidR="004018E1">
        <w:rPr>
          <w:vertAlign w:val="superscript"/>
          <w:lang w:val="fr-FR"/>
        </w:rPr>
        <w:t>o</w:t>
      </w:r>
      <w:r w:rsidR="004018E1">
        <w:rPr>
          <w:lang w:val="fr-FR"/>
        </w:rPr>
        <w:t> </w:t>
      </w:r>
      <w:r w:rsidR="004018E1" w:rsidRPr="00114478">
        <w:rPr>
          <w:lang w:val="fr-FR"/>
        </w:rPr>
        <w:t>30619.</w:t>
      </w:r>
    </w:p>
  </w:footnote>
  <w:footnote w:id="26">
    <w:p w14:paraId="50147E3C" w14:textId="6A102D60" w:rsidR="009F7E9D" w:rsidRPr="00C66455" w:rsidRDefault="009F7E9D" w:rsidP="009F7E9D">
      <w:pPr>
        <w:pStyle w:val="FootnoteText"/>
        <w:rPr>
          <w:lang w:val="fr-FR"/>
        </w:rPr>
      </w:pPr>
      <w:r w:rsidRPr="00C66455">
        <w:rPr>
          <w:rStyle w:val="FootnoteReference"/>
          <w:lang w:val="fr-FR"/>
        </w:rPr>
        <w:footnoteRef/>
      </w:r>
      <w:r w:rsidRPr="00C66455">
        <w:rPr>
          <w:lang w:val="fr-FR"/>
        </w:rPr>
        <w:t xml:space="preserve"> </w:t>
      </w:r>
      <w:hyperlink r:id="rId12" w:history="1">
        <w:r w:rsidR="003C182B">
          <w:rPr>
            <w:rStyle w:val="Hyperlink"/>
            <w:lang w:val="fr-FR"/>
          </w:rPr>
          <w:t>www.cbd.int/abs/doc/cepa-toolkit-fr.pdf</w:t>
        </w:r>
      </w:hyperlink>
      <w:r w:rsidRPr="00C66455">
        <w:rPr>
          <w:lang w:val="fr-FR"/>
        </w:rPr>
        <w:t xml:space="preserve">. </w:t>
      </w:r>
    </w:p>
  </w:footnote>
  <w:footnote w:id="27">
    <w:p w14:paraId="0B81429A" w14:textId="5C1FD81F" w:rsidR="00BF497B" w:rsidRPr="00C66455" w:rsidRDefault="00BF497B">
      <w:pPr>
        <w:pStyle w:val="FootnoteText"/>
        <w:rPr>
          <w:lang w:val="fr-FR"/>
        </w:rPr>
      </w:pPr>
      <w:r w:rsidRPr="00C66455">
        <w:rPr>
          <w:rStyle w:val="FootnoteReference"/>
          <w:lang w:val="fr-FR"/>
        </w:rPr>
        <w:footnoteRef/>
      </w:r>
      <w:r w:rsidRPr="00C66455">
        <w:rPr>
          <w:lang w:val="fr-FR"/>
        </w:rPr>
        <w:t xml:space="preserve"> </w:t>
      </w:r>
      <w:r w:rsidR="008D576D">
        <w:rPr>
          <w:lang w:val="fr-FR"/>
        </w:rPr>
        <w:t>Voir</w:t>
      </w:r>
      <w:r w:rsidR="009D39B8" w:rsidRPr="00C66455">
        <w:rPr>
          <w:lang w:val="fr-FR"/>
        </w:rPr>
        <w:t xml:space="preserve"> CBD/NP/ABSCH-IAC/6/3</w:t>
      </w:r>
      <w:r w:rsidR="00EA30FC" w:rsidRPr="00C66455">
        <w:rPr>
          <w:lang w:val="fr-FR"/>
        </w:rPr>
        <w:t>.</w:t>
      </w:r>
    </w:p>
  </w:footnote>
  <w:footnote w:id="28">
    <w:p w14:paraId="6AF16645" w14:textId="08217685" w:rsidR="001C6E97" w:rsidRPr="00C66455" w:rsidRDefault="001C6E97">
      <w:pPr>
        <w:pStyle w:val="FootnoteText"/>
        <w:rPr>
          <w:lang w:val="fr-FR"/>
        </w:rPr>
      </w:pPr>
      <w:r w:rsidRPr="00C66455">
        <w:rPr>
          <w:rStyle w:val="FootnoteReference"/>
          <w:lang w:val="fr-FR"/>
        </w:rPr>
        <w:footnoteRef/>
      </w:r>
      <w:r w:rsidR="00576618" w:rsidRPr="00C66455">
        <w:rPr>
          <w:lang w:val="fr-FR"/>
        </w:rPr>
        <w:t xml:space="preserve"> </w:t>
      </w:r>
      <w:r w:rsidR="008D576D">
        <w:rPr>
          <w:lang w:val="fr-FR"/>
        </w:rPr>
        <w:t>Point</w:t>
      </w:r>
      <w:r w:rsidR="00586F2F" w:rsidRPr="00C66455">
        <w:rPr>
          <w:lang w:val="fr-FR"/>
        </w:rPr>
        <w:t> </w:t>
      </w:r>
      <w:r w:rsidR="007E6B26" w:rsidRPr="00C66455">
        <w:rPr>
          <w:lang w:val="fr-FR"/>
        </w:rPr>
        <w:t>10</w:t>
      </w:r>
      <w:r w:rsidR="0098495C" w:rsidRPr="00C66455">
        <w:rPr>
          <w:lang w:val="fr-FR"/>
        </w:rPr>
        <w:t xml:space="preserve"> </w:t>
      </w:r>
      <w:r w:rsidR="008D576D">
        <w:rPr>
          <w:lang w:val="fr-FR"/>
        </w:rPr>
        <w:t>de l’ordre du jour provisoire de la sixième réunion de la Conférence des Parties siégeant en tant que réunion des Parties au Protocole de Nagoya.</w:t>
      </w:r>
    </w:p>
  </w:footnote>
  <w:footnote w:id="29">
    <w:p w14:paraId="2B768574" w14:textId="0A3FEF6E" w:rsidR="00B81A9D" w:rsidRPr="00C66455" w:rsidRDefault="00B81A9D" w:rsidP="00B81A9D">
      <w:pPr>
        <w:pStyle w:val="FootnoteText"/>
        <w:rPr>
          <w:lang w:val="fr-FR"/>
        </w:rPr>
      </w:pPr>
      <w:r w:rsidRPr="00C66455">
        <w:rPr>
          <w:rStyle w:val="FootnoteReference"/>
          <w:lang w:val="fr-FR"/>
        </w:rPr>
        <w:footnoteRef/>
      </w:r>
      <w:r w:rsidRPr="00C66455">
        <w:rPr>
          <w:lang w:val="fr-FR"/>
        </w:rPr>
        <w:t xml:space="preserve"> </w:t>
      </w:r>
      <w:r w:rsidR="000F6982">
        <w:rPr>
          <w:lang w:val="fr-FR"/>
        </w:rPr>
        <w:t>Nations Unies</w:t>
      </w:r>
      <w:r w:rsidR="000F6982" w:rsidRPr="00114478">
        <w:rPr>
          <w:lang w:val="fr-FR"/>
        </w:rPr>
        <w:t xml:space="preserve">, </w:t>
      </w:r>
      <w:r w:rsidR="000F6982">
        <w:rPr>
          <w:i/>
          <w:iCs/>
          <w:lang w:val="fr-FR"/>
        </w:rPr>
        <w:t>Recueil des Traités</w:t>
      </w:r>
      <w:r w:rsidRPr="00C66455">
        <w:rPr>
          <w:lang w:val="fr-FR"/>
        </w:rPr>
        <w:t>, vol.</w:t>
      </w:r>
      <w:r w:rsidR="00132CD2">
        <w:rPr>
          <w:lang w:val="fr-FR"/>
        </w:rPr>
        <w:t> </w:t>
      </w:r>
      <w:r w:rsidRPr="00C66455">
        <w:rPr>
          <w:lang w:val="fr-FR"/>
        </w:rPr>
        <w:t xml:space="preserve">3008, </w:t>
      </w:r>
      <w:r w:rsidR="000F6982">
        <w:rPr>
          <w:lang w:val="fr-FR"/>
        </w:rPr>
        <w:t>n</w:t>
      </w:r>
      <w:r w:rsidR="000F6982">
        <w:rPr>
          <w:vertAlign w:val="superscript"/>
          <w:lang w:val="fr-FR"/>
        </w:rPr>
        <w:t>o</w:t>
      </w:r>
      <w:r w:rsidR="00132CD2">
        <w:rPr>
          <w:lang w:val="fr-FR"/>
        </w:rPr>
        <w:t> </w:t>
      </w:r>
      <w:r w:rsidRPr="00C66455">
        <w:rPr>
          <w:lang w:val="fr-FR"/>
        </w:rPr>
        <w:t>30619.</w:t>
      </w:r>
    </w:p>
  </w:footnote>
  <w:footnote w:id="30">
    <w:p w14:paraId="6D5EBF6E" w14:textId="009C4643" w:rsidR="009240A6" w:rsidRPr="00C66455" w:rsidRDefault="009240A6" w:rsidP="00110102">
      <w:pPr>
        <w:pStyle w:val="FootnoteText"/>
        <w:rPr>
          <w:lang w:val="fr-FR"/>
        </w:rPr>
      </w:pPr>
      <w:r w:rsidRPr="00C66455">
        <w:rPr>
          <w:rStyle w:val="FootnoteReference"/>
          <w:lang w:val="fr-FR"/>
        </w:rPr>
        <w:footnoteRef/>
      </w:r>
      <w:r w:rsidRPr="00C66455">
        <w:rPr>
          <w:lang w:val="fr-FR"/>
        </w:rPr>
        <w:t xml:space="preserve"> </w:t>
      </w:r>
      <w:r w:rsidR="000F6982">
        <w:rPr>
          <w:lang w:val="fr-FR"/>
        </w:rPr>
        <w:t xml:space="preserve">Des éléments additionnels </w:t>
      </w:r>
      <w:r w:rsidR="00905C06">
        <w:rPr>
          <w:lang w:val="fr-FR"/>
        </w:rPr>
        <w:t>devraient être inclus dans le document </w:t>
      </w:r>
      <w:r w:rsidR="00110102" w:rsidRPr="00C66455">
        <w:rPr>
          <w:lang w:val="fr-FR"/>
        </w:rPr>
        <w:t>CBD/NP/MOP/6/8</w:t>
      </w:r>
      <w:r w:rsidRPr="00C66455">
        <w:rPr>
          <w:lang w:val="fr-FR"/>
        </w:rPr>
        <w:t>.</w:t>
      </w:r>
    </w:p>
  </w:footnote>
  <w:footnote w:id="31">
    <w:p w14:paraId="460C5DC3" w14:textId="7D4F13C3" w:rsidR="00037D4B" w:rsidRPr="00C66455" w:rsidRDefault="00037D4B">
      <w:pPr>
        <w:pStyle w:val="FootnoteText"/>
        <w:rPr>
          <w:lang w:val="fr-FR"/>
        </w:rPr>
      </w:pPr>
      <w:r w:rsidRPr="00C66455">
        <w:rPr>
          <w:rStyle w:val="FootnoteReference"/>
          <w:lang w:val="fr-FR"/>
        </w:rPr>
        <w:footnoteRef/>
      </w:r>
      <w:r w:rsidRPr="00C66455">
        <w:rPr>
          <w:lang w:val="fr-FR"/>
        </w:rPr>
        <w:t xml:space="preserve"> </w:t>
      </w:r>
      <w:r w:rsidRPr="00C66455">
        <w:rPr>
          <w:rFonts w:eastAsia="Arial Unicode MS"/>
          <w:color w:val="000000"/>
          <w:kern w:val="22"/>
          <w:u w:color="000000"/>
          <w:bdr w:val="nil"/>
          <w:lang w:val="fr-FR"/>
        </w:rPr>
        <w:t>CBD/SBI/7/7</w:t>
      </w:r>
      <w:r w:rsidR="00920C53" w:rsidRPr="00C66455">
        <w:rPr>
          <w:rFonts w:eastAsia="Times New Roman"/>
          <w:iCs/>
          <w:szCs w:val="24"/>
          <w:lang w:val="fr-FR"/>
        </w:rPr>
        <w:t xml:space="preserve">, annexes I </w:t>
      </w:r>
      <w:r w:rsidR="00215E7E">
        <w:rPr>
          <w:rFonts w:eastAsia="Times New Roman"/>
          <w:iCs/>
          <w:szCs w:val="24"/>
          <w:lang w:val="fr-FR"/>
        </w:rPr>
        <w:t>et</w:t>
      </w:r>
      <w:r w:rsidR="00920C53" w:rsidRPr="00C66455">
        <w:rPr>
          <w:rFonts w:eastAsia="Times New Roman"/>
          <w:iCs/>
          <w:szCs w:val="24"/>
          <w:lang w:val="fr-FR"/>
        </w:rPr>
        <w:t xml:space="preserve"> II</w:t>
      </w:r>
      <w:r w:rsidRPr="00C66455">
        <w:rPr>
          <w:rFonts w:eastAsia="Arial Unicode MS"/>
          <w:color w:val="000000"/>
          <w:kern w:val="22"/>
          <w:u w:color="000000"/>
          <w:bdr w:val="nil"/>
          <w:lang w:val="fr-FR"/>
        </w:rPr>
        <w:t>.</w:t>
      </w:r>
    </w:p>
  </w:footnote>
  <w:footnote w:id="32">
    <w:p w14:paraId="517A3FBA" w14:textId="77777777" w:rsidR="00786736" w:rsidRPr="002A7FD4" w:rsidRDefault="00786736" w:rsidP="00786736">
      <w:pPr>
        <w:pStyle w:val="FootnoteText"/>
        <w:rPr>
          <w:lang w:val="fr-FR"/>
        </w:rPr>
      </w:pPr>
      <w:r w:rsidRPr="002A7FD4">
        <w:rPr>
          <w:rStyle w:val="FootnoteReference"/>
          <w:lang w:val="fr-FR"/>
        </w:rPr>
        <w:footnoteRef/>
      </w:r>
      <w:r w:rsidRPr="002A7FD4">
        <w:rPr>
          <w:lang w:val="fr-FR"/>
        </w:rPr>
        <w:t xml:space="preserve"> </w:t>
      </w:r>
      <w:r w:rsidRPr="00D5719F">
        <w:rPr>
          <w:lang w:val="fr-FR"/>
        </w:rPr>
        <w:t>Quarante-six pour cent des Parties avaient mis en place un ou plusieurs points de contrôle, la répartition régionale étant la suivante</w:t>
      </w:r>
      <w:r>
        <w:rPr>
          <w:lang w:val="fr-FR"/>
        </w:rPr>
        <w:t> :</w:t>
      </w:r>
      <w:r w:rsidRPr="00D5719F">
        <w:rPr>
          <w:lang w:val="fr-FR"/>
        </w:rPr>
        <w:t xml:space="preserve"> 35</w:t>
      </w:r>
      <w:r>
        <w:rPr>
          <w:lang w:val="fr-FR"/>
        </w:rPr>
        <w:t> </w:t>
      </w:r>
      <w:r w:rsidRPr="00D5719F">
        <w:rPr>
          <w:lang w:val="fr-FR"/>
        </w:rPr>
        <w:t>% des Parties en Afrique</w:t>
      </w:r>
      <w:r>
        <w:rPr>
          <w:lang w:val="fr-FR"/>
        </w:rPr>
        <w:t> ;</w:t>
      </w:r>
      <w:r w:rsidRPr="00D5719F">
        <w:rPr>
          <w:lang w:val="fr-FR"/>
        </w:rPr>
        <w:t xml:space="preserve"> 27</w:t>
      </w:r>
      <w:r>
        <w:rPr>
          <w:lang w:val="fr-FR"/>
        </w:rPr>
        <w:t> </w:t>
      </w:r>
      <w:r w:rsidRPr="00D5719F">
        <w:rPr>
          <w:lang w:val="fr-FR"/>
        </w:rPr>
        <w:t>% des Parties dans la région Asie-Pacifique</w:t>
      </w:r>
      <w:r>
        <w:rPr>
          <w:lang w:val="fr-FR"/>
        </w:rPr>
        <w:t> ;</w:t>
      </w:r>
      <w:r w:rsidRPr="00D5719F">
        <w:rPr>
          <w:lang w:val="fr-FR"/>
        </w:rPr>
        <w:t xml:space="preserve"> 62</w:t>
      </w:r>
      <w:r>
        <w:rPr>
          <w:lang w:val="fr-FR"/>
        </w:rPr>
        <w:t> </w:t>
      </w:r>
      <w:r w:rsidRPr="00D5719F">
        <w:rPr>
          <w:lang w:val="fr-FR"/>
        </w:rPr>
        <w:t>% des Parties dans les États d</w:t>
      </w:r>
      <w:r>
        <w:rPr>
          <w:lang w:val="fr-FR"/>
        </w:rPr>
        <w:t>’</w:t>
      </w:r>
      <w:r w:rsidRPr="00D5719F">
        <w:rPr>
          <w:lang w:val="fr-FR"/>
        </w:rPr>
        <w:t>Europe de l</w:t>
      </w:r>
      <w:r>
        <w:rPr>
          <w:lang w:val="fr-FR"/>
        </w:rPr>
        <w:t>’</w:t>
      </w:r>
      <w:r w:rsidRPr="00D5719F">
        <w:rPr>
          <w:lang w:val="fr-FR"/>
        </w:rPr>
        <w:t>Est</w:t>
      </w:r>
      <w:r>
        <w:rPr>
          <w:lang w:val="fr-FR"/>
        </w:rPr>
        <w:t> ;</w:t>
      </w:r>
      <w:r w:rsidRPr="00D5719F">
        <w:rPr>
          <w:lang w:val="fr-FR"/>
        </w:rPr>
        <w:t xml:space="preserve"> 50</w:t>
      </w:r>
      <w:r>
        <w:rPr>
          <w:lang w:val="fr-FR"/>
        </w:rPr>
        <w:t> </w:t>
      </w:r>
      <w:r w:rsidRPr="00D5719F">
        <w:rPr>
          <w:lang w:val="fr-FR"/>
        </w:rPr>
        <w:t>% des Parties en Amérique latine et dans les Caraïbes</w:t>
      </w:r>
      <w:r>
        <w:rPr>
          <w:lang w:val="fr-FR"/>
        </w:rPr>
        <w:t> ;</w:t>
      </w:r>
      <w:r w:rsidRPr="00D5719F">
        <w:rPr>
          <w:lang w:val="fr-FR"/>
        </w:rPr>
        <w:t xml:space="preserve"> et 94</w:t>
      </w:r>
      <w:r>
        <w:rPr>
          <w:lang w:val="fr-FR"/>
        </w:rPr>
        <w:t> </w:t>
      </w:r>
      <w:r w:rsidRPr="00D5719F">
        <w:rPr>
          <w:lang w:val="fr-FR"/>
        </w:rPr>
        <w:t>% des Parties de la région Europe occidentale et autres États (voir CBD/SBI/7/INF/2, paragraphe</w:t>
      </w:r>
      <w:r>
        <w:rPr>
          <w:lang w:val="fr-FR"/>
        </w:rPr>
        <w:t> </w:t>
      </w:r>
      <w:r w:rsidRPr="00D5719F">
        <w:rPr>
          <w:lang w:val="fr-FR"/>
        </w:rPr>
        <w:t>26 et Figure</w:t>
      </w:r>
      <w:r>
        <w:rPr>
          <w:lang w:val="fr-FR"/>
        </w:rPr>
        <w:t> </w:t>
      </w:r>
      <w:r w:rsidRPr="00D5719F">
        <w:rPr>
          <w:lang w:val="fr-FR"/>
        </w:rPr>
        <w:t>3).</w:t>
      </w:r>
    </w:p>
  </w:footnote>
  <w:footnote w:id="33">
    <w:p w14:paraId="61BCF337" w14:textId="01EC37BA" w:rsidR="00CC35D7" w:rsidRPr="00C66455" w:rsidRDefault="00CC35D7" w:rsidP="00CC35D7">
      <w:pPr>
        <w:pStyle w:val="FootnoteText"/>
        <w:rPr>
          <w:lang w:val="fr-FR"/>
        </w:rPr>
      </w:pPr>
      <w:r w:rsidRPr="00C66455">
        <w:rPr>
          <w:rStyle w:val="FootnoteReference"/>
          <w:lang w:val="fr-FR"/>
        </w:rPr>
        <w:footnoteRef/>
      </w:r>
      <w:r w:rsidRPr="00C66455">
        <w:rPr>
          <w:lang w:val="fr-FR"/>
        </w:rPr>
        <w:t xml:space="preserve"> </w:t>
      </w:r>
      <w:r w:rsidR="008172E8">
        <w:rPr>
          <w:lang w:val="fr-FR"/>
        </w:rPr>
        <w:t>À noter que les Parties ne sont pas tenues de mettre en place des mesures portant sur les transferts par des tiers.</w:t>
      </w:r>
    </w:p>
  </w:footnote>
  <w:footnote w:id="34">
    <w:p w14:paraId="6D7063D1" w14:textId="1BFC5D67" w:rsidR="00633908" w:rsidRPr="00C66455" w:rsidRDefault="00633908">
      <w:pPr>
        <w:pStyle w:val="FootnoteText"/>
        <w:rPr>
          <w:lang w:val="fr-FR"/>
        </w:rPr>
      </w:pPr>
      <w:r w:rsidRPr="00C66455">
        <w:rPr>
          <w:rStyle w:val="FootnoteReference"/>
          <w:lang w:val="fr-FR"/>
        </w:rPr>
        <w:footnoteRef/>
      </w:r>
      <w:r w:rsidRPr="00C66455">
        <w:rPr>
          <w:lang w:val="fr-FR"/>
        </w:rPr>
        <w:t xml:space="preserve"> </w:t>
      </w:r>
      <w:r w:rsidR="007E361E">
        <w:rPr>
          <w:lang w:val="fr-FR"/>
        </w:rPr>
        <w:t xml:space="preserve">Davantage d’informations et de recommandations pertinentes relatives au suivi du partage des avantages monétaires et non monétaires sont disponibles dans les fiches de métadonnées </w:t>
      </w:r>
      <w:r w:rsidRPr="00C66455">
        <w:rPr>
          <w:lang w:val="fr-FR"/>
        </w:rPr>
        <w:t>(https://gbf-indicators.org/).</w:t>
      </w:r>
    </w:p>
  </w:footnote>
  <w:footnote w:id="35">
    <w:p w14:paraId="2EE15D9D" w14:textId="77777777" w:rsidR="00642A7D" w:rsidRPr="00C66455" w:rsidRDefault="00642A7D" w:rsidP="00642A7D">
      <w:pPr>
        <w:pStyle w:val="FootnoteText"/>
        <w:rPr>
          <w:lang w:val="fr-FR"/>
        </w:rPr>
      </w:pPr>
      <w:r w:rsidRPr="00C66455">
        <w:rPr>
          <w:rStyle w:val="FootnoteReference"/>
          <w:lang w:val="fr-FR"/>
        </w:rPr>
        <w:footnoteRef/>
      </w:r>
      <w:r w:rsidRPr="00C66455">
        <w:rPr>
          <w:lang w:val="fr-FR"/>
        </w:rPr>
        <w:t xml:space="preserve"> </w:t>
      </w:r>
      <w:r>
        <w:rPr>
          <w:lang w:val="fr-FR"/>
        </w:rPr>
        <w:t>Ceci n’inclut pas les transferts de matériel génétique</w:t>
      </w:r>
      <w:r w:rsidRPr="00C66455">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17470D36" w:rsidR="002B559C" w:rsidRPr="009477BD" w:rsidRDefault="00017C22"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976BF" w:rsidRPr="000976BF">
          <w:t>CBD/SBI/7/7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00796A69" w:rsidR="002B559C" w:rsidRPr="009477BD" w:rsidRDefault="006F524B" w:rsidP="009477BD">
        <w:pPr>
          <w:pStyle w:val="CBDHeader"/>
          <w:spacing w:after="240"/>
          <w:jc w:val="right"/>
        </w:pPr>
        <w:r>
          <w:t>CBD/SBI/7/7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081A1D"/>
    <w:multiLevelType w:val="multilevel"/>
    <w:tmpl w:val="78E8F084"/>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CA21FD2"/>
    <w:multiLevelType w:val="multilevel"/>
    <w:tmpl w:val="AC00307A"/>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5" w15:restartNumberingAfterBreak="0">
    <w:nsid w:val="5A43022F"/>
    <w:multiLevelType w:val="multilevel"/>
    <w:tmpl w:val="3BB60C26"/>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D943BEE"/>
    <w:multiLevelType w:val="multilevel"/>
    <w:tmpl w:val="222A08B4"/>
    <w:numStyleLink w:val="ListCBD"/>
  </w:abstractNum>
  <w:abstractNum w:abstractNumId="17"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0"/>
  </w:num>
  <w:num w:numId="2" w16cid:durableId="611476475">
    <w:abstractNumId w:val="14"/>
  </w:num>
  <w:num w:numId="3" w16cid:durableId="1072390599">
    <w:abstractNumId w:val="19"/>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12"/>
  </w:num>
  <w:num w:numId="10" w16cid:durableId="893932166">
    <w:abstractNumId w:val="18"/>
  </w:num>
  <w:num w:numId="11" w16cid:durableId="323945383">
    <w:abstractNumId w:val="16"/>
    <w:lvlOverride w:ilvl="1">
      <w:lvl w:ilvl="1">
        <w:start w:val="1"/>
        <w:numFmt w:val="lowerLetter"/>
        <w:lvlText w:val="%2)"/>
        <w:lvlJc w:val="left"/>
        <w:pPr>
          <w:ind w:left="567" w:firstLine="567"/>
        </w:pPr>
        <w:rPr>
          <w:rFonts w:ascii="Times New Roman" w:eastAsia="SimSun" w:hAnsi="Times New Roman" w:cs="Times New Roman"/>
          <w:b w:val="0"/>
          <w:bCs/>
          <w:i w:val="0"/>
          <w:sz w:val="22"/>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11"/>
  </w:num>
  <w:num w:numId="18" w16cid:durableId="1930844236">
    <w:abstractNumId w:val="16"/>
    <w:lvlOverride w:ilvl="0">
      <w:startOverride w:val="13"/>
    </w:lvlOverride>
  </w:num>
  <w:num w:numId="19" w16cid:durableId="102500802">
    <w:abstractNumId w:val="17"/>
  </w:num>
  <w:num w:numId="20" w16cid:durableId="2090761423">
    <w:abstractNumId w:val="15"/>
  </w:num>
  <w:num w:numId="21" w16cid:durableId="1705594539">
    <w:abstractNumId w:val="13"/>
  </w:num>
  <w:num w:numId="22" w16cid:durableId="138001201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570"/>
    <w:rsid w:val="00001B91"/>
    <w:rsid w:val="00001D58"/>
    <w:rsid w:val="00001E0C"/>
    <w:rsid w:val="00002220"/>
    <w:rsid w:val="00002224"/>
    <w:rsid w:val="0000247E"/>
    <w:rsid w:val="00003464"/>
    <w:rsid w:val="00003888"/>
    <w:rsid w:val="00003D8F"/>
    <w:rsid w:val="0000450C"/>
    <w:rsid w:val="00004903"/>
    <w:rsid w:val="00004B72"/>
    <w:rsid w:val="00004F8A"/>
    <w:rsid w:val="000053BC"/>
    <w:rsid w:val="00005570"/>
    <w:rsid w:val="00005830"/>
    <w:rsid w:val="00005BBD"/>
    <w:rsid w:val="000060AC"/>
    <w:rsid w:val="000061A0"/>
    <w:rsid w:val="00006631"/>
    <w:rsid w:val="00006A52"/>
    <w:rsid w:val="00006DD6"/>
    <w:rsid w:val="00006EFD"/>
    <w:rsid w:val="00007110"/>
    <w:rsid w:val="00007150"/>
    <w:rsid w:val="0000754D"/>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C3F"/>
    <w:rsid w:val="00015094"/>
    <w:rsid w:val="00015201"/>
    <w:rsid w:val="000153BA"/>
    <w:rsid w:val="000153FB"/>
    <w:rsid w:val="00015841"/>
    <w:rsid w:val="0001596F"/>
    <w:rsid w:val="000162EB"/>
    <w:rsid w:val="000168FD"/>
    <w:rsid w:val="0001697B"/>
    <w:rsid w:val="000170E0"/>
    <w:rsid w:val="0001725E"/>
    <w:rsid w:val="00017321"/>
    <w:rsid w:val="000177D6"/>
    <w:rsid w:val="00017A3C"/>
    <w:rsid w:val="00017B01"/>
    <w:rsid w:val="00017C22"/>
    <w:rsid w:val="000204C0"/>
    <w:rsid w:val="000207FF"/>
    <w:rsid w:val="00021094"/>
    <w:rsid w:val="000210B6"/>
    <w:rsid w:val="00021274"/>
    <w:rsid w:val="000215B4"/>
    <w:rsid w:val="000218E7"/>
    <w:rsid w:val="00021D0E"/>
    <w:rsid w:val="00022497"/>
    <w:rsid w:val="00022960"/>
    <w:rsid w:val="00022963"/>
    <w:rsid w:val="000229E9"/>
    <w:rsid w:val="00022D23"/>
    <w:rsid w:val="0002326C"/>
    <w:rsid w:val="000238F1"/>
    <w:rsid w:val="00023D63"/>
    <w:rsid w:val="00023ECD"/>
    <w:rsid w:val="00024160"/>
    <w:rsid w:val="00024505"/>
    <w:rsid w:val="00024BD1"/>
    <w:rsid w:val="00024FF9"/>
    <w:rsid w:val="00025173"/>
    <w:rsid w:val="0002558D"/>
    <w:rsid w:val="000255C4"/>
    <w:rsid w:val="00025A88"/>
    <w:rsid w:val="0002604F"/>
    <w:rsid w:val="00026B9D"/>
    <w:rsid w:val="00026D10"/>
    <w:rsid w:val="00030363"/>
    <w:rsid w:val="0003049A"/>
    <w:rsid w:val="0003063A"/>
    <w:rsid w:val="000308B5"/>
    <w:rsid w:val="000308B7"/>
    <w:rsid w:val="00031493"/>
    <w:rsid w:val="00031F6B"/>
    <w:rsid w:val="000320D1"/>
    <w:rsid w:val="00032A92"/>
    <w:rsid w:val="00032C0A"/>
    <w:rsid w:val="00033E27"/>
    <w:rsid w:val="00034589"/>
    <w:rsid w:val="000349E1"/>
    <w:rsid w:val="00034AF1"/>
    <w:rsid w:val="00034C0D"/>
    <w:rsid w:val="00034E1E"/>
    <w:rsid w:val="00034EA9"/>
    <w:rsid w:val="0003513F"/>
    <w:rsid w:val="000353D3"/>
    <w:rsid w:val="000356FE"/>
    <w:rsid w:val="00035809"/>
    <w:rsid w:val="0003652C"/>
    <w:rsid w:val="0003655F"/>
    <w:rsid w:val="00036917"/>
    <w:rsid w:val="000369B0"/>
    <w:rsid w:val="00036A7E"/>
    <w:rsid w:val="00036B7F"/>
    <w:rsid w:val="00036BA0"/>
    <w:rsid w:val="00036CA3"/>
    <w:rsid w:val="00036D66"/>
    <w:rsid w:val="00036F5A"/>
    <w:rsid w:val="00037185"/>
    <w:rsid w:val="00037244"/>
    <w:rsid w:val="00037412"/>
    <w:rsid w:val="00037D4B"/>
    <w:rsid w:val="00040598"/>
    <w:rsid w:val="0004099B"/>
    <w:rsid w:val="00040CD7"/>
    <w:rsid w:val="00041850"/>
    <w:rsid w:val="000419E8"/>
    <w:rsid w:val="00041CA7"/>
    <w:rsid w:val="00041D4F"/>
    <w:rsid w:val="0004294D"/>
    <w:rsid w:val="0004297D"/>
    <w:rsid w:val="00042A9D"/>
    <w:rsid w:val="00042B75"/>
    <w:rsid w:val="00042DC8"/>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B92"/>
    <w:rsid w:val="00050C58"/>
    <w:rsid w:val="00051004"/>
    <w:rsid w:val="000510A6"/>
    <w:rsid w:val="00051399"/>
    <w:rsid w:val="0005146C"/>
    <w:rsid w:val="00051803"/>
    <w:rsid w:val="00051996"/>
    <w:rsid w:val="00051E62"/>
    <w:rsid w:val="00052A01"/>
    <w:rsid w:val="00052AAD"/>
    <w:rsid w:val="00052AD8"/>
    <w:rsid w:val="00053226"/>
    <w:rsid w:val="00053512"/>
    <w:rsid w:val="000535FF"/>
    <w:rsid w:val="00053968"/>
    <w:rsid w:val="00053A80"/>
    <w:rsid w:val="00053F7D"/>
    <w:rsid w:val="0005431C"/>
    <w:rsid w:val="00054330"/>
    <w:rsid w:val="000544B8"/>
    <w:rsid w:val="00054802"/>
    <w:rsid w:val="00054B26"/>
    <w:rsid w:val="00055096"/>
    <w:rsid w:val="0005516C"/>
    <w:rsid w:val="000552D6"/>
    <w:rsid w:val="000556F4"/>
    <w:rsid w:val="0005570A"/>
    <w:rsid w:val="0005606A"/>
    <w:rsid w:val="000576E7"/>
    <w:rsid w:val="000577C2"/>
    <w:rsid w:val="0006005D"/>
    <w:rsid w:val="0006007F"/>
    <w:rsid w:val="00060098"/>
    <w:rsid w:val="00060759"/>
    <w:rsid w:val="00060BBF"/>
    <w:rsid w:val="00061310"/>
    <w:rsid w:val="00062572"/>
    <w:rsid w:val="00062C27"/>
    <w:rsid w:val="00062C39"/>
    <w:rsid w:val="0006395F"/>
    <w:rsid w:val="00063BB3"/>
    <w:rsid w:val="00063DB4"/>
    <w:rsid w:val="00063F2A"/>
    <w:rsid w:val="000645E4"/>
    <w:rsid w:val="000651E3"/>
    <w:rsid w:val="00065686"/>
    <w:rsid w:val="00065789"/>
    <w:rsid w:val="00065803"/>
    <w:rsid w:val="000658B4"/>
    <w:rsid w:val="00065B07"/>
    <w:rsid w:val="00065BA8"/>
    <w:rsid w:val="00066BEA"/>
    <w:rsid w:val="00066F48"/>
    <w:rsid w:val="00067440"/>
    <w:rsid w:val="000674E3"/>
    <w:rsid w:val="000675E7"/>
    <w:rsid w:val="00070029"/>
    <w:rsid w:val="0007005B"/>
    <w:rsid w:val="00070410"/>
    <w:rsid w:val="00070A1A"/>
    <w:rsid w:val="00070ACC"/>
    <w:rsid w:val="00070B0D"/>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0EFB"/>
    <w:rsid w:val="000816A7"/>
    <w:rsid w:val="0008199D"/>
    <w:rsid w:val="00081B09"/>
    <w:rsid w:val="00082029"/>
    <w:rsid w:val="0008359F"/>
    <w:rsid w:val="00083A37"/>
    <w:rsid w:val="00083FA1"/>
    <w:rsid w:val="000851E1"/>
    <w:rsid w:val="00085AB3"/>
    <w:rsid w:val="00085BB8"/>
    <w:rsid w:val="00085E52"/>
    <w:rsid w:val="00085F04"/>
    <w:rsid w:val="000865EF"/>
    <w:rsid w:val="00086876"/>
    <w:rsid w:val="0008693F"/>
    <w:rsid w:val="00087018"/>
    <w:rsid w:val="00087326"/>
    <w:rsid w:val="0008771C"/>
    <w:rsid w:val="000879AE"/>
    <w:rsid w:val="0009000D"/>
    <w:rsid w:val="0009015D"/>
    <w:rsid w:val="00090592"/>
    <w:rsid w:val="00090F34"/>
    <w:rsid w:val="000910D1"/>
    <w:rsid w:val="0009193E"/>
    <w:rsid w:val="0009248B"/>
    <w:rsid w:val="00092A47"/>
    <w:rsid w:val="00092EAD"/>
    <w:rsid w:val="0009342D"/>
    <w:rsid w:val="000934B9"/>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349"/>
    <w:rsid w:val="000A53CA"/>
    <w:rsid w:val="000A5602"/>
    <w:rsid w:val="000A5638"/>
    <w:rsid w:val="000A58D2"/>
    <w:rsid w:val="000A5C42"/>
    <w:rsid w:val="000A5FDE"/>
    <w:rsid w:val="000A6556"/>
    <w:rsid w:val="000A66EB"/>
    <w:rsid w:val="000A7696"/>
    <w:rsid w:val="000A77AC"/>
    <w:rsid w:val="000A78A3"/>
    <w:rsid w:val="000A7C3A"/>
    <w:rsid w:val="000A7DAA"/>
    <w:rsid w:val="000A7F5E"/>
    <w:rsid w:val="000B0341"/>
    <w:rsid w:val="000B0BF0"/>
    <w:rsid w:val="000B1874"/>
    <w:rsid w:val="000B18DD"/>
    <w:rsid w:val="000B1ED2"/>
    <w:rsid w:val="000B225C"/>
    <w:rsid w:val="000B2260"/>
    <w:rsid w:val="000B297E"/>
    <w:rsid w:val="000B298B"/>
    <w:rsid w:val="000B2EF9"/>
    <w:rsid w:val="000B3E44"/>
    <w:rsid w:val="000B3E58"/>
    <w:rsid w:val="000B429E"/>
    <w:rsid w:val="000B43B6"/>
    <w:rsid w:val="000B4505"/>
    <w:rsid w:val="000B4588"/>
    <w:rsid w:val="000B4706"/>
    <w:rsid w:val="000B4D24"/>
    <w:rsid w:val="000B58C5"/>
    <w:rsid w:val="000B5D35"/>
    <w:rsid w:val="000B628B"/>
    <w:rsid w:val="000B6AAD"/>
    <w:rsid w:val="000B6B64"/>
    <w:rsid w:val="000B7154"/>
    <w:rsid w:val="000B76C1"/>
    <w:rsid w:val="000B77E7"/>
    <w:rsid w:val="000B78DF"/>
    <w:rsid w:val="000C07A1"/>
    <w:rsid w:val="000C0868"/>
    <w:rsid w:val="000C0AD8"/>
    <w:rsid w:val="000C0B15"/>
    <w:rsid w:val="000C0B23"/>
    <w:rsid w:val="000C0F75"/>
    <w:rsid w:val="000C13D8"/>
    <w:rsid w:val="000C173A"/>
    <w:rsid w:val="000C182C"/>
    <w:rsid w:val="000C1C8E"/>
    <w:rsid w:val="000C1D13"/>
    <w:rsid w:val="000C223F"/>
    <w:rsid w:val="000C24B0"/>
    <w:rsid w:val="000C28CE"/>
    <w:rsid w:val="000C3EFE"/>
    <w:rsid w:val="000C4245"/>
    <w:rsid w:val="000C445A"/>
    <w:rsid w:val="000C4500"/>
    <w:rsid w:val="000C46D5"/>
    <w:rsid w:val="000C4CFC"/>
    <w:rsid w:val="000C555B"/>
    <w:rsid w:val="000C5A9A"/>
    <w:rsid w:val="000C5F76"/>
    <w:rsid w:val="000C65DA"/>
    <w:rsid w:val="000C6A51"/>
    <w:rsid w:val="000C6B2C"/>
    <w:rsid w:val="000C6EA9"/>
    <w:rsid w:val="000C70FF"/>
    <w:rsid w:val="000C7131"/>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70A"/>
    <w:rsid w:val="000D410D"/>
    <w:rsid w:val="000D49F6"/>
    <w:rsid w:val="000D4CE2"/>
    <w:rsid w:val="000D5344"/>
    <w:rsid w:val="000D5637"/>
    <w:rsid w:val="000D5906"/>
    <w:rsid w:val="000D5AFA"/>
    <w:rsid w:val="000D5C27"/>
    <w:rsid w:val="000D5D89"/>
    <w:rsid w:val="000D5EC8"/>
    <w:rsid w:val="000D7092"/>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822"/>
    <w:rsid w:val="000E3002"/>
    <w:rsid w:val="000E300F"/>
    <w:rsid w:val="000E363E"/>
    <w:rsid w:val="000E3AAC"/>
    <w:rsid w:val="000E4895"/>
    <w:rsid w:val="000E4A79"/>
    <w:rsid w:val="000E4A8A"/>
    <w:rsid w:val="000E4D78"/>
    <w:rsid w:val="000E5635"/>
    <w:rsid w:val="000E584D"/>
    <w:rsid w:val="000E5D72"/>
    <w:rsid w:val="000E62C8"/>
    <w:rsid w:val="000E634C"/>
    <w:rsid w:val="000E65F1"/>
    <w:rsid w:val="000E6A83"/>
    <w:rsid w:val="000E7243"/>
    <w:rsid w:val="000E72C0"/>
    <w:rsid w:val="000E7BFC"/>
    <w:rsid w:val="000F020D"/>
    <w:rsid w:val="000F07A1"/>
    <w:rsid w:val="000F0DBE"/>
    <w:rsid w:val="000F151F"/>
    <w:rsid w:val="000F1803"/>
    <w:rsid w:val="000F1882"/>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19E"/>
    <w:rsid w:val="000F5256"/>
    <w:rsid w:val="000F536B"/>
    <w:rsid w:val="000F55FE"/>
    <w:rsid w:val="000F581E"/>
    <w:rsid w:val="000F5866"/>
    <w:rsid w:val="000F5975"/>
    <w:rsid w:val="000F5C50"/>
    <w:rsid w:val="000F61F5"/>
    <w:rsid w:val="000F630A"/>
    <w:rsid w:val="000F6626"/>
    <w:rsid w:val="000F6982"/>
    <w:rsid w:val="000F69A0"/>
    <w:rsid w:val="000F6BA9"/>
    <w:rsid w:val="000F6E02"/>
    <w:rsid w:val="000F778B"/>
    <w:rsid w:val="000F7AB8"/>
    <w:rsid w:val="00100784"/>
    <w:rsid w:val="00100C29"/>
    <w:rsid w:val="00100E54"/>
    <w:rsid w:val="001013B5"/>
    <w:rsid w:val="001015D3"/>
    <w:rsid w:val="00101700"/>
    <w:rsid w:val="00101E4E"/>
    <w:rsid w:val="00102565"/>
    <w:rsid w:val="0010285C"/>
    <w:rsid w:val="00102A35"/>
    <w:rsid w:val="00103635"/>
    <w:rsid w:val="001039BB"/>
    <w:rsid w:val="00103CEF"/>
    <w:rsid w:val="00103E1B"/>
    <w:rsid w:val="00104649"/>
    <w:rsid w:val="0010473A"/>
    <w:rsid w:val="00104775"/>
    <w:rsid w:val="00104991"/>
    <w:rsid w:val="00104E4F"/>
    <w:rsid w:val="00105C4F"/>
    <w:rsid w:val="00105DD2"/>
    <w:rsid w:val="00105F0C"/>
    <w:rsid w:val="0010617B"/>
    <w:rsid w:val="00106225"/>
    <w:rsid w:val="00107136"/>
    <w:rsid w:val="001073A6"/>
    <w:rsid w:val="001079A5"/>
    <w:rsid w:val="00110102"/>
    <w:rsid w:val="00110BA1"/>
    <w:rsid w:val="00110FEF"/>
    <w:rsid w:val="0011114F"/>
    <w:rsid w:val="001111C4"/>
    <w:rsid w:val="001111CE"/>
    <w:rsid w:val="001116B1"/>
    <w:rsid w:val="001118A8"/>
    <w:rsid w:val="00111BA3"/>
    <w:rsid w:val="001124FA"/>
    <w:rsid w:val="00112699"/>
    <w:rsid w:val="00112A51"/>
    <w:rsid w:val="001138EB"/>
    <w:rsid w:val="00113DB3"/>
    <w:rsid w:val="00113E98"/>
    <w:rsid w:val="00114EDE"/>
    <w:rsid w:val="00114F69"/>
    <w:rsid w:val="001151AF"/>
    <w:rsid w:val="001152AD"/>
    <w:rsid w:val="0011536A"/>
    <w:rsid w:val="00115480"/>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3173"/>
    <w:rsid w:val="00123ACE"/>
    <w:rsid w:val="00124D03"/>
    <w:rsid w:val="00125224"/>
    <w:rsid w:val="00125590"/>
    <w:rsid w:val="001257E3"/>
    <w:rsid w:val="00125A04"/>
    <w:rsid w:val="001262E5"/>
    <w:rsid w:val="00126817"/>
    <w:rsid w:val="00126ECC"/>
    <w:rsid w:val="00126F18"/>
    <w:rsid w:val="0012709E"/>
    <w:rsid w:val="001274C9"/>
    <w:rsid w:val="00127657"/>
    <w:rsid w:val="0012770E"/>
    <w:rsid w:val="00127CD0"/>
    <w:rsid w:val="00127D96"/>
    <w:rsid w:val="001302F5"/>
    <w:rsid w:val="001309A9"/>
    <w:rsid w:val="00130B44"/>
    <w:rsid w:val="0013141F"/>
    <w:rsid w:val="00131805"/>
    <w:rsid w:val="001318B1"/>
    <w:rsid w:val="00131B04"/>
    <w:rsid w:val="00131D58"/>
    <w:rsid w:val="00131F59"/>
    <w:rsid w:val="001320AA"/>
    <w:rsid w:val="00132581"/>
    <w:rsid w:val="00132594"/>
    <w:rsid w:val="001328B0"/>
    <w:rsid w:val="00132CD2"/>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194"/>
    <w:rsid w:val="001362C4"/>
    <w:rsid w:val="001363D6"/>
    <w:rsid w:val="0013727E"/>
    <w:rsid w:val="00137430"/>
    <w:rsid w:val="00137581"/>
    <w:rsid w:val="00137736"/>
    <w:rsid w:val="00137799"/>
    <w:rsid w:val="00137B00"/>
    <w:rsid w:val="001407A8"/>
    <w:rsid w:val="001412B4"/>
    <w:rsid w:val="0014131E"/>
    <w:rsid w:val="0014195A"/>
    <w:rsid w:val="001426A8"/>
    <w:rsid w:val="00142F4A"/>
    <w:rsid w:val="0014335A"/>
    <w:rsid w:val="001433F7"/>
    <w:rsid w:val="00143452"/>
    <w:rsid w:val="001434D9"/>
    <w:rsid w:val="00143A5A"/>
    <w:rsid w:val="00144703"/>
    <w:rsid w:val="001448BF"/>
    <w:rsid w:val="001450CC"/>
    <w:rsid w:val="0014516B"/>
    <w:rsid w:val="001457D0"/>
    <w:rsid w:val="001460C5"/>
    <w:rsid w:val="0014652D"/>
    <w:rsid w:val="001466CC"/>
    <w:rsid w:val="00146826"/>
    <w:rsid w:val="00146E33"/>
    <w:rsid w:val="00146E5A"/>
    <w:rsid w:val="0014739C"/>
    <w:rsid w:val="0014749C"/>
    <w:rsid w:val="001476DA"/>
    <w:rsid w:val="00147878"/>
    <w:rsid w:val="00147926"/>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D6F"/>
    <w:rsid w:val="00161E66"/>
    <w:rsid w:val="001626EE"/>
    <w:rsid w:val="00162706"/>
    <w:rsid w:val="00162A4E"/>
    <w:rsid w:val="00162E2B"/>
    <w:rsid w:val="0016364C"/>
    <w:rsid w:val="001636D4"/>
    <w:rsid w:val="001637C0"/>
    <w:rsid w:val="001639F6"/>
    <w:rsid w:val="00163C15"/>
    <w:rsid w:val="00163E9D"/>
    <w:rsid w:val="0016417F"/>
    <w:rsid w:val="001642D8"/>
    <w:rsid w:val="001645CC"/>
    <w:rsid w:val="00164BD3"/>
    <w:rsid w:val="00164FE5"/>
    <w:rsid w:val="001650AE"/>
    <w:rsid w:val="00165495"/>
    <w:rsid w:val="00165A5C"/>
    <w:rsid w:val="00165BCA"/>
    <w:rsid w:val="001660DB"/>
    <w:rsid w:val="001666A2"/>
    <w:rsid w:val="0016778D"/>
    <w:rsid w:val="00167CB7"/>
    <w:rsid w:val="00167D0A"/>
    <w:rsid w:val="001700D8"/>
    <w:rsid w:val="00170694"/>
    <w:rsid w:val="001712BC"/>
    <w:rsid w:val="0017151A"/>
    <w:rsid w:val="001717CC"/>
    <w:rsid w:val="001717FA"/>
    <w:rsid w:val="00171921"/>
    <w:rsid w:val="00171A01"/>
    <w:rsid w:val="00171C5D"/>
    <w:rsid w:val="00171CB3"/>
    <w:rsid w:val="00171EBD"/>
    <w:rsid w:val="0017288E"/>
    <w:rsid w:val="00172E69"/>
    <w:rsid w:val="00172E95"/>
    <w:rsid w:val="00173659"/>
    <w:rsid w:val="00173A73"/>
    <w:rsid w:val="00174875"/>
    <w:rsid w:val="00174D20"/>
    <w:rsid w:val="001755CD"/>
    <w:rsid w:val="0017587C"/>
    <w:rsid w:val="00175915"/>
    <w:rsid w:val="00175B58"/>
    <w:rsid w:val="00175BAF"/>
    <w:rsid w:val="00176A36"/>
    <w:rsid w:val="00176B01"/>
    <w:rsid w:val="00176F0E"/>
    <w:rsid w:val="0017772A"/>
    <w:rsid w:val="00177C9E"/>
    <w:rsid w:val="00177D98"/>
    <w:rsid w:val="001800E0"/>
    <w:rsid w:val="0018017E"/>
    <w:rsid w:val="00180197"/>
    <w:rsid w:val="00180EEF"/>
    <w:rsid w:val="00180FCC"/>
    <w:rsid w:val="001811F8"/>
    <w:rsid w:val="00181692"/>
    <w:rsid w:val="00181898"/>
    <w:rsid w:val="00182369"/>
    <w:rsid w:val="001829D3"/>
    <w:rsid w:val="00182E5B"/>
    <w:rsid w:val="00183C29"/>
    <w:rsid w:val="0018406D"/>
    <w:rsid w:val="0018413B"/>
    <w:rsid w:val="00184241"/>
    <w:rsid w:val="001844BA"/>
    <w:rsid w:val="001846E2"/>
    <w:rsid w:val="001847DB"/>
    <w:rsid w:val="00184909"/>
    <w:rsid w:val="001852E6"/>
    <w:rsid w:val="00185D2B"/>
    <w:rsid w:val="00186AD1"/>
    <w:rsid w:val="00186D61"/>
    <w:rsid w:val="00187959"/>
    <w:rsid w:val="00187EEA"/>
    <w:rsid w:val="001903A0"/>
    <w:rsid w:val="001907D3"/>
    <w:rsid w:val="00190CEB"/>
    <w:rsid w:val="0019129D"/>
    <w:rsid w:val="0019145D"/>
    <w:rsid w:val="00191957"/>
    <w:rsid w:val="00191965"/>
    <w:rsid w:val="00191980"/>
    <w:rsid w:val="00192447"/>
    <w:rsid w:val="001924EC"/>
    <w:rsid w:val="001926D5"/>
    <w:rsid w:val="00192724"/>
    <w:rsid w:val="001927F2"/>
    <w:rsid w:val="001929B8"/>
    <w:rsid w:val="00192D05"/>
    <w:rsid w:val="00192D5F"/>
    <w:rsid w:val="001934A2"/>
    <w:rsid w:val="00193A7C"/>
    <w:rsid w:val="00193D6C"/>
    <w:rsid w:val="001941DA"/>
    <w:rsid w:val="001942F8"/>
    <w:rsid w:val="00194D3F"/>
    <w:rsid w:val="001963F6"/>
    <w:rsid w:val="001969EC"/>
    <w:rsid w:val="00196B76"/>
    <w:rsid w:val="00196D67"/>
    <w:rsid w:val="001970CB"/>
    <w:rsid w:val="001970ED"/>
    <w:rsid w:val="0019745A"/>
    <w:rsid w:val="001976BD"/>
    <w:rsid w:val="0019787E"/>
    <w:rsid w:val="001978B6"/>
    <w:rsid w:val="00197B49"/>
    <w:rsid w:val="001A0136"/>
    <w:rsid w:val="001A0349"/>
    <w:rsid w:val="001A07CE"/>
    <w:rsid w:val="001A0C6A"/>
    <w:rsid w:val="001A11E2"/>
    <w:rsid w:val="001A24E9"/>
    <w:rsid w:val="001A259A"/>
    <w:rsid w:val="001A2FD4"/>
    <w:rsid w:val="001A3B16"/>
    <w:rsid w:val="001A3D5F"/>
    <w:rsid w:val="001A403B"/>
    <w:rsid w:val="001A4065"/>
    <w:rsid w:val="001A4AEF"/>
    <w:rsid w:val="001A4D5C"/>
    <w:rsid w:val="001A4E90"/>
    <w:rsid w:val="001A52D7"/>
    <w:rsid w:val="001A5386"/>
    <w:rsid w:val="001A5BAB"/>
    <w:rsid w:val="001A5C21"/>
    <w:rsid w:val="001A616E"/>
    <w:rsid w:val="001A642D"/>
    <w:rsid w:val="001A6518"/>
    <w:rsid w:val="001A66F6"/>
    <w:rsid w:val="001A6D79"/>
    <w:rsid w:val="001A6ED7"/>
    <w:rsid w:val="001A7781"/>
    <w:rsid w:val="001A7E1C"/>
    <w:rsid w:val="001B08F5"/>
    <w:rsid w:val="001B0E91"/>
    <w:rsid w:val="001B11C7"/>
    <w:rsid w:val="001B1761"/>
    <w:rsid w:val="001B177A"/>
    <w:rsid w:val="001B191D"/>
    <w:rsid w:val="001B1993"/>
    <w:rsid w:val="001B1E49"/>
    <w:rsid w:val="001B32D3"/>
    <w:rsid w:val="001B34AF"/>
    <w:rsid w:val="001B386E"/>
    <w:rsid w:val="001B3B34"/>
    <w:rsid w:val="001B3E96"/>
    <w:rsid w:val="001B40BF"/>
    <w:rsid w:val="001B4890"/>
    <w:rsid w:val="001B4C25"/>
    <w:rsid w:val="001B54D7"/>
    <w:rsid w:val="001B5520"/>
    <w:rsid w:val="001B57AC"/>
    <w:rsid w:val="001B6131"/>
    <w:rsid w:val="001B6677"/>
    <w:rsid w:val="001B67F2"/>
    <w:rsid w:val="001B6A9D"/>
    <w:rsid w:val="001B6F19"/>
    <w:rsid w:val="001B7227"/>
    <w:rsid w:val="001B7C56"/>
    <w:rsid w:val="001C0328"/>
    <w:rsid w:val="001C053E"/>
    <w:rsid w:val="001C05F5"/>
    <w:rsid w:val="001C0C30"/>
    <w:rsid w:val="001C0E81"/>
    <w:rsid w:val="001C138E"/>
    <w:rsid w:val="001C13F9"/>
    <w:rsid w:val="001C180F"/>
    <w:rsid w:val="001C1D59"/>
    <w:rsid w:val="001C26BA"/>
    <w:rsid w:val="001C2D42"/>
    <w:rsid w:val="001C2D55"/>
    <w:rsid w:val="001C2D90"/>
    <w:rsid w:val="001C331F"/>
    <w:rsid w:val="001C3860"/>
    <w:rsid w:val="001C3BCF"/>
    <w:rsid w:val="001C41D1"/>
    <w:rsid w:val="001C41E6"/>
    <w:rsid w:val="001C43F9"/>
    <w:rsid w:val="001C45BF"/>
    <w:rsid w:val="001C5680"/>
    <w:rsid w:val="001C5915"/>
    <w:rsid w:val="001C65F7"/>
    <w:rsid w:val="001C6C63"/>
    <w:rsid w:val="001C6E97"/>
    <w:rsid w:val="001C7211"/>
    <w:rsid w:val="001C7221"/>
    <w:rsid w:val="001C7616"/>
    <w:rsid w:val="001C7688"/>
    <w:rsid w:val="001C7900"/>
    <w:rsid w:val="001C7925"/>
    <w:rsid w:val="001C7A1E"/>
    <w:rsid w:val="001C7ACF"/>
    <w:rsid w:val="001C7E90"/>
    <w:rsid w:val="001D01A9"/>
    <w:rsid w:val="001D04BC"/>
    <w:rsid w:val="001D05AC"/>
    <w:rsid w:val="001D07AC"/>
    <w:rsid w:val="001D0D61"/>
    <w:rsid w:val="001D11E0"/>
    <w:rsid w:val="001D11E5"/>
    <w:rsid w:val="001D1325"/>
    <w:rsid w:val="001D136A"/>
    <w:rsid w:val="001D1B34"/>
    <w:rsid w:val="001D1B43"/>
    <w:rsid w:val="001D2210"/>
    <w:rsid w:val="001D2836"/>
    <w:rsid w:val="001D28F2"/>
    <w:rsid w:val="001D2DAF"/>
    <w:rsid w:val="001D32AB"/>
    <w:rsid w:val="001D336C"/>
    <w:rsid w:val="001D33B1"/>
    <w:rsid w:val="001D3561"/>
    <w:rsid w:val="001D39DC"/>
    <w:rsid w:val="001D3BA2"/>
    <w:rsid w:val="001D3C47"/>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E0F"/>
    <w:rsid w:val="001D6FED"/>
    <w:rsid w:val="001D715A"/>
    <w:rsid w:val="001D72CE"/>
    <w:rsid w:val="001E05D1"/>
    <w:rsid w:val="001E0802"/>
    <w:rsid w:val="001E09DC"/>
    <w:rsid w:val="001E0D54"/>
    <w:rsid w:val="001E1363"/>
    <w:rsid w:val="001E14E7"/>
    <w:rsid w:val="001E155D"/>
    <w:rsid w:val="001E1D2C"/>
    <w:rsid w:val="001E1DEC"/>
    <w:rsid w:val="001E1E8E"/>
    <w:rsid w:val="001E1F3A"/>
    <w:rsid w:val="001E21DF"/>
    <w:rsid w:val="001E223D"/>
    <w:rsid w:val="001E28BC"/>
    <w:rsid w:val="001E2D86"/>
    <w:rsid w:val="001E2ED9"/>
    <w:rsid w:val="001E348F"/>
    <w:rsid w:val="001E3726"/>
    <w:rsid w:val="001E3736"/>
    <w:rsid w:val="001E3BAD"/>
    <w:rsid w:val="001E4724"/>
    <w:rsid w:val="001E4C31"/>
    <w:rsid w:val="001E4F76"/>
    <w:rsid w:val="001E5628"/>
    <w:rsid w:val="001E5E04"/>
    <w:rsid w:val="001E6EE7"/>
    <w:rsid w:val="001E73D4"/>
    <w:rsid w:val="001E7EA1"/>
    <w:rsid w:val="001E7F50"/>
    <w:rsid w:val="001F0C12"/>
    <w:rsid w:val="001F164F"/>
    <w:rsid w:val="001F17C9"/>
    <w:rsid w:val="001F1D5C"/>
    <w:rsid w:val="001F1F98"/>
    <w:rsid w:val="001F222B"/>
    <w:rsid w:val="001F248E"/>
    <w:rsid w:val="001F286D"/>
    <w:rsid w:val="001F2BD8"/>
    <w:rsid w:val="001F3A6C"/>
    <w:rsid w:val="001F3AB8"/>
    <w:rsid w:val="001F3BA8"/>
    <w:rsid w:val="001F3E06"/>
    <w:rsid w:val="001F4883"/>
    <w:rsid w:val="001F490E"/>
    <w:rsid w:val="001F5484"/>
    <w:rsid w:val="001F54BF"/>
    <w:rsid w:val="001F58EC"/>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362"/>
    <w:rsid w:val="002035ED"/>
    <w:rsid w:val="00203764"/>
    <w:rsid w:val="00203B86"/>
    <w:rsid w:val="00203EED"/>
    <w:rsid w:val="0020470A"/>
    <w:rsid w:val="0020478B"/>
    <w:rsid w:val="002047A2"/>
    <w:rsid w:val="002049CF"/>
    <w:rsid w:val="0020530E"/>
    <w:rsid w:val="00205896"/>
    <w:rsid w:val="00205FB4"/>
    <w:rsid w:val="002060CF"/>
    <w:rsid w:val="0020611F"/>
    <w:rsid w:val="002067E4"/>
    <w:rsid w:val="002068E5"/>
    <w:rsid w:val="002074A7"/>
    <w:rsid w:val="00207A1A"/>
    <w:rsid w:val="00207CD0"/>
    <w:rsid w:val="0021033C"/>
    <w:rsid w:val="00210987"/>
    <w:rsid w:val="00210B93"/>
    <w:rsid w:val="00211531"/>
    <w:rsid w:val="002116D0"/>
    <w:rsid w:val="00211FF4"/>
    <w:rsid w:val="0021261E"/>
    <w:rsid w:val="00212932"/>
    <w:rsid w:val="0021393F"/>
    <w:rsid w:val="00213D63"/>
    <w:rsid w:val="0021401F"/>
    <w:rsid w:val="002144DE"/>
    <w:rsid w:val="00214764"/>
    <w:rsid w:val="002147AC"/>
    <w:rsid w:val="00214800"/>
    <w:rsid w:val="00214A87"/>
    <w:rsid w:val="00214AFA"/>
    <w:rsid w:val="00214CED"/>
    <w:rsid w:val="00214EFC"/>
    <w:rsid w:val="00214F81"/>
    <w:rsid w:val="0021533F"/>
    <w:rsid w:val="002155E9"/>
    <w:rsid w:val="00215CB9"/>
    <w:rsid w:val="00215E7E"/>
    <w:rsid w:val="00215F63"/>
    <w:rsid w:val="002163A4"/>
    <w:rsid w:val="00216839"/>
    <w:rsid w:val="00216900"/>
    <w:rsid w:val="00216C7D"/>
    <w:rsid w:val="0021755A"/>
    <w:rsid w:val="002177AD"/>
    <w:rsid w:val="00217ECC"/>
    <w:rsid w:val="00217EFD"/>
    <w:rsid w:val="00220046"/>
    <w:rsid w:val="00220798"/>
    <w:rsid w:val="00220950"/>
    <w:rsid w:val="0022113A"/>
    <w:rsid w:val="00221205"/>
    <w:rsid w:val="002219C2"/>
    <w:rsid w:val="00221AE3"/>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84E"/>
    <w:rsid w:val="00226B10"/>
    <w:rsid w:val="00227395"/>
    <w:rsid w:val="00227A37"/>
    <w:rsid w:val="00227A75"/>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27C"/>
    <w:rsid w:val="00234476"/>
    <w:rsid w:val="00234B3F"/>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A37"/>
    <w:rsid w:val="00241C3C"/>
    <w:rsid w:val="00241D18"/>
    <w:rsid w:val="00241E41"/>
    <w:rsid w:val="00241ED3"/>
    <w:rsid w:val="002421A1"/>
    <w:rsid w:val="002424BA"/>
    <w:rsid w:val="00242783"/>
    <w:rsid w:val="002427B2"/>
    <w:rsid w:val="00242B4A"/>
    <w:rsid w:val="00242EEC"/>
    <w:rsid w:val="0024369A"/>
    <w:rsid w:val="002437AC"/>
    <w:rsid w:val="00243AA3"/>
    <w:rsid w:val="00243E5D"/>
    <w:rsid w:val="002446D1"/>
    <w:rsid w:val="00244932"/>
    <w:rsid w:val="00245256"/>
    <w:rsid w:val="00245279"/>
    <w:rsid w:val="00245334"/>
    <w:rsid w:val="0024535B"/>
    <w:rsid w:val="00245A2B"/>
    <w:rsid w:val="00245DC7"/>
    <w:rsid w:val="00245E77"/>
    <w:rsid w:val="00245FA6"/>
    <w:rsid w:val="00246047"/>
    <w:rsid w:val="00246685"/>
    <w:rsid w:val="002466A4"/>
    <w:rsid w:val="0024680D"/>
    <w:rsid w:val="00246D90"/>
    <w:rsid w:val="00247137"/>
    <w:rsid w:val="002471F5"/>
    <w:rsid w:val="002475DE"/>
    <w:rsid w:val="00247CAB"/>
    <w:rsid w:val="00250266"/>
    <w:rsid w:val="0025052C"/>
    <w:rsid w:val="00251290"/>
    <w:rsid w:val="00251597"/>
    <w:rsid w:val="00251A3F"/>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FF"/>
    <w:rsid w:val="0025540B"/>
    <w:rsid w:val="00255500"/>
    <w:rsid w:val="00255829"/>
    <w:rsid w:val="002562B7"/>
    <w:rsid w:val="00256791"/>
    <w:rsid w:val="00256865"/>
    <w:rsid w:val="00256A54"/>
    <w:rsid w:val="00256D53"/>
    <w:rsid w:val="00256FD7"/>
    <w:rsid w:val="002571EE"/>
    <w:rsid w:val="0025768A"/>
    <w:rsid w:val="002578E7"/>
    <w:rsid w:val="002579DA"/>
    <w:rsid w:val="0026006F"/>
    <w:rsid w:val="00260A20"/>
    <w:rsid w:val="002611EE"/>
    <w:rsid w:val="002613C9"/>
    <w:rsid w:val="0026155B"/>
    <w:rsid w:val="00261A84"/>
    <w:rsid w:val="00261FB4"/>
    <w:rsid w:val="00262465"/>
    <w:rsid w:val="002627D8"/>
    <w:rsid w:val="00262999"/>
    <w:rsid w:val="00262B54"/>
    <w:rsid w:val="00262BBF"/>
    <w:rsid w:val="00263086"/>
    <w:rsid w:val="00263496"/>
    <w:rsid w:val="002634AA"/>
    <w:rsid w:val="00263663"/>
    <w:rsid w:val="002638B8"/>
    <w:rsid w:val="00263B71"/>
    <w:rsid w:val="002640C8"/>
    <w:rsid w:val="00264F82"/>
    <w:rsid w:val="002652DA"/>
    <w:rsid w:val="0026542C"/>
    <w:rsid w:val="0026552C"/>
    <w:rsid w:val="0026563C"/>
    <w:rsid w:val="0026574F"/>
    <w:rsid w:val="00265D6F"/>
    <w:rsid w:val="002666FF"/>
    <w:rsid w:val="00266A6E"/>
    <w:rsid w:val="00266F8D"/>
    <w:rsid w:val="00266FAE"/>
    <w:rsid w:val="00267668"/>
    <w:rsid w:val="002677C6"/>
    <w:rsid w:val="002677DF"/>
    <w:rsid w:val="00267CBB"/>
    <w:rsid w:val="00267DE8"/>
    <w:rsid w:val="00270141"/>
    <w:rsid w:val="002707C5"/>
    <w:rsid w:val="00270A2A"/>
    <w:rsid w:val="00270A6F"/>
    <w:rsid w:val="00271040"/>
    <w:rsid w:val="00271733"/>
    <w:rsid w:val="00271A55"/>
    <w:rsid w:val="002725AA"/>
    <w:rsid w:val="00272AF9"/>
    <w:rsid w:val="00272B4D"/>
    <w:rsid w:val="00273153"/>
    <w:rsid w:val="00273273"/>
    <w:rsid w:val="00273281"/>
    <w:rsid w:val="002739BF"/>
    <w:rsid w:val="002741F9"/>
    <w:rsid w:val="00274932"/>
    <w:rsid w:val="00274CE1"/>
    <w:rsid w:val="00276469"/>
    <w:rsid w:val="00276D5F"/>
    <w:rsid w:val="00277029"/>
    <w:rsid w:val="002772ED"/>
    <w:rsid w:val="002774B0"/>
    <w:rsid w:val="002778B9"/>
    <w:rsid w:val="00277E36"/>
    <w:rsid w:val="00280422"/>
    <w:rsid w:val="00280821"/>
    <w:rsid w:val="0028089A"/>
    <w:rsid w:val="00280A7C"/>
    <w:rsid w:val="002816E7"/>
    <w:rsid w:val="0028180B"/>
    <w:rsid w:val="00281948"/>
    <w:rsid w:val="00281A00"/>
    <w:rsid w:val="00281A86"/>
    <w:rsid w:val="00281AF8"/>
    <w:rsid w:val="00281C1A"/>
    <w:rsid w:val="00282097"/>
    <w:rsid w:val="002822BB"/>
    <w:rsid w:val="00282A0A"/>
    <w:rsid w:val="00282C9F"/>
    <w:rsid w:val="00282E21"/>
    <w:rsid w:val="00283849"/>
    <w:rsid w:val="00283A3F"/>
    <w:rsid w:val="00283ACC"/>
    <w:rsid w:val="00283B6A"/>
    <w:rsid w:val="00283E42"/>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3F"/>
    <w:rsid w:val="0029508A"/>
    <w:rsid w:val="00295445"/>
    <w:rsid w:val="002956F0"/>
    <w:rsid w:val="00295ED5"/>
    <w:rsid w:val="00295FA4"/>
    <w:rsid w:val="00296221"/>
    <w:rsid w:val="00296443"/>
    <w:rsid w:val="00296C72"/>
    <w:rsid w:val="00296D1F"/>
    <w:rsid w:val="002972E7"/>
    <w:rsid w:val="0029739C"/>
    <w:rsid w:val="002974E4"/>
    <w:rsid w:val="00297523"/>
    <w:rsid w:val="00297A0D"/>
    <w:rsid w:val="00297CC5"/>
    <w:rsid w:val="00297F5A"/>
    <w:rsid w:val="002A0239"/>
    <w:rsid w:val="002A1130"/>
    <w:rsid w:val="002A1478"/>
    <w:rsid w:val="002A1530"/>
    <w:rsid w:val="002A161C"/>
    <w:rsid w:val="002A172C"/>
    <w:rsid w:val="002A1AD9"/>
    <w:rsid w:val="002A1C52"/>
    <w:rsid w:val="002A28B7"/>
    <w:rsid w:val="002A2EC0"/>
    <w:rsid w:val="002A336C"/>
    <w:rsid w:val="002A3445"/>
    <w:rsid w:val="002A3756"/>
    <w:rsid w:val="002A3882"/>
    <w:rsid w:val="002A43B7"/>
    <w:rsid w:val="002A4692"/>
    <w:rsid w:val="002A479B"/>
    <w:rsid w:val="002A4A74"/>
    <w:rsid w:val="002A4BAD"/>
    <w:rsid w:val="002A4D6E"/>
    <w:rsid w:val="002A4FC2"/>
    <w:rsid w:val="002A56A3"/>
    <w:rsid w:val="002A5BC8"/>
    <w:rsid w:val="002A5CEB"/>
    <w:rsid w:val="002A5E8A"/>
    <w:rsid w:val="002A66D0"/>
    <w:rsid w:val="002A6A29"/>
    <w:rsid w:val="002A6CD1"/>
    <w:rsid w:val="002A6FB9"/>
    <w:rsid w:val="002A6FE8"/>
    <w:rsid w:val="002A701B"/>
    <w:rsid w:val="002B00CA"/>
    <w:rsid w:val="002B020E"/>
    <w:rsid w:val="002B05D9"/>
    <w:rsid w:val="002B09B9"/>
    <w:rsid w:val="002B0F8F"/>
    <w:rsid w:val="002B15B9"/>
    <w:rsid w:val="002B1697"/>
    <w:rsid w:val="002B188E"/>
    <w:rsid w:val="002B1AFF"/>
    <w:rsid w:val="002B1BEC"/>
    <w:rsid w:val="002B1F13"/>
    <w:rsid w:val="002B1FA9"/>
    <w:rsid w:val="002B3311"/>
    <w:rsid w:val="002B3AE6"/>
    <w:rsid w:val="002B3B37"/>
    <w:rsid w:val="002B3C12"/>
    <w:rsid w:val="002B3EE7"/>
    <w:rsid w:val="002B3F77"/>
    <w:rsid w:val="002B4365"/>
    <w:rsid w:val="002B46A5"/>
    <w:rsid w:val="002B4ADC"/>
    <w:rsid w:val="002B552E"/>
    <w:rsid w:val="002B559C"/>
    <w:rsid w:val="002B5912"/>
    <w:rsid w:val="002B5E3F"/>
    <w:rsid w:val="002B6306"/>
    <w:rsid w:val="002B6AA4"/>
    <w:rsid w:val="002B6C9C"/>
    <w:rsid w:val="002B6D86"/>
    <w:rsid w:val="002B6F2A"/>
    <w:rsid w:val="002B7736"/>
    <w:rsid w:val="002B7761"/>
    <w:rsid w:val="002B7B1E"/>
    <w:rsid w:val="002C01F4"/>
    <w:rsid w:val="002C0624"/>
    <w:rsid w:val="002C099D"/>
    <w:rsid w:val="002C0FB0"/>
    <w:rsid w:val="002C15FC"/>
    <w:rsid w:val="002C16F6"/>
    <w:rsid w:val="002C17EE"/>
    <w:rsid w:val="002C2011"/>
    <w:rsid w:val="002C21C0"/>
    <w:rsid w:val="002C263A"/>
    <w:rsid w:val="002C3195"/>
    <w:rsid w:val="002C32FB"/>
    <w:rsid w:val="002C358C"/>
    <w:rsid w:val="002C3AAC"/>
    <w:rsid w:val="002C3BC5"/>
    <w:rsid w:val="002C3D6C"/>
    <w:rsid w:val="002C3DAA"/>
    <w:rsid w:val="002C42A4"/>
    <w:rsid w:val="002C47AF"/>
    <w:rsid w:val="002C49D3"/>
    <w:rsid w:val="002C50FB"/>
    <w:rsid w:val="002C5211"/>
    <w:rsid w:val="002C53F1"/>
    <w:rsid w:val="002C54EB"/>
    <w:rsid w:val="002C5502"/>
    <w:rsid w:val="002C56B8"/>
    <w:rsid w:val="002C5918"/>
    <w:rsid w:val="002C5D4D"/>
    <w:rsid w:val="002C5E47"/>
    <w:rsid w:val="002C5F8D"/>
    <w:rsid w:val="002C637B"/>
    <w:rsid w:val="002C6418"/>
    <w:rsid w:val="002C6845"/>
    <w:rsid w:val="002C6882"/>
    <w:rsid w:val="002C6C6D"/>
    <w:rsid w:val="002C761F"/>
    <w:rsid w:val="002D03B2"/>
    <w:rsid w:val="002D0973"/>
    <w:rsid w:val="002D110B"/>
    <w:rsid w:val="002D1819"/>
    <w:rsid w:val="002D1DDE"/>
    <w:rsid w:val="002D1FA1"/>
    <w:rsid w:val="002D1FF5"/>
    <w:rsid w:val="002D27A8"/>
    <w:rsid w:val="002D2BB2"/>
    <w:rsid w:val="002D2BD1"/>
    <w:rsid w:val="002D2D1C"/>
    <w:rsid w:val="002D312F"/>
    <w:rsid w:val="002D31D3"/>
    <w:rsid w:val="002D3937"/>
    <w:rsid w:val="002D3CCD"/>
    <w:rsid w:val="002D3D95"/>
    <w:rsid w:val="002D3E31"/>
    <w:rsid w:val="002D40CB"/>
    <w:rsid w:val="002D457B"/>
    <w:rsid w:val="002D469E"/>
    <w:rsid w:val="002D4A72"/>
    <w:rsid w:val="002D4B2F"/>
    <w:rsid w:val="002D4BD0"/>
    <w:rsid w:val="002D5818"/>
    <w:rsid w:val="002D5A40"/>
    <w:rsid w:val="002D5E62"/>
    <w:rsid w:val="002D621C"/>
    <w:rsid w:val="002D66C6"/>
    <w:rsid w:val="002D6ADB"/>
    <w:rsid w:val="002D6BFF"/>
    <w:rsid w:val="002D6FDC"/>
    <w:rsid w:val="002D70E4"/>
    <w:rsid w:val="002D723A"/>
    <w:rsid w:val="002D765F"/>
    <w:rsid w:val="002D7F16"/>
    <w:rsid w:val="002E00DF"/>
    <w:rsid w:val="002E04CC"/>
    <w:rsid w:val="002E0D7C"/>
    <w:rsid w:val="002E123B"/>
    <w:rsid w:val="002E12C7"/>
    <w:rsid w:val="002E1F06"/>
    <w:rsid w:val="002E2B88"/>
    <w:rsid w:val="002E2D3F"/>
    <w:rsid w:val="002E44B6"/>
    <w:rsid w:val="002E477C"/>
    <w:rsid w:val="002E47CE"/>
    <w:rsid w:val="002E4907"/>
    <w:rsid w:val="002E535F"/>
    <w:rsid w:val="002E5970"/>
    <w:rsid w:val="002E606B"/>
    <w:rsid w:val="002E6EA6"/>
    <w:rsid w:val="002E72CA"/>
    <w:rsid w:val="002E7306"/>
    <w:rsid w:val="002E731C"/>
    <w:rsid w:val="002E798B"/>
    <w:rsid w:val="002E7D4D"/>
    <w:rsid w:val="002E7E68"/>
    <w:rsid w:val="002F0014"/>
    <w:rsid w:val="002F03AC"/>
    <w:rsid w:val="002F0478"/>
    <w:rsid w:val="002F0873"/>
    <w:rsid w:val="002F1860"/>
    <w:rsid w:val="002F2567"/>
    <w:rsid w:val="002F2761"/>
    <w:rsid w:val="002F2831"/>
    <w:rsid w:val="002F2C0C"/>
    <w:rsid w:val="002F2F1B"/>
    <w:rsid w:val="002F3B30"/>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FE3"/>
    <w:rsid w:val="003014C1"/>
    <w:rsid w:val="0030161F"/>
    <w:rsid w:val="00301817"/>
    <w:rsid w:val="00301AF4"/>
    <w:rsid w:val="00301D73"/>
    <w:rsid w:val="003024A4"/>
    <w:rsid w:val="0030260F"/>
    <w:rsid w:val="00302AA6"/>
    <w:rsid w:val="00302B3F"/>
    <w:rsid w:val="00302CAF"/>
    <w:rsid w:val="00302D80"/>
    <w:rsid w:val="003038F0"/>
    <w:rsid w:val="00303DE3"/>
    <w:rsid w:val="00303F0A"/>
    <w:rsid w:val="00303F2A"/>
    <w:rsid w:val="0030413A"/>
    <w:rsid w:val="003048FA"/>
    <w:rsid w:val="003048FF"/>
    <w:rsid w:val="00304DCB"/>
    <w:rsid w:val="003055C7"/>
    <w:rsid w:val="00305812"/>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F0"/>
    <w:rsid w:val="003136C7"/>
    <w:rsid w:val="003136D9"/>
    <w:rsid w:val="00313C88"/>
    <w:rsid w:val="00313D0D"/>
    <w:rsid w:val="00313F9A"/>
    <w:rsid w:val="0031439B"/>
    <w:rsid w:val="00314C28"/>
    <w:rsid w:val="003153CA"/>
    <w:rsid w:val="003156B1"/>
    <w:rsid w:val="00315AEA"/>
    <w:rsid w:val="00316249"/>
    <w:rsid w:val="0031633D"/>
    <w:rsid w:val="0031633F"/>
    <w:rsid w:val="003164DC"/>
    <w:rsid w:val="00316520"/>
    <w:rsid w:val="0031664F"/>
    <w:rsid w:val="0031689A"/>
    <w:rsid w:val="003168E3"/>
    <w:rsid w:val="00316D77"/>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46B"/>
    <w:rsid w:val="00326A52"/>
    <w:rsid w:val="00326AFB"/>
    <w:rsid w:val="00327109"/>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3D7"/>
    <w:rsid w:val="00334570"/>
    <w:rsid w:val="00334799"/>
    <w:rsid w:val="003347F5"/>
    <w:rsid w:val="003348AC"/>
    <w:rsid w:val="0033503B"/>
    <w:rsid w:val="00335C0B"/>
    <w:rsid w:val="00335C0F"/>
    <w:rsid w:val="00335D7D"/>
    <w:rsid w:val="0033628A"/>
    <w:rsid w:val="00336346"/>
    <w:rsid w:val="00336428"/>
    <w:rsid w:val="00337220"/>
    <w:rsid w:val="0033779A"/>
    <w:rsid w:val="003377D9"/>
    <w:rsid w:val="003405C7"/>
    <w:rsid w:val="003413DE"/>
    <w:rsid w:val="00341868"/>
    <w:rsid w:val="003424C8"/>
    <w:rsid w:val="00342697"/>
    <w:rsid w:val="00342FD0"/>
    <w:rsid w:val="00343152"/>
    <w:rsid w:val="003432DD"/>
    <w:rsid w:val="003437DF"/>
    <w:rsid w:val="00343ABB"/>
    <w:rsid w:val="003441DE"/>
    <w:rsid w:val="003447A8"/>
    <w:rsid w:val="003450EF"/>
    <w:rsid w:val="003453FA"/>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DC3"/>
    <w:rsid w:val="00350433"/>
    <w:rsid w:val="00350BDE"/>
    <w:rsid w:val="00351357"/>
    <w:rsid w:val="003514EE"/>
    <w:rsid w:val="003517CD"/>
    <w:rsid w:val="00351818"/>
    <w:rsid w:val="0035189E"/>
    <w:rsid w:val="003518C8"/>
    <w:rsid w:val="00351A9E"/>
    <w:rsid w:val="00351E1D"/>
    <w:rsid w:val="00351F47"/>
    <w:rsid w:val="00352596"/>
    <w:rsid w:val="00352704"/>
    <w:rsid w:val="0035270E"/>
    <w:rsid w:val="0035274A"/>
    <w:rsid w:val="00352B3D"/>
    <w:rsid w:val="00352F7E"/>
    <w:rsid w:val="00353160"/>
    <w:rsid w:val="00353982"/>
    <w:rsid w:val="00353A70"/>
    <w:rsid w:val="00353B08"/>
    <w:rsid w:val="00353D0E"/>
    <w:rsid w:val="00353FA7"/>
    <w:rsid w:val="0035417F"/>
    <w:rsid w:val="003542F2"/>
    <w:rsid w:val="00354310"/>
    <w:rsid w:val="00354495"/>
    <w:rsid w:val="003544DC"/>
    <w:rsid w:val="0035461A"/>
    <w:rsid w:val="003548B4"/>
    <w:rsid w:val="00354901"/>
    <w:rsid w:val="00354F52"/>
    <w:rsid w:val="00354FD3"/>
    <w:rsid w:val="003553F9"/>
    <w:rsid w:val="00355411"/>
    <w:rsid w:val="003557E8"/>
    <w:rsid w:val="00355DF2"/>
    <w:rsid w:val="0035639D"/>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AA"/>
    <w:rsid w:val="00361DBF"/>
    <w:rsid w:val="0036224C"/>
    <w:rsid w:val="00362538"/>
    <w:rsid w:val="003626F0"/>
    <w:rsid w:val="003629F2"/>
    <w:rsid w:val="00362B2F"/>
    <w:rsid w:val="00363117"/>
    <w:rsid w:val="0036380F"/>
    <w:rsid w:val="00363F17"/>
    <w:rsid w:val="00364D5A"/>
    <w:rsid w:val="00365389"/>
    <w:rsid w:val="003659CB"/>
    <w:rsid w:val="00365AB1"/>
    <w:rsid w:val="00366276"/>
    <w:rsid w:val="00366935"/>
    <w:rsid w:val="00366A93"/>
    <w:rsid w:val="00366AE1"/>
    <w:rsid w:val="00366BD3"/>
    <w:rsid w:val="00366D5E"/>
    <w:rsid w:val="003672B2"/>
    <w:rsid w:val="003679BF"/>
    <w:rsid w:val="00367A7B"/>
    <w:rsid w:val="00367D62"/>
    <w:rsid w:val="003705E0"/>
    <w:rsid w:val="00370A5E"/>
    <w:rsid w:val="00370FCE"/>
    <w:rsid w:val="0037147D"/>
    <w:rsid w:val="00371AAA"/>
    <w:rsid w:val="0037247A"/>
    <w:rsid w:val="00373A77"/>
    <w:rsid w:val="00373D54"/>
    <w:rsid w:val="00373E31"/>
    <w:rsid w:val="0037421F"/>
    <w:rsid w:val="00374603"/>
    <w:rsid w:val="003746EA"/>
    <w:rsid w:val="00374817"/>
    <w:rsid w:val="00374BA9"/>
    <w:rsid w:val="00374D4A"/>
    <w:rsid w:val="00374D54"/>
    <w:rsid w:val="00375073"/>
    <w:rsid w:val="003757AA"/>
    <w:rsid w:val="003759EA"/>
    <w:rsid w:val="00375BEA"/>
    <w:rsid w:val="00375F8D"/>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EC"/>
    <w:rsid w:val="00386F98"/>
    <w:rsid w:val="0038708F"/>
    <w:rsid w:val="003872C9"/>
    <w:rsid w:val="0038752D"/>
    <w:rsid w:val="00387B1F"/>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3200"/>
    <w:rsid w:val="00393433"/>
    <w:rsid w:val="0039370A"/>
    <w:rsid w:val="00394206"/>
    <w:rsid w:val="003947D1"/>
    <w:rsid w:val="00394AF9"/>
    <w:rsid w:val="00395267"/>
    <w:rsid w:val="0039580B"/>
    <w:rsid w:val="00395D5F"/>
    <w:rsid w:val="00396307"/>
    <w:rsid w:val="0039644C"/>
    <w:rsid w:val="00396491"/>
    <w:rsid w:val="00396DAF"/>
    <w:rsid w:val="003973FA"/>
    <w:rsid w:val="00397613"/>
    <w:rsid w:val="003A07D5"/>
    <w:rsid w:val="003A0B58"/>
    <w:rsid w:val="003A19B6"/>
    <w:rsid w:val="003A1AE7"/>
    <w:rsid w:val="003A1D2C"/>
    <w:rsid w:val="003A20B8"/>
    <w:rsid w:val="003A290E"/>
    <w:rsid w:val="003A323F"/>
    <w:rsid w:val="003A360D"/>
    <w:rsid w:val="003A4481"/>
    <w:rsid w:val="003A469F"/>
    <w:rsid w:val="003A4E01"/>
    <w:rsid w:val="003A4F2B"/>
    <w:rsid w:val="003A5132"/>
    <w:rsid w:val="003A560A"/>
    <w:rsid w:val="003A67B1"/>
    <w:rsid w:val="003A68FF"/>
    <w:rsid w:val="003A699A"/>
    <w:rsid w:val="003A6A2D"/>
    <w:rsid w:val="003A6A9C"/>
    <w:rsid w:val="003A6F30"/>
    <w:rsid w:val="003A74E3"/>
    <w:rsid w:val="003A774B"/>
    <w:rsid w:val="003A794F"/>
    <w:rsid w:val="003A7A10"/>
    <w:rsid w:val="003B01A9"/>
    <w:rsid w:val="003B0853"/>
    <w:rsid w:val="003B1062"/>
    <w:rsid w:val="003B1435"/>
    <w:rsid w:val="003B1946"/>
    <w:rsid w:val="003B1A53"/>
    <w:rsid w:val="003B1E1E"/>
    <w:rsid w:val="003B2BFA"/>
    <w:rsid w:val="003B2EEA"/>
    <w:rsid w:val="003B336C"/>
    <w:rsid w:val="003B3411"/>
    <w:rsid w:val="003B34CD"/>
    <w:rsid w:val="003B3B6A"/>
    <w:rsid w:val="003B3C34"/>
    <w:rsid w:val="003B4330"/>
    <w:rsid w:val="003B439E"/>
    <w:rsid w:val="003B46B7"/>
    <w:rsid w:val="003B4C2D"/>
    <w:rsid w:val="003B51AD"/>
    <w:rsid w:val="003B5BF9"/>
    <w:rsid w:val="003B5C6F"/>
    <w:rsid w:val="003B6971"/>
    <w:rsid w:val="003B69B4"/>
    <w:rsid w:val="003B7EBD"/>
    <w:rsid w:val="003B7ED9"/>
    <w:rsid w:val="003C05AF"/>
    <w:rsid w:val="003C068E"/>
    <w:rsid w:val="003C0EF8"/>
    <w:rsid w:val="003C1509"/>
    <w:rsid w:val="003C182B"/>
    <w:rsid w:val="003C1E65"/>
    <w:rsid w:val="003C1F46"/>
    <w:rsid w:val="003C2334"/>
    <w:rsid w:val="003C2373"/>
    <w:rsid w:val="003C2A89"/>
    <w:rsid w:val="003C2B53"/>
    <w:rsid w:val="003C2F77"/>
    <w:rsid w:val="003C35F2"/>
    <w:rsid w:val="003C37CB"/>
    <w:rsid w:val="003C3BF4"/>
    <w:rsid w:val="003C4235"/>
    <w:rsid w:val="003C4289"/>
    <w:rsid w:val="003C442A"/>
    <w:rsid w:val="003C45F8"/>
    <w:rsid w:val="003C4937"/>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5BA"/>
    <w:rsid w:val="003D0C84"/>
    <w:rsid w:val="003D0F4D"/>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6896"/>
    <w:rsid w:val="003D6AA2"/>
    <w:rsid w:val="003D6D9E"/>
    <w:rsid w:val="003D74A2"/>
    <w:rsid w:val="003D780F"/>
    <w:rsid w:val="003D7E24"/>
    <w:rsid w:val="003E0146"/>
    <w:rsid w:val="003E01F4"/>
    <w:rsid w:val="003E0626"/>
    <w:rsid w:val="003E12E1"/>
    <w:rsid w:val="003E1417"/>
    <w:rsid w:val="003E1C5A"/>
    <w:rsid w:val="003E2216"/>
    <w:rsid w:val="003E3074"/>
    <w:rsid w:val="003E30AB"/>
    <w:rsid w:val="003E3383"/>
    <w:rsid w:val="003E33B6"/>
    <w:rsid w:val="003E402E"/>
    <w:rsid w:val="003E41AA"/>
    <w:rsid w:val="003E44A1"/>
    <w:rsid w:val="003E46A0"/>
    <w:rsid w:val="003E481E"/>
    <w:rsid w:val="003E4C05"/>
    <w:rsid w:val="003E4F11"/>
    <w:rsid w:val="003E5505"/>
    <w:rsid w:val="003E5C8C"/>
    <w:rsid w:val="003E6027"/>
    <w:rsid w:val="003E6B3A"/>
    <w:rsid w:val="003E6F1A"/>
    <w:rsid w:val="003E78A1"/>
    <w:rsid w:val="003E793F"/>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F21"/>
    <w:rsid w:val="003F58CE"/>
    <w:rsid w:val="003F595B"/>
    <w:rsid w:val="003F59F1"/>
    <w:rsid w:val="003F5AE4"/>
    <w:rsid w:val="003F638B"/>
    <w:rsid w:val="003F68DA"/>
    <w:rsid w:val="003F6E73"/>
    <w:rsid w:val="003F748D"/>
    <w:rsid w:val="003F77D0"/>
    <w:rsid w:val="00400308"/>
    <w:rsid w:val="00400835"/>
    <w:rsid w:val="0040110B"/>
    <w:rsid w:val="004011EA"/>
    <w:rsid w:val="00401452"/>
    <w:rsid w:val="004018E1"/>
    <w:rsid w:val="004023D5"/>
    <w:rsid w:val="0040250A"/>
    <w:rsid w:val="004025EE"/>
    <w:rsid w:val="0040271C"/>
    <w:rsid w:val="004028B5"/>
    <w:rsid w:val="00402924"/>
    <w:rsid w:val="00402AFA"/>
    <w:rsid w:val="00402D12"/>
    <w:rsid w:val="00402EFF"/>
    <w:rsid w:val="004031D0"/>
    <w:rsid w:val="004033FF"/>
    <w:rsid w:val="004034B2"/>
    <w:rsid w:val="00403F1A"/>
    <w:rsid w:val="00404A6F"/>
    <w:rsid w:val="00404EC1"/>
    <w:rsid w:val="004058F8"/>
    <w:rsid w:val="00405CAE"/>
    <w:rsid w:val="00405CEA"/>
    <w:rsid w:val="0040619C"/>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E3E"/>
    <w:rsid w:val="004178AD"/>
    <w:rsid w:val="00417989"/>
    <w:rsid w:val="00417AD1"/>
    <w:rsid w:val="00417ED0"/>
    <w:rsid w:val="00417FA8"/>
    <w:rsid w:val="00420469"/>
    <w:rsid w:val="00420811"/>
    <w:rsid w:val="00421C94"/>
    <w:rsid w:val="004220D7"/>
    <w:rsid w:val="004221FD"/>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4D"/>
    <w:rsid w:val="004255EC"/>
    <w:rsid w:val="004255F3"/>
    <w:rsid w:val="00425864"/>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B3"/>
    <w:rsid w:val="004322E0"/>
    <w:rsid w:val="004328BD"/>
    <w:rsid w:val="00432C98"/>
    <w:rsid w:val="00433855"/>
    <w:rsid w:val="00434026"/>
    <w:rsid w:val="0043412F"/>
    <w:rsid w:val="0043434B"/>
    <w:rsid w:val="0043485F"/>
    <w:rsid w:val="0043488A"/>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F39"/>
    <w:rsid w:val="00441B5B"/>
    <w:rsid w:val="00442870"/>
    <w:rsid w:val="00443549"/>
    <w:rsid w:val="0044360D"/>
    <w:rsid w:val="00443687"/>
    <w:rsid w:val="004437CD"/>
    <w:rsid w:val="00443966"/>
    <w:rsid w:val="00443A92"/>
    <w:rsid w:val="004449E5"/>
    <w:rsid w:val="00444AC8"/>
    <w:rsid w:val="0044553D"/>
    <w:rsid w:val="0044554C"/>
    <w:rsid w:val="004458DF"/>
    <w:rsid w:val="00446031"/>
    <w:rsid w:val="004460F8"/>
    <w:rsid w:val="004466C0"/>
    <w:rsid w:val="00446CD2"/>
    <w:rsid w:val="00446F75"/>
    <w:rsid w:val="00447077"/>
    <w:rsid w:val="00447C39"/>
    <w:rsid w:val="00447E2C"/>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9B5"/>
    <w:rsid w:val="004530DC"/>
    <w:rsid w:val="00454295"/>
    <w:rsid w:val="00454362"/>
    <w:rsid w:val="004546D1"/>
    <w:rsid w:val="00455661"/>
    <w:rsid w:val="004556BE"/>
    <w:rsid w:val="00456669"/>
    <w:rsid w:val="00456CE5"/>
    <w:rsid w:val="00456F8B"/>
    <w:rsid w:val="0045780E"/>
    <w:rsid w:val="004578E6"/>
    <w:rsid w:val="00457A32"/>
    <w:rsid w:val="00460038"/>
    <w:rsid w:val="00460898"/>
    <w:rsid w:val="00460C15"/>
    <w:rsid w:val="00460E21"/>
    <w:rsid w:val="00461295"/>
    <w:rsid w:val="00461BE2"/>
    <w:rsid w:val="0046212C"/>
    <w:rsid w:val="00462411"/>
    <w:rsid w:val="00462753"/>
    <w:rsid w:val="004627DC"/>
    <w:rsid w:val="00462C0B"/>
    <w:rsid w:val="00463791"/>
    <w:rsid w:val="004639D6"/>
    <w:rsid w:val="00463E47"/>
    <w:rsid w:val="00463FF4"/>
    <w:rsid w:val="00464732"/>
    <w:rsid w:val="004647E8"/>
    <w:rsid w:val="00464B29"/>
    <w:rsid w:val="00464BA0"/>
    <w:rsid w:val="00465311"/>
    <w:rsid w:val="00465828"/>
    <w:rsid w:val="0046620F"/>
    <w:rsid w:val="004663CA"/>
    <w:rsid w:val="00466632"/>
    <w:rsid w:val="0046771C"/>
    <w:rsid w:val="004678CC"/>
    <w:rsid w:val="00467B25"/>
    <w:rsid w:val="00467E6F"/>
    <w:rsid w:val="004701EE"/>
    <w:rsid w:val="0047038F"/>
    <w:rsid w:val="00470777"/>
    <w:rsid w:val="00470B27"/>
    <w:rsid w:val="00470B92"/>
    <w:rsid w:val="00470BF9"/>
    <w:rsid w:val="00470DD8"/>
    <w:rsid w:val="004712C3"/>
    <w:rsid w:val="004715E6"/>
    <w:rsid w:val="004716A4"/>
    <w:rsid w:val="00471A6B"/>
    <w:rsid w:val="004728F3"/>
    <w:rsid w:val="004728FD"/>
    <w:rsid w:val="00472A18"/>
    <w:rsid w:val="00472CB1"/>
    <w:rsid w:val="00473382"/>
    <w:rsid w:val="004733FC"/>
    <w:rsid w:val="004745F9"/>
    <w:rsid w:val="0047461A"/>
    <w:rsid w:val="00474C63"/>
    <w:rsid w:val="00474DE4"/>
    <w:rsid w:val="00475150"/>
    <w:rsid w:val="004754FB"/>
    <w:rsid w:val="0047576C"/>
    <w:rsid w:val="00475DB5"/>
    <w:rsid w:val="0047638B"/>
    <w:rsid w:val="00476FF8"/>
    <w:rsid w:val="00477013"/>
    <w:rsid w:val="00477222"/>
    <w:rsid w:val="00477E11"/>
    <w:rsid w:val="00480314"/>
    <w:rsid w:val="0048055E"/>
    <w:rsid w:val="004805AA"/>
    <w:rsid w:val="004805DD"/>
    <w:rsid w:val="00480F9B"/>
    <w:rsid w:val="0048161B"/>
    <w:rsid w:val="00481ACF"/>
    <w:rsid w:val="004825FB"/>
    <w:rsid w:val="004833D3"/>
    <w:rsid w:val="00483B3A"/>
    <w:rsid w:val="00484AE6"/>
    <w:rsid w:val="00485C42"/>
    <w:rsid w:val="00485CF9"/>
    <w:rsid w:val="00485F3A"/>
    <w:rsid w:val="004863A0"/>
    <w:rsid w:val="00486484"/>
    <w:rsid w:val="004868FE"/>
    <w:rsid w:val="00486AE9"/>
    <w:rsid w:val="00486E01"/>
    <w:rsid w:val="00487613"/>
    <w:rsid w:val="004907C8"/>
    <w:rsid w:val="004908B0"/>
    <w:rsid w:val="004911C1"/>
    <w:rsid w:val="0049160E"/>
    <w:rsid w:val="004919BD"/>
    <w:rsid w:val="004919CD"/>
    <w:rsid w:val="00491C2D"/>
    <w:rsid w:val="00491EEA"/>
    <w:rsid w:val="0049260B"/>
    <w:rsid w:val="004927ED"/>
    <w:rsid w:val="00492AA1"/>
    <w:rsid w:val="00492BBD"/>
    <w:rsid w:val="004936FE"/>
    <w:rsid w:val="00493F64"/>
    <w:rsid w:val="004941EE"/>
    <w:rsid w:val="0049460B"/>
    <w:rsid w:val="004946BD"/>
    <w:rsid w:val="004947E4"/>
    <w:rsid w:val="00494AC0"/>
    <w:rsid w:val="00494AE7"/>
    <w:rsid w:val="00494C59"/>
    <w:rsid w:val="004950C3"/>
    <w:rsid w:val="00495391"/>
    <w:rsid w:val="004958A4"/>
    <w:rsid w:val="0049606E"/>
    <w:rsid w:val="00496196"/>
    <w:rsid w:val="0049688E"/>
    <w:rsid w:val="00496A82"/>
    <w:rsid w:val="00496C6C"/>
    <w:rsid w:val="00496E94"/>
    <w:rsid w:val="00496F12"/>
    <w:rsid w:val="004977BC"/>
    <w:rsid w:val="00497B39"/>
    <w:rsid w:val="00497EC6"/>
    <w:rsid w:val="004A0201"/>
    <w:rsid w:val="004A0610"/>
    <w:rsid w:val="004A0B6F"/>
    <w:rsid w:val="004A0BD4"/>
    <w:rsid w:val="004A0CF8"/>
    <w:rsid w:val="004A1027"/>
    <w:rsid w:val="004A12C1"/>
    <w:rsid w:val="004A13F2"/>
    <w:rsid w:val="004A14E4"/>
    <w:rsid w:val="004A17ED"/>
    <w:rsid w:val="004A1B9E"/>
    <w:rsid w:val="004A1DF1"/>
    <w:rsid w:val="004A26FB"/>
    <w:rsid w:val="004A2A2D"/>
    <w:rsid w:val="004A2F6E"/>
    <w:rsid w:val="004A31EA"/>
    <w:rsid w:val="004A33FE"/>
    <w:rsid w:val="004A34B0"/>
    <w:rsid w:val="004A353C"/>
    <w:rsid w:val="004A36A0"/>
    <w:rsid w:val="004A37A8"/>
    <w:rsid w:val="004A4120"/>
    <w:rsid w:val="004A429C"/>
    <w:rsid w:val="004A45B1"/>
    <w:rsid w:val="004A473B"/>
    <w:rsid w:val="004A51F9"/>
    <w:rsid w:val="004A5909"/>
    <w:rsid w:val="004A5D93"/>
    <w:rsid w:val="004A5DB6"/>
    <w:rsid w:val="004A6097"/>
    <w:rsid w:val="004A61B3"/>
    <w:rsid w:val="004A6D2B"/>
    <w:rsid w:val="004A712D"/>
    <w:rsid w:val="004A755D"/>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E0"/>
    <w:rsid w:val="004C02CC"/>
    <w:rsid w:val="004C0793"/>
    <w:rsid w:val="004C07F8"/>
    <w:rsid w:val="004C0888"/>
    <w:rsid w:val="004C0DE1"/>
    <w:rsid w:val="004C1060"/>
    <w:rsid w:val="004C171B"/>
    <w:rsid w:val="004C18B9"/>
    <w:rsid w:val="004C1BF5"/>
    <w:rsid w:val="004C200F"/>
    <w:rsid w:val="004C22DC"/>
    <w:rsid w:val="004C247C"/>
    <w:rsid w:val="004C276D"/>
    <w:rsid w:val="004C29E7"/>
    <w:rsid w:val="004C2B1B"/>
    <w:rsid w:val="004C30D5"/>
    <w:rsid w:val="004C3700"/>
    <w:rsid w:val="004C396C"/>
    <w:rsid w:val="004C39B7"/>
    <w:rsid w:val="004C3C23"/>
    <w:rsid w:val="004C40A8"/>
    <w:rsid w:val="004C43D1"/>
    <w:rsid w:val="004C4A05"/>
    <w:rsid w:val="004C4C2B"/>
    <w:rsid w:val="004C4D67"/>
    <w:rsid w:val="004C508C"/>
    <w:rsid w:val="004C565E"/>
    <w:rsid w:val="004C5772"/>
    <w:rsid w:val="004C57CC"/>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2259"/>
    <w:rsid w:val="004D23E7"/>
    <w:rsid w:val="004D23F5"/>
    <w:rsid w:val="004D2872"/>
    <w:rsid w:val="004D29A0"/>
    <w:rsid w:val="004D2C02"/>
    <w:rsid w:val="004D2DA3"/>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B24"/>
    <w:rsid w:val="004E1093"/>
    <w:rsid w:val="004E18D9"/>
    <w:rsid w:val="004E1C93"/>
    <w:rsid w:val="004E1D61"/>
    <w:rsid w:val="004E1DE8"/>
    <w:rsid w:val="004E1E55"/>
    <w:rsid w:val="004E226E"/>
    <w:rsid w:val="004E2538"/>
    <w:rsid w:val="004E2891"/>
    <w:rsid w:val="004E28C1"/>
    <w:rsid w:val="004E2912"/>
    <w:rsid w:val="004E323C"/>
    <w:rsid w:val="004E38DD"/>
    <w:rsid w:val="004E4893"/>
    <w:rsid w:val="004E48D8"/>
    <w:rsid w:val="004E48FE"/>
    <w:rsid w:val="004E4F34"/>
    <w:rsid w:val="004E523E"/>
    <w:rsid w:val="004E5B84"/>
    <w:rsid w:val="004E5C6C"/>
    <w:rsid w:val="004E6416"/>
    <w:rsid w:val="004E66D4"/>
    <w:rsid w:val="004E770B"/>
    <w:rsid w:val="004E77D9"/>
    <w:rsid w:val="004E7C82"/>
    <w:rsid w:val="004E7CFB"/>
    <w:rsid w:val="004F004F"/>
    <w:rsid w:val="004F0A29"/>
    <w:rsid w:val="004F0C63"/>
    <w:rsid w:val="004F0F72"/>
    <w:rsid w:val="004F0FF7"/>
    <w:rsid w:val="004F202E"/>
    <w:rsid w:val="004F24A6"/>
    <w:rsid w:val="004F2779"/>
    <w:rsid w:val="004F2EF3"/>
    <w:rsid w:val="004F3556"/>
    <w:rsid w:val="004F4125"/>
    <w:rsid w:val="004F4C62"/>
    <w:rsid w:val="004F511B"/>
    <w:rsid w:val="004F592F"/>
    <w:rsid w:val="004F5E42"/>
    <w:rsid w:val="004F6054"/>
    <w:rsid w:val="004F6236"/>
    <w:rsid w:val="004F6813"/>
    <w:rsid w:val="004F6E9D"/>
    <w:rsid w:val="004F6F0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0E"/>
    <w:rsid w:val="00504F9A"/>
    <w:rsid w:val="00505129"/>
    <w:rsid w:val="0050518C"/>
    <w:rsid w:val="00505261"/>
    <w:rsid w:val="00505431"/>
    <w:rsid w:val="00505904"/>
    <w:rsid w:val="00505A74"/>
    <w:rsid w:val="00505B5E"/>
    <w:rsid w:val="005064E5"/>
    <w:rsid w:val="00506FBF"/>
    <w:rsid w:val="00507008"/>
    <w:rsid w:val="0051073D"/>
    <w:rsid w:val="00510791"/>
    <w:rsid w:val="005108EE"/>
    <w:rsid w:val="0051177D"/>
    <w:rsid w:val="00511867"/>
    <w:rsid w:val="00511EE2"/>
    <w:rsid w:val="00511FDD"/>
    <w:rsid w:val="0051216C"/>
    <w:rsid w:val="0051247A"/>
    <w:rsid w:val="00512BB0"/>
    <w:rsid w:val="005131E7"/>
    <w:rsid w:val="005132D4"/>
    <w:rsid w:val="00513623"/>
    <w:rsid w:val="00513D0C"/>
    <w:rsid w:val="005147A4"/>
    <w:rsid w:val="005149E6"/>
    <w:rsid w:val="005154E1"/>
    <w:rsid w:val="00515999"/>
    <w:rsid w:val="00516138"/>
    <w:rsid w:val="005169CE"/>
    <w:rsid w:val="00516B35"/>
    <w:rsid w:val="00516B83"/>
    <w:rsid w:val="00516BD4"/>
    <w:rsid w:val="00516CD3"/>
    <w:rsid w:val="00517509"/>
    <w:rsid w:val="0051757A"/>
    <w:rsid w:val="00517798"/>
    <w:rsid w:val="005177D5"/>
    <w:rsid w:val="00517DA0"/>
    <w:rsid w:val="00520FF3"/>
    <w:rsid w:val="0052117E"/>
    <w:rsid w:val="00521A08"/>
    <w:rsid w:val="00521E7B"/>
    <w:rsid w:val="00521F81"/>
    <w:rsid w:val="005222B2"/>
    <w:rsid w:val="005225A4"/>
    <w:rsid w:val="005225D5"/>
    <w:rsid w:val="005228F0"/>
    <w:rsid w:val="00523489"/>
    <w:rsid w:val="005242A3"/>
    <w:rsid w:val="005242A8"/>
    <w:rsid w:val="005243AE"/>
    <w:rsid w:val="00524466"/>
    <w:rsid w:val="00525177"/>
    <w:rsid w:val="0052555A"/>
    <w:rsid w:val="005256FB"/>
    <w:rsid w:val="00525C96"/>
    <w:rsid w:val="00525E93"/>
    <w:rsid w:val="00526273"/>
    <w:rsid w:val="005263F5"/>
    <w:rsid w:val="00526C19"/>
    <w:rsid w:val="00527411"/>
    <w:rsid w:val="00527502"/>
    <w:rsid w:val="00530201"/>
    <w:rsid w:val="00530A35"/>
    <w:rsid w:val="00530C53"/>
    <w:rsid w:val="00530D6D"/>
    <w:rsid w:val="00530DAE"/>
    <w:rsid w:val="00530DDA"/>
    <w:rsid w:val="00530E79"/>
    <w:rsid w:val="0053114B"/>
    <w:rsid w:val="005313FE"/>
    <w:rsid w:val="005319DD"/>
    <w:rsid w:val="00532B57"/>
    <w:rsid w:val="00532FFD"/>
    <w:rsid w:val="0053330E"/>
    <w:rsid w:val="005334A9"/>
    <w:rsid w:val="0053386B"/>
    <w:rsid w:val="00533899"/>
    <w:rsid w:val="005340E5"/>
    <w:rsid w:val="0053410C"/>
    <w:rsid w:val="00534EB0"/>
    <w:rsid w:val="005350C9"/>
    <w:rsid w:val="00535ACC"/>
    <w:rsid w:val="00535EDB"/>
    <w:rsid w:val="0053617D"/>
    <w:rsid w:val="00536296"/>
    <w:rsid w:val="005365FC"/>
    <w:rsid w:val="00536824"/>
    <w:rsid w:val="005368E6"/>
    <w:rsid w:val="00536A86"/>
    <w:rsid w:val="00537248"/>
    <w:rsid w:val="00537462"/>
    <w:rsid w:val="005376CD"/>
    <w:rsid w:val="005405BE"/>
    <w:rsid w:val="00540A30"/>
    <w:rsid w:val="00540EA8"/>
    <w:rsid w:val="00540F39"/>
    <w:rsid w:val="005414B5"/>
    <w:rsid w:val="00541BA4"/>
    <w:rsid w:val="00542A80"/>
    <w:rsid w:val="00542AA8"/>
    <w:rsid w:val="00542BCD"/>
    <w:rsid w:val="00542BD4"/>
    <w:rsid w:val="00542CB7"/>
    <w:rsid w:val="005431A8"/>
    <w:rsid w:val="00543511"/>
    <w:rsid w:val="00543BD8"/>
    <w:rsid w:val="00543EBB"/>
    <w:rsid w:val="0054406A"/>
    <w:rsid w:val="005440B6"/>
    <w:rsid w:val="005445DD"/>
    <w:rsid w:val="0054538A"/>
    <w:rsid w:val="00545965"/>
    <w:rsid w:val="00545E48"/>
    <w:rsid w:val="00545E95"/>
    <w:rsid w:val="005464B9"/>
    <w:rsid w:val="00546650"/>
    <w:rsid w:val="00546798"/>
    <w:rsid w:val="005467D0"/>
    <w:rsid w:val="005468F1"/>
    <w:rsid w:val="00546C82"/>
    <w:rsid w:val="005472E1"/>
    <w:rsid w:val="005476E8"/>
    <w:rsid w:val="00550026"/>
    <w:rsid w:val="0055038C"/>
    <w:rsid w:val="005508AD"/>
    <w:rsid w:val="00550B9C"/>
    <w:rsid w:val="00550CE3"/>
    <w:rsid w:val="00550EF2"/>
    <w:rsid w:val="00550FC8"/>
    <w:rsid w:val="005510A3"/>
    <w:rsid w:val="005514D0"/>
    <w:rsid w:val="00551671"/>
    <w:rsid w:val="005519AA"/>
    <w:rsid w:val="005520E4"/>
    <w:rsid w:val="00552840"/>
    <w:rsid w:val="005529B5"/>
    <w:rsid w:val="0055330C"/>
    <w:rsid w:val="005533A7"/>
    <w:rsid w:val="005535BC"/>
    <w:rsid w:val="00553794"/>
    <w:rsid w:val="005537FD"/>
    <w:rsid w:val="00553A94"/>
    <w:rsid w:val="00553AC5"/>
    <w:rsid w:val="00553BC8"/>
    <w:rsid w:val="00553D69"/>
    <w:rsid w:val="005542A9"/>
    <w:rsid w:val="00554586"/>
    <w:rsid w:val="00554657"/>
    <w:rsid w:val="00554FA2"/>
    <w:rsid w:val="005550F3"/>
    <w:rsid w:val="00555105"/>
    <w:rsid w:val="00555181"/>
    <w:rsid w:val="005552BD"/>
    <w:rsid w:val="005557AE"/>
    <w:rsid w:val="00555AE1"/>
    <w:rsid w:val="00555B6E"/>
    <w:rsid w:val="00555D91"/>
    <w:rsid w:val="0055609C"/>
    <w:rsid w:val="00556676"/>
    <w:rsid w:val="00556942"/>
    <w:rsid w:val="005573D6"/>
    <w:rsid w:val="00557445"/>
    <w:rsid w:val="005576C4"/>
    <w:rsid w:val="00557C90"/>
    <w:rsid w:val="00557E37"/>
    <w:rsid w:val="0056029B"/>
    <w:rsid w:val="005602A1"/>
    <w:rsid w:val="005604B0"/>
    <w:rsid w:val="00560E83"/>
    <w:rsid w:val="00560F26"/>
    <w:rsid w:val="0056109A"/>
    <w:rsid w:val="005610F9"/>
    <w:rsid w:val="0056194B"/>
    <w:rsid w:val="005626DA"/>
    <w:rsid w:val="00562F77"/>
    <w:rsid w:val="0056390D"/>
    <w:rsid w:val="0056432E"/>
    <w:rsid w:val="005644FD"/>
    <w:rsid w:val="00564635"/>
    <w:rsid w:val="00564A15"/>
    <w:rsid w:val="00564D52"/>
    <w:rsid w:val="00564DF8"/>
    <w:rsid w:val="00564E90"/>
    <w:rsid w:val="00565198"/>
    <w:rsid w:val="0056538C"/>
    <w:rsid w:val="00565579"/>
    <w:rsid w:val="00565656"/>
    <w:rsid w:val="00565A0C"/>
    <w:rsid w:val="00565DFC"/>
    <w:rsid w:val="00565E44"/>
    <w:rsid w:val="00565FE1"/>
    <w:rsid w:val="005660D3"/>
    <w:rsid w:val="0056657D"/>
    <w:rsid w:val="00566588"/>
    <w:rsid w:val="00566A78"/>
    <w:rsid w:val="00566B5F"/>
    <w:rsid w:val="00566CC5"/>
    <w:rsid w:val="005671FB"/>
    <w:rsid w:val="005672EE"/>
    <w:rsid w:val="005675FD"/>
    <w:rsid w:val="00567F85"/>
    <w:rsid w:val="005704BA"/>
    <w:rsid w:val="005708A1"/>
    <w:rsid w:val="005708B0"/>
    <w:rsid w:val="00570927"/>
    <w:rsid w:val="00570EF8"/>
    <w:rsid w:val="0057107C"/>
    <w:rsid w:val="005717E1"/>
    <w:rsid w:val="005719BA"/>
    <w:rsid w:val="00571A7C"/>
    <w:rsid w:val="0057208D"/>
    <w:rsid w:val="00572356"/>
    <w:rsid w:val="00572525"/>
    <w:rsid w:val="0057280F"/>
    <w:rsid w:val="00572D31"/>
    <w:rsid w:val="005732B2"/>
    <w:rsid w:val="00573A53"/>
    <w:rsid w:val="005741BB"/>
    <w:rsid w:val="005741C1"/>
    <w:rsid w:val="005746E5"/>
    <w:rsid w:val="00574879"/>
    <w:rsid w:val="00574ED2"/>
    <w:rsid w:val="00574F4A"/>
    <w:rsid w:val="00575293"/>
    <w:rsid w:val="0057529C"/>
    <w:rsid w:val="005752C0"/>
    <w:rsid w:val="0057542E"/>
    <w:rsid w:val="005760F5"/>
    <w:rsid w:val="00576618"/>
    <w:rsid w:val="00576950"/>
    <w:rsid w:val="0057705E"/>
    <w:rsid w:val="005770B6"/>
    <w:rsid w:val="0057730B"/>
    <w:rsid w:val="005773DA"/>
    <w:rsid w:val="005779D7"/>
    <w:rsid w:val="00577DD4"/>
    <w:rsid w:val="00580122"/>
    <w:rsid w:val="00580193"/>
    <w:rsid w:val="00580344"/>
    <w:rsid w:val="00580ED3"/>
    <w:rsid w:val="00581186"/>
    <w:rsid w:val="0058137D"/>
    <w:rsid w:val="005814C9"/>
    <w:rsid w:val="005818BE"/>
    <w:rsid w:val="00582027"/>
    <w:rsid w:val="00582489"/>
    <w:rsid w:val="005829BB"/>
    <w:rsid w:val="00582FFA"/>
    <w:rsid w:val="00583518"/>
    <w:rsid w:val="00583BE6"/>
    <w:rsid w:val="00583DAA"/>
    <w:rsid w:val="00583E0E"/>
    <w:rsid w:val="00584221"/>
    <w:rsid w:val="00584B51"/>
    <w:rsid w:val="00584F50"/>
    <w:rsid w:val="00585250"/>
    <w:rsid w:val="0058544C"/>
    <w:rsid w:val="00585C99"/>
    <w:rsid w:val="00585ECA"/>
    <w:rsid w:val="00586149"/>
    <w:rsid w:val="0058675B"/>
    <w:rsid w:val="0058678E"/>
    <w:rsid w:val="00586A05"/>
    <w:rsid w:val="00586CDE"/>
    <w:rsid w:val="00586F2F"/>
    <w:rsid w:val="0058761F"/>
    <w:rsid w:val="00587B19"/>
    <w:rsid w:val="00587F43"/>
    <w:rsid w:val="00590390"/>
    <w:rsid w:val="005904CC"/>
    <w:rsid w:val="00590812"/>
    <w:rsid w:val="00590BE9"/>
    <w:rsid w:val="00590FE1"/>
    <w:rsid w:val="00591ADC"/>
    <w:rsid w:val="00591BB5"/>
    <w:rsid w:val="00591C11"/>
    <w:rsid w:val="00591D31"/>
    <w:rsid w:val="00591D7E"/>
    <w:rsid w:val="00592A2E"/>
    <w:rsid w:val="00592CAC"/>
    <w:rsid w:val="00592F2E"/>
    <w:rsid w:val="0059327F"/>
    <w:rsid w:val="00594552"/>
    <w:rsid w:val="00594703"/>
    <w:rsid w:val="0059531E"/>
    <w:rsid w:val="005956AC"/>
    <w:rsid w:val="00596493"/>
    <w:rsid w:val="00596E15"/>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4F6"/>
    <w:rsid w:val="005A6919"/>
    <w:rsid w:val="005A69D1"/>
    <w:rsid w:val="005A6ABB"/>
    <w:rsid w:val="005A740F"/>
    <w:rsid w:val="005B0349"/>
    <w:rsid w:val="005B0500"/>
    <w:rsid w:val="005B117D"/>
    <w:rsid w:val="005B15E2"/>
    <w:rsid w:val="005B18A6"/>
    <w:rsid w:val="005B1B36"/>
    <w:rsid w:val="005B1BD3"/>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775"/>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3678"/>
    <w:rsid w:val="005C3844"/>
    <w:rsid w:val="005C39BC"/>
    <w:rsid w:val="005C3CB8"/>
    <w:rsid w:val="005C3F88"/>
    <w:rsid w:val="005C45F0"/>
    <w:rsid w:val="005C5AE3"/>
    <w:rsid w:val="005C5B46"/>
    <w:rsid w:val="005C5F34"/>
    <w:rsid w:val="005C5F8C"/>
    <w:rsid w:val="005C617F"/>
    <w:rsid w:val="005C6F5E"/>
    <w:rsid w:val="005C70A8"/>
    <w:rsid w:val="005C7A14"/>
    <w:rsid w:val="005C7ADA"/>
    <w:rsid w:val="005D0651"/>
    <w:rsid w:val="005D077B"/>
    <w:rsid w:val="005D0810"/>
    <w:rsid w:val="005D08AF"/>
    <w:rsid w:val="005D0B2C"/>
    <w:rsid w:val="005D0FA2"/>
    <w:rsid w:val="005D1D8B"/>
    <w:rsid w:val="005D1F59"/>
    <w:rsid w:val="005D2097"/>
    <w:rsid w:val="005D2A78"/>
    <w:rsid w:val="005D2B8E"/>
    <w:rsid w:val="005D3023"/>
    <w:rsid w:val="005D37A9"/>
    <w:rsid w:val="005D41F2"/>
    <w:rsid w:val="005D4288"/>
    <w:rsid w:val="005D4787"/>
    <w:rsid w:val="005D4952"/>
    <w:rsid w:val="005D4C63"/>
    <w:rsid w:val="005D51FA"/>
    <w:rsid w:val="005D53E3"/>
    <w:rsid w:val="005D5FB1"/>
    <w:rsid w:val="005D6FC2"/>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4115"/>
    <w:rsid w:val="005E451B"/>
    <w:rsid w:val="005E5211"/>
    <w:rsid w:val="005E5B85"/>
    <w:rsid w:val="005E5DE6"/>
    <w:rsid w:val="005E6155"/>
    <w:rsid w:val="005E6D57"/>
    <w:rsid w:val="005E6ED2"/>
    <w:rsid w:val="005E7051"/>
    <w:rsid w:val="005E784A"/>
    <w:rsid w:val="005E7E9A"/>
    <w:rsid w:val="005F0643"/>
    <w:rsid w:val="005F06A4"/>
    <w:rsid w:val="005F0C79"/>
    <w:rsid w:val="005F100A"/>
    <w:rsid w:val="005F122D"/>
    <w:rsid w:val="005F12A9"/>
    <w:rsid w:val="005F1530"/>
    <w:rsid w:val="005F15BC"/>
    <w:rsid w:val="005F1838"/>
    <w:rsid w:val="005F1891"/>
    <w:rsid w:val="005F1C63"/>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60016C"/>
    <w:rsid w:val="006002F3"/>
    <w:rsid w:val="00600CF4"/>
    <w:rsid w:val="006018D3"/>
    <w:rsid w:val="00601B2A"/>
    <w:rsid w:val="00602780"/>
    <w:rsid w:val="00602AC1"/>
    <w:rsid w:val="00603427"/>
    <w:rsid w:val="00603F11"/>
    <w:rsid w:val="006048EC"/>
    <w:rsid w:val="00604ACD"/>
    <w:rsid w:val="0060520E"/>
    <w:rsid w:val="006052D1"/>
    <w:rsid w:val="00605409"/>
    <w:rsid w:val="006056E4"/>
    <w:rsid w:val="0060571A"/>
    <w:rsid w:val="00605C52"/>
    <w:rsid w:val="0060657E"/>
    <w:rsid w:val="0060690B"/>
    <w:rsid w:val="006069C1"/>
    <w:rsid w:val="0060780C"/>
    <w:rsid w:val="00607989"/>
    <w:rsid w:val="00607AC6"/>
    <w:rsid w:val="00607E0D"/>
    <w:rsid w:val="00607F02"/>
    <w:rsid w:val="00610036"/>
    <w:rsid w:val="00610049"/>
    <w:rsid w:val="00610087"/>
    <w:rsid w:val="00610219"/>
    <w:rsid w:val="0061058C"/>
    <w:rsid w:val="00610AA3"/>
    <w:rsid w:val="0061119C"/>
    <w:rsid w:val="00611FBE"/>
    <w:rsid w:val="00612171"/>
    <w:rsid w:val="00612336"/>
    <w:rsid w:val="00612B10"/>
    <w:rsid w:val="00612BAD"/>
    <w:rsid w:val="00612C3C"/>
    <w:rsid w:val="00612CDD"/>
    <w:rsid w:val="006134E8"/>
    <w:rsid w:val="00614115"/>
    <w:rsid w:val="006142CD"/>
    <w:rsid w:val="0061435A"/>
    <w:rsid w:val="00614764"/>
    <w:rsid w:val="00614B72"/>
    <w:rsid w:val="00614B8C"/>
    <w:rsid w:val="00614D20"/>
    <w:rsid w:val="00614FE7"/>
    <w:rsid w:val="00615FDA"/>
    <w:rsid w:val="00615FE2"/>
    <w:rsid w:val="006161AE"/>
    <w:rsid w:val="00616288"/>
    <w:rsid w:val="0061695F"/>
    <w:rsid w:val="00616D45"/>
    <w:rsid w:val="006173CF"/>
    <w:rsid w:val="006173D7"/>
    <w:rsid w:val="006178B0"/>
    <w:rsid w:val="00617D92"/>
    <w:rsid w:val="00620B73"/>
    <w:rsid w:val="00620BC2"/>
    <w:rsid w:val="00621103"/>
    <w:rsid w:val="006213B8"/>
    <w:rsid w:val="0062155A"/>
    <w:rsid w:val="00621693"/>
    <w:rsid w:val="006222D8"/>
    <w:rsid w:val="00622928"/>
    <w:rsid w:val="00622EA4"/>
    <w:rsid w:val="00623382"/>
    <w:rsid w:val="00623577"/>
    <w:rsid w:val="00623A4F"/>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D7D"/>
    <w:rsid w:val="006303BF"/>
    <w:rsid w:val="00630695"/>
    <w:rsid w:val="006306DB"/>
    <w:rsid w:val="00630730"/>
    <w:rsid w:val="00630A18"/>
    <w:rsid w:val="00630DB8"/>
    <w:rsid w:val="0063142F"/>
    <w:rsid w:val="006318D8"/>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CA"/>
    <w:rsid w:val="00636B68"/>
    <w:rsid w:val="00637307"/>
    <w:rsid w:val="0063748F"/>
    <w:rsid w:val="006375DF"/>
    <w:rsid w:val="006375EE"/>
    <w:rsid w:val="00637815"/>
    <w:rsid w:val="00637B55"/>
    <w:rsid w:val="00637EDA"/>
    <w:rsid w:val="006402F8"/>
    <w:rsid w:val="00641F49"/>
    <w:rsid w:val="00642330"/>
    <w:rsid w:val="006426DE"/>
    <w:rsid w:val="00642988"/>
    <w:rsid w:val="00642A7D"/>
    <w:rsid w:val="00642E87"/>
    <w:rsid w:val="00643A35"/>
    <w:rsid w:val="00643B12"/>
    <w:rsid w:val="0064428B"/>
    <w:rsid w:val="00644410"/>
    <w:rsid w:val="00644456"/>
    <w:rsid w:val="00644EA5"/>
    <w:rsid w:val="00644FF4"/>
    <w:rsid w:val="0064514A"/>
    <w:rsid w:val="0064526E"/>
    <w:rsid w:val="0064565B"/>
    <w:rsid w:val="00645A43"/>
    <w:rsid w:val="00645FC7"/>
    <w:rsid w:val="00646112"/>
    <w:rsid w:val="00646199"/>
    <w:rsid w:val="00646552"/>
    <w:rsid w:val="00646687"/>
    <w:rsid w:val="00646A0E"/>
    <w:rsid w:val="00646CF3"/>
    <w:rsid w:val="00647283"/>
    <w:rsid w:val="006478E0"/>
    <w:rsid w:val="006501C8"/>
    <w:rsid w:val="006504A3"/>
    <w:rsid w:val="00650797"/>
    <w:rsid w:val="00650B3B"/>
    <w:rsid w:val="006510A6"/>
    <w:rsid w:val="00651B6A"/>
    <w:rsid w:val="00651B85"/>
    <w:rsid w:val="00651E62"/>
    <w:rsid w:val="00651EA2"/>
    <w:rsid w:val="006520A4"/>
    <w:rsid w:val="006520BB"/>
    <w:rsid w:val="006528E7"/>
    <w:rsid w:val="006529B9"/>
    <w:rsid w:val="006539F5"/>
    <w:rsid w:val="006543A0"/>
    <w:rsid w:val="00654FFB"/>
    <w:rsid w:val="00655932"/>
    <w:rsid w:val="0065655F"/>
    <w:rsid w:val="0065686B"/>
    <w:rsid w:val="0065687E"/>
    <w:rsid w:val="00656F3B"/>
    <w:rsid w:val="00657230"/>
    <w:rsid w:val="0065743C"/>
    <w:rsid w:val="0065744F"/>
    <w:rsid w:val="00657ED6"/>
    <w:rsid w:val="0066030B"/>
    <w:rsid w:val="00660931"/>
    <w:rsid w:val="00660CC6"/>
    <w:rsid w:val="00660DB8"/>
    <w:rsid w:val="00660FCA"/>
    <w:rsid w:val="00661082"/>
    <w:rsid w:val="006613DF"/>
    <w:rsid w:val="00661F81"/>
    <w:rsid w:val="006625D9"/>
    <w:rsid w:val="00662924"/>
    <w:rsid w:val="00662B96"/>
    <w:rsid w:val="00662E2B"/>
    <w:rsid w:val="006635B4"/>
    <w:rsid w:val="00663724"/>
    <w:rsid w:val="006639B9"/>
    <w:rsid w:val="006639C3"/>
    <w:rsid w:val="006639DB"/>
    <w:rsid w:val="0066429C"/>
    <w:rsid w:val="00664390"/>
    <w:rsid w:val="00664613"/>
    <w:rsid w:val="006649EE"/>
    <w:rsid w:val="00665225"/>
    <w:rsid w:val="006657AD"/>
    <w:rsid w:val="00665AB5"/>
    <w:rsid w:val="00665FDC"/>
    <w:rsid w:val="00665FEE"/>
    <w:rsid w:val="00666271"/>
    <w:rsid w:val="0066665D"/>
    <w:rsid w:val="00666711"/>
    <w:rsid w:val="006668FD"/>
    <w:rsid w:val="00666A73"/>
    <w:rsid w:val="00666D77"/>
    <w:rsid w:val="006672BB"/>
    <w:rsid w:val="0066766A"/>
    <w:rsid w:val="0066791D"/>
    <w:rsid w:val="0067047C"/>
    <w:rsid w:val="00670AFB"/>
    <w:rsid w:val="00670BE5"/>
    <w:rsid w:val="00670D05"/>
    <w:rsid w:val="00670E42"/>
    <w:rsid w:val="006717E0"/>
    <w:rsid w:val="00671C4A"/>
    <w:rsid w:val="00671ED0"/>
    <w:rsid w:val="00671F09"/>
    <w:rsid w:val="00671FCC"/>
    <w:rsid w:val="006721FB"/>
    <w:rsid w:val="00672470"/>
    <w:rsid w:val="00672DF7"/>
    <w:rsid w:val="00673475"/>
    <w:rsid w:val="00673D1F"/>
    <w:rsid w:val="00674265"/>
    <w:rsid w:val="006743B0"/>
    <w:rsid w:val="006748F9"/>
    <w:rsid w:val="00674B48"/>
    <w:rsid w:val="00674ED5"/>
    <w:rsid w:val="006753EF"/>
    <w:rsid w:val="00675466"/>
    <w:rsid w:val="00675A59"/>
    <w:rsid w:val="00675B50"/>
    <w:rsid w:val="00676179"/>
    <w:rsid w:val="00676560"/>
    <w:rsid w:val="00676A41"/>
    <w:rsid w:val="00676F3A"/>
    <w:rsid w:val="006770BF"/>
    <w:rsid w:val="00677D3C"/>
    <w:rsid w:val="00681CC5"/>
    <w:rsid w:val="00681F4D"/>
    <w:rsid w:val="0068234A"/>
    <w:rsid w:val="00682898"/>
    <w:rsid w:val="00682930"/>
    <w:rsid w:val="00682A76"/>
    <w:rsid w:val="00682D29"/>
    <w:rsid w:val="00682E81"/>
    <w:rsid w:val="00682EE5"/>
    <w:rsid w:val="006834C8"/>
    <w:rsid w:val="006842AE"/>
    <w:rsid w:val="0068461E"/>
    <w:rsid w:val="00684640"/>
    <w:rsid w:val="00684910"/>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7B9"/>
    <w:rsid w:val="006927F4"/>
    <w:rsid w:val="006928B0"/>
    <w:rsid w:val="006931DA"/>
    <w:rsid w:val="006942D7"/>
    <w:rsid w:val="00694BB7"/>
    <w:rsid w:val="0069543B"/>
    <w:rsid w:val="00695602"/>
    <w:rsid w:val="00695A97"/>
    <w:rsid w:val="00695BE0"/>
    <w:rsid w:val="00696BA5"/>
    <w:rsid w:val="00696BD7"/>
    <w:rsid w:val="00696D11"/>
    <w:rsid w:val="00697379"/>
    <w:rsid w:val="00697724"/>
    <w:rsid w:val="00697732"/>
    <w:rsid w:val="00697FE2"/>
    <w:rsid w:val="006A0253"/>
    <w:rsid w:val="006A0388"/>
    <w:rsid w:val="006A1087"/>
    <w:rsid w:val="006A18BD"/>
    <w:rsid w:val="006A18ED"/>
    <w:rsid w:val="006A21CF"/>
    <w:rsid w:val="006A2D51"/>
    <w:rsid w:val="006A2DDA"/>
    <w:rsid w:val="006A31F2"/>
    <w:rsid w:val="006A3D7C"/>
    <w:rsid w:val="006A3E65"/>
    <w:rsid w:val="006A4251"/>
    <w:rsid w:val="006A46C3"/>
    <w:rsid w:val="006A46C7"/>
    <w:rsid w:val="006A4AC6"/>
    <w:rsid w:val="006A4AD9"/>
    <w:rsid w:val="006A5066"/>
    <w:rsid w:val="006A527C"/>
    <w:rsid w:val="006A52B0"/>
    <w:rsid w:val="006A5404"/>
    <w:rsid w:val="006A57B0"/>
    <w:rsid w:val="006A58CE"/>
    <w:rsid w:val="006A5C6F"/>
    <w:rsid w:val="006A5DDE"/>
    <w:rsid w:val="006A6930"/>
    <w:rsid w:val="006A6C9D"/>
    <w:rsid w:val="006A6D2D"/>
    <w:rsid w:val="006A6E59"/>
    <w:rsid w:val="006A7318"/>
    <w:rsid w:val="006A73CC"/>
    <w:rsid w:val="006A75CE"/>
    <w:rsid w:val="006A7A96"/>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B45"/>
    <w:rsid w:val="006B5F89"/>
    <w:rsid w:val="006B662C"/>
    <w:rsid w:val="006B6829"/>
    <w:rsid w:val="006B7245"/>
    <w:rsid w:val="006C0467"/>
    <w:rsid w:val="006C1217"/>
    <w:rsid w:val="006C142C"/>
    <w:rsid w:val="006C14B7"/>
    <w:rsid w:val="006C1873"/>
    <w:rsid w:val="006C1D4B"/>
    <w:rsid w:val="006C1E7C"/>
    <w:rsid w:val="006C1FE7"/>
    <w:rsid w:val="006C2360"/>
    <w:rsid w:val="006C33D5"/>
    <w:rsid w:val="006C33F2"/>
    <w:rsid w:val="006C39B3"/>
    <w:rsid w:val="006C4542"/>
    <w:rsid w:val="006C46DC"/>
    <w:rsid w:val="006C4F18"/>
    <w:rsid w:val="006C54CD"/>
    <w:rsid w:val="006C5844"/>
    <w:rsid w:val="006C5C10"/>
    <w:rsid w:val="006C5C70"/>
    <w:rsid w:val="006C6968"/>
    <w:rsid w:val="006C6F57"/>
    <w:rsid w:val="006C7386"/>
    <w:rsid w:val="006C73F3"/>
    <w:rsid w:val="006C7595"/>
    <w:rsid w:val="006C770F"/>
    <w:rsid w:val="006C777A"/>
    <w:rsid w:val="006C79A6"/>
    <w:rsid w:val="006C7FAD"/>
    <w:rsid w:val="006D0917"/>
    <w:rsid w:val="006D0F94"/>
    <w:rsid w:val="006D1528"/>
    <w:rsid w:val="006D16EB"/>
    <w:rsid w:val="006D24BC"/>
    <w:rsid w:val="006D2C5C"/>
    <w:rsid w:val="006D30F7"/>
    <w:rsid w:val="006D3167"/>
    <w:rsid w:val="006D3916"/>
    <w:rsid w:val="006D402F"/>
    <w:rsid w:val="006D42A3"/>
    <w:rsid w:val="006D4A79"/>
    <w:rsid w:val="006D4D31"/>
    <w:rsid w:val="006D4D32"/>
    <w:rsid w:val="006D4E98"/>
    <w:rsid w:val="006D5113"/>
    <w:rsid w:val="006D55E1"/>
    <w:rsid w:val="006D5816"/>
    <w:rsid w:val="006D585E"/>
    <w:rsid w:val="006D5A83"/>
    <w:rsid w:val="006D6948"/>
    <w:rsid w:val="006D6B0D"/>
    <w:rsid w:val="006D7621"/>
    <w:rsid w:val="006D789D"/>
    <w:rsid w:val="006D7B5A"/>
    <w:rsid w:val="006D7EA8"/>
    <w:rsid w:val="006E03C3"/>
    <w:rsid w:val="006E04A3"/>
    <w:rsid w:val="006E067E"/>
    <w:rsid w:val="006E0B45"/>
    <w:rsid w:val="006E0CB4"/>
    <w:rsid w:val="006E0DB3"/>
    <w:rsid w:val="006E0E56"/>
    <w:rsid w:val="006E12C6"/>
    <w:rsid w:val="006E1551"/>
    <w:rsid w:val="006E1869"/>
    <w:rsid w:val="006E1A05"/>
    <w:rsid w:val="006E1EE5"/>
    <w:rsid w:val="006E20CD"/>
    <w:rsid w:val="006E237D"/>
    <w:rsid w:val="006E2E25"/>
    <w:rsid w:val="006E3034"/>
    <w:rsid w:val="006E3218"/>
    <w:rsid w:val="006E334A"/>
    <w:rsid w:val="006E3A41"/>
    <w:rsid w:val="006E3E26"/>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4D5C"/>
    <w:rsid w:val="006F4DFF"/>
    <w:rsid w:val="006F4E1E"/>
    <w:rsid w:val="006F51D6"/>
    <w:rsid w:val="006F523A"/>
    <w:rsid w:val="006F524B"/>
    <w:rsid w:val="006F5396"/>
    <w:rsid w:val="006F5496"/>
    <w:rsid w:val="006F5703"/>
    <w:rsid w:val="006F5745"/>
    <w:rsid w:val="006F5A87"/>
    <w:rsid w:val="006F5CF3"/>
    <w:rsid w:val="006F5F26"/>
    <w:rsid w:val="006F6829"/>
    <w:rsid w:val="006F6D29"/>
    <w:rsid w:val="006F6F10"/>
    <w:rsid w:val="006F717C"/>
    <w:rsid w:val="006F7257"/>
    <w:rsid w:val="006F77B3"/>
    <w:rsid w:val="006F7923"/>
    <w:rsid w:val="006F7F55"/>
    <w:rsid w:val="0070053B"/>
    <w:rsid w:val="00700B93"/>
    <w:rsid w:val="00701AE0"/>
    <w:rsid w:val="007020BB"/>
    <w:rsid w:val="007028D3"/>
    <w:rsid w:val="00702B4F"/>
    <w:rsid w:val="00702E1B"/>
    <w:rsid w:val="007034A9"/>
    <w:rsid w:val="00703958"/>
    <w:rsid w:val="00703991"/>
    <w:rsid w:val="00703A14"/>
    <w:rsid w:val="00703E33"/>
    <w:rsid w:val="00703ECB"/>
    <w:rsid w:val="0070420B"/>
    <w:rsid w:val="00704685"/>
    <w:rsid w:val="00704CD9"/>
    <w:rsid w:val="00705158"/>
    <w:rsid w:val="007056BA"/>
    <w:rsid w:val="007059A0"/>
    <w:rsid w:val="007064C5"/>
    <w:rsid w:val="00706649"/>
    <w:rsid w:val="00706CEA"/>
    <w:rsid w:val="00706F31"/>
    <w:rsid w:val="00706FAC"/>
    <w:rsid w:val="0070718F"/>
    <w:rsid w:val="00707913"/>
    <w:rsid w:val="00707AD7"/>
    <w:rsid w:val="00707D2F"/>
    <w:rsid w:val="00710281"/>
    <w:rsid w:val="007110DB"/>
    <w:rsid w:val="007112B1"/>
    <w:rsid w:val="00711304"/>
    <w:rsid w:val="00711760"/>
    <w:rsid w:val="007120C3"/>
    <w:rsid w:val="00712B5D"/>
    <w:rsid w:val="00713684"/>
    <w:rsid w:val="007136D7"/>
    <w:rsid w:val="00713BDD"/>
    <w:rsid w:val="00713E45"/>
    <w:rsid w:val="00714247"/>
    <w:rsid w:val="00715755"/>
    <w:rsid w:val="00715F34"/>
    <w:rsid w:val="00715FB5"/>
    <w:rsid w:val="00716558"/>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225"/>
    <w:rsid w:val="00721DE2"/>
    <w:rsid w:val="0072202B"/>
    <w:rsid w:val="007225A0"/>
    <w:rsid w:val="00722A5A"/>
    <w:rsid w:val="00722F4A"/>
    <w:rsid w:val="00723040"/>
    <w:rsid w:val="00723AAF"/>
    <w:rsid w:val="00723BA4"/>
    <w:rsid w:val="00723DF4"/>
    <w:rsid w:val="00723F17"/>
    <w:rsid w:val="00724E6C"/>
    <w:rsid w:val="00725030"/>
    <w:rsid w:val="007250B6"/>
    <w:rsid w:val="0072517C"/>
    <w:rsid w:val="00725B82"/>
    <w:rsid w:val="00725FFA"/>
    <w:rsid w:val="007261D7"/>
    <w:rsid w:val="0072626D"/>
    <w:rsid w:val="0072652E"/>
    <w:rsid w:val="0072661E"/>
    <w:rsid w:val="007268FE"/>
    <w:rsid w:val="00726A6F"/>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62E"/>
    <w:rsid w:val="007329E0"/>
    <w:rsid w:val="00732C67"/>
    <w:rsid w:val="007339EB"/>
    <w:rsid w:val="007341B2"/>
    <w:rsid w:val="0073497B"/>
    <w:rsid w:val="0073503F"/>
    <w:rsid w:val="007353CF"/>
    <w:rsid w:val="007357AA"/>
    <w:rsid w:val="007360D3"/>
    <w:rsid w:val="007361B3"/>
    <w:rsid w:val="007363D3"/>
    <w:rsid w:val="0073684D"/>
    <w:rsid w:val="00736BA1"/>
    <w:rsid w:val="00736FC4"/>
    <w:rsid w:val="00736FE3"/>
    <w:rsid w:val="00737131"/>
    <w:rsid w:val="0073723A"/>
    <w:rsid w:val="007372ED"/>
    <w:rsid w:val="0073746C"/>
    <w:rsid w:val="00737671"/>
    <w:rsid w:val="00741106"/>
    <w:rsid w:val="007413B5"/>
    <w:rsid w:val="00741F0A"/>
    <w:rsid w:val="00741F51"/>
    <w:rsid w:val="00742442"/>
    <w:rsid w:val="007426ED"/>
    <w:rsid w:val="00742B8B"/>
    <w:rsid w:val="00742BAF"/>
    <w:rsid w:val="0074338E"/>
    <w:rsid w:val="00743C1A"/>
    <w:rsid w:val="00744578"/>
    <w:rsid w:val="00745035"/>
    <w:rsid w:val="0074576D"/>
    <w:rsid w:val="00746298"/>
    <w:rsid w:val="007462EE"/>
    <w:rsid w:val="00746406"/>
    <w:rsid w:val="007470D4"/>
    <w:rsid w:val="00747A76"/>
    <w:rsid w:val="007500EE"/>
    <w:rsid w:val="00750594"/>
    <w:rsid w:val="0075072B"/>
    <w:rsid w:val="00750AC8"/>
    <w:rsid w:val="0075117C"/>
    <w:rsid w:val="0075172C"/>
    <w:rsid w:val="00751FA5"/>
    <w:rsid w:val="00752056"/>
    <w:rsid w:val="00752C17"/>
    <w:rsid w:val="00753279"/>
    <w:rsid w:val="007532C4"/>
    <w:rsid w:val="00753C52"/>
    <w:rsid w:val="00753DA0"/>
    <w:rsid w:val="00753DB4"/>
    <w:rsid w:val="00754366"/>
    <w:rsid w:val="00754688"/>
    <w:rsid w:val="0075549B"/>
    <w:rsid w:val="007554B9"/>
    <w:rsid w:val="00755665"/>
    <w:rsid w:val="0075624D"/>
    <w:rsid w:val="0075651C"/>
    <w:rsid w:val="0075685D"/>
    <w:rsid w:val="00756E44"/>
    <w:rsid w:val="00756F13"/>
    <w:rsid w:val="00757024"/>
    <w:rsid w:val="007578E1"/>
    <w:rsid w:val="0075793D"/>
    <w:rsid w:val="007579B5"/>
    <w:rsid w:val="00757D78"/>
    <w:rsid w:val="00757EF2"/>
    <w:rsid w:val="00760274"/>
    <w:rsid w:val="00760ED0"/>
    <w:rsid w:val="00760FCD"/>
    <w:rsid w:val="007612AA"/>
    <w:rsid w:val="007612C8"/>
    <w:rsid w:val="00761C9E"/>
    <w:rsid w:val="0076230F"/>
    <w:rsid w:val="0076284A"/>
    <w:rsid w:val="00762D18"/>
    <w:rsid w:val="007635E4"/>
    <w:rsid w:val="00763651"/>
    <w:rsid w:val="00763E4A"/>
    <w:rsid w:val="0076469D"/>
    <w:rsid w:val="007646B4"/>
    <w:rsid w:val="007648A5"/>
    <w:rsid w:val="007654A8"/>
    <w:rsid w:val="007655C0"/>
    <w:rsid w:val="00765663"/>
    <w:rsid w:val="00765692"/>
    <w:rsid w:val="007657D5"/>
    <w:rsid w:val="00765FA0"/>
    <w:rsid w:val="0076607A"/>
    <w:rsid w:val="00766840"/>
    <w:rsid w:val="0076709F"/>
    <w:rsid w:val="00767368"/>
    <w:rsid w:val="00767569"/>
    <w:rsid w:val="007678BD"/>
    <w:rsid w:val="00767F39"/>
    <w:rsid w:val="00767FE1"/>
    <w:rsid w:val="00770159"/>
    <w:rsid w:val="0077023C"/>
    <w:rsid w:val="00770E05"/>
    <w:rsid w:val="0077125D"/>
    <w:rsid w:val="00771529"/>
    <w:rsid w:val="007715C6"/>
    <w:rsid w:val="0077162C"/>
    <w:rsid w:val="007716D5"/>
    <w:rsid w:val="00771E3D"/>
    <w:rsid w:val="0077262F"/>
    <w:rsid w:val="00772772"/>
    <w:rsid w:val="007729AA"/>
    <w:rsid w:val="00772C1D"/>
    <w:rsid w:val="00772C2A"/>
    <w:rsid w:val="007731A1"/>
    <w:rsid w:val="007733AE"/>
    <w:rsid w:val="00773588"/>
    <w:rsid w:val="00773ED9"/>
    <w:rsid w:val="00773F88"/>
    <w:rsid w:val="00774059"/>
    <w:rsid w:val="0077405C"/>
    <w:rsid w:val="0077428C"/>
    <w:rsid w:val="00774563"/>
    <w:rsid w:val="00774AAC"/>
    <w:rsid w:val="00774B03"/>
    <w:rsid w:val="00774B8B"/>
    <w:rsid w:val="00774D61"/>
    <w:rsid w:val="00775E5E"/>
    <w:rsid w:val="00776B0B"/>
    <w:rsid w:val="00776DA4"/>
    <w:rsid w:val="0077711A"/>
    <w:rsid w:val="007771A5"/>
    <w:rsid w:val="007771D9"/>
    <w:rsid w:val="007777FB"/>
    <w:rsid w:val="00777B97"/>
    <w:rsid w:val="00780497"/>
    <w:rsid w:val="00780604"/>
    <w:rsid w:val="00780982"/>
    <w:rsid w:val="00780FB9"/>
    <w:rsid w:val="0078196A"/>
    <w:rsid w:val="00781D5C"/>
    <w:rsid w:val="00781E7A"/>
    <w:rsid w:val="0078267F"/>
    <w:rsid w:val="00782F31"/>
    <w:rsid w:val="00783065"/>
    <w:rsid w:val="00783818"/>
    <w:rsid w:val="00783BB6"/>
    <w:rsid w:val="00783EF4"/>
    <w:rsid w:val="00784754"/>
    <w:rsid w:val="00784EF6"/>
    <w:rsid w:val="00785576"/>
    <w:rsid w:val="00785B2F"/>
    <w:rsid w:val="00785D58"/>
    <w:rsid w:val="00786736"/>
    <w:rsid w:val="007873B2"/>
    <w:rsid w:val="007877C3"/>
    <w:rsid w:val="00787B38"/>
    <w:rsid w:val="00790CBF"/>
    <w:rsid w:val="00790DB7"/>
    <w:rsid w:val="00791090"/>
    <w:rsid w:val="00791562"/>
    <w:rsid w:val="007915DB"/>
    <w:rsid w:val="007917B6"/>
    <w:rsid w:val="00791BF3"/>
    <w:rsid w:val="00791D4E"/>
    <w:rsid w:val="007921E6"/>
    <w:rsid w:val="007922F8"/>
    <w:rsid w:val="00792534"/>
    <w:rsid w:val="007927FE"/>
    <w:rsid w:val="00792B1A"/>
    <w:rsid w:val="00792DE5"/>
    <w:rsid w:val="00793B4D"/>
    <w:rsid w:val="00793CE1"/>
    <w:rsid w:val="00793F2A"/>
    <w:rsid w:val="00794019"/>
    <w:rsid w:val="00794AFF"/>
    <w:rsid w:val="007956D1"/>
    <w:rsid w:val="00795E49"/>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2738"/>
    <w:rsid w:val="007A31A5"/>
    <w:rsid w:val="007A38A0"/>
    <w:rsid w:val="007A3E4B"/>
    <w:rsid w:val="007A3F1F"/>
    <w:rsid w:val="007A4067"/>
    <w:rsid w:val="007A431C"/>
    <w:rsid w:val="007A450B"/>
    <w:rsid w:val="007A4761"/>
    <w:rsid w:val="007A505E"/>
    <w:rsid w:val="007A549E"/>
    <w:rsid w:val="007A58AF"/>
    <w:rsid w:val="007A5C7F"/>
    <w:rsid w:val="007A5D80"/>
    <w:rsid w:val="007A62AB"/>
    <w:rsid w:val="007A6370"/>
    <w:rsid w:val="007A6A43"/>
    <w:rsid w:val="007A6E32"/>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32"/>
    <w:rsid w:val="007B545E"/>
    <w:rsid w:val="007B5DD6"/>
    <w:rsid w:val="007B5E61"/>
    <w:rsid w:val="007B6B78"/>
    <w:rsid w:val="007B6E29"/>
    <w:rsid w:val="007B780C"/>
    <w:rsid w:val="007C0418"/>
    <w:rsid w:val="007C06E8"/>
    <w:rsid w:val="007C07B7"/>
    <w:rsid w:val="007C0812"/>
    <w:rsid w:val="007C0C23"/>
    <w:rsid w:val="007C0C33"/>
    <w:rsid w:val="007C1910"/>
    <w:rsid w:val="007C1A58"/>
    <w:rsid w:val="007C2549"/>
    <w:rsid w:val="007C338B"/>
    <w:rsid w:val="007C3C66"/>
    <w:rsid w:val="007C3F14"/>
    <w:rsid w:val="007C4C5A"/>
    <w:rsid w:val="007C4FE0"/>
    <w:rsid w:val="007C5349"/>
    <w:rsid w:val="007C5358"/>
    <w:rsid w:val="007C5528"/>
    <w:rsid w:val="007C55AF"/>
    <w:rsid w:val="007C5691"/>
    <w:rsid w:val="007C5792"/>
    <w:rsid w:val="007C5B7B"/>
    <w:rsid w:val="007C5B83"/>
    <w:rsid w:val="007C66CA"/>
    <w:rsid w:val="007C6E6B"/>
    <w:rsid w:val="007C6F43"/>
    <w:rsid w:val="007C70CE"/>
    <w:rsid w:val="007C7573"/>
    <w:rsid w:val="007C77BC"/>
    <w:rsid w:val="007C7A5E"/>
    <w:rsid w:val="007C7C11"/>
    <w:rsid w:val="007C7CE9"/>
    <w:rsid w:val="007D0032"/>
    <w:rsid w:val="007D0165"/>
    <w:rsid w:val="007D05AA"/>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53E"/>
    <w:rsid w:val="007D4A46"/>
    <w:rsid w:val="007D4D0C"/>
    <w:rsid w:val="007D6035"/>
    <w:rsid w:val="007D608B"/>
    <w:rsid w:val="007D6677"/>
    <w:rsid w:val="007D6833"/>
    <w:rsid w:val="007D7055"/>
    <w:rsid w:val="007D7289"/>
    <w:rsid w:val="007D73EF"/>
    <w:rsid w:val="007D7685"/>
    <w:rsid w:val="007D78D0"/>
    <w:rsid w:val="007D7961"/>
    <w:rsid w:val="007E0221"/>
    <w:rsid w:val="007E07D5"/>
    <w:rsid w:val="007E1184"/>
    <w:rsid w:val="007E3050"/>
    <w:rsid w:val="007E361E"/>
    <w:rsid w:val="007E3C4A"/>
    <w:rsid w:val="007E4033"/>
    <w:rsid w:val="007E464C"/>
    <w:rsid w:val="007E48AD"/>
    <w:rsid w:val="007E4918"/>
    <w:rsid w:val="007E4F3F"/>
    <w:rsid w:val="007E5151"/>
    <w:rsid w:val="007E56E6"/>
    <w:rsid w:val="007E57EC"/>
    <w:rsid w:val="007E5C5A"/>
    <w:rsid w:val="007E6181"/>
    <w:rsid w:val="007E634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656"/>
    <w:rsid w:val="007F26C2"/>
    <w:rsid w:val="007F26C4"/>
    <w:rsid w:val="007F2A07"/>
    <w:rsid w:val="007F2BDF"/>
    <w:rsid w:val="007F3A38"/>
    <w:rsid w:val="007F3B96"/>
    <w:rsid w:val="007F3D87"/>
    <w:rsid w:val="007F3EC6"/>
    <w:rsid w:val="007F41D6"/>
    <w:rsid w:val="007F44DB"/>
    <w:rsid w:val="007F464F"/>
    <w:rsid w:val="007F4669"/>
    <w:rsid w:val="007F48A0"/>
    <w:rsid w:val="007F49D8"/>
    <w:rsid w:val="007F5639"/>
    <w:rsid w:val="007F5C0C"/>
    <w:rsid w:val="007F65DA"/>
    <w:rsid w:val="007F6CCB"/>
    <w:rsid w:val="007F6F44"/>
    <w:rsid w:val="007F73F2"/>
    <w:rsid w:val="007F75FF"/>
    <w:rsid w:val="007F7829"/>
    <w:rsid w:val="007F79EB"/>
    <w:rsid w:val="007F7D0F"/>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C22"/>
    <w:rsid w:val="00804F41"/>
    <w:rsid w:val="008051C2"/>
    <w:rsid w:val="00805548"/>
    <w:rsid w:val="00805801"/>
    <w:rsid w:val="00806759"/>
    <w:rsid w:val="00806BDE"/>
    <w:rsid w:val="00806F18"/>
    <w:rsid w:val="00806FFE"/>
    <w:rsid w:val="00807082"/>
    <w:rsid w:val="0080764C"/>
    <w:rsid w:val="008104A9"/>
    <w:rsid w:val="008105E6"/>
    <w:rsid w:val="00810E6F"/>
    <w:rsid w:val="00810F2B"/>
    <w:rsid w:val="008116D6"/>
    <w:rsid w:val="00811700"/>
    <w:rsid w:val="0081176D"/>
    <w:rsid w:val="0081195F"/>
    <w:rsid w:val="00811D0A"/>
    <w:rsid w:val="00812895"/>
    <w:rsid w:val="008128DF"/>
    <w:rsid w:val="00812E04"/>
    <w:rsid w:val="00812F40"/>
    <w:rsid w:val="008130E0"/>
    <w:rsid w:val="00813373"/>
    <w:rsid w:val="00813C7E"/>
    <w:rsid w:val="00814077"/>
    <w:rsid w:val="008141A9"/>
    <w:rsid w:val="0081457A"/>
    <w:rsid w:val="00814C37"/>
    <w:rsid w:val="00815496"/>
    <w:rsid w:val="0081555F"/>
    <w:rsid w:val="00815942"/>
    <w:rsid w:val="00816966"/>
    <w:rsid w:val="00816D1D"/>
    <w:rsid w:val="00816D90"/>
    <w:rsid w:val="00816E0F"/>
    <w:rsid w:val="008172E8"/>
    <w:rsid w:val="00817B4A"/>
    <w:rsid w:val="00820368"/>
    <w:rsid w:val="00820DD9"/>
    <w:rsid w:val="008213D7"/>
    <w:rsid w:val="008219B5"/>
    <w:rsid w:val="00821ACE"/>
    <w:rsid w:val="00821E75"/>
    <w:rsid w:val="00821FF8"/>
    <w:rsid w:val="00822445"/>
    <w:rsid w:val="00822954"/>
    <w:rsid w:val="0082389C"/>
    <w:rsid w:val="0082396C"/>
    <w:rsid w:val="00823B4F"/>
    <w:rsid w:val="00823CC3"/>
    <w:rsid w:val="008240F2"/>
    <w:rsid w:val="0082439F"/>
    <w:rsid w:val="00824445"/>
    <w:rsid w:val="00824705"/>
    <w:rsid w:val="00824CD1"/>
    <w:rsid w:val="00825198"/>
    <w:rsid w:val="00825C97"/>
    <w:rsid w:val="00826056"/>
    <w:rsid w:val="00826524"/>
    <w:rsid w:val="00827AE5"/>
    <w:rsid w:val="00827B70"/>
    <w:rsid w:val="00827B81"/>
    <w:rsid w:val="00827CBA"/>
    <w:rsid w:val="008307B4"/>
    <w:rsid w:val="00830BBA"/>
    <w:rsid w:val="00830FED"/>
    <w:rsid w:val="00831494"/>
    <w:rsid w:val="0083150E"/>
    <w:rsid w:val="00831C32"/>
    <w:rsid w:val="00832B80"/>
    <w:rsid w:val="00832EE0"/>
    <w:rsid w:val="00833055"/>
    <w:rsid w:val="008338EC"/>
    <w:rsid w:val="008339E5"/>
    <w:rsid w:val="00833FC5"/>
    <w:rsid w:val="008341F4"/>
    <w:rsid w:val="008342D0"/>
    <w:rsid w:val="0083446D"/>
    <w:rsid w:val="008346BF"/>
    <w:rsid w:val="00834C66"/>
    <w:rsid w:val="00835997"/>
    <w:rsid w:val="00835D4C"/>
    <w:rsid w:val="008360EC"/>
    <w:rsid w:val="00836375"/>
    <w:rsid w:val="0083691A"/>
    <w:rsid w:val="00836A53"/>
    <w:rsid w:val="00836AB8"/>
    <w:rsid w:val="00837190"/>
    <w:rsid w:val="008375A7"/>
    <w:rsid w:val="008377C8"/>
    <w:rsid w:val="008377D0"/>
    <w:rsid w:val="00837A4F"/>
    <w:rsid w:val="00837D08"/>
    <w:rsid w:val="00840506"/>
    <w:rsid w:val="0084164C"/>
    <w:rsid w:val="0084188D"/>
    <w:rsid w:val="0084191C"/>
    <w:rsid w:val="00841AF6"/>
    <w:rsid w:val="00841B8A"/>
    <w:rsid w:val="008426E9"/>
    <w:rsid w:val="00842724"/>
    <w:rsid w:val="00842F0F"/>
    <w:rsid w:val="00843490"/>
    <w:rsid w:val="00843637"/>
    <w:rsid w:val="008440E5"/>
    <w:rsid w:val="00844BB5"/>
    <w:rsid w:val="00844C41"/>
    <w:rsid w:val="00844CDE"/>
    <w:rsid w:val="0084659D"/>
    <w:rsid w:val="00846732"/>
    <w:rsid w:val="00846CB1"/>
    <w:rsid w:val="00846E95"/>
    <w:rsid w:val="00847737"/>
    <w:rsid w:val="008477B6"/>
    <w:rsid w:val="00847DB0"/>
    <w:rsid w:val="00847E24"/>
    <w:rsid w:val="008503C1"/>
    <w:rsid w:val="00850829"/>
    <w:rsid w:val="0085084D"/>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91D"/>
    <w:rsid w:val="0086093E"/>
    <w:rsid w:val="00861407"/>
    <w:rsid w:val="00861E4F"/>
    <w:rsid w:val="00861F27"/>
    <w:rsid w:val="008628C1"/>
    <w:rsid w:val="00863033"/>
    <w:rsid w:val="00863091"/>
    <w:rsid w:val="00863421"/>
    <w:rsid w:val="0086378C"/>
    <w:rsid w:val="008639D1"/>
    <w:rsid w:val="00863A0E"/>
    <w:rsid w:val="00863C6A"/>
    <w:rsid w:val="00863F4A"/>
    <w:rsid w:val="00863F67"/>
    <w:rsid w:val="00864868"/>
    <w:rsid w:val="00864887"/>
    <w:rsid w:val="00864938"/>
    <w:rsid w:val="0086532C"/>
    <w:rsid w:val="00865337"/>
    <w:rsid w:val="008653B5"/>
    <w:rsid w:val="00865755"/>
    <w:rsid w:val="00865DDA"/>
    <w:rsid w:val="008663C8"/>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2051"/>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667B"/>
    <w:rsid w:val="008766FC"/>
    <w:rsid w:val="00876A25"/>
    <w:rsid w:val="00876DB4"/>
    <w:rsid w:val="0087730F"/>
    <w:rsid w:val="00877AE4"/>
    <w:rsid w:val="00880207"/>
    <w:rsid w:val="0088020D"/>
    <w:rsid w:val="00880278"/>
    <w:rsid w:val="008803BD"/>
    <w:rsid w:val="008805A8"/>
    <w:rsid w:val="00880FD1"/>
    <w:rsid w:val="0088100E"/>
    <w:rsid w:val="00881078"/>
    <w:rsid w:val="008818B9"/>
    <w:rsid w:val="008818D0"/>
    <w:rsid w:val="00881A8F"/>
    <w:rsid w:val="008821AC"/>
    <w:rsid w:val="00882299"/>
    <w:rsid w:val="00882C68"/>
    <w:rsid w:val="00883335"/>
    <w:rsid w:val="0088362C"/>
    <w:rsid w:val="00883936"/>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33F"/>
    <w:rsid w:val="008965B8"/>
    <w:rsid w:val="008966A1"/>
    <w:rsid w:val="008966F4"/>
    <w:rsid w:val="00896A17"/>
    <w:rsid w:val="00896CAE"/>
    <w:rsid w:val="00896D91"/>
    <w:rsid w:val="0089787B"/>
    <w:rsid w:val="00897E40"/>
    <w:rsid w:val="00897E9F"/>
    <w:rsid w:val="008A0179"/>
    <w:rsid w:val="008A0344"/>
    <w:rsid w:val="008A06E6"/>
    <w:rsid w:val="008A08C2"/>
    <w:rsid w:val="008A0A21"/>
    <w:rsid w:val="008A0ECC"/>
    <w:rsid w:val="008A1109"/>
    <w:rsid w:val="008A1A7E"/>
    <w:rsid w:val="008A1F5B"/>
    <w:rsid w:val="008A2355"/>
    <w:rsid w:val="008A2993"/>
    <w:rsid w:val="008A323F"/>
    <w:rsid w:val="008A3D05"/>
    <w:rsid w:val="008A40E4"/>
    <w:rsid w:val="008A4291"/>
    <w:rsid w:val="008A44F6"/>
    <w:rsid w:val="008A4615"/>
    <w:rsid w:val="008A48E6"/>
    <w:rsid w:val="008A4F3D"/>
    <w:rsid w:val="008A532F"/>
    <w:rsid w:val="008A6281"/>
    <w:rsid w:val="008A677C"/>
    <w:rsid w:val="008A67E5"/>
    <w:rsid w:val="008A6D6D"/>
    <w:rsid w:val="008A75C8"/>
    <w:rsid w:val="008A78D2"/>
    <w:rsid w:val="008A7B28"/>
    <w:rsid w:val="008A7C6D"/>
    <w:rsid w:val="008B0444"/>
    <w:rsid w:val="008B0648"/>
    <w:rsid w:val="008B0A6E"/>
    <w:rsid w:val="008B0BBD"/>
    <w:rsid w:val="008B0D2E"/>
    <w:rsid w:val="008B10E3"/>
    <w:rsid w:val="008B1446"/>
    <w:rsid w:val="008B14E7"/>
    <w:rsid w:val="008B1DE9"/>
    <w:rsid w:val="008B1ECD"/>
    <w:rsid w:val="008B29F5"/>
    <w:rsid w:val="008B329E"/>
    <w:rsid w:val="008B410A"/>
    <w:rsid w:val="008B4656"/>
    <w:rsid w:val="008B46FB"/>
    <w:rsid w:val="008B4B0E"/>
    <w:rsid w:val="008B53CC"/>
    <w:rsid w:val="008B5631"/>
    <w:rsid w:val="008B565F"/>
    <w:rsid w:val="008B599F"/>
    <w:rsid w:val="008B5A15"/>
    <w:rsid w:val="008B5C0C"/>
    <w:rsid w:val="008B6891"/>
    <w:rsid w:val="008B6C51"/>
    <w:rsid w:val="008B71B7"/>
    <w:rsid w:val="008B71EB"/>
    <w:rsid w:val="008B74F9"/>
    <w:rsid w:val="008B7A2B"/>
    <w:rsid w:val="008B7AE3"/>
    <w:rsid w:val="008C0121"/>
    <w:rsid w:val="008C0182"/>
    <w:rsid w:val="008C01D7"/>
    <w:rsid w:val="008C0362"/>
    <w:rsid w:val="008C158C"/>
    <w:rsid w:val="008C1FB5"/>
    <w:rsid w:val="008C22FA"/>
    <w:rsid w:val="008C2581"/>
    <w:rsid w:val="008C2A7C"/>
    <w:rsid w:val="008C32A4"/>
    <w:rsid w:val="008C378E"/>
    <w:rsid w:val="008C41E8"/>
    <w:rsid w:val="008C4388"/>
    <w:rsid w:val="008C4885"/>
    <w:rsid w:val="008C4E70"/>
    <w:rsid w:val="008C4ED2"/>
    <w:rsid w:val="008C5353"/>
    <w:rsid w:val="008C5DF1"/>
    <w:rsid w:val="008C60D2"/>
    <w:rsid w:val="008C6112"/>
    <w:rsid w:val="008C65C4"/>
    <w:rsid w:val="008C66E4"/>
    <w:rsid w:val="008C685F"/>
    <w:rsid w:val="008C6D58"/>
    <w:rsid w:val="008C73A9"/>
    <w:rsid w:val="008C7C3B"/>
    <w:rsid w:val="008D048A"/>
    <w:rsid w:val="008D068B"/>
    <w:rsid w:val="008D14FB"/>
    <w:rsid w:val="008D18E6"/>
    <w:rsid w:val="008D24AC"/>
    <w:rsid w:val="008D285D"/>
    <w:rsid w:val="008D2886"/>
    <w:rsid w:val="008D2961"/>
    <w:rsid w:val="008D2F1A"/>
    <w:rsid w:val="008D306E"/>
    <w:rsid w:val="008D3A61"/>
    <w:rsid w:val="008D3C6F"/>
    <w:rsid w:val="008D3CCE"/>
    <w:rsid w:val="008D3ED1"/>
    <w:rsid w:val="008D40AB"/>
    <w:rsid w:val="008D450C"/>
    <w:rsid w:val="008D47A4"/>
    <w:rsid w:val="008D48E4"/>
    <w:rsid w:val="008D4925"/>
    <w:rsid w:val="008D492D"/>
    <w:rsid w:val="008D4F5F"/>
    <w:rsid w:val="008D533C"/>
    <w:rsid w:val="008D5620"/>
    <w:rsid w:val="008D576D"/>
    <w:rsid w:val="008D5BFF"/>
    <w:rsid w:val="008D5C74"/>
    <w:rsid w:val="008D6452"/>
    <w:rsid w:val="008D6984"/>
    <w:rsid w:val="008D6A56"/>
    <w:rsid w:val="008D73B6"/>
    <w:rsid w:val="008E01C1"/>
    <w:rsid w:val="008E0581"/>
    <w:rsid w:val="008E0955"/>
    <w:rsid w:val="008E1452"/>
    <w:rsid w:val="008E17D7"/>
    <w:rsid w:val="008E1AF1"/>
    <w:rsid w:val="008E1C11"/>
    <w:rsid w:val="008E1CA5"/>
    <w:rsid w:val="008E1FB7"/>
    <w:rsid w:val="008E215A"/>
    <w:rsid w:val="008E3408"/>
    <w:rsid w:val="008E35F4"/>
    <w:rsid w:val="008E36E1"/>
    <w:rsid w:val="008E39B6"/>
    <w:rsid w:val="008E3DE1"/>
    <w:rsid w:val="008E3E43"/>
    <w:rsid w:val="008E3FCF"/>
    <w:rsid w:val="008E437F"/>
    <w:rsid w:val="008E4A68"/>
    <w:rsid w:val="008E4E0B"/>
    <w:rsid w:val="008E52FA"/>
    <w:rsid w:val="008E5C24"/>
    <w:rsid w:val="008E74A8"/>
    <w:rsid w:val="008E77A6"/>
    <w:rsid w:val="008E7B32"/>
    <w:rsid w:val="008E7B3F"/>
    <w:rsid w:val="008E7F47"/>
    <w:rsid w:val="008F01FF"/>
    <w:rsid w:val="008F0C07"/>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33C"/>
    <w:rsid w:val="008F4702"/>
    <w:rsid w:val="008F4770"/>
    <w:rsid w:val="008F4CD4"/>
    <w:rsid w:val="008F523B"/>
    <w:rsid w:val="008F55C8"/>
    <w:rsid w:val="008F570D"/>
    <w:rsid w:val="008F587E"/>
    <w:rsid w:val="008F589D"/>
    <w:rsid w:val="008F5FEA"/>
    <w:rsid w:val="008F6163"/>
    <w:rsid w:val="008F65BB"/>
    <w:rsid w:val="008F671D"/>
    <w:rsid w:val="008F6970"/>
    <w:rsid w:val="008F6A18"/>
    <w:rsid w:val="008F6AFE"/>
    <w:rsid w:val="008F6C57"/>
    <w:rsid w:val="008F73C4"/>
    <w:rsid w:val="008F7592"/>
    <w:rsid w:val="008F7CDC"/>
    <w:rsid w:val="00900469"/>
    <w:rsid w:val="0090063E"/>
    <w:rsid w:val="00901AB4"/>
    <w:rsid w:val="0090201D"/>
    <w:rsid w:val="00902322"/>
    <w:rsid w:val="009026FE"/>
    <w:rsid w:val="00903128"/>
    <w:rsid w:val="00903328"/>
    <w:rsid w:val="009034FA"/>
    <w:rsid w:val="009037B0"/>
    <w:rsid w:val="00903C3A"/>
    <w:rsid w:val="00903ED8"/>
    <w:rsid w:val="00904156"/>
    <w:rsid w:val="009049B0"/>
    <w:rsid w:val="009053AD"/>
    <w:rsid w:val="00905B42"/>
    <w:rsid w:val="00905C06"/>
    <w:rsid w:val="00906500"/>
    <w:rsid w:val="00906C42"/>
    <w:rsid w:val="00906C56"/>
    <w:rsid w:val="00906F56"/>
    <w:rsid w:val="00907298"/>
    <w:rsid w:val="00907D4B"/>
    <w:rsid w:val="00910DF6"/>
    <w:rsid w:val="00910EAF"/>
    <w:rsid w:val="00911AC4"/>
    <w:rsid w:val="00911AD6"/>
    <w:rsid w:val="00911BE1"/>
    <w:rsid w:val="00912332"/>
    <w:rsid w:val="009124C5"/>
    <w:rsid w:val="0091284B"/>
    <w:rsid w:val="00912E7C"/>
    <w:rsid w:val="00913269"/>
    <w:rsid w:val="009137F1"/>
    <w:rsid w:val="00913864"/>
    <w:rsid w:val="00913EB5"/>
    <w:rsid w:val="00914786"/>
    <w:rsid w:val="00914C48"/>
    <w:rsid w:val="009151A1"/>
    <w:rsid w:val="0091533C"/>
    <w:rsid w:val="00915CB1"/>
    <w:rsid w:val="00915D42"/>
    <w:rsid w:val="00915F32"/>
    <w:rsid w:val="00916220"/>
    <w:rsid w:val="009167FE"/>
    <w:rsid w:val="00916CBC"/>
    <w:rsid w:val="00917259"/>
    <w:rsid w:val="00917693"/>
    <w:rsid w:val="00917D13"/>
    <w:rsid w:val="009200C4"/>
    <w:rsid w:val="00920C53"/>
    <w:rsid w:val="00920E37"/>
    <w:rsid w:val="00920F80"/>
    <w:rsid w:val="0092106E"/>
    <w:rsid w:val="00921243"/>
    <w:rsid w:val="009212BF"/>
    <w:rsid w:val="00921332"/>
    <w:rsid w:val="009217B8"/>
    <w:rsid w:val="009219E2"/>
    <w:rsid w:val="00922269"/>
    <w:rsid w:val="00922466"/>
    <w:rsid w:val="00923138"/>
    <w:rsid w:val="0092380F"/>
    <w:rsid w:val="00923E33"/>
    <w:rsid w:val="009240A6"/>
    <w:rsid w:val="00924488"/>
    <w:rsid w:val="0092466E"/>
    <w:rsid w:val="00924D3B"/>
    <w:rsid w:val="00924D70"/>
    <w:rsid w:val="00924DB9"/>
    <w:rsid w:val="00924FF9"/>
    <w:rsid w:val="0092557D"/>
    <w:rsid w:val="00925642"/>
    <w:rsid w:val="0092587E"/>
    <w:rsid w:val="00925D81"/>
    <w:rsid w:val="00925DEB"/>
    <w:rsid w:val="00926C74"/>
    <w:rsid w:val="00926ECD"/>
    <w:rsid w:val="009272EE"/>
    <w:rsid w:val="00927E6F"/>
    <w:rsid w:val="00927FAA"/>
    <w:rsid w:val="00931019"/>
    <w:rsid w:val="0093350C"/>
    <w:rsid w:val="0093372E"/>
    <w:rsid w:val="0093377B"/>
    <w:rsid w:val="00933891"/>
    <w:rsid w:val="0093398D"/>
    <w:rsid w:val="00933C90"/>
    <w:rsid w:val="00934AD9"/>
    <w:rsid w:val="00934BD7"/>
    <w:rsid w:val="00934C04"/>
    <w:rsid w:val="009352CF"/>
    <w:rsid w:val="00935461"/>
    <w:rsid w:val="0093637F"/>
    <w:rsid w:val="00936595"/>
    <w:rsid w:val="009365B3"/>
    <w:rsid w:val="00936E32"/>
    <w:rsid w:val="009373F0"/>
    <w:rsid w:val="0093772F"/>
    <w:rsid w:val="00937ADB"/>
    <w:rsid w:val="0094047D"/>
    <w:rsid w:val="00940828"/>
    <w:rsid w:val="0094084F"/>
    <w:rsid w:val="00940A65"/>
    <w:rsid w:val="00940B1C"/>
    <w:rsid w:val="009410A9"/>
    <w:rsid w:val="00941DF4"/>
    <w:rsid w:val="00941EBE"/>
    <w:rsid w:val="00941FB5"/>
    <w:rsid w:val="009420F1"/>
    <w:rsid w:val="009426D1"/>
    <w:rsid w:val="0094292A"/>
    <w:rsid w:val="00943C45"/>
    <w:rsid w:val="00943CA8"/>
    <w:rsid w:val="009441B3"/>
    <w:rsid w:val="0094425A"/>
    <w:rsid w:val="00944383"/>
    <w:rsid w:val="009443F3"/>
    <w:rsid w:val="0094493F"/>
    <w:rsid w:val="00944EDE"/>
    <w:rsid w:val="00944FE5"/>
    <w:rsid w:val="00945074"/>
    <w:rsid w:val="0094523B"/>
    <w:rsid w:val="0094536C"/>
    <w:rsid w:val="00945BB1"/>
    <w:rsid w:val="00945DC8"/>
    <w:rsid w:val="00946296"/>
    <w:rsid w:val="009463A2"/>
    <w:rsid w:val="009463A9"/>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62FA"/>
    <w:rsid w:val="00956732"/>
    <w:rsid w:val="009568CD"/>
    <w:rsid w:val="00957142"/>
    <w:rsid w:val="0095721B"/>
    <w:rsid w:val="00957E96"/>
    <w:rsid w:val="0096021E"/>
    <w:rsid w:val="00960BF0"/>
    <w:rsid w:val="00961348"/>
    <w:rsid w:val="009613B8"/>
    <w:rsid w:val="0096154C"/>
    <w:rsid w:val="00961B70"/>
    <w:rsid w:val="00961D05"/>
    <w:rsid w:val="00962814"/>
    <w:rsid w:val="00962B93"/>
    <w:rsid w:val="00962EFD"/>
    <w:rsid w:val="009633FC"/>
    <w:rsid w:val="0096356F"/>
    <w:rsid w:val="009635DF"/>
    <w:rsid w:val="00963A64"/>
    <w:rsid w:val="00963DB9"/>
    <w:rsid w:val="00963EF7"/>
    <w:rsid w:val="0096445B"/>
    <w:rsid w:val="009644E6"/>
    <w:rsid w:val="0096486E"/>
    <w:rsid w:val="00964F6D"/>
    <w:rsid w:val="0096543B"/>
    <w:rsid w:val="0096547D"/>
    <w:rsid w:val="009655B3"/>
    <w:rsid w:val="0096565F"/>
    <w:rsid w:val="00965D38"/>
    <w:rsid w:val="00965FD9"/>
    <w:rsid w:val="00966E3C"/>
    <w:rsid w:val="00966F61"/>
    <w:rsid w:val="00966FAF"/>
    <w:rsid w:val="009671D0"/>
    <w:rsid w:val="009676E2"/>
    <w:rsid w:val="009679FE"/>
    <w:rsid w:val="00967E7B"/>
    <w:rsid w:val="00967E86"/>
    <w:rsid w:val="00970B42"/>
    <w:rsid w:val="009710DB"/>
    <w:rsid w:val="00972757"/>
    <w:rsid w:val="0097334C"/>
    <w:rsid w:val="00973612"/>
    <w:rsid w:val="00973667"/>
    <w:rsid w:val="00974585"/>
    <w:rsid w:val="009747E6"/>
    <w:rsid w:val="009749D5"/>
    <w:rsid w:val="00974E60"/>
    <w:rsid w:val="00975CBF"/>
    <w:rsid w:val="00975D56"/>
    <w:rsid w:val="00976A6D"/>
    <w:rsid w:val="00976B82"/>
    <w:rsid w:val="00976C99"/>
    <w:rsid w:val="0097747D"/>
    <w:rsid w:val="009774A5"/>
    <w:rsid w:val="00977711"/>
    <w:rsid w:val="009779B4"/>
    <w:rsid w:val="00980085"/>
    <w:rsid w:val="009805E1"/>
    <w:rsid w:val="009807AA"/>
    <w:rsid w:val="00980F9D"/>
    <w:rsid w:val="009813C0"/>
    <w:rsid w:val="00981514"/>
    <w:rsid w:val="009816EB"/>
    <w:rsid w:val="00981EFE"/>
    <w:rsid w:val="009821D2"/>
    <w:rsid w:val="0098234D"/>
    <w:rsid w:val="00982AD5"/>
    <w:rsid w:val="00982B4F"/>
    <w:rsid w:val="00982D77"/>
    <w:rsid w:val="0098319B"/>
    <w:rsid w:val="009833F3"/>
    <w:rsid w:val="009834B6"/>
    <w:rsid w:val="00983752"/>
    <w:rsid w:val="00983FC8"/>
    <w:rsid w:val="00984291"/>
    <w:rsid w:val="0098495C"/>
    <w:rsid w:val="00984F93"/>
    <w:rsid w:val="00985FAF"/>
    <w:rsid w:val="009863CC"/>
    <w:rsid w:val="00986420"/>
    <w:rsid w:val="0098666C"/>
    <w:rsid w:val="00986B0B"/>
    <w:rsid w:val="009872BC"/>
    <w:rsid w:val="00987B39"/>
    <w:rsid w:val="00990208"/>
    <w:rsid w:val="00990911"/>
    <w:rsid w:val="0099095B"/>
    <w:rsid w:val="00990C45"/>
    <w:rsid w:val="00990DA5"/>
    <w:rsid w:val="00990ED8"/>
    <w:rsid w:val="0099111A"/>
    <w:rsid w:val="00991AEE"/>
    <w:rsid w:val="0099216F"/>
    <w:rsid w:val="00992501"/>
    <w:rsid w:val="00992667"/>
    <w:rsid w:val="00992D15"/>
    <w:rsid w:val="009936B4"/>
    <w:rsid w:val="00993B57"/>
    <w:rsid w:val="00993E18"/>
    <w:rsid w:val="00993EBB"/>
    <w:rsid w:val="00994218"/>
    <w:rsid w:val="00995128"/>
    <w:rsid w:val="0099595E"/>
    <w:rsid w:val="00995DDC"/>
    <w:rsid w:val="009962C2"/>
    <w:rsid w:val="0099637A"/>
    <w:rsid w:val="00996996"/>
    <w:rsid w:val="00996F86"/>
    <w:rsid w:val="00997509"/>
    <w:rsid w:val="009977F0"/>
    <w:rsid w:val="00997DD9"/>
    <w:rsid w:val="009A03C8"/>
    <w:rsid w:val="009A04D6"/>
    <w:rsid w:val="009A065F"/>
    <w:rsid w:val="009A081A"/>
    <w:rsid w:val="009A0F5C"/>
    <w:rsid w:val="009A1882"/>
    <w:rsid w:val="009A1E33"/>
    <w:rsid w:val="009A2022"/>
    <w:rsid w:val="009A24A0"/>
    <w:rsid w:val="009A2E71"/>
    <w:rsid w:val="009A376C"/>
    <w:rsid w:val="009A379C"/>
    <w:rsid w:val="009A3AD6"/>
    <w:rsid w:val="009A3B97"/>
    <w:rsid w:val="009A3DE3"/>
    <w:rsid w:val="009A3E89"/>
    <w:rsid w:val="009A3EAE"/>
    <w:rsid w:val="009A3F30"/>
    <w:rsid w:val="009A4267"/>
    <w:rsid w:val="009A4355"/>
    <w:rsid w:val="009A464C"/>
    <w:rsid w:val="009A510B"/>
    <w:rsid w:val="009A55A1"/>
    <w:rsid w:val="009A5CF3"/>
    <w:rsid w:val="009A5E03"/>
    <w:rsid w:val="009A68E5"/>
    <w:rsid w:val="009A6C5D"/>
    <w:rsid w:val="009A70FB"/>
    <w:rsid w:val="009A724A"/>
    <w:rsid w:val="009A73F4"/>
    <w:rsid w:val="009A750D"/>
    <w:rsid w:val="009A761F"/>
    <w:rsid w:val="009A7995"/>
    <w:rsid w:val="009B07BE"/>
    <w:rsid w:val="009B0AE2"/>
    <w:rsid w:val="009B0E15"/>
    <w:rsid w:val="009B0FC6"/>
    <w:rsid w:val="009B169A"/>
    <w:rsid w:val="009B1BAE"/>
    <w:rsid w:val="009B1E49"/>
    <w:rsid w:val="009B1F0E"/>
    <w:rsid w:val="009B202E"/>
    <w:rsid w:val="009B22DF"/>
    <w:rsid w:val="009B2408"/>
    <w:rsid w:val="009B2471"/>
    <w:rsid w:val="009B24DF"/>
    <w:rsid w:val="009B28E9"/>
    <w:rsid w:val="009B315E"/>
    <w:rsid w:val="009B399B"/>
    <w:rsid w:val="009B3F2A"/>
    <w:rsid w:val="009B48E5"/>
    <w:rsid w:val="009B4A86"/>
    <w:rsid w:val="009B5C7F"/>
    <w:rsid w:val="009B65B1"/>
    <w:rsid w:val="009B694E"/>
    <w:rsid w:val="009B6AB0"/>
    <w:rsid w:val="009B6CA5"/>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4D6"/>
    <w:rsid w:val="009C65F1"/>
    <w:rsid w:val="009C673E"/>
    <w:rsid w:val="009C6A2F"/>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F3D"/>
    <w:rsid w:val="009D30DA"/>
    <w:rsid w:val="009D3174"/>
    <w:rsid w:val="009D3316"/>
    <w:rsid w:val="009D3545"/>
    <w:rsid w:val="009D370F"/>
    <w:rsid w:val="009D377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961"/>
    <w:rsid w:val="009D7F5E"/>
    <w:rsid w:val="009E0290"/>
    <w:rsid w:val="009E08E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3B55"/>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0C6C"/>
    <w:rsid w:val="009F11F1"/>
    <w:rsid w:val="009F15B1"/>
    <w:rsid w:val="009F1A4B"/>
    <w:rsid w:val="009F1C54"/>
    <w:rsid w:val="009F1F59"/>
    <w:rsid w:val="009F26F7"/>
    <w:rsid w:val="009F2E74"/>
    <w:rsid w:val="009F377A"/>
    <w:rsid w:val="009F3856"/>
    <w:rsid w:val="009F39B5"/>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3FE"/>
    <w:rsid w:val="009F76AD"/>
    <w:rsid w:val="009F7728"/>
    <w:rsid w:val="009F78FF"/>
    <w:rsid w:val="009F7D20"/>
    <w:rsid w:val="009F7E9D"/>
    <w:rsid w:val="00A001CE"/>
    <w:rsid w:val="00A00360"/>
    <w:rsid w:val="00A0067B"/>
    <w:rsid w:val="00A007E6"/>
    <w:rsid w:val="00A00B6C"/>
    <w:rsid w:val="00A012ED"/>
    <w:rsid w:val="00A01EF4"/>
    <w:rsid w:val="00A026A9"/>
    <w:rsid w:val="00A026FF"/>
    <w:rsid w:val="00A02C4C"/>
    <w:rsid w:val="00A02D17"/>
    <w:rsid w:val="00A02E4D"/>
    <w:rsid w:val="00A03A6F"/>
    <w:rsid w:val="00A03C7F"/>
    <w:rsid w:val="00A0533D"/>
    <w:rsid w:val="00A054F3"/>
    <w:rsid w:val="00A05A3A"/>
    <w:rsid w:val="00A05E70"/>
    <w:rsid w:val="00A05E79"/>
    <w:rsid w:val="00A0636A"/>
    <w:rsid w:val="00A0708C"/>
    <w:rsid w:val="00A07408"/>
    <w:rsid w:val="00A0759F"/>
    <w:rsid w:val="00A07BAA"/>
    <w:rsid w:val="00A10594"/>
    <w:rsid w:val="00A10909"/>
    <w:rsid w:val="00A10BA6"/>
    <w:rsid w:val="00A10F09"/>
    <w:rsid w:val="00A110B2"/>
    <w:rsid w:val="00A11132"/>
    <w:rsid w:val="00A11254"/>
    <w:rsid w:val="00A113DF"/>
    <w:rsid w:val="00A115B2"/>
    <w:rsid w:val="00A12023"/>
    <w:rsid w:val="00A12766"/>
    <w:rsid w:val="00A12B42"/>
    <w:rsid w:val="00A12EBB"/>
    <w:rsid w:val="00A13C31"/>
    <w:rsid w:val="00A13C89"/>
    <w:rsid w:val="00A13D1F"/>
    <w:rsid w:val="00A14418"/>
    <w:rsid w:val="00A14495"/>
    <w:rsid w:val="00A1470D"/>
    <w:rsid w:val="00A14946"/>
    <w:rsid w:val="00A15ADA"/>
    <w:rsid w:val="00A163D2"/>
    <w:rsid w:val="00A164FA"/>
    <w:rsid w:val="00A16B98"/>
    <w:rsid w:val="00A16D99"/>
    <w:rsid w:val="00A170C8"/>
    <w:rsid w:val="00A172EC"/>
    <w:rsid w:val="00A173A8"/>
    <w:rsid w:val="00A17B3B"/>
    <w:rsid w:val="00A2006F"/>
    <w:rsid w:val="00A201F8"/>
    <w:rsid w:val="00A20288"/>
    <w:rsid w:val="00A20538"/>
    <w:rsid w:val="00A205F8"/>
    <w:rsid w:val="00A20753"/>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5139"/>
    <w:rsid w:val="00A25589"/>
    <w:rsid w:val="00A25B0A"/>
    <w:rsid w:val="00A25B80"/>
    <w:rsid w:val="00A25E6B"/>
    <w:rsid w:val="00A25F57"/>
    <w:rsid w:val="00A27879"/>
    <w:rsid w:val="00A27BE3"/>
    <w:rsid w:val="00A27C99"/>
    <w:rsid w:val="00A27F7A"/>
    <w:rsid w:val="00A303F3"/>
    <w:rsid w:val="00A30C09"/>
    <w:rsid w:val="00A3112A"/>
    <w:rsid w:val="00A3166D"/>
    <w:rsid w:val="00A317D3"/>
    <w:rsid w:val="00A32781"/>
    <w:rsid w:val="00A32DF6"/>
    <w:rsid w:val="00A32F0E"/>
    <w:rsid w:val="00A333F2"/>
    <w:rsid w:val="00A339A8"/>
    <w:rsid w:val="00A33CE0"/>
    <w:rsid w:val="00A33F50"/>
    <w:rsid w:val="00A34097"/>
    <w:rsid w:val="00A342E5"/>
    <w:rsid w:val="00A34C22"/>
    <w:rsid w:val="00A3506D"/>
    <w:rsid w:val="00A35215"/>
    <w:rsid w:val="00A3575F"/>
    <w:rsid w:val="00A35794"/>
    <w:rsid w:val="00A364CB"/>
    <w:rsid w:val="00A366FE"/>
    <w:rsid w:val="00A36834"/>
    <w:rsid w:val="00A36CA7"/>
    <w:rsid w:val="00A36F7B"/>
    <w:rsid w:val="00A3741B"/>
    <w:rsid w:val="00A37706"/>
    <w:rsid w:val="00A401C1"/>
    <w:rsid w:val="00A40530"/>
    <w:rsid w:val="00A40AD4"/>
    <w:rsid w:val="00A40E7C"/>
    <w:rsid w:val="00A41355"/>
    <w:rsid w:val="00A41A62"/>
    <w:rsid w:val="00A41D5F"/>
    <w:rsid w:val="00A42356"/>
    <w:rsid w:val="00A428D9"/>
    <w:rsid w:val="00A42AD2"/>
    <w:rsid w:val="00A42BB3"/>
    <w:rsid w:val="00A431F2"/>
    <w:rsid w:val="00A44715"/>
    <w:rsid w:val="00A44CE5"/>
    <w:rsid w:val="00A452AE"/>
    <w:rsid w:val="00A4611C"/>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EB"/>
    <w:rsid w:val="00A51B6D"/>
    <w:rsid w:val="00A51BBA"/>
    <w:rsid w:val="00A51C62"/>
    <w:rsid w:val="00A51DD3"/>
    <w:rsid w:val="00A51F88"/>
    <w:rsid w:val="00A52411"/>
    <w:rsid w:val="00A5270A"/>
    <w:rsid w:val="00A52721"/>
    <w:rsid w:val="00A528AC"/>
    <w:rsid w:val="00A52D30"/>
    <w:rsid w:val="00A52D38"/>
    <w:rsid w:val="00A538D2"/>
    <w:rsid w:val="00A53C81"/>
    <w:rsid w:val="00A53EEA"/>
    <w:rsid w:val="00A5418F"/>
    <w:rsid w:val="00A541DB"/>
    <w:rsid w:val="00A5430A"/>
    <w:rsid w:val="00A54694"/>
    <w:rsid w:val="00A548B9"/>
    <w:rsid w:val="00A54FA0"/>
    <w:rsid w:val="00A551A3"/>
    <w:rsid w:val="00A554DF"/>
    <w:rsid w:val="00A555B5"/>
    <w:rsid w:val="00A55960"/>
    <w:rsid w:val="00A55B3F"/>
    <w:rsid w:val="00A55B4E"/>
    <w:rsid w:val="00A55EB6"/>
    <w:rsid w:val="00A55F77"/>
    <w:rsid w:val="00A56513"/>
    <w:rsid w:val="00A568A5"/>
    <w:rsid w:val="00A56AB5"/>
    <w:rsid w:val="00A56F14"/>
    <w:rsid w:val="00A56FC0"/>
    <w:rsid w:val="00A57218"/>
    <w:rsid w:val="00A578AF"/>
    <w:rsid w:val="00A579F6"/>
    <w:rsid w:val="00A600C5"/>
    <w:rsid w:val="00A604FF"/>
    <w:rsid w:val="00A60591"/>
    <w:rsid w:val="00A6099C"/>
    <w:rsid w:val="00A60C7C"/>
    <w:rsid w:val="00A60CED"/>
    <w:rsid w:val="00A61BA3"/>
    <w:rsid w:val="00A61C60"/>
    <w:rsid w:val="00A61DD0"/>
    <w:rsid w:val="00A6205F"/>
    <w:rsid w:val="00A621B2"/>
    <w:rsid w:val="00A6255D"/>
    <w:rsid w:val="00A62E9C"/>
    <w:rsid w:val="00A62F3D"/>
    <w:rsid w:val="00A63815"/>
    <w:rsid w:val="00A63B95"/>
    <w:rsid w:val="00A63DD0"/>
    <w:rsid w:val="00A644B7"/>
    <w:rsid w:val="00A647E1"/>
    <w:rsid w:val="00A64A31"/>
    <w:rsid w:val="00A65B21"/>
    <w:rsid w:val="00A6647D"/>
    <w:rsid w:val="00A66CC2"/>
    <w:rsid w:val="00A66DAD"/>
    <w:rsid w:val="00A6701D"/>
    <w:rsid w:val="00A675FC"/>
    <w:rsid w:val="00A700E9"/>
    <w:rsid w:val="00A70253"/>
    <w:rsid w:val="00A704B3"/>
    <w:rsid w:val="00A705E0"/>
    <w:rsid w:val="00A70719"/>
    <w:rsid w:val="00A70AE5"/>
    <w:rsid w:val="00A70B98"/>
    <w:rsid w:val="00A71271"/>
    <w:rsid w:val="00A717BB"/>
    <w:rsid w:val="00A71AC0"/>
    <w:rsid w:val="00A71EA2"/>
    <w:rsid w:val="00A71FD3"/>
    <w:rsid w:val="00A72456"/>
    <w:rsid w:val="00A72A02"/>
    <w:rsid w:val="00A73923"/>
    <w:rsid w:val="00A73DB2"/>
    <w:rsid w:val="00A74042"/>
    <w:rsid w:val="00A743E0"/>
    <w:rsid w:val="00A74A28"/>
    <w:rsid w:val="00A75164"/>
    <w:rsid w:val="00A751F3"/>
    <w:rsid w:val="00A75E96"/>
    <w:rsid w:val="00A75EBF"/>
    <w:rsid w:val="00A762B7"/>
    <w:rsid w:val="00A77406"/>
    <w:rsid w:val="00A77A15"/>
    <w:rsid w:val="00A80A9D"/>
    <w:rsid w:val="00A80C09"/>
    <w:rsid w:val="00A81304"/>
    <w:rsid w:val="00A81D91"/>
    <w:rsid w:val="00A81EF9"/>
    <w:rsid w:val="00A8255C"/>
    <w:rsid w:val="00A828F9"/>
    <w:rsid w:val="00A82903"/>
    <w:rsid w:val="00A82EB3"/>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1797"/>
    <w:rsid w:val="00A91830"/>
    <w:rsid w:val="00A91C27"/>
    <w:rsid w:val="00A92293"/>
    <w:rsid w:val="00A92584"/>
    <w:rsid w:val="00A929F3"/>
    <w:rsid w:val="00A92C2E"/>
    <w:rsid w:val="00A93875"/>
    <w:rsid w:val="00A93878"/>
    <w:rsid w:val="00A93903"/>
    <w:rsid w:val="00A93D72"/>
    <w:rsid w:val="00A940C6"/>
    <w:rsid w:val="00A942B9"/>
    <w:rsid w:val="00A94BAB"/>
    <w:rsid w:val="00A94CB3"/>
    <w:rsid w:val="00A94FC4"/>
    <w:rsid w:val="00A955F3"/>
    <w:rsid w:val="00A957BB"/>
    <w:rsid w:val="00A95DC4"/>
    <w:rsid w:val="00A9614B"/>
    <w:rsid w:val="00A96657"/>
    <w:rsid w:val="00A9665D"/>
    <w:rsid w:val="00A96707"/>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BB"/>
    <w:rsid w:val="00AA5E84"/>
    <w:rsid w:val="00AA5EDC"/>
    <w:rsid w:val="00AA60D8"/>
    <w:rsid w:val="00AA6647"/>
    <w:rsid w:val="00AA67D0"/>
    <w:rsid w:val="00AA695D"/>
    <w:rsid w:val="00AA6D3E"/>
    <w:rsid w:val="00AA70BE"/>
    <w:rsid w:val="00AA7790"/>
    <w:rsid w:val="00AA7B79"/>
    <w:rsid w:val="00AA7F3E"/>
    <w:rsid w:val="00AB0056"/>
    <w:rsid w:val="00AB0940"/>
    <w:rsid w:val="00AB0D7F"/>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B0"/>
    <w:rsid w:val="00AB75BC"/>
    <w:rsid w:val="00AC0123"/>
    <w:rsid w:val="00AC03F6"/>
    <w:rsid w:val="00AC0797"/>
    <w:rsid w:val="00AC1475"/>
    <w:rsid w:val="00AC1709"/>
    <w:rsid w:val="00AC1875"/>
    <w:rsid w:val="00AC1BA0"/>
    <w:rsid w:val="00AC2333"/>
    <w:rsid w:val="00AC2394"/>
    <w:rsid w:val="00AC24DA"/>
    <w:rsid w:val="00AC2A7D"/>
    <w:rsid w:val="00AC2FCF"/>
    <w:rsid w:val="00AC3192"/>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B9A"/>
    <w:rsid w:val="00AD12D3"/>
    <w:rsid w:val="00AD151E"/>
    <w:rsid w:val="00AD184A"/>
    <w:rsid w:val="00AD1FE8"/>
    <w:rsid w:val="00AD2737"/>
    <w:rsid w:val="00AD2AD2"/>
    <w:rsid w:val="00AD2D0D"/>
    <w:rsid w:val="00AD315B"/>
    <w:rsid w:val="00AD32CF"/>
    <w:rsid w:val="00AD581E"/>
    <w:rsid w:val="00AD60D6"/>
    <w:rsid w:val="00AD6297"/>
    <w:rsid w:val="00AD66BC"/>
    <w:rsid w:val="00AD66DE"/>
    <w:rsid w:val="00AD6AF9"/>
    <w:rsid w:val="00AD7EFD"/>
    <w:rsid w:val="00AE001F"/>
    <w:rsid w:val="00AE005D"/>
    <w:rsid w:val="00AE027E"/>
    <w:rsid w:val="00AE075D"/>
    <w:rsid w:val="00AE0886"/>
    <w:rsid w:val="00AE1A95"/>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965"/>
    <w:rsid w:val="00AE596A"/>
    <w:rsid w:val="00AE5B95"/>
    <w:rsid w:val="00AE5F6A"/>
    <w:rsid w:val="00AE6716"/>
    <w:rsid w:val="00AE68BD"/>
    <w:rsid w:val="00AE6AE5"/>
    <w:rsid w:val="00AE6BC7"/>
    <w:rsid w:val="00AE6CD8"/>
    <w:rsid w:val="00AE6D93"/>
    <w:rsid w:val="00AE6F70"/>
    <w:rsid w:val="00AE72FA"/>
    <w:rsid w:val="00AE75AA"/>
    <w:rsid w:val="00AE7C2E"/>
    <w:rsid w:val="00AE7C5D"/>
    <w:rsid w:val="00AE7F14"/>
    <w:rsid w:val="00AF0495"/>
    <w:rsid w:val="00AF07C1"/>
    <w:rsid w:val="00AF0B20"/>
    <w:rsid w:val="00AF184D"/>
    <w:rsid w:val="00AF1B4F"/>
    <w:rsid w:val="00AF1CD0"/>
    <w:rsid w:val="00AF202C"/>
    <w:rsid w:val="00AF24F6"/>
    <w:rsid w:val="00AF255D"/>
    <w:rsid w:val="00AF2B7E"/>
    <w:rsid w:val="00AF34F1"/>
    <w:rsid w:val="00AF36A7"/>
    <w:rsid w:val="00AF379F"/>
    <w:rsid w:val="00AF3846"/>
    <w:rsid w:val="00AF3BD3"/>
    <w:rsid w:val="00AF3BF5"/>
    <w:rsid w:val="00AF40E7"/>
    <w:rsid w:val="00AF4108"/>
    <w:rsid w:val="00AF456E"/>
    <w:rsid w:val="00AF4CC9"/>
    <w:rsid w:val="00AF4E3F"/>
    <w:rsid w:val="00AF5336"/>
    <w:rsid w:val="00AF554E"/>
    <w:rsid w:val="00AF5A86"/>
    <w:rsid w:val="00AF64DA"/>
    <w:rsid w:val="00AF6897"/>
    <w:rsid w:val="00AF6BA2"/>
    <w:rsid w:val="00AF6E47"/>
    <w:rsid w:val="00AF7779"/>
    <w:rsid w:val="00AF77C4"/>
    <w:rsid w:val="00AF7B0E"/>
    <w:rsid w:val="00AF7B22"/>
    <w:rsid w:val="00B00698"/>
    <w:rsid w:val="00B006C8"/>
    <w:rsid w:val="00B00A6C"/>
    <w:rsid w:val="00B01AF7"/>
    <w:rsid w:val="00B01D4C"/>
    <w:rsid w:val="00B02309"/>
    <w:rsid w:val="00B027F5"/>
    <w:rsid w:val="00B030E9"/>
    <w:rsid w:val="00B0364E"/>
    <w:rsid w:val="00B03826"/>
    <w:rsid w:val="00B039FD"/>
    <w:rsid w:val="00B03DA6"/>
    <w:rsid w:val="00B04043"/>
    <w:rsid w:val="00B04254"/>
    <w:rsid w:val="00B044EE"/>
    <w:rsid w:val="00B04D25"/>
    <w:rsid w:val="00B05298"/>
    <w:rsid w:val="00B05F0F"/>
    <w:rsid w:val="00B0627C"/>
    <w:rsid w:val="00B06DB0"/>
    <w:rsid w:val="00B06F48"/>
    <w:rsid w:val="00B070D5"/>
    <w:rsid w:val="00B0734F"/>
    <w:rsid w:val="00B07998"/>
    <w:rsid w:val="00B10F67"/>
    <w:rsid w:val="00B11741"/>
    <w:rsid w:val="00B1189E"/>
    <w:rsid w:val="00B123E4"/>
    <w:rsid w:val="00B12591"/>
    <w:rsid w:val="00B13520"/>
    <w:rsid w:val="00B13AB2"/>
    <w:rsid w:val="00B1415C"/>
    <w:rsid w:val="00B14452"/>
    <w:rsid w:val="00B1447B"/>
    <w:rsid w:val="00B1457F"/>
    <w:rsid w:val="00B14727"/>
    <w:rsid w:val="00B14B34"/>
    <w:rsid w:val="00B1505A"/>
    <w:rsid w:val="00B154AC"/>
    <w:rsid w:val="00B15887"/>
    <w:rsid w:val="00B15ABB"/>
    <w:rsid w:val="00B15C3A"/>
    <w:rsid w:val="00B1604B"/>
    <w:rsid w:val="00B166EB"/>
    <w:rsid w:val="00B16768"/>
    <w:rsid w:val="00B16D85"/>
    <w:rsid w:val="00B170EF"/>
    <w:rsid w:val="00B1721C"/>
    <w:rsid w:val="00B17FE5"/>
    <w:rsid w:val="00B2014A"/>
    <w:rsid w:val="00B201C2"/>
    <w:rsid w:val="00B20692"/>
    <w:rsid w:val="00B20C82"/>
    <w:rsid w:val="00B21252"/>
    <w:rsid w:val="00B2174F"/>
    <w:rsid w:val="00B218E1"/>
    <w:rsid w:val="00B2196B"/>
    <w:rsid w:val="00B21AA5"/>
    <w:rsid w:val="00B22DC5"/>
    <w:rsid w:val="00B22DD3"/>
    <w:rsid w:val="00B233B0"/>
    <w:rsid w:val="00B23CE8"/>
    <w:rsid w:val="00B23DAB"/>
    <w:rsid w:val="00B23E98"/>
    <w:rsid w:val="00B248C5"/>
    <w:rsid w:val="00B24A64"/>
    <w:rsid w:val="00B250CE"/>
    <w:rsid w:val="00B251CE"/>
    <w:rsid w:val="00B2527C"/>
    <w:rsid w:val="00B25302"/>
    <w:rsid w:val="00B25454"/>
    <w:rsid w:val="00B25527"/>
    <w:rsid w:val="00B25715"/>
    <w:rsid w:val="00B258FE"/>
    <w:rsid w:val="00B25A9D"/>
    <w:rsid w:val="00B2622E"/>
    <w:rsid w:val="00B26EF4"/>
    <w:rsid w:val="00B27805"/>
    <w:rsid w:val="00B27977"/>
    <w:rsid w:val="00B30004"/>
    <w:rsid w:val="00B3013A"/>
    <w:rsid w:val="00B305E8"/>
    <w:rsid w:val="00B30662"/>
    <w:rsid w:val="00B30757"/>
    <w:rsid w:val="00B30B5C"/>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59C"/>
    <w:rsid w:val="00B36EA9"/>
    <w:rsid w:val="00B37017"/>
    <w:rsid w:val="00B3725E"/>
    <w:rsid w:val="00B37284"/>
    <w:rsid w:val="00B372C0"/>
    <w:rsid w:val="00B3734B"/>
    <w:rsid w:val="00B3765A"/>
    <w:rsid w:val="00B37B75"/>
    <w:rsid w:val="00B37C13"/>
    <w:rsid w:val="00B37D81"/>
    <w:rsid w:val="00B40535"/>
    <w:rsid w:val="00B40B1F"/>
    <w:rsid w:val="00B40FCC"/>
    <w:rsid w:val="00B41B31"/>
    <w:rsid w:val="00B420FC"/>
    <w:rsid w:val="00B42663"/>
    <w:rsid w:val="00B42D49"/>
    <w:rsid w:val="00B43B0E"/>
    <w:rsid w:val="00B444DE"/>
    <w:rsid w:val="00B44DE2"/>
    <w:rsid w:val="00B44EDB"/>
    <w:rsid w:val="00B45656"/>
    <w:rsid w:val="00B45807"/>
    <w:rsid w:val="00B45BDE"/>
    <w:rsid w:val="00B4610C"/>
    <w:rsid w:val="00B463B1"/>
    <w:rsid w:val="00B46427"/>
    <w:rsid w:val="00B47A3E"/>
    <w:rsid w:val="00B47DB7"/>
    <w:rsid w:val="00B50624"/>
    <w:rsid w:val="00B50B05"/>
    <w:rsid w:val="00B50F6F"/>
    <w:rsid w:val="00B510BE"/>
    <w:rsid w:val="00B512AB"/>
    <w:rsid w:val="00B51426"/>
    <w:rsid w:val="00B517D8"/>
    <w:rsid w:val="00B5192E"/>
    <w:rsid w:val="00B51C11"/>
    <w:rsid w:val="00B5276B"/>
    <w:rsid w:val="00B53186"/>
    <w:rsid w:val="00B538C8"/>
    <w:rsid w:val="00B546E5"/>
    <w:rsid w:val="00B54912"/>
    <w:rsid w:val="00B54A6C"/>
    <w:rsid w:val="00B55182"/>
    <w:rsid w:val="00B55344"/>
    <w:rsid w:val="00B55771"/>
    <w:rsid w:val="00B55BE7"/>
    <w:rsid w:val="00B55C45"/>
    <w:rsid w:val="00B56041"/>
    <w:rsid w:val="00B56094"/>
    <w:rsid w:val="00B56571"/>
    <w:rsid w:val="00B575ED"/>
    <w:rsid w:val="00B60136"/>
    <w:rsid w:val="00B602B2"/>
    <w:rsid w:val="00B6040A"/>
    <w:rsid w:val="00B60722"/>
    <w:rsid w:val="00B612AB"/>
    <w:rsid w:val="00B6133F"/>
    <w:rsid w:val="00B614FF"/>
    <w:rsid w:val="00B623E6"/>
    <w:rsid w:val="00B62ADC"/>
    <w:rsid w:val="00B62B62"/>
    <w:rsid w:val="00B632F9"/>
    <w:rsid w:val="00B6330C"/>
    <w:rsid w:val="00B63662"/>
    <w:rsid w:val="00B6380A"/>
    <w:rsid w:val="00B63904"/>
    <w:rsid w:val="00B64696"/>
    <w:rsid w:val="00B64BA2"/>
    <w:rsid w:val="00B64C65"/>
    <w:rsid w:val="00B64DBC"/>
    <w:rsid w:val="00B66367"/>
    <w:rsid w:val="00B66981"/>
    <w:rsid w:val="00B67369"/>
    <w:rsid w:val="00B67418"/>
    <w:rsid w:val="00B67766"/>
    <w:rsid w:val="00B67E43"/>
    <w:rsid w:val="00B67F82"/>
    <w:rsid w:val="00B67FE4"/>
    <w:rsid w:val="00B70049"/>
    <w:rsid w:val="00B70BE3"/>
    <w:rsid w:val="00B71314"/>
    <w:rsid w:val="00B71EA8"/>
    <w:rsid w:val="00B721D1"/>
    <w:rsid w:val="00B72308"/>
    <w:rsid w:val="00B727B3"/>
    <w:rsid w:val="00B72A6F"/>
    <w:rsid w:val="00B72C2C"/>
    <w:rsid w:val="00B73B4D"/>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1215"/>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2C3"/>
    <w:rsid w:val="00B8431F"/>
    <w:rsid w:val="00B843A8"/>
    <w:rsid w:val="00B84970"/>
    <w:rsid w:val="00B84AB2"/>
    <w:rsid w:val="00B85686"/>
    <w:rsid w:val="00B85E6A"/>
    <w:rsid w:val="00B86001"/>
    <w:rsid w:val="00B8602C"/>
    <w:rsid w:val="00B861D5"/>
    <w:rsid w:val="00B8774E"/>
    <w:rsid w:val="00B87E85"/>
    <w:rsid w:val="00B907C4"/>
    <w:rsid w:val="00B909F3"/>
    <w:rsid w:val="00B90A26"/>
    <w:rsid w:val="00B91237"/>
    <w:rsid w:val="00B91631"/>
    <w:rsid w:val="00B91774"/>
    <w:rsid w:val="00B91B0E"/>
    <w:rsid w:val="00B91EF8"/>
    <w:rsid w:val="00B923A1"/>
    <w:rsid w:val="00B92850"/>
    <w:rsid w:val="00B92C05"/>
    <w:rsid w:val="00B92CF7"/>
    <w:rsid w:val="00B92DA0"/>
    <w:rsid w:val="00B93391"/>
    <w:rsid w:val="00B93596"/>
    <w:rsid w:val="00B93CD5"/>
    <w:rsid w:val="00B94309"/>
    <w:rsid w:val="00B94709"/>
    <w:rsid w:val="00B948D9"/>
    <w:rsid w:val="00B94C62"/>
    <w:rsid w:val="00B94DAC"/>
    <w:rsid w:val="00B958FB"/>
    <w:rsid w:val="00B9629F"/>
    <w:rsid w:val="00B966EA"/>
    <w:rsid w:val="00B96C1C"/>
    <w:rsid w:val="00B9753B"/>
    <w:rsid w:val="00B976E0"/>
    <w:rsid w:val="00B97BB0"/>
    <w:rsid w:val="00B97E6B"/>
    <w:rsid w:val="00BA04A1"/>
    <w:rsid w:val="00BA0A33"/>
    <w:rsid w:val="00BA104B"/>
    <w:rsid w:val="00BA11AC"/>
    <w:rsid w:val="00BA1285"/>
    <w:rsid w:val="00BA1617"/>
    <w:rsid w:val="00BA1AE7"/>
    <w:rsid w:val="00BA1C28"/>
    <w:rsid w:val="00BA1D6F"/>
    <w:rsid w:val="00BA2161"/>
    <w:rsid w:val="00BA24F6"/>
    <w:rsid w:val="00BA2A7D"/>
    <w:rsid w:val="00BA2E2D"/>
    <w:rsid w:val="00BA3248"/>
    <w:rsid w:val="00BA3757"/>
    <w:rsid w:val="00BA3B30"/>
    <w:rsid w:val="00BA3DBD"/>
    <w:rsid w:val="00BA3F31"/>
    <w:rsid w:val="00BA45E4"/>
    <w:rsid w:val="00BA4678"/>
    <w:rsid w:val="00BA49CF"/>
    <w:rsid w:val="00BA4DF4"/>
    <w:rsid w:val="00BA4EEC"/>
    <w:rsid w:val="00BA5183"/>
    <w:rsid w:val="00BA5953"/>
    <w:rsid w:val="00BA5C18"/>
    <w:rsid w:val="00BA5E1C"/>
    <w:rsid w:val="00BA5E79"/>
    <w:rsid w:val="00BA67B4"/>
    <w:rsid w:val="00BA6C0F"/>
    <w:rsid w:val="00BA6C44"/>
    <w:rsid w:val="00BA772D"/>
    <w:rsid w:val="00BB0204"/>
    <w:rsid w:val="00BB065E"/>
    <w:rsid w:val="00BB0754"/>
    <w:rsid w:val="00BB08CB"/>
    <w:rsid w:val="00BB0EF9"/>
    <w:rsid w:val="00BB118B"/>
    <w:rsid w:val="00BB174D"/>
    <w:rsid w:val="00BB1B5D"/>
    <w:rsid w:val="00BB2299"/>
    <w:rsid w:val="00BB2620"/>
    <w:rsid w:val="00BB2968"/>
    <w:rsid w:val="00BB2E03"/>
    <w:rsid w:val="00BB2F21"/>
    <w:rsid w:val="00BB2FFD"/>
    <w:rsid w:val="00BB3257"/>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61C"/>
    <w:rsid w:val="00BC4629"/>
    <w:rsid w:val="00BC478F"/>
    <w:rsid w:val="00BC4AA9"/>
    <w:rsid w:val="00BC4E53"/>
    <w:rsid w:val="00BC4F20"/>
    <w:rsid w:val="00BC4FC4"/>
    <w:rsid w:val="00BC52EA"/>
    <w:rsid w:val="00BC55EC"/>
    <w:rsid w:val="00BC5B75"/>
    <w:rsid w:val="00BC5DEF"/>
    <w:rsid w:val="00BC6586"/>
    <w:rsid w:val="00BC66D5"/>
    <w:rsid w:val="00BC6ADF"/>
    <w:rsid w:val="00BC6C9B"/>
    <w:rsid w:val="00BC6D8E"/>
    <w:rsid w:val="00BC6DCD"/>
    <w:rsid w:val="00BC7100"/>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4588"/>
    <w:rsid w:val="00BD4BC1"/>
    <w:rsid w:val="00BD507D"/>
    <w:rsid w:val="00BD590F"/>
    <w:rsid w:val="00BD59F2"/>
    <w:rsid w:val="00BD5A45"/>
    <w:rsid w:val="00BD5C7B"/>
    <w:rsid w:val="00BD5FA7"/>
    <w:rsid w:val="00BD6898"/>
    <w:rsid w:val="00BD7313"/>
    <w:rsid w:val="00BD7344"/>
    <w:rsid w:val="00BD74DB"/>
    <w:rsid w:val="00BE01A4"/>
    <w:rsid w:val="00BE05FC"/>
    <w:rsid w:val="00BE0994"/>
    <w:rsid w:val="00BE0BE4"/>
    <w:rsid w:val="00BE0C94"/>
    <w:rsid w:val="00BE0E02"/>
    <w:rsid w:val="00BE0E32"/>
    <w:rsid w:val="00BE10BD"/>
    <w:rsid w:val="00BE1261"/>
    <w:rsid w:val="00BE12C9"/>
    <w:rsid w:val="00BE12D5"/>
    <w:rsid w:val="00BE130C"/>
    <w:rsid w:val="00BE1323"/>
    <w:rsid w:val="00BE13E6"/>
    <w:rsid w:val="00BE220D"/>
    <w:rsid w:val="00BE255B"/>
    <w:rsid w:val="00BE2899"/>
    <w:rsid w:val="00BE2956"/>
    <w:rsid w:val="00BE2AE8"/>
    <w:rsid w:val="00BE2DD4"/>
    <w:rsid w:val="00BE35A8"/>
    <w:rsid w:val="00BE3C56"/>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453B"/>
    <w:rsid w:val="00C047AD"/>
    <w:rsid w:val="00C04A99"/>
    <w:rsid w:val="00C04B36"/>
    <w:rsid w:val="00C04B78"/>
    <w:rsid w:val="00C053D9"/>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5BB"/>
    <w:rsid w:val="00C106DC"/>
    <w:rsid w:val="00C107A5"/>
    <w:rsid w:val="00C1089E"/>
    <w:rsid w:val="00C10979"/>
    <w:rsid w:val="00C10B7E"/>
    <w:rsid w:val="00C10C24"/>
    <w:rsid w:val="00C1194F"/>
    <w:rsid w:val="00C11B23"/>
    <w:rsid w:val="00C11C42"/>
    <w:rsid w:val="00C11DDA"/>
    <w:rsid w:val="00C12D7E"/>
    <w:rsid w:val="00C13197"/>
    <w:rsid w:val="00C135E0"/>
    <w:rsid w:val="00C137D9"/>
    <w:rsid w:val="00C13A99"/>
    <w:rsid w:val="00C1459E"/>
    <w:rsid w:val="00C145DF"/>
    <w:rsid w:val="00C14886"/>
    <w:rsid w:val="00C1493E"/>
    <w:rsid w:val="00C14E3E"/>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FB"/>
    <w:rsid w:val="00C2354A"/>
    <w:rsid w:val="00C23AF6"/>
    <w:rsid w:val="00C248A7"/>
    <w:rsid w:val="00C24AA3"/>
    <w:rsid w:val="00C24AC3"/>
    <w:rsid w:val="00C24DD3"/>
    <w:rsid w:val="00C257FB"/>
    <w:rsid w:val="00C25857"/>
    <w:rsid w:val="00C25D9F"/>
    <w:rsid w:val="00C25DBC"/>
    <w:rsid w:val="00C25E90"/>
    <w:rsid w:val="00C2623B"/>
    <w:rsid w:val="00C2634C"/>
    <w:rsid w:val="00C2735A"/>
    <w:rsid w:val="00C2799E"/>
    <w:rsid w:val="00C27D28"/>
    <w:rsid w:val="00C27FB5"/>
    <w:rsid w:val="00C27FE3"/>
    <w:rsid w:val="00C3055B"/>
    <w:rsid w:val="00C30D6F"/>
    <w:rsid w:val="00C31AE1"/>
    <w:rsid w:val="00C322B8"/>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3E5"/>
    <w:rsid w:val="00C44A67"/>
    <w:rsid w:val="00C44BFD"/>
    <w:rsid w:val="00C44CC6"/>
    <w:rsid w:val="00C45A09"/>
    <w:rsid w:val="00C45D70"/>
    <w:rsid w:val="00C4606C"/>
    <w:rsid w:val="00C46167"/>
    <w:rsid w:val="00C463E5"/>
    <w:rsid w:val="00C46888"/>
    <w:rsid w:val="00C46F6B"/>
    <w:rsid w:val="00C472A5"/>
    <w:rsid w:val="00C47B9A"/>
    <w:rsid w:val="00C47E44"/>
    <w:rsid w:val="00C47F29"/>
    <w:rsid w:val="00C47FC2"/>
    <w:rsid w:val="00C50C01"/>
    <w:rsid w:val="00C50F22"/>
    <w:rsid w:val="00C511A2"/>
    <w:rsid w:val="00C51393"/>
    <w:rsid w:val="00C519F1"/>
    <w:rsid w:val="00C51BAC"/>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7E"/>
    <w:rsid w:val="00C56B83"/>
    <w:rsid w:val="00C56D51"/>
    <w:rsid w:val="00C574A3"/>
    <w:rsid w:val="00C57B55"/>
    <w:rsid w:val="00C57E59"/>
    <w:rsid w:val="00C6010B"/>
    <w:rsid w:val="00C6033C"/>
    <w:rsid w:val="00C60A26"/>
    <w:rsid w:val="00C61D10"/>
    <w:rsid w:val="00C61FAF"/>
    <w:rsid w:val="00C6234A"/>
    <w:rsid w:val="00C625F7"/>
    <w:rsid w:val="00C6297D"/>
    <w:rsid w:val="00C630EA"/>
    <w:rsid w:val="00C63359"/>
    <w:rsid w:val="00C6355C"/>
    <w:rsid w:val="00C63F76"/>
    <w:rsid w:val="00C63FFB"/>
    <w:rsid w:val="00C64679"/>
    <w:rsid w:val="00C64EB8"/>
    <w:rsid w:val="00C64F52"/>
    <w:rsid w:val="00C652E9"/>
    <w:rsid w:val="00C6571E"/>
    <w:rsid w:val="00C66455"/>
    <w:rsid w:val="00C66C81"/>
    <w:rsid w:val="00C675BA"/>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7C6"/>
    <w:rsid w:val="00C72AEB"/>
    <w:rsid w:val="00C72F7C"/>
    <w:rsid w:val="00C73289"/>
    <w:rsid w:val="00C73781"/>
    <w:rsid w:val="00C73DA3"/>
    <w:rsid w:val="00C7406E"/>
    <w:rsid w:val="00C74BC5"/>
    <w:rsid w:val="00C74EC4"/>
    <w:rsid w:val="00C74EE7"/>
    <w:rsid w:val="00C75649"/>
    <w:rsid w:val="00C756F7"/>
    <w:rsid w:val="00C75F5C"/>
    <w:rsid w:val="00C762AA"/>
    <w:rsid w:val="00C762CB"/>
    <w:rsid w:val="00C766C8"/>
    <w:rsid w:val="00C766E1"/>
    <w:rsid w:val="00C77156"/>
    <w:rsid w:val="00C7796C"/>
    <w:rsid w:val="00C77BAF"/>
    <w:rsid w:val="00C77CFE"/>
    <w:rsid w:val="00C80138"/>
    <w:rsid w:val="00C80CF8"/>
    <w:rsid w:val="00C80ECA"/>
    <w:rsid w:val="00C81595"/>
    <w:rsid w:val="00C81CC7"/>
    <w:rsid w:val="00C81CD5"/>
    <w:rsid w:val="00C81DFF"/>
    <w:rsid w:val="00C8242E"/>
    <w:rsid w:val="00C8267A"/>
    <w:rsid w:val="00C82D65"/>
    <w:rsid w:val="00C8423F"/>
    <w:rsid w:val="00C8426A"/>
    <w:rsid w:val="00C848B7"/>
    <w:rsid w:val="00C84A81"/>
    <w:rsid w:val="00C84FD5"/>
    <w:rsid w:val="00C84FD6"/>
    <w:rsid w:val="00C852AA"/>
    <w:rsid w:val="00C85BBD"/>
    <w:rsid w:val="00C86216"/>
    <w:rsid w:val="00C866EC"/>
    <w:rsid w:val="00C86CEE"/>
    <w:rsid w:val="00C86D24"/>
    <w:rsid w:val="00C86E21"/>
    <w:rsid w:val="00C87000"/>
    <w:rsid w:val="00C877AF"/>
    <w:rsid w:val="00C879F4"/>
    <w:rsid w:val="00C90336"/>
    <w:rsid w:val="00C909C8"/>
    <w:rsid w:val="00C90E84"/>
    <w:rsid w:val="00C912C7"/>
    <w:rsid w:val="00C912D4"/>
    <w:rsid w:val="00C915DE"/>
    <w:rsid w:val="00C921F6"/>
    <w:rsid w:val="00C92571"/>
    <w:rsid w:val="00C928AD"/>
    <w:rsid w:val="00C92DAD"/>
    <w:rsid w:val="00C92E5B"/>
    <w:rsid w:val="00C92F8E"/>
    <w:rsid w:val="00C932B1"/>
    <w:rsid w:val="00C937C2"/>
    <w:rsid w:val="00C93B98"/>
    <w:rsid w:val="00C93DDA"/>
    <w:rsid w:val="00C93E1B"/>
    <w:rsid w:val="00C93ED7"/>
    <w:rsid w:val="00C94056"/>
    <w:rsid w:val="00C94156"/>
    <w:rsid w:val="00C94B40"/>
    <w:rsid w:val="00C94FBC"/>
    <w:rsid w:val="00C95137"/>
    <w:rsid w:val="00C95727"/>
    <w:rsid w:val="00C9599A"/>
    <w:rsid w:val="00C959F1"/>
    <w:rsid w:val="00C96734"/>
    <w:rsid w:val="00C9677D"/>
    <w:rsid w:val="00C96807"/>
    <w:rsid w:val="00C96B4B"/>
    <w:rsid w:val="00C96CCA"/>
    <w:rsid w:val="00C9712F"/>
    <w:rsid w:val="00C971D7"/>
    <w:rsid w:val="00C97694"/>
    <w:rsid w:val="00C97F1D"/>
    <w:rsid w:val="00C97FE9"/>
    <w:rsid w:val="00CA0513"/>
    <w:rsid w:val="00CA0678"/>
    <w:rsid w:val="00CA0723"/>
    <w:rsid w:val="00CA1521"/>
    <w:rsid w:val="00CA1DBE"/>
    <w:rsid w:val="00CA1FAD"/>
    <w:rsid w:val="00CA204C"/>
    <w:rsid w:val="00CA2134"/>
    <w:rsid w:val="00CA2467"/>
    <w:rsid w:val="00CA25AB"/>
    <w:rsid w:val="00CA2D5B"/>
    <w:rsid w:val="00CA30D6"/>
    <w:rsid w:val="00CA32C4"/>
    <w:rsid w:val="00CA36F7"/>
    <w:rsid w:val="00CA3B2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EE3"/>
    <w:rsid w:val="00CB2FDC"/>
    <w:rsid w:val="00CB3444"/>
    <w:rsid w:val="00CB34B2"/>
    <w:rsid w:val="00CB3D69"/>
    <w:rsid w:val="00CB3E07"/>
    <w:rsid w:val="00CB402C"/>
    <w:rsid w:val="00CB4366"/>
    <w:rsid w:val="00CB4404"/>
    <w:rsid w:val="00CB453F"/>
    <w:rsid w:val="00CB4F5C"/>
    <w:rsid w:val="00CB5054"/>
    <w:rsid w:val="00CB5643"/>
    <w:rsid w:val="00CB5858"/>
    <w:rsid w:val="00CB5A24"/>
    <w:rsid w:val="00CB5C7C"/>
    <w:rsid w:val="00CB61B6"/>
    <w:rsid w:val="00CB646A"/>
    <w:rsid w:val="00CB65C7"/>
    <w:rsid w:val="00CB7006"/>
    <w:rsid w:val="00CB7118"/>
    <w:rsid w:val="00CB75FB"/>
    <w:rsid w:val="00CB7E5B"/>
    <w:rsid w:val="00CC00A1"/>
    <w:rsid w:val="00CC08A2"/>
    <w:rsid w:val="00CC09CB"/>
    <w:rsid w:val="00CC0E48"/>
    <w:rsid w:val="00CC0E7B"/>
    <w:rsid w:val="00CC14D1"/>
    <w:rsid w:val="00CC14D9"/>
    <w:rsid w:val="00CC16DC"/>
    <w:rsid w:val="00CC1CE4"/>
    <w:rsid w:val="00CC2142"/>
    <w:rsid w:val="00CC24D9"/>
    <w:rsid w:val="00CC2826"/>
    <w:rsid w:val="00CC2D6E"/>
    <w:rsid w:val="00CC2E82"/>
    <w:rsid w:val="00CC3241"/>
    <w:rsid w:val="00CC34B1"/>
    <w:rsid w:val="00CC35D7"/>
    <w:rsid w:val="00CC36B1"/>
    <w:rsid w:val="00CC397E"/>
    <w:rsid w:val="00CC3FC4"/>
    <w:rsid w:val="00CC42AB"/>
    <w:rsid w:val="00CC4739"/>
    <w:rsid w:val="00CC50CC"/>
    <w:rsid w:val="00CC5666"/>
    <w:rsid w:val="00CC5BF6"/>
    <w:rsid w:val="00CC5E41"/>
    <w:rsid w:val="00CC5EA0"/>
    <w:rsid w:val="00CC6108"/>
    <w:rsid w:val="00CC6254"/>
    <w:rsid w:val="00CC6328"/>
    <w:rsid w:val="00CC6FF6"/>
    <w:rsid w:val="00CC72DA"/>
    <w:rsid w:val="00CC75D6"/>
    <w:rsid w:val="00CC77AB"/>
    <w:rsid w:val="00CC788E"/>
    <w:rsid w:val="00CC78A8"/>
    <w:rsid w:val="00CD0026"/>
    <w:rsid w:val="00CD0465"/>
    <w:rsid w:val="00CD0CA0"/>
    <w:rsid w:val="00CD0D40"/>
    <w:rsid w:val="00CD0DBA"/>
    <w:rsid w:val="00CD1713"/>
    <w:rsid w:val="00CD1B46"/>
    <w:rsid w:val="00CD1BA4"/>
    <w:rsid w:val="00CD2099"/>
    <w:rsid w:val="00CD2288"/>
    <w:rsid w:val="00CD2D2E"/>
    <w:rsid w:val="00CD2F5E"/>
    <w:rsid w:val="00CD32F4"/>
    <w:rsid w:val="00CD33DD"/>
    <w:rsid w:val="00CD39B0"/>
    <w:rsid w:val="00CD49B0"/>
    <w:rsid w:val="00CD4CCD"/>
    <w:rsid w:val="00CD5D4C"/>
    <w:rsid w:val="00CD60E5"/>
    <w:rsid w:val="00CD611E"/>
    <w:rsid w:val="00CD6277"/>
    <w:rsid w:val="00CD63E3"/>
    <w:rsid w:val="00CD7255"/>
    <w:rsid w:val="00CD7443"/>
    <w:rsid w:val="00CD77AA"/>
    <w:rsid w:val="00CD78AF"/>
    <w:rsid w:val="00CD7F3B"/>
    <w:rsid w:val="00CE00CF"/>
    <w:rsid w:val="00CE04CE"/>
    <w:rsid w:val="00CE0890"/>
    <w:rsid w:val="00CE0989"/>
    <w:rsid w:val="00CE0F8A"/>
    <w:rsid w:val="00CE1641"/>
    <w:rsid w:val="00CE1852"/>
    <w:rsid w:val="00CE1D08"/>
    <w:rsid w:val="00CE1DFE"/>
    <w:rsid w:val="00CE1FB5"/>
    <w:rsid w:val="00CE204C"/>
    <w:rsid w:val="00CE2627"/>
    <w:rsid w:val="00CE26D2"/>
    <w:rsid w:val="00CE27E9"/>
    <w:rsid w:val="00CE28E3"/>
    <w:rsid w:val="00CE2CF9"/>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BD4"/>
    <w:rsid w:val="00CF1107"/>
    <w:rsid w:val="00CF15B1"/>
    <w:rsid w:val="00CF166C"/>
    <w:rsid w:val="00CF187C"/>
    <w:rsid w:val="00CF1AA8"/>
    <w:rsid w:val="00CF1CCD"/>
    <w:rsid w:val="00CF273E"/>
    <w:rsid w:val="00CF278D"/>
    <w:rsid w:val="00CF2D96"/>
    <w:rsid w:val="00CF300E"/>
    <w:rsid w:val="00CF30F1"/>
    <w:rsid w:val="00CF3796"/>
    <w:rsid w:val="00CF399A"/>
    <w:rsid w:val="00CF4330"/>
    <w:rsid w:val="00CF44F8"/>
    <w:rsid w:val="00CF51E0"/>
    <w:rsid w:val="00CF561E"/>
    <w:rsid w:val="00CF57A6"/>
    <w:rsid w:val="00CF5A03"/>
    <w:rsid w:val="00CF68AA"/>
    <w:rsid w:val="00CF70AB"/>
    <w:rsid w:val="00CF70F0"/>
    <w:rsid w:val="00CF7173"/>
    <w:rsid w:val="00CF7431"/>
    <w:rsid w:val="00CF780D"/>
    <w:rsid w:val="00CF7DCE"/>
    <w:rsid w:val="00CF7E03"/>
    <w:rsid w:val="00D00352"/>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50C2"/>
    <w:rsid w:val="00D062C2"/>
    <w:rsid w:val="00D069D9"/>
    <w:rsid w:val="00D06E55"/>
    <w:rsid w:val="00D0751F"/>
    <w:rsid w:val="00D076E0"/>
    <w:rsid w:val="00D0785C"/>
    <w:rsid w:val="00D07D19"/>
    <w:rsid w:val="00D1048F"/>
    <w:rsid w:val="00D10901"/>
    <w:rsid w:val="00D1105B"/>
    <w:rsid w:val="00D11989"/>
    <w:rsid w:val="00D1239F"/>
    <w:rsid w:val="00D12407"/>
    <w:rsid w:val="00D129FF"/>
    <w:rsid w:val="00D12B10"/>
    <w:rsid w:val="00D12D9C"/>
    <w:rsid w:val="00D12E2B"/>
    <w:rsid w:val="00D1313F"/>
    <w:rsid w:val="00D1366F"/>
    <w:rsid w:val="00D13D58"/>
    <w:rsid w:val="00D141D9"/>
    <w:rsid w:val="00D1429D"/>
    <w:rsid w:val="00D15BBF"/>
    <w:rsid w:val="00D16177"/>
    <w:rsid w:val="00D1621A"/>
    <w:rsid w:val="00D1638A"/>
    <w:rsid w:val="00D165F6"/>
    <w:rsid w:val="00D16B5A"/>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56A"/>
    <w:rsid w:val="00D235FF"/>
    <w:rsid w:val="00D238FA"/>
    <w:rsid w:val="00D23C2B"/>
    <w:rsid w:val="00D23CC4"/>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352F"/>
    <w:rsid w:val="00D33AF5"/>
    <w:rsid w:val="00D34327"/>
    <w:rsid w:val="00D349E4"/>
    <w:rsid w:val="00D358A2"/>
    <w:rsid w:val="00D35B81"/>
    <w:rsid w:val="00D35D3E"/>
    <w:rsid w:val="00D36565"/>
    <w:rsid w:val="00D3669F"/>
    <w:rsid w:val="00D3687D"/>
    <w:rsid w:val="00D378A2"/>
    <w:rsid w:val="00D40020"/>
    <w:rsid w:val="00D40077"/>
    <w:rsid w:val="00D4044D"/>
    <w:rsid w:val="00D40665"/>
    <w:rsid w:val="00D40739"/>
    <w:rsid w:val="00D4080B"/>
    <w:rsid w:val="00D40E72"/>
    <w:rsid w:val="00D41696"/>
    <w:rsid w:val="00D41D6A"/>
    <w:rsid w:val="00D425ED"/>
    <w:rsid w:val="00D43634"/>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BC"/>
    <w:rsid w:val="00D54CA4"/>
    <w:rsid w:val="00D5513A"/>
    <w:rsid w:val="00D55E86"/>
    <w:rsid w:val="00D567D7"/>
    <w:rsid w:val="00D56920"/>
    <w:rsid w:val="00D569CA"/>
    <w:rsid w:val="00D56D7A"/>
    <w:rsid w:val="00D57743"/>
    <w:rsid w:val="00D57926"/>
    <w:rsid w:val="00D579BD"/>
    <w:rsid w:val="00D57A90"/>
    <w:rsid w:val="00D57AA5"/>
    <w:rsid w:val="00D57B5E"/>
    <w:rsid w:val="00D60046"/>
    <w:rsid w:val="00D6033C"/>
    <w:rsid w:val="00D6096C"/>
    <w:rsid w:val="00D60A7F"/>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C3D"/>
    <w:rsid w:val="00D63E35"/>
    <w:rsid w:val="00D6427A"/>
    <w:rsid w:val="00D65383"/>
    <w:rsid w:val="00D657D1"/>
    <w:rsid w:val="00D65C03"/>
    <w:rsid w:val="00D66F54"/>
    <w:rsid w:val="00D66FAC"/>
    <w:rsid w:val="00D6708F"/>
    <w:rsid w:val="00D67192"/>
    <w:rsid w:val="00D67C4B"/>
    <w:rsid w:val="00D67D7E"/>
    <w:rsid w:val="00D67EA3"/>
    <w:rsid w:val="00D70366"/>
    <w:rsid w:val="00D70C25"/>
    <w:rsid w:val="00D70F77"/>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2049"/>
    <w:rsid w:val="00D82260"/>
    <w:rsid w:val="00D828F2"/>
    <w:rsid w:val="00D82A04"/>
    <w:rsid w:val="00D8300A"/>
    <w:rsid w:val="00D8302D"/>
    <w:rsid w:val="00D83782"/>
    <w:rsid w:val="00D83A13"/>
    <w:rsid w:val="00D83E39"/>
    <w:rsid w:val="00D8414A"/>
    <w:rsid w:val="00D8436B"/>
    <w:rsid w:val="00D84AC6"/>
    <w:rsid w:val="00D85059"/>
    <w:rsid w:val="00D8576D"/>
    <w:rsid w:val="00D85873"/>
    <w:rsid w:val="00D858CA"/>
    <w:rsid w:val="00D86548"/>
    <w:rsid w:val="00D86628"/>
    <w:rsid w:val="00D86E71"/>
    <w:rsid w:val="00D873F6"/>
    <w:rsid w:val="00D87DF2"/>
    <w:rsid w:val="00D90460"/>
    <w:rsid w:val="00D91878"/>
    <w:rsid w:val="00D91DA0"/>
    <w:rsid w:val="00D9228C"/>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FEB"/>
    <w:rsid w:val="00D96011"/>
    <w:rsid w:val="00D9606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A47"/>
    <w:rsid w:val="00DA2B97"/>
    <w:rsid w:val="00DA2FCD"/>
    <w:rsid w:val="00DA3268"/>
    <w:rsid w:val="00DA3A5F"/>
    <w:rsid w:val="00DA3BEF"/>
    <w:rsid w:val="00DA45CD"/>
    <w:rsid w:val="00DA4AD1"/>
    <w:rsid w:val="00DA4AD5"/>
    <w:rsid w:val="00DA4FCB"/>
    <w:rsid w:val="00DA537A"/>
    <w:rsid w:val="00DA5516"/>
    <w:rsid w:val="00DA599C"/>
    <w:rsid w:val="00DA6011"/>
    <w:rsid w:val="00DA6034"/>
    <w:rsid w:val="00DA605A"/>
    <w:rsid w:val="00DA637B"/>
    <w:rsid w:val="00DA6529"/>
    <w:rsid w:val="00DA69F6"/>
    <w:rsid w:val="00DA6E78"/>
    <w:rsid w:val="00DA71A1"/>
    <w:rsid w:val="00DA7ADC"/>
    <w:rsid w:val="00DA7C41"/>
    <w:rsid w:val="00DA7F8F"/>
    <w:rsid w:val="00DB0A93"/>
    <w:rsid w:val="00DB0BAD"/>
    <w:rsid w:val="00DB0CD5"/>
    <w:rsid w:val="00DB1169"/>
    <w:rsid w:val="00DB118A"/>
    <w:rsid w:val="00DB11CF"/>
    <w:rsid w:val="00DB1315"/>
    <w:rsid w:val="00DB136F"/>
    <w:rsid w:val="00DB1397"/>
    <w:rsid w:val="00DB1803"/>
    <w:rsid w:val="00DB25F8"/>
    <w:rsid w:val="00DB260D"/>
    <w:rsid w:val="00DB2BC0"/>
    <w:rsid w:val="00DB3388"/>
    <w:rsid w:val="00DB35CD"/>
    <w:rsid w:val="00DB3613"/>
    <w:rsid w:val="00DB39CB"/>
    <w:rsid w:val="00DB407A"/>
    <w:rsid w:val="00DB469D"/>
    <w:rsid w:val="00DB5110"/>
    <w:rsid w:val="00DB59B5"/>
    <w:rsid w:val="00DB6680"/>
    <w:rsid w:val="00DB668F"/>
    <w:rsid w:val="00DB6712"/>
    <w:rsid w:val="00DB6A98"/>
    <w:rsid w:val="00DB6BA0"/>
    <w:rsid w:val="00DB7158"/>
    <w:rsid w:val="00DB7331"/>
    <w:rsid w:val="00DB7CA4"/>
    <w:rsid w:val="00DB7CAF"/>
    <w:rsid w:val="00DC0756"/>
    <w:rsid w:val="00DC0783"/>
    <w:rsid w:val="00DC0EEC"/>
    <w:rsid w:val="00DC12A9"/>
    <w:rsid w:val="00DC159B"/>
    <w:rsid w:val="00DC1968"/>
    <w:rsid w:val="00DC1B0D"/>
    <w:rsid w:val="00DC2C15"/>
    <w:rsid w:val="00DC3763"/>
    <w:rsid w:val="00DC38EC"/>
    <w:rsid w:val="00DC3CAE"/>
    <w:rsid w:val="00DC3F0B"/>
    <w:rsid w:val="00DC49FD"/>
    <w:rsid w:val="00DC50A4"/>
    <w:rsid w:val="00DC5110"/>
    <w:rsid w:val="00DC5127"/>
    <w:rsid w:val="00DC51AC"/>
    <w:rsid w:val="00DC5DF4"/>
    <w:rsid w:val="00DC634F"/>
    <w:rsid w:val="00DC6742"/>
    <w:rsid w:val="00DC679D"/>
    <w:rsid w:val="00DC6A19"/>
    <w:rsid w:val="00DC71BC"/>
    <w:rsid w:val="00DC7382"/>
    <w:rsid w:val="00DC7652"/>
    <w:rsid w:val="00DC7BC1"/>
    <w:rsid w:val="00DC7CC5"/>
    <w:rsid w:val="00DC7D32"/>
    <w:rsid w:val="00DC7F87"/>
    <w:rsid w:val="00DD003A"/>
    <w:rsid w:val="00DD0BDA"/>
    <w:rsid w:val="00DD0CA6"/>
    <w:rsid w:val="00DD10BF"/>
    <w:rsid w:val="00DD15C8"/>
    <w:rsid w:val="00DD17CF"/>
    <w:rsid w:val="00DD1C0F"/>
    <w:rsid w:val="00DD20F3"/>
    <w:rsid w:val="00DD2242"/>
    <w:rsid w:val="00DD2640"/>
    <w:rsid w:val="00DD274C"/>
    <w:rsid w:val="00DD29BB"/>
    <w:rsid w:val="00DD2D7E"/>
    <w:rsid w:val="00DD2DF3"/>
    <w:rsid w:val="00DD371D"/>
    <w:rsid w:val="00DD38C7"/>
    <w:rsid w:val="00DD464A"/>
    <w:rsid w:val="00DD4E20"/>
    <w:rsid w:val="00DD4E5B"/>
    <w:rsid w:val="00DD51D3"/>
    <w:rsid w:val="00DD5298"/>
    <w:rsid w:val="00DD5678"/>
    <w:rsid w:val="00DD5812"/>
    <w:rsid w:val="00DD5E00"/>
    <w:rsid w:val="00DD5E40"/>
    <w:rsid w:val="00DD6478"/>
    <w:rsid w:val="00DD6BF5"/>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CDE"/>
    <w:rsid w:val="00DE770C"/>
    <w:rsid w:val="00DE78B6"/>
    <w:rsid w:val="00DE7A4D"/>
    <w:rsid w:val="00DF022C"/>
    <w:rsid w:val="00DF05D3"/>
    <w:rsid w:val="00DF062D"/>
    <w:rsid w:val="00DF07FE"/>
    <w:rsid w:val="00DF099A"/>
    <w:rsid w:val="00DF13B2"/>
    <w:rsid w:val="00DF1485"/>
    <w:rsid w:val="00DF14ED"/>
    <w:rsid w:val="00DF158A"/>
    <w:rsid w:val="00DF17D6"/>
    <w:rsid w:val="00DF21AF"/>
    <w:rsid w:val="00DF22DB"/>
    <w:rsid w:val="00DF237F"/>
    <w:rsid w:val="00DF28BC"/>
    <w:rsid w:val="00DF2D15"/>
    <w:rsid w:val="00DF343A"/>
    <w:rsid w:val="00DF36F2"/>
    <w:rsid w:val="00DF37BB"/>
    <w:rsid w:val="00DF48B5"/>
    <w:rsid w:val="00DF4B92"/>
    <w:rsid w:val="00DF50B4"/>
    <w:rsid w:val="00DF5708"/>
    <w:rsid w:val="00DF5B04"/>
    <w:rsid w:val="00DF5D1E"/>
    <w:rsid w:val="00DF6002"/>
    <w:rsid w:val="00DF6011"/>
    <w:rsid w:val="00DF7600"/>
    <w:rsid w:val="00E00446"/>
    <w:rsid w:val="00E00825"/>
    <w:rsid w:val="00E011C1"/>
    <w:rsid w:val="00E01252"/>
    <w:rsid w:val="00E014FE"/>
    <w:rsid w:val="00E01845"/>
    <w:rsid w:val="00E019B6"/>
    <w:rsid w:val="00E01EBA"/>
    <w:rsid w:val="00E0281D"/>
    <w:rsid w:val="00E0288A"/>
    <w:rsid w:val="00E02DAB"/>
    <w:rsid w:val="00E03032"/>
    <w:rsid w:val="00E03521"/>
    <w:rsid w:val="00E036F0"/>
    <w:rsid w:val="00E03744"/>
    <w:rsid w:val="00E037DF"/>
    <w:rsid w:val="00E03AEF"/>
    <w:rsid w:val="00E03BDA"/>
    <w:rsid w:val="00E03E2B"/>
    <w:rsid w:val="00E04201"/>
    <w:rsid w:val="00E0443B"/>
    <w:rsid w:val="00E0449C"/>
    <w:rsid w:val="00E04656"/>
    <w:rsid w:val="00E05372"/>
    <w:rsid w:val="00E05740"/>
    <w:rsid w:val="00E05840"/>
    <w:rsid w:val="00E0593D"/>
    <w:rsid w:val="00E060CE"/>
    <w:rsid w:val="00E0681D"/>
    <w:rsid w:val="00E06C49"/>
    <w:rsid w:val="00E06C79"/>
    <w:rsid w:val="00E07685"/>
    <w:rsid w:val="00E07B41"/>
    <w:rsid w:val="00E07C8C"/>
    <w:rsid w:val="00E10626"/>
    <w:rsid w:val="00E107C6"/>
    <w:rsid w:val="00E10F45"/>
    <w:rsid w:val="00E10FEA"/>
    <w:rsid w:val="00E11335"/>
    <w:rsid w:val="00E113C8"/>
    <w:rsid w:val="00E11575"/>
    <w:rsid w:val="00E11724"/>
    <w:rsid w:val="00E11C62"/>
    <w:rsid w:val="00E11DEF"/>
    <w:rsid w:val="00E1245E"/>
    <w:rsid w:val="00E125D2"/>
    <w:rsid w:val="00E125EF"/>
    <w:rsid w:val="00E127D4"/>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14E1"/>
    <w:rsid w:val="00E216D6"/>
    <w:rsid w:val="00E21A54"/>
    <w:rsid w:val="00E21BC6"/>
    <w:rsid w:val="00E22146"/>
    <w:rsid w:val="00E22551"/>
    <w:rsid w:val="00E22D17"/>
    <w:rsid w:val="00E22E29"/>
    <w:rsid w:val="00E23527"/>
    <w:rsid w:val="00E23EBE"/>
    <w:rsid w:val="00E24390"/>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9F2"/>
    <w:rsid w:val="00E30B25"/>
    <w:rsid w:val="00E30BAC"/>
    <w:rsid w:val="00E30C5D"/>
    <w:rsid w:val="00E30D63"/>
    <w:rsid w:val="00E310F3"/>
    <w:rsid w:val="00E319EE"/>
    <w:rsid w:val="00E31A6D"/>
    <w:rsid w:val="00E31AEB"/>
    <w:rsid w:val="00E31CA4"/>
    <w:rsid w:val="00E31CE9"/>
    <w:rsid w:val="00E325F2"/>
    <w:rsid w:val="00E32ADF"/>
    <w:rsid w:val="00E32B80"/>
    <w:rsid w:val="00E32F88"/>
    <w:rsid w:val="00E32FF8"/>
    <w:rsid w:val="00E33359"/>
    <w:rsid w:val="00E3335C"/>
    <w:rsid w:val="00E3347A"/>
    <w:rsid w:val="00E33649"/>
    <w:rsid w:val="00E337DA"/>
    <w:rsid w:val="00E34029"/>
    <w:rsid w:val="00E34462"/>
    <w:rsid w:val="00E34A94"/>
    <w:rsid w:val="00E34FE0"/>
    <w:rsid w:val="00E35212"/>
    <w:rsid w:val="00E35589"/>
    <w:rsid w:val="00E3576F"/>
    <w:rsid w:val="00E3582B"/>
    <w:rsid w:val="00E361FC"/>
    <w:rsid w:val="00E36A3E"/>
    <w:rsid w:val="00E36C71"/>
    <w:rsid w:val="00E36C9C"/>
    <w:rsid w:val="00E36CE1"/>
    <w:rsid w:val="00E36D22"/>
    <w:rsid w:val="00E36DBC"/>
    <w:rsid w:val="00E3736C"/>
    <w:rsid w:val="00E377F4"/>
    <w:rsid w:val="00E40389"/>
    <w:rsid w:val="00E4064E"/>
    <w:rsid w:val="00E40CE3"/>
    <w:rsid w:val="00E41F1E"/>
    <w:rsid w:val="00E4230C"/>
    <w:rsid w:val="00E423A7"/>
    <w:rsid w:val="00E42412"/>
    <w:rsid w:val="00E42933"/>
    <w:rsid w:val="00E42A90"/>
    <w:rsid w:val="00E42B74"/>
    <w:rsid w:val="00E431E5"/>
    <w:rsid w:val="00E4431D"/>
    <w:rsid w:val="00E443C4"/>
    <w:rsid w:val="00E4459E"/>
    <w:rsid w:val="00E44BA9"/>
    <w:rsid w:val="00E4566A"/>
    <w:rsid w:val="00E457AC"/>
    <w:rsid w:val="00E4592A"/>
    <w:rsid w:val="00E45DFD"/>
    <w:rsid w:val="00E460C7"/>
    <w:rsid w:val="00E4638D"/>
    <w:rsid w:val="00E4650F"/>
    <w:rsid w:val="00E46658"/>
    <w:rsid w:val="00E46AAE"/>
    <w:rsid w:val="00E46C19"/>
    <w:rsid w:val="00E4717A"/>
    <w:rsid w:val="00E474E6"/>
    <w:rsid w:val="00E47564"/>
    <w:rsid w:val="00E50016"/>
    <w:rsid w:val="00E50533"/>
    <w:rsid w:val="00E513F8"/>
    <w:rsid w:val="00E51919"/>
    <w:rsid w:val="00E51A8F"/>
    <w:rsid w:val="00E52D72"/>
    <w:rsid w:val="00E530A5"/>
    <w:rsid w:val="00E53506"/>
    <w:rsid w:val="00E539C3"/>
    <w:rsid w:val="00E5440A"/>
    <w:rsid w:val="00E54599"/>
    <w:rsid w:val="00E54632"/>
    <w:rsid w:val="00E547B5"/>
    <w:rsid w:val="00E54FA2"/>
    <w:rsid w:val="00E5564A"/>
    <w:rsid w:val="00E55C43"/>
    <w:rsid w:val="00E55FB3"/>
    <w:rsid w:val="00E55FCF"/>
    <w:rsid w:val="00E560C6"/>
    <w:rsid w:val="00E561C8"/>
    <w:rsid w:val="00E565BC"/>
    <w:rsid w:val="00E56639"/>
    <w:rsid w:val="00E57555"/>
    <w:rsid w:val="00E57A89"/>
    <w:rsid w:val="00E609CC"/>
    <w:rsid w:val="00E60DBD"/>
    <w:rsid w:val="00E60DD6"/>
    <w:rsid w:val="00E610AD"/>
    <w:rsid w:val="00E611C0"/>
    <w:rsid w:val="00E61998"/>
    <w:rsid w:val="00E61DE8"/>
    <w:rsid w:val="00E627A9"/>
    <w:rsid w:val="00E629B1"/>
    <w:rsid w:val="00E62C3D"/>
    <w:rsid w:val="00E62EA1"/>
    <w:rsid w:val="00E63694"/>
    <w:rsid w:val="00E63909"/>
    <w:rsid w:val="00E63BFF"/>
    <w:rsid w:val="00E63DFC"/>
    <w:rsid w:val="00E63E52"/>
    <w:rsid w:val="00E64F07"/>
    <w:rsid w:val="00E64FD6"/>
    <w:rsid w:val="00E65E84"/>
    <w:rsid w:val="00E65FA9"/>
    <w:rsid w:val="00E66B5D"/>
    <w:rsid w:val="00E66D42"/>
    <w:rsid w:val="00E67469"/>
    <w:rsid w:val="00E676CE"/>
    <w:rsid w:val="00E67833"/>
    <w:rsid w:val="00E67F2D"/>
    <w:rsid w:val="00E70059"/>
    <w:rsid w:val="00E701D0"/>
    <w:rsid w:val="00E7049A"/>
    <w:rsid w:val="00E705F8"/>
    <w:rsid w:val="00E709DC"/>
    <w:rsid w:val="00E70BAD"/>
    <w:rsid w:val="00E70D5A"/>
    <w:rsid w:val="00E70D8D"/>
    <w:rsid w:val="00E71197"/>
    <w:rsid w:val="00E71865"/>
    <w:rsid w:val="00E71A4E"/>
    <w:rsid w:val="00E71E65"/>
    <w:rsid w:val="00E72824"/>
    <w:rsid w:val="00E728DC"/>
    <w:rsid w:val="00E72B65"/>
    <w:rsid w:val="00E72CAC"/>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493"/>
    <w:rsid w:val="00E805E6"/>
    <w:rsid w:val="00E8084A"/>
    <w:rsid w:val="00E80C7C"/>
    <w:rsid w:val="00E80FF0"/>
    <w:rsid w:val="00E8107E"/>
    <w:rsid w:val="00E811C0"/>
    <w:rsid w:val="00E81863"/>
    <w:rsid w:val="00E81A8F"/>
    <w:rsid w:val="00E81C47"/>
    <w:rsid w:val="00E822D9"/>
    <w:rsid w:val="00E82697"/>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DA3"/>
    <w:rsid w:val="00E91771"/>
    <w:rsid w:val="00E920FA"/>
    <w:rsid w:val="00E92CB5"/>
    <w:rsid w:val="00E92FD5"/>
    <w:rsid w:val="00E93126"/>
    <w:rsid w:val="00E9316F"/>
    <w:rsid w:val="00E93281"/>
    <w:rsid w:val="00E933E2"/>
    <w:rsid w:val="00E93783"/>
    <w:rsid w:val="00E939FF"/>
    <w:rsid w:val="00E93D8E"/>
    <w:rsid w:val="00E93F80"/>
    <w:rsid w:val="00E94176"/>
    <w:rsid w:val="00E949F2"/>
    <w:rsid w:val="00E94AA1"/>
    <w:rsid w:val="00E94FB9"/>
    <w:rsid w:val="00E950AA"/>
    <w:rsid w:val="00E9530C"/>
    <w:rsid w:val="00E959DA"/>
    <w:rsid w:val="00E95AD5"/>
    <w:rsid w:val="00E9636C"/>
    <w:rsid w:val="00E967C2"/>
    <w:rsid w:val="00E96A97"/>
    <w:rsid w:val="00E96B53"/>
    <w:rsid w:val="00E96C23"/>
    <w:rsid w:val="00E96C32"/>
    <w:rsid w:val="00E97119"/>
    <w:rsid w:val="00E97C7A"/>
    <w:rsid w:val="00E97D45"/>
    <w:rsid w:val="00E97DBE"/>
    <w:rsid w:val="00E97F4B"/>
    <w:rsid w:val="00EA02CC"/>
    <w:rsid w:val="00EA0504"/>
    <w:rsid w:val="00EA058D"/>
    <w:rsid w:val="00EA05EB"/>
    <w:rsid w:val="00EA0B2F"/>
    <w:rsid w:val="00EA142D"/>
    <w:rsid w:val="00EA17EA"/>
    <w:rsid w:val="00EA1840"/>
    <w:rsid w:val="00EA19AD"/>
    <w:rsid w:val="00EA1BC4"/>
    <w:rsid w:val="00EA2DF9"/>
    <w:rsid w:val="00EA30FC"/>
    <w:rsid w:val="00EA3633"/>
    <w:rsid w:val="00EA3AA9"/>
    <w:rsid w:val="00EA3D5F"/>
    <w:rsid w:val="00EA3F24"/>
    <w:rsid w:val="00EA416C"/>
    <w:rsid w:val="00EA43EE"/>
    <w:rsid w:val="00EA4740"/>
    <w:rsid w:val="00EA4BFE"/>
    <w:rsid w:val="00EA4CD0"/>
    <w:rsid w:val="00EA4CEE"/>
    <w:rsid w:val="00EA51BA"/>
    <w:rsid w:val="00EA658B"/>
    <w:rsid w:val="00EA6AE5"/>
    <w:rsid w:val="00EA6DC5"/>
    <w:rsid w:val="00EA6F3B"/>
    <w:rsid w:val="00EA76F6"/>
    <w:rsid w:val="00EA7A59"/>
    <w:rsid w:val="00EA7B8A"/>
    <w:rsid w:val="00EA7BAF"/>
    <w:rsid w:val="00EB05C8"/>
    <w:rsid w:val="00EB07C5"/>
    <w:rsid w:val="00EB0867"/>
    <w:rsid w:val="00EB17D8"/>
    <w:rsid w:val="00EB18A9"/>
    <w:rsid w:val="00EB1A92"/>
    <w:rsid w:val="00EB2164"/>
    <w:rsid w:val="00EB2215"/>
    <w:rsid w:val="00EB2622"/>
    <w:rsid w:val="00EB2854"/>
    <w:rsid w:val="00EB2AA2"/>
    <w:rsid w:val="00EB2AE5"/>
    <w:rsid w:val="00EB2D8F"/>
    <w:rsid w:val="00EB3216"/>
    <w:rsid w:val="00EB4081"/>
    <w:rsid w:val="00EB431F"/>
    <w:rsid w:val="00EB433D"/>
    <w:rsid w:val="00EB46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F0A"/>
    <w:rsid w:val="00ED4542"/>
    <w:rsid w:val="00ED4F80"/>
    <w:rsid w:val="00ED53E7"/>
    <w:rsid w:val="00ED5553"/>
    <w:rsid w:val="00ED5701"/>
    <w:rsid w:val="00ED5797"/>
    <w:rsid w:val="00ED5A4C"/>
    <w:rsid w:val="00ED5BF8"/>
    <w:rsid w:val="00ED5C87"/>
    <w:rsid w:val="00ED5D13"/>
    <w:rsid w:val="00ED5DE5"/>
    <w:rsid w:val="00ED5E0C"/>
    <w:rsid w:val="00ED5E6D"/>
    <w:rsid w:val="00ED5F58"/>
    <w:rsid w:val="00ED60C8"/>
    <w:rsid w:val="00ED6272"/>
    <w:rsid w:val="00ED6A3C"/>
    <w:rsid w:val="00ED6F9D"/>
    <w:rsid w:val="00ED718C"/>
    <w:rsid w:val="00ED7305"/>
    <w:rsid w:val="00ED7641"/>
    <w:rsid w:val="00ED7BC0"/>
    <w:rsid w:val="00ED7D11"/>
    <w:rsid w:val="00EE035D"/>
    <w:rsid w:val="00EE0463"/>
    <w:rsid w:val="00EE0B91"/>
    <w:rsid w:val="00EE0ED4"/>
    <w:rsid w:val="00EE130A"/>
    <w:rsid w:val="00EE15AC"/>
    <w:rsid w:val="00EE15AE"/>
    <w:rsid w:val="00EE1719"/>
    <w:rsid w:val="00EE1F79"/>
    <w:rsid w:val="00EE2203"/>
    <w:rsid w:val="00EE2819"/>
    <w:rsid w:val="00EE2E9C"/>
    <w:rsid w:val="00EE30DE"/>
    <w:rsid w:val="00EE30E7"/>
    <w:rsid w:val="00EE31F0"/>
    <w:rsid w:val="00EE3285"/>
    <w:rsid w:val="00EE3478"/>
    <w:rsid w:val="00EE3879"/>
    <w:rsid w:val="00EE3AC2"/>
    <w:rsid w:val="00EE3D81"/>
    <w:rsid w:val="00EE3FDE"/>
    <w:rsid w:val="00EE400E"/>
    <w:rsid w:val="00EE413E"/>
    <w:rsid w:val="00EE4C7D"/>
    <w:rsid w:val="00EE4D9D"/>
    <w:rsid w:val="00EE51FC"/>
    <w:rsid w:val="00EE58C6"/>
    <w:rsid w:val="00EE5981"/>
    <w:rsid w:val="00EE5FED"/>
    <w:rsid w:val="00EE6508"/>
    <w:rsid w:val="00EE69CC"/>
    <w:rsid w:val="00EE6D78"/>
    <w:rsid w:val="00EE6E77"/>
    <w:rsid w:val="00EE6F61"/>
    <w:rsid w:val="00EE7039"/>
    <w:rsid w:val="00EE72A3"/>
    <w:rsid w:val="00EE75C3"/>
    <w:rsid w:val="00EE75FD"/>
    <w:rsid w:val="00EE7621"/>
    <w:rsid w:val="00EE7951"/>
    <w:rsid w:val="00EF00B6"/>
    <w:rsid w:val="00EF02C5"/>
    <w:rsid w:val="00EF02D4"/>
    <w:rsid w:val="00EF0C5F"/>
    <w:rsid w:val="00EF2215"/>
    <w:rsid w:val="00EF221F"/>
    <w:rsid w:val="00EF2320"/>
    <w:rsid w:val="00EF23B0"/>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5F2"/>
    <w:rsid w:val="00EF5685"/>
    <w:rsid w:val="00EF5902"/>
    <w:rsid w:val="00EF5B42"/>
    <w:rsid w:val="00EF5E87"/>
    <w:rsid w:val="00EF60BC"/>
    <w:rsid w:val="00EF621D"/>
    <w:rsid w:val="00EF652C"/>
    <w:rsid w:val="00EF6660"/>
    <w:rsid w:val="00EF6762"/>
    <w:rsid w:val="00EF7268"/>
    <w:rsid w:val="00EF7390"/>
    <w:rsid w:val="00EF741F"/>
    <w:rsid w:val="00EF79AB"/>
    <w:rsid w:val="00EF7E10"/>
    <w:rsid w:val="00F002B4"/>
    <w:rsid w:val="00F003BE"/>
    <w:rsid w:val="00F00522"/>
    <w:rsid w:val="00F0087A"/>
    <w:rsid w:val="00F00D28"/>
    <w:rsid w:val="00F01426"/>
    <w:rsid w:val="00F021F7"/>
    <w:rsid w:val="00F02D8F"/>
    <w:rsid w:val="00F02EB9"/>
    <w:rsid w:val="00F032FA"/>
    <w:rsid w:val="00F03C1C"/>
    <w:rsid w:val="00F03E24"/>
    <w:rsid w:val="00F0467C"/>
    <w:rsid w:val="00F04D7C"/>
    <w:rsid w:val="00F04E3D"/>
    <w:rsid w:val="00F04E90"/>
    <w:rsid w:val="00F06399"/>
    <w:rsid w:val="00F063B8"/>
    <w:rsid w:val="00F0665D"/>
    <w:rsid w:val="00F06916"/>
    <w:rsid w:val="00F069DF"/>
    <w:rsid w:val="00F070F8"/>
    <w:rsid w:val="00F07448"/>
    <w:rsid w:val="00F07BE9"/>
    <w:rsid w:val="00F101D3"/>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5F5"/>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8BD"/>
    <w:rsid w:val="00F24114"/>
    <w:rsid w:val="00F25408"/>
    <w:rsid w:val="00F254FA"/>
    <w:rsid w:val="00F254FF"/>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1F72"/>
    <w:rsid w:val="00F32452"/>
    <w:rsid w:val="00F3256F"/>
    <w:rsid w:val="00F32615"/>
    <w:rsid w:val="00F32F47"/>
    <w:rsid w:val="00F334CC"/>
    <w:rsid w:val="00F33788"/>
    <w:rsid w:val="00F33E7D"/>
    <w:rsid w:val="00F3453A"/>
    <w:rsid w:val="00F34904"/>
    <w:rsid w:val="00F34E2E"/>
    <w:rsid w:val="00F350EA"/>
    <w:rsid w:val="00F35180"/>
    <w:rsid w:val="00F35197"/>
    <w:rsid w:val="00F35292"/>
    <w:rsid w:val="00F353B9"/>
    <w:rsid w:val="00F35AB5"/>
    <w:rsid w:val="00F35C8E"/>
    <w:rsid w:val="00F36A45"/>
    <w:rsid w:val="00F4082A"/>
    <w:rsid w:val="00F40FC9"/>
    <w:rsid w:val="00F4179F"/>
    <w:rsid w:val="00F41837"/>
    <w:rsid w:val="00F41E04"/>
    <w:rsid w:val="00F41F9F"/>
    <w:rsid w:val="00F42539"/>
    <w:rsid w:val="00F42A06"/>
    <w:rsid w:val="00F433F6"/>
    <w:rsid w:val="00F439D2"/>
    <w:rsid w:val="00F43C31"/>
    <w:rsid w:val="00F43C7A"/>
    <w:rsid w:val="00F448E2"/>
    <w:rsid w:val="00F44CB2"/>
    <w:rsid w:val="00F45B98"/>
    <w:rsid w:val="00F45FFA"/>
    <w:rsid w:val="00F46A94"/>
    <w:rsid w:val="00F471A4"/>
    <w:rsid w:val="00F479CA"/>
    <w:rsid w:val="00F500DA"/>
    <w:rsid w:val="00F50282"/>
    <w:rsid w:val="00F504F6"/>
    <w:rsid w:val="00F50825"/>
    <w:rsid w:val="00F50C8E"/>
    <w:rsid w:val="00F51270"/>
    <w:rsid w:val="00F518F9"/>
    <w:rsid w:val="00F51949"/>
    <w:rsid w:val="00F51FF3"/>
    <w:rsid w:val="00F52CED"/>
    <w:rsid w:val="00F53730"/>
    <w:rsid w:val="00F537D6"/>
    <w:rsid w:val="00F53980"/>
    <w:rsid w:val="00F53EC6"/>
    <w:rsid w:val="00F5465B"/>
    <w:rsid w:val="00F5482D"/>
    <w:rsid w:val="00F54B48"/>
    <w:rsid w:val="00F54C11"/>
    <w:rsid w:val="00F54F3C"/>
    <w:rsid w:val="00F55062"/>
    <w:rsid w:val="00F558FB"/>
    <w:rsid w:val="00F55ED9"/>
    <w:rsid w:val="00F55F5E"/>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943"/>
    <w:rsid w:val="00F639D7"/>
    <w:rsid w:val="00F63D30"/>
    <w:rsid w:val="00F64906"/>
    <w:rsid w:val="00F6529B"/>
    <w:rsid w:val="00F65DD2"/>
    <w:rsid w:val="00F668DA"/>
    <w:rsid w:val="00F66E8A"/>
    <w:rsid w:val="00F670EB"/>
    <w:rsid w:val="00F67459"/>
    <w:rsid w:val="00F675AB"/>
    <w:rsid w:val="00F67748"/>
    <w:rsid w:val="00F67803"/>
    <w:rsid w:val="00F678E7"/>
    <w:rsid w:val="00F7017B"/>
    <w:rsid w:val="00F70689"/>
    <w:rsid w:val="00F70C66"/>
    <w:rsid w:val="00F712DF"/>
    <w:rsid w:val="00F719EC"/>
    <w:rsid w:val="00F72338"/>
    <w:rsid w:val="00F72C3D"/>
    <w:rsid w:val="00F738A3"/>
    <w:rsid w:val="00F738D5"/>
    <w:rsid w:val="00F73979"/>
    <w:rsid w:val="00F73B6E"/>
    <w:rsid w:val="00F74E27"/>
    <w:rsid w:val="00F75492"/>
    <w:rsid w:val="00F75A22"/>
    <w:rsid w:val="00F77106"/>
    <w:rsid w:val="00F771EE"/>
    <w:rsid w:val="00F776FF"/>
    <w:rsid w:val="00F77831"/>
    <w:rsid w:val="00F77E6B"/>
    <w:rsid w:val="00F8073D"/>
    <w:rsid w:val="00F80778"/>
    <w:rsid w:val="00F80C28"/>
    <w:rsid w:val="00F80C48"/>
    <w:rsid w:val="00F81695"/>
    <w:rsid w:val="00F81AA3"/>
    <w:rsid w:val="00F81B53"/>
    <w:rsid w:val="00F81D86"/>
    <w:rsid w:val="00F8253B"/>
    <w:rsid w:val="00F82C18"/>
    <w:rsid w:val="00F83A45"/>
    <w:rsid w:val="00F84070"/>
    <w:rsid w:val="00F84687"/>
    <w:rsid w:val="00F84735"/>
    <w:rsid w:val="00F85F05"/>
    <w:rsid w:val="00F864D9"/>
    <w:rsid w:val="00F86AD0"/>
    <w:rsid w:val="00F86CFB"/>
    <w:rsid w:val="00F8703C"/>
    <w:rsid w:val="00F870B1"/>
    <w:rsid w:val="00F8779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BE"/>
    <w:rsid w:val="00F920A4"/>
    <w:rsid w:val="00F92558"/>
    <w:rsid w:val="00F92626"/>
    <w:rsid w:val="00F9265F"/>
    <w:rsid w:val="00F9280E"/>
    <w:rsid w:val="00F92B40"/>
    <w:rsid w:val="00F92C41"/>
    <w:rsid w:val="00F92F1F"/>
    <w:rsid w:val="00F9309C"/>
    <w:rsid w:val="00F931ED"/>
    <w:rsid w:val="00F935A0"/>
    <w:rsid w:val="00F93941"/>
    <w:rsid w:val="00F939F3"/>
    <w:rsid w:val="00F93BBA"/>
    <w:rsid w:val="00F93C0E"/>
    <w:rsid w:val="00F94A35"/>
    <w:rsid w:val="00F94CD1"/>
    <w:rsid w:val="00F94D80"/>
    <w:rsid w:val="00F9577D"/>
    <w:rsid w:val="00F9598B"/>
    <w:rsid w:val="00F95FA6"/>
    <w:rsid w:val="00F97147"/>
    <w:rsid w:val="00F97421"/>
    <w:rsid w:val="00F97DC0"/>
    <w:rsid w:val="00FA0329"/>
    <w:rsid w:val="00FA09D2"/>
    <w:rsid w:val="00FA0EE3"/>
    <w:rsid w:val="00FA16C0"/>
    <w:rsid w:val="00FA175C"/>
    <w:rsid w:val="00FA18C9"/>
    <w:rsid w:val="00FA1C85"/>
    <w:rsid w:val="00FA1FCE"/>
    <w:rsid w:val="00FA25FA"/>
    <w:rsid w:val="00FA27BB"/>
    <w:rsid w:val="00FA27D4"/>
    <w:rsid w:val="00FA2951"/>
    <w:rsid w:val="00FA2ABB"/>
    <w:rsid w:val="00FA2C73"/>
    <w:rsid w:val="00FA31B7"/>
    <w:rsid w:val="00FA362A"/>
    <w:rsid w:val="00FA389C"/>
    <w:rsid w:val="00FA406C"/>
    <w:rsid w:val="00FA4528"/>
    <w:rsid w:val="00FA45EF"/>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7DC"/>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74F4"/>
    <w:rsid w:val="00FB7A1D"/>
    <w:rsid w:val="00FC0719"/>
    <w:rsid w:val="00FC13D6"/>
    <w:rsid w:val="00FC1CD7"/>
    <w:rsid w:val="00FC1E5D"/>
    <w:rsid w:val="00FC2329"/>
    <w:rsid w:val="00FC286F"/>
    <w:rsid w:val="00FC2AC1"/>
    <w:rsid w:val="00FC2C68"/>
    <w:rsid w:val="00FC3254"/>
    <w:rsid w:val="00FC34CC"/>
    <w:rsid w:val="00FC3F02"/>
    <w:rsid w:val="00FC484E"/>
    <w:rsid w:val="00FC5A64"/>
    <w:rsid w:val="00FC5DF3"/>
    <w:rsid w:val="00FC5F7E"/>
    <w:rsid w:val="00FC627A"/>
    <w:rsid w:val="00FC6544"/>
    <w:rsid w:val="00FC6B31"/>
    <w:rsid w:val="00FC7967"/>
    <w:rsid w:val="00FC79E4"/>
    <w:rsid w:val="00FD0079"/>
    <w:rsid w:val="00FD014B"/>
    <w:rsid w:val="00FD0395"/>
    <w:rsid w:val="00FD0874"/>
    <w:rsid w:val="00FD0F04"/>
    <w:rsid w:val="00FD10FF"/>
    <w:rsid w:val="00FD14AD"/>
    <w:rsid w:val="00FD168B"/>
    <w:rsid w:val="00FD1A86"/>
    <w:rsid w:val="00FD1F2C"/>
    <w:rsid w:val="00FD2868"/>
    <w:rsid w:val="00FD2CA0"/>
    <w:rsid w:val="00FD2DEB"/>
    <w:rsid w:val="00FD2FE2"/>
    <w:rsid w:val="00FD323F"/>
    <w:rsid w:val="00FD385C"/>
    <w:rsid w:val="00FD4217"/>
    <w:rsid w:val="00FD58B1"/>
    <w:rsid w:val="00FD58DF"/>
    <w:rsid w:val="00FD61A3"/>
    <w:rsid w:val="00FD6CB1"/>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3036"/>
    <w:rsid w:val="00FE33EF"/>
    <w:rsid w:val="00FE34B5"/>
    <w:rsid w:val="00FE384E"/>
    <w:rsid w:val="00FE3FB6"/>
    <w:rsid w:val="00FE3FCD"/>
    <w:rsid w:val="00FE41A6"/>
    <w:rsid w:val="00FE4643"/>
    <w:rsid w:val="00FE47EF"/>
    <w:rsid w:val="00FE50F2"/>
    <w:rsid w:val="00FE6239"/>
    <w:rsid w:val="00FE655D"/>
    <w:rsid w:val="00FE6735"/>
    <w:rsid w:val="00FE6BF3"/>
    <w:rsid w:val="00FE73A7"/>
    <w:rsid w:val="00FE7785"/>
    <w:rsid w:val="00FE7D7C"/>
    <w:rsid w:val="00FE7E1C"/>
    <w:rsid w:val="00FF0117"/>
    <w:rsid w:val="00FF0301"/>
    <w:rsid w:val="00FF06DD"/>
    <w:rsid w:val="00FF1625"/>
    <w:rsid w:val="00FF1DCA"/>
    <w:rsid w:val="00FF1E2D"/>
    <w:rsid w:val="00FF1F8D"/>
    <w:rsid w:val="00FF20E9"/>
    <w:rsid w:val="00FF2502"/>
    <w:rsid w:val="00FF2B9B"/>
    <w:rsid w:val="00FF3579"/>
    <w:rsid w:val="00FF3DE4"/>
    <w:rsid w:val="00FF3E45"/>
    <w:rsid w:val="00FF4A6A"/>
    <w:rsid w:val="00FF4CA1"/>
    <w:rsid w:val="00FF4EEB"/>
    <w:rsid w:val="00FF50CE"/>
    <w:rsid w:val="00FF522D"/>
    <w:rsid w:val="00FF5419"/>
    <w:rsid w:val="00FF5615"/>
    <w:rsid w:val="00FF58A0"/>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8D5955F3-01A2-44EC-8C5E-E6B12DBA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np-mop?m=np-mop-01" TargetMode="External"/><Relationship Id="rId21" Type="http://schemas.openxmlformats.org/officeDocument/2006/relationships/hyperlink" Target="https://www.cbd.int/decisions/np-mop/?m=np-mop-05"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7/7/ADD1" TargetMode="External"/><Relationship Id="rId25" Type="http://schemas.openxmlformats.org/officeDocument/2006/relationships/hyperlink" Target="https://www.cbd.int/decisions/np-mop/?m=np-mop-05"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7/7/ADD1" TargetMode="External"/><Relationship Id="rId29"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3"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ADD2" TargetMode="External"/><Relationship Id="rId28" Type="http://schemas.openxmlformats.org/officeDocument/2006/relationships/hyperlink" Target="https://www.cbd.int/decisions/np-mop?m=np-mop-04"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uments/CBD/SBI/7/7/ADD2"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decisions/np-mop?m=np-mop-03" TargetMode="External"/><Relationship Id="rId27" Type="http://schemas.openxmlformats.org/officeDocument/2006/relationships/hyperlink" Target="https://www.cbd.int/decisions/np-mop/?m=np-mop-05" TargetMode="External"/><Relationship Id="rId30" Type="http://schemas.openxmlformats.org/officeDocument/2006/relationships/hyperlink" Target="https://www.cbd.int/decisions/np-mop?m=np-mop-05"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7" TargetMode="External"/><Relationship Id="rId3" Type="http://schemas.openxmlformats.org/officeDocument/2006/relationships/hyperlink" Target="https://www.cbd.int/documents/CBD/SBI/7/INF/2" TargetMode="External"/><Relationship Id="rId7" Type="http://schemas.openxmlformats.org/officeDocument/2006/relationships/hyperlink" Target="https://www.cbd.int/documents/CBD/SBI/7/INF/6" TargetMode="External"/><Relationship Id="rId12" Type="http://schemas.openxmlformats.org/officeDocument/2006/relationships/hyperlink" Target="https://www.cbd.int/abs/doc/cepa-toolkit-fr.pdf" TargetMode="External"/><Relationship Id="rId2" Type="http://schemas.openxmlformats.org/officeDocument/2006/relationships/hyperlink" Target="https://www.cbd.int/documents/CBD/NP/CC/5/4"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INF/5" TargetMode="External"/><Relationship Id="rId11" Type="http://schemas.openxmlformats.org/officeDocument/2006/relationships/hyperlink" Target="https://www.cbd.int/documents/CBD/SBI/7/7/ADD1" TargetMode="External"/><Relationship Id="rId5" Type="http://schemas.openxmlformats.org/officeDocument/2006/relationships/hyperlink" Target="https://www.cbd.int/documents/CBD/SBI/7/INF/4" TargetMode="External"/><Relationship Id="rId10" Type="http://schemas.openxmlformats.org/officeDocument/2006/relationships/hyperlink" Target="https://www.cbd.int/documents/CBD/SBI/7/INF/3/REV1" TargetMode="External"/><Relationship Id="rId4" Type="http://schemas.openxmlformats.org/officeDocument/2006/relationships/hyperlink" Target="https://www.cbd.int/documents/CBD/SBI/7/INF/3/REV1" TargetMode="External"/><Relationship Id="rId9"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28A"/>
    <w:rsid w:val="0003118F"/>
    <w:rsid w:val="00045BCC"/>
    <w:rsid w:val="00070ACC"/>
    <w:rsid w:val="00072E51"/>
    <w:rsid w:val="00074024"/>
    <w:rsid w:val="00095437"/>
    <w:rsid w:val="001111C4"/>
    <w:rsid w:val="0011441E"/>
    <w:rsid w:val="00116FB2"/>
    <w:rsid w:val="00131B04"/>
    <w:rsid w:val="0014032F"/>
    <w:rsid w:val="00183036"/>
    <w:rsid w:val="001A4065"/>
    <w:rsid w:val="001A642D"/>
    <w:rsid w:val="001B5CE3"/>
    <w:rsid w:val="001C57C1"/>
    <w:rsid w:val="001D1F05"/>
    <w:rsid w:val="0020530E"/>
    <w:rsid w:val="002134F5"/>
    <w:rsid w:val="0022500F"/>
    <w:rsid w:val="002262B1"/>
    <w:rsid w:val="00234476"/>
    <w:rsid w:val="00236CF0"/>
    <w:rsid w:val="00252B32"/>
    <w:rsid w:val="00274932"/>
    <w:rsid w:val="002D4E2C"/>
    <w:rsid w:val="002D6861"/>
    <w:rsid w:val="002E312C"/>
    <w:rsid w:val="00302AA6"/>
    <w:rsid w:val="003720C9"/>
    <w:rsid w:val="00396F2B"/>
    <w:rsid w:val="003B3C04"/>
    <w:rsid w:val="004001E5"/>
    <w:rsid w:val="00401F79"/>
    <w:rsid w:val="004025EE"/>
    <w:rsid w:val="00434D5F"/>
    <w:rsid w:val="00450F84"/>
    <w:rsid w:val="00463DB4"/>
    <w:rsid w:val="004826DC"/>
    <w:rsid w:val="00495C96"/>
    <w:rsid w:val="004C1567"/>
    <w:rsid w:val="004D2899"/>
    <w:rsid w:val="00502A1C"/>
    <w:rsid w:val="005141CC"/>
    <w:rsid w:val="00533BA0"/>
    <w:rsid w:val="005356C9"/>
    <w:rsid w:val="005732E3"/>
    <w:rsid w:val="0059339F"/>
    <w:rsid w:val="005A119D"/>
    <w:rsid w:val="005B3AC0"/>
    <w:rsid w:val="005C6920"/>
    <w:rsid w:val="005F11D1"/>
    <w:rsid w:val="00605409"/>
    <w:rsid w:val="006178B0"/>
    <w:rsid w:val="0064514A"/>
    <w:rsid w:val="00662C8C"/>
    <w:rsid w:val="006635B4"/>
    <w:rsid w:val="00664CC4"/>
    <w:rsid w:val="00667527"/>
    <w:rsid w:val="00677145"/>
    <w:rsid w:val="00685FE0"/>
    <w:rsid w:val="00691581"/>
    <w:rsid w:val="006A18ED"/>
    <w:rsid w:val="006D0B3F"/>
    <w:rsid w:val="007013E8"/>
    <w:rsid w:val="007235BE"/>
    <w:rsid w:val="007426ED"/>
    <w:rsid w:val="007567CA"/>
    <w:rsid w:val="00786DB6"/>
    <w:rsid w:val="007A6E1D"/>
    <w:rsid w:val="007C33FB"/>
    <w:rsid w:val="007E7DDB"/>
    <w:rsid w:val="007F6BA7"/>
    <w:rsid w:val="0080654E"/>
    <w:rsid w:val="00822FEF"/>
    <w:rsid w:val="00825270"/>
    <w:rsid w:val="00855EAA"/>
    <w:rsid w:val="00860AF6"/>
    <w:rsid w:val="008614D8"/>
    <w:rsid w:val="00877048"/>
    <w:rsid w:val="008F7E8E"/>
    <w:rsid w:val="00910EAF"/>
    <w:rsid w:val="00957796"/>
    <w:rsid w:val="00960515"/>
    <w:rsid w:val="00967E86"/>
    <w:rsid w:val="009B3588"/>
    <w:rsid w:val="009B7B42"/>
    <w:rsid w:val="009C02DF"/>
    <w:rsid w:val="009C3CF7"/>
    <w:rsid w:val="009C64D6"/>
    <w:rsid w:val="009F0838"/>
    <w:rsid w:val="009F0A12"/>
    <w:rsid w:val="009F0C6C"/>
    <w:rsid w:val="00A25E6B"/>
    <w:rsid w:val="00A47D0E"/>
    <w:rsid w:val="00A538D2"/>
    <w:rsid w:val="00A74A28"/>
    <w:rsid w:val="00A761D9"/>
    <w:rsid w:val="00A84D4D"/>
    <w:rsid w:val="00AC1475"/>
    <w:rsid w:val="00AD380E"/>
    <w:rsid w:val="00AE68BD"/>
    <w:rsid w:val="00B04A78"/>
    <w:rsid w:val="00B7548F"/>
    <w:rsid w:val="00B77DC1"/>
    <w:rsid w:val="00B8774E"/>
    <w:rsid w:val="00B91774"/>
    <w:rsid w:val="00BB6925"/>
    <w:rsid w:val="00BB7CA4"/>
    <w:rsid w:val="00BC52EA"/>
    <w:rsid w:val="00C41A85"/>
    <w:rsid w:val="00C55048"/>
    <w:rsid w:val="00C603C1"/>
    <w:rsid w:val="00C975AD"/>
    <w:rsid w:val="00CA372C"/>
    <w:rsid w:val="00CB170F"/>
    <w:rsid w:val="00CC66FE"/>
    <w:rsid w:val="00CE3F3D"/>
    <w:rsid w:val="00D01505"/>
    <w:rsid w:val="00D1105B"/>
    <w:rsid w:val="00D329E4"/>
    <w:rsid w:val="00D33EE7"/>
    <w:rsid w:val="00D349E4"/>
    <w:rsid w:val="00D40588"/>
    <w:rsid w:val="00D8122F"/>
    <w:rsid w:val="00D86E52"/>
    <w:rsid w:val="00DA3E98"/>
    <w:rsid w:val="00DB3388"/>
    <w:rsid w:val="00DD0D13"/>
    <w:rsid w:val="00DD7E92"/>
    <w:rsid w:val="00DF022C"/>
    <w:rsid w:val="00E019B6"/>
    <w:rsid w:val="00E24B29"/>
    <w:rsid w:val="00E358A5"/>
    <w:rsid w:val="00E46C19"/>
    <w:rsid w:val="00E67AB8"/>
    <w:rsid w:val="00ED202B"/>
    <w:rsid w:val="00F504F6"/>
    <w:rsid w:val="00F552B3"/>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C4CFC99E-1A3D-4781-9F9B-143D6416B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29</TotalTime>
  <Pages>22</Pages>
  <Words>10783</Words>
  <Characters>61466</Characters>
  <Application>Microsoft Office Word</Application>
  <DocSecurity>0</DocSecurity>
  <Lines>512</Lines>
  <Paragraphs>144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Deuxième évaluation et examen de l’efficacité du Protocole de Nagoya sur l’accès aux ressources génétiques et le partage juste et équitable des avantages découlant de leur utilisation</vt: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72105</CharactersWithSpaces>
  <SharedDoc>false</SharedDoc>
  <HLinks>
    <vt:vector size="216" baseType="variant">
      <vt:variant>
        <vt:i4>5570625</vt:i4>
      </vt:variant>
      <vt:variant>
        <vt:i4>57</vt:i4>
      </vt:variant>
      <vt:variant>
        <vt:i4>0</vt:i4>
      </vt:variant>
      <vt:variant>
        <vt:i4>5</vt:i4>
      </vt:variant>
      <vt:variant>
        <vt:lpwstr>https://www.cbd.int/decisions/np-mop?m=np-mop-05</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5505089</vt:i4>
      </vt:variant>
      <vt:variant>
        <vt:i4>48</vt:i4>
      </vt:variant>
      <vt:variant>
        <vt:i4>0</vt:i4>
      </vt:variant>
      <vt:variant>
        <vt:i4>5</vt:i4>
      </vt:variant>
      <vt:variant>
        <vt:lpwstr>https://www.cbd.int/decisions/np-mop?m=np-mop-04</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5308481</vt:i4>
      </vt:variant>
      <vt:variant>
        <vt:i4>39</vt:i4>
      </vt:variant>
      <vt:variant>
        <vt:i4>0</vt:i4>
      </vt:variant>
      <vt:variant>
        <vt:i4>5</vt:i4>
      </vt:variant>
      <vt:variant>
        <vt:lpwstr>https://www.cbd.int/decisions/np-mop?m=np-mop-01</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5439553</vt:i4>
      </vt:variant>
      <vt:variant>
        <vt:i4>33</vt:i4>
      </vt:variant>
      <vt:variant>
        <vt:i4>0</vt:i4>
      </vt:variant>
      <vt:variant>
        <vt:i4>5</vt:i4>
      </vt:variant>
      <vt:variant>
        <vt:lpwstr>https://www.cbd.int/decisions/np-mop?m=np-mop-03</vt:lpwstr>
      </vt:variant>
      <vt:variant>
        <vt:lpwstr/>
      </vt:variant>
      <vt:variant>
        <vt:i4>3604533</vt:i4>
      </vt:variant>
      <vt:variant>
        <vt:i4>27</vt:i4>
      </vt:variant>
      <vt:variant>
        <vt:i4>0</vt:i4>
      </vt:variant>
      <vt:variant>
        <vt:i4>5</vt:i4>
      </vt:variant>
      <vt:variant>
        <vt:lpwstr>https://www.cbd.int/documents/CBD/SBI/7/7/ADD2</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3407925</vt:i4>
      </vt:variant>
      <vt:variant>
        <vt:i4>18</vt:i4>
      </vt:variant>
      <vt:variant>
        <vt:i4>0</vt:i4>
      </vt:variant>
      <vt:variant>
        <vt:i4>5</vt:i4>
      </vt:variant>
      <vt:variant>
        <vt:lpwstr>https://www.cbd.int/documents/CBD/SBI/7/7/ADD1</vt:lpwstr>
      </vt:variant>
      <vt:variant>
        <vt:lpwstr/>
      </vt:variant>
      <vt:variant>
        <vt:i4>3604533</vt:i4>
      </vt:variant>
      <vt:variant>
        <vt:i4>15</vt:i4>
      </vt:variant>
      <vt:variant>
        <vt:i4>0</vt:i4>
      </vt:variant>
      <vt:variant>
        <vt:i4>5</vt:i4>
      </vt:variant>
      <vt:variant>
        <vt:lpwstr>https://www.cbd.int/documents/CBD/SBI/7/7/ADD2</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3407925</vt:i4>
      </vt:variant>
      <vt:variant>
        <vt:i4>48</vt:i4>
      </vt:variant>
      <vt:variant>
        <vt:i4>0</vt:i4>
      </vt:variant>
      <vt:variant>
        <vt:i4>5</vt:i4>
      </vt:variant>
      <vt:variant>
        <vt:lpwstr>https://www.cbd.int/documents/CBD/SBI/7/7/ADD1</vt:lpwstr>
      </vt:variant>
      <vt:variant>
        <vt:lpwstr/>
      </vt:variant>
      <vt:variant>
        <vt:i4>7602239</vt:i4>
      </vt:variant>
      <vt:variant>
        <vt:i4>45</vt:i4>
      </vt:variant>
      <vt:variant>
        <vt:i4>0</vt:i4>
      </vt:variant>
      <vt:variant>
        <vt:i4>5</vt:i4>
      </vt:variant>
      <vt:variant>
        <vt:lpwstr>https://www.cbd.int/documents/CBD/SBI/7/INF/3/REV1</vt:lpwstr>
      </vt:variant>
      <vt:variant>
        <vt:lpwstr/>
      </vt:variant>
      <vt:variant>
        <vt:i4>4587524</vt:i4>
      </vt:variant>
      <vt:variant>
        <vt:i4>39</vt:i4>
      </vt:variant>
      <vt:variant>
        <vt:i4>0</vt:i4>
      </vt:variant>
      <vt:variant>
        <vt:i4>5</vt:i4>
      </vt:variant>
      <vt:variant>
        <vt:lpwstr>https://www.cbd.int/documents/CBD/NP/MOP/6/1</vt:lpwstr>
      </vt:variant>
      <vt:variant>
        <vt:lpwstr/>
      </vt:variant>
      <vt:variant>
        <vt:i4>983048</vt:i4>
      </vt:variant>
      <vt:variant>
        <vt:i4>33</vt:i4>
      </vt:variant>
      <vt:variant>
        <vt:i4>0</vt:i4>
      </vt:variant>
      <vt:variant>
        <vt:i4>5</vt:i4>
      </vt:variant>
      <vt:variant>
        <vt:lpwstr>https://www.cbd.int/documents/CBD/SBI/7/INF/7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983048</vt:i4>
      </vt:variant>
      <vt:variant>
        <vt:i4>27</vt:i4>
      </vt:variant>
      <vt:variant>
        <vt:i4>0</vt:i4>
      </vt:variant>
      <vt:variant>
        <vt:i4>5</vt:i4>
      </vt:variant>
      <vt:variant>
        <vt:lpwstr>https://www.cbd.int/documents/CBD/SBI/7/INF/5</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7602239</vt:i4>
      </vt:variant>
      <vt:variant>
        <vt:i4>21</vt:i4>
      </vt:variant>
      <vt:variant>
        <vt:i4>0</vt:i4>
      </vt:variant>
      <vt:variant>
        <vt:i4>5</vt:i4>
      </vt:variant>
      <vt:variant>
        <vt:lpwstr>https://www.cbd.int/documents/CBD/SBI/7/INF/3/REV1</vt:lpwstr>
      </vt:variant>
      <vt:variant>
        <vt:lpwstr/>
      </vt:variant>
      <vt:variant>
        <vt:i4>983048</vt:i4>
      </vt:variant>
      <vt:variant>
        <vt:i4>15</vt:i4>
      </vt:variant>
      <vt:variant>
        <vt:i4>0</vt:i4>
      </vt:variant>
      <vt:variant>
        <vt:i4>5</vt:i4>
      </vt:variant>
      <vt:variant>
        <vt:lpwstr>https://www.cbd.int/documents/CBD/SBI/7/INF/2</vt:lpwstr>
      </vt:variant>
      <vt:variant>
        <vt:lpwstr/>
      </vt:variant>
      <vt:variant>
        <vt:i4>5832707</vt:i4>
      </vt:variant>
      <vt:variant>
        <vt:i4>9</vt:i4>
      </vt:variant>
      <vt:variant>
        <vt:i4>0</vt:i4>
      </vt:variant>
      <vt:variant>
        <vt:i4>5</vt:i4>
      </vt:variant>
      <vt:variant>
        <vt:lpwstr>https://www.cbd.int/documents/CBD/NP/CB-IAC/2026/1/2</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3342401</vt:i4>
      </vt:variant>
      <vt:variant>
        <vt:i4>15</vt:i4>
      </vt:variant>
      <vt:variant>
        <vt:i4>0</vt:i4>
      </vt:variant>
      <vt:variant>
        <vt:i4>5</vt:i4>
      </vt:variant>
      <vt:variant>
        <vt:lpwstr>mailto:taukondjo.shikongo@un.org</vt:lpwstr>
      </vt:variant>
      <vt:variant>
        <vt:lpwstr/>
      </vt:variant>
      <vt:variant>
        <vt:i4>6029379</vt:i4>
      </vt:variant>
      <vt:variant>
        <vt:i4>12</vt:i4>
      </vt:variant>
      <vt:variant>
        <vt:i4>0</vt:i4>
      </vt:variant>
      <vt:variant>
        <vt:i4>5</vt:i4>
      </vt:variant>
      <vt:variant>
        <vt:lpwstr>https://www.cbd.int/meetings/NP-ABSCH-IAC-06</vt:lpwstr>
      </vt:variant>
      <vt:variant>
        <vt:lpwstr/>
      </vt:variant>
      <vt:variant>
        <vt:i4>6750248</vt:i4>
      </vt:variant>
      <vt:variant>
        <vt:i4>9</vt:i4>
      </vt:variant>
      <vt:variant>
        <vt:i4>0</vt:i4>
      </vt:variant>
      <vt:variant>
        <vt:i4>5</vt:i4>
      </vt:variant>
      <vt:variant>
        <vt:lpwstr>https://www.cbd.int/abs/doc/cepa-toolkit-en.pdf</vt:lpwstr>
      </vt:variant>
      <vt:variant>
        <vt:lpwstr/>
      </vt:variant>
      <vt:variant>
        <vt:i4>3342401</vt:i4>
      </vt:variant>
      <vt:variant>
        <vt:i4>6</vt:i4>
      </vt:variant>
      <vt:variant>
        <vt:i4>0</vt:i4>
      </vt:variant>
      <vt:variant>
        <vt:i4>5</vt:i4>
      </vt:variant>
      <vt:variant>
        <vt:lpwstr>mailto:taukondjo.shikongo@un.org</vt:lpwstr>
      </vt:variant>
      <vt:variant>
        <vt:lpwstr/>
      </vt:variant>
      <vt:variant>
        <vt:i4>2555963</vt:i4>
      </vt:variant>
      <vt:variant>
        <vt:i4>3</vt:i4>
      </vt:variant>
      <vt:variant>
        <vt:i4>0</vt:i4>
      </vt:variant>
      <vt:variant>
        <vt:i4>5</vt:i4>
      </vt:variant>
      <vt:variant>
        <vt:lpwstr>https://www.cbd.int/abs</vt:lpwstr>
      </vt:variant>
      <vt:variant>
        <vt:lpwstr/>
      </vt:variant>
      <vt:variant>
        <vt:i4>2555963</vt:i4>
      </vt:variant>
      <vt:variant>
        <vt:i4>0</vt:i4>
      </vt:variant>
      <vt:variant>
        <vt:i4>0</vt:i4>
      </vt:variant>
      <vt:variant>
        <vt:i4>5</vt:i4>
      </vt:variant>
      <vt:variant>
        <vt:lpwstr>https://www.cbd.int/abs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Deuxième évaluation et examen de l’efficacité du Protocole de Nagoya sur l’accès aux ressources génétiques et le partage juste et équitable des avantages découlant de leur utilisation</dc:title>
  <dc:subject>CBD/SBI/7/7</dc:subject>
  <dc:creator>scbd</dc:creator>
  <cp:keywords>Eighteenth meeting of the Compliance Committee under the Cartagena Protocol on Biosafety</cp:keywords>
  <dc:description/>
  <cp:lastModifiedBy>Mariko Nishi</cp:lastModifiedBy>
  <cp:revision>250</cp:revision>
  <dcterms:created xsi:type="dcterms:W3CDTF">2026-07-10T20:08:00Z</dcterms:created>
  <dcterms:modified xsi:type="dcterms:W3CDTF">2026-07-17T17:42:00Z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