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C9161D" w:rsidRPr="00206E11" w:rsidTr="00C86EE2">
        <w:trPr>
          <w:trHeight w:val="851"/>
        </w:trPr>
        <w:tc>
          <w:tcPr>
            <w:tcW w:w="977" w:type="dxa"/>
            <w:tcBorders>
              <w:bottom w:val="single" w:sz="12" w:space="0" w:color="auto"/>
            </w:tcBorders>
          </w:tcPr>
          <w:p w:rsidR="00C9161D" w:rsidRPr="00206E11" w:rsidRDefault="00C9161D" w:rsidP="00321985">
            <w:pPr>
              <w:rPr>
                <w:lang w:val="fr-CA"/>
              </w:rPr>
            </w:pPr>
            <w:r w:rsidRPr="00206E11">
              <w:rPr>
                <w:noProof/>
                <w:lang w:val="fr-CA" w:eastAsia="fr-CA"/>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206E11" w:rsidRDefault="00C86EE2" w:rsidP="00321985">
            <w:pPr>
              <w:rPr>
                <w:lang w:val="fr-CA"/>
              </w:rPr>
            </w:pPr>
            <w:r w:rsidRPr="00206E11">
              <w:rPr>
                <w:noProof/>
                <w:lang w:val="fr-CA" w:eastAsia="fr-CA"/>
              </w:rPr>
              <w:drawing>
                <wp:inline distT="0" distB="0" distL="0" distR="0">
                  <wp:extent cx="593090" cy="340360"/>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090" cy="340360"/>
                          </a:xfrm>
                          <a:prstGeom prst="rect">
                            <a:avLst/>
                          </a:prstGeom>
                          <a:noFill/>
                          <a:ln>
                            <a:noFill/>
                          </a:ln>
                        </pic:spPr>
                      </pic:pic>
                    </a:graphicData>
                  </a:graphic>
                </wp:inline>
              </w:drawing>
            </w:r>
          </w:p>
        </w:tc>
        <w:tc>
          <w:tcPr>
            <w:tcW w:w="4089" w:type="dxa"/>
            <w:tcBorders>
              <w:bottom w:val="single" w:sz="12" w:space="0" w:color="auto"/>
            </w:tcBorders>
          </w:tcPr>
          <w:p w:rsidR="00C9161D" w:rsidRPr="00206E11" w:rsidRDefault="00C9161D" w:rsidP="00C9161D">
            <w:pPr>
              <w:jc w:val="right"/>
              <w:rPr>
                <w:rFonts w:ascii="Arial" w:hAnsi="Arial" w:cs="Arial"/>
                <w:b/>
                <w:sz w:val="32"/>
                <w:szCs w:val="32"/>
                <w:lang w:val="fr-CA"/>
              </w:rPr>
            </w:pPr>
            <w:r w:rsidRPr="00206E11">
              <w:rPr>
                <w:rFonts w:ascii="Arial" w:hAnsi="Arial" w:cs="Arial"/>
                <w:b/>
                <w:sz w:val="32"/>
                <w:szCs w:val="32"/>
                <w:lang w:val="fr-CA"/>
              </w:rPr>
              <w:t>CBD</w:t>
            </w:r>
          </w:p>
        </w:tc>
      </w:tr>
      <w:tr w:rsidR="001E5163" w:rsidRPr="00206E11" w:rsidTr="00C86EE2">
        <w:tc>
          <w:tcPr>
            <w:tcW w:w="6118" w:type="dxa"/>
            <w:gridSpan w:val="2"/>
            <w:tcBorders>
              <w:top w:val="single" w:sz="12" w:space="0" w:color="auto"/>
              <w:bottom w:val="single" w:sz="36" w:space="0" w:color="auto"/>
            </w:tcBorders>
            <w:vAlign w:val="center"/>
          </w:tcPr>
          <w:p w:rsidR="00C9161D" w:rsidRPr="00206E11" w:rsidRDefault="00C86EE2" w:rsidP="00C9161D">
            <w:pPr>
              <w:rPr>
                <w:lang w:val="fr-CA"/>
              </w:rPr>
            </w:pPr>
            <w:r w:rsidRPr="00206E11">
              <w:rPr>
                <w:noProof/>
                <w:lang w:val="fr-CA" w:eastAsia="fr-CA"/>
              </w:rPr>
              <w:drawing>
                <wp:inline distT="0" distB="0" distL="0" distR="0">
                  <wp:extent cx="2724150" cy="1019301"/>
                  <wp:effectExtent l="0" t="0" r="0" b="9525"/>
                  <wp:docPr id="5" name="Image 3"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orking Folders\Logos\CBD-official\logo-cbd-fr\cbd-logo-print-blk-fr.png"/>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24984" cy="1019613"/>
                          </a:xfrm>
                          <a:prstGeom prst="rect">
                            <a:avLst/>
                          </a:prstGeom>
                          <a:noFill/>
                          <a:ln>
                            <a:noFill/>
                          </a:ln>
                        </pic:spPr>
                      </pic:pic>
                    </a:graphicData>
                  </a:graphic>
                </wp:inline>
              </w:drawing>
            </w:r>
          </w:p>
        </w:tc>
        <w:tc>
          <w:tcPr>
            <w:tcW w:w="4089" w:type="dxa"/>
            <w:tcBorders>
              <w:top w:val="single" w:sz="12" w:space="0" w:color="auto"/>
              <w:bottom w:val="single" w:sz="36" w:space="0" w:color="auto"/>
            </w:tcBorders>
          </w:tcPr>
          <w:p w:rsidR="00C86EE2" w:rsidRPr="00206E11" w:rsidRDefault="00C86EE2" w:rsidP="00C86EE2">
            <w:pPr>
              <w:ind w:left="1215"/>
              <w:rPr>
                <w:noProof/>
                <w:szCs w:val="22"/>
                <w:lang w:val="fr-CA"/>
              </w:rPr>
            </w:pPr>
            <w:r w:rsidRPr="00206E11">
              <w:rPr>
                <w:noProof/>
                <w:szCs w:val="22"/>
                <w:lang w:val="fr-CA"/>
              </w:rPr>
              <w:t>Distr.</w:t>
            </w:r>
          </w:p>
          <w:p w:rsidR="00C9161D" w:rsidRPr="00206E11" w:rsidRDefault="00C86EE2" w:rsidP="00C86EE2">
            <w:pPr>
              <w:ind w:left="1215"/>
              <w:rPr>
                <w:sz w:val="22"/>
                <w:szCs w:val="22"/>
                <w:lang w:val="fr-CA"/>
              </w:rPr>
            </w:pPr>
            <w:r w:rsidRPr="00206E11">
              <w:rPr>
                <w:caps/>
                <w:noProof/>
                <w:szCs w:val="22"/>
                <w:lang w:val="fr-CA"/>
              </w:rPr>
              <w:t>GÉNÉRALE</w:t>
            </w:r>
          </w:p>
          <w:p w:rsidR="00C9161D" w:rsidRPr="00206E11" w:rsidRDefault="00C9161D" w:rsidP="00176CEE">
            <w:pPr>
              <w:ind w:left="1215"/>
              <w:rPr>
                <w:sz w:val="22"/>
                <w:szCs w:val="22"/>
                <w:lang w:val="fr-CA"/>
              </w:rPr>
            </w:pPr>
          </w:p>
          <w:p w:rsidR="00C9161D" w:rsidRPr="00206E11" w:rsidRDefault="00BD3079" w:rsidP="00176CEE">
            <w:pPr>
              <w:ind w:left="1215"/>
              <w:rPr>
                <w:sz w:val="22"/>
                <w:szCs w:val="22"/>
                <w:lang w:val="fr-CA"/>
              </w:rPr>
            </w:pPr>
            <w:sdt>
              <w:sdtPr>
                <w:rPr>
                  <w:sz w:val="22"/>
                  <w:szCs w:val="22"/>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E30001" w:rsidRPr="00206E11">
                  <w:rPr>
                    <w:sz w:val="22"/>
                    <w:szCs w:val="22"/>
                    <w:lang w:val="fr-CA"/>
                  </w:rPr>
                  <w:t>CBD/NP/MOP/4/9</w:t>
                </w:r>
              </w:sdtContent>
            </w:sdt>
          </w:p>
          <w:p w:rsidR="00C9161D" w:rsidRPr="00206E11" w:rsidRDefault="00C86EE2" w:rsidP="00176CEE">
            <w:pPr>
              <w:ind w:left="1215"/>
              <w:rPr>
                <w:sz w:val="22"/>
                <w:szCs w:val="22"/>
                <w:lang w:val="fr-CA"/>
              </w:rPr>
            </w:pPr>
            <w:r w:rsidRPr="00206E11">
              <w:rPr>
                <w:sz w:val="22"/>
                <w:szCs w:val="22"/>
                <w:lang w:val="fr-CA"/>
              </w:rPr>
              <w:t>13 août </w:t>
            </w:r>
            <w:r w:rsidR="00C00842">
              <w:rPr>
                <w:sz w:val="22"/>
                <w:szCs w:val="22"/>
                <w:lang w:val="fr-CA"/>
              </w:rPr>
              <w:t>2</w:t>
            </w:r>
            <w:r w:rsidR="00DD7755" w:rsidRPr="00206E11">
              <w:rPr>
                <w:sz w:val="22"/>
                <w:szCs w:val="22"/>
                <w:lang w:val="fr-CA"/>
              </w:rPr>
              <w:t>022</w:t>
            </w:r>
            <w:r w:rsidR="00D70CC2" w:rsidRPr="00206E11">
              <w:rPr>
                <w:rStyle w:val="FootnoteReference"/>
                <w:sz w:val="22"/>
                <w:szCs w:val="22"/>
                <w:lang w:val="fr-CA"/>
              </w:rPr>
              <w:footnoteReference w:id="2"/>
            </w:r>
          </w:p>
          <w:p w:rsidR="00C9161D" w:rsidRPr="00206E11" w:rsidRDefault="00C9161D" w:rsidP="00176CEE">
            <w:pPr>
              <w:ind w:left="1215"/>
              <w:rPr>
                <w:sz w:val="22"/>
                <w:szCs w:val="22"/>
                <w:lang w:val="fr-CA"/>
              </w:rPr>
            </w:pPr>
          </w:p>
          <w:p w:rsidR="00C86EE2" w:rsidRPr="00206E11" w:rsidRDefault="00C86EE2" w:rsidP="00C86EE2">
            <w:pPr>
              <w:ind w:left="1215"/>
              <w:rPr>
                <w:szCs w:val="22"/>
                <w:lang w:val="fr-CA"/>
              </w:rPr>
            </w:pPr>
            <w:r w:rsidRPr="00206E11">
              <w:rPr>
                <w:szCs w:val="22"/>
                <w:lang w:val="fr-CA"/>
              </w:rPr>
              <w:t>FRANÇAIS</w:t>
            </w:r>
          </w:p>
          <w:p w:rsidR="00C9161D" w:rsidRPr="00206E11" w:rsidRDefault="00C86EE2" w:rsidP="00C86EE2">
            <w:pPr>
              <w:ind w:left="1215"/>
              <w:rPr>
                <w:sz w:val="22"/>
                <w:szCs w:val="22"/>
                <w:lang w:val="fr-CA"/>
              </w:rPr>
            </w:pPr>
            <w:r w:rsidRPr="00206E11">
              <w:rPr>
                <w:szCs w:val="22"/>
                <w:lang w:val="fr-CA"/>
              </w:rPr>
              <w:t>ORIGINAL : ANGLAIS</w:t>
            </w:r>
          </w:p>
          <w:p w:rsidR="00C9161D" w:rsidRPr="00206E11" w:rsidRDefault="00C9161D">
            <w:pPr>
              <w:rPr>
                <w:lang w:val="fr-CA"/>
              </w:rPr>
            </w:pPr>
          </w:p>
        </w:tc>
      </w:tr>
    </w:tbl>
    <w:p w:rsidR="00134846" w:rsidRPr="00206E11" w:rsidRDefault="00C86EE2" w:rsidP="00B85582">
      <w:pPr>
        <w:pStyle w:val="meetingname"/>
        <w:ind w:left="284" w:right="3508" w:hanging="284"/>
        <w:rPr>
          <w:kern w:val="22"/>
          <w:sz w:val="22"/>
          <w:lang w:val="fr-CA"/>
        </w:rPr>
      </w:pPr>
      <w:r w:rsidRPr="00206E11">
        <w:rPr>
          <w:kern w:val="22"/>
          <w:lang w:val="fr-CA"/>
        </w:rPr>
        <w:t>CONFÉRENCE DES PARTIES À LA CONVENTION SUR LA DIVERSITÉ BIOLOGIQUE SIÉGEANT EN TANT QUE RÉUNION DES PARTIES AU PROTOCOLE DE NAGOYA SUR L</w:t>
      </w:r>
      <w:r w:rsidR="00CD6257">
        <w:rPr>
          <w:kern w:val="22"/>
          <w:lang w:val="fr-CA"/>
        </w:rPr>
        <w:t>’</w:t>
      </w:r>
      <w:r w:rsidRPr="00206E11">
        <w:rPr>
          <w:kern w:val="22"/>
          <w:lang w:val="fr-CA"/>
        </w:rPr>
        <w:t>ACCÈS AUX RESSOURCES GÉNÉTIQUES ET LE PARTAGE JUSTE ET ÉQUITABLE DES AVANTAGES DÉCOULANT DE LEUR UTILISATION</w:t>
      </w:r>
    </w:p>
    <w:p w:rsidR="00C86EE2" w:rsidRPr="00206E11" w:rsidRDefault="00C86EE2" w:rsidP="00C86EE2">
      <w:pPr>
        <w:ind w:left="284" w:hanging="284"/>
        <w:rPr>
          <w:snapToGrid w:val="0"/>
          <w:kern w:val="22"/>
          <w:sz w:val="22"/>
          <w:szCs w:val="22"/>
          <w:lang w:val="fr-CA" w:eastAsia="nb-NO"/>
        </w:rPr>
      </w:pPr>
      <w:r w:rsidRPr="00206E11">
        <w:rPr>
          <w:lang w:val="fr-CA"/>
        </w:rPr>
        <w:t>Quatrième réunion</w:t>
      </w:r>
      <w:r w:rsidRPr="00206E11">
        <w:rPr>
          <w:snapToGrid w:val="0"/>
          <w:kern w:val="22"/>
          <w:sz w:val="22"/>
          <w:szCs w:val="22"/>
          <w:lang w:val="fr-CA" w:eastAsia="nb-NO"/>
        </w:rPr>
        <w:t xml:space="preserve"> – Partie II</w:t>
      </w:r>
    </w:p>
    <w:p w:rsidR="00C86EE2" w:rsidRPr="00206E11" w:rsidRDefault="00C86EE2" w:rsidP="00C86EE2">
      <w:pPr>
        <w:ind w:left="284" w:hanging="284"/>
        <w:rPr>
          <w:snapToGrid w:val="0"/>
          <w:kern w:val="22"/>
          <w:sz w:val="22"/>
          <w:szCs w:val="22"/>
          <w:lang w:val="fr-CA" w:eastAsia="nb-NO"/>
        </w:rPr>
      </w:pPr>
      <w:r w:rsidRPr="00206E11">
        <w:rPr>
          <w:snapToGrid w:val="0"/>
          <w:kern w:val="22"/>
          <w:sz w:val="22"/>
          <w:szCs w:val="22"/>
          <w:lang w:val="fr-CA" w:eastAsia="nb-NO"/>
        </w:rPr>
        <w:t>Montréal (Canada), 7</w:t>
      </w:r>
      <w:r w:rsidR="00CD6257">
        <w:rPr>
          <w:snapToGrid w:val="0"/>
          <w:kern w:val="22"/>
          <w:sz w:val="22"/>
          <w:szCs w:val="22"/>
          <w:lang w:val="fr-CA" w:eastAsia="nb-NO"/>
        </w:rPr>
        <w:noBreakHyphen/>
      </w:r>
      <w:r w:rsidRPr="00206E11">
        <w:rPr>
          <w:snapToGrid w:val="0"/>
          <w:kern w:val="22"/>
          <w:sz w:val="22"/>
          <w:szCs w:val="22"/>
          <w:lang w:val="fr-CA" w:eastAsia="nb-NO"/>
        </w:rPr>
        <w:t>19 décembre 2022</w:t>
      </w:r>
    </w:p>
    <w:p w:rsidR="003E4FEC" w:rsidRPr="00206E11" w:rsidRDefault="00C86EE2" w:rsidP="00C86EE2">
      <w:pPr>
        <w:rPr>
          <w:sz w:val="22"/>
          <w:szCs w:val="22"/>
          <w:lang w:val="fr-CA"/>
        </w:rPr>
      </w:pPr>
      <w:r w:rsidRPr="00206E11">
        <w:rPr>
          <w:snapToGrid w:val="0"/>
          <w:kern w:val="22"/>
          <w:sz w:val="22"/>
          <w:szCs w:val="22"/>
          <w:lang w:val="fr-CA"/>
        </w:rPr>
        <w:t>Point 13 de l</w:t>
      </w:r>
      <w:r w:rsidR="00CD6257">
        <w:rPr>
          <w:snapToGrid w:val="0"/>
          <w:kern w:val="22"/>
          <w:sz w:val="22"/>
          <w:szCs w:val="22"/>
          <w:lang w:val="fr-CA"/>
        </w:rPr>
        <w:t>’</w:t>
      </w:r>
      <w:r w:rsidRPr="00206E11">
        <w:rPr>
          <w:snapToGrid w:val="0"/>
          <w:kern w:val="22"/>
          <w:sz w:val="22"/>
          <w:szCs w:val="22"/>
          <w:lang w:val="fr-CA"/>
        </w:rPr>
        <w:t>ordre du jour</w:t>
      </w:r>
    </w:p>
    <w:p w:rsidR="00C9161D" w:rsidRPr="00206E11" w:rsidRDefault="00C86EE2" w:rsidP="003C752B">
      <w:pPr>
        <w:keepNext/>
        <w:spacing w:before="240" w:after="240"/>
        <w:jc w:val="center"/>
        <w:rPr>
          <w:rFonts w:ascii="Times New Roman Bold" w:hAnsi="Times New Roman Bold"/>
          <w:b/>
          <w:caps/>
          <w:sz w:val="22"/>
          <w:szCs w:val="22"/>
          <w:lang w:val="fr-CA"/>
        </w:rPr>
      </w:pPr>
      <w:r w:rsidRPr="00206E11">
        <w:rPr>
          <w:rFonts w:ascii="Times New Roman Bold" w:hAnsi="Times New Roman Bold"/>
          <w:b/>
          <w:caps/>
          <w:sz w:val="22"/>
          <w:szCs w:val="22"/>
          <w:lang w:val="fr-CA"/>
        </w:rPr>
        <w:t>renforcer la mise en œuvre du Protocole de Nagoya dans le contexte du cadre mondial de la biodiversité pour l</w:t>
      </w:r>
      <w:r w:rsidR="00CD6257">
        <w:rPr>
          <w:rFonts w:ascii="Times New Roman Bold" w:hAnsi="Times New Roman Bold"/>
          <w:b/>
          <w:caps/>
          <w:sz w:val="22"/>
          <w:szCs w:val="22"/>
          <w:lang w:val="fr-CA"/>
        </w:rPr>
        <w:t>’</w:t>
      </w:r>
      <w:r w:rsidRPr="00206E11">
        <w:rPr>
          <w:rFonts w:ascii="Times New Roman Bold" w:hAnsi="Times New Roman Bold"/>
          <w:b/>
          <w:caps/>
          <w:sz w:val="22"/>
          <w:szCs w:val="22"/>
          <w:lang w:val="fr-CA"/>
        </w:rPr>
        <w:t>après</w:t>
      </w:r>
      <w:r w:rsidR="00CD6257">
        <w:rPr>
          <w:rFonts w:ascii="Times New Roman Bold" w:hAnsi="Times New Roman Bold"/>
          <w:b/>
          <w:caps/>
          <w:sz w:val="22"/>
          <w:szCs w:val="22"/>
          <w:lang w:val="fr-CA"/>
        </w:rPr>
        <w:noBreakHyphen/>
      </w:r>
      <w:r w:rsidRPr="00206E11">
        <w:rPr>
          <w:rFonts w:ascii="Times New Roman Bold" w:hAnsi="Times New Roman Bold"/>
          <w:b/>
          <w:caps/>
          <w:sz w:val="22"/>
          <w:szCs w:val="22"/>
          <w:lang w:val="fr-CA"/>
        </w:rPr>
        <w:t>2020</w:t>
      </w:r>
    </w:p>
    <w:p w:rsidR="00F6586C" w:rsidRPr="00206E11" w:rsidRDefault="00C86EE2" w:rsidP="003C752B">
      <w:pPr>
        <w:pStyle w:val="Style1"/>
        <w:numPr>
          <w:ilvl w:val="0"/>
          <w:numId w:val="0"/>
        </w:numPr>
        <w:tabs>
          <w:tab w:val="clear" w:pos="720"/>
        </w:tabs>
        <w:outlineLvl w:val="9"/>
        <w:rPr>
          <w:b w:val="0"/>
          <w:sz w:val="22"/>
          <w:szCs w:val="22"/>
          <w:lang w:val="fr-CA"/>
        </w:rPr>
      </w:pPr>
      <w:r w:rsidRPr="00206E11">
        <w:rPr>
          <w:b w:val="0"/>
          <w:sz w:val="22"/>
          <w:szCs w:val="22"/>
          <w:lang w:val="fr-CA"/>
        </w:rPr>
        <w:t>Note de la Secrétaire exécutive</w:t>
      </w:r>
    </w:p>
    <w:p w:rsidR="00831BB2" w:rsidRPr="00206E11" w:rsidRDefault="00C05794" w:rsidP="00C63612">
      <w:pPr>
        <w:pStyle w:val="Heading1"/>
        <w:numPr>
          <w:ilvl w:val="0"/>
          <w:numId w:val="36"/>
        </w:numPr>
        <w:rPr>
          <w:rFonts w:ascii="Times New Roman Bold" w:hAnsi="Times New Roman Bold"/>
          <w:sz w:val="22"/>
          <w:szCs w:val="22"/>
          <w:lang w:val="fr-CA"/>
        </w:rPr>
      </w:pPr>
      <w:r w:rsidRPr="00206E11">
        <w:rPr>
          <w:rFonts w:ascii="Times New Roman Bold" w:hAnsi="Times New Roman Bold"/>
          <w:sz w:val="22"/>
          <w:szCs w:val="22"/>
          <w:lang w:val="fr-CA"/>
        </w:rPr>
        <w:t>Introduction</w:t>
      </w:r>
    </w:p>
    <w:p w:rsidR="00BA6E1A" w:rsidRPr="00206E11" w:rsidRDefault="00C86EE2" w:rsidP="00035C0E">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fr-CA"/>
        </w:rPr>
      </w:pPr>
      <w:r w:rsidRPr="00206E11">
        <w:rPr>
          <w:sz w:val="22"/>
          <w:szCs w:val="22"/>
          <w:lang w:val="fr-CA"/>
        </w:rPr>
        <w:t xml:space="preserve">Dans la décision </w:t>
      </w:r>
      <w:hyperlink r:id="rId15" w:history="1">
        <w:r w:rsidRPr="00206E11">
          <w:rPr>
            <w:rStyle w:val="Hyperlink"/>
            <w:sz w:val="22"/>
            <w:szCs w:val="22"/>
            <w:lang w:val="fr-CA"/>
          </w:rPr>
          <w:t>NP</w:t>
        </w:r>
        <w:r w:rsidR="00CD6257">
          <w:rPr>
            <w:rStyle w:val="Hyperlink"/>
            <w:sz w:val="22"/>
            <w:szCs w:val="22"/>
            <w:lang w:val="fr-CA"/>
          </w:rPr>
          <w:noBreakHyphen/>
        </w:r>
        <w:r w:rsidRPr="00206E11">
          <w:rPr>
            <w:rStyle w:val="Hyperlink"/>
            <w:sz w:val="22"/>
            <w:szCs w:val="22"/>
            <w:lang w:val="fr-CA"/>
          </w:rPr>
          <w:t>3/15</w:t>
        </w:r>
      </w:hyperlink>
      <w:r w:rsidRPr="00206E11">
        <w:rPr>
          <w:sz w:val="22"/>
          <w:szCs w:val="22"/>
          <w:lang w:val="fr-CA"/>
        </w:rPr>
        <w:t>, la Conférence des Parties siégeant en tant que Réunion des Parties au Protocole de Nagoya se félicite de la décision</w:t>
      </w:r>
      <w:hyperlink r:id="rId16" w:history="1">
        <w:r w:rsidRPr="00206E11">
          <w:rPr>
            <w:rStyle w:val="Hyperlink"/>
            <w:color w:val="auto"/>
            <w:sz w:val="22"/>
            <w:szCs w:val="22"/>
            <w:u w:val="none"/>
            <w:lang w:val="fr-CA"/>
          </w:rPr>
          <w:t xml:space="preserve"> </w:t>
        </w:r>
      </w:hyperlink>
      <w:hyperlink r:id="rId17" w:history="1">
        <w:r w:rsidRPr="00206E11">
          <w:rPr>
            <w:rStyle w:val="Hyperlink"/>
            <w:sz w:val="22"/>
            <w:szCs w:val="22"/>
            <w:lang w:val="fr-CA"/>
          </w:rPr>
          <w:t>14/34</w:t>
        </w:r>
      </w:hyperlink>
      <w:r w:rsidRPr="00206E11">
        <w:rPr>
          <w:sz w:val="22"/>
          <w:szCs w:val="22"/>
          <w:lang w:val="fr-CA"/>
        </w:rPr>
        <w:t xml:space="preserve"> de la Conférence des Parties sur un processus complet et participatif pour l</w:t>
      </w:r>
      <w:r w:rsidR="00CD6257">
        <w:rPr>
          <w:sz w:val="22"/>
          <w:szCs w:val="22"/>
          <w:lang w:val="fr-CA"/>
        </w:rPr>
        <w:t>’</w:t>
      </w:r>
      <w:r w:rsidRPr="00206E11">
        <w:rPr>
          <w:sz w:val="22"/>
          <w:szCs w:val="22"/>
          <w:lang w:val="fr-CA"/>
        </w:rPr>
        <w:t>élaboration du cadre mondial de la biodiversité pour l</w:t>
      </w:r>
      <w:r w:rsidR="00CD6257">
        <w:rPr>
          <w:sz w:val="22"/>
          <w:szCs w:val="22"/>
          <w:lang w:val="fr-CA"/>
        </w:rPr>
        <w:t>’</w:t>
      </w:r>
      <w:r w:rsidRPr="00206E11">
        <w:rPr>
          <w:sz w:val="22"/>
          <w:szCs w:val="22"/>
          <w:lang w:val="fr-CA"/>
        </w:rPr>
        <w:t>après</w:t>
      </w:r>
      <w:r w:rsidR="00CD6257">
        <w:rPr>
          <w:sz w:val="22"/>
          <w:szCs w:val="22"/>
          <w:lang w:val="fr-CA"/>
        </w:rPr>
        <w:noBreakHyphen/>
      </w:r>
      <w:r w:rsidRPr="00206E11">
        <w:rPr>
          <w:sz w:val="22"/>
          <w:szCs w:val="22"/>
          <w:lang w:val="fr-CA"/>
        </w:rPr>
        <w:t>2020. Elle invite les Parties au Protocole à participer au processus d</w:t>
      </w:r>
      <w:r w:rsidR="00CD6257">
        <w:rPr>
          <w:sz w:val="22"/>
          <w:szCs w:val="22"/>
          <w:lang w:val="fr-CA"/>
        </w:rPr>
        <w:t>’</w:t>
      </w:r>
      <w:r w:rsidRPr="00206E11">
        <w:rPr>
          <w:sz w:val="22"/>
          <w:szCs w:val="22"/>
          <w:lang w:val="fr-CA"/>
        </w:rPr>
        <w:t>élaboration dudit cadre et encourage les Parties à entreprendre des mesures visant à renforcer la mise en œuvre du Protocole de Nagoya dans le contexte du cadre.</w:t>
      </w:r>
    </w:p>
    <w:p w:rsidR="00C86EE2" w:rsidRPr="00206E11" w:rsidRDefault="00C86EE2" w:rsidP="00C86EE2">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fr-CA"/>
        </w:rPr>
      </w:pPr>
      <w:r w:rsidRPr="00206E11">
        <w:rPr>
          <w:rFonts w:eastAsiaTheme="minorEastAsia"/>
          <w:color w:val="000000"/>
          <w:sz w:val="22"/>
          <w:szCs w:val="22"/>
          <w:lang w:val="fr-CA"/>
        </w:rPr>
        <w:t>Dans la même décision, la Conférence des Parties siégeant en tant que Réunion des Parties au Protocole recommande également que les résultats de la première évaluation et examen de l</w:t>
      </w:r>
      <w:r w:rsidR="00CD6257">
        <w:rPr>
          <w:rFonts w:eastAsiaTheme="minorEastAsia"/>
          <w:color w:val="000000"/>
          <w:sz w:val="22"/>
          <w:szCs w:val="22"/>
          <w:lang w:val="fr-CA"/>
        </w:rPr>
        <w:t>’</w:t>
      </w:r>
      <w:r w:rsidRPr="00206E11">
        <w:rPr>
          <w:rFonts w:eastAsiaTheme="minorEastAsia"/>
          <w:color w:val="000000"/>
          <w:sz w:val="22"/>
          <w:szCs w:val="22"/>
          <w:lang w:val="fr-CA"/>
        </w:rPr>
        <w:t>efficacité du Protocole soient pris en compte lors de l</w:t>
      </w:r>
      <w:r w:rsidR="00CD6257">
        <w:rPr>
          <w:rFonts w:eastAsiaTheme="minorEastAsia"/>
          <w:color w:val="000000"/>
          <w:sz w:val="22"/>
          <w:szCs w:val="22"/>
          <w:lang w:val="fr-CA"/>
        </w:rPr>
        <w:t>’</w:t>
      </w:r>
      <w:r w:rsidRPr="00206E11">
        <w:rPr>
          <w:rFonts w:eastAsiaTheme="minorEastAsia"/>
          <w:color w:val="000000"/>
          <w:sz w:val="22"/>
          <w:szCs w:val="22"/>
          <w:lang w:val="fr-CA"/>
        </w:rPr>
        <w:t>élaboration du cadre mondial de la biodiversité pour l</w:t>
      </w:r>
      <w:r w:rsidR="00CD6257">
        <w:rPr>
          <w:rFonts w:eastAsiaTheme="minorEastAsia"/>
          <w:color w:val="000000"/>
          <w:sz w:val="22"/>
          <w:szCs w:val="22"/>
          <w:lang w:val="fr-CA"/>
        </w:rPr>
        <w:t>’</w:t>
      </w:r>
      <w:r w:rsidRPr="00206E11">
        <w:rPr>
          <w:rFonts w:eastAsiaTheme="minorEastAsia"/>
          <w:color w:val="000000"/>
          <w:sz w:val="22"/>
          <w:szCs w:val="22"/>
          <w:lang w:val="fr-CA"/>
        </w:rPr>
        <w:t>après</w:t>
      </w:r>
      <w:r w:rsidR="00CD6257">
        <w:rPr>
          <w:rFonts w:eastAsiaTheme="minorEastAsia"/>
          <w:color w:val="000000"/>
          <w:sz w:val="22"/>
          <w:szCs w:val="22"/>
          <w:lang w:val="fr-CA"/>
        </w:rPr>
        <w:noBreakHyphen/>
      </w:r>
      <w:r w:rsidRPr="00206E11">
        <w:rPr>
          <w:rFonts w:eastAsiaTheme="minorEastAsia"/>
          <w:color w:val="000000"/>
          <w:sz w:val="22"/>
          <w:szCs w:val="22"/>
          <w:lang w:val="fr-CA"/>
        </w:rPr>
        <w:t>2020, et demande que le Comité de conformité examine comment appuyer et promouvoir le respect des dispositions du Protocole dans le contexte du cadre mondial.</w:t>
      </w:r>
    </w:p>
    <w:p w:rsidR="00BF2CD8" w:rsidRPr="00206E11" w:rsidRDefault="00C86EE2" w:rsidP="00C86EE2">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fr-CA"/>
        </w:rPr>
      </w:pPr>
      <w:r w:rsidRPr="00206E11">
        <w:rPr>
          <w:rFonts w:eastAsiaTheme="minorEastAsia"/>
          <w:color w:val="000000"/>
          <w:sz w:val="22"/>
          <w:szCs w:val="22"/>
          <w:lang w:val="fr-CA"/>
        </w:rPr>
        <w:t>Le présent document vise à présenter des informations actualisées sur le cadre mondial de la biodiversité pour l</w:t>
      </w:r>
      <w:r w:rsidR="00CD6257">
        <w:rPr>
          <w:rFonts w:eastAsiaTheme="minorEastAsia"/>
          <w:color w:val="000000"/>
          <w:sz w:val="22"/>
          <w:szCs w:val="22"/>
          <w:lang w:val="fr-CA"/>
        </w:rPr>
        <w:t>’</w:t>
      </w:r>
      <w:r w:rsidRPr="00206E11">
        <w:rPr>
          <w:rFonts w:eastAsiaTheme="minorEastAsia"/>
          <w:color w:val="000000"/>
          <w:sz w:val="22"/>
          <w:szCs w:val="22"/>
          <w:lang w:val="fr-CA"/>
        </w:rPr>
        <w:t>après</w:t>
      </w:r>
      <w:r w:rsidR="00CD6257">
        <w:rPr>
          <w:rFonts w:eastAsiaTheme="minorEastAsia"/>
          <w:color w:val="000000"/>
          <w:sz w:val="22"/>
          <w:szCs w:val="22"/>
          <w:lang w:val="fr-CA"/>
        </w:rPr>
        <w:noBreakHyphen/>
      </w:r>
      <w:r w:rsidRPr="00206E11">
        <w:rPr>
          <w:rFonts w:eastAsiaTheme="minorEastAsia"/>
          <w:color w:val="000000"/>
          <w:sz w:val="22"/>
          <w:szCs w:val="22"/>
          <w:lang w:val="fr-CA"/>
        </w:rPr>
        <w:t>2020 en ce qui concerne le Protocole de Nagoya. La section</w:t>
      </w:r>
      <w:r w:rsidRPr="00206E11">
        <w:rPr>
          <w:rFonts w:eastAsiaTheme="minorEastAsia"/>
          <w:lang w:val="fr-CA"/>
        </w:rPr>
        <w:t xml:space="preserve"> II </w:t>
      </w:r>
      <w:r w:rsidRPr="00206E11">
        <w:rPr>
          <w:rFonts w:eastAsiaTheme="minorEastAsia"/>
          <w:sz w:val="22"/>
          <w:szCs w:val="22"/>
          <w:lang w:val="fr-CA"/>
        </w:rPr>
        <w:t>fournit des informations contextuelles sur la manière dont l</w:t>
      </w:r>
      <w:r w:rsidR="00CD6257">
        <w:rPr>
          <w:rFonts w:eastAsiaTheme="minorEastAsia"/>
          <w:sz w:val="22"/>
          <w:szCs w:val="22"/>
          <w:lang w:val="fr-CA"/>
        </w:rPr>
        <w:t>’</w:t>
      </w:r>
      <w:r w:rsidRPr="00206E11">
        <w:rPr>
          <w:rFonts w:eastAsiaTheme="minorEastAsia"/>
          <w:sz w:val="22"/>
          <w:szCs w:val="22"/>
          <w:lang w:val="fr-CA"/>
        </w:rPr>
        <w:t>accès et le partage des avantages et le Protocole de Nagoya sont abordés dans le Plan stratégique 2011</w:t>
      </w:r>
      <w:r w:rsidR="00CD6257">
        <w:rPr>
          <w:rFonts w:eastAsiaTheme="minorEastAsia"/>
          <w:sz w:val="22"/>
          <w:szCs w:val="22"/>
          <w:lang w:val="fr-CA"/>
        </w:rPr>
        <w:noBreakHyphen/>
      </w:r>
      <w:r w:rsidRPr="00206E11">
        <w:rPr>
          <w:rFonts w:eastAsiaTheme="minorEastAsia"/>
          <w:sz w:val="22"/>
          <w:szCs w:val="22"/>
          <w:lang w:val="fr-CA"/>
        </w:rPr>
        <w:t>2020 pour la diversité biologique et le Programme de développement durable à l</w:t>
      </w:r>
      <w:r w:rsidR="00CD6257">
        <w:rPr>
          <w:rFonts w:eastAsiaTheme="minorEastAsia"/>
          <w:sz w:val="22"/>
          <w:szCs w:val="22"/>
          <w:lang w:val="fr-CA"/>
        </w:rPr>
        <w:t>’</w:t>
      </w:r>
      <w:r w:rsidRPr="00206E11">
        <w:rPr>
          <w:rFonts w:eastAsiaTheme="minorEastAsia"/>
          <w:sz w:val="22"/>
          <w:szCs w:val="22"/>
          <w:lang w:val="fr-CA"/>
        </w:rPr>
        <w:t>horizon 2030,</w:t>
      </w:r>
      <w:r w:rsidRPr="00206E11">
        <w:rPr>
          <w:rStyle w:val="FootnoteReference"/>
          <w:rFonts w:eastAsiaTheme="minorEastAsia"/>
          <w:color w:val="000000"/>
          <w:sz w:val="22"/>
          <w:szCs w:val="22"/>
          <w:lang w:val="fr-CA"/>
        </w:rPr>
        <w:footnoteReference w:id="3"/>
      </w:r>
      <w:r w:rsidRPr="00206E11">
        <w:rPr>
          <w:rFonts w:eastAsiaTheme="minorEastAsia"/>
          <w:sz w:val="22"/>
          <w:szCs w:val="22"/>
          <w:lang w:val="fr-CA"/>
        </w:rPr>
        <w:t xml:space="preserve"> et rappelle également les principales conclusions de la première évaluation et examen du Protocole. La section III présente un bref rapport faisant le point sur l</w:t>
      </w:r>
      <w:r w:rsidR="00CD6257">
        <w:rPr>
          <w:rFonts w:eastAsiaTheme="minorEastAsia"/>
          <w:sz w:val="22"/>
          <w:szCs w:val="22"/>
          <w:lang w:val="fr-CA"/>
        </w:rPr>
        <w:t>’</w:t>
      </w:r>
      <w:r w:rsidRPr="00206E11">
        <w:rPr>
          <w:rFonts w:eastAsiaTheme="minorEastAsia"/>
          <w:sz w:val="22"/>
          <w:szCs w:val="22"/>
          <w:lang w:val="fr-CA"/>
        </w:rPr>
        <w:t xml:space="preserve">état de la </w:t>
      </w:r>
      <w:r w:rsidRPr="00206E11">
        <w:rPr>
          <w:rFonts w:eastAsiaTheme="minorEastAsia"/>
          <w:sz w:val="22"/>
          <w:szCs w:val="22"/>
          <w:lang w:val="fr-CA"/>
        </w:rPr>
        <w:lastRenderedPageBreak/>
        <w:t>mise en œuvre du Protocole, et la section IV met en évidence les opportunités permettant de renforcer la mise en œuvre du Protocole dans le contexte du cadre mondial de la biodiversité pour l</w:t>
      </w:r>
      <w:r w:rsidR="00CD6257">
        <w:rPr>
          <w:rFonts w:eastAsiaTheme="minorEastAsia"/>
          <w:sz w:val="22"/>
          <w:szCs w:val="22"/>
          <w:lang w:val="fr-CA"/>
        </w:rPr>
        <w:t>’</w:t>
      </w:r>
      <w:r w:rsidRPr="00206E11">
        <w:rPr>
          <w:rFonts w:eastAsiaTheme="minorEastAsia"/>
          <w:sz w:val="22"/>
          <w:szCs w:val="22"/>
          <w:lang w:val="fr-CA"/>
        </w:rPr>
        <w:t>après</w:t>
      </w:r>
      <w:r w:rsidR="00CD6257">
        <w:rPr>
          <w:rFonts w:eastAsiaTheme="minorEastAsia"/>
          <w:sz w:val="22"/>
          <w:szCs w:val="22"/>
          <w:lang w:val="fr-CA"/>
        </w:rPr>
        <w:noBreakHyphen/>
      </w:r>
      <w:r w:rsidRPr="00206E11">
        <w:rPr>
          <w:rFonts w:eastAsiaTheme="minorEastAsia"/>
          <w:sz w:val="22"/>
          <w:szCs w:val="22"/>
          <w:lang w:val="fr-CA"/>
        </w:rPr>
        <w:t>2020. La section V énonce les éléments d</w:t>
      </w:r>
      <w:r w:rsidR="00CD6257">
        <w:rPr>
          <w:rFonts w:eastAsiaTheme="minorEastAsia"/>
          <w:sz w:val="22"/>
          <w:szCs w:val="22"/>
          <w:lang w:val="fr-CA"/>
        </w:rPr>
        <w:t>’</w:t>
      </w:r>
      <w:r w:rsidRPr="00206E11">
        <w:rPr>
          <w:rFonts w:eastAsiaTheme="minorEastAsia"/>
          <w:sz w:val="22"/>
          <w:szCs w:val="22"/>
          <w:lang w:val="fr-CA"/>
        </w:rPr>
        <w:t>un projet de décision à être examinés par la réunion</w:t>
      </w:r>
      <w:r w:rsidR="00D22072" w:rsidRPr="00206E11">
        <w:rPr>
          <w:rFonts w:asciiTheme="majorBidi" w:eastAsia="Malgun Gothic" w:hAnsiTheme="majorBidi" w:cstheme="majorBidi"/>
          <w:snapToGrid w:val="0"/>
          <w:kern w:val="22"/>
          <w:sz w:val="22"/>
          <w:szCs w:val="22"/>
          <w:lang w:val="fr-CA"/>
        </w:rPr>
        <w:t>.</w:t>
      </w:r>
    </w:p>
    <w:p w:rsidR="00254944" w:rsidRPr="00206E11" w:rsidRDefault="00A37570" w:rsidP="002666CC">
      <w:pPr>
        <w:pStyle w:val="Heading1"/>
        <w:rPr>
          <w:rFonts w:ascii="Times New Roman Bold" w:hAnsi="Times New Roman Bold"/>
          <w:sz w:val="22"/>
          <w:szCs w:val="22"/>
          <w:lang w:val="fr-CA"/>
        </w:rPr>
      </w:pPr>
      <w:r w:rsidRPr="00206E11">
        <w:rPr>
          <w:rFonts w:ascii="Times New Roman Bold" w:hAnsi="Times New Roman Bold"/>
          <w:sz w:val="22"/>
          <w:szCs w:val="22"/>
          <w:lang w:val="fr-CA"/>
        </w:rPr>
        <w:t>contexte</w:t>
      </w:r>
    </w:p>
    <w:p w:rsidR="00AC2A19" w:rsidRPr="00206E11" w:rsidRDefault="00A37570" w:rsidP="003C752B">
      <w:pPr>
        <w:pStyle w:val="Heading2"/>
        <w:tabs>
          <w:tab w:val="clear" w:pos="720"/>
        </w:tabs>
        <w:ind w:left="1276" w:hanging="567"/>
        <w:jc w:val="left"/>
        <w:rPr>
          <w:sz w:val="22"/>
          <w:szCs w:val="22"/>
          <w:lang w:val="fr-CA"/>
        </w:rPr>
      </w:pPr>
      <w:r w:rsidRPr="00206E11">
        <w:rPr>
          <w:sz w:val="22"/>
          <w:szCs w:val="22"/>
          <w:lang w:val="fr-CA"/>
        </w:rPr>
        <w:t>Accès et partage des avantages et le Protocole de Nagoya dans le Plan stratégique 2011</w:t>
      </w:r>
      <w:r w:rsidR="00CD6257">
        <w:rPr>
          <w:sz w:val="22"/>
          <w:szCs w:val="22"/>
          <w:lang w:val="fr-CA"/>
        </w:rPr>
        <w:noBreakHyphen/>
      </w:r>
      <w:r w:rsidRPr="00206E11">
        <w:rPr>
          <w:sz w:val="22"/>
          <w:szCs w:val="22"/>
          <w:lang w:val="fr-CA"/>
        </w:rPr>
        <w:t>2020 pour la diversité biologique et le Programme de développement durable à l</w:t>
      </w:r>
      <w:r w:rsidR="00CD6257">
        <w:rPr>
          <w:sz w:val="22"/>
          <w:szCs w:val="22"/>
          <w:lang w:val="fr-CA"/>
        </w:rPr>
        <w:t>’</w:t>
      </w:r>
      <w:r w:rsidRPr="00206E11">
        <w:rPr>
          <w:sz w:val="22"/>
          <w:szCs w:val="22"/>
          <w:lang w:val="fr-CA"/>
        </w:rPr>
        <w:t>horizon 2030</w:t>
      </w:r>
      <w:r w:rsidRPr="00206E11">
        <w:rPr>
          <w:rStyle w:val="FootnoteReference"/>
          <w:sz w:val="22"/>
          <w:szCs w:val="22"/>
          <w:lang w:val="fr-CA"/>
        </w:rPr>
        <w:footnoteReference w:id="4"/>
      </w:r>
    </w:p>
    <w:p w:rsidR="00A37570" w:rsidRPr="00206E11" w:rsidRDefault="00A37570" w:rsidP="00A37570">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fr-CA"/>
        </w:rPr>
      </w:pPr>
      <w:r w:rsidRPr="00206E11">
        <w:rPr>
          <w:sz w:val="22"/>
          <w:szCs w:val="22"/>
          <w:lang w:val="fr-CA"/>
        </w:rPr>
        <w:t>En adoptant le Plan stratégique 2011</w:t>
      </w:r>
      <w:r w:rsidR="00CD6257">
        <w:rPr>
          <w:sz w:val="22"/>
          <w:szCs w:val="22"/>
          <w:lang w:val="fr-CA"/>
        </w:rPr>
        <w:noBreakHyphen/>
      </w:r>
      <w:r w:rsidRPr="00206E11">
        <w:rPr>
          <w:sz w:val="22"/>
          <w:szCs w:val="22"/>
          <w:lang w:val="fr-CA"/>
        </w:rPr>
        <w:t>2020 pour la diversité biologique, la Conférence des Parties avait invité les Parties à établir leur propres objectifs nationaux, ayant recours au Plan stratégique en tant que cadre souple, en tenant compte des besoins et priorités nationaux, tout en gardant également à l</w:t>
      </w:r>
      <w:r w:rsidR="00CD6257">
        <w:rPr>
          <w:sz w:val="22"/>
          <w:szCs w:val="22"/>
          <w:lang w:val="fr-CA"/>
        </w:rPr>
        <w:t>’</w:t>
      </w:r>
      <w:r w:rsidRPr="00206E11">
        <w:rPr>
          <w:sz w:val="22"/>
          <w:szCs w:val="22"/>
          <w:lang w:val="fr-CA"/>
        </w:rPr>
        <w:t>esprit les contributions nationales à la réalisation des Objectifs d</w:t>
      </w:r>
      <w:r w:rsidR="00CD6257">
        <w:rPr>
          <w:sz w:val="22"/>
          <w:szCs w:val="22"/>
          <w:lang w:val="fr-CA"/>
        </w:rPr>
        <w:t>’</w:t>
      </w:r>
      <w:r w:rsidRPr="00206E11">
        <w:rPr>
          <w:sz w:val="22"/>
          <w:szCs w:val="22"/>
          <w:lang w:val="fr-CA"/>
        </w:rPr>
        <w:t>Aichi pour la biodiversité globaux. Les Parties avaient également été invitées à examiner et, le cas échéant, à actualiser et à réviser leurs stratégies et plans d</w:t>
      </w:r>
      <w:r w:rsidR="00CD6257">
        <w:rPr>
          <w:sz w:val="22"/>
          <w:szCs w:val="22"/>
          <w:lang w:val="fr-CA"/>
        </w:rPr>
        <w:t>’</w:t>
      </w:r>
      <w:r w:rsidRPr="00206E11">
        <w:rPr>
          <w:sz w:val="22"/>
          <w:szCs w:val="22"/>
          <w:lang w:val="fr-CA"/>
        </w:rPr>
        <w:t>action nationaux pour la biodiversité (SPANB) afin qu</w:t>
      </w:r>
      <w:r w:rsidR="00CD6257">
        <w:rPr>
          <w:sz w:val="22"/>
          <w:szCs w:val="22"/>
          <w:lang w:val="fr-CA"/>
        </w:rPr>
        <w:t>’</w:t>
      </w:r>
      <w:r w:rsidRPr="00206E11">
        <w:rPr>
          <w:sz w:val="22"/>
          <w:szCs w:val="22"/>
          <w:lang w:val="fr-CA"/>
        </w:rPr>
        <w:t>ils s</w:t>
      </w:r>
      <w:r w:rsidR="00CD6257">
        <w:rPr>
          <w:sz w:val="22"/>
          <w:szCs w:val="22"/>
          <w:lang w:val="fr-CA"/>
        </w:rPr>
        <w:t>’</w:t>
      </w:r>
      <w:r w:rsidRPr="00206E11">
        <w:rPr>
          <w:sz w:val="22"/>
          <w:szCs w:val="22"/>
          <w:lang w:val="fr-CA"/>
        </w:rPr>
        <w:t>alignent sur le Plan stratégique.</w:t>
      </w:r>
    </w:p>
    <w:p w:rsidR="00A37570" w:rsidRPr="00206E11" w:rsidRDefault="00A37570" w:rsidP="00A37570">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fr-CA"/>
        </w:rPr>
      </w:pPr>
      <w:r w:rsidRPr="00206E11">
        <w:rPr>
          <w:sz w:val="22"/>
          <w:szCs w:val="22"/>
          <w:lang w:val="fr-CA"/>
        </w:rPr>
        <w:t xml:space="preserve">Le Plan stratégique comprend </w:t>
      </w:r>
      <w:r w:rsidRPr="00206E11">
        <w:rPr>
          <w:noProof/>
          <w:sz w:val="22"/>
          <w:szCs w:val="22"/>
          <w:lang w:val="fr-CA"/>
        </w:rPr>
        <w:t>l</w:t>
      </w:r>
      <w:r w:rsidR="00CD6257">
        <w:rPr>
          <w:noProof/>
          <w:sz w:val="22"/>
          <w:szCs w:val="22"/>
          <w:lang w:val="fr-CA"/>
        </w:rPr>
        <w:t>’</w:t>
      </w:r>
      <w:r w:rsidRPr="00206E11">
        <w:rPr>
          <w:noProof/>
          <w:sz w:val="22"/>
          <w:szCs w:val="22"/>
          <w:lang w:val="fr-CA"/>
        </w:rPr>
        <w:t>Objectif 16 d</w:t>
      </w:r>
      <w:r w:rsidR="00CD6257">
        <w:rPr>
          <w:noProof/>
          <w:sz w:val="22"/>
          <w:szCs w:val="22"/>
          <w:lang w:val="fr-CA"/>
        </w:rPr>
        <w:t>’</w:t>
      </w:r>
      <w:r w:rsidRPr="00206E11">
        <w:rPr>
          <w:noProof/>
          <w:sz w:val="22"/>
          <w:szCs w:val="22"/>
          <w:lang w:val="fr-CA"/>
        </w:rPr>
        <w:t>Aichi pour la biodiversité qui dispose que « d</w:t>
      </w:r>
      <w:r w:rsidR="00CD6257">
        <w:rPr>
          <w:noProof/>
          <w:sz w:val="22"/>
          <w:szCs w:val="22"/>
          <w:lang w:val="fr-CA"/>
        </w:rPr>
        <w:t>’</w:t>
      </w:r>
      <w:r w:rsidRPr="00206E11">
        <w:rPr>
          <w:noProof/>
          <w:sz w:val="22"/>
          <w:szCs w:val="22"/>
          <w:lang w:val="fr-CA"/>
        </w:rPr>
        <w:t>ici à 2015, le Protocole de Nagoya sur l</w:t>
      </w:r>
      <w:r w:rsidR="00CD6257">
        <w:rPr>
          <w:noProof/>
          <w:sz w:val="22"/>
          <w:szCs w:val="22"/>
          <w:lang w:val="fr-CA"/>
        </w:rPr>
        <w:t>’</w:t>
      </w:r>
      <w:r w:rsidRPr="00206E11">
        <w:rPr>
          <w:noProof/>
          <w:sz w:val="22"/>
          <w:szCs w:val="22"/>
          <w:lang w:val="fr-CA"/>
        </w:rPr>
        <w:t>accès aux ressources génétiques et le partage juste et équitable des avantages découlant de leur utilisation est en vigueur et opérationnel, conformément à la législation nationale ». L</w:t>
      </w:r>
      <w:r w:rsidR="00CD6257">
        <w:rPr>
          <w:noProof/>
          <w:sz w:val="22"/>
          <w:szCs w:val="22"/>
          <w:lang w:val="fr-CA"/>
        </w:rPr>
        <w:t>’</w:t>
      </w:r>
      <w:r w:rsidRPr="00206E11">
        <w:rPr>
          <w:noProof/>
          <w:sz w:val="22"/>
          <w:szCs w:val="22"/>
          <w:lang w:val="fr-CA"/>
        </w:rPr>
        <w:t>Objectif 16 d</w:t>
      </w:r>
      <w:r w:rsidR="00CD6257">
        <w:rPr>
          <w:noProof/>
          <w:sz w:val="22"/>
          <w:szCs w:val="22"/>
          <w:lang w:val="fr-CA"/>
        </w:rPr>
        <w:t>’</w:t>
      </w:r>
      <w:r w:rsidRPr="00206E11">
        <w:rPr>
          <w:noProof/>
          <w:sz w:val="22"/>
          <w:szCs w:val="22"/>
          <w:lang w:val="fr-CA"/>
        </w:rPr>
        <w:t>Aichi pour la biodiversité laisse entendre qu</w:t>
      </w:r>
      <w:r w:rsidR="00CD6257">
        <w:rPr>
          <w:noProof/>
          <w:sz w:val="22"/>
          <w:szCs w:val="22"/>
          <w:lang w:val="fr-CA"/>
        </w:rPr>
        <w:t>’</w:t>
      </w:r>
      <w:r w:rsidRPr="00206E11">
        <w:rPr>
          <w:noProof/>
          <w:sz w:val="22"/>
          <w:szCs w:val="22"/>
          <w:lang w:val="fr-CA"/>
        </w:rPr>
        <w:t>une série d</w:t>
      </w:r>
      <w:r w:rsidR="00CD6257">
        <w:rPr>
          <w:noProof/>
          <w:sz w:val="22"/>
          <w:szCs w:val="22"/>
          <w:lang w:val="fr-CA"/>
        </w:rPr>
        <w:t>’</w:t>
      </w:r>
      <w:r w:rsidRPr="00206E11">
        <w:rPr>
          <w:noProof/>
          <w:sz w:val="22"/>
          <w:szCs w:val="22"/>
          <w:lang w:val="fr-CA"/>
        </w:rPr>
        <w:t>actions devraient être entreprises par les Parties : a) la ratification; b) la mise en place des mesures législatives, administratives ou politiques et des structures institutionnelles nécessaires pour la mise en œuvre du Protocole; et c) la publication d</w:t>
      </w:r>
      <w:r w:rsidR="00CD6257">
        <w:rPr>
          <w:noProof/>
          <w:sz w:val="22"/>
          <w:szCs w:val="22"/>
          <w:lang w:val="fr-CA"/>
        </w:rPr>
        <w:t>’</w:t>
      </w:r>
      <w:r w:rsidRPr="00206E11">
        <w:rPr>
          <w:noProof/>
          <w:sz w:val="22"/>
          <w:szCs w:val="22"/>
          <w:lang w:val="fr-CA"/>
        </w:rPr>
        <w:t>informations obligatoires dans le Centre d</w:t>
      </w:r>
      <w:r w:rsidR="00CD6257">
        <w:rPr>
          <w:noProof/>
          <w:sz w:val="22"/>
          <w:szCs w:val="22"/>
          <w:lang w:val="fr-CA"/>
        </w:rPr>
        <w:t>’</w:t>
      </w:r>
      <w:r w:rsidRPr="00206E11">
        <w:rPr>
          <w:noProof/>
          <w:sz w:val="22"/>
          <w:szCs w:val="22"/>
          <w:lang w:val="fr-CA"/>
        </w:rPr>
        <w:t>échange sur l</w:t>
      </w:r>
      <w:r w:rsidR="00CD6257">
        <w:rPr>
          <w:noProof/>
          <w:sz w:val="22"/>
          <w:szCs w:val="22"/>
          <w:lang w:val="fr-CA"/>
        </w:rPr>
        <w:t>’</w:t>
      </w:r>
      <w:r w:rsidRPr="00206E11">
        <w:rPr>
          <w:noProof/>
          <w:sz w:val="22"/>
          <w:szCs w:val="22"/>
          <w:lang w:val="fr-CA"/>
        </w:rPr>
        <w:t>accès et le partage des avantages (Centre d</w:t>
      </w:r>
      <w:r w:rsidR="00CD6257">
        <w:rPr>
          <w:noProof/>
          <w:sz w:val="22"/>
          <w:szCs w:val="22"/>
          <w:lang w:val="fr-CA"/>
        </w:rPr>
        <w:t>’</w:t>
      </w:r>
      <w:r w:rsidRPr="00206E11">
        <w:rPr>
          <w:noProof/>
          <w:sz w:val="22"/>
          <w:szCs w:val="22"/>
          <w:lang w:val="fr-CA"/>
        </w:rPr>
        <w:t>échange sur l</w:t>
      </w:r>
      <w:r w:rsidR="00CD6257">
        <w:rPr>
          <w:noProof/>
          <w:sz w:val="22"/>
          <w:szCs w:val="22"/>
          <w:lang w:val="fr-CA"/>
        </w:rPr>
        <w:t>’</w:t>
      </w:r>
      <w:r w:rsidRPr="00206E11">
        <w:rPr>
          <w:noProof/>
          <w:sz w:val="22"/>
          <w:szCs w:val="22"/>
          <w:lang w:val="fr-CA"/>
        </w:rPr>
        <w:t>APA).</w:t>
      </w:r>
    </w:p>
    <w:p w:rsidR="002E0E0F" w:rsidRPr="00206E11" w:rsidRDefault="00A37570" w:rsidP="00A37570">
      <w:pPr>
        <w:pStyle w:val="ListParagraph"/>
        <w:numPr>
          <w:ilvl w:val="0"/>
          <w:numId w:val="22"/>
        </w:numPr>
        <w:autoSpaceDE w:val="0"/>
        <w:autoSpaceDN w:val="0"/>
        <w:adjustRightInd w:val="0"/>
        <w:spacing w:after="120"/>
        <w:ind w:left="0" w:firstLine="0"/>
        <w:contextualSpacing w:val="0"/>
        <w:jc w:val="both"/>
        <w:rPr>
          <w:color w:val="000000"/>
          <w:sz w:val="22"/>
          <w:szCs w:val="22"/>
          <w:lang w:val="fr-CA"/>
        </w:rPr>
      </w:pPr>
      <w:r w:rsidRPr="00206E11">
        <w:rPr>
          <w:sz w:val="22"/>
          <w:szCs w:val="22"/>
          <w:lang w:val="fr-CA"/>
        </w:rPr>
        <w:t>La Secrétaire exécutive a mené à bien une analyse comparant le niveau d</w:t>
      </w:r>
      <w:r w:rsidR="00CD6257">
        <w:rPr>
          <w:sz w:val="22"/>
          <w:szCs w:val="22"/>
          <w:lang w:val="fr-CA"/>
        </w:rPr>
        <w:t>’</w:t>
      </w:r>
      <w:r w:rsidRPr="00206E11">
        <w:rPr>
          <w:sz w:val="22"/>
          <w:szCs w:val="22"/>
          <w:lang w:val="fr-CA"/>
        </w:rPr>
        <w:t>ambition et la portée des objectifs nationaux et régionaux établis dans les SPANB aux Objectifs d</w:t>
      </w:r>
      <w:r w:rsidR="00CD6257">
        <w:rPr>
          <w:sz w:val="22"/>
          <w:szCs w:val="22"/>
          <w:lang w:val="fr-CA"/>
        </w:rPr>
        <w:t>’</w:t>
      </w:r>
      <w:r w:rsidRPr="00206E11">
        <w:rPr>
          <w:sz w:val="22"/>
          <w:szCs w:val="22"/>
          <w:lang w:val="fr-CA"/>
        </w:rPr>
        <w:t>Aichi pour la biodiversité.</w:t>
      </w:r>
      <w:r w:rsidRPr="00206E11">
        <w:rPr>
          <w:rStyle w:val="FootnoteReference"/>
          <w:sz w:val="22"/>
          <w:szCs w:val="22"/>
          <w:lang w:val="fr-CA"/>
        </w:rPr>
        <w:footnoteReference w:id="5"/>
      </w:r>
      <w:r w:rsidRPr="00206E11">
        <w:rPr>
          <w:sz w:val="22"/>
          <w:szCs w:val="22"/>
          <w:lang w:val="fr-CA"/>
        </w:rPr>
        <w:t xml:space="preserve"> Pour ce qui est de l</w:t>
      </w:r>
      <w:r w:rsidR="00CD6257">
        <w:rPr>
          <w:sz w:val="22"/>
          <w:szCs w:val="22"/>
          <w:lang w:val="fr-CA"/>
        </w:rPr>
        <w:t>’</w:t>
      </w:r>
      <w:r w:rsidRPr="00206E11">
        <w:rPr>
          <w:sz w:val="22"/>
          <w:szCs w:val="22"/>
          <w:lang w:val="fr-CA"/>
        </w:rPr>
        <w:t>Objectif 16 d</w:t>
      </w:r>
      <w:r w:rsidR="00CD6257">
        <w:rPr>
          <w:sz w:val="22"/>
          <w:szCs w:val="22"/>
          <w:lang w:val="fr-CA"/>
        </w:rPr>
        <w:t>’</w:t>
      </w:r>
      <w:r w:rsidRPr="00206E11">
        <w:rPr>
          <w:sz w:val="22"/>
          <w:szCs w:val="22"/>
          <w:lang w:val="fr-CA"/>
        </w:rPr>
        <w:t>Aichi, l</w:t>
      </w:r>
      <w:r w:rsidR="00CD6257">
        <w:rPr>
          <w:sz w:val="22"/>
          <w:szCs w:val="22"/>
          <w:lang w:val="fr-CA"/>
        </w:rPr>
        <w:t>’</w:t>
      </w:r>
      <w:r w:rsidRPr="00206E11">
        <w:rPr>
          <w:sz w:val="22"/>
          <w:szCs w:val="22"/>
          <w:lang w:val="fr-CA"/>
        </w:rPr>
        <w:t>analyse révèle que 81 pour cent des SPANB contiennent des objectifs reliés à l</w:t>
      </w:r>
      <w:r w:rsidR="00CD6257">
        <w:rPr>
          <w:sz w:val="22"/>
          <w:szCs w:val="22"/>
          <w:lang w:val="fr-CA"/>
        </w:rPr>
        <w:t>’</w:t>
      </w:r>
      <w:r w:rsidRPr="00206E11">
        <w:rPr>
          <w:sz w:val="22"/>
          <w:szCs w:val="22"/>
          <w:lang w:val="fr-CA"/>
        </w:rPr>
        <w:t xml:space="preserve">Objectif 16. </w:t>
      </w:r>
      <w:r w:rsidRPr="00206E11">
        <w:rPr>
          <w:noProof/>
          <w:sz w:val="22"/>
          <w:szCs w:val="22"/>
          <w:lang w:val="fr-CA"/>
        </w:rPr>
        <w:t>Parmi ceux</w:t>
      </w:r>
      <w:r w:rsidR="00CD6257">
        <w:rPr>
          <w:noProof/>
          <w:sz w:val="22"/>
          <w:szCs w:val="22"/>
          <w:lang w:val="fr-CA"/>
        </w:rPr>
        <w:noBreakHyphen/>
      </w:r>
      <w:r w:rsidRPr="00206E11">
        <w:rPr>
          <w:noProof/>
          <w:sz w:val="22"/>
          <w:szCs w:val="22"/>
          <w:lang w:val="fr-CA"/>
        </w:rPr>
        <w:t>ci,</w:t>
      </w:r>
      <w:r w:rsidRPr="00206E11">
        <w:rPr>
          <w:sz w:val="22"/>
          <w:szCs w:val="22"/>
          <w:lang w:val="fr-CA"/>
        </w:rPr>
        <w:t xml:space="preserve"> 71 pour cent sont soit moins ambitieux ou ont une portée plus limitée que l</w:t>
      </w:r>
      <w:r w:rsidR="00CD6257">
        <w:rPr>
          <w:sz w:val="22"/>
          <w:szCs w:val="22"/>
          <w:lang w:val="fr-CA"/>
        </w:rPr>
        <w:t>’</w:t>
      </w:r>
      <w:r w:rsidRPr="00206E11">
        <w:rPr>
          <w:sz w:val="22"/>
          <w:szCs w:val="22"/>
          <w:lang w:val="fr-CA"/>
        </w:rPr>
        <w:t>Objectif 16, soit ils n</w:t>
      </w:r>
      <w:r w:rsidR="00CD6257">
        <w:rPr>
          <w:sz w:val="22"/>
          <w:szCs w:val="22"/>
          <w:lang w:val="fr-CA"/>
        </w:rPr>
        <w:t>’</w:t>
      </w:r>
      <w:r w:rsidRPr="00206E11">
        <w:rPr>
          <w:sz w:val="22"/>
          <w:szCs w:val="22"/>
          <w:lang w:val="fr-CA"/>
        </w:rPr>
        <w:t>abordent pas tous les éléments dudit objectif, tandis que 28 pour cent contiennent des objectifs nationaux semblables autant en portée qu</w:t>
      </w:r>
      <w:r w:rsidR="00CD6257">
        <w:rPr>
          <w:sz w:val="22"/>
          <w:szCs w:val="22"/>
          <w:lang w:val="fr-CA"/>
        </w:rPr>
        <w:t>’</w:t>
      </w:r>
      <w:r w:rsidRPr="00206E11">
        <w:rPr>
          <w:sz w:val="22"/>
          <w:szCs w:val="22"/>
          <w:lang w:val="fr-CA"/>
        </w:rPr>
        <w:t>en ambition à l</w:t>
      </w:r>
      <w:r w:rsidR="00CD6257">
        <w:rPr>
          <w:sz w:val="22"/>
          <w:szCs w:val="22"/>
          <w:lang w:val="fr-CA"/>
        </w:rPr>
        <w:t>’</w:t>
      </w:r>
      <w:r w:rsidRPr="00206E11">
        <w:rPr>
          <w:sz w:val="22"/>
          <w:szCs w:val="22"/>
          <w:lang w:val="fr-CA"/>
        </w:rPr>
        <w:t>objectif en question ou bien le dépassent (1 pour cent). De nombreux objectifs établis sont de nature générale et évoquent l</w:t>
      </w:r>
      <w:r w:rsidR="00CD6257">
        <w:rPr>
          <w:sz w:val="22"/>
          <w:szCs w:val="22"/>
          <w:lang w:val="fr-CA"/>
        </w:rPr>
        <w:t>’</w:t>
      </w:r>
      <w:r w:rsidRPr="00206E11">
        <w:rPr>
          <w:sz w:val="22"/>
          <w:szCs w:val="22"/>
          <w:lang w:val="fr-CA"/>
        </w:rPr>
        <w:t>accès et au partage des avantages (APA) de manière globale.</w:t>
      </w:r>
    </w:p>
    <w:p w:rsidR="000653D8" w:rsidRPr="00206E11" w:rsidRDefault="000653D8" w:rsidP="000653D8">
      <w:pPr>
        <w:pStyle w:val="ListParagraph"/>
        <w:numPr>
          <w:ilvl w:val="0"/>
          <w:numId w:val="22"/>
        </w:numPr>
        <w:autoSpaceDE w:val="0"/>
        <w:autoSpaceDN w:val="0"/>
        <w:adjustRightInd w:val="0"/>
        <w:spacing w:after="120"/>
        <w:ind w:left="0" w:firstLine="0"/>
        <w:contextualSpacing w:val="0"/>
        <w:jc w:val="both"/>
        <w:rPr>
          <w:color w:val="000000"/>
          <w:sz w:val="22"/>
          <w:szCs w:val="22"/>
          <w:lang w:val="fr-CA"/>
        </w:rPr>
      </w:pPr>
      <w:r w:rsidRPr="00206E11">
        <w:rPr>
          <w:sz w:val="22"/>
          <w:szCs w:val="22"/>
          <w:lang w:val="fr-CA"/>
        </w:rPr>
        <w:t>Le Programme de développement durable à l</w:t>
      </w:r>
      <w:r w:rsidR="00CD6257">
        <w:rPr>
          <w:sz w:val="22"/>
          <w:szCs w:val="22"/>
          <w:lang w:val="fr-CA"/>
        </w:rPr>
        <w:t>’</w:t>
      </w:r>
      <w:r w:rsidRPr="00206E11">
        <w:rPr>
          <w:sz w:val="22"/>
          <w:szCs w:val="22"/>
          <w:lang w:val="fr-CA"/>
        </w:rPr>
        <w:t>horizon 2030 comprend, au titre de l</w:t>
      </w:r>
      <w:r w:rsidR="00CD6257">
        <w:rPr>
          <w:sz w:val="22"/>
          <w:szCs w:val="22"/>
          <w:lang w:val="fr-CA"/>
        </w:rPr>
        <w:t>’</w:t>
      </w:r>
      <w:r w:rsidRPr="00206E11">
        <w:rPr>
          <w:sz w:val="22"/>
          <w:szCs w:val="22"/>
          <w:lang w:val="fr-CA"/>
        </w:rPr>
        <w:t>objectif de développement durable 15, un objectif abordant l</w:t>
      </w:r>
      <w:r w:rsidR="00CD6257">
        <w:rPr>
          <w:sz w:val="22"/>
          <w:szCs w:val="22"/>
          <w:lang w:val="fr-CA"/>
        </w:rPr>
        <w:t>’</w:t>
      </w:r>
      <w:r w:rsidRPr="00206E11">
        <w:rPr>
          <w:sz w:val="22"/>
          <w:szCs w:val="22"/>
          <w:lang w:val="fr-CA"/>
        </w:rPr>
        <w:t>accès et le partage des avantages, soit l</w:t>
      </w:r>
      <w:r w:rsidR="00CD6257">
        <w:rPr>
          <w:sz w:val="22"/>
          <w:szCs w:val="22"/>
          <w:lang w:val="fr-CA"/>
        </w:rPr>
        <w:t>’</w:t>
      </w:r>
      <w:r w:rsidRPr="00206E11">
        <w:rPr>
          <w:sz w:val="22"/>
          <w:szCs w:val="22"/>
          <w:lang w:val="fr-CA"/>
        </w:rPr>
        <w:t>objectif 15.6, qui se lit comme suit : « </w:t>
      </w:r>
      <w:r w:rsidRPr="00206E11">
        <w:rPr>
          <w:noProof/>
          <w:sz w:val="22"/>
          <w:szCs w:val="22"/>
          <w:lang w:val="fr-CA"/>
        </w:rPr>
        <w:t>Favoriser le partage juste et équitable des bénéfices découlant de l</w:t>
      </w:r>
      <w:r w:rsidR="00CD6257">
        <w:rPr>
          <w:noProof/>
          <w:sz w:val="22"/>
          <w:szCs w:val="22"/>
          <w:lang w:val="fr-CA"/>
        </w:rPr>
        <w:t>’</w:t>
      </w:r>
      <w:r w:rsidRPr="00206E11">
        <w:rPr>
          <w:noProof/>
          <w:sz w:val="22"/>
          <w:szCs w:val="22"/>
          <w:lang w:val="fr-CA"/>
        </w:rPr>
        <w:t>utilisation des ressources génétiques et promouvoir un accès approprié à celles</w:t>
      </w:r>
      <w:r w:rsidR="00CD6257">
        <w:rPr>
          <w:noProof/>
          <w:sz w:val="22"/>
          <w:szCs w:val="22"/>
          <w:lang w:val="fr-CA"/>
        </w:rPr>
        <w:noBreakHyphen/>
      </w:r>
      <w:r w:rsidRPr="00206E11">
        <w:rPr>
          <w:noProof/>
          <w:sz w:val="22"/>
          <w:szCs w:val="22"/>
          <w:lang w:val="fr-CA"/>
        </w:rPr>
        <w:t>ci, ainsi que cela a été décidé à l</w:t>
      </w:r>
      <w:r w:rsidR="00CD6257">
        <w:rPr>
          <w:noProof/>
          <w:sz w:val="22"/>
          <w:szCs w:val="22"/>
          <w:lang w:val="fr-CA"/>
        </w:rPr>
        <w:t>’</w:t>
      </w:r>
      <w:r w:rsidRPr="00206E11">
        <w:rPr>
          <w:noProof/>
          <w:sz w:val="22"/>
          <w:szCs w:val="22"/>
          <w:lang w:val="fr-CA"/>
        </w:rPr>
        <w:t>échelle internationale ». Le Secrétariat de la Convention sur la diversité biologique est le dépositaire de l</w:t>
      </w:r>
      <w:r w:rsidR="00CD6257">
        <w:rPr>
          <w:noProof/>
          <w:sz w:val="22"/>
          <w:szCs w:val="22"/>
          <w:lang w:val="fr-CA"/>
        </w:rPr>
        <w:t>’</w:t>
      </w:r>
      <w:r w:rsidRPr="00206E11">
        <w:rPr>
          <w:noProof/>
          <w:sz w:val="22"/>
          <w:szCs w:val="22"/>
          <w:lang w:val="fr-CA"/>
        </w:rPr>
        <w:t>indicateur associé (15.6.1) et collabore avec le Traité international sur les ressources phytogénétiques pour l</w:t>
      </w:r>
      <w:r w:rsidR="00CD6257">
        <w:rPr>
          <w:noProof/>
          <w:sz w:val="22"/>
          <w:szCs w:val="22"/>
          <w:lang w:val="fr-CA"/>
        </w:rPr>
        <w:t>’</w:t>
      </w:r>
      <w:r w:rsidRPr="00206E11">
        <w:rPr>
          <w:noProof/>
          <w:sz w:val="22"/>
          <w:szCs w:val="22"/>
          <w:lang w:val="fr-CA"/>
        </w:rPr>
        <w:t>alimentation et l</w:t>
      </w:r>
      <w:r w:rsidR="00CD6257">
        <w:rPr>
          <w:noProof/>
          <w:sz w:val="22"/>
          <w:szCs w:val="22"/>
          <w:lang w:val="fr-CA"/>
        </w:rPr>
        <w:t>’</w:t>
      </w:r>
      <w:r w:rsidRPr="00206E11">
        <w:rPr>
          <w:noProof/>
          <w:sz w:val="22"/>
          <w:szCs w:val="22"/>
          <w:lang w:val="fr-CA"/>
        </w:rPr>
        <w:t>agriculture pour fournir les données nécessaires au Département des affaires économiques et sociales (DESA) de l</w:t>
      </w:r>
      <w:r w:rsidR="00CD6257">
        <w:rPr>
          <w:noProof/>
          <w:sz w:val="22"/>
          <w:szCs w:val="22"/>
          <w:lang w:val="fr-CA"/>
        </w:rPr>
        <w:t>’</w:t>
      </w:r>
      <w:r w:rsidRPr="00206E11">
        <w:rPr>
          <w:noProof/>
          <w:sz w:val="22"/>
          <w:szCs w:val="22"/>
          <w:lang w:val="fr-CA"/>
        </w:rPr>
        <w:t>ONU.</w:t>
      </w:r>
      <w:r w:rsidRPr="00206E11">
        <w:rPr>
          <w:rStyle w:val="FootnoteReference"/>
          <w:sz w:val="22"/>
          <w:szCs w:val="22"/>
          <w:lang w:val="fr-CA"/>
        </w:rPr>
        <w:footnoteReference w:id="6"/>
      </w:r>
      <w:r w:rsidRPr="00206E11">
        <w:rPr>
          <w:sz w:val="22"/>
          <w:szCs w:val="22"/>
          <w:lang w:val="fr-CA"/>
        </w:rPr>
        <w:t xml:space="preserve"> L</w:t>
      </w:r>
      <w:r w:rsidR="00CD6257">
        <w:rPr>
          <w:sz w:val="22"/>
          <w:szCs w:val="22"/>
          <w:lang w:val="fr-CA"/>
        </w:rPr>
        <w:t>’</w:t>
      </w:r>
      <w:r w:rsidRPr="00206E11">
        <w:rPr>
          <w:sz w:val="22"/>
          <w:szCs w:val="22"/>
          <w:lang w:val="fr-CA"/>
        </w:rPr>
        <w:t>accès et le partage des avantages et le Protocole de Nagoya sont également importants pour la réalisation de nombreux autres objectifs de développement durable, dont l</w:t>
      </w:r>
      <w:r w:rsidR="00CD6257">
        <w:rPr>
          <w:sz w:val="22"/>
          <w:szCs w:val="22"/>
          <w:lang w:val="fr-CA"/>
        </w:rPr>
        <w:t>’</w:t>
      </w:r>
      <w:r w:rsidRPr="00206E11">
        <w:rPr>
          <w:sz w:val="22"/>
          <w:szCs w:val="22"/>
          <w:lang w:val="fr-CA"/>
        </w:rPr>
        <w:t>objectif 1 (« Pas de pauvreté »), l</w:t>
      </w:r>
      <w:r w:rsidR="00CD6257">
        <w:rPr>
          <w:sz w:val="22"/>
          <w:szCs w:val="22"/>
          <w:lang w:val="fr-CA"/>
        </w:rPr>
        <w:t>’</w:t>
      </w:r>
      <w:r w:rsidRPr="00206E11">
        <w:rPr>
          <w:sz w:val="22"/>
          <w:szCs w:val="22"/>
          <w:lang w:val="fr-CA"/>
        </w:rPr>
        <w:t xml:space="preserve">objectif 2 (« Faim </w:t>
      </w:r>
      <w:r w:rsidR="00CD6257">
        <w:rPr>
          <w:sz w:val="22"/>
          <w:szCs w:val="22"/>
          <w:lang w:val="fr-CA"/>
        </w:rPr>
        <w:t>‘</w:t>
      </w:r>
      <w:r w:rsidRPr="00206E11">
        <w:rPr>
          <w:sz w:val="22"/>
          <w:szCs w:val="22"/>
          <w:lang w:val="fr-CA"/>
        </w:rPr>
        <w:t>zéro</w:t>
      </w:r>
      <w:r w:rsidR="00CD6257">
        <w:rPr>
          <w:sz w:val="22"/>
          <w:szCs w:val="22"/>
          <w:lang w:val="fr-CA"/>
        </w:rPr>
        <w:t>’</w:t>
      </w:r>
      <w:r w:rsidRPr="00206E11">
        <w:rPr>
          <w:sz w:val="22"/>
          <w:szCs w:val="22"/>
          <w:lang w:val="fr-CA"/>
        </w:rPr>
        <w:t> »), l</w:t>
      </w:r>
      <w:r w:rsidR="00CD6257">
        <w:rPr>
          <w:sz w:val="22"/>
          <w:szCs w:val="22"/>
          <w:lang w:val="fr-CA"/>
        </w:rPr>
        <w:t>’</w:t>
      </w:r>
      <w:r w:rsidRPr="00206E11">
        <w:rPr>
          <w:sz w:val="22"/>
          <w:szCs w:val="22"/>
          <w:lang w:val="fr-CA"/>
        </w:rPr>
        <w:t xml:space="preserve">objectif 8 (« Travail </w:t>
      </w:r>
      <w:r w:rsidRPr="00206E11">
        <w:rPr>
          <w:sz w:val="22"/>
          <w:szCs w:val="22"/>
          <w:lang w:val="fr-CA"/>
        </w:rPr>
        <w:lastRenderedPageBreak/>
        <w:t>décent et croissance économique »), l</w:t>
      </w:r>
      <w:r w:rsidR="00CD6257">
        <w:rPr>
          <w:sz w:val="22"/>
          <w:szCs w:val="22"/>
          <w:lang w:val="fr-CA"/>
        </w:rPr>
        <w:t>’</w:t>
      </w:r>
      <w:r w:rsidRPr="00206E11">
        <w:rPr>
          <w:sz w:val="22"/>
          <w:szCs w:val="22"/>
          <w:lang w:val="fr-CA"/>
        </w:rPr>
        <w:t>objectif 9 (« Industrie, innovation et infrastructure »), et les objectifs 14 et 15 (« Vie aquatique » et « Vie terrestre »).</w:t>
      </w:r>
    </w:p>
    <w:p w:rsidR="00181CCD" w:rsidRPr="00206E11" w:rsidRDefault="000653D8" w:rsidP="000653D8">
      <w:pPr>
        <w:pStyle w:val="ListParagraph"/>
        <w:numPr>
          <w:ilvl w:val="0"/>
          <w:numId w:val="22"/>
        </w:numPr>
        <w:autoSpaceDE w:val="0"/>
        <w:autoSpaceDN w:val="0"/>
        <w:adjustRightInd w:val="0"/>
        <w:spacing w:after="120"/>
        <w:ind w:left="0" w:firstLine="0"/>
        <w:contextualSpacing w:val="0"/>
        <w:jc w:val="both"/>
        <w:rPr>
          <w:color w:val="000000"/>
          <w:sz w:val="22"/>
          <w:szCs w:val="22"/>
          <w:lang w:val="fr-CA"/>
        </w:rPr>
      </w:pPr>
      <w:r w:rsidRPr="00206E11">
        <w:rPr>
          <w:snapToGrid w:val="0"/>
          <w:kern w:val="22"/>
          <w:sz w:val="22"/>
          <w:szCs w:val="22"/>
          <w:lang w:val="fr-CA"/>
        </w:rPr>
        <w:t>Les questions relatives à l</w:t>
      </w:r>
      <w:r w:rsidR="00CD6257">
        <w:rPr>
          <w:snapToGrid w:val="0"/>
          <w:kern w:val="22"/>
          <w:sz w:val="22"/>
          <w:szCs w:val="22"/>
          <w:lang w:val="fr-CA"/>
        </w:rPr>
        <w:t>’</w:t>
      </w:r>
      <w:r w:rsidRPr="00206E11">
        <w:rPr>
          <w:snapToGrid w:val="0"/>
          <w:kern w:val="22"/>
          <w:sz w:val="22"/>
          <w:szCs w:val="22"/>
          <w:lang w:val="fr-CA"/>
        </w:rPr>
        <w:t>APA et au Protocole de Nagoya sont abordées par un certain nombre d</w:t>
      </w:r>
      <w:r w:rsidR="00CD6257">
        <w:rPr>
          <w:snapToGrid w:val="0"/>
          <w:kern w:val="22"/>
          <w:sz w:val="22"/>
          <w:szCs w:val="22"/>
          <w:lang w:val="fr-CA"/>
        </w:rPr>
        <w:t>’</w:t>
      </w:r>
      <w:r w:rsidRPr="00206E11">
        <w:rPr>
          <w:snapToGrid w:val="0"/>
          <w:kern w:val="22"/>
          <w:sz w:val="22"/>
          <w:szCs w:val="22"/>
          <w:lang w:val="fr-CA"/>
        </w:rPr>
        <w:t>instances internationales, outre la Convention et le Protocole de Nagoya. Le Secrétariat collabore avec des organisations intergouvernementales œuvrant dans ce domaine, en vue de suivre l</w:t>
      </w:r>
      <w:r w:rsidR="00CD6257">
        <w:rPr>
          <w:snapToGrid w:val="0"/>
          <w:kern w:val="22"/>
          <w:sz w:val="22"/>
          <w:szCs w:val="22"/>
          <w:lang w:val="fr-CA"/>
        </w:rPr>
        <w:t>’</w:t>
      </w:r>
      <w:r w:rsidRPr="00206E11">
        <w:rPr>
          <w:snapToGrid w:val="0"/>
          <w:kern w:val="22"/>
          <w:sz w:val="22"/>
          <w:szCs w:val="22"/>
          <w:lang w:val="fr-CA"/>
        </w:rPr>
        <w:t>évolution de ces questions dans d</w:t>
      </w:r>
      <w:r w:rsidR="00CD6257">
        <w:rPr>
          <w:snapToGrid w:val="0"/>
          <w:kern w:val="22"/>
          <w:sz w:val="22"/>
          <w:szCs w:val="22"/>
          <w:lang w:val="fr-CA"/>
        </w:rPr>
        <w:t>’</w:t>
      </w:r>
      <w:r w:rsidRPr="00206E11">
        <w:rPr>
          <w:snapToGrid w:val="0"/>
          <w:kern w:val="22"/>
          <w:sz w:val="22"/>
          <w:szCs w:val="22"/>
          <w:lang w:val="fr-CA"/>
        </w:rPr>
        <w:t>autres instances internationales et de fournir des informations au sujet des développements concernant le Protocole de Nagoya. Parmi ces organisations, nombreuses d</w:t>
      </w:r>
      <w:r w:rsidR="00CD6257">
        <w:rPr>
          <w:snapToGrid w:val="0"/>
          <w:kern w:val="22"/>
          <w:sz w:val="22"/>
          <w:szCs w:val="22"/>
          <w:lang w:val="fr-CA"/>
        </w:rPr>
        <w:t>’</w:t>
      </w:r>
      <w:r w:rsidRPr="00206E11">
        <w:rPr>
          <w:snapToGrid w:val="0"/>
          <w:kern w:val="22"/>
          <w:sz w:val="22"/>
          <w:szCs w:val="22"/>
          <w:lang w:val="fr-CA"/>
        </w:rPr>
        <w:t>entre elles participent également à des processus au titre du Protocole de Nagoya. La coopération avec d</w:t>
      </w:r>
      <w:r w:rsidR="00CD6257">
        <w:rPr>
          <w:snapToGrid w:val="0"/>
          <w:kern w:val="22"/>
          <w:sz w:val="22"/>
          <w:szCs w:val="22"/>
          <w:lang w:val="fr-CA"/>
        </w:rPr>
        <w:t>’</w:t>
      </w:r>
      <w:r w:rsidRPr="00206E11">
        <w:rPr>
          <w:snapToGrid w:val="0"/>
          <w:kern w:val="22"/>
          <w:sz w:val="22"/>
          <w:szCs w:val="22"/>
          <w:lang w:val="fr-CA"/>
        </w:rPr>
        <w:t>autres conventions, organisations et initiatives internationales est davantage précisée dans le document CBD/NP/MOP/4/8.</w:t>
      </w:r>
    </w:p>
    <w:p w:rsidR="00254944" w:rsidRPr="00206E11" w:rsidRDefault="001C6EBA" w:rsidP="00254944">
      <w:pPr>
        <w:pStyle w:val="Heading2"/>
        <w:rPr>
          <w:sz w:val="22"/>
          <w:szCs w:val="22"/>
          <w:lang w:val="fr-CA"/>
        </w:rPr>
      </w:pPr>
      <w:r w:rsidRPr="00206E11">
        <w:rPr>
          <w:sz w:val="22"/>
          <w:szCs w:val="22"/>
          <w:lang w:val="fr-CA"/>
        </w:rPr>
        <w:t>Principales conclusions de la première évaluation et examen de l</w:t>
      </w:r>
      <w:r w:rsidR="00CD6257">
        <w:rPr>
          <w:sz w:val="22"/>
          <w:szCs w:val="22"/>
          <w:lang w:val="fr-CA"/>
        </w:rPr>
        <w:t>’</w:t>
      </w:r>
      <w:r w:rsidRPr="00206E11">
        <w:rPr>
          <w:sz w:val="22"/>
          <w:szCs w:val="22"/>
          <w:lang w:val="fr-CA"/>
        </w:rPr>
        <w:t>efficacité du Protocole</w:t>
      </w:r>
    </w:p>
    <w:p w:rsidR="001C6EBA" w:rsidRPr="00206E11" w:rsidRDefault="001C6EBA" w:rsidP="001C6EBA">
      <w:pPr>
        <w:pStyle w:val="ListParagraph"/>
        <w:numPr>
          <w:ilvl w:val="0"/>
          <w:numId w:val="22"/>
        </w:numPr>
        <w:autoSpaceDE w:val="0"/>
        <w:autoSpaceDN w:val="0"/>
        <w:adjustRightInd w:val="0"/>
        <w:spacing w:after="120"/>
        <w:ind w:left="0" w:firstLine="0"/>
        <w:contextualSpacing w:val="0"/>
        <w:jc w:val="both"/>
        <w:rPr>
          <w:rFonts w:eastAsiaTheme="minorEastAsia"/>
          <w:color w:val="000000" w:themeColor="text1"/>
          <w:sz w:val="22"/>
          <w:szCs w:val="22"/>
          <w:lang w:val="fr-CA"/>
        </w:rPr>
      </w:pPr>
      <w:r w:rsidRPr="00206E11">
        <w:rPr>
          <w:rFonts w:eastAsiaTheme="minorEastAsia"/>
          <w:color w:val="000000" w:themeColor="text1"/>
          <w:sz w:val="22"/>
          <w:szCs w:val="22"/>
          <w:lang w:val="fr-CA"/>
        </w:rPr>
        <w:t xml:space="preserve">À sa troisième réunion, la Conférence des Parties siégeant en tant que Réunion des Parties au Protocole de Nagoya a adopté la décision </w:t>
      </w:r>
      <w:hyperlink r:id="rId18" w:history="1">
        <w:r w:rsidRPr="00206E11">
          <w:rPr>
            <w:rStyle w:val="Hyperlink"/>
            <w:rFonts w:eastAsiaTheme="minorEastAsia"/>
            <w:sz w:val="22"/>
            <w:szCs w:val="22"/>
            <w:lang w:val="fr-CA"/>
          </w:rPr>
          <w:t>NP</w:t>
        </w:r>
        <w:r w:rsidR="00CD6257">
          <w:rPr>
            <w:rStyle w:val="Hyperlink"/>
            <w:rFonts w:eastAsiaTheme="minorEastAsia"/>
            <w:sz w:val="22"/>
            <w:szCs w:val="22"/>
            <w:lang w:val="fr-CA"/>
          </w:rPr>
          <w:noBreakHyphen/>
        </w:r>
        <w:r w:rsidRPr="00206E11">
          <w:rPr>
            <w:rStyle w:val="Hyperlink"/>
            <w:rFonts w:eastAsiaTheme="minorEastAsia"/>
            <w:sz w:val="22"/>
            <w:szCs w:val="22"/>
            <w:lang w:val="fr-CA"/>
          </w:rPr>
          <w:t>3/1</w:t>
        </w:r>
      </w:hyperlink>
      <w:r w:rsidRPr="00206E11">
        <w:rPr>
          <w:rFonts w:eastAsiaTheme="minorEastAsia"/>
          <w:color w:val="000000" w:themeColor="text1"/>
          <w:sz w:val="22"/>
          <w:szCs w:val="22"/>
          <w:lang w:val="fr-CA"/>
        </w:rPr>
        <w:t>, dans laquelle figurent les principales conclusions de la première évaluation et examen de l</w:t>
      </w:r>
      <w:r w:rsidR="00CD6257">
        <w:rPr>
          <w:rFonts w:eastAsiaTheme="minorEastAsia"/>
          <w:color w:val="000000" w:themeColor="text1"/>
          <w:sz w:val="22"/>
          <w:szCs w:val="22"/>
          <w:lang w:val="fr-CA"/>
        </w:rPr>
        <w:t>’</w:t>
      </w:r>
      <w:r w:rsidRPr="00206E11">
        <w:rPr>
          <w:rFonts w:eastAsiaTheme="minorEastAsia"/>
          <w:color w:val="000000" w:themeColor="text1"/>
          <w:sz w:val="22"/>
          <w:szCs w:val="22"/>
          <w:lang w:val="fr-CA"/>
        </w:rPr>
        <w:t>efficacité du Protocole. Cette première évaluation, menée à bien quatre ans après l</w:t>
      </w:r>
      <w:r w:rsidR="00CD6257">
        <w:rPr>
          <w:rFonts w:eastAsiaTheme="minorEastAsia"/>
          <w:color w:val="000000" w:themeColor="text1"/>
          <w:sz w:val="22"/>
          <w:szCs w:val="22"/>
          <w:lang w:val="fr-CA"/>
        </w:rPr>
        <w:t>’</w:t>
      </w:r>
      <w:r w:rsidRPr="00206E11">
        <w:rPr>
          <w:rFonts w:eastAsiaTheme="minorEastAsia"/>
          <w:color w:val="000000" w:themeColor="text1"/>
          <w:sz w:val="22"/>
          <w:szCs w:val="22"/>
          <w:lang w:val="fr-CA"/>
        </w:rPr>
        <w:t>entrée en vigueur du Protocole, visait à évaluer l</w:t>
      </w:r>
      <w:r w:rsidR="00CD6257">
        <w:rPr>
          <w:rFonts w:eastAsiaTheme="minorEastAsia"/>
          <w:color w:val="000000" w:themeColor="text1"/>
          <w:sz w:val="22"/>
          <w:szCs w:val="22"/>
          <w:lang w:val="fr-CA"/>
        </w:rPr>
        <w:t>’</w:t>
      </w:r>
      <w:r w:rsidRPr="00206E11">
        <w:rPr>
          <w:rFonts w:eastAsiaTheme="minorEastAsia"/>
          <w:color w:val="000000" w:themeColor="text1"/>
          <w:sz w:val="22"/>
          <w:szCs w:val="22"/>
          <w:lang w:val="fr-CA"/>
        </w:rPr>
        <w:t>état de la mise en œuvre par les Parties. La décision reconnaît qu</w:t>
      </w:r>
      <w:r w:rsidR="00CD6257">
        <w:rPr>
          <w:rFonts w:eastAsiaTheme="minorEastAsia"/>
          <w:color w:val="000000" w:themeColor="text1"/>
          <w:sz w:val="22"/>
          <w:szCs w:val="22"/>
          <w:lang w:val="fr-CA"/>
        </w:rPr>
        <w:t>’</w:t>
      </w:r>
      <w:r w:rsidRPr="00206E11">
        <w:rPr>
          <w:rFonts w:eastAsiaTheme="minorEastAsia"/>
          <w:color w:val="000000" w:themeColor="text1"/>
          <w:sz w:val="22"/>
          <w:szCs w:val="22"/>
          <w:lang w:val="fr-CA"/>
        </w:rPr>
        <w:t>il convient de travailler plus avant, en priorité :</w:t>
      </w:r>
    </w:p>
    <w:p w:rsidR="001C6EBA" w:rsidRPr="00206E11" w:rsidRDefault="001C6EBA" w:rsidP="001C6EBA">
      <w:pPr>
        <w:pStyle w:val="ListParagraph"/>
        <w:numPr>
          <w:ilvl w:val="1"/>
          <w:numId w:val="22"/>
        </w:numPr>
        <w:autoSpaceDE w:val="0"/>
        <w:autoSpaceDN w:val="0"/>
        <w:adjustRightInd w:val="0"/>
        <w:spacing w:after="120"/>
        <w:ind w:left="0" w:firstLine="709"/>
        <w:contextualSpacing w:val="0"/>
        <w:jc w:val="both"/>
        <w:rPr>
          <w:rFonts w:eastAsiaTheme="minorEastAsia"/>
          <w:color w:val="000000" w:themeColor="text1"/>
          <w:sz w:val="22"/>
          <w:szCs w:val="22"/>
          <w:lang w:val="fr-CA"/>
        </w:rPr>
      </w:pPr>
      <w:r w:rsidRPr="00206E11">
        <w:rPr>
          <w:rFonts w:eastAsiaTheme="minorEastAsia"/>
          <w:color w:val="000000" w:themeColor="text1"/>
          <w:sz w:val="22"/>
          <w:szCs w:val="22"/>
          <w:lang w:val="fr-CA"/>
        </w:rPr>
        <w:t>Pour élaborer une législation ou des exigences réglementaires qui assurent la sécurité juridique, la clarté et la transparence, en tenant compte des considérations particulières conformément à l</w:t>
      </w:r>
      <w:r w:rsidR="00CD6257">
        <w:rPr>
          <w:rFonts w:eastAsiaTheme="minorEastAsia"/>
          <w:color w:val="000000" w:themeColor="text1"/>
          <w:sz w:val="22"/>
          <w:szCs w:val="22"/>
          <w:lang w:val="fr-CA"/>
        </w:rPr>
        <w:t>’</w:t>
      </w:r>
      <w:r w:rsidRPr="00206E11">
        <w:rPr>
          <w:rFonts w:eastAsiaTheme="minorEastAsia"/>
          <w:color w:val="000000" w:themeColor="text1"/>
          <w:sz w:val="22"/>
          <w:szCs w:val="22"/>
          <w:lang w:val="fr-CA"/>
        </w:rPr>
        <w:t>article 8 du Protocole et de la nécessité de garantir que le Protocole de Nagoya et les autres instruments internationaux pertinents sont appliqués dans le soutien mutuel;</w:t>
      </w:r>
    </w:p>
    <w:p w:rsidR="001C6EBA" w:rsidRPr="00206E11" w:rsidRDefault="001C6EBA" w:rsidP="001C6EBA">
      <w:pPr>
        <w:pStyle w:val="ListParagraph"/>
        <w:numPr>
          <w:ilvl w:val="1"/>
          <w:numId w:val="22"/>
        </w:numPr>
        <w:autoSpaceDE w:val="0"/>
        <w:autoSpaceDN w:val="0"/>
        <w:adjustRightInd w:val="0"/>
        <w:spacing w:after="120"/>
        <w:ind w:left="0" w:firstLine="709"/>
        <w:contextualSpacing w:val="0"/>
        <w:jc w:val="both"/>
        <w:rPr>
          <w:rFonts w:eastAsiaTheme="minorEastAsia"/>
          <w:color w:val="000000" w:themeColor="text1"/>
          <w:sz w:val="22"/>
          <w:szCs w:val="22"/>
          <w:lang w:val="fr-CA"/>
        </w:rPr>
      </w:pPr>
      <w:r w:rsidRPr="00206E11">
        <w:rPr>
          <w:rFonts w:eastAsiaTheme="minorEastAsia"/>
          <w:color w:val="000000" w:themeColor="text1"/>
          <w:sz w:val="22"/>
          <w:szCs w:val="22"/>
          <w:lang w:val="fr-CA"/>
        </w:rPr>
        <w:t>Pour renforcer la mise en œuvre par les Parties des dispositions relatives au respect des lois nationales et des exigences réglementaires sur l</w:t>
      </w:r>
      <w:r w:rsidR="00CD6257">
        <w:rPr>
          <w:rFonts w:eastAsiaTheme="minorEastAsia"/>
          <w:color w:val="000000" w:themeColor="text1"/>
          <w:sz w:val="22"/>
          <w:szCs w:val="22"/>
          <w:lang w:val="fr-CA"/>
        </w:rPr>
        <w:t>’</w:t>
      </w:r>
      <w:r w:rsidRPr="00206E11">
        <w:rPr>
          <w:rFonts w:eastAsiaTheme="minorEastAsia"/>
          <w:color w:val="000000" w:themeColor="text1"/>
          <w:sz w:val="22"/>
          <w:szCs w:val="22"/>
          <w:lang w:val="fr-CA"/>
        </w:rPr>
        <w:t>accès et le partage des avantages, la surveillance de l</w:t>
      </w:r>
      <w:r w:rsidR="00CD6257">
        <w:rPr>
          <w:rFonts w:eastAsiaTheme="minorEastAsia"/>
          <w:color w:val="000000" w:themeColor="text1"/>
          <w:sz w:val="22"/>
          <w:szCs w:val="22"/>
          <w:lang w:val="fr-CA"/>
        </w:rPr>
        <w:t>’</w:t>
      </w:r>
      <w:r w:rsidRPr="00206E11">
        <w:rPr>
          <w:rFonts w:eastAsiaTheme="minorEastAsia"/>
          <w:color w:val="000000" w:themeColor="text1"/>
          <w:sz w:val="22"/>
          <w:szCs w:val="22"/>
          <w:lang w:val="fr-CA"/>
        </w:rPr>
        <w:t>utilisation des ressources génétiques, ainsi que les dispositions relatives aux peuples autochtones et aux communautés locales;</w:t>
      </w:r>
    </w:p>
    <w:p w:rsidR="001C6EBA" w:rsidRPr="00206E11" w:rsidRDefault="001C6EBA" w:rsidP="001C6EBA">
      <w:pPr>
        <w:pStyle w:val="ListParagraph"/>
        <w:numPr>
          <w:ilvl w:val="1"/>
          <w:numId w:val="22"/>
        </w:numPr>
        <w:autoSpaceDE w:val="0"/>
        <w:autoSpaceDN w:val="0"/>
        <w:adjustRightInd w:val="0"/>
        <w:spacing w:after="120"/>
        <w:ind w:left="0" w:firstLine="709"/>
        <w:contextualSpacing w:val="0"/>
        <w:jc w:val="both"/>
        <w:rPr>
          <w:rFonts w:eastAsiaTheme="minorEastAsia"/>
          <w:color w:val="000000" w:themeColor="text1"/>
          <w:sz w:val="22"/>
          <w:szCs w:val="22"/>
          <w:lang w:val="fr-CA"/>
        </w:rPr>
      </w:pPr>
      <w:r w:rsidRPr="00206E11">
        <w:rPr>
          <w:rFonts w:eastAsiaTheme="minorEastAsia"/>
          <w:color w:val="000000" w:themeColor="text1"/>
          <w:sz w:val="22"/>
          <w:szCs w:val="22"/>
          <w:lang w:val="fr-CA"/>
        </w:rPr>
        <w:t>Pour soutenir la participation pleine et effective des peuples autochtones et des communautés locales à l</w:t>
      </w:r>
      <w:r w:rsidR="00CD6257">
        <w:rPr>
          <w:rFonts w:eastAsiaTheme="minorEastAsia"/>
          <w:color w:val="000000" w:themeColor="text1"/>
          <w:sz w:val="22"/>
          <w:szCs w:val="22"/>
          <w:lang w:val="fr-CA"/>
        </w:rPr>
        <w:t>’</w:t>
      </w:r>
      <w:r w:rsidRPr="00206E11">
        <w:rPr>
          <w:rFonts w:eastAsiaTheme="minorEastAsia"/>
          <w:color w:val="000000" w:themeColor="text1"/>
          <w:sz w:val="22"/>
          <w:szCs w:val="22"/>
          <w:lang w:val="fr-CA"/>
        </w:rPr>
        <w:t>application du Protocole;</w:t>
      </w:r>
    </w:p>
    <w:p w:rsidR="00254944" w:rsidRPr="00206E11" w:rsidRDefault="001C6EBA" w:rsidP="001C6EBA">
      <w:pPr>
        <w:pStyle w:val="ListParagraph"/>
        <w:numPr>
          <w:ilvl w:val="1"/>
          <w:numId w:val="22"/>
        </w:numPr>
        <w:autoSpaceDE w:val="0"/>
        <w:autoSpaceDN w:val="0"/>
        <w:adjustRightInd w:val="0"/>
        <w:spacing w:after="120"/>
        <w:ind w:left="0" w:firstLine="709"/>
        <w:contextualSpacing w:val="0"/>
        <w:jc w:val="both"/>
        <w:rPr>
          <w:rFonts w:eastAsiaTheme="minorEastAsia"/>
          <w:color w:val="000000"/>
          <w:sz w:val="22"/>
          <w:szCs w:val="22"/>
          <w:lang w:val="fr-CA"/>
        </w:rPr>
      </w:pPr>
      <w:r w:rsidRPr="00206E11">
        <w:rPr>
          <w:rFonts w:eastAsiaTheme="minorEastAsia"/>
          <w:color w:val="000000" w:themeColor="text1"/>
          <w:sz w:val="22"/>
          <w:szCs w:val="22"/>
          <w:lang w:val="fr-CA"/>
        </w:rPr>
        <w:t>Pour sensibiliser les parties prenantes concernées et encourager leur participation à l</w:t>
      </w:r>
      <w:r w:rsidR="00CD6257">
        <w:rPr>
          <w:rFonts w:eastAsiaTheme="minorEastAsia"/>
          <w:color w:val="000000" w:themeColor="text1"/>
          <w:sz w:val="22"/>
          <w:szCs w:val="22"/>
          <w:lang w:val="fr-CA"/>
        </w:rPr>
        <w:t>’</w:t>
      </w:r>
      <w:r w:rsidRPr="00206E11">
        <w:rPr>
          <w:rFonts w:eastAsiaTheme="minorEastAsia"/>
          <w:color w:val="000000" w:themeColor="text1"/>
          <w:sz w:val="22"/>
          <w:szCs w:val="22"/>
          <w:lang w:val="fr-CA"/>
        </w:rPr>
        <w:t>application du Protocole.</w:t>
      </w:r>
      <w:r w:rsidRPr="00206E11">
        <w:rPr>
          <w:rFonts w:eastAsiaTheme="minorEastAsia"/>
          <w:color w:val="000000" w:themeColor="text1"/>
          <w:vertAlign w:val="superscript"/>
          <w:lang w:val="fr-CA"/>
        </w:rPr>
        <w:footnoteReference w:id="7"/>
      </w:r>
    </w:p>
    <w:p w:rsidR="00254944" w:rsidRPr="00206E11" w:rsidRDefault="001C6EBA" w:rsidP="003C752B">
      <w:pPr>
        <w:pStyle w:val="ListParagraph"/>
        <w:numPr>
          <w:ilvl w:val="0"/>
          <w:numId w:val="22"/>
        </w:numPr>
        <w:autoSpaceDE w:val="0"/>
        <w:autoSpaceDN w:val="0"/>
        <w:adjustRightInd w:val="0"/>
        <w:spacing w:after="120"/>
        <w:ind w:left="0" w:firstLine="0"/>
        <w:contextualSpacing w:val="0"/>
        <w:jc w:val="both"/>
        <w:rPr>
          <w:kern w:val="22"/>
          <w:sz w:val="22"/>
          <w:szCs w:val="22"/>
          <w:lang w:val="fr-CA"/>
        </w:rPr>
      </w:pPr>
      <w:r w:rsidRPr="00206E11">
        <w:rPr>
          <w:kern w:val="22"/>
          <w:sz w:val="22"/>
          <w:szCs w:val="22"/>
          <w:lang w:val="fr-CA"/>
        </w:rPr>
        <w:t>La décision NP</w:t>
      </w:r>
      <w:r w:rsidR="00CD6257">
        <w:rPr>
          <w:kern w:val="22"/>
          <w:sz w:val="22"/>
          <w:szCs w:val="22"/>
          <w:lang w:val="fr-CA"/>
        </w:rPr>
        <w:noBreakHyphen/>
      </w:r>
      <w:r w:rsidRPr="00206E11">
        <w:rPr>
          <w:kern w:val="22"/>
          <w:sz w:val="22"/>
          <w:szCs w:val="22"/>
          <w:lang w:val="fr-CA"/>
        </w:rPr>
        <w:t>3/1 encourage également les Parties à intensifier leurs efforts pour créer et renforcer les capacités pour la mise en œuvre du Protocole</w:t>
      </w:r>
      <w:r w:rsidRPr="00206E11">
        <w:rPr>
          <w:rFonts w:eastAsiaTheme="minorEastAsia"/>
          <w:color w:val="000000" w:themeColor="text1"/>
          <w:sz w:val="22"/>
          <w:szCs w:val="22"/>
          <w:lang w:val="fr-CA"/>
        </w:rPr>
        <w:t>, ainsi qu</w:t>
      </w:r>
      <w:r w:rsidR="00CD6257">
        <w:rPr>
          <w:rFonts w:eastAsiaTheme="minorEastAsia"/>
          <w:color w:val="000000" w:themeColor="text1"/>
          <w:sz w:val="22"/>
          <w:szCs w:val="22"/>
          <w:lang w:val="fr-CA"/>
        </w:rPr>
        <w:t>’</w:t>
      </w:r>
      <w:r w:rsidRPr="00206E11">
        <w:rPr>
          <w:rFonts w:eastAsiaTheme="minorEastAsia"/>
          <w:color w:val="000000" w:themeColor="text1"/>
          <w:sz w:val="22"/>
          <w:szCs w:val="22"/>
          <w:lang w:val="fr-CA"/>
        </w:rPr>
        <w:t>à envisager des approches régionales visant à soutenir l</w:t>
      </w:r>
      <w:r w:rsidR="00CD6257">
        <w:rPr>
          <w:rFonts w:eastAsiaTheme="minorEastAsia"/>
          <w:color w:val="000000" w:themeColor="text1"/>
          <w:sz w:val="22"/>
          <w:szCs w:val="22"/>
          <w:lang w:val="fr-CA"/>
        </w:rPr>
        <w:t>’</w:t>
      </w:r>
      <w:r w:rsidRPr="00206E11">
        <w:rPr>
          <w:rFonts w:eastAsiaTheme="minorEastAsia"/>
          <w:color w:val="000000" w:themeColor="text1"/>
          <w:sz w:val="22"/>
          <w:szCs w:val="22"/>
          <w:lang w:val="fr-CA"/>
        </w:rPr>
        <w:t>application harmonisée du Protocole.</w:t>
      </w:r>
    </w:p>
    <w:p w:rsidR="00F17166" w:rsidRPr="00206E11" w:rsidRDefault="001C6EBA" w:rsidP="003C752B">
      <w:pPr>
        <w:pStyle w:val="Heading1"/>
        <w:ind w:left="1440" w:hanging="720"/>
        <w:jc w:val="left"/>
        <w:rPr>
          <w:rFonts w:ascii="Times New Roman Bold" w:hAnsi="Times New Roman Bold"/>
          <w:sz w:val="22"/>
          <w:szCs w:val="22"/>
          <w:lang w:val="fr-CA"/>
        </w:rPr>
      </w:pPr>
      <w:r w:rsidRPr="00206E11">
        <w:rPr>
          <w:rFonts w:ascii="Times New Roman Bold" w:hAnsi="Times New Roman Bold"/>
          <w:sz w:val="22"/>
          <w:szCs w:val="22"/>
          <w:lang w:val="fr-CA"/>
        </w:rPr>
        <w:t>rapport faisant le point sur l</w:t>
      </w:r>
      <w:r w:rsidR="00CD6257">
        <w:rPr>
          <w:rFonts w:ascii="Times New Roman Bold" w:hAnsi="Times New Roman Bold"/>
          <w:sz w:val="22"/>
          <w:szCs w:val="22"/>
          <w:lang w:val="fr-CA"/>
        </w:rPr>
        <w:t>’</w:t>
      </w:r>
      <w:r w:rsidRPr="00206E11">
        <w:rPr>
          <w:rFonts w:ascii="Times New Roman Bold" w:hAnsi="Times New Roman Bold"/>
          <w:sz w:val="22"/>
          <w:szCs w:val="22"/>
          <w:lang w:val="fr-CA"/>
        </w:rPr>
        <w:t>état de la mise en œuvre du Protocole de Nagoya</w:t>
      </w:r>
    </w:p>
    <w:p w:rsidR="00F60FED" w:rsidRPr="00206E11" w:rsidRDefault="001C6EBA" w:rsidP="003C752B">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fr-CA"/>
        </w:rPr>
      </w:pPr>
      <w:r w:rsidRPr="00206E11">
        <w:rPr>
          <w:sz w:val="22"/>
          <w:szCs w:val="22"/>
          <w:lang w:val="fr-CA"/>
        </w:rPr>
        <w:t>Au 1</w:t>
      </w:r>
      <w:r w:rsidRPr="00206E11">
        <w:rPr>
          <w:sz w:val="22"/>
          <w:szCs w:val="22"/>
          <w:vertAlign w:val="superscript"/>
          <w:lang w:val="fr-CA"/>
        </w:rPr>
        <w:t>er</w:t>
      </w:r>
      <w:r w:rsidRPr="00206E11">
        <w:rPr>
          <w:sz w:val="22"/>
          <w:szCs w:val="22"/>
          <w:lang w:val="fr-CA"/>
        </w:rPr>
        <w:t> mai 2022, au total 137 Parties à la Convention sur la diversité biologique avaient accepté, ratifié ou adhéré au Protocole de Nagoya. Cela représente un ajout de 32 pays par rapport au point de référence de février 2018.</w:t>
      </w:r>
      <w:r w:rsidRPr="00206E11">
        <w:rPr>
          <w:rStyle w:val="FootnoteReference"/>
          <w:rFonts w:eastAsiaTheme="minorEastAsia"/>
          <w:color w:val="000000"/>
          <w:sz w:val="22"/>
          <w:szCs w:val="22"/>
          <w:lang w:val="fr-CA"/>
        </w:rPr>
        <w:footnoteReference w:id="8"/>
      </w:r>
      <w:r w:rsidRPr="00206E11">
        <w:rPr>
          <w:rFonts w:eastAsiaTheme="minorEastAsia"/>
          <w:color w:val="000000"/>
          <w:sz w:val="22"/>
          <w:szCs w:val="22"/>
          <w:lang w:val="fr-CA"/>
        </w:rPr>
        <w:t xml:space="preserve"> Malgré les défis et les retards causés par la pandémie de la maladie du coronavirus (COVID</w:t>
      </w:r>
      <w:r w:rsidR="00CD6257">
        <w:rPr>
          <w:rFonts w:eastAsiaTheme="minorEastAsia"/>
          <w:color w:val="000000"/>
          <w:sz w:val="22"/>
          <w:szCs w:val="22"/>
          <w:lang w:val="fr-CA"/>
        </w:rPr>
        <w:noBreakHyphen/>
      </w:r>
      <w:r w:rsidRPr="00206E11">
        <w:rPr>
          <w:rFonts w:eastAsiaTheme="minorEastAsia"/>
          <w:color w:val="000000"/>
          <w:sz w:val="22"/>
          <w:szCs w:val="22"/>
          <w:lang w:val="fr-CA"/>
        </w:rPr>
        <w:t>19), les Parties au Protocole ont continué de progresser dans la mise en œuvre de dispositions clés, comme indiqué dans les paragraphes suivants</w:t>
      </w:r>
      <w:r w:rsidR="008D73ED" w:rsidRPr="00206E11">
        <w:rPr>
          <w:rFonts w:eastAsiaTheme="minorEastAsia"/>
          <w:color w:val="000000"/>
          <w:sz w:val="22"/>
          <w:szCs w:val="22"/>
          <w:lang w:val="fr-CA"/>
        </w:rPr>
        <w:t>.</w:t>
      </w:r>
    </w:p>
    <w:p w:rsidR="001C6EBA" w:rsidRPr="00206E11" w:rsidRDefault="001C6EBA" w:rsidP="001C6EBA">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fr-CA"/>
        </w:rPr>
      </w:pPr>
      <w:r w:rsidRPr="00206E11">
        <w:rPr>
          <w:sz w:val="22"/>
          <w:szCs w:val="22"/>
          <w:lang w:val="fr-CA"/>
        </w:rPr>
        <w:t>Le Protocole de Nagoya prévoit que ses Parties prennent des mesures législatives, administratives et politiques en vue de mettre en œuvre le Protocole, et qu</w:t>
      </w:r>
      <w:r w:rsidR="00CD6257">
        <w:rPr>
          <w:sz w:val="22"/>
          <w:szCs w:val="22"/>
          <w:lang w:val="fr-CA"/>
        </w:rPr>
        <w:t>’</w:t>
      </w:r>
      <w:r w:rsidRPr="00206E11">
        <w:rPr>
          <w:sz w:val="22"/>
          <w:szCs w:val="22"/>
          <w:lang w:val="fr-CA"/>
        </w:rPr>
        <w:t xml:space="preserve">elles établissent des structures institutionnelles </w:t>
      </w:r>
      <w:r w:rsidRPr="00206E11">
        <w:rPr>
          <w:sz w:val="22"/>
          <w:szCs w:val="22"/>
          <w:lang w:val="fr-CA"/>
        </w:rPr>
        <w:lastRenderedPageBreak/>
        <w:t>pertinentes, notamment un correspondant national pour l</w:t>
      </w:r>
      <w:r w:rsidR="00CD6257">
        <w:rPr>
          <w:sz w:val="22"/>
          <w:szCs w:val="22"/>
          <w:lang w:val="fr-CA"/>
        </w:rPr>
        <w:t>’</w:t>
      </w:r>
      <w:r w:rsidRPr="00206E11">
        <w:rPr>
          <w:sz w:val="22"/>
          <w:szCs w:val="22"/>
          <w:lang w:val="fr-CA"/>
        </w:rPr>
        <w:t>accès et le partage des avantages, une ou des  autorités nationales compétentes, et, dans le cadre des mesures pour appuyer la conformité, un ou des points de contrôle. Par ailleurs, étant donné que le Centre d</w:t>
      </w:r>
      <w:r w:rsidR="00CD6257">
        <w:rPr>
          <w:sz w:val="22"/>
          <w:szCs w:val="22"/>
          <w:lang w:val="fr-CA"/>
        </w:rPr>
        <w:t>’</w:t>
      </w:r>
      <w:r w:rsidRPr="00206E11">
        <w:rPr>
          <w:sz w:val="22"/>
          <w:szCs w:val="22"/>
          <w:lang w:val="fr-CA"/>
        </w:rPr>
        <w:t>échange sur l</w:t>
      </w:r>
      <w:r w:rsidR="00CD6257">
        <w:rPr>
          <w:sz w:val="22"/>
          <w:szCs w:val="22"/>
          <w:lang w:val="fr-CA"/>
        </w:rPr>
        <w:t>’</w:t>
      </w:r>
      <w:r w:rsidRPr="00206E11">
        <w:rPr>
          <w:sz w:val="22"/>
          <w:szCs w:val="22"/>
          <w:lang w:val="fr-CA"/>
        </w:rPr>
        <w:t>accès et le partage des avantages joue un rôle clé dans la mise en œuvre du Protocole, les Parties sont tenues de mettre certains types d</w:t>
      </w:r>
      <w:r w:rsidR="00CD6257">
        <w:rPr>
          <w:sz w:val="22"/>
          <w:szCs w:val="22"/>
          <w:lang w:val="fr-CA"/>
        </w:rPr>
        <w:t>’</w:t>
      </w:r>
      <w:r w:rsidRPr="00206E11">
        <w:rPr>
          <w:sz w:val="22"/>
          <w:szCs w:val="22"/>
          <w:lang w:val="fr-CA"/>
        </w:rPr>
        <w:t>informations à disposition, telles que l</w:t>
      </w:r>
      <w:r w:rsidR="00CD6257">
        <w:rPr>
          <w:sz w:val="22"/>
          <w:szCs w:val="22"/>
          <w:lang w:val="fr-CA"/>
        </w:rPr>
        <w:t>’</w:t>
      </w:r>
      <w:r w:rsidRPr="00206E11">
        <w:rPr>
          <w:sz w:val="22"/>
          <w:szCs w:val="22"/>
          <w:lang w:val="fr-CA"/>
        </w:rPr>
        <w:t>information sur les permis, ou leur équivalent, émis au moment de l</w:t>
      </w:r>
      <w:r w:rsidR="00CD6257">
        <w:rPr>
          <w:sz w:val="22"/>
          <w:szCs w:val="22"/>
          <w:lang w:val="fr-CA"/>
        </w:rPr>
        <w:t>’</w:t>
      </w:r>
      <w:r w:rsidRPr="00206E11">
        <w:rPr>
          <w:sz w:val="22"/>
          <w:szCs w:val="22"/>
          <w:lang w:val="fr-CA"/>
        </w:rPr>
        <w:t>accès et les informations pertinentes recueillies ou reçues aux points de contrôle.</w:t>
      </w:r>
    </w:p>
    <w:p w:rsidR="001C6EBA" w:rsidRPr="00206E11" w:rsidRDefault="001C6EBA" w:rsidP="001C6EBA">
      <w:pPr>
        <w:pStyle w:val="ListParagraph"/>
        <w:numPr>
          <w:ilvl w:val="0"/>
          <w:numId w:val="22"/>
        </w:numPr>
        <w:autoSpaceDE w:val="0"/>
        <w:autoSpaceDN w:val="0"/>
        <w:adjustRightInd w:val="0"/>
        <w:spacing w:after="120"/>
        <w:ind w:left="0" w:firstLine="0"/>
        <w:contextualSpacing w:val="0"/>
        <w:jc w:val="both"/>
        <w:rPr>
          <w:rFonts w:eastAsiaTheme="minorEastAsia"/>
          <w:sz w:val="22"/>
          <w:szCs w:val="22"/>
          <w:lang w:val="fr-CA"/>
        </w:rPr>
      </w:pPr>
      <w:r w:rsidRPr="00206E11">
        <w:rPr>
          <w:sz w:val="22"/>
          <w:szCs w:val="22"/>
          <w:lang w:val="fr-CA"/>
        </w:rPr>
        <w:t>Selon les informations disponibles au 1</w:t>
      </w:r>
      <w:r w:rsidRPr="00206E11">
        <w:rPr>
          <w:sz w:val="22"/>
          <w:szCs w:val="22"/>
          <w:vertAlign w:val="superscript"/>
          <w:lang w:val="fr-CA"/>
        </w:rPr>
        <w:t>er</w:t>
      </w:r>
      <w:r w:rsidRPr="00206E11">
        <w:rPr>
          <w:sz w:val="22"/>
          <w:szCs w:val="22"/>
          <w:lang w:val="fr-CA"/>
        </w:rPr>
        <w:t> mai 2022,</w:t>
      </w:r>
      <w:r w:rsidRPr="00206E11">
        <w:rPr>
          <w:rStyle w:val="FootnoteReference"/>
          <w:sz w:val="22"/>
          <w:szCs w:val="22"/>
          <w:lang w:val="fr-CA"/>
        </w:rPr>
        <w:footnoteReference w:id="9"/>
      </w:r>
      <w:r w:rsidRPr="00206E11">
        <w:rPr>
          <w:sz w:val="22"/>
          <w:szCs w:val="22"/>
          <w:lang w:val="fr-CA"/>
        </w:rPr>
        <w:t xml:space="preserve"> 101 Parties au Protocole (74 pour cent) avaient pris au moins une mesure législative, administrative ou politique relative à l</w:t>
      </w:r>
      <w:r w:rsidR="00CD6257">
        <w:rPr>
          <w:sz w:val="22"/>
          <w:szCs w:val="22"/>
          <w:lang w:val="fr-CA"/>
        </w:rPr>
        <w:t>’</w:t>
      </w:r>
      <w:r w:rsidRPr="00206E11">
        <w:rPr>
          <w:sz w:val="22"/>
          <w:szCs w:val="22"/>
          <w:lang w:val="fr-CA"/>
        </w:rPr>
        <w:t xml:space="preserve">APA, soit une augmentation de 26 Parties par rapport au point de référence de 75 Parties. En outre, </w:t>
      </w:r>
      <w:r w:rsidRPr="00206E11">
        <w:rPr>
          <w:noProof/>
          <w:sz w:val="22"/>
          <w:szCs w:val="22"/>
          <w:lang w:val="fr-CA"/>
        </w:rPr>
        <w:t>vingt non</w:t>
      </w:r>
      <w:r w:rsidR="00CD6257">
        <w:rPr>
          <w:noProof/>
          <w:sz w:val="22"/>
          <w:szCs w:val="22"/>
          <w:lang w:val="fr-CA"/>
        </w:rPr>
        <w:noBreakHyphen/>
      </w:r>
      <w:r w:rsidRPr="00206E11">
        <w:rPr>
          <w:noProof/>
          <w:sz w:val="22"/>
          <w:szCs w:val="22"/>
          <w:lang w:val="fr-CA"/>
        </w:rPr>
        <w:t>Parties</w:t>
      </w:r>
      <w:r w:rsidRPr="00206E11">
        <w:rPr>
          <w:sz w:val="22"/>
          <w:szCs w:val="22"/>
          <w:lang w:val="fr-CA"/>
        </w:rPr>
        <w:t xml:space="preserve"> avaient également mis des mesures en place. Par ailleurs, des mesures relatives à l</w:t>
      </w:r>
      <w:r w:rsidR="00CD6257">
        <w:rPr>
          <w:sz w:val="22"/>
          <w:szCs w:val="22"/>
          <w:lang w:val="fr-CA"/>
        </w:rPr>
        <w:t>’</w:t>
      </w:r>
      <w:r w:rsidRPr="00206E11">
        <w:rPr>
          <w:sz w:val="22"/>
          <w:szCs w:val="22"/>
          <w:lang w:val="fr-CA"/>
        </w:rPr>
        <w:t>APA étaient en cours d</w:t>
      </w:r>
      <w:r w:rsidR="00CD6257">
        <w:rPr>
          <w:sz w:val="22"/>
          <w:szCs w:val="22"/>
          <w:lang w:val="fr-CA"/>
        </w:rPr>
        <w:t>’</w:t>
      </w:r>
      <w:r w:rsidRPr="00206E11">
        <w:rPr>
          <w:sz w:val="22"/>
          <w:szCs w:val="22"/>
          <w:lang w:val="fr-CA"/>
        </w:rPr>
        <w:t xml:space="preserve">élaboration ou de révision par 19 Parties et </w:t>
      </w:r>
      <w:r w:rsidRPr="00206E11">
        <w:rPr>
          <w:noProof/>
          <w:sz w:val="22"/>
          <w:szCs w:val="22"/>
          <w:lang w:val="fr-CA"/>
        </w:rPr>
        <w:t>8 non</w:t>
      </w:r>
      <w:r w:rsidR="00CD6257">
        <w:rPr>
          <w:noProof/>
          <w:sz w:val="22"/>
          <w:szCs w:val="22"/>
          <w:lang w:val="fr-CA"/>
        </w:rPr>
        <w:noBreakHyphen/>
      </w:r>
      <w:r w:rsidRPr="00206E11">
        <w:rPr>
          <w:noProof/>
          <w:sz w:val="22"/>
          <w:szCs w:val="22"/>
          <w:lang w:val="fr-CA"/>
        </w:rPr>
        <w:t>Parties</w:t>
      </w:r>
      <w:r w:rsidRPr="00206E11">
        <w:rPr>
          <w:sz w:val="22"/>
          <w:szCs w:val="22"/>
          <w:lang w:val="fr-CA"/>
        </w:rPr>
        <w:t xml:space="preserve"> au Protocole.</w:t>
      </w:r>
    </w:p>
    <w:p w:rsidR="001C6EBA" w:rsidRPr="00206E11" w:rsidRDefault="001C6EBA" w:rsidP="001C6EBA">
      <w:pPr>
        <w:pStyle w:val="ListParagraph"/>
        <w:numPr>
          <w:ilvl w:val="0"/>
          <w:numId w:val="22"/>
        </w:numPr>
        <w:autoSpaceDE w:val="0"/>
        <w:autoSpaceDN w:val="0"/>
        <w:adjustRightInd w:val="0"/>
        <w:spacing w:after="120"/>
        <w:ind w:left="0" w:firstLine="0"/>
        <w:contextualSpacing w:val="0"/>
        <w:jc w:val="both"/>
        <w:rPr>
          <w:rFonts w:eastAsiaTheme="minorEastAsia"/>
          <w:sz w:val="22"/>
          <w:szCs w:val="22"/>
          <w:lang w:val="fr-CA"/>
        </w:rPr>
      </w:pPr>
      <w:r w:rsidRPr="00206E11">
        <w:rPr>
          <w:rFonts w:eastAsiaTheme="minorEastAsia"/>
          <w:color w:val="000000"/>
          <w:sz w:val="22"/>
          <w:szCs w:val="22"/>
          <w:lang w:val="fr-CA"/>
        </w:rPr>
        <w:t>En ce qui concerne les structures institutionnelles, au 1</w:t>
      </w:r>
      <w:r w:rsidRPr="00206E11">
        <w:rPr>
          <w:rFonts w:eastAsiaTheme="minorEastAsia"/>
          <w:color w:val="000000"/>
          <w:sz w:val="22"/>
          <w:szCs w:val="22"/>
          <w:vertAlign w:val="superscript"/>
          <w:lang w:val="fr-CA"/>
        </w:rPr>
        <w:t>er </w:t>
      </w:r>
      <w:r w:rsidRPr="00206E11">
        <w:rPr>
          <w:rFonts w:eastAsiaTheme="minorEastAsia"/>
          <w:color w:val="000000"/>
          <w:sz w:val="22"/>
          <w:szCs w:val="22"/>
          <w:lang w:val="fr-CA"/>
        </w:rPr>
        <w:t>mai 2022, 134 Parties (98 pour cent) avaient désigné un correspondant national pour l</w:t>
      </w:r>
      <w:r w:rsidR="00CD6257">
        <w:rPr>
          <w:rFonts w:eastAsiaTheme="minorEastAsia"/>
          <w:color w:val="000000"/>
          <w:sz w:val="22"/>
          <w:szCs w:val="22"/>
          <w:lang w:val="fr-CA"/>
        </w:rPr>
        <w:t>’</w:t>
      </w:r>
      <w:r w:rsidRPr="00206E11">
        <w:rPr>
          <w:rFonts w:eastAsiaTheme="minorEastAsia"/>
          <w:color w:val="000000"/>
          <w:sz w:val="22"/>
          <w:szCs w:val="22"/>
          <w:lang w:val="fr-CA"/>
        </w:rPr>
        <w:t>accès et le partage des avantages et 88 Parties (64 pour cent) avaient désigné une ou des autorités nationales compétentes, soit une augmentation de 31 Parties par rapport au point de référence de 57 Parties. En outre, au total 43 Parties (31 pour cent) avaient désigné un ou des points de contrôle, ce qui représente 14 Parties de plus que le point de référence de 29 Parties.</w:t>
      </w:r>
    </w:p>
    <w:p w:rsidR="00275A21" w:rsidRPr="00206E11" w:rsidRDefault="001C6EBA" w:rsidP="001C6EBA">
      <w:pPr>
        <w:pStyle w:val="ListParagraph"/>
        <w:numPr>
          <w:ilvl w:val="0"/>
          <w:numId w:val="22"/>
        </w:numPr>
        <w:autoSpaceDE w:val="0"/>
        <w:autoSpaceDN w:val="0"/>
        <w:adjustRightInd w:val="0"/>
        <w:spacing w:after="120"/>
        <w:ind w:left="0" w:firstLine="0"/>
        <w:contextualSpacing w:val="0"/>
        <w:jc w:val="both"/>
        <w:rPr>
          <w:sz w:val="22"/>
          <w:szCs w:val="22"/>
          <w:lang w:val="fr-CA"/>
        </w:rPr>
      </w:pPr>
      <w:r w:rsidRPr="00206E11">
        <w:rPr>
          <w:rFonts w:eastAsiaTheme="minorEastAsia"/>
          <w:color w:val="000000"/>
          <w:sz w:val="22"/>
          <w:szCs w:val="22"/>
          <w:lang w:val="fr-CA"/>
        </w:rPr>
        <w:t>En ce qui concerne la mise à disposition des informations dans le Centre d</w:t>
      </w:r>
      <w:r w:rsidR="00CD6257">
        <w:rPr>
          <w:rFonts w:eastAsiaTheme="minorEastAsia"/>
          <w:color w:val="000000"/>
          <w:sz w:val="22"/>
          <w:szCs w:val="22"/>
          <w:lang w:val="fr-CA"/>
        </w:rPr>
        <w:t>’</w:t>
      </w:r>
      <w:r w:rsidRPr="00206E11">
        <w:rPr>
          <w:rFonts w:eastAsiaTheme="minorEastAsia"/>
          <w:color w:val="000000"/>
          <w:sz w:val="22"/>
          <w:szCs w:val="22"/>
          <w:lang w:val="fr-CA"/>
        </w:rPr>
        <w:t>échange sur l</w:t>
      </w:r>
      <w:r w:rsidR="00CD6257">
        <w:rPr>
          <w:rFonts w:eastAsiaTheme="minorEastAsia"/>
          <w:color w:val="000000"/>
          <w:sz w:val="22"/>
          <w:szCs w:val="22"/>
          <w:lang w:val="fr-CA"/>
        </w:rPr>
        <w:t>’</w:t>
      </w:r>
      <w:r w:rsidRPr="00206E11">
        <w:rPr>
          <w:rFonts w:eastAsiaTheme="minorEastAsia"/>
          <w:color w:val="000000"/>
          <w:sz w:val="22"/>
          <w:szCs w:val="22"/>
          <w:lang w:val="fr-CA"/>
        </w:rPr>
        <w:t>accès et le partage des avantages, le tableau suivant résume les documents nationaux publiés au 1</w:t>
      </w:r>
      <w:r w:rsidRPr="00206E11">
        <w:rPr>
          <w:rFonts w:eastAsiaTheme="minorEastAsia"/>
          <w:color w:val="000000"/>
          <w:sz w:val="22"/>
          <w:szCs w:val="22"/>
          <w:vertAlign w:val="superscript"/>
          <w:lang w:val="fr-CA"/>
        </w:rPr>
        <w:t>er</w:t>
      </w:r>
      <w:r w:rsidRPr="00206E11">
        <w:rPr>
          <w:rFonts w:eastAsiaTheme="minorEastAsia"/>
          <w:color w:val="000000"/>
          <w:sz w:val="22"/>
          <w:szCs w:val="22"/>
          <w:lang w:val="fr-CA"/>
        </w:rPr>
        <w:t> mai 2022, et présente les données du point de référence de février 2018 entre parenthèses lorsqu</w:t>
      </w:r>
      <w:r w:rsidR="00CD6257">
        <w:rPr>
          <w:rFonts w:eastAsiaTheme="minorEastAsia"/>
          <w:color w:val="000000"/>
          <w:sz w:val="22"/>
          <w:szCs w:val="22"/>
          <w:lang w:val="fr-CA"/>
        </w:rPr>
        <w:t>’</w:t>
      </w:r>
      <w:r w:rsidRPr="00206E11">
        <w:rPr>
          <w:rFonts w:eastAsiaTheme="minorEastAsia"/>
          <w:color w:val="000000"/>
          <w:sz w:val="22"/>
          <w:szCs w:val="22"/>
          <w:lang w:val="fr-CA"/>
        </w:rPr>
        <w:t>elles sont disponibles</w:t>
      </w:r>
      <w:r w:rsidR="00731A78" w:rsidRPr="00206E11">
        <w:rPr>
          <w:sz w:val="22"/>
          <w:szCs w:val="22"/>
          <w:lang w:val="fr-CA"/>
        </w:rPr>
        <w:t>.</w:t>
      </w:r>
    </w:p>
    <w:p w:rsidR="00D83D4C" w:rsidRPr="00206E11" w:rsidRDefault="001C6EBA" w:rsidP="003C752B">
      <w:pPr>
        <w:keepNext/>
        <w:spacing w:before="240" w:after="120"/>
        <w:ind w:left="806" w:hanging="806"/>
        <w:rPr>
          <w:b/>
          <w:bCs/>
          <w:sz w:val="22"/>
          <w:szCs w:val="22"/>
          <w:lang w:val="fr-CA"/>
        </w:rPr>
      </w:pPr>
      <w:r w:rsidRPr="00206E11">
        <w:rPr>
          <w:b/>
          <w:bCs/>
          <w:sz w:val="22"/>
          <w:szCs w:val="22"/>
          <w:lang w:val="fr-CA"/>
        </w:rPr>
        <w:t>Tableau 1. Nombre de types sélectionnés de documents nationaux mis à disposition dans le Centre d</w:t>
      </w:r>
      <w:r w:rsidR="00CD6257">
        <w:rPr>
          <w:b/>
          <w:bCs/>
          <w:sz w:val="22"/>
          <w:szCs w:val="22"/>
          <w:lang w:val="fr-CA"/>
        </w:rPr>
        <w:t>’</w:t>
      </w:r>
      <w:r w:rsidRPr="00206E11">
        <w:rPr>
          <w:b/>
          <w:bCs/>
          <w:sz w:val="22"/>
          <w:szCs w:val="22"/>
          <w:lang w:val="fr-CA"/>
        </w:rPr>
        <w:t>échange sur l</w:t>
      </w:r>
      <w:r w:rsidR="00CD6257">
        <w:rPr>
          <w:b/>
          <w:bCs/>
          <w:sz w:val="22"/>
          <w:szCs w:val="22"/>
          <w:lang w:val="fr-CA"/>
        </w:rPr>
        <w:t>’</w:t>
      </w:r>
      <w:r w:rsidRPr="00206E11">
        <w:rPr>
          <w:b/>
          <w:bCs/>
          <w:sz w:val="22"/>
          <w:szCs w:val="22"/>
          <w:lang w:val="fr-CA"/>
        </w:rPr>
        <w:t>APA au 1</w:t>
      </w:r>
      <w:r w:rsidRPr="00206E11">
        <w:rPr>
          <w:b/>
          <w:bCs/>
          <w:sz w:val="22"/>
          <w:szCs w:val="22"/>
          <w:vertAlign w:val="superscript"/>
          <w:lang w:val="fr-CA"/>
        </w:rPr>
        <w:t>er</w:t>
      </w:r>
      <w:r w:rsidRPr="00206E11">
        <w:rPr>
          <w:b/>
          <w:bCs/>
          <w:sz w:val="22"/>
          <w:szCs w:val="22"/>
          <w:lang w:val="fr-CA"/>
        </w:rPr>
        <w:t> mai 2022 (par rapport aux points de référence de février 2018, entre parenthèses)</w:t>
      </w:r>
    </w:p>
    <w:tbl>
      <w:tblPr>
        <w:tblStyle w:val="TableGrid"/>
        <w:tblW w:w="0" w:type="auto"/>
        <w:jc w:val="center"/>
        <w:tblLook w:val="04A0"/>
      </w:tblPr>
      <w:tblGrid>
        <w:gridCol w:w="2662"/>
        <w:gridCol w:w="2662"/>
        <w:gridCol w:w="2662"/>
      </w:tblGrid>
      <w:tr w:rsidR="00560D76" w:rsidRPr="00206E11" w:rsidTr="00406EFB">
        <w:trPr>
          <w:trHeight w:val="145"/>
          <w:jc w:val="center"/>
        </w:trPr>
        <w:tc>
          <w:tcPr>
            <w:tcW w:w="2662" w:type="dxa"/>
            <w:vAlign w:val="center"/>
          </w:tcPr>
          <w:p w:rsidR="00560D76" w:rsidRPr="00206E11" w:rsidRDefault="00560D76" w:rsidP="008359B4">
            <w:pPr>
              <w:autoSpaceDE w:val="0"/>
              <w:autoSpaceDN w:val="0"/>
              <w:adjustRightInd w:val="0"/>
              <w:spacing w:before="60" w:after="60"/>
              <w:rPr>
                <w:i/>
                <w:iCs/>
                <w:sz w:val="22"/>
                <w:szCs w:val="22"/>
                <w:lang w:val="fr-CA"/>
              </w:rPr>
            </w:pPr>
            <w:r w:rsidRPr="00206E11">
              <w:rPr>
                <w:i/>
                <w:iCs/>
                <w:sz w:val="22"/>
                <w:szCs w:val="22"/>
                <w:lang w:val="fr-CA"/>
              </w:rPr>
              <w:t>Type d</w:t>
            </w:r>
            <w:r w:rsidR="00CD6257">
              <w:rPr>
                <w:i/>
                <w:iCs/>
                <w:sz w:val="22"/>
                <w:szCs w:val="22"/>
                <w:lang w:val="fr-CA"/>
              </w:rPr>
              <w:t>’</w:t>
            </w:r>
            <w:r w:rsidRPr="00206E11">
              <w:rPr>
                <w:i/>
                <w:iCs/>
                <w:sz w:val="22"/>
                <w:szCs w:val="22"/>
                <w:lang w:val="fr-CA"/>
              </w:rPr>
              <w:t>information</w:t>
            </w:r>
          </w:p>
        </w:tc>
        <w:tc>
          <w:tcPr>
            <w:tcW w:w="2662" w:type="dxa"/>
            <w:vAlign w:val="center"/>
          </w:tcPr>
          <w:p w:rsidR="00560D76" w:rsidRPr="00206E11" w:rsidRDefault="00560D76" w:rsidP="008359B4">
            <w:pPr>
              <w:autoSpaceDE w:val="0"/>
              <w:autoSpaceDN w:val="0"/>
              <w:adjustRightInd w:val="0"/>
              <w:spacing w:before="60" w:after="60"/>
              <w:jc w:val="center"/>
              <w:rPr>
                <w:i/>
                <w:iCs/>
                <w:sz w:val="22"/>
                <w:szCs w:val="22"/>
                <w:lang w:val="fr-CA"/>
              </w:rPr>
            </w:pPr>
            <w:r w:rsidRPr="00206E11">
              <w:rPr>
                <w:i/>
                <w:iCs/>
                <w:sz w:val="22"/>
                <w:szCs w:val="22"/>
                <w:lang w:val="fr-CA"/>
              </w:rPr>
              <w:t>Nombre de documents publiés</w:t>
            </w:r>
          </w:p>
        </w:tc>
        <w:tc>
          <w:tcPr>
            <w:tcW w:w="2662" w:type="dxa"/>
            <w:vAlign w:val="center"/>
          </w:tcPr>
          <w:p w:rsidR="00560D76" w:rsidRPr="00206E11" w:rsidRDefault="00560D76" w:rsidP="008359B4">
            <w:pPr>
              <w:autoSpaceDE w:val="0"/>
              <w:autoSpaceDN w:val="0"/>
              <w:adjustRightInd w:val="0"/>
              <w:spacing w:before="60" w:after="60"/>
              <w:jc w:val="center"/>
              <w:rPr>
                <w:i/>
                <w:iCs/>
                <w:sz w:val="22"/>
                <w:szCs w:val="22"/>
                <w:lang w:val="fr-CA"/>
              </w:rPr>
            </w:pPr>
            <w:r w:rsidRPr="00206E11">
              <w:rPr>
                <w:i/>
                <w:iCs/>
                <w:sz w:val="22"/>
                <w:szCs w:val="22"/>
                <w:lang w:val="fr-CA"/>
              </w:rPr>
              <w:t>Nombre de Parties au Protocole ayant publié ces documents</w:t>
            </w:r>
          </w:p>
        </w:tc>
      </w:tr>
      <w:tr w:rsidR="00560D76" w:rsidRPr="00206E11" w:rsidTr="00406EFB">
        <w:trPr>
          <w:trHeight w:val="145"/>
          <w:jc w:val="center"/>
        </w:trPr>
        <w:tc>
          <w:tcPr>
            <w:tcW w:w="2662" w:type="dxa"/>
            <w:vAlign w:val="center"/>
          </w:tcPr>
          <w:p w:rsidR="00560D76" w:rsidRPr="00206E11" w:rsidRDefault="00560D76" w:rsidP="008359B4">
            <w:pPr>
              <w:autoSpaceDE w:val="0"/>
              <w:autoSpaceDN w:val="0"/>
              <w:adjustRightInd w:val="0"/>
              <w:spacing w:before="60" w:after="60"/>
              <w:rPr>
                <w:sz w:val="22"/>
                <w:szCs w:val="22"/>
                <w:lang w:val="fr-CA"/>
              </w:rPr>
            </w:pPr>
            <w:r w:rsidRPr="00206E11">
              <w:rPr>
                <w:sz w:val="22"/>
                <w:szCs w:val="22"/>
                <w:lang w:val="fr-CA"/>
              </w:rPr>
              <w:t>Correspondant national</w:t>
            </w:r>
          </w:p>
        </w:tc>
        <w:tc>
          <w:tcPr>
            <w:tcW w:w="2662" w:type="dxa"/>
            <w:vAlign w:val="center"/>
          </w:tcPr>
          <w:p w:rsidR="00560D76" w:rsidRPr="00206E11" w:rsidRDefault="00560D76" w:rsidP="008359B4">
            <w:pPr>
              <w:autoSpaceDE w:val="0"/>
              <w:autoSpaceDN w:val="0"/>
              <w:adjustRightInd w:val="0"/>
              <w:spacing w:before="60" w:after="60"/>
              <w:jc w:val="center"/>
              <w:rPr>
                <w:sz w:val="22"/>
                <w:szCs w:val="22"/>
                <w:lang w:val="fr-CA"/>
              </w:rPr>
            </w:pPr>
            <w:r w:rsidRPr="00206E11">
              <w:rPr>
                <w:sz w:val="22"/>
                <w:szCs w:val="22"/>
                <w:lang w:val="fr-CA"/>
              </w:rPr>
              <w:t>133</w:t>
            </w:r>
          </w:p>
        </w:tc>
        <w:tc>
          <w:tcPr>
            <w:tcW w:w="2662" w:type="dxa"/>
            <w:vAlign w:val="center"/>
          </w:tcPr>
          <w:p w:rsidR="00560D76" w:rsidRPr="00206E11" w:rsidRDefault="00560D76" w:rsidP="008359B4">
            <w:pPr>
              <w:autoSpaceDE w:val="0"/>
              <w:autoSpaceDN w:val="0"/>
              <w:adjustRightInd w:val="0"/>
              <w:spacing w:before="60" w:after="60"/>
              <w:jc w:val="center"/>
              <w:rPr>
                <w:sz w:val="22"/>
                <w:szCs w:val="22"/>
                <w:lang w:val="fr-CA"/>
              </w:rPr>
            </w:pPr>
            <w:r w:rsidRPr="00206E11">
              <w:rPr>
                <w:sz w:val="22"/>
                <w:szCs w:val="22"/>
                <w:lang w:val="fr-CA"/>
              </w:rPr>
              <w:t>133 (103)</w:t>
            </w:r>
          </w:p>
        </w:tc>
      </w:tr>
      <w:tr w:rsidR="00560D76" w:rsidRPr="00206E11" w:rsidTr="00406EFB">
        <w:trPr>
          <w:trHeight w:val="88"/>
          <w:jc w:val="center"/>
        </w:trPr>
        <w:tc>
          <w:tcPr>
            <w:tcW w:w="2662" w:type="dxa"/>
            <w:vAlign w:val="center"/>
          </w:tcPr>
          <w:p w:rsidR="00560D76" w:rsidRPr="00206E11" w:rsidRDefault="00560D76" w:rsidP="008359B4">
            <w:pPr>
              <w:autoSpaceDE w:val="0"/>
              <w:autoSpaceDN w:val="0"/>
              <w:adjustRightInd w:val="0"/>
              <w:spacing w:before="60" w:after="60"/>
              <w:rPr>
                <w:sz w:val="22"/>
                <w:szCs w:val="22"/>
                <w:lang w:val="fr-CA"/>
              </w:rPr>
            </w:pPr>
            <w:r w:rsidRPr="00206E11">
              <w:rPr>
                <w:sz w:val="22"/>
                <w:szCs w:val="22"/>
                <w:lang w:val="fr-CA"/>
              </w:rPr>
              <w:t>Autorité nationale compétente</w:t>
            </w:r>
          </w:p>
        </w:tc>
        <w:tc>
          <w:tcPr>
            <w:tcW w:w="2662" w:type="dxa"/>
            <w:vAlign w:val="center"/>
          </w:tcPr>
          <w:p w:rsidR="00560D76" w:rsidRPr="00206E11" w:rsidRDefault="00560D76" w:rsidP="008359B4">
            <w:pPr>
              <w:autoSpaceDE w:val="0"/>
              <w:autoSpaceDN w:val="0"/>
              <w:adjustRightInd w:val="0"/>
              <w:spacing w:before="60" w:after="60"/>
              <w:jc w:val="center"/>
              <w:rPr>
                <w:sz w:val="22"/>
                <w:szCs w:val="22"/>
                <w:lang w:val="fr-CA"/>
              </w:rPr>
            </w:pPr>
            <w:r w:rsidRPr="00206E11">
              <w:rPr>
                <w:sz w:val="22"/>
                <w:szCs w:val="22"/>
                <w:lang w:val="fr-CA"/>
              </w:rPr>
              <w:t>127</w:t>
            </w:r>
          </w:p>
        </w:tc>
        <w:tc>
          <w:tcPr>
            <w:tcW w:w="2662" w:type="dxa"/>
            <w:vAlign w:val="center"/>
          </w:tcPr>
          <w:p w:rsidR="00560D76" w:rsidRPr="00206E11" w:rsidRDefault="00560D76" w:rsidP="008359B4">
            <w:pPr>
              <w:autoSpaceDE w:val="0"/>
              <w:autoSpaceDN w:val="0"/>
              <w:adjustRightInd w:val="0"/>
              <w:spacing w:before="60" w:after="60"/>
              <w:jc w:val="center"/>
              <w:rPr>
                <w:sz w:val="22"/>
                <w:szCs w:val="22"/>
                <w:lang w:val="fr-CA"/>
              </w:rPr>
            </w:pPr>
            <w:r w:rsidRPr="00206E11">
              <w:rPr>
                <w:sz w:val="22"/>
                <w:szCs w:val="22"/>
                <w:lang w:val="fr-CA"/>
              </w:rPr>
              <w:t>70 (45)</w:t>
            </w:r>
          </w:p>
        </w:tc>
      </w:tr>
      <w:tr w:rsidR="00560D76" w:rsidRPr="00206E11" w:rsidTr="00406EFB">
        <w:trPr>
          <w:trHeight w:val="235"/>
          <w:jc w:val="center"/>
        </w:trPr>
        <w:tc>
          <w:tcPr>
            <w:tcW w:w="2662" w:type="dxa"/>
            <w:vAlign w:val="center"/>
          </w:tcPr>
          <w:p w:rsidR="00560D76" w:rsidRPr="00206E11" w:rsidRDefault="00560D76" w:rsidP="008359B4">
            <w:pPr>
              <w:autoSpaceDE w:val="0"/>
              <w:autoSpaceDN w:val="0"/>
              <w:adjustRightInd w:val="0"/>
              <w:spacing w:before="60" w:after="60"/>
              <w:rPr>
                <w:sz w:val="22"/>
                <w:szCs w:val="22"/>
                <w:lang w:val="fr-CA"/>
              </w:rPr>
            </w:pPr>
            <w:r w:rsidRPr="00206E11">
              <w:rPr>
                <w:sz w:val="22"/>
                <w:szCs w:val="22"/>
                <w:lang w:val="fr-CA"/>
              </w:rPr>
              <w:t>Point de contrôle</w:t>
            </w:r>
          </w:p>
        </w:tc>
        <w:tc>
          <w:tcPr>
            <w:tcW w:w="2662" w:type="dxa"/>
            <w:vAlign w:val="center"/>
          </w:tcPr>
          <w:p w:rsidR="00560D76" w:rsidRPr="00206E11" w:rsidRDefault="00560D76" w:rsidP="008359B4">
            <w:pPr>
              <w:autoSpaceDE w:val="0"/>
              <w:autoSpaceDN w:val="0"/>
              <w:adjustRightInd w:val="0"/>
              <w:spacing w:before="60" w:after="60"/>
              <w:jc w:val="center"/>
              <w:rPr>
                <w:sz w:val="22"/>
                <w:szCs w:val="22"/>
                <w:lang w:val="fr-CA"/>
              </w:rPr>
            </w:pPr>
            <w:r w:rsidRPr="00206E11">
              <w:rPr>
                <w:sz w:val="22"/>
                <w:szCs w:val="22"/>
                <w:lang w:val="fr-CA"/>
              </w:rPr>
              <w:t>76</w:t>
            </w:r>
          </w:p>
        </w:tc>
        <w:tc>
          <w:tcPr>
            <w:tcW w:w="2662" w:type="dxa"/>
            <w:vAlign w:val="center"/>
          </w:tcPr>
          <w:p w:rsidR="00560D76" w:rsidRPr="00206E11" w:rsidRDefault="00560D76" w:rsidP="008359B4">
            <w:pPr>
              <w:autoSpaceDE w:val="0"/>
              <w:autoSpaceDN w:val="0"/>
              <w:adjustRightInd w:val="0"/>
              <w:spacing w:before="60" w:after="60"/>
              <w:jc w:val="center"/>
              <w:rPr>
                <w:sz w:val="22"/>
                <w:szCs w:val="22"/>
                <w:lang w:val="fr-CA"/>
              </w:rPr>
            </w:pPr>
            <w:r w:rsidRPr="00206E11">
              <w:rPr>
                <w:sz w:val="22"/>
                <w:szCs w:val="22"/>
                <w:lang w:val="fr-CA"/>
              </w:rPr>
              <w:t>36 (20)</w:t>
            </w:r>
          </w:p>
        </w:tc>
      </w:tr>
      <w:tr w:rsidR="00560D76" w:rsidRPr="00206E11" w:rsidTr="00406EFB">
        <w:trPr>
          <w:trHeight w:val="148"/>
          <w:jc w:val="center"/>
        </w:trPr>
        <w:tc>
          <w:tcPr>
            <w:tcW w:w="2662" w:type="dxa"/>
            <w:vAlign w:val="center"/>
          </w:tcPr>
          <w:p w:rsidR="00560D76" w:rsidRPr="00206E11" w:rsidRDefault="00560D76" w:rsidP="008359B4">
            <w:pPr>
              <w:autoSpaceDE w:val="0"/>
              <w:autoSpaceDN w:val="0"/>
              <w:adjustRightInd w:val="0"/>
              <w:spacing w:before="60" w:after="60"/>
              <w:rPr>
                <w:sz w:val="22"/>
                <w:szCs w:val="22"/>
                <w:lang w:val="fr-CA"/>
              </w:rPr>
            </w:pPr>
            <w:r w:rsidRPr="00206E11">
              <w:rPr>
                <w:sz w:val="22"/>
                <w:szCs w:val="22"/>
                <w:lang w:val="fr-CA"/>
              </w:rPr>
              <w:t>Mesure législative, administrative ou politique sur l</w:t>
            </w:r>
            <w:r w:rsidR="00CD6257">
              <w:rPr>
                <w:sz w:val="22"/>
                <w:szCs w:val="22"/>
                <w:lang w:val="fr-CA"/>
              </w:rPr>
              <w:t>’</w:t>
            </w:r>
            <w:r w:rsidRPr="00206E11">
              <w:rPr>
                <w:sz w:val="22"/>
                <w:szCs w:val="22"/>
                <w:lang w:val="fr-CA"/>
              </w:rPr>
              <w:t>APA</w:t>
            </w:r>
          </w:p>
        </w:tc>
        <w:tc>
          <w:tcPr>
            <w:tcW w:w="2662" w:type="dxa"/>
            <w:vAlign w:val="center"/>
          </w:tcPr>
          <w:p w:rsidR="00560D76" w:rsidRPr="00206E11" w:rsidRDefault="00560D76" w:rsidP="008359B4">
            <w:pPr>
              <w:autoSpaceDE w:val="0"/>
              <w:autoSpaceDN w:val="0"/>
              <w:adjustRightInd w:val="0"/>
              <w:spacing w:before="60" w:after="60"/>
              <w:jc w:val="center"/>
              <w:rPr>
                <w:sz w:val="22"/>
                <w:szCs w:val="22"/>
                <w:lang w:val="fr-CA"/>
              </w:rPr>
            </w:pPr>
            <w:r w:rsidRPr="00206E11">
              <w:rPr>
                <w:sz w:val="22"/>
                <w:szCs w:val="22"/>
                <w:lang w:val="fr-CA"/>
              </w:rPr>
              <w:t>259</w:t>
            </w:r>
          </w:p>
        </w:tc>
        <w:tc>
          <w:tcPr>
            <w:tcW w:w="2662" w:type="dxa"/>
            <w:vAlign w:val="center"/>
          </w:tcPr>
          <w:p w:rsidR="00560D76" w:rsidRPr="00206E11" w:rsidRDefault="00560D76" w:rsidP="008359B4">
            <w:pPr>
              <w:autoSpaceDE w:val="0"/>
              <w:autoSpaceDN w:val="0"/>
              <w:adjustRightInd w:val="0"/>
              <w:spacing w:before="60" w:after="60"/>
              <w:jc w:val="center"/>
              <w:rPr>
                <w:sz w:val="22"/>
                <w:szCs w:val="22"/>
                <w:lang w:val="fr-CA"/>
              </w:rPr>
            </w:pPr>
            <w:r w:rsidRPr="00206E11">
              <w:rPr>
                <w:sz w:val="22"/>
                <w:szCs w:val="22"/>
                <w:lang w:val="fr-CA"/>
              </w:rPr>
              <w:t>63 (45)</w:t>
            </w:r>
          </w:p>
        </w:tc>
      </w:tr>
      <w:tr w:rsidR="00560D76" w:rsidRPr="00206E11" w:rsidTr="00406EFB">
        <w:trPr>
          <w:trHeight w:val="266"/>
          <w:jc w:val="center"/>
        </w:trPr>
        <w:tc>
          <w:tcPr>
            <w:tcW w:w="2662" w:type="dxa"/>
            <w:vAlign w:val="center"/>
          </w:tcPr>
          <w:p w:rsidR="00560D76" w:rsidRPr="00206E11" w:rsidRDefault="00560D76" w:rsidP="008359B4">
            <w:pPr>
              <w:autoSpaceDE w:val="0"/>
              <w:autoSpaceDN w:val="0"/>
              <w:adjustRightInd w:val="0"/>
              <w:spacing w:before="60" w:after="60"/>
              <w:rPr>
                <w:sz w:val="22"/>
                <w:szCs w:val="22"/>
                <w:lang w:val="fr-CA"/>
              </w:rPr>
            </w:pPr>
            <w:r w:rsidRPr="00206E11">
              <w:rPr>
                <w:sz w:val="22"/>
                <w:szCs w:val="22"/>
                <w:lang w:val="fr-CA"/>
              </w:rPr>
              <w:t>Permis ou son équivalent constituant un certificat de conformité reconnu à l</w:t>
            </w:r>
            <w:r w:rsidR="00CD6257">
              <w:rPr>
                <w:sz w:val="22"/>
                <w:szCs w:val="22"/>
                <w:lang w:val="fr-CA"/>
              </w:rPr>
              <w:t>’</w:t>
            </w:r>
            <w:r w:rsidRPr="00206E11">
              <w:rPr>
                <w:sz w:val="22"/>
                <w:szCs w:val="22"/>
                <w:lang w:val="fr-CA"/>
              </w:rPr>
              <w:t xml:space="preserve">échelle internationale </w:t>
            </w:r>
          </w:p>
        </w:tc>
        <w:tc>
          <w:tcPr>
            <w:tcW w:w="2662" w:type="dxa"/>
            <w:vAlign w:val="center"/>
          </w:tcPr>
          <w:p w:rsidR="00560D76" w:rsidRPr="00206E11" w:rsidRDefault="00560D76" w:rsidP="008359B4">
            <w:pPr>
              <w:autoSpaceDE w:val="0"/>
              <w:autoSpaceDN w:val="0"/>
              <w:adjustRightInd w:val="0"/>
              <w:spacing w:before="60" w:after="60"/>
              <w:jc w:val="center"/>
              <w:rPr>
                <w:sz w:val="22"/>
                <w:szCs w:val="22"/>
                <w:lang w:val="fr-CA"/>
              </w:rPr>
            </w:pPr>
            <w:r w:rsidRPr="00206E11">
              <w:rPr>
                <w:sz w:val="22"/>
                <w:szCs w:val="22"/>
                <w:lang w:val="fr-CA"/>
              </w:rPr>
              <w:t>3 795 (146)</w:t>
            </w:r>
          </w:p>
        </w:tc>
        <w:tc>
          <w:tcPr>
            <w:tcW w:w="2662" w:type="dxa"/>
            <w:vAlign w:val="center"/>
          </w:tcPr>
          <w:p w:rsidR="00560D76" w:rsidRPr="00206E11" w:rsidRDefault="00560D76" w:rsidP="008359B4">
            <w:pPr>
              <w:autoSpaceDE w:val="0"/>
              <w:autoSpaceDN w:val="0"/>
              <w:adjustRightInd w:val="0"/>
              <w:spacing w:before="60" w:after="60"/>
              <w:jc w:val="center"/>
              <w:rPr>
                <w:sz w:val="22"/>
                <w:szCs w:val="22"/>
                <w:lang w:val="fr-CA"/>
              </w:rPr>
            </w:pPr>
            <w:r w:rsidRPr="00206E11">
              <w:rPr>
                <w:sz w:val="22"/>
                <w:szCs w:val="22"/>
                <w:lang w:val="fr-CA"/>
              </w:rPr>
              <w:t>25 (12)</w:t>
            </w:r>
          </w:p>
        </w:tc>
      </w:tr>
      <w:tr w:rsidR="00560D76" w:rsidRPr="00206E11" w:rsidTr="00406EFB">
        <w:trPr>
          <w:trHeight w:val="266"/>
          <w:jc w:val="center"/>
        </w:trPr>
        <w:tc>
          <w:tcPr>
            <w:tcW w:w="2662" w:type="dxa"/>
            <w:vAlign w:val="center"/>
          </w:tcPr>
          <w:p w:rsidR="00560D76" w:rsidRPr="00206E11" w:rsidRDefault="00560D76" w:rsidP="008359B4">
            <w:pPr>
              <w:autoSpaceDE w:val="0"/>
              <w:autoSpaceDN w:val="0"/>
              <w:adjustRightInd w:val="0"/>
              <w:spacing w:before="60" w:after="60"/>
              <w:rPr>
                <w:sz w:val="22"/>
                <w:szCs w:val="22"/>
                <w:lang w:val="fr-CA"/>
              </w:rPr>
            </w:pPr>
            <w:r w:rsidRPr="00206E11">
              <w:rPr>
                <w:sz w:val="22"/>
                <w:szCs w:val="22"/>
                <w:lang w:val="fr-CA"/>
              </w:rPr>
              <w:t>Communiqués de points de contrôle</w:t>
            </w:r>
          </w:p>
        </w:tc>
        <w:tc>
          <w:tcPr>
            <w:tcW w:w="2662" w:type="dxa"/>
            <w:vAlign w:val="center"/>
          </w:tcPr>
          <w:p w:rsidR="00560D76" w:rsidRPr="00206E11" w:rsidRDefault="00560D76" w:rsidP="008359B4">
            <w:pPr>
              <w:autoSpaceDE w:val="0"/>
              <w:autoSpaceDN w:val="0"/>
              <w:adjustRightInd w:val="0"/>
              <w:spacing w:before="60" w:after="60"/>
              <w:jc w:val="center"/>
              <w:rPr>
                <w:sz w:val="22"/>
                <w:szCs w:val="22"/>
                <w:lang w:val="fr-CA"/>
              </w:rPr>
            </w:pPr>
            <w:r w:rsidRPr="00206E11">
              <w:rPr>
                <w:sz w:val="22"/>
                <w:szCs w:val="22"/>
                <w:lang w:val="fr-CA"/>
              </w:rPr>
              <w:t>65 (0)</w:t>
            </w:r>
          </w:p>
        </w:tc>
        <w:tc>
          <w:tcPr>
            <w:tcW w:w="2662" w:type="dxa"/>
            <w:vAlign w:val="center"/>
          </w:tcPr>
          <w:p w:rsidR="00560D76" w:rsidRPr="00206E11" w:rsidRDefault="00560D76" w:rsidP="008359B4">
            <w:pPr>
              <w:autoSpaceDE w:val="0"/>
              <w:autoSpaceDN w:val="0"/>
              <w:adjustRightInd w:val="0"/>
              <w:spacing w:before="60" w:after="60"/>
              <w:jc w:val="center"/>
              <w:rPr>
                <w:sz w:val="22"/>
                <w:szCs w:val="22"/>
                <w:lang w:val="fr-CA"/>
              </w:rPr>
            </w:pPr>
            <w:r w:rsidRPr="00206E11">
              <w:rPr>
                <w:sz w:val="22"/>
                <w:szCs w:val="22"/>
                <w:lang w:val="fr-CA"/>
              </w:rPr>
              <w:t>7 (0)</w:t>
            </w:r>
          </w:p>
        </w:tc>
      </w:tr>
    </w:tbl>
    <w:p w:rsidR="00560D76" w:rsidRPr="00206E11" w:rsidRDefault="00560D76" w:rsidP="00560D76">
      <w:pPr>
        <w:pStyle w:val="ListParagraph"/>
        <w:numPr>
          <w:ilvl w:val="0"/>
          <w:numId w:val="22"/>
        </w:numPr>
        <w:autoSpaceDE w:val="0"/>
        <w:autoSpaceDN w:val="0"/>
        <w:adjustRightInd w:val="0"/>
        <w:spacing w:before="240" w:after="120"/>
        <w:ind w:left="0" w:firstLine="0"/>
        <w:contextualSpacing w:val="0"/>
        <w:jc w:val="both"/>
        <w:rPr>
          <w:rFonts w:eastAsiaTheme="minorEastAsia"/>
          <w:color w:val="000000"/>
          <w:sz w:val="22"/>
          <w:szCs w:val="22"/>
          <w:lang w:val="fr-CA"/>
        </w:rPr>
      </w:pPr>
      <w:r w:rsidRPr="00206E11">
        <w:rPr>
          <w:rFonts w:eastAsiaTheme="minorEastAsia"/>
          <w:color w:val="000000"/>
          <w:sz w:val="22"/>
          <w:szCs w:val="22"/>
          <w:lang w:val="fr-CA"/>
        </w:rPr>
        <w:lastRenderedPageBreak/>
        <w:t xml:space="preserve">Le tableau </w:t>
      </w:r>
      <w:r w:rsidRPr="00206E11">
        <w:rPr>
          <w:rFonts w:eastAsiaTheme="minorEastAsia"/>
          <w:noProof/>
          <w:color w:val="000000"/>
          <w:sz w:val="22"/>
          <w:szCs w:val="22"/>
          <w:lang w:val="fr-CA"/>
        </w:rPr>
        <w:t>ci</w:t>
      </w:r>
      <w:r w:rsidR="00CD6257">
        <w:rPr>
          <w:rFonts w:eastAsiaTheme="minorEastAsia"/>
          <w:noProof/>
          <w:color w:val="000000"/>
          <w:sz w:val="22"/>
          <w:szCs w:val="22"/>
          <w:lang w:val="fr-CA"/>
        </w:rPr>
        <w:noBreakHyphen/>
      </w:r>
      <w:r w:rsidRPr="00206E11">
        <w:rPr>
          <w:rFonts w:eastAsiaTheme="minorEastAsia"/>
          <w:noProof/>
          <w:color w:val="000000"/>
          <w:sz w:val="22"/>
          <w:szCs w:val="22"/>
          <w:lang w:val="fr-CA"/>
        </w:rPr>
        <w:t>dessus</w:t>
      </w:r>
      <w:r w:rsidRPr="00206E11">
        <w:rPr>
          <w:rFonts w:eastAsiaTheme="minorEastAsia"/>
          <w:color w:val="000000"/>
          <w:sz w:val="22"/>
          <w:szCs w:val="22"/>
          <w:lang w:val="fr-CA"/>
        </w:rPr>
        <w:t xml:space="preserve"> montre une augmentation particulièrement substantielle du nombre total de certificats de conformité reconnus à l</w:t>
      </w:r>
      <w:r w:rsidR="00CD6257">
        <w:rPr>
          <w:rFonts w:eastAsiaTheme="minorEastAsia"/>
          <w:color w:val="000000"/>
          <w:sz w:val="22"/>
          <w:szCs w:val="22"/>
          <w:lang w:val="fr-CA"/>
        </w:rPr>
        <w:t>’</w:t>
      </w:r>
      <w:r w:rsidRPr="00206E11">
        <w:rPr>
          <w:rFonts w:eastAsiaTheme="minorEastAsia"/>
          <w:color w:val="000000"/>
          <w:sz w:val="22"/>
          <w:szCs w:val="22"/>
          <w:lang w:val="fr-CA"/>
        </w:rPr>
        <w:t>échelle internationale</w:t>
      </w:r>
      <w:r w:rsidRPr="00206E11">
        <w:rPr>
          <w:rStyle w:val="FootnoteReference"/>
          <w:rFonts w:eastAsiaTheme="minorEastAsia"/>
          <w:color w:val="000000"/>
          <w:sz w:val="22"/>
          <w:szCs w:val="22"/>
          <w:lang w:val="fr-CA"/>
        </w:rPr>
        <w:footnoteReference w:id="10"/>
      </w:r>
      <w:r w:rsidRPr="00206E11">
        <w:rPr>
          <w:rFonts w:eastAsiaTheme="minorEastAsia"/>
          <w:color w:val="000000"/>
          <w:sz w:val="22"/>
          <w:szCs w:val="22"/>
          <w:lang w:val="fr-CA"/>
        </w:rPr>
        <w:t xml:space="preserve"> et deux fois plus de Parties qui ont publié des permis ou leur équivalent par rapport au point de référence. Par ailleurs, les premiers communiqués des points de contrôle ont été émis, signalant ainsi que le système mis en place par le Protocole de Nagoya pour surveiller l</w:t>
      </w:r>
      <w:r w:rsidR="00CD6257">
        <w:rPr>
          <w:rFonts w:eastAsiaTheme="minorEastAsia"/>
          <w:color w:val="000000"/>
          <w:sz w:val="22"/>
          <w:szCs w:val="22"/>
          <w:lang w:val="fr-CA"/>
        </w:rPr>
        <w:t>’</w:t>
      </w:r>
      <w:r w:rsidRPr="00206E11">
        <w:rPr>
          <w:rFonts w:eastAsiaTheme="minorEastAsia"/>
          <w:color w:val="000000"/>
          <w:sz w:val="22"/>
          <w:szCs w:val="22"/>
          <w:lang w:val="fr-CA"/>
        </w:rPr>
        <w:t>utilisation des ressources génétiques et des connaissances traditionnelles associées est opérationnel.</w:t>
      </w:r>
    </w:p>
    <w:p w:rsidR="00804E5E" w:rsidRPr="00206E11" w:rsidRDefault="00560D76" w:rsidP="00560D76">
      <w:pPr>
        <w:pStyle w:val="ListParagraph"/>
        <w:numPr>
          <w:ilvl w:val="0"/>
          <w:numId w:val="22"/>
        </w:numPr>
        <w:autoSpaceDE w:val="0"/>
        <w:autoSpaceDN w:val="0"/>
        <w:adjustRightInd w:val="0"/>
        <w:spacing w:after="120"/>
        <w:ind w:left="0" w:firstLine="0"/>
        <w:contextualSpacing w:val="0"/>
        <w:jc w:val="both"/>
        <w:rPr>
          <w:rFonts w:eastAsiaTheme="minorEastAsia"/>
          <w:color w:val="000000" w:themeColor="text1"/>
          <w:sz w:val="22"/>
          <w:szCs w:val="22"/>
          <w:lang w:val="fr-CA"/>
        </w:rPr>
      </w:pPr>
      <w:r w:rsidRPr="00206E11">
        <w:rPr>
          <w:rFonts w:eastAsiaTheme="minorEastAsia"/>
          <w:color w:val="000000" w:themeColor="text1"/>
          <w:sz w:val="22"/>
          <w:szCs w:val="22"/>
          <w:lang w:val="fr-CA"/>
        </w:rPr>
        <w:t>De plus amples informations sur les progrès réalisés en matière d</w:t>
      </w:r>
      <w:r w:rsidR="00CD6257">
        <w:rPr>
          <w:rFonts w:eastAsiaTheme="minorEastAsia"/>
          <w:color w:val="000000" w:themeColor="text1"/>
          <w:sz w:val="22"/>
          <w:szCs w:val="22"/>
          <w:lang w:val="fr-CA"/>
        </w:rPr>
        <w:t>’</w:t>
      </w:r>
      <w:r w:rsidRPr="00206E11">
        <w:rPr>
          <w:rFonts w:eastAsiaTheme="minorEastAsia"/>
          <w:color w:val="000000" w:themeColor="text1"/>
          <w:sz w:val="22"/>
          <w:szCs w:val="22"/>
          <w:lang w:val="fr-CA"/>
        </w:rPr>
        <w:t>utilisation et d</w:t>
      </w:r>
      <w:r w:rsidR="00CD6257">
        <w:rPr>
          <w:rFonts w:eastAsiaTheme="minorEastAsia"/>
          <w:color w:val="000000" w:themeColor="text1"/>
          <w:sz w:val="22"/>
          <w:szCs w:val="22"/>
          <w:lang w:val="fr-CA"/>
        </w:rPr>
        <w:t>’</w:t>
      </w:r>
      <w:r w:rsidRPr="00206E11">
        <w:rPr>
          <w:rFonts w:eastAsiaTheme="minorEastAsia"/>
          <w:color w:val="000000" w:themeColor="text1"/>
          <w:sz w:val="22"/>
          <w:szCs w:val="22"/>
          <w:lang w:val="fr-CA"/>
        </w:rPr>
        <w:t>opération du Centre d</w:t>
      </w:r>
      <w:r w:rsidR="00CD6257">
        <w:rPr>
          <w:rFonts w:eastAsiaTheme="minorEastAsia"/>
          <w:color w:val="000000" w:themeColor="text1"/>
          <w:sz w:val="22"/>
          <w:szCs w:val="22"/>
          <w:lang w:val="fr-CA"/>
        </w:rPr>
        <w:t>’</w:t>
      </w:r>
      <w:r w:rsidRPr="00206E11">
        <w:rPr>
          <w:rFonts w:eastAsiaTheme="minorEastAsia"/>
          <w:color w:val="000000" w:themeColor="text1"/>
          <w:sz w:val="22"/>
          <w:szCs w:val="22"/>
          <w:lang w:val="fr-CA"/>
        </w:rPr>
        <w:t>échange sur l</w:t>
      </w:r>
      <w:r w:rsidR="00CD6257">
        <w:rPr>
          <w:rFonts w:eastAsiaTheme="minorEastAsia"/>
          <w:color w:val="000000" w:themeColor="text1"/>
          <w:sz w:val="22"/>
          <w:szCs w:val="22"/>
          <w:lang w:val="fr-CA"/>
        </w:rPr>
        <w:t>’</w:t>
      </w:r>
      <w:r w:rsidRPr="00206E11">
        <w:rPr>
          <w:rFonts w:eastAsiaTheme="minorEastAsia"/>
          <w:color w:val="000000" w:themeColor="text1"/>
          <w:sz w:val="22"/>
          <w:szCs w:val="22"/>
          <w:lang w:val="fr-CA"/>
        </w:rPr>
        <w:t>accès et le partage des avantages figurent dans le document CBD/NP/MOP/4/6</w:t>
      </w:r>
      <w:r w:rsidR="00787E3C" w:rsidRPr="00206E11">
        <w:rPr>
          <w:rFonts w:eastAsiaTheme="minorEastAsia"/>
          <w:color w:val="000000" w:themeColor="text1"/>
          <w:sz w:val="22"/>
          <w:szCs w:val="22"/>
          <w:lang w:val="fr-CA"/>
        </w:rPr>
        <w:t>.</w:t>
      </w:r>
    </w:p>
    <w:p w:rsidR="00827FB5" w:rsidRPr="00206E11" w:rsidRDefault="00D66B04" w:rsidP="003C752B">
      <w:pPr>
        <w:pStyle w:val="Heading1"/>
        <w:ind w:left="1440" w:hanging="720"/>
        <w:jc w:val="left"/>
        <w:rPr>
          <w:rFonts w:ascii="Times New Roman Bold" w:hAnsi="Times New Roman Bold"/>
          <w:sz w:val="22"/>
          <w:szCs w:val="22"/>
          <w:lang w:val="fr-CA"/>
        </w:rPr>
      </w:pPr>
      <w:r w:rsidRPr="00206E11">
        <w:rPr>
          <w:rFonts w:eastAsiaTheme="minorEastAsia"/>
          <w:sz w:val="22"/>
          <w:szCs w:val="22"/>
          <w:lang w:val="fr-CA"/>
        </w:rPr>
        <w:t>opportunités permettant de renforcer la mise en œuvre du Protocole dans le contexte du cadre mondial de la biodiversité pour l</w:t>
      </w:r>
      <w:r w:rsidR="00CD6257">
        <w:rPr>
          <w:rFonts w:eastAsiaTheme="minorEastAsia"/>
          <w:sz w:val="22"/>
          <w:szCs w:val="22"/>
          <w:lang w:val="fr-CA"/>
        </w:rPr>
        <w:t>’</w:t>
      </w:r>
      <w:r w:rsidRPr="00206E11">
        <w:rPr>
          <w:rFonts w:eastAsiaTheme="minorEastAsia"/>
          <w:sz w:val="22"/>
          <w:szCs w:val="22"/>
          <w:lang w:val="fr-CA"/>
        </w:rPr>
        <w:t>après</w:t>
      </w:r>
      <w:r w:rsidR="00CD6257">
        <w:rPr>
          <w:rFonts w:eastAsiaTheme="minorEastAsia"/>
          <w:sz w:val="22"/>
          <w:szCs w:val="22"/>
          <w:lang w:val="fr-CA"/>
        </w:rPr>
        <w:noBreakHyphen/>
      </w:r>
      <w:r w:rsidRPr="00206E11">
        <w:rPr>
          <w:rFonts w:eastAsiaTheme="minorEastAsia"/>
          <w:sz w:val="22"/>
          <w:szCs w:val="22"/>
          <w:lang w:val="fr-CA"/>
        </w:rPr>
        <w:t>2020</w:t>
      </w:r>
      <w:r w:rsidR="00B2536B" w:rsidRPr="00206E11">
        <w:rPr>
          <w:rFonts w:ascii="Times New Roman Bold" w:hAnsi="Times New Roman Bold"/>
          <w:sz w:val="22"/>
          <w:szCs w:val="22"/>
          <w:lang w:val="fr-CA"/>
        </w:rPr>
        <w:t xml:space="preserve"> </w:t>
      </w:r>
    </w:p>
    <w:p w:rsidR="00D66B04" w:rsidRPr="00206E11" w:rsidRDefault="00D66B04" w:rsidP="00D66B04">
      <w:pPr>
        <w:pStyle w:val="ListParagraph"/>
        <w:numPr>
          <w:ilvl w:val="0"/>
          <w:numId w:val="22"/>
        </w:numPr>
        <w:autoSpaceDE w:val="0"/>
        <w:autoSpaceDN w:val="0"/>
        <w:adjustRightInd w:val="0"/>
        <w:spacing w:after="120"/>
        <w:ind w:left="0" w:firstLine="0"/>
        <w:contextualSpacing w:val="0"/>
        <w:jc w:val="both"/>
        <w:rPr>
          <w:kern w:val="22"/>
          <w:sz w:val="22"/>
          <w:szCs w:val="22"/>
          <w:lang w:val="fr-CA"/>
        </w:rPr>
      </w:pPr>
      <w:r w:rsidRPr="00206E11">
        <w:rPr>
          <w:sz w:val="22"/>
          <w:szCs w:val="22"/>
          <w:lang w:val="fr-CA"/>
        </w:rPr>
        <w:t>Le processus préparatoire pour le cadre mondial de la biodiversité pour l</w:t>
      </w:r>
      <w:r w:rsidR="00CD6257">
        <w:rPr>
          <w:sz w:val="22"/>
          <w:szCs w:val="22"/>
          <w:lang w:val="fr-CA"/>
        </w:rPr>
        <w:t>’</w:t>
      </w:r>
      <w:r w:rsidRPr="00206E11">
        <w:rPr>
          <w:sz w:val="22"/>
          <w:szCs w:val="22"/>
          <w:lang w:val="fr-CA"/>
        </w:rPr>
        <w:t>après</w:t>
      </w:r>
      <w:r w:rsidR="00CD6257">
        <w:rPr>
          <w:sz w:val="22"/>
          <w:szCs w:val="22"/>
          <w:lang w:val="fr-CA"/>
        </w:rPr>
        <w:noBreakHyphen/>
      </w:r>
      <w:r w:rsidRPr="00206E11">
        <w:rPr>
          <w:sz w:val="22"/>
          <w:szCs w:val="22"/>
          <w:lang w:val="fr-CA"/>
        </w:rPr>
        <w:t>2020 a souligné l</w:t>
      </w:r>
      <w:r w:rsidR="00CD6257">
        <w:rPr>
          <w:sz w:val="22"/>
          <w:szCs w:val="22"/>
          <w:lang w:val="fr-CA"/>
        </w:rPr>
        <w:t>’</w:t>
      </w:r>
      <w:r w:rsidRPr="00206E11">
        <w:rPr>
          <w:sz w:val="22"/>
          <w:szCs w:val="22"/>
          <w:lang w:val="fr-CA"/>
        </w:rPr>
        <w:t>importance de refléter les trois objectifs de la Convention, et par conséquent l</w:t>
      </w:r>
      <w:r w:rsidR="00CD6257">
        <w:rPr>
          <w:sz w:val="22"/>
          <w:szCs w:val="22"/>
          <w:lang w:val="fr-CA"/>
        </w:rPr>
        <w:t>’</w:t>
      </w:r>
      <w:r w:rsidRPr="00206E11">
        <w:rPr>
          <w:sz w:val="22"/>
          <w:szCs w:val="22"/>
          <w:lang w:val="fr-CA"/>
        </w:rPr>
        <w:t>objectif du Protocole de Nagoya, de manière équilibrée au sein du cadre.</w:t>
      </w:r>
      <w:r w:rsidRPr="00206E11">
        <w:rPr>
          <w:rStyle w:val="FootnoteReference"/>
          <w:sz w:val="22"/>
          <w:szCs w:val="22"/>
          <w:lang w:val="fr-CA"/>
        </w:rPr>
        <w:footnoteReference w:id="11"/>
      </w:r>
      <w:r w:rsidRPr="00206E11">
        <w:rPr>
          <w:sz w:val="22"/>
          <w:szCs w:val="22"/>
          <w:lang w:val="fr-CA"/>
        </w:rPr>
        <w:t xml:space="preserve"> Les participants à la Consultation mondiale sur le cadre mondial de la biodiversité pour l</w:t>
      </w:r>
      <w:r w:rsidR="00CD6257">
        <w:rPr>
          <w:sz w:val="22"/>
          <w:szCs w:val="22"/>
          <w:lang w:val="fr-CA"/>
        </w:rPr>
        <w:t>’</w:t>
      </w:r>
      <w:r w:rsidRPr="00206E11">
        <w:rPr>
          <w:sz w:val="22"/>
          <w:szCs w:val="22"/>
          <w:lang w:val="fr-CA"/>
        </w:rPr>
        <w:t>après</w:t>
      </w:r>
      <w:r w:rsidR="00CD6257">
        <w:rPr>
          <w:sz w:val="22"/>
          <w:szCs w:val="22"/>
          <w:lang w:val="fr-CA"/>
        </w:rPr>
        <w:noBreakHyphen/>
      </w:r>
      <w:r w:rsidRPr="00206E11">
        <w:rPr>
          <w:sz w:val="22"/>
          <w:szCs w:val="22"/>
          <w:lang w:val="fr-CA"/>
        </w:rPr>
        <w:t>2020 relativement au Protocole de Nagoya sur l</w:t>
      </w:r>
      <w:r w:rsidR="00CD6257">
        <w:rPr>
          <w:sz w:val="22"/>
          <w:szCs w:val="22"/>
          <w:lang w:val="fr-CA"/>
        </w:rPr>
        <w:t>’</w:t>
      </w:r>
      <w:r w:rsidRPr="00206E11">
        <w:rPr>
          <w:sz w:val="22"/>
          <w:szCs w:val="22"/>
          <w:lang w:val="fr-CA"/>
        </w:rPr>
        <w:t>accès et le partage des avantages</w:t>
      </w:r>
      <w:r w:rsidRPr="00206E11">
        <w:rPr>
          <w:rStyle w:val="FootnoteReference"/>
          <w:sz w:val="22"/>
          <w:szCs w:val="22"/>
          <w:lang w:val="fr-CA"/>
        </w:rPr>
        <w:footnoteReference w:id="12"/>
      </w:r>
      <w:r w:rsidRPr="00206E11">
        <w:rPr>
          <w:sz w:val="22"/>
          <w:szCs w:val="22"/>
          <w:lang w:val="fr-CA"/>
        </w:rPr>
        <w:t xml:space="preserve"> ont également observé que l</w:t>
      </w:r>
      <w:r w:rsidR="00CD6257">
        <w:rPr>
          <w:sz w:val="22"/>
          <w:szCs w:val="22"/>
          <w:lang w:val="fr-CA"/>
        </w:rPr>
        <w:t>’</w:t>
      </w:r>
      <w:r w:rsidRPr="00206E11">
        <w:rPr>
          <w:sz w:val="22"/>
          <w:szCs w:val="22"/>
          <w:lang w:val="fr-CA"/>
        </w:rPr>
        <w:t>accès et le partage des avantages est essentiel à la réalisation de la Vision 2050 pour la diversité biologique et qu</w:t>
      </w:r>
      <w:r w:rsidR="00CD6257">
        <w:rPr>
          <w:sz w:val="22"/>
          <w:szCs w:val="22"/>
          <w:lang w:val="fr-CA"/>
        </w:rPr>
        <w:t>’</w:t>
      </w:r>
      <w:r w:rsidRPr="00206E11">
        <w:rPr>
          <w:sz w:val="22"/>
          <w:szCs w:val="22"/>
          <w:lang w:val="fr-CA"/>
        </w:rPr>
        <w:t>il devrait être reflété au sein du cadre en tant que mesure incitative pour la conservation et l</w:t>
      </w:r>
      <w:r w:rsidR="00CD6257">
        <w:rPr>
          <w:sz w:val="22"/>
          <w:szCs w:val="22"/>
          <w:lang w:val="fr-CA"/>
        </w:rPr>
        <w:t>’</w:t>
      </w:r>
      <w:r w:rsidRPr="00206E11">
        <w:rPr>
          <w:sz w:val="22"/>
          <w:szCs w:val="22"/>
          <w:lang w:val="fr-CA"/>
        </w:rPr>
        <w:t>utilisation durable de la biodiversité. Plusieurs participants à la consultation ont également reconnu que la question de l</w:t>
      </w:r>
      <w:r w:rsidR="00CD6257">
        <w:rPr>
          <w:sz w:val="22"/>
          <w:szCs w:val="22"/>
          <w:lang w:val="fr-CA"/>
        </w:rPr>
        <w:t>’</w:t>
      </w:r>
      <w:r w:rsidRPr="00206E11">
        <w:rPr>
          <w:sz w:val="22"/>
          <w:szCs w:val="22"/>
          <w:lang w:val="fr-CA"/>
        </w:rPr>
        <w:t>information de séquençage numérique s</w:t>
      </w:r>
      <w:r w:rsidR="00CD6257">
        <w:rPr>
          <w:sz w:val="22"/>
          <w:szCs w:val="22"/>
          <w:lang w:val="fr-CA"/>
        </w:rPr>
        <w:t>’</w:t>
      </w:r>
      <w:r w:rsidRPr="00206E11">
        <w:rPr>
          <w:sz w:val="22"/>
          <w:szCs w:val="22"/>
          <w:lang w:val="fr-CA"/>
        </w:rPr>
        <w:t>avérera à l</w:t>
      </w:r>
      <w:r w:rsidR="00CD6257">
        <w:rPr>
          <w:sz w:val="22"/>
          <w:szCs w:val="22"/>
          <w:lang w:val="fr-CA"/>
        </w:rPr>
        <w:t>’</w:t>
      </w:r>
      <w:r w:rsidRPr="00206E11">
        <w:rPr>
          <w:sz w:val="22"/>
          <w:szCs w:val="22"/>
          <w:lang w:val="fr-CA"/>
        </w:rPr>
        <w:t>avenir l</w:t>
      </w:r>
      <w:r w:rsidR="00CD6257">
        <w:rPr>
          <w:sz w:val="22"/>
          <w:szCs w:val="22"/>
          <w:lang w:val="fr-CA"/>
        </w:rPr>
        <w:t>’</w:t>
      </w:r>
      <w:r w:rsidRPr="00206E11">
        <w:rPr>
          <w:sz w:val="22"/>
          <w:szCs w:val="22"/>
          <w:lang w:val="fr-CA"/>
        </w:rPr>
        <w:t>une des avancées technologiques les plus pertinentes pour l</w:t>
      </w:r>
      <w:r w:rsidR="00CD6257">
        <w:rPr>
          <w:sz w:val="22"/>
          <w:szCs w:val="22"/>
          <w:lang w:val="fr-CA"/>
        </w:rPr>
        <w:t>’</w:t>
      </w:r>
      <w:r w:rsidRPr="00206E11">
        <w:rPr>
          <w:sz w:val="22"/>
          <w:szCs w:val="22"/>
          <w:lang w:val="fr-CA"/>
        </w:rPr>
        <w:t>accès et le partage des avantages.</w:t>
      </w:r>
    </w:p>
    <w:p w:rsidR="00DE3519" w:rsidRPr="00206E11" w:rsidRDefault="00D66B04" w:rsidP="00D66B04">
      <w:pPr>
        <w:pStyle w:val="ListParagraph"/>
        <w:numPr>
          <w:ilvl w:val="0"/>
          <w:numId w:val="22"/>
        </w:numPr>
        <w:autoSpaceDE w:val="0"/>
        <w:autoSpaceDN w:val="0"/>
        <w:adjustRightInd w:val="0"/>
        <w:spacing w:after="120"/>
        <w:ind w:left="0" w:firstLine="0"/>
        <w:contextualSpacing w:val="0"/>
        <w:jc w:val="both"/>
        <w:rPr>
          <w:sz w:val="22"/>
          <w:szCs w:val="22"/>
          <w:lang w:val="fr-CA"/>
        </w:rPr>
      </w:pPr>
      <w:r w:rsidRPr="00206E11">
        <w:rPr>
          <w:sz w:val="22"/>
          <w:szCs w:val="22"/>
          <w:lang w:val="fr-CA"/>
        </w:rPr>
        <w:t>À sa troisième réunion, le Comité de conformité a également souligné l</w:t>
      </w:r>
      <w:r w:rsidR="00CD6257">
        <w:rPr>
          <w:sz w:val="22"/>
          <w:szCs w:val="22"/>
          <w:lang w:val="fr-CA"/>
        </w:rPr>
        <w:t>’</w:t>
      </w:r>
      <w:r w:rsidRPr="00206E11">
        <w:rPr>
          <w:sz w:val="22"/>
          <w:szCs w:val="22"/>
          <w:lang w:val="fr-CA"/>
        </w:rPr>
        <w:t>importance de l</w:t>
      </w:r>
      <w:r w:rsidR="00CD6257">
        <w:rPr>
          <w:sz w:val="22"/>
          <w:szCs w:val="22"/>
          <w:lang w:val="fr-CA"/>
        </w:rPr>
        <w:t>’</w:t>
      </w:r>
      <w:r w:rsidRPr="00206E11">
        <w:rPr>
          <w:sz w:val="22"/>
          <w:szCs w:val="22"/>
          <w:lang w:val="fr-CA"/>
        </w:rPr>
        <w:t>accès et du partage des avantages pour la conservation et l</w:t>
      </w:r>
      <w:r w:rsidR="00CD6257">
        <w:rPr>
          <w:sz w:val="22"/>
          <w:szCs w:val="22"/>
          <w:lang w:val="fr-CA"/>
        </w:rPr>
        <w:t>’</w:t>
      </w:r>
      <w:r w:rsidRPr="00206E11">
        <w:rPr>
          <w:sz w:val="22"/>
          <w:szCs w:val="22"/>
          <w:lang w:val="fr-CA"/>
        </w:rPr>
        <w:t>utilisation durable de la biodiversité et l</w:t>
      </w:r>
      <w:r w:rsidR="00CD6257">
        <w:rPr>
          <w:sz w:val="22"/>
          <w:szCs w:val="22"/>
          <w:lang w:val="fr-CA"/>
        </w:rPr>
        <w:t>’</w:t>
      </w:r>
      <w:r w:rsidRPr="00206E11">
        <w:rPr>
          <w:sz w:val="22"/>
          <w:szCs w:val="22"/>
          <w:lang w:val="fr-CA"/>
        </w:rPr>
        <w:t>importance de faciliter l</w:t>
      </w:r>
      <w:r w:rsidR="00CD6257">
        <w:rPr>
          <w:sz w:val="22"/>
          <w:szCs w:val="22"/>
          <w:lang w:val="fr-CA"/>
        </w:rPr>
        <w:t>’</w:t>
      </w:r>
      <w:r w:rsidRPr="00206E11">
        <w:rPr>
          <w:sz w:val="22"/>
          <w:szCs w:val="22"/>
          <w:lang w:val="fr-CA"/>
        </w:rPr>
        <w:t>accès aux ressources génétiques pour la réalisation des trois objectifs de la Convention. Le Comité a également reconnu l</w:t>
      </w:r>
      <w:r w:rsidR="00CD6257">
        <w:rPr>
          <w:sz w:val="22"/>
          <w:szCs w:val="22"/>
          <w:lang w:val="fr-CA"/>
        </w:rPr>
        <w:t>’</w:t>
      </w:r>
      <w:r w:rsidRPr="00206E11">
        <w:rPr>
          <w:sz w:val="22"/>
          <w:szCs w:val="22"/>
          <w:lang w:val="fr-CA"/>
        </w:rPr>
        <w:t>importance essentielle du Protocole de Nagoya et de sa pleine mise en œuvre pour le renforcement et la réussite du cadre mondial de la biodiversité pour l</w:t>
      </w:r>
      <w:r w:rsidR="00CD6257">
        <w:rPr>
          <w:sz w:val="22"/>
          <w:szCs w:val="22"/>
          <w:lang w:val="fr-CA"/>
        </w:rPr>
        <w:t>’</w:t>
      </w:r>
      <w:r w:rsidRPr="00206E11">
        <w:rPr>
          <w:sz w:val="22"/>
          <w:szCs w:val="22"/>
          <w:lang w:val="fr-CA"/>
        </w:rPr>
        <w:t>après</w:t>
      </w:r>
      <w:r w:rsidR="00CD6257">
        <w:rPr>
          <w:sz w:val="22"/>
          <w:szCs w:val="22"/>
          <w:lang w:val="fr-CA"/>
        </w:rPr>
        <w:noBreakHyphen/>
      </w:r>
      <w:r w:rsidRPr="00206E11">
        <w:rPr>
          <w:sz w:val="22"/>
          <w:szCs w:val="22"/>
          <w:lang w:val="fr-CA"/>
        </w:rPr>
        <w:t>2020, et qu</w:t>
      </w:r>
      <w:r w:rsidR="00CD6257">
        <w:rPr>
          <w:sz w:val="22"/>
          <w:szCs w:val="22"/>
          <w:lang w:val="fr-CA"/>
        </w:rPr>
        <w:t>’</w:t>
      </w:r>
      <w:r w:rsidRPr="00206E11">
        <w:rPr>
          <w:sz w:val="22"/>
          <w:szCs w:val="22"/>
          <w:lang w:val="fr-CA"/>
        </w:rPr>
        <w:t>un examen approprié du renforcement des capacités et de la mobilisation de ressources importait afin de promouvoir la conformité avec le Protocole de Nagoya.</w:t>
      </w:r>
      <w:r w:rsidRPr="00206E11">
        <w:rPr>
          <w:rStyle w:val="FootnoteReference"/>
          <w:sz w:val="22"/>
          <w:szCs w:val="22"/>
          <w:lang w:val="fr-CA"/>
        </w:rPr>
        <w:footnoteReference w:id="13"/>
      </w:r>
      <w:r w:rsidRPr="00206E11">
        <w:rPr>
          <w:sz w:val="22"/>
          <w:szCs w:val="22"/>
          <w:lang w:val="fr-CA"/>
        </w:rPr>
        <w:t xml:space="preserve"> À cet égard, le Comité a recommandé que la Conférence des Parties siégeant en tant que Réunion des Parties au Protocole encourage les Parties à prendre le cadre mondial de la biodiversité pour l</w:t>
      </w:r>
      <w:r w:rsidR="00CD6257">
        <w:rPr>
          <w:sz w:val="22"/>
          <w:szCs w:val="22"/>
          <w:lang w:val="fr-CA"/>
        </w:rPr>
        <w:t>’</w:t>
      </w:r>
      <w:r w:rsidRPr="00206E11">
        <w:rPr>
          <w:sz w:val="22"/>
          <w:szCs w:val="22"/>
          <w:lang w:val="fr-CA"/>
        </w:rPr>
        <w:t>après</w:t>
      </w:r>
      <w:r w:rsidR="00CD6257">
        <w:rPr>
          <w:sz w:val="22"/>
          <w:szCs w:val="22"/>
          <w:lang w:val="fr-CA"/>
        </w:rPr>
        <w:noBreakHyphen/>
      </w:r>
      <w:r w:rsidRPr="00206E11">
        <w:rPr>
          <w:sz w:val="22"/>
          <w:szCs w:val="22"/>
          <w:lang w:val="fr-CA"/>
        </w:rPr>
        <w:t>2020 comme une opportunité leur permettant de renforcer efficacement leurs efforts de mise en œuvre de leurs obligations au titre du Protocole.</w:t>
      </w:r>
      <w:r w:rsidRPr="00206E11">
        <w:rPr>
          <w:rStyle w:val="FootnoteReference"/>
          <w:sz w:val="22"/>
          <w:szCs w:val="22"/>
          <w:lang w:val="fr-CA"/>
        </w:rPr>
        <w:footnoteReference w:id="14"/>
      </w:r>
    </w:p>
    <w:p w:rsidR="00356191" w:rsidRPr="00206E11" w:rsidRDefault="00D66B04" w:rsidP="006243E8">
      <w:pPr>
        <w:pStyle w:val="ListParagraph"/>
        <w:numPr>
          <w:ilvl w:val="0"/>
          <w:numId w:val="22"/>
        </w:numPr>
        <w:spacing w:after="120"/>
        <w:ind w:left="0" w:firstLine="0"/>
        <w:contextualSpacing w:val="0"/>
        <w:jc w:val="both"/>
        <w:rPr>
          <w:sz w:val="22"/>
          <w:szCs w:val="22"/>
          <w:lang w:val="fr-CA"/>
        </w:rPr>
      </w:pPr>
      <w:r w:rsidRPr="00206E11">
        <w:rPr>
          <w:color w:val="000000"/>
          <w:sz w:val="22"/>
          <w:szCs w:val="22"/>
          <w:lang w:val="fr-CA"/>
        </w:rPr>
        <w:t>Le troisième objectif de la Convention et l</w:t>
      </w:r>
      <w:r w:rsidR="00CD6257">
        <w:rPr>
          <w:color w:val="000000"/>
          <w:sz w:val="22"/>
          <w:szCs w:val="22"/>
          <w:lang w:val="fr-CA"/>
        </w:rPr>
        <w:t>’</w:t>
      </w:r>
      <w:r w:rsidRPr="00206E11">
        <w:rPr>
          <w:color w:val="000000"/>
          <w:sz w:val="22"/>
          <w:szCs w:val="22"/>
          <w:lang w:val="fr-CA"/>
        </w:rPr>
        <w:t>objectif du Protocole sont également mentionnés de plus en plus souvent au cours de débats sur les processus et les politiques au titre d</w:t>
      </w:r>
      <w:r w:rsidR="00CD6257">
        <w:rPr>
          <w:color w:val="000000"/>
          <w:sz w:val="22"/>
          <w:szCs w:val="22"/>
          <w:lang w:val="fr-CA"/>
        </w:rPr>
        <w:t>’</w:t>
      </w:r>
      <w:r w:rsidRPr="00206E11">
        <w:rPr>
          <w:color w:val="000000"/>
          <w:sz w:val="22"/>
          <w:szCs w:val="22"/>
          <w:lang w:val="fr-CA"/>
        </w:rPr>
        <w:t>autres conventions, organisations et initiatives internationales, telle que l</w:t>
      </w:r>
      <w:r w:rsidR="00CD6257">
        <w:rPr>
          <w:color w:val="000000"/>
          <w:sz w:val="22"/>
          <w:szCs w:val="22"/>
          <w:lang w:val="fr-CA"/>
        </w:rPr>
        <w:t>’</w:t>
      </w:r>
      <w:r w:rsidRPr="00206E11">
        <w:rPr>
          <w:color w:val="000000"/>
          <w:sz w:val="22"/>
          <w:szCs w:val="22"/>
          <w:lang w:val="fr-CA"/>
        </w:rPr>
        <w:t xml:space="preserve">Organisation mondiale de la santé et la conférence intergouvernementale sur un instrument juridiquement contraignant au titre de la Convention des Nations Unies sur le droit de la mer </w:t>
      </w:r>
      <w:r w:rsidRPr="00206E11">
        <w:rPr>
          <w:noProof/>
          <w:color w:val="000000"/>
          <w:sz w:val="22"/>
          <w:szCs w:val="22"/>
          <w:lang w:val="fr-CA"/>
        </w:rPr>
        <w:t>portant sur la conservation et l</w:t>
      </w:r>
      <w:r w:rsidR="00CD6257">
        <w:rPr>
          <w:noProof/>
          <w:color w:val="000000"/>
          <w:sz w:val="22"/>
          <w:szCs w:val="22"/>
          <w:lang w:val="fr-CA"/>
        </w:rPr>
        <w:t>’</w:t>
      </w:r>
      <w:r w:rsidRPr="00206E11">
        <w:rPr>
          <w:noProof/>
          <w:color w:val="000000"/>
          <w:sz w:val="22"/>
          <w:szCs w:val="22"/>
          <w:lang w:val="fr-CA"/>
        </w:rPr>
        <w:t>utilisation durable de la diversité biologique marine des zones ne relevant pas de la juridiction nationale.</w:t>
      </w:r>
      <w:r w:rsidRPr="00206E11">
        <w:rPr>
          <w:rStyle w:val="FootnoteReference"/>
          <w:sz w:val="22"/>
          <w:szCs w:val="22"/>
          <w:lang w:val="fr-CA"/>
        </w:rPr>
        <w:footnoteReference w:id="15"/>
      </w:r>
      <w:r w:rsidRPr="00206E11">
        <w:rPr>
          <w:noProof/>
          <w:color w:val="000000"/>
          <w:sz w:val="22"/>
          <w:szCs w:val="22"/>
          <w:lang w:val="fr-CA"/>
        </w:rPr>
        <w:t xml:space="preserve"> La vague de processus et de débats mentionnant l</w:t>
      </w:r>
      <w:r w:rsidR="00CD6257">
        <w:rPr>
          <w:noProof/>
          <w:color w:val="000000"/>
          <w:sz w:val="22"/>
          <w:szCs w:val="22"/>
          <w:lang w:val="fr-CA"/>
        </w:rPr>
        <w:t>’</w:t>
      </w:r>
      <w:r w:rsidRPr="00206E11">
        <w:rPr>
          <w:noProof/>
          <w:color w:val="000000"/>
          <w:sz w:val="22"/>
          <w:szCs w:val="22"/>
          <w:lang w:val="fr-CA"/>
        </w:rPr>
        <w:t>accès et le partage des avantages juste et équitable montre qu</w:t>
      </w:r>
      <w:r w:rsidR="00CD6257">
        <w:rPr>
          <w:noProof/>
          <w:color w:val="000000"/>
          <w:sz w:val="22"/>
          <w:szCs w:val="22"/>
          <w:lang w:val="fr-CA"/>
        </w:rPr>
        <w:t>’</w:t>
      </w:r>
      <w:r w:rsidRPr="00206E11">
        <w:rPr>
          <w:noProof/>
          <w:color w:val="000000"/>
          <w:sz w:val="22"/>
          <w:szCs w:val="22"/>
          <w:lang w:val="fr-CA"/>
        </w:rPr>
        <w:t>il est nécessiare de renforcer la coopération et les synergies en vue d</w:t>
      </w:r>
      <w:r w:rsidR="00CD6257">
        <w:rPr>
          <w:noProof/>
          <w:color w:val="000000"/>
          <w:sz w:val="22"/>
          <w:szCs w:val="22"/>
          <w:lang w:val="fr-CA"/>
        </w:rPr>
        <w:t>’</w:t>
      </w:r>
      <w:r w:rsidRPr="00206E11">
        <w:rPr>
          <w:noProof/>
          <w:color w:val="000000"/>
          <w:sz w:val="22"/>
          <w:szCs w:val="22"/>
          <w:lang w:val="fr-CA"/>
        </w:rPr>
        <w:t xml:space="preserve">assurer la cohérence et la complémentarité dans le </w:t>
      </w:r>
      <w:r w:rsidRPr="00206E11">
        <w:rPr>
          <w:noProof/>
          <w:color w:val="000000"/>
          <w:sz w:val="22"/>
          <w:szCs w:val="22"/>
          <w:lang w:val="fr-CA"/>
        </w:rPr>
        <w:lastRenderedPageBreak/>
        <w:t>régime global d</w:t>
      </w:r>
      <w:r w:rsidR="00CD6257">
        <w:rPr>
          <w:noProof/>
          <w:color w:val="000000"/>
          <w:sz w:val="22"/>
          <w:szCs w:val="22"/>
          <w:lang w:val="fr-CA"/>
        </w:rPr>
        <w:t>’</w:t>
      </w:r>
      <w:r w:rsidRPr="00206E11">
        <w:rPr>
          <w:noProof/>
          <w:color w:val="000000"/>
          <w:sz w:val="22"/>
          <w:szCs w:val="22"/>
          <w:lang w:val="fr-CA"/>
        </w:rPr>
        <w:t>APA. En outre, cela met en évidence la sensibilisation et les pressions accrues réclamant de donner suite à un accès et à un partage des avantages juste et équitable en tant que principe de justice sociale et d</w:t>
      </w:r>
      <w:r w:rsidR="00CD6257">
        <w:rPr>
          <w:noProof/>
          <w:color w:val="000000"/>
          <w:sz w:val="22"/>
          <w:szCs w:val="22"/>
          <w:lang w:val="fr-CA"/>
        </w:rPr>
        <w:t>’</w:t>
      </w:r>
      <w:r w:rsidRPr="00206E11">
        <w:rPr>
          <w:noProof/>
          <w:color w:val="000000"/>
          <w:sz w:val="22"/>
          <w:szCs w:val="22"/>
          <w:lang w:val="fr-CA"/>
        </w:rPr>
        <w:t>équité pertinent pour le programme mondial, dans le domaine de l</w:t>
      </w:r>
      <w:r w:rsidR="00CD6257">
        <w:rPr>
          <w:noProof/>
          <w:color w:val="000000"/>
          <w:sz w:val="22"/>
          <w:szCs w:val="22"/>
          <w:lang w:val="fr-CA"/>
        </w:rPr>
        <w:t>’</w:t>
      </w:r>
      <w:r w:rsidRPr="00206E11">
        <w:rPr>
          <w:noProof/>
          <w:color w:val="000000"/>
          <w:sz w:val="22"/>
          <w:szCs w:val="22"/>
          <w:lang w:val="fr-CA"/>
        </w:rPr>
        <w:t>environnement et dans d</w:t>
      </w:r>
      <w:r w:rsidR="00CD6257">
        <w:rPr>
          <w:noProof/>
          <w:color w:val="000000"/>
          <w:sz w:val="22"/>
          <w:szCs w:val="22"/>
          <w:lang w:val="fr-CA"/>
        </w:rPr>
        <w:t>’</w:t>
      </w:r>
      <w:r w:rsidRPr="00206E11">
        <w:rPr>
          <w:noProof/>
          <w:color w:val="000000"/>
          <w:sz w:val="22"/>
          <w:szCs w:val="22"/>
          <w:lang w:val="fr-CA"/>
        </w:rPr>
        <w:t>autres domaines</w:t>
      </w:r>
      <w:r w:rsidR="002B2435" w:rsidRPr="00206E11">
        <w:rPr>
          <w:sz w:val="22"/>
          <w:szCs w:val="22"/>
          <w:lang w:val="fr-CA"/>
        </w:rPr>
        <w:t>.</w:t>
      </w:r>
    </w:p>
    <w:p w:rsidR="00537DD8" w:rsidRPr="00206E11" w:rsidRDefault="00D66B04" w:rsidP="006243E8">
      <w:pPr>
        <w:pStyle w:val="ListParagraph"/>
        <w:numPr>
          <w:ilvl w:val="0"/>
          <w:numId w:val="22"/>
        </w:numPr>
        <w:autoSpaceDE w:val="0"/>
        <w:autoSpaceDN w:val="0"/>
        <w:adjustRightInd w:val="0"/>
        <w:spacing w:after="120"/>
        <w:ind w:left="0" w:firstLine="0"/>
        <w:contextualSpacing w:val="0"/>
        <w:jc w:val="both"/>
        <w:rPr>
          <w:kern w:val="22"/>
          <w:sz w:val="22"/>
          <w:szCs w:val="22"/>
          <w:lang w:val="fr-CA"/>
        </w:rPr>
      </w:pPr>
      <w:r w:rsidRPr="00206E11">
        <w:rPr>
          <w:kern w:val="22"/>
          <w:sz w:val="22"/>
          <w:szCs w:val="22"/>
          <w:lang w:val="fr-CA"/>
        </w:rPr>
        <w:t>L</w:t>
      </w:r>
      <w:r w:rsidR="00CD6257">
        <w:rPr>
          <w:kern w:val="22"/>
          <w:sz w:val="22"/>
          <w:szCs w:val="22"/>
          <w:lang w:val="fr-CA"/>
        </w:rPr>
        <w:t>’</w:t>
      </w:r>
      <w:r w:rsidRPr="00206E11">
        <w:rPr>
          <w:kern w:val="22"/>
          <w:sz w:val="22"/>
          <w:szCs w:val="22"/>
          <w:lang w:val="fr-CA"/>
        </w:rPr>
        <w:t>adoption et la mise en œuvre du cadre mondial de la biodiversité pour l</w:t>
      </w:r>
      <w:r w:rsidR="00CD6257">
        <w:rPr>
          <w:kern w:val="22"/>
          <w:sz w:val="22"/>
          <w:szCs w:val="22"/>
          <w:lang w:val="fr-CA"/>
        </w:rPr>
        <w:t>’</w:t>
      </w:r>
      <w:r w:rsidRPr="00206E11">
        <w:rPr>
          <w:kern w:val="22"/>
          <w:sz w:val="22"/>
          <w:szCs w:val="22"/>
          <w:lang w:val="fr-CA"/>
        </w:rPr>
        <w:t>après</w:t>
      </w:r>
      <w:r w:rsidR="00CD6257">
        <w:rPr>
          <w:kern w:val="22"/>
          <w:sz w:val="22"/>
          <w:szCs w:val="22"/>
          <w:lang w:val="fr-CA"/>
        </w:rPr>
        <w:noBreakHyphen/>
      </w:r>
      <w:r w:rsidRPr="00206E11">
        <w:rPr>
          <w:kern w:val="22"/>
          <w:sz w:val="22"/>
          <w:szCs w:val="22"/>
          <w:lang w:val="fr-CA"/>
        </w:rPr>
        <w:t>2020 seront appuyées par un certain nombre de décisions complémentaires dont l</w:t>
      </w:r>
      <w:r w:rsidR="00CD6257">
        <w:rPr>
          <w:kern w:val="22"/>
          <w:sz w:val="22"/>
          <w:szCs w:val="22"/>
          <w:lang w:val="fr-CA"/>
        </w:rPr>
        <w:t>’</w:t>
      </w:r>
      <w:r w:rsidRPr="00206E11">
        <w:rPr>
          <w:kern w:val="22"/>
          <w:sz w:val="22"/>
          <w:szCs w:val="22"/>
          <w:lang w:val="fr-CA"/>
        </w:rPr>
        <w:t>adoption est prévue par la Conférence des Parties à sa quinzième réunion. Le tableau suivant fait ressortir des éléments de ces projets de décisions qui sont pertinents pour le Protocole de Nagoya en tant qu</w:t>
      </w:r>
      <w:r w:rsidR="00CD6257">
        <w:rPr>
          <w:kern w:val="22"/>
          <w:sz w:val="22"/>
          <w:szCs w:val="22"/>
          <w:lang w:val="fr-CA"/>
        </w:rPr>
        <w:t>’</w:t>
      </w:r>
      <w:r w:rsidRPr="00206E11">
        <w:rPr>
          <w:kern w:val="22"/>
          <w:sz w:val="22"/>
          <w:szCs w:val="22"/>
          <w:lang w:val="fr-CA"/>
        </w:rPr>
        <w:t>opportunités pour renforcer sa mise en œuvre. Lorsqu</w:t>
      </w:r>
      <w:r w:rsidR="00CD6257">
        <w:rPr>
          <w:kern w:val="22"/>
          <w:sz w:val="22"/>
          <w:szCs w:val="22"/>
          <w:lang w:val="fr-CA"/>
        </w:rPr>
        <w:t>’</w:t>
      </w:r>
      <w:r w:rsidRPr="00206E11">
        <w:rPr>
          <w:kern w:val="22"/>
          <w:sz w:val="22"/>
          <w:szCs w:val="22"/>
          <w:lang w:val="fr-CA"/>
        </w:rPr>
        <w:t>un élément est étroitement lié à un point de l</w:t>
      </w:r>
      <w:r w:rsidR="00CD6257">
        <w:rPr>
          <w:kern w:val="22"/>
          <w:sz w:val="22"/>
          <w:szCs w:val="22"/>
          <w:lang w:val="fr-CA"/>
        </w:rPr>
        <w:t>’</w:t>
      </w:r>
      <w:r w:rsidRPr="00206E11">
        <w:rPr>
          <w:kern w:val="22"/>
          <w:sz w:val="22"/>
          <w:szCs w:val="22"/>
          <w:lang w:val="fr-CA"/>
        </w:rPr>
        <w:t xml:space="preserve">ordre du jour de la Conférence des Parties siégeant en tant que Réunion des Parties au Protocole, des détails additionnels sont fournis dans le document de </w:t>
      </w:r>
      <w:r w:rsidRPr="00206E11">
        <w:rPr>
          <w:noProof/>
          <w:kern w:val="22"/>
          <w:sz w:val="22"/>
          <w:szCs w:val="22"/>
          <w:lang w:val="fr-CA"/>
        </w:rPr>
        <w:t>présession</w:t>
      </w:r>
      <w:r w:rsidRPr="00206E11">
        <w:rPr>
          <w:kern w:val="22"/>
          <w:sz w:val="22"/>
          <w:szCs w:val="22"/>
          <w:lang w:val="fr-CA"/>
        </w:rPr>
        <w:t xml:space="preserve"> correspondant.</w:t>
      </w:r>
    </w:p>
    <w:p w:rsidR="00AB47E4" w:rsidRPr="00206E11" w:rsidRDefault="00D66B04" w:rsidP="003C752B">
      <w:pPr>
        <w:keepNext/>
        <w:spacing w:before="240" w:after="120"/>
        <w:ind w:left="806" w:hanging="806"/>
        <w:rPr>
          <w:b/>
          <w:bCs/>
          <w:sz w:val="22"/>
          <w:szCs w:val="22"/>
          <w:lang w:val="fr-CA"/>
        </w:rPr>
      </w:pPr>
      <w:r w:rsidRPr="00206E11">
        <w:rPr>
          <w:b/>
          <w:bCs/>
          <w:sz w:val="22"/>
          <w:szCs w:val="22"/>
          <w:lang w:val="fr-CA"/>
        </w:rPr>
        <w:t>Tableau 2. Éléments pertinents pour le Protocole de Nagoya figurant dans des projets de décisions à être examinés par la Conférence des Parties</w:t>
      </w:r>
    </w:p>
    <w:tbl>
      <w:tblPr>
        <w:tblStyle w:val="TableGrid"/>
        <w:tblW w:w="0" w:type="auto"/>
        <w:jc w:val="center"/>
        <w:tblLook w:val="04A0"/>
      </w:tblPr>
      <w:tblGrid>
        <w:gridCol w:w="2785"/>
        <w:gridCol w:w="6565"/>
      </w:tblGrid>
      <w:tr w:rsidR="00206E11" w:rsidRPr="00206E11" w:rsidTr="003C752B">
        <w:trPr>
          <w:trHeight w:val="602"/>
          <w:tblHeader/>
          <w:jc w:val="center"/>
        </w:trPr>
        <w:tc>
          <w:tcPr>
            <w:tcW w:w="2785" w:type="dxa"/>
            <w:vAlign w:val="center"/>
          </w:tcPr>
          <w:p w:rsidR="00206E11" w:rsidRPr="00206E11" w:rsidRDefault="00206E11" w:rsidP="008359B4">
            <w:pPr>
              <w:pStyle w:val="BodyText"/>
              <w:adjustRightInd w:val="0"/>
              <w:snapToGrid w:val="0"/>
              <w:ind w:firstLine="0"/>
              <w:jc w:val="center"/>
              <w:rPr>
                <w:b/>
                <w:bCs/>
                <w:kern w:val="22"/>
                <w:sz w:val="22"/>
                <w:szCs w:val="22"/>
                <w:lang w:val="fr-CA"/>
              </w:rPr>
            </w:pPr>
            <w:r w:rsidRPr="00206E11">
              <w:rPr>
                <w:b/>
                <w:bCs/>
                <w:kern w:val="22"/>
                <w:sz w:val="22"/>
                <w:szCs w:val="22"/>
                <w:lang w:val="fr-CA"/>
              </w:rPr>
              <w:t>Élément</w:t>
            </w:r>
          </w:p>
        </w:tc>
        <w:tc>
          <w:tcPr>
            <w:tcW w:w="6565" w:type="dxa"/>
            <w:vAlign w:val="center"/>
          </w:tcPr>
          <w:p w:rsidR="00206E11" w:rsidRPr="00206E11" w:rsidRDefault="00206E11" w:rsidP="008359B4">
            <w:pPr>
              <w:pStyle w:val="BodyText"/>
              <w:adjustRightInd w:val="0"/>
              <w:snapToGrid w:val="0"/>
              <w:ind w:firstLine="0"/>
              <w:jc w:val="center"/>
              <w:rPr>
                <w:b/>
                <w:bCs/>
                <w:kern w:val="22"/>
                <w:sz w:val="22"/>
                <w:szCs w:val="22"/>
                <w:lang w:val="fr-CA"/>
              </w:rPr>
            </w:pPr>
            <w:r w:rsidRPr="00206E11">
              <w:rPr>
                <w:b/>
                <w:bCs/>
                <w:kern w:val="22"/>
                <w:sz w:val="22"/>
                <w:szCs w:val="22"/>
                <w:lang w:val="fr-CA"/>
              </w:rPr>
              <w:t>Pertinence pour le Protocole de Nagoya</w:t>
            </w:r>
          </w:p>
        </w:tc>
      </w:tr>
      <w:tr w:rsidR="000D4C04" w:rsidRPr="00206E11" w:rsidTr="00712C44">
        <w:trPr>
          <w:trHeight w:val="2447"/>
          <w:jc w:val="center"/>
        </w:trPr>
        <w:tc>
          <w:tcPr>
            <w:tcW w:w="2785" w:type="dxa"/>
            <w:vAlign w:val="center"/>
          </w:tcPr>
          <w:p w:rsidR="000D4C04" w:rsidRPr="00206E11" w:rsidRDefault="00206E11" w:rsidP="00A86DAF">
            <w:pPr>
              <w:pStyle w:val="BodyText"/>
              <w:adjustRightInd w:val="0"/>
              <w:snapToGrid w:val="0"/>
              <w:ind w:firstLine="0"/>
              <w:rPr>
                <w:kern w:val="22"/>
                <w:sz w:val="22"/>
                <w:szCs w:val="22"/>
                <w:lang w:val="fr-CA"/>
              </w:rPr>
            </w:pPr>
            <w:r>
              <w:rPr>
                <w:kern w:val="22"/>
                <w:sz w:val="22"/>
                <w:szCs w:val="22"/>
                <w:lang w:val="fr-CA"/>
              </w:rPr>
              <w:t>Cadre mondial de la biodiversité pour l</w:t>
            </w:r>
            <w:r w:rsidR="00CD6257">
              <w:rPr>
                <w:kern w:val="22"/>
                <w:sz w:val="22"/>
                <w:szCs w:val="22"/>
                <w:lang w:val="fr-CA"/>
              </w:rPr>
              <w:t>’</w:t>
            </w:r>
            <w:r>
              <w:rPr>
                <w:kern w:val="22"/>
                <w:sz w:val="22"/>
                <w:szCs w:val="22"/>
                <w:lang w:val="fr-CA"/>
              </w:rPr>
              <w:t>après</w:t>
            </w:r>
            <w:r w:rsidR="00CD6257">
              <w:rPr>
                <w:kern w:val="22"/>
                <w:sz w:val="22"/>
                <w:szCs w:val="22"/>
                <w:lang w:val="fr-CA"/>
              </w:rPr>
              <w:noBreakHyphen/>
            </w:r>
            <w:r>
              <w:rPr>
                <w:kern w:val="22"/>
                <w:sz w:val="22"/>
                <w:szCs w:val="22"/>
                <w:lang w:val="fr-CA"/>
              </w:rPr>
              <w:t>2020</w:t>
            </w:r>
          </w:p>
        </w:tc>
        <w:tc>
          <w:tcPr>
            <w:tcW w:w="6565" w:type="dxa"/>
            <w:vAlign w:val="center"/>
          </w:tcPr>
          <w:p w:rsidR="00972576" w:rsidRPr="00206E11" w:rsidRDefault="00206E11" w:rsidP="00CC79BA">
            <w:pPr>
              <w:pStyle w:val="BodyText"/>
              <w:adjustRightInd w:val="0"/>
              <w:snapToGrid w:val="0"/>
              <w:ind w:firstLine="0"/>
              <w:rPr>
                <w:sz w:val="22"/>
                <w:szCs w:val="22"/>
                <w:lang w:val="fr-CA"/>
              </w:rPr>
            </w:pPr>
            <w:r>
              <w:rPr>
                <w:kern w:val="22"/>
                <w:sz w:val="22"/>
                <w:szCs w:val="22"/>
                <w:lang w:val="fr-CA"/>
              </w:rPr>
              <w:t>Le cadre vise à guider la mise en œuvre de la Convention et de ses trois objectifs de manière équilibrée, ainsi que la mise en œuvre des deux Protocoles et d</w:t>
            </w:r>
            <w:r w:rsidR="00CD6257">
              <w:rPr>
                <w:kern w:val="22"/>
                <w:sz w:val="22"/>
                <w:szCs w:val="22"/>
                <w:lang w:val="fr-CA"/>
              </w:rPr>
              <w:t>’</w:t>
            </w:r>
            <w:r>
              <w:rPr>
                <w:kern w:val="22"/>
                <w:sz w:val="22"/>
                <w:szCs w:val="22"/>
                <w:lang w:val="fr-CA"/>
              </w:rPr>
              <w:t>autres accords, processus et instruments multilatéraux relatifs à la biodiversité. En examinant le cadre mondial de la biodiversité pour l</w:t>
            </w:r>
            <w:r w:rsidR="00CD6257">
              <w:rPr>
                <w:kern w:val="22"/>
                <w:sz w:val="22"/>
                <w:szCs w:val="22"/>
                <w:lang w:val="fr-CA"/>
              </w:rPr>
              <w:t>’</w:t>
            </w:r>
            <w:r>
              <w:rPr>
                <w:kern w:val="22"/>
                <w:sz w:val="22"/>
                <w:szCs w:val="22"/>
                <w:lang w:val="fr-CA"/>
              </w:rPr>
              <w:t>après</w:t>
            </w:r>
            <w:r w:rsidR="00CD6257">
              <w:rPr>
                <w:kern w:val="22"/>
                <w:sz w:val="22"/>
                <w:szCs w:val="22"/>
                <w:lang w:val="fr-CA"/>
              </w:rPr>
              <w:noBreakHyphen/>
            </w:r>
            <w:r>
              <w:rPr>
                <w:kern w:val="22"/>
                <w:sz w:val="22"/>
                <w:szCs w:val="22"/>
                <w:lang w:val="fr-CA"/>
              </w:rPr>
              <w:t xml:space="preserve">2020 relativement au Protocole de Nagoya, la Conférence des Parties siégeant en tant que Réunion des Parties au </w:t>
            </w:r>
            <w:r>
              <w:rPr>
                <w:noProof/>
                <w:kern w:val="22"/>
                <w:sz w:val="22"/>
                <w:szCs w:val="22"/>
                <w:lang w:val="fr-CA"/>
              </w:rPr>
              <w:t>Protocole (CdP</w:t>
            </w:r>
            <w:r w:rsidR="00CD6257">
              <w:rPr>
                <w:noProof/>
                <w:kern w:val="22"/>
                <w:sz w:val="22"/>
                <w:szCs w:val="22"/>
                <w:lang w:val="fr-CA"/>
              </w:rPr>
              <w:noBreakHyphen/>
            </w:r>
            <w:r>
              <w:rPr>
                <w:noProof/>
                <w:kern w:val="22"/>
                <w:sz w:val="22"/>
                <w:szCs w:val="22"/>
                <w:lang w:val="fr-CA"/>
              </w:rPr>
              <w:t>RdP)</w:t>
            </w:r>
            <w:r>
              <w:rPr>
                <w:kern w:val="22"/>
                <w:sz w:val="22"/>
                <w:szCs w:val="22"/>
                <w:lang w:val="fr-CA"/>
              </w:rPr>
              <w:t xml:space="preserve"> pourrait souhaiter </w:t>
            </w:r>
            <w:r w:rsidR="00CC79BA">
              <w:rPr>
                <w:kern w:val="22"/>
                <w:sz w:val="22"/>
                <w:szCs w:val="22"/>
                <w:lang w:val="fr-CA"/>
              </w:rPr>
              <w:t>approuver</w:t>
            </w:r>
            <w:r>
              <w:rPr>
                <w:kern w:val="22"/>
                <w:sz w:val="22"/>
                <w:szCs w:val="22"/>
                <w:lang w:val="fr-CA"/>
              </w:rPr>
              <w:t xml:space="preserve"> ledit cadre et se féliciter de la décision correspondante de la Conférence des Parties (voir la section V du présent document).</w:t>
            </w:r>
          </w:p>
        </w:tc>
      </w:tr>
      <w:tr w:rsidR="00206E11" w:rsidRPr="00206E11" w:rsidTr="000B174C">
        <w:trPr>
          <w:trHeight w:val="278"/>
          <w:jc w:val="center"/>
        </w:trPr>
        <w:tc>
          <w:tcPr>
            <w:tcW w:w="2785" w:type="dxa"/>
            <w:vAlign w:val="center"/>
          </w:tcPr>
          <w:p w:rsidR="00206E11" w:rsidRPr="00E0092F" w:rsidRDefault="00206E11" w:rsidP="008359B4">
            <w:pPr>
              <w:pStyle w:val="BodyText"/>
              <w:adjustRightInd w:val="0"/>
              <w:snapToGrid w:val="0"/>
              <w:ind w:firstLine="0"/>
              <w:rPr>
                <w:kern w:val="22"/>
                <w:sz w:val="22"/>
                <w:szCs w:val="22"/>
                <w:lang w:val="fr-CA"/>
              </w:rPr>
            </w:pPr>
            <w:r>
              <w:rPr>
                <w:sz w:val="22"/>
                <w:szCs w:val="22"/>
                <w:lang w:val="fr-CA"/>
              </w:rPr>
              <w:t>Information de séquençage numérique sur les ressources génétiques</w:t>
            </w:r>
          </w:p>
        </w:tc>
        <w:tc>
          <w:tcPr>
            <w:tcW w:w="6565" w:type="dxa"/>
            <w:vAlign w:val="center"/>
          </w:tcPr>
          <w:p w:rsidR="00206E11" w:rsidRPr="00206E11" w:rsidRDefault="00206E11" w:rsidP="00A86DAF">
            <w:pPr>
              <w:pStyle w:val="BodyText"/>
              <w:adjustRightInd w:val="0"/>
              <w:snapToGrid w:val="0"/>
              <w:ind w:firstLine="0"/>
              <w:rPr>
                <w:sz w:val="22"/>
                <w:szCs w:val="22"/>
                <w:lang w:val="fr-CA"/>
              </w:rPr>
            </w:pPr>
            <w:r>
              <w:rPr>
                <w:sz w:val="22"/>
                <w:szCs w:val="22"/>
                <w:lang w:val="fr-CA"/>
              </w:rPr>
              <w:t>La Conférence des Parties a reconnu l</w:t>
            </w:r>
            <w:r w:rsidR="00CD6257">
              <w:rPr>
                <w:sz w:val="22"/>
                <w:szCs w:val="22"/>
                <w:lang w:val="fr-CA"/>
              </w:rPr>
              <w:t>’</w:t>
            </w:r>
            <w:r>
              <w:rPr>
                <w:sz w:val="22"/>
                <w:szCs w:val="22"/>
                <w:lang w:val="fr-CA"/>
              </w:rPr>
              <w:t>importance de l</w:t>
            </w:r>
            <w:r w:rsidR="00CD6257">
              <w:rPr>
                <w:sz w:val="22"/>
                <w:szCs w:val="22"/>
                <w:lang w:val="fr-CA"/>
              </w:rPr>
              <w:t>’</w:t>
            </w:r>
            <w:r>
              <w:rPr>
                <w:sz w:val="22"/>
                <w:szCs w:val="22"/>
                <w:lang w:val="fr-CA"/>
              </w:rPr>
              <w:t>information de séquençage numérique sur les ressources génétiques pour les trois objectifs de la Convention (décision 14/20) et il est prévu qu</w:t>
            </w:r>
            <w:r w:rsidR="00CD6257">
              <w:rPr>
                <w:sz w:val="22"/>
                <w:szCs w:val="22"/>
                <w:lang w:val="fr-CA"/>
              </w:rPr>
              <w:t>’</w:t>
            </w:r>
            <w:r>
              <w:rPr>
                <w:sz w:val="22"/>
                <w:szCs w:val="22"/>
                <w:lang w:val="fr-CA"/>
              </w:rPr>
              <w:t>elle examine, à sa quinzième réunion, une éventuelle solution politique pour l</w:t>
            </w:r>
            <w:r w:rsidR="00CD6257">
              <w:rPr>
                <w:sz w:val="22"/>
                <w:szCs w:val="22"/>
                <w:lang w:val="fr-CA"/>
              </w:rPr>
              <w:t>’</w:t>
            </w:r>
            <w:r>
              <w:rPr>
                <w:sz w:val="22"/>
                <w:szCs w:val="22"/>
                <w:lang w:val="fr-CA"/>
              </w:rPr>
              <w:t>accès et le partage des avantages découlant de l</w:t>
            </w:r>
            <w:r w:rsidR="00CD6257">
              <w:rPr>
                <w:sz w:val="22"/>
                <w:szCs w:val="22"/>
                <w:lang w:val="fr-CA"/>
              </w:rPr>
              <w:t>’</w:t>
            </w:r>
            <w:r>
              <w:rPr>
                <w:sz w:val="22"/>
                <w:szCs w:val="22"/>
                <w:lang w:val="fr-CA"/>
              </w:rPr>
              <w:t>utilisation de l</w:t>
            </w:r>
            <w:r w:rsidR="00CD6257">
              <w:rPr>
                <w:sz w:val="22"/>
                <w:szCs w:val="22"/>
                <w:lang w:val="fr-CA"/>
              </w:rPr>
              <w:t>’</w:t>
            </w:r>
            <w:r>
              <w:rPr>
                <w:sz w:val="22"/>
                <w:szCs w:val="22"/>
                <w:lang w:val="fr-CA"/>
              </w:rPr>
              <w:t>information de séquençage numérique sur les ressources génétiques et la manière d</w:t>
            </w:r>
            <w:r w:rsidR="00CD6257">
              <w:rPr>
                <w:sz w:val="22"/>
                <w:szCs w:val="22"/>
                <w:lang w:val="fr-CA"/>
              </w:rPr>
              <w:t>’</w:t>
            </w:r>
            <w:r>
              <w:rPr>
                <w:sz w:val="22"/>
                <w:szCs w:val="22"/>
                <w:lang w:val="fr-CA"/>
              </w:rPr>
              <w:t>aborder cette question dans le contexte du cadre mondial de la biodiversité pour l</w:t>
            </w:r>
            <w:r w:rsidR="00CD6257">
              <w:rPr>
                <w:sz w:val="22"/>
                <w:szCs w:val="22"/>
                <w:lang w:val="fr-CA"/>
              </w:rPr>
              <w:t>’</w:t>
            </w:r>
            <w:r>
              <w:rPr>
                <w:sz w:val="22"/>
                <w:szCs w:val="22"/>
                <w:lang w:val="fr-CA"/>
              </w:rPr>
              <w:t>après</w:t>
            </w:r>
            <w:r w:rsidR="00CD6257">
              <w:rPr>
                <w:sz w:val="22"/>
                <w:szCs w:val="22"/>
                <w:lang w:val="fr-CA"/>
              </w:rPr>
              <w:noBreakHyphen/>
            </w:r>
            <w:r>
              <w:rPr>
                <w:sz w:val="22"/>
                <w:szCs w:val="22"/>
                <w:lang w:val="fr-CA"/>
              </w:rPr>
              <w:t xml:space="preserve">2020. La </w:t>
            </w:r>
            <w:r>
              <w:rPr>
                <w:noProof/>
                <w:sz w:val="22"/>
                <w:szCs w:val="22"/>
                <w:lang w:val="fr-CA"/>
              </w:rPr>
              <w:t>CdP</w:t>
            </w:r>
            <w:r w:rsidR="00CD6257">
              <w:rPr>
                <w:noProof/>
                <w:sz w:val="22"/>
                <w:szCs w:val="22"/>
                <w:lang w:val="fr-CA"/>
              </w:rPr>
              <w:noBreakHyphen/>
            </w:r>
            <w:r>
              <w:rPr>
                <w:noProof/>
                <w:sz w:val="22"/>
                <w:szCs w:val="22"/>
                <w:lang w:val="fr-CA"/>
              </w:rPr>
              <w:t>RdP</w:t>
            </w:r>
            <w:r>
              <w:rPr>
                <w:sz w:val="22"/>
                <w:szCs w:val="22"/>
                <w:lang w:val="fr-CA"/>
              </w:rPr>
              <w:t xml:space="preserve"> pourrait souhaiter prendre note de la décision adoptée par la Conférence des Parties et se pencher sur toute implication pour la mise en œuvre du Protocole de Nagoya. Cela sera abordé au titre du point à l</w:t>
            </w:r>
            <w:r w:rsidR="00CD6257">
              <w:rPr>
                <w:sz w:val="22"/>
                <w:szCs w:val="22"/>
                <w:lang w:val="fr-CA"/>
              </w:rPr>
              <w:t>’</w:t>
            </w:r>
            <w:r>
              <w:rPr>
                <w:sz w:val="22"/>
                <w:szCs w:val="22"/>
                <w:lang w:val="fr-CA"/>
              </w:rPr>
              <w:t xml:space="preserve">ordre du jour de la </w:t>
            </w:r>
            <w:r>
              <w:rPr>
                <w:noProof/>
                <w:sz w:val="22"/>
                <w:szCs w:val="22"/>
                <w:lang w:val="fr-CA"/>
              </w:rPr>
              <w:t>CdP</w:t>
            </w:r>
            <w:r w:rsidR="00CD6257">
              <w:rPr>
                <w:noProof/>
                <w:sz w:val="22"/>
                <w:szCs w:val="22"/>
                <w:lang w:val="fr-CA"/>
              </w:rPr>
              <w:noBreakHyphen/>
            </w:r>
            <w:r>
              <w:rPr>
                <w:noProof/>
                <w:sz w:val="22"/>
                <w:szCs w:val="22"/>
                <w:lang w:val="fr-CA"/>
              </w:rPr>
              <w:t>RdP</w:t>
            </w:r>
            <w:r>
              <w:rPr>
                <w:sz w:val="22"/>
                <w:szCs w:val="22"/>
                <w:lang w:val="fr-CA"/>
              </w:rPr>
              <w:t xml:space="preserve"> portant sur l</w:t>
            </w:r>
            <w:r w:rsidR="00CD6257">
              <w:rPr>
                <w:sz w:val="22"/>
                <w:szCs w:val="22"/>
                <w:lang w:val="fr-CA"/>
              </w:rPr>
              <w:t>’</w:t>
            </w:r>
            <w:r>
              <w:rPr>
                <w:sz w:val="22"/>
                <w:szCs w:val="22"/>
                <w:lang w:val="fr-CA"/>
              </w:rPr>
              <w:t>information de séquençage numérique sur les ressources génétiques.</w:t>
            </w:r>
          </w:p>
        </w:tc>
      </w:tr>
      <w:tr w:rsidR="00206E11" w:rsidRPr="00206E11" w:rsidTr="00D826B7">
        <w:trPr>
          <w:trHeight w:val="586"/>
          <w:jc w:val="center"/>
        </w:trPr>
        <w:tc>
          <w:tcPr>
            <w:tcW w:w="2785" w:type="dxa"/>
            <w:vAlign w:val="center"/>
          </w:tcPr>
          <w:p w:rsidR="00206E11" w:rsidRPr="00206E11" w:rsidRDefault="00206E11" w:rsidP="00D826B7">
            <w:pPr>
              <w:pStyle w:val="BodyText"/>
              <w:adjustRightInd w:val="0"/>
              <w:snapToGrid w:val="0"/>
              <w:ind w:firstLine="0"/>
              <w:rPr>
                <w:kern w:val="22"/>
                <w:sz w:val="22"/>
                <w:szCs w:val="22"/>
                <w:lang w:val="fr-CA"/>
              </w:rPr>
            </w:pPr>
            <w:r>
              <w:rPr>
                <w:sz w:val="22"/>
                <w:szCs w:val="22"/>
                <w:lang w:val="fr-CA"/>
              </w:rPr>
              <w:t>Programme de travail et arrangements institutionnels sur l</w:t>
            </w:r>
            <w:r w:rsidR="00CD6257">
              <w:rPr>
                <w:sz w:val="22"/>
                <w:szCs w:val="22"/>
                <w:lang w:val="fr-CA"/>
              </w:rPr>
              <w:t>’</w:t>
            </w:r>
            <w:r>
              <w:rPr>
                <w:sz w:val="22"/>
                <w:szCs w:val="22"/>
                <w:lang w:val="fr-CA"/>
              </w:rPr>
              <w:t>article 8 j) et les autres dispositions de la Convention relatives aux peuples autochtones et aux communautés locales</w:t>
            </w:r>
            <w:r w:rsidRPr="00E0092F">
              <w:rPr>
                <w:rStyle w:val="FootnoteReference"/>
                <w:sz w:val="22"/>
                <w:szCs w:val="22"/>
                <w:lang w:val="fr-CA"/>
              </w:rPr>
              <w:footnoteReference w:id="16"/>
            </w:r>
          </w:p>
        </w:tc>
        <w:tc>
          <w:tcPr>
            <w:tcW w:w="6565" w:type="dxa"/>
            <w:vAlign w:val="center"/>
          </w:tcPr>
          <w:p w:rsidR="00206E11" w:rsidRPr="00206E11" w:rsidRDefault="008E73FE" w:rsidP="00D826B7">
            <w:pPr>
              <w:pStyle w:val="BodyText"/>
              <w:adjustRightInd w:val="0"/>
              <w:snapToGrid w:val="0"/>
              <w:ind w:firstLine="0"/>
              <w:rPr>
                <w:kern w:val="22"/>
                <w:sz w:val="22"/>
                <w:szCs w:val="22"/>
                <w:lang w:val="fr-CA"/>
              </w:rPr>
            </w:pPr>
            <w:r>
              <w:rPr>
                <w:sz w:val="22"/>
                <w:szCs w:val="22"/>
                <w:lang w:val="fr-CA"/>
              </w:rPr>
              <w:t>Le programme de travail sur l</w:t>
            </w:r>
            <w:r w:rsidR="00CD6257">
              <w:rPr>
                <w:sz w:val="22"/>
                <w:szCs w:val="22"/>
                <w:lang w:val="fr-CA"/>
              </w:rPr>
              <w:t>’</w:t>
            </w:r>
            <w:r>
              <w:rPr>
                <w:sz w:val="22"/>
                <w:szCs w:val="22"/>
                <w:lang w:val="fr-CA"/>
              </w:rPr>
              <w:t>article 8 j) et les autres dispositions portant sur les peuples autochtones et les communautés locales vise à promouvoir, dans le cadre de la Convention, une mise en œuvre juste de l</w:t>
            </w:r>
            <w:r w:rsidR="00CD6257">
              <w:rPr>
                <w:sz w:val="22"/>
                <w:szCs w:val="22"/>
                <w:lang w:val="fr-CA"/>
              </w:rPr>
              <w:t>’</w:t>
            </w:r>
            <w:r>
              <w:rPr>
                <w:sz w:val="22"/>
                <w:szCs w:val="22"/>
                <w:lang w:val="fr-CA"/>
              </w:rPr>
              <w:t xml:space="preserve">article 8 j) et des dispositions connexes aux niveaux local, national, régional et international, et à assurer la participation pleine et effective des peuples autochtones et des communautés locales à toutes les étapes et à tous les niveaux de sa mise en œuvre. Le projet de programme de </w:t>
            </w:r>
            <w:r>
              <w:rPr>
                <w:sz w:val="22"/>
                <w:szCs w:val="22"/>
                <w:lang w:val="fr-CA"/>
              </w:rPr>
              <w:lastRenderedPageBreak/>
              <w:t>travail qui s</w:t>
            </w:r>
            <w:r w:rsidR="00CD6257">
              <w:rPr>
                <w:sz w:val="22"/>
                <w:szCs w:val="22"/>
                <w:lang w:val="fr-CA"/>
              </w:rPr>
              <w:t>’</w:t>
            </w:r>
            <w:r>
              <w:rPr>
                <w:sz w:val="22"/>
                <w:szCs w:val="22"/>
                <w:lang w:val="fr-CA"/>
              </w:rPr>
              <w:t>aligne sur le cadre mondial de la biodiversité pour l</w:t>
            </w:r>
            <w:r w:rsidR="00CD6257">
              <w:rPr>
                <w:sz w:val="22"/>
                <w:szCs w:val="22"/>
                <w:lang w:val="fr-CA"/>
              </w:rPr>
              <w:t>’</w:t>
            </w:r>
            <w:r>
              <w:rPr>
                <w:sz w:val="22"/>
                <w:szCs w:val="22"/>
                <w:lang w:val="fr-CA"/>
              </w:rPr>
              <w:t>après</w:t>
            </w:r>
            <w:r w:rsidR="00CD6257">
              <w:rPr>
                <w:sz w:val="22"/>
                <w:szCs w:val="22"/>
                <w:lang w:val="fr-CA"/>
              </w:rPr>
              <w:noBreakHyphen/>
            </w:r>
            <w:r>
              <w:rPr>
                <w:sz w:val="22"/>
                <w:szCs w:val="22"/>
                <w:lang w:val="fr-CA"/>
              </w:rPr>
              <w:t xml:space="preserve">2020 comprend des éléments qui pourraient encore mieux soutenir la participation pleine et effective des peuples autochtones et des communautés locales dans la mise en œuvre du Protocole de Nagoya. La </w:t>
            </w:r>
            <w:r>
              <w:rPr>
                <w:noProof/>
                <w:sz w:val="22"/>
                <w:szCs w:val="22"/>
                <w:lang w:val="fr-CA"/>
              </w:rPr>
              <w:t>CdP</w:t>
            </w:r>
            <w:r w:rsidR="00CD6257">
              <w:rPr>
                <w:noProof/>
                <w:sz w:val="22"/>
                <w:szCs w:val="22"/>
                <w:lang w:val="fr-CA"/>
              </w:rPr>
              <w:noBreakHyphen/>
            </w:r>
            <w:r>
              <w:rPr>
                <w:noProof/>
                <w:sz w:val="22"/>
                <w:szCs w:val="22"/>
                <w:lang w:val="fr-CA"/>
              </w:rPr>
              <w:t>RdP</w:t>
            </w:r>
            <w:r>
              <w:rPr>
                <w:sz w:val="22"/>
                <w:szCs w:val="22"/>
                <w:lang w:val="fr-CA"/>
              </w:rPr>
              <w:t xml:space="preserve"> pourrait souhaiter prendre note du programme de travail.</w:t>
            </w:r>
          </w:p>
        </w:tc>
      </w:tr>
      <w:tr w:rsidR="00206E11" w:rsidRPr="00206E11" w:rsidTr="005712B6">
        <w:trPr>
          <w:trHeight w:val="2348"/>
          <w:jc w:val="center"/>
        </w:trPr>
        <w:tc>
          <w:tcPr>
            <w:tcW w:w="2785" w:type="dxa"/>
            <w:vAlign w:val="center"/>
          </w:tcPr>
          <w:p w:rsidR="00206E11" w:rsidRPr="00206E11" w:rsidRDefault="008E73FE" w:rsidP="00A86DAF">
            <w:pPr>
              <w:pStyle w:val="BodyText"/>
              <w:adjustRightInd w:val="0"/>
              <w:snapToGrid w:val="0"/>
              <w:ind w:firstLine="0"/>
              <w:rPr>
                <w:kern w:val="22"/>
                <w:sz w:val="22"/>
                <w:szCs w:val="22"/>
                <w:lang w:val="fr-CA"/>
              </w:rPr>
            </w:pPr>
            <w:r>
              <w:rPr>
                <w:kern w:val="22"/>
                <w:sz w:val="22"/>
                <w:szCs w:val="22"/>
                <w:lang w:val="fr-CA"/>
              </w:rPr>
              <w:lastRenderedPageBreak/>
              <w:t>Biodiversité et santé</w:t>
            </w:r>
            <w:r w:rsidRPr="00E0092F">
              <w:rPr>
                <w:rStyle w:val="FootnoteReference"/>
                <w:kern w:val="22"/>
                <w:sz w:val="22"/>
                <w:szCs w:val="22"/>
                <w:lang w:val="fr-CA"/>
              </w:rPr>
              <w:footnoteReference w:id="17"/>
            </w:r>
          </w:p>
        </w:tc>
        <w:tc>
          <w:tcPr>
            <w:tcW w:w="6565" w:type="dxa"/>
            <w:vAlign w:val="center"/>
          </w:tcPr>
          <w:p w:rsidR="00206E11" w:rsidRPr="00206E11" w:rsidRDefault="008E73FE" w:rsidP="003C752B">
            <w:pPr>
              <w:spacing w:before="120" w:after="120"/>
              <w:rPr>
                <w:sz w:val="22"/>
                <w:szCs w:val="22"/>
                <w:lang w:val="fr-CA"/>
              </w:rPr>
            </w:pPr>
            <w:r>
              <w:rPr>
                <w:sz w:val="22"/>
                <w:szCs w:val="22"/>
                <w:lang w:val="fr-CA"/>
              </w:rPr>
              <w:t>La Conférence des Parties a reconnu la valeur des approches « Une seule santé » (décisions </w:t>
            </w:r>
            <w:r w:rsidRPr="00E0092F">
              <w:rPr>
                <w:sz w:val="22"/>
                <w:szCs w:val="22"/>
                <w:lang w:val="fr-CA"/>
              </w:rPr>
              <w:t>XII/21, XIII/6, 14/4</w:t>
            </w:r>
            <w:r>
              <w:rPr>
                <w:sz w:val="22"/>
                <w:szCs w:val="22"/>
                <w:lang w:val="fr-CA"/>
              </w:rPr>
              <w:t>) et examinera à sa quinzième réunion un projet de décision préparé par l</w:t>
            </w:r>
            <w:r w:rsidR="00CD6257">
              <w:rPr>
                <w:sz w:val="22"/>
                <w:szCs w:val="22"/>
                <w:lang w:val="fr-CA"/>
              </w:rPr>
              <w:t>’</w:t>
            </w:r>
            <w:r>
              <w:rPr>
                <w:sz w:val="22"/>
                <w:szCs w:val="22"/>
                <w:lang w:val="fr-CA"/>
              </w:rPr>
              <w:t>Organe subsidiaire chargé de fournir des avis scientifiques, techniques et technologiques. Tenant compte en particulier du fait que les négociations en cours sous les auspices de l</w:t>
            </w:r>
            <w:r w:rsidR="00CD6257">
              <w:rPr>
                <w:sz w:val="22"/>
                <w:szCs w:val="22"/>
                <w:lang w:val="fr-CA"/>
              </w:rPr>
              <w:t>’</w:t>
            </w:r>
            <w:r>
              <w:rPr>
                <w:sz w:val="22"/>
                <w:szCs w:val="22"/>
                <w:lang w:val="fr-CA"/>
              </w:rPr>
              <w:t>Organisation mondiale de la santé (OMS) relatives à une convention, à un accord ou à d</w:t>
            </w:r>
            <w:r w:rsidR="00CD6257">
              <w:rPr>
                <w:sz w:val="22"/>
                <w:szCs w:val="22"/>
                <w:lang w:val="fr-CA"/>
              </w:rPr>
              <w:t>’</w:t>
            </w:r>
            <w:r>
              <w:rPr>
                <w:sz w:val="22"/>
                <w:szCs w:val="22"/>
                <w:lang w:val="fr-CA"/>
              </w:rPr>
              <w:t>autres instruments internationaux de l</w:t>
            </w:r>
            <w:r w:rsidR="00CD6257">
              <w:rPr>
                <w:sz w:val="22"/>
                <w:szCs w:val="22"/>
                <w:lang w:val="fr-CA"/>
              </w:rPr>
              <w:t>’</w:t>
            </w:r>
            <w:r>
              <w:rPr>
                <w:sz w:val="22"/>
                <w:szCs w:val="22"/>
                <w:lang w:val="fr-CA"/>
              </w:rPr>
              <w:t>OMS sur la prévention, la préparation et l</w:t>
            </w:r>
            <w:r w:rsidR="00CD6257">
              <w:rPr>
                <w:sz w:val="22"/>
                <w:szCs w:val="22"/>
                <w:lang w:val="fr-CA"/>
              </w:rPr>
              <w:t>’</w:t>
            </w:r>
            <w:r>
              <w:rPr>
                <w:sz w:val="22"/>
                <w:szCs w:val="22"/>
                <w:lang w:val="fr-CA"/>
              </w:rPr>
              <w:t>intervention en cas de pandémie ont soulevé des questions relatives à l</w:t>
            </w:r>
            <w:r w:rsidR="00CD6257">
              <w:rPr>
                <w:sz w:val="22"/>
                <w:szCs w:val="22"/>
                <w:lang w:val="fr-CA"/>
              </w:rPr>
              <w:t>’</w:t>
            </w:r>
            <w:r>
              <w:rPr>
                <w:sz w:val="22"/>
                <w:szCs w:val="22"/>
                <w:lang w:val="fr-CA"/>
              </w:rPr>
              <w:t xml:space="preserve">accès et au partage des avantages, la </w:t>
            </w:r>
            <w:r>
              <w:rPr>
                <w:noProof/>
                <w:sz w:val="22"/>
                <w:szCs w:val="22"/>
                <w:lang w:val="fr-CA"/>
              </w:rPr>
              <w:t>CdP</w:t>
            </w:r>
            <w:r w:rsidR="00CD6257">
              <w:rPr>
                <w:noProof/>
                <w:sz w:val="22"/>
                <w:szCs w:val="22"/>
                <w:lang w:val="fr-CA"/>
              </w:rPr>
              <w:noBreakHyphen/>
            </w:r>
            <w:r>
              <w:rPr>
                <w:noProof/>
                <w:sz w:val="22"/>
                <w:szCs w:val="22"/>
                <w:lang w:val="fr-CA"/>
              </w:rPr>
              <w:t>RdP</w:t>
            </w:r>
            <w:r>
              <w:rPr>
                <w:sz w:val="22"/>
                <w:szCs w:val="22"/>
                <w:lang w:val="fr-CA"/>
              </w:rPr>
              <w:t xml:space="preserve"> pourrait souhaiter prendre note de la décision de la Conférence des Parties se référant à ce processus.</w:t>
            </w:r>
          </w:p>
        </w:tc>
      </w:tr>
      <w:tr w:rsidR="00206E11" w:rsidRPr="00206E11" w:rsidTr="00D84221">
        <w:trPr>
          <w:trHeight w:val="897"/>
          <w:jc w:val="center"/>
        </w:trPr>
        <w:tc>
          <w:tcPr>
            <w:tcW w:w="2785" w:type="dxa"/>
            <w:vAlign w:val="center"/>
          </w:tcPr>
          <w:p w:rsidR="00206E11" w:rsidRPr="00206E11" w:rsidRDefault="008E73FE" w:rsidP="00A86DAF">
            <w:pPr>
              <w:pStyle w:val="BodyText"/>
              <w:adjustRightInd w:val="0"/>
              <w:snapToGrid w:val="0"/>
              <w:ind w:firstLine="0"/>
              <w:rPr>
                <w:kern w:val="22"/>
                <w:sz w:val="22"/>
                <w:szCs w:val="22"/>
                <w:lang w:val="fr-CA"/>
              </w:rPr>
            </w:pPr>
            <w:r>
              <w:rPr>
                <w:kern w:val="22"/>
                <w:sz w:val="22"/>
                <w:szCs w:val="22"/>
                <w:lang w:val="fr-CA"/>
              </w:rPr>
              <w:t>Approche multidimensionnelle renforcée pour la planification, le suivi, les rapports et l</w:t>
            </w:r>
            <w:r w:rsidR="00CD6257">
              <w:rPr>
                <w:kern w:val="22"/>
                <w:sz w:val="22"/>
                <w:szCs w:val="22"/>
                <w:lang w:val="fr-CA"/>
              </w:rPr>
              <w:t>’</w:t>
            </w:r>
            <w:r>
              <w:rPr>
                <w:kern w:val="22"/>
                <w:sz w:val="22"/>
                <w:szCs w:val="22"/>
                <w:lang w:val="fr-CA"/>
              </w:rPr>
              <w:t>examen</w:t>
            </w:r>
            <w:r w:rsidRPr="00E0092F">
              <w:rPr>
                <w:rStyle w:val="FootnoteReference"/>
                <w:kern w:val="22"/>
                <w:sz w:val="22"/>
                <w:szCs w:val="22"/>
                <w:lang w:val="fr-CA"/>
              </w:rPr>
              <w:footnoteReference w:id="18"/>
            </w:r>
          </w:p>
        </w:tc>
        <w:tc>
          <w:tcPr>
            <w:tcW w:w="6565" w:type="dxa"/>
            <w:vAlign w:val="center"/>
          </w:tcPr>
          <w:p w:rsidR="00206E11" w:rsidRPr="00206E11" w:rsidRDefault="008E73FE" w:rsidP="000B75A7">
            <w:pPr>
              <w:pStyle w:val="BodyText"/>
              <w:adjustRightInd w:val="0"/>
              <w:snapToGrid w:val="0"/>
              <w:ind w:firstLine="0"/>
              <w:rPr>
                <w:kern w:val="22"/>
                <w:sz w:val="22"/>
                <w:szCs w:val="22"/>
                <w:lang w:val="fr-CA"/>
              </w:rPr>
            </w:pPr>
            <w:r>
              <w:rPr>
                <w:kern w:val="22"/>
                <w:sz w:val="22"/>
                <w:szCs w:val="22"/>
                <w:lang w:val="fr-CA"/>
              </w:rPr>
              <w:t>L</w:t>
            </w:r>
            <w:r w:rsidR="00CD6257">
              <w:rPr>
                <w:kern w:val="22"/>
                <w:sz w:val="22"/>
                <w:szCs w:val="22"/>
                <w:lang w:val="fr-CA"/>
              </w:rPr>
              <w:t>’</w:t>
            </w:r>
            <w:r>
              <w:rPr>
                <w:kern w:val="22"/>
                <w:sz w:val="22"/>
                <w:szCs w:val="22"/>
                <w:lang w:val="fr-CA"/>
              </w:rPr>
              <w:t>approche multilatérale renforcée proposée comprend plusieurs éléments visant à appuyer la mise en œuvre de la Convention au cours de la période de l</w:t>
            </w:r>
            <w:r w:rsidR="00CD6257">
              <w:rPr>
                <w:kern w:val="22"/>
                <w:sz w:val="22"/>
                <w:szCs w:val="22"/>
                <w:lang w:val="fr-CA"/>
              </w:rPr>
              <w:t>’</w:t>
            </w:r>
            <w:r>
              <w:rPr>
                <w:kern w:val="22"/>
                <w:sz w:val="22"/>
                <w:szCs w:val="22"/>
                <w:lang w:val="fr-CA"/>
              </w:rPr>
              <w:t>après</w:t>
            </w:r>
            <w:r w:rsidR="00CD6257">
              <w:rPr>
                <w:kern w:val="22"/>
                <w:sz w:val="22"/>
                <w:szCs w:val="22"/>
                <w:lang w:val="fr-CA"/>
              </w:rPr>
              <w:noBreakHyphen/>
            </w:r>
            <w:r>
              <w:rPr>
                <w:kern w:val="22"/>
                <w:sz w:val="22"/>
                <w:szCs w:val="22"/>
                <w:lang w:val="fr-CA"/>
              </w:rPr>
              <w:t>2020, y compris des orientations actualisées sur les SPANB, l</w:t>
            </w:r>
            <w:r w:rsidR="00CD6257">
              <w:rPr>
                <w:kern w:val="22"/>
                <w:sz w:val="22"/>
                <w:szCs w:val="22"/>
                <w:lang w:val="fr-CA"/>
              </w:rPr>
              <w:t>’</w:t>
            </w:r>
            <w:r>
              <w:rPr>
                <w:kern w:val="22"/>
                <w:sz w:val="22"/>
                <w:szCs w:val="22"/>
                <w:lang w:val="fr-CA"/>
              </w:rPr>
              <w:t>évaluation volontaire par les pairs, et le forum à composition non limitée de l</w:t>
            </w:r>
            <w:r w:rsidR="00CD6257">
              <w:rPr>
                <w:kern w:val="22"/>
                <w:sz w:val="22"/>
                <w:szCs w:val="22"/>
                <w:lang w:val="fr-CA"/>
              </w:rPr>
              <w:t>’</w:t>
            </w:r>
            <w:r>
              <w:rPr>
                <w:kern w:val="22"/>
                <w:sz w:val="22"/>
                <w:szCs w:val="22"/>
                <w:lang w:val="fr-CA"/>
              </w:rPr>
              <w:t>Organe subsidiaire chargé de l</w:t>
            </w:r>
            <w:r w:rsidR="00CD6257">
              <w:rPr>
                <w:kern w:val="22"/>
                <w:sz w:val="22"/>
                <w:szCs w:val="22"/>
                <w:lang w:val="fr-CA"/>
              </w:rPr>
              <w:t>’</w:t>
            </w:r>
            <w:r>
              <w:rPr>
                <w:kern w:val="22"/>
                <w:sz w:val="22"/>
                <w:szCs w:val="22"/>
                <w:lang w:val="fr-CA"/>
              </w:rPr>
              <w:t>application. Ces outils pourraient appuyer encore davantage la mise en œuvre du Protocole et aider les pays à identifier des synergies entre l</w:t>
            </w:r>
            <w:r w:rsidR="00CD6257">
              <w:rPr>
                <w:kern w:val="22"/>
                <w:sz w:val="22"/>
                <w:szCs w:val="22"/>
                <w:lang w:val="fr-CA"/>
              </w:rPr>
              <w:t>’</w:t>
            </w:r>
            <w:r>
              <w:rPr>
                <w:kern w:val="22"/>
                <w:sz w:val="22"/>
                <w:szCs w:val="22"/>
                <w:lang w:val="fr-CA"/>
              </w:rPr>
              <w:t>APA et d</w:t>
            </w:r>
            <w:r w:rsidR="00CD6257">
              <w:rPr>
                <w:kern w:val="22"/>
                <w:sz w:val="22"/>
                <w:szCs w:val="22"/>
                <w:lang w:val="fr-CA"/>
              </w:rPr>
              <w:t>’</w:t>
            </w:r>
            <w:r>
              <w:rPr>
                <w:kern w:val="22"/>
                <w:sz w:val="22"/>
                <w:szCs w:val="22"/>
                <w:lang w:val="fr-CA"/>
              </w:rPr>
              <w:t xml:space="preserve">autres activités liées à la biodiversité. La </w:t>
            </w:r>
            <w:r>
              <w:rPr>
                <w:noProof/>
                <w:kern w:val="22"/>
                <w:sz w:val="22"/>
                <w:szCs w:val="22"/>
                <w:lang w:val="fr-CA"/>
              </w:rPr>
              <w:t>CdP</w:t>
            </w:r>
            <w:r w:rsidR="00CD6257">
              <w:rPr>
                <w:noProof/>
                <w:kern w:val="22"/>
                <w:sz w:val="22"/>
                <w:szCs w:val="22"/>
                <w:lang w:val="fr-CA"/>
              </w:rPr>
              <w:noBreakHyphen/>
            </w:r>
            <w:r>
              <w:rPr>
                <w:noProof/>
                <w:kern w:val="22"/>
                <w:sz w:val="22"/>
                <w:szCs w:val="22"/>
                <w:lang w:val="fr-CA"/>
              </w:rPr>
              <w:t>RdP</w:t>
            </w:r>
            <w:r>
              <w:rPr>
                <w:kern w:val="22"/>
                <w:sz w:val="22"/>
                <w:szCs w:val="22"/>
                <w:lang w:val="fr-CA"/>
              </w:rPr>
              <w:t xml:space="preserve"> pourrait souhaiter inviter les Parties à avoir recours à l</w:t>
            </w:r>
            <w:r w:rsidR="00CD6257">
              <w:rPr>
                <w:kern w:val="22"/>
                <w:sz w:val="22"/>
                <w:szCs w:val="22"/>
                <w:lang w:val="fr-CA"/>
              </w:rPr>
              <w:t>’</w:t>
            </w:r>
            <w:r>
              <w:rPr>
                <w:kern w:val="22"/>
                <w:sz w:val="22"/>
                <w:szCs w:val="22"/>
                <w:lang w:val="fr-CA"/>
              </w:rPr>
              <w:t>approche renforcée pour appuyer la mise en œuvre du Protocole.</w:t>
            </w:r>
          </w:p>
        </w:tc>
      </w:tr>
      <w:tr w:rsidR="0038260D" w:rsidRPr="00206E11" w:rsidTr="00024CFC">
        <w:trPr>
          <w:trHeight w:val="647"/>
          <w:jc w:val="center"/>
        </w:trPr>
        <w:tc>
          <w:tcPr>
            <w:tcW w:w="2785" w:type="dxa"/>
            <w:vAlign w:val="center"/>
          </w:tcPr>
          <w:p w:rsidR="0038260D" w:rsidRPr="00E0092F" w:rsidRDefault="0038260D" w:rsidP="008359B4">
            <w:pPr>
              <w:pStyle w:val="BodyText"/>
              <w:adjustRightInd w:val="0"/>
              <w:snapToGrid w:val="0"/>
              <w:ind w:firstLine="0"/>
              <w:rPr>
                <w:kern w:val="22"/>
                <w:sz w:val="22"/>
                <w:szCs w:val="22"/>
                <w:lang w:val="fr-CA"/>
              </w:rPr>
            </w:pPr>
            <w:r>
              <w:rPr>
                <w:kern w:val="22"/>
                <w:sz w:val="22"/>
                <w:szCs w:val="22"/>
                <w:lang w:val="fr-CA"/>
              </w:rPr>
              <w:t>Cadre de suivi pour le cadre mondial de la biodiversité pour l</w:t>
            </w:r>
            <w:r w:rsidR="00CD6257">
              <w:rPr>
                <w:kern w:val="22"/>
                <w:sz w:val="22"/>
                <w:szCs w:val="22"/>
                <w:lang w:val="fr-CA"/>
              </w:rPr>
              <w:t>’</w:t>
            </w:r>
            <w:r>
              <w:rPr>
                <w:kern w:val="22"/>
                <w:sz w:val="22"/>
                <w:szCs w:val="22"/>
                <w:lang w:val="fr-CA"/>
              </w:rPr>
              <w:t>après</w:t>
            </w:r>
            <w:r w:rsidR="00CD6257">
              <w:rPr>
                <w:kern w:val="22"/>
                <w:sz w:val="22"/>
                <w:szCs w:val="22"/>
                <w:lang w:val="fr-CA"/>
              </w:rPr>
              <w:noBreakHyphen/>
            </w:r>
            <w:r>
              <w:rPr>
                <w:kern w:val="22"/>
                <w:sz w:val="22"/>
                <w:szCs w:val="22"/>
                <w:lang w:val="fr-CA"/>
              </w:rPr>
              <w:t>2020</w:t>
            </w:r>
            <w:r w:rsidRPr="00E0092F">
              <w:rPr>
                <w:rStyle w:val="FootnoteReference"/>
                <w:kern w:val="22"/>
                <w:sz w:val="22"/>
                <w:szCs w:val="22"/>
                <w:lang w:val="fr-CA"/>
              </w:rPr>
              <w:footnoteReference w:id="19"/>
            </w:r>
          </w:p>
        </w:tc>
        <w:tc>
          <w:tcPr>
            <w:tcW w:w="6565" w:type="dxa"/>
            <w:vAlign w:val="center"/>
          </w:tcPr>
          <w:p w:rsidR="0038260D" w:rsidRPr="00E0092F" w:rsidRDefault="0038260D" w:rsidP="008359B4">
            <w:pPr>
              <w:pStyle w:val="BodyText"/>
              <w:adjustRightInd w:val="0"/>
              <w:snapToGrid w:val="0"/>
              <w:ind w:firstLine="0"/>
              <w:rPr>
                <w:kern w:val="22"/>
                <w:sz w:val="22"/>
                <w:szCs w:val="22"/>
                <w:lang w:val="fr-CA"/>
              </w:rPr>
            </w:pPr>
            <w:r>
              <w:rPr>
                <w:sz w:val="22"/>
                <w:szCs w:val="22"/>
                <w:lang w:val="fr-CA"/>
              </w:rPr>
              <w:t>Le cadre de suivi proposé pour le cadre mondial de la biodiversité pour l</w:t>
            </w:r>
            <w:r w:rsidR="00CD6257">
              <w:rPr>
                <w:sz w:val="22"/>
                <w:szCs w:val="22"/>
                <w:lang w:val="fr-CA"/>
              </w:rPr>
              <w:t>’</w:t>
            </w:r>
            <w:r>
              <w:rPr>
                <w:sz w:val="22"/>
                <w:szCs w:val="22"/>
                <w:lang w:val="fr-CA"/>
              </w:rPr>
              <w:t>après</w:t>
            </w:r>
            <w:r w:rsidR="00CD6257">
              <w:rPr>
                <w:sz w:val="22"/>
                <w:szCs w:val="22"/>
                <w:lang w:val="fr-CA"/>
              </w:rPr>
              <w:noBreakHyphen/>
            </w:r>
            <w:r>
              <w:rPr>
                <w:sz w:val="22"/>
                <w:szCs w:val="22"/>
                <w:lang w:val="fr-CA"/>
              </w:rPr>
              <w:t>2020 identifie des indicateurs pour le suivi de la mise en œuvre des objectifs et cibles du cadre mondial de la biodiversité pour l</w:t>
            </w:r>
            <w:r w:rsidR="00CD6257">
              <w:rPr>
                <w:sz w:val="22"/>
                <w:szCs w:val="22"/>
                <w:lang w:val="fr-CA"/>
              </w:rPr>
              <w:t>’</w:t>
            </w:r>
            <w:r>
              <w:rPr>
                <w:sz w:val="22"/>
                <w:szCs w:val="22"/>
                <w:lang w:val="fr-CA"/>
              </w:rPr>
              <w:t>après</w:t>
            </w:r>
            <w:r w:rsidR="00CD6257">
              <w:rPr>
                <w:sz w:val="22"/>
                <w:szCs w:val="22"/>
                <w:lang w:val="fr-CA"/>
              </w:rPr>
              <w:noBreakHyphen/>
            </w:r>
            <w:r>
              <w:rPr>
                <w:sz w:val="22"/>
                <w:szCs w:val="22"/>
                <w:lang w:val="fr-CA"/>
              </w:rPr>
              <w:t>2020. Dans ce contexte, étant donné qu</w:t>
            </w:r>
            <w:r w:rsidR="00CD6257">
              <w:rPr>
                <w:sz w:val="22"/>
                <w:szCs w:val="22"/>
                <w:lang w:val="fr-CA"/>
              </w:rPr>
              <w:t>’</w:t>
            </w:r>
            <w:r>
              <w:rPr>
                <w:sz w:val="22"/>
                <w:szCs w:val="22"/>
                <w:lang w:val="fr-CA"/>
              </w:rPr>
              <w:t>il serait souhaitable d</w:t>
            </w:r>
            <w:r w:rsidR="00CD6257">
              <w:rPr>
                <w:sz w:val="22"/>
                <w:szCs w:val="22"/>
                <w:lang w:val="fr-CA"/>
              </w:rPr>
              <w:t>’</w:t>
            </w:r>
            <w:r>
              <w:rPr>
                <w:sz w:val="22"/>
                <w:szCs w:val="22"/>
                <w:lang w:val="fr-CA"/>
              </w:rPr>
              <w:t>élaborer des indicateurs pertinents au niveau national pour l</w:t>
            </w:r>
            <w:r w:rsidR="00CD6257">
              <w:rPr>
                <w:sz w:val="22"/>
                <w:szCs w:val="22"/>
                <w:lang w:val="fr-CA"/>
              </w:rPr>
              <w:t>’</w:t>
            </w:r>
            <w:r>
              <w:rPr>
                <w:sz w:val="22"/>
                <w:szCs w:val="22"/>
                <w:lang w:val="fr-CA"/>
              </w:rPr>
              <w:t>accès et le partage des avantages en vue d</w:t>
            </w:r>
            <w:r w:rsidR="00CD6257">
              <w:rPr>
                <w:sz w:val="22"/>
                <w:szCs w:val="22"/>
                <w:lang w:val="fr-CA"/>
              </w:rPr>
              <w:t>’</w:t>
            </w:r>
            <w:r>
              <w:rPr>
                <w:sz w:val="22"/>
                <w:szCs w:val="22"/>
                <w:lang w:val="fr-CA"/>
              </w:rPr>
              <w:t xml:space="preserve">appuyer la mise en œuvre du Protocole, la </w:t>
            </w:r>
            <w:r>
              <w:rPr>
                <w:noProof/>
                <w:sz w:val="22"/>
                <w:szCs w:val="22"/>
                <w:lang w:val="fr-CA"/>
              </w:rPr>
              <w:t>CdP</w:t>
            </w:r>
            <w:r w:rsidR="00CD6257">
              <w:rPr>
                <w:noProof/>
                <w:sz w:val="22"/>
                <w:szCs w:val="22"/>
                <w:lang w:val="fr-CA"/>
              </w:rPr>
              <w:noBreakHyphen/>
            </w:r>
            <w:r>
              <w:rPr>
                <w:noProof/>
                <w:sz w:val="22"/>
                <w:szCs w:val="22"/>
                <w:lang w:val="fr-CA"/>
              </w:rPr>
              <w:t>RdP</w:t>
            </w:r>
            <w:r>
              <w:rPr>
                <w:sz w:val="22"/>
                <w:szCs w:val="22"/>
                <w:lang w:val="fr-CA"/>
              </w:rPr>
              <w:t xml:space="preserve"> pourrait souhaiter prendre note du cadre de suivi et du processus établi dans la décision pour élaborer les indicateurs proposés. Cela sera examiné au titre du point à l</w:t>
            </w:r>
            <w:r w:rsidR="00CD6257">
              <w:rPr>
                <w:sz w:val="22"/>
                <w:szCs w:val="22"/>
                <w:lang w:val="fr-CA"/>
              </w:rPr>
              <w:t>’</w:t>
            </w:r>
            <w:r>
              <w:rPr>
                <w:sz w:val="22"/>
                <w:szCs w:val="22"/>
                <w:lang w:val="fr-CA"/>
              </w:rPr>
              <w:t xml:space="preserve">ordre du jour de la </w:t>
            </w:r>
            <w:r>
              <w:rPr>
                <w:noProof/>
                <w:sz w:val="22"/>
                <w:szCs w:val="22"/>
                <w:lang w:val="fr-CA"/>
              </w:rPr>
              <w:t>CdP</w:t>
            </w:r>
            <w:r w:rsidR="00CD6257">
              <w:rPr>
                <w:noProof/>
                <w:sz w:val="22"/>
                <w:szCs w:val="22"/>
                <w:lang w:val="fr-CA"/>
              </w:rPr>
              <w:noBreakHyphen/>
            </w:r>
            <w:r>
              <w:rPr>
                <w:noProof/>
                <w:sz w:val="22"/>
                <w:szCs w:val="22"/>
                <w:lang w:val="fr-CA"/>
              </w:rPr>
              <w:t>RdP</w:t>
            </w:r>
            <w:r>
              <w:rPr>
                <w:sz w:val="22"/>
                <w:szCs w:val="22"/>
                <w:lang w:val="fr-CA"/>
              </w:rPr>
              <w:t xml:space="preserve"> relatif au suivi et aux rapports (</w:t>
            </w:r>
            <w:r w:rsidRPr="00E0092F">
              <w:rPr>
                <w:sz w:val="22"/>
                <w:szCs w:val="22"/>
                <w:lang w:val="fr-CA"/>
              </w:rPr>
              <w:t>document CBD/NP/MOP/4/7</w:t>
            </w:r>
            <w:r>
              <w:rPr>
                <w:sz w:val="22"/>
                <w:szCs w:val="22"/>
                <w:lang w:val="fr-CA"/>
              </w:rPr>
              <w:t>).</w:t>
            </w:r>
          </w:p>
        </w:tc>
      </w:tr>
      <w:tr w:rsidR="0038260D" w:rsidRPr="00206E11" w:rsidTr="00D84221">
        <w:trPr>
          <w:trHeight w:val="586"/>
          <w:jc w:val="center"/>
        </w:trPr>
        <w:tc>
          <w:tcPr>
            <w:tcW w:w="2785" w:type="dxa"/>
            <w:vAlign w:val="center"/>
          </w:tcPr>
          <w:p w:rsidR="0038260D" w:rsidRPr="00E0092F" w:rsidRDefault="0038260D" w:rsidP="008359B4">
            <w:pPr>
              <w:pStyle w:val="BodyText"/>
              <w:adjustRightInd w:val="0"/>
              <w:snapToGrid w:val="0"/>
              <w:ind w:firstLine="0"/>
              <w:rPr>
                <w:kern w:val="22"/>
                <w:sz w:val="22"/>
                <w:szCs w:val="22"/>
                <w:lang w:val="fr-CA"/>
              </w:rPr>
            </w:pPr>
            <w:r>
              <w:rPr>
                <w:kern w:val="22"/>
                <w:sz w:val="22"/>
                <w:szCs w:val="22"/>
                <w:lang w:val="fr-CA"/>
              </w:rPr>
              <w:lastRenderedPageBreak/>
              <w:t>Stratégie de mobilisation des ressources</w:t>
            </w:r>
            <w:r w:rsidRPr="00E0092F">
              <w:rPr>
                <w:rStyle w:val="FootnoteReference"/>
                <w:sz w:val="22"/>
                <w:szCs w:val="22"/>
                <w:lang w:val="fr-CA"/>
              </w:rPr>
              <w:footnoteReference w:id="20"/>
            </w:r>
          </w:p>
        </w:tc>
        <w:tc>
          <w:tcPr>
            <w:tcW w:w="6565" w:type="dxa"/>
            <w:vAlign w:val="center"/>
          </w:tcPr>
          <w:p w:rsidR="0038260D" w:rsidRPr="00E0092F" w:rsidRDefault="0038260D" w:rsidP="008359B4">
            <w:pPr>
              <w:suppressLineNumbers/>
              <w:suppressAutoHyphens/>
              <w:kinsoku w:val="0"/>
              <w:overflowPunct w:val="0"/>
              <w:autoSpaceDE w:val="0"/>
              <w:autoSpaceDN w:val="0"/>
              <w:snapToGrid w:val="0"/>
              <w:spacing w:before="120" w:after="120"/>
              <w:rPr>
                <w:sz w:val="22"/>
                <w:szCs w:val="22"/>
                <w:lang w:val="fr-CA"/>
              </w:rPr>
            </w:pPr>
            <w:r>
              <w:rPr>
                <w:sz w:val="22"/>
                <w:szCs w:val="22"/>
                <w:lang w:val="fr-CA"/>
              </w:rPr>
              <w:t>Le projet de composante sur la mobilisation des ressources du cadre mondial de la biodiversité pour l</w:t>
            </w:r>
            <w:r w:rsidR="00CD6257">
              <w:rPr>
                <w:sz w:val="22"/>
                <w:szCs w:val="22"/>
                <w:lang w:val="fr-CA"/>
              </w:rPr>
              <w:t>’</w:t>
            </w:r>
            <w:r>
              <w:rPr>
                <w:sz w:val="22"/>
                <w:szCs w:val="22"/>
                <w:lang w:val="fr-CA"/>
              </w:rPr>
              <w:t>après</w:t>
            </w:r>
            <w:r w:rsidR="00CD6257">
              <w:rPr>
                <w:sz w:val="22"/>
                <w:szCs w:val="22"/>
                <w:lang w:val="fr-CA"/>
              </w:rPr>
              <w:noBreakHyphen/>
            </w:r>
            <w:r>
              <w:rPr>
                <w:sz w:val="22"/>
                <w:szCs w:val="22"/>
                <w:lang w:val="fr-CA"/>
              </w:rPr>
              <w:t>2020 est conçu comme le successeur de la stratégie actuelle de mobilisation des ressources pour la Convention et ses Protocoles. La stratégie de mobilisation des ressources est, notamment, d</w:t>
            </w:r>
            <w:r w:rsidR="00CD6257">
              <w:rPr>
                <w:sz w:val="22"/>
                <w:szCs w:val="22"/>
                <w:lang w:val="fr-CA"/>
              </w:rPr>
              <w:t>’</w:t>
            </w:r>
            <w:r>
              <w:rPr>
                <w:sz w:val="22"/>
                <w:szCs w:val="22"/>
                <w:lang w:val="fr-CA"/>
              </w:rPr>
              <w:t>encourager les Parties à mettre à jour ou à élaborer des plans nationaux de financement, sur la base des SPANB et s</w:t>
            </w:r>
            <w:r w:rsidR="00CD6257">
              <w:rPr>
                <w:sz w:val="22"/>
                <w:szCs w:val="22"/>
                <w:lang w:val="fr-CA"/>
              </w:rPr>
              <w:t>’</w:t>
            </w:r>
            <w:r>
              <w:rPr>
                <w:sz w:val="22"/>
                <w:szCs w:val="22"/>
                <w:lang w:val="fr-CA"/>
              </w:rPr>
              <w:t>alignant sur le cadre mondial de la biodiversité pour l</w:t>
            </w:r>
            <w:r w:rsidR="00CD6257">
              <w:rPr>
                <w:sz w:val="22"/>
                <w:szCs w:val="22"/>
                <w:lang w:val="fr-CA"/>
              </w:rPr>
              <w:t>’</w:t>
            </w:r>
            <w:r>
              <w:rPr>
                <w:sz w:val="22"/>
                <w:szCs w:val="22"/>
                <w:lang w:val="fr-CA"/>
              </w:rPr>
              <w:t>après</w:t>
            </w:r>
            <w:r w:rsidR="00CD6257">
              <w:rPr>
                <w:sz w:val="22"/>
                <w:szCs w:val="22"/>
                <w:lang w:val="fr-CA"/>
              </w:rPr>
              <w:noBreakHyphen/>
            </w:r>
            <w:r>
              <w:rPr>
                <w:sz w:val="22"/>
                <w:szCs w:val="22"/>
                <w:lang w:val="fr-CA"/>
              </w:rPr>
              <w:t xml:space="preserve">2020. La </w:t>
            </w:r>
            <w:r>
              <w:rPr>
                <w:noProof/>
                <w:sz w:val="22"/>
                <w:szCs w:val="22"/>
                <w:lang w:val="fr-CA"/>
              </w:rPr>
              <w:t>CdP</w:t>
            </w:r>
            <w:r w:rsidR="00CD6257">
              <w:rPr>
                <w:noProof/>
                <w:sz w:val="22"/>
                <w:szCs w:val="22"/>
                <w:lang w:val="fr-CA"/>
              </w:rPr>
              <w:noBreakHyphen/>
            </w:r>
            <w:r>
              <w:rPr>
                <w:noProof/>
                <w:sz w:val="22"/>
                <w:szCs w:val="22"/>
                <w:lang w:val="fr-CA"/>
              </w:rPr>
              <w:t>RdP</w:t>
            </w:r>
            <w:r>
              <w:rPr>
                <w:sz w:val="22"/>
                <w:szCs w:val="22"/>
                <w:lang w:val="fr-CA"/>
              </w:rPr>
              <w:t xml:space="preserve"> pourrait souhaiter inviter les Parties à prendre en considération le Protocole de Nagoya dans leurs plans de financement et autres efforts de mobilisation de ressources. Cela sera examiné au titre du point à l</w:t>
            </w:r>
            <w:r w:rsidR="00CD6257">
              <w:rPr>
                <w:sz w:val="22"/>
                <w:szCs w:val="22"/>
                <w:lang w:val="fr-CA"/>
              </w:rPr>
              <w:t>’</w:t>
            </w:r>
            <w:r>
              <w:rPr>
                <w:sz w:val="22"/>
                <w:szCs w:val="22"/>
                <w:lang w:val="fr-CA"/>
              </w:rPr>
              <w:t xml:space="preserve">ordre du jour de la </w:t>
            </w:r>
            <w:r>
              <w:rPr>
                <w:noProof/>
                <w:sz w:val="22"/>
                <w:szCs w:val="22"/>
                <w:lang w:val="fr-CA"/>
              </w:rPr>
              <w:t>CdP</w:t>
            </w:r>
            <w:r w:rsidR="00CD6257">
              <w:rPr>
                <w:noProof/>
                <w:sz w:val="22"/>
                <w:szCs w:val="22"/>
                <w:lang w:val="fr-CA"/>
              </w:rPr>
              <w:noBreakHyphen/>
            </w:r>
            <w:r>
              <w:rPr>
                <w:noProof/>
                <w:sz w:val="22"/>
                <w:szCs w:val="22"/>
                <w:lang w:val="fr-CA"/>
              </w:rPr>
              <w:t>RdP</w:t>
            </w:r>
            <w:r>
              <w:rPr>
                <w:sz w:val="22"/>
                <w:szCs w:val="22"/>
                <w:lang w:val="fr-CA"/>
              </w:rPr>
              <w:t xml:space="preserve"> portant sur le mécanisme de financement et les ressources financières </w:t>
            </w:r>
            <w:r w:rsidRPr="00E0092F">
              <w:rPr>
                <w:sz w:val="22"/>
                <w:szCs w:val="22"/>
                <w:lang w:val="fr-CA"/>
              </w:rPr>
              <w:t xml:space="preserve">(document </w:t>
            </w:r>
            <w:r w:rsidRPr="00E0092F">
              <w:rPr>
                <w:kern w:val="22"/>
                <w:sz w:val="22"/>
                <w:szCs w:val="22"/>
                <w:lang w:val="fr-CA"/>
              </w:rPr>
              <w:t>CBD/NP/MOP/4/10).</w:t>
            </w:r>
          </w:p>
        </w:tc>
      </w:tr>
      <w:tr w:rsidR="0038260D" w:rsidRPr="00206E11" w:rsidTr="00D84221">
        <w:trPr>
          <w:trHeight w:val="586"/>
          <w:jc w:val="center"/>
        </w:trPr>
        <w:tc>
          <w:tcPr>
            <w:tcW w:w="2785" w:type="dxa"/>
            <w:vAlign w:val="center"/>
          </w:tcPr>
          <w:p w:rsidR="0038260D" w:rsidRPr="00E0092F" w:rsidRDefault="0038260D" w:rsidP="008359B4">
            <w:pPr>
              <w:pStyle w:val="BodyText"/>
              <w:adjustRightInd w:val="0"/>
              <w:snapToGrid w:val="0"/>
              <w:ind w:firstLine="0"/>
              <w:rPr>
                <w:kern w:val="22"/>
                <w:sz w:val="22"/>
                <w:szCs w:val="22"/>
                <w:lang w:val="fr-CA"/>
              </w:rPr>
            </w:pPr>
            <w:r>
              <w:rPr>
                <w:kern w:val="22"/>
                <w:sz w:val="22"/>
                <w:szCs w:val="22"/>
                <w:lang w:val="fr-CA"/>
              </w:rPr>
              <w:t>Orientations au mécanisme de financement</w:t>
            </w:r>
          </w:p>
        </w:tc>
        <w:tc>
          <w:tcPr>
            <w:tcW w:w="6565" w:type="dxa"/>
            <w:vAlign w:val="center"/>
          </w:tcPr>
          <w:p w:rsidR="0038260D" w:rsidRPr="00E0092F" w:rsidRDefault="0038260D" w:rsidP="008359B4">
            <w:pPr>
              <w:pStyle w:val="BodyText"/>
              <w:adjustRightInd w:val="0"/>
              <w:snapToGrid w:val="0"/>
              <w:ind w:firstLine="0"/>
              <w:rPr>
                <w:kern w:val="22"/>
                <w:sz w:val="22"/>
                <w:szCs w:val="22"/>
                <w:lang w:val="fr-CA"/>
              </w:rPr>
            </w:pPr>
            <w:r>
              <w:rPr>
                <w:sz w:val="22"/>
                <w:szCs w:val="22"/>
                <w:lang w:val="fr-CA"/>
              </w:rPr>
              <w:t>À titre de mécanisme de financement de la Convention et de ses Protocoles, le Fonds pour l</w:t>
            </w:r>
            <w:r w:rsidR="00CD6257">
              <w:rPr>
                <w:sz w:val="22"/>
                <w:szCs w:val="22"/>
                <w:lang w:val="fr-CA"/>
              </w:rPr>
              <w:t>’</w:t>
            </w:r>
            <w:r>
              <w:rPr>
                <w:sz w:val="22"/>
                <w:szCs w:val="22"/>
                <w:lang w:val="fr-CA"/>
              </w:rPr>
              <w:t>environnement mondial, en particulier dans ses huitième et neuvième cycles de reconstitution, tiendra un rôle prépondérant dans le soutien de la mise en œuvre du cadre mondial de la biodiversité pour l</w:t>
            </w:r>
            <w:r w:rsidR="00CD6257">
              <w:rPr>
                <w:sz w:val="22"/>
                <w:szCs w:val="22"/>
                <w:lang w:val="fr-CA"/>
              </w:rPr>
              <w:t>’</w:t>
            </w:r>
            <w:r>
              <w:rPr>
                <w:sz w:val="22"/>
                <w:szCs w:val="22"/>
                <w:lang w:val="fr-CA"/>
              </w:rPr>
              <w:t>après</w:t>
            </w:r>
            <w:r w:rsidR="00CD6257">
              <w:rPr>
                <w:sz w:val="22"/>
                <w:szCs w:val="22"/>
                <w:lang w:val="fr-CA"/>
              </w:rPr>
              <w:noBreakHyphen/>
            </w:r>
            <w:r>
              <w:rPr>
                <w:sz w:val="22"/>
                <w:szCs w:val="22"/>
                <w:lang w:val="fr-CA"/>
              </w:rPr>
              <w:t>2020. Cela sera examiné au titre du point à l</w:t>
            </w:r>
            <w:r w:rsidR="00CD6257">
              <w:rPr>
                <w:sz w:val="22"/>
                <w:szCs w:val="22"/>
                <w:lang w:val="fr-CA"/>
              </w:rPr>
              <w:t>’</w:t>
            </w:r>
            <w:r>
              <w:rPr>
                <w:sz w:val="22"/>
                <w:szCs w:val="22"/>
                <w:lang w:val="fr-CA"/>
              </w:rPr>
              <w:t xml:space="preserve">ordre du jour de la </w:t>
            </w:r>
            <w:r>
              <w:rPr>
                <w:noProof/>
                <w:sz w:val="22"/>
                <w:szCs w:val="22"/>
                <w:lang w:val="fr-CA"/>
              </w:rPr>
              <w:t>CdP</w:t>
            </w:r>
            <w:r w:rsidR="00CD6257">
              <w:rPr>
                <w:noProof/>
                <w:sz w:val="22"/>
                <w:szCs w:val="22"/>
                <w:lang w:val="fr-CA"/>
              </w:rPr>
              <w:noBreakHyphen/>
            </w:r>
            <w:r>
              <w:rPr>
                <w:noProof/>
                <w:sz w:val="22"/>
                <w:szCs w:val="22"/>
                <w:lang w:val="fr-CA"/>
              </w:rPr>
              <w:t>RdP</w:t>
            </w:r>
            <w:r>
              <w:rPr>
                <w:sz w:val="22"/>
                <w:szCs w:val="22"/>
                <w:lang w:val="fr-CA"/>
              </w:rPr>
              <w:t xml:space="preserve"> portant sur le mécanisme de financement et les ressources financières </w:t>
            </w:r>
            <w:r w:rsidRPr="00E0092F">
              <w:rPr>
                <w:sz w:val="22"/>
                <w:szCs w:val="22"/>
                <w:lang w:val="fr-CA"/>
              </w:rPr>
              <w:t xml:space="preserve">(document </w:t>
            </w:r>
            <w:r w:rsidRPr="00E0092F">
              <w:rPr>
                <w:kern w:val="22"/>
                <w:sz w:val="22"/>
                <w:szCs w:val="22"/>
                <w:lang w:val="fr-CA"/>
              </w:rPr>
              <w:t>CBD/NP/MOP/4/10).</w:t>
            </w:r>
          </w:p>
        </w:tc>
      </w:tr>
      <w:tr w:rsidR="0038260D" w:rsidRPr="00206E11" w:rsidTr="00D84221">
        <w:trPr>
          <w:trHeight w:val="604"/>
          <w:jc w:val="center"/>
        </w:trPr>
        <w:tc>
          <w:tcPr>
            <w:tcW w:w="2785" w:type="dxa"/>
            <w:vAlign w:val="center"/>
          </w:tcPr>
          <w:p w:rsidR="0038260D" w:rsidRPr="00E0092F" w:rsidRDefault="0038260D" w:rsidP="008359B4">
            <w:pPr>
              <w:pStyle w:val="BodyText"/>
              <w:adjustRightInd w:val="0"/>
              <w:snapToGrid w:val="0"/>
              <w:ind w:firstLine="0"/>
              <w:rPr>
                <w:kern w:val="22"/>
                <w:sz w:val="22"/>
                <w:szCs w:val="22"/>
                <w:lang w:val="fr-CA"/>
              </w:rPr>
            </w:pPr>
            <w:r>
              <w:rPr>
                <w:kern w:val="22"/>
                <w:sz w:val="22"/>
                <w:szCs w:val="22"/>
                <w:lang w:val="fr-CA"/>
              </w:rPr>
              <w:t>Cadre stratégique à long terme pour la création et le renforcement des capacités en vue d</w:t>
            </w:r>
            <w:r w:rsidR="00CD6257">
              <w:rPr>
                <w:kern w:val="22"/>
                <w:sz w:val="22"/>
                <w:szCs w:val="22"/>
                <w:lang w:val="fr-CA"/>
              </w:rPr>
              <w:t>’</w:t>
            </w:r>
            <w:r>
              <w:rPr>
                <w:kern w:val="22"/>
                <w:sz w:val="22"/>
                <w:szCs w:val="22"/>
                <w:lang w:val="fr-CA"/>
              </w:rPr>
              <w:t>appuyer la mise en œuvre du cadre mondial de la biodiversité pour l</w:t>
            </w:r>
            <w:r w:rsidR="00CD6257">
              <w:rPr>
                <w:kern w:val="22"/>
                <w:sz w:val="22"/>
                <w:szCs w:val="22"/>
                <w:lang w:val="fr-CA"/>
              </w:rPr>
              <w:t>’</w:t>
            </w:r>
            <w:r>
              <w:rPr>
                <w:kern w:val="22"/>
                <w:sz w:val="22"/>
                <w:szCs w:val="22"/>
                <w:lang w:val="fr-CA"/>
              </w:rPr>
              <w:t>après</w:t>
            </w:r>
            <w:r w:rsidR="00CD6257">
              <w:rPr>
                <w:kern w:val="22"/>
                <w:sz w:val="22"/>
                <w:szCs w:val="22"/>
                <w:lang w:val="fr-CA"/>
              </w:rPr>
              <w:noBreakHyphen/>
            </w:r>
            <w:r>
              <w:rPr>
                <w:kern w:val="22"/>
                <w:sz w:val="22"/>
                <w:szCs w:val="22"/>
                <w:lang w:val="fr-CA"/>
              </w:rPr>
              <w:t>2020</w:t>
            </w:r>
            <w:r w:rsidRPr="00E0092F">
              <w:rPr>
                <w:rStyle w:val="FootnoteReference"/>
                <w:kern w:val="22"/>
                <w:sz w:val="22"/>
                <w:szCs w:val="22"/>
                <w:lang w:val="fr-CA"/>
              </w:rPr>
              <w:footnoteReference w:id="21"/>
            </w:r>
          </w:p>
        </w:tc>
        <w:tc>
          <w:tcPr>
            <w:tcW w:w="6565" w:type="dxa"/>
            <w:vAlign w:val="center"/>
          </w:tcPr>
          <w:p w:rsidR="0038260D" w:rsidRPr="00E0092F" w:rsidRDefault="0038260D" w:rsidP="008359B4">
            <w:pPr>
              <w:pStyle w:val="BodyText"/>
              <w:adjustRightInd w:val="0"/>
              <w:snapToGrid w:val="0"/>
              <w:ind w:firstLine="0"/>
              <w:rPr>
                <w:kern w:val="22"/>
                <w:sz w:val="22"/>
                <w:szCs w:val="22"/>
                <w:lang w:val="fr-CA"/>
              </w:rPr>
            </w:pPr>
            <w:r>
              <w:rPr>
                <w:kern w:val="22"/>
                <w:sz w:val="22"/>
                <w:szCs w:val="22"/>
                <w:lang w:val="fr-CA"/>
              </w:rPr>
              <w:t>Le cadre stratégique à long terme vise à guider les efforts de création et de renforcement de capacités des gouvernements et des acteurs non gouvernementaux en matière de mise en œuvre du cadre mondial de la biodiversité pour l</w:t>
            </w:r>
            <w:r w:rsidR="00CD6257">
              <w:rPr>
                <w:kern w:val="22"/>
                <w:sz w:val="22"/>
                <w:szCs w:val="22"/>
                <w:lang w:val="fr-CA"/>
              </w:rPr>
              <w:t>’</w:t>
            </w:r>
            <w:r>
              <w:rPr>
                <w:kern w:val="22"/>
                <w:sz w:val="22"/>
                <w:szCs w:val="22"/>
                <w:lang w:val="fr-CA"/>
              </w:rPr>
              <w:t>après</w:t>
            </w:r>
            <w:r w:rsidR="00CD6257">
              <w:rPr>
                <w:kern w:val="22"/>
                <w:sz w:val="22"/>
                <w:szCs w:val="22"/>
                <w:lang w:val="fr-CA"/>
              </w:rPr>
              <w:noBreakHyphen/>
            </w:r>
            <w:r>
              <w:rPr>
                <w:kern w:val="22"/>
                <w:sz w:val="22"/>
                <w:szCs w:val="22"/>
                <w:lang w:val="fr-CA"/>
              </w:rPr>
              <w:t>2020. Le cadre comprend des principes directeurs et des stratégies clés visant à renforcer la création et le renforcement des capacités. Il nécessite la formulation de stratégies ou de plans d</w:t>
            </w:r>
            <w:r w:rsidR="00CD6257">
              <w:rPr>
                <w:kern w:val="22"/>
                <w:sz w:val="22"/>
                <w:szCs w:val="22"/>
                <w:lang w:val="fr-CA"/>
              </w:rPr>
              <w:t>’</w:t>
            </w:r>
            <w:r>
              <w:rPr>
                <w:kern w:val="22"/>
                <w:sz w:val="22"/>
                <w:szCs w:val="22"/>
                <w:lang w:val="fr-CA"/>
              </w:rPr>
              <w:t>action de renforcement de capacités thématiques, en vue d</w:t>
            </w:r>
            <w:r w:rsidR="00CD6257">
              <w:rPr>
                <w:kern w:val="22"/>
                <w:sz w:val="22"/>
                <w:szCs w:val="22"/>
                <w:lang w:val="fr-CA"/>
              </w:rPr>
              <w:t>’</w:t>
            </w:r>
            <w:r>
              <w:rPr>
                <w:kern w:val="22"/>
                <w:sz w:val="22"/>
                <w:szCs w:val="22"/>
                <w:lang w:val="fr-CA"/>
              </w:rPr>
              <w:t xml:space="preserve">appuyer la mise en œuvre au niveau national. La </w:t>
            </w:r>
            <w:r>
              <w:rPr>
                <w:noProof/>
                <w:kern w:val="22"/>
                <w:sz w:val="22"/>
                <w:szCs w:val="22"/>
                <w:lang w:val="fr-CA"/>
              </w:rPr>
              <w:t>CdP</w:t>
            </w:r>
            <w:r w:rsidR="00CD6257">
              <w:rPr>
                <w:noProof/>
                <w:kern w:val="22"/>
                <w:sz w:val="22"/>
                <w:szCs w:val="22"/>
                <w:lang w:val="fr-CA"/>
              </w:rPr>
              <w:noBreakHyphen/>
            </w:r>
            <w:r>
              <w:rPr>
                <w:noProof/>
                <w:kern w:val="22"/>
                <w:sz w:val="22"/>
                <w:szCs w:val="22"/>
                <w:lang w:val="fr-CA"/>
              </w:rPr>
              <w:t>RdP</w:t>
            </w:r>
            <w:r>
              <w:rPr>
                <w:kern w:val="22"/>
                <w:sz w:val="22"/>
                <w:szCs w:val="22"/>
                <w:lang w:val="fr-CA"/>
              </w:rPr>
              <w:t xml:space="preserve"> pourrait souhaiter demander que le cadre stratégique à long terme soit examiné lors de la révision du cadre stratégique pour la création et le renforcement des capacités, afin d</w:t>
            </w:r>
            <w:r w:rsidR="00CD6257">
              <w:rPr>
                <w:kern w:val="22"/>
                <w:sz w:val="22"/>
                <w:szCs w:val="22"/>
                <w:lang w:val="fr-CA"/>
              </w:rPr>
              <w:t>’</w:t>
            </w:r>
            <w:r>
              <w:rPr>
                <w:kern w:val="22"/>
                <w:sz w:val="22"/>
                <w:szCs w:val="22"/>
                <w:lang w:val="fr-CA"/>
              </w:rPr>
              <w:t xml:space="preserve">appuyer la mise en œuvre effective du Protocole de Nagoya. </w:t>
            </w:r>
            <w:r>
              <w:rPr>
                <w:sz w:val="22"/>
                <w:szCs w:val="22"/>
                <w:lang w:val="fr-CA"/>
              </w:rPr>
              <w:t>Cela sera examiné au titre du point à l</w:t>
            </w:r>
            <w:r w:rsidR="00CD6257">
              <w:rPr>
                <w:sz w:val="22"/>
                <w:szCs w:val="22"/>
                <w:lang w:val="fr-CA"/>
              </w:rPr>
              <w:t>’</w:t>
            </w:r>
            <w:r>
              <w:rPr>
                <w:sz w:val="22"/>
                <w:szCs w:val="22"/>
                <w:lang w:val="fr-CA"/>
              </w:rPr>
              <w:t xml:space="preserve">ordre du jour de la </w:t>
            </w:r>
            <w:r>
              <w:rPr>
                <w:noProof/>
                <w:sz w:val="22"/>
                <w:szCs w:val="22"/>
                <w:lang w:val="fr-CA"/>
              </w:rPr>
              <w:t>CdP</w:t>
            </w:r>
            <w:r w:rsidR="00CD6257">
              <w:rPr>
                <w:noProof/>
                <w:sz w:val="22"/>
                <w:szCs w:val="22"/>
                <w:lang w:val="fr-CA"/>
              </w:rPr>
              <w:noBreakHyphen/>
            </w:r>
            <w:r>
              <w:rPr>
                <w:noProof/>
                <w:sz w:val="22"/>
                <w:szCs w:val="22"/>
                <w:lang w:val="fr-CA"/>
              </w:rPr>
              <w:t>RdP</w:t>
            </w:r>
            <w:r>
              <w:rPr>
                <w:sz w:val="22"/>
                <w:szCs w:val="22"/>
                <w:lang w:val="fr-CA"/>
              </w:rPr>
              <w:t xml:space="preserve"> portant sur la création et le renforcement des capacités et la sensibilisation </w:t>
            </w:r>
            <w:r w:rsidRPr="00E0092F">
              <w:rPr>
                <w:sz w:val="22"/>
                <w:szCs w:val="22"/>
                <w:lang w:val="fr-CA"/>
              </w:rPr>
              <w:t xml:space="preserve">(document </w:t>
            </w:r>
            <w:r w:rsidRPr="00E0092F">
              <w:rPr>
                <w:sz w:val="22"/>
                <w:szCs w:val="22"/>
                <w:lang w:val="fr-CA" w:eastAsia="zh-CN"/>
              </w:rPr>
              <w:t>CBD/NP/MOP/4/5</w:t>
            </w:r>
            <w:r w:rsidRPr="00E0092F">
              <w:rPr>
                <w:kern w:val="22"/>
                <w:sz w:val="22"/>
                <w:szCs w:val="22"/>
                <w:lang w:val="fr-CA"/>
              </w:rPr>
              <w:t>).</w:t>
            </w:r>
          </w:p>
        </w:tc>
      </w:tr>
      <w:tr w:rsidR="0038260D" w:rsidRPr="00206E11" w:rsidTr="00EB29C3">
        <w:trPr>
          <w:trHeight w:val="917"/>
          <w:jc w:val="center"/>
        </w:trPr>
        <w:tc>
          <w:tcPr>
            <w:tcW w:w="2785" w:type="dxa"/>
            <w:vAlign w:val="center"/>
          </w:tcPr>
          <w:p w:rsidR="0038260D" w:rsidRPr="00E0092F" w:rsidRDefault="0038260D" w:rsidP="008359B4">
            <w:pPr>
              <w:pStyle w:val="BodyText"/>
              <w:adjustRightInd w:val="0"/>
              <w:snapToGrid w:val="0"/>
              <w:ind w:firstLine="0"/>
              <w:rPr>
                <w:kern w:val="22"/>
                <w:sz w:val="22"/>
                <w:szCs w:val="22"/>
                <w:lang w:val="fr-CA"/>
              </w:rPr>
            </w:pPr>
            <w:r>
              <w:rPr>
                <w:kern w:val="22"/>
                <w:sz w:val="22"/>
                <w:szCs w:val="22"/>
                <w:lang w:val="fr-CA"/>
              </w:rPr>
              <w:t>Composante de coopération technique et scientifique du cadre mondial de la biodiversité pour l</w:t>
            </w:r>
            <w:r w:rsidR="00CD6257">
              <w:rPr>
                <w:kern w:val="22"/>
                <w:sz w:val="22"/>
                <w:szCs w:val="22"/>
                <w:lang w:val="fr-CA"/>
              </w:rPr>
              <w:t>’</w:t>
            </w:r>
            <w:r>
              <w:rPr>
                <w:kern w:val="22"/>
                <w:sz w:val="22"/>
                <w:szCs w:val="22"/>
                <w:lang w:val="fr-CA"/>
              </w:rPr>
              <w:t>après</w:t>
            </w:r>
            <w:r w:rsidR="00CD6257">
              <w:rPr>
                <w:kern w:val="22"/>
                <w:sz w:val="22"/>
                <w:szCs w:val="22"/>
                <w:lang w:val="fr-CA"/>
              </w:rPr>
              <w:noBreakHyphen/>
            </w:r>
            <w:r>
              <w:rPr>
                <w:kern w:val="22"/>
                <w:sz w:val="22"/>
                <w:szCs w:val="22"/>
                <w:lang w:val="fr-CA"/>
              </w:rPr>
              <w:t>2020</w:t>
            </w:r>
            <w:r w:rsidRPr="00E0092F">
              <w:rPr>
                <w:rStyle w:val="FootnoteReference"/>
                <w:kern w:val="22"/>
                <w:sz w:val="22"/>
                <w:szCs w:val="22"/>
                <w:lang w:val="fr-CA"/>
              </w:rPr>
              <w:footnoteReference w:id="22"/>
            </w:r>
          </w:p>
        </w:tc>
        <w:tc>
          <w:tcPr>
            <w:tcW w:w="6565" w:type="dxa"/>
            <w:vAlign w:val="center"/>
          </w:tcPr>
          <w:p w:rsidR="0038260D" w:rsidRPr="00E0092F" w:rsidRDefault="0038260D" w:rsidP="008359B4">
            <w:pPr>
              <w:pStyle w:val="BodyText"/>
              <w:adjustRightInd w:val="0"/>
              <w:snapToGrid w:val="0"/>
              <w:ind w:firstLine="0"/>
              <w:rPr>
                <w:kern w:val="22"/>
                <w:sz w:val="22"/>
                <w:szCs w:val="22"/>
                <w:lang w:val="fr-CA"/>
              </w:rPr>
            </w:pPr>
            <w:r>
              <w:rPr>
                <w:kern w:val="22"/>
                <w:sz w:val="22"/>
                <w:szCs w:val="22"/>
                <w:lang w:val="fr-CA"/>
              </w:rPr>
              <w:t>Diverses options de coopération technique et scientifique sont envisagées pour appuyer la mise en œuvre du cadre mondial de la biodiversité pour l</w:t>
            </w:r>
            <w:r w:rsidR="00CD6257">
              <w:rPr>
                <w:kern w:val="22"/>
                <w:sz w:val="22"/>
                <w:szCs w:val="22"/>
                <w:lang w:val="fr-CA"/>
              </w:rPr>
              <w:t>’</w:t>
            </w:r>
            <w:r>
              <w:rPr>
                <w:kern w:val="22"/>
                <w:sz w:val="22"/>
                <w:szCs w:val="22"/>
                <w:lang w:val="fr-CA"/>
              </w:rPr>
              <w:t>après</w:t>
            </w:r>
            <w:r w:rsidR="00CD6257">
              <w:rPr>
                <w:kern w:val="22"/>
                <w:sz w:val="22"/>
                <w:szCs w:val="22"/>
                <w:lang w:val="fr-CA"/>
              </w:rPr>
              <w:noBreakHyphen/>
            </w:r>
            <w:r>
              <w:rPr>
                <w:kern w:val="22"/>
                <w:sz w:val="22"/>
                <w:szCs w:val="22"/>
                <w:lang w:val="fr-CA"/>
              </w:rPr>
              <w:t xml:space="preserve">2020. La </w:t>
            </w:r>
            <w:r>
              <w:rPr>
                <w:noProof/>
                <w:kern w:val="22"/>
                <w:sz w:val="22"/>
                <w:szCs w:val="22"/>
                <w:lang w:val="fr-CA"/>
              </w:rPr>
              <w:t>CdP</w:t>
            </w:r>
            <w:r w:rsidR="00CD6257">
              <w:rPr>
                <w:noProof/>
                <w:kern w:val="22"/>
                <w:sz w:val="22"/>
                <w:szCs w:val="22"/>
                <w:lang w:val="fr-CA"/>
              </w:rPr>
              <w:noBreakHyphen/>
            </w:r>
            <w:r>
              <w:rPr>
                <w:noProof/>
                <w:kern w:val="22"/>
                <w:sz w:val="22"/>
                <w:szCs w:val="22"/>
                <w:lang w:val="fr-CA"/>
              </w:rPr>
              <w:t>RdP</w:t>
            </w:r>
            <w:r>
              <w:rPr>
                <w:kern w:val="22"/>
                <w:sz w:val="22"/>
                <w:szCs w:val="22"/>
                <w:lang w:val="fr-CA"/>
              </w:rPr>
              <w:t xml:space="preserve"> pourrait souhaiter prendre note des propositions.</w:t>
            </w:r>
          </w:p>
        </w:tc>
      </w:tr>
      <w:tr w:rsidR="00BD0AB9" w:rsidRPr="00206E11" w:rsidTr="00D84221">
        <w:trPr>
          <w:trHeight w:val="604"/>
          <w:jc w:val="center"/>
        </w:trPr>
        <w:tc>
          <w:tcPr>
            <w:tcW w:w="2785" w:type="dxa"/>
            <w:vAlign w:val="center"/>
          </w:tcPr>
          <w:p w:rsidR="00BD0AB9" w:rsidRPr="00E0092F" w:rsidRDefault="00BD0AB9" w:rsidP="008359B4">
            <w:pPr>
              <w:pStyle w:val="BodyText"/>
              <w:adjustRightInd w:val="0"/>
              <w:snapToGrid w:val="0"/>
              <w:ind w:firstLine="0"/>
              <w:rPr>
                <w:kern w:val="22"/>
                <w:sz w:val="22"/>
                <w:szCs w:val="22"/>
                <w:lang w:val="fr-CA"/>
              </w:rPr>
            </w:pPr>
            <w:r>
              <w:rPr>
                <w:sz w:val="22"/>
                <w:szCs w:val="22"/>
                <w:lang w:val="fr-CA"/>
              </w:rPr>
              <w:lastRenderedPageBreak/>
              <w:t>Composante de gestion des connaissances du cadre mondial de la biodiversité pour l</w:t>
            </w:r>
            <w:r w:rsidR="00CD6257">
              <w:rPr>
                <w:sz w:val="22"/>
                <w:szCs w:val="22"/>
                <w:lang w:val="fr-CA"/>
              </w:rPr>
              <w:t>’</w:t>
            </w:r>
            <w:r>
              <w:rPr>
                <w:sz w:val="22"/>
                <w:szCs w:val="22"/>
                <w:lang w:val="fr-CA"/>
              </w:rPr>
              <w:t>après</w:t>
            </w:r>
            <w:r w:rsidR="00CD6257">
              <w:rPr>
                <w:sz w:val="22"/>
                <w:szCs w:val="22"/>
                <w:lang w:val="fr-CA"/>
              </w:rPr>
              <w:noBreakHyphen/>
            </w:r>
            <w:r>
              <w:rPr>
                <w:sz w:val="22"/>
                <w:szCs w:val="22"/>
                <w:lang w:val="fr-CA"/>
              </w:rPr>
              <w:t>2020</w:t>
            </w:r>
            <w:r w:rsidRPr="00E0092F">
              <w:rPr>
                <w:rStyle w:val="FootnoteReference"/>
                <w:sz w:val="22"/>
                <w:szCs w:val="22"/>
                <w:lang w:val="fr-CA"/>
              </w:rPr>
              <w:footnoteReference w:id="23"/>
            </w:r>
          </w:p>
        </w:tc>
        <w:tc>
          <w:tcPr>
            <w:tcW w:w="6565" w:type="dxa"/>
            <w:vAlign w:val="center"/>
          </w:tcPr>
          <w:p w:rsidR="00BD0AB9" w:rsidRPr="00E0092F" w:rsidRDefault="00BD0AB9" w:rsidP="008359B4">
            <w:pPr>
              <w:pStyle w:val="BodyText"/>
              <w:adjustRightInd w:val="0"/>
              <w:snapToGrid w:val="0"/>
              <w:ind w:firstLine="0"/>
              <w:rPr>
                <w:kern w:val="22"/>
                <w:sz w:val="22"/>
                <w:szCs w:val="22"/>
                <w:lang w:val="fr-CA"/>
              </w:rPr>
            </w:pPr>
            <w:r>
              <w:rPr>
                <w:sz w:val="22"/>
                <w:szCs w:val="22"/>
                <w:lang w:val="fr-CA"/>
              </w:rPr>
              <w:t>La gestion des connaissances a été identifiée comme l</w:t>
            </w:r>
            <w:r w:rsidR="00CD6257">
              <w:rPr>
                <w:sz w:val="22"/>
                <w:szCs w:val="22"/>
                <w:lang w:val="fr-CA"/>
              </w:rPr>
              <w:t>’</w:t>
            </w:r>
            <w:r>
              <w:rPr>
                <w:sz w:val="22"/>
                <w:szCs w:val="22"/>
                <w:lang w:val="fr-CA"/>
              </w:rPr>
              <w:t xml:space="preserve">un des moyens stratégiques de mise en œuvre qui </w:t>
            </w:r>
            <w:r>
              <w:rPr>
                <w:noProof/>
                <w:sz w:val="22"/>
                <w:szCs w:val="22"/>
                <w:lang w:val="fr-CA"/>
              </w:rPr>
              <w:t>sous</w:t>
            </w:r>
            <w:r w:rsidR="00CD6257">
              <w:rPr>
                <w:noProof/>
                <w:sz w:val="22"/>
                <w:szCs w:val="22"/>
                <w:lang w:val="fr-CA"/>
              </w:rPr>
              <w:noBreakHyphen/>
            </w:r>
            <w:r>
              <w:rPr>
                <w:noProof/>
                <w:sz w:val="22"/>
                <w:szCs w:val="22"/>
                <w:lang w:val="fr-CA"/>
              </w:rPr>
              <w:t>tendra</w:t>
            </w:r>
            <w:r>
              <w:rPr>
                <w:sz w:val="22"/>
                <w:szCs w:val="22"/>
                <w:lang w:val="fr-CA"/>
              </w:rPr>
              <w:t xml:space="preserve"> la réalisation des objectifs et cibles du cadre mondial de la biodiversité pour l</w:t>
            </w:r>
            <w:r w:rsidR="00CD6257">
              <w:rPr>
                <w:sz w:val="22"/>
                <w:szCs w:val="22"/>
                <w:lang w:val="fr-CA"/>
              </w:rPr>
              <w:t>’</w:t>
            </w:r>
            <w:r>
              <w:rPr>
                <w:sz w:val="22"/>
                <w:szCs w:val="22"/>
                <w:lang w:val="fr-CA"/>
              </w:rPr>
              <w:t>après</w:t>
            </w:r>
            <w:r w:rsidR="00CD6257">
              <w:rPr>
                <w:sz w:val="22"/>
                <w:szCs w:val="22"/>
                <w:lang w:val="fr-CA"/>
              </w:rPr>
              <w:noBreakHyphen/>
            </w:r>
            <w:r>
              <w:rPr>
                <w:sz w:val="22"/>
                <w:szCs w:val="22"/>
                <w:lang w:val="fr-CA"/>
              </w:rPr>
              <w:t>2020. La gestion des connaissances renforcera la génération, la collecte, l</w:t>
            </w:r>
            <w:r w:rsidR="00CD6257">
              <w:rPr>
                <w:sz w:val="22"/>
                <w:szCs w:val="22"/>
                <w:lang w:val="fr-CA"/>
              </w:rPr>
              <w:t>’</w:t>
            </w:r>
            <w:r>
              <w:rPr>
                <w:sz w:val="22"/>
                <w:szCs w:val="22"/>
                <w:lang w:val="fr-CA"/>
              </w:rPr>
              <w:t>organisation, le partage, et l</w:t>
            </w:r>
            <w:r w:rsidR="00CD6257">
              <w:rPr>
                <w:sz w:val="22"/>
                <w:szCs w:val="22"/>
                <w:lang w:val="fr-CA"/>
              </w:rPr>
              <w:t>’</w:t>
            </w:r>
            <w:r>
              <w:rPr>
                <w:sz w:val="22"/>
                <w:szCs w:val="22"/>
                <w:lang w:val="fr-CA"/>
              </w:rPr>
              <w:t>utilisation de données, d</w:t>
            </w:r>
            <w:r w:rsidR="00CD6257">
              <w:rPr>
                <w:sz w:val="22"/>
                <w:szCs w:val="22"/>
                <w:lang w:val="fr-CA"/>
              </w:rPr>
              <w:t>’</w:t>
            </w:r>
            <w:r>
              <w:rPr>
                <w:sz w:val="22"/>
                <w:szCs w:val="22"/>
                <w:lang w:val="fr-CA"/>
              </w:rPr>
              <w:t xml:space="preserve">informations et de connaissances pertinentes dans le contexte du cadre. La </w:t>
            </w:r>
            <w:r>
              <w:rPr>
                <w:noProof/>
                <w:sz w:val="22"/>
                <w:szCs w:val="22"/>
                <w:lang w:val="fr-CA"/>
              </w:rPr>
              <w:t>CdP</w:t>
            </w:r>
            <w:r w:rsidR="00CD6257">
              <w:rPr>
                <w:noProof/>
                <w:sz w:val="22"/>
                <w:szCs w:val="22"/>
                <w:lang w:val="fr-CA"/>
              </w:rPr>
              <w:noBreakHyphen/>
            </w:r>
            <w:r>
              <w:rPr>
                <w:noProof/>
                <w:sz w:val="22"/>
                <w:szCs w:val="22"/>
                <w:lang w:val="fr-CA"/>
              </w:rPr>
              <w:t>RdP</w:t>
            </w:r>
            <w:r>
              <w:rPr>
                <w:sz w:val="22"/>
                <w:szCs w:val="22"/>
                <w:lang w:val="fr-CA"/>
              </w:rPr>
              <w:t xml:space="preserve"> pourrait souhaiter prendre note de la composante de gestion des connaissances</w:t>
            </w:r>
            <w:r>
              <w:rPr>
                <w:kern w:val="22"/>
                <w:sz w:val="22"/>
                <w:szCs w:val="22"/>
                <w:lang w:val="fr-CA"/>
              </w:rPr>
              <w:t>.</w:t>
            </w:r>
          </w:p>
        </w:tc>
      </w:tr>
      <w:tr w:rsidR="00BD0AB9" w:rsidRPr="00206E11" w:rsidTr="00D84221">
        <w:trPr>
          <w:trHeight w:val="604"/>
          <w:jc w:val="center"/>
        </w:trPr>
        <w:tc>
          <w:tcPr>
            <w:tcW w:w="2785" w:type="dxa"/>
            <w:vAlign w:val="center"/>
          </w:tcPr>
          <w:p w:rsidR="00BD0AB9" w:rsidRPr="00F119F2" w:rsidRDefault="00BD0AB9" w:rsidP="008359B4">
            <w:pPr>
              <w:pStyle w:val="BodyText"/>
              <w:adjustRightInd w:val="0"/>
              <w:snapToGrid w:val="0"/>
              <w:ind w:firstLine="0"/>
              <w:rPr>
                <w:kern w:val="22"/>
                <w:sz w:val="22"/>
                <w:szCs w:val="22"/>
                <w:lang w:val="fr-CA"/>
              </w:rPr>
            </w:pPr>
            <w:r w:rsidRPr="00F119F2">
              <w:rPr>
                <w:kern w:val="22"/>
                <w:sz w:val="22"/>
                <w:szCs w:val="22"/>
                <w:lang w:val="fr-CA"/>
              </w:rPr>
              <w:t>Plan d</w:t>
            </w:r>
            <w:r w:rsidR="00CD6257">
              <w:rPr>
                <w:kern w:val="22"/>
                <w:sz w:val="22"/>
                <w:szCs w:val="22"/>
                <w:lang w:val="fr-CA"/>
              </w:rPr>
              <w:t>’</w:t>
            </w:r>
            <w:r w:rsidRPr="00F119F2">
              <w:rPr>
                <w:kern w:val="22"/>
                <w:sz w:val="22"/>
                <w:szCs w:val="22"/>
                <w:lang w:val="fr-CA"/>
              </w:rPr>
              <w:t xml:space="preserve">action </w:t>
            </w:r>
            <w:r w:rsidRPr="00F119F2">
              <w:rPr>
                <w:noProof/>
                <w:kern w:val="22"/>
                <w:sz w:val="22"/>
                <w:szCs w:val="22"/>
                <w:lang w:val="fr-CA"/>
              </w:rPr>
              <w:t xml:space="preserve">sexospécifique </w:t>
            </w:r>
            <w:r w:rsidRPr="00F119F2">
              <w:rPr>
                <w:kern w:val="22"/>
                <w:sz w:val="22"/>
                <w:szCs w:val="22"/>
                <w:lang w:val="fr-CA"/>
              </w:rPr>
              <w:t>pour le cadre mondial de la biodiversité pour l</w:t>
            </w:r>
            <w:r w:rsidR="00CD6257">
              <w:rPr>
                <w:kern w:val="22"/>
                <w:sz w:val="22"/>
                <w:szCs w:val="22"/>
                <w:lang w:val="fr-CA"/>
              </w:rPr>
              <w:t>’</w:t>
            </w:r>
            <w:r w:rsidRPr="00F119F2">
              <w:rPr>
                <w:kern w:val="22"/>
                <w:sz w:val="22"/>
                <w:szCs w:val="22"/>
                <w:lang w:val="fr-CA"/>
              </w:rPr>
              <w:t>après</w:t>
            </w:r>
            <w:r w:rsidR="00CD6257">
              <w:rPr>
                <w:kern w:val="22"/>
                <w:sz w:val="22"/>
                <w:szCs w:val="22"/>
                <w:lang w:val="fr-CA"/>
              </w:rPr>
              <w:noBreakHyphen/>
            </w:r>
            <w:r w:rsidRPr="00F119F2">
              <w:rPr>
                <w:kern w:val="22"/>
                <w:sz w:val="22"/>
                <w:szCs w:val="22"/>
                <w:lang w:val="fr-CA"/>
              </w:rPr>
              <w:t>2020</w:t>
            </w:r>
            <w:r w:rsidRPr="00F119F2">
              <w:rPr>
                <w:rStyle w:val="FootnoteReference"/>
                <w:kern w:val="22"/>
                <w:sz w:val="22"/>
                <w:szCs w:val="22"/>
                <w:lang w:val="fr-CA"/>
              </w:rPr>
              <w:footnoteReference w:id="24"/>
            </w:r>
          </w:p>
        </w:tc>
        <w:tc>
          <w:tcPr>
            <w:tcW w:w="6565" w:type="dxa"/>
            <w:vAlign w:val="center"/>
          </w:tcPr>
          <w:p w:rsidR="00BD0AB9" w:rsidRPr="00F119F2" w:rsidRDefault="00BD0AB9" w:rsidP="008359B4">
            <w:pPr>
              <w:pStyle w:val="BodyText"/>
              <w:adjustRightInd w:val="0"/>
              <w:snapToGrid w:val="0"/>
              <w:ind w:firstLine="0"/>
              <w:rPr>
                <w:kern w:val="22"/>
                <w:sz w:val="22"/>
                <w:szCs w:val="22"/>
                <w:lang w:val="fr-CA"/>
              </w:rPr>
            </w:pPr>
            <w:r>
              <w:rPr>
                <w:kern w:val="22"/>
                <w:sz w:val="22"/>
                <w:szCs w:val="22"/>
                <w:lang w:val="fr-CA"/>
              </w:rPr>
              <w:t>Le plan d</w:t>
            </w:r>
            <w:r w:rsidR="00CD6257">
              <w:rPr>
                <w:kern w:val="22"/>
                <w:sz w:val="22"/>
                <w:szCs w:val="22"/>
                <w:lang w:val="fr-CA"/>
              </w:rPr>
              <w:t>’</w:t>
            </w:r>
            <w:r>
              <w:rPr>
                <w:kern w:val="22"/>
                <w:sz w:val="22"/>
                <w:szCs w:val="22"/>
                <w:lang w:val="fr-CA"/>
              </w:rPr>
              <w:t xml:space="preserve">action </w:t>
            </w:r>
            <w:r>
              <w:rPr>
                <w:noProof/>
                <w:kern w:val="22"/>
                <w:sz w:val="22"/>
                <w:szCs w:val="22"/>
                <w:lang w:val="fr-CA"/>
              </w:rPr>
              <w:t>sexospécifique</w:t>
            </w:r>
            <w:r>
              <w:rPr>
                <w:kern w:val="22"/>
                <w:sz w:val="22"/>
                <w:szCs w:val="22"/>
                <w:lang w:val="fr-CA"/>
              </w:rPr>
              <w:t xml:space="preserve"> vise à appuyer et à faire avancer la mise en œuvre du cadre mondial de la biodiversité pour l</w:t>
            </w:r>
            <w:r w:rsidR="00CD6257">
              <w:rPr>
                <w:kern w:val="22"/>
                <w:sz w:val="22"/>
                <w:szCs w:val="22"/>
                <w:lang w:val="fr-CA"/>
              </w:rPr>
              <w:t>’</w:t>
            </w:r>
            <w:r>
              <w:rPr>
                <w:kern w:val="22"/>
                <w:sz w:val="22"/>
                <w:szCs w:val="22"/>
                <w:lang w:val="fr-CA"/>
              </w:rPr>
              <w:t>après</w:t>
            </w:r>
            <w:r w:rsidR="00CD6257">
              <w:rPr>
                <w:kern w:val="22"/>
                <w:sz w:val="22"/>
                <w:szCs w:val="22"/>
                <w:lang w:val="fr-CA"/>
              </w:rPr>
              <w:noBreakHyphen/>
            </w:r>
            <w:r>
              <w:rPr>
                <w:kern w:val="22"/>
                <w:sz w:val="22"/>
                <w:szCs w:val="22"/>
                <w:lang w:val="fr-CA"/>
              </w:rPr>
              <w:t>2020 en tenant compte de l</w:t>
            </w:r>
            <w:r w:rsidR="00CD6257">
              <w:rPr>
                <w:kern w:val="22"/>
                <w:sz w:val="22"/>
                <w:szCs w:val="22"/>
                <w:lang w:val="fr-CA"/>
              </w:rPr>
              <w:t>’</w:t>
            </w:r>
            <w:r>
              <w:rPr>
                <w:kern w:val="22"/>
                <w:sz w:val="22"/>
                <w:szCs w:val="22"/>
                <w:lang w:val="fr-CA"/>
              </w:rPr>
              <w:t>égalité entre les sexes, y compris pour ce qui est de l</w:t>
            </w:r>
            <w:r w:rsidR="00CD6257">
              <w:rPr>
                <w:kern w:val="22"/>
                <w:sz w:val="22"/>
                <w:szCs w:val="22"/>
                <w:lang w:val="fr-CA"/>
              </w:rPr>
              <w:t>’</w:t>
            </w:r>
            <w:r>
              <w:rPr>
                <w:kern w:val="22"/>
                <w:sz w:val="22"/>
                <w:szCs w:val="22"/>
                <w:lang w:val="fr-CA"/>
              </w:rPr>
              <w:t xml:space="preserve">accès aux ressources génétiques et du partage juste et équitable des avantages découlant de leur utilisation. La </w:t>
            </w:r>
            <w:r>
              <w:rPr>
                <w:noProof/>
                <w:kern w:val="22"/>
                <w:sz w:val="22"/>
                <w:szCs w:val="22"/>
                <w:lang w:val="fr-CA"/>
              </w:rPr>
              <w:t>CdP</w:t>
            </w:r>
            <w:r w:rsidR="00CD6257">
              <w:rPr>
                <w:noProof/>
                <w:kern w:val="22"/>
                <w:sz w:val="22"/>
                <w:szCs w:val="22"/>
                <w:lang w:val="fr-CA"/>
              </w:rPr>
              <w:noBreakHyphen/>
            </w:r>
            <w:r>
              <w:rPr>
                <w:noProof/>
                <w:kern w:val="22"/>
                <w:sz w:val="22"/>
                <w:szCs w:val="22"/>
                <w:lang w:val="fr-CA"/>
              </w:rPr>
              <w:t>RdP</w:t>
            </w:r>
            <w:r>
              <w:rPr>
                <w:kern w:val="22"/>
                <w:sz w:val="22"/>
                <w:szCs w:val="22"/>
                <w:lang w:val="fr-CA"/>
              </w:rPr>
              <w:t xml:space="preserve"> pourrait souhaiter prendre note du plan d</w:t>
            </w:r>
            <w:r w:rsidR="00CD6257">
              <w:rPr>
                <w:kern w:val="22"/>
                <w:sz w:val="22"/>
                <w:szCs w:val="22"/>
                <w:lang w:val="fr-CA"/>
              </w:rPr>
              <w:t>’</w:t>
            </w:r>
            <w:r>
              <w:rPr>
                <w:kern w:val="22"/>
                <w:sz w:val="22"/>
                <w:szCs w:val="22"/>
                <w:lang w:val="fr-CA"/>
              </w:rPr>
              <w:t>action</w:t>
            </w:r>
            <w:r w:rsidR="003D216C">
              <w:rPr>
                <w:kern w:val="22"/>
                <w:sz w:val="22"/>
                <w:szCs w:val="22"/>
                <w:lang w:val="fr-CA"/>
              </w:rPr>
              <w:t>.</w:t>
            </w:r>
          </w:p>
        </w:tc>
      </w:tr>
      <w:tr w:rsidR="00BD0AB9" w:rsidRPr="00206E11" w:rsidTr="00D84221">
        <w:trPr>
          <w:trHeight w:val="586"/>
          <w:jc w:val="center"/>
        </w:trPr>
        <w:tc>
          <w:tcPr>
            <w:tcW w:w="2785" w:type="dxa"/>
            <w:vAlign w:val="center"/>
          </w:tcPr>
          <w:p w:rsidR="00BD0AB9" w:rsidRPr="00F119F2" w:rsidRDefault="00BD0AB9" w:rsidP="008359B4">
            <w:pPr>
              <w:pStyle w:val="BodyText"/>
              <w:adjustRightInd w:val="0"/>
              <w:snapToGrid w:val="0"/>
              <w:ind w:firstLine="0"/>
              <w:rPr>
                <w:kern w:val="22"/>
                <w:sz w:val="22"/>
                <w:szCs w:val="22"/>
                <w:lang w:val="fr-CA"/>
              </w:rPr>
            </w:pPr>
            <w:r w:rsidRPr="00F119F2">
              <w:rPr>
                <w:kern w:val="22"/>
                <w:sz w:val="22"/>
                <w:szCs w:val="22"/>
                <w:lang w:val="fr-CA"/>
              </w:rPr>
              <w:t>Cadre pour une st</w:t>
            </w:r>
            <w:r>
              <w:rPr>
                <w:kern w:val="22"/>
                <w:sz w:val="22"/>
                <w:szCs w:val="22"/>
                <w:lang w:val="fr-CA"/>
              </w:rPr>
              <w:t>ratégie de communication</w:t>
            </w:r>
            <w:r w:rsidRPr="00F119F2">
              <w:rPr>
                <w:rStyle w:val="FootnoteReference"/>
                <w:kern w:val="22"/>
                <w:sz w:val="22"/>
                <w:szCs w:val="22"/>
                <w:lang w:val="fr-CA"/>
              </w:rPr>
              <w:footnoteReference w:id="25"/>
            </w:r>
            <w:r w:rsidRPr="00F119F2">
              <w:rPr>
                <w:kern w:val="22"/>
                <w:sz w:val="22"/>
                <w:szCs w:val="22"/>
                <w:lang w:val="fr-CA"/>
              </w:rPr>
              <w:t xml:space="preserve"> </w:t>
            </w:r>
          </w:p>
        </w:tc>
        <w:tc>
          <w:tcPr>
            <w:tcW w:w="6565" w:type="dxa"/>
            <w:vAlign w:val="center"/>
          </w:tcPr>
          <w:p w:rsidR="00BD0AB9" w:rsidRPr="00F119F2" w:rsidRDefault="00BD0AB9" w:rsidP="00BD0AB9">
            <w:pPr>
              <w:pStyle w:val="BodyText"/>
              <w:adjustRightInd w:val="0"/>
              <w:snapToGrid w:val="0"/>
              <w:ind w:firstLine="0"/>
              <w:rPr>
                <w:kern w:val="22"/>
                <w:sz w:val="22"/>
                <w:szCs w:val="22"/>
                <w:lang w:val="fr-CA"/>
              </w:rPr>
            </w:pPr>
            <w:r>
              <w:rPr>
                <w:kern w:val="22"/>
                <w:sz w:val="22"/>
                <w:szCs w:val="22"/>
                <w:lang w:val="fr-CA"/>
              </w:rPr>
              <w:t>Le cadre pour une stratégie de communication guidera les activités de communication menées à bien par la Secrétaire exécutive à l</w:t>
            </w:r>
            <w:r w:rsidR="00CD6257">
              <w:rPr>
                <w:kern w:val="22"/>
                <w:sz w:val="22"/>
                <w:szCs w:val="22"/>
                <w:lang w:val="fr-CA"/>
              </w:rPr>
              <w:t>’</w:t>
            </w:r>
            <w:r>
              <w:rPr>
                <w:kern w:val="22"/>
                <w:sz w:val="22"/>
                <w:szCs w:val="22"/>
                <w:lang w:val="fr-CA"/>
              </w:rPr>
              <w:t>appui du cadre mondial de la biodiversité pour l</w:t>
            </w:r>
            <w:r w:rsidR="00CD6257">
              <w:rPr>
                <w:kern w:val="22"/>
                <w:sz w:val="22"/>
                <w:szCs w:val="22"/>
                <w:lang w:val="fr-CA"/>
              </w:rPr>
              <w:t>’</w:t>
            </w:r>
            <w:r>
              <w:rPr>
                <w:kern w:val="22"/>
                <w:sz w:val="22"/>
                <w:szCs w:val="22"/>
                <w:lang w:val="fr-CA"/>
              </w:rPr>
              <w:t>après</w:t>
            </w:r>
            <w:r w:rsidR="00CD6257">
              <w:rPr>
                <w:kern w:val="22"/>
                <w:sz w:val="22"/>
                <w:szCs w:val="22"/>
                <w:lang w:val="fr-CA"/>
              </w:rPr>
              <w:noBreakHyphen/>
            </w:r>
            <w:r>
              <w:rPr>
                <w:kern w:val="22"/>
                <w:sz w:val="22"/>
                <w:szCs w:val="22"/>
                <w:lang w:val="fr-CA"/>
              </w:rPr>
              <w:t xml:space="preserve">2020. La </w:t>
            </w:r>
            <w:r>
              <w:rPr>
                <w:noProof/>
                <w:kern w:val="22"/>
                <w:sz w:val="22"/>
                <w:szCs w:val="22"/>
                <w:lang w:val="fr-CA"/>
              </w:rPr>
              <w:t>CdP</w:t>
            </w:r>
            <w:r w:rsidR="00CD6257">
              <w:rPr>
                <w:noProof/>
                <w:kern w:val="22"/>
                <w:sz w:val="22"/>
                <w:szCs w:val="22"/>
                <w:lang w:val="fr-CA"/>
              </w:rPr>
              <w:noBreakHyphen/>
            </w:r>
            <w:r>
              <w:rPr>
                <w:noProof/>
                <w:kern w:val="22"/>
                <w:sz w:val="22"/>
                <w:szCs w:val="22"/>
                <w:lang w:val="fr-CA"/>
              </w:rPr>
              <w:t>RdP</w:t>
            </w:r>
            <w:r>
              <w:rPr>
                <w:kern w:val="22"/>
                <w:sz w:val="22"/>
                <w:szCs w:val="22"/>
                <w:lang w:val="fr-CA"/>
              </w:rPr>
              <w:t xml:space="preserve"> pourrait souhaiter prendre note de la stratégie.</w:t>
            </w:r>
          </w:p>
        </w:tc>
      </w:tr>
      <w:tr w:rsidR="00BD0AB9" w:rsidRPr="00206E11" w:rsidTr="00D84221">
        <w:trPr>
          <w:trHeight w:val="586"/>
          <w:jc w:val="center"/>
        </w:trPr>
        <w:tc>
          <w:tcPr>
            <w:tcW w:w="2785" w:type="dxa"/>
            <w:vAlign w:val="center"/>
          </w:tcPr>
          <w:p w:rsidR="00BD0AB9" w:rsidRPr="00F119F2" w:rsidRDefault="00BD0AB9" w:rsidP="008359B4">
            <w:pPr>
              <w:pStyle w:val="BodyText"/>
              <w:adjustRightInd w:val="0"/>
              <w:snapToGrid w:val="0"/>
              <w:ind w:firstLine="0"/>
              <w:rPr>
                <w:kern w:val="22"/>
                <w:sz w:val="22"/>
                <w:szCs w:val="22"/>
                <w:lang w:val="fr-CA"/>
              </w:rPr>
            </w:pPr>
            <w:r>
              <w:rPr>
                <w:kern w:val="22"/>
                <w:sz w:val="22"/>
                <w:szCs w:val="22"/>
                <w:lang w:val="fr-CA"/>
              </w:rPr>
              <w:t>Approche stratégique à long terme pour l</w:t>
            </w:r>
            <w:r w:rsidR="00CD6257">
              <w:rPr>
                <w:kern w:val="22"/>
                <w:sz w:val="22"/>
                <w:szCs w:val="22"/>
                <w:lang w:val="fr-CA"/>
              </w:rPr>
              <w:t>’</w:t>
            </w:r>
            <w:r>
              <w:rPr>
                <w:kern w:val="22"/>
                <w:sz w:val="22"/>
                <w:szCs w:val="22"/>
                <w:lang w:val="fr-CA"/>
              </w:rPr>
              <w:t>intégration de la biodiversité</w:t>
            </w:r>
            <w:r w:rsidRPr="00F119F2">
              <w:rPr>
                <w:rStyle w:val="FootnoteReference"/>
                <w:kern w:val="22"/>
                <w:sz w:val="22"/>
                <w:szCs w:val="22"/>
                <w:lang w:val="fr-CA"/>
              </w:rPr>
              <w:footnoteReference w:id="26"/>
            </w:r>
          </w:p>
        </w:tc>
        <w:tc>
          <w:tcPr>
            <w:tcW w:w="6565" w:type="dxa"/>
            <w:vAlign w:val="center"/>
          </w:tcPr>
          <w:p w:rsidR="00BD0AB9" w:rsidRPr="00F119F2" w:rsidRDefault="00BD0AB9" w:rsidP="008359B4">
            <w:pPr>
              <w:pStyle w:val="BodyText"/>
              <w:adjustRightInd w:val="0"/>
              <w:snapToGrid w:val="0"/>
              <w:ind w:firstLine="0"/>
              <w:rPr>
                <w:kern w:val="22"/>
                <w:sz w:val="22"/>
                <w:szCs w:val="22"/>
                <w:lang w:val="fr-CA"/>
              </w:rPr>
            </w:pPr>
            <w:r>
              <w:rPr>
                <w:kern w:val="22"/>
                <w:sz w:val="22"/>
                <w:szCs w:val="22"/>
                <w:lang w:val="fr-CA"/>
              </w:rPr>
              <w:t>L</w:t>
            </w:r>
            <w:r w:rsidR="00CD6257">
              <w:rPr>
                <w:kern w:val="22"/>
                <w:sz w:val="22"/>
                <w:szCs w:val="22"/>
                <w:lang w:val="fr-CA"/>
              </w:rPr>
              <w:t>’</w:t>
            </w:r>
            <w:r>
              <w:rPr>
                <w:kern w:val="22"/>
                <w:sz w:val="22"/>
                <w:szCs w:val="22"/>
                <w:lang w:val="fr-CA"/>
              </w:rPr>
              <w:t xml:space="preserve">intégration </w:t>
            </w:r>
            <w:r>
              <w:rPr>
                <w:noProof/>
                <w:kern w:val="22"/>
                <w:sz w:val="22"/>
                <w:szCs w:val="22"/>
                <w:lang w:val="fr-CA"/>
              </w:rPr>
              <w:t>transsectorielle</w:t>
            </w:r>
            <w:r>
              <w:rPr>
                <w:kern w:val="22"/>
                <w:sz w:val="22"/>
                <w:szCs w:val="22"/>
                <w:lang w:val="fr-CA"/>
              </w:rPr>
              <w:t xml:space="preserve"> de l</w:t>
            </w:r>
            <w:r w:rsidR="00CD6257">
              <w:rPr>
                <w:kern w:val="22"/>
                <w:sz w:val="22"/>
                <w:szCs w:val="22"/>
                <w:lang w:val="fr-CA"/>
              </w:rPr>
              <w:t>’</w:t>
            </w:r>
            <w:r>
              <w:rPr>
                <w:kern w:val="22"/>
                <w:sz w:val="22"/>
                <w:szCs w:val="22"/>
                <w:lang w:val="fr-CA"/>
              </w:rPr>
              <w:t>accès et du partage des avantages au niveau national a été encouragée dans le passé par la Conférence des Parties (dé</w:t>
            </w:r>
            <w:r w:rsidRPr="00F119F2">
              <w:rPr>
                <w:kern w:val="22"/>
                <w:sz w:val="22"/>
                <w:szCs w:val="22"/>
                <w:lang w:val="fr-CA"/>
              </w:rPr>
              <w:t xml:space="preserve">cision 14/31). </w:t>
            </w:r>
            <w:r>
              <w:rPr>
                <w:kern w:val="22"/>
                <w:sz w:val="22"/>
                <w:szCs w:val="22"/>
                <w:lang w:val="fr-CA"/>
              </w:rPr>
              <w:t>L</w:t>
            </w:r>
            <w:r w:rsidR="00CD6257">
              <w:rPr>
                <w:kern w:val="22"/>
                <w:sz w:val="22"/>
                <w:szCs w:val="22"/>
                <w:lang w:val="fr-CA"/>
              </w:rPr>
              <w:t>’</w:t>
            </w:r>
            <w:r>
              <w:rPr>
                <w:kern w:val="22"/>
                <w:sz w:val="22"/>
                <w:szCs w:val="22"/>
                <w:lang w:val="fr-CA"/>
              </w:rPr>
              <w:t>approche stratégique à long terme proposée pour l</w:t>
            </w:r>
            <w:r w:rsidR="00CD6257">
              <w:rPr>
                <w:kern w:val="22"/>
                <w:sz w:val="22"/>
                <w:szCs w:val="22"/>
                <w:lang w:val="fr-CA"/>
              </w:rPr>
              <w:t>’</w:t>
            </w:r>
            <w:r>
              <w:rPr>
                <w:kern w:val="22"/>
                <w:sz w:val="22"/>
                <w:szCs w:val="22"/>
                <w:lang w:val="fr-CA"/>
              </w:rPr>
              <w:t>intégration de la biodiversité établirait des priorités en matière d</w:t>
            </w:r>
            <w:r w:rsidR="00CD6257">
              <w:rPr>
                <w:kern w:val="22"/>
                <w:sz w:val="22"/>
                <w:szCs w:val="22"/>
                <w:lang w:val="fr-CA"/>
              </w:rPr>
              <w:t>’</w:t>
            </w:r>
            <w:r>
              <w:rPr>
                <w:kern w:val="22"/>
                <w:sz w:val="22"/>
                <w:szCs w:val="22"/>
                <w:lang w:val="fr-CA"/>
              </w:rPr>
              <w:t>interventions, sur la base de preuves scientifiques de répercussions et d</w:t>
            </w:r>
            <w:r w:rsidR="00CD6257">
              <w:rPr>
                <w:kern w:val="22"/>
                <w:sz w:val="22"/>
                <w:szCs w:val="22"/>
                <w:lang w:val="fr-CA"/>
              </w:rPr>
              <w:t>’</w:t>
            </w:r>
            <w:r>
              <w:rPr>
                <w:kern w:val="22"/>
                <w:sz w:val="22"/>
                <w:szCs w:val="22"/>
                <w:lang w:val="fr-CA"/>
              </w:rPr>
              <w:t>avantages probables, conformément aux capacités et aux circonstances des Parties, afin d</w:t>
            </w:r>
            <w:r w:rsidR="00CD6257">
              <w:rPr>
                <w:kern w:val="22"/>
                <w:sz w:val="22"/>
                <w:szCs w:val="22"/>
                <w:lang w:val="fr-CA"/>
              </w:rPr>
              <w:t>’</w:t>
            </w:r>
            <w:r>
              <w:rPr>
                <w:kern w:val="22"/>
                <w:sz w:val="22"/>
                <w:szCs w:val="22"/>
                <w:lang w:val="fr-CA"/>
              </w:rPr>
              <w:t>appuyer l</w:t>
            </w:r>
            <w:r w:rsidR="00CD6257">
              <w:rPr>
                <w:kern w:val="22"/>
                <w:sz w:val="22"/>
                <w:szCs w:val="22"/>
                <w:lang w:val="fr-CA"/>
              </w:rPr>
              <w:t>’</w:t>
            </w:r>
            <w:r>
              <w:rPr>
                <w:kern w:val="22"/>
                <w:sz w:val="22"/>
                <w:szCs w:val="22"/>
                <w:lang w:val="fr-CA"/>
              </w:rPr>
              <w:t>intégration des politiques au niveau national.</w:t>
            </w:r>
          </w:p>
        </w:tc>
      </w:tr>
    </w:tbl>
    <w:p w:rsidR="00811135" w:rsidRPr="00206E11" w:rsidRDefault="00811135">
      <w:pPr>
        <w:rPr>
          <w:b/>
          <w:caps/>
          <w:lang w:val="fr-CA"/>
        </w:rPr>
      </w:pPr>
      <w:r w:rsidRPr="00206E11">
        <w:rPr>
          <w:lang w:val="fr-CA"/>
        </w:rPr>
        <w:br w:type="page"/>
      </w:r>
    </w:p>
    <w:p w:rsidR="00232EE5" w:rsidRPr="00206E11" w:rsidRDefault="00CC79BA" w:rsidP="00811135">
      <w:pPr>
        <w:pStyle w:val="Heading1"/>
        <w:rPr>
          <w:rFonts w:ascii="Times New Roman Bold" w:hAnsi="Times New Roman Bold"/>
          <w:sz w:val="22"/>
          <w:szCs w:val="22"/>
          <w:lang w:val="fr-CA"/>
        </w:rPr>
      </w:pPr>
      <w:r>
        <w:rPr>
          <w:rFonts w:ascii="Times New Roman Bold" w:hAnsi="Times New Roman Bold"/>
          <w:sz w:val="22"/>
          <w:szCs w:val="22"/>
          <w:lang w:val="fr-CA"/>
        </w:rPr>
        <w:lastRenderedPageBreak/>
        <w:t>éléments proposés d</w:t>
      </w:r>
      <w:r w:rsidR="00CD6257">
        <w:rPr>
          <w:rFonts w:ascii="Times New Roman Bold" w:hAnsi="Times New Roman Bold"/>
          <w:sz w:val="22"/>
          <w:szCs w:val="22"/>
          <w:lang w:val="fr-CA"/>
        </w:rPr>
        <w:t>’</w:t>
      </w:r>
      <w:r>
        <w:rPr>
          <w:rFonts w:ascii="Times New Roman Bold" w:hAnsi="Times New Roman Bold"/>
          <w:sz w:val="22"/>
          <w:szCs w:val="22"/>
          <w:lang w:val="fr-CA"/>
        </w:rPr>
        <w:t>un projet de décision</w:t>
      </w:r>
    </w:p>
    <w:p w:rsidR="00811135" w:rsidRPr="00206E11" w:rsidRDefault="00CC79BA" w:rsidP="003C752B">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fr-CA"/>
        </w:rPr>
      </w:pPr>
      <w:r>
        <w:rPr>
          <w:rFonts w:eastAsiaTheme="minorEastAsia"/>
          <w:color w:val="000000" w:themeColor="text1"/>
          <w:sz w:val="22"/>
          <w:szCs w:val="22"/>
          <w:lang w:val="fr-CA"/>
        </w:rPr>
        <w:t>Sur la base des informations présentées dans les sections précédentes, la Conférence des Parties siégeant en tant que Réunion des Parties au Protocole de Nagoya pourrait souhaiter adopter une décision qui s</w:t>
      </w:r>
      <w:r w:rsidR="00CD6257">
        <w:rPr>
          <w:rFonts w:eastAsiaTheme="minorEastAsia"/>
          <w:color w:val="000000" w:themeColor="text1"/>
          <w:sz w:val="22"/>
          <w:szCs w:val="22"/>
          <w:lang w:val="fr-CA"/>
        </w:rPr>
        <w:t>’</w:t>
      </w:r>
      <w:r>
        <w:rPr>
          <w:rFonts w:eastAsiaTheme="minorEastAsia"/>
          <w:color w:val="000000" w:themeColor="text1"/>
          <w:sz w:val="22"/>
          <w:szCs w:val="22"/>
          <w:lang w:val="fr-CA"/>
        </w:rPr>
        <w:t>aligne sur ce qui suit :</w:t>
      </w:r>
    </w:p>
    <w:p w:rsidR="00A93C8F" w:rsidRPr="00206E11" w:rsidRDefault="00A93C8F" w:rsidP="00BC613B">
      <w:pPr>
        <w:pStyle w:val="ListParagraph"/>
        <w:autoSpaceDE w:val="0"/>
        <w:autoSpaceDN w:val="0"/>
        <w:adjustRightInd w:val="0"/>
        <w:spacing w:after="120"/>
        <w:ind w:left="0"/>
        <w:contextualSpacing w:val="0"/>
        <w:jc w:val="both"/>
        <w:rPr>
          <w:rFonts w:eastAsiaTheme="minorEastAsia"/>
          <w:color w:val="000000"/>
          <w:sz w:val="22"/>
          <w:szCs w:val="22"/>
          <w:lang w:val="fr-CA"/>
        </w:rPr>
      </w:pPr>
    </w:p>
    <w:p w:rsidR="00CC79BA" w:rsidRPr="00F119F2" w:rsidRDefault="00CC79BA" w:rsidP="00CC79BA">
      <w:pPr>
        <w:spacing w:after="120"/>
        <w:ind w:firstLine="709"/>
        <w:jc w:val="both"/>
        <w:rPr>
          <w:i/>
          <w:iCs/>
          <w:sz w:val="22"/>
          <w:szCs w:val="22"/>
          <w:lang w:val="fr-CA"/>
        </w:rPr>
      </w:pPr>
      <w:r>
        <w:rPr>
          <w:i/>
          <w:iCs/>
          <w:sz w:val="22"/>
          <w:szCs w:val="22"/>
          <w:lang w:val="fr-CA"/>
        </w:rPr>
        <w:t>La Conférence des Parties siégeant en tant que Réunion des Parties au Protocole de Nagoya,</w:t>
      </w:r>
    </w:p>
    <w:p w:rsidR="00CC79BA" w:rsidRPr="00F119F2" w:rsidRDefault="00CC79BA" w:rsidP="00CC79BA">
      <w:pPr>
        <w:spacing w:after="120"/>
        <w:ind w:firstLine="709"/>
        <w:jc w:val="both"/>
        <w:rPr>
          <w:i/>
          <w:iCs/>
          <w:sz w:val="22"/>
          <w:szCs w:val="22"/>
          <w:lang w:val="fr-CA"/>
        </w:rPr>
      </w:pPr>
      <w:r>
        <w:rPr>
          <w:i/>
          <w:iCs/>
          <w:sz w:val="22"/>
          <w:szCs w:val="22"/>
          <w:lang w:val="fr-CA"/>
        </w:rPr>
        <w:t xml:space="preserve">Rappelant la décision </w:t>
      </w:r>
      <w:r w:rsidRPr="00F119F2">
        <w:rPr>
          <w:i/>
          <w:iCs/>
          <w:sz w:val="22"/>
          <w:szCs w:val="22"/>
          <w:lang w:val="fr-CA"/>
        </w:rPr>
        <w:t>NP</w:t>
      </w:r>
      <w:r w:rsidR="00CD6257">
        <w:rPr>
          <w:i/>
          <w:iCs/>
          <w:sz w:val="22"/>
          <w:szCs w:val="22"/>
          <w:lang w:val="fr-CA"/>
        </w:rPr>
        <w:noBreakHyphen/>
      </w:r>
      <w:r w:rsidRPr="00F119F2">
        <w:rPr>
          <w:i/>
          <w:iCs/>
          <w:sz w:val="22"/>
          <w:szCs w:val="22"/>
          <w:lang w:val="fr-CA"/>
        </w:rPr>
        <w:t>3/15,</w:t>
      </w:r>
    </w:p>
    <w:p w:rsidR="00AF7714" w:rsidRPr="00206E11" w:rsidRDefault="00CC79BA" w:rsidP="00CC79BA">
      <w:pPr>
        <w:autoSpaceDE w:val="0"/>
        <w:autoSpaceDN w:val="0"/>
        <w:adjustRightInd w:val="0"/>
        <w:spacing w:before="120" w:after="120"/>
        <w:ind w:firstLine="720"/>
        <w:jc w:val="both"/>
        <w:rPr>
          <w:rFonts w:eastAsiaTheme="minorEastAsia"/>
          <w:color w:val="000000"/>
          <w:sz w:val="22"/>
          <w:szCs w:val="22"/>
          <w:lang w:val="fr-CA"/>
        </w:rPr>
      </w:pPr>
      <w:r>
        <w:rPr>
          <w:rFonts w:eastAsiaTheme="minorEastAsia"/>
          <w:i/>
          <w:iCs/>
          <w:color w:val="000000"/>
          <w:sz w:val="22"/>
          <w:szCs w:val="22"/>
          <w:lang w:val="fr-CA"/>
        </w:rPr>
        <w:t xml:space="preserve">Soulignant </w:t>
      </w:r>
      <w:r>
        <w:rPr>
          <w:rFonts w:eastAsiaTheme="minorEastAsia"/>
          <w:iCs/>
          <w:color w:val="000000"/>
          <w:sz w:val="22"/>
          <w:szCs w:val="22"/>
          <w:lang w:val="fr-CA"/>
        </w:rPr>
        <w:t>l</w:t>
      </w:r>
      <w:r w:rsidR="00CD6257">
        <w:rPr>
          <w:rFonts w:eastAsiaTheme="minorEastAsia"/>
          <w:iCs/>
          <w:color w:val="000000"/>
          <w:sz w:val="22"/>
          <w:szCs w:val="22"/>
          <w:lang w:val="fr-CA"/>
        </w:rPr>
        <w:t>’</w:t>
      </w:r>
      <w:r>
        <w:rPr>
          <w:rFonts w:eastAsiaTheme="minorEastAsia"/>
          <w:iCs/>
          <w:color w:val="000000"/>
          <w:sz w:val="22"/>
          <w:szCs w:val="22"/>
          <w:lang w:val="fr-CA"/>
        </w:rPr>
        <w:t>importance de faire progresser de manière équilibrée la mise en œuvre du troisième objectif de la Convention et l</w:t>
      </w:r>
      <w:r w:rsidR="00CD6257">
        <w:rPr>
          <w:rFonts w:eastAsiaTheme="minorEastAsia"/>
          <w:iCs/>
          <w:color w:val="000000"/>
          <w:sz w:val="22"/>
          <w:szCs w:val="22"/>
          <w:lang w:val="fr-CA"/>
        </w:rPr>
        <w:t>’</w:t>
      </w:r>
      <w:r>
        <w:rPr>
          <w:rFonts w:eastAsiaTheme="minorEastAsia"/>
          <w:iCs/>
          <w:color w:val="000000"/>
          <w:sz w:val="22"/>
          <w:szCs w:val="22"/>
          <w:lang w:val="fr-CA"/>
        </w:rPr>
        <w:t>objectif du Protocole de Nagoya dans le contexte du cadre mondial de la biodiversité pour l</w:t>
      </w:r>
      <w:r w:rsidR="00CD6257">
        <w:rPr>
          <w:rFonts w:eastAsiaTheme="minorEastAsia"/>
          <w:iCs/>
          <w:color w:val="000000"/>
          <w:sz w:val="22"/>
          <w:szCs w:val="22"/>
          <w:lang w:val="fr-CA"/>
        </w:rPr>
        <w:t>’</w:t>
      </w:r>
      <w:r>
        <w:rPr>
          <w:rFonts w:eastAsiaTheme="minorEastAsia"/>
          <w:iCs/>
          <w:color w:val="000000"/>
          <w:sz w:val="22"/>
          <w:szCs w:val="22"/>
          <w:lang w:val="fr-CA"/>
        </w:rPr>
        <w:t>après</w:t>
      </w:r>
      <w:r w:rsidR="00CD6257">
        <w:rPr>
          <w:rFonts w:eastAsiaTheme="minorEastAsia"/>
          <w:iCs/>
          <w:color w:val="000000"/>
          <w:sz w:val="22"/>
          <w:szCs w:val="22"/>
          <w:lang w:val="fr-CA"/>
        </w:rPr>
        <w:noBreakHyphen/>
      </w:r>
      <w:r>
        <w:rPr>
          <w:rFonts w:eastAsiaTheme="minorEastAsia"/>
          <w:iCs/>
          <w:color w:val="000000"/>
          <w:sz w:val="22"/>
          <w:szCs w:val="22"/>
          <w:lang w:val="fr-CA"/>
        </w:rPr>
        <w:t>2020,</w:t>
      </w:r>
    </w:p>
    <w:p w:rsidR="00123B5F" w:rsidRPr="00206E11" w:rsidRDefault="001E2EBE" w:rsidP="003C752B">
      <w:pPr>
        <w:ind w:firstLine="720"/>
        <w:jc w:val="both"/>
        <w:rPr>
          <w:sz w:val="22"/>
          <w:szCs w:val="22"/>
          <w:lang w:val="fr-CA"/>
        </w:rPr>
      </w:pPr>
      <w:r w:rsidRPr="00206E11">
        <w:rPr>
          <w:sz w:val="22"/>
          <w:szCs w:val="22"/>
          <w:lang w:val="fr-CA"/>
        </w:rPr>
        <w:t>1.</w:t>
      </w:r>
      <w:r w:rsidRPr="00206E11">
        <w:rPr>
          <w:sz w:val="22"/>
          <w:szCs w:val="22"/>
          <w:lang w:val="fr-CA"/>
        </w:rPr>
        <w:tab/>
      </w:r>
      <w:r w:rsidR="00CC79BA">
        <w:rPr>
          <w:i/>
          <w:sz w:val="22"/>
          <w:szCs w:val="22"/>
          <w:lang w:val="fr-CA"/>
        </w:rPr>
        <w:t>Se félicite</w:t>
      </w:r>
      <w:r w:rsidR="00CC79BA" w:rsidRPr="00A00F88">
        <w:rPr>
          <w:sz w:val="22"/>
          <w:szCs w:val="22"/>
          <w:lang w:val="fr-CA"/>
        </w:rPr>
        <w:t xml:space="preserve"> </w:t>
      </w:r>
      <w:r w:rsidR="00CC79BA">
        <w:rPr>
          <w:sz w:val="22"/>
          <w:szCs w:val="22"/>
          <w:lang w:val="fr-CA"/>
        </w:rPr>
        <w:t>de la décision 15/</w:t>
      </w:r>
      <w:r w:rsidR="00CD6257">
        <w:rPr>
          <w:sz w:val="22"/>
          <w:szCs w:val="22"/>
          <w:lang w:val="fr-CA"/>
        </w:rPr>
        <w:noBreakHyphen/>
      </w:r>
      <w:r w:rsidR="00CD6257">
        <w:rPr>
          <w:sz w:val="22"/>
          <w:szCs w:val="22"/>
          <w:lang w:val="fr-CA"/>
        </w:rPr>
        <w:noBreakHyphen/>
      </w:r>
      <w:r w:rsidR="00CC79BA">
        <w:rPr>
          <w:sz w:val="22"/>
          <w:szCs w:val="22"/>
          <w:lang w:val="fr-CA"/>
        </w:rPr>
        <w:t xml:space="preserve"> de la Conférence des Parties adoptant le cadre mondial de la biodiversité pour l</w:t>
      </w:r>
      <w:r w:rsidR="00CD6257">
        <w:rPr>
          <w:sz w:val="22"/>
          <w:szCs w:val="22"/>
          <w:lang w:val="fr-CA"/>
        </w:rPr>
        <w:t>’</w:t>
      </w:r>
      <w:r w:rsidR="00CC79BA">
        <w:rPr>
          <w:sz w:val="22"/>
          <w:szCs w:val="22"/>
          <w:lang w:val="fr-CA"/>
        </w:rPr>
        <w:t>après</w:t>
      </w:r>
      <w:r w:rsidR="00CD6257">
        <w:rPr>
          <w:sz w:val="22"/>
          <w:szCs w:val="22"/>
          <w:lang w:val="fr-CA"/>
        </w:rPr>
        <w:noBreakHyphen/>
      </w:r>
      <w:r w:rsidR="00CC79BA">
        <w:rPr>
          <w:sz w:val="22"/>
          <w:szCs w:val="22"/>
          <w:lang w:val="fr-CA"/>
        </w:rPr>
        <w:t>2020 en tant que cadre d</w:t>
      </w:r>
      <w:r w:rsidR="00CD6257">
        <w:rPr>
          <w:sz w:val="22"/>
          <w:szCs w:val="22"/>
          <w:lang w:val="fr-CA"/>
        </w:rPr>
        <w:t>’</w:t>
      </w:r>
      <w:r w:rsidR="00CC79BA">
        <w:rPr>
          <w:sz w:val="22"/>
          <w:szCs w:val="22"/>
          <w:lang w:val="fr-CA"/>
        </w:rPr>
        <w:t>action mondial souple pour toutes les Parties et les parties prenantes permettant d</w:t>
      </w:r>
      <w:r w:rsidR="00CD6257">
        <w:rPr>
          <w:sz w:val="22"/>
          <w:szCs w:val="22"/>
          <w:lang w:val="fr-CA"/>
        </w:rPr>
        <w:t>’</w:t>
      </w:r>
      <w:r w:rsidR="00CC79BA">
        <w:rPr>
          <w:sz w:val="22"/>
          <w:szCs w:val="22"/>
          <w:lang w:val="fr-CA"/>
        </w:rPr>
        <w:t>atteindre la Vision 2050 pour la diversité biologique et de réaliser les trois objectifs de la Convention ainsi que l</w:t>
      </w:r>
      <w:r w:rsidR="00CD6257">
        <w:rPr>
          <w:sz w:val="22"/>
          <w:szCs w:val="22"/>
          <w:lang w:val="fr-CA"/>
        </w:rPr>
        <w:t>’</w:t>
      </w:r>
      <w:r w:rsidR="00CC79BA">
        <w:rPr>
          <w:sz w:val="22"/>
          <w:szCs w:val="22"/>
          <w:lang w:val="fr-CA"/>
        </w:rPr>
        <w:t>objectif du Protocole de Nagoya;</w:t>
      </w:r>
    </w:p>
    <w:p w:rsidR="00880F9B" w:rsidRPr="00206E11" w:rsidRDefault="00880F9B" w:rsidP="003C752B">
      <w:pPr>
        <w:spacing w:before="120" w:after="120"/>
        <w:ind w:firstLine="720"/>
        <w:jc w:val="both"/>
        <w:rPr>
          <w:sz w:val="22"/>
          <w:szCs w:val="22"/>
          <w:lang w:val="fr-CA"/>
        </w:rPr>
      </w:pPr>
      <w:r w:rsidRPr="00206E11">
        <w:rPr>
          <w:sz w:val="22"/>
          <w:szCs w:val="22"/>
          <w:lang w:val="fr-CA"/>
        </w:rPr>
        <w:t>2</w:t>
      </w:r>
      <w:r w:rsidRPr="00206E11">
        <w:rPr>
          <w:i/>
          <w:iCs/>
          <w:sz w:val="22"/>
          <w:szCs w:val="22"/>
          <w:lang w:val="fr-CA"/>
        </w:rPr>
        <w:t>.</w:t>
      </w:r>
      <w:r w:rsidR="00BF7F36" w:rsidRPr="00206E11">
        <w:rPr>
          <w:i/>
          <w:iCs/>
          <w:sz w:val="22"/>
          <w:szCs w:val="22"/>
          <w:lang w:val="fr-CA"/>
        </w:rPr>
        <w:tab/>
      </w:r>
      <w:r w:rsidR="00CC79BA">
        <w:rPr>
          <w:i/>
          <w:iCs/>
          <w:sz w:val="22"/>
          <w:szCs w:val="22"/>
          <w:lang w:val="fr-CA"/>
        </w:rPr>
        <w:t xml:space="preserve">Approuve </w:t>
      </w:r>
      <w:r w:rsidR="00CC79BA">
        <w:rPr>
          <w:iCs/>
          <w:sz w:val="22"/>
          <w:szCs w:val="22"/>
          <w:lang w:val="fr-CA"/>
        </w:rPr>
        <w:t>le cadre mondial de la biodiversité pour l</w:t>
      </w:r>
      <w:r w:rsidR="00CD6257">
        <w:rPr>
          <w:iCs/>
          <w:sz w:val="22"/>
          <w:szCs w:val="22"/>
          <w:lang w:val="fr-CA"/>
        </w:rPr>
        <w:t>’</w:t>
      </w:r>
      <w:r w:rsidR="00CC79BA">
        <w:rPr>
          <w:iCs/>
          <w:sz w:val="22"/>
          <w:szCs w:val="22"/>
          <w:lang w:val="fr-CA"/>
        </w:rPr>
        <w:t>après</w:t>
      </w:r>
      <w:r w:rsidR="00CD6257">
        <w:rPr>
          <w:iCs/>
          <w:sz w:val="22"/>
          <w:szCs w:val="22"/>
          <w:lang w:val="fr-CA"/>
        </w:rPr>
        <w:noBreakHyphen/>
      </w:r>
      <w:r w:rsidR="00CC79BA">
        <w:rPr>
          <w:iCs/>
          <w:sz w:val="22"/>
          <w:szCs w:val="22"/>
          <w:lang w:val="fr-CA"/>
        </w:rPr>
        <w:t>2020, tel que figurant à l</w:t>
      </w:r>
      <w:r w:rsidR="00CD6257">
        <w:rPr>
          <w:iCs/>
          <w:sz w:val="22"/>
          <w:szCs w:val="22"/>
          <w:lang w:val="fr-CA"/>
        </w:rPr>
        <w:t>’</w:t>
      </w:r>
      <w:r w:rsidR="00CC79BA">
        <w:rPr>
          <w:iCs/>
          <w:sz w:val="22"/>
          <w:szCs w:val="22"/>
          <w:lang w:val="fr-CA"/>
        </w:rPr>
        <w:t>annexe de la décision 15/</w:t>
      </w:r>
      <w:r w:rsidR="00CD6257">
        <w:rPr>
          <w:iCs/>
          <w:sz w:val="22"/>
          <w:szCs w:val="22"/>
          <w:lang w:val="fr-CA"/>
        </w:rPr>
        <w:noBreakHyphen/>
      </w:r>
      <w:r w:rsidR="00CD6257">
        <w:rPr>
          <w:iCs/>
          <w:sz w:val="22"/>
          <w:szCs w:val="22"/>
          <w:lang w:val="fr-CA"/>
        </w:rPr>
        <w:noBreakHyphen/>
      </w:r>
      <w:r w:rsidR="00CC79BA">
        <w:rPr>
          <w:iCs/>
          <w:sz w:val="22"/>
          <w:szCs w:val="22"/>
          <w:lang w:val="fr-CA"/>
        </w:rPr>
        <w:t xml:space="preserve"> de la Conférence des Parties;</w:t>
      </w:r>
    </w:p>
    <w:p w:rsidR="00EB5481" w:rsidRPr="00206E11" w:rsidRDefault="00880F9B" w:rsidP="006A1AB7">
      <w:pPr>
        <w:spacing w:before="120" w:after="120"/>
        <w:ind w:firstLine="720"/>
        <w:jc w:val="both"/>
        <w:rPr>
          <w:sz w:val="22"/>
          <w:szCs w:val="22"/>
          <w:lang w:val="fr-CA"/>
        </w:rPr>
      </w:pPr>
      <w:r w:rsidRPr="00206E11">
        <w:rPr>
          <w:sz w:val="22"/>
          <w:szCs w:val="22"/>
          <w:lang w:val="fr-CA"/>
        </w:rPr>
        <w:t>3</w:t>
      </w:r>
      <w:r w:rsidR="00123B5F" w:rsidRPr="00206E11">
        <w:rPr>
          <w:sz w:val="22"/>
          <w:szCs w:val="22"/>
          <w:lang w:val="fr-CA"/>
        </w:rPr>
        <w:t xml:space="preserve">. </w:t>
      </w:r>
      <w:r w:rsidR="00693DFB" w:rsidRPr="00206E11">
        <w:rPr>
          <w:sz w:val="22"/>
          <w:szCs w:val="22"/>
          <w:lang w:val="fr-CA"/>
        </w:rPr>
        <w:tab/>
      </w:r>
      <w:r w:rsidR="007835A8">
        <w:rPr>
          <w:i/>
          <w:sz w:val="22"/>
          <w:szCs w:val="22"/>
          <w:lang w:val="fr-CA"/>
        </w:rPr>
        <w:t xml:space="preserve">Prend </w:t>
      </w:r>
      <w:r w:rsidR="007835A8" w:rsidRPr="007835A8">
        <w:rPr>
          <w:i/>
          <w:sz w:val="22"/>
          <w:szCs w:val="22"/>
          <w:lang w:val="fr-CA"/>
        </w:rPr>
        <w:t>note</w:t>
      </w:r>
      <w:r w:rsidR="007835A8">
        <w:rPr>
          <w:i/>
          <w:sz w:val="22"/>
          <w:szCs w:val="22"/>
          <w:lang w:val="fr-CA"/>
        </w:rPr>
        <w:t xml:space="preserve"> </w:t>
      </w:r>
      <w:r w:rsidR="007835A8">
        <w:rPr>
          <w:sz w:val="22"/>
          <w:szCs w:val="22"/>
          <w:lang w:val="fr-CA"/>
        </w:rPr>
        <w:t>des décisions suivantes de la Conférence des Parties :</w:t>
      </w:r>
    </w:p>
    <w:p w:rsidR="00173B96" w:rsidRPr="00206E11" w:rsidRDefault="00912FD7" w:rsidP="006A1AB7">
      <w:pPr>
        <w:spacing w:before="120" w:after="120"/>
        <w:ind w:firstLine="720"/>
        <w:jc w:val="both"/>
        <w:rPr>
          <w:sz w:val="22"/>
          <w:szCs w:val="22"/>
          <w:lang w:val="fr-CA"/>
        </w:rPr>
      </w:pPr>
      <w:r w:rsidRPr="00206E11">
        <w:rPr>
          <w:sz w:val="22"/>
          <w:szCs w:val="22"/>
          <w:lang w:val="fr-CA"/>
        </w:rPr>
        <w:t>[..</w:t>
      </w:r>
      <w:r w:rsidR="00A93C8F" w:rsidRPr="00206E11">
        <w:rPr>
          <w:sz w:val="22"/>
          <w:szCs w:val="22"/>
          <w:lang w:val="fr-CA"/>
        </w:rPr>
        <w:t>…</w:t>
      </w:r>
      <w:r w:rsidRPr="00206E11">
        <w:rPr>
          <w:sz w:val="22"/>
          <w:szCs w:val="22"/>
          <w:lang w:val="fr-CA"/>
        </w:rPr>
        <w:t>]</w:t>
      </w:r>
      <w:r w:rsidRPr="00206E11">
        <w:rPr>
          <w:rStyle w:val="FootnoteReference"/>
          <w:rFonts w:eastAsiaTheme="minorEastAsia"/>
          <w:color w:val="000000" w:themeColor="text1"/>
          <w:sz w:val="22"/>
          <w:szCs w:val="22"/>
          <w:lang w:val="fr-CA"/>
        </w:rPr>
        <w:footnoteReference w:id="27"/>
      </w:r>
    </w:p>
    <w:p w:rsidR="0025692F" w:rsidRPr="00206E11" w:rsidRDefault="00880F9B" w:rsidP="003C752B">
      <w:pPr>
        <w:spacing w:before="120" w:after="120"/>
        <w:ind w:firstLine="720"/>
        <w:jc w:val="both"/>
        <w:rPr>
          <w:sz w:val="22"/>
          <w:szCs w:val="22"/>
          <w:lang w:val="fr-CA"/>
        </w:rPr>
      </w:pPr>
      <w:r w:rsidRPr="00206E11">
        <w:rPr>
          <w:sz w:val="22"/>
          <w:szCs w:val="22"/>
          <w:lang w:val="fr-CA"/>
        </w:rPr>
        <w:t>4</w:t>
      </w:r>
      <w:r w:rsidR="00A81D08" w:rsidRPr="00206E11">
        <w:rPr>
          <w:sz w:val="22"/>
          <w:szCs w:val="22"/>
          <w:lang w:val="fr-CA"/>
        </w:rPr>
        <w:t xml:space="preserve">. </w:t>
      </w:r>
      <w:r w:rsidR="00A81D08" w:rsidRPr="00206E11">
        <w:rPr>
          <w:sz w:val="22"/>
          <w:szCs w:val="22"/>
          <w:lang w:val="fr-CA"/>
        </w:rPr>
        <w:tab/>
      </w:r>
      <w:r w:rsidR="007835A8" w:rsidRPr="00F119F2">
        <w:rPr>
          <w:i/>
          <w:iCs/>
          <w:sz w:val="22"/>
          <w:szCs w:val="22"/>
          <w:lang w:val="fr-CA"/>
        </w:rPr>
        <w:t>Invite</w:t>
      </w:r>
      <w:r w:rsidR="007835A8" w:rsidRPr="00F119F2">
        <w:rPr>
          <w:sz w:val="22"/>
          <w:szCs w:val="22"/>
          <w:lang w:val="fr-CA"/>
        </w:rPr>
        <w:t xml:space="preserve"> </w:t>
      </w:r>
      <w:r w:rsidR="007835A8">
        <w:rPr>
          <w:sz w:val="22"/>
          <w:szCs w:val="22"/>
          <w:lang w:val="fr-CA"/>
        </w:rPr>
        <w:t>les Parties à intensifier leurs efforts pour mettre efficacement en œuvre le Protocole et contribuer à la réalisation du cadre mondial de la biodiversité pour l</w:t>
      </w:r>
      <w:r w:rsidR="00CD6257">
        <w:rPr>
          <w:sz w:val="22"/>
          <w:szCs w:val="22"/>
          <w:lang w:val="fr-CA"/>
        </w:rPr>
        <w:t>’</w:t>
      </w:r>
      <w:r w:rsidR="007835A8">
        <w:rPr>
          <w:sz w:val="22"/>
          <w:szCs w:val="22"/>
          <w:lang w:val="fr-CA"/>
        </w:rPr>
        <w:t>après</w:t>
      </w:r>
      <w:r w:rsidR="00CD6257">
        <w:rPr>
          <w:sz w:val="22"/>
          <w:szCs w:val="22"/>
          <w:lang w:val="fr-CA"/>
        </w:rPr>
        <w:noBreakHyphen/>
      </w:r>
      <w:r w:rsidR="007835A8">
        <w:rPr>
          <w:sz w:val="22"/>
          <w:szCs w:val="22"/>
          <w:lang w:val="fr-CA"/>
        </w:rPr>
        <w:t>2020, en particulier l</w:t>
      </w:r>
      <w:r w:rsidR="00CD6257">
        <w:rPr>
          <w:sz w:val="22"/>
          <w:szCs w:val="22"/>
          <w:lang w:val="fr-CA"/>
        </w:rPr>
        <w:t>’</w:t>
      </w:r>
      <w:r w:rsidR="007835A8">
        <w:rPr>
          <w:sz w:val="22"/>
          <w:szCs w:val="22"/>
          <w:lang w:val="fr-CA"/>
        </w:rPr>
        <w:t>Objectif C et la Cible 13 qui portent sur l</w:t>
      </w:r>
      <w:r w:rsidR="00CD6257">
        <w:rPr>
          <w:sz w:val="22"/>
          <w:szCs w:val="22"/>
          <w:lang w:val="fr-CA"/>
        </w:rPr>
        <w:t>’</w:t>
      </w:r>
      <w:r w:rsidR="007835A8">
        <w:rPr>
          <w:sz w:val="22"/>
          <w:szCs w:val="22"/>
          <w:lang w:val="fr-CA"/>
        </w:rPr>
        <w:t>accès et le partage des avantages;</w:t>
      </w:r>
    </w:p>
    <w:p w:rsidR="00760F49" w:rsidRPr="00206E11" w:rsidRDefault="00880F9B" w:rsidP="003C752B">
      <w:pPr>
        <w:spacing w:before="120" w:after="120"/>
        <w:ind w:firstLine="720"/>
        <w:jc w:val="both"/>
        <w:rPr>
          <w:kern w:val="22"/>
          <w:sz w:val="22"/>
          <w:szCs w:val="22"/>
          <w:lang w:val="fr-CA"/>
        </w:rPr>
      </w:pPr>
      <w:r w:rsidRPr="00206E11">
        <w:rPr>
          <w:sz w:val="22"/>
          <w:szCs w:val="22"/>
          <w:lang w:val="fr-CA"/>
        </w:rPr>
        <w:t>5.</w:t>
      </w:r>
      <w:r w:rsidRPr="00206E11">
        <w:rPr>
          <w:sz w:val="22"/>
          <w:szCs w:val="22"/>
          <w:lang w:val="fr-CA"/>
        </w:rPr>
        <w:tab/>
      </w:r>
      <w:r w:rsidR="007835A8" w:rsidRPr="00F119F2">
        <w:rPr>
          <w:i/>
          <w:iCs/>
          <w:sz w:val="22"/>
          <w:szCs w:val="22"/>
          <w:lang w:val="fr-CA"/>
        </w:rPr>
        <w:t>Invite</w:t>
      </w:r>
      <w:r w:rsidR="007835A8" w:rsidRPr="00F119F2">
        <w:rPr>
          <w:sz w:val="22"/>
          <w:szCs w:val="22"/>
          <w:lang w:val="fr-CA"/>
        </w:rPr>
        <w:t xml:space="preserve"> </w:t>
      </w:r>
      <w:r w:rsidR="007835A8">
        <w:rPr>
          <w:sz w:val="22"/>
          <w:szCs w:val="22"/>
          <w:lang w:val="fr-CA"/>
        </w:rPr>
        <w:t xml:space="preserve">les Parties et encourage les </w:t>
      </w:r>
      <w:r w:rsidR="007835A8">
        <w:rPr>
          <w:noProof/>
          <w:sz w:val="22"/>
          <w:szCs w:val="22"/>
          <w:lang w:val="fr-CA"/>
        </w:rPr>
        <w:t>non</w:t>
      </w:r>
      <w:r w:rsidR="00CD6257">
        <w:rPr>
          <w:noProof/>
          <w:sz w:val="22"/>
          <w:szCs w:val="22"/>
          <w:lang w:val="fr-CA"/>
        </w:rPr>
        <w:noBreakHyphen/>
      </w:r>
      <w:r w:rsidR="007835A8">
        <w:rPr>
          <w:noProof/>
          <w:sz w:val="22"/>
          <w:szCs w:val="22"/>
          <w:lang w:val="fr-CA"/>
        </w:rPr>
        <w:t>Parties</w:t>
      </w:r>
      <w:r w:rsidR="007835A8">
        <w:rPr>
          <w:sz w:val="22"/>
          <w:szCs w:val="22"/>
          <w:lang w:val="fr-CA"/>
        </w:rPr>
        <w:t xml:space="preserve"> à avoir recours à l</w:t>
      </w:r>
      <w:r w:rsidR="00CD6257">
        <w:rPr>
          <w:sz w:val="22"/>
          <w:szCs w:val="22"/>
          <w:lang w:val="fr-CA"/>
        </w:rPr>
        <w:t>’</w:t>
      </w:r>
      <w:r w:rsidR="007835A8">
        <w:rPr>
          <w:sz w:val="22"/>
          <w:szCs w:val="22"/>
          <w:lang w:val="fr-CA"/>
        </w:rPr>
        <w:t>approche de la planification, du suivi, des rapports, et de l</w:t>
      </w:r>
      <w:r w:rsidR="00CD6257">
        <w:rPr>
          <w:sz w:val="22"/>
          <w:szCs w:val="22"/>
          <w:lang w:val="fr-CA"/>
        </w:rPr>
        <w:t>’</w:t>
      </w:r>
      <w:r w:rsidR="007835A8">
        <w:rPr>
          <w:sz w:val="22"/>
          <w:szCs w:val="22"/>
          <w:lang w:val="fr-CA"/>
        </w:rPr>
        <w:t>examen au titre de la Convention, afin de renforcer la mise en œuvre du Protocole de Nagoya et l</w:t>
      </w:r>
      <w:r w:rsidR="00CD6257">
        <w:rPr>
          <w:sz w:val="22"/>
          <w:szCs w:val="22"/>
          <w:lang w:val="fr-CA"/>
        </w:rPr>
        <w:t>’</w:t>
      </w:r>
      <w:r w:rsidR="007835A8">
        <w:rPr>
          <w:sz w:val="22"/>
          <w:szCs w:val="22"/>
          <w:lang w:val="fr-CA"/>
        </w:rPr>
        <w:t>intégration de l</w:t>
      </w:r>
      <w:r w:rsidR="00CD6257">
        <w:rPr>
          <w:sz w:val="22"/>
          <w:szCs w:val="22"/>
          <w:lang w:val="fr-CA"/>
        </w:rPr>
        <w:t>’</w:t>
      </w:r>
      <w:r w:rsidR="007835A8">
        <w:rPr>
          <w:sz w:val="22"/>
          <w:szCs w:val="22"/>
          <w:lang w:val="fr-CA"/>
        </w:rPr>
        <w:t>accès et du partage des avantages dans les stratégies et plans d</w:t>
      </w:r>
      <w:r w:rsidR="00CD6257">
        <w:rPr>
          <w:sz w:val="22"/>
          <w:szCs w:val="22"/>
          <w:lang w:val="fr-CA"/>
        </w:rPr>
        <w:t>’</w:t>
      </w:r>
      <w:r w:rsidR="007835A8">
        <w:rPr>
          <w:sz w:val="22"/>
          <w:szCs w:val="22"/>
          <w:lang w:val="fr-CA"/>
        </w:rPr>
        <w:t>action nationaux pour la biodiversité révisés ou actualisés.</w:t>
      </w:r>
    </w:p>
    <w:p w:rsidR="00232EE5" w:rsidRPr="00206E11" w:rsidRDefault="00175EF3" w:rsidP="0053392D">
      <w:pPr>
        <w:jc w:val="center"/>
        <w:rPr>
          <w:sz w:val="22"/>
          <w:szCs w:val="22"/>
          <w:lang w:val="fr-CA"/>
        </w:rPr>
      </w:pPr>
      <w:r w:rsidRPr="00206E11">
        <w:rPr>
          <w:sz w:val="22"/>
          <w:szCs w:val="22"/>
          <w:lang w:val="fr-CA"/>
        </w:rPr>
        <w:t>______</w:t>
      </w:r>
      <w:r w:rsidR="0019379B" w:rsidRPr="00206E11">
        <w:rPr>
          <w:sz w:val="22"/>
          <w:szCs w:val="22"/>
          <w:lang w:val="fr-CA"/>
        </w:rPr>
        <w:t>____</w:t>
      </w:r>
    </w:p>
    <w:sectPr w:rsidR="00232EE5" w:rsidRPr="00206E11" w:rsidSect="006243E8">
      <w:headerReference w:type="even" r:id="rId19"/>
      <w:headerReference w:type="default" r:id="rId20"/>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1EB1" w:rsidRDefault="00961EB1" w:rsidP="00CF1848">
      <w:r>
        <w:separator/>
      </w:r>
    </w:p>
  </w:endnote>
  <w:endnote w:type="continuationSeparator" w:id="0">
    <w:p w:rsidR="00961EB1" w:rsidRDefault="00961EB1" w:rsidP="00CF1848">
      <w:r>
        <w:continuationSeparator/>
      </w:r>
    </w:p>
  </w:endnote>
  <w:endnote w:type="continuationNotice" w:id="1">
    <w:p w:rsidR="00961EB1" w:rsidRDefault="00961EB1"/>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1EB1" w:rsidRDefault="00961EB1" w:rsidP="00CF1848">
      <w:r>
        <w:separator/>
      </w:r>
    </w:p>
  </w:footnote>
  <w:footnote w:type="continuationSeparator" w:id="0">
    <w:p w:rsidR="00961EB1" w:rsidRDefault="00961EB1" w:rsidP="00CF1848">
      <w:r>
        <w:continuationSeparator/>
      </w:r>
    </w:p>
  </w:footnote>
  <w:footnote w:type="continuationNotice" w:id="1">
    <w:p w:rsidR="00961EB1" w:rsidRDefault="00961EB1"/>
  </w:footnote>
  <w:footnote w:id="2">
    <w:p w:rsidR="00D70CC2" w:rsidRPr="00C86EE2" w:rsidRDefault="00D70CC2" w:rsidP="007835A8">
      <w:pPr>
        <w:pStyle w:val="FootnoteText"/>
        <w:ind w:firstLine="0"/>
        <w:jc w:val="both"/>
        <w:rPr>
          <w:lang w:val="fr-CA"/>
        </w:rPr>
      </w:pPr>
      <w:r w:rsidRPr="00C86EE2">
        <w:rPr>
          <w:rStyle w:val="FootnoteReference"/>
          <w:lang w:val="fr-CA"/>
        </w:rPr>
        <w:footnoteRef/>
      </w:r>
      <w:r w:rsidRPr="00C86EE2">
        <w:rPr>
          <w:lang w:val="fr-CA"/>
        </w:rPr>
        <w:t xml:space="preserve"> </w:t>
      </w:r>
      <w:r w:rsidR="00C86EE2">
        <w:rPr>
          <w:lang w:val="fr-CA"/>
        </w:rPr>
        <w:t>Republié le 3 novembre 2022 avec une version simplifiée du projet de décision (section V), afin d</w:t>
      </w:r>
      <w:r w:rsidR="00CD6257">
        <w:rPr>
          <w:lang w:val="fr-CA"/>
        </w:rPr>
        <w:t>’</w:t>
      </w:r>
      <w:r w:rsidR="00C86EE2">
        <w:rPr>
          <w:lang w:val="fr-CA"/>
        </w:rPr>
        <w:t xml:space="preserve">éviter </w:t>
      </w:r>
      <w:r w:rsidR="007835A8">
        <w:rPr>
          <w:lang w:val="fr-CA"/>
        </w:rPr>
        <w:t>d</w:t>
      </w:r>
      <w:r w:rsidR="00CD6257">
        <w:rPr>
          <w:lang w:val="fr-CA"/>
        </w:rPr>
        <w:t>’</w:t>
      </w:r>
      <w:r w:rsidR="007835A8">
        <w:rPr>
          <w:lang w:val="fr-CA"/>
        </w:rPr>
        <w:t>éventuelles divergences</w:t>
      </w:r>
      <w:r w:rsidR="00A37570">
        <w:rPr>
          <w:lang w:val="fr-CA"/>
        </w:rPr>
        <w:t xml:space="preserve"> avec les résultats des négociations sur le cadre mondial de la biodiversité au titre </w:t>
      </w:r>
      <w:r w:rsidR="00CD6257">
        <w:rPr>
          <w:lang w:val="fr-CA"/>
        </w:rPr>
        <w:t>de la Cd</w:t>
      </w:r>
      <w:r w:rsidR="00A37570">
        <w:rPr>
          <w:lang w:val="fr-CA"/>
        </w:rPr>
        <w:t>P</w:t>
      </w:r>
      <w:r w:rsidR="00CD6257">
        <w:rPr>
          <w:lang w:val="fr-CA"/>
        </w:rPr>
        <w:noBreakHyphen/>
      </w:r>
      <w:r w:rsidR="00A37570">
        <w:rPr>
          <w:lang w:val="fr-CA"/>
        </w:rPr>
        <w:t>15.</w:t>
      </w:r>
    </w:p>
  </w:footnote>
  <w:footnote w:id="3">
    <w:p w:rsidR="00C86EE2" w:rsidRPr="00273A64" w:rsidRDefault="00C86EE2" w:rsidP="007835A8">
      <w:pPr>
        <w:pStyle w:val="FootnoteText"/>
        <w:ind w:firstLine="0"/>
        <w:jc w:val="both"/>
        <w:rPr>
          <w:lang w:val="fr-CA"/>
        </w:rPr>
      </w:pPr>
      <w:r w:rsidRPr="00273A64">
        <w:rPr>
          <w:rStyle w:val="FootnoteReference"/>
          <w:lang w:val="fr-CA"/>
        </w:rPr>
        <w:footnoteRef/>
      </w:r>
      <w:r w:rsidRPr="00273A64">
        <w:rPr>
          <w:lang w:val="fr-CA"/>
        </w:rPr>
        <w:t xml:space="preserve"> </w:t>
      </w:r>
      <w:r w:rsidRPr="00273A64">
        <w:rPr>
          <w:kern w:val="18"/>
          <w:szCs w:val="18"/>
          <w:lang w:val="fr-CA"/>
        </w:rPr>
        <w:t>Voir</w:t>
      </w:r>
      <w:r>
        <w:rPr>
          <w:kern w:val="18"/>
          <w:szCs w:val="18"/>
          <w:lang w:val="fr-CA"/>
        </w:rPr>
        <w:t xml:space="preserve"> la</w:t>
      </w:r>
      <w:r w:rsidRPr="00273A64">
        <w:rPr>
          <w:kern w:val="18"/>
          <w:szCs w:val="18"/>
          <w:lang w:val="fr-CA"/>
        </w:rPr>
        <w:t xml:space="preserve"> résolution </w:t>
      </w:r>
      <w:hyperlink r:id="rId1" w:history="1">
        <w:r w:rsidRPr="00273A64">
          <w:rPr>
            <w:rStyle w:val="Hyperlink"/>
            <w:kern w:val="18"/>
            <w:szCs w:val="18"/>
            <w:lang w:val="fr-CA"/>
          </w:rPr>
          <w:t>70/1</w:t>
        </w:r>
      </w:hyperlink>
      <w:r>
        <w:rPr>
          <w:kern w:val="18"/>
          <w:szCs w:val="18"/>
          <w:lang w:val="fr-CA"/>
        </w:rPr>
        <w:t xml:space="preserve"> de l</w:t>
      </w:r>
      <w:r w:rsidR="00CD6257">
        <w:rPr>
          <w:kern w:val="18"/>
          <w:szCs w:val="18"/>
          <w:lang w:val="fr-CA"/>
        </w:rPr>
        <w:t>’</w:t>
      </w:r>
      <w:r>
        <w:rPr>
          <w:kern w:val="18"/>
          <w:szCs w:val="18"/>
          <w:lang w:val="fr-CA"/>
        </w:rPr>
        <w:t>Assemblée générale, du 25 septembre </w:t>
      </w:r>
      <w:r w:rsidRPr="00273A64">
        <w:rPr>
          <w:kern w:val="18"/>
          <w:szCs w:val="18"/>
          <w:lang w:val="fr-CA"/>
        </w:rPr>
        <w:t>2015</w:t>
      </w:r>
      <w:r>
        <w:rPr>
          <w:kern w:val="18"/>
          <w:szCs w:val="18"/>
          <w:lang w:val="fr-CA"/>
        </w:rPr>
        <w:t xml:space="preserve">, </w:t>
      </w:r>
      <w:r w:rsidRPr="00273A64">
        <w:rPr>
          <w:kern w:val="18"/>
          <w:szCs w:val="18"/>
          <w:lang w:val="fr-CA"/>
        </w:rPr>
        <w:t xml:space="preserve"> </w:t>
      </w:r>
      <w:r>
        <w:rPr>
          <w:kern w:val="18"/>
          <w:szCs w:val="18"/>
          <w:lang w:val="fr-CA"/>
        </w:rPr>
        <w:t>intitulée « Transformer notre monde : le Programme de développement durable à l</w:t>
      </w:r>
      <w:r w:rsidR="00CD6257">
        <w:rPr>
          <w:kern w:val="18"/>
          <w:szCs w:val="18"/>
          <w:lang w:val="fr-CA"/>
        </w:rPr>
        <w:t>’</w:t>
      </w:r>
      <w:r>
        <w:rPr>
          <w:kern w:val="18"/>
          <w:szCs w:val="18"/>
          <w:lang w:val="fr-CA"/>
        </w:rPr>
        <w:t>horizon 2030 ».</w:t>
      </w:r>
    </w:p>
  </w:footnote>
  <w:footnote w:id="4">
    <w:p w:rsidR="00A37570" w:rsidRPr="00273A64" w:rsidRDefault="00A37570"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Cette information avait initialement été préparée en prévision de la consultation mondiale sur le cadre mondial de la biodiversité pour l</w:t>
      </w:r>
      <w:r w:rsidR="00CD6257">
        <w:rPr>
          <w:lang w:val="fr-CA"/>
        </w:rPr>
        <w:t>’</w:t>
      </w:r>
      <w:r>
        <w:rPr>
          <w:lang w:val="fr-CA"/>
        </w:rPr>
        <w:t>après</w:t>
      </w:r>
      <w:r w:rsidR="00CD6257">
        <w:rPr>
          <w:lang w:val="fr-CA"/>
        </w:rPr>
        <w:noBreakHyphen/>
      </w:r>
      <w:r>
        <w:rPr>
          <w:lang w:val="fr-CA"/>
        </w:rPr>
        <w:t>2020 relativement à l</w:t>
      </w:r>
      <w:r w:rsidR="00CD6257">
        <w:rPr>
          <w:lang w:val="fr-CA"/>
        </w:rPr>
        <w:t>’</w:t>
      </w:r>
      <w:r>
        <w:rPr>
          <w:lang w:val="fr-CA"/>
        </w:rPr>
        <w:t>accès et au partage des avantages et au Protocole de Nagoya (</w:t>
      </w:r>
      <w:r w:rsidRPr="00972976">
        <w:rPr>
          <w:i/>
          <w:noProof/>
          <w:lang w:val="fr-CA"/>
        </w:rPr>
        <w:t>Global Consultation on the Post</w:t>
      </w:r>
      <w:r w:rsidR="00CD6257">
        <w:rPr>
          <w:i/>
          <w:noProof/>
          <w:lang w:val="fr-CA"/>
        </w:rPr>
        <w:noBreakHyphen/>
      </w:r>
      <w:r w:rsidRPr="00972976">
        <w:rPr>
          <w:i/>
          <w:noProof/>
          <w:lang w:val="fr-CA"/>
        </w:rPr>
        <w:t>2020 Global Biodiversity Framework in Relation to Access and Benefit</w:t>
      </w:r>
      <w:r w:rsidR="00CD6257">
        <w:rPr>
          <w:i/>
          <w:noProof/>
          <w:lang w:val="fr-CA"/>
        </w:rPr>
        <w:noBreakHyphen/>
      </w:r>
      <w:r w:rsidRPr="00972976">
        <w:rPr>
          <w:i/>
          <w:noProof/>
          <w:lang w:val="fr-CA"/>
        </w:rPr>
        <w:t>sharing and the Nagoya Protocol</w:t>
      </w:r>
      <w:r>
        <w:rPr>
          <w:lang w:val="fr-CA"/>
        </w:rPr>
        <w:t xml:space="preserve">), tenue le 25 août 2019 </w:t>
      </w:r>
      <w:r w:rsidRPr="00273A64">
        <w:rPr>
          <w:lang w:val="fr-CA"/>
        </w:rPr>
        <w:t>(CBD/POST2020/WS/2019/8/3</w:t>
      </w:r>
      <w:r w:rsidRPr="00273A64">
        <w:rPr>
          <w:rStyle w:val="ng-binding"/>
          <w:lang w:val="fr-CA"/>
        </w:rPr>
        <w:t>).</w:t>
      </w:r>
    </w:p>
  </w:footnote>
  <w:footnote w:id="5">
    <w:p w:rsidR="00A37570" w:rsidRPr="00273A64" w:rsidRDefault="00A37570"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 xml:space="preserve">Voir </w:t>
      </w:r>
      <w:r w:rsidRPr="00EF209A">
        <w:rPr>
          <w:i/>
          <w:lang w:val="fr-CA"/>
        </w:rPr>
        <w:t>Perspectives mondiales de la diversité biologique 5</w:t>
      </w:r>
      <w:r>
        <w:rPr>
          <w:i/>
          <w:lang w:val="fr-CA"/>
        </w:rPr>
        <w:t xml:space="preserve"> </w:t>
      </w:r>
      <w:r>
        <w:rPr>
          <w:lang w:val="fr-CA"/>
        </w:rPr>
        <w:t xml:space="preserve">(2020). Des informations additionnelles et actualisées figurent dans </w:t>
      </w:r>
      <w:r w:rsidRPr="00273A64">
        <w:rPr>
          <w:noProof/>
          <w:lang w:val="fr-CA"/>
        </w:rPr>
        <w:t xml:space="preserve">CBD/COP/15/9/Add.2 </w:t>
      </w:r>
      <w:r>
        <w:rPr>
          <w:noProof/>
          <w:lang w:val="fr-CA"/>
        </w:rPr>
        <w:t xml:space="preserve">(mise à jour de </w:t>
      </w:r>
      <w:r w:rsidRPr="00273A64">
        <w:rPr>
          <w:noProof/>
          <w:lang w:val="fr-CA"/>
        </w:rPr>
        <w:t>CBD/SBI/3/2/Add.2).</w:t>
      </w:r>
    </w:p>
  </w:footnote>
  <w:footnote w:id="6">
    <w:p w:rsidR="000653D8" w:rsidRPr="00273A64" w:rsidRDefault="000653D8" w:rsidP="007835A8">
      <w:pPr>
        <w:pStyle w:val="FootnoteText"/>
        <w:ind w:firstLine="0"/>
        <w:jc w:val="both"/>
        <w:rPr>
          <w:lang w:val="fr-CA"/>
        </w:rPr>
      </w:pPr>
      <w:r w:rsidRPr="00273A64">
        <w:rPr>
          <w:rStyle w:val="FootnoteReference"/>
          <w:lang w:val="fr-CA"/>
        </w:rPr>
        <w:footnoteRef/>
      </w:r>
      <w:r>
        <w:rPr>
          <w:lang w:val="fr-CA"/>
        </w:rPr>
        <w:t xml:space="preserve"> Consulter la base de données des indicateurs des objectifs de développement durable, à l</w:t>
      </w:r>
      <w:r w:rsidR="00CD6257">
        <w:rPr>
          <w:lang w:val="fr-CA"/>
        </w:rPr>
        <w:t>’</w:t>
      </w:r>
      <w:r>
        <w:rPr>
          <w:lang w:val="fr-CA"/>
        </w:rPr>
        <w:t xml:space="preserve">adresse </w:t>
      </w:r>
      <w:hyperlink r:id="rId2" w:history="1">
        <w:r w:rsidRPr="00273A64">
          <w:rPr>
            <w:rStyle w:val="Hyperlink"/>
            <w:lang w:val="fr-CA"/>
          </w:rPr>
          <w:t>https://unstats.un.org/sdgs/dataportal</w:t>
        </w:r>
      </w:hyperlink>
      <w:r>
        <w:rPr>
          <w:lang w:val="fr-CA"/>
        </w:rPr>
        <w:t>.</w:t>
      </w:r>
    </w:p>
  </w:footnote>
  <w:footnote w:id="7">
    <w:p w:rsidR="001C6EBA" w:rsidRPr="00273A64" w:rsidRDefault="001C6EBA" w:rsidP="007835A8">
      <w:pPr>
        <w:pStyle w:val="FootnoteText"/>
        <w:ind w:firstLine="0"/>
        <w:jc w:val="both"/>
        <w:rPr>
          <w:lang w:val="fr-CA"/>
        </w:rPr>
      </w:pPr>
      <w:r w:rsidRPr="00273A64">
        <w:rPr>
          <w:rStyle w:val="FootnoteReference"/>
          <w:lang w:val="fr-CA"/>
        </w:rPr>
        <w:footnoteRef/>
      </w:r>
      <w:r>
        <w:rPr>
          <w:lang w:val="fr-CA"/>
        </w:rPr>
        <w:t xml:space="preserve"> Décision </w:t>
      </w:r>
      <w:r w:rsidRPr="00273A64">
        <w:rPr>
          <w:lang w:val="fr-CA"/>
        </w:rPr>
        <w:t>NP</w:t>
      </w:r>
      <w:r w:rsidR="00CD6257">
        <w:rPr>
          <w:lang w:val="fr-CA"/>
        </w:rPr>
        <w:noBreakHyphen/>
      </w:r>
      <w:r w:rsidRPr="00273A64">
        <w:rPr>
          <w:lang w:val="fr-CA"/>
        </w:rPr>
        <w:t>3/1, paragraph</w:t>
      </w:r>
      <w:r>
        <w:rPr>
          <w:lang w:val="fr-CA"/>
        </w:rPr>
        <w:t>e </w:t>
      </w:r>
      <w:r w:rsidRPr="00273A64">
        <w:rPr>
          <w:lang w:val="fr-CA"/>
        </w:rPr>
        <w:t>5.</w:t>
      </w:r>
    </w:p>
  </w:footnote>
  <w:footnote w:id="8">
    <w:p w:rsidR="001C6EBA" w:rsidRPr="00273A64" w:rsidRDefault="001C6EBA"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Des points de référence ont été établis dans le cadre de la première évaluation et examen de l</w:t>
      </w:r>
      <w:r w:rsidR="00CD6257">
        <w:rPr>
          <w:lang w:val="fr-CA"/>
        </w:rPr>
        <w:t>’</w:t>
      </w:r>
      <w:r>
        <w:rPr>
          <w:lang w:val="fr-CA"/>
        </w:rPr>
        <w:t>efficacité du Protocole; voir l</w:t>
      </w:r>
      <w:r w:rsidR="00CD6257">
        <w:rPr>
          <w:lang w:val="fr-CA"/>
        </w:rPr>
        <w:t>’</w:t>
      </w:r>
      <w:r>
        <w:rPr>
          <w:lang w:val="fr-CA"/>
        </w:rPr>
        <w:t>annexe à la décision </w:t>
      </w:r>
      <w:r w:rsidRPr="00273A64">
        <w:rPr>
          <w:lang w:val="fr-CA"/>
        </w:rPr>
        <w:t>NP</w:t>
      </w:r>
      <w:r w:rsidR="00CD6257">
        <w:rPr>
          <w:lang w:val="fr-CA"/>
        </w:rPr>
        <w:noBreakHyphen/>
      </w:r>
      <w:r w:rsidRPr="00273A64">
        <w:rPr>
          <w:lang w:val="fr-CA"/>
        </w:rPr>
        <w:t>3</w:t>
      </w:r>
      <w:r>
        <w:rPr>
          <w:lang w:val="fr-CA"/>
        </w:rPr>
        <w:t>/1.</w:t>
      </w:r>
    </w:p>
  </w:footnote>
  <w:footnote w:id="9">
    <w:p w:rsidR="001C6EBA" w:rsidRPr="00273A64" w:rsidRDefault="001C6EBA"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Les informations disponibles comprennent des documents publiés dans le Centre d</w:t>
      </w:r>
      <w:r w:rsidR="00CD6257">
        <w:rPr>
          <w:lang w:val="fr-CA"/>
        </w:rPr>
        <w:t>’</w:t>
      </w:r>
      <w:r>
        <w:rPr>
          <w:lang w:val="fr-CA"/>
        </w:rPr>
        <w:t>échange sur l</w:t>
      </w:r>
      <w:r w:rsidR="00CD6257">
        <w:rPr>
          <w:lang w:val="fr-CA"/>
        </w:rPr>
        <w:t>’</w:t>
      </w:r>
      <w:r>
        <w:rPr>
          <w:lang w:val="fr-CA"/>
        </w:rPr>
        <w:t>accès et le partage des avantages, des informations figurant des les rapports nationaux intérimaires sur la mise en œuvre du Protocole de Nagoya, ainsi que des informations indiquées dans les SPANB et les rapports nationaux au titre de la Convention.</w:t>
      </w:r>
    </w:p>
  </w:footnote>
  <w:footnote w:id="10">
    <w:p w:rsidR="00560D76" w:rsidRPr="00273A64" w:rsidRDefault="00560D76"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Il convient de noter toutefois que 2 755 des 3 795 permis ou leur équivalent ont été mis à disposition par une seule Partie.</w:t>
      </w:r>
    </w:p>
  </w:footnote>
  <w:footnote w:id="11">
    <w:p w:rsidR="00D66B04" w:rsidRPr="00273A64" w:rsidRDefault="00D66B04"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Voir en particulier</w:t>
      </w:r>
      <w:r w:rsidRPr="00273A64">
        <w:rPr>
          <w:lang w:val="fr-CA"/>
        </w:rPr>
        <w:t xml:space="preserve"> </w:t>
      </w:r>
      <w:hyperlink r:id="rId3" w:history="1">
        <w:r>
          <w:rPr>
            <w:rStyle w:val="Hyperlink"/>
            <w:lang w:val="fr-CA"/>
          </w:rPr>
          <w:t>CBD/WG2020/REC/1/1</w:t>
        </w:r>
      </w:hyperlink>
      <w:r>
        <w:rPr>
          <w:lang w:val="fr-CA"/>
        </w:rPr>
        <w:t>, par. </w:t>
      </w:r>
      <w:r w:rsidRPr="00273A64">
        <w:rPr>
          <w:lang w:val="fr-CA"/>
        </w:rPr>
        <w:t xml:space="preserve">6, </w:t>
      </w:r>
      <w:hyperlink r:id="rId4" w:history="1">
        <w:r w:rsidRPr="00273A64">
          <w:rPr>
            <w:rStyle w:val="Hyperlink"/>
            <w:lang w:val="fr-CA"/>
          </w:rPr>
          <w:t>CBD/WG2020/3/7</w:t>
        </w:r>
      </w:hyperlink>
      <w:r w:rsidRPr="00273A64">
        <w:rPr>
          <w:lang w:val="fr-CA"/>
        </w:rPr>
        <w:t>,</w:t>
      </w:r>
      <w:r>
        <w:rPr>
          <w:lang w:val="fr-CA"/>
        </w:rPr>
        <w:t xml:space="preserve"> </w:t>
      </w:r>
      <w:r w:rsidRPr="00273A64">
        <w:rPr>
          <w:lang w:val="fr-CA"/>
        </w:rPr>
        <w:t>a</w:t>
      </w:r>
      <w:r>
        <w:rPr>
          <w:lang w:val="fr-CA"/>
        </w:rPr>
        <w:t>ppendice </w:t>
      </w:r>
      <w:r w:rsidRPr="00273A64">
        <w:rPr>
          <w:lang w:val="fr-CA"/>
        </w:rPr>
        <w:t>1</w:t>
      </w:r>
      <w:r>
        <w:rPr>
          <w:lang w:val="fr-CA"/>
        </w:rPr>
        <w:t>, par. </w:t>
      </w:r>
      <w:r w:rsidRPr="00273A64">
        <w:rPr>
          <w:lang w:val="fr-CA"/>
        </w:rPr>
        <w:t>5.</w:t>
      </w:r>
    </w:p>
  </w:footnote>
  <w:footnote w:id="12">
    <w:p w:rsidR="00D66B04" w:rsidRPr="00273A64" w:rsidRDefault="00D66B04"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La Consultation mondiale a eu lieu le 25 août 2019, à Nairobi, et son rapport a été présenté à la deuxième réunion du groupe de travail à composition non limitée sur le cadre mondial de la biodiversité pour l</w:t>
      </w:r>
      <w:r w:rsidR="00CD6257">
        <w:rPr>
          <w:lang w:val="fr-CA"/>
        </w:rPr>
        <w:t>’</w:t>
      </w:r>
      <w:r>
        <w:rPr>
          <w:lang w:val="fr-CA"/>
        </w:rPr>
        <w:t>après</w:t>
      </w:r>
      <w:r w:rsidR="00CD6257">
        <w:rPr>
          <w:lang w:val="fr-CA"/>
        </w:rPr>
        <w:noBreakHyphen/>
      </w:r>
      <w:r>
        <w:rPr>
          <w:lang w:val="fr-CA"/>
        </w:rPr>
        <w:t xml:space="preserve">2020 </w:t>
      </w:r>
      <w:r w:rsidRPr="00273A64">
        <w:rPr>
          <w:lang w:val="fr-CA"/>
        </w:rPr>
        <w:t>(</w:t>
      </w:r>
      <w:hyperlink r:id="rId5" w:history="1">
        <w:r w:rsidRPr="00273A64">
          <w:rPr>
            <w:rStyle w:val="Hyperlink"/>
            <w:lang w:val="fr-CA"/>
          </w:rPr>
          <w:t>CBD/POST2020/WS/2019/8/3</w:t>
        </w:r>
      </w:hyperlink>
      <w:r w:rsidRPr="00273A64">
        <w:rPr>
          <w:lang w:val="fr-CA"/>
        </w:rPr>
        <w:t>).</w:t>
      </w:r>
    </w:p>
  </w:footnote>
  <w:footnote w:id="13">
    <w:p w:rsidR="00D66B04" w:rsidRPr="00273A64" w:rsidRDefault="00D66B04"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Voir en particulier les</w:t>
      </w:r>
      <w:r w:rsidRPr="00273A64">
        <w:rPr>
          <w:lang w:val="fr-CA"/>
        </w:rPr>
        <w:t xml:space="preserve"> paragraph</w:t>
      </w:r>
      <w:r>
        <w:rPr>
          <w:lang w:val="fr-CA"/>
        </w:rPr>
        <w:t>e</w:t>
      </w:r>
      <w:r w:rsidRPr="00273A64">
        <w:rPr>
          <w:lang w:val="fr-CA"/>
        </w:rPr>
        <w:t>s</w:t>
      </w:r>
      <w:r>
        <w:rPr>
          <w:lang w:val="fr-CA"/>
        </w:rPr>
        <w:t> 33 à </w:t>
      </w:r>
      <w:r w:rsidRPr="00273A64">
        <w:rPr>
          <w:lang w:val="fr-CA"/>
        </w:rPr>
        <w:t>36</w:t>
      </w:r>
      <w:r>
        <w:rPr>
          <w:lang w:val="fr-CA"/>
        </w:rPr>
        <w:t xml:space="preserve"> du rapport du Comité de conformité sur sa troisième réunion </w:t>
      </w:r>
      <w:r w:rsidRPr="00273A64">
        <w:rPr>
          <w:lang w:val="fr-CA"/>
        </w:rPr>
        <w:t>(</w:t>
      </w:r>
      <w:hyperlink r:id="rId6" w:history="1">
        <w:r w:rsidRPr="00273A64">
          <w:rPr>
            <w:rStyle w:val="Hyperlink"/>
            <w:lang w:val="fr-CA"/>
          </w:rPr>
          <w:t>CBD/NP/CC/3/5</w:t>
        </w:r>
      </w:hyperlink>
      <w:r w:rsidRPr="00273A64">
        <w:rPr>
          <w:lang w:val="fr-CA"/>
        </w:rPr>
        <w:t>).</w:t>
      </w:r>
    </w:p>
  </w:footnote>
  <w:footnote w:id="14">
    <w:p w:rsidR="00D66B04" w:rsidRPr="00273A64" w:rsidRDefault="00D66B04"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Cela est reflété dans le projet de décision sur la conformité au Protocole (point 5 de l</w:t>
      </w:r>
      <w:r w:rsidR="00CD6257">
        <w:rPr>
          <w:lang w:val="fr-CA"/>
        </w:rPr>
        <w:t>’</w:t>
      </w:r>
      <w:r>
        <w:rPr>
          <w:lang w:val="fr-CA"/>
        </w:rPr>
        <w:t xml:space="preserve">ordre du jour) dans la compilation de projets de </w:t>
      </w:r>
      <w:r>
        <w:rPr>
          <w:noProof/>
          <w:lang w:val="fr-CA"/>
        </w:rPr>
        <w:t xml:space="preserve">décisions </w:t>
      </w:r>
      <w:r w:rsidRPr="00273A64">
        <w:rPr>
          <w:noProof/>
          <w:lang w:val="fr-CA"/>
        </w:rPr>
        <w:t>(CBD/NP</w:t>
      </w:r>
      <w:r w:rsidR="00CD6257">
        <w:rPr>
          <w:noProof/>
          <w:lang w:val="fr-CA"/>
        </w:rPr>
        <w:noBreakHyphen/>
      </w:r>
      <w:r w:rsidRPr="00273A64">
        <w:rPr>
          <w:noProof/>
          <w:lang w:val="fr-CA"/>
        </w:rPr>
        <w:t>MOP/4/1/Add.5).</w:t>
      </w:r>
    </w:p>
  </w:footnote>
  <w:footnote w:id="15">
    <w:p w:rsidR="00D66B04" w:rsidRPr="00273A64" w:rsidRDefault="00D66B04"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De plus amples informations sur la coopération avec d</w:t>
      </w:r>
      <w:r w:rsidR="00CD6257">
        <w:rPr>
          <w:lang w:val="fr-CA"/>
        </w:rPr>
        <w:t>’</w:t>
      </w:r>
      <w:r>
        <w:rPr>
          <w:lang w:val="fr-CA"/>
        </w:rPr>
        <w:t xml:space="preserve">autres conventions, organisations et initiatives internationale figurent dans le document </w:t>
      </w:r>
      <w:r w:rsidRPr="00273A64">
        <w:rPr>
          <w:lang w:val="fr-CA"/>
        </w:rPr>
        <w:t>CBD/NP/MOP/4/8.</w:t>
      </w:r>
    </w:p>
  </w:footnote>
  <w:footnote w:id="16">
    <w:p w:rsidR="00206E11" w:rsidRPr="00273A64" w:rsidRDefault="00206E11"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Voir</w:t>
      </w:r>
      <w:r w:rsidRPr="00273A64">
        <w:rPr>
          <w:lang w:val="fr-CA"/>
        </w:rPr>
        <w:t xml:space="preserve"> </w:t>
      </w:r>
      <w:hyperlink r:id="rId7" w:history="1">
        <w:r>
          <w:rPr>
            <w:rStyle w:val="Hyperlink"/>
            <w:lang w:val="fr-CA"/>
          </w:rPr>
          <w:t>CBD/WG8J/REC/11/2</w:t>
        </w:r>
      </w:hyperlink>
      <w:r>
        <w:rPr>
          <w:lang w:val="fr-CA"/>
        </w:rPr>
        <w:t>.</w:t>
      </w:r>
    </w:p>
  </w:footnote>
  <w:footnote w:id="17">
    <w:p w:rsidR="008E73FE" w:rsidRPr="00273A64" w:rsidRDefault="008E73FE"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Voir</w:t>
      </w:r>
      <w:r w:rsidRPr="00273A64">
        <w:rPr>
          <w:lang w:val="fr-CA"/>
        </w:rPr>
        <w:t xml:space="preserve"> </w:t>
      </w:r>
      <w:hyperlink r:id="rId8" w:history="1">
        <w:r>
          <w:rPr>
            <w:rStyle w:val="Hyperlink"/>
            <w:lang w:val="fr-CA"/>
          </w:rPr>
          <w:t>CBD/SBSTTA/REC/24/7</w:t>
        </w:r>
      </w:hyperlink>
      <w:r>
        <w:rPr>
          <w:lang w:val="fr-CA"/>
        </w:rPr>
        <w:t>.</w:t>
      </w:r>
    </w:p>
  </w:footnote>
  <w:footnote w:id="18">
    <w:p w:rsidR="008E73FE" w:rsidRPr="00273A64" w:rsidRDefault="008E73FE" w:rsidP="007835A8">
      <w:pPr>
        <w:pStyle w:val="FootnoteText"/>
        <w:ind w:firstLine="0"/>
        <w:jc w:val="both"/>
        <w:rPr>
          <w:highlight w:val="cyan"/>
          <w:lang w:val="fr-CA"/>
        </w:rPr>
      </w:pPr>
      <w:r w:rsidRPr="00273A64">
        <w:rPr>
          <w:rStyle w:val="FootnoteReference"/>
          <w:lang w:val="fr-CA"/>
        </w:rPr>
        <w:footnoteRef/>
      </w:r>
      <w:r w:rsidRPr="00273A64">
        <w:rPr>
          <w:lang w:val="fr-CA"/>
        </w:rPr>
        <w:t xml:space="preserve"> </w:t>
      </w:r>
      <w:r>
        <w:rPr>
          <w:lang w:val="fr-CA"/>
        </w:rPr>
        <w:t>Voir</w:t>
      </w:r>
      <w:r w:rsidRPr="00273A64">
        <w:rPr>
          <w:lang w:val="fr-CA"/>
        </w:rPr>
        <w:t xml:space="preserve"> </w:t>
      </w:r>
      <w:hyperlink r:id="rId9" w:history="1">
        <w:r>
          <w:rPr>
            <w:rStyle w:val="Hyperlink"/>
            <w:lang w:val="fr-CA"/>
          </w:rPr>
          <w:t>CBD/SBI/REC/3/11</w:t>
        </w:r>
      </w:hyperlink>
      <w:r>
        <w:rPr>
          <w:lang w:val="fr-CA"/>
        </w:rPr>
        <w:t>.</w:t>
      </w:r>
    </w:p>
  </w:footnote>
  <w:footnote w:id="19">
    <w:p w:rsidR="0038260D" w:rsidRPr="00273A64" w:rsidRDefault="0038260D"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Voir</w:t>
      </w:r>
      <w:r w:rsidRPr="00273A64">
        <w:rPr>
          <w:lang w:val="fr-CA"/>
        </w:rPr>
        <w:t xml:space="preserve"> </w:t>
      </w:r>
      <w:hyperlink r:id="rId10" w:history="1">
        <w:r>
          <w:rPr>
            <w:rStyle w:val="Hyperlink"/>
            <w:lang w:val="fr-CA"/>
          </w:rPr>
          <w:t>CBD/SBSTTA/REC/24/2</w:t>
        </w:r>
      </w:hyperlink>
      <w:r>
        <w:rPr>
          <w:lang w:val="fr-CA"/>
        </w:rPr>
        <w:t>.</w:t>
      </w:r>
    </w:p>
  </w:footnote>
  <w:footnote w:id="20">
    <w:p w:rsidR="0038260D" w:rsidRPr="00273A64" w:rsidRDefault="0038260D"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Voir</w:t>
      </w:r>
      <w:r w:rsidRPr="00273A64">
        <w:rPr>
          <w:lang w:val="fr-CA"/>
        </w:rPr>
        <w:t xml:space="preserve"> </w:t>
      </w:r>
      <w:hyperlink r:id="rId11" w:history="1">
        <w:r>
          <w:rPr>
            <w:rStyle w:val="Hyperlink"/>
            <w:lang w:val="fr-CA"/>
          </w:rPr>
          <w:t>CBD/SBI/REC/3/6</w:t>
        </w:r>
      </w:hyperlink>
      <w:r>
        <w:rPr>
          <w:lang w:val="fr-CA"/>
        </w:rPr>
        <w:t>.</w:t>
      </w:r>
    </w:p>
  </w:footnote>
  <w:footnote w:id="21">
    <w:p w:rsidR="0038260D" w:rsidRPr="00273A64" w:rsidRDefault="0038260D"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Voir</w:t>
      </w:r>
      <w:r w:rsidRPr="00273A64">
        <w:rPr>
          <w:lang w:val="fr-CA"/>
        </w:rPr>
        <w:t xml:space="preserve"> </w:t>
      </w:r>
      <w:hyperlink r:id="rId12" w:history="1">
        <w:r>
          <w:rPr>
            <w:rStyle w:val="Hyperlink"/>
            <w:lang w:val="fr-CA"/>
          </w:rPr>
          <w:t>CBD/SBI/REC/3/8</w:t>
        </w:r>
      </w:hyperlink>
      <w:r>
        <w:rPr>
          <w:lang w:val="fr-CA"/>
        </w:rPr>
        <w:t>.</w:t>
      </w:r>
    </w:p>
  </w:footnote>
  <w:footnote w:id="22">
    <w:p w:rsidR="0038260D" w:rsidRPr="00273A64" w:rsidRDefault="0038260D"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Voir</w:t>
      </w:r>
      <w:r w:rsidRPr="00273A64">
        <w:rPr>
          <w:lang w:val="fr-CA"/>
        </w:rPr>
        <w:t xml:space="preserve"> </w:t>
      </w:r>
      <w:hyperlink r:id="rId13" w:history="1">
        <w:r>
          <w:rPr>
            <w:rStyle w:val="Hyperlink"/>
            <w:lang w:val="fr-CA"/>
          </w:rPr>
          <w:t>CBD/SBI/REC/3/8</w:t>
        </w:r>
      </w:hyperlink>
      <w:r w:rsidRPr="00273A64">
        <w:rPr>
          <w:lang w:val="fr-CA"/>
        </w:rPr>
        <w:t>.</w:t>
      </w:r>
    </w:p>
  </w:footnote>
  <w:footnote w:id="23">
    <w:p w:rsidR="00BD0AB9" w:rsidRPr="00273A64" w:rsidRDefault="00BD0AB9"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Voir</w:t>
      </w:r>
      <w:r w:rsidRPr="00273A64">
        <w:rPr>
          <w:lang w:val="fr-CA"/>
        </w:rPr>
        <w:t xml:space="preserve"> </w:t>
      </w:r>
      <w:hyperlink r:id="rId14" w:history="1">
        <w:r>
          <w:rPr>
            <w:rStyle w:val="Hyperlink"/>
            <w:lang w:val="fr-CA"/>
          </w:rPr>
          <w:t>CBD/SBI/REC/3/10</w:t>
        </w:r>
      </w:hyperlink>
      <w:r>
        <w:rPr>
          <w:lang w:val="fr-CA"/>
        </w:rPr>
        <w:t>.</w:t>
      </w:r>
    </w:p>
  </w:footnote>
  <w:footnote w:id="24">
    <w:p w:rsidR="00BD0AB9" w:rsidRPr="00273A64" w:rsidRDefault="00BD0AB9"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Voir</w:t>
      </w:r>
      <w:r w:rsidRPr="00273A64">
        <w:rPr>
          <w:lang w:val="fr-CA"/>
        </w:rPr>
        <w:t xml:space="preserve"> </w:t>
      </w:r>
      <w:hyperlink r:id="rId15" w:history="1">
        <w:r>
          <w:rPr>
            <w:rStyle w:val="Hyperlink"/>
            <w:lang w:val="fr-CA"/>
          </w:rPr>
          <w:t>CBD/SBI/REC/3/3</w:t>
        </w:r>
      </w:hyperlink>
      <w:r>
        <w:rPr>
          <w:lang w:val="fr-CA"/>
        </w:rPr>
        <w:t>.</w:t>
      </w:r>
    </w:p>
  </w:footnote>
  <w:footnote w:id="25">
    <w:p w:rsidR="00BD0AB9" w:rsidRPr="00273A64" w:rsidRDefault="00BD0AB9"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Voir</w:t>
      </w:r>
      <w:r w:rsidRPr="00273A64">
        <w:rPr>
          <w:lang w:val="fr-CA"/>
        </w:rPr>
        <w:t xml:space="preserve"> </w:t>
      </w:r>
      <w:hyperlink r:id="rId16" w:history="1">
        <w:r>
          <w:rPr>
            <w:rStyle w:val="Hyperlink"/>
            <w:lang w:val="fr-CA"/>
          </w:rPr>
          <w:t>CBD/SBI/REC/3/5</w:t>
        </w:r>
      </w:hyperlink>
      <w:r>
        <w:rPr>
          <w:lang w:val="fr-CA"/>
        </w:rPr>
        <w:t>.</w:t>
      </w:r>
    </w:p>
  </w:footnote>
  <w:footnote w:id="26">
    <w:p w:rsidR="00BD0AB9" w:rsidRPr="00273A64" w:rsidRDefault="00BD0AB9" w:rsidP="007835A8">
      <w:pPr>
        <w:pStyle w:val="FootnoteText"/>
        <w:ind w:firstLine="0"/>
        <w:jc w:val="both"/>
        <w:rPr>
          <w:lang w:val="fr-CA"/>
        </w:rPr>
      </w:pPr>
      <w:r w:rsidRPr="00273A64">
        <w:rPr>
          <w:rStyle w:val="FootnoteReference"/>
          <w:lang w:val="fr-CA"/>
        </w:rPr>
        <w:footnoteRef/>
      </w:r>
      <w:r w:rsidRPr="00273A64">
        <w:rPr>
          <w:lang w:val="fr-CA"/>
        </w:rPr>
        <w:t xml:space="preserve"> </w:t>
      </w:r>
      <w:r>
        <w:rPr>
          <w:lang w:val="fr-CA"/>
        </w:rPr>
        <w:t>Voir</w:t>
      </w:r>
      <w:r w:rsidRPr="00273A64">
        <w:rPr>
          <w:lang w:val="fr-CA"/>
        </w:rPr>
        <w:t xml:space="preserve"> </w:t>
      </w:r>
      <w:hyperlink r:id="rId17" w:history="1">
        <w:r>
          <w:rPr>
            <w:rStyle w:val="Hyperlink"/>
            <w:lang w:val="fr-CA"/>
          </w:rPr>
          <w:t>CBD/SBI/REC/3/15</w:t>
        </w:r>
      </w:hyperlink>
      <w:r>
        <w:rPr>
          <w:lang w:val="fr-CA"/>
        </w:rPr>
        <w:t>.</w:t>
      </w:r>
    </w:p>
  </w:footnote>
  <w:footnote w:id="27">
    <w:p w:rsidR="00912FD7" w:rsidRPr="00C86EE2" w:rsidRDefault="00912FD7" w:rsidP="007835A8">
      <w:pPr>
        <w:pStyle w:val="FootnoteText"/>
        <w:ind w:firstLine="0"/>
        <w:jc w:val="both"/>
        <w:rPr>
          <w:lang w:val="fr-CA"/>
        </w:rPr>
      </w:pPr>
      <w:r w:rsidRPr="00C86EE2">
        <w:rPr>
          <w:rStyle w:val="FootnoteReference"/>
          <w:lang w:val="fr-CA"/>
        </w:rPr>
        <w:footnoteRef/>
      </w:r>
      <w:r w:rsidRPr="00C86EE2">
        <w:rPr>
          <w:lang w:val="fr-CA"/>
        </w:rPr>
        <w:t xml:space="preserve"> </w:t>
      </w:r>
      <w:r w:rsidR="007835A8">
        <w:rPr>
          <w:noProof/>
          <w:lang w:val="fr-CA"/>
        </w:rPr>
        <w:t>La liste des décisions pertinentes de la CdP sera déterminée par la RdP à la lumière des débats sur la question au titre de la CdP</w:t>
      </w:r>
      <w:r w:rsidR="007835A8">
        <w:rPr>
          <w:lang w:val="fr-CA"/>
        </w:rPr>
        <w:t>.</w:t>
      </w:r>
      <w:r w:rsidR="005D3B74">
        <w:rPr>
          <w:lang w:val="fr-CA"/>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942" w:rsidRPr="008E7D79" w:rsidRDefault="00BD3079" w:rsidP="003C752B">
    <w:pPr>
      <w:rPr>
        <w:sz w:val="22"/>
        <w:szCs w:val="22"/>
      </w:rPr>
    </w:pPr>
    <w:sdt>
      <w:sdtPr>
        <w:rPr>
          <w:sz w:val="22"/>
          <w:szCs w:val="22"/>
          <w:lang w:val="en-US"/>
        </w:rPr>
        <w:alias w:val="Subject"/>
        <w:tag w:val=""/>
        <w:id w:val="-1102879563"/>
        <w:placeholder>
          <w:docPart w:val="2F4F67A378BF47EAA1972CC6D94321F3"/>
        </w:placeholder>
        <w:dataBinding w:prefixMappings="xmlns:ns0='http://purl.org/dc/elements/1.1/' xmlns:ns1='http://schemas.openxmlformats.org/package/2006/metadata/core-properties' " w:xpath="/ns1:coreProperties[1]/ns0:subject[1]" w:storeItemID="{6C3C8BC8-F283-45AE-878A-BAB7291924A1}"/>
        <w:text/>
      </w:sdtPr>
      <w:sdtContent>
        <w:r w:rsidR="00AB4942" w:rsidRPr="008E7D79">
          <w:rPr>
            <w:sz w:val="22"/>
            <w:szCs w:val="22"/>
            <w:lang w:val="en-US"/>
          </w:rPr>
          <w:t>CBD/NP/MOP/4/9</w:t>
        </w:r>
      </w:sdtContent>
    </w:sdt>
  </w:p>
  <w:p w:rsidR="00534681" w:rsidRPr="003C752B" w:rsidRDefault="00534681" w:rsidP="00534681">
    <w:pPr>
      <w:pStyle w:val="Header"/>
      <w:rPr>
        <w:sz w:val="22"/>
        <w:szCs w:val="22"/>
        <w:lang w:val="fr-FR"/>
      </w:rPr>
    </w:pPr>
    <w:r w:rsidRPr="003C752B">
      <w:rPr>
        <w:sz w:val="22"/>
        <w:szCs w:val="22"/>
        <w:lang w:val="fr-FR"/>
      </w:rPr>
      <w:t xml:space="preserve">Page </w:t>
    </w:r>
    <w:r w:rsidR="00BD3079" w:rsidRPr="003C752B">
      <w:rPr>
        <w:sz w:val="22"/>
        <w:szCs w:val="22"/>
      </w:rPr>
      <w:fldChar w:fldCharType="begin"/>
    </w:r>
    <w:r w:rsidRPr="003C752B">
      <w:rPr>
        <w:sz w:val="22"/>
        <w:szCs w:val="22"/>
        <w:lang w:val="fr-FR"/>
      </w:rPr>
      <w:instrText xml:space="preserve"> PAGE   \* MERGEFORMAT </w:instrText>
    </w:r>
    <w:r w:rsidR="00BD3079" w:rsidRPr="003C752B">
      <w:rPr>
        <w:sz w:val="22"/>
        <w:szCs w:val="22"/>
      </w:rPr>
      <w:fldChar w:fldCharType="separate"/>
    </w:r>
    <w:r w:rsidR="00C00842">
      <w:rPr>
        <w:noProof/>
        <w:sz w:val="22"/>
        <w:szCs w:val="22"/>
        <w:lang w:val="fr-FR"/>
      </w:rPr>
      <w:t>10</w:t>
    </w:r>
    <w:r w:rsidR="00BD3079" w:rsidRPr="003C752B">
      <w:rPr>
        <w:noProof/>
        <w:sz w:val="22"/>
        <w:szCs w:val="22"/>
      </w:rPr>
      <w:fldChar w:fldCharType="end"/>
    </w:r>
  </w:p>
  <w:p w:rsidR="00534681" w:rsidRPr="003C752B" w:rsidRDefault="00534681">
    <w:pPr>
      <w:pStyle w:val="Header"/>
      <w:rPr>
        <w:sz w:val="22"/>
        <w:szCs w:val="22"/>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2"/>
        <w:szCs w:val="22"/>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3C752B" w:rsidRDefault="002640BA" w:rsidP="00103698">
        <w:pPr>
          <w:pStyle w:val="Header"/>
          <w:jc w:val="right"/>
          <w:rPr>
            <w:sz w:val="22"/>
            <w:szCs w:val="22"/>
            <w:lang w:val="fr-FR"/>
          </w:rPr>
        </w:pPr>
        <w:r w:rsidRPr="003C752B">
          <w:rPr>
            <w:sz w:val="22"/>
            <w:szCs w:val="22"/>
            <w:lang w:val="fr-FR"/>
          </w:rPr>
          <w:t>CBD/NP/MOP/4/</w:t>
        </w:r>
        <w:r w:rsidR="009943B4" w:rsidRPr="003C752B">
          <w:rPr>
            <w:sz w:val="22"/>
            <w:szCs w:val="22"/>
            <w:lang w:val="fr-FR"/>
          </w:rPr>
          <w:t>9</w:t>
        </w:r>
      </w:p>
    </w:sdtContent>
  </w:sdt>
  <w:p w:rsidR="009505C9" w:rsidRPr="003C752B" w:rsidRDefault="009505C9" w:rsidP="00103698">
    <w:pPr>
      <w:pStyle w:val="Header"/>
      <w:jc w:val="right"/>
      <w:rPr>
        <w:sz w:val="22"/>
        <w:szCs w:val="22"/>
        <w:lang w:val="fr-FR"/>
      </w:rPr>
    </w:pPr>
    <w:r w:rsidRPr="003C752B">
      <w:rPr>
        <w:sz w:val="22"/>
        <w:szCs w:val="22"/>
        <w:lang w:val="fr-FR"/>
      </w:rPr>
      <w:t xml:space="preserve">Page </w:t>
    </w:r>
    <w:r w:rsidR="00BD3079" w:rsidRPr="003C752B">
      <w:rPr>
        <w:sz w:val="22"/>
        <w:szCs w:val="22"/>
      </w:rPr>
      <w:fldChar w:fldCharType="begin"/>
    </w:r>
    <w:r w:rsidRPr="003C752B">
      <w:rPr>
        <w:sz w:val="22"/>
        <w:szCs w:val="22"/>
        <w:lang w:val="fr-FR"/>
      </w:rPr>
      <w:instrText xml:space="preserve"> PAGE   \* MERGEFORMAT </w:instrText>
    </w:r>
    <w:r w:rsidR="00BD3079" w:rsidRPr="003C752B">
      <w:rPr>
        <w:sz w:val="22"/>
        <w:szCs w:val="22"/>
      </w:rPr>
      <w:fldChar w:fldCharType="separate"/>
    </w:r>
    <w:r w:rsidR="00C00842">
      <w:rPr>
        <w:noProof/>
        <w:sz w:val="22"/>
        <w:szCs w:val="22"/>
        <w:lang w:val="fr-FR"/>
      </w:rPr>
      <w:t>9</w:t>
    </w:r>
    <w:r w:rsidR="00BD3079" w:rsidRPr="003C752B">
      <w:rPr>
        <w:noProof/>
        <w:sz w:val="22"/>
        <w:szCs w:val="22"/>
      </w:rPr>
      <w:fldChar w:fldCharType="end"/>
    </w:r>
  </w:p>
  <w:p w:rsidR="009505C9" w:rsidRPr="003C752B" w:rsidRDefault="009505C9" w:rsidP="003C752B">
    <w:pPr>
      <w:pStyle w:val="Header"/>
      <w:jc w:val="right"/>
      <w:rPr>
        <w:sz w:val="22"/>
        <w:szCs w:val="22"/>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A344D"/>
    <w:multiLevelType w:val="hybridMultilevel"/>
    <w:tmpl w:val="3B78D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C3172A"/>
    <w:multiLevelType w:val="hybridMultilevel"/>
    <w:tmpl w:val="B3983D22"/>
    <w:lvl w:ilvl="0" w:tplc="589A9D78">
      <w:start w:val="1"/>
      <w:numFmt w:val="decimal"/>
      <w:lvlText w:val="%1."/>
      <w:lvlJc w:val="left"/>
      <w:pPr>
        <w:ind w:left="720" w:hanging="360"/>
      </w:pPr>
      <w:rPr>
        <w:i w:val="0"/>
        <w:iCs w:val="0"/>
      </w:rPr>
    </w:lvl>
    <w:lvl w:ilvl="1" w:tplc="E3E464E0">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nsid w:val="0AB14AD2"/>
    <w:multiLevelType w:val="hybridMultilevel"/>
    <w:tmpl w:val="1BFC04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1B57146E"/>
    <w:multiLevelType w:val="hybridMultilevel"/>
    <w:tmpl w:val="01067F08"/>
    <w:lvl w:ilvl="0" w:tplc="90B87AA0">
      <w:start w:val="1"/>
      <w:numFmt w:val="lowerLetter"/>
      <w:lvlText w:val="(%1)"/>
      <w:lvlJc w:val="left"/>
      <w:pPr>
        <w:ind w:left="2223" w:hanging="360"/>
      </w:pPr>
      <w:rPr>
        <w:rFonts w:hint="default"/>
      </w:rPr>
    </w:lvl>
    <w:lvl w:ilvl="1" w:tplc="04090019" w:tentative="1">
      <w:start w:val="1"/>
      <w:numFmt w:val="lowerLetter"/>
      <w:lvlText w:val="%2."/>
      <w:lvlJc w:val="left"/>
      <w:pPr>
        <w:ind w:left="2943" w:hanging="360"/>
      </w:pPr>
    </w:lvl>
    <w:lvl w:ilvl="2" w:tplc="0409001B" w:tentative="1">
      <w:start w:val="1"/>
      <w:numFmt w:val="lowerRoman"/>
      <w:lvlText w:val="%3."/>
      <w:lvlJc w:val="right"/>
      <w:pPr>
        <w:ind w:left="3663" w:hanging="180"/>
      </w:pPr>
    </w:lvl>
    <w:lvl w:ilvl="3" w:tplc="0409000F" w:tentative="1">
      <w:start w:val="1"/>
      <w:numFmt w:val="decimal"/>
      <w:lvlText w:val="%4."/>
      <w:lvlJc w:val="left"/>
      <w:pPr>
        <w:ind w:left="4383" w:hanging="360"/>
      </w:pPr>
    </w:lvl>
    <w:lvl w:ilvl="4" w:tplc="04090019" w:tentative="1">
      <w:start w:val="1"/>
      <w:numFmt w:val="lowerLetter"/>
      <w:lvlText w:val="%5."/>
      <w:lvlJc w:val="left"/>
      <w:pPr>
        <w:ind w:left="5103" w:hanging="360"/>
      </w:pPr>
    </w:lvl>
    <w:lvl w:ilvl="5" w:tplc="0409001B" w:tentative="1">
      <w:start w:val="1"/>
      <w:numFmt w:val="lowerRoman"/>
      <w:lvlText w:val="%6."/>
      <w:lvlJc w:val="right"/>
      <w:pPr>
        <w:ind w:left="5823" w:hanging="180"/>
      </w:pPr>
    </w:lvl>
    <w:lvl w:ilvl="6" w:tplc="0409000F" w:tentative="1">
      <w:start w:val="1"/>
      <w:numFmt w:val="decimal"/>
      <w:lvlText w:val="%7."/>
      <w:lvlJc w:val="left"/>
      <w:pPr>
        <w:ind w:left="6543" w:hanging="360"/>
      </w:pPr>
    </w:lvl>
    <w:lvl w:ilvl="7" w:tplc="04090019" w:tentative="1">
      <w:start w:val="1"/>
      <w:numFmt w:val="lowerLetter"/>
      <w:lvlText w:val="%8."/>
      <w:lvlJc w:val="left"/>
      <w:pPr>
        <w:ind w:left="7263" w:hanging="360"/>
      </w:pPr>
    </w:lvl>
    <w:lvl w:ilvl="8" w:tplc="0409001B" w:tentative="1">
      <w:start w:val="1"/>
      <w:numFmt w:val="lowerRoman"/>
      <w:lvlText w:val="%9."/>
      <w:lvlJc w:val="right"/>
      <w:pPr>
        <w:ind w:left="7983" w:hanging="180"/>
      </w:pPr>
    </w:lvl>
  </w:abstractNum>
  <w:abstractNum w:abstractNumId="7">
    <w:nsid w:val="2C5F0634"/>
    <w:multiLevelType w:val="hybridMultilevel"/>
    <w:tmpl w:val="40488434"/>
    <w:lvl w:ilvl="0" w:tplc="E3E464E0">
      <w:start w:val="1"/>
      <w:numFmt w:val="lowerLetter"/>
      <w:lvlText w:val="(%1)"/>
      <w:lvlJc w:val="left"/>
      <w:pPr>
        <w:ind w:left="144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0336B8"/>
    <w:multiLevelType w:val="multilevel"/>
    <w:tmpl w:val="762CE66E"/>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nsid w:val="30C954F3"/>
    <w:multiLevelType w:val="hybridMultilevel"/>
    <w:tmpl w:val="87F44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56472A"/>
    <w:multiLevelType w:val="hybridMultilevel"/>
    <w:tmpl w:val="CB3079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B20EF1"/>
    <w:multiLevelType w:val="hybridMultilevel"/>
    <w:tmpl w:val="AAF878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45A6385F"/>
    <w:multiLevelType w:val="hybridMultilevel"/>
    <w:tmpl w:val="9AB8F504"/>
    <w:lvl w:ilvl="0" w:tplc="90B87AA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B414D2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513823E7"/>
    <w:multiLevelType w:val="hybridMultilevel"/>
    <w:tmpl w:val="774E9074"/>
    <w:lvl w:ilvl="0" w:tplc="589A9D78">
      <w:start w:val="1"/>
      <w:numFmt w:val="decimal"/>
      <w:lvlText w:val="%1."/>
      <w:lvlJc w:val="left"/>
      <w:pPr>
        <w:ind w:left="720" w:hanging="360"/>
      </w:pPr>
      <w:rPr>
        <w:i w:val="0"/>
        <w:iCs w:val="0"/>
      </w:rPr>
    </w:lvl>
    <w:lvl w:ilvl="1" w:tplc="0CC0A7C6">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nsid w:val="513942EB"/>
    <w:multiLevelType w:val="hybridMultilevel"/>
    <w:tmpl w:val="CF3CA59A"/>
    <w:lvl w:ilvl="0" w:tplc="0409000F">
      <w:start w:val="1"/>
      <w:numFmt w:val="decimal"/>
      <w:lvlText w:val="%1."/>
      <w:lvlJc w:val="left"/>
      <w:pPr>
        <w:ind w:left="990" w:hanging="360"/>
      </w:pPr>
    </w:lvl>
    <w:lvl w:ilvl="1" w:tplc="0C0C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F55B1B"/>
    <w:multiLevelType w:val="hybridMultilevel"/>
    <w:tmpl w:val="EE72120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D02A10"/>
    <w:multiLevelType w:val="hybridMultilevel"/>
    <w:tmpl w:val="C47204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45540BE"/>
    <w:multiLevelType w:val="hybridMultilevel"/>
    <w:tmpl w:val="03FE8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C522D01"/>
    <w:multiLevelType w:val="hybridMultilevel"/>
    <w:tmpl w:val="DCA2B538"/>
    <w:lvl w:ilvl="0" w:tplc="A53EBC14">
      <w:start w:val="1"/>
      <w:numFmt w:val="decimal"/>
      <w:lvlText w:val="%1."/>
      <w:lvlJc w:val="left"/>
      <w:pPr>
        <w:ind w:left="1440" w:hanging="72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6"/>
  </w:num>
  <w:num w:numId="3">
    <w:abstractNumId w:val="12"/>
  </w:num>
  <w:num w:numId="4">
    <w:abstractNumId w:val="16"/>
  </w:num>
  <w:num w:numId="5">
    <w:abstractNumId w:val="14"/>
  </w:num>
  <w:num w:numId="6">
    <w:abstractNumId w:val="3"/>
  </w:num>
  <w:num w:numId="7">
    <w:abstractNumId w:val="5"/>
  </w:num>
  <w:num w:numId="8">
    <w:abstractNumId w:val="12"/>
    <w:lvlOverride w:ilvl="0">
      <w:startOverride w:val="1"/>
    </w:lvlOverride>
  </w:num>
  <w:num w:numId="9">
    <w:abstractNumId w:val="24"/>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21"/>
  </w:num>
  <w:num w:numId="15">
    <w:abstractNumId w:val="20"/>
  </w:num>
  <w:num w:numId="16">
    <w:abstractNumId w:val="4"/>
  </w:num>
  <w:num w:numId="17">
    <w:abstractNumId w:val="25"/>
  </w:num>
  <w:num w:numId="18">
    <w:abstractNumId w:val="27"/>
  </w:num>
  <w:num w:numId="19">
    <w:abstractNumId w:val="10"/>
  </w:num>
  <w:num w:numId="20">
    <w:abstractNumId w:val="22"/>
  </w:num>
  <w:num w:numId="21">
    <w:abstractNumId w:val="9"/>
  </w:num>
  <w:num w:numId="22">
    <w:abstractNumId w:val="18"/>
  </w:num>
  <w:num w:numId="23">
    <w:abstractNumId w:val="23"/>
  </w:num>
  <w:num w:numId="24">
    <w:abstractNumId w:val="2"/>
  </w:num>
  <w:num w:numId="25">
    <w:abstractNumId w:val="11"/>
  </w:num>
  <w:num w:numId="26">
    <w:abstractNumId w:val="26"/>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
  </w:num>
  <w:num w:numId="31">
    <w:abstractNumId w:val="7"/>
  </w:num>
  <w:num w:numId="32">
    <w:abstractNumId w:val="28"/>
  </w:num>
  <w:num w:numId="33">
    <w:abstractNumId w:val="19"/>
  </w:num>
  <w:num w:numId="34">
    <w:abstractNumId w:val="6"/>
  </w:num>
  <w:num w:numId="35">
    <w:abstractNumId w:val="15"/>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20"/>
  <w:hyphenationZone w:val="425"/>
  <w:evenAndOddHeaders/>
  <w:characterSpacingControl w:val="doNotCompress"/>
  <w:hdrShapeDefaults>
    <o:shapedefaults v:ext="edit" spidmax="8194"/>
  </w:hdrShapeDefaults>
  <w:footnotePr>
    <w:footnote w:id="-1"/>
    <w:footnote w:id="0"/>
    <w:footnote w:id="1"/>
  </w:footnotePr>
  <w:endnotePr>
    <w:endnote w:id="-1"/>
    <w:endnote w:id="0"/>
    <w:endnote w:id="1"/>
  </w:endnotePr>
  <w:compat>
    <w:useFELayout/>
  </w:compat>
  <w:rsids>
    <w:rsidRoot w:val="00C9161D"/>
    <w:rsid w:val="000008A9"/>
    <w:rsid w:val="00002C16"/>
    <w:rsid w:val="00003C09"/>
    <w:rsid w:val="00004185"/>
    <w:rsid w:val="00004CBA"/>
    <w:rsid w:val="00005C31"/>
    <w:rsid w:val="00006098"/>
    <w:rsid w:val="00007BF0"/>
    <w:rsid w:val="00010BF8"/>
    <w:rsid w:val="0001161F"/>
    <w:rsid w:val="00011F99"/>
    <w:rsid w:val="00014022"/>
    <w:rsid w:val="000143DE"/>
    <w:rsid w:val="00014DBB"/>
    <w:rsid w:val="000151DF"/>
    <w:rsid w:val="00015B52"/>
    <w:rsid w:val="00016B99"/>
    <w:rsid w:val="00016BE3"/>
    <w:rsid w:val="000174C8"/>
    <w:rsid w:val="000178CD"/>
    <w:rsid w:val="00020BC0"/>
    <w:rsid w:val="00021C40"/>
    <w:rsid w:val="00022932"/>
    <w:rsid w:val="0002325A"/>
    <w:rsid w:val="00024254"/>
    <w:rsid w:val="00024348"/>
    <w:rsid w:val="00024CFC"/>
    <w:rsid w:val="0002561F"/>
    <w:rsid w:val="00026326"/>
    <w:rsid w:val="0002644D"/>
    <w:rsid w:val="000279E0"/>
    <w:rsid w:val="00030F07"/>
    <w:rsid w:val="00031DC0"/>
    <w:rsid w:val="00031EDB"/>
    <w:rsid w:val="000331D3"/>
    <w:rsid w:val="000334A5"/>
    <w:rsid w:val="000336BE"/>
    <w:rsid w:val="00034302"/>
    <w:rsid w:val="0003576D"/>
    <w:rsid w:val="00035C0E"/>
    <w:rsid w:val="00037B33"/>
    <w:rsid w:val="00037D43"/>
    <w:rsid w:val="00042DF1"/>
    <w:rsid w:val="00043FEB"/>
    <w:rsid w:val="000444EF"/>
    <w:rsid w:val="0004467E"/>
    <w:rsid w:val="00044F76"/>
    <w:rsid w:val="000478C1"/>
    <w:rsid w:val="00047D07"/>
    <w:rsid w:val="00053489"/>
    <w:rsid w:val="00055B02"/>
    <w:rsid w:val="000567F3"/>
    <w:rsid w:val="000570EE"/>
    <w:rsid w:val="00057CB8"/>
    <w:rsid w:val="000608E5"/>
    <w:rsid w:val="00060907"/>
    <w:rsid w:val="00061257"/>
    <w:rsid w:val="000628C1"/>
    <w:rsid w:val="00063866"/>
    <w:rsid w:val="000653D8"/>
    <w:rsid w:val="000701C7"/>
    <w:rsid w:val="000707A1"/>
    <w:rsid w:val="0007171B"/>
    <w:rsid w:val="000722A5"/>
    <w:rsid w:val="00072B37"/>
    <w:rsid w:val="00072CCC"/>
    <w:rsid w:val="000737BA"/>
    <w:rsid w:val="000740F7"/>
    <w:rsid w:val="0007495C"/>
    <w:rsid w:val="000752B4"/>
    <w:rsid w:val="00075703"/>
    <w:rsid w:val="000764C6"/>
    <w:rsid w:val="00076A84"/>
    <w:rsid w:val="00076E98"/>
    <w:rsid w:val="00080974"/>
    <w:rsid w:val="0008105D"/>
    <w:rsid w:val="0008128F"/>
    <w:rsid w:val="000813D8"/>
    <w:rsid w:val="00082E13"/>
    <w:rsid w:val="00091134"/>
    <w:rsid w:val="000922FB"/>
    <w:rsid w:val="000923BC"/>
    <w:rsid w:val="00093716"/>
    <w:rsid w:val="000956CC"/>
    <w:rsid w:val="000962B6"/>
    <w:rsid w:val="000A1D21"/>
    <w:rsid w:val="000A1EFD"/>
    <w:rsid w:val="000A44C6"/>
    <w:rsid w:val="000A618C"/>
    <w:rsid w:val="000B174C"/>
    <w:rsid w:val="000B1AE9"/>
    <w:rsid w:val="000B2D82"/>
    <w:rsid w:val="000B4303"/>
    <w:rsid w:val="000B4DD9"/>
    <w:rsid w:val="000B75A7"/>
    <w:rsid w:val="000C0644"/>
    <w:rsid w:val="000C0EB0"/>
    <w:rsid w:val="000C241D"/>
    <w:rsid w:val="000C4D75"/>
    <w:rsid w:val="000C5B6F"/>
    <w:rsid w:val="000D281E"/>
    <w:rsid w:val="000D3364"/>
    <w:rsid w:val="000D357B"/>
    <w:rsid w:val="000D4961"/>
    <w:rsid w:val="000D4C04"/>
    <w:rsid w:val="000D5E14"/>
    <w:rsid w:val="000D647A"/>
    <w:rsid w:val="000D6495"/>
    <w:rsid w:val="000D6E57"/>
    <w:rsid w:val="000E0C19"/>
    <w:rsid w:val="000E15BD"/>
    <w:rsid w:val="000E3DEB"/>
    <w:rsid w:val="000E56CA"/>
    <w:rsid w:val="000E673A"/>
    <w:rsid w:val="000F02BD"/>
    <w:rsid w:val="000F0704"/>
    <w:rsid w:val="000F1176"/>
    <w:rsid w:val="000F5290"/>
    <w:rsid w:val="000F6465"/>
    <w:rsid w:val="000F74F5"/>
    <w:rsid w:val="00102FE6"/>
    <w:rsid w:val="001030D7"/>
    <w:rsid w:val="00103698"/>
    <w:rsid w:val="00103C80"/>
    <w:rsid w:val="00104FA4"/>
    <w:rsid w:val="00105372"/>
    <w:rsid w:val="001057CB"/>
    <w:rsid w:val="00105C8E"/>
    <w:rsid w:val="00110642"/>
    <w:rsid w:val="0011315E"/>
    <w:rsid w:val="00113409"/>
    <w:rsid w:val="001147E6"/>
    <w:rsid w:val="00117F25"/>
    <w:rsid w:val="00120928"/>
    <w:rsid w:val="001229BA"/>
    <w:rsid w:val="00123B5F"/>
    <w:rsid w:val="00125029"/>
    <w:rsid w:val="0012519B"/>
    <w:rsid w:val="001263D8"/>
    <w:rsid w:val="0012661B"/>
    <w:rsid w:val="001307B2"/>
    <w:rsid w:val="00130912"/>
    <w:rsid w:val="00130EBA"/>
    <w:rsid w:val="001312AD"/>
    <w:rsid w:val="00131825"/>
    <w:rsid w:val="00131E7A"/>
    <w:rsid w:val="00131E7E"/>
    <w:rsid w:val="00133599"/>
    <w:rsid w:val="00134846"/>
    <w:rsid w:val="00134E04"/>
    <w:rsid w:val="001361AD"/>
    <w:rsid w:val="00140CF8"/>
    <w:rsid w:val="00141554"/>
    <w:rsid w:val="0014189E"/>
    <w:rsid w:val="00141E20"/>
    <w:rsid w:val="001420B7"/>
    <w:rsid w:val="00142133"/>
    <w:rsid w:val="001422FC"/>
    <w:rsid w:val="00142F57"/>
    <w:rsid w:val="001439B5"/>
    <w:rsid w:val="00143C51"/>
    <w:rsid w:val="001441ED"/>
    <w:rsid w:val="001442EF"/>
    <w:rsid w:val="0014472F"/>
    <w:rsid w:val="0014598D"/>
    <w:rsid w:val="001515D7"/>
    <w:rsid w:val="0015165A"/>
    <w:rsid w:val="001518E3"/>
    <w:rsid w:val="00152E8C"/>
    <w:rsid w:val="00153054"/>
    <w:rsid w:val="00154349"/>
    <w:rsid w:val="00154B64"/>
    <w:rsid w:val="0015638A"/>
    <w:rsid w:val="001573FF"/>
    <w:rsid w:val="00157745"/>
    <w:rsid w:val="00157940"/>
    <w:rsid w:val="00157A3C"/>
    <w:rsid w:val="00161183"/>
    <w:rsid w:val="00161DC4"/>
    <w:rsid w:val="00161E7A"/>
    <w:rsid w:val="00163684"/>
    <w:rsid w:val="00165175"/>
    <w:rsid w:val="00165343"/>
    <w:rsid w:val="0016561D"/>
    <w:rsid w:val="001659D3"/>
    <w:rsid w:val="00166A40"/>
    <w:rsid w:val="00167003"/>
    <w:rsid w:val="00170737"/>
    <w:rsid w:val="00171856"/>
    <w:rsid w:val="00172AF6"/>
    <w:rsid w:val="00173B96"/>
    <w:rsid w:val="00174AF8"/>
    <w:rsid w:val="00175EF3"/>
    <w:rsid w:val="00176CEE"/>
    <w:rsid w:val="001777E5"/>
    <w:rsid w:val="00180F1F"/>
    <w:rsid w:val="00181CCD"/>
    <w:rsid w:val="0018282D"/>
    <w:rsid w:val="00183C17"/>
    <w:rsid w:val="00186DD8"/>
    <w:rsid w:val="00187C7C"/>
    <w:rsid w:val="00191A5D"/>
    <w:rsid w:val="00192914"/>
    <w:rsid w:val="0019315A"/>
    <w:rsid w:val="0019379B"/>
    <w:rsid w:val="001955FE"/>
    <w:rsid w:val="00195623"/>
    <w:rsid w:val="00196FDC"/>
    <w:rsid w:val="001A0866"/>
    <w:rsid w:val="001A21CA"/>
    <w:rsid w:val="001A3065"/>
    <w:rsid w:val="001A355A"/>
    <w:rsid w:val="001A58E3"/>
    <w:rsid w:val="001A5AC5"/>
    <w:rsid w:val="001A6945"/>
    <w:rsid w:val="001B0276"/>
    <w:rsid w:val="001B0330"/>
    <w:rsid w:val="001B06E4"/>
    <w:rsid w:val="001B13FE"/>
    <w:rsid w:val="001B19D9"/>
    <w:rsid w:val="001B3878"/>
    <w:rsid w:val="001B4FFE"/>
    <w:rsid w:val="001B519E"/>
    <w:rsid w:val="001B5AF6"/>
    <w:rsid w:val="001B6D2C"/>
    <w:rsid w:val="001B754A"/>
    <w:rsid w:val="001B766F"/>
    <w:rsid w:val="001C01E9"/>
    <w:rsid w:val="001C038B"/>
    <w:rsid w:val="001C0EC0"/>
    <w:rsid w:val="001C1739"/>
    <w:rsid w:val="001C231F"/>
    <w:rsid w:val="001C287D"/>
    <w:rsid w:val="001C2BFC"/>
    <w:rsid w:val="001C2D3B"/>
    <w:rsid w:val="001C3752"/>
    <w:rsid w:val="001C4F79"/>
    <w:rsid w:val="001C574D"/>
    <w:rsid w:val="001C5CE9"/>
    <w:rsid w:val="001C6A10"/>
    <w:rsid w:val="001C6A11"/>
    <w:rsid w:val="001C6EBA"/>
    <w:rsid w:val="001C71A4"/>
    <w:rsid w:val="001D1058"/>
    <w:rsid w:val="001D1B28"/>
    <w:rsid w:val="001D6A3A"/>
    <w:rsid w:val="001E2D5F"/>
    <w:rsid w:val="001E2E77"/>
    <w:rsid w:val="001E2EBE"/>
    <w:rsid w:val="001E5163"/>
    <w:rsid w:val="001E5427"/>
    <w:rsid w:val="001E7323"/>
    <w:rsid w:val="001E760C"/>
    <w:rsid w:val="001F0A14"/>
    <w:rsid w:val="001F0AC6"/>
    <w:rsid w:val="001F177A"/>
    <w:rsid w:val="001F21BC"/>
    <w:rsid w:val="001F2E7B"/>
    <w:rsid w:val="001F3CFD"/>
    <w:rsid w:val="001F6199"/>
    <w:rsid w:val="001F64DC"/>
    <w:rsid w:val="001F7438"/>
    <w:rsid w:val="002006CA"/>
    <w:rsid w:val="002014CC"/>
    <w:rsid w:val="0020449D"/>
    <w:rsid w:val="00204C16"/>
    <w:rsid w:val="00206325"/>
    <w:rsid w:val="00206A1D"/>
    <w:rsid w:val="00206E11"/>
    <w:rsid w:val="0021075B"/>
    <w:rsid w:val="00210CC2"/>
    <w:rsid w:val="00210FC1"/>
    <w:rsid w:val="00211F34"/>
    <w:rsid w:val="002129B1"/>
    <w:rsid w:val="00213714"/>
    <w:rsid w:val="00214367"/>
    <w:rsid w:val="00214414"/>
    <w:rsid w:val="002161BB"/>
    <w:rsid w:val="0021774C"/>
    <w:rsid w:val="00220B7E"/>
    <w:rsid w:val="00222C2F"/>
    <w:rsid w:val="002231E4"/>
    <w:rsid w:val="00224A75"/>
    <w:rsid w:val="00224B30"/>
    <w:rsid w:val="00232162"/>
    <w:rsid w:val="00232EE5"/>
    <w:rsid w:val="002362CD"/>
    <w:rsid w:val="00236A7B"/>
    <w:rsid w:val="0023724C"/>
    <w:rsid w:val="0023794F"/>
    <w:rsid w:val="00242C2F"/>
    <w:rsid w:val="00242DAD"/>
    <w:rsid w:val="00243F3F"/>
    <w:rsid w:val="0024457B"/>
    <w:rsid w:val="0024503E"/>
    <w:rsid w:val="00250546"/>
    <w:rsid w:val="00250562"/>
    <w:rsid w:val="00250B5E"/>
    <w:rsid w:val="002515EC"/>
    <w:rsid w:val="002515F2"/>
    <w:rsid w:val="00252911"/>
    <w:rsid w:val="00254944"/>
    <w:rsid w:val="0025692F"/>
    <w:rsid w:val="0025788C"/>
    <w:rsid w:val="00260291"/>
    <w:rsid w:val="00260AD3"/>
    <w:rsid w:val="00261CCF"/>
    <w:rsid w:val="002624D7"/>
    <w:rsid w:val="00262FCE"/>
    <w:rsid w:val="002640BA"/>
    <w:rsid w:val="002641A5"/>
    <w:rsid w:val="00264226"/>
    <w:rsid w:val="002649A9"/>
    <w:rsid w:val="00264D8E"/>
    <w:rsid w:val="00264FF7"/>
    <w:rsid w:val="002666CC"/>
    <w:rsid w:val="002675B6"/>
    <w:rsid w:val="00267D0D"/>
    <w:rsid w:val="00267FB2"/>
    <w:rsid w:val="00270DB5"/>
    <w:rsid w:val="00271C4E"/>
    <w:rsid w:val="00275034"/>
    <w:rsid w:val="00275659"/>
    <w:rsid w:val="00275A21"/>
    <w:rsid w:val="00276060"/>
    <w:rsid w:val="00277DCE"/>
    <w:rsid w:val="002825FB"/>
    <w:rsid w:val="00283750"/>
    <w:rsid w:val="002838D9"/>
    <w:rsid w:val="0028485F"/>
    <w:rsid w:val="00284DF1"/>
    <w:rsid w:val="00285757"/>
    <w:rsid w:val="00286E2F"/>
    <w:rsid w:val="00286E8F"/>
    <w:rsid w:val="00290276"/>
    <w:rsid w:val="002917D1"/>
    <w:rsid w:val="00293448"/>
    <w:rsid w:val="00293ACD"/>
    <w:rsid w:val="00295AA6"/>
    <w:rsid w:val="00296630"/>
    <w:rsid w:val="00296D42"/>
    <w:rsid w:val="002A0455"/>
    <w:rsid w:val="002A0FA3"/>
    <w:rsid w:val="002A11DC"/>
    <w:rsid w:val="002A4931"/>
    <w:rsid w:val="002A53C5"/>
    <w:rsid w:val="002A5727"/>
    <w:rsid w:val="002A5A54"/>
    <w:rsid w:val="002A6693"/>
    <w:rsid w:val="002A6AEF"/>
    <w:rsid w:val="002A7E0E"/>
    <w:rsid w:val="002B21EA"/>
    <w:rsid w:val="002B2435"/>
    <w:rsid w:val="002B3684"/>
    <w:rsid w:val="002B37FA"/>
    <w:rsid w:val="002B4982"/>
    <w:rsid w:val="002B5E6C"/>
    <w:rsid w:val="002C00D1"/>
    <w:rsid w:val="002C2052"/>
    <w:rsid w:val="002C2794"/>
    <w:rsid w:val="002C2FA0"/>
    <w:rsid w:val="002C38F4"/>
    <w:rsid w:val="002C4486"/>
    <w:rsid w:val="002C47AE"/>
    <w:rsid w:val="002C53F0"/>
    <w:rsid w:val="002C5CDE"/>
    <w:rsid w:val="002C5D89"/>
    <w:rsid w:val="002C5F56"/>
    <w:rsid w:val="002C7A48"/>
    <w:rsid w:val="002D018E"/>
    <w:rsid w:val="002D3592"/>
    <w:rsid w:val="002D3DF2"/>
    <w:rsid w:val="002D6F94"/>
    <w:rsid w:val="002D7ED9"/>
    <w:rsid w:val="002E0E0F"/>
    <w:rsid w:val="002E2136"/>
    <w:rsid w:val="002E3685"/>
    <w:rsid w:val="002E3C61"/>
    <w:rsid w:val="002F0CA4"/>
    <w:rsid w:val="002F24AC"/>
    <w:rsid w:val="002F2AD4"/>
    <w:rsid w:val="002F5030"/>
    <w:rsid w:val="002F50DE"/>
    <w:rsid w:val="002F58F6"/>
    <w:rsid w:val="0030045E"/>
    <w:rsid w:val="0030169D"/>
    <w:rsid w:val="003034E8"/>
    <w:rsid w:val="00304321"/>
    <w:rsid w:val="003060EB"/>
    <w:rsid w:val="00306ED3"/>
    <w:rsid w:val="00307026"/>
    <w:rsid w:val="00310946"/>
    <w:rsid w:val="00311EC7"/>
    <w:rsid w:val="0031258D"/>
    <w:rsid w:val="00312CA3"/>
    <w:rsid w:val="003153EB"/>
    <w:rsid w:val="00316B3B"/>
    <w:rsid w:val="00317AF9"/>
    <w:rsid w:val="00321985"/>
    <w:rsid w:val="00321C84"/>
    <w:rsid w:val="003224B1"/>
    <w:rsid w:val="00322617"/>
    <w:rsid w:val="00323EA9"/>
    <w:rsid w:val="00324FEB"/>
    <w:rsid w:val="00325C7A"/>
    <w:rsid w:val="0032625A"/>
    <w:rsid w:val="00330A2A"/>
    <w:rsid w:val="00331F7C"/>
    <w:rsid w:val="003330ED"/>
    <w:rsid w:val="00337E19"/>
    <w:rsid w:val="003405F8"/>
    <w:rsid w:val="003422DF"/>
    <w:rsid w:val="00342ABB"/>
    <w:rsid w:val="00343471"/>
    <w:rsid w:val="0034451C"/>
    <w:rsid w:val="00346FF3"/>
    <w:rsid w:val="00350CD3"/>
    <w:rsid w:val="00351205"/>
    <w:rsid w:val="003540AC"/>
    <w:rsid w:val="00355A1C"/>
    <w:rsid w:val="00355AB7"/>
    <w:rsid w:val="00356191"/>
    <w:rsid w:val="003570A7"/>
    <w:rsid w:val="0036136E"/>
    <w:rsid w:val="00361E18"/>
    <w:rsid w:val="00362D67"/>
    <w:rsid w:val="00363022"/>
    <w:rsid w:val="00363D7F"/>
    <w:rsid w:val="0036547B"/>
    <w:rsid w:val="0036572B"/>
    <w:rsid w:val="00365E87"/>
    <w:rsid w:val="0036634B"/>
    <w:rsid w:val="003704D7"/>
    <w:rsid w:val="00370ACE"/>
    <w:rsid w:val="003723B6"/>
    <w:rsid w:val="00372F74"/>
    <w:rsid w:val="00373C89"/>
    <w:rsid w:val="00373F69"/>
    <w:rsid w:val="00375B39"/>
    <w:rsid w:val="0037639B"/>
    <w:rsid w:val="003768E1"/>
    <w:rsid w:val="00376D29"/>
    <w:rsid w:val="00376ED5"/>
    <w:rsid w:val="00377594"/>
    <w:rsid w:val="00377AF7"/>
    <w:rsid w:val="00380884"/>
    <w:rsid w:val="0038260D"/>
    <w:rsid w:val="00383139"/>
    <w:rsid w:val="0038441E"/>
    <w:rsid w:val="00385413"/>
    <w:rsid w:val="00385FA5"/>
    <w:rsid w:val="003879EE"/>
    <w:rsid w:val="00390C30"/>
    <w:rsid w:val="003910CA"/>
    <w:rsid w:val="00391532"/>
    <w:rsid w:val="00391CF7"/>
    <w:rsid w:val="00395DF2"/>
    <w:rsid w:val="00395EA6"/>
    <w:rsid w:val="003967DD"/>
    <w:rsid w:val="003A181B"/>
    <w:rsid w:val="003A271C"/>
    <w:rsid w:val="003A2733"/>
    <w:rsid w:val="003A43AA"/>
    <w:rsid w:val="003A6599"/>
    <w:rsid w:val="003A6DFC"/>
    <w:rsid w:val="003A7CE1"/>
    <w:rsid w:val="003B1F49"/>
    <w:rsid w:val="003B2498"/>
    <w:rsid w:val="003B4AEA"/>
    <w:rsid w:val="003B63A7"/>
    <w:rsid w:val="003B69B5"/>
    <w:rsid w:val="003B761D"/>
    <w:rsid w:val="003B78D9"/>
    <w:rsid w:val="003B7BE1"/>
    <w:rsid w:val="003C024E"/>
    <w:rsid w:val="003C230F"/>
    <w:rsid w:val="003C4197"/>
    <w:rsid w:val="003C50C0"/>
    <w:rsid w:val="003C6381"/>
    <w:rsid w:val="003C67B8"/>
    <w:rsid w:val="003C69B6"/>
    <w:rsid w:val="003C7035"/>
    <w:rsid w:val="003C752B"/>
    <w:rsid w:val="003D216C"/>
    <w:rsid w:val="003D2E57"/>
    <w:rsid w:val="003D41DE"/>
    <w:rsid w:val="003D4D76"/>
    <w:rsid w:val="003D5C71"/>
    <w:rsid w:val="003D6869"/>
    <w:rsid w:val="003E4B08"/>
    <w:rsid w:val="003E4FEC"/>
    <w:rsid w:val="003E54FA"/>
    <w:rsid w:val="003E6960"/>
    <w:rsid w:val="003F1BF3"/>
    <w:rsid w:val="003F1DD6"/>
    <w:rsid w:val="003F24EB"/>
    <w:rsid w:val="003F3572"/>
    <w:rsid w:val="003F41A1"/>
    <w:rsid w:val="003F4A2F"/>
    <w:rsid w:val="003F4F21"/>
    <w:rsid w:val="003F5A6A"/>
    <w:rsid w:val="003F6610"/>
    <w:rsid w:val="003F7224"/>
    <w:rsid w:val="003F7D29"/>
    <w:rsid w:val="00400018"/>
    <w:rsid w:val="00400D98"/>
    <w:rsid w:val="00400DEF"/>
    <w:rsid w:val="0040434A"/>
    <w:rsid w:val="00405D11"/>
    <w:rsid w:val="00405FA7"/>
    <w:rsid w:val="0040694B"/>
    <w:rsid w:val="00406EFB"/>
    <w:rsid w:val="00406F5F"/>
    <w:rsid w:val="00407681"/>
    <w:rsid w:val="0041223E"/>
    <w:rsid w:val="004129A7"/>
    <w:rsid w:val="0041517E"/>
    <w:rsid w:val="00415E19"/>
    <w:rsid w:val="00420899"/>
    <w:rsid w:val="0042107D"/>
    <w:rsid w:val="0042146A"/>
    <w:rsid w:val="00422DA3"/>
    <w:rsid w:val="004239AB"/>
    <w:rsid w:val="00423C41"/>
    <w:rsid w:val="004258D2"/>
    <w:rsid w:val="00426BD0"/>
    <w:rsid w:val="00427CC0"/>
    <w:rsid w:val="00427D21"/>
    <w:rsid w:val="00430C47"/>
    <w:rsid w:val="00431BFA"/>
    <w:rsid w:val="00431CE1"/>
    <w:rsid w:val="00432708"/>
    <w:rsid w:val="00432E11"/>
    <w:rsid w:val="0043461E"/>
    <w:rsid w:val="00434E5E"/>
    <w:rsid w:val="00435DE9"/>
    <w:rsid w:val="00436A8C"/>
    <w:rsid w:val="004372F0"/>
    <w:rsid w:val="004374C8"/>
    <w:rsid w:val="00441554"/>
    <w:rsid w:val="0044450B"/>
    <w:rsid w:val="00444914"/>
    <w:rsid w:val="00446350"/>
    <w:rsid w:val="0044687D"/>
    <w:rsid w:val="004469E2"/>
    <w:rsid w:val="004474F8"/>
    <w:rsid w:val="00450C1A"/>
    <w:rsid w:val="00450D0F"/>
    <w:rsid w:val="00451C59"/>
    <w:rsid w:val="00452521"/>
    <w:rsid w:val="00453757"/>
    <w:rsid w:val="00454244"/>
    <w:rsid w:val="004551B5"/>
    <w:rsid w:val="004562A9"/>
    <w:rsid w:val="004563AA"/>
    <w:rsid w:val="0045640B"/>
    <w:rsid w:val="00456E7A"/>
    <w:rsid w:val="00460E41"/>
    <w:rsid w:val="00462449"/>
    <w:rsid w:val="004626A3"/>
    <w:rsid w:val="004644C2"/>
    <w:rsid w:val="00466E67"/>
    <w:rsid w:val="0046775F"/>
    <w:rsid w:val="004677A2"/>
    <w:rsid w:val="00467C66"/>
    <w:rsid w:val="00467F9C"/>
    <w:rsid w:val="00470F04"/>
    <w:rsid w:val="00473944"/>
    <w:rsid w:val="004742A0"/>
    <w:rsid w:val="0047430B"/>
    <w:rsid w:val="004748F8"/>
    <w:rsid w:val="00474D9D"/>
    <w:rsid w:val="00475EF3"/>
    <w:rsid w:val="00476E27"/>
    <w:rsid w:val="00477B76"/>
    <w:rsid w:val="00480004"/>
    <w:rsid w:val="00481E9B"/>
    <w:rsid w:val="00483329"/>
    <w:rsid w:val="004843DC"/>
    <w:rsid w:val="00484931"/>
    <w:rsid w:val="0048548A"/>
    <w:rsid w:val="004874C7"/>
    <w:rsid w:val="004920AE"/>
    <w:rsid w:val="004933AD"/>
    <w:rsid w:val="004969D1"/>
    <w:rsid w:val="00497513"/>
    <w:rsid w:val="00497C04"/>
    <w:rsid w:val="004A05D6"/>
    <w:rsid w:val="004A110E"/>
    <w:rsid w:val="004A1358"/>
    <w:rsid w:val="004A3B5F"/>
    <w:rsid w:val="004A3F2D"/>
    <w:rsid w:val="004A5519"/>
    <w:rsid w:val="004A6138"/>
    <w:rsid w:val="004A6192"/>
    <w:rsid w:val="004A798D"/>
    <w:rsid w:val="004B1B21"/>
    <w:rsid w:val="004B2802"/>
    <w:rsid w:val="004B4984"/>
    <w:rsid w:val="004B79C3"/>
    <w:rsid w:val="004B7AC8"/>
    <w:rsid w:val="004C0E8F"/>
    <w:rsid w:val="004C1EA9"/>
    <w:rsid w:val="004C29E1"/>
    <w:rsid w:val="004C3874"/>
    <w:rsid w:val="004C3A9A"/>
    <w:rsid w:val="004C44F7"/>
    <w:rsid w:val="004C51AE"/>
    <w:rsid w:val="004C56BA"/>
    <w:rsid w:val="004C6EA5"/>
    <w:rsid w:val="004C72DF"/>
    <w:rsid w:val="004D0B41"/>
    <w:rsid w:val="004D3666"/>
    <w:rsid w:val="004D5CE5"/>
    <w:rsid w:val="004D6DCC"/>
    <w:rsid w:val="004E18B2"/>
    <w:rsid w:val="004E2490"/>
    <w:rsid w:val="004E25C6"/>
    <w:rsid w:val="004E3494"/>
    <w:rsid w:val="004E675A"/>
    <w:rsid w:val="004F098B"/>
    <w:rsid w:val="004F14CA"/>
    <w:rsid w:val="004F19DB"/>
    <w:rsid w:val="004F1C28"/>
    <w:rsid w:val="004F3946"/>
    <w:rsid w:val="004F42E1"/>
    <w:rsid w:val="004F4A2F"/>
    <w:rsid w:val="004F551A"/>
    <w:rsid w:val="004F6E31"/>
    <w:rsid w:val="004F77E2"/>
    <w:rsid w:val="004F7A85"/>
    <w:rsid w:val="005005FF"/>
    <w:rsid w:val="00500FCC"/>
    <w:rsid w:val="00501801"/>
    <w:rsid w:val="00503E25"/>
    <w:rsid w:val="00505114"/>
    <w:rsid w:val="0050756B"/>
    <w:rsid w:val="00507D31"/>
    <w:rsid w:val="00510340"/>
    <w:rsid w:val="005114DF"/>
    <w:rsid w:val="005133CF"/>
    <w:rsid w:val="00514E71"/>
    <w:rsid w:val="005208CA"/>
    <w:rsid w:val="00520D85"/>
    <w:rsid w:val="0052171E"/>
    <w:rsid w:val="005232AA"/>
    <w:rsid w:val="0052520E"/>
    <w:rsid w:val="00525E9C"/>
    <w:rsid w:val="005274DD"/>
    <w:rsid w:val="00530966"/>
    <w:rsid w:val="00530AFC"/>
    <w:rsid w:val="0053185B"/>
    <w:rsid w:val="00531ADF"/>
    <w:rsid w:val="00531EA8"/>
    <w:rsid w:val="005327E6"/>
    <w:rsid w:val="005338B8"/>
    <w:rsid w:val="0053392D"/>
    <w:rsid w:val="00534681"/>
    <w:rsid w:val="005349B6"/>
    <w:rsid w:val="00535773"/>
    <w:rsid w:val="00537DD8"/>
    <w:rsid w:val="00537EA7"/>
    <w:rsid w:val="0054017A"/>
    <w:rsid w:val="00540CE1"/>
    <w:rsid w:val="005501FD"/>
    <w:rsid w:val="00551A2E"/>
    <w:rsid w:val="00551AAF"/>
    <w:rsid w:val="005520CA"/>
    <w:rsid w:val="00552715"/>
    <w:rsid w:val="0055527A"/>
    <w:rsid w:val="00555446"/>
    <w:rsid w:val="00555DFB"/>
    <w:rsid w:val="00560D76"/>
    <w:rsid w:val="00561B6D"/>
    <w:rsid w:val="00563442"/>
    <w:rsid w:val="00564A4D"/>
    <w:rsid w:val="00564EEE"/>
    <w:rsid w:val="00565610"/>
    <w:rsid w:val="00565905"/>
    <w:rsid w:val="00565B42"/>
    <w:rsid w:val="00567AE8"/>
    <w:rsid w:val="00570577"/>
    <w:rsid w:val="005712B6"/>
    <w:rsid w:val="005714E5"/>
    <w:rsid w:val="00572BF0"/>
    <w:rsid w:val="00575E91"/>
    <w:rsid w:val="0057697A"/>
    <w:rsid w:val="00576CB7"/>
    <w:rsid w:val="00576F6E"/>
    <w:rsid w:val="00576FAE"/>
    <w:rsid w:val="005812DB"/>
    <w:rsid w:val="00581AFA"/>
    <w:rsid w:val="00581EFA"/>
    <w:rsid w:val="0058287F"/>
    <w:rsid w:val="005846EB"/>
    <w:rsid w:val="00591DFC"/>
    <w:rsid w:val="00593519"/>
    <w:rsid w:val="005949E2"/>
    <w:rsid w:val="00595B45"/>
    <w:rsid w:val="0059622C"/>
    <w:rsid w:val="00596C47"/>
    <w:rsid w:val="00597C06"/>
    <w:rsid w:val="00597DB7"/>
    <w:rsid w:val="005A006F"/>
    <w:rsid w:val="005A1AF1"/>
    <w:rsid w:val="005A319A"/>
    <w:rsid w:val="005A5187"/>
    <w:rsid w:val="005A52E1"/>
    <w:rsid w:val="005A5BDA"/>
    <w:rsid w:val="005B0B66"/>
    <w:rsid w:val="005B33C6"/>
    <w:rsid w:val="005B4DBB"/>
    <w:rsid w:val="005B56DF"/>
    <w:rsid w:val="005B58BC"/>
    <w:rsid w:val="005B7527"/>
    <w:rsid w:val="005C096F"/>
    <w:rsid w:val="005C0E81"/>
    <w:rsid w:val="005C11BE"/>
    <w:rsid w:val="005C1BFD"/>
    <w:rsid w:val="005C2320"/>
    <w:rsid w:val="005C310C"/>
    <w:rsid w:val="005C4CE6"/>
    <w:rsid w:val="005C5431"/>
    <w:rsid w:val="005C7455"/>
    <w:rsid w:val="005D190F"/>
    <w:rsid w:val="005D3081"/>
    <w:rsid w:val="005D3212"/>
    <w:rsid w:val="005D3B74"/>
    <w:rsid w:val="005D44AF"/>
    <w:rsid w:val="005D5DC6"/>
    <w:rsid w:val="005E0B84"/>
    <w:rsid w:val="005E1398"/>
    <w:rsid w:val="005E198D"/>
    <w:rsid w:val="005E1F8F"/>
    <w:rsid w:val="005E2050"/>
    <w:rsid w:val="005E2E99"/>
    <w:rsid w:val="005E475B"/>
    <w:rsid w:val="005E5DBE"/>
    <w:rsid w:val="005E5EB4"/>
    <w:rsid w:val="005E717F"/>
    <w:rsid w:val="005F0BBD"/>
    <w:rsid w:val="005F21CA"/>
    <w:rsid w:val="005F393D"/>
    <w:rsid w:val="005F3FFE"/>
    <w:rsid w:val="005F5E46"/>
    <w:rsid w:val="005F6D1C"/>
    <w:rsid w:val="005F7DCF"/>
    <w:rsid w:val="0060036C"/>
    <w:rsid w:val="006008EA"/>
    <w:rsid w:val="006009AD"/>
    <w:rsid w:val="00602B1D"/>
    <w:rsid w:val="00603524"/>
    <w:rsid w:val="00603955"/>
    <w:rsid w:val="00603C61"/>
    <w:rsid w:val="00603F13"/>
    <w:rsid w:val="006041A4"/>
    <w:rsid w:val="0060573B"/>
    <w:rsid w:val="00605D03"/>
    <w:rsid w:val="0060699A"/>
    <w:rsid w:val="00606B46"/>
    <w:rsid w:val="006071AB"/>
    <w:rsid w:val="006122BA"/>
    <w:rsid w:val="00612C2C"/>
    <w:rsid w:val="006130F2"/>
    <w:rsid w:val="0061406C"/>
    <w:rsid w:val="00614110"/>
    <w:rsid w:val="00614AF9"/>
    <w:rsid w:val="00615EF3"/>
    <w:rsid w:val="00616DDB"/>
    <w:rsid w:val="00620F9C"/>
    <w:rsid w:val="0062138C"/>
    <w:rsid w:val="006220AC"/>
    <w:rsid w:val="00622328"/>
    <w:rsid w:val="0062265E"/>
    <w:rsid w:val="00622CB1"/>
    <w:rsid w:val="0062375C"/>
    <w:rsid w:val="006243E8"/>
    <w:rsid w:val="006246FD"/>
    <w:rsid w:val="0062528A"/>
    <w:rsid w:val="006253B9"/>
    <w:rsid w:val="0063064D"/>
    <w:rsid w:val="006306CA"/>
    <w:rsid w:val="00630A89"/>
    <w:rsid w:val="00630DA0"/>
    <w:rsid w:val="0063168E"/>
    <w:rsid w:val="006321C6"/>
    <w:rsid w:val="0063365B"/>
    <w:rsid w:val="00633B5F"/>
    <w:rsid w:val="00635E20"/>
    <w:rsid w:val="006363B9"/>
    <w:rsid w:val="00636F21"/>
    <w:rsid w:val="00637BCF"/>
    <w:rsid w:val="006434C6"/>
    <w:rsid w:val="0064384C"/>
    <w:rsid w:val="00646489"/>
    <w:rsid w:val="00647E04"/>
    <w:rsid w:val="00650EC7"/>
    <w:rsid w:val="00652891"/>
    <w:rsid w:val="0065303B"/>
    <w:rsid w:val="0065487E"/>
    <w:rsid w:val="006549F5"/>
    <w:rsid w:val="00654ABF"/>
    <w:rsid w:val="0065532A"/>
    <w:rsid w:val="00657F2F"/>
    <w:rsid w:val="006616E0"/>
    <w:rsid w:val="00662960"/>
    <w:rsid w:val="00671707"/>
    <w:rsid w:val="00671F20"/>
    <w:rsid w:val="00672FD3"/>
    <w:rsid w:val="00675480"/>
    <w:rsid w:val="006758B6"/>
    <w:rsid w:val="006759B9"/>
    <w:rsid w:val="00675FB4"/>
    <w:rsid w:val="006764C8"/>
    <w:rsid w:val="00676D89"/>
    <w:rsid w:val="006772E0"/>
    <w:rsid w:val="00677936"/>
    <w:rsid w:val="006803AE"/>
    <w:rsid w:val="0068062A"/>
    <w:rsid w:val="006823A8"/>
    <w:rsid w:val="00684E1B"/>
    <w:rsid w:val="00685C5F"/>
    <w:rsid w:val="00685E56"/>
    <w:rsid w:val="006870CB"/>
    <w:rsid w:val="00690A43"/>
    <w:rsid w:val="00692F14"/>
    <w:rsid w:val="00693DFB"/>
    <w:rsid w:val="006942CB"/>
    <w:rsid w:val="006954B6"/>
    <w:rsid w:val="0069579B"/>
    <w:rsid w:val="00696068"/>
    <w:rsid w:val="006972C6"/>
    <w:rsid w:val="00697E44"/>
    <w:rsid w:val="006A0BCC"/>
    <w:rsid w:val="006A1601"/>
    <w:rsid w:val="006A1AB7"/>
    <w:rsid w:val="006A62B9"/>
    <w:rsid w:val="006B09CA"/>
    <w:rsid w:val="006B2290"/>
    <w:rsid w:val="006B272D"/>
    <w:rsid w:val="006B2F09"/>
    <w:rsid w:val="006B597C"/>
    <w:rsid w:val="006B719B"/>
    <w:rsid w:val="006C156A"/>
    <w:rsid w:val="006C1EBE"/>
    <w:rsid w:val="006C33DD"/>
    <w:rsid w:val="006C4D02"/>
    <w:rsid w:val="006C6DAA"/>
    <w:rsid w:val="006C6E23"/>
    <w:rsid w:val="006C713F"/>
    <w:rsid w:val="006D217D"/>
    <w:rsid w:val="006D4125"/>
    <w:rsid w:val="006D4B96"/>
    <w:rsid w:val="006D6438"/>
    <w:rsid w:val="006D6626"/>
    <w:rsid w:val="006D677C"/>
    <w:rsid w:val="006D6A06"/>
    <w:rsid w:val="006D7346"/>
    <w:rsid w:val="006E019D"/>
    <w:rsid w:val="006E0663"/>
    <w:rsid w:val="006E09A1"/>
    <w:rsid w:val="006E3595"/>
    <w:rsid w:val="006E3EC0"/>
    <w:rsid w:val="006E4544"/>
    <w:rsid w:val="006E7872"/>
    <w:rsid w:val="006F018A"/>
    <w:rsid w:val="006F1C9B"/>
    <w:rsid w:val="006F1CFD"/>
    <w:rsid w:val="006F1DFC"/>
    <w:rsid w:val="006F3980"/>
    <w:rsid w:val="006F4AB1"/>
    <w:rsid w:val="006F4EF3"/>
    <w:rsid w:val="006F54A5"/>
    <w:rsid w:val="006F618B"/>
    <w:rsid w:val="006F7B37"/>
    <w:rsid w:val="006F7E42"/>
    <w:rsid w:val="00701135"/>
    <w:rsid w:val="0070165D"/>
    <w:rsid w:val="00701BB4"/>
    <w:rsid w:val="007021F0"/>
    <w:rsid w:val="00702B72"/>
    <w:rsid w:val="007058F6"/>
    <w:rsid w:val="0070627C"/>
    <w:rsid w:val="007077BB"/>
    <w:rsid w:val="00712C44"/>
    <w:rsid w:val="00713F4F"/>
    <w:rsid w:val="007140FF"/>
    <w:rsid w:val="007156A6"/>
    <w:rsid w:val="00716398"/>
    <w:rsid w:val="0071686C"/>
    <w:rsid w:val="0071723A"/>
    <w:rsid w:val="00717474"/>
    <w:rsid w:val="00717D88"/>
    <w:rsid w:val="0072033B"/>
    <w:rsid w:val="00720DEE"/>
    <w:rsid w:val="00721F2F"/>
    <w:rsid w:val="0072223E"/>
    <w:rsid w:val="007225E1"/>
    <w:rsid w:val="007233EB"/>
    <w:rsid w:val="0072499E"/>
    <w:rsid w:val="007274FE"/>
    <w:rsid w:val="00727DC6"/>
    <w:rsid w:val="00730411"/>
    <w:rsid w:val="007310EA"/>
    <w:rsid w:val="00731A78"/>
    <w:rsid w:val="00731BCD"/>
    <w:rsid w:val="0073268B"/>
    <w:rsid w:val="00732E51"/>
    <w:rsid w:val="00734DC9"/>
    <w:rsid w:val="00734FB7"/>
    <w:rsid w:val="007360A1"/>
    <w:rsid w:val="007406EE"/>
    <w:rsid w:val="00740CCF"/>
    <w:rsid w:val="00740D6D"/>
    <w:rsid w:val="00741D29"/>
    <w:rsid w:val="00741E3B"/>
    <w:rsid w:val="00742C2C"/>
    <w:rsid w:val="00742D90"/>
    <w:rsid w:val="00743169"/>
    <w:rsid w:val="00743842"/>
    <w:rsid w:val="00743D62"/>
    <w:rsid w:val="00745F7F"/>
    <w:rsid w:val="007465B3"/>
    <w:rsid w:val="00746903"/>
    <w:rsid w:val="00747A3C"/>
    <w:rsid w:val="00751378"/>
    <w:rsid w:val="00752DB1"/>
    <w:rsid w:val="00756945"/>
    <w:rsid w:val="007602BD"/>
    <w:rsid w:val="00760423"/>
    <w:rsid w:val="00760F49"/>
    <w:rsid w:val="007628B6"/>
    <w:rsid w:val="00762A4A"/>
    <w:rsid w:val="0076315B"/>
    <w:rsid w:val="00764383"/>
    <w:rsid w:val="00765B8C"/>
    <w:rsid w:val="007703D3"/>
    <w:rsid w:val="007703E5"/>
    <w:rsid w:val="00770A7C"/>
    <w:rsid w:val="00771655"/>
    <w:rsid w:val="00775A85"/>
    <w:rsid w:val="0077652B"/>
    <w:rsid w:val="00776700"/>
    <w:rsid w:val="007775E2"/>
    <w:rsid w:val="007775EC"/>
    <w:rsid w:val="007814D2"/>
    <w:rsid w:val="00782E0D"/>
    <w:rsid w:val="00783275"/>
    <w:rsid w:val="007835A8"/>
    <w:rsid w:val="00784141"/>
    <w:rsid w:val="00785124"/>
    <w:rsid w:val="00786056"/>
    <w:rsid w:val="0078669E"/>
    <w:rsid w:val="00787922"/>
    <w:rsid w:val="00787C11"/>
    <w:rsid w:val="00787E3C"/>
    <w:rsid w:val="00790691"/>
    <w:rsid w:val="00790D55"/>
    <w:rsid w:val="00791C89"/>
    <w:rsid w:val="0079278E"/>
    <w:rsid w:val="007929D9"/>
    <w:rsid w:val="00792DE3"/>
    <w:rsid w:val="00793028"/>
    <w:rsid w:val="007942D3"/>
    <w:rsid w:val="00795623"/>
    <w:rsid w:val="007959EF"/>
    <w:rsid w:val="007973CF"/>
    <w:rsid w:val="0079743B"/>
    <w:rsid w:val="0079783B"/>
    <w:rsid w:val="007A06D5"/>
    <w:rsid w:val="007A11EC"/>
    <w:rsid w:val="007A1A95"/>
    <w:rsid w:val="007A2FF0"/>
    <w:rsid w:val="007A3C25"/>
    <w:rsid w:val="007A417F"/>
    <w:rsid w:val="007A4BDC"/>
    <w:rsid w:val="007A6A57"/>
    <w:rsid w:val="007A76A7"/>
    <w:rsid w:val="007B0E2B"/>
    <w:rsid w:val="007B1130"/>
    <w:rsid w:val="007B1580"/>
    <w:rsid w:val="007B1B54"/>
    <w:rsid w:val="007B2099"/>
    <w:rsid w:val="007B22EE"/>
    <w:rsid w:val="007B28C9"/>
    <w:rsid w:val="007B2D56"/>
    <w:rsid w:val="007B3035"/>
    <w:rsid w:val="007B3165"/>
    <w:rsid w:val="007B35DC"/>
    <w:rsid w:val="007B37FE"/>
    <w:rsid w:val="007B4420"/>
    <w:rsid w:val="007B5274"/>
    <w:rsid w:val="007B5770"/>
    <w:rsid w:val="007B663E"/>
    <w:rsid w:val="007B6BC2"/>
    <w:rsid w:val="007B6C09"/>
    <w:rsid w:val="007B7741"/>
    <w:rsid w:val="007B792F"/>
    <w:rsid w:val="007C04EB"/>
    <w:rsid w:val="007C4870"/>
    <w:rsid w:val="007C5F19"/>
    <w:rsid w:val="007D0C7B"/>
    <w:rsid w:val="007D227E"/>
    <w:rsid w:val="007D407A"/>
    <w:rsid w:val="007D4B2B"/>
    <w:rsid w:val="007D5892"/>
    <w:rsid w:val="007D62C7"/>
    <w:rsid w:val="007D63CA"/>
    <w:rsid w:val="007D709E"/>
    <w:rsid w:val="007E08E5"/>
    <w:rsid w:val="007E09DA"/>
    <w:rsid w:val="007E356E"/>
    <w:rsid w:val="007E4522"/>
    <w:rsid w:val="007E5D78"/>
    <w:rsid w:val="007E6298"/>
    <w:rsid w:val="007E699F"/>
    <w:rsid w:val="007F14D9"/>
    <w:rsid w:val="007F33D4"/>
    <w:rsid w:val="007F378A"/>
    <w:rsid w:val="007F624C"/>
    <w:rsid w:val="007F7371"/>
    <w:rsid w:val="007F751C"/>
    <w:rsid w:val="007F7B2F"/>
    <w:rsid w:val="008007C1"/>
    <w:rsid w:val="008009D6"/>
    <w:rsid w:val="00804E5E"/>
    <w:rsid w:val="008051F1"/>
    <w:rsid w:val="00806E0B"/>
    <w:rsid w:val="00810A55"/>
    <w:rsid w:val="00811135"/>
    <w:rsid w:val="00811701"/>
    <w:rsid w:val="00812096"/>
    <w:rsid w:val="00813442"/>
    <w:rsid w:val="00813993"/>
    <w:rsid w:val="008147C1"/>
    <w:rsid w:val="00814A3E"/>
    <w:rsid w:val="008169D8"/>
    <w:rsid w:val="008178B6"/>
    <w:rsid w:val="00820321"/>
    <w:rsid w:val="00822BAE"/>
    <w:rsid w:val="00822D01"/>
    <w:rsid w:val="00823251"/>
    <w:rsid w:val="008249A1"/>
    <w:rsid w:val="00824A06"/>
    <w:rsid w:val="00826149"/>
    <w:rsid w:val="00826C07"/>
    <w:rsid w:val="00826EAC"/>
    <w:rsid w:val="00827FB5"/>
    <w:rsid w:val="00831398"/>
    <w:rsid w:val="00831BB2"/>
    <w:rsid w:val="00833C23"/>
    <w:rsid w:val="00834B0C"/>
    <w:rsid w:val="00842F5C"/>
    <w:rsid w:val="00843A9C"/>
    <w:rsid w:val="00843C8C"/>
    <w:rsid w:val="00844234"/>
    <w:rsid w:val="00846378"/>
    <w:rsid w:val="00846498"/>
    <w:rsid w:val="00851F77"/>
    <w:rsid w:val="00852715"/>
    <w:rsid w:val="0085314A"/>
    <w:rsid w:val="00853F13"/>
    <w:rsid w:val="00854F33"/>
    <w:rsid w:val="00856D16"/>
    <w:rsid w:val="00857810"/>
    <w:rsid w:val="00860AC8"/>
    <w:rsid w:val="008627B6"/>
    <w:rsid w:val="008646EA"/>
    <w:rsid w:val="00865B74"/>
    <w:rsid w:val="0087022E"/>
    <w:rsid w:val="00874715"/>
    <w:rsid w:val="00876A2C"/>
    <w:rsid w:val="00880722"/>
    <w:rsid w:val="00880F9B"/>
    <w:rsid w:val="00881931"/>
    <w:rsid w:val="00883E4F"/>
    <w:rsid w:val="00884B6C"/>
    <w:rsid w:val="00884BBC"/>
    <w:rsid w:val="00885B74"/>
    <w:rsid w:val="008862C4"/>
    <w:rsid w:val="00891BB6"/>
    <w:rsid w:val="008939D0"/>
    <w:rsid w:val="00895C99"/>
    <w:rsid w:val="00896605"/>
    <w:rsid w:val="00896E84"/>
    <w:rsid w:val="008974F0"/>
    <w:rsid w:val="008A0C7C"/>
    <w:rsid w:val="008A12AE"/>
    <w:rsid w:val="008A1A22"/>
    <w:rsid w:val="008A23FA"/>
    <w:rsid w:val="008A2CF7"/>
    <w:rsid w:val="008A30A1"/>
    <w:rsid w:val="008A34BD"/>
    <w:rsid w:val="008A3888"/>
    <w:rsid w:val="008A3D53"/>
    <w:rsid w:val="008A4783"/>
    <w:rsid w:val="008A52DB"/>
    <w:rsid w:val="008A5C7B"/>
    <w:rsid w:val="008A629A"/>
    <w:rsid w:val="008A676B"/>
    <w:rsid w:val="008A6F66"/>
    <w:rsid w:val="008A6F74"/>
    <w:rsid w:val="008B012A"/>
    <w:rsid w:val="008B1A57"/>
    <w:rsid w:val="008B1B2D"/>
    <w:rsid w:val="008B309A"/>
    <w:rsid w:val="008B56A3"/>
    <w:rsid w:val="008B59B4"/>
    <w:rsid w:val="008B5E03"/>
    <w:rsid w:val="008B6506"/>
    <w:rsid w:val="008B6F16"/>
    <w:rsid w:val="008B752E"/>
    <w:rsid w:val="008B7A87"/>
    <w:rsid w:val="008B7C7D"/>
    <w:rsid w:val="008C1056"/>
    <w:rsid w:val="008C24B9"/>
    <w:rsid w:val="008C25C2"/>
    <w:rsid w:val="008C2FCB"/>
    <w:rsid w:val="008C3165"/>
    <w:rsid w:val="008C4139"/>
    <w:rsid w:val="008C50C4"/>
    <w:rsid w:val="008C536B"/>
    <w:rsid w:val="008C5602"/>
    <w:rsid w:val="008C6619"/>
    <w:rsid w:val="008C76CB"/>
    <w:rsid w:val="008D0D6E"/>
    <w:rsid w:val="008D0E55"/>
    <w:rsid w:val="008D2669"/>
    <w:rsid w:val="008D492D"/>
    <w:rsid w:val="008D556A"/>
    <w:rsid w:val="008D5808"/>
    <w:rsid w:val="008D73ED"/>
    <w:rsid w:val="008E151E"/>
    <w:rsid w:val="008E16EB"/>
    <w:rsid w:val="008E27B0"/>
    <w:rsid w:val="008E38CF"/>
    <w:rsid w:val="008E3DE1"/>
    <w:rsid w:val="008E3FD4"/>
    <w:rsid w:val="008E73FE"/>
    <w:rsid w:val="008F0BFA"/>
    <w:rsid w:val="008F3446"/>
    <w:rsid w:val="008F46A6"/>
    <w:rsid w:val="008F5E52"/>
    <w:rsid w:val="008F7E44"/>
    <w:rsid w:val="009003E1"/>
    <w:rsid w:val="009015F8"/>
    <w:rsid w:val="009057F5"/>
    <w:rsid w:val="0090606D"/>
    <w:rsid w:val="0090622C"/>
    <w:rsid w:val="00906B35"/>
    <w:rsid w:val="00906E17"/>
    <w:rsid w:val="00911181"/>
    <w:rsid w:val="00912FD7"/>
    <w:rsid w:val="009140F7"/>
    <w:rsid w:val="00915DCB"/>
    <w:rsid w:val="00920881"/>
    <w:rsid w:val="00921079"/>
    <w:rsid w:val="0092140C"/>
    <w:rsid w:val="00923384"/>
    <w:rsid w:val="009239FF"/>
    <w:rsid w:val="0092401C"/>
    <w:rsid w:val="00925227"/>
    <w:rsid w:val="00930757"/>
    <w:rsid w:val="00930BA1"/>
    <w:rsid w:val="00931416"/>
    <w:rsid w:val="009314E1"/>
    <w:rsid w:val="0093169E"/>
    <w:rsid w:val="009352A7"/>
    <w:rsid w:val="0093620F"/>
    <w:rsid w:val="00937254"/>
    <w:rsid w:val="00937D8F"/>
    <w:rsid w:val="009408B7"/>
    <w:rsid w:val="009446EB"/>
    <w:rsid w:val="009451B7"/>
    <w:rsid w:val="0094648F"/>
    <w:rsid w:val="009471A2"/>
    <w:rsid w:val="009505C9"/>
    <w:rsid w:val="009506B2"/>
    <w:rsid w:val="00950752"/>
    <w:rsid w:val="00953196"/>
    <w:rsid w:val="009544F7"/>
    <w:rsid w:val="00956F61"/>
    <w:rsid w:val="00957427"/>
    <w:rsid w:val="00961E07"/>
    <w:rsid w:val="00961EB1"/>
    <w:rsid w:val="00963172"/>
    <w:rsid w:val="00963222"/>
    <w:rsid w:val="00963BB4"/>
    <w:rsid w:val="00963F9C"/>
    <w:rsid w:val="009642F0"/>
    <w:rsid w:val="00964C4C"/>
    <w:rsid w:val="00964FBF"/>
    <w:rsid w:val="0096527D"/>
    <w:rsid w:val="00966424"/>
    <w:rsid w:val="009668E3"/>
    <w:rsid w:val="00966D41"/>
    <w:rsid w:val="009676EA"/>
    <w:rsid w:val="00972576"/>
    <w:rsid w:val="00972A9E"/>
    <w:rsid w:val="00977194"/>
    <w:rsid w:val="00977690"/>
    <w:rsid w:val="00977D66"/>
    <w:rsid w:val="00982103"/>
    <w:rsid w:val="009846A0"/>
    <w:rsid w:val="00985497"/>
    <w:rsid w:val="0098603A"/>
    <w:rsid w:val="009909B0"/>
    <w:rsid w:val="0099170B"/>
    <w:rsid w:val="009931A8"/>
    <w:rsid w:val="009943B4"/>
    <w:rsid w:val="0099500D"/>
    <w:rsid w:val="00995B44"/>
    <w:rsid w:val="00995E24"/>
    <w:rsid w:val="0099795D"/>
    <w:rsid w:val="009A0AA5"/>
    <w:rsid w:val="009A38D7"/>
    <w:rsid w:val="009A3CCB"/>
    <w:rsid w:val="009A3E54"/>
    <w:rsid w:val="009A5D65"/>
    <w:rsid w:val="009A6490"/>
    <w:rsid w:val="009A72EC"/>
    <w:rsid w:val="009A73C7"/>
    <w:rsid w:val="009A7623"/>
    <w:rsid w:val="009B029A"/>
    <w:rsid w:val="009B10B9"/>
    <w:rsid w:val="009B1E3C"/>
    <w:rsid w:val="009B1F26"/>
    <w:rsid w:val="009B2B24"/>
    <w:rsid w:val="009B2B29"/>
    <w:rsid w:val="009B383C"/>
    <w:rsid w:val="009B55BC"/>
    <w:rsid w:val="009B5EE0"/>
    <w:rsid w:val="009B6D70"/>
    <w:rsid w:val="009B7958"/>
    <w:rsid w:val="009B7B78"/>
    <w:rsid w:val="009C04FE"/>
    <w:rsid w:val="009C0B49"/>
    <w:rsid w:val="009C17EE"/>
    <w:rsid w:val="009C1934"/>
    <w:rsid w:val="009C26AD"/>
    <w:rsid w:val="009C2DE6"/>
    <w:rsid w:val="009C2FF4"/>
    <w:rsid w:val="009C35FC"/>
    <w:rsid w:val="009C3B35"/>
    <w:rsid w:val="009D0D94"/>
    <w:rsid w:val="009D39ED"/>
    <w:rsid w:val="009D5F3E"/>
    <w:rsid w:val="009D652E"/>
    <w:rsid w:val="009D6E7B"/>
    <w:rsid w:val="009E1A1F"/>
    <w:rsid w:val="009E350E"/>
    <w:rsid w:val="009E50F6"/>
    <w:rsid w:val="009E51E8"/>
    <w:rsid w:val="009E5D72"/>
    <w:rsid w:val="009E6BE3"/>
    <w:rsid w:val="009E6F30"/>
    <w:rsid w:val="009E7D91"/>
    <w:rsid w:val="009F0E74"/>
    <w:rsid w:val="009F14F0"/>
    <w:rsid w:val="009F156E"/>
    <w:rsid w:val="009F1A2F"/>
    <w:rsid w:val="009F23DA"/>
    <w:rsid w:val="009F24BC"/>
    <w:rsid w:val="009F29E7"/>
    <w:rsid w:val="009F2D9E"/>
    <w:rsid w:val="009F3B3C"/>
    <w:rsid w:val="009F5EF1"/>
    <w:rsid w:val="009F607D"/>
    <w:rsid w:val="009F62E6"/>
    <w:rsid w:val="009F73CA"/>
    <w:rsid w:val="009F73D1"/>
    <w:rsid w:val="009F761D"/>
    <w:rsid w:val="00A01EC3"/>
    <w:rsid w:val="00A03006"/>
    <w:rsid w:val="00A031A3"/>
    <w:rsid w:val="00A072BC"/>
    <w:rsid w:val="00A07CBC"/>
    <w:rsid w:val="00A1015B"/>
    <w:rsid w:val="00A10F0E"/>
    <w:rsid w:val="00A11321"/>
    <w:rsid w:val="00A14851"/>
    <w:rsid w:val="00A1554B"/>
    <w:rsid w:val="00A16530"/>
    <w:rsid w:val="00A20424"/>
    <w:rsid w:val="00A211CC"/>
    <w:rsid w:val="00A24611"/>
    <w:rsid w:val="00A259E4"/>
    <w:rsid w:val="00A26BBF"/>
    <w:rsid w:val="00A27FE8"/>
    <w:rsid w:val="00A30CE7"/>
    <w:rsid w:val="00A319D4"/>
    <w:rsid w:val="00A3426A"/>
    <w:rsid w:val="00A348A4"/>
    <w:rsid w:val="00A34FD3"/>
    <w:rsid w:val="00A37570"/>
    <w:rsid w:val="00A37F5A"/>
    <w:rsid w:val="00A40671"/>
    <w:rsid w:val="00A40759"/>
    <w:rsid w:val="00A413EE"/>
    <w:rsid w:val="00A421C0"/>
    <w:rsid w:val="00A434D2"/>
    <w:rsid w:val="00A44B24"/>
    <w:rsid w:val="00A45C2F"/>
    <w:rsid w:val="00A45CF5"/>
    <w:rsid w:val="00A4764C"/>
    <w:rsid w:val="00A47F7E"/>
    <w:rsid w:val="00A5038B"/>
    <w:rsid w:val="00A50BDB"/>
    <w:rsid w:val="00A534EC"/>
    <w:rsid w:val="00A552D7"/>
    <w:rsid w:val="00A55591"/>
    <w:rsid w:val="00A55B03"/>
    <w:rsid w:val="00A55E68"/>
    <w:rsid w:val="00A56738"/>
    <w:rsid w:val="00A5760A"/>
    <w:rsid w:val="00A618F2"/>
    <w:rsid w:val="00A63777"/>
    <w:rsid w:val="00A63A5B"/>
    <w:rsid w:val="00A64412"/>
    <w:rsid w:val="00A64702"/>
    <w:rsid w:val="00A64E44"/>
    <w:rsid w:val="00A65268"/>
    <w:rsid w:val="00A660D8"/>
    <w:rsid w:val="00A6644D"/>
    <w:rsid w:val="00A71B6D"/>
    <w:rsid w:val="00A7373B"/>
    <w:rsid w:val="00A74F84"/>
    <w:rsid w:val="00A75139"/>
    <w:rsid w:val="00A77217"/>
    <w:rsid w:val="00A81903"/>
    <w:rsid w:val="00A81D08"/>
    <w:rsid w:val="00A84198"/>
    <w:rsid w:val="00A8450F"/>
    <w:rsid w:val="00A8615B"/>
    <w:rsid w:val="00A8691E"/>
    <w:rsid w:val="00A86CE0"/>
    <w:rsid w:val="00A86DAF"/>
    <w:rsid w:val="00A873F1"/>
    <w:rsid w:val="00A87A64"/>
    <w:rsid w:val="00A90411"/>
    <w:rsid w:val="00A90627"/>
    <w:rsid w:val="00A90639"/>
    <w:rsid w:val="00A90C6C"/>
    <w:rsid w:val="00A92277"/>
    <w:rsid w:val="00A932CC"/>
    <w:rsid w:val="00A939B9"/>
    <w:rsid w:val="00A93C8F"/>
    <w:rsid w:val="00A9558E"/>
    <w:rsid w:val="00A97283"/>
    <w:rsid w:val="00A9759C"/>
    <w:rsid w:val="00A978A3"/>
    <w:rsid w:val="00AA003E"/>
    <w:rsid w:val="00AA048D"/>
    <w:rsid w:val="00AA16BE"/>
    <w:rsid w:val="00AA4A3D"/>
    <w:rsid w:val="00AA575E"/>
    <w:rsid w:val="00AA6F92"/>
    <w:rsid w:val="00AA701F"/>
    <w:rsid w:val="00AA7254"/>
    <w:rsid w:val="00AA741B"/>
    <w:rsid w:val="00AB0217"/>
    <w:rsid w:val="00AB0483"/>
    <w:rsid w:val="00AB0698"/>
    <w:rsid w:val="00AB13C5"/>
    <w:rsid w:val="00AB16A8"/>
    <w:rsid w:val="00AB3CB0"/>
    <w:rsid w:val="00AB4382"/>
    <w:rsid w:val="00AB4599"/>
    <w:rsid w:val="00AB47E4"/>
    <w:rsid w:val="00AB4942"/>
    <w:rsid w:val="00AB6509"/>
    <w:rsid w:val="00AB6934"/>
    <w:rsid w:val="00AC1892"/>
    <w:rsid w:val="00AC2A19"/>
    <w:rsid w:val="00AC3DB6"/>
    <w:rsid w:val="00AC50F8"/>
    <w:rsid w:val="00AC7113"/>
    <w:rsid w:val="00AC72F1"/>
    <w:rsid w:val="00AC73BA"/>
    <w:rsid w:val="00AC7C80"/>
    <w:rsid w:val="00AD0577"/>
    <w:rsid w:val="00AD06B7"/>
    <w:rsid w:val="00AD0BEF"/>
    <w:rsid w:val="00AD1777"/>
    <w:rsid w:val="00AD2324"/>
    <w:rsid w:val="00AD23E9"/>
    <w:rsid w:val="00AD3FB6"/>
    <w:rsid w:val="00AD49B9"/>
    <w:rsid w:val="00AD6EE9"/>
    <w:rsid w:val="00AD7D1A"/>
    <w:rsid w:val="00AE06B5"/>
    <w:rsid w:val="00AE167C"/>
    <w:rsid w:val="00AE1F90"/>
    <w:rsid w:val="00AE21DC"/>
    <w:rsid w:val="00AE3287"/>
    <w:rsid w:val="00AE5383"/>
    <w:rsid w:val="00AE55BF"/>
    <w:rsid w:val="00AE5A77"/>
    <w:rsid w:val="00AE5F3E"/>
    <w:rsid w:val="00AF0BDE"/>
    <w:rsid w:val="00AF110D"/>
    <w:rsid w:val="00AF14B4"/>
    <w:rsid w:val="00AF2AF5"/>
    <w:rsid w:val="00AF2E0D"/>
    <w:rsid w:val="00AF42DE"/>
    <w:rsid w:val="00AF4596"/>
    <w:rsid w:val="00AF4D1C"/>
    <w:rsid w:val="00AF4ED9"/>
    <w:rsid w:val="00AF5954"/>
    <w:rsid w:val="00AF728D"/>
    <w:rsid w:val="00AF7714"/>
    <w:rsid w:val="00AF7A0A"/>
    <w:rsid w:val="00AF7CA8"/>
    <w:rsid w:val="00B00A35"/>
    <w:rsid w:val="00B02021"/>
    <w:rsid w:val="00B02AED"/>
    <w:rsid w:val="00B034D4"/>
    <w:rsid w:val="00B03F81"/>
    <w:rsid w:val="00B04031"/>
    <w:rsid w:val="00B04D77"/>
    <w:rsid w:val="00B108CA"/>
    <w:rsid w:val="00B10CE7"/>
    <w:rsid w:val="00B10CFB"/>
    <w:rsid w:val="00B110C3"/>
    <w:rsid w:val="00B136CD"/>
    <w:rsid w:val="00B156AA"/>
    <w:rsid w:val="00B21EAE"/>
    <w:rsid w:val="00B22024"/>
    <w:rsid w:val="00B223A6"/>
    <w:rsid w:val="00B233B7"/>
    <w:rsid w:val="00B24845"/>
    <w:rsid w:val="00B2536B"/>
    <w:rsid w:val="00B25BDD"/>
    <w:rsid w:val="00B2789B"/>
    <w:rsid w:val="00B279AD"/>
    <w:rsid w:val="00B30F17"/>
    <w:rsid w:val="00B31434"/>
    <w:rsid w:val="00B3197F"/>
    <w:rsid w:val="00B329CA"/>
    <w:rsid w:val="00B32DB0"/>
    <w:rsid w:val="00B33017"/>
    <w:rsid w:val="00B3369F"/>
    <w:rsid w:val="00B3489B"/>
    <w:rsid w:val="00B359CB"/>
    <w:rsid w:val="00B36E70"/>
    <w:rsid w:val="00B40027"/>
    <w:rsid w:val="00B41C01"/>
    <w:rsid w:val="00B4238E"/>
    <w:rsid w:val="00B4382E"/>
    <w:rsid w:val="00B46DB5"/>
    <w:rsid w:val="00B50767"/>
    <w:rsid w:val="00B53804"/>
    <w:rsid w:val="00B569F6"/>
    <w:rsid w:val="00B61E90"/>
    <w:rsid w:val="00B652B9"/>
    <w:rsid w:val="00B7007E"/>
    <w:rsid w:val="00B707AC"/>
    <w:rsid w:val="00B70C1E"/>
    <w:rsid w:val="00B71071"/>
    <w:rsid w:val="00B72899"/>
    <w:rsid w:val="00B74C44"/>
    <w:rsid w:val="00B75775"/>
    <w:rsid w:val="00B75A20"/>
    <w:rsid w:val="00B767F5"/>
    <w:rsid w:val="00B76F14"/>
    <w:rsid w:val="00B778DD"/>
    <w:rsid w:val="00B802A9"/>
    <w:rsid w:val="00B832CA"/>
    <w:rsid w:val="00B842D3"/>
    <w:rsid w:val="00B849D4"/>
    <w:rsid w:val="00B85582"/>
    <w:rsid w:val="00B8559D"/>
    <w:rsid w:val="00B85835"/>
    <w:rsid w:val="00B87665"/>
    <w:rsid w:val="00B87715"/>
    <w:rsid w:val="00B87BAD"/>
    <w:rsid w:val="00B87C74"/>
    <w:rsid w:val="00B91248"/>
    <w:rsid w:val="00B91363"/>
    <w:rsid w:val="00B94027"/>
    <w:rsid w:val="00B94E6C"/>
    <w:rsid w:val="00B951E0"/>
    <w:rsid w:val="00B96AEB"/>
    <w:rsid w:val="00B96C21"/>
    <w:rsid w:val="00BA012C"/>
    <w:rsid w:val="00BA24BC"/>
    <w:rsid w:val="00BA2C43"/>
    <w:rsid w:val="00BA344A"/>
    <w:rsid w:val="00BA38DA"/>
    <w:rsid w:val="00BA454B"/>
    <w:rsid w:val="00BA45A1"/>
    <w:rsid w:val="00BA45FA"/>
    <w:rsid w:val="00BA52D1"/>
    <w:rsid w:val="00BA6352"/>
    <w:rsid w:val="00BA6948"/>
    <w:rsid w:val="00BA6E1A"/>
    <w:rsid w:val="00BA7C70"/>
    <w:rsid w:val="00BB131A"/>
    <w:rsid w:val="00BB1623"/>
    <w:rsid w:val="00BB3072"/>
    <w:rsid w:val="00BB4606"/>
    <w:rsid w:val="00BB7046"/>
    <w:rsid w:val="00BC0D3D"/>
    <w:rsid w:val="00BC4048"/>
    <w:rsid w:val="00BC4485"/>
    <w:rsid w:val="00BC4634"/>
    <w:rsid w:val="00BC49D7"/>
    <w:rsid w:val="00BC5821"/>
    <w:rsid w:val="00BC613B"/>
    <w:rsid w:val="00BC6567"/>
    <w:rsid w:val="00BC7330"/>
    <w:rsid w:val="00BD041D"/>
    <w:rsid w:val="00BD0AB9"/>
    <w:rsid w:val="00BD2A90"/>
    <w:rsid w:val="00BD3079"/>
    <w:rsid w:val="00BD4C0D"/>
    <w:rsid w:val="00BD4D0E"/>
    <w:rsid w:val="00BD4E35"/>
    <w:rsid w:val="00BD7648"/>
    <w:rsid w:val="00BD7917"/>
    <w:rsid w:val="00BE040A"/>
    <w:rsid w:val="00BE1210"/>
    <w:rsid w:val="00BE235D"/>
    <w:rsid w:val="00BE2470"/>
    <w:rsid w:val="00BE30DD"/>
    <w:rsid w:val="00BE3B04"/>
    <w:rsid w:val="00BE3B6D"/>
    <w:rsid w:val="00BE4552"/>
    <w:rsid w:val="00BE48EA"/>
    <w:rsid w:val="00BE4A10"/>
    <w:rsid w:val="00BE4D6B"/>
    <w:rsid w:val="00BE4DC7"/>
    <w:rsid w:val="00BF088B"/>
    <w:rsid w:val="00BF0B40"/>
    <w:rsid w:val="00BF0BDD"/>
    <w:rsid w:val="00BF127B"/>
    <w:rsid w:val="00BF2CD8"/>
    <w:rsid w:val="00BF430F"/>
    <w:rsid w:val="00BF4DA5"/>
    <w:rsid w:val="00BF7F36"/>
    <w:rsid w:val="00C00842"/>
    <w:rsid w:val="00C00FBF"/>
    <w:rsid w:val="00C01BE3"/>
    <w:rsid w:val="00C02B7B"/>
    <w:rsid w:val="00C036D9"/>
    <w:rsid w:val="00C03F68"/>
    <w:rsid w:val="00C05794"/>
    <w:rsid w:val="00C0624B"/>
    <w:rsid w:val="00C069D8"/>
    <w:rsid w:val="00C06C93"/>
    <w:rsid w:val="00C10B7E"/>
    <w:rsid w:val="00C1157A"/>
    <w:rsid w:val="00C1173C"/>
    <w:rsid w:val="00C117B3"/>
    <w:rsid w:val="00C12BCA"/>
    <w:rsid w:val="00C13F86"/>
    <w:rsid w:val="00C16B84"/>
    <w:rsid w:val="00C22B10"/>
    <w:rsid w:val="00C22B15"/>
    <w:rsid w:val="00C2313C"/>
    <w:rsid w:val="00C23CE9"/>
    <w:rsid w:val="00C23D2F"/>
    <w:rsid w:val="00C24297"/>
    <w:rsid w:val="00C242B8"/>
    <w:rsid w:val="00C2650E"/>
    <w:rsid w:val="00C30105"/>
    <w:rsid w:val="00C40DFD"/>
    <w:rsid w:val="00C42C3E"/>
    <w:rsid w:val="00C438C8"/>
    <w:rsid w:val="00C43914"/>
    <w:rsid w:val="00C43DA3"/>
    <w:rsid w:val="00C43E1B"/>
    <w:rsid w:val="00C443BD"/>
    <w:rsid w:val="00C451C5"/>
    <w:rsid w:val="00C4614F"/>
    <w:rsid w:val="00C4634E"/>
    <w:rsid w:val="00C542E7"/>
    <w:rsid w:val="00C54300"/>
    <w:rsid w:val="00C55423"/>
    <w:rsid w:val="00C5579D"/>
    <w:rsid w:val="00C567B8"/>
    <w:rsid w:val="00C570C5"/>
    <w:rsid w:val="00C57AA5"/>
    <w:rsid w:val="00C623E3"/>
    <w:rsid w:val="00C6308E"/>
    <w:rsid w:val="00C63612"/>
    <w:rsid w:val="00C64494"/>
    <w:rsid w:val="00C6468B"/>
    <w:rsid w:val="00C64BA2"/>
    <w:rsid w:val="00C652D2"/>
    <w:rsid w:val="00C66612"/>
    <w:rsid w:val="00C6794A"/>
    <w:rsid w:val="00C703C5"/>
    <w:rsid w:val="00C70AC3"/>
    <w:rsid w:val="00C71F18"/>
    <w:rsid w:val="00C72260"/>
    <w:rsid w:val="00C72C85"/>
    <w:rsid w:val="00C736F1"/>
    <w:rsid w:val="00C74078"/>
    <w:rsid w:val="00C74398"/>
    <w:rsid w:val="00C74861"/>
    <w:rsid w:val="00C75415"/>
    <w:rsid w:val="00C76094"/>
    <w:rsid w:val="00C76713"/>
    <w:rsid w:val="00C76A8A"/>
    <w:rsid w:val="00C774CE"/>
    <w:rsid w:val="00C77694"/>
    <w:rsid w:val="00C800A6"/>
    <w:rsid w:val="00C80336"/>
    <w:rsid w:val="00C80724"/>
    <w:rsid w:val="00C8190F"/>
    <w:rsid w:val="00C82093"/>
    <w:rsid w:val="00C839B3"/>
    <w:rsid w:val="00C85FB7"/>
    <w:rsid w:val="00C86EE2"/>
    <w:rsid w:val="00C86FA3"/>
    <w:rsid w:val="00C90F58"/>
    <w:rsid w:val="00C9161D"/>
    <w:rsid w:val="00C91A44"/>
    <w:rsid w:val="00C92B96"/>
    <w:rsid w:val="00C93371"/>
    <w:rsid w:val="00C9475B"/>
    <w:rsid w:val="00C951EF"/>
    <w:rsid w:val="00C954EB"/>
    <w:rsid w:val="00CA0C1D"/>
    <w:rsid w:val="00CA15A8"/>
    <w:rsid w:val="00CA1EA0"/>
    <w:rsid w:val="00CA3B80"/>
    <w:rsid w:val="00CA42C2"/>
    <w:rsid w:val="00CA5347"/>
    <w:rsid w:val="00CA53B5"/>
    <w:rsid w:val="00CB0869"/>
    <w:rsid w:val="00CB0B9D"/>
    <w:rsid w:val="00CB5A5E"/>
    <w:rsid w:val="00CB5ACE"/>
    <w:rsid w:val="00CC0019"/>
    <w:rsid w:val="00CC0224"/>
    <w:rsid w:val="00CC2DC8"/>
    <w:rsid w:val="00CC4D61"/>
    <w:rsid w:val="00CC50E5"/>
    <w:rsid w:val="00CC5A44"/>
    <w:rsid w:val="00CC79BA"/>
    <w:rsid w:val="00CD079C"/>
    <w:rsid w:val="00CD1F80"/>
    <w:rsid w:val="00CD374C"/>
    <w:rsid w:val="00CD3E2C"/>
    <w:rsid w:val="00CD4260"/>
    <w:rsid w:val="00CD4743"/>
    <w:rsid w:val="00CD6257"/>
    <w:rsid w:val="00CD7B57"/>
    <w:rsid w:val="00CE04A1"/>
    <w:rsid w:val="00CE058B"/>
    <w:rsid w:val="00CE3310"/>
    <w:rsid w:val="00CE3C1B"/>
    <w:rsid w:val="00CE42D9"/>
    <w:rsid w:val="00CE4CDC"/>
    <w:rsid w:val="00CE50E9"/>
    <w:rsid w:val="00CE5142"/>
    <w:rsid w:val="00CF12E2"/>
    <w:rsid w:val="00CF1359"/>
    <w:rsid w:val="00CF170C"/>
    <w:rsid w:val="00CF1848"/>
    <w:rsid w:val="00CF2B10"/>
    <w:rsid w:val="00CF384E"/>
    <w:rsid w:val="00CF5B0F"/>
    <w:rsid w:val="00CF5C59"/>
    <w:rsid w:val="00CF7880"/>
    <w:rsid w:val="00D00E12"/>
    <w:rsid w:val="00D016E1"/>
    <w:rsid w:val="00D023F9"/>
    <w:rsid w:val="00D024BD"/>
    <w:rsid w:val="00D0352C"/>
    <w:rsid w:val="00D03622"/>
    <w:rsid w:val="00D03FD8"/>
    <w:rsid w:val="00D0438E"/>
    <w:rsid w:val="00D04944"/>
    <w:rsid w:val="00D054F5"/>
    <w:rsid w:val="00D059F0"/>
    <w:rsid w:val="00D06643"/>
    <w:rsid w:val="00D108FE"/>
    <w:rsid w:val="00D10A4C"/>
    <w:rsid w:val="00D12044"/>
    <w:rsid w:val="00D125C3"/>
    <w:rsid w:val="00D12720"/>
    <w:rsid w:val="00D12B64"/>
    <w:rsid w:val="00D13A0F"/>
    <w:rsid w:val="00D13C7A"/>
    <w:rsid w:val="00D14724"/>
    <w:rsid w:val="00D14C2D"/>
    <w:rsid w:val="00D15366"/>
    <w:rsid w:val="00D15CC2"/>
    <w:rsid w:val="00D16008"/>
    <w:rsid w:val="00D16575"/>
    <w:rsid w:val="00D1696D"/>
    <w:rsid w:val="00D16E03"/>
    <w:rsid w:val="00D16E8B"/>
    <w:rsid w:val="00D17E97"/>
    <w:rsid w:val="00D200DF"/>
    <w:rsid w:val="00D206A4"/>
    <w:rsid w:val="00D22072"/>
    <w:rsid w:val="00D22ED0"/>
    <w:rsid w:val="00D23D8D"/>
    <w:rsid w:val="00D2479E"/>
    <w:rsid w:val="00D249A7"/>
    <w:rsid w:val="00D25562"/>
    <w:rsid w:val="00D26ED4"/>
    <w:rsid w:val="00D31CC1"/>
    <w:rsid w:val="00D31EA7"/>
    <w:rsid w:val="00D33141"/>
    <w:rsid w:val="00D33EFC"/>
    <w:rsid w:val="00D37BD5"/>
    <w:rsid w:val="00D404F7"/>
    <w:rsid w:val="00D40DBC"/>
    <w:rsid w:val="00D42DE5"/>
    <w:rsid w:val="00D44E2B"/>
    <w:rsid w:val="00D47E33"/>
    <w:rsid w:val="00D5053E"/>
    <w:rsid w:val="00D51067"/>
    <w:rsid w:val="00D54799"/>
    <w:rsid w:val="00D5555B"/>
    <w:rsid w:val="00D555EF"/>
    <w:rsid w:val="00D5606B"/>
    <w:rsid w:val="00D56683"/>
    <w:rsid w:val="00D60142"/>
    <w:rsid w:val="00D606F3"/>
    <w:rsid w:val="00D60B5B"/>
    <w:rsid w:val="00D61713"/>
    <w:rsid w:val="00D62B56"/>
    <w:rsid w:val="00D6495A"/>
    <w:rsid w:val="00D66B04"/>
    <w:rsid w:val="00D66D35"/>
    <w:rsid w:val="00D67B80"/>
    <w:rsid w:val="00D70CC2"/>
    <w:rsid w:val="00D71C40"/>
    <w:rsid w:val="00D74628"/>
    <w:rsid w:val="00D74FDC"/>
    <w:rsid w:val="00D75CF6"/>
    <w:rsid w:val="00D75F29"/>
    <w:rsid w:val="00D76A18"/>
    <w:rsid w:val="00D77DB2"/>
    <w:rsid w:val="00D77E09"/>
    <w:rsid w:val="00D8082D"/>
    <w:rsid w:val="00D80849"/>
    <w:rsid w:val="00D829F5"/>
    <w:rsid w:val="00D82E8F"/>
    <w:rsid w:val="00D83D4C"/>
    <w:rsid w:val="00D83D96"/>
    <w:rsid w:val="00D84221"/>
    <w:rsid w:val="00D87F5E"/>
    <w:rsid w:val="00D90A12"/>
    <w:rsid w:val="00D91DF2"/>
    <w:rsid w:val="00D92870"/>
    <w:rsid w:val="00D94493"/>
    <w:rsid w:val="00D96B39"/>
    <w:rsid w:val="00D97C78"/>
    <w:rsid w:val="00DA0877"/>
    <w:rsid w:val="00DA43D6"/>
    <w:rsid w:val="00DA4B0F"/>
    <w:rsid w:val="00DA57BC"/>
    <w:rsid w:val="00DB0771"/>
    <w:rsid w:val="00DB0BBB"/>
    <w:rsid w:val="00DB12BA"/>
    <w:rsid w:val="00DB18B5"/>
    <w:rsid w:val="00DB2947"/>
    <w:rsid w:val="00DB3BC5"/>
    <w:rsid w:val="00DB40EC"/>
    <w:rsid w:val="00DB4AE1"/>
    <w:rsid w:val="00DB62C6"/>
    <w:rsid w:val="00DB65DC"/>
    <w:rsid w:val="00DB6694"/>
    <w:rsid w:val="00DB66DC"/>
    <w:rsid w:val="00DC0BAC"/>
    <w:rsid w:val="00DC0FA5"/>
    <w:rsid w:val="00DC276D"/>
    <w:rsid w:val="00DC42D3"/>
    <w:rsid w:val="00DC5CAC"/>
    <w:rsid w:val="00DC737B"/>
    <w:rsid w:val="00DC7C49"/>
    <w:rsid w:val="00DD118C"/>
    <w:rsid w:val="00DD12C6"/>
    <w:rsid w:val="00DD16B7"/>
    <w:rsid w:val="00DD31B8"/>
    <w:rsid w:val="00DD3744"/>
    <w:rsid w:val="00DD3C1E"/>
    <w:rsid w:val="00DD7755"/>
    <w:rsid w:val="00DD7769"/>
    <w:rsid w:val="00DE0201"/>
    <w:rsid w:val="00DE0DAC"/>
    <w:rsid w:val="00DE178E"/>
    <w:rsid w:val="00DE1E53"/>
    <w:rsid w:val="00DE3519"/>
    <w:rsid w:val="00DE44F2"/>
    <w:rsid w:val="00DE5692"/>
    <w:rsid w:val="00DE606E"/>
    <w:rsid w:val="00DE6E32"/>
    <w:rsid w:val="00DF0246"/>
    <w:rsid w:val="00DF08C0"/>
    <w:rsid w:val="00DF0CE1"/>
    <w:rsid w:val="00DF158F"/>
    <w:rsid w:val="00DF393D"/>
    <w:rsid w:val="00DF4055"/>
    <w:rsid w:val="00DF43BD"/>
    <w:rsid w:val="00DF5B20"/>
    <w:rsid w:val="00DF6215"/>
    <w:rsid w:val="00DF6541"/>
    <w:rsid w:val="00DF6A2B"/>
    <w:rsid w:val="00E00013"/>
    <w:rsid w:val="00E00C22"/>
    <w:rsid w:val="00E0172C"/>
    <w:rsid w:val="00E05859"/>
    <w:rsid w:val="00E0681E"/>
    <w:rsid w:val="00E0704A"/>
    <w:rsid w:val="00E074E2"/>
    <w:rsid w:val="00E10D02"/>
    <w:rsid w:val="00E111BF"/>
    <w:rsid w:val="00E21A1E"/>
    <w:rsid w:val="00E23942"/>
    <w:rsid w:val="00E26364"/>
    <w:rsid w:val="00E30001"/>
    <w:rsid w:val="00E31BB5"/>
    <w:rsid w:val="00E31CC4"/>
    <w:rsid w:val="00E32B4B"/>
    <w:rsid w:val="00E32C3C"/>
    <w:rsid w:val="00E32DEA"/>
    <w:rsid w:val="00E33659"/>
    <w:rsid w:val="00E33C56"/>
    <w:rsid w:val="00E3446C"/>
    <w:rsid w:val="00E364F7"/>
    <w:rsid w:val="00E36F98"/>
    <w:rsid w:val="00E4263D"/>
    <w:rsid w:val="00E42C80"/>
    <w:rsid w:val="00E43173"/>
    <w:rsid w:val="00E43CA4"/>
    <w:rsid w:val="00E43D1B"/>
    <w:rsid w:val="00E447A8"/>
    <w:rsid w:val="00E44EBC"/>
    <w:rsid w:val="00E45B66"/>
    <w:rsid w:val="00E46CEE"/>
    <w:rsid w:val="00E47BB2"/>
    <w:rsid w:val="00E5251D"/>
    <w:rsid w:val="00E52BF2"/>
    <w:rsid w:val="00E54CAD"/>
    <w:rsid w:val="00E5652D"/>
    <w:rsid w:val="00E5794E"/>
    <w:rsid w:val="00E61006"/>
    <w:rsid w:val="00E625EF"/>
    <w:rsid w:val="00E62AAB"/>
    <w:rsid w:val="00E6381F"/>
    <w:rsid w:val="00E64029"/>
    <w:rsid w:val="00E640C8"/>
    <w:rsid w:val="00E64578"/>
    <w:rsid w:val="00E64733"/>
    <w:rsid w:val="00E64986"/>
    <w:rsid w:val="00E66235"/>
    <w:rsid w:val="00E662E5"/>
    <w:rsid w:val="00E66C41"/>
    <w:rsid w:val="00E66C49"/>
    <w:rsid w:val="00E70418"/>
    <w:rsid w:val="00E7118A"/>
    <w:rsid w:val="00E7141F"/>
    <w:rsid w:val="00E71EDB"/>
    <w:rsid w:val="00E7268F"/>
    <w:rsid w:val="00E72FE5"/>
    <w:rsid w:val="00E74F53"/>
    <w:rsid w:val="00E76F9E"/>
    <w:rsid w:val="00E7720A"/>
    <w:rsid w:val="00E815C0"/>
    <w:rsid w:val="00E83C24"/>
    <w:rsid w:val="00E86135"/>
    <w:rsid w:val="00E90A8B"/>
    <w:rsid w:val="00E91735"/>
    <w:rsid w:val="00E91B7B"/>
    <w:rsid w:val="00E9318D"/>
    <w:rsid w:val="00E932DE"/>
    <w:rsid w:val="00E93A40"/>
    <w:rsid w:val="00E9514C"/>
    <w:rsid w:val="00E9548A"/>
    <w:rsid w:val="00E9595C"/>
    <w:rsid w:val="00E9671D"/>
    <w:rsid w:val="00EA3921"/>
    <w:rsid w:val="00EA3B72"/>
    <w:rsid w:val="00EA52F3"/>
    <w:rsid w:val="00EA5592"/>
    <w:rsid w:val="00EA58EB"/>
    <w:rsid w:val="00EA6677"/>
    <w:rsid w:val="00EA6F63"/>
    <w:rsid w:val="00EA7701"/>
    <w:rsid w:val="00EA7A1F"/>
    <w:rsid w:val="00EB0170"/>
    <w:rsid w:val="00EB03D1"/>
    <w:rsid w:val="00EB0B7D"/>
    <w:rsid w:val="00EB216E"/>
    <w:rsid w:val="00EB22F2"/>
    <w:rsid w:val="00EB29C3"/>
    <w:rsid w:val="00EB4B44"/>
    <w:rsid w:val="00EB4BAD"/>
    <w:rsid w:val="00EB5481"/>
    <w:rsid w:val="00EB5C66"/>
    <w:rsid w:val="00EB79AB"/>
    <w:rsid w:val="00EB7F8C"/>
    <w:rsid w:val="00EC1293"/>
    <w:rsid w:val="00EC41DA"/>
    <w:rsid w:val="00ED0399"/>
    <w:rsid w:val="00ED085B"/>
    <w:rsid w:val="00ED0A42"/>
    <w:rsid w:val="00ED0B05"/>
    <w:rsid w:val="00ED1331"/>
    <w:rsid w:val="00ED1765"/>
    <w:rsid w:val="00ED1EFC"/>
    <w:rsid w:val="00ED2E23"/>
    <w:rsid w:val="00ED3325"/>
    <w:rsid w:val="00ED3DFC"/>
    <w:rsid w:val="00ED4EC7"/>
    <w:rsid w:val="00ED6922"/>
    <w:rsid w:val="00ED6AED"/>
    <w:rsid w:val="00ED71F1"/>
    <w:rsid w:val="00ED7254"/>
    <w:rsid w:val="00EE04DA"/>
    <w:rsid w:val="00EE1B44"/>
    <w:rsid w:val="00EE2EB5"/>
    <w:rsid w:val="00EE4567"/>
    <w:rsid w:val="00EE637E"/>
    <w:rsid w:val="00EE66F0"/>
    <w:rsid w:val="00EE6BF0"/>
    <w:rsid w:val="00EE76E4"/>
    <w:rsid w:val="00EF0215"/>
    <w:rsid w:val="00EF3D9B"/>
    <w:rsid w:val="00EF4331"/>
    <w:rsid w:val="00EF499E"/>
    <w:rsid w:val="00EF6086"/>
    <w:rsid w:val="00EF60F8"/>
    <w:rsid w:val="00EF6B67"/>
    <w:rsid w:val="00F019E4"/>
    <w:rsid w:val="00F0295D"/>
    <w:rsid w:val="00F02B5E"/>
    <w:rsid w:val="00F0420E"/>
    <w:rsid w:val="00F0441E"/>
    <w:rsid w:val="00F04460"/>
    <w:rsid w:val="00F057E3"/>
    <w:rsid w:val="00F05F13"/>
    <w:rsid w:val="00F072C5"/>
    <w:rsid w:val="00F10437"/>
    <w:rsid w:val="00F12D99"/>
    <w:rsid w:val="00F13263"/>
    <w:rsid w:val="00F1326E"/>
    <w:rsid w:val="00F1398E"/>
    <w:rsid w:val="00F148C0"/>
    <w:rsid w:val="00F15D25"/>
    <w:rsid w:val="00F17166"/>
    <w:rsid w:val="00F226A5"/>
    <w:rsid w:val="00F228F4"/>
    <w:rsid w:val="00F24778"/>
    <w:rsid w:val="00F26C2A"/>
    <w:rsid w:val="00F27343"/>
    <w:rsid w:val="00F306B0"/>
    <w:rsid w:val="00F31F60"/>
    <w:rsid w:val="00F33B43"/>
    <w:rsid w:val="00F34118"/>
    <w:rsid w:val="00F34C2F"/>
    <w:rsid w:val="00F353E2"/>
    <w:rsid w:val="00F356E6"/>
    <w:rsid w:val="00F35896"/>
    <w:rsid w:val="00F37439"/>
    <w:rsid w:val="00F40897"/>
    <w:rsid w:val="00F41267"/>
    <w:rsid w:val="00F41326"/>
    <w:rsid w:val="00F42442"/>
    <w:rsid w:val="00F45053"/>
    <w:rsid w:val="00F464B9"/>
    <w:rsid w:val="00F46A3B"/>
    <w:rsid w:val="00F46E18"/>
    <w:rsid w:val="00F4796E"/>
    <w:rsid w:val="00F50D5D"/>
    <w:rsid w:val="00F51919"/>
    <w:rsid w:val="00F53193"/>
    <w:rsid w:val="00F53311"/>
    <w:rsid w:val="00F5357E"/>
    <w:rsid w:val="00F55C9C"/>
    <w:rsid w:val="00F573B9"/>
    <w:rsid w:val="00F5780D"/>
    <w:rsid w:val="00F60FED"/>
    <w:rsid w:val="00F61330"/>
    <w:rsid w:val="00F61C1E"/>
    <w:rsid w:val="00F63C8F"/>
    <w:rsid w:val="00F643BD"/>
    <w:rsid w:val="00F6586C"/>
    <w:rsid w:val="00F65E21"/>
    <w:rsid w:val="00F661CA"/>
    <w:rsid w:val="00F67CA3"/>
    <w:rsid w:val="00F71241"/>
    <w:rsid w:val="00F71D91"/>
    <w:rsid w:val="00F72ADC"/>
    <w:rsid w:val="00F75F34"/>
    <w:rsid w:val="00F768BB"/>
    <w:rsid w:val="00F76FF0"/>
    <w:rsid w:val="00F77D73"/>
    <w:rsid w:val="00F83DF9"/>
    <w:rsid w:val="00F845A3"/>
    <w:rsid w:val="00F84EFA"/>
    <w:rsid w:val="00F85716"/>
    <w:rsid w:val="00F879F5"/>
    <w:rsid w:val="00F87F1B"/>
    <w:rsid w:val="00F9017F"/>
    <w:rsid w:val="00F93D4E"/>
    <w:rsid w:val="00F94774"/>
    <w:rsid w:val="00F953E2"/>
    <w:rsid w:val="00F95706"/>
    <w:rsid w:val="00F95751"/>
    <w:rsid w:val="00F95766"/>
    <w:rsid w:val="00F95EDE"/>
    <w:rsid w:val="00FA0554"/>
    <w:rsid w:val="00FA1AA8"/>
    <w:rsid w:val="00FA26C5"/>
    <w:rsid w:val="00FA2B42"/>
    <w:rsid w:val="00FA30CF"/>
    <w:rsid w:val="00FA3B47"/>
    <w:rsid w:val="00FA5D85"/>
    <w:rsid w:val="00FA63DF"/>
    <w:rsid w:val="00FA663B"/>
    <w:rsid w:val="00FA6DBA"/>
    <w:rsid w:val="00FA6DCB"/>
    <w:rsid w:val="00FA7537"/>
    <w:rsid w:val="00FA7664"/>
    <w:rsid w:val="00FB1258"/>
    <w:rsid w:val="00FB21DF"/>
    <w:rsid w:val="00FB3786"/>
    <w:rsid w:val="00FB4029"/>
    <w:rsid w:val="00FB5031"/>
    <w:rsid w:val="00FB5173"/>
    <w:rsid w:val="00FB5546"/>
    <w:rsid w:val="00FB6030"/>
    <w:rsid w:val="00FB674A"/>
    <w:rsid w:val="00FC23A0"/>
    <w:rsid w:val="00FC3403"/>
    <w:rsid w:val="00FC49A4"/>
    <w:rsid w:val="00FC53DB"/>
    <w:rsid w:val="00FD0645"/>
    <w:rsid w:val="00FD0982"/>
    <w:rsid w:val="00FD0A28"/>
    <w:rsid w:val="00FD1029"/>
    <w:rsid w:val="00FD1412"/>
    <w:rsid w:val="00FD34A1"/>
    <w:rsid w:val="00FD5282"/>
    <w:rsid w:val="00FD6402"/>
    <w:rsid w:val="00FE13A1"/>
    <w:rsid w:val="00FE1D65"/>
    <w:rsid w:val="00FE4962"/>
    <w:rsid w:val="00FE5A5B"/>
    <w:rsid w:val="00FE70AC"/>
    <w:rsid w:val="00FE7649"/>
    <w:rsid w:val="00FF021D"/>
    <w:rsid w:val="00FF0E33"/>
    <w:rsid w:val="00FF15F2"/>
    <w:rsid w:val="00FF3322"/>
    <w:rsid w:val="00FF54F7"/>
    <w:rsid w:val="00FF600E"/>
    <w:rsid w:val="00FF609E"/>
    <w:rsid w:val="00FF6F77"/>
    <w:rsid w:val="00FF7C90"/>
    <w:rsid w:val="020F6438"/>
    <w:rsid w:val="097268AF"/>
    <w:rsid w:val="09905E7A"/>
    <w:rsid w:val="0B13301C"/>
    <w:rsid w:val="0C37C953"/>
    <w:rsid w:val="0D5A0465"/>
    <w:rsid w:val="0D92DE26"/>
    <w:rsid w:val="0FBF552E"/>
    <w:rsid w:val="0FEF406F"/>
    <w:rsid w:val="11983307"/>
    <w:rsid w:val="1242E538"/>
    <w:rsid w:val="13C13E2E"/>
    <w:rsid w:val="13F43847"/>
    <w:rsid w:val="14E510E5"/>
    <w:rsid w:val="1565164A"/>
    <w:rsid w:val="162C3088"/>
    <w:rsid w:val="166F43C3"/>
    <w:rsid w:val="177AED98"/>
    <w:rsid w:val="187E2A0D"/>
    <w:rsid w:val="189CB70C"/>
    <w:rsid w:val="1930E48A"/>
    <w:rsid w:val="1A43D607"/>
    <w:rsid w:val="1EC0FE87"/>
    <w:rsid w:val="1F377B87"/>
    <w:rsid w:val="218B9487"/>
    <w:rsid w:val="24C2ACE9"/>
    <w:rsid w:val="27A2F9C6"/>
    <w:rsid w:val="27ACF88E"/>
    <w:rsid w:val="28435A50"/>
    <w:rsid w:val="292D2160"/>
    <w:rsid w:val="2A8A7AC4"/>
    <w:rsid w:val="2B424B27"/>
    <w:rsid w:val="2C4D48C3"/>
    <w:rsid w:val="2C587550"/>
    <w:rsid w:val="302C89B7"/>
    <w:rsid w:val="33AE5D77"/>
    <w:rsid w:val="33D769EC"/>
    <w:rsid w:val="34608EF2"/>
    <w:rsid w:val="3608F996"/>
    <w:rsid w:val="367940A0"/>
    <w:rsid w:val="37B65C54"/>
    <w:rsid w:val="38ADD783"/>
    <w:rsid w:val="3A68E3A4"/>
    <w:rsid w:val="3AC0D63B"/>
    <w:rsid w:val="3AC22A43"/>
    <w:rsid w:val="41893BCC"/>
    <w:rsid w:val="422FC1C8"/>
    <w:rsid w:val="435AC4EA"/>
    <w:rsid w:val="43919475"/>
    <w:rsid w:val="43D10FF7"/>
    <w:rsid w:val="459A8D3D"/>
    <w:rsid w:val="46901036"/>
    <w:rsid w:val="46A56870"/>
    <w:rsid w:val="4A236E8A"/>
    <w:rsid w:val="4CFE2A05"/>
    <w:rsid w:val="4EBB222B"/>
    <w:rsid w:val="500EF8E9"/>
    <w:rsid w:val="51C0195A"/>
    <w:rsid w:val="52E7EBD8"/>
    <w:rsid w:val="551FABC1"/>
    <w:rsid w:val="5556B863"/>
    <w:rsid w:val="58F653FF"/>
    <w:rsid w:val="5AB268E6"/>
    <w:rsid w:val="5B08D1E6"/>
    <w:rsid w:val="5B8BC4C7"/>
    <w:rsid w:val="5F1711DF"/>
    <w:rsid w:val="60C374FC"/>
    <w:rsid w:val="61A9F259"/>
    <w:rsid w:val="632E2BE3"/>
    <w:rsid w:val="644022CF"/>
    <w:rsid w:val="65AF80E7"/>
    <w:rsid w:val="6A7ACD1D"/>
    <w:rsid w:val="6EBE25AC"/>
    <w:rsid w:val="6EDAC808"/>
    <w:rsid w:val="73F65563"/>
    <w:rsid w:val="76758461"/>
    <w:rsid w:val="76A129FA"/>
    <w:rsid w:val="7AEB0E5A"/>
    <w:rsid w:val="7AF61675"/>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5EC"/>
    <w:rPr>
      <w:rFonts w:ascii="Times New Roman" w:eastAsia="Times New Roman" w:hAnsi="Times New Roman" w:cs="Times New Roman"/>
      <w:lang w:val="en-CA"/>
    </w:rPr>
  </w:style>
  <w:style w:type="paragraph" w:styleId="Heading1">
    <w:name w:val="heading 1"/>
    <w:basedOn w:val="Normal"/>
    <w:next w:val="Heading2"/>
    <w:link w:val="Heading1Char"/>
    <w:qFormat/>
    <w:rsid w:val="007E09DA"/>
    <w:pPr>
      <w:keepNext/>
      <w:numPr>
        <w:numId w:val="35"/>
      </w:numPr>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numPr>
        <w:ilvl w:val="1"/>
        <w:numId w:val="35"/>
      </w:numPr>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numPr>
        <w:ilvl w:val="2"/>
        <w:numId w:val="35"/>
      </w:numPr>
      <w:tabs>
        <w:tab w:val="left" w:pos="567"/>
      </w:tabs>
      <w:spacing w:before="120" w:after="120"/>
      <w:jc w:val="center"/>
      <w:outlineLvl w:val="2"/>
    </w:pPr>
    <w:rPr>
      <w:i/>
      <w:iCs/>
    </w:rPr>
  </w:style>
  <w:style w:type="paragraph" w:styleId="Heading4">
    <w:name w:val="heading 4"/>
    <w:basedOn w:val="Normal"/>
    <w:link w:val="Heading4Char"/>
    <w:qFormat/>
    <w:rsid w:val="007E09DA"/>
    <w:pPr>
      <w:keepNext/>
      <w:numPr>
        <w:ilvl w:val="3"/>
        <w:numId w:val="35"/>
      </w:numPr>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35"/>
      </w:numPr>
      <w:spacing w:before="120" w:after="120"/>
      <w:outlineLvl w:val="4"/>
    </w:pPr>
    <w:rPr>
      <w:bCs/>
      <w:i/>
      <w:szCs w:val="26"/>
    </w:rPr>
  </w:style>
  <w:style w:type="paragraph" w:styleId="Heading6">
    <w:name w:val="heading 6"/>
    <w:basedOn w:val="Normal"/>
    <w:next w:val="Normal"/>
    <w:link w:val="Heading6Char"/>
    <w:qFormat/>
    <w:rsid w:val="007E09DA"/>
    <w:pPr>
      <w:keepNext/>
      <w:numPr>
        <w:ilvl w:val="5"/>
        <w:numId w:val="35"/>
      </w:numPr>
      <w:spacing w:after="240" w:line="240" w:lineRule="exact"/>
      <w:outlineLvl w:val="5"/>
    </w:pPr>
    <w:rPr>
      <w:u w:val="single"/>
    </w:rPr>
  </w:style>
  <w:style w:type="paragraph" w:styleId="Heading7">
    <w:name w:val="heading 7"/>
    <w:basedOn w:val="Normal"/>
    <w:next w:val="Normal"/>
    <w:link w:val="Heading7Char"/>
    <w:rsid w:val="007E09DA"/>
    <w:pPr>
      <w:keepNext/>
      <w:numPr>
        <w:ilvl w:val="6"/>
        <w:numId w:val="35"/>
      </w:numPr>
      <w:jc w:val="right"/>
      <w:outlineLvl w:val="6"/>
    </w:pPr>
    <w:rPr>
      <w:rFonts w:ascii="Univers" w:hAnsi="Univers"/>
      <w:b/>
      <w:sz w:val="28"/>
    </w:rPr>
  </w:style>
  <w:style w:type="paragraph" w:styleId="Heading8">
    <w:name w:val="heading 8"/>
    <w:basedOn w:val="Normal"/>
    <w:next w:val="Normal"/>
    <w:link w:val="Heading8Char"/>
    <w:qFormat/>
    <w:rsid w:val="007E09DA"/>
    <w:pPr>
      <w:keepNext/>
      <w:numPr>
        <w:ilvl w:val="7"/>
        <w:numId w:val="35"/>
      </w:numPr>
      <w:jc w:val="right"/>
      <w:outlineLvl w:val="7"/>
    </w:pPr>
    <w:rPr>
      <w:rFonts w:ascii="Univers" w:hAnsi="Univers"/>
      <w:b/>
      <w:sz w:val="32"/>
    </w:rPr>
  </w:style>
  <w:style w:type="paragraph" w:styleId="Heading9">
    <w:name w:val="heading 9"/>
    <w:basedOn w:val="Normal"/>
    <w:next w:val="Normal"/>
    <w:link w:val="Heading9Char"/>
    <w:rsid w:val="007E09DA"/>
    <w:pPr>
      <w:keepNext/>
      <w:numPr>
        <w:ilvl w:val="8"/>
        <w:numId w:val="35"/>
      </w:numPr>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CA"/>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lang w:val="en-CA"/>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Default">
    <w:name w:val="Default"/>
    <w:rsid w:val="003034E8"/>
    <w:pPr>
      <w:autoSpaceDE w:val="0"/>
      <w:autoSpaceDN w:val="0"/>
      <w:adjustRightInd w:val="0"/>
    </w:pPr>
    <w:rPr>
      <w:rFonts w:ascii="Times New Roman" w:hAnsi="Times New Roman" w:cs="Times New Roman"/>
      <w:color w:val="000000"/>
      <w:lang w:val="en-US"/>
    </w:rPr>
  </w:style>
  <w:style w:type="character" w:customStyle="1" w:styleId="UnresolvedMention">
    <w:name w:val="Unresolved Mention"/>
    <w:basedOn w:val="DefaultParagraphFont"/>
    <w:uiPriority w:val="99"/>
    <w:unhideWhenUsed/>
    <w:rsid w:val="0065303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A58E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A58EB"/>
    <w:rPr>
      <w:rFonts w:ascii="Times New Roman" w:eastAsia="Times New Roman" w:hAnsi="Times New Roman" w:cs="Times New Roman"/>
      <w:b/>
      <w:bCs/>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537DD8"/>
    <w:pPr>
      <w:spacing w:after="160" w:line="240" w:lineRule="exact"/>
    </w:pPr>
    <w:rPr>
      <w:rFonts w:asciiTheme="minorHAnsi" w:eastAsiaTheme="minorEastAsia" w:hAnsiTheme="minorHAnsi" w:cstheme="minorBidi"/>
      <w:vertAlign w:val="superscript"/>
      <w:lang w:val="fr-CA"/>
    </w:rPr>
  </w:style>
  <w:style w:type="paragraph" w:styleId="Revision">
    <w:name w:val="Revision"/>
    <w:hidden/>
    <w:uiPriority w:val="99"/>
    <w:semiHidden/>
    <w:rsid w:val="00B36E70"/>
    <w:rPr>
      <w:rFonts w:ascii="Times New Roman" w:eastAsia="Times New Roman" w:hAnsi="Times New Roman" w:cs="Times New Roman"/>
      <w:sz w:val="22"/>
      <w:lang w:val="en-GB"/>
    </w:rPr>
  </w:style>
  <w:style w:type="character" w:customStyle="1" w:styleId="Mention">
    <w:name w:val="Mention"/>
    <w:basedOn w:val="DefaultParagraphFont"/>
    <w:uiPriority w:val="99"/>
    <w:unhideWhenUsed/>
    <w:rsid w:val="00F76FF0"/>
    <w:rPr>
      <w:color w:val="2B579A"/>
      <w:shd w:val="clear" w:color="auto" w:fill="E1DFDD"/>
    </w:rPr>
  </w:style>
  <w:style w:type="character" w:customStyle="1" w:styleId="ng-binding">
    <w:name w:val="ng-binding"/>
    <w:basedOn w:val="DefaultParagraphFont"/>
    <w:rsid w:val="00BD4D0E"/>
  </w:style>
</w:styles>
</file>

<file path=word/webSettings.xml><?xml version="1.0" encoding="utf-8"?>
<w:webSettings xmlns:r="http://schemas.openxmlformats.org/officeDocument/2006/relationships" xmlns:w="http://schemas.openxmlformats.org/wordprocessingml/2006/main">
  <w:divs>
    <w:div w:id="394360770">
      <w:bodyDiv w:val="1"/>
      <w:marLeft w:val="0"/>
      <w:marRight w:val="0"/>
      <w:marTop w:val="0"/>
      <w:marBottom w:val="0"/>
      <w:divBdr>
        <w:top w:val="none" w:sz="0" w:space="0" w:color="auto"/>
        <w:left w:val="none" w:sz="0" w:space="0" w:color="auto"/>
        <w:bottom w:val="none" w:sz="0" w:space="0" w:color="auto"/>
        <w:right w:val="none" w:sz="0" w:space="0" w:color="auto"/>
      </w:divBdr>
    </w:div>
    <w:div w:id="1534003484">
      <w:bodyDiv w:val="1"/>
      <w:marLeft w:val="0"/>
      <w:marRight w:val="0"/>
      <w:marTop w:val="0"/>
      <w:marBottom w:val="0"/>
      <w:divBdr>
        <w:top w:val="none" w:sz="0" w:space="0" w:color="auto"/>
        <w:left w:val="none" w:sz="0" w:space="0" w:color="auto"/>
        <w:bottom w:val="none" w:sz="0" w:space="0" w:color="auto"/>
        <w:right w:val="none" w:sz="0" w:space="0" w:color="auto"/>
      </w:divBdr>
    </w:div>
    <w:div w:id="1688361671">
      <w:bodyDiv w:val="1"/>
      <w:marLeft w:val="0"/>
      <w:marRight w:val="0"/>
      <w:marTop w:val="0"/>
      <w:marBottom w:val="0"/>
      <w:divBdr>
        <w:top w:val="none" w:sz="0" w:space="0" w:color="auto"/>
        <w:left w:val="none" w:sz="0" w:space="0" w:color="auto"/>
        <w:bottom w:val="none" w:sz="0" w:space="0" w:color="auto"/>
        <w:right w:val="none" w:sz="0" w:space="0" w:color="auto"/>
      </w:divBdr>
    </w:div>
    <w:div w:id="17167389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np-mop-03/np-mop-03-dec-01-fr.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4-fr.pdf" TargetMode="External"/><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np-mop-03/np-mop-03-dec-15-fr.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recommendations/sbstta-24/sbstta-24-rec-07-fr.pdf" TargetMode="External"/><Relationship Id="rId13" Type="http://schemas.openxmlformats.org/officeDocument/2006/relationships/hyperlink" Target="https://www.cbd.int/doc/recommendations/sbi-03/sbi-03-rec-08-fr.pdf" TargetMode="External"/><Relationship Id="rId3" Type="http://schemas.openxmlformats.org/officeDocument/2006/relationships/hyperlink" Target="https://www.cbd.int/doc/recommendations/wg2020-01/wg2020-01-rec-01-fr.pdf" TargetMode="External"/><Relationship Id="rId7" Type="http://schemas.openxmlformats.org/officeDocument/2006/relationships/hyperlink" Target="https://www.cbd.int/doc/recommendations/wg8j-11/wg8j-11-rec-02-fr.pdf" TargetMode="External"/><Relationship Id="rId12" Type="http://schemas.openxmlformats.org/officeDocument/2006/relationships/hyperlink" Target="https://www.cbd.int/doc/recommendations/sbi-03/sbi-03-rec-08-fr.pdf" TargetMode="External"/><Relationship Id="rId17" Type="http://schemas.openxmlformats.org/officeDocument/2006/relationships/hyperlink" Target="https://www.cbd.int/doc/recommendations/sbi-03/sbi-03-rec-15-fr.pdf" TargetMode="External"/><Relationship Id="rId2" Type="http://schemas.openxmlformats.org/officeDocument/2006/relationships/hyperlink" Target="https://unstats.un.org/sdgs/dataportal" TargetMode="External"/><Relationship Id="rId16" Type="http://schemas.openxmlformats.org/officeDocument/2006/relationships/hyperlink" Target="https://www.cbd.int/doc/recommendations/sbi-03/sbi-03-rec-05-fr.pdf" TargetMode="External"/><Relationship Id="rId1" Type="http://schemas.openxmlformats.org/officeDocument/2006/relationships/hyperlink" Target="https://documents-dds-ny.un.org/doc/UNDOC/GEN/N15/291/89/pdf/N1529189.pdf?OpenElement" TargetMode="External"/><Relationship Id="rId6" Type="http://schemas.openxmlformats.org/officeDocument/2006/relationships/hyperlink" Target="https://www.cbd.int/doc/c/0b26/eaea/09a6039e40296b3fa873f941/np-cc-03-05-en.pdf" TargetMode="External"/><Relationship Id="rId11" Type="http://schemas.openxmlformats.org/officeDocument/2006/relationships/hyperlink" Target="https://www.cbd.int/doc/recommendations/sbi-03/sbi-03-rec-06-fr.pdf" TargetMode="External"/><Relationship Id="rId5" Type="http://schemas.openxmlformats.org/officeDocument/2006/relationships/hyperlink" Target="https://www.cbd.int/doc/c/54f0/da56/ccd407da8ceadd946d32742a/post2020-ws-2019-08-03-en.pdf" TargetMode="External"/><Relationship Id="rId15" Type="http://schemas.openxmlformats.org/officeDocument/2006/relationships/hyperlink" Target="https://www.cbd.int/doc/recommendations/sbi-03/sbi-03-rec-03-fr.pdf" TargetMode="External"/><Relationship Id="rId10" Type="http://schemas.openxmlformats.org/officeDocument/2006/relationships/hyperlink" Target="https://www.cbd.int/doc/recommendations/sbstta-24/sbstta-24-rec-02-fr.pdf" TargetMode="External"/><Relationship Id="rId4" Type="http://schemas.openxmlformats.org/officeDocument/2006/relationships/hyperlink" Target="https://www.cbd.int/doc/c/50c9/a685/3844e4030802e9325bc5e0b4/wg2020-03-07-en.pdf" TargetMode="External"/><Relationship Id="rId9" Type="http://schemas.openxmlformats.org/officeDocument/2006/relationships/hyperlink" Target="https://www.cbd.int/doc/recommendations/sbi-03/sbi-03-rec-11-fr.pdf" TargetMode="External"/><Relationship Id="rId14" Type="http://schemas.openxmlformats.org/officeDocument/2006/relationships/hyperlink" Target="https://www.cbd.int/doc/recommendations/sbi-03/sbi-03-rec-10-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2F4F67A378BF47EAA1972CC6D94321F3"/>
        <w:category>
          <w:name w:val="General"/>
          <w:gallery w:val="placeholder"/>
        </w:category>
        <w:types>
          <w:type w:val="bbPlcHdr"/>
        </w:types>
        <w:behaviors>
          <w:behavior w:val="content"/>
        </w:behaviors>
        <w:guid w:val="{BAE4D470-AF32-4983-BAE8-98BC73B64FE5}"/>
      </w:docPartPr>
      <w:docPartBody>
        <w:p w:rsidR="00040166" w:rsidRDefault="001A4C3B" w:rsidP="001A4C3B">
          <w:pPr>
            <w:pStyle w:val="2F4F67A378BF47EAA1972CC6D94321F3"/>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40166"/>
    <w:rsid w:val="000C0832"/>
    <w:rsid w:val="000D1EF8"/>
    <w:rsid w:val="000F127F"/>
    <w:rsid w:val="001360DF"/>
    <w:rsid w:val="00145F79"/>
    <w:rsid w:val="001A4C3B"/>
    <w:rsid w:val="00202931"/>
    <w:rsid w:val="002238AD"/>
    <w:rsid w:val="002453B0"/>
    <w:rsid w:val="002D3249"/>
    <w:rsid w:val="002F3432"/>
    <w:rsid w:val="003403D8"/>
    <w:rsid w:val="00345924"/>
    <w:rsid w:val="00370803"/>
    <w:rsid w:val="003904CB"/>
    <w:rsid w:val="00416C33"/>
    <w:rsid w:val="0046422C"/>
    <w:rsid w:val="00470F8D"/>
    <w:rsid w:val="004759D0"/>
    <w:rsid w:val="004760CF"/>
    <w:rsid w:val="00496D2F"/>
    <w:rsid w:val="004E092F"/>
    <w:rsid w:val="00500A2B"/>
    <w:rsid w:val="0052371A"/>
    <w:rsid w:val="00540060"/>
    <w:rsid w:val="0058288D"/>
    <w:rsid w:val="00594C5C"/>
    <w:rsid w:val="005A58FF"/>
    <w:rsid w:val="0061467B"/>
    <w:rsid w:val="00640ECB"/>
    <w:rsid w:val="00665C6B"/>
    <w:rsid w:val="006801B3"/>
    <w:rsid w:val="00693684"/>
    <w:rsid w:val="00694BB2"/>
    <w:rsid w:val="0074498A"/>
    <w:rsid w:val="00763E71"/>
    <w:rsid w:val="007D7944"/>
    <w:rsid w:val="00810A55"/>
    <w:rsid w:val="0083174A"/>
    <w:rsid w:val="00840476"/>
    <w:rsid w:val="008547E2"/>
    <w:rsid w:val="008C6619"/>
    <w:rsid w:val="008D420E"/>
    <w:rsid w:val="008D59FE"/>
    <w:rsid w:val="00931935"/>
    <w:rsid w:val="009549BB"/>
    <w:rsid w:val="0098642F"/>
    <w:rsid w:val="0099784A"/>
    <w:rsid w:val="00AC7976"/>
    <w:rsid w:val="00B535BD"/>
    <w:rsid w:val="00B86122"/>
    <w:rsid w:val="00BC2323"/>
    <w:rsid w:val="00C04E51"/>
    <w:rsid w:val="00C8104B"/>
    <w:rsid w:val="00CA4A31"/>
    <w:rsid w:val="00CA734F"/>
    <w:rsid w:val="00CD24F7"/>
    <w:rsid w:val="00D31D12"/>
    <w:rsid w:val="00DC56BF"/>
    <w:rsid w:val="00DF59DB"/>
    <w:rsid w:val="00E068F2"/>
    <w:rsid w:val="00E34BD8"/>
    <w:rsid w:val="00E35784"/>
    <w:rsid w:val="00E46C19"/>
    <w:rsid w:val="00E51445"/>
    <w:rsid w:val="00E90028"/>
    <w:rsid w:val="00E936B5"/>
    <w:rsid w:val="00ED33AC"/>
    <w:rsid w:val="00EE5193"/>
    <w:rsid w:val="00F52EA5"/>
    <w:rsid w:val="00F6694D"/>
    <w:rsid w:val="00FC290C"/>
    <w:rsid w:val="00FD6158"/>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9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4C3B"/>
    <w:rPr>
      <w:color w:val="808080"/>
    </w:rPr>
  </w:style>
  <w:style w:type="paragraph" w:customStyle="1" w:styleId="2F4F67A378BF47EAA1972CC6D94321F3">
    <w:name w:val="2F4F67A378BF47EAA1972CC6D94321F3"/>
    <w:rsid w:val="001A4C3B"/>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94bbfa8-7490-4a48-8e49-faa91c2d11d7">
      <Terms xmlns="http://schemas.microsoft.com/office/infopath/2007/PartnerControls"/>
    </lcf76f155ced4ddcb4097134ff3c332f>
    <Language xmlns="394bbfa8-7490-4a48-8e49-faa91c2d11d7">English</Language>
    <BriefDescription xmlns="394bbfa8-7490-4a48-8e49-faa91c2d11d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19" ma:contentTypeDescription="Create a new document." ma:contentTypeScope="" ma:versionID="43d647584e625e465372923cda0a78e5">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cd686753dad5bcc47018caf29106c0b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4.xml><?xml version="1.0" encoding="utf-8"?>
<ds:datastoreItem xmlns:ds="http://schemas.openxmlformats.org/officeDocument/2006/customXml" ds:itemID="{C08421CB-5911-499E-B0D3-BC876A6BC8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7989952-F8E7-4BA0-B55B-DA174AC80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10</Pages>
  <Words>4400</Words>
  <Characters>24203</Characters>
  <Application>Microsoft Office Word</Application>
  <DocSecurity>0</DocSecurity>
  <Lines>201</Lines>
  <Paragraphs>57</Paragraphs>
  <ScaleCrop>false</ScaleCrop>
  <HeadingPairs>
    <vt:vector size="2" baseType="variant">
      <vt:variant>
        <vt:lpstr>Title</vt:lpstr>
      </vt:variant>
      <vt:variant>
        <vt:i4>1</vt:i4>
      </vt:variant>
    </vt:vector>
  </HeadingPairs>
  <TitlesOfParts>
    <vt:vector size="1" baseType="lpstr">
      <vt:lpstr>Enhancing implementation of the Nagoya Protocol in the context of the post-2020 global biodiversity framework</vt:lpstr>
    </vt:vector>
  </TitlesOfParts>
  <Company>SCBD</Company>
  <LinksUpToDate>false</LinksUpToDate>
  <CharactersWithSpaces>28546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implementation of the Nagoya Protocol in the context of the post-2020 global biodiversity framework</dc:title>
  <dc:subject>CBD/NP/MOP/4/9</dc:subject>
  <dc:creator>SCBD</dc:creator>
  <cp:keywords>Conference of the Parties to the Convention on Biological Diversity Serving as the Meeting of the Parties to the Nagoya Protocol on Access to Genetic Resources and the Fair and Equitable Sharing of Benefits Arising from their Utilization, fourth meeting</cp:keywords>
  <cp:lastModifiedBy>BUBIC</cp:lastModifiedBy>
  <cp:revision>17</cp:revision>
  <cp:lastPrinted>2020-01-21T16:56:00Z</cp:lastPrinted>
  <dcterms:created xsi:type="dcterms:W3CDTF">2022-11-06T18:00:00Z</dcterms:created>
  <dcterms:modified xsi:type="dcterms:W3CDTF">2022-11-07T00:19:00Z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