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32" w:type="dxa"/>
        <w:tblBorders>
          <w:bottom w:val="single" w:sz="30" w:space="0" w:color="000000"/>
        </w:tblBorders>
        <w:tblLayout w:type="fixed"/>
        <w:tblLook w:val="0000" w:firstRow="0" w:lastRow="0" w:firstColumn="0" w:lastColumn="0" w:noHBand="0" w:noVBand="0"/>
      </w:tblPr>
      <w:tblGrid>
        <w:gridCol w:w="17"/>
        <w:gridCol w:w="976"/>
        <w:gridCol w:w="1260"/>
        <w:gridCol w:w="2615"/>
        <w:gridCol w:w="682"/>
        <w:gridCol w:w="3544"/>
        <w:gridCol w:w="338"/>
      </w:tblGrid>
      <w:tr w:rsidR="00AD6A8A" w14:paraId="618AC658" w14:textId="77777777" w:rsidTr="000A2552">
        <w:trPr>
          <w:gridBefore w:val="1"/>
          <w:wBefore w:w="17" w:type="dxa"/>
        </w:trPr>
        <w:tc>
          <w:tcPr>
            <w:tcW w:w="976" w:type="dxa"/>
            <w:tcBorders>
              <w:bottom w:val="single" w:sz="12" w:space="0" w:color="000000"/>
            </w:tcBorders>
          </w:tcPr>
          <w:p w14:paraId="26883D8A" w14:textId="77777777" w:rsidR="00AD6A8A" w:rsidRPr="00AD6A8A" w:rsidRDefault="00AD6A8A" w:rsidP="00AD6A8A">
            <w:pPr>
              <w:pStyle w:val="Para1"/>
              <w:numPr>
                <w:ilvl w:val="0"/>
                <w:numId w:val="0"/>
              </w:numPr>
              <w:rPr>
                <w:noProof/>
                <w:snapToGrid/>
                <w:kern w:val="22"/>
                <w:szCs w:val="22"/>
              </w:rPr>
            </w:pPr>
            <w:r w:rsidRPr="00AD6A8A">
              <w:rPr>
                <w:noProof/>
                <w:snapToGrid/>
                <w:kern w:val="22"/>
                <w:szCs w:val="22"/>
                <w:lang w:val="en-CA" w:eastAsia="en-CA"/>
              </w:rPr>
              <w:drawing>
                <wp:inline distT="0" distB="0" distL="0" distR="0" wp14:anchorId="7EE7F69B" wp14:editId="23EC98BD">
                  <wp:extent cx="476494" cy="403200"/>
                  <wp:effectExtent l="0" t="0" r="6350" b="3810"/>
                  <wp:docPr id="4" name="Picture 4"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260" w:type="dxa"/>
            <w:tcBorders>
              <w:bottom w:val="single" w:sz="12" w:space="0" w:color="000000"/>
            </w:tcBorders>
          </w:tcPr>
          <w:p w14:paraId="53AD9386" w14:textId="77777777" w:rsidR="00AD6A8A" w:rsidRPr="00AD6A8A" w:rsidRDefault="00AD6A8A" w:rsidP="008A733C">
            <w:pPr>
              <w:rPr>
                <w:noProof/>
                <w:kern w:val="22"/>
                <w:szCs w:val="22"/>
              </w:rPr>
            </w:pPr>
            <w:r w:rsidRPr="00AD6A8A">
              <w:rPr>
                <w:noProof/>
                <w:kern w:val="22"/>
                <w:szCs w:val="22"/>
                <w:lang w:val="en-CA" w:eastAsia="en-CA"/>
              </w:rPr>
              <w:drawing>
                <wp:inline distT="0" distB="0" distL="0" distR="0" wp14:anchorId="46AC4B06" wp14:editId="5AC70024">
                  <wp:extent cx="343700" cy="403200"/>
                  <wp:effectExtent l="0" t="0" r="12065" b="3810"/>
                  <wp:docPr id="5" name="Picture 5"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7179" w:type="dxa"/>
            <w:gridSpan w:val="4"/>
            <w:tcBorders>
              <w:bottom w:val="single" w:sz="12" w:space="0" w:color="000000"/>
            </w:tcBorders>
          </w:tcPr>
          <w:p w14:paraId="450164F4" w14:textId="77777777" w:rsidR="00AD6A8A" w:rsidRPr="00AD6A8A" w:rsidRDefault="00AD6A8A" w:rsidP="008A733C">
            <w:pPr>
              <w:jc w:val="right"/>
              <w:rPr>
                <w:rFonts w:ascii="Univers" w:hAnsi="Univers"/>
                <w:b/>
                <w:kern w:val="22"/>
                <w:sz w:val="32"/>
                <w:szCs w:val="32"/>
              </w:rPr>
            </w:pPr>
            <w:r w:rsidRPr="00AD6A8A">
              <w:rPr>
                <w:rFonts w:ascii="Univers" w:hAnsi="Univers"/>
                <w:b/>
                <w:kern w:val="22"/>
                <w:sz w:val="32"/>
                <w:szCs w:val="32"/>
              </w:rPr>
              <w:t>CBD</w:t>
            </w:r>
          </w:p>
        </w:tc>
      </w:tr>
      <w:tr w:rsidR="00DE3DA5" w:rsidRPr="00331917" w14:paraId="506EF50D" w14:textId="77777777" w:rsidTr="000A2552">
        <w:trPr>
          <w:gridAfter w:val="1"/>
          <w:wAfter w:w="338" w:type="dxa"/>
          <w:trHeight w:val="1693"/>
        </w:trPr>
        <w:tc>
          <w:tcPr>
            <w:tcW w:w="4868" w:type="dxa"/>
            <w:gridSpan w:val="4"/>
            <w:tcBorders>
              <w:bottom w:val="single" w:sz="36" w:space="0" w:color="000000"/>
            </w:tcBorders>
          </w:tcPr>
          <w:p w14:paraId="23E818C7" w14:textId="77777777" w:rsidR="00DE3DA5" w:rsidRPr="00331917" w:rsidRDefault="001903A5" w:rsidP="00195E04">
            <w:pPr>
              <w:rPr>
                <w:kern w:val="22"/>
                <w:szCs w:val="22"/>
              </w:rPr>
            </w:pPr>
            <w:r w:rsidRPr="00331917">
              <w:rPr>
                <w:noProof/>
                <w:kern w:val="22"/>
                <w:szCs w:val="22"/>
                <w:lang w:val="en-CA" w:eastAsia="en-CA"/>
              </w:rPr>
              <w:drawing>
                <wp:inline distT="0" distB="0" distL="0" distR="0" wp14:anchorId="1F5D528D" wp14:editId="5A34AD29">
                  <wp:extent cx="2838450" cy="1085850"/>
                  <wp:effectExtent l="0" t="0" r="0" b="0"/>
                  <wp:docPr id="1" name="Picture 1" descr="CBD_logo_CMYK_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CMYK_black [Conver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8450" cy="1085850"/>
                          </a:xfrm>
                          <a:prstGeom prst="rect">
                            <a:avLst/>
                          </a:prstGeom>
                          <a:noFill/>
                          <a:ln>
                            <a:noFill/>
                          </a:ln>
                        </pic:spPr>
                      </pic:pic>
                    </a:graphicData>
                  </a:graphic>
                </wp:inline>
              </w:drawing>
            </w:r>
          </w:p>
        </w:tc>
        <w:tc>
          <w:tcPr>
            <w:tcW w:w="682" w:type="dxa"/>
            <w:tcBorders>
              <w:bottom w:val="single" w:sz="36" w:space="0" w:color="000000"/>
            </w:tcBorders>
          </w:tcPr>
          <w:p w14:paraId="1A0B58F8" w14:textId="77777777" w:rsidR="00DE3DA5" w:rsidRPr="00331917" w:rsidRDefault="00DE3DA5" w:rsidP="00195E04">
            <w:pPr>
              <w:rPr>
                <w:kern w:val="22"/>
                <w:szCs w:val="22"/>
              </w:rPr>
            </w:pPr>
          </w:p>
        </w:tc>
        <w:tc>
          <w:tcPr>
            <w:tcW w:w="3544" w:type="dxa"/>
            <w:tcBorders>
              <w:bottom w:val="single" w:sz="36" w:space="0" w:color="000000"/>
            </w:tcBorders>
          </w:tcPr>
          <w:p w14:paraId="4060F14B" w14:textId="77777777" w:rsidR="00DE3DA5" w:rsidRPr="00331917" w:rsidRDefault="00DE3DA5" w:rsidP="00A94A63">
            <w:pPr>
              <w:ind w:left="317"/>
              <w:rPr>
                <w:kern w:val="22"/>
                <w:szCs w:val="22"/>
              </w:rPr>
            </w:pPr>
            <w:r w:rsidRPr="00331917">
              <w:rPr>
                <w:kern w:val="22"/>
                <w:szCs w:val="22"/>
              </w:rPr>
              <w:t>Distr.</w:t>
            </w:r>
          </w:p>
          <w:p w14:paraId="6215A3DC" w14:textId="77777777" w:rsidR="00DE3DA5" w:rsidRPr="00331917" w:rsidRDefault="00DE3DA5" w:rsidP="00A94A63">
            <w:pPr>
              <w:ind w:left="317"/>
              <w:rPr>
                <w:kern w:val="22"/>
                <w:szCs w:val="22"/>
              </w:rPr>
            </w:pPr>
            <w:r w:rsidRPr="00331917">
              <w:rPr>
                <w:kern w:val="22"/>
                <w:szCs w:val="22"/>
              </w:rPr>
              <w:t>GENERAL</w:t>
            </w:r>
          </w:p>
          <w:p w14:paraId="733C120D" w14:textId="77777777" w:rsidR="00DE3DA5" w:rsidRPr="00331917" w:rsidRDefault="00DE3DA5" w:rsidP="00A94A63">
            <w:pPr>
              <w:ind w:left="317"/>
              <w:rPr>
                <w:kern w:val="22"/>
                <w:szCs w:val="22"/>
              </w:rPr>
            </w:pPr>
          </w:p>
          <w:p w14:paraId="628D6279" w14:textId="5596E4B0" w:rsidR="00C56318" w:rsidRPr="002D54B5" w:rsidRDefault="0070789C" w:rsidP="00A94A63">
            <w:pPr>
              <w:ind w:left="317"/>
              <w:rPr>
                <w:kern w:val="22"/>
              </w:rPr>
            </w:pPr>
            <w:sdt>
              <w:sdtPr>
                <w:rPr>
                  <w:rFonts w:cs="Times New Roman"/>
                  <w:bCs/>
                  <w:kern w:val="22"/>
                </w:rPr>
                <w:alias w:val="Subject"/>
                <w:tag w:val=""/>
                <w:id w:val="-1933034528"/>
                <w:placeholder>
                  <w:docPart w:val="8538304994064FBAA18310AD3A8B5391"/>
                </w:placeholder>
                <w:dataBinding w:prefixMappings="xmlns:ns0='http://purl.org/dc/elements/1.1/' xmlns:ns1='http://schemas.openxmlformats.org/package/2006/metadata/core-properties' " w:xpath="/ns1:coreProperties[1]/ns0:subject[1]" w:storeItemID="{6C3C8BC8-F283-45AE-878A-BAB7291924A1}"/>
                <w:text/>
              </w:sdtPr>
              <w:sdtEndPr/>
              <w:sdtContent>
                <w:r w:rsidR="00BA0B93" w:rsidRPr="002D54B5">
                  <w:rPr>
                    <w:rFonts w:cs="Times New Roman"/>
                    <w:bCs/>
                    <w:kern w:val="22"/>
                    <w:lang w:val="en-CA"/>
                  </w:rPr>
                  <w:t>CBD/</w:t>
                </w:r>
                <w:r w:rsidR="00BA0B93">
                  <w:rPr>
                    <w:rFonts w:cs="Times New Roman"/>
                    <w:bCs/>
                    <w:kern w:val="22"/>
                    <w:lang w:val="en-CA"/>
                  </w:rPr>
                  <w:t>NP</w:t>
                </w:r>
                <w:r w:rsidR="00BA0B93" w:rsidRPr="002D54B5">
                  <w:rPr>
                    <w:rFonts w:cs="Times New Roman"/>
                    <w:bCs/>
                    <w:kern w:val="22"/>
                    <w:lang w:val="en-CA"/>
                  </w:rPr>
                  <w:t>/CB-IAC/2019/1/2</w:t>
                </w:r>
              </w:sdtContent>
            </w:sdt>
            <w:r w:rsidR="00AD6A8A" w:rsidRPr="002D54B5">
              <w:rPr>
                <w:kern w:val="22"/>
              </w:rPr>
              <w:t xml:space="preserve"> </w:t>
            </w:r>
          </w:p>
          <w:p w14:paraId="6507AF92" w14:textId="040036B0" w:rsidR="007C65B0" w:rsidRPr="004A011A" w:rsidRDefault="00881D99" w:rsidP="009A2C8D">
            <w:pPr>
              <w:suppressLineNumbers/>
              <w:suppressAutoHyphens/>
              <w:kinsoku w:val="0"/>
              <w:overflowPunct w:val="0"/>
              <w:autoSpaceDE w:val="0"/>
              <w:autoSpaceDN w:val="0"/>
              <w:ind w:left="317"/>
              <w:rPr>
                <w:kern w:val="22"/>
                <w:szCs w:val="22"/>
              </w:rPr>
            </w:pPr>
            <w:r>
              <w:rPr>
                <w:rFonts w:cs="Times New Roman"/>
                <w:kern w:val="22"/>
                <w:szCs w:val="22"/>
                <w:lang w:val="en-US"/>
              </w:rPr>
              <w:t>3</w:t>
            </w:r>
            <w:r w:rsidR="0092781D" w:rsidRPr="002D54B5">
              <w:rPr>
                <w:rFonts w:cs="Times New Roman"/>
                <w:kern w:val="22"/>
                <w:szCs w:val="22"/>
                <w:lang w:val="en-US"/>
              </w:rPr>
              <w:t xml:space="preserve"> </w:t>
            </w:r>
            <w:r>
              <w:rPr>
                <w:rFonts w:cs="Times New Roman"/>
                <w:kern w:val="22"/>
                <w:szCs w:val="22"/>
                <w:lang w:val="en-US"/>
              </w:rPr>
              <w:t>October</w:t>
            </w:r>
            <w:r w:rsidR="0092781D" w:rsidRPr="002D54B5">
              <w:rPr>
                <w:rFonts w:cs="Times New Roman"/>
                <w:kern w:val="22"/>
                <w:szCs w:val="22"/>
                <w:lang w:val="en-US"/>
              </w:rPr>
              <w:t xml:space="preserve"> 2019</w:t>
            </w:r>
          </w:p>
          <w:p w14:paraId="3033106F" w14:textId="77777777" w:rsidR="00502EB8" w:rsidRPr="00331917" w:rsidRDefault="00502EB8" w:rsidP="00E95502">
            <w:pPr>
              <w:ind w:left="350"/>
              <w:rPr>
                <w:kern w:val="22"/>
                <w:szCs w:val="22"/>
              </w:rPr>
            </w:pPr>
          </w:p>
          <w:p w14:paraId="320A4E6A" w14:textId="77777777" w:rsidR="00DE3DA5" w:rsidRPr="00331917" w:rsidRDefault="00DE3DA5" w:rsidP="007C65B0">
            <w:pPr>
              <w:ind w:left="317"/>
              <w:rPr>
                <w:rFonts w:ascii="Courier New" w:hAnsi="Courier New"/>
                <w:kern w:val="22"/>
                <w:szCs w:val="22"/>
              </w:rPr>
            </w:pPr>
            <w:r w:rsidRPr="00331917">
              <w:rPr>
                <w:kern w:val="22"/>
                <w:szCs w:val="22"/>
              </w:rPr>
              <w:t>ENGLISH</w:t>
            </w:r>
            <w:r w:rsidR="007C65B0">
              <w:rPr>
                <w:kern w:val="22"/>
                <w:szCs w:val="22"/>
              </w:rPr>
              <w:t xml:space="preserve"> ONLY</w:t>
            </w:r>
          </w:p>
        </w:tc>
      </w:tr>
    </w:tbl>
    <w:p w14:paraId="5CA0F7A2" w14:textId="77777777" w:rsidR="00F154BE" w:rsidRPr="00704B00" w:rsidRDefault="00F154BE" w:rsidP="00F154BE">
      <w:pPr>
        <w:pStyle w:val="Cornernotation"/>
        <w:ind w:right="3691"/>
        <w:rPr>
          <w:rFonts w:eastAsia="Malgun Gothic" w:cs="Times New Roman"/>
          <w:snapToGrid w:val="0"/>
          <w:kern w:val="22"/>
        </w:rPr>
      </w:pPr>
      <w:r>
        <w:rPr>
          <w:rFonts w:eastAsia="Malgun Gothic" w:cs="Times New Roman"/>
          <w:snapToGrid w:val="0"/>
          <w:kern w:val="22"/>
        </w:rPr>
        <w:t>INFORMAL ADVISORY COMMITTEE ON CAPACITY-BUILDING</w:t>
      </w:r>
      <w:r w:rsidRPr="00704B00">
        <w:rPr>
          <w:rFonts w:eastAsia="Malgun Gothic" w:cs="Times New Roman"/>
          <w:snapToGrid w:val="0"/>
          <w:kern w:val="22"/>
        </w:rPr>
        <w:t xml:space="preserve"> </w:t>
      </w:r>
      <w:r>
        <w:rPr>
          <w:rFonts w:eastAsia="Malgun Gothic" w:cs="Times New Roman"/>
          <w:snapToGrid w:val="0"/>
          <w:kern w:val="22"/>
        </w:rPr>
        <w:t xml:space="preserve">FOR THE IMPLEMENTATION OF THE </w:t>
      </w:r>
      <w:r w:rsidRPr="00704B00">
        <w:rPr>
          <w:rFonts w:eastAsia="Malgun Gothic" w:cs="Times New Roman"/>
          <w:snapToGrid w:val="0"/>
          <w:kern w:val="22"/>
        </w:rPr>
        <w:t>NAGOYA PROTOCOL</w:t>
      </w:r>
    </w:p>
    <w:p w14:paraId="62F9FCED" w14:textId="77777777" w:rsidR="007C65B0" w:rsidRPr="009C5F04" w:rsidRDefault="007C65B0" w:rsidP="009C5F04">
      <w:pPr>
        <w:autoSpaceDE w:val="0"/>
        <w:autoSpaceDN w:val="0"/>
        <w:adjustRightInd w:val="0"/>
        <w:ind w:right="3124"/>
        <w:jc w:val="left"/>
        <w:rPr>
          <w:rFonts w:eastAsia="MS Mincho" w:cs="Times New Roman"/>
          <w:snapToGrid w:val="0"/>
          <w:kern w:val="22"/>
          <w:szCs w:val="22"/>
          <w:u w:color="000000"/>
        </w:rPr>
      </w:pPr>
      <w:r w:rsidRPr="009C5F04">
        <w:rPr>
          <w:rFonts w:eastAsia="MS Mincho" w:cs="Times New Roman"/>
          <w:snapToGrid w:val="0"/>
          <w:kern w:val="22"/>
          <w:szCs w:val="22"/>
          <w:u w:color="000000"/>
        </w:rPr>
        <w:t>Fourth meeting</w:t>
      </w:r>
    </w:p>
    <w:p w14:paraId="2B68F04F" w14:textId="77777777" w:rsidR="007C65B0" w:rsidRPr="009C5F04" w:rsidRDefault="007C65B0" w:rsidP="009C5F04">
      <w:pPr>
        <w:autoSpaceDE w:val="0"/>
        <w:autoSpaceDN w:val="0"/>
        <w:adjustRightInd w:val="0"/>
        <w:ind w:right="3124"/>
        <w:jc w:val="left"/>
        <w:rPr>
          <w:rFonts w:eastAsia="MS Mincho" w:cs="Times New Roman"/>
          <w:snapToGrid w:val="0"/>
          <w:kern w:val="22"/>
          <w:szCs w:val="22"/>
          <w:u w:color="000000"/>
        </w:rPr>
      </w:pPr>
      <w:r w:rsidRPr="009C5F04">
        <w:rPr>
          <w:rFonts w:eastAsia="MS Mincho" w:cs="Times New Roman"/>
          <w:snapToGrid w:val="0"/>
          <w:kern w:val="22"/>
          <w:szCs w:val="22"/>
          <w:u w:color="000000"/>
        </w:rPr>
        <w:t>Montreal, Canada, 29-31 October 2019</w:t>
      </w:r>
    </w:p>
    <w:p w14:paraId="73D7C2DD" w14:textId="77777777" w:rsidR="007C65B0" w:rsidRPr="009C5F04" w:rsidRDefault="007C65B0" w:rsidP="009C5F04">
      <w:pPr>
        <w:autoSpaceDE w:val="0"/>
        <w:autoSpaceDN w:val="0"/>
        <w:adjustRightInd w:val="0"/>
        <w:ind w:right="3124"/>
        <w:jc w:val="left"/>
        <w:rPr>
          <w:rFonts w:eastAsia="MS Mincho" w:cs="Times New Roman"/>
          <w:snapToGrid w:val="0"/>
          <w:kern w:val="22"/>
          <w:szCs w:val="22"/>
          <w:u w:color="000000"/>
        </w:rPr>
      </w:pPr>
      <w:r w:rsidRPr="009C5F04">
        <w:rPr>
          <w:rFonts w:eastAsia="MS Mincho" w:cs="Times New Roman"/>
          <w:snapToGrid w:val="0"/>
          <w:kern w:val="22"/>
          <w:szCs w:val="22"/>
          <w:u w:color="000000"/>
        </w:rPr>
        <w:t>Item 3 of the provisional agenda</w:t>
      </w:r>
      <w:r w:rsidRPr="009C5F04">
        <w:rPr>
          <w:rFonts w:eastAsia="MS Mincho" w:cs="Times New Roman"/>
          <w:snapToGrid w:val="0"/>
          <w:u w:color="000000"/>
        </w:rPr>
        <w:footnoteReference w:customMarkFollows="1" w:id="1"/>
        <w:t>*</w:t>
      </w:r>
    </w:p>
    <w:bookmarkStart w:id="0" w:name="_Hlk526272635" w:displacedByCustomXml="next"/>
    <w:sdt>
      <w:sdtPr>
        <w:rPr>
          <w:rFonts w:ascii="Times New Roman Bold" w:hAnsi="Times New Roman Bold" w:cs="Times New Roman Bold"/>
          <w:bCs/>
          <w:kern w:val="22"/>
          <w:szCs w:val="22"/>
          <w:lang w:eastAsia="ko-KR"/>
        </w:rPr>
        <w:alias w:val="Title"/>
        <w:tag w:val=""/>
        <w:id w:val="1404726265"/>
        <w:placeholder>
          <w:docPart w:val="4C826959881B4490BDBA83C1B7B42794"/>
        </w:placeholder>
        <w:dataBinding w:prefixMappings="xmlns:ns0='http://purl.org/dc/elements/1.1/' xmlns:ns1='http://schemas.openxmlformats.org/package/2006/metadata/core-properties' " w:xpath="/ns1:coreProperties[1]/ns0:title[1]" w:storeItemID="{6C3C8BC8-F283-45AE-878A-BAB7291924A1}"/>
        <w:text/>
      </w:sdtPr>
      <w:sdtEndPr/>
      <w:sdtContent>
        <w:p w14:paraId="375B9305" w14:textId="2CCCE16A" w:rsidR="00FD4E03" w:rsidRPr="00F37E96" w:rsidRDefault="00E95502" w:rsidP="00F37E96">
          <w:pPr>
            <w:pStyle w:val="Heading1"/>
            <w:tabs>
              <w:tab w:val="clear" w:pos="720"/>
            </w:tabs>
            <w:rPr>
              <w:rFonts w:cs="Times New Roman"/>
              <w:szCs w:val="22"/>
            </w:rPr>
          </w:pPr>
          <w:r w:rsidRPr="007C65B0">
            <w:rPr>
              <w:rFonts w:ascii="Times New Roman Bold" w:hAnsi="Times New Roman Bold" w:cs="Times New Roman Bold"/>
              <w:bCs/>
              <w:kern w:val="22"/>
              <w:szCs w:val="22"/>
              <w:lang w:eastAsia="ko-KR"/>
            </w:rPr>
            <w:t>Update on existing capacity-building and development initiatives and resources supporting the implementation of the Nagoya Protocol on Access and Benefit-sharing</w:t>
          </w:r>
        </w:p>
      </w:sdtContent>
    </w:sdt>
    <w:bookmarkEnd w:id="0"/>
    <w:p w14:paraId="4F23EEAC" w14:textId="77777777" w:rsidR="00687288" w:rsidRPr="00F37E96" w:rsidRDefault="000A7E44" w:rsidP="00687288">
      <w:pPr>
        <w:pStyle w:val="Heading2"/>
        <w:rPr>
          <w:rFonts w:cs="Times New Roman"/>
          <w:b w:val="0"/>
          <w:i/>
          <w:kern w:val="22"/>
          <w:szCs w:val="22"/>
        </w:rPr>
      </w:pPr>
      <w:r w:rsidRPr="00F37E96">
        <w:rPr>
          <w:rFonts w:cs="Times New Roman"/>
          <w:b w:val="0"/>
          <w:i/>
          <w:kern w:val="22"/>
          <w:szCs w:val="22"/>
        </w:rPr>
        <w:t>Note by the Executive Secretary</w:t>
      </w:r>
    </w:p>
    <w:p w14:paraId="30881DBE" w14:textId="77777777" w:rsidR="00320CFC" w:rsidRPr="00F37E96" w:rsidRDefault="00F8670A" w:rsidP="0009641F">
      <w:pPr>
        <w:pStyle w:val="Heading1"/>
        <w:spacing w:before="0"/>
        <w:ind w:left="1077" w:hanging="720"/>
        <w:rPr>
          <w:rFonts w:cs="Times New Roman"/>
          <w:szCs w:val="22"/>
        </w:rPr>
      </w:pPr>
      <w:r w:rsidRPr="00F37E96">
        <w:rPr>
          <w:rFonts w:cs="Times New Roman"/>
          <w:szCs w:val="22"/>
        </w:rPr>
        <w:t>I.</w:t>
      </w:r>
      <w:r w:rsidRPr="00F37E96">
        <w:rPr>
          <w:rFonts w:cs="Times New Roman"/>
          <w:szCs w:val="22"/>
        </w:rPr>
        <w:tab/>
      </w:r>
      <w:r w:rsidR="00320CFC" w:rsidRPr="00F37E96">
        <w:rPr>
          <w:rFonts w:cs="Times New Roman"/>
          <w:szCs w:val="22"/>
        </w:rPr>
        <w:t>INTRODUCTION</w:t>
      </w:r>
    </w:p>
    <w:p w14:paraId="70E9D305" w14:textId="6BB12315" w:rsidR="00BB2A53" w:rsidRPr="009F2A8B" w:rsidRDefault="00BB2A53" w:rsidP="006255E2">
      <w:pPr>
        <w:pStyle w:val="Para1"/>
        <w:numPr>
          <w:ilvl w:val="0"/>
          <w:numId w:val="18"/>
        </w:numPr>
        <w:suppressLineNumbers/>
        <w:tabs>
          <w:tab w:val="left" w:pos="720"/>
        </w:tabs>
        <w:suppressAutoHyphens/>
        <w:kinsoku w:val="0"/>
        <w:overflowPunct w:val="0"/>
        <w:autoSpaceDE w:val="0"/>
        <w:autoSpaceDN w:val="0"/>
        <w:ind w:left="0" w:firstLine="0"/>
        <w:rPr>
          <w:snapToGrid/>
          <w:kern w:val="22"/>
          <w:szCs w:val="22"/>
          <w:lang w:eastAsia="ko-KR"/>
        </w:rPr>
      </w:pPr>
      <w:r w:rsidRPr="009F2A8B">
        <w:rPr>
          <w:snapToGrid/>
          <w:kern w:val="22"/>
          <w:szCs w:val="22"/>
          <w:lang w:eastAsia="ko-KR"/>
        </w:rPr>
        <w:t>The Nagoya Protocol on Access to Genetic Resources and the Fair and Equitable Sharing of Benefits Arising from their Utilization entered into force on 12 October 2014, and, as of 27 August 2019, 120 Parties to the Convention on Biological Diversity had deposited their instruments of ratification, acceptance, approval or accession to the Protocol.</w:t>
      </w:r>
    </w:p>
    <w:p w14:paraId="55514E37" w14:textId="5AF1D269" w:rsidR="00BB2A53" w:rsidRDefault="00BB2A53" w:rsidP="006255E2">
      <w:pPr>
        <w:pStyle w:val="Para1"/>
        <w:numPr>
          <w:ilvl w:val="0"/>
          <w:numId w:val="18"/>
        </w:numPr>
        <w:suppressLineNumbers/>
        <w:tabs>
          <w:tab w:val="left" w:pos="720"/>
        </w:tabs>
        <w:suppressAutoHyphens/>
        <w:kinsoku w:val="0"/>
        <w:overflowPunct w:val="0"/>
        <w:autoSpaceDE w:val="0"/>
        <w:autoSpaceDN w:val="0"/>
        <w:ind w:left="0" w:firstLine="0"/>
        <w:rPr>
          <w:rFonts w:cs="Times New Roman"/>
          <w:kern w:val="22"/>
          <w:szCs w:val="22"/>
        </w:rPr>
      </w:pPr>
      <w:r w:rsidRPr="00BB2A53">
        <w:rPr>
          <w:rFonts w:cs="Times New Roman"/>
          <w:snapToGrid/>
          <w:color w:val="000000"/>
          <w:kern w:val="22"/>
          <w:szCs w:val="22"/>
        </w:rPr>
        <w:t>At its first meeting, the Conference of the Parties serving as the meeting of the Parties to the Nagoya Protocol adopted a strategic framework for capacity-building and development to support the implementation of the Nagoya Protocol</w:t>
      </w:r>
      <w:r w:rsidRPr="004A011A">
        <w:rPr>
          <w:snapToGrid/>
          <w:kern w:val="22"/>
          <w:szCs w:val="22"/>
        </w:rPr>
        <w:t xml:space="preserve"> (</w:t>
      </w:r>
      <w:hyperlink r:id="rId15" w:history="1">
        <w:r w:rsidRPr="004A011A">
          <w:rPr>
            <w:rStyle w:val="Hyperlink"/>
            <w:snapToGrid/>
            <w:kern w:val="22"/>
            <w:szCs w:val="22"/>
          </w:rPr>
          <w:t>decision NP-1/8</w:t>
        </w:r>
      </w:hyperlink>
      <w:r w:rsidRPr="004A011A">
        <w:rPr>
          <w:snapToGrid/>
          <w:kern w:val="22"/>
          <w:szCs w:val="22"/>
        </w:rPr>
        <w:t>, annex I) and established an informal advisory committee to provide advice to the Executive Secretary on matters of relevance to the assessment of the effectiveness of the strategic framework (decision NP-1/8, para. 2)</w:t>
      </w:r>
      <w:r>
        <w:rPr>
          <w:snapToGrid/>
          <w:kern w:val="22"/>
          <w:szCs w:val="22"/>
        </w:rPr>
        <w:t xml:space="preserve"> </w:t>
      </w:r>
      <w:r w:rsidRPr="00F37E96">
        <w:rPr>
          <w:rFonts w:cs="Times New Roman"/>
          <w:kern w:val="22"/>
          <w:szCs w:val="22"/>
        </w:rPr>
        <w:t>and requested the Executive Secretary to prepare updates on the status of implementation of the strategic framework (para. 10 (e)).</w:t>
      </w:r>
    </w:p>
    <w:p w14:paraId="2B32874C" w14:textId="0A21E4EF" w:rsidR="00BB2A53" w:rsidRDefault="00BB2A53" w:rsidP="006255E2">
      <w:pPr>
        <w:pStyle w:val="Para1"/>
        <w:numPr>
          <w:ilvl w:val="0"/>
          <w:numId w:val="18"/>
        </w:numPr>
        <w:suppressLineNumbers/>
        <w:tabs>
          <w:tab w:val="left" w:pos="720"/>
        </w:tabs>
        <w:suppressAutoHyphens/>
        <w:kinsoku w:val="0"/>
        <w:overflowPunct w:val="0"/>
        <w:autoSpaceDE w:val="0"/>
        <w:autoSpaceDN w:val="0"/>
        <w:ind w:left="0" w:firstLine="0"/>
        <w:rPr>
          <w:snapToGrid/>
          <w:kern w:val="22"/>
          <w:szCs w:val="22"/>
        </w:rPr>
      </w:pPr>
      <w:r w:rsidRPr="00C45ACC">
        <w:rPr>
          <w:snapToGrid/>
          <w:kern w:val="22"/>
          <w:szCs w:val="22"/>
          <w:lang w:eastAsia="ko-KR"/>
        </w:rPr>
        <w:t xml:space="preserve">According to its terms of reference </w:t>
      </w:r>
      <w:r w:rsidRPr="00C45ACC">
        <w:rPr>
          <w:snapToGrid/>
          <w:kern w:val="22"/>
          <w:szCs w:val="22"/>
        </w:rPr>
        <w:t>(decision NP-1/8, annex II)</w:t>
      </w:r>
      <w:r w:rsidRPr="00C45ACC">
        <w:rPr>
          <w:snapToGrid/>
          <w:kern w:val="22"/>
          <w:szCs w:val="22"/>
          <w:lang w:eastAsia="ko-KR"/>
        </w:rPr>
        <w:t xml:space="preserve">, </w:t>
      </w:r>
      <w:r w:rsidR="00132074">
        <w:rPr>
          <w:snapToGrid/>
          <w:kern w:val="22"/>
          <w:szCs w:val="22"/>
          <w:lang w:eastAsia="ko-KR"/>
        </w:rPr>
        <w:t xml:space="preserve">among other </w:t>
      </w:r>
      <w:r w:rsidR="00DA524F">
        <w:rPr>
          <w:snapToGrid/>
          <w:kern w:val="22"/>
          <w:szCs w:val="22"/>
          <w:lang w:eastAsia="ko-KR"/>
        </w:rPr>
        <w:t>issues</w:t>
      </w:r>
      <w:r w:rsidR="00132074">
        <w:rPr>
          <w:snapToGrid/>
          <w:kern w:val="22"/>
          <w:szCs w:val="22"/>
          <w:lang w:eastAsia="ko-KR"/>
        </w:rPr>
        <w:t xml:space="preserve"> </w:t>
      </w:r>
      <w:r w:rsidRPr="00C45ACC">
        <w:rPr>
          <w:snapToGrid/>
          <w:kern w:val="22"/>
          <w:szCs w:val="22"/>
          <w:lang w:eastAsia="ko-KR"/>
        </w:rPr>
        <w:t xml:space="preserve">the Committee is to provide advice to the Executive Secretary, </w:t>
      </w:r>
      <w:r w:rsidRPr="00C45ACC">
        <w:rPr>
          <w:snapToGrid/>
          <w:kern w:val="22"/>
          <w:szCs w:val="22"/>
        </w:rPr>
        <w:t>regarding stock-taking of the capacity-building and development initiatives being implemented by Parties and various organizations with a view to identifying gaps in the implementation of the strategic framework.</w:t>
      </w:r>
    </w:p>
    <w:p w14:paraId="6B2D2627" w14:textId="4CE9CBAE" w:rsidR="0092781D" w:rsidRPr="004A011A" w:rsidRDefault="0092781D" w:rsidP="006255E2">
      <w:pPr>
        <w:pStyle w:val="Para1"/>
        <w:numPr>
          <w:ilvl w:val="0"/>
          <w:numId w:val="18"/>
        </w:numPr>
        <w:suppressLineNumbers/>
        <w:tabs>
          <w:tab w:val="left" w:pos="720"/>
        </w:tabs>
        <w:suppressAutoHyphens/>
        <w:kinsoku w:val="0"/>
        <w:overflowPunct w:val="0"/>
        <w:autoSpaceDE w:val="0"/>
        <w:autoSpaceDN w:val="0"/>
        <w:ind w:left="0" w:firstLine="0"/>
        <w:rPr>
          <w:snapToGrid/>
          <w:kern w:val="22"/>
          <w:szCs w:val="22"/>
        </w:rPr>
      </w:pPr>
      <w:r w:rsidRPr="004A011A">
        <w:rPr>
          <w:snapToGrid/>
          <w:kern w:val="22"/>
          <w:szCs w:val="22"/>
          <w:lang w:eastAsia="ko-KR"/>
        </w:rPr>
        <w:t xml:space="preserve">An overview of </w:t>
      </w:r>
      <w:r>
        <w:rPr>
          <w:snapToGrid/>
          <w:kern w:val="22"/>
          <w:szCs w:val="22"/>
          <w:lang w:eastAsia="ko-KR"/>
        </w:rPr>
        <w:t xml:space="preserve">measures to assist in </w:t>
      </w:r>
      <w:r w:rsidRPr="004A011A">
        <w:rPr>
          <w:snapToGrid/>
          <w:kern w:val="22"/>
          <w:szCs w:val="22"/>
          <w:lang w:eastAsia="ko-KR"/>
        </w:rPr>
        <w:t>capacity-building and developmen</w:t>
      </w:r>
      <w:r>
        <w:rPr>
          <w:snapToGrid/>
          <w:kern w:val="22"/>
          <w:szCs w:val="22"/>
          <w:lang w:eastAsia="ko-KR"/>
        </w:rPr>
        <w:t>t</w:t>
      </w:r>
      <w:r w:rsidRPr="004A011A">
        <w:rPr>
          <w:snapToGrid/>
          <w:kern w:val="22"/>
          <w:szCs w:val="22"/>
          <w:lang w:eastAsia="ko-KR"/>
        </w:rPr>
        <w:t xml:space="preserve"> completed or initiated after the adoption of the Nagoya Protocol in 2010 was prepared for the first meeting of the Informal Advisory Committee in September 2015 (</w:t>
      </w:r>
      <w:hyperlink r:id="rId16" w:history="1">
        <w:r w:rsidR="00C4111F">
          <w:rPr>
            <w:rStyle w:val="Hyperlink"/>
            <w:kern w:val="18"/>
            <w:szCs w:val="22"/>
          </w:rPr>
          <w:t>UNEP/CBD/ABS/CB-IAC/2015/1/2</w:t>
        </w:r>
      </w:hyperlink>
      <w:r w:rsidRPr="004A011A">
        <w:rPr>
          <w:snapToGrid/>
          <w:kern w:val="22"/>
          <w:szCs w:val="22"/>
          <w:lang w:eastAsia="ko-KR"/>
        </w:rPr>
        <w:t>), updated for its second meeting, in June 2016 (</w:t>
      </w:r>
      <w:hyperlink r:id="rId17" w:history="1">
        <w:r w:rsidR="00FD72FC">
          <w:rPr>
            <w:rStyle w:val="Hyperlink"/>
            <w:kern w:val="18"/>
            <w:szCs w:val="22"/>
          </w:rPr>
          <w:t>UNEP/CBD/ABS/CB-IAC/2016/1/2</w:t>
        </w:r>
      </w:hyperlink>
      <w:r w:rsidRPr="004A011A">
        <w:rPr>
          <w:snapToGrid/>
          <w:kern w:val="22"/>
          <w:szCs w:val="22"/>
          <w:lang w:eastAsia="ko-KR"/>
        </w:rPr>
        <w:t>)</w:t>
      </w:r>
      <w:r>
        <w:rPr>
          <w:snapToGrid/>
          <w:kern w:val="22"/>
          <w:szCs w:val="22"/>
          <w:lang w:eastAsia="ko-KR"/>
        </w:rPr>
        <w:t xml:space="preserve">, updated for its third meeting in March 2018 </w:t>
      </w:r>
      <w:hyperlink r:id="rId18" w:history="1">
        <w:r w:rsidRPr="007E5BFD">
          <w:rPr>
            <w:rStyle w:val="Hyperlink"/>
            <w:snapToGrid/>
            <w:kern w:val="22"/>
            <w:szCs w:val="22"/>
            <w:lang w:eastAsia="ko-KR"/>
          </w:rPr>
          <w:t>(</w:t>
        </w:r>
        <w:r w:rsidRPr="007E5BFD">
          <w:rPr>
            <w:rStyle w:val="Hyperlink"/>
          </w:rPr>
          <w:t>CBD/ABS/CB-IAC/2018/1/2)</w:t>
        </w:r>
      </w:hyperlink>
      <w:r w:rsidRPr="004A011A">
        <w:rPr>
          <w:snapToGrid/>
          <w:kern w:val="22"/>
          <w:szCs w:val="22"/>
          <w:lang w:eastAsia="ko-KR"/>
        </w:rPr>
        <w:t xml:space="preserve"> and also </w:t>
      </w:r>
      <w:r>
        <w:rPr>
          <w:snapToGrid/>
          <w:kern w:val="22"/>
          <w:szCs w:val="22"/>
          <w:lang w:eastAsia="ko-KR"/>
        </w:rPr>
        <w:t>submitted</w:t>
      </w:r>
      <w:r w:rsidRPr="004A011A">
        <w:rPr>
          <w:snapToGrid/>
          <w:kern w:val="22"/>
          <w:szCs w:val="22"/>
          <w:lang w:eastAsia="ko-KR"/>
        </w:rPr>
        <w:t xml:space="preserve"> for consideration by the Conference of the Parties serving as the meeting of the Parties to the Nagoya Protocol at its</w:t>
      </w:r>
      <w:r>
        <w:rPr>
          <w:snapToGrid/>
          <w:kern w:val="22"/>
          <w:szCs w:val="22"/>
          <w:lang w:eastAsia="ko-KR"/>
        </w:rPr>
        <w:t xml:space="preserve"> second (UNEP/CBD/NP/COP-MOP/2/8) and</w:t>
      </w:r>
      <w:r w:rsidRPr="004A011A">
        <w:rPr>
          <w:snapToGrid/>
          <w:kern w:val="22"/>
          <w:szCs w:val="22"/>
          <w:lang w:eastAsia="ko-KR"/>
        </w:rPr>
        <w:t xml:space="preserve"> </w:t>
      </w:r>
      <w:r>
        <w:rPr>
          <w:snapToGrid/>
          <w:kern w:val="22"/>
          <w:szCs w:val="22"/>
          <w:lang w:eastAsia="ko-KR"/>
        </w:rPr>
        <w:t>third</w:t>
      </w:r>
      <w:r w:rsidRPr="004A011A">
        <w:rPr>
          <w:snapToGrid/>
          <w:kern w:val="22"/>
          <w:szCs w:val="22"/>
          <w:lang w:eastAsia="ko-KR"/>
        </w:rPr>
        <w:t xml:space="preserve"> meeting (</w:t>
      </w:r>
      <w:hyperlink r:id="rId19" w:history="1">
        <w:r w:rsidRPr="004A011A">
          <w:rPr>
            <w:rStyle w:val="Hyperlink"/>
            <w:kern w:val="18"/>
            <w:szCs w:val="22"/>
          </w:rPr>
          <w:t>CBD/NP/MOP/</w:t>
        </w:r>
        <w:r>
          <w:rPr>
            <w:rStyle w:val="Hyperlink"/>
            <w:kern w:val="18"/>
            <w:szCs w:val="22"/>
          </w:rPr>
          <w:t>3</w:t>
        </w:r>
        <w:r w:rsidRPr="004A011A">
          <w:rPr>
            <w:rStyle w:val="Hyperlink"/>
            <w:kern w:val="18"/>
            <w:szCs w:val="22"/>
          </w:rPr>
          <w:t>/</w:t>
        </w:r>
        <w:r>
          <w:rPr>
            <w:rStyle w:val="Hyperlink"/>
            <w:kern w:val="18"/>
            <w:szCs w:val="22"/>
          </w:rPr>
          <w:t>4</w:t>
        </w:r>
      </w:hyperlink>
      <w:r w:rsidRPr="004A011A">
        <w:rPr>
          <w:snapToGrid/>
          <w:kern w:val="22"/>
          <w:szCs w:val="22"/>
          <w:lang w:eastAsia="ko-KR"/>
        </w:rPr>
        <w:t>).</w:t>
      </w:r>
    </w:p>
    <w:p w14:paraId="56B68CA0" w14:textId="3C4F9F5F" w:rsidR="000015F9" w:rsidRDefault="001E1679" w:rsidP="006255E2">
      <w:pPr>
        <w:pStyle w:val="Para1"/>
        <w:numPr>
          <w:ilvl w:val="0"/>
          <w:numId w:val="18"/>
        </w:numPr>
        <w:suppressLineNumbers/>
        <w:suppressAutoHyphens/>
        <w:kinsoku w:val="0"/>
        <w:overflowPunct w:val="0"/>
        <w:autoSpaceDE w:val="0"/>
        <w:autoSpaceDN w:val="0"/>
        <w:ind w:left="0" w:firstLine="0"/>
        <w:rPr>
          <w:snapToGrid/>
          <w:kern w:val="22"/>
          <w:szCs w:val="22"/>
          <w:lang w:eastAsia="ko-KR"/>
        </w:rPr>
      </w:pPr>
      <w:r w:rsidRPr="005826EF">
        <w:rPr>
          <w:snapToGrid/>
          <w:kern w:val="22"/>
          <w:szCs w:val="22"/>
          <w:lang w:eastAsia="ko-KR"/>
        </w:rPr>
        <w:t xml:space="preserve">The </w:t>
      </w:r>
      <w:r w:rsidRPr="00A16019">
        <w:rPr>
          <w:snapToGrid/>
          <w:kern w:val="22"/>
          <w:szCs w:val="22"/>
          <w:lang w:eastAsia="ko-KR"/>
        </w:rPr>
        <w:t>purpose of the present document is to assist the Committee in its further consideration of the issue of capacity-building and development for the implementation of the Nagoya Protocol.</w:t>
      </w:r>
      <w:r w:rsidR="00CF30F7">
        <w:rPr>
          <w:snapToGrid/>
          <w:kern w:val="22"/>
          <w:szCs w:val="22"/>
          <w:lang w:eastAsia="ko-KR"/>
        </w:rPr>
        <w:t xml:space="preserve"> Specifically, Committee members will be invited to validate the information</w:t>
      </w:r>
      <w:r w:rsidR="00E81AF5">
        <w:rPr>
          <w:snapToGrid/>
          <w:kern w:val="22"/>
          <w:szCs w:val="22"/>
          <w:lang w:eastAsia="ko-KR"/>
        </w:rPr>
        <w:t xml:space="preserve"> presented</w:t>
      </w:r>
      <w:r w:rsidR="00CF30F7">
        <w:rPr>
          <w:snapToGrid/>
          <w:kern w:val="22"/>
          <w:szCs w:val="22"/>
          <w:lang w:eastAsia="ko-KR"/>
        </w:rPr>
        <w:t xml:space="preserve"> and </w:t>
      </w:r>
      <w:r w:rsidR="00195889">
        <w:rPr>
          <w:snapToGrid/>
          <w:kern w:val="22"/>
          <w:szCs w:val="22"/>
          <w:lang w:eastAsia="ko-KR"/>
        </w:rPr>
        <w:t xml:space="preserve">to </w:t>
      </w:r>
      <w:r w:rsidR="00CF30F7">
        <w:rPr>
          <w:snapToGrid/>
          <w:kern w:val="22"/>
          <w:szCs w:val="22"/>
          <w:lang w:eastAsia="ko-KR"/>
        </w:rPr>
        <w:t>provide</w:t>
      </w:r>
      <w:r w:rsidR="00C23F4E" w:rsidRPr="00C23F4E">
        <w:t xml:space="preserve"> </w:t>
      </w:r>
      <w:r w:rsidR="00C23F4E" w:rsidRPr="00C23F4E">
        <w:rPr>
          <w:snapToGrid/>
          <w:kern w:val="22"/>
          <w:szCs w:val="22"/>
          <w:lang w:eastAsia="ko-KR"/>
        </w:rPr>
        <w:t>updates on recent developments with respect to their access and benefit-sharing capacity-building and development projects</w:t>
      </w:r>
      <w:r w:rsidR="00CF30F7">
        <w:rPr>
          <w:snapToGrid/>
          <w:kern w:val="22"/>
          <w:szCs w:val="22"/>
          <w:lang w:eastAsia="ko-KR"/>
        </w:rPr>
        <w:t>.</w:t>
      </w:r>
      <w:r w:rsidRPr="00A16019">
        <w:rPr>
          <w:snapToGrid/>
          <w:kern w:val="22"/>
          <w:szCs w:val="22"/>
          <w:lang w:eastAsia="ko-KR"/>
        </w:rPr>
        <w:t xml:space="preserve"> Section II offers an updated overview of capacity-building and development initiatives supporting the implementation</w:t>
      </w:r>
      <w:r w:rsidRPr="004A011A">
        <w:rPr>
          <w:snapToGrid/>
          <w:kern w:val="22"/>
          <w:szCs w:val="22"/>
          <w:lang w:eastAsia="ko-KR"/>
        </w:rPr>
        <w:t xml:space="preserve"> of the Nagoya Protocol. Section III provides an updated overview of capacity-building and </w:t>
      </w:r>
      <w:r w:rsidRPr="004A011A">
        <w:rPr>
          <w:snapToGrid/>
          <w:kern w:val="22"/>
          <w:szCs w:val="22"/>
          <w:lang w:eastAsia="ko-KR"/>
        </w:rPr>
        <w:lastRenderedPageBreak/>
        <w:t>development resources. Section IV</w:t>
      </w:r>
      <w:r w:rsidR="000015F9">
        <w:rPr>
          <w:snapToGrid/>
          <w:kern w:val="22"/>
          <w:szCs w:val="22"/>
          <w:lang w:eastAsia="ko-KR"/>
        </w:rPr>
        <w:t xml:space="preserve"> provides an update on capacity-building and development activities undertaken by the Secretariat.</w:t>
      </w:r>
    </w:p>
    <w:p w14:paraId="023EB49D" w14:textId="463428E8" w:rsidR="001E1679" w:rsidRPr="00A16019" w:rsidRDefault="001E1679" w:rsidP="006255E2">
      <w:pPr>
        <w:pStyle w:val="Para1"/>
        <w:numPr>
          <w:ilvl w:val="0"/>
          <w:numId w:val="18"/>
        </w:numPr>
        <w:suppressLineNumbers/>
        <w:tabs>
          <w:tab w:val="left" w:pos="720"/>
        </w:tabs>
        <w:suppressAutoHyphens/>
        <w:kinsoku w:val="0"/>
        <w:overflowPunct w:val="0"/>
        <w:autoSpaceDE w:val="0"/>
        <w:autoSpaceDN w:val="0"/>
        <w:ind w:left="0" w:firstLine="0"/>
        <w:rPr>
          <w:snapToGrid/>
          <w:kern w:val="22"/>
          <w:szCs w:val="22"/>
          <w:lang w:eastAsia="ko-KR"/>
        </w:rPr>
      </w:pPr>
      <w:r w:rsidRPr="004A011A">
        <w:rPr>
          <w:snapToGrid/>
          <w:kern w:val="22"/>
          <w:szCs w:val="22"/>
          <w:lang w:eastAsia="ko-KR"/>
        </w:rPr>
        <w:t>For the preparation of the present document</w:t>
      </w:r>
      <w:r>
        <w:rPr>
          <w:snapToGrid/>
          <w:kern w:val="22"/>
          <w:szCs w:val="22"/>
          <w:lang w:eastAsia="ko-KR"/>
        </w:rPr>
        <w:t>,</w:t>
      </w:r>
      <w:r w:rsidRPr="004A011A">
        <w:rPr>
          <w:snapToGrid/>
          <w:kern w:val="22"/>
          <w:szCs w:val="22"/>
          <w:lang w:eastAsia="ko-KR"/>
        </w:rPr>
        <w:t xml:space="preserve"> the Secretariat relied on information gathered from the </w:t>
      </w:r>
      <w:r w:rsidRPr="00A16019">
        <w:rPr>
          <w:snapToGrid/>
          <w:kern w:val="22"/>
          <w:szCs w:val="22"/>
          <w:lang w:eastAsia="ko-KR"/>
        </w:rPr>
        <w:t>following sources:</w:t>
      </w:r>
    </w:p>
    <w:p w14:paraId="3AA39645" w14:textId="4037C2AE" w:rsidR="001E1679" w:rsidRPr="00A16019" w:rsidRDefault="001E1679" w:rsidP="009F2A8B">
      <w:pPr>
        <w:pStyle w:val="Para1"/>
        <w:numPr>
          <w:ilvl w:val="1"/>
          <w:numId w:val="13"/>
        </w:numPr>
        <w:suppressLineNumbers/>
        <w:pBdr>
          <w:top w:val="nil"/>
          <w:left w:val="nil"/>
          <w:bottom w:val="nil"/>
          <w:right w:val="nil"/>
          <w:between w:val="nil"/>
          <w:bar w:val="nil"/>
        </w:pBdr>
        <w:suppressAutoHyphens/>
        <w:kinsoku w:val="0"/>
        <w:overflowPunct w:val="0"/>
        <w:autoSpaceDE w:val="0"/>
        <w:autoSpaceDN w:val="0"/>
        <w:rPr>
          <w:snapToGrid/>
          <w:kern w:val="22"/>
          <w:szCs w:val="22"/>
        </w:rPr>
      </w:pPr>
      <w:r w:rsidRPr="00A16019">
        <w:rPr>
          <w:snapToGrid/>
          <w:kern w:val="22"/>
          <w:szCs w:val="22"/>
        </w:rPr>
        <w:t>Information made available by Parties, other Governments, indigenous peoples and local communities and relevant organizations regarding their capacity-building i</w:t>
      </w:r>
      <w:r w:rsidRPr="00B5408D">
        <w:rPr>
          <w:snapToGrid/>
          <w:kern w:val="22"/>
          <w:szCs w:val="22"/>
        </w:rPr>
        <w:t xml:space="preserve">nitiatives and tools and resources through the </w:t>
      </w:r>
      <w:r w:rsidR="004B0995">
        <w:rPr>
          <w:snapToGrid/>
          <w:kern w:val="22"/>
          <w:szCs w:val="22"/>
        </w:rPr>
        <w:t>Access and Benefit-sharing</w:t>
      </w:r>
      <w:r w:rsidR="004B0995" w:rsidRPr="00B5408D">
        <w:rPr>
          <w:snapToGrid/>
          <w:kern w:val="22"/>
          <w:szCs w:val="22"/>
        </w:rPr>
        <w:t xml:space="preserve"> </w:t>
      </w:r>
      <w:r w:rsidRPr="00B5408D">
        <w:rPr>
          <w:snapToGrid/>
          <w:kern w:val="22"/>
          <w:szCs w:val="22"/>
        </w:rPr>
        <w:t>Clearing-House;</w:t>
      </w:r>
      <w:r w:rsidRPr="00A16019">
        <w:rPr>
          <w:rStyle w:val="FootnoteReference"/>
          <w:snapToGrid/>
          <w:kern w:val="22"/>
          <w:szCs w:val="22"/>
        </w:rPr>
        <w:footnoteReference w:id="2"/>
      </w:r>
    </w:p>
    <w:p w14:paraId="1CCE4FC3" w14:textId="77777777" w:rsidR="001E1679" w:rsidRPr="00A16019" w:rsidRDefault="001E1679" w:rsidP="009F2A8B">
      <w:pPr>
        <w:pStyle w:val="Para1"/>
        <w:numPr>
          <w:ilvl w:val="1"/>
          <w:numId w:val="13"/>
        </w:numPr>
        <w:suppressLineNumbers/>
        <w:pBdr>
          <w:top w:val="nil"/>
          <w:left w:val="nil"/>
          <w:bottom w:val="nil"/>
          <w:right w:val="nil"/>
          <w:between w:val="nil"/>
          <w:bar w:val="nil"/>
        </w:pBdr>
        <w:suppressAutoHyphens/>
        <w:kinsoku w:val="0"/>
        <w:overflowPunct w:val="0"/>
        <w:autoSpaceDE w:val="0"/>
        <w:autoSpaceDN w:val="0"/>
        <w:rPr>
          <w:snapToGrid/>
          <w:kern w:val="22"/>
          <w:szCs w:val="22"/>
        </w:rPr>
      </w:pPr>
      <w:r w:rsidRPr="00A16019">
        <w:rPr>
          <w:snapToGrid/>
          <w:kern w:val="22"/>
          <w:szCs w:val="22"/>
        </w:rPr>
        <w:t>Project documents, identification forms (PIFs) or other information available in the Global Environment Facility’s (GEF) Project Database</w:t>
      </w:r>
      <w:r w:rsidRPr="00A16019">
        <w:rPr>
          <w:rStyle w:val="FootnoteReference"/>
          <w:snapToGrid/>
          <w:kern w:val="22"/>
          <w:szCs w:val="22"/>
        </w:rPr>
        <w:footnoteReference w:id="3"/>
      </w:r>
      <w:r w:rsidRPr="00A16019">
        <w:rPr>
          <w:snapToGrid/>
          <w:kern w:val="22"/>
          <w:szCs w:val="22"/>
        </w:rPr>
        <w:t xml:space="preserve"> and the GEF Small Grants Programme Project Database;</w:t>
      </w:r>
      <w:r w:rsidRPr="00A16019">
        <w:rPr>
          <w:rStyle w:val="FootnoteReference"/>
          <w:snapToGrid/>
          <w:kern w:val="22"/>
          <w:szCs w:val="22"/>
        </w:rPr>
        <w:footnoteReference w:id="4"/>
      </w:r>
    </w:p>
    <w:p w14:paraId="31D6AE27" w14:textId="77777777" w:rsidR="001E1679" w:rsidRPr="004A011A" w:rsidRDefault="001E1679" w:rsidP="009F2A8B">
      <w:pPr>
        <w:pStyle w:val="Para1"/>
        <w:numPr>
          <w:ilvl w:val="0"/>
          <w:numId w:val="0"/>
        </w:numPr>
        <w:suppressLineNumbers/>
        <w:tabs>
          <w:tab w:val="left" w:pos="720"/>
        </w:tabs>
        <w:suppressAutoHyphens/>
        <w:kinsoku w:val="0"/>
        <w:overflowPunct w:val="0"/>
        <w:autoSpaceDE w:val="0"/>
        <w:autoSpaceDN w:val="0"/>
        <w:ind w:firstLine="720"/>
        <w:rPr>
          <w:snapToGrid/>
          <w:kern w:val="22"/>
          <w:szCs w:val="22"/>
        </w:rPr>
      </w:pPr>
      <w:r w:rsidRPr="004A011A">
        <w:rPr>
          <w:snapToGrid/>
          <w:kern w:val="22"/>
          <w:szCs w:val="22"/>
        </w:rPr>
        <w:t>(d)</w:t>
      </w:r>
      <w:r w:rsidRPr="004A011A">
        <w:rPr>
          <w:snapToGrid/>
          <w:kern w:val="22"/>
          <w:szCs w:val="22"/>
        </w:rPr>
        <w:tab/>
        <w:t>Information provided by organizations implementing and/or executing capacity-building initiatives, including members of the Informal Advisory Committee;</w:t>
      </w:r>
    </w:p>
    <w:p w14:paraId="13E3DE7E" w14:textId="77777777" w:rsidR="001E1679" w:rsidRPr="004A011A" w:rsidRDefault="001E1679" w:rsidP="009F2A8B">
      <w:pPr>
        <w:pStyle w:val="Para1"/>
        <w:numPr>
          <w:ilvl w:val="0"/>
          <w:numId w:val="0"/>
        </w:numPr>
        <w:suppressLineNumbers/>
        <w:tabs>
          <w:tab w:val="left" w:pos="720"/>
        </w:tabs>
        <w:suppressAutoHyphens/>
        <w:kinsoku w:val="0"/>
        <w:overflowPunct w:val="0"/>
        <w:autoSpaceDE w:val="0"/>
        <w:autoSpaceDN w:val="0"/>
        <w:ind w:firstLine="720"/>
        <w:rPr>
          <w:snapToGrid/>
          <w:kern w:val="22"/>
          <w:szCs w:val="22"/>
          <w:lang w:eastAsia="ko-KR"/>
        </w:rPr>
      </w:pPr>
      <w:r w:rsidRPr="004A011A">
        <w:rPr>
          <w:snapToGrid/>
          <w:kern w:val="22"/>
          <w:szCs w:val="22"/>
        </w:rPr>
        <w:t>(e)</w:t>
      </w:r>
      <w:r w:rsidRPr="004A011A">
        <w:rPr>
          <w:snapToGrid/>
          <w:kern w:val="22"/>
          <w:szCs w:val="22"/>
        </w:rPr>
        <w:tab/>
        <w:t>Online searches.</w:t>
      </w:r>
    </w:p>
    <w:p w14:paraId="27DB56D3" w14:textId="77777777" w:rsidR="00B5408D" w:rsidRPr="004A011A" w:rsidRDefault="00B5408D" w:rsidP="0009641F">
      <w:pPr>
        <w:pStyle w:val="Heading1"/>
        <w:suppressLineNumbers/>
        <w:suppressAutoHyphens/>
        <w:kinsoku w:val="0"/>
        <w:overflowPunct w:val="0"/>
        <w:autoSpaceDE w:val="0"/>
        <w:autoSpaceDN w:val="0"/>
        <w:spacing w:before="0"/>
        <w:rPr>
          <w:rFonts w:ascii="Times New Roman Bold" w:hAnsi="Times New Roman Bold" w:cs="Times New Roman Bold"/>
          <w:bCs/>
          <w:kern w:val="22"/>
          <w:szCs w:val="22"/>
          <w:lang w:eastAsia="ko-KR"/>
        </w:rPr>
      </w:pPr>
      <w:r w:rsidRPr="004A011A">
        <w:rPr>
          <w:rFonts w:ascii="Times New Roman Bold" w:eastAsia="Arial Unicode MS" w:hAnsi="Times New Roman Bold" w:cs="Times New Roman Bold"/>
          <w:bCs/>
          <w:kern w:val="22"/>
          <w:szCs w:val="22"/>
        </w:rPr>
        <w:t>II.</w:t>
      </w:r>
      <w:r w:rsidRPr="004A011A">
        <w:rPr>
          <w:rFonts w:ascii="Times New Roman Bold" w:eastAsia="Arial Unicode MS" w:hAnsi="Times New Roman Bold" w:cs="Times New Roman Bold"/>
          <w:bCs/>
          <w:kern w:val="22"/>
          <w:szCs w:val="22"/>
        </w:rPr>
        <w:tab/>
        <w:t>Update on capacity-building and development initiatives</w:t>
      </w:r>
    </w:p>
    <w:p w14:paraId="75AC89E3" w14:textId="13777BB2" w:rsidR="00B5408D" w:rsidRPr="004A011A" w:rsidRDefault="00B5408D" w:rsidP="006255E2">
      <w:pPr>
        <w:pStyle w:val="Para1"/>
        <w:numPr>
          <w:ilvl w:val="0"/>
          <w:numId w:val="18"/>
        </w:numPr>
        <w:suppressLineNumbers/>
        <w:tabs>
          <w:tab w:val="left" w:pos="720"/>
        </w:tabs>
        <w:suppressAutoHyphens/>
        <w:kinsoku w:val="0"/>
        <w:overflowPunct w:val="0"/>
        <w:autoSpaceDE w:val="0"/>
        <w:autoSpaceDN w:val="0"/>
        <w:ind w:left="0" w:firstLine="0"/>
        <w:rPr>
          <w:snapToGrid/>
          <w:kern w:val="22"/>
          <w:szCs w:val="22"/>
          <w:lang w:eastAsia="ko-KR"/>
        </w:rPr>
      </w:pPr>
      <w:r w:rsidRPr="004A011A">
        <w:rPr>
          <w:snapToGrid/>
          <w:kern w:val="22"/>
          <w:szCs w:val="22"/>
          <w:lang w:eastAsia="ko-KR"/>
        </w:rPr>
        <w:t>Since the adoption of the Nagoya Protocol, different capacity-building and development initiatives have been implemented or proposed to support its ratification and implementation. These include broad global or region-wide initiatives and activities (such as training courses and information-sharing platforms) intended to benefit all countries as well as initiatives that are intended to directly support and benefit specific countries.</w:t>
      </w:r>
    </w:p>
    <w:p w14:paraId="7732AE77" w14:textId="2CC0F743" w:rsidR="00B5408D" w:rsidRPr="004A011A" w:rsidRDefault="00B5408D" w:rsidP="006255E2">
      <w:pPr>
        <w:pStyle w:val="Para1"/>
        <w:numPr>
          <w:ilvl w:val="0"/>
          <w:numId w:val="18"/>
        </w:numPr>
        <w:suppressLineNumbers/>
        <w:tabs>
          <w:tab w:val="left" w:pos="720"/>
        </w:tabs>
        <w:suppressAutoHyphens/>
        <w:kinsoku w:val="0"/>
        <w:overflowPunct w:val="0"/>
        <w:autoSpaceDE w:val="0"/>
        <w:autoSpaceDN w:val="0"/>
        <w:ind w:left="0" w:firstLine="0"/>
        <w:rPr>
          <w:snapToGrid/>
          <w:kern w:val="22"/>
          <w:szCs w:val="22"/>
          <w:lang w:eastAsia="ko-KR"/>
        </w:rPr>
      </w:pPr>
      <w:r w:rsidRPr="004A011A">
        <w:rPr>
          <w:snapToGrid/>
          <w:kern w:val="22"/>
          <w:szCs w:val="22"/>
          <w:lang w:eastAsia="ko-KR"/>
        </w:rPr>
        <w:t>Subsection A offers an update on the capacity-building and development initiatives that have provided or are providing direct support to countries to enable them to ratify and/or implement the Nagoya Protocol.</w:t>
      </w:r>
    </w:p>
    <w:p w14:paraId="6676EA48" w14:textId="00EAC87E" w:rsidR="001E1679" w:rsidRPr="00072C32" w:rsidRDefault="00B5408D" w:rsidP="006255E2">
      <w:pPr>
        <w:pStyle w:val="Para1"/>
        <w:numPr>
          <w:ilvl w:val="0"/>
          <w:numId w:val="18"/>
        </w:numPr>
        <w:suppressLineNumbers/>
        <w:tabs>
          <w:tab w:val="left" w:pos="720"/>
        </w:tabs>
        <w:suppressAutoHyphens/>
        <w:kinsoku w:val="0"/>
        <w:overflowPunct w:val="0"/>
        <w:autoSpaceDE w:val="0"/>
        <w:autoSpaceDN w:val="0"/>
        <w:ind w:left="0" w:firstLine="0"/>
        <w:rPr>
          <w:snapToGrid/>
          <w:kern w:val="22"/>
          <w:szCs w:val="22"/>
          <w:lang w:eastAsia="ko-KR"/>
        </w:rPr>
      </w:pPr>
      <w:r w:rsidRPr="004A011A">
        <w:rPr>
          <w:snapToGrid/>
          <w:kern w:val="22"/>
          <w:szCs w:val="22"/>
          <w:lang w:eastAsia="ko-KR"/>
        </w:rPr>
        <w:t>For some initiatives, key information</w:t>
      </w:r>
      <w:r>
        <w:rPr>
          <w:snapToGrid/>
          <w:kern w:val="22"/>
          <w:szCs w:val="22"/>
          <w:lang w:eastAsia="ko-KR"/>
        </w:rPr>
        <w:t>,</w:t>
      </w:r>
      <w:r w:rsidRPr="004A011A">
        <w:rPr>
          <w:snapToGrid/>
          <w:kern w:val="22"/>
          <w:szCs w:val="22"/>
          <w:lang w:eastAsia="ko-KR"/>
        </w:rPr>
        <w:t xml:space="preserve"> such as the start and end dates, has not been updated</w:t>
      </w:r>
      <w:r>
        <w:rPr>
          <w:snapToGrid/>
          <w:kern w:val="22"/>
          <w:szCs w:val="22"/>
          <w:lang w:eastAsia="ko-KR"/>
        </w:rPr>
        <w:t>,</w:t>
      </w:r>
      <w:r w:rsidRPr="004A011A">
        <w:rPr>
          <w:snapToGrid/>
          <w:kern w:val="22"/>
          <w:szCs w:val="22"/>
          <w:lang w:eastAsia="ko-KR"/>
        </w:rPr>
        <w:t xml:space="preserve"> and there are cases </w:t>
      </w:r>
      <w:r>
        <w:rPr>
          <w:snapToGrid/>
          <w:kern w:val="22"/>
          <w:szCs w:val="22"/>
          <w:lang w:eastAsia="ko-KR"/>
        </w:rPr>
        <w:t>in which</w:t>
      </w:r>
      <w:r w:rsidRPr="004A011A">
        <w:rPr>
          <w:snapToGrid/>
          <w:kern w:val="22"/>
          <w:szCs w:val="22"/>
          <w:lang w:eastAsia="ko-KR"/>
        </w:rPr>
        <w:t xml:space="preserve"> information such as the budget was missing or not readily available. Due to these limitations</w:t>
      </w:r>
      <w:r>
        <w:rPr>
          <w:snapToGrid/>
          <w:kern w:val="22"/>
          <w:szCs w:val="22"/>
          <w:lang w:eastAsia="ko-KR"/>
        </w:rPr>
        <w:t>,</w:t>
      </w:r>
      <w:r w:rsidRPr="004A011A">
        <w:rPr>
          <w:snapToGrid/>
          <w:kern w:val="22"/>
          <w:szCs w:val="22"/>
          <w:lang w:eastAsia="ko-KR"/>
        </w:rPr>
        <w:t xml:space="preserve"> some of the information presented in the document may not reflect the actual situation.</w:t>
      </w:r>
    </w:p>
    <w:p w14:paraId="7B06A71E" w14:textId="77777777" w:rsidR="00927D8C" w:rsidRPr="00927D8C" w:rsidRDefault="00927D8C" w:rsidP="0009641F">
      <w:pPr>
        <w:pStyle w:val="Heading3"/>
        <w:spacing w:before="0"/>
        <w:rPr>
          <w:rFonts w:cs="Times New Roman"/>
          <w:b/>
          <w:i w:val="0"/>
          <w:kern w:val="22"/>
          <w:szCs w:val="22"/>
        </w:rPr>
      </w:pPr>
      <w:r w:rsidRPr="00927D8C">
        <w:rPr>
          <w:rFonts w:cs="Times New Roman"/>
          <w:b/>
          <w:i w:val="0"/>
          <w:kern w:val="22"/>
          <w:szCs w:val="22"/>
        </w:rPr>
        <w:t>A.</w:t>
      </w:r>
      <w:r w:rsidRPr="00927D8C">
        <w:rPr>
          <w:rFonts w:cs="Times New Roman"/>
          <w:b/>
          <w:i w:val="0"/>
          <w:kern w:val="22"/>
          <w:szCs w:val="22"/>
        </w:rPr>
        <w:tab/>
        <w:t>Capacity-building and development initiatives benefiting specific countries</w:t>
      </w:r>
    </w:p>
    <w:p w14:paraId="4946175E" w14:textId="11542710" w:rsidR="00927D8C" w:rsidRPr="009F2A8B" w:rsidRDefault="00927D8C" w:rsidP="006255E2">
      <w:pPr>
        <w:pStyle w:val="Para1"/>
        <w:numPr>
          <w:ilvl w:val="0"/>
          <w:numId w:val="18"/>
        </w:numPr>
        <w:pBdr>
          <w:top w:val="nil"/>
          <w:left w:val="nil"/>
          <w:bottom w:val="nil"/>
          <w:right w:val="nil"/>
          <w:between w:val="nil"/>
          <w:bar w:val="nil"/>
        </w:pBdr>
        <w:ind w:left="0" w:firstLine="0"/>
        <w:rPr>
          <w:snapToGrid/>
          <w:kern w:val="22"/>
          <w:szCs w:val="22"/>
          <w:lang w:eastAsia="ko-KR"/>
        </w:rPr>
      </w:pPr>
      <w:r w:rsidRPr="009F2A8B">
        <w:rPr>
          <w:snapToGrid/>
          <w:kern w:val="22"/>
          <w:szCs w:val="22"/>
          <w:lang w:eastAsia="ko-KR"/>
        </w:rPr>
        <w:t xml:space="preserve">According to the information available to the Secretariat as of 20 August 2019, the total number of initiatives has grown to 99. It is important to note that 59 of these initiatives, representing 60 per cent, have been </w:t>
      </w:r>
      <w:r w:rsidR="00AF1F79" w:rsidRPr="009F2A8B">
        <w:rPr>
          <w:snapToGrid/>
          <w:kern w:val="22"/>
          <w:szCs w:val="22"/>
          <w:lang w:eastAsia="ko-KR"/>
        </w:rPr>
        <w:t>uploaded to</w:t>
      </w:r>
      <w:r w:rsidRPr="009F2A8B">
        <w:rPr>
          <w:snapToGrid/>
          <w:kern w:val="22"/>
          <w:szCs w:val="22"/>
          <w:lang w:eastAsia="ko-KR"/>
        </w:rPr>
        <w:t xml:space="preserve"> the ABS Clearing-House. </w:t>
      </w:r>
      <w:r w:rsidR="00C6678D" w:rsidRPr="009F2A8B">
        <w:rPr>
          <w:snapToGrid/>
          <w:kern w:val="22"/>
          <w:szCs w:val="22"/>
          <w:lang w:eastAsia="ko-KR"/>
        </w:rPr>
        <w:t>Since the last update, which was prepared for the third meeting of the Parties to the Protocol, in 2018, three projects have been added.</w:t>
      </w:r>
      <w:r w:rsidR="009F7FE5" w:rsidRPr="009F2A8B">
        <w:rPr>
          <w:snapToGrid/>
          <w:kern w:val="22"/>
          <w:szCs w:val="22"/>
          <w:vertAlign w:val="superscript"/>
          <w:lang w:eastAsia="ko-KR"/>
        </w:rPr>
        <w:footnoteReference w:id="5"/>
      </w:r>
      <w:r w:rsidR="00C6678D" w:rsidRPr="009F2A8B">
        <w:rPr>
          <w:snapToGrid/>
          <w:kern w:val="22"/>
          <w:szCs w:val="22"/>
          <w:lang w:eastAsia="ko-KR"/>
        </w:rPr>
        <w:t xml:space="preserve"> </w:t>
      </w:r>
      <w:r w:rsidRPr="009F2A8B">
        <w:rPr>
          <w:snapToGrid/>
          <w:kern w:val="22"/>
          <w:szCs w:val="22"/>
          <w:lang w:eastAsia="ko-KR"/>
        </w:rPr>
        <w:t>An overview of the 99 capacity</w:t>
      </w:r>
      <w:r w:rsidR="00931E69">
        <w:rPr>
          <w:snapToGrid/>
          <w:kern w:val="22"/>
          <w:szCs w:val="22"/>
          <w:lang w:eastAsia="ko-KR"/>
        </w:rPr>
        <w:noBreakHyphen/>
      </w:r>
      <w:r w:rsidRPr="009F2A8B">
        <w:rPr>
          <w:snapToGrid/>
          <w:kern w:val="22"/>
          <w:szCs w:val="22"/>
          <w:lang w:eastAsia="ko-KR"/>
        </w:rPr>
        <w:t>building initiatives, including type, status, duration, funding levels, and geographic and thematic coverage, is provided below; the complete list is available in CBD/</w:t>
      </w:r>
      <w:r w:rsidR="00765F28">
        <w:rPr>
          <w:snapToGrid/>
          <w:kern w:val="22"/>
          <w:szCs w:val="22"/>
          <w:lang w:eastAsia="ko-KR"/>
        </w:rPr>
        <w:t>NP</w:t>
      </w:r>
      <w:r w:rsidRPr="009F2A8B">
        <w:rPr>
          <w:snapToGrid/>
          <w:kern w:val="22"/>
          <w:szCs w:val="22"/>
          <w:lang w:eastAsia="ko-KR"/>
        </w:rPr>
        <w:t>/</w:t>
      </w:r>
      <w:r w:rsidR="007A4DB4" w:rsidRPr="009F2A8B">
        <w:rPr>
          <w:snapToGrid/>
          <w:kern w:val="22"/>
          <w:szCs w:val="22"/>
          <w:lang w:eastAsia="ko-KR"/>
        </w:rPr>
        <w:t>CB-IAC</w:t>
      </w:r>
      <w:r w:rsidRPr="009F2A8B">
        <w:rPr>
          <w:snapToGrid/>
          <w:kern w:val="22"/>
          <w:szCs w:val="22"/>
          <w:lang w:eastAsia="ko-KR"/>
        </w:rPr>
        <w:t>/</w:t>
      </w:r>
      <w:r w:rsidR="007A4DB4" w:rsidRPr="009F2A8B">
        <w:rPr>
          <w:snapToGrid/>
          <w:kern w:val="22"/>
          <w:szCs w:val="22"/>
          <w:lang w:eastAsia="ko-KR"/>
        </w:rPr>
        <w:t>2019/1/2/Add.1</w:t>
      </w:r>
    </w:p>
    <w:p w14:paraId="20FB5987" w14:textId="77777777" w:rsidR="00927D8C" w:rsidRPr="00927D8C" w:rsidRDefault="00927D8C" w:rsidP="009F2A8B">
      <w:pPr>
        <w:pStyle w:val="Para1"/>
        <w:keepNext/>
        <w:numPr>
          <w:ilvl w:val="0"/>
          <w:numId w:val="0"/>
        </w:numPr>
        <w:suppressLineNumbers/>
        <w:suppressAutoHyphens/>
        <w:kinsoku w:val="0"/>
        <w:overflowPunct w:val="0"/>
        <w:autoSpaceDE w:val="0"/>
        <w:autoSpaceDN w:val="0"/>
        <w:jc w:val="center"/>
        <w:rPr>
          <w:rFonts w:cs="Times New Roman"/>
          <w:i/>
          <w:snapToGrid/>
          <w:kern w:val="22"/>
          <w:szCs w:val="22"/>
          <w:lang w:eastAsia="ko-KR"/>
        </w:rPr>
      </w:pPr>
      <w:r w:rsidRPr="00927D8C">
        <w:rPr>
          <w:rFonts w:cs="Times New Roman"/>
          <w:i/>
          <w:snapToGrid/>
          <w:kern w:val="22"/>
          <w:szCs w:val="22"/>
          <w:lang w:eastAsia="ko-KR"/>
        </w:rPr>
        <w:t>1.</w:t>
      </w:r>
      <w:r w:rsidRPr="00927D8C">
        <w:rPr>
          <w:rFonts w:cs="Times New Roman"/>
          <w:i/>
          <w:snapToGrid/>
          <w:kern w:val="22"/>
          <w:szCs w:val="22"/>
          <w:lang w:eastAsia="ko-KR"/>
        </w:rPr>
        <w:tab/>
        <w:t>Types of capacity-building initiatives</w:t>
      </w:r>
    </w:p>
    <w:p w14:paraId="65A6447E" w14:textId="5D7A37AB" w:rsidR="00927D8C" w:rsidRPr="009F2A8B" w:rsidRDefault="00927D8C" w:rsidP="006255E2">
      <w:pPr>
        <w:pStyle w:val="Para1"/>
        <w:numPr>
          <w:ilvl w:val="0"/>
          <w:numId w:val="18"/>
        </w:numPr>
        <w:pBdr>
          <w:top w:val="nil"/>
          <w:left w:val="nil"/>
          <w:bottom w:val="nil"/>
          <w:right w:val="nil"/>
          <w:between w:val="nil"/>
          <w:bar w:val="nil"/>
        </w:pBdr>
        <w:ind w:left="0" w:firstLine="0"/>
        <w:rPr>
          <w:snapToGrid/>
          <w:kern w:val="22"/>
          <w:szCs w:val="22"/>
          <w:lang w:eastAsia="ko-KR"/>
        </w:rPr>
      </w:pPr>
      <w:r w:rsidRPr="009F2A8B">
        <w:rPr>
          <w:snapToGrid/>
          <w:kern w:val="22"/>
          <w:szCs w:val="22"/>
          <w:lang w:eastAsia="ko-KR"/>
        </w:rPr>
        <w:t xml:space="preserve">Of the 99 capacity-building and developing initiatives providing direct support to specific countries, </w:t>
      </w:r>
      <w:r w:rsidR="00471511" w:rsidRPr="009F2A8B">
        <w:rPr>
          <w:snapToGrid/>
          <w:kern w:val="22"/>
          <w:szCs w:val="22"/>
          <w:lang w:eastAsia="ko-KR"/>
        </w:rPr>
        <w:t xml:space="preserve">80 </w:t>
      </w:r>
      <w:r w:rsidRPr="009F2A8B">
        <w:rPr>
          <w:snapToGrid/>
          <w:kern w:val="22"/>
          <w:szCs w:val="22"/>
          <w:lang w:eastAsia="ko-KR"/>
        </w:rPr>
        <w:t xml:space="preserve">(81 per cent) are national projects, 16 (16 per cent) are regional or </w:t>
      </w:r>
      <w:proofErr w:type="spellStart"/>
      <w:r w:rsidRPr="009F2A8B">
        <w:rPr>
          <w:snapToGrid/>
          <w:kern w:val="22"/>
          <w:szCs w:val="22"/>
          <w:lang w:eastAsia="ko-KR"/>
        </w:rPr>
        <w:t>subregional</w:t>
      </w:r>
      <w:proofErr w:type="spellEnd"/>
      <w:r w:rsidRPr="009F2A8B">
        <w:rPr>
          <w:snapToGrid/>
          <w:kern w:val="22"/>
          <w:szCs w:val="22"/>
          <w:lang w:eastAsia="ko-KR"/>
        </w:rPr>
        <w:t xml:space="preserve"> projects and 3 (3 per cent) are global.</w:t>
      </w:r>
    </w:p>
    <w:p w14:paraId="369E754F" w14:textId="77777777" w:rsidR="00927D8C" w:rsidRPr="00927D8C" w:rsidRDefault="00927D8C" w:rsidP="009F2A8B">
      <w:pPr>
        <w:pStyle w:val="Para1"/>
        <w:keepNext/>
        <w:numPr>
          <w:ilvl w:val="0"/>
          <w:numId w:val="0"/>
        </w:numPr>
        <w:suppressLineNumbers/>
        <w:suppressAutoHyphens/>
        <w:kinsoku w:val="0"/>
        <w:overflowPunct w:val="0"/>
        <w:autoSpaceDE w:val="0"/>
        <w:autoSpaceDN w:val="0"/>
        <w:jc w:val="center"/>
        <w:rPr>
          <w:rFonts w:cs="Times New Roman"/>
          <w:i/>
          <w:snapToGrid/>
          <w:kern w:val="22"/>
          <w:szCs w:val="22"/>
          <w:lang w:eastAsia="ko-KR"/>
        </w:rPr>
      </w:pPr>
      <w:r>
        <w:rPr>
          <w:rFonts w:cs="Times New Roman"/>
          <w:i/>
          <w:snapToGrid/>
          <w:kern w:val="22"/>
          <w:szCs w:val="22"/>
          <w:lang w:eastAsia="ko-KR"/>
        </w:rPr>
        <w:t>2.</w:t>
      </w:r>
      <w:r>
        <w:rPr>
          <w:rFonts w:cs="Times New Roman"/>
          <w:i/>
          <w:snapToGrid/>
          <w:kern w:val="22"/>
          <w:szCs w:val="22"/>
          <w:lang w:eastAsia="ko-KR"/>
        </w:rPr>
        <w:tab/>
      </w:r>
      <w:r w:rsidRPr="00927D8C">
        <w:rPr>
          <w:rFonts w:cs="Times New Roman"/>
          <w:i/>
          <w:snapToGrid/>
          <w:kern w:val="22"/>
          <w:szCs w:val="22"/>
          <w:lang w:eastAsia="ko-KR"/>
        </w:rPr>
        <w:t>Status of the capacity-building initiatives</w:t>
      </w:r>
    </w:p>
    <w:p w14:paraId="780721E0" w14:textId="1D0AC376" w:rsidR="00927D8C" w:rsidRDefault="00927D8C" w:rsidP="006255E2">
      <w:pPr>
        <w:pStyle w:val="Para1"/>
        <w:numPr>
          <w:ilvl w:val="0"/>
          <w:numId w:val="18"/>
        </w:numPr>
        <w:pBdr>
          <w:top w:val="nil"/>
          <w:left w:val="nil"/>
          <w:bottom w:val="nil"/>
          <w:right w:val="nil"/>
          <w:between w:val="nil"/>
          <w:bar w:val="nil"/>
        </w:pBdr>
        <w:ind w:left="0" w:firstLine="0"/>
        <w:rPr>
          <w:rFonts w:cs="Times New Roman"/>
          <w:snapToGrid/>
          <w:kern w:val="22"/>
          <w:szCs w:val="22"/>
          <w:lang w:eastAsia="ko-KR"/>
        </w:rPr>
      </w:pPr>
      <w:r w:rsidRPr="00ED7F5B">
        <w:rPr>
          <w:rFonts w:cs="Times New Roman"/>
          <w:snapToGrid/>
          <w:kern w:val="22"/>
          <w:szCs w:val="22"/>
          <w:lang w:eastAsia="ko-KR"/>
        </w:rPr>
        <w:t xml:space="preserve">In terms of status, according to the information available as of 20 August </w:t>
      </w:r>
      <w:r w:rsidRPr="0072660F">
        <w:rPr>
          <w:rFonts w:cs="Times New Roman"/>
          <w:snapToGrid/>
          <w:kern w:val="22"/>
          <w:szCs w:val="22"/>
          <w:lang w:eastAsia="ko-KR"/>
        </w:rPr>
        <w:t>2019, 41 initiatives (41 per cent) were completed, representing a</w:t>
      </w:r>
      <w:r w:rsidR="001330A6">
        <w:rPr>
          <w:rFonts w:cs="Times New Roman"/>
          <w:snapToGrid/>
          <w:kern w:val="22"/>
          <w:szCs w:val="22"/>
          <w:lang w:eastAsia="ko-KR"/>
        </w:rPr>
        <w:t xml:space="preserve"> minor</w:t>
      </w:r>
      <w:r w:rsidRPr="0072660F">
        <w:rPr>
          <w:rFonts w:cs="Times New Roman"/>
          <w:snapToGrid/>
          <w:kern w:val="22"/>
          <w:szCs w:val="22"/>
          <w:lang w:eastAsia="ko-KR"/>
        </w:rPr>
        <w:t xml:space="preserve"> increase from the </w:t>
      </w:r>
      <w:r w:rsidR="001330A6">
        <w:rPr>
          <w:rFonts w:cs="Times New Roman"/>
          <w:snapToGrid/>
          <w:kern w:val="22"/>
          <w:szCs w:val="22"/>
          <w:lang w:eastAsia="ko-KR"/>
        </w:rPr>
        <w:t>39</w:t>
      </w:r>
      <w:r w:rsidRPr="0072660F">
        <w:rPr>
          <w:rFonts w:cs="Times New Roman"/>
          <w:snapToGrid/>
          <w:kern w:val="22"/>
          <w:szCs w:val="22"/>
          <w:lang w:eastAsia="ko-KR"/>
        </w:rPr>
        <w:t> per cent reported</w:t>
      </w:r>
      <w:r w:rsidRPr="00ED7F5B">
        <w:rPr>
          <w:rFonts w:cs="Times New Roman"/>
          <w:snapToGrid/>
          <w:kern w:val="22"/>
          <w:szCs w:val="22"/>
          <w:lang w:eastAsia="ko-KR"/>
        </w:rPr>
        <w:t xml:space="preserve"> during the third meeting of the </w:t>
      </w:r>
      <w:r w:rsidR="000323ED">
        <w:rPr>
          <w:rFonts w:cs="Times New Roman"/>
          <w:snapToGrid/>
          <w:kern w:val="22"/>
          <w:szCs w:val="22"/>
          <w:lang w:eastAsia="ko-KR"/>
        </w:rPr>
        <w:t>Parties to the Nagoya Protocol</w:t>
      </w:r>
      <w:r w:rsidRPr="00ED7F5B">
        <w:rPr>
          <w:rFonts w:cs="Times New Roman"/>
          <w:snapToGrid/>
          <w:kern w:val="22"/>
          <w:szCs w:val="22"/>
          <w:lang w:eastAsia="ko-KR"/>
        </w:rPr>
        <w:t>.</w:t>
      </w:r>
      <w:r w:rsidRPr="00ED7F5B">
        <w:rPr>
          <w:rStyle w:val="FootnoteReference"/>
          <w:rFonts w:cs="Times New Roman"/>
          <w:snapToGrid/>
          <w:kern w:val="22"/>
          <w:sz w:val="22"/>
          <w:szCs w:val="22"/>
          <w:lang w:eastAsia="ko-KR"/>
        </w:rPr>
        <w:footnoteReference w:id="6"/>
      </w:r>
      <w:r w:rsidRPr="00ED7F5B">
        <w:rPr>
          <w:rFonts w:cs="Times New Roman"/>
          <w:snapToGrid/>
          <w:kern w:val="22"/>
          <w:szCs w:val="22"/>
          <w:lang w:eastAsia="ko-KR"/>
        </w:rPr>
        <w:t xml:space="preserve"> Moreover, </w:t>
      </w:r>
      <w:r w:rsidRPr="0072660F">
        <w:rPr>
          <w:rFonts w:cs="Times New Roman"/>
          <w:snapToGrid/>
          <w:kern w:val="22"/>
          <w:szCs w:val="22"/>
          <w:lang w:eastAsia="ko-KR"/>
        </w:rPr>
        <w:t>40 initiatives (40 per cent) were ongoing, 12 initiatives (12 per cent) were approved, and 6 (6 per cent) new initiatives were proposed or re-proposed with a modified application (see figure 1).</w:t>
      </w:r>
      <w:r w:rsidRPr="0072660F">
        <w:rPr>
          <w:rStyle w:val="FootnoteReference"/>
          <w:rFonts w:cs="Times New Roman"/>
          <w:snapToGrid/>
          <w:kern w:val="22"/>
          <w:sz w:val="22"/>
          <w:szCs w:val="22"/>
          <w:lang w:eastAsia="ko-KR"/>
        </w:rPr>
        <w:footnoteReference w:id="7"/>
      </w:r>
      <w:r w:rsidRPr="0072660F">
        <w:rPr>
          <w:rFonts w:cs="Times New Roman"/>
          <w:snapToGrid/>
          <w:kern w:val="22"/>
          <w:szCs w:val="22"/>
          <w:lang w:eastAsia="ko-KR"/>
        </w:rPr>
        <w:t xml:space="preserve"> </w:t>
      </w:r>
      <w:r w:rsidRPr="000B43AE">
        <w:rPr>
          <w:rFonts w:cs="Times New Roman"/>
          <w:snapToGrid/>
          <w:kern w:val="22"/>
          <w:szCs w:val="22"/>
          <w:lang w:eastAsia="ko-KR"/>
        </w:rPr>
        <w:t xml:space="preserve">Since the last update presented at the third meeting of the Parties to the Nagoya Protocol there has been one new ABS project (approved under GEF 7), while two projects related to genetic resources and </w:t>
      </w:r>
      <w:proofErr w:type="spellStart"/>
      <w:r w:rsidRPr="000B43AE">
        <w:rPr>
          <w:rFonts w:cs="Times New Roman"/>
          <w:snapToGrid/>
          <w:kern w:val="22"/>
          <w:szCs w:val="22"/>
          <w:lang w:eastAsia="ko-KR"/>
        </w:rPr>
        <w:t>biotrade</w:t>
      </w:r>
      <w:proofErr w:type="spellEnd"/>
      <w:r w:rsidRPr="000B43AE">
        <w:rPr>
          <w:rFonts w:cs="Times New Roman"/>
          <w:snapToGrid/>
          <w:kern w:val="22"/>
          <w:szCs w:val="22"/>
          <w:lang w:eastAsia="ko-KR"/>
        </w:rPr>
        <w:t xml:space="preserve"> and the development of small enterprises that were not included in previous reports have been added as they fall under </w:t>
      </w:r>
      <w:r w:rsidR="00471511">
        <w:rPr>
          <w:rFonts w:cs="Times New Roman"/>
          <w:snapToGrid/>
          <w:kern w:val="22"/>
          <w:szCs w:val="22"/>
          <w:lang w:eastAsia="ko-KR"/>
        </w:rPr>
        <w:t>k</w:t>
      </w:r>
      <w:r w:rsidR="00471511" w:rsidRPr="000B43AE">
        <w:rPr>
          <w:rFonts w:cs="Times New Roman"/>
          <w:snapToGrid/>
          <w:kern w:val="22"/>
          <w:szCs w:val="22"/>
          <w:lang w:eastAsia="ko-KR"/>
        </w:rPr>
        <w:t xml:space="preserve">ey </w:t>
      </w:r>
      <w:r w:rsidR="00471511">
        <w:rPr>
          <w:rFonts w:cs="Times New Roman"/>
          <w:snapToGrid/>
          <w:kern w:val="22"/>
          <w:szCs w:val="22"/>
          <w:lang w:eastAsia="ko-KR"/>
        </w:rPr>
        <w:t>a</w:t>
      </w:r>
      <w:r w:rsidR="00471511" w:rsidRPr="000B43AE">
        <w:rPr>
          <w:rFonts w:cs="Times New Roman"/>
          <w:snapToGrid/>
          <w:kern w:val="22"/>
          <w:szCs w:val="22"/>
          <w:lang w:eastAsia="ko-KR"/>
        </w:rPr>
        <w:t xml:space="preserve">rea </w:t>
      </w:r>
      <w:r w:rsidRPr="000B43AE">
        <w:rPr>
          <w:rFonts w:cs="Times New Roman"/>
          <w:snapToGrid/>
          <w:kern w:val="22"/>
          <w:szCs w:val="22"/>
          <w:lang w:eastAsia="ko-KR"/>
        </w:rPr>
        <w:t>4 and aim to work on developing value chains with indigenous peoples and local communities.</w:t>
      </w:r>
      <w:r>
        <w:rPr>
          <w:rFonts w:cs="Times New Roman"/>
          <w:snapToGrid/>
          <w:kern w:val="22"/>
          <w:szCs w:val="22"/>
          <w:lang w:eastAsia="ko-KR"/>
        </w:rPr>
        <w:t xml:space="preserve"> </w:t>
      </w:r>
    </w:p>
    <w:p w14:paraId="687868C9" w14:textId="77777777" w:rsidR="00927D8C" w:rsidRPr="002728BF" w:rsidRDefault="00927D8C" w:rsidP="00927D8C">
      <w:pPr>
        <w:pStyle w:val="Para1"/>
        <w:numPr>
          <w:ilvl w:val="0"/>
          <w:numId w:val="0"/>
        </w:numPr>
        <w:suppressLineNumbers/>
        <w:tabs>
          <w:tab w:val="left" w:pos="720"/>
        </w:tabs>
        <w:suppressAutoHyphens/>
        <w:kinsoku w:val="0"/>
        <w:overflowPunct w:val="0"/>
        <w:autoSpaceDE w:val="0"/>
        <w:autoSpaceDN w:val="0"/>
        <w:jc w:val="center"/>
        <w:rPr>
          <w:rFonts w:cs="Times New Roman"/>
          <w:snapToGrid/>
          <w:kern w:val="22"/>
          <w:szCs w:val="22"/>
          <w:highlight w:val="green"/>
          <w:lang w:eastAsia="ko-KR"/>
        </w:rPr>
      </w:pPr>
      <w:r>
        <w:rPr>
          <w:noProof/>
          <w:lang w:val="en-CA" w:eastAsia="en-CA"/>
        </w:rPr>
        <w:drawing>
          <wp:inline distT="0" distB="0" distL="0" distR="0" wp14:anchorId="31E3D1BE" wp14:editId="05561A32">
            <wp:extent cx="3343702" cy="2299648"/>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E58DC21" w14:textId="77777777" w:rsidR="00927D8C" w:rsidRPr="00231833" w:rsidRDefault="00927D8C" w:rsidP="009F2A8B">
      <w:pPr>
        <w:pStyle w:val="Para1"/>
        <w:keepNext/>
        <w:numPr>
          <w:ilvl w:val="0"/>
          <w:numId w:val="0"/>
        </w:numPr>
        <w:suppressLineNumbers/>
        <w:suppressAutoHyphens/>
        <w:kinsoku w:val="0"/>
        <w:overflowPunct w:val="0"/>
        <w:autoSpaceDE w:val="0"/>
        <w:autoSpaceDN w:val="0"/>
        <w:jc w:val="center"/>
        <w:rPr>
          <w:rFonts w:cs="Times New Roman"/>
          <w:b/>
          <w:snapToGrid/>
          <w:kern w:val="22"/>
          <w:szCs w:val="22"/>
          <w:lang w:eastAsia="ko-KR"/>
        </w:rPr>
      </w:pPr>
      <w:r>
        <w:rPr>
          <w:rFonts w:cs="Times New Roman"/>
          <w:i/>
          <w:snapToGrid/>
          <w:kern w:val="22"/>
          <w:szCs w:val="22"/>
          <w:lang w:eastAsia="ko-KR"/>
        </w:rPr>
        <w:t>3.</w:t>
      </w:r>
      <w:r>
        <w:rPr>
          <w:rFonts w:cs="Times New Roman"/>
          <w:i/>
          <w:snapToGrid/>
          <w:kern w:val="22"/>
          <w:szCs w:val="22"/>
          <w:lang w:eastAsia="ko-KR"/>
        </w:rPr>
        <w:tab/>
      </w:r>
      <w:r w:rsidRPr="00927D8C">
        <w:rPr>
          <w:rFonts w:cs="Times New Roman"/>
          <w:i/>
          <w:snapToGrid/>
          <w:kern w:val="22"/>
          <w:szCs w:val="22"/>
          <w:lang w:eastAsia="ko-KR"/>
        </w:rPr>
        <w:t>Geographic coverage of the initiatives</w:t>
      </w:r>
    </w:p>
    <w:p w14:paraId="6201DA84" w14:textId="534BCF62" w:rsidR="00927D8C" w:rsidRPr="009F2A8B" w:rsidRDefault="00927D8C" w:rsidP="006255E2">
      <w:pPr>
        <w:pStyle w:val="Para1"/>
        <w:numPr>
          <w:ilvl w:val="0"/>
          <w:numId w:val="18"/>
        </w:numPr>
        <w:pBdr>
          <w:top w:val="nil"/>
          <w:left w:val="nil"/>
          <w:bottom w:val="nil"/>
          <w:right w:val="nil"/>
          <w:between w:val="nil"/>
          <w:bar w:val="nil"/>
        </w:pBdr>
        <w:ind w:left="0" w:firstLine="0"/>
        <w:rPr>
          <w:rFonts w:cs="Times New Roman"/>
          <w:snapToGrid/>
          <w:kern w:val="22"/>
          <w:szCs w:val="22"/>
          <w:lang w:eastAsia="ko-KR"/>
        </w:rPr>
      </w:pPr>
      <w:r w:rsidRPr="009F2A8B">
        <w:rPr>
          <w:rFonts w:cs="Times New Roman"/>
          <w:snapToGrid/>
          <w:kern w:val="22"/>
          <w:szCs w:val="22"/>
          <w:lang w:eastAsia="ko-KR"/>
        </w:rPr>
        <w:t xml:space="preserve">In </w:t>
      </w:r>
      <w:r w:rsidRPr="009F2A8B">
        <w:rPr>
          <w:rFonts w:cs="Times New Roman"/>
          <w:snapToGrid/>
          <w:kern w:val="22"/>
          <w:szCs w:val="22"/>
        </w:rPr>
        <w:t>terms</w:t>
      </w:r>
      <w:r w:rsidRPr="009F2A8B">
        <w:rPr>
          <w:rFonts w:cs="Times New Roman"/>
          <w:snapToGrid/>
          <w:kern w:val="22"/>
          <w:szCs w:val="22"/>
          <w:lang w:eastAsia="ko-KR"/>
        </w:rPr>
        <w:t xml:space="preserve"> of geographic coverage, the African region has the largest number of initiatives, with 34 national and six regional/</w:t>
      </w:r>
      <w:proofErr w:type="spellStart"/>
      <w:r w:rsidRPr="009F2A8B">
        <w:rPr>
          <w:rFonts w:cs="Times New Roman"/>
          <w:snapToGrid/>
          <w:kern w:val="22"/>
          <w:szCs w:val="22"/>
          <w:lang w:eastAsia="ko-KR"/>
        </w:rPr>
        <w:t>subregional</w:t>
      </w:r>
      <w:proofErr w:type="spellEnd"/>
      <w:r w:rsidRPr="009F2A8B">
        <w:rPr>
          <w:rFonts w:cs="Times New Roman"/>
          <w:snapToGrid/>
          <w:kern w:val="22"/>
          <w:szCs w:val="22"/>
          <w:lang w:eastAsia="ko-KR"/>
        </w:rPr>
        <w:t xml:space="preserve"> projects. This is followed by Asia and the Pacific, with 27 national and four </w:t>
      </w:r>
      <w:proofErr w:type="spellStart"/>
      <w:r w:rsidRPr="009F2A8B">
        <w:rPr>
          <w:rFonts w:cs="Times New Roman"/>
          <w:snapToGrid/>
          <w:kern w:val="22"/>
          <w:szCs w:val="22"/>
          <w:lang w:eastAsia="ko-KR"/>
        </w:rPr>
        <w:t>subregional</w:t>
      </w:r>
      <w:proofErr w:type="spellEnd"/>
      <w:r w:rsidRPr="009F2A8B">
        <w:rPr>
          <w:rFonts w:cs="Times New Roman"/>
          <w:snapToGrid/>
          <w:kern w:val="22"/>
          <w:szCs w:val="22"/>
          <w:lang w:eastAsia="ko-KR"/>
        </w:rPr>
        <w:t xml:space="preserve"> projects. In Latin America and the Caribbean, there are 18 national and five regional/</w:t>
      </w:r>
      <w:proofErr w:type="spellStart"/>
      <w:r w:rsidRPr="009F2A8B">
        <w:rPr>
          <w:rFonts w:cs="Times New Roman"/>
          <w:snapToGrid/>
          <w:kern w:val="22"/>
          <w:szCs w:val="22"/>
          <w:lang w:eastAsia="ko-KR"/>
        </w:rPr>
        <w:t>subregional</w:t>
      </w:r>
      <w:proofErr w:type="spellEnd"/>
      <w:r w:rsidRPr="009F2A8B">
        <w:rPr>
          <w:rFonts w:cs="Times New Roman"/>
          <w:snapToGrid/>
          <w:kern w:val="22"/>
          <w:szCs w:val="22"/>
          <w:lang w:eastAsia="ko-KR"/>
        </w:rPr>
        <w:t xml:space="preserve"> projects. In Central and Eastern Europe, there is 1 national project and 1 </w:t>
      </w:r>
      <w:proofErr w:type="spellStart"/>
      <w:r w:rsidRPr="009F2A8B">
        <w:rPr>
          <w:rFonts w:cs="Times New Roman"/>
          <w:snapToGrid/>
          <w:kern w:val="22"/>
          <w:szCs w:val="22"/>
          <w:lang w:eastAsia="ko-KR"/>
        </w:rPr>
        <w:t>subregional</w:t>
      </w:r>
      <w:proofErr w:type="spellEnd"/>
      <w:r w:rsidRPr="009F2A8B">
        <w:rPr>
          <w:rFonts w:cs="Times New Roman"/>
          <w:snapToGrid/>
          <w:kern w:val="22"/>
          <w:szCs w:val="22"/>
          <w:lang w:eastAsia="ko-KR"/>
        </w:rPr>
        <w:t xml:space="preserve">. Furthermore, there are three global initiatives that are also providing support to </w:t>
      </w:r>
      <w:proofErr w:type="gramStart"/>
      <w:r w:rsidRPr="009F2A8B">
        <w:rPr>
          <w:rFonts w:cs="Times New Roman"/>
          <w:snapToGrid/>
          <w:kern w:val="22"/>
          <w:szCs w:val="22"/>
          <w:lang w:eastAsia="ko-KR"/>
        </w:rPr>
        <w:t>a number of</w:t>
      </w:r>
      <w:proofErr w:type="gramEnd"/>
      <w:r w:rsidRPr="009F2A8B">
        <w:rPr>
          <w:rFonts w:cs="Times New Roman"/>
          <w:snapToGrid/>
          <w:kern w:val="22"/>
          <w:szCs w:val="22"/>
          <w:lang w:eastAsia="ko-KR"/>
        </w:rPr>
        <w:t xml:space="preserve"> countries from these regions (see figure 2).</w:t>
      </w:r>
    </w:p>
    <w:p w14:paraId="7C28F5F5" w14:textId="77777777" w:rsidR="00927D8C" w:rsidRPr="002728BF" w:rsidRDefault="00927D8C" w:rsidP="00927D8C">
      <w:pPr>
        <w:pStyle w:val="Para1"/>
        <w:numPr>
          <w:ilvl w:val="0"/>
          <w:numId w:val="0"/>
        </w:numPr>
        <w:suppressLineNumbers/>
        <w:tabs>
          <w:tab w:val="left" w:pos="720"/>
        </w:tabs>
        <w:suppressAutoHyphens/>
        <w:kinsoku w:val="0"/>
        <w:overflowPunct w:val="0"/>
        <w:autoSpaceDE w:val="0"/>
        <w:autoSpaceDN w:val="0"/>
        <w:jc w:val="center"/>
        <w:rPr>
          <w:rFonts w:cs="Times New Roman"/>
          <w:snapToGrid/>
          <w:kern w:val="22"/>
          <w:szCs w:val="22"/>
          <w:highlight w:val="green"/>
          <w:lang w:eastAsia="ko-KR"/>
        </w:rPr>
      </w:pPr>
      <w:r>
        <w:rPr>
          <w:noProof/>
          <w:lang w:val="en-CA" w:eastAsia="en-CA"/>
        </w:rPr>
        <w:drawing>
          <wp:inline distT="0" distB="0" distL="0" distR="0" wp14:anchorId="6341A43A" wp14:editId="6846420C">
            <wp:extent cx="4067175" cy="21145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A70A972" w14:textId="36BB5F3B" w:rsidR="00927D8C" w:rsidRPr="00231833" w:rsidRDefault="00927D8C" w:rsidP="006255E2">
      <w:pPr>
        <w:pStyle w:val="Para1"/>
        <w:numPr>
          <w:ilvl w:val="0"/>
          <w:numId w:val="18"/>
        </w:numPr>
        <w:pBdr>
          <w:top w:val="nil"/>
          <w:left w:val="nil"/>
          <w:bottom w:val="nil"/>
          <w:right w:val="nil"/>
          <w:between w:val="nil"/>
          <w:bar w:val="nil"/>
        </w:pBdr>
        <w:spacing w:before="120"/>
        <w:ind w:left="0" w:firstLine="0"/>
        <w:rPr>
          <w:rFonts w:cs="Times New Roman"/>
          <w:snapToGrid/>
          <w:kern w:val="22"/>
          <w:szCs w:val="22"/>
          <w:lang w:eastAsia="ko-KR"/>
        </w:rPr>
      </w:pPr>
      <w:r w:rsidRPr="00231833">
        <w:rPr>
          <w:rFonts w:cs="Times New Roman"/>
          <w:snapToGrid/>
          <w:kern w:val="22"/>
          <w:szCs w:val="22"/>
          <w:lang w:eastAsia="ko-KR"/>
        </w:rPr>
        <w:t>The geographic coverage of existing capacity-building projects continues to be uneven with CEE being the least covered region. Since the last meeting of the Parties</w:t>
      </w:r>
      <w:r w:rsidR="006F2260">
        <w:rPr>
          <w:rFonts w:cs="Times New Roman"/>
          <w:snapToGrid/>
          <w:kern w:val="22"/>
          <w:szCs w:val="22"/>
          <w:lang w:eastAsia="ko-KR"/>
        </w:rPr>
        <w:t xml:space="preserve"> to the Protocol</w:t>
      </w:r>
      <w:r w:rsidRPr="00231833">
        <w:rPr>
          <w:rFonts w:cs="Times New Roman"/>
          <w:snapToGrid/>
          <w:kern w:val="22"/>
          <w:szCs w:val="22"/>
          <w:lang w:eastAsia="ko-KR"/>
        </w:rPr>
        <w:t>, there has not been a change in the number of projects implemented in this region. Only five countries (22 per cent) — Albania, Armenia, Belarus, Bosnia and Herzegovina, and Georgia — have received direct support from an ABS capacity-building project.</w:t>
      </w:r>
    </w:p>
    <w:p w14:paraId="1CB592C5" w14:textId="77777777" w:rsidR="00927D8C" w:rsidRPr="00927D8C" w:rsidRDefault="00927D8C" w:rsidP="009F2A8B">
      <w:pPr>
        <w:pStyle w:val="Para1"/>
        <w:keepNext/>
        <w:numPr>
          <w:ilvl w:val="0"/>
          <w:numId w:val="0"/>
        </w:numPr>
        <w:suppressLineNumbers/>
        <w:suppressAutoHyphens/>
        <w:kinsoku w:val="0"/>
        <w:overflowPunct w:val="0"/>
        <w:autoSpaceDE w:val="0"/>
        <w:autoSpaceDN w:val="0"/>
        <w:jc w:val="center"/>
        <w:rPr>
          <w:rFonts w:cs="Times New Roman"/>
          <w:i/>
          <w:snapToGrid/>
          <w:kern w:val="22"/>
          <w:szCs w:val="22"/>
          <w:lang w:eastAsia="ko-KR"/>
        </w:rPr>
      </w:pPr>
      <w:r>
        <w:rPr>
          <w:rFonts w:cs="Times New Roman"/>
          <w:i/>
          <w:snapToGrid/>
          <w:kern w:val="22"/>
          <w:szCs w:val="22"/>
          <w:lang w:eastAsia="ko-KR"/>
        </w:rPr>
        <w:t>4.</w:t>
      </w:r>
      <w:r>
        <w:rPr>
          <w:rFonts w:cs="Times New Roman"/>
          <w:i/>
          <w:snapToGrid/>
          <w:kern w:val="22"/>
          <w:szCs w:val="22"/>
          <w:lang w:eastAsia="ko-KR"/>
        </w:rPr>
        <w:tab/>
      </w:r>
      <w:r w:rsidRPr="00927D8C">
        <w:rPr>
          <w:rFonts w:cs="Times New Roman"/>
          <w:i/>
          <w:snapToGrid/>
          <w:kern w:val="22"/>
          <w:szCs w:val="22"/>
          <w:lang w:eastAsia="ko-KR"/>
        </w:rPr>
        <w:t>Duration of the initiatives</w:t>
      </w:r>
    </w:p>
    <w:p w14:paraId="7CCC5878" w14:textId="0446D4B9" w:rsidR="00927D8C" w:rsidRPr="003043B4" w:rsidRDefault="00927D8C" w:rsidP="006255E2">
      <w:pPr>
        <w:pStyle w:val="Para1"/>
        <w:numPr>
          <w:ilvl w:val="0"/>
          <w:numId w:val="18"/>
        </w:numPr>
        <w:pBdr>
          <w:top w:val="nil"/>
          <w:left w:val="nil"/>
          <w:bottom w:val="nil"/>
          <w:right w:val="nil"/>
          <w:between w:val="nil"/>
          <w:bar w:val="nil"/>
        </w:pBdr>
        <w:ind w:left="0" w:firstLine="0"/>
        <w:rPr>
          <w:rFonts w:cs="Times New Roman"/>
          <w:snapToGrid/>
          <w:kern w:val="22"/>
          <w:szCs w:val="22"/>
          <w:lang w:eastAsia="ko-KR"/>
        </w:rPr>
      </w:pPr>
      <w:r w:rsidRPr="003043B4">
        <w:rPr>
          <w:rFonts w:cs="Times New Roman"/>
          <w:snapToGrid/>
          <w:kern w:val="22"/>
          <w:szCs w:val="22"/>
          <w:lang w:eastAsia="ko-KR"/>
        </w:rPr>
        <w:t>With respect to the duration of the initiatives, information is currently available for 97 out of the 99 projects.</w:t>
      </w:r>
      <w:r w:rsidRPr="003043B4">
        <w:rPr>
          <w:rStyle w:val="FootnoteReference"/>
          <w:rFonts w:cs="Times New Roman"/>
          <w:snapToGrid/>
          <w:kern w:val="22"/>
          <w:sz w:val="22"/>
          <w:szCs w:val="22"/>
          <w:lang w:eastAsia="ko-KR"/>
        </w:rPr>
        <w:footnoteReference w:id="8"/>
      </w:r>
      <w:r w:rsidRPr="003043B4">
        <w:rPr>
          <w:rFonts w:cs="Times New Roman"/>
          <w:snapToGrid/>
          <w:kern w:val="22"/>
          <w:szCs w:val="22"/>
          <w:lang w:eastAsia="ko-KR"/>
        </w:rPr>
        <w:t xml:space="preserve"> </w:t>
      </w:r>
      <w:r w:rsidRPr="003043B4">
        <w:rPr>
          <w:rFonts w:cs="Times New Roman"/>
          <w:snapToGrid/>
          <w:kern w:val="22"/>
          <w:szCs w:val="22"/>
        </w:rPr>
        <w:t>The</w:t>
      </w:r>
      <w:r w:rsidRPr="003043B4">
        <w:rPr>
          <w:rFonts w:cs="Times New Roman"/>
          <w:snapToGrid/>
          <w:kern w:val="22"/>
          <w:szCs w:val="22"/>
          <w:lang w:eastAsia="ko-KR"/>
        </w:rPr>
        <w:t xml:space="preserve"> majority of the initiatives (76 per cent) have a planned duration of two to five years; 12 per cent have a duration of less than two years and another 12 per cent have a duration of more than five years (see figure 3).</w:t>
      </w:r>
    </w:p>
    <w:p w14:paraId="466AE9AE" w14:textId="77777777" w:rsidR="00927D8C" w:rsidRPr="002728BF" w:rsidRDefault="00927D8C" w:rsidP="00927D8C">
      <w:pPr>
        <w:pStyle w:val="Para1"/>
        <w:numPr>
          <w:ilvl w:val="0"/>
          <w:numId w:val="0"/>
        </w:numPr>
        <w:suppressLineNumbers/>
        <w:tabs>
          <w:tab w:val="left" w:pos="720"/>
        </w:tabs>
        <w:suppressAutoHyphens/>
        <w:kinsoku w:val="0"/>
        <w:overflowPunct w:val="0"/>
        <w:autoSpaceDE w:val="0"/>
        <w:autoSpaceDN w:val="0"/>
        <w:ind w:left="720"/>
        <w:jc w:val="center"/>
        <w:rPr>
          <w:rFonts w:cs="Times New Roman"/>
          <w:snapToGrid/>
          <w:kern w:val="22"/>
          <w:szCs w:val="22"/>
          <w:highlight w:val="green"/>
          <w:lang w:eastAsia="ko-KR"/>
        </w:rPr>
      </w:pPr>
      <w:r>
        <w:rPr>
          <w:noProof/>
          <w:lang w:val="en-CA" w:eastAsia="en-CA"/>
        </w:rPr>
        <w:drawing>
          <wp:inline distT="0" distB="0" distL="0" distR="0" wp14:anchorId="6A60C5A9" wp14:editId="6BDF2D28">
            <wp:extent cx="5248275" cy="21717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E939C3E" w14:textId="77777777" w:rsidR="00927D8C" w:rsidRPr="00927D8C" w:rsidRDefault="00927D8C" w:rsidP="009F2A8B">
      <w:pPr>
        <w:pStyle w:val="Para1"/>
        <w:keepNext/>
        <w:numPr>
          <w:ilvl w:val="0"/>
          <w:numId w:val="0"/>
        </w:numPr>
        <w:suppressLineNumbers/>
        <w:suppressAutoHyphens/>
        <w:kinsoku w:val="0"/>
        <w:overflowPunct w:val="0"/>
        <w:autoSpaceDE w:val="0"/>
        <w:autoSpaceDN w:val="0"/>
        <w:jc w:val="center"/>
        <w:rPr>
          <w:rFonts w:cs="Times New Roman"/>
          <w:i/>
          <w:snapToGrid/>
          <w:kern w:val="22"/>
          <w:szCs w:val="22"/>
          <w:lang w:eastAsia="ko-KR"/>
        </w:rPr>
      </w:pPr>
      <w:r>
        <w:rPr>
          <w:rFonts w:cs="Times New Roman"/>
          <w:i/>
          <w:snapToGrid/>
          <w:kern w:val="22"/>
          <w:szCs w:val="22"/>
          <w:lang w:eastAsia="ko-KR"/>
        </w:rPr>
        <w:t>5.</w:t>
      </w:r>
      <w:r>
        <w:rPr>
          <w:rFonts w:cs="Times New Roman"/>
          <w:i/>
          <w:snapToGrid/>
          <w:kern w:val="22"/>
          <w:szCs w:val="22"/>
          <w:lang w:eastAsia="ko-KR"/>
        </w:rPr>
        <w:tab/>
      </w:r>
      <w:r w:rsidRPr="00927D8C">
        <w:rPr>
          <w:rFonts w:cs="Times New Roman"/>
          <w:i/>
          <w:snapToGrid/>
          <w:kern w:val="22"/>
          <w:szCs w:val="22"/>
          <w:lang w:eastAsia="ko-KR"/>
        </w:rPr>
        <w:t>Level of funding</w:t>
      </w:r>
    </w:p>
    <w:p w14:paraId="4FDDBCCE" w14:textId="69068D9E" w:rsidR="00927D8C" w:rsidRPr="00517FE9" w:rsidRDefault="00927D8C" w:rsidP="006255E2">
      <w:pPr>
        <w:pStyle w:val="Para1"/>
        <w:numPr>
          <w:ilvl w:val="0"/>
          <w:numId w:val="18"/>
        </w:numPr>
        <w:pBdr>
          <w:top w:val="nil"/>
          <w:left w:val="nil"/>
          <w:bottom w:val="nil"/>
          <w:right w:val="nil"/>
          <w:between w:val="nil"/>
          <w:bar w:val="nil"/>
        </w:pBdr>
        <w:ind w:left="0" w:firstLine="0"/>
        <w:rPr>
          <w:rFonts w:cs="Times New Roman"/>
          <w:snapToGrid/>
          <w:spacing w:val="-3"/>
          <w:kern w:val="22"/>
          <w:szCs w:val="22"/>
          <w:lang w:eastAsia="ko-KR"/>
        </w:rPr>
      </w:pPr>
      <w:r w:rsidRPr="00517FE9">
        <w:rPr>
          <w:rFonts w:cs="Times New Roman"/>
          <w:snapToGrid/>
          <w:spacing w:val="-3"/>
          <w:kern w:val="22"/>
          <w:szCs w:val="22"/>
          <w:lang w:eastAsia="ko-KR"/>
        </w:rPr>
        <w:t>Regarding the level of funding for the initiatives,</w:t>
      </w:r>
      <w:r w:rsidRPr="00517FE9">
        <w:rPr>
          <w:rStyle w:val="FootnoteReference"/>
          <w:rFonts w:cs="Times New Roman"/>
          <w:snapToGrid/>
          <w:spacing w:val="-3"/>
          <w:kern w:val="22"/>
          <w:sz w:val="22"/>
          <w:szCs w:val="22"/>
          <w:lang w:eastAsia="ko-KR"/>
        </w:rPr>
        <w:footnoteReference w:id="9"/>
      </w:r>
      <w:r w:rsidRPr="00517FE9">
        <w:rPr>
          <w:rFonts w:cs="Times New Roman"/>
          <w:snapToGrid/>
          <w:spacing w:val="-3"/>
          <w:kern w:val="22"/>
          <w:szCs w:val="22"/>
          <w:lang w:eastAsia="ko-KR"/>
        </w:rPr>
        <w:t xml:space="preserve"> information is available on the core funding for 79 out of the </w:t>
      </w:r>
      <w:r w:rsidRPr="00517FE9">
        <w:rPr>
          <w:rFonts w:cs="Times New Roman"/>
          <w:snapToGrid/>
          <w:spacing w:val="-3"/>
          <w:kern w:val="22"/>
          <w:szCs w:val="22"/>
        </w:rPr>
        <w:t>80</w:t>
      </w:r>
      <w:r w:rsidRPr="00517FE9">
        <w:rPr>
          <w:rFonts w:cs="Times New Roman"/>
          <w:snapToGrid/>
          <w:spacing w:val="-3"/>
          <w:kern w:val="22"/>
          <w:szCs w:val="22"/>
          <w:lang w:eastAsia="ko-KR"/>
        </w:rPr>
        <w:t xml:space="preserve"> national projects. Of these, 30 projects (38 per cent) are small-sized with funding of less than US$ 500,000; 24 projects (30 per cent) are medium sized, with funding between US$ 500,000 and US$ 2,000,000; and 25 projects (32 per cent) are full sized, with funding of over US$ 2,000,000 (see figure 4).</w:t>
      </w:r>
    </w:p>
    <w:p w14:paraId="08A11337" w14:textId="77777777" w:rsidR="00927D8C" w:rsidRPr="002728BF" w:rsidRDefault="00927D8C" w:rsidP="00927D8C">
      <w:pPr>
        <w:pStyle w:val="Para1"/>
        <w:numPr>
          <w:ilvl w:val="0"/>
          <w:numId w:val="0"/>
        </w:numPr>
        <w:suppressLineNumbers/>
        <w:tabs>
          <w:tab w:val="left" w:pos="720"/>
        </w:tabs>
        <w:suppressAutoHyphens/>
        <w:kinsoku w:val="0"/>
        <w:overflowPunct w:val="0"/>
        <w:autoSpaceDE w:val="0"/>
        <w:autoSpaceDN w:val="0"/>
        <w:ind w:left="720"/>
        <w:jc w:val="center"/>
        <w:rPr>
          <w:rFonts w:cs="Times New Roman"/>
          <w:snapToGrid/>
          <w:kern w:val="22"/>
          <w:szCs w:val="22"/>
          <w:highlight w:val="green"/>
          <w:lang w:eastAsia="ko-KR"/>
        </w:rPr>
      </w:pPr>
      <w:r>
        <w:rPr>
          <w:noProof/>
          <w:lang w:val="en-CA" w:eastAsia="en-CA"/>
        </w:rPr>
        <w:drawing>
          <wp:inline distT="0" distB="0" distL="0" distR="0" wp14:anchorId="188BCD40" wp14:editId="4218B89D">
            <wp:extent cx="5943600" cy="2957830"/>
            <wp:effectExtent l="0" t="0" r="0" b="1397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C24307E" w14:textId="77777777" w:rsidR="00927D8C" w:rsidRPr="00927D8C" w:rsidRDefault="00927D8C" w:rsidP="0009641F">
      <w:pPr>
        <w:pStyle w:val="Para1"/>
        <w:keepNext/>
        <w:numPr>
          <w:ilvl w:val="0"/>
          <w:numId w:val="0"/>
        </w:numPr>
        <w:suppressLineNumbers/>
        <w:suppressAutoHyphens/>
        <w:kinsoku w:val="0"/>
        <w:overflowPunct w:val="0"/>
        <w:autoSpaceDE w:val="0"/>
        <w:autoSpaceDN w:val="0"/>
        <w:jc w:val="center"/>
        <w:rPr>
          <w:rFonts w:cs="Times New Roman"/>
          <w:i/>
          <w:snapToGrid/>
          <w:kern w:val="22"/>
          <w:szCs w:val="22"/>
          <w:lang w:eastAsia="ko-KR"/>
        </w:rPr>
      </w:pPr>
      <w:r>
        <w:rPr>
          <w:rFonts w:cs="Times New Roman"/>
          <w:i/>
          <w:snapToGrid/>
          <w:kern w:val="22"/>
          <w:szCs w:val="22"/>
          <w:lang w:eastAsia="ko-KR"/>
        </w:rPr>
        <w:t>6.</w:t>
      </w:r>
      <w:r>
        <w:rPr>
          <w:rFonts w:cs="Times New Roman"/>
          <w:i/>
          <w:snapToGrid/>
          <w:kern w:val="22"/>
          <w:szCs w:val="22"/>
          <w:lang w:eastAsia="ko-KR"/>
        </w:rPr>
        <w:tab/>
      </w:r>
      <w:r w:rsidRPr="00927D8C">
        <w:rPr>
          <w:rFonts w:cs="Times New Roman"/>
          <w:i/>
          <w:snapToGrid/>
          <w:kern w:val="22"/>
          <w:szCs w:val="22"/>
          <w:lang w:eastAsia="ko-KR"/>
        </w:rPr>
        <w:t>Thematic coverage by existing initiatives</w:t>
      </w:r>
    </w:p>
    <w:p w14:paraId="43654251" w14:textId="4E19B7F0" w:rsidR="00927D8C" w:rsidRPr="009C222D" w:rsidRDefault="00927D8C" w:rsidP="006255E2">
      <w:pPr>
        <w:pStyle w:val="Para1"/>
        <w:numPr>
          <w:ilvl w:val="0"/>
          <w:numId w:val="18"/>
        </w:numPr>
        <w:pBdr>
          <w:top w:val="nil"/>
          <w:left w:val="nil"/>
          <w:bottom w:val="nil"/>
          <w:right w:val="nil"/>
          <w:between w:val="nil"/>
          <w:bar w:val="nil"/>
        </w:pBdr>
        <w:ind w:left="0" w:firstLine="0"/>
        <w:rPr>
          <w:rFonts w:cs="Times New Roman"/>
          <w:noProof/>
          <w:snapToGrid/>
          <w:kern w:val="22"/>
          <w:szCs w:val="22"/>
          <w:lang w:eastAsia="zh-CN"/>
        </w:rPr>
      </w:pPr>
      <w:r w:rsidRPr="009C222D">
        <w:rPr>
          <w:rFonts w:cs="Times New Roman"/>
          <w:snapToGrid/>
          <w:kern w:val="22"/>
          <w:szCs w:val="22"/>
          <w:lang w:eastAsia="ko-KR"/>
        </w:rPr>
        <w:t xml:space="preserve">In </w:t>
      </w:r>
      <w:r w:rsidRPr="009C222D">
        <w:rPr>
          <w:rFonts w:cs="Times New Roman"/>
          <w:snapToGrid/>
          <w:kern w:val="22"/>
          <w:szCs w:val="22"/>
        </w:rPr>
        <w:t>terms</w:t>
      </w:r>
      <w:r w:rsidRPr="009C222D">
        <w:rPr>
          <w:rFonts w:cs="Times New Roman"/>
          <w:snapToGrid/>
          <w:kern w:val="22"/>
          <w:szCs w:val="22"/>
          <w:lang w:eastAsia="ko-KR"/>
        </w:rPr>
        <w:t xml:space="preserve"> of the key thematic areas</w:t>
      </w:r>
      <w:r w:rsidRPr="009C222D">
        <w:rPr>
          <w:rStyle w:val="FootnoteReference"/>
          <w:rFonts w:cs="Times New Roman"/>
          <w:snapToGrid/>
          <w:kern w:val="22"/>
          <w:sz w:val="22"/>
          <w:szCs w:val="22"/>
          <w:lang w:eastAsia="ko-KR"/>
        </w:rPr>
        <w:footnoteReference w:id="10"/>
      </w:r>
      <w:r w:rsidRPr="009C222D">
        <w:rPr>
          <w:rFonts w:cs="Times New Roman"/>
          <w:snapToGrid/>
          <w:kern w:val="22"/>
          <w:szCs w:val="22"/>
          <w:lang w:eastAsia="ko-KR"/>
        </w:rPr>
        <w:t xml:space="preserve"> being covered by the capacity-building initiatives, information is available for 93 of the 99 projects (see figure 5).</w:t>
      </w:r>
    </w:p>
    <w:p w14:paraId="1EADF0AC" w14:textId="77777777" w:rsidR="00927D8C" w:rsidRPr="002728BF" w:rsidRDefault="00927D8C" w:rsidP="00927D8C">
      <w:pPr>
        <w:pStyle w:val="Para1"/>
        <w:numPr>
          <w:ilvl w:val="0"/>
          <w:numId w:val="0"/>
        </w:numPr>
        <w:suppressLineNumbers/>
        <w:tabs>
          <w:tab w:val="left" w:pos="720"/>
        </w:tabs>
        <w:suppressAutoHyphens/>
        <w:kinsoku w:val="0"/>
        <w:overflowPunct w:val="0"/>
        <w:autoSpaceDE w:val="0"/>
        <w:autoSpaceDN w:val="0"/>
        <w:ind w:left="360"/>
        <w:jc w:val="center"/>
        <w:rPr>
          <w:rFonts w:cs="Times New Roman"/>
          <w:snapToGrid/>
          <w:kern w:val="22"/>
          <w:szCs w:val="22"/>
          <w:highlight w:val="green"/>
          <w:lang w:eastAsia="ko-KR"/>
        </w:rPr>
      </w:pPr>
      <w:r>
        <w:rPr>
          <w:noProof/>
          <w:lang w:val="en-CA" w:eastAsia="en-CA"/>
        </w:rPr>
        <w:drawing>
          <wp:inline distT="0" distB="0" distL="0" distR="0" wp14:anchorId="33B041D5" wp14:editId="0BDA6571">
            <wp:extent cx="5410200" cy="3419475"/>
            <wp:effectExtent l="0" t="0" r="19050"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3807EE3" w14:textId="50516127" w:rsidR="00927D8C" w:rsidRPr="009C222D" w:rsidRDefault="00927D8C" w:rsidP="006255E2">
      <w:pPr>
        <w:pStyle w:val="Para1"/>
        <w:numPr>
          <w:ilvl w:val="0"/>
          <w:numId w:val="18"/>
        </w:numPr>
        <w:pBdr>
          <w:top w:val="nil"/>
          <w:left w:val="nil"/>
          <w:bottom w:val="nil"/>
          <w:right w:val="nil"/>
          <w:between w:val="nil"/>
          <w:bar w:val="nil"/>
        </w:pBdr>
        <w:ind w:left="0" w:firstLine="0"/>
        <w:rPr>
          <w:rFonts w:cs="Times New Roman"/>
          <w:snapToGrid/>
          <w:kern w:val="22"/>
          <w:szCs w:val="22"/>
          <w:lang w:eastAsia="ko-KR"/>
        </w:rPr>
      </w:pPr>
      <w:r w:rsidRPr="009C222D">
        <w:rPr>
          <w:rFonts w:cs="Times New Roman"/>
          <w:snapToGrid/>
          <w:kern w:val="22"/>
          <w:szCs w:val="22"/>
          <w:lang w:eastAsia="ko-KR"/>
        </w:rPr>
        <w:t xml:space="preserve">The majority of the projects (86 per cent) focus on key area 2 (capacity to develop, implement and enforce ABS measures) followed by 79 per cent key area 4 (capacity of indigenous peoples and local communities and relevant stakeholders to implement the Protocol) and 73 per cent on key area 1 (capacity to implement and to comply with </w:t>
      </w:r>
      <w:r w:rsidRPr="009C222D">
        <w:rPr>
          <w:rFonts w:cs="Times New Roman"/>
          <w:snapToGrid/>
          <w:kern w:val="22"/>
          <w:szCs w:val="22"/>
        </w:rPr>
        <w:t>the</w:t>
      </w:r>
      <w:r w:rsidRPr="009C222D">
        <w:rPr>
          <w:rFonts w:cs="Times New Roman"/>
          <w:snapToGrid/>
          <w:kern w:val="22"/>
          <w:szCs w:val="22"/>
          <w:lang w:eastAsia="ko-KR"/>
        </w:rPr>
        <w:t xml:space="preserve"> Protocol. Approximately 56 per cent of the projects have focused on key area 3 (capacity to negotiate mutually agreed terms) and 57 per cent on key area 5 (capacity to develop endogenous research capabilities). The </w:t>
      </w:r>
      <w:proofErr w:type="gramStart"/>
      <w:r w:rsidRPr="009C222D">
        <w:rPr>
          <w:rFonts w:cs="Times New Roman"/>
          <w:snapToGrid/>
          <w:kern w:val="22"/>
          <w:szCs w:val="22"/>
          <w:lang w:eastAsia="ko-KR"/>
        </w:rPr>
        <w:t>main focus</w:t>
      </w:r>
      <w:proofErr w:type="gramEnd"/>
      <w:r w:rsidRPr="009C222D">
        <w:rPr>
          <w:rFonts w:cs="Times New Roman"/>
          <w:snapToGrid/>
          <w:kern w:val="22"/>
          <w:szCs w:val="22"/>
          <w:lang w:eastAsia="ko-KR"/>
        </w:rPr>
        <w:t xml:space="preserve"> on key areas 1 and 2 is in line with efforts to achieve Aichi Biodiversity Target 16, which calls for the Nagoya Protocol to be in force and operational, consistent with national legislation by 2015.</w:t>
      </w:r>
      <w:bookmarkStart w:id="1" w:name="_GoBack"/>
      <w:bookmarkEnd w:id="1"/>
    </w:p>
    <w:p w14:paraId="33909E16" w14:textId="77777777" w:rsidR="00927D8C" w:rsidRPr="00927D8C" w:rsidRDefault="00927D8C" w:rsidP="0009641F">
      <w:pPr>
        <w:pStyle w:val="Para1"/>
        <w:keepNext/>
        <w:numPr>
          <w:ilvl w:val="0"/>
          <w:numId w:val="0"/>
        </w:numPr>
        <w:suppressLineNumbers/>
        <w:suppressAutoHyphens/>
        <w:kinsoku w:val="0"/>
        <w:overflowPunct w:val="0"/>
        <w:autoSpaceDE w:val="0"/>
        <w:autoSpaceDN w:val="0"/>
        <w:jc w:val="center"/>
        <w:rPr>
          <w:rFonts w:cs="Times New Roman"/>
          <w:i/>
          <w:snapToGrid/>
          <w:kern w:val="22"/>
          <w:szCs w:val="22"/>
          <w:lang w:eastAsia="ko-KR"/>
        </w:rPr>
      </w:pPr>
      <w:r>
        <w:rPr>
          <w:rFonts w:cs="Times New Roman"/>
          <w:i/>
          <w:snapToGrid/>
          <w:kern w:val="22"/>
          <w:szCs w:val="22"/>
          <w:lang w:eastAsia="ko-KR"/>
        </w:rPr>
        <w:t>7.</w:t>
      </w:r>
      <w:r>
        <w:rPr>
          <w:rFonts w:cs="Times New Roman"/>
          <w:i/>
          <w:snapToGrid/>
          <w:kern w:val="22"/>
          <w:szCs w:val="22"/>
          <w:lang w:eastAsia="ko-KR"/>
        </w:rPr>
        <w:tab/>
      </w:r>
      <w:r w:rsidRPr="00927D8C">
        <w:rPr>
          <w:rFonts w:cs="Times New Roman"/>
          <w:i/>
          <w:snapToGrid/>
          <w:kern w:val="22"/>
          <w:szCs w:val="22"/>
          <w:lang w:eastAsia="ko-KR"/>
        </w:rPr>
        <w:t>Organizations supporting ABS capacity-building initiatives</w:t>
      </w:r>
    </w:p>
    <w:p w14:paraId="4E0D80BE" w14:textId="66A54D39" w:rsidR="00927D8C" w:rsidRPr="007B0FEF" w:rsidRDefault="00927D8C" w:rsidP="006255E2">
      <w:pPr>
        <w:pStyle w:val="Para1"/>
        <w:numPr>
          <w:ilvl w:val="0"/>
          <w:numId w:val="18"/>
        </w:numPr>
        <w:pBdr>
          <w:top w:val="nil"/>
          <w:left w:val="nil"/>
          <w:bottom w:val="nil"/>
          <w:right w:val="nil"/>
          <w:between w:val="nil"/>
          <w:bar w:val="nil"/>
        </w:pBdr>
        <w:ind w:left="0" w:firstLine="0"/>
        <w:rPr>
          <w:rFonts w:cs="Times New Roman"/>
          <w:snapToGrid/>
          <w:kern w:val="22"/>
          <w:szCs w:val="22"/>
          <w:lang w:eastAsia="ko-KR"/>
        </w:rPr>
      </w:pPr>
      <w:r w:rsidRPr="00D00D0C">
        <w:rPr>
          <w:rFonts w:cs="Times New Roman"/>
          <w:snapToGrid/>
          <w:kern w:val="22"/>
          <w:szCs w:val="22"/>
          <w:lang w:eastAsia="ko-KR"/>
        </w:rPr>
        <w:t xml:space="preserve">Of the 99 capacity-building initiatives, 60 (61 per cent) have or are being funded by the </w:t>
      </w:r>
      <w:hyperlink r:id="rId25" w:history="1">
        <w:r w:rsidRPr="00D00D0C">
          <w:rPr>
            <w:rStyle w:val="Hyperlink"/>
            <w:rFonts w:cs="Times New Roman"/>
            <w:snapToGrid/>
            <w:kern w:val="22"/>
            <w:szCs w:val="22"/>
            <w:lang w:eastAsia="ko-KR"/>
          </w:rPr>
          <w:t>Global Environmental Facility</w:t>
        </w:r>
      </w:hyperlink>
      <w:r w:rsidRPr="00D00D0C">
        <w:rPr>
          <w:rFonts w:cs="Times New Roman"/>
          <w:snapToGrid/>
          <w:kern w:val="22"/>
          <w:szCs w:val="22"/>
          <w:lang w:eastAsia="ko-KR"/>
        </w:rPr>
        <w:t xml:space="preserve"> (GEF). </w:t>
      </w:r>
      <w:r w:rsidRPr="00317050">
        <w:rPr>
          <w:rFonts w:cs="Times New Roman"/>
          <w:snapToGrid/>
          <w:kern w:val="22"/>
          <w:szCs w:val="22"/>
          <w:lang w:eastAsia="ko-KR"/>
        </w:rPr>
        <w:t>Based on the information compiled by the Secretariat for the present report, the GEF has allocated more than US$ 127 million in core funding for capacity-building initiatives on ABS and leveraged more than $290 million in co-financing in over 100 countries.</w:t>
      </w:r>
      <w:r w:rsidRPr="00317050">
        <w:rPr>
          <w:rStyle w:val="FootnoteReference"/>
          <w:rFonts w:cs="Times New Roman"/>
          <w:snapToGrid/>
          <w:kern w:val="22"/>
          <w:sz w:val="22"/>
          <w:szCs w:val="22"/>
          <w:lang w:eastAsia="ko-KR"/>
        </w:rPr>
        <w:footnoteReference w:id="11"/>
      </w:r>
    </w:p>
    <w:p w14:paraId="7710CF30" w14:textId="1B99480A" w:rsidR="00927D8C" w:rsidRPr="007B0FEF" w:rsidRDefault="00927D8C" w:rsidP="006255E2">
      <w:pPr>
        <w:pStyle w:val="Para1"/>
        <w:numPr>
          <w:ilvl w:val="0"/>
          <w:numId w:val="18"/>
        </w:numPr>
        <w:pBdr>
          <w:top w:val="nil"/>
          <w:left w:val="nil"/>
          <w:bottom w:val="nil"/>
          <w:right w:val="nil"/>
          <w:between w:val="nil"/>
          <w:bar w:val="nil"/>
        </w:pBdr>
        <w:ind w:left="0" w:firstLine="0"/>
        <w:rPr>
          <w:rFonts w:cs="Times New Roman"/>
          <w:snapToGrid/>
          <w:kern w:val="22"/>
          <w:szCs w:val="22"/>
          <w:lang w:eastAsia="ko-KR"/>
        </w:rPr>
      </w:pPr>
      <w:r w:rsidRPr="007B0FEF">
        <w:rPr>
          <w:rFonts w:cs="Times New Roman"/>
          <w:snapToGrid/>
          <w:kern w:val="22"/>
          <w:szCs w:val="22"/>
          <w:lang w:eastAsia="ko-KR"/>
        </w:rPr>
        <w:t xml:space="preserve">As can be </w:t>
      </w:r>
      <w:r>
        <w:rPr>
          <w:rFonts w:cs="Times New Roman"/>
          <w:snapToGrid/>
          <w:kern w:val="22"/>
          <w:szCs w:val="22"/>
          <w:lang w:eastAsia="ko-KR"/>
        </w:rPr>
        <w:t>seen</w:t>
      </w:r>
      <w:r w:rsidRPr="007B0FEF">
        <w:rPr>
          <w:rFonts w:cs="Times New Roman"/>
          <w:snapToGrid/>
          <w:kern w:val="22"/>
          <w:szCs w:val="22"/>
          <w:lang w:eastAsia="ko-KR"/>
        </w:rPr>
        <w:t xml:space="preserve"> in Table 1 below, the </w:t>
      </w:r>
      <w:hyperlink r:id="rId26" w:history="1">
        <w:r w:rsidRPr="007B0FEF">
          <w:rPr>
            <w:rStyle w:val="Hyperlink"/>
            <w:rFonts w:cs="Times New Roman"/>
            <w:snapToGrid/>
            <w:kern w:val="22"/>
            <w:szCs w:val="22"/>
            <w:lang w:eastAsia="ko-KR"/>
          </w:rPr>
          <w:t>United Nations Development Programme</w:t>
        </w:r>
      </w:hyperlink>
      <w:r>
        <w:rPr>
          <w:rStyle w:val="Hyperlink"/>
          <w:rFonts w:cs="Times New Roman"/>
          <w:snapToGrid/>
          <w:kern w:val="22"/>
          <w:szCs w:val="22"/>
          <w:lang w:eastAsia="ko-KR"/>
        </w:rPr>
        <w:t xml:space="preserve"> (UNDP)</w:t>
      </w:r>
      <w:r w:rsidRPr="007B0FEF">
        <w:rPr>
          <w:rFonts w:cs="Times New Roman"/>
          <w:snapToGrid/>
          <w:kern w:val="22"/>
          <w:szCs w:val="22"/>
          <w:lang w:eastAsia="ko-KR"/>
        </w:rPr>
        <w:t xml:space="preserve"> carried out the greatest number of ABS capacity-building initiatives, followed by the </w:t>
      </w:r>
      <w:hyperlink r:id="rId27" w:history="1">
        <w:r w:rsidRPr="007B0FEF">
          <w:rPr>
            <w:rStyle w:val="Hyperlink"/>
            <w:rFonts w:cs="Times New Roman"/>
            <w:snapToGrid/>
            <w:kern w:val="22"/>
            <w:szCs w:val="22"/>
            <w:lang w:eastAsia="ko-KR"/>
          </w:rPr>
          <w:t>ABS Capacity Development Initiative</w:t>
        </w:r>
      </w:hyperlink>
      <w:r>
        <w:rPr>
          <w:rStyle w:val="Hyperlink"/>
          <w:rFonts w:cs="Times New Roman"/>
          <w:snapToGrid/>
          <w:kern w:val="22"/>
          <w:szCs w:val="22"/>
          <w:lang w:eastAsia="ko-KR"/>
        </w:rPr>
        <w:t xml:space="preserve"> (ABS Initiative) </w:t>
      </w:r>
      <w:r w:rsidRPr="000F6CCA">
        <w:rPr>
          <w:rStyle w:val="Hyperlink"/>
          <w:rFonts w:cs="Times New Roman"/>
          <w:snapToGrid/>
          <w:color w:val="auto"/>
          <w:kern w:val="22"/>
          <w:szCs w:val="22"/>
          <w:u w:val="none"/>
          <w:lang w:eastAsia="ko-KR"/>
        </w:rPr>
        <w:t xml:space="preserve">and the </w:t>
      </w:r>
      <w:hyperlink r:id="rId28" w:history="1">
        <w:r w:rsidRPr="007B0FEF">
          <w:rPr>
            <w:rStyle w:val="Hyperlink"/>
            <w:rFonts w:cs="Times New Roman"/>
            <w:snapToGrid/>
            <w:kern w:val="22"/>
            <w:szCs w:val="22"/>
            <w:lang w:eastAsia="ko-KR"/>
          </w:rPr>
          <w:t>United Nations Environment Programme</w:t>
        </w:r>
      </w:hyperlink>
      <w:r>
        <w:rPr>
          <w:rStyle w:val="Hyperlink"/>
          <w:rFonts w:cs="Times New Roman"/>
          <w:snapToGrid/>
          <w:kern w:val="22"/>
          <w:szCs w:val="22"/>
          <w:lang w:eastAsia="ko-KR"/>
        </w:rPr>
        <w:t xml:space="preserve"> (UNEP)</w:t>
      </w:r>
      <w:r w:rsidRPr="007B0FEF">
        <w:rPr>
          <w:rFonts w:cs="Times New Roman"/>
          <w:snapToGrid/>
          <w:kern w:val="22"/>
          <w:szCs w:val="22"/>
          <w:lang w:eastAsia="ko-KR"/>
        </w:rPr>
        <w:t xml:space="preserve">. The </w:t>
      </w:r>
      <w:r>
        <w:rPr>
          <w:rFonts w:cs="Times New Roman"/>
          <w:snapToGrid/>
          <w:kern w:val="22"/>
          <w:szCs w:val="22"/>
          <w:lang w:eastAsia="ko-KR"/>
        </w:rPr>
        <w:t xml:space="preserve">ABS Initiative </w:t>
      </w:r>
      <w:r w:rsidRPr="007B0FEF">
        <w:rPr>
          <w:rFonts w:cs="Times New Roman"/>
          <w:snapToGrid/>
          <w:kern w:val="22"/>
          <w:szCs w:val="22"/>
          <w:lang w:eastAsia="ko-KR"/>
        </w:rPr>
        <w:t>is providing support for national-level capacity</w:t>
      </w:r>
      <w:r w:rsidRPr="007B0FEF">
        <w:rPr>
          <w:rFonts w:cs="Times New Roman"/>
          <w:snapToGrid/>
          <w:kern w:val="22"/>
          <w:szCs w:val="22"/>
          <w:lang w:eastAsia="ko-KR"/>
        </w:rPr>
        <w:noBreakHyphen/>
        <w:t xml:space="preserve">building activities in 15 countries and collaborating with the </w:t>
      </w:r>
      <w:hyperlink r:id="rId29" w:history="1">
        <w:r w:rsidRPr="007B0FEF">
          <w:rPr>
            <w:rStyle w:val="Hyperlink"/>
            <w:rFonts w:cs="Times New Roman"/>
            <w:snapToGrid/>
            <w:kern w:val="22"/>
            <w:szCs w:val="22"/>
            <w:lang w:eastAsia="ko-KR"/>
          </w:rPr>
          <w:t>German Agency for International Cooperation (GIZ)</w:t>
        </w:r>
      </w:hyperlink>
      <w:r w:rsidRPr="007B0FEF">
        <w:rPr>
          <w:rFonts w:cs="Times New Roman"/>
          <w:snapToGrid/>
          <w:kern w:val="22"/>
          <w:szCs w:val="22"/>
          <w:lang w:eastAsia="ko-KR"/>
        </w:rPr>
        <w:t xml:space="preserve"> in supporting an additional seven projects.</w:t>
      </w:r>
    </w:p>
    <w:p w14:paraId="5AE9604B" w14:textId="77777777" w:rsidR="00927D8C" w:rsidRPr="00F36625" w:rsidRDefault="00927D8C" w:rsidP="000A2552">
      <w:pPr>
        <w:keepNext/>
        <w:keepLines/>
        <w:suppressLineNumbers/>
        <w:suppressAutoHyphens/>
        <w:kinsoku w:val="0"/>
        <w:overflowPunct w:val="0"/>
        <w:autoSpaceDE w:val="0"/>
        <w:autoSpaceDN w:val="0"/>
        <w:spacing w:before="120" w:after="120"/>
        <w:ind w:left="992" w:hanging="992"/>
        <w:jc w:val="left"/>
        <w:rPr>
          <w:rFonts w:cs="Times New Roman"/>
          <w:b/>
          <w:kern w:val="22"/>
          <w:szCs w:val="22"/>
        </w:rPr>
      </w:pPr>
      <w:r w:rsidRPr="00F36625">
        <w:rPr>
          <w:rFonts w:cs="Times New Roman"/>
          <w:b/>
          <w:kern w:val="22"/>
          <w:szCs w:val="22"/>
        </w:rPr>
        <w:t>Table 1.</w:t>
      </w:r>
      <w:r w:rsidRPr="00F36625">
        <w:rPr>
          <w:rFonts w:cs="Times New Roman"/>
          <w:b/>
          <w:kern w:val="22"/>
          <w:szCs w:val="22"/>
        </w:rPr>
        <w:tab/>
        <w:t>Number and proportion of projects implemented/executed by international organizations</w:t>
      </w: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7"/>
        <w:gridCol w:w="952"/>
        <w:gridCol w:w="1118"/>
        <w:gridCol w:w="1116"/>
        <w:gridCol w:w="864"/>
        <w:gridCol w:w="810"/>
        <w:gridCol w:w="1080"/>
        <w:gridCol w:w="1206"/>
      </w:tblGrid>
      <w:tr w:rsidR="00927D8C" w:rsidRPr="00F36625" w14:paraId="70726AFA" w14:textId="77777777" w:rsidTr="00287D01">
        <w:trPr>
          <w:trHeight w:val="20"/>
          <w:jc w:val="center"/>
        </w:trPr>
        <w:tc>
          <w:tcPr>
            <w:tcW w:w="2687" w:type="dxa"/>
            <w:shd w:val="clear" w:color="auto" w:fill="auto"/>
            <w:noWrap/>
            <w:hideMark/>
          </w:tcPr>
          <w:p w14:paraId="462000D3" w14:textId="77777777" w:rsidR="00927D8C" w:rsidRPr="00F36625" w:rsidRDefault="00927D8C" w:rsidP="00287D01">
            <w:pPr>
              <w:keepLines/>
              <w:suppressLineNumbers/>
              <w:suppressAutoHyphens/>
              <w:kinsoku w:val="0"/>
              <w:overflowPunct w:val="0"/>
              <w:autoSpaceDE w:val="0"/>
              <w:autoSpaceDN w:val="0"/>
              <w:spacing w:before="40" w:after="40"/>
              <w:jc w:val="center"/>
              <w:rPr>
                <w:rFonts w:cs="Times New Roman"/>
                <w:b/>
                <w:kern w:val="22"/>
                <w:szCs w:val="22"/>
              </w:rPr>
            </w:pPr>
            <w:r w:rsidRPr="00F36625">
              <w:rPr>
                <w:rFonts w:cs="Times New Roman"/>
                <w:b/>
                <w:kern w:val="22"/>
                <w:szCs w:val="22"/>
              </w:rPr>
              <w:t>Organization</w:t>
            </w:r>
          </w:p>
        </w:tc>
        <w:tc>
          <w:tcPr>
            <w:tcW w:w="952" w:type="dxa"/>
            <w:shd w:val="clear" w:color="auto" w:fill="auto"/>
            <w:noWrap/>
            <w:hideMark/>
          </w:tcPr>
          <w:p w14:paraId="54CC87DA" w14:textId="77777777" w:rsidR="00927D8C" w:rsidRPr="00F36625" w:rsidRDefault="00927D8C" w:rsidP="00287D01">
            <w:pPr>
              <w:keepLines/>
              <w:suppressLineNumbers/>
              <w:suppressAutoHyphens/>
              <w:kinsoku w:val="0"/>
              <w:overflowPunct w:val="0"/>
              <w:autoSpaceDE w:val="0"/>
              <w:autoSpaceDN w:val="0"/>
              <w:spacing w:before="40" w:after="40"/>
              <w:jc w:val="center"/>
              <w:rPr>
                <w:rFonts w:cs="Times New Roman"/>
                <w:b/>
                <w:bCs/>
                <w:kern w:val="22"/>
                <w:szCs w:val="22"/>
              </w:rPr>
            </w:pPr>
            <w:r w:rsidRPr="00F36625">
              <w:rPr>
                <w:rFonts w:cs="Times New Roman"/>
                <w:b/>
                <w:bCs/>
                <w:kern w:val="22"/>
                <w:szCs w:val="22"/>
              </w:rPr>
              <w:t>Africa</w:t>
            </w:r>
          </w:p>
        </w:tc>
        <w:tc>
          <w:tcPr>
            <w:tcW w:w="1118" w:type="dxa"/>
            <w:shd w:val="clear" w:color="auto" w:fill="auto"/>
            <w:noWrap/>
            <w:hideMark/>
          </w:tcPr>
          <w:p w14:paraId="458490EF" w14:textId="77777777" w:rsidR="00927D8C" w:rsidRPr="00F36625" w:rsidRDefault="00927D8C" w:rsidP="00287D01">
            <w:pPr>
              <w:keepLines/>
              <w:suppressLineNumbers/>
              <w:suppressAutoHyphens/>
              <w:kinsoku w:val="0"/>
              <w:overflowPunct w:val="0"/>
              <w:autoSpaceDE w:val="0"/>
              <w:autoSpaceDN w:val="0"/>
              <w:spacing w:before="40" w:after="40"/>
              <w:jc w:val="center"/>
              <w:rPr>
                <w:rFonts w:cs="Times New Roman"/>
                <w:b/>
                <w:bCs/>
                <w:kern w:val="22"/>
                <w:szCs w:val="22"/>
              </w:rPr>
            </w:pPr>
            <w:r w:rsidRPr="00F36625">
              <w:rPr>
                <w:rFonts w:cs="Times New Roman"/>
                <w:b/>
                <w:bCs/>
                <w:kern w:val="22"/>
                <w:szCs w:val="22"/>
              </w:rPr>
              <w:t>Asia-Pacific</w:t>
            </w:r>
          </w:p>
        </w:tc>
        <w:tc>
          <w:tcPr>
            <w:tcW w:w="1116" w:type="dxa"/>
            <w:shd w:val="clear" w:color="auto" w:fill="auto"/>
            <w:noWrap/>
            <w:hideMark/>
          </w:tcPr>
          <w:p w14:paraId="09B8F965" w14:textId="77777777" w:rsidR="00927D8C" w:rsidRPr="00F36625" w:rsidRDefault="00927D8C" w:rsidP="00287D01">
            <w:pPr>
              <w:keepLines/>
              <w:suppressLineNumbers/>
              <w:suppressAutoHyphens/>
              <w:kinsoku w:val="0"/>
              <w:overflowPunct w:val="0"/>
              <w:autoSpaceDE w:val="0"/>
              <w:autoSpaceDN w:val="0"/>
              <w:spacing w:before="40" w:after="40"/>
              <w:jc w:val="center"/>
              <w:rPr>
                <w:rFonts w:cs="Times New Roman"/>
                <w:b/>
                <w:bCs/>
                <w:spacing w:val="-10"/>
                <w:kern w:val="22"/>
                <w:szCs w:val="22"/>
              </w:rPr>
            </w:pPr>
            <w:r w:rsidRPr="00F36625">
              <w:rPr>
                <w:rFonts w:cs="Times New Roman"/>
                <w:b/>
                <w:bCs/>
                <w:spacing w:val="-10"/>
                <w:kern w:val="22"/>
                <w:szCs w:val="22"/>
              </w:rPr>
              <w:t>GRULAC</w:t>
            </w:r>
          </w:p>
        </w:tc>
        <w:tc>
          <w:tcPr>
            <w:tcW w:w="864" w:type="dxa"/>
            <w:shd w:val="clear" w:color="auto" w:fill="auto"/>
            <w:noWrap/>
            <w:hideMark/>
          </w:tcPr>
          <w:p w14:paraId="18443FA2" w14:textId="77777777" w:rsidR="00927D8C" w:rsidRPr="00F36625" w:rsidRDefault="00927D8C" w:rsidP="00287D01">
            <w:pPr>
              <w:keepLines/>
              <w:suppressLineNumbers/>
              <w:suppressAutoHyphens/>
              <w:kinsoku w:val="0"/>
              <w:overflowPunct w:val="0"/>
              <w:autoSpaceDE w:val="0"/>
              <w:autoSpaceDN w:val="0"/>
              <w:spacing w:before="40" w:after="40"/>
              <w:jc w:val="center"/>
              <w:rPr>
                <w:rFonts w:cs="Times New Roman"/>
                <w:b/>
                <w:bCs/>
                <w:kern w:val="22"/>
                <w:szCs w:val="22"/>
              </w:rPr>
            </w:pPr>
            <w:r w:rsidRPr="00F36625">
              <w:rPr>
                <w:rFonts w:cs="Times New Roman"/>
                <w:b/>
                <w:bCs/>
                <w:kern w:val="22"/>
                <w:szCs w:val="22"/>
              </w:rPr>
              <w:t>CEE</w:t>
            </w:r>
          </w:p>
        </w:tc>
        <w:tc>
          <w:tcPr>
            <w:tcW w:w="810" w:type="dxa"/>
            <w:shd w:val="clear" w:color="auto" w:fill="auto"/>
            <w:noWrap/>
            <w:hideMark/>
          </w:tcPr>
          <w:p w14:paraId="0D49D636" w14:textId="77777777" w:rsidR="00927D8C" w:rsidRPr="00F36625" w:rsidRDefault="00927D8C" w:rsidP="00287D01">
            <w:pPr>
              <w:keepLines/>
              <w:suppressLineNumbers/>
              <w:suppressAutoHyphens/>
              <w:kinsoku w:val="0"/>
              <w:overflowPunct w:val="0"/>
              <w:autoSpaceDE w:val="0"/>
              <w:autoSpaceDN w:val="0"/>
              <w:spacing w:before="40" w:after="40"/>
              <w:jc w:val="center"/>
              <w:rPr>
                <w:rFonts w:cs="Times New Roman"/>
                <w:b/>
                <w:bCs/>
                <w:spacing w:val="-8"/>
                <w:kern w:val="22"/>
                <w:szCs w:val="22"/>
              </w:rPr>
            </w:pPr>
            <w:r w:rsidRPr="00F36625">
              <w:rPr>
                <w:rFonts w:cs="Times New Roman"/>
                <w:b/>
                <w:bCs/>
                <w:spacing w:val="-8"/>
                <w:kern w:val="22"/>
                <w:szCs w:val="22"/>
              </w:rPr>
              <w:t>Global</w:t>
            </w:r>
          </w:p>
        </w:tc>
        <w:tc>
          <w:tcPr>
            <w:tcW w:w="1080" w:type="dxa"/>
            <w:shd w:val="clear" w:color="auto" w:fill="auto"/>
            <w:noWrap/>
            <w:hideMark/>
          </w:tcPr>
          <w:p w14:paraId="64AB9D79" w14:textId="77777777" w:rsidR="00927D8C" w:rsidRPr="00F36625" w:rsidRDefault="00927D8C" w:rsidP="00287D01">
            <w:pPr>
              <w:keepLines/>
              <w:suppressLineNumbers/>
              <w:suppressAutoHyphens/>
              <w:kinsoku w:val="0"/>
              <w:overflowPunct w:val="0"/>
              <w:autoSpaceDE w:val="0"/>
              <w:autoSpaceDN w:val="0"/>
              <w:spacing w:before="40" w:after="40"/>
              <w:jc w:val="center"/>
              <w:rPr>
                <w:rFonts w:cs="Times New Roman"/>
                <w:b/>
                <w:bCs/>
                <w:kern w:val="22"/>
                <w:szCs w:val="22"/>
              </w:rPr>
            </w:pPr>
            <w:r w:rsidRPr="00F36625">
              <w:rPr>
                <w:rFonts w:cs="Times New Roman"/>
                <w:b/>
                <w:bCs/>
                <w:kern w:val="22"/>
                <w:szCs w:val="22"/>
              </w:rPr>
              <w:t>No. of projects</w:t>
            </w:r>
          </w:p>
        </w:tc>
        <w:tc>
          <w:tcPr>
            <w:tcW w:w="1206" w:type="dxa"/>
            <w:shd w:val="clear" w:color="auto" w:fill="auto"/>
            <w:noWrap/>
            <w:hideMark/>
          </w:tcPr>
          <w:p w14:paraId="26C50C37" w14:textId="77777777" w:rsidR="00927D8C" w:rsidRPr="00F36625" w:rsidRDefault="00927D8C" w:rsidP="00287D01">
            <w:pPr>
              <w:keepLines/>
              <w:suppressLineNumbers/>
              <w:suppressAutoHyphens/>
              <w:kinsoku w:val="0"/>
              <w:overflowPunct w:val="0"/>
              <w:autoSpaceDE w:val="0"/>
              <w:autoSpaceDN w:val="0"/>
              <w:spacing w:before="40" w:after="40"/>
              <w:jc w:val="center"/>
              <w:rPr>
                <w:rFonts w:cs="Times New Roman"/>
                <w:b/>
                <w:bCs/>
                <w:spacing w:val="-6"/>
                <w:kern w:val="22"/>
                <w:szCs w:val="22"/>
              </w:rPr>
            </w:pPr>
            <w:r w:rsidRPr="00F36625">
              <w:rPr>
                <w:rFonts w:cs="Times New Roman"/>
                <w:b/>
                <w:bCs/>
                <w:spacing w:val="-6"/>
                <w:kern w:val="22"/>
                <w:szCs w:val="22"/>
              </w:rPr>
              <w:t>Percentage</w:t>
            </w:r>
          </w:p>
        </w:tc>
      </w:tr>
      <w:tr w:rsidR="00927D8C" w:rsidRPr="00F36625" w14:paraId="1B5C627A" w14:textId="77777777" w:rsidTr="00287D01">
        <w:trPr>
          <w:trHeight w:val="20"/>
          <w:jc w:val="center"/>
        </w:trPr>
        <w:tc>
          <w:tcPr>
            <w:tcW w:w="2687" w:type="dxa"/>
            <w:shd w:val="clear" w:color="auto" w:fill="auto"/>
          </w:tcPr>
          <w:p w14:paraId="707EE038" w14:textId="77777777" w:rsidR="00927D8C" w:rsidRPr="00F36625" w:rsidRDefault="00927D8C" w:rsidP="00287D01">
            <w:pPr>
              <w:keepLines/>
              <w:suppressLineNumbers/>
              <w:suppressAutoHyphens/>
              <w:kinsoku w:val="0"/>
              <w:overflowPunct w:val="0"/>
              <w:autoSpaceDE w:val="0"/>
              <w:autoSpaceDN w:val="0"/>
              <w:spacing w:before="40" w:after="40"/>
              <w:jc w:val="left"/>
              <w:rPr>
                <w:rFonts w:cs="Times New Roman"/>
                <w:bCs/>
                <w:kern w:val="22"/>
                <w:szCs w:val="22"/>
              </w:rPr>
            </w:pPr>
            <w:r w:rsidRPr="00F36625">
              <w:rPr>
                <w:rFonts w:cs="Times New Roman"/>
                <w:bCs/>
                <w:kern w:val="22"/>
                <w:szCs w:val="22"/>
              </w:rPr>
              <w:t>ABS Initiative</w:t>
            </w:r>
            <w:r w:rsidRPr="00F36625">
              <w:rPr>
                <w:rStyle w:val="FootnoteReference"/>
                <w:rFonts w:cs="Times New Roman"/>
                <w:bCs/>
                <w:kern w:val="22"/>
                <w:sz w:val="22"/>
                <w:szCs w:val="22"/>
              </w:rPr>
              <w:footnoteReference w:id="12"/>
            </w:r>
          </w:p>
        </w:tc>
        <w:tc>
          <w:tcPr>
            <w:tcW w:w="952" w:type="dxa"/>
            <w:shd w:val="clear" w:color="auto" w:fill="auto"/>
            <w:noWrap/>
          </w:tcPr>
          <w:p w14:paraId="4E6CB7A8"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10</w:t>
            </w:r>
          </w:p>
        </w:tc>
        <w:tc>
          <w:tcPr>
            <w:tcW w:w="1118" w:type="dxa"/>
            <w:shd w:val="clear" w:color="auto" w:fill="auto"/>
            <w:noWrap/>
          </w:tcPr>
          <w:p w14:paraId="3BCE96DA" w14:textId="77777777" w:rsidR="00927D8C" w:rsidRPr="00F36625" w:rsidRDefault="00927D8C" w:rsidP="00287D01">
            <w:pPr>
              <w:keepLines/>
              <w:suppressLineNumbers/>
              <w:tabs>
                <w:tab w:val="center" w:pos="477"/>
              </w:tab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6</w:t>
            </w:r>
          </w:p>
        </w:tc>
        <w:tc>
          <w:tcPr>
            <w:tcW w:w="1116" w:type="dxa"/>
            <w:shd w:val="clear" w:color="auto" w:fill="auto"/>
            <w:noWrap/>
          </w:tcPr>
          <w:p w14:paraId="7F7DF578"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3</w:t>
            </w:r>
          </w:p>
        </w:tc>
        <w:tc>
          <w:tcPr>
            <w:tcW w:w="864" w:type="dxa"/>
            <w:shd w:val="clear" w:color="auto" w:fill="auto"/>
            <w:noWrap/>
          </w:tcPr>
          <w:p w14:paraId="1E3EF95A"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810" w:type="dxa"/>
            <w:shd w:val="clear" w:color="auto" w:fill="auto"/>
            <w:noWrap/>
          </w:tcPr>
          <w:p w14:paraId="70F0B5CD"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1080" w:type="dxa"/>
            <w:shd w:val="clear" w:color="auto" w:fill="auto"/>
            <w:noWrap/>
          </w:tcPr>
          <w:p w14:paraId="5D7B7DF2"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bCs/>
                <w:kern w:val="22"/>
                <w:szCs w:val="22"/>
              </w:rPr>
            </w:pPr>
            <w:r w:rsidRPr="00F36625">
              <w:rPr>
                <w:rFonts w:cs="Times New Roman"/>
                <w:bCs/>
                <w:kern w:val="22"/>
                <w:szCs w:val="22"/>
              </w:rPr>
              <w:t>19</w:t>
            </w:r>
          </w:p>
        </w:tc>
        <w:tc>
          <w:tcPr>
            <w:tcW w:w="1206" w:type="dxa"/>
            <w:shd w:val="clear" w:color="auto" w:fill="auto"/>
            <w:noWrap/>
          </w:tcPr>
          <w:p w14:paraId="659B8C25" w14:textId="77777777" w:rsidR="00927D8C" w:rsidRPr="00F36625" w:rsidRDefault="00927D8C" w:rsidP="00397EDB">
            <w:pPr>
              <w:keepLines/>
              <w:suppressLineNumbers/>
              <w:suppressAutoHyphens/>
              <w:kinsoku w:val="0"/>
              <w:overflowPunct w:val="0"/>
              <w:autoSpaceDE w:val="0"/>
              <w:autoSpaceDN w:val="0"/>
              <w:spacing w:before="40" w:after="40"/>
              <w:jc w:val="center"/>
              <w:rPr>
                <w:rFonts w:cs="Times New Roman"/>
                <w:kern w:val="22"/>
                <w:szCs w:val="22"/>
              </w:rPr>
            </w:pPr>
            <w:r>
              <w:rPr>
                <w:rFonts w:cs="Times New Roman"/>
                <w:kern w:val="22"/>
                <w:szCs w:val="22"/>
              </w:rPr>
              <w:t>19</w:t>
            </w:r>
            <w:r w:rsidRPr="00F36625">
              <w:rPr>
                <w:rFonts w:cs="Times New Roman"/>
                <w:kern w:val="22"/>
                <w:szCs w:val="22"/>
              </w:rPr>
              <w:t> </w:t>
            </w:r>
            <w:r w:rsidR="00397EDB">
              <w:rPr>
                <w:rFonts w:cs="Times New Roman"/>
                <w:kern w:val="22"/>
                <w:szCs w:val="22"/>
              </w:rPr>
              <w:t>%</w:t>
            </w:r>
          </w:p>
        </w:tc>
      </w:tr>
      <w:tr w:rsidR="00927D8C" w:rsidRPr="00F36625" w14:paraId="2A5FCB71" w14:textId="77777777" w:rsidTr="00287D01">
        <w:trPr>
          <w:trHeight w:val="20"/>
          <w:jc w:val="center"/>
        </w:trPr>
        <w:tc>
          <w:tcPr>
            <w:tcW w:w="2687" w:type="dxa"/>
            <w:shd w:val="clear" w:color="auto" w:fill="auto"/>
          </w:tcPr>
          <w:p w14:paraId="423A9F89" w14:textId="77777777" w:rsidR="00927D8C" w:rsidRPr="00F36625" w:rsidRDefault="00927D8C" w:rsidP="00287D01">
            <w:pPr>
              <w:keepLines/>
              <w:suppressLineNumbers/>
              <w:suppressAutoHyphens/>
              <w:kinsoku w:val="0"/>
              <w:overflowPunct w:val="0"/>
              <w:autoSpaceDE w:val="0"/>
              <w:autoSpaceDN w:val="0"/>
              <w:spacing w:before="40" w:after="40"/>
              <w:jc w:val="left"/>
              <w:rPr>
                <w:rFonts w:cs="Times New Roman"/>
                <w:bCs/>
                <w:kern w:val="22"/>
                <w:szCs w:val="22"/>
              </w:rPr>
            </w:pPr>
            <w:r w:rsidRPr="00F36625">
              <w:rPr>
                <w:rFonts w:cs="Times New Roman"/>
                <w:bCs/>
                <w:kern w:val="22"/>
                <w:szCs w:val="22"/>
              </w:rPr>
              <w:t>ABS Initiative/GIZ</w:t>
            </w:r>
          </w:p>
        </w:tc>
        <w:tc>
          <w:tcPr>
            <w:tcW w:w="952" w:type="dxa"/>
            <w:shd w:val="clear" w:color="auto" w:fill="auto"/>
            <w:noWrap/>
          </w:tcPr>
          <w:p w14:paraId="5E0733F8"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5</w:t>
            </w:r>
          </w:p>
        </w:tc>
        <w:tc>
          <w:tcPr>
            <w:tcW w:w="1118" w:type="dxa"/>
            <w:shd w:val="clear" w:color="auto" w:fill="auto"/>
            <w:noWrap/>
          </w:tcPr>
          <w:p w14:paraId="55618BD5"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1116" w:type="dxa"/>
            <w:shd w:val="clear" w:color="auto" w:fill="auto"/>
            <w:noWrap/>
          </w:tcPr>
          <w:p w14:paraId="1A3E42F2"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864" w:type="dxa"/>
            <w:shd w:val="clear" w:color="auto" w:fill="auto"/>
            <w:noWrap/>
          </w:tcPr>
          <w:p w14:paraId="619B0C36"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810" w:type="dxa"/>
            <w:shd w:val="clear" w:color="auto" w:fill="auto"/>
            <w:noWrap/>
          </w:tcPr>
          <w:p w14:paraId="14306CB4"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1080" w:type="dxa"/>
            <w:shd w:val="clear" w:color="auto" w:fill="auto"/>
            <w:noWrap/>
          </w:tcPr>
          <w:p w14:paraId="20C6FD40"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bCs/>
                <w:kern w:val="22"/>
                <w:szCs w:val="22"/>
              </w:rPr>
            </w:pPr>
            <w:r w:rsidRPr="00F36625">
              <w:rPr>
                <w:rFonts w:cs="Times New Roman"/>
                <w:bCs/>
                <w:kern w:val="22"/>
                <w:szCs w:val="22"/>
              </w:rPr>
              <w:t>5</w:t>
            </w:r>
          </w:p>
        </w:tc>
        <w:tc>
          <w:tcPr>
            <w:tcW w:w="1206" w:type="dxa"/>
            <w:shd w:val="clear" w:color="auto" w:fill="auto"/>
            <w:noWrap/>
          </w:tcPr>
          <w:p w14:paraId="0CEE3B26" w14:textId="77777777" w:rsidR="00927D8C" w:rsidRPr="00F36625" w:rsidRDefault="00927D8C" w:rsidP="00397EDB">
            <w:pPr>
              <w:keepLines/>
              <w:suppressLineNumbers/>
              <w:suppressAutoHyphens/>
              <w:kinsoku w:val="0"/>
              <w:overflowPunct w:val="0"/>
              <w:autoSpaceDE w:val="0"/>
              <w:autoSpaceDN w:val="0"/>
              <w:spacing w:before="40" w:after="40"/>
              <w:jc w:val="center"/>
              <w:rPr>
                <w:rFonts w:cs="Times New Roman"/>
                <w:kern w:val="22"/>
                <w:szCs w:val="22"/>
              </w:rPr>
            </w:pPr>
            <w:r w:rsidRPr="00F36625">
              <w:rPr>
                <w:rFonts w:cs="Times New Roman"/>
                <w:kern w:val="22"/>
                <w:szCs w:val="22"/>
              </w:rPr>
              <w:t>5 </w:t>
            </w:r>
            <w:r w:rsidR="00397EDB">
              <w:rPr>
                <w:rFonts w:cs="Times New Roman"/>
                <w:kern w:val="22"/>
                <w:szCs w:val="22"/>
              </w:rPr>
              <w:t>%</w:t>
            </w:r>
          </w:p>
        </w:tc>
      </w:tr>
      <w:tr w:rsidR="00927D8C" w:rsidRPr="00F36625" w14:paraId="1ABB7BD0" w14:textId="77777777" w:rsidTr="00287D01">
        <w:trPr>
          <w:trHeight w:val="20"/>
          <w:jc w:val="center"/>
        </w:trPr>
        <w:tc>
          <w:tcPr>
            <w:tcW w:w="2687" w:type="dxa"/>
            <w:shd w:val="clear" w:color="auto" w:fill="auto"/>
          </w:tcPr>
          <w:p w14:paraId="380C6F17" w14:textId="77777777" w:rsidR="00927D8C" w:rsidRPr="00F36625" w:rsidRDefault="00927D8C" w:rsidP="00287D01">
            <w:pPr>
              <w:keepLines/>
              <w:suppressLineNumbers/>
              <w:suppressAutoHyphens/>
              <w:kinsoku w:val="0"/>
              <w:overflowPunct w:val="0"/>
              <w:autoSpaceDE w:val="0"/>
              <w:autoSpaceDN w:val="0"/>
              <w:spacing w:before="40" w:after="40"/>
              <w:jc w:val="left"/>
              <w:rPr>
                <w:rFonts w:cs="Times New Roman"/>
                <w:bCs/>
                <w:kern w:val="22"/>
                <w:szCs w:val="22"/>
              </w:rPr>
            </w:pPr>
            <w:r w:rsidRPr="00F36625">
              <w:rPr>
                <w:rFonts w:cs="Times New Roman"/>
                <w:bCs/>
                <w:kern w:val="22"/>
                <w:szCs w:val="22"/>
              </w:rPr>
              <w:t>Biodiversity International/ ABS Initiative</w:t>
            </w:r>
          </w:p>
        </w:tc>
        <w:tc>
          <w:tcPr>
            <w:tcW w:w="952" w:type="dxa"/>
            <w:shd w:val="clear" w:color="auto" w:fill="auto"/>
            <w:noWrap/>
          </w:tcPr>
          <w:p w14:paraId="500E924E"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1</w:t>
            </w:r>
          </w:p>
        </w:tc>
        <w:tc>
          <w:tcPr>
            <w:tcW w:w="1118" w:type="dxa"/>
            <w:shd w:val="clear" w:color="auto" w:fill="auto"/>
            <w:noWrap/>
          </w:tcPr>
          <w:p w14:paraId="5A0FA914"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1116" w:type="dxa"/>
            <w:shd w:val="clear" w:color="auto" w:fill="auto"/>
            <w:noWrap/>
          </w:tcPr>
          <w:p w14:paraId="25D64FF1"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864" w:type="dxa"/>
            <w:shd w:val="clear" w:color="auto" w:fill="auto"/>
            <w:noWrap/>
          </w:tcPr>
          <w:p w14:paraId="29C584B4"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810" w:type="dxa"/>
            <w:shd w:val="clear" w:color="auto" w:fill="auto"/>
            <w:noWrap/>
          </w:tcPr>
          <w:p w14:paraId="1980B10E"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1080" w:type="dxa"/>
            <w:shd w:val="clear" w:color="auto" w:fill="auto"/>
            <w:noWrap/>
          </w:tcPr>
          <w:p w14:paraId="79151A62"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bCs/>
                <w:kern w:val="22"/>
                <w:szCs w:val="22"/>
              </w:rPr>
            </w:pPr>
            <w:r w:rsidRPr="00F36625">
              <w:rPr>
                <w:rFonts w:cs="Times New Roman"/>
                <w:bCs/>
                <w:kern w:val="22"/>
                <w:szCs w:val="22"/>
              </w:rPr>
              <w:t>1</w:t>
            </w:r>
          </w:p>
        </w:tc>
        <w:tc>
          <w:tcPr>
            <w:tcW w:w="1206" w:type="dxa"/>
            <w:shd w:val="clear" w:color="auto" w:fill="auto"/>
            <w:noWrap/>
          </w:tcPr>
          <w:p w14:paraId="39A21990" w14:textId="77777777" w:rsidR="00927D8C" w:rsidRPr="00F36625" w:rsidRDefault="00927D8C" w:rsidP="00397EDB">
            <w:pPr>
              <w:keepLines/>
              <w:suppressLineNumbers/>
              <w:suppressAutoHyphens/>
              <w:kinsoku w:val="0"/>
              <w:overflowPunct w:val="0"/>
              <w:autoSpaceDE w:val="0"/>
              <w:autoSpaceDN w:val="0"/>
              <w:spacing w:before="40" w:after="40"/>
              <w:jc w:val="center"/>
              <w:rPr>
                <w:rFonts w:cs="Times New Roman"/>
                <w:kern w:val="22"/>
                <w:szCs w:val="22"/>
              </w:rPr>
            </w:pPr>
            <w:r w:rsidRPr="00F36625">
              <w:rPr>
                <w:rFonts w:cs="Times New Roman"/>
                <w:kern w:val="22"/>
                <w:szCs w:val="22"/>
              </w:rPr>
              <w:t>1 </w:t>
            </w:r>
            <w:r w:rsidR="00397EDB">
              <w:rPr>
                <w:rFonts w:cs="Times New Roman"/>
                <w:kern w:val="22"/>
                <w:szCs w:val="22"/>
              </w:rPr>
              <w:t>%</w:t>
            </w:r>
          </w:p>
        </w:tc>
      </w:tr>
      <w:tr w:rsidR="00927D8C" w:rsidRPr="00F36625" w14:paraId="06554035" w14:textId="77777777" w:rsidTr="00287D01">
        <w:trPr>
          <w:trHeight w:val="20"/>
          <w:jc w:val="center"/>
        </w:trPr>
        <w:tc>
          <w:tcPr>
            <w:tcW w:w="2687" w:type="dxa"/>
            <w:shd w:val="clear" w:color="auto" w:fill="auto"/>
          </w:tcPr>
          <w:p w14:paraId="25898D84" w14:textId="77777777" w:rsidR="00927D8C" w:rsidRPr="00F36625" w:rsidRDefault="00927D8C" w:rsidP="00287D01">
            <w:pPr>
              <w:keepLines/>
              <w:suppressLineNumbers/>
              <w:suppressAutoHyphens/>
              <w:kinsoku w:val="0"/>
              <w:overflowPunct w:val="0"/>
              <w:autoSpaceDE w:val="0"/>
              <w:autoSpaceDN w:val="0"/>
              <w:spacing w:before="40" w:after="40"/>
              <w:jc w:val="left"/>
              <w:rPr>
                <w:rFonts w:cs="Times New Roman"/>
                <w:bCs/>
                <w:kern w:val="22"/>
                <w:szCs w:val="22"/>
              </w:rPr>
            </w:pPr>
            <w:r w:rsidRPr="00F36625">
              <w:rPr>
                <w:rFonts w:cs="Times New Roman"/>
                <w:bCs/>
                <w:kern w:val="22"/>
                <w:szCs w:val="22"/>
              </w:rPr>
              <w:t>Botanic Gardens Conservation International</w:t>
            </w:r>
          </w:p>
        </w:tc>
        <w:tc>
          <w:tcPr>
            <w:tcW w:w="952" w:type="dxa"/>
            <w:shd w:val="clear" w:color="auto" w:fill="auto"/>
            <w:noWrap/>
          </w:tcPr>
          <w:p w14:paraId="2906C836"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1</w:t>
            </w:r>
          </w:p>
        </w:tc>
        <w:tc>
          <w:tcPr>
            <w:tcW w:w="1118" w:type="dxa"/>
            <w:shd w:val="clear" w:color="auto" w:fill="auto"/>
            <w:noWrap/>
          </w:tcPr>
          <w:p w14:paraId="043B8F7F"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1116" w:type="dxa"/>
            <w:shd w:val="clear" w:color="auto" w:fill="auto"/>
            <w:noWrap/>
          </w:tcPr>
          <w:p w14:paraId="7BFCA05F"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864" w:type="dxa"/>
            <w:shd w:val="clear" w:color="auto" w:fill="auto"/>
            <w:noWrap/>
          </w:tcPr>
          <w:p w14:paraId="25A16748"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810" w:type="dxa"/>
            <w:shd w:val="clear" w:color="auto" w:fill="auto"/>
            <w:noWrap/>
          </w:tcPr>
          <w:p w14:paraId="3C03F7EB"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1080" w:type="dxa"/>
            <w:shd w:val="clear" w:color="auto" w:fill="auto"/>
            <w:noWrap/>
          </w:tcPr>
          <w:p w14:paraId="7F4AC623"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bCs/>
                <w:kern w:val="22"/>
                <w:szCs w:val="22"/>
              </w:rPr>
            </w:pPr>
            <w:r w:rsidRPr="00F36625">
              <w:rPr>
                <w:rFonts w:cs="Times New Roman"/>
                <w:bCs/>
                <w:kern w:val="22"/>
                <w:szCs w:val="22"/>
              </w:rPr>
              <w:t>1</w:t>
            </w:r>
          </w:p>
        </w:tc>
        <w:tc>
          <w:tcPr>
            <w:tcW w:w="1206" w:type="dxa"/>
            <w:shd w:val="clear" w:color="auto" w:fill="auto"/>
            <w:noWrap/>
          </w:tcPr>
          <w:p w14:paraId="72A02FC3" w14:textId="77777777" w:rsidR="00927D8C" w:rsidRPr="00F36625" w:rsidRDefault="00927D8C" w:rsidP="00397EDB">
            <w:pPr>
              <w:keepLines/>
              <w:suppressLineNumbers/>
              <w:suppressAutoHyphens/>
              <w:kinsoku w:val="0"/>
              <w:overflowPunct w:val="0"/>
              <w:autoSpaceDE w:val="0"/>
              <w:autoSpaceDN w:val="0"/>
              <w:spacing w:before="40" w:after="40"/>
              <w:jc w:val="center"/>
              <w:rPr>
                <w:rFonts w:cs="Times New Roman"/>
                <w:kern w:val="22"/>
                <w:szCs w:val="22"/>
              </w:rPr>
            </w:pPr>
            <w:r w:rsidRPr="00F36625">
              <w:rPr>
                <w:rFonts w:cs="Times New Roman"/>
                <w:kern w:val="22"/>
                <w:szCs w:val="22"/>
              </w:rPr>
              <w:t>1 </w:t>
            </w:r>
            <w:r w:rsidR="00397EDB">
              <w:rPr>
                <w:rFonts w:cs="Times New Roman"/>
                <w:kern w:val="22"/>
                <w:szCs w:val="22"/>
              </w:rPr>
              <w:t>%</w:t>
            </w:r>
          </w:p>
        </w:tc>
      </w:tr>
      <w:tr w:rsidR="00927D8C" w:rsidRPr="00F36625" w14:paraId="2158B0BB" w14:textId="77777777" w:rsidTr="00287D01">
        <w:trPr>
          <w:trHeight w:val="20"/>
          <w:jc w:val="center"/>
        </w:trPr>
        <w:tc>
          <w:tcPr>
            <w:tcW w:w="2687" w:type="dxa"/>
            <w:shd w:val="clear" w:color="auto" w:fill="auto"/>
          </w:tcPr>
          <w:p w14:paraId="0F8CE82E" w14:textId="77777777" w:rsidR="00927D8C" w:rsidRPr="00F36625" w:rsidRDefault="00927D8C" w:rsidP="00287D01">
            <w:pPr>
              <w:keepLines/>
              <w:suppressLineNumbers/>
              <w:suppressAutoHyphens/>
              <w:kinsoku w:val="0"/>
              <w:overflowPunct w:val="0"/>
              <w:autoSpaceDE w:val="0"/>
              <w:autoSpaceDN w:val="0"/>
              <w:spacing w:before="40" w:after="40"/>
              <w:jc w:val="left"/>
              <w:rPr>
                <w:rFonts w:cs="Times New Roman"/>
                <w:kern w:val="22"/>
                <w:szCs w:val="22"/>
              </w:rPr>
            </w:pPr>
            <w:r w:rsidRPr="00F36625">
              <w:rPr>
                <w:rFonts w:cs="Times New Roman"/>
                <w:kern w:val="22"/>
                <w:szCs w:val="22"/>
              </w:rPr>
              <w:t>GIZ</w:t>
            </w:r>
          </w:p>
        </w:tc>
        <w:tc>
          <w:tcPr>
            <w:tcW w:w="952" w:type="dxa"/>
            <w:shd w:val="clear" w:color="auto" w:fill="auto"/>
            <w:noWrap/>
          </w:tcPr>
          <w:p w14:paraId="2BB3E5A8"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1</w:t>
            </w:r>
          </w:p>
        </w:tc>
        <w:tc>
          <w:tcPr>
            <w:tcW w:w="1118" w:type="dxa"/>
            <w:shd w:val="clear" w:color="auto" w:fill="auto"/>
            <w:noWrap/>
          </w:tcPr>
          <w:p w14:paraId="2F7E39AB"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3</w:t>
            </w:r>
          </w:p>
        </w:tc>
        <w:tc>
          <w:tcPr>
            <w:tcW w:w="1116" w:type="dxa"/>
            <w:shd w:val="clear" w:color="auto" w:fill="auto"/>
            <w:noWrap/>
          </w:tcPr>
          <w:p w14:paraId="18773495"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4</w:t>
            </w:r>
          </w:p>
        </w:tc>
        <w:tc>
          <w:tcPr>
            <w:tcW w:w="864" w:type="dxa"/>
            <w:shd w:val="clear" w:color="auto" w:fill="auto"/>
            <w:noWrap/>
          </w:tcPr>
          <w:p w14:paraId="3028FB57"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1</w:t>
            </w:r>
          </w:p>
        </w:tc>
        <w:tc>
          <w:tcPr>
            <w:tcW w:w="810" w:type="dxa"/>
            <w:shd w:val="clear" w:color="auto" w:fill="auto"/>
            <w:noWrap/>
          </w:tcPr>
          <w:p w14:paraId="2F3F0FD3"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1080" w:type="dxa"/>
            <w:shd w:val="clear" w:color="auto" w:fill="auto"/>
            <w:noWrap/>
          </w:tcPr>
          <w:p w14:paraId="214ED59D"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bCs/>
                <w:kern w:val="22"/>
                <w:szCs w:val="22"/>
              </w:rPr>
            </w:pPr>
            <w:r w:rsidRPr="00F36625">
              <w:rPr>
                <w:rFonts w:cs="Times New Roman"/>
                <w:bCs/>
                <w:kern w:val="22"/>
                <w:szCs w:val="22"/>
              </w:rPr>
              <w:t>9</w:t>
            </w:r>
          </w:p>
        </w:tc>
        <w:tc>
          <w:tcPr>
            <w:tcW w:w="1206" w:type="dxa"/>
            <w:shd w:val="clear" w:color="auto" w:fill="auto"/>
            <w:noWrap/>
          </w:tcPr>
          <w:p w14:paraId="6865B835" w14:textId="77777777" w:rsidR="00927D8C" w:rsidRPr="00F36625" w:rsidRDefault="00927D8C" w:rsidP="00397EDB">
            <w:pPr>
              <w:keepLines/>
              <w:suppressLineNumbers/>
              <w:suppressAutoHyphens/>
              <w:kinsoku w:val="0"/>
              <w:overflowPunct w:val="0"/>
              <w:autoSpaceDE w:val="0"/>
              <w:autoSpaceDN w:val="0"/>
              <w:spacing w:before="40" w:after="40"/>
              <w:jc w:val="center"/>
              <w:rPr>
                <w:rFonts w:cs="Times New Roman"/>
                <w:kern w:val="22"/>
                <w:szCs w:val="22"/>
              </w:rPr>
            </w:pPr>
            <w:r w:rsidRPr="00F36625">
              <w:rPr>
                <w:rFonts w:cs="Times New Roman"/>
                <w:kern w:val="22"/>
                <w:szCs w:val="22"/>
              </w:rPr>
              <w:t>9 </w:t>
            </w:r>
            <w:r w:rsidR="00397EDB">
              <w:rPr>
                <w:rFonts w:cs="Times New Roman"/>
                <w:kern w:val="22"/>
                <w:szCs w:val="22"/>
              </w:rPr>
              <w:t>%</w:t>
            </w:r>
          </w:p>
        </w:tc>
      </w:tr>
      <w:tr w:rsidR="00927D8C" w:rsidRPr="00F36625" w14:paraId="3469DC34" w14:textId="77777777" w:rsidTr="00287D01">
        <w:trPr>
          <w:trHeight w:val="20"/>
          <w:jc w:val="center"/>
        </w:trPr>
        <w:tc>
          <w:tcPr>
            <w:tcW w:w="2687" w:type="dxa"/>
            <w:shd w:val="clear" w:color="auto" w:fill="auto"/>
          </w:tcPr>
          <w:p w14:paraId="6280C9DA" w14:textId="77777777" w:rsidR="00927D8C" w:rsidRPr="00F36625" w:rsidRDefault="00927D8C" w:rsidP="00287D01">
            <w:pPr>
              <w:keepLines/>
              <w:suppressLineNumbers/>
              <w:suppressAutoHyphens/>
              <w:kinsoku w:val="0"/>
              <w:overflowPunct w:val="0"/>
              <w:autoSpaceDE w:val="0"/>
              <w:autoSpaceDN w:val="0"/>
              <w:spacing w:before="40" w:after="40"/>
              <w:jc w:val="left"/>
              <w:rPr>
                <w:rFonts w:cs="Times New Roman"/>
                <w:bCs/>
                <w:kern w:val="22"/>
                <w:szCs w:val="22"/>
              </w:rPr>
            </w:pPr>
            <w:r>
              <w:rPr>
                <w:rFonts w:cs="Times New Roman"/>
                <w:kern w:val="22"/>
                <w:szCs w:val="22"/>
              </w:rPr>
              <w:t>IADB</w:t>
            </w:r>
          </w:p>
        </w:tc>
        <w:tc>
          <w:tcPr>
            <w:tcW w:w="952" w:type="dxa"/>
            <w:shd w:val="clear" w:color="auto" w:fill="auto"/>
            <w:noWrap/>
          </w:tcPr>
          <w:p w14:paraId="01CC9AD3"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1118" w:type="dxa"/>
            <w:shd w:val="clear" w:color="auto" w:fill="auto"/>
            <w:noWrap/>
          </w:tcPr>
          <w:p w14:paraId="215C2FF9"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1116" w:type="dxa"/>
            <w:shd w:val="clear" w:color="auto" w:fill="auto"/>
            <w:noWrap/>
          </w:tcPr>
          <w:p w14:paraId="68A93A73"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Pr>
                <w:rFonts w:cs="Times New Roman"/>
                <w:kern w:val="22"/>
                <w:szCs w:val="22"/>
              </w:rPr>
              <w:t>2</w:t>
            </w:r>
          </w:p>
        </w:tc>
        <w:tc>
          <w:tcPr>
            <w:tcW w:w="864" w:type="dxa"/>
            <w:shd w:val="clear" w:color="auto" w:fill="auto"/>
            <w:noWrap/>
          </w:tcPr>
          <w:p w14:paraId="3F343A33"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810" w:type="dxa"/>
            <w:shd w:val="clear" w:color="auto" w:fill="auto"/>
            <w:noWrap/>
          </w:tcPr>
          <w:p w14:paraId="51A989FF"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1080" w:type="dxa"/>
            <w:shd w:val="clear" w:color="auto" w:fill="auto"/>
            <w:noWrap/>
          </w:tcPr>
          <w:p w14:paraId="701FE2CF"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bCs/>
                <w:kern w:val="22"/>
                <w:szCs w:val="22"/>
              </w:rPr>
            </w:pPr>
            <w:r>
              <w:rPr>
                <w:rFonts w:cs="Times New Roman"/>
                <w:bCs/>
                <w:kern w:val="22"/>
                <w:szCs w:val="22"/>
              </w:rPr>
              <w:t>2</w:t>
            </w:r>
          </w:p>
        </w:tc>
        <w:tc>
          <w:tcPr>
            <w:tcW w:w="1206" w:type="dxa"/>
            <w:shd w:val="clear" w:color="auto" w:fill="auto"/>
            <w:noWrap/>
          </w:tcPr>
          <w:p w14:paraId="124D23FA" w14:textId="77777777" w:rsidR="00927D8C" w:rsidRPr="00F36625" w:rsidRDefault="00927D8C" w:rsidP="00397EDB">
            <w:pPr>
              <w:keepLines/>
              <w:suppressLineNumbers/>
              <w:suppressAutoHyphens/>
              <w:kinsoku w:val="0"/>
              <w:overflowPunct w:val="0"/>
              <w:autoSpaceDE w:val="0"/>
              <w:autoSpaceDN w:val="0"/>
              <w:spacing w:before="40" w:after="40"/>
              <w:jc w:val="center"/>
              <w:rPr>
                <w:rFonts w:cs="Times New Roman"/>
                <w:kern w:val="22"/>
                <w:szCs w:val="22"/>
              </w:rPr>
            </w:pPr>
            <w:r w:rsidRPr="00F36625">
              <w:rPr>
                <w:rFonts w:cs="Times New Roman"/>
                <w:kern w:val="22"/>
                <w:szCs w:val="22"/>
              </w:rPr>
              <w:t>1 </w:t>
            </w:r>
            <w:r w:rsidR="00397EDB">
              <w:rPr>
                <w:rFonts w:cs="Times New Roman"/>
                <w:kern w:val="22"/>
                <w:szCs w:val="22"/>
              </w:rPr>
              <w:t>%</w:t>
            </w:r>
          </w:p>
        </w:tc>
      </w:tr>
      <w:tr w:rsidR="00927D8C" w:rsidRPr="00F36625" w14:paraId="3718FDD4" w14:textId="77777777" w:rsidTr="00287D01">
        <w:trPr>
          <w:trHeight w:val="20"/>
          <w:jc w:val="center"/>
        </w:trPr>
        <w:tc>
          <w:tcPr>
            <w:tcW w:w="2687" w:type="dxa"/>
            <w:shd w:val="clear" w:color="auto" w:fill="auto"/>
          </w:tcPr>
          <w:p w14:paraId="5C317B13" w14:textId="77777777" w:rsidR="00927D8C" w:rsidRPr="00F36625" w:rsidRDefault="00927D8C" w:rsidP="00287D01">
            <w:pPr>
              <w:keepLines/>
              <w:suppressLineNumbers/>
              <w:suppressAutoHyphens/>
              <w:kinsoku w:val="0"/>
              <w:overflowPunct w:val="0"/>
              <w:autoSpaceDE w:val="0"/>
              <w:autoSpaceDN w:val="0"/>
              <w:spacing w:before="40" w:after="40"/>
              <w:jc w:val="left"/>
              <w:rPr>
                <w:rFonts w:cs="Times New Roman"/>
                <w:kern w:val="22"/>
                <w:szCs w:val="22"/>
              </w:rPr>
            </w:pPr>
            <w:r w:rsidRPr="00F36625">
              <w:rPr>
                <w:rFonts w:cs="Times New Roman"/>
                <w:kern w:val="22"/>
                <w:szCs w:val="22"/>
              </w:rPr>
              <w:t>IUCN</w:t>
            </w:r>
          </w:p>
        </w:tc>
        <w:tc>
          <w:tcPr>
            <w:tcW w:w="952" w:type="dxa"/>
            <w:shd w:val="clear" w:color="auto" w:fill="auto"/>
            <w:noWrap/>
          </w:tcPr>
          <w:p w14:paraId="714B6CFA"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1118" w:type="dxa"/>
            <w:shd w:val="clear" w:color="auto" w:fill="auto"/>
            <w:noWrap/>
          </w:tcPr>
          <w:p w14:paraId="75A0B44B"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1</w:t>
            </w:r>
          </w:p>
        </w:tc>
        <w:tc>
          <w:tcPr>
            <w:tcW w:w="1116" w:type="dxa"/>
            <w:shd w:val="clear" w:color="auto" w:fill="auto"/>
            <w:noWrap/>
          </w:tcPr>
          <w:p w14:paraId="31319CA7"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864" w:type="dxa"/>
            <w:shd w:val="clear" w:color="auto" w:fill="auto"/>
            <w:noWrap/>
          </w:tcPr>
          <w:p w14:paraId="575392CD"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810" w:type="dxa"/>
            <w:shd w:val="clear" w:color="auto" w:fill="auto"/>
            <w:noWrap/>
          </w:tcPr>
          <w:p w14:paraId="3C339E09"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1080" w:type="dxa"/>
            <w:shd w:val="clear" w:color="auto" w:fill="auto"/>
            <w:noWrap/>
          </w:tcPr>
          <w:p w14:paraId="234297C3"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bCs/>
                <w:kern w:val="22"/>
                <w:szCs w:val="22"/>
              </w:rPr>
            </w:pPr>
            <w:r w:rsidRPr="00F36625">
              <w:rPr>
                <w:rFonts w:cs="Times New Roman"/>
                <w:bCs/>
                <w:kern w:val="22"/>
                <w:szCs w:val="22"/>
              </w:rPr>
              <w:t>1</w:t>
            </w:r>
          </w:p>
        </w:tc>
        <w:tc>
          <w:tcPr>
            <w:tcW w:w="1206" w:type="dxa"/>
            <w:shd w:val="clear" w:color="auto" w:fill="auto"/>
            <w:noWrap/>
          </w:tcPr>
          <w:p w14:paraId="4CC4DB2C" w14:textId="77777777" w:rsidR="00927D8C" w:rsidRPr="00F36625" w:rsidRDefault="00927D8C" w:rsidP="00397EDB">
            <w:pPr>
              <w:keepLines/>
              <w:suppressLineNumbers/>
              <w:suppressAutoHyphens/>
              <w:kinsoku w:val="0"/>
              <w:overflowPunct w:val="0"/>
              <w:autoSpaceDE w:val="0"/>
              <w:autoSpaceDN w:val="0"/>
              <w:spacing w:before="40" w:after="40"/>
              <w:jc w:val="center"/>
              <w:rPr>
                <w:rFonts w:cs="Times New Roman"/>
                <w:kern w:val="22"/>
                <w:szCs w:val="22"/>
              </w:rPr>
            </w:pPr>
            <w:r w:rsidRPr="00F36625">
              <w:rPr>
                <w:rFonts w:cs="Times New Roman"/>
                <w:kern w:val="22"/>
                <w:szCs w:val="22"/>
              </w:rPr>
              <w:t>1 </w:t>
            </w:r>
            <w:r w:rsidR="00397EDB">
              <w:rPr>
                <w:rFonts w:cs="Times New Roman"/>
                <w:kern w:val="22"/>
                <w:szCs w:val="22"/>
              </w:rPr>
              <w:t>%</w:t>
            </w:r>
          </w:p>
        </w:tc>
      </w:tr>
      <w:tr w:rsidR="00927D8C" w:rsidRPr="00F36625" w14:paraId="6F06379E" w14:textId="77777777" w:rsidTr="00287D01">
        <w:trPr>
          <w:trHeight w:val="20"/>
          <w:jc w:val="center"/>
        </w:trPr>
        <w:tc>
          <w:tcPr>
            <w:tcW w:w="2687" w:type="dxa"/>
            <w:shd w:val="clear" w:color="auto" w:fill="auto"/>
          </w:tcPr>
          <w:p w14:paraId="54CE757F" w14:textId="77777777" w:rsidR="00927D8C" w:rsidRPr="00F36625" w:rsidRDefault="00927D8C" w:rsidP="00287D01">
            <w:pPr>
              <w:keepLines/>
              <w:suppressLineNumbers/>
              <w:suppressAutoHyphens/>
              <w:kinsoku w:val="0"/>
              <w:overflowPunct w:val="0"/>
              <w:autoSpaceDE w:val="0"/>
              <w:autoSpaceDN w:val="0"/>
              <w:spacing w:before="40" w:after="40"/>
              <w:jc w:val="left"/>
              <w:rPr>
                <w:rFonts w:cs="Times New Roman"/>
                <w:bCs/>
                <w:kern w:val="22"/>
                <w:szCs w:val="22"/>
              </w:rPr>
            </w:pPr>
            <w:r w:rsidRPr="00F36625">
              <w:rPr>
                <w:rFonts w:cs="Times New Roman"/>
                <w:bCs/>
                <w:kern w:val="22"/>
                <w:szCs w:val="22"/>
              </w:rPr>
              <w:t>JICA/COMIFAC</w:t>
            </w:r>
          </w:p>
        </w:tc>
        <w:tc>
          <w:tcPr>
            <w:tcW w:w="952" w:type="dxa"/>
            <w:shd w:val="clear" w:color="auto" w:fill="auto"/>
            <w:noWrap/>
          </w:tcPr>
          <w:p w14:paraId="0F7E6DEB"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1</w:t>
            </w:r>
          </w:p>
        </w:tc>
        <w:tc>
          <w:tcPr>
            <w:tcW w:w="1118" w:type="dxa"/>
            <w:shd w:val="clear" w:color="auto" w:fill="auto"/>
            <w:noWrap/>
          </w:tcPr>
          <w:p w14:paraId="004B8F9D"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1116" w:type="dxa"/>
            <w:shd w:val="clear" w:color="auto" w:fill="auto"/>
            <w:noWrap/>
          </w:tcPr>
          <w:p w14:paraId="6DD13932"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864" w:type="dxa"/>
            <w:shd w:val="clear" w:color="auto" w:fill="auto"/>
            <w:noWrap/>
          </w:tcPr>
          <w:p w14:paraId="0E8C3817"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810" w:type="dxa"/>
            <w:shd w:val="clear" w:color="auto" w:fill="auto"/>
            <w:noWrap/>
          </w:tcPr>
          <w:p w14:paraId="3450950F"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1080" w:type="dxa"/>
            <w:shd w:val="clear" w:color="auto" w:fill="auto"/>
            <w:noWrap/>
          </w:tcPr>
          <w:p w14:paraId="12733DF6"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bCs/>
                <w:kern w:val="22"/>
                <w:szCs w:val="22"/>
              </w:rPr>
            </w:pPr>
            <w:r w:rsidRPr="00F36625">
              <w:rPr>
                <w:rFonts w:cs="Times New Roman"/>
                <w:bCs/>
                <w:kern w:val="22"/>
                <w:szCs w:val="22"/>
              </w:rPr>
              <w:t>1</w:t>
            </w:r>
          </w:p>
        </w:tc>
        <w:tc>
          <w:tcPr>
            <w:tcW w:w="1206" w:type="dxa"/>
            <w:shd w:val="clear" w:color="auto" w:fill="auto"/>
            <w:noWrap/>
          </w:tcPr>
          <w:p w14:paraId="6A1CD437" w14:textId="77777777" w:rsidR="00927D8C" w:rsidRPr="00F36625" w:rsidRDefault="00927D8C" w:rsidP="00397EDB">
            <w:pPr>
              <w:keepLines/>
              <w:suppressLineNumbers/>
              <w:suppressAutoHyphens/>
              <w:kinsoku w:val="0"/>
              <w:overflowPunct w:val="0"/>
              <w:autoSpaceDE w:val="0"/>
              <w:autoSpaceDN w:val="0"/>
              <w:spacing w:before="40" w:after="40"/>
              <w:jc w:val="center"/>
              <w:rPr>
                <w:rFonts w:cs="Times New Roman"/>
                <w:kern w:val="22"/>
                <w:szCs w:val="22"/>
              </w:rPr>
            </w:pPr>
            <w:r w:rsidRPr="00F36625">
              <w:rPr>
                <w:rFonts w:cs="Times New Roman"/>
                <w:kern w:val="22"/>
                <w:szCs w:val="22"/>
              </w:rPr>
              <w:t>1 </w:t>
            </w:r>
            <w:r w:rsidR="00397EDB">
              <w:rPr>
                <w:rFonts w:cs="Times New Roman"/>
                <w:kern w:val="22"/>
                <w:szCs w:val="22"/>
              </w:rPr>
              <w:t>%</w:t>
            </w:r>
          </w:p>
        </w:tc>
      </w:tr>
      <w:tr w:rsidR="00927D8C" w:rsidRPr="00F36625" w14:paraId="18BD9B98" w14:textId="77777777" w:rsidTr="00287D01">
        <w:trPr>
          <w:trHeight w:val="20"/>
          <w:jc w:val="center"/>
        </w:trPr>
        <w:tc>
          <w:tcPr>
            <w:tcW w:w="2687" w:type="dxa"/>
            <w:shd w:val="clear" w:color="auto" w:fill="auto"/>
          </w:tcPr>
          <w:p w14:paraId="5C9088FB" w14:textId="77777777" w:rsidR="00927D8C" w:rsidRPr="00F36625" w:rsidRDefault="00927D8C" w:rsidP="00287D01">
            <w:pPr>
              <w:keepLines/>
              <w:suppressLineNumbers/>
              <w:suppressAutoHyphens/>
              <w:kinsoku w:val="0"/>
              <w:overflowPunct w:val="0"/>
              <w:autoSpaceDE w:val="0"/>
              <w:autoSpaceDN w:val="0"/>
              <w:spacing w:before="40" w:after="40"/>
              <w:jc w:val="left"/>
              <w:rPr>
                <w:rFonts w:cs="Times New Roman"/>
                <w:bCs/>
                <w:kern w:val="22"/>
                <w:szCs w:val="22"/>
              </w:rPr>
            </w:pPr>
            <w:r w:rsidRPr="00F36625">
              <w:rPr>
                <w:rFonts w:cs="Times New Roman"/>
                <w:bCs/>
                <w:kern w:val="22"/>
                <w:szCs w:val="22"/>
              </w:rPr>
              <w:t>UNCTAD</w:t>
            </w:r>
          </w:p>
        </w:tc>
        <w:tc>
          <w:tcPr>
            <w:tcW w:w="952" w:type="dxa"/>
            <w:shd w:val="clear" w:color="auto" w:fill="auto"/>
            <w:noWrap/>
          </w:tcPr>
          <w:p w14:paraId="2FE3E445"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1118" w:type="dxa"/>
            <w:shd w:val="clear" w:color="auto" w:fill="auto"/>
            <w:noWrap/>
          </w:tcPr>
          <w:p w14:paraId="54B8F1CC"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1116" w:type="dxa"/>
            <w:shd w:val="clear" w:color="auto" w:fill="auto"/>
            <w:noWrap/>
          </w:tcPr>
          <w:p w14:paraId="56210AEE"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864" w:type="dxa"/>
            <w:shd w:val="clear" w:color="auto" w:fill="auto"/>
            <w:noWrap/>
          </w:tcPr>
          <w:p w14:paraId="4CAD34E9"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810" w:type="dxa"/>
            <w:shd w:val="clear" w:color="auto" w:fill="auto"/>
            <w:noWrap/>
          </w:tcPr>
          <w:p w14:paraId="2BD3B06D"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1</w:t>
            </w:r>
          </w:p>
        </w:tc>
        <w:tc>
          <w:tcPr>
            <w:tcW w:w="1080" w:type="dxa"/>
            <w:shd w:val="clear" w:color="auto" w:fill="auto"/>
            <w:noWrap/>
          </w:tcPr>
          <w:p w14:paraId="73242102"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bCs/>
                <w:kern w:val="22"/>
                <w:szCs w:val="22"/>
              </w:rPr>
            </w:pPr>
            <w:r w:rsidRPr="00F36625">
              <w:rPr>
                <w:rFonts w:cs="Times New Roman"/>
                <w:bCs/>
                <w:kern w:val="22"/>
                <w:szCs w:val="22"/>
              </w:rPr>
              <w:t>1</w:t>
            </w:r>
          </w:p>
        </w:tc>
        <w:tc>
          <w:tcPr>
            <w:tcW w:w="1206" w:type="dxa"/>
            <w:shd w:val="clear" w:color="auto" w:fill="auto"/>
            <w:noWrap/>
          </w:tcPr>
          <w:p w14:paraId="4C133AA5" w14:textId="77777777" w:rsidR="00927D8C" w:rsidRPr="00F36625" w:rsidRDefault="00927D8C" w:rsidP="00397EDB">
            <w:pPr>
              <w:keepLines/>
              <w:suppressLineNumbers/>
              <w:suppressAutoHyphens/>
              <w:kinsoku w:val="0"/>
              <w:overflowPunct w:val="0"/>
              <w:autoSpaceDE w:val="0"/>
              <w:autoSpaceDN w:val="0"/>
              <w:spacing w:before="40" w:after="40"/>
              <w:jc w:val="center"/>
              <w:rPr>
                <w:rFonts w:cs="Times New Roman"/>
                <w:kern w:val="22"/>
                <w:szCs w:val="22"/>
              </w:rPr>
            </w:pPr>
            <w:r w:rsidRPr="00F36625">
              <w:rPr>
                <w:rFonts w:cs="Times New Roman"/>
                <w:kern w:val="22"/>
                <w:szCs w:val="22"/>
              </w:rPr>
              <w:t>1 </w:t>
            </w:r>
            <w:r w:rsidR="00397EDB">
              <w:rPr>
                <w:rFonts w:cs="Times New Roman"/>
                <w:kern w:val="22"/>
                <w:szCs w:val="22"/>
              </w:rPr>
              <w:t>%</w:t>
            </w:r>
          </w:p>
        </w:tc>
      </w:tr>
      <w:tr w:rsidR="00927D8C" w:rsidRPr="00F36625" w14:paraId="54930728" w14:textId="77777777" w:rsidTr="00287D01">
        <w:trPr>
          <w:trHeight w:val="20"/>
          <w:jc w:val="center"/>
        </w:trPr>
        <w:tc>
          <w:tcPr>
            <w:tcW w:w="2687" w:type="dxa"/>
            <w:shd w:val="clear" w:color="auto" w:fill="auto"/>
          </w:tcPr>
          <w:p w14:paraId="3D06CCEB" w14:textId="77777777" w:rsidR="00927D8C" w:rsidRPr="00F36625" w:rsidRDefault="00927D8C" w:rsidP="00287D01">
            <w:pPr>
              <w:keepLines/>
              <w:suppressLineNumbers/>
              <w:suppressAutoHyphens/>
              <w:kinsoku w:val="0"/>
              <w:overflowPunct w:val="0"/>
              <w:autoSpaceDE w:val="0"/>
              <w:autoSpaceDN w:val="0"/>
              <w:spacing w:before="40" w:after="40"/>
              <w:jc w:val="left"/>
              <w:rPr>
                <w:rFonts w:cs="Times New Roman"/>
                <w:bCs/>
                <w:kern w:val="22"/>
                <w:szCs w:val="22"/>
              </w:rPr>
            </w:pPr>
            <w:r w:rsidRPr="00F36625">
              <w:rPr>
                <w:rFonts w:cs="Times New Roman"/>
                <w:bCs/>
                <w:kern w:val="22"/>
                <w:szCs w:val="22"/>
              </w:rPr>
              <w:t>UNDP</w:t>
            </w:r>
          </w:p>
        </w:tc>
        <w:tc>
          <w:tcPr>
            <w:tcW w:w="952" w:type="dxa"/>
            <w:shd w:val="clear" w:color="auto" w:fill="auto"/>
            <w:noWrap/>
          </w:tcPr>
          <w:p w14:paraId="48F01DC6"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12</w:t>
            </w:r>
          </w:p>
        </w:tc>
        <w:tc>
          <w:tcPr>
            <w:tcW w:w="1118" w:type="dxa"/>
            <w:shd w:val="clear" w:color="auto" w:fill="auto"/>
            <w:noWrap/>
          </w:tcPr>
          <w:p w14:paraId="3EB31CEE"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13</w:t>
            </w:r>
          </w:p>
        </w:tc>
        <w:tc>
          <w:tcPr>
            <w:tcW w:w="1116" w:type="dxa"/>
            <w:shd w:val="clear" w:color="auto" w:fill="auto"/>
            <w:noWrap/>
          </w:tcPr>
          <w:p w14:paraId="7869B4CB"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8</w:t>
            </w:r>
          </w:p>
        </w:tc>
        <w:tc>
          <w:tcPr>
            <w:tcW w:w="864" w:type="dxa"/>
            <w:shd w:val="clear" w:color="auto" w:fill="auto"/>
            <w:noWrap/>
          </w:tcPr>
          <w:p w14:paraId="0A49C3E3"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810" w:type="dxa"/>
            <w:shd w:val="clear" w:color="auto" w:fill="auto"/>
            <w:noWrap/>
          </w:tcPr>
          <w:p w14:paraId="4AECA3EC"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1</w:t>
            </w:r>
          </w:p>
        </w:tc>
        <w:tc>
          <w:tcPr>
            <w:tcW w:w="1080" w:type="dxa"/>
            <w:shd w:val="clear" w:color="auto" w:fill="auto"/>
            <w:noWrap/>
          </w:tcPr>
          <w:p w14:paraId="73596102"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bCs/>
                <w:kern w:val="22"/>
                <w:szCs w:val="22"/>
              </w:rPr>
            </w:pPr>
            <w:r w:rsidRPr="00F36625">
              <w:rPr>
                <w:rFonts w:cs="Times New Roman"/>
                <w:bCs/>
                <w:kern w:val="22"/>
                <w:szCs w:val="22"/>
              </w:rPr>
              <w:t>34</w:t>
            </w:r>
          </w:p>
        </w:tc>
        <w:tc>
          <w:tcPr>
            <w:tcW w:w="1206" w:type="dxa"/>
            <w:shd w:val="clear" w:color="auto" w:fill="auto"/>
            <w:noWrap/>
          </w:tcPr>
          <w:p w14:paraId="46EB867B" w14:textId="77777777" w:rsidR="00927D8C" w:rsidRPr="00F36625" w:rsidRDefault="00927D8C" w:rsidP="00397EDB">
            <w:pPr>
              <w:keepLines/>
              <w:suppressLineNumbers/>
              <w:suppressAutoHyphens/>
              <w:kinsoku w:val="0"/>
              <w:overflowPunct w:val="0"/>
              <w:autoSpaceDE w:val="0"/>
              <w:autoSpaceDN w:val="0"/>
              <w:spacing w:before="40" w:after="40"/>
              <w:jc w:val="center"/>
              <w:rPr>
                <w:rFonts w:cs="Times New Roman"/>
                <w:kern w:val="22"/>
                <w:szCs w:val="22"/>
              </w:rPr>
            </w:pPr>
            <w:r w:rsidRPr="00F36625">
              <w:rPr>
                <w:rFonts w:cs="Times New Roman"/>
                <w:kern w:val="22"/>
                <w:szCs w:val="22"/>
              </w:rPr>
              <w:t>34 </w:t>
            </w:r>
            <w:r w:rsidR="00397EDB">
              <w:rPr>
                <w:rFonts w:cs="Times New Roman"/>
                <w:kern w:val="22"/>
                <w:szCs w:val="22"/>
              </w:rPr>
              <w:t>%</w:t>
            </w:r>
          </w:p>
        </w:tc>
      </w:tr>
      <w:tr w:rsidR="00927D8C" w:rsidRPr="00F36625" w14:paraId="1566DF7C" w14:textId="77777777" w:rsidTr="00287D01">
        <w:trPr>
          <w:trHeight w:val="20"/>
          <w:jc w:val="center"/>
        </w:trPr>
        <w:tc>
          <w:tcPr>
            <w:tcW w:w="2687" w:type="dxa"/>
            <w:shd w:val="clear" w:color="auto" w:fill="auto"/>
          </w:tcPr>
          <w:p w14:paraId="278667A5" w14:textId="77777777" w:rsidR="00927D8C" w:rsidRPr="00F36625" w:rsidRDefault="00927D8C" w:rsidP="00287D01">
            <w:pPr>
              <w:keepLines/>
              <w:suppressLineNumbers/>
              <w:suppressAutoHyphens/>
              <w:kinsoku w:val="0"/>
              <w:overflowPunct w:val="0"/>
              <w:autoSpaceDE w:val="0"/>
              <w:autoSpaceDN w:val="0"/>
              <w:spacing w:before="40" w:after="40"/>
              <w:jc w:val="left"/>
              <w:rPr>
                <w:rFonts w:cs="Times New Roman"/>
                <w:bCs/>
                <w:kern w:val="22"/>
                <w:szCs w:val="22"/>
              </w:rPr>
            </w:pPr>
            <w:r w:rsidRPr="00F36625">
              <w:rPr>
                <w:rFonts w:cs="Times New Roman"/>
                <w:bCs/>
                <w:kern w:val="22"/>
                <w:szCs w:val="22"/>
              </w:rPr>
              <w:t>UNEP</w:t>
            </w:r>
            <w:r w:rsidRPr="00F36625">
              <w:rPr>
                <w:rStyle w:val="FootnoteReference"/>
                <w:rFonts w:cs="Times New Roman"/>
                <w:bCs/>
                <w:kern w:val="22"/>
                <w:sz w:val="22"/>
                <w:szCs w:val="22"/>
              </w:rPr>
              <w:footnoteReference w:id="13"/>
            </w:r>
          </w:p>
        </w:tc>
        <w:tc>
          <w:tcPr>
            <w:tcW w:w="952" w:type="dxa"/>
            <w:shd w:val="clear" w:color="auto" w:fill="auto"/>
            <w:noWrap/>
          </w:tcPr>
          <w:p w14:paraId="6A42DDCF"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8</w:t>
            </w:r>
          </w:p>
        </w:tc>
        <w:tc>
          <w:tcPr>
            <w:tcW w:w="1118" w:type="dxa"/>
            <w:shd w:val="clear" w:color="auto" w:fill="auto"/>
            <w:noWrap/>
          </w:tcPr>
          <w:p w14:paraId="2244493C"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3</w:t>
            </w:r>
          </w:p>
        </w:tc>
        <w:tc>
          <w:tcPr>
            <w:tcW w:w="1116" w:type="dxa"/>
            <w:shd w:val="clear" w:color="auto" w:fill="auto"/>
            <w:noWrap/>
          </w:tcPr>
          <w:p w14:paraId="30BA4004"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4</w:t>
            </w:r>
          </w:p>
        </w:tc>
        <w:tc>
          <w:tcPr>
            <w:tcW w:w="864" w:type="dxa"/>
            <w:shd w:val="clear" w:color="auto" w:fill="auto"/>
            <w:noWrap/>
          </w:tcPr>
          <w:p w14:paraId="74369C49"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1</w:t>
            </w:r>
          </w:p>
        </w:tc>
        <w:tc>
          <w:tcPr>
            <w:tcW w:w="810" w:type="dxa"/>
            <w:shd w:val="clear" w:color="auto" w:fill="auto"/>
            <w:noWrap/>
          </w:tcPr>
          <w:p w14:paraId="6E169D9E"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1</w:t>
            </w:r>
          </w:p>
        </w:tc>
        <w:tc>
          <w:tcPr>
            <w:tcW w:w="1080" w:type="dxa"/>
            <w:shd w:val="clear" w:color="auto" w:fill="auto"/>
            <w:noWrap/>
          </w:tcPr>
          <w:p w14:paraId="74A9B566"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bCs/>
                <w:kern w:val="22"/>
                <w:szCs w:val="22"/>
              </w:rPr>
            </w:pPr>
            <w:r w:rsidRPr="00F36625">
              <w:rPr>
                <w:rFonts w:cs="Times New Roman"/>
                <w:bCs/>
                <w:kern w:val="22"/>
                <w:szCs w:val="22"/>
              </w:rPr>
              <w:t>17</w:t>
            </w:r>
          </w:p>
        </w:tc>
        <w:tc>
          <w:tcPr>
            <w:tcW w:w="1206" w:type="dxa"/>
            <w:shd w:val="clear" w:color="auto" w:fill="auto"/>
            <w:noWrap/>
          </w:tcPr>
          <w:p w14:paraId="2DA105C3" w14:textId="77777777" w:rsidR="00927D8C" w:rsidRPr="00F36625" w:rsidRDefault="00927D8C" w:rsidP="00397EDB">
            <w:pPr>
              <w:keepLines/>
              <w:suppressLineNumbers/>
              <w:suppressAutoHyphens/>
              <w:kinsoku w:val="0"/>
              <w:overflowPunct w:val="0"/>
              <w:autoSpaceDE w:val="0"/>
              <w:autoSpaceDN w:val="0"/>
              <w:spacing w:before="40" w:after="40"/>
              <w:jc w:val="center"/>
              <w:rPr>
                <w:rFonts w:cs="Times New Roman"/>
                <w:kern w:val="22"/>
                <w:szCs w:val="22"/>
              </w:rPr>
            </w:pPr>
            <w:r w:rsidRPr="00F36625">
              <w:rPr>
                <w:rFonts w:cs="Times New Roman"/>
                <w:kern w:val="22"/>
                <w:szCs w:val="22"/>
              </w:rPr>
              <w:t>20 </w:t>
            </w:r>
            <w:r w:rsidR="00397EDB">
              <w:rPr>
                <w:rFonts w:cs="Times New Roman"/>
                <w:kern w:val="22"/>
                <w:szCs w:val="22"/>
              </w:rPr>
              <w:t>%</w:t>
            </w:r>
          </w:p>
        </w:tc>
      </w:tr>
      <w:tr w:rsidR="00927D8C" w:rsidRPr="00F36625" w14:paraId="29701604" w14:textId="77777777" w:rsidTr="00287D01">
        <w:trPr>
          <w:trHeight w:val="20"/>
          <w:jc w:val="center"/>
        </w:trPr>
        <w:tc>
          <w:tcPr>
            <w:tcW w:w="2687" w:type="dxa"/>
            <w:shd w:val="clear" w:color="auto" w:fill="auto"/>
          </w:tcPr>
          <w:p w14:paraId="26986320" w14:textId="77777777" w:rsidR="00927D8C" w:rsidRPr="00F36625" w:rsidRDefault="00927D8C" w:rsidP="00287D01">
            <w:pPr>
              <w:keepLines/>
              <w:suppressLineNumbers/>
              <w:suppressAutoHyphens/>
              <w:kinsoku w:val="0"/>
              <w:overflowPunct w:val="0"/>
              <w:autoSpaceDE w:val="0"/>
              <w:autoSpaceDN w:val="0"/>
              <w:spacing w:before="40" w:after="40"/>
              <w:jc w:val="left"/>
              <w:rPr>
                <w:rFonts w:cs="Times New Roman"/>
                <w:bCs/>
                <w:kern w:val="22"/>
                <w:szCs w:val="22"/>
              </w:rPr>
            </w:pPr>
            <w:r w:rsidRPr="00F36625">
              <w:rPr>
                <w:rFonts w:cs="Times New Roman"/>
                <w:bCs/>
                <w:kern w:val="22"/>
                <w:szCs w:val="22"/>
              </w:rPr>
              <w:t>UNEP/ABS Initiative</w:t>
            </w:r>
          </w:p>
        </w:tc>
        <w:tc>
          <w:tcPr>
            <w:tcW w:w="952" w:type="dxa"/>
            <w:shd w:val="clear" w:color="auto" w:fill="auto"/>
            <w:noWrap/>
          </w:tcPr>
          <w:p w14:paraId="3F1F9C9D" w14:textId="77777777" w:rsidR="00927D8C" w:rsidRPr="00F36625" w:rsidDel="0089586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1</w:t>
            </w:r>
          </w:p>
        </w:tc>
        <w:tc>
          <w:tcPr>
            <w:tcW w:w="1118" w:type="dxa"/>
            <w:shd w:val="clear" w:color="auto" w:fill="auto"/>
            <w:noWrap/>
          </w:tcPr>
          <w:p w14:paraId="3AC812A5"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1116" w:type="dxa"/>
            <w:shd w:val="clear" w:color="auto" w:fill="auto"/>
            <w:noWrap/>
          </w:tcPr>
          <w:p w14:paraId="28801517"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864" w:type="dxa"/>
            <w:shd w:val="clear" w:color="auto" w:fill="auto"/>
            <w:noWrap/>
          </w:tcPr>
          <w:p w14:paraId="54B5E254"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810" w:type="dxa"/>
            <w:shd w:val="clear" w:color="auto" w:fill="auto"/>
            <w:noWrap/>
          </w:tcPr>
          <w:p w14:paraId="60B89B96"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1080" w:type="dxa"/>
            <w:shd w:val="clear" w:color="auto" w:fill="auto"/>
            <w:noWrap/>
          </w:tcPr>
          <w:p w14:paraId="2535B8FD" w14:textId="77777777" w:rsidR="00927D8C" w:rsidRPr="00F36625" w:rsidDel="00895865" w:rsidRDefault="00927D8C" w:rsidP="00287D01">
            <w:pPr>
              <w:keepLines/>
              <w:suppressLineNumbers/>
              <w:suppressAutoHyphens/>
              <w:kinsoku w:val="0"/>
              <w:overflowPunct w:val="0"/>
              <w:autoSpaceDE w:val="0"/>
              <w:autoSpaceDN w:val="0"/>
              <w:spacing w:before="40" w:after="40"/>
              <w:ind w:right="284"/>
              <w:jc w:val="center"/>
              <w:rPr>
                <w:rFonts w:cs="Times New Roman"/>
                <w:bCs/>
                <w:kern w:val="22"/>
                <w:szCs w:val="22"/>
              </w:rPr>
            </w:pPr>
            <w:r w:rsidRPr="00F36625">
              <w:rPr>
                <w:rFonts w:cs="Times New Roman"/>
                <w:bCs/>
                <w:kern w:val="22"/>
                <w:szCs w:val="22"/>
              </w:rPr>
              <w:t>1</w:t>
            </w:r>
          </w:p>
        </w:tc>
        <w:tc>
          <w:tcPr>
            <w:tcW w:w="1206" w:type="dxa"/>
            <w:shd w:val="clear" w:color="auto" w:fill="auto"/>
            <w:noWrap/>
          </w:tcPr>
          <w:p w14:paraId="1906802E" w14:textId="77777777" w:rsidR="00927D8C" w:rsidRPr="00F36625" w:rsidRDefault="00927D8C" w:rsidP="00397EDB">
            <w:pPr>
              <w:keepLines/>
              <w:suppressLineNumbers/>
              <w:suppressAutoHyphens/>
              <w:kinsoku w:val="0"/>
              <w:overflowPunct w:val="0"/>
              <w:autoSpaceDE w:val="0"/>
              <w:autoSpaceDN w:val="0"/>
              <w:spacing w:before="40" w:after="40"/>
              <w:jc w:val="center"/>
              <w:rPr>
                <w:rFonts w:cs="Times New Roman"/>
                <w:kern w:val="22"/>
                <w:szCs w:val="22"/>
              </w:rPr>
            </w:pPr>
            <w:r w:rsidRPr="00F36625">
              <w:rPr>
                <w:rFonts w:cs="Times New Roman"/>
                <w:kern w:val="22"/>
                <w:szCs w:val="22"/>
              </w:rPr>
              <w:t>1 </w:t>
            </w:r>
            <w:r w:rsidR="00397EDB">
              <w:rPr>
                <w:rFonts w:cs="Times New Roman"/>
                <w:kern w:val="22"/>
                <w:szCs w:val="22"/>
              </w:rPr>
              <w:t>%</w:t>
            </w:r>
          </w:p>
        </w:tc>
      </w:tr>
      <w:tr w:rsidR="00927D8C" w:rsidRPr="00F36625" w14:paraId="37F3346C" w14:textId="77777777" w:rsidTr="00287D01">
        <w:trPr>
          <w:trHeight w:val="20"/>
          <w:jc w:val="center"/>
        </w:trPr>
        <w:tc>
          <w:tcPr>
            <w:tcW w:w="2687" w:type="dxa"/>
            <w:shd w:val="clear" w:color="auto" w:fill="auto"/>
          </w:tcPr>
          <w:p w14:paraId="4C095EDC" w14:textId="77777777" w:rsidR="00927D8C" w:rsidRPr="00F36625" w:rsidRDefault="00927D8C" w:rsidP="00287D01">
            <w:pPr>
              <w:keepLines/>
              <w:suppressLineNumbers/>
              <w:suppressAutoHyphens/>
              <w:kinsoku w:val="0"/>
              <w:overflowPunct w:val="0"/>
              <w:autoSpaceDE w:val="0"/>
              <w:autoSpaceDN w:val="0"/>
              <w:spacing w:before="40" w:after="40"/>
              <w:jc w:val="left"/>
              <w:rPr>
                <w:rFonts w:cs="Times New Roman"/>
                <w:bCs/>
                <w:kern w:val="22"/>
                <w:szCs w:val="22"/>
              </w:rPr>
            </w:pPr>
            <w:r w:rsidRPr="00F36625">
              <w:rPr>
                <w:rFonts w:cs="Times New Roman"/>
                <w:bCs/>
                <w:kern w:val="22"/>
                <w:szCs w:val="22"/>
              </w:rPr>
              <w:t>UNEP/ACB</w:t>
            </w:r>
          </w:p>
        </w:tc>
        <w:tc>
          <w:tcPr>
            <w:tcW w:w="952" w:type="dxa"/>
            <w:shd w:val="clear" w:color="auto" w:fill="auto"/>
            <w:noWrap/>
          </w:tcPr>
          <w:p w14:paraId="1E88FBBC"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1118" w:type="dxa"/>
            <w:shd w:val="clear" w:color="auto" w:fill="auto"/>
            <w:noWrap/>
          </w:tcPr>
          <w:p w14:paraId="082E1EA9"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3</w:t>
            </w:r>
          </w:p>
        </w:tc>
        <w:tc>
          <w:tcPr>
            <w:tcW w:w="1116" w:type="dxa"/>
            <w:shd w:val="clear" w:color="auto" w:fill="auto"/>
            <w:noWrap/>
          </w:tcPr>
          <w:p w14:paraId="6C5AF82F"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864" w:type="dxa"/>
            <w:shd w:val="clear" w:color="auto" w:fill="auto"/>
            <w:noWrap/>
          </w:tcPr>
          <w:p w14:paraId="78F00527"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810" w:type="dxa"/>
            <w:shd w:val="clear" w:color="auto" w:fill="auto"/>
            <w:noWrap/>
          </w:tcPr>
          <w:p w14:paraId="2B02A088"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1080" w:type="dxa"/>
            <w:shd w:val="clear" w:color="auto" w:fill="auto"/>
            <w:noWrap/>
          </w:tcPr>
          <w:p w14:paraId="1ED54285"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bCs/>
                <w:kern w:val="22"/>
                <w:szCs w:val="22"/>
              </w:rPr>
            </w:pPr>
            <w:r w:rsidRPr="00F36625">
              <w:rPr>
                <w:rFonts w:cs="Times New Roman"/>
                <w:bCs/>
                <w:kern w:val="22"/>
                <w:szCs w:val="22"/>
              </w:rPr>
              <w:t>3</w:t>
            </w:r>
          </w:p>
        </w:tc>
        <w:tc>
          <w:tcPr>
            <w:tcW w:w="1206" w:type="dxa"/>
            <w:shd w:val="clear" w:color="auto" w:fill="auto"/>
            <w:noWrap/>
          </w:tcPr>
          <w:p w14:paraId="7665BC3C" w14:textId="77777777" w:rsidR="00927D8C" w:rsidRPr="00F36625" w:rsidRDefault="00927D8C" w:rsidP="00397EDB">
            <w:pPr>
              <w:keepLines/>
              <w:suppressLineNumbers/>
              <w:suppressAutoHyphens/>
              <w:kinsoku w:val="0"/>
              <w:overflowPunct w:val="0"/>
              <w:autoSpaceDE w:val="0"/>
              <w:autoSpaceDN w:val="0"/>
              <w:spacing w:before="40" w:after="40"/>
              <w:jc w:val="center"/>
              <w:rPr>
                <w:rFonts w:cs="Times New Roman"/>
                <w:kern w:val="22"/>
                <w:szCs w:val="22"/>
              </w:rPr>
            </w:pPr>
            <w:r w:rsidRPr="00F36625">
              <w:rPr>
                <w:rFonts w:cs="Times New Roman"/>
                <w:kern w:val="22"/>
                <w:szCs w:val="22"/>
              </w:rPr>
              <w:t>3 </w:t>
            </w:r>
            <w:r w:rsidR="00397EDB">
              <w:rPr>
                <w:rFonts w:cs="Times New Roman"/>
                <w:kern w:val="22"/>
                <w:szCs w:val="22"/>
              </w:rPr>
              <w:t>%</w:t>
            </w:r>
          </w:p>
        </w:tc>
      </w:tr>
      <w:tr w:rsidR="00927D8C" w:rsidRPr="00F36625" w14:paraId="663CA3C2" w14:textId="77777777" w:rsidTr="00287D01">
        <w:trPr>
          <w:trHeight w:val="20"/>
          <w:jc w:val="center"/>
        </w:trPr>
        <w:tc>
          <w:tcPr>
            <w:tcW w:w="2687" w:type="dxa"/>
            <w:shd w:val="clear" w:color="auto" w:fill="auto"/>
          </w:tcPr>
          <w:p w14:paraId="082ED8FF" w14:textId="77777777" w:rsidR="00927D8C" w:rsidRPr="00F36625" w:rsidRDefault="00927D8C" w:rsidP="00287D01">
            <w:pPr>
              <w:keepLines/>
              <w:suppressLineNumbers/>
              <w:suppressAutoHyphens/>
              <w:kinsoku w:val="0"/>
              <w:overflowPunct w:val="0"/>
              <w:autoSpaceDE w:val="0"/>
              <w:autoSpaceDN w:val="0"/>
              <w:spacing w:before="40" w:after="40"/>
              <w:jc w:val="left"/>
              <w:rPr>
                <w:rFonts w:cs="Times New Roman"/>
                <w:bCs/>
                <w:kern w:val="22"/>
                <w:szCs w:val="22"/>
              </w:rPr>
            </w:pPr>
            <w:r w:rsidRPr="00F36625">
              <w:rPr>
                <w:rFonts w:cs="Times New Roman"/>
                <w:bCs/>
                <w:kern w:val="22"/>
                <w:szCs w:val="22"/>
              </w:rPr>
              <w:t>UNEP/IUCN</w:t>
            </w:r>
          </w:p>
        </w:tc>
        <w:tc>
          <w:tcPr>
            <w:tcW w:w="952" w:type="dxa"/>
            <w:shd w:val="clear" w:color="auto" w:fill="auto"/>
            <w:noWrap/>
          </w:tcPr>
          <w:p w14:paraId="0847663D"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1118" w:type="dxa"/>
            <w:shd w:val="clear" w:color="auto" w:fill="auto"/>
            <w:noWrap/>
          </w:tcPr>
          <w:p w14:paraId="3629DD18"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1</w:t>
            </w:r>
          </w:p>
        </w:tc>
        <w:tc>
          <w:tcPr>
            <w:tcW w:w="1116" w:type="dxa"/>
            <w:shd w:val="clear" w:color="auto" w:fill="auto"/>
            <w:noWrap/>
          </w:tcPr>
          <w:p w14:paraId="7F13BEA0"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2</w:t>
            </w:r>
          </w:p>
        </w:tc>
        <w:tc>
          <w:tcPr>
            <w:tcW w:w="864" w:type="dxa"/>
            <w:shd w:val="clear" w:color="auto" w:fill="auto"/>
            <w:noWrap/>
          </w:tcPr>
          <w:p w14:paraId="33850952"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810" w:type="dxa"/>
            <w:shd w:val="clear" w:color="auto" w:fill="auto"/>
            <w:noWrap/>
          </w:tcPr>
          <w:p w14:paraId="11C358BF"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1080" w:type="dxa"/>
            <w:shd w:val="clear" w:color="auto" w:fill="auto"/>
            <w:noWrap/>
          </w:tcPr>
          <w:p w14:paraId="0E305595"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bCs/>
                <w:kern w:val="22"/>
                <w:szCs w:val="22"/>
              </w:rPr>
            </w:pPr>
            <w:r w:rsidRPr="00F36625">
              <w:rPr>
                <w:rFonts w:cs="Times New Roman"/>
                <w:bCs/>
                <w:kern w:val="22"/>
                <w:szCs w:val="22"/>
              </w:rPr>
              <w:t>3</w:t>
            </w:r>
          </w:p>
        </w:tc>
        <w:tc>
          <w:tcPr>
            <w:tcW w:w="1206" w:type="dxa"/>
            <w:shd w:val="clear" w:color="auto" w:fill="auto"/>
            <w:noWrap/>
          </w:tcPr>
          <w:p w14:paraId="6F4FDF76" w14:textId="77777777" w:rsidR="00927D8C" w:rsidRPr="00F36625" w:rsidRDefault="00927D8C" w:rsidP="00397EDB">
            <w:pPr>
              <w:keepLines/>
              <w:suppressLineNumbers/>
              <w:suppressAutoHyphens/>
              <w:kinsoku w:val="0"/>
              <w:overflowPunct w:val="0"/>
              <w:autoSpaceDE w:val="0"/>
              <w:autoSpaceDN w:val="0"/>
              <w:spacing w:before="40" w:after="40"/>
              <w:jc w:val="center"/>
              <w:rPr>
                <w:rFonts w:cs="Times New Roman"/>
                <w:kern w:val="22"/>
                <w:szCs w:val="22"/>
              </w:rPr>
            </w:pPr>
            <w:r w:rsidRPr="00F36625">
              <w:rPr>
                <w:rFonts w:cs="Times New Roman"/>
                <w:kern w:val="22"/>
                <w:szCs w:val="22"/>
              </w:rPr>
              <w:t>3 </w:t>
            </w:r>
            <w:r w:rsidR="00397EDB">
              <w:rPr>
                <w:rFonts w:cs="Times New Roman"/>
                <w:kern w:val="22"/>
                <w:szCs w:val="22"/>
              </w:rPr>
              <w:t>%</w:t>
            </w:r>
          </w:p>
        </w:tc>
      </w:tr>
      <w:tr w:rsidR="00927D8C" w:rsidRPr="002728BF" w14:paraId="18C74889" w14:textId="77777777" w:rsidTr="00287D01">
        <w:trPr>
          <w:trHeight w:val="20"/>
          <w:jc w:val="center"/>
        </w:trPr>
        <w:tc>
          <w:tcPr>
            <w:tcW w:w="2687" w:type="dxa"/>
            <w:shd w:val="clear" w:color="auto" w:fill="auto"/>
          </w:tcPr>
          <w:p w14:paraId="3F6326EA" w14:textId="77777777" w:rsidR="00927D8C" w:rsidRPr="00F36625" w:rsidRDefault="00927D8C" w:rsidP="00287D01">
            <w:pPr>
              <w:keepLines/>
              <w:suppressLineNumbers/>
              <w:suppressAutoHyphens/>
              <w:kinsoku w:val="0"/>
              <w:overflowPunct w:val="0"/>
              <w:autoSpaceDE w:val="0"/>
              <w:autoSpaceDN w:val="0"/>
              <w:spacing w:before="40" w:after="40"/>
              <w:jc w:val="left"/>
              <w:rPr>
                <w:rFonts w:cs="Times New Roman"/>
                <w:bCs/>
                <w:kern w:val="22"/>
                <w:szCs w:val="22"/>
              </w:rPr>
            </w:pPr>
            <w:r w:rsidRPr="00F36625">
              <w:rPr>
                <w:rFonts w:cs="Times New Roman"/>
                <w:bCs/>
                <w:kern w:val="22"/>
                <w:szCs w:val="22"/>
              </w:rPr>
              <w:t>UNEP/SPREP</w:t>
            </w:r>
          </w:p>
        </w:tc>
        <w:tc>
          <w:tcPr>
            <w:tcW w:w="952" w:type="dxa"/>
            <w:shd w:val="clear" w:color="auto" w:fill="auto"/>
            <w:noWrap/>
          </w:tcPr>
          <w:p w14:paraId="59D8A5E4"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1118" w:type="dxa"/>
            <w:shd w:val="clear" w:color="auto" w:fill="auto"/>
            <w:noWrap/>
          </w:tcPr>
          <w:p w14:paraId="6760EF39"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1</w:t>
            </w:r>
          </w:p>
        </w:tc>
        <w:tc>
          <w:tcPr>
            <w:tcW w:w="1116" w:type="dxa"/>
            <w:shd w:val="clear" w:color="auto" w:fill="auto"/>
            <w:noWrap/>
          </w:tcPr>
          <w:p w14:paraId="0CC63DEB"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864" w:type="dxa"/>
            <w:shd w:val="clear" w:color="auto" w:fill="auto"/>
            <w:noWrap/>
          </w:tcPr>
          <w:p w14:paraId="2C421C8A"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810" w:type="dxa"/>
            <w:shd w:val="clear" w:color="auto" w:fill="auto"/>
            <w:noWrap/>
          </w:tcPr>
          <w:p w14:paraId="7F4DAE80"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kern w:val="22"/>
                <w:szCs w:val="22"/>
              </w:rPr>
            </w:pPr>
            <w:r w:rsidRPr="00F36625">
              <w:rPr>
                <w:rFonts w:cs="Times New Roman"/>
                <w:kern w:val="22"/>
                <w:szCs w:val="22"/>
              </w:rPr>
              <w:t>-</w:t>
            </w:r>
          </w:p>
        </w:tc>
        <w:tc>
          <w:tcPr>
            <w:tcW w:w="1080" w:type="dxa"/>
            <w:shd w:val="clear" w:color="auto" w:fill="auto"/>
            <w:noWrap/>
          </w:tcPr>
          <w:p w14:paraId="622C5291" w14:textId="77777777" w:rsidR="00927D8C" w:rsidRPr="00F36625" w:rsidRDefault="00927D8C" w:rsidP="00287D01">
            <w:pPr>
              <w:keepLines/>
              <w:suppressLineNumbers/>
              <w:suppressAutoHyphens/>
              <w:kinsoku w:val="0"/>
              <w:overflowPunct w:val="0"/>
              <w:autoSpaceDE w:val="0"/>
              <w:autoSpaceDN w:val="0"/>
              <w:spacing w:before="40" w:after="40"/>
              <w:ind w:right="284"/>
              <w:jc w:val="center"/>
              <w:rPr>
                <w:rFonts w:cs="Times New Roman"/>
                <w:bCs/>
                <w:kern w:val="22"/>
                <w:szCs w:val="22"/>
              </w:rPr>
            </w:pPr>
            <w:r w:rsidRPr="00F36625">
              <w:rPr>
                <w:rFonts w:cs="Times New Roman"/>
                <w:bCs/>
                <w:kern w:val="22"/>
                <w:szCs w:val="22"/>
              </w:rPr>
              <w:t>1</w:t>
            </w:r>
          </w:p>
        </w:tc>
        <w:tc>
          <w:tcPr>
            <w:tcW w:w="1206" w:type="dxa"/>
            <w:shd w:val="clear" w:color="auto" w:fill="auto"/>
            <w:noWrap/>
          </w:tcPr>
          <w:p w14:paraId="59687E6F" w14:textId="77777777" w:rsidR="00927D8C" w:rsidRPr="00F36625" w:rsidRDefault="00927D8C" w:rsidP="00397EDB">
            <w:pPr>
              <w:keepLines/>
              <w:suppressLineNumbers/>
              <w:suppressAutoHyphens/>
              <w:kinsoku w:val="0"/>
              <w:overflowPunct w:val="0"/>
              <w:autoSpaceDE w:val="0"/>
              <w:autoSpaceDN w:val="0"/>
              <w:spacing w:before="40" w:after="40"/>
              <w:jc w:val="center"/>
              <w:rPr>
                <w:rFonts w:cs="Times New Roman"/>
                <w:kern w:val="22"/>
                <w:szCs w:val="22"/>
              </w:rPr>
            </w:pPr>
            <w:r w:rsidRPr="00F36625">
              <w:rPr>
                <w:rFonts w:cs="Times New Roman"/>
                <w:kern w:val="22"/>
                <w:szCs w:val="22"/>
              </w:rPr>
              <w:t>1 </w:t>
            </w:r>
            <w:r w:rsidR="00397EDB">
              <w:rPr>
                <w:rFonts w:cs="Times New Roman"/>
                <w:kern w:val="22"/>
                <w:szCs w:val="22"/>
              </w:rPr>
              <w:t>%</w:t>
            </w:r>
          </w:p>
        </w:tc>
      </w:tr>
      <w:tr w:rsidR="00927D8C" w:rsidRPr="002728BF" w14:paraId="4FFB7798" w14:textId="77777777" w:rsidTr="00287D01">
        <w:trPr>
          <w:trHeight w:val="20"/>
          <w:jc w:val="center"/>
        </w:trPr>
        <w:tc>
          <w:tcPr>
            <w:tcW w:w="2687" w:type="dxa"/>
            <w:shd w:val="clear" w:color="auto" w:fill="auto"/>
          </w:tcPr>
          <w:p w14:paraId="30366BF0" w14:textId="77777777" w:rsidR="00927D8C" w:rsidRPr="004B62B0" w:rsidRDefault="00927D8C" w:rsidP="00287D01">
            <w:pPr>
              <w:keepLines/>
              <w:suppressLineNumbers/>
              <w:suppressAutoHyphens/>
              <w:kinsoku w:val="0"/>
              <w:overflowPunct w:val="0"/>
              <w:autoSpaceDE w:val="0"/>
              <w:autoSpaceDN w:val="0"/>
              <w:spacing w:before="40" w:after="40"/>
              <w:jc w:val="left"/>
              <w:rPr>
                <w:rFonts w:cs="Times New Roman"/>
                <w:b/>
                <w:bCs/>
                <w:kern w:val="22"/>
                <w:szCs w:val="22"/>
              </w:rPr>
            </w:pPr>
            <w:r w:rsidRPr="004B62B0">
              <w:rPr>
                <w:rFonts w:cs="Times New Roman"/>
                <w:b/>
                <w:bCs/>
                <w:kern w:val="22"/>
                <w:szCs w:val="22"/>
              </w:rPr>
              <w:t>Total</w:t>
            </w:r>
          </w:p>
        </w:tc>
        <w:tc>
          <w:tcPr>
            <w:tcW w:w="952" w:type="dxa"/>
            <w:shd w:val="clear" w:color="auto" w:fill="auto"/>
            <w:noWrap/>
          </w:tcPr>
          <w:p w14:paraId="32D7AA8F" w14:textId="77777777" w:rsidR="00927D8C" w:rsidRPr="004B62B0" w:rsidRDefault="00927D8C" w:rsidP="00287D01">
            <w:pPr>
              <w:keepLines/>
              <w:suppressLineNumbers/>
              <w:suppressAutoHyphens/>
              <w:kinsoku w:val="0"/>
              <w:overflowPunct w:val="0"/>
              <w:autoSpaceDE w:val="0"/>
              <w:autoSpaceDN w:val="0"/>
              <w:spacing w:before="40" w:after="40"/>
              <w:ind w:right="284"/>
              <w:jc w:val="center"/>
              <w:rPr>
                <w:rFonts w:cs="Times New Roman"/>
                <w:b/>
                <w:kern w:val="22"/>
                <w:szCs w:val="22"/>
              </w:rPr>
            </w:pPr>
            <w:r w:rsidRPr="004B62B0">
              <w:rPr>
                <w:rFonts w:cs="Times New Roman"/>
                <w:b/>
                <w:kern w:val="22"/>
                <w:szCs w:val="22"/>
              </w:rPr>
              <w:t>40</w:t>
            </w:r>
          </w:p>
        </w:tc>
        <w:tc>
          <w:tcPr>
            <w:tcW w:w="1118" w:type="dxa"/>
            <w:shd w:val="clear" w:color="auto" w:fill="auto"/>
            <w:noWrap/>
          </w:tcPr>
          <w:p w14:paraId="16B6F7A9" w14:textId="77777777" w:rsidR="00927D8C" w:rsidRPr="004B62B0" w:rsidRDefault="00927D8C" w:rsidP="00287D01">
            <w:pPr>
              <w:keepLines/>
              <w:suppressLineNumbers/>
              <w:suppressAutoHyphens/>
              <w:kinsoku w:val="0"/>
              <w:overflowPunct w:val="0"/>
              <w:autoSpaceDE w:val="0"/>
              <w:autoSpaceDN w:val="0"/>
              <w:spacing w:before="40" w:after="40"/>
              <w:ind w:right="284"/>
              <w:jc w:val="center"/>
              <w:rPr>
                <w:rFonts w:cs="Times New Roman"/>
                <w:b/>
                <w:kern w:val="22"/>
                <w:szCs w:val="22"/>
              </w:rPr>
            </w:pPr>
            <w:r w:rsidRPr="004B62B0">
              <w:rPr>
                <w:rFonts w:cs="Times New Roman"/>
                <w:b/>
                <w:kern w:val="22"/>
                <w:szCs w:val="22"/>
              </w:rPr>
              <w:t>3</w:t>
            </w:r>
            <w:r>
              <w:rPr>
                <w:rFonts w:cs="Times New Roman"/>
                <w:b/>
                <w:kern w:val="22"/>
                <w:szCs w:val="22"/>
              </w:rPr>
              <w:t>1</w:t>
            </w:r>
          </w:p>
        </w:tc>
        <w:tc>
          <w:tcPr>
            <w:tcW w:w="1116" w:type="dxa"/>
            <w:shd w:val="clear" w:color="auto" w:fill="auto"/>
            <w:noWrap/>
          </w:tcPr>
          <w:p w14:paraId="0447BB5B" w14:textId="77777777" w:rsidR="00927D8C" w:rsidRPr="004B62B0" w:rsidRDefault="00927D8C" w:rsidP="00287D01">
            <w:pPr>
              <w:keepLines/>
              <w:suppressLineNumbers/>
              <w:suppressAutoHyphens/>
              <w:kinsoku w:val="0"/>
              <w:overflowPunct w:val="0"/>
              <w:autoSpaceDE w:val="0"/>
              <w:autoSpaceDN w:val="0"/>
              <w:spacing w:before="40" w:after="40"/>
              <w:ind w:right="284"/>
              <w:jc w:val="center"/>
              <w:rPr>
                <w:rFonts w:cs="Times New Roman"/>
                <w:b/>
                <w:kern w:val="22"/>
                <w:szCs w:val="22"/>
              </w:rPr>
            </w:pPr>
            <w:r w:rsidRPr="004B62B0">
              <w:rPr>
                <w:rFonts w:cs="Times New Roman"/>
                <w:b/>
                <w:kern w:val="22"/>
                <w:szCs w:val="22"/>
              </w:rPr>
              <w:t>2</w:t>
            </w:r>
            <w:r>
              <w:rPr>
                <w:rFonts w:cs="Times New Roman"/>
                <w:b/>
                <w:kern w:val="22"/>
                <w:szCs w:val="22"/>
              </w:rPr>
              <w:t>3</w:t>
            </w:r>
          </w:p>
        </w:tc>
        <w:tc>
          <w:tcPr>
            <w:tcW w:w="864" w:type="dxa"/>
            <w:shd w:val="clear" w:color="auto" w:fill="auto"/>
            <w:noWrap/>
          </w:tcPr>
          <w:p w14:paraId="4EEB44EF" w14:textId="77777777" w:rsidR="00927D8C" w:rsidRPr="004B62B0" w:rsidRDefault="00927D8C" w:rsidP="00287D01">
            <w:pPr>
              <w:keepLines/>
              <w:suppressLineNumbers/>
              <w:suppressAutoHyphens/>
              <w:kinsoku w:val="0"/>
              <w:overflowPunct w:val="0"/>
              <w:autoSpaceDE w:val="0"/>
              <w:autoSpaceDN w:val="0"/>
              <w:spacing w:before="40" w:after="40"/>
              <w:ind w:right="284"/>
              <w:jc w:val="center"/>
              <w:rPr>
                <w:rFonts w:cs="Times New Roman"/>
                <w:b/>
                <w:kern w:val="22"/>
                <w:szCs w:val="22"/>
              </w:rPr>
            </w:pPr>
            <w:r w:rsidRPr="004B62B0">
              <w:rPr>
                <w:rFonts w:cs="Times New Roman"/>
                <w:b/>
                <w:kern w:val="22"/>
                <w:szCs w:val="22"/>
              </w:rPr>
              <w:t>2</w:t>
            </w:r>
          </w:p>
        </w:tc>
        <w:tc>
          <w:tcPr>
            <w:tcW w:w="810" w:type="dxa"/>
            <w:shd w:val="clear" w:color="auto" w:fill="auto"/>
            <w:noWrap/>
          </w:tcPr>
          <w:p w14:paraId="32C06B7A" w14:textId="77777777" w:rsidR="00927D8C" w:rsidRPr="004B62B0" w:rsidRDefault="00927D8C" w:rsidP="00287D01">
            <w:pPr>
              <w:keepLines/>
              <w:suppressLineNumbers/>
              <w:suppressAutoHyphens/>
              <w:kinsoku w:val="0"/>
              <w:overflowPunct w:val="0"/>
              <w:autoSpaceDE w:val="0"/>
              <w:autoSpaceDN w:val="0"/>
              <w:spacing w:before="40" w:after="40"/>
              <w:ind w:right="284"/>
              <w:jc w:val="center"/>
              <w:rPr>
                <w:rFonts w:cs="Times New Roman"/>
                <w:b/>
                <w:kern w:val="22"/>
                <w:szCs w:val="22"/>
              </w:rPr>
            </w:pPr>
            <w:r>
              <w:rPr>
                <w:rFonts w:cs="Times New Roman"/>
                <w:b/>
                <w:kern w:val="22"/>
                <w:szCs w:val="22"/>
              </w:rPr>
              <w:t>3</w:t>
            </w:r>
          </w:p>
        </w:tc>
        <w:tc>
          <w:tcPr>
            <w:tcW w:w="1080" w:type="dxa"/>
            <w:shd w:val="clear" w:color="auto" w:fill="auto"/>
            <w:noWrap/>
          </w:tcPr>
          <w:p w14:paraId="1AE7FB51" w14:textId="77777777" w:rsidR="00927D8C" w:rsidRPr="004B62B0" w:rsidRDefault="00927D8C" w:rsidP="00287D01">
            <w:pPr>
              <w:keepLines/>
              <w:suppressLineNumbers/>
              <w:suppressAutoHyphens/>
              <w:kinsoku w:val="0"/>
              <w:overflowPunct w:val="0"/>
              <w:autoSpaceDE w:val="0"/>
              <w:autoSpaceDN w:val="0"/>
              <w:spacing w:before="40" w:after="40"/>
              <w:ind w:right="284"/>
              <w:jc w:val="center"/>
              <w:rPr>
                <w:rFonts w:cs="Times New Roman"/>
                <w:b/>
                <w:bCs/>
                <w:kern w:val="22"/>
                <w:szCs w:val="22"/>
              </w:rPr>
            </w:pPr>
            <w:r w:rsidRPr="004B62B0">
              <w:rPr>
                <w:rFonts w:cs="Times New Roman"/>
                <w:b/>
                <w:bCs/>
                <w:kern w:val="22"/>
                <w:szCs w:val="22"/>
              </w:rPr>
              <w:t>9</w:t>
            </w:r>
            <w:r>
              <w:rPr>
                <w:rFonts w:cs="Times New Roman"/>
                <w:b/>
                <w:bCs/>
                <w:kern w:val="22"/>
                <w:szCs w:val="22"/>
              </w:rPr>
              <w:t>9</w:t>
            </w:r>
          </w:p>
        </w:tc>
        <w:tc>
          <w:tcPr>
            <w:tcW w:w="1206" w:type="dxa"/>
            <w:shd w:val="clear" w:color="auto" w:fill="auto"/>
            <w:noWrap/>
          </w:tcPr>
          <w:p w14:paraId="50A11DA7" w14:textId="77777777" w:rsidR="00927D8C" w:rsidRPr="004B62B0" w:rsidRDefault="00927D8C" w:rsidP="00397EDB">
            <w:pPr>
              <w:keepLines/>
              <w:suppressLineNumbers/>
              <w:suppressAutoHyphens/>
              <w:kinsoku w:val="0"/>
              <w:overflowPunct w:val="0"/>
              <w:autoSpaceDE w:val="0"/>
              <w:autoSpaceDN w:val="0"/>
              <w:spacing w:before="40" w:after="40"/>
              <w:jc w:val="center"/>
              <w:rPr>
                <w:rFonts w:cs="Times New Roman"/>
                <w:b/>
                <w:spacing w:val="-14"/>
                <w:kern w:val="22"/>
                <w:szCs w:val="22"/>
              </w:rPr>
            </w:pPr>
            <w:r w:rsidRPr="004B62B0">
              <w:rPr>
                <w:rFonts w:cs="Times New Roman"/>
                <w:b/>
                <w:spacing w:val="-14"/>
                <w:kern w:val="22"/>
                <w:szCs w:val="22"/>
              </w:rPr>
              <w:t>100 </w:t>
            </w:r>
            <w:r w:rsidR="00397EDB">
              <w:rPr>
                <w:rFonts w:cs="Times New Roman"/>
                <w:kern w:val="22"/>
                <w:szCs w:val="22"/>
              </w:rPr>
              <w:t>%</w:t>
            </w:r>
          </w:p>
        </w:tc>
      </w:tr>
    </w:tbl>
    <w:p w14:paraId="7D27D995" w14:textId="77777777" w:rsidR="00397EDB" w:rsidRDefault="00397EDB" w:rsidP="00927D8C">
      <w:pPr>
        <w:pStyle w:val="Para1"/>
        <w:keepNext/>
        <w:numPr>
          <w:ilvl w:val="0"/>
          <w:numId w:val="0"/>
        </w:numPr>
        <w:suppressLineNumbers/>
        <w:suppressAutoHyphens/>
        <w:kinsoku w:val="0"/>
        <w:overflowPunct w:val="0"/>
        <w:autoSpaceDE w:val="0"/>
        <w:autoSpaceDN w:val="0"/>
        <w:spacing w:after="0"/>
        <w:jc w:val="center"/>
        <w:rPr>
          <w:rFonts w:cs="Times New Roman"/>
          <w:i/>
          <w:snapToGrid/>
          <w:kern w:val="22"/>
          <w:szCs w:val="22"/>
          <w:lang w:eastAsia="ko-KR"/>
        </w:rPr>
      </w:pPr>
    </w:p>
    <w:p w14:paraId="7CD32163" w14:textId="77777777" w:rsidR="00927D8C" w:rsidRPr="00927D8C" w:rsidRDefault="00927D8C" w:rsidP="0009641F">
      <w:pPr>
        <w:pStyle w:val="Para1"/>
        <w:keepNext/>
        <w:numPr>
          <w:ilvl w:val="0"/>
          <w:numId w:val="0"/>
        </w:numPr>
        <w:suppressLineNumbers/>
        <w:suppressAutoHyphens/>
        <w:kinsoku w:val="0"/>
        <w:overflowPunct w:val="0"/>
        <w:autoSpaceDE w:val="0"/>
        <w:autoSpaceDN w:val="0"/>
        <w:jc w:val="center"/>
        <w:rPr>
          <w:rFonts w:cs="Times New Roman"/>
          <w:i/>
          <w:snapToGrid/>
          <w:kern w:val="22"/>
          <w:szCs w:val="22"/>
          <w:lang w:eastAsia="ko-KR"/>
        </w:rPr>
      </w:pPr>
      <w:r>
        <w:rPr>
          <w:rFonts w:cs="Times New Roman"/>
          <w:i/>
          <w:snapToGrid/>
          <w:kern w:val="22"/>
          <w:szCs w:val="22"/>
          <w:lang w:eastAsia="ko-KR"/>
        </w:rPr>
        <w:t>8.</w:t>
      </w:r>
      <w:r>
        <w:rPr>
          <w:rFonts w:cs="Times New Roman"/>
          <w:i/>
          <w:snapToGrid/>
          <w:kern w:val="22"/>
          <w:szCs w:val="22"/>
          <w:lang w:eastAsia="ko-KR"/>
        </w:rPr>
        <w:tab/>
      </w:r>
      <w:r w:rsidRPr="00927D8C">
        <w:rPr>
          <w:rFonts w:cs="Times New Roman"/>
          <w:i/>
          <w:snapToGrid/>
          <w:kern w:val="22"/>
          <w:szCs w:val="22"/>
          <w:lang w:eastAsia="ko-KR"/>
        </w:rPr>
        <w:t>Analysis of information on capacity-building initiatives published in the ABS Clearing-House</w:t>
      </w:r>
    </w:p>
    <w:p w14:paraId="4AB4C155" w14:textId="646B5D16" w:rsidR="00927D8C" w:rsidRPr="0009641F" w:rsidRDefault="00927D8C" w:rsidP="006255E2">
      <w:pPr>
        <w:pStyle w:val="Para1"/>
        <w:numPr>
          <w:ilvl w:val="0"/>
          <w:numId w:val="18"/>
        </w:numPr>
        <w:pBdr>
          <w:top w:val="nil"/>
          <w:left w:val="nil"/>
          <w:bottom w:val="nil"/>
          <w:right w:val="nil"/>
          <w:between w:val="nil"/>
          <w:bar w:val="nil"/>
        </w:pBdr>
        <w:ind w:left="0" w:firstLine="0"/>
        <w:rPr>
          <w:rFonts w:cs="Times New Roman"/>
          <w:snapToGrid/>
          <w:kern w:val="22"/>
          <w:szCs w:val="22"/>
          <w:lang w:eastAsia="ko-KR"/>
        </w:rPr>
      </w:pPr>
      <w:r w:rsidRPr="0009641F">
        <w:rPr>
          <w:rFonts w:cs="Times New Roman"/>
          <w:snapToGrid/>
          <w:kern w:val="22"/>
          <w:szCs w:val="22"/>
          <w:lang w:eastAsia="ko-KR"/>
        </w:rPr>
        <w:t xml:space="preserve">As of </w:t>
      </w:r>
      <w:r w:rsidRPr="0009641F">
        <w:rPr>
          <w:rFonts w:cs="Times New Roman"/>
          <w:snapToGrid/>
          <w:kern w:val="22"/>
          <w:szCs w:val="22"/>
        </w:rPr>
        <w:t>23</w:t>
      </w:r>
      <w:r w:rsidRPr="0009641F">
        <w:rPr>
          <w:rFonts w:cs="Times New Roman"/>
          <w:snapToGrid/>
          <w:kern w:val="22"/>
          <w:szCs w:val="22"/>
          <w:lang w:eastAsia="ko-KR"/>
        </w:rPr>
        <w:t xml:space="preserve"> August 2019, </w:t>
      </w:r>
      <w:r w:rsidR="00D141AE" w:rsidRPr="0009641F">
        <w:rPr>
          <w:rFonts w:cs="Times New Roman"/>
          <w:snapToGrid/>
          <w:kern w:val="22"/>
          <w:szCs w:val="22"/>
          <w:lang w:eastAsia="ko-KR"/>
        </w:rPr>
        <w:t>79</w:t>
      </w:r>
      <w:r w:rsidRPr="0009641F">
        <w:rPr>
          <w:rFonts w:cs="Times New Roman"/>
          <w:snapToGrid/>
          <w:kern w:val="22"/>
          <w:szCs w:val="22"/>
          <w:lang w:eastAsia="ko-KR"/>
        </w:rPr>
        <w:t xml:space="preserve"> records in the ABS Clearing</w:t>
      </w:r>
      <w:r w:rsidR="008462E5" w:rsidRPr="0009641F">
        <w:rPr>
          <w:rFonts w:cs="Times New Roman"/>
          <w:snapToGrid/>
          <w:kern w:val="22"/>
          <w:szCs w:val="22"/>
          <w:lang w:eastAsia="ko-KR"/>
        </w:rPr>
        <w:t>-</w:t>
      </w:r>
      <w:r w:rsidRPr="0009641F">
        <w:rPr>
          <w:rFonts w:cs="Times New Roman"/>
          <w:snapToGrid/>
          <w:kern w:val="22"/>
          <w:szCs w:val="22"/>
          <w:lang w:eastAsia="ko-KR"/>
        </w:rPr>
        <w:t>House have been published under “</w:t>
      </w:r>
      <w:r w:rsidRPr="0009641F">
        <w:rPr>
          <w:rFonts w:cs="Times New Roman"/>
          <w:iCs/>
          <w:snapToGrid/>
          <w:kern w:val="22"/>
          <w:szCs w:val="22"/>
          <w:lang w:eastAsia="ko-KR"/>
        </w:rPr>
        <w:t>capacity</w:t>
      </w:r>
      <w:r w:rsidRPr="0009641F">
        <w:rPr>
          <w:rFonts w:cs="Times New Roman"/>
          <w:iCs/>
          <w:snapToGrid/>
          <w:kern w:val="22"/>
          <w:szCs w:val="22"/>
          <w:lang w:eastAsia="ko-KR"/>
        </w:rPr>
        <w:noBreakHyphen/>
        <w:t>building initiatives”.</w:t>
      </w:r>
      <w:r w:rsidRPr="0009641F">
        <w:rPr>
          <w:rFonts w:cs="Times New Roman"/>
          <w:snapToGrid/>
          <w:kern w:val="22"/>
          <w:szCs w:val="22"/>
          <w:lang w:eastAsia="ko-KR"/>
        </w:rPr>
        <w:t xml:space="preserve"> </w:t>
      </w:r>
      <w:proofErr w:type="gramStart"/>
      <w:r w:rsidRPr="0009641F">
        <w:rPr>
          <w:rFonts w:cs="Times New Roman"/>
          <w:snapToGrid/>
          <w:kern w:val="22"/>
          <w:szCs w:val="22"/>
          <w:lang w:eastAsia="ko-KR"/>
        </w:rPr>
        <w:t>With regard to</w:t>
      </w:r>
      <w:proofErr w:type="gramEnd"/>
      <w:r w:rsidRPr="0009641F">
        <w:rPr>
          <w:rFonts w:cs="Times New Roman"/>
          <w:snapToGrid/>
          <w:kern w:val="22"/>
          <w:szCs w:val="22"/>
          <w:lang w:eastAsia="ko-KR"/>
        </w:rPr>
        <w:t xml:space="preserve"> projects or programmes exclusively dedicated to ABS, there are 48 records in the ABS Clearing-House. Of these, 34 have been classified as national projects, 9 as regional/</w:t>
      </w:r>
      <w:proofErr w:type="spellStart"/>
      <w:r w:rsidRPr="0009641F">
        <w:rPr>
          <w:rFonts w:cs="Times New Roman"/>
          <w:snapToGrid/>
          <w:kern w:val="22"/>
          <w:szCs w:val="22"/>
          <w:lang w:eastAsia="ko-KR"/>
        </w:rPr>
        <w:t>subregional</w:t>
      </w:r>
      <w:proofErr w:type="spellEnd"/>
      <w:r w:rsidRPr="0009641F">
        <w:rPr>
          <w:rFonts w:cs="Times New Roman"/>
          <w:snapToGrid/>
          <w:kern w:val="22"/>
          <w:szCs w:val="22"/>
          <w:lang w:eastAsia="ko-KR"/>
        </w:rPr>
        <w:t xml:space="preserve"> and 4 are global. Finally, there are </w:t>
      </w:r>
      <w:r w:rsidR="00591AC0" w:rsidRPr="0009641F">
        <w:rPr>
          <w:rFonts w:cs="Times New Roman"/>
          <w:snapToGrid/>
          <w:kern w:val="22"/>
          <w:szCs w:val="22"/>
          <w:lang w:eastAsia="ko-KR"/>
        </w:rPr>
        <w:t>30</w:t>
      </w:r>
      <w:r w:rsidRPr="0009641F">
        <w:rPr>
          <w:rFonts w:cs="Times New Roman"/>
          <w:snapToGrid/>
          <w:kern w:val="22"/>
          <w:szCs w:val="22"/>
          <w:lang w:eastAsia="ko-KR"/>
        </w:rPr>
        <w:t xml:space="preserve"> records that are classified as an ABS component</w:t>
      </w:r>
      <w:r w:rsidR="00552B71" w:rsidRPr="0009641F">
        <w:rPr>
          <w:rFonts w:cs="Times New Roman"/>
          <w:snapToGrid/>
          <w:kern w:val="22"/>
          <w:szCs w:val="22"/>
          <w:lang w:eastAsia="ko-KR"/>
        </w:rPr>
        <w:t xml:space="preserve"> or activity of a broader capacity-building initiative</w:t>
      </w:r>
      <w:r w:rsidR="00B31F05" w:rsidRPr="0009641F">
        <w:rPr>
          <w:rFonts w:cs="Times New Roman"/>
          <w:snapToGrid/>
          <w:kern w:val="22"/>
          <w:szCs w:val="22"/>
          <w:lang w:eastAsia="ko-KR"/>
        </w:rPr>
        <w:t xml:space="preserve"> and another 2 as </w:t>
      </w:r>
      <w:r w:rsidR="007C26D4" w:rsidRPr="0009641F">
        <w:rPr>
          <w:rFonts w:cs="Times New Roman"/>
          <w:snapToGrid/>
          <w:kern w:val="22"/>
          <w:szCs w:val="22"/>
          <w:lang w:eastAsia="ko-KR"/>
        </w:rPr>
        <w:t>standalone</w:t>
      </w:r>
      <w:r w:rsidR="00B31F05" w:rsidRPr="0009641F">
        <w:rPr>
          <w:rFonts w:cs="Times New Roman"/>
          <w:snapToGrid/>
          <w:kern w:val="22"/>
          <w:szCs w:val="22"/>
          <w:lang w:eastAsia="ko-KR"/>
        </w:rPr>
        <w:t xml:space="preserve"> activities</w:t>
      </w:r>
      <w:r w:rsidRPr="0009641F">
        <w:rPr>
          <w:rFonts w:cs="Times New Roman"/>
          <w:snapToGrid/>
          <w:kern w:val="22"/>
          <w:szCs w:val="22"/>
          <w:lang w:eastAsia="ko-KR"/>
        </w:rPr>
        <w:t>. It is worth noting that almost 94 per cent of the national</w:t>
      </w:r>
      <w:r w:rsidR="00D74F20" w:rsidRPr="0009641F">
        <w:rPr>
          <w:rFonts w:cs="Times New Roman"/>
          <w:snapToGrid/>
          <w:kern w:val="22"/>
          <w:szCs w:val="22"/>
          <w:lang w:eastAsia="ko-KR"/>
        </w:rPr>
        <w:t xml:space="preserve"> </w:t>
      </w:r>
      <w:r w:rsidRPr="0009641F">
        <w:rPr>
          <w:rFonts w:cs="Times New Roman"/>
          <w:snapToGrid/>
          <w:kern w:val="22"/>
          <w:szCs w:val="22"/>
          <w:lang w:eastAsia="ko-KR"/>
        </w:rPr>
        <w:t>projects report they are being co-funded using national budget allocations.</w:t>
      </w:r>
    </w:p>
    <w:p w14:paraId="1369C927" w14:textId="53632B15" w:rsidR="00927D8C" w:rsidRPr="00E43FFF" w:rsidRDefault="00927D8C" w:rsidP="006255E2">
      <w:pPr>
        <w:pStyle w:val="Para1"/>
        <w:numPr>
          <w:ilvl w:val="0"/>
          <w:numId w:val="18"/>
        </w:numPr>
        <w:pBdr>
          <w:top w:val="nil"/>
          <w:left w:val="nil"/>
          <w:bottom w:val="nil"/>
          <w:right w:val="nil"/>
          <w:between w:val="nil"/>
          <w:bar w:val="nil"/>
        </w:pBdr>
        <w:ind w:left="0" w:firstLine="0"/>
        <w:rPr>
          <w:rFonts w:cs="Times New Roman"/>
          <w:snapToGrid/>
          <w:kern w:val="22"/>
          <w:szCs w:val="22"/>
          <w:lang w:eastAsia="ko-KR"/>
        </w:rPr>
      </w:pPr>
      <w:r w:rsidRPr="00E43FFF">
        <w:rPr>
          <w:rFonts w:cs="Times New Roman"/>
          <w:snapToGrid/>
          <w:kern w:val="22"/>
          <w:szCs w:val="22"/>
          <w:lang w:eastAsia="ko-KR"/>
        </w:rPr>
        <w:t xml:space="preserve">The </w:t>
      </w:r>
      <w:r w:rsidRPr="00E43FFF">
        <w:rPr>
          <w:rFonts w:cs="Times New Roman"/>
          <w:snapToGrid/>
          <w:kern w:val="22"/>
          <w:szCs w:val="22"/>
        </w:rPr>
        <w:t>analysis</w:t>
      </w:r>
      <w:r w:rsidRPr="00E43FFF">
        <w:rPr>
          <w:rFonts w:cs="Times New Roman"/>
          <w:snapToGrid/>
          <w:kern w:val="22"/>
          <w:szCs w:val="22"/>
          <w:lang w:eastAsia="ko-KR"/>
        </w:rPr>
        <w:t xml:space="preserve"> of the information recorded in the ABS Clearing-House has limitations due to missing information and the lack of timely updates.</w:t>
      </w:r>
    </w:p>
    <w:p w14:paraId="5C568687" w14:textId="1E78A5E4" w:rsidR="00927D8C" w:rsidRPr="00E43FFF" w:rsidRDefault="00927D8C" w:rsidP="006255E2">
      <w:pPr>
        <w:pStyle w:val="Para1"/>
        <w:numPr>
          <w:ilvl w:val="0"/>
          <w:numId w:val="18"/>
        </w:numPr>
        <w:pBdr>
          <w:top w:val="nil"/>
          <w:left w:val="nil"/>
          <w:bottom w:val="nil"/>
          <w:right w:val="nil"/>
          <w:between w:val="nil"/>
          <w:bar w:val="nil"/>
        </w:pBdr>
        <w:ind w:left="0" w:firstLine="0"/>
        <w:rPr>
          <w:rFonts w:cs="Times New Roman"/>
          <w:snapToGrid/>
          <w:kern w:val="22"/>
          <w:szCs w:val="22"/>
          <w:lang w:eastAsia="ko-KR"/>
        </w:rPr>
      </w:pPr>
      <w:r w:rsidRPr="00E43FFF">
        <w:rPr>
          <w:rFonts w:cs="Times New Roman"/>
          <w:snapToGrid/>
          <w:kern w:val="22"/>
          <w:szCs w:val="22"/>
          <w:lang w:eastAsia="ko-KR"/>
        </w:rPr>
        <w:t xml:space="preserve">During </w:t>
      </w:r>
      <w:r w:rsidRPr="00E43FFF">
        <w:rPr>
          <w:rFonts w:cs="Times New Roman"/>
          <w:snapToGrid/>
          <w:kern w:val="22"/>
          <w:szCs w:val="22"/>
        </w:rPr>
        <w:t>the</w:t>
      </w:r>
      <w:r w:rsidRPr="00E43FFF">
        <w:rPr>
          <w:rFonts w:cs="Times New Roman"/>
          <w:snapToGrid/>
          <w:kern w:val="22"/>
          <w:szCs w:val="22"/>
          <w:lang w:eastAsia="ko-KR"/>
        </w:rPr>
        <w:t xml:space="preserve"> third </w:t>
      </w:r>
      <w:r w:rsidR="006F2260">
        <w:rPr>
          <w:rFonts w:cs="Times New Roman"/>
          <w:snapToGrid/>
          <w:kern w:val="22"/>
          <w:szCs w:val="22"/>
          <w:lang w:eastAsia="ko-KR"/>
        </w:rPr>
        <w:t xml:space="preserve">meeting of the </w:t>
      </w:r>
      <w:r w:rsidRPr="00E43FFF">
        <w:rPr>
          <w:rFonts w:cs="Times New Roman"/>
          <w:snapToGrid/>
          <w:kern w:val="22"/>
          <w:szCs w:val="22"/>
          <w:lang w:eastAsia="ko-KR"/>
        </w:rPr>
        <w:t xml:space="preserve">Informal Advisory Committee meeting these challenges were discussed and </w:t>
      </w:r>
      <w:r w:rsidR="006A2DA5">
        <w:rPr>
          <w:rFonts w:cs="Times New Roman"/>
          <w:snapToGrid/>
          <w:kern w:val="22"/>
          <w:szCs w:val="22"/>
          <w:lang w:eastAsia="ko-KR"/>
        </w:rPr>
        <w:t>several suggestions were made to address the situation. In addition to sending regular reminders to the users of the ABS Clearing-House to update information the following recommendations continue to be relevant:</w:t>
      </w:r>
    </w:p>
    <w:p w14:paraId="7E73CD12" w14:textId="77777777" w:rsidR="00927D8C" w:rsidRPr="00E43FFF" w:rsidRDefault="00927D8C" w:rsidP="0009641F">
      <w:pPr>
        <w:pStyle w:val="Para1"/>
        <w:numPr>
          <w:ilvl w:val="0"/>
          <w:numId w:val="0"/>
        </w:numPr>
        <w:suppressLineNumbers/>
        <w:pBdr>
          <w:top w:val="nil"/>
          <w:left w:val="nil"/>
          <w:bottom w:val="nil"/>
          <w:right w:val="nil"/>
          <w:between w:val="nil"/>
          <w:bar w:val="nil"/>
        </w:pBdr>
        <w:tabs>
          <w:tab w:val="left" w:pos="1440"/>
        </w:tabs>
        <w:suppressAutoHyphens/>
        <w:kinsoku w:val="0"/>
        <w:overflowPunct w:val="0"/>
        <w:autoSpaceDE w:val="0"/>
        <w:autoSpaceDN w:val="0"/>
        <w:ind w:firstLine="720"/>
        <w:rPr>
          <w:rFonts w:cs="Times New Roman"/>
          <w:kern w:val="22"/>
          <w:szCs w:val="22"/>
        </w:rPr>
      </w:pPr>
      <w:r w:rsidRPr="00E43FFF">
        <w:rPr>
          <w:rFonts w:cs="Times New Roman"/>
          <w:color w:val="000000"/>
          <w:szCs w:val="22"/>
        </w:rPr>
        <w:t>(a)</w:t>
      </w:r>
      <w:r w:rsidRPr="00E43FFF">
        <w:rPr>
          <w:rFonts w:cs="Times New Roman"/>
          <w:color w:val="000000"/>
          <w:szCs w:val="22"/>
        </w:rPr>
        <w:tab/>
      </w:r>
      <w:r w:rsidRPr="00E43FFF">
        <w:rPr>
          <w:rFonts w:cs="Times New Roman"/>
          <w:kern w:val="22"/>
          <w:szCs w:val="22"/>
        </w:rPr>
        <w:t>To examine with donors, including the GEF Secretariat, the possibility of incorporating in their project templates fields to specify the key strategic areas of capacity-building as well as a requirement to submit the project information to the ABS Clearing-House;</w:t>
      </w:r>
    </w:p>
    <w:p w14:paraId="78C840C0" w14:textId="77777777" w:rsidR="00074FAA" w:rsidRDefault="008462E5" w:rsidP="0009641F">
      <w:pPr>
        <w:pStyle w:val="Para1"/>
        <w:numPr>
          <w:ilvl w:val="0"/>
          <w:numId w:val="0"/>
        </w:numPr>
        <w:suppressLineNumbers/>
        <w:pBdr>
          <w:top w:val="nil"/>
          <w:left w:val="nil"/>
          <w:bottom w:val="nil"/>
          <w:right w:val="nil"/>
          <w:between w:val="nil"/>
          <w:bar w:val="nil"/>
        </w:pBdr>
        <w:tabs>
          <w:tab w:val="left" w:pos="1440"/>
        </w:tabs>
        <w:suppressAutoHyphens/>
        <w:kinsoku w:val="0"/>
        <w:overflowPunct w:val="0"/>
        <w:autoSpaceDE w:val="0"/>
        <w:autoSpaceDN w:val="0"/>
        <w:ind w:firstLine="720"/>
        <w:rPr>
          <w:rFonts w:cs="Times New Roman"/>
          <w:kern w:val="22"/>
          <w:szCs w:val="22"/>
        </w:rPr>
      </w:pPr>
      <w:r>
        <w:rPr>
          <w:rFonts w:cs="Times New Roman"/>
          <w:color w:val="000000"/>
          <w:szCs w:val="22"/>
        </w:rPr>
        <w:t>(</w:t>
      </w:r>
      <w:r w:rsidR="006A2DA5">
        <w:rPr>
          <w:rFonts w:cs="Times New Roman"/>
          <w:color w:val="000000"/>
          <w:szCs w:val="22"/>
        </w:rPr>
        <w:t>b</w:t>
      </w:r>
      <w:r w:rsidR="00927D8C" w:rsidRPr="00E43FFF">
        <w:rPr>
          <w:rFonts w:cs="Times New Roman"/>
          <w:color w:val="000000"/>
          <w:szCs w:val="22"/>
        </w:rPr>
        <w:t>)</w:t>
      </w:r>
      <w:r w:rsidR="00927D8C" w:rsidRPr="00E43FFF">
        <w:rPr>
          <w:rFonts w:cs="Times New Roman"/>
          <w:color w:val="000000"/>
          <w:szCs w:val="22"/>
        </w:rPr>
        <w:tab/>
      </w:r>
      <w:r w:rsidR="006A2DA5">
        <w:rPr>
          <w:rFonts w:cs="Times New Roman"/>
          <w:color w:val="000000"/>
          <w:szCs w:val="22"/>
        </w:rPr>
        <w:t>Continue to</w:t>
      </w:r>
      <w:r w:rsidR="00927D8C" w:rsidRPr="00E43FFF">
        <w:rPr>
          <w:rFonts w:cs="Times New Roman"/>
          <w:kern w:val="22"/>
          <w:szCs w:val="22"/>
        </w:rPr>
        <w:t xml:space="preserve"> </w:t>
      </w:r>
      <w:r w:rsidR="006A2DA5">
        <w:rPr>
          <w:rFonts w:cs="Times New Roman"/>
          <w:kern w:val="22"/>
          <w:szCs w:val="22"/>
        </w:rPr>
        <w:t>pursue</w:t>
      </w:r>
      <w:r w:rsidR="00927D8C" w:rsidRPr="00E43FFF">
        <w:rPr>
          <w:rFonts w:cs="Times New Roman"/>
          <w:kern w:val="22"/>
          <w:szCs w:val="22"/>
        </w:rPr>
        <w:t xml:space="preserve"> opportunities to make databases interoperable with the ABS Clearing-House so that </w:t>
      </w:r>
      <w:r w:rsidR="00AF4E4A">
        <w:rPr>
          <w:rFonts w:cs="Times New Roman"/>
          <w:kern w:val="22"/>
          <w:szCs w:val="22"/>
        </w:rPr>
        <w:t xml:space="preserve">capacity-building </w:t>
      </w:r>
      <w:r w:rsidR="00927D8C" w:rsidRPr="00E43FFF">
        <w:rPr>
          <w:rFonts w:cs="Times New Roman"/>
          <w:kern w:val="22"/>
          <w:szCs w:val="22"/>
        </w:rPr>
        <w:t>information can be automatically updated.</w:t>
      </w:r>
    </w:p>
    <w:p w14:paraId="0E09F931" w14:textId="4639FDED" w:rsidR="00074FAA" w:rsidRPr="00074FAA" w:rsidRDefault="00074FAA" w:rsidP="006255E2">
      <w:pPr>
        <w:pStyle w:val="Para1"/>
        <w:numPr>
          <w:ilvl w:val="0"/>
          <w:numId w:val="18"/>
        </w:numPr>
        <w:pBdr>
          <w:top w:val="nil"/>
          <w:left w:val="nil"/>
          <w:bottom w:val="nil"/>
          <w:right w:val="nil"/>
          <w:between w:val="nil"/>
          <w:bar w:val="nil"/>
        </w:pBdr>
        <w:ind w:left="0" w:firstLine="0"/>
        <w:rPr>
          <w:rFonts w:cs="Times New Roman"/>
          <w:snapToGrid/>
          <w:color w:val="000000"/>
          <w:kern w:val="22"/>
          <w:szCs w:val="22"/>
          <w:lang w:eastAsia="ko-KR"/>
        </w:rPr>
      </w:pPr>
      <w:r w:rsidRPr="00165B3F">
        <w:rPr>
          <w:rFonts w:cs="Times New Roman"/>
          <w:snapToGrid/>
          <w:color w:val="000000"/>
          <w:kern w:val="22"/>
          <w:szCs w:val="22"/>
          <w:lang w:eastAsia="ko-KR"/>
        </w:rPr>
        <w:t xml:space="preserve">Committee members will be invited to review the above suggestions and offer additional recommendations taking into consideration that the Secretariat intends to </w:t>
      </w:r>
      <w:r w:rsidR="00CB29B6" w:rsidRPr="00165B3F">
        <w:rPr>
          <w:rFonts w:cs="Times New Roman"/>
          <w:snapToGrid/>
          <w:color w:val="000000"/>
          <w:kern w:val="22"/>
          <w:szCs w:val="22"/>
          <w:lang w:eastAsia="ko-KR"/>
        </w:rPr>
        <w:t>rely solely</w:t>
      </w:r>
      <w:r w:rsidR="00BF7323" w:rsidRPr="00165B3F">
        <w:rPr>
          <w:rFonts w:cs="Times New Roman"/>
          <w:snapToGrid/>
          <w:color w:val="000000"/>
          <w:kern w:val="22"/>
          <w:szCs w:val="22"/>
          <w:lang w:eastAsia="ko-KR"/>
        </w:rPr>
        <w:t xml:space="preserve"> on the information published in </w:t>
      </w:r>
      <w:r w:rsidRPr="00165B3F">
        <w:rPr>
          <w:rFonts w:cs="Times New Roman"/>
          <w:snapToGrid/>
          <w:color w:val="000000"/>
          <w:kern w:val="22"/>
          <w:szCs w:val="22"/>
          <w:lang w:eastAsia="ko-KR"/>
        </w:rPr>
        <w:t>the ABS Clearing</w:t>
      </w:r>
      <w:r w:rsidR="007E069A" w:rsidRPr="00165B3F">
        <w:rPr>
          <w:rFonts w:cs="Times New Roman"/>
          <w:snapToGrid/>
          <w:color w:val="000000"/>
          <w:kern w:val="22"/>
          <w:szCs w:val="22"/>
          <w:lang w:eastAsia="ko-KR"/>
        </w:rPr>
        <w:t>-</w:t>
      </w:r>
      <w:r w:rsidRPr="00165B3F">
        <w:rPr>
          <w:rFonts w:cs="Times New Roman"/>
          <w:snapToGrid/>
          <w:color w:val="000000"/>
          <w:kern w:val="22"/>
          <w:szCs w:val="22"/>
          <w:lang w:eastAsia="ko-KR"/>
        </w:rPr>
        <w:t>House</w:t>
      </w:r>
      <w:r w:rsidR="00BF7323" w:rsidRPr="00165B3F">
        <w:rPr>
          <w:rFonts w:cs="Times New Roman"/>
          <w:snapToGrid/>
          <w:color w:val="000000"/>
          <w:kern w:val="22"/>
          <w:szCs w:val="22"/>
          <w:lang w:eastAsia="ko-KR"/>
        </w:rPr>
        <w:t xml:space="preserve"> </w:t>
      </w:r>
      <w:r w:rsidR="007E069A" w:rsidRPr="00165B3F">
        <w:rPr>
          <w:rFonts w:cs="Times New Roman"/>
          <w:snapToGrid/>
          <w:color w:val="000000"/>
          <w:kern w:val="22"/>
          <w:szCs w:val="22"/>
          <w:lang w:eastAsia="ko-KR"/>
        </w:rPr>
        <w:t xml:space="preserve">for future </w:t>
      </w:r>
      <w:r w:rsidR="00BF7323" w:rsidRPr="00165B3F">
        <w:rPr>
          <w:rFonts w:cs="Times New Roman"/>
          <w:snapToGrid/>
          <w:color w:val="000000"/>
          <w:kern w:val="22"/>
          <w:szCs w:val="22"/>
          <w:lang w:eastAsia="ko-KR"/>
        </w:rPr>
        <w:t>report</w:t>
      </w:r>
      <w:r w:rsidR="007E069A" w:rsidRPr="00165B3F">
        <w:rPr>
          <w:rFonts w:cs="Times New Roman"/>
          <w:snapToGrid/>
          <w:color w:val="000000"/>
          <w:kern w:val="22"/>
          <w:szCs w:val="22"/>
          <w:lang w:eastAsia="ko-KR"/>
        </w:rPr>
        <w:t>ing</w:t>
      </w:r>
      <w:r w:rsidR="00BF7323" w:rsidRPr="00165B3F">
        <w:rPr>
          <w:rFonts w:cs="Times New Roman"/>
          <w:snapToGrid/>
          <w:color w:val="000000"/>
          <w:kern w:val="22"/>
          <w:szCs w:val="22"/>
          <w:lang w:eastAsia="ko-KR"/>
        </w:rPr>
        <w:t xml:space="preserve"> on </w:t>
      </w:r>
      <w:r w:rsidRPr="00165B3F">
        <w:rPr>
          <w:rFonts w:cs="Times New Roman"/>
          <w:snapToGrid/>
          <w:color w:val="000000"/>
          <w:kern w:val="22"/>
          <w:szCs w:val="22"/>
          <w:lang w:eastAsia="ko-KR"/>
        </w:rPr>
        <w:t>measures to implement capacity-building and development.</w:t>
      </w:r>
    </w:p>
    <w:p w14:paraId="3786F555" w14:textId="1E49142A" w:rsidR="00F52691" w:rsidRPr="004A011A" w:rsidRDefault="00074FAA" w:rsidP="006255E2">
      <w:pPr>
        <w:pStyle w:val="Para1"/>
        <w:numPr>
          <w:ilvl w:val="0"/>
          <w:numId w:val="18"/>
        </w:numPr>
        <w:suppressLineNumbers/>
        <w:tabs>
          <w:tab w:val="left" w:pos="720"/>
        </w:tabs>
        <w:suppressAutoHyphens/>
        <w:kinsoku w:val="0"/>
        <w:overflowPunct w:val="0"/>
        <w:autoSpaceDE w:val="0"/>
        <w:autoSpaceDN w:val="0"/>
        <w:ind w:left="0" w:firstLine="0"/>
        <w:rPr>
          <w:snapToGrid/>
          <w:kern w:val="22"/>
          <w:szCs w:val="22"/>
          <w:lang w:eastAsia="ko-KR"/>
        </w:rPr>
      </w:pPr>
      <w:r>
        <w:rPr>
          <w:snapToGrid/>
          <w:kern w:val="22"/>
          <w:szCs w:val="22"/>
          <w:lang w:eastAsia="ko-KR"/>
        </w:rPr>
        <w:t>Furthermore, c</w:t>
      </w:r>
      <w:r w:rsidR="00F52691" w:rsidRPr="004A011A">
        <w:rPr>
          <w:snapToGrid/>
          <w:kern w:val="22"/>
          <w:szCs w:val="22"/>
          <w:lang w:eastAsia="ko-KR"/>
        </w:rPr>
        <w:t xml:space="preserve">ommittee members will be invited to </w:t>
      </w:r>
      <w:r w:rsidR="00F52691">
        <w:rPr>
          <w:snapToGrid/>
          <w:kern w:val="22"/>
          <w:szCs w:val="22"/>
          <w:lang w:eastAsia="ko-KR"/>
        </w:rPr>
        <w:t xml:space="preserve">review </w:t>
      </w:r>
      <w:r w:rsidR="006D355D">
        <w:rPr>
          <w:snapToGrid/>
          <w:kern w:val="22"/>
          <w:szCs w:val="22"/>
          <w:lang w:eastAsia="ko-KR"/>
        </w:rPr>
        <w:t xml:space="preserve">the </w:t>
      </w:r>
      <w:r w:rsidR="00F52691">
        <w:rPr>
          <w:snapToGrid/>
          <w:kern w:val="22"/>
          <w:szCs w:val="22"/>
          <w:lang w:eastAsia="ko-KR"/>
        </w:rPr>
        <w:t xml:space="preserve">table on capacity-building initiatives </w:t>
      </w:r>
      <w:r w:rsidR="00A05C5E">
        <w:rPr>
          <w:snapToGrid/>
          <w:kern w:val="22"/>
          <w:szCs w:val="22"/>
          <w:lang w:eastAsia="ko-KR"/>
        </w:rPr>
        <w:t>listed in</w:t>
      </w:r>
      <w:r w:rsidR="006D355D">
        <w:rPr>
          <w:snapToGrid/>
          <w:kern w:val="22"/>
          <w:szCs w:val="22"/>
          <w:lang w:eastAsia="ko-KR"/>
        </w:rPr>
        <w:t xml:space="preserve"> </w:t>
      </w:r>
      <w:r w:rsidR="000975D6">
        <w:rPr>
          <w:snapToGrid/>
          <w:kern w:val="22"/>
          <w:szCs w:val="22"/>
          <w:lang w:eastAsia="ko-KR"/>
        </w:rPr>
        <w:t>CBD/</w:t>
      </w:r>
      <w:r w:rsidR="000E1C9A">
        <w:rPr>
          <w:snapToGrid/>
          <w:kern w:val="22"/>
          <w:szCs w:val="22"/>
          <w:lang w:eastAsia="ko-KR"/>
        </w:rPr>
        <w:t>NP</w:t>
      </w:r>
      <w:r w:rsidR="000975D6">
        <w:rPr>
          <w:snapToGrid/>
          <w:kern w:val="22"/>
          <w:szCs w:val="22"/>
          <w:lang w:eastAsia="ko-KR"/>
        </w:rPr>
        <w:t>/</w:t>
      </w:r>
      <w:r w:rsidR="004D5236">
        <w:rPr>
          <w:snapToGrid/>
          <w:kern w:val="22"/>
          <w:szCs w:val="22"/>
          <w:lang w:eastAsia="ko-KR"/>
        </w:rPr>
        <w:t xml:space="preserve">CB-IAC/2019/1/2/Add.1 </w:t>
      </w:r>
      <w:r w:rsidR="00F52691">
        <w:rPr>
          <w:snapToGrid/>
          <w:kern w:val="22"/>
          <w:szCs w:val="22"/>
          <w:lang w:eastAsia="ko-KR"/>
        </w:rPr>
        <w:t>to verify accura</w:t>
      </w:r>
      <w:r w:rsidR="006D337D">
        <w:rPr>
          <w:snapToGrid/>
          <w:kern w:val="22"/>
          <w:szCs w:val="22"/>
          <w:lang w:eastAsia="ko-KR"/>
        </w:rPr>
        <w:t>cy</w:t>
      </w:r>
      <w:r w:rsidR="00F52691">
        <w:rPr>
          <w:snapToGrid/>
          <w:kern w:val="22"/>
          <w:szCs w:val="22"/>
          <w:lang w:eastAsia="ko-KR"/>
        </w:rPr>
        <w:t xml:space="preserve"> and assess </w:t>
      </w:r>
      <w:r w:rsidR="006D337D">
        <w:rPr>
          <w:snapToGrid/>
          <w:kern w:val="22"/>
          <w:szCs w:val="22"/>
          <w:lang w:eastAsia="ko-KR"/>
        </w:rPr>
        <w:t xml:space="preserve">whether </w:t>
      </w:r>
      <w:r w:rsidR="00F52691">
        <w:rPr>
          <w:snapToGrid/>
          <w:kern w:val="22"/>
          <w:szCs w:val="22"/>
          <w:lang w:eastAsia="ko-KR"/>
        </w:rPr>
        <w:t>any information is missing</w:t>
      </w:r>
      <w:r w:rsidR="00F52691" w:rsidRPr="004A011A">
        <w:rPr>
          <w:snapToGrid/>
          <w:kern w:val="22"/>
          <w:szCs w:val="22"/>
          <w:lang w:eastAsia="ko-KR"/>
        </w:rPr>
        <w:t>.</w:t>
      </w:r>
    </w:p>
    <w:p w14:paraId="094CC257" w14:textId="461DC5A9" w:rsidR="00072C32" w:rsidRPr="00072C32" w:rsidRDefault="00072C32" w:rsidP="0009641F">
      <w:pPr>
        <w:pStyle w:val="Para1"/>
        <w:numPr>
          <w:ilvl w:val="0"/>
          <w:numId w:val="0"/>
        </w:numPr>
        <w:pBdr>
          <w:top w:val="nil"/>
          <w:left w:val="nil"/>
          <w:bottom w:val="nil"/>
          <w:right w:val="nil"/>
          <w:between w:val="nil"/>
          <w:bar w:val="nil"/>
        </w:pBdr>
        <w:jc w:val="center"/>
        <w:rPr>
          <w:rFonts w:cs="Times New Roman"/>
          <w:b/>
          <w:snapToGrid/>
          <w:color w:val="000000"/>
          <w:kern w:val="22"/>
          <w:szCs w:val="22"/>
          <w:lang w:eastAsia="ko-KR"/>
        </w:rPr>
      </w:pPr>
      <w:r w:rsidRPr="00072C32">
        <w:rPr>
          <w:rFonts w:cs="Times New Roman"/>
          <w:b/>
          <w:snapToGrid/>
          <w:color w:val="000000"/>
          <w:kern w:val="22"/>
          <w:szCs w:val="22"/>
          <w:lang w:eastAsia="ko-KR"/>
        </w:rPr>
        <w:t>III.</w:t>
      </w:r>
      <w:r w:rsidRPr="00072C32">
        <w:rPr>
          <w:rFonts w:cs="Times New Roman"/>
          <w:b/>
          <w:snapToGrid/>
          <w:color w:val="000000"/>
          <w:kern w:val="22"/>
          <w:szCs w:val="22"/>
          <w:lang w:eastAsia="ko-KR"/>
        </w:rPr>
        <w:tab/>
        <w:t>CAPACITY-BUILDING AND AWARENESS RAISING RESOURCES</w:t>
      </w:r>
    </w:p>
    <w:p w14:paraId="3806B59D" w14:textId="724D6921" w:rsidR="003F46D1" w:rsidRPr="0009641F" w:rsidRDefault="00560A15" w:rsidP="006255E2">
      <w:pPr>
        <w:pStyle w:val="Para1"/>
        <w:numPr>
          <w:ilvl w:val="0"/>
          <w:numId w:val="18"/>
        </w:numPr>
        <w:pBdr>
          <w:top w:val="nil"/>
          <w:left w:val="nil"/>
          <w:bottom w:val="nil"/>
          <w:right w:val="nil"/>
          <w:between w:val="nil"/>
          <w:bar w:val="nil"/>
        </w:pBdr>
        <w:ind w:left="0" w:firstLine="0"/>
        <w:rPr>
          <w:rFonts w:cs="Times New Roman"/>
          <w:snapToGrid/>
          <w:kern w:val="22"/>
          <w:szCs w:val="22"/>
          <w:lang w:eastAsia="ko-KR"/>
        </w:rPr>
      </w:pPr>
      <w:r w:rsidRPr="0009641F">
        <w:rPr>
          <w:rFonts w:cs="Times New Roman"/>
          <w:snapToGrid/>
          <w:kern w:val="22"/>
          <w:szCs w:val="22"/>
        </w:rPr>
        <w:t>Pursuant</w:t>
      </w:r>
      <w:r w:rsidRPr="0009641F">
        <w:rPr>
          <w:rFonts w:cs="Times New Roman"/>
          <w:snapToGrid/>
          <w:kern w:val="22"/>
          <w:szCs w:val="22"/>
          <w:lang w:eastAsia="ko-KR"/>
        </w:rPr>
        <w:t xml:space="preserve"> to requests made in paragraphs 10(a) and 10(b) of </w:t>
      </w:r>
      <w:hyperlink r:id="rId30" w:history="1">
        <w:r w:rsidRPr="0009641F">
          <w:rPr>
            <w:rStyle w:val="Hyperlink"/>
            <w:rFonts w:cs="Times New Roman"/>
            <w:snapToGrid/>
            <w:kern w:val="22"/>
            <w:szCs w:val="22"/>
            <w:lang w:eastAsia="ko-KR"/>
          </w:rPr>
          <w:t>decision NP-1/8</w:t>
        </w:r>
      </w:hyperlink>
      <w:r w:rsidRPr="0009641F">
        <w:rPr>
          <w:rFonts w:cs="Times New Roman"/>
          <w:snapToGrid/>
          <w:kern w:val="22"/>
          <w:szCs w:val="22"/>
          <w:lang w:eastAsia="ko-KR"/>
        </w:rPr>
        <w:t xml:space="preserve"> and paragraph 12 of </w:t>
      </w:r>
      <w:hyperlink r:id="rId31" w:history="1">
        <w:r w:rsidRPr="0009641F">
          <w:rPr>
            <w:rStyle w:val="Hyperlink"/>
            <w:rFonts w:cs="Times New Roman"/>
            <w:snapToGrid/>
            <w:kern w:val="22"/>
            <w:szCs w:val="22"/>
            <w:lang w:eastAsia="ko-KR"/>
          </w:rPr>
          <w:t>decision NP-1/2</w:t>
        </w:r>
      </w:hyperlink>
      <w:r w:rsidRPr="0009641F">
        <w:rPr>
          <w:rFonts w:cs="Times New Roman"/>
          <w:snapToGrid/>
          <w:kern w:val="22"/>
          <w:szCs w:val="22"/>
          <w:lang w:eastAsia="ko-KR"/>
        </w:rPr>
        <w:t xml:space="preserve">, and on the basis of advice provided by the Informal Advisory Committee, the Secretariat established a database for capacity-building resources, accessible through the Virtual Library of the </w:t>
      </w:r>
      <w:hyperlink r:id="rId32" w:history="1">
        <w:r w:rsidRPr="0009641F">
          <w:rPr>
            <w:rStyle w:val="Hyperlink"/>
            <w:rFonts w:cs="Times New Roman"/>
            <w:snapToGrid/>
            <w:kern w:val="22"/>
            <w:szCs w:val="22"/>
            <w:lang w:eastAsia="ko-KR"/>
          </w:rPr>
          <w:t>ABS Clearing-House</w:t>
        </w:r>
      </w:hyperlink>
      <w:r w:rsidRPr="0009641F">
        <w:rPr>
          <w:rFonts w:cs="Times New Roman"/>
          <w:snapToGrid/>
          <w:kern w:val="22"/>
          <w:szCs w:val="22"/>
          <w:lang w:eastAsia="ko-KR"/>
        </w:rPr>
        <w:t xml:space="preserve">, which is meant to display existing ABS tools and resources (including </w:t>
      </w:r>
      <w:r w:rsidR="00EC663B" w:rsidRPr="0009641F">
        <w:rPr>
          <w:rFonts w:cs="Times New Roman"/>
          <w:snapToGrid/>
          <w:kern w:val="22"/>
          <w:szCs w:val="22"/>
          <w:lang w:eastAsia="ko-KR"/>
        </w:rPr>
        <w:t xml:space="preserve">awareness-raising and </w:t>
      </w:r>
      <w:r w:rsidRPr="0009641F">
        <w:rPr>
          <w:rFonts w:cs="Times New Roman"/>
          <w:snapToGrid/>
          <w:kern w:val="22"/>
          <w:szCs w:val="22"/>
          <w:lang w:eastAsia="ko-KR"/>
        </w:rPr>
        <w:t>training materials, toolkits</w:t>
      </w:r>
      <w:r w:rsidR="00DE6A56" w:rsidRPr="0009641F">
        <w:rPr>
          <w:rFonts w:cs="Times New Roman"/>
          <w:snapToGrid/>
          <w:kern w:val="22"/>
          <w:szCs w:val="22"/>
          <w:lang w:eastAsia="ko-KR"/>
        </w:rPr>
        <w:t xml:space="preserve">, </w:t>
      </w:r>
      <w:r w:rsidRPr="0009641F">
        <w:rPr>
          <w:rFonts w:cs="Times New Roman"/>
          <w:snapToGrid/>
          <w:kern w:val="22"/>
          <w:szCs w:val="22"/>
          <w:lang w:eastAsia="ko-KR"/>
        </w:rPr>
        <w:t>guidelines, etc.).</w:t>
      </w:r>
    </w:p>
    <w:p w14:paraId="74721A4E" w14:textId="74974C3F" w:rsidR="007F0ABA" w:rsidRPr="006D508D" w:rsidRDefault="007F0ABA" w:rsidP="006255E2">
      <w:pPr>
        <w:pStyle w:val="Para1"/>
        <w:numPr>
          <w:ilvl w:val="0"/>
          <w:numId w:val="18"/>
        </w:numPr>
        <w:suppressLineNumbers/>
        <w:suppressAutoHyphens/>
        <w:kinsoku w:val="0"/>
        <w:overflowPunct w:val="0"/>
        <w:autoSpaceDE w:val="0"/>
        <w:autoSpaceDN w:val="0"/>
        <w:ind w:left="0" w:firstLine="0"/>
        <w:rPr>
          <w:snapToGrid/>
          <w:kern w:val="22"/>
          <w:szCs w:val="22"/>
          <w:lang w:eastAsia="ko-KR"/>
        </w:rPr>
      </w:pPr>
      <w:r w:rsidRPr="00FD72FC">
        <w:rPr>
          <w:snapToGrid/>
          <w:kern w:val="22"/>
          <w:szCs w:val="22"/>
          <w:lang w:eastAsia="ko-KR"/>
        </w:rPr>
        <w:t>The following subsection provides an update on existing capacity-building tools and resources</w:t>
      </w:r>
      <w:r w:rsidRPr="000A2552">
        <w:rPr>
          <w:rStyle w:val="FootnoteReference"/>
          <w:snapToGrid/>
          <w:kern w:val="22"/>
          <w:sz w:val="22"/>
          <w:szCs w:val="22"/>
          <w:lang w:eastAsia="ko-KR"/>
        </w:rPr>
        <w:footnoteReference w:id="14"/>
      </w:r>
      <w:r w:rsidRPr="00FD72FC">
        <w:rPr>
          <w:snapToGrid/>
          <w:kern w:val="22"/>
          <w:szCs w:val="22"/>
          <w:lang w:eastAsia="ko-KR"/>
        </w:rPr>
        <w:t xml:space="preserve"> on access and benefit-sharing that the Secretariat has compiled, including their primary purpose and thematic coverage. An overview of all the resources is contained in CBD/</w:t>
      </w:r>
      <w:r w:rsidR="000E1C9A" w:rsidRPr="00FD72FC">
        <w:rPr>
          <w:snapToGrid/>
          <w:kern w:val="22"/>
          <w:szCs w:val="22"/>
          <w:lang w:eastAsia="ko-KR"/>
        </w:rPr>
        <w:t>NP</w:t>
      </w:r>
      <w:r w:rsidRPr="000B358C">
        <w:rPr>
          <w:snapToGrid/>
          <w:kern w:val="22"/>
          <w:szCs w:val="22"/>
          <w:lang w:eastAsia="ko-KR"/>
        </w:rPr>
        <w:t>/CB-IAC/201</w:t>
      </w:r>
      <w:r w:rsidR="002644A5" w:rsidRPr="000B358C">
        <w:rPr>
          <w:snapToGrid/>
          <w:kern w:val="22"/>
          <w:szCs w:val="22"/>
          <w:lang w:eastAsia="ko-KR"/>
        </w:rPr>
        <w:t>9</w:t>
      </w:r>
      <w:r w:rsidRPr="000B358C">
        <w:rPr>
          <w:snapToGrid/>
          <w:kern w:val="22"/>
          <w:szCs w:val="22"/>
          <w:lang w:eastAsia="ko-KR"/>
        </w:rPr>
        <w:t>/1/2/Add.2.</w:t>
      </w:r>
    </w:p>
    <w:p w14:paraId="58680D1C" w14:textId="55BAB12B" w:rsidR="007F0ABA" w:rsidRPr="0009641F" w:rsidRDefault="007F0ABA" w:rsidP="006255E2">
      <w:pPr>
        <w:pStyle w:val="Para1"/>
        <w:numPr>
          <w:ilvl w:val="0"/>
          <w:numId w:val="18"/>
        </w:numPr>
        <w:suppressLineNumbers/>
        <w:suppressAutoHyphens/>
        <w:kinsoku w:val="0"/>
        <w:overflowPunct w:val="0"/>
        <w:autoSpaceDE w:val="0"/>
        <w:autoSpaceDN w:val="0"/>
        <w:ind w:left="0" w:firstLine="0"/>
        <w:rPr>
          <w:snapToGrid/>
          <w:kern w:val="22"/>
          <w:szCs w:val="22"/>
          <w:lang w:eastAsia="ko-KR"/>
        </w:rPr>
      </w:pPr>
      <w:r w:rsidRPr="0009641F">
        <w:rPr>
          <w:snapToGrid/>
          <w:kern w:val="22"/>
          <w:szCs w:val="22"/>
          <w:lang w:eastAsia="ko-KR"/>
        </w:rPr>
        <w:t xml:space="preserve">According to information gathered by the Secretariat by </w:t>
      </w:r>
      <w:r w:rsidR="00DE6A56" w:rsidRPr="0009641F">
        <w:rPr>
          <w:bCs/>
          <w:snapToGrid/>
          <w:kern w:val="22"/>
          <w:szCs w:val="22"/>
          <w:lang w:eastAsia="ko-KR"/>
        </w:rPr>
        <w:t xml:space="preserve">24 September </w:t>
      </w:r>
      <w:r w:rsidR="005F35C4" w:rsidRPr="0009641F">
        <w:rPr>
          <w:bCs/>
          <w:snapToGrid/>
          <w:kern w:val="22"/>
          <w:szCs w:val="22"/>
          <w:lang w:eastAsia="ko-KR"/>
        </w:rPr>
        <w:t>2019</w:t>
      </w:r>
      <w:r w:rsidRPr="0009641F">
        <w:rPr>
          <w:snapToGrid/>
          <w:kern w:val="22"/>
          <w:szCs w:val="22"/>
          <w:lang w:eastAsia="ko-KR"/>
        </w:rPr>
        <w:t xml:space="preserve">, there are </w:t>
      </w:r>
      <w:r w:rsidR="00DE6A56" w:rsidRPr="0009641F">
        <w:rPr>
          <w:snapToGrid/>
          <w:kern w:val="22"/>
          <w:szCs w:val="22"/>
          <w:lang w:eastAsia="ko-KR"/>
        </w:rPr>
        <w:t>10</w:t>
      </w:r>
      <w:r w:rsidR="007310F6" w:rsidRPr="0009641F">
        <w:rPr>
          <w:snapToGrid/>
          <w:kern w:val="22"/>
          <w:szCs w:val="22"/>
          <w:lang w:eastAsia="ko-KR"/>
        </w:rPr>
        <w:t>2</w:t>
      </w:r>
      <w:r w:rsidR="00DE6A56" w:rsidRPr="0009641F">
        <w:rPr>
          <w:snapToGrid/>
          <w:kern w:val="22"/>
          <w:szCs w:val="22"/>
          <w:lang w:eastAsia="ko-KR"/>
        </w:rPr>
        <w:t xml:space="preserve"> </w:t>
      </w:r>
      <w:r w:rsidRPr="0009641F">
        <w:rPr>
          <w:snapToGrid/>
          <w:kern w:val="22"/>
          <w:szCs w:val="22"/>
          <w:lang w:eastAsia="ko-KR"/>
        </w:rPr>
        <w:t xml:space="preserve">resources related to capacity-building and awareness-raising on access and benefit-sharing. An additional </w:t>
      </w:r>
      <w:r w:rsidR="00DE6A56" w:rsidRPr="0009641F">
        <w:rPr>
          <w:snapToGrid/>
          <w:kern w:val="22"/>
          <w:szCs w:val="22"/>
          <w:lang w:eastAsia="ko-KR"/>
        </w:rPr>
        <w:t>1</w:t>
      </w:r>
      <w:r w:rsidR="007310F6" w:rsidRPr="0009641F">
        <w:rPr>
          <w:snapToGrid/>
          <w:kern w:val="22"/>
          <w:szCs w:val="22"/>
          <w:lang w:eastAsia="ko-KR"/>
        </w:rPr>
        <w:t>4</w:t>
      </w:r>
      <w:r w:rsidR="00DE6A56" w:rsidRPr="0009641F">
        <w:rPr>
          <w:snapToGrid/>
          <w:kern w:val="22"/>
          <w:szCs w:val="22"/>
          <w:lang w:eastAsia="ko-KR"/>
        </w:rPr>
        <w:t xml:space="preserve"> </w:t>
      </w:r>
      <w:r w:rsidRPr="0009641F">
        <w:rPr>
          <w:snapToGrid/>
          <w:kern w:val="22"/>
          <w:szCs w:val="22"/>
          <w:lang w:eastAsia="ko-KR"/>
        </w:rPr>
        <w:t xml:space="preserve">resources have been added to the list since the latest update prepared for the </w:t>
      </w:r>
      <w:r w:rsidR="005F35C4" w:rsidRPr="0009641F">
        <w:rPr>
          <w:snapToGrid/>
          <w:kern w:val="22"/>
          <w:szCs w:val="22"/>
          <w:lang w:eastAsia="ko-KR"/>
        </w:rPr>
        <w:t>third</w:t>
      </w:r>
      <w:r w:rsidRPr="0009641F">
        <w:rPr>
          <w:snapToGrid/>
          <w:kern w:val="22"/>
          <w:szCs w:val="22"/>
          <w:lang w:eastAsia="ko-KR"/>
        </w:rPr>
        <w:t xml:space="preserve"> meeting of the Parties to the Protocol in </w:t>
      </w:r>
      <w:r w:rsidR="005F35C4" w:rsidRPr="0009641F">
        <w:rPr>
          <w:snapToGrid/>
          <w:kern w:val="22"/>
          <w:szCs w:val="22"/>
          <w:lang w:eastAsia="ko-KR"/>
        </w:rPr>
        <w:t>November</w:t>
      </w:r>
      <w:r w:rsidRPr="0009641F">
        <w:rPr>
          <w:snapToGrid/>
          <w:kern w:val="22"/>
          <w:szCs w:val="22"/>
          <w:lang w:eastAsia="ko-KR"/>
        </w:rPr>
        <w:t xml:space="preserve"> 201</w:t>
      </w:r>
      <w:r w:rsidR="005F35C4" w:rsidRPr="0009641F">
        <w:rPr>
          <w:snapToGrid/>
          <w:kern w:val="22"/>
          <w:szCs w:val="22"/>
          <w:lang w:eastAsia="ko-KR"/>
        </w:rPr>
        <w:t>8</w:t>
      </w:r>
      <w:r w:rsidRPr="0009641F">
        <w:rPr>
          <w:snapToGrid/>
          <w:kern w:val="22"/>
          <w:szCs w:val="22"/>
          <w:lang w:eastAsia="ko-KR"/>
        </w:rPr>
        <w:t xml:space="preserve">. It is important to note that only </w:t>
      </w:r>
      <w:r w:rsidR="00DE6A56" w:rsidRPr="0009641F">
        <w:rPr>
          <w:snapToGrid/>
          <w:kern w:val="22"/>
          <w:szCs w:val="22"/>
          <w:lang w:eastAsia="ko-KR"/>
        </w:rPr>
        <w:t xml:space="preserve">60 resources </w:t>
      </w:r>
      <w:r w:rsidRPr="0009641F">
        <w:rPr>
          <w:snapToGrid/>
          <w:kern w:val="22"/>
          <w:szCs w:val="22"/>
          <w:lang w:eastAsia="ko-KR"/>
        </w:rPr>
        <w:t xml:space="preserve">or </w:t>
      </w:r>
      <w:r w:rsidR="00DE6A56" w:rsidRPr="0009641F">
        <w:rPr>
          <w:snapToGrid/>
          <w:kern w:val="22"/>
          <w:szCs w:val="22"/>
          <w:lang w:eastAsia="ko-KR"/>
        </w:rPr>
        <w:t>5</w:t>
      </w:r>
      <w:r w:rsidR="007310F6" w:rsidRPr="0009641F">
        <w:rPr>
          <w:snapToGrid/>
          <w:kern w:val="22"/>
          <w:szCs w:val="22"/>
          <w:lang w:eastAsia="ko-KR"/>
        </w:rPr>
        <w:t>9</w:t>
      </w:r>
      <w:r w:rsidR="00DE6A56" w:rsidRPr="0009641F">
        <w:rPr>
          <w:snapToGrid/>
          <w:kern w:val="22"/>
          <w:szCs w:val="22"/>
          <w:lang w:eastAsia="ko-KR"/>
        </w:rPr>
        <w:t xml:space="preserve"> </w:t>
      </w:r>
      <w:r w:rsidRPr="0009641F">
        <w:rPr>
          <w:snapToGrid/>
          <w:kern w:val="22"/>
          <w:szCs w:val="22"/>
          <w:lang w:eastAsia="ko-KR"/>
        </w:rPr>
        <w:t xml:space="preserve">per cent of these resources have </w:t>
      </w:r>
      <w:proofErr w:type="gramStart"/>
      <w:r w:rsidRPr="0009641F">
        <w:rPr>
          <w:snapToGrid/>
          <w:kern w:val="22"/>
          <w:szCs w:val="22"/>
          <w:lang w:eastAsia="ko-KR"/>
        </w:rPr>
        <w:t>actually been</w:t>
      </w:r>
      <w:proofErr w:type="gramEnd"/>
      <w:r w:rsidRPr="0009641F">
        <w:rPr>
          <w:snapToGrid/>
          <w:kern w:val="22"/>
          <w:szCs w:val="22"/>
          <w:lang w:eastAsia="ko-KR"/>
        </w:rPr>
        <w:t xml:space="preserve"> published in the ABS-Clearing House.</w:t>
      </w:r>
    </w:p>
    <w:p w14:paraId="2ACBBEDE" w14:textId="762B8FB1" w:rsidR="007F0ABA" w:rsidRPr="0009641F" w:rsidRDefault="007F0ABA" w:rsidP="006255E2">
      <w:pPr>
        <w:pStyle w:val="Para1"/>
        <w:numPr>
          <w:ilvl w:val="0"/>
          <w:numId w:val="18"/>
        </w:numPr>
        <w:suppressLineNumbers/>
        <w:suppressAutoHyphens/>
        <w:kinsoku w:val="0"/>
        <w:overflowPunct w:val="0"/>
        <w:autoSpaceDE w:val="0"/>
        <w:autoSpaceDN w:val="0"/>
        <w:ind w:left="0" w:firstLine="0"/>
        <w:rPr>
          <w:snapToGrid/>
          <w:kern w:val="22"/>
          <w:szCs w:val="22"/>
          <w:lang w:eastAsia="ko-KR"/>
        </w:rPr>
      </w:pPr>
      <w:proofErr w:type="gramStart"/>
      <w:r w:rsidRPr="0009641F">
        <w:rPr>
          <w:snapToGrid/>
          <w:kern w:val="22"/>
          <w:szCs w:val="22"/>
          <w:lang w:eastAsia="ko-KR"/>
        </w:rPr>
        <w:t>The majority of</w:t>
      </w:r>
      <w:proofErr w:type="gramEnd"/>
      <w:r w:rsidRPr="0009641F">
        <w:rPr>
          <w:snapToGrid/>
          <w:kern w:val="22"/>
          <w:szCs w:val="22"/>
          <w:lang w:eastAsia="ko-KR"/>
        </w:rPr>
        <w:t xml:space="preserve"> the </w:t>
      </w:r>
      <w:r w:rsidR="001E5487" w:rsidRPr="0009641F">
        <w:rPr>
          <w:snapToGrid/>
          <w:kern w:val="22"/>
          <w:szCs w:val="22"/>
          <w:lang w:eastAsia="ko-KR"/>
        </w:rPr>
        <w:t xml:space="preserve">capacity-building </w:t>
      </w:r>
      <w:r w:rsidRPr="0009641F">
        <w:rPr>
          <w:snapToGrid/>
          <w:kern w:val="22"/>
          <w:szCs w:val="22"/>
          <w:lang w:eastAsia="ko-KR"/>
        </w:rPr>
        <w:t>resources are devoted to providing technical guidance (</w:t>
      </w:r>
      <w:r w:rsidR="00DE6A56" w:rsidRPr="0009641F">
        <w:rPr>
          <w:snapToGrid/>
          <w:kern w:val="22"/>
          <w:szCs w:val="22"/>
          <w:lang w:eastAsia="ko-KR"/>
        </w:rPr>
        <w:t>5</w:t>
      </w:r>
      <w:r w:rsidR="007310F6" w:rsidRPr="0009641F">
        <w:rPr>
          <w:snapToGrid/>
          <w:kern w:val="22"/>
          <w:szCs w:val="22"/>
          <w:lang w:eastAsia="ko-KR"/>
        </w:rPr>
        <w:t>2</w:t>
      </w:r>
      <w:r w:rsidRPr="0009641F">
        <w:rPr>
          <w:snapToGrid/>
          <w:kern w:val="22"/>
          <w:szCs w:val="22"/>
          <w:lang w:eastAsia="ko-KR"/>
        </w:rPr>
        <w:t>%) and raising awareness (</w:t>
      </w:r>
      <w:r w:rsidR="00DE6A56" w:rsidRPr="0009641F">
        <w:rPr>
          <w:snapToGrid/>
          <w:kern w:val="22"/>
          <w:szCs w:val="22"/>
          <w:lang w:eastAsia="ko-KR"/>
        </w:rPr>
        <w:t>3</w:t>
      </w:r>
      <w:r w:rsidR="007310F6" w:rsidRPr="0009641F">
        <w:rPr>
          <w:snapToGrid/>
          <w:kern w:val="22"/>
          <w:szCs w:val="22"/>
          <w:lang w:eastAsia="ko-KR"/>
        </w:rPr>
        <w:t>6</w:t>
      </w:r>
      <w:r w:rsidRPr="0009641F">
        <w:rPr>
          <w:snapToGrid/>
          <w:kern w:val="22"/>
          <w:szCs w:val="22"/>
          <w:lang w:eastAsia="ko-KR"/>
        </w:rPr>
        <w:t xml:space="preserve">%). Only </w:t>
      </w:r>
      <w:r w:rsidR="00DE6A56" w:rsidRPr="0009641F">
        <w:rPr>
          <w:snapToGrid/>
          <w:kern w:val="22"/>
          <w:szCs w:val="22"/>
          <w:lang w:eastAsia="ko-KR"/>
        </w:rPr>
        <w:t xml:space="preserve">9 </w:t>
      </w:r>
      <w:r w:rsidRPr="0009641F">
        <w:rPr>
          <w:snapToGrid/>
          <w:kern w:val="22"/>
          <w:szCs w:val="22"/>
          <w:lang w:eastAsia="ko-KR"/>
        </w:rPr>
        <w:t xml:space="preserve">per cent of resources are designed as training or self-paced materials, while 2 per cent is intended to assist Parties and stakeholders in assessing capacity-building needs and/or designing capacity-building initiatives and 1 per cent for monitoring and evaluating capacity-building initiatives and products (see figure 6). There has </w:t>
      </w:r>
      <w:r w:rsidR="00DE6A56" w:rsidRPr="0009641F">
        <w:rPr>
          <w:snapToGrid/>
          <w:kern w:val="22"/>
          <w:szCs w:val="22"/>
          <w:lang w:eastAsia="ko-KR"/>
        </w:rPr>
        <w:t xml:space="preserve">only </w:t>
      </w:r>
      <w:r w:rsidRPr="0009641F">
        <w:rPr>
          <w:snapToGrid/>
          <w:kern w:val="22"/>
          <w:szCs w:val="22"/>
          <w:lang w:eastAsia="ko-KR"/>
        </w:rPr>
        <w:t xml:space="preserve">been </w:t>
      </w:r>
      <w:r w:rsidR="00DE6A56" w:rsidRPr="0009641F">
        <w:rPr>
          <w:snapToGrid/>
          <w:kern w:val="22"/>
          <w:szCs w:val="22"/>
          <w:lang w:eastAsia="ko-KR"/>
        </w:rPr>
        <w:t xml:space="preserve">a minor </w:t>
      </w:r>
      <w:r w:rsidRPr="0009641F">
        <w:rPr>
          <w:snapToGrid/>
          <w:kern w:val="22"/>
          <w:szCs w:val="22"/>
          <w:lang w:eastAsia="ko-KR"/>
        </w:rPr>
        <w:t>change in the composition of the collection of resources since the latest update provided for the Conference of the Parties serving as the meeting of the Parties to the Protocol, with the new resources also falling into technical guidance and raising awareness categories.</w:t>
      </w:r>
    </w:p>
    <w:p w14:paraId="6566205D" w14:textId="2F9F9DD0" w:rsidR="007F0ABA" w:rsidRPr="003303A9" w:rsidRDefault="007310F6" w:rsidP="007F0ABA">
      <w:pPr>
        <w:pStyle w:val="Para1"/>
        <w:numPr>
          <w:ilvl w:val="0"/>
          <w:numId w:val="0"/>
        </w:numPr>
        <w:suppressLineNumbers/>
        <w:suppressAutoHyphens/>
        <w:kinsoku w:val="0"/>
        <w:overflowPunct w:val="0"/>
        <w:autoSpaceDE w:val="0"/>
        <w:autoSpaceDN w:val="0"/>
        <w:jc w:val="center"/>
        <w:rPr>
          <w:snapToGrid/>
          <w:kern w:val="22"/>
          <w:szCs w:val="22"/>
          <w:highlight w:val="green"/>
          <w:lang w:eastAsia="ko-KR"/>
        </w:rPr>
      </w:pPr>
      <w:r>
        <w:rPr>
          <w:noProof/>
        </w:rPr>
        <w:drawing>
          <wp:inline distT="0" distB="0" distL="0" distR="0" wp14:anchorId="1FA073CA" wp14:editId="4E79BEF5">
            <wp:extent cx="5913755" cy="38715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13755" cy="3871595"/>
                    </a:xfrm>
                    <a:prstGeom prst="rect">
                      <a:avLst/>
                    </a:prstGeom>
                    <a:noFill/>
                  </pic:spPr>
                </pic:pic>
              </a:graphicData>
            </a:graphic>
          </wp:inline>
        </w:drawing>
      </w:r>
      <w:r w:rsidR="00DE6A56" w:rsidRPr="00DE6A56">
        <w:rPr>
          <w:noProof/>
        </w:rPr>
        <w:t xml:space="preserve"> </w:t>
      </w:r>
    </w:p>
    <w:p w14:paraId="5519BC08" w14:textId="1DEF0DEE" w:rsidR="007F0ABA" w:rsidRPr="0009641F" w:rsidRDefault="007F0ABA" w:rsidP="006255E2">
      <w:pPr>
        <w:pStyle w:val="Para1"/>
        <w:numPr>
          <w:ilvl w:val="0"/>
          <w:numId w:val="18"/>
        </w:numPr>
        <w:suppressLineNumbers/>
        <w:suppressAutoHyphens/>
        <w:kinsoku w:val="0"/>
        <w:overflowPunct w:val="0"/>
        <w:autoSpaceDE w:val="0"/>
        <w:autoSpaceDN w:val="0"/>
        <w:ind w:left="0" w:firstLine="0"/>
        <w:rPr>
          <w:snapToGrid/>
          <w:kern w:val="22"/>
          <w:szCs w:val="22"/>
          <w:lang w:eastAsia="ko-KR"/>
        </w:rPr>
      </w:pPr>
      <w:r w:rsidRPr="0009641F">
        <w:rPr>
          <w:snapToGrid/>
          <w:kern w:val="22"/>
          <w:szCs w:val="22"/>
          <w:lang w:eastAsia="ko-KR"/>
        </w:rPr>
        <w:t xml:space="preserve">With regard to thematic coverage, key areas 1, 2 and 4 of the strategic </w:t>
      </w:r>
      <w:proofErr w:type="gramStart"/>
      <w:r w:rsidRPr="0009641F">
        <w:rPr>
          <w:snapToGrid/>
          <w:kern w:val="22"/>
          <w:szCs w:val="22"/>
          <w:lang w:eastAsia="ko-KR"/>
        </w:rPr>
        <w:t>framework</w:t>
      </w:r>
      <w:proofErr w:type="gramEnd"/>
      <w:r w:rsidRPr="0009641F">
        <w:rPr>
          <w:snapToGrid/>
          <w:kern w:val="22"/>
          <w:szCs w:val="22"/>
          <w:lang w:eastAsia="ko-KR"/>
        </w:rPr>
        <w:t xml:space="preserve"> continue to be well covered by existing capacity-building and awareness-raising resources, while key areas 3 and 5 remain underrepresented (see figure 7). It is important to recognize that, in several cases, one resource may be covering more than one area.</w:t>
      </w:r>
    </w:p>
    <w:p w14:paraId="574F5EE3" w14:textId="52BDBBF7" w:rsidR="007F0ABA" w:rsidRPr="003303A9" w:rsidRDefault="00DE6A56" w:rsidP="007F0ABA">
      <w:pPr>
        <w:pStyle w:val="Para1"/>
        <w:numPr>
          <w:ilvl w:val="0"/>
          <w:numId w:val="0"/>
        </w:numPr>
        <w:suppressLineNumbers/>
        <w:tabs>
          <w:tab w:val="left" w:pos="720"/>
        </w:tabs>
        <w:suppressAutoHyphens/>
        <w:kinsoku w:val="0"/>
        <w:overflowPunct w:val="0"/>
        <w:autoSpaceDE w:val="0"/>
        <w:autoSpaceDN w:val="0"/>
        <w:jc w:val="center"/>
        <w:rPr>
          <w:snapToGrid/>
          <w:kern w:val="22"/>
          <w:szCs w:val="22"/>
          <w:highlight w:val="green"/>
        </w:rPr>
      </w:pPr>
      <w:r w:rsidRPr="00DE6A56">
        <w:rPr>
          <w:noProof/>
        </w:rPr>
        <w:t xml:space="preserve"> </w:t>
      </w:r>
      <w:r w:rsidR="007310F6">
        <w:rPr>
          <w:noProof/>
        </w:rPr>
        <w:drawing>
          <wp:inline distT="0" distB="0" distL="0" distR="0" wp14:anchorId="53E0D7CF" wp14:editId="73C3FB4F">
            <wp:extent cx="5476875" cy="2838450"/>
            <wp:effectExtent l="0" t="0" r="9525" b="0"/>
            <wp:docPr id="12" name="Chart 12">
              <a:extLst xmlns:a="http://schemas.openxmlformats.org/drawingml/2006/main">
                <a:ext uri="{FF2B5EF4-FFF2-40B4-BE49-F238E27FC236}">
                  <a16:creationId xmlns:a16="http://schemas.microsoft.com/office/drawing/2014/main" id="{BEBB0A16-7E3F-4E98-B336-D66E56383B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1493A98" w14:textId="6B55078B" w:rsidR="00F82B45" w:rsidRPr="0009641F" w:rsidRDefault="007F0ABA" w:rsidP="006255E2">
      <w:pPr>
        <w:pStyle w:val="Para1"/>
        <w:numPr>
          <w:ilvl w:val="0"/>
          <w:numId w:val="18"/>
        </w:numPr>
        <w:suppressLineNumbers/>
        <w:tabs>
          <w:tab w:val="left" w:pos="720"/>
        </w:tabs>
        <w:suppressAutoHyphens/>
        <w:kinsoku w:val="0"/>
        <w:overflowPunct w:val="0"/>
        <w:autoSpaceDE w:val="0"/>
        <w:autoSpaceDN w:val="0"/>
        <w:ind w:left="0" w:firstLine="0"/>
        <w:rPr>
          <w:rFonts w:cs="Times New Roman"/>
          <w:kern w:val="22"/>
          <w:szCs w:val="22"/>
        </w:rPr>
      </w:pPr>
      <w:r w:rsidRPr="0009641F">
        <w:rPr>
          <w:rFonts w:cs="Times New Roman"/>
          <w:kern w:val="22"/>
          <w:szCs w:val="22"/>
        </w:rPr>
        <w:t>In the light of this stock-taking, committee members will be invited to share information on additional existing capacity-building resources that are not currently listed in the table provided in CBD/</w:t>
      </w:r>
      <w:r w:rsidR="005371DE">
        <w:rPr>
          <w:rFonts w:cs="Times New Roman"/>
          <w:kern w:val="22"/>
          <w:szCs w:val="22"/>
        </w:rPr>
        <w:t>NP</w:t>
      </w:r>
      <w:r w:rsidRPr="0009641F">
        <w:rPr>
          <w:rFonts w:cs="Times New Roman"/>
          <w:kern w:val="22"/>
          <w:szCs w:val="22"/>
        </w:rPr>
        <w:t>/CB-IAC/201</w:t>
      </w:r>
      <w:r w:rsidR="00AF1F79" w:rsidRPr="0009641F">
        <w:rPr>
          <w:rFonts w:cs="Times New Roman"/>
          <w:kern w:val="22"/>
          <w:szCs w:val="22"/>
        </w:rPr>
        <w:t>9</w:t>
      </w:r>
      <w:r w:rsidRPr="0009641F">
        <w:rPr>
          <w:rFonts w:cs="Times New Roman"/>
          <w:kern w:val="22"/>
          <w:szCs w:val="22"/>
        </w:rPr>
        <w:t xml:space="preserve">/1/2/Add.2 and will be invited to upload the missing information or new resources </w:t>
      </w:r>
      <w:r w:rsidR="00D9120C" w:rsidRPr="0009641F">
        <w:rPr>
          <w:rFonts w:cs="Times New Roman"/>
          <w:kern w:val="22"/>
          <w:szCs w:val="22"/>
        </w:rPr>
        <w:t>to</w:t>
      </w:r>
      <w:r w:rsidRPr="0009641F">
        <w:rPr>
          <w:rFonts w:cs="Times New Roman"/>
          <w:kern w:val="22"/>
          <w:szCs w:val="22"/>
        </w:rPr>
        <w:t xml:space="preserve"> the ABS Clearing-House.</w:t>
      </w:r>
      <w:r w:rsidR="00F82B45" w:rsidRPr="0009641F">
        <w:rPr>
          <w:rFonts w:cs="Times New Roman"/>
          <w:kern w:val="22"/>
          <w:szCs w:val="22"/>
        </w:rPr>
        <w:t xml:space="preserve"> </w:t>
      </w:r>
    </w:p>
    <w:p w14:paraId="3BB528E0" w14:textId="34925D2D" w:rsidR="007F0ABA" w:rsidRPr="0009641F" w:rsidRDefault="00F82B45" w:rsidP="006255E2">
      <w:pPr>
        <w:pStyle w:val="Para1"/>
        <w:numPr>
          <w:ilvl w:val="0"/>
          <w:numId w:val="18"/>
        </w:numPr>
        <w:suppressLineNumbers/>
        <w:tabs>
          <w:tab w:val="left" w:pos="720"/>
        </w:tabs>
        <w:suppressAutoHyphens/>
        <w:kinsoku w:val="0"/>
        <w:overflowPunct w:val="0"/>
        <w:autoSpaceDE w:val="0"/>
        <w:autoSpaceDN w:val="0"/>
        <w:ind w:left="0" w:firstLine="0"/>
        <w:rPr>
          <w:snapToGrid/>
          <w:kern w:val="22"/>
          <w:szCs w:val="22"/>
        </w:rPr>
      </w:pPr>
      <w:r w:rsidRPr="0009641F">
        <w:rPr>
          <w:snapToGrid/>
          <w:kern w:val="22"/>
          <w:szCs w:val="22"/>
        </w:rPr>
        <w:t xml:space="preserve">Similarly, with the capacity-building initiatives, the Secretariat intends to base its future reporting on measures to support capacity-building and development on the information available in the ABS Clearing-House, therefore Committee members will be invited to provide recommendations to enhance the publication of these resources into the ABS Clearing-House. </w:t>
      </w:r>
    </w:p>
    <w:p w14:paraId="53B597E3" w14:textId="6E0D50DA" w:rsidR="007F0ABA" w:rsidRPr="0009641F" w:rsidRDefault="007F0ABA" w:rsidP="006255E2">
      <w:pPr>
        <w:pStyle w:val="Para1"/>
        <w:numPr>
          <w:ilvl w:val="0"/>
          <w:numId w:val="18"/>
        </w:numPr>
        <w:suppressLineNumbers/>
        <w:tabs>
          <w:tab w:val="left" w:pos="720"/>
        </w:tabs>
        <w:suppressAutoHyphens/>
        <w:kinsoku w:val="0"/>
        <w:overflowPunct w:val="0"/>
        <w:autoSpaceDE w:val="0"/>
        <w:autoSpaceDN w:val="0"/>
        <w:ind w:left="0" w:firstLine="0"/>
        <w:rPr>
          <w:snapToGrid/>
          <w:kern w:val="22"/>
          <w:szCs w:val="22"/>
          <w:lang w:eastAsia="ko-KR"/>
        </w:rPr>
      </w:pPr>
      <w:r w:rsidRPr="0009641F">
        <w:rPr>
          <w:kern w:val="22"/>
          <w:szCs w:val="22"/>
        </w:rPr>
        <w:t xml:space="preserve">It is important to note that the above analysis is based on the information compiled by the Secretariat and is not an exhaustive list of all the ABS capacity-building and awareness material that may be in existence. </w:t>
      </w:r>
    </w:p>
    <w:p w14:paraId="12FE37D7" w14:textId="77777777" w:rsidR="007F0ABA" w:rsidRPr="004A011A" w:rsidRDefault="009855B3" w:rsidP="0009641F">
      <w:pPr>
        <w:pStyle w:val="Heading1"/>
        <w:suppressLineNumbers/>
        <w:suppressAutoHyphens/>
        <w:kinsoku w:val="0"/>
        <w:overflowPunct w:val="0"/>
        <w:autoSpaceDE w:val="0"/>
        <w:autoSpaceDN w:val="0"/>
        <w:spacing w:before="0"/>
        <w:ind w:left="1701" w:hanging="567"/>
        <w:jc w:val="left"/>
        <w:rPr>
          <w:rFonts w:eastAsia="Arial Unicode MS"/>
          <w:kern w:val="22"/>
          <w:szCs w:val="22"/>
        </w:rPr>
      </w:pPr>
      <w:r>
        <w:rPr>
          <w:rFonts w:eastAsia="Arial Unicode MS"/>
          <w:kern w:val="22"/>
          <w:szCs w:val="22"/>
        </w:rPr>
        <w:t>I</w:t>
      </w:r>
      <w:r w:rsidR="007F0ABA" w:rsidRPr="004A011A">
        <w:rPr>
          <w:rFonts w:eastAsia="Arial Unicode MS"/>
          <w:kern w:val="22"/>
          <w:szCs w:val="22"/>
        </w:rPr>
        <w:t>V.</w:t>
      </w:r>
      <w:r w:rsidR="007F0ABA" w:rsidRPr="004A011A">
        <w:rPr>
          <w:rFonts w:eastAsia="Arial Unicode MS"/>
          <w:kern w:val="22"/>
          <w:szCs w:val="22"/>
        </w:rPr>
        <w:tab/>
        <w:t>Update on capacity-building and development activities undertaken by the Secretariat</w:t>
      </w:r>
    </w:p>
    <w:p w14:paraId="3DB0FAD0" w14:textId="0832DC91" w:rsidR="007F0ABA" w:rsidRDefault="007F0ABA" w:rsidP="006255E2">
      <w:pPr>
        <w:pStyle w:val="Para1"/>
        <w:numPr>
          <w:ilvl w:val="0"/>
          <w:numId w:val="18"/>
        </w:numPr>
        <w:suppressLineNumbers/>
        <w:tabs>
          <w:tab w:val="left" w:pos="720"/>
        </w:tabs>
        <w:suppressAutoHyphens/>
        <w:kinsoku w:val="0"/>
        <w:overflowPunct w:val="0"/>
        <w:autoSpaceDE w:val="0"/>
        <w:autoSpaceDN w:val="0"/>
        <w:ind w:left="0" w:firstLine="0"/>
        <w:rPr>
          <w:snapToGrid/>
          <w:kern w:val="22"/>
          <w:szCs w:val="22"/>
          <w:lang w:eastAsia="ko-KR"/>
        </w:rPr>
      </w:pPr>
      <w:r w:rsidRPr="004A011A">
        <w:rPr>
          <w:snapToGrid/>
          <w:kern w:val="22"/>
          <w:szCs w:val="22"/>
          <w:lang w:eastAsia="ko-KR"/>
        </w:rPr>
        <w:t xml:space="preserve">Since the </w:t>
      </w:r>
      <w:r>
        <w:rPr>
          <w:snapToGrid/>
          <w:kern w:val="22"/>
          <w:szCs w:val="22"/>
          <w:lang w:eastAsia="ko-KR"/>
        </w:rPr>
        <w:t>third</w:t>
      </w:r>
      <w:r w:rsidRPr="004A011A">
        <w:rPr>
          <w:snapToGrid/>
          <w:kern w:val="22"/>
          <w:szCs w:val="22"/>
          <w:lang w:eastAsia="ko-KR"/>
        </w:rPr>
        <w:t xml:space="preserve"> meeting of the Parties</w:t>
      </w:r>
      <w:r w:rsidR="003900AF">
        <w:rPr>
          <w:snapToGrid/>
          <w:kern w:val="22"/>
          <w:szCs w:val="22"/>
          <w:lang w:eastAsia="ko-KR"/>
        </w:rPr>
        <w:t xml:space="preserve"> to the Protocol</w:t>
      </w:r>
      <w:r w:rsidRPr="004A011A">
        <w:rPr>
          <w:snapToGrid/>
          <w:kern w:val="22"/>
          <w:szCs w:val="22"/>
          <w:lang w:eastAsia="ko-KR"/>
        </w:rPr>
        <w:t>, the Secretariat has continued to support capacity-building and development through various initiatives and activities. A brief overview of these is provided in the following subsections.</w:t>
      </w:r>
    </w:p>
    <w:p w14:paraId="221D8374" w14:textId="380F46AC" w:rsidR="003E2C54" w:rsidRDefault="00F8670A" w:rsidP="0009641F">
      <w:pPr>
        <w:pStyle w:val="Heading2"/>
        <w:tabs>
          <w:tab w:val="clear" w:pos="720"/>
          <w:tab w:val="left" w:pos="426"/>
        </w:tabs>
        <w:spacing w:before="0"/>
        <w:rPr>
          <w:rFonts w:cs="Times New Roman"/>
          <w:kern w:val="22"/>
          <w:szCs w:val="22"/>
        </w:rPr>
      </w:pPr>
      <w:r w:rsidRPr="003D0C29">
        <w:rPr>
          <w:rFonts w:cs="Times New Roman"/>
          <w:color w:val="000000"/>
          <w:kern w:val="22"/>
          <w:szCs w:val="22"/>
        </w:rPr>
        <w:t>A.</w:t>
      </w:r>
      <w:r w:rsidRPr="003D0C29">
        <w:rPr>
          <w:rFonts w:cs="Times New Roman"/>
          <w:color w:val="000000"/>
          <w:kern w:val="22"/>
          <w:szCs w:val="22"/>
        </w:rPr>
        <w:tab/>
      </w:r>
      <w:r w:rsidR="003C25AE" w:rsidRPr="003D0C29">
        <w:rPr>
          <w:rFonts w:cs="Times New Roman"/>
          <w:kern w:val="22"/>
          <w:szCs w:val="22"/>
        </w:rPr>
        <w:t>C</w:t>
      </w:r>
      <w:r w:rsidR="003E2C54" w:rsidRPr="003D0C29">
        <w:rPr>
          <w:rFonts w:cs="Times New Roman"/>
          <w:kern w:val="22"/>
          <w:szCs w:val="22"/>
        </w:rPr>
        <w:t xml:space="preserve">apacity-building and development </w:t>
      </w:r>
      <w:r w:rsidR="000F498F" w:rsidRPr="003D0C29">
        <w:rPr>
          <w:rFonts w:cs="Times New Roman"/>
          <w:kern w:val="22"/>
          <w:szCs w:val="22"/>
        </w:rPr>
        <w:t>activities</w:t>
      </w:r>
    </w:p>
    <w:p w14:paraId="40688927" w14:textId="03D001CA" w:rsidR="009855B3" w:rsidRPr="004A011A" w:rsidRDefault="009855B3" w:rsidP="006255E2">
      <w:pPr>
        <w:pStyle w:val="Para1"/>
        <w:numPr>
          <w:ilvl w:val="0"/>
          <w:numId w:val="18"/>
        </w:numPr>
        <w:suppressLineNumbers/>
        <w:tabs>
          <w:tab w:val="left" w:pos="720"/>
        </w:tabs>
        <w:suppressAutoHyphens/>
        <w:kinsoku w:val="0"/>
        <w:overflowPunct w:val="0"/>
        <w:autoSpaceDE w:val="0"/>
        <w:autoSpaceDN w:val="0"/>
        <w:ind w:left="0" w:firstLine="0"/>
        <w:rPr>
          <w:snapToGrid/>
          <w:kern w:val="22"/>
          <w:szCs w:val="22"/>
          <w:lang w:eastAsia="ko-KR"/>
        </w:rPr>
      </w:pPr>
      <w:r w:rsidRPr="004A011A">
        <w:rPr>
          <w:snapToGrid/>
          <w:kern w:val="22"/>
          <w:szCs w:val="22"/>
          <w:lang w:eastAsia="ko-KR"/>
        </w:rPr>
        <w:t xml:space="preserve">As requested in decision NP-2/8, paragraph 9, the Secretariat </w:t>
      </w:r>
      <w:r w:rsidR="007A5D62">
        <w:rPr>
          <w:snapToGrid/>
          <w:kern w:val="22"/>
          <w:szCs w:val="22"/>
          <w:lang w:eastAsia="ko-KR"/>
        </w:rPr>
        <w:t>continues</w:t>
      </w:r>
      <w:r w:rsidRPr="004A011A">
        <w:rPr>
          <w:snapToGrid/>
          <w:kern w:val="22"/>
          <w:szCs w:val="22"/>
          <w:lang w:eastAsia="ko-KR"/>
        </w:rPr>
        <w:t xml:space="preserve"> to carry out </w:t>
      </w:r>
      <w:proofErr w:type="gramStart"/>
      <w:r w:rsidRPr="004A011A">
        <w:rPr>
          <w:snapToGrid/>
          <w:kern w:val="22"/>
          <w:szCs w:val="22"/>
          <w:lang w:eastAsia="ko-KR"/>
        </w:rPr>
        <w:t>a number of</w:t>
      </w:r>
      <w:proofErr w:type="gramEnd"/>
      <w:r w:rsidRPr="004A011A">
        <w:rPr>
          <w:snapToGrid/>
          <w:kern w:val="22"/>
          <w:szCs w:val="22"/>
          <w:lang w:eastAsia="ko-KR"/>
        </w:rPr>
        <w:t xml:space="preserve"> capacity-building activities to support the ratification and implementation of the Nagoya Protocol during the current biennium (201</w:t>
      </w:r>
      <w:r>
        <w:rPr>
          <w:snapToGrid/>
          <w:kern w:val="22"/>
          <w:szCs w:val="22"/>
          <w:lang w:eastAsia="ko-KR"/>
        </w:rPr>
        <w:t>9</w:t>
      </w:r>
      <w:r w:rsidRPr="004A011A">
        <w:rPr>
          <w:snapToGrid/>
          <w:kern w:val="22"/>
          <w:szCs w:val="22"/>
          <w:lang w:eastAsia="ko-KR"/>
        </w:rPr>
        <w:t>-20</w:t>
      </w:r>
      <w:r>
        <w:rPr>
          <w:snapToGrid/>
          <w:kern w:val="22"/>
          <w:szCs w:val="22"/>
          <w:lang w:eastAsia="ko-KR"/>
        </w:rPr>
        <w:t>20</w:t>
      </w:r>
      <w:r w:rsidRPr="004A011A">
        <w:rPr>
          <w:snapToGrid/>
          <w:kern w:val="22"/>
          <w:szCs w:val="22"/>
          <w:lang w:eastAsia="ko-KR"/>
        </w:rPr>
        <w:t>), as follows:</w:t>
      </w:r>
    </w:p>
    <w:p w14:paraId="67FCAD29" w14:textId="567CB843" w:rsidR="005D573C" w:rsidRPr="00334BD0" w:rsidRDefault="009855B3" w:rsidP="0009641F">
      <w:pPr>
        <w:pStyle w:val="Para1"/>
        <w:numPr>
          <w:ilvl w:val="0"/>
          <w:numId w:val="0"/>
        </w:numPr>
        <w:pBdr>
          <w:top w:val="nil"/>
          <w:left w:val="nil"/>
          <w:bottom w:val="nil"/>
          <w:right w:val="nil"/>
          <w:between w:val="nil"/>
          <w:bar w:val="nil"/>
        </w:pBdr>
        <w:ind w:firstLine="720"/>
        <w:rPr>
          <w:rFonts w:cs="Times New Roman"/>
          <w:snapToGrid/>
          <w:kern w:val="22"/>
          <w:szCs w:val="22"/>
        </w:rPr>
      </w:pPr>
      <w:r>
        <w:rPr>
          <w:rFonts w:cs="Times New Roman"/>
          <w:snapToGrid/>
          <w:color w:val="000000"/>
          <w:kern w:val="22"/>
          <w:szCs w:val="22"/>
        </w:rPr>
        <w:t>(a)</w:t>
      </w:r>
      <w:r>
        <w:rPr>
          <w:rFonts w:cs="Times New Roman"/>
          <w:snapToGrid/>
          <w:color w:val="000000"/>
          <w:kern w:val="22"/>
          <w:szCs w:val="22"/>
        </w:rPr>
        <w:tab/>
      </w:r>
      <w:r w:rsidR="005D573C" w:rsidRPr="005D573C">
        <w:rPr>
          <w:rFonts w:cs="Times New Roman"/>
          <w:snapToGrid/>
          <w:color w:val="000000"/>
          <w:kern w:val="22"/>
          <w:szCs w:val="22"/>
        </w:rPr>
        <w:t xml:space="preserve">Following </w:t>
      </w:r>
      <w:r w:rsidR="00334BD0">
        <w:rPr>
          <w:rFonts w:cs="Times New Roman"/>
          <w:snapToGrid/>
          <w:color w:val="000000"/>
          <w:kern w:val="22"/>
          <w:szCs w:val="22"/>
        </w:rPr>
        <w:t>six</w:t>
      </w:r>
      <w:r w:rsidR="005D573C">
        <w:rPr>
          <w:rFonts w:cs="Times New Roman"/>
          <w:snapToGrid/>
          <w:color w:val="000000"/>
          <w:kern w:val="22"/>
          <w:szCs w:val="22"/>
        </w:rPr>
        <w:t xml:space="preserve"> regional </w:t>
      </w:r>
      <w:r w:rsidR="001C4F33">
        <w:rPr>
          <w:rFonts w:cs="Times New Roman"/>
          <w:snapToGrid/>
          <w:color w:val="000000"/>
          <w:kern w:val="22"/>
          <w:szCs w:val="22"/>
        </w:rPr>
        <w:t>courses</w:t>
      </w:r>
      <w:r w:rsidR="005D573C">
        <w:rPr>
          <w:rFonts w:cs="Times New Roman"/>
          <w:snapToGrid/>
          <w:color w:val="000000"/>
          <w:kern w:val="22"/>
          <w:szCs w:val="22"/>
        </w:rPr>
        <w:t xml:space="preserve"> that took place in 2018</w:t>
      </w:r>
      <w:r w:rsidR="004E7ECC">
        <w:rPr>
          <w:rFonts w:cs="Times New Roman"/>
          <w:snapToGrid/>
          <w:color w:val="000000"/>
          <w:kern w:val="22"/>
          <w:szCs w:val="22"/>
        </w:rPr>
        <w:t xml:space="preserve"> on establishing measures to implement the Nagoya Protocol</w:t>
      </w:r>
      <w:r w:rsidR="005D573C">
        <w:rPr>
          <w:rFonts w:cs="Times New Roman"/>
          <w:snapToGrid/>
          <w:color w:val="000000"/>
          <w:kern w:val="22"/>
          <w:szCs w:val="22"/>
        </w:rPr>
        <w:t xml:space="preserve">, the SCBD </w:t>
      </w:r>
      <w:r w:rsidR="00334BD0">
        <w:rPr>
          <w:rFonts w:cs="Times New Roman"/>
          <w:snapToGrid/>
          <w:color w:val="000000"/>
          <w:kern w:val="22"/>
          <w:szCs w:val="22"/>
        </w:rPr>
        <w:t>in partnership</w:t>
      </w:r>
      <w:r w:rsidR="005D573C">
        <w:rPr>
          <w:rFonts w:cs="Times New Roman"/>
          <w:snapToGrid/>
          <w:color w:val="000000"/>
          <w:kern w:val="22"/>
          <w:szCs w:val="22"/>
        </w:rPr>
        <w:t xml:space="preserve"> with </w:t>
      </w:r>
      <w:r>
        <w:rPr>
          <w:rFonts w:cs="Times New Roman"/>
          <w:snapToGrid/>
          <w:color w:val="000000"/>
          <w:kern w:val="22"/>
          <w:szCs w:val="22"/>
        </w:rPr>
        <w:t xml:space="preserve">the </w:t>
      </w:r>
      <w:hyperlink r:id="rId35" w:history="1">
        <w:r w:rsidRPr="004A011A">
          <w:rPr>
            <w:rStyle w:val="Hyperlink"/>
            <w:snapToGrid/>
            <w:kern w:val="22"/>
            <w:szCs w:val="22"/>
            <w:lang w:eastAsia="ko-KR"/>
          </w:rPr>
          <w:t xml:space="preserve">International </w:t>
        </w:r>
        <w:r w:rsidRPr="00FD381F">
          <w:rPr>
            <w:rStyle w:val="Hyperlink"/>
            <w:snapToGrid/>
            <w:kern w:val="22"/>
            <w:szCs w:val="22"/>
            <w:lang w:eastAsia="ko-KR"/>
          </w:rPr>
          <w:t xml:space="preserve">Development </w:t>
        </w:r>
        <w:r w:rsidRPr="004A011A">
          <w:rPr>
            <w:rStyle w:val="Hyperlink"/>
            <w:snapToGrid/>
            <w:kern w:val="22"/>
            <w:szCs w:val="22"/>
            <w:lang w:eastAsia="ko-KR"/>
          </w:rPr>
          <w:t>Law Organization</w:t>
        </w:r>
      </w:hyperlink>
      <w:r w:rsidRPr="004A011A">
        <w:rPr>
          <w:snapToGrid/>
          <w:kern w:val="22"/>
          <w:szCs w:val="22"/>
          <w:lang w:eastAsia="ko-KR"/>
        </w:rPr>
        <w:t xml:space="preserve"> (</w:t>
      </w:r>
      <w:proofErr w:type="spellStart"/>
      <w:r w:rsidR="005D573C">
        <w:rPr>
          <w:rFonts w:cs="Times New Roman"/>
          <w:snapToGrid/>
          <w:color w:val="000000"/>
          <w:kern w:val="22"/>
          <w:szCs w:val="22"/>
        </w:rPr>
        <w:t>IDLO</w:t>
      </w:r>
      <w:proofErr w:type="spellEnd"/>
      <w:r>
        <w:rPr>
          <w:rFonts w:cs="Times New Roman"/>
          <w:snapToGrid/>
          <w:color w:val="000000"/>
          <w:kern w:val="22"/>
          <w:szCs w:val="22"/>
        </w:rPr>
        <w:t>)</w:t>
      </w:r>
      <w:r w:rsidR="005D573C">
        <w:rPr>
          <w:rFonts w:cs="Times New Roman"/>
          <w:snapToGrid/>
          <w:color w:val="000000"/>
          <w:kern w:val="22"/>
          <w:szCs w:val="22"/>
        </w:rPr>
        <w:t xml:space="preserve"> </w:t>
      </w:r>
      <w:r w:rsidR="00334BD0">
        <w:rPr>
          <w:rFonts w:cs="Times New Roman"/>
          <w:snapToGrid/>
          <w:color w:val="000000"/>
          <w:kern w:val="22"/>
          <w:szCs w:val="22"/>
        </w:rPr>
        <w:t>organi</w:t>
      </w:r>
      <w:r w:rsidR="001C7871">
        <w:rPr>
          <w:rFonts w:cs="Times New Roman"/>
          <w:snapToGrid/>
          <w:color w:val="000000"/>
          <w:kern w:val="22"/>
          <w:szCs w:val="22"/>
        </w:rPr>
        <w:t>z</w:t>
      </w:r>
      <w:r w:rsidR="00334BD0">
        <w:rPr>
          <w:rFonts w:cs="Times New Roman"/>
          <w:snapToGrid/>
          <w:color w:val="000000"/>
          <w:kern w:val="22"/>
          <w:szCs w:val="22"/>
        </w:rPr>
        <w:t>ed</w:t>
      </w:r>
      <w:r w:rsidR="005D573C">
        <w:rPr>
          <w:rFonts w:cs="Times New Roman"/>
          <w:snapToGrid/>
          <w:color w:val="000000"/>
          <w:kern w:val="22"/>
          <w:szCs w:val="22"/>
        </w:rPr>
        <w:t xml:space="preserve"> a training-of-trainer </w:t>
      </w:r>
      <w:r w:rsidR="000460E8">
        <w:rPr>
          <w:rFonts w:cs="Times New Roman"/>
          <w:snapToGrid/>
          <w:color w:val="000000"/>
          <w:kern w:val="22"/>
          <w:szCs w:val="22"/>
        </w:rPr>
        <w:t xml:space="preserve">workshop </w:t>
      </w:r>
      <w:r w:rsidR="005D573C">
        <w:rPr>
          <w:rFonts w:cs="Times New Roman"/>
          <w:snapToGrid/>
          <w:color w:val="000000"/>
          <w:kern w:val="22"/>
          <w:szCs w:val="22"/>
        </w:rPr>
        <w:t>pilot project</w:t>
      </w:r>
      <w:r w:rsidR="00334BD0">
        <w:rPr>
          <w:rFonts w:cs="Times New Roman"/>
          <w:snapToGrid/>
          <w:color w:val="000000"/>
          <w:kern w:val="22"/>
          <w:szCs w:val="22"/>
        </w:rPr>
        <w:t xml:space="preserve"> based on the methodology and materials developed under the </w:t>
      </w:r>
      <w:r w:rsidR="00334BD0" w:rsidRPr="00334BD0">
        <w:rPr>
          <w:rFonts w:cs="Times New Roman"/>
          <w:snapToGrid/>
          <w:color w:val="000000"/>
          <w:kern w:val="22"/>
          <w:szCs w:val="22"/>
        </w:rPr>
        <w:t xml:space="preserve">IDLO-SCBD </w:t>
      </w:r>
      <w:r w:rsidR="00486819">
        <w:rPr>
          <w:rFonts w:cs="Times New Roman"/>
          <w:snapToGrid/>
          <w:color w:val="000000"/>
          <w:kern w:val="22"/>
          <w:szCs w:val="22"/>
        </w:rPr>
        <w:t>C</w:t>
      </w:r>
      <w:r w:rsidR="00334BD0" w:rsidRPr="00334BD0">
        <w:rPr>
          <w:rFonts w:cs="Times New Roman"/>
          <w:snapToGrid/>
          <w:color w:val="000000"/>
          <w:kern w:val="22"/>
          <w:szCs w:val="22"/>
        </w:rPr>
        <w:t xml:space="preserve">apacity-building </w:t>
      </w:r>
      <w:r w:rsidR="00486819">
        <w:rPr>
          <w:rFonts w:cs="Times New Roman"/>
          <w:snapToGrid/>
          <w:color w:val="000000"/>
          <w:kern w:val="22"/>
          <w:szCs w:val="22"/>
        </w:rPr>
        <w:t>P</w:t>
      </w:r>
      <w:r w:rsidR="00334BD0" w:rsidRPr="00334BD0">
        <w:rPr>
          <w:rFonts w:cs="Times New Roman"/>
          <w:snapToGrid/>
          <w:color w:val="000000"/>
          <w:kern w:val="22"/>
          <w:szCs w:val="22"/>
        </w:rPr>
        <w:t>rogramme</w:t>
      </w:r>
      <w:r w:rsidR="001C7871">
        <w:rPr>
          <w:rFonts w:cs="Times New Roman"/>
          <w:snapToGrid/>
          <w:color w:val="000000"/>
          <w:kern w:val="22"/>
          <w:szCs w:val="22"/>
        </w:rPr>
        <w:t>.</w:t>
      </w:r>
      <w:r w:rsidR="00334BD0">
        <w:rPr>
          <w:rStyle w:val="FootnoteReference"/>
          <w:rFonts w:cs="Times New Roman"/>
          <w:snapToGrid/>
          <w:color w:val="000000"/>
          <w:kern w:val="22"/>
          <w:szCs w:val="22"/>
        </w:rPr>
        <w:footnoteReference w:id="15"/>
      </w:r>
      <w:r w:rsidR="005D573C">
        <w:rPr>
          <w:rFonts w:cs="Times New Roman"/>
          <w:snapToGrid/>
          <w:color w:val="000000"/>
          <w:kern w:val="22"/>
          <w:szCs w:val="22"/>
        </w:rPr>
        <w:t xml:space="preserve"> </w:t>
      </w:r>
      <w:r w:rsidR="00732182" w:rsidRPr="00F37844">
        <w:rPr>
          <w:rFonts w:cs="Times New Roman"/>
          <w:snapToGrid/>
          <w:kern w:val="22"/>
          <w:szCs w:val="22"/>
        </w:rPr>
        <w:t xml:space="preserve">The 3-day workshop </w:t>
      </w:r>
      <w:r w:rsidR="00732182">
        <w:rPr>
          <w:rFonts w:cs="Times New Roman"/>
          <w:snapToGrid/>
          <w:kern w:val="22"/>
          <w:szCs w:val="22"/>
        </w:rPr>
        <w:t>was</w:t>
      </w:r>
      <w:r w:rsidR="00732182" w:rsidRPr="00F37844">
        <w:rPr>
          <w:rFonts w:cs="Times New Roman"/>
          <w:snapToGrid/>
          <w:kern w:val="22"/>
          <w:szCs w:val="22"/>
        </w:rPr>
        <w:t xml:space="preserve"> organized with the support of the United Nations Development Program and </w:t>
      </w:r>
      <w:r w:rsidR="00732182">
        <w:rPr>
          <w:rFonts w:cs="Times New Roman"/>
          <w:snapToGrid/>
          <w:kern w:val="22"/>
          <w:szCs w:val="22"/>
        </w:rPr>
        <w:t>was</w:t>
      </w:r>
      <w:r w:rsidR="00732182" w:rsidRPr="00F37844">
        <w:rPr>
          <w:rFonts w:cs="Times New Roman"/>
          <w:snapToGrid/>
          <w:kern w:val="22"/>
          <w:szCs w:val="22"/>
        </w:rPr>
        <w:t xml:space="preserve"> held in </w:t>
      </w:r>
      <w:r w:rsidR="00647168">
        <w:rPr>
          <w:rFonts w:cs="Times New Roman"/>
          <w:snapToGrid/>
          <w:kern w:val="22"/>
          <w:szCs w:val="22"/>
        </w:rPr>
        <w:t>Casablanca</w:t>
      </w:r>
      <w:r w:rsidR="00732182" w:rsidRPr="00F37844">
        <w:rPr>
          <w:rFonts w:cs="Times New Roman"/>
          <w:snapToGrid/>
          <w:kern w:val="22"/>
          <w:szCs w:val="22"/>
        </w:rPr>
        <w:t>, Morocco from June 11-13, 2019, in French.</w:t>
      </w:r>
      <w:r w:rsidR="00732182" w:rsidRPr="00732182">
        <w:rPr>
          <w:rFonts w:cs="Times New Roman"/>
          <w:snapToGrid/>
          <w:color w:val="000000"/>
          <w:kern w:val="22"/>
          <w:szCs w:val="22"/>
        </w:rPr>
        <w:t xml:space="preserve"> </w:t>
      </w:r>
      <w:r w:rsidR="000460E8">
        <w:rPr>
          <w:rFonts w:cs="Times New Roman"/>
          <w:snapToGrid/>
          <w:color w:val="000000"/>
          <w:kern w:val="22"/>
          <w:szCs w:val="22"/>
        </w:rPr>
        <w:t>The workshop was</w:t>
      </w:r>
      <w:r w:rsidR="00334BD0">
        <w:rPr>
          <w:rFonts w:cs="Times New Roman"/>
          <w:snapToGrid/>
          <w:color w:val="000000"/>
          <w:kern w:val="22"/>
          <w:szCs w:val="22"/>
        </w:rPr>
        <w:t xml:space="preserve"> made</w:t>
      </w:r>
      <w:r w:rsidR="000460E8">
        <w:rPr>
          <w:rFonts w:cs="Times New Roman"/>
          <w:snapToGrid/>
          <w:color w:val="000000"/>
          <w:kern w:val="22"/>
          <w:szCs w:val="22"/>
        </w:rPr>
        <w:t xml:space="preserve"> </w:t>
      </w:r>
      <w:r w:rsidR="000460E8" w:rsidRPr="000460E8">
        <w:rPr>
          <w:rFonts w:cs="Times New Roman"/>
          <w:snapToGrid/>
          <w:color w:val="000000"/>
          <w:kern w:val="22"/>
          <w:szCs w:val="22"/>
        </w:rPr>
        <w:t xml:space="preserve">possible with the </w:t>
      </w:r>
      <w:r w:rsidR="00732182" w:rsidRPr="000460E8">
        <w:rPr>
          <w:rFonts w:cs="Times New Roman"/>
          <w:snapToGrid/>
          <w:kern w:val="22"/>
          <w:szCs w:val="22"/>
        </w:rPr>
        <w:t>continued support from the Japan Biodiversity Fund</w:t>
      </w:r>
      <w:r w:rsidR="000460E8">
        <w:rPr>
          <w:rFonts w:cs="Times New Roman"/>
          <w:snapToGrid/>
          <w:kern w:val="22"/>
          <w:szCs w:val="22"/>
        </w:rPr>
        <w:t>.</w:t>
      </w:r>
      <w:r>
        <w:rPr>
          <w:rFonts w:cs="Times New Roman"/>
          <w:snapToGrid/>
          <w:kern w:val="22"/>
          <w:szCs w:val="22"/>
        </w:rPr>
        <w:t xml:space="preserve"> </w:t>
      </w:r>
      <w:r w:rsidR="000460E8" w:rsidRPr="000460E8">
        <w:rPr>
          <w:rFonts w:cs="Times New Roman"/>
          <w:snapToGrid/>
          <w:kern w:val="22"/>
          <w:szCs w:val="22"/>
        </w:rPr>
        <w:t>The goal of the workshop was to enhance the capacity of participants to</w:t>
      </w:r>
      <w:r w:rsidR="00334BD0">
        <w:rPr>
          <w:rFonts w:cs="Times New Roman"/>
          <w:snapToGrid/>
          <w:kern w:val="22"/>
          <w:szCs w:val="22"/>
        </w:rPr>
        <w:t xml:space="preserve"> use and adapt the methods and training materials to</w:t>
      </w:r>
      <w:r w:rsidR="000460E8" w:rsidRPr="000460E8">
        <w:rPr>
          <w:rFonts w:cs="Times New Roman"/>
          <w:snapToGrid/>
          <w:kern w:val="22"/>
          <w:szCs w:val="22"/>
        </w:rPr>
        <w:t xml:space="preserve"> design national ABS training activities with a view to support the development of national frameworks for the implementation of the Nagoya Protocol</w:t>
      </w:r>
      <w:r w:rsidR="001C7871">
        <w:rPr>
          <w:rFonts w:cs="Times New Roman"/>
          <w:snapToGrid/>
          <w:kern w:val="22"/>
          <w:szCs w:val="22"/>
        </w:rPr>
        <w:t>;</w:t>
      </w:r>
      <w:r w:rsidR="000460E8" w:rsidRPr="000460E8">
        <w:rPr>
          <w:rFonts w:cs="Times New Roman"/>
          <w:snapToGrid/>
          <w:kern w:val="22"/>
          <w:szCs w:val="22"/>
        </w:rPr>
        <w:t xml:space="preserve"> </w:t>
      </w:r>
    </w:p>
    <w:p w14:paraId="49649E06" w14:textId="09B5C7CC" w:rsidR="00251175" w:rsidRDefault="0081119B" w:rsidP="0009641F">
      <w:pPr>
        <w:pStyle w:val="Para1"/>
        <w:numPr>
          <w:ilvl w:val="0"/>
          <w:numId w:val="0"/>
        </w:numPr>
        <w:ind w:firstLine="720"/>
        <w:rPr>
          <w:rFonts w:cs="Times New Roman"/>
          <w:snapToGrid/>
          <w:kern w:val="22"/>
          <w:szCs w:val="22"/>
        </w:rPr>
      </w:pPr>
      <w:r>
        <w:rPr>
          <w:snapToGrid/>
        </w:rPr>
        <w:t>(b)</w:t>
      </w:r>
      <w:r>
        <w:rPr>
          <w:snapToGrid/>
        </w:rPr>
        <w:tab/>
      </w:r>
      <w:r w:rsidR="00647168">
        <w:rPr>
          <w:snapToGrid/>
        </w:rPr>
        <w:t xml:space="preserve">In addition to the in-person </w:t>
      </w:r>
      <w:r w:rsidR="00251175">
        <w:rPr>
          <w:snapToGrid/>
        </w:rPr>
        <w:t xml:space="preserve">training-of-trainer </w:t>
      </w:r>
      <w:r w:rsidR="00647168">
        <w:rPr>
          <w:snapToGrid/>
        </w:rPr>
        <w:t>workshop, and in</w:t>
      </w:r>
      <w:r w:rsidR="00647168" w:rsidRPr="00F37844">
        <w:rPr>
          <w:snapToGrid/>
        </w:rPr>
        <w:t xml:space="preserve"> response to </w:t>
      </w:r>
      <w:r w:rsidR="00251175">
        <w:rPr>
          <w:snapToGrid/>
        </w:rPr>
        <w:t>a request made by the</w:t>
      </w:r>
      <w:r w:rsidR="00647168">
        <w:rPr>
          <w:snapToGrid/>
        </w:rPr>
        <w:t xml:space="preserve"> regional workshop participants, IDLO </w:t>
      </w:r>
      <w:r w:rsidR="00486819">
        <w:rPr>
          <w:snapToGrid/>
        </w:rPr>
        <w:t>also</w:t>
      </w:r>
      <w:r w:rsidR="00647168">
        <w:rPr>
          <w:snapToGrid/>
        </w:rPr>
        <w:t xml:space="preserve"> </w:t>
      </w:r>
      <w:r w:rsidR="00251175">
        <w:rPr>
          <w:snapToGrid/>
        </w:rPr>
        <w:t>elaborated a</w:t>
      </w:r>
      <w:r w:rsidR="00647168" w:rsidRPr="00F37844">
        <w:rPr>
          <w:snapToGrid/>
        </w:rPr>
        <w:t xml:space="preserve"> training package and </w:t>
      </w:r>
      <w:r w:rsidR="00486819">
        <w:rPr>
          <w:snapToGrid/>
        </w:rPr>
        <w:t xml:space="preserve">trainers </w:t>
      </w:r>
      <w:r w:rsidR="00647168" w:rsidRPr="00F37844">
        <w:rPr>
          <w:snapToGrid/>
        </w:rPr>
        <w:t>manual based on the materials a</w:t>
      </w:r>
      <w:r w:rsidR="00647168" w:rsidRPr="00B22D9E">
        <w:rPr>
          <w:snapToGrid/>
        </w:rPr>
        <w:t>nd methodology utili</w:t>
      </w:r>
      <w:r w:rsidR="00DE6A56">
        <w:rPr>
          <w:snapToGrid/>
        </w:rPr>
        <w:t>z</w:t>
      </w:r>
      <w:r w:rsidR="00647168" w:rsidRPr="00B22D9E">
        <w:rPr>
          <w:snapToGrid/>
        </w:rPr>
        <w:t>ed in the IDLO-SCBD Capacity</w:t>
      </w:r>
      <w:r w:rsidR="00486819">
        <w:rPr>
          <w:snapToGrid/>
        </w:rPr>
        <w:t>-building P</w:t>
      </w:r>
      <w:r w:rsidR="00647168" w:rsidRPr="00B22D9E">
        <w:rPr>
          <w:snapToGrid/>
        </w:rPr>
        <w:t>rogram</w:t>
      </w:r>
      <w:r w:rsidR="00486819">
        <w:rPr>
          <w:snapToGrid/>
        </w:rPr>
        <w:t>me</w:t>
      </w:r>
      <w:r w:rsidR="00647168" w:rsidRPr="00B22D9E">
        <w:rPr>
          <w:snapToGrid/>
        </w:rPr>
        <w:t xml:space="preserve">. These materials were piloted </w:t>
      </w:r>
      <w:r w:rsidR="00486819">
        <w:rPr>
          <w:snapToGrid/>
        </w:rPr>
        <w:t xml:space="preserve">during the workshop in Morocco </w:t>
      </w:r>
      <w:r w:rsidR="00647168" w:rsidRPr="00B22D9E">
        <w:rPr>
          <w:snapToGrid/>
        </w:rPr>
        <w:t xml:space="preserve">in collaboration with the network of Francophone African ABS legal experts. </w:t>
      </w:r>
      <w:r w:rsidR="00B22D9E">
        <w:rPr>
          <w:snapToGrid/>
        </w:rPr>
        <w:t xml:space="preserve">The </w:t>
      </w:r>
      <w:r w:rsidR="00830C22">
        <w:rPr>
          <w:snapToGrid/>
        </w:rPr>
        <w:t xml:space="preserve">final versions of the </w:t>
      </w:r>
      <w:r w:rsidR="00B22D9E">
        <w:rPr>
          <w:snapToGrid/>
        </w:rPr>
        <w:t>training materials</w:t>
      </w:r>
      <w:r w:rsidR="00486819">
        <w:rPr>
          <w:snapToGrid/>
        </w:rPr>
        <w:t xml:space="preserve"> and manual</w:t>
      </w:r>
      <w:r w:rsidR="00B22D9E">
        <w:rPr>
          <w:snapToGrid/>
        </w:rPr>
        <w:t xml:space="preserve"> </w:t>
      </w:r>
      <w:r w:rsidR="00486819">
        <w:rPr>
          <w:snapToGrid/>
        </w:rPr>
        <w:t xml:space="preserve">will be </w:t>
      </w:r>
      <w:r w:rsidR="00DE6A56">
        <w:rPr>
          <w:snapToGrid/>
        </w:rPr>
        <w:t>made available on the CBD Website and</w:t>
      </w:r>
      <w:r w:rsidR="00486819">
        <w:rPr>
          <w:snapToGrid/>
        </w:rPr>
        <w:t xml:space="preserve"> the ABS Clearing-House</w:t>
      </w:r>
      <w:r w:rsidR="001C7871">
        <w:rPr>
          <w:snapToGrid/>
        </w:rPr>
        <w:t>;</w:t>
      </w:r>
    </w:p>
    <w:p w14:paraId="75CCBD54" w14:textId="3BE50376" w:rsidR="00E154F0" w:rsidRPr="00251175" w:rsidRDefault="0081119B" w:rsidP="0009641F">
      <w:pPr>
        <w:pStyle w:val="Para1"/>
        <w:numPr>
          <w:ilvl w:val="0"/>
          <w:numId w:val="0"/>
        </w:numPr>
        <w:ind w:firstLine="720"/>
        <w:rPr>
          <w:snapToGrid/>
        </w:rPr>
      </w:pPr>
      <w:r w:rsidRPr="00E263A6">
        <w:rPr>
          <w:snapToGrid/>
          <w:kern w:val="22"/>
          <w:szCs w:val="22"/>
          <w:lang w:eastAsia="ko-KR"/>
        </w:rPr>
        <w:t>(</w:t>
      </w:r>
      <w:r w:rsidR="00251175">
        <w:rPr>
          <w:snapToGrid/>
          <w:kern w:val="22"/>
          <w:szCs w:val="22"/>
          <w:lang w:eastAsia="ko-KR"/>
        </w:rPr>
        <w:t>c</w:t>
      </w:r>
      <w:r w:rsidRPr="00E263A6">
        <w:rPr>
          <w:snapToGrid/>
          <w:kern w:val="22"/>
          <w:szCs w:val="22"/>
          <w:lang w:eastAsia="ko-KR"/>
        </w:rPr>
        <w:t>)</w:t>
      </w:r>
      <w:r w:rsidRPr="00E263A6">
        <w:rPr>
          <w:snapToGrid/>
          <w:kern w:val="22"/>
          <w:szCs w:val="22"/>
          <w:lang w:eastAsia="ko-KR"/>
        </w:rPr>
        <w:tab/>
      </w:r>
      <w:r w:rsidR="00E154F0" w:rsidRPr="00E263A6">
        <w:rPr>
          <w:lang w:eastAsia="ko-KR"/>
        </w:rPr>
        <w:t>The</w:t>
      </w:r>
      <w:r w:rsidR="00E154F0">
        <w:rPr>
          <w:lang w:eastAsia="ko-KR"/>
        </w:rPr>
        <w:t xml:space="preserve"> need for capacity-building for the use of the ABS Clearing-House was stressed by Parties in </w:t>
      </w:r>
      <w:proofErr w:type="gramStart"/>
      <w:r w:rsidR="00E154F0">
        <w:rPr>
          <w:lang w:eastAsia="ko-KR"/>
        </w:rPr>
        <w:t>a number of</w:t>
      </w:r>
      <w:proofErr w:type="gramEnd"/>
      <w:r w:rsidR="00E154F0">
        <w:rPr>
          <w:lang w:eastAsia="ko-KR"/>
        </w:rPr>
        <w:t xml:space="preserve"> decisions adopted at the fourteenth meeting of the Conference of the Parties and the third meeting of the Parties to the Nagoya Protocol. These decisions underscore the crucial relationship between Parties’ information-sharing obligations through the ABS Clearing-House and the successful implementation of the Protocol. In this regard, the Secretariat </w:t>
      </w:r>
      <w:r w:rsidR="004D57B5">
        <w:rPr>
          <w:lang w:eastAsia="ko-KR"/>
        </w:rPr>
        <w:t>continues to carry</w:t>
      </w:r>
      <w:r w:rsidR="00E154F0">
        <w:rPr>
          <w:lang w:eastAsia="ko-KR"/>
        </w:rPr>
        <w:t xml:space="preserve"> out capacity-building in the following ways:</w:t>
      </w:r>
    </w:p>
    <w:p w14:paraId="4A884603" w14:textId="10E436F7" w:rsidR="00E154F0" w:rsidRDefault="00E154F0" w:rsidP="000A2552">
      <w:pPr>
        <w:pStyle w:val="Para1"/>
        <w:numPr>
          <w:ilvl w:val="0"/>
          <w:numId w:val="0"/>
        </w:numPr>
        <w:overflowPunct w:val="0"/>
        <w:autoSpaceDE w:val="0"/>
        <w:autoSpaceDN w:val="0"/>
        <w:ind w:left="1440" w:hanging="720"/>
        <w:rPr>
          <w:lang w:eastAsia="ko-KR"/>
        </w:rPr>
      </w:pPr>
      <w:r>
        <w:rPr>
          <w:lang w:eastAsia="ko-KR"/>
        </w:rPr>
        <w:t>(</w:t>
      </w:r>
      <w:proofErr w:type="spellStart"/>
      <w:r>
        <w:rPr>
          <w:lang w:eastAsia="ko-KR"/>
        </w:rPr>
        <w:t>i</w:t>
      </w:r>
      <w:proofErr w:type="spellEnd"/>
      <w:r>
        <w:rPr>
          <w:lang w:eastAsia="ko-KR"/>
        </w:rPr>
        <w:t>)</w:t>
      </w:r>
      <w:r w:rsidR="0009641F">
        <w:rPr>
          <w:lang w:eastAsia="ko-KR"/>
        </w:rPr>
        <w:tab/>
      </w:r>
      <w:r>
        <w:rPr>
          <w:i/>
          <w:iCs/>
          <w:lang w:eastAsia="ko-KR"/>
        </w:rPr>
        <w:t>A proactive outreach campaign to build awareness and increase engagement</w:t>
      </w:r>
      <w:r>
        <w:rPr>
          <w:lang w:eastAsia="ko-KR"/>
        </w:rPr>
        <w:t xml:space="preserve">. </w:t>
      </w:r>
      <w:r w:rsidR="00221623">
        <w:rPr>
          <w:lang w:eastAsia="ko-KR"/>
        </w:rPr>
        <w:t>Ongoing outreach</w:t>
      </w:r>
      <w:r>
        <w:rPr>
          <w:lang w:eastAsia="ko-KR"/>
        </w:rPr>
        <w:t xml:space="preserve"> provides cost-effective, personalized (by email and phone) and consistent follow-up to support Parties in understanding and complying with their information-sharing obligations under Article 14 of the Protocol. The outreach conducted is tailored to specific needs of countries and current progress in the implementation of the Protocol. </w:t>
      </w:r>
      <w:r w:rsidR="001C10AE">
        <w:rPr>
          <w:lang w:eastAsia="ko-KR"/>
        </w:rPr>
        <w:t>Outreach c</w:t>
      </w:r>
      <w:r>
        <w:rPr>
          <w:lang w:eastAsia="ko-KR"/>
        </w:rPr>
        <w:t>ampaign</w:t>
      </w:r>
      <w:r w:rsidR="001C10AE">
        <w:rPr>
          <w:lang w:eastAsia="ko-KR"/>
        </w:rPr>
        <w:t xml:space="preserve">s </w:t>
      </w:r>
      <w:r w:rsidR="00221623">
        <w:rPr>
          <w:lang w:eastAsia="ko-KR"/>
        </w:rPr>
        <w:t xml:space="preserve">may </w:t>
      </w:r>
      <w:r>
        <w:rPr>
          <w:lang w:eastAsia="ko-KR"/>
        </w:rPr>
        <w:t>also include the organization of a live webinar to provide step-by-step guidance on the publication of ABS procedures;</w:t>
      </w:r>
    </w:p>
    <w:p w14:paraId="68F2BCBA" w14:textId="5A8A02E6" w:rsidR="00E154F0" w:rsidRDefault="00E154F0" w:rsidP="000A2552">
      <w:pPr>
        <w:pStyle w:val="Para1"/>
        <w:numPr>
          <w:ilvl w:val="0"/>
          <w:numId w:val="0"/>
        </w:numPr>
        <w:overflowPunct w:val="0"/>
        <w:autoSpaceDE w:val="0"/>
        <w:autoSpaceDN w:val="0"/>
        <w:ind w:left="1440" w:hanging="720"/>
        <w:rPr>
          <w:lang w:eastAsia="ko-KR"/>
        </w:rPr>
      </w:pPr>
      <w:r>
        <w:rPr>
          <w:lang w:eastAsia="ko-KR"/>
        </w:rPr>
        <w:t>(ii)</w:t>
      </w:r>
      <w:r w:rsidR="006255E2">
        <w:rPr>
          <w:lang w:eastAsia="ko-KR"/>
        </w:rPr>
        <w:tab/>
      </w:r>
      <w:r>
        <w:rPr>
          <w:i/>
          <w:iCs/>
          <w:lang w:eastAsia="ko-KR"/>
        </w:rPr>
        <w:t>On-demand technical support</w:t>
      </w:r>
      <w:r>
        <w:rPr>
          <w:lang w:eastAsia="ko-KR"/>
        </w:rPr>
        <w:t>. The ABS Clearing-House help desk has been set up to provide immediate technical support to users of the ABS Clearing-House. The live chat application is accessed through the question mark icon available on the lower right corner of every page. When the icon is clicked, users are prompted to chat with a person based at the Secretariat who can answer questions and provide technical assistance on the ABS Clearing-House or Nagoya Protocol.</w:t>
      </w:r>
      <w:r w:rsidR="003864A9">
        <w:rPr>
          <w:lang w:eastAsia="ko-KR"/>
        </w:rPr>
        <w:t xml:space="preserve"> Between </w:t>
      </w:r>
      <w:r w:rsidR="00F64385">
        <w:rPr>
          <w:lang w:eastAsia="ko-KR"/>
        </w:rPr>
        <w:t>November 2018 and September 2019</w:t>
      </w:r>
      <w:r w:rsidRPr="0005427F">
        <w:rPr>
          <w:lang w:eastAsia="ko-KR"/>
        </w:rPr>
        <w:t xml:space="preserve">, the Secretariat responded to </w:t>
      </w:r>
      <w:r w:rsidR="00F64385">
        <w:rPr>
          <w:lang w:eastAsia="ko-KR"/>
        </w:rPr>
        <w:t>63</w:t>
      </w:r>
      <w:r w:rsidRPr="0005427F">
        <w:rPr>
          <w:lang w:eastAsia="ko-KR"/>
        </w:rPr>
        <w:t xml:space="preserve"> information requests received through the live chat application;</w:t>
      </w:r>
    </w:p>
    <w:p w14:paraId="433F0B07" w14:textId="3267600C" w:rsidR="00E154F0" w:rsidRDefault="00E154F0" w:rsidP="000A2552">
      <w:pPr>
        <w:pStyle w:val="Para1"/>
        <w:numPr>
          <w:ilvl w:val="0"/>
          <w:numId w:val="0"/>
        </w:numPr>
        <w:overflowPunct w:val="0"/>
        <w:autoSpaceDE w:val="0"/>
        <w:autoSpaceDN w:val="0"/>
        <w:ind w:left="1440" w:hanging="720"/>
        <w:rPr>
          <w:lang w:eastAsia="ko-KR"/>
        </w:rPr>
      </w:pPr>
      <w:r>
        <w:rPr>
          <w:lang w:eastAsia="ko-KR"/>
        </w:rPr>
        <w:t>(iii)</w:t>
      </w:r>
      <w:r w:rsidR="006255E2">
        <w:rPr>
          <w:lang w:eastAsia="ko-KR"/>
        </w:rPr>
        <w:tab/>
      </w:r>
      <w:r>
        <w:rPr>
          <w:i/>
          <w:iCs/>
          <w:lang w:eastAsia="ko-KR"/>
        </w:rPr>
        <w:t>Organization of workshops and trainings at relevant regional meetings</w:t>
      </w:r>
      <w:r>
        <w:rPr>
          <w:lang w:eastAsia="ko-KR"/>
        </w:rPr>
        <w:t>. The Secretariat of the Convention has provided 10 one-on-one capacity</w:t>
      </w:r>
      <w:r>
        <w:rPr>
          <w:lang w:eastAsia="ko-KR"/>
        </w:rPr>
        <w:noBreakHyphen/>
        <w:t>building trainings for the use of the ABS Clearing-House. In general, these trainings are provided remotely (via webinar, email or Skype). In addition, t</w:t>
      </w:r>
      <w:r w:rsidRPr="00371D8C">
        <w:rPr>
          <w:lang w:eastAsia="ko-KR"/>
        </w:rPr>
        <w:t xml:space="preserve">he Secretariat is also organizing </w:t>
      </w:r>
      <w:r>
        <w:rPr>
          <w:lang w:eastAsia="ko-KR"/>
        </w:rPr>
        <w:t>a</w:t>
      </w:r>
      <w:r w:rsidRPr="00371D8C">
        <w:rPr>
          <w:lang w:eastAsia="ko-KR"/>
        </w:rPr>
        <w:t xml:space="preserve"> global capacity-building workshop on monitoring the utilization of genetic resources under the Nagoya Protocol on Access to Genetic Resources and the Fair and Equitable Sharing of Benefits Arising from their Utilization (ABS), through the generous financial support provided by the Government</w:t>
      </w:r>
      <w:r>
        <w:rPr>
          <w:lang w:eastAsia="ko-KR"/>
        </w:rPr>
        <w:t>s</w:t>
      </w:r>
      <w:r w:rsidRPr="00371D8C">
        <w:rPr>
          <w:lang w:eastAsia="ko-KR"/>
        </w:rPr>
        <w:t xml:space="preserve"> of Japan, Germany</w:t>
      </w:r>
      <w:r>
        <w:rPr>
          <w:lang w:eastAsia="ko-KR"/>
        </w:rPr>
        <w:t xml:space="preserve"> and the European Commission</w:t>
      </w:r>
      <w:r w:rsidRPr="00371D8C">
        <w:rPr>
          <w:lang w:eastAsia="ko-KR"/>
        </w:rPr>
        <w:t>,</w:t>
      </w:r>
      <w:r>
        <w:rPr>
          <w:lang w:eastAsia="ko-KR"/>
        </w:rPr>
        <w:t xml:space="preserve"> to be</w:t>
      </w:r>
      <w:r w:rsidRPr="00371D8C">
        <w:rPr>
          <w:lang w:eastAsia="ko-KR"/>
        </w:rPr>
        <w:t xml:space="preserve"> held from 30 September to 2 October 2019 in Bonn, Germany. The workshop will provide face-to-face training to representatives of </w:t>
      </w:r>
      <w:r>
        <w:rPr>
          <w:lang w:eastAsia="ko-KR"/>
        </w:rPr>
        <w:t xml:space="preserve">more than </w:t>
      </w:r>
      <w:r w:rsidRPr="00371D8C">
        <w:rPr>
          <w:lang w:eastAsia="ko-KR"/>
        </w:rPr>
        <w:t>5</w:t>
      </w:r>
      <w:r>
        <w:rPr>
          <w:lang w:eastAsia="ko-KR"/>
        </w:rPr>
        <w:t>3</w:t>
      </w:r>
      <w:r w:rsidRPr="00371D8C">
        <w:rPr>
          <w:lang w:eastAsia="ko-KR"/>
        </w:rPr>
        <w:t xml:space="preserve"> countries</w:t>
      </w:r>
      <w:r>
        <w:rPr>
          <w:lang w:eastAsia="ko-KR"/>
        </w:rPr>
        <w:t xml:space="preserve">. Since the third meeting of the Conference of the Parties serving as the meeting of the Parties to the Protocol, the Secretariat has participated in </w:t>
      </w:r>
      <w:r w:rsidR="00253A8D">
        <w:rPr>
          <w:lang w:eastAsia="ko-KR"/>
        </w:rPr>
        <w:t>four</w:t>
      </w:r>
      <w:r>
        <w:rPr>
          <w:lang w:eastAsia="ko-KR"/>
        </w:rPr>
        <w:t xml:space="preserve"> face-to-face capacity-building trainings</w:t>
      </w:r>
      <w:r w:rsidR="006C48D9">
        <w:rPr>
          <w:lang w:eastAsia="ko-KR"/>
        </w:rPr>
        <w:t>;</w:t>
      </w:r>
    </w:p>
    <w:p w14:paraId="0CB41119" w14:textId="38EE20AE" w:rsidR="004A61CC" w:rsidRPr="00596FE4" w:rsidRDefault="00E154F0" w:rsidP="000A2552">
      <w:pPr>
        <w:pStyle w:val="Para1"/>
        <w:numPr>
          <w:ilvl w:val="0"/>
          <w:numId w:val="0"/>
        </w:numPr>
        <w:overflowPunct w:val="0"/>
        <w:autoSpaceDE w:val="0"/>
        <w:autoSpaceDN w:val="0"/>
        <w:ind w:left="1440" w:hanging="720"/>
        <w:rPr>
          <w:iCs/>
          <w:lang w:eastAsia="ko-KR"/>
        </w:rPr>
      </w:pPr>
      <w:r>
        <w:rPr>
          <w:iCs/>
          <w:lang w:eastAsia="ko-KR"/>
        </w:rPr>
        <w:t>(iv)</w:t>
      </w:r>
      <w:r>
        <w:rPr>
          <w:iCs/>
          <w:lang w:eastAsia="ko-KR"/>
        </w:rPr>
        <w:tab/>
      </w:r>
      <w:r w:rsidRPr="00D412C2">
        <w:rPr>
          <w:i/>
          <w:iCs/>
          <w:lang w:eastAsia="ko-KR"/>
        </w:rPr>
        <w:t>Development and dissemination of materials</w:t>
      </w:r>
      <w:r>
        <w:rPr>
          <w:i/>
          <w:iCs/>
          <w:lang w:eastAsia="ko-KR"/>
        </w:rPr>
        <w:t xml:space="preserve">: </w:t>
      </w:r>
      <w:r>
        <w:rPr>
          <w:iCs/>
          <w:lang w:eastAsia="ko-KR"/>
        </w:rPr>
        <w:t>The Secretariat has developed various materials to support users of the ABS Clearing-House. This includes the development of tutorials and two new “step-by-step guides” to support countries in publishing information on the ABS-CH using the common formats, as well as an offline manual “About the ABS Clearing-House” in both English and French. The Secretariat is also finalizing the translation of the e-learning module “Introduction to the ABS Clearing-House” into all UN languages, which will be made available shortly</w:t>
      </w:r>
      <w:r w:rsidR="006C48D9">
        <w:rPr>
          <w:iCs/>
          <w:lang w:eastAsia="ko-KR"/>
        </w:rPr>
        <w:t>;</w:t>
      </w:r>
    </w:p>
    <w:p w14:paraId="7300AD31" w14:textId="1E5A1005" w:rsidR="00C5340D" w:rsidRPr="009641FF" w:rsidRDefault="0081119B" w:rsidP="0009641F">
      <w:pPr>
        <w:pStyle w:val="Para1"/>
        <w:numPr>
          <w:ilvl w:val="0"/>
          <w:numId w:val="0"/>
        </w:numPr>
        <w:pBdr>
          <w:top w:val="nil"/>
          <w:left w:val="nil"/>
          <w:bottom w:val="nil"/>
          <w:right w:val="nil"/>
          <w:between w:val="nil"/>
          <w:bar w:val="nil"/>
        </w:pBdr>
        <w:rPr>
          <w:rFonts w:cs="Times New Roman"/>
          <w:snapToGrid/>
          <w:kern w:val="22"/>
          <w:szCs w:val="22"/>
        </w:rPr>
      </w:pPr>
      <w:r>
        <w:rPr>
          <w:rFonts w:cs="Times New Roman"/>
          <w:snapToGrid/>
          <w:color w:val="000000"/>
          <w:kern w:val="22"/>
          <w:szCs w:val="22"/>
        </w:rPr>
        <w:tab/>
        <w:t>(e)</w:t>
      </w:r>
      <w:r>
        <w:rPr>
          <w:rFonts w:cs="Times New Roman"/>
          <w:snapToGrid/>
          <w:color w:val="000000"/>
          <w:kern w:val="22"/>
          <w:szCs w:val="22"/>
        </w:rPr>
        <w:tab/>
      </w:r>
      <w:r w:rsidR="000831B1" w:rsidRPr="002222BA">
        <w:rPr>
          <w:rFonts w:cs="Times New Roman"/>
          <w:snapToGrid/>
          <w:kern w:val="22"/>
          <w:szCs w:val="22"/>
        </w:rPr>
        <w:t xml:space="preserve">Of </w:t>
      </w:r>
      <w:r w:rsidR="000831B1" w:rsidRPr="009641FF">
        <w:rPr>
          <w:rFonts w:cs="Times New Roman"/>
          <w:snapToGrid/>
          <w:kern w:val="22"/>
          <w:szCs w:val="22"/>
        </w:rPr>
        <w:t xml:space="preserve">specific relevance to indigenous peoples and local communities, </w:t>
      </w:r>
      <w:r w:rsidR="00C74170" w:rsidRPr="009641FF">
        <w:rPr>
          <w:rFonts w:cs="Times New Roman"/>
          <w:snapToGrid/>
          <w:kern w:val="22"/>
          <w:szCs w:val="22"/>
        </w:rPr>
        <w:t xml:space="preserve">the Secretariat </w:t>
      </w:r>
      <w:r w:rsidR="00596FE4">
        <w:rPr>
          <w:rFonts w:cs="Times New Roman"/>
          <w:snapToGrid/>
          <w:kern w:val="22"/>
          <w:szCs w:val="22"/>
        </w:rPr>
        <w:t xml:space="preserve">has </w:t>
      </w:r>
      <w:r w:rsidR="002222BA" w:rsidRPr="009641FF">
        <w:rPr>
          <w:rFonts w:cs="Times New Roman"/>
          <w:snapToGrid/>
          <w:kern w:val="22"/>
          <w:szCs w:val="22"/>
        </w:rPr>
        <w:t xml:space="preserve">continued the implementation of </w:t>
      </w:r>
      <w:r w:rsidR="00596FE4">
        <w:rPr>
          <w:rFonts w:cs="Times New Roman"/>
          <w:snapToGrid/>
          <w:kern w:val="22"/>
          <w:szCs w:val="22"/>
        </w:rPr>
        <w:t>the “capacity</w:t>
      </w:r>
      <w:r w:rsidR="000831B1" w:rsidRPr="009641FF">
        <w:rPr>
          <w:rFonts w:cs="Times New Roman"/>
          <w:snapToGrid/>
          <w:kern w:val="22"/>
          <w:szCs w:val="22"/>
        </w:rPr>
        <w:t xml:space="preserve"> development programme on national arrangements for achieving traditional knowledge elements of Targets 18 and 16 of the Strategic Plan for Biodiversity 2011-2020”</w:t>
      </w:r>
      <w:r w:rsidR="00C74170" w:rsidRPr="009641FF">
        <w:rPr>
          <w:rFonts w:cs="Times New Roman"/>
          <w:snapToGrid/>
          <w:kern w:val="22"/>
          <w:szCs w:val="22"/>
        </w:rPr>
        <w:t xml:space="preserve">. The programme aims to strengthen the capacities of </w:t>
      </w:r>
      <w:r w:rsidR="000831B1" w:rsidRPr="009641FF">
        <w:rPr>
          <w:rFonts w:cs="Times New Roman"/>
          <w:snapToGrid/>
          <w:kern w:val="22"/>
          <w:szCs w:val="22"/>
        </w:rPr>
        <w:t xml:space="preserve">Parties and indigenous peoples and local communities to develop national action </w:t>
      </w:r>
      <w:r w:rsidR="00C74170" w:rsidRPr="009641FF">
        <w:rPr>
          <w:rFonts w:cs="Times New Roman"/>
          <w:snapToGrid/>
          <w:kern w:val="22"/>
          <w:szCs w:val="22"/>
        </w:rPr>
        <w:t>plans for traditional knowledge</w:t>
      </w:r>
      <w:r w:rsidR="000831B1" w:rsidRPr="009641FF">
        <w:rPr>
          <w:rFonts w:cs="Times New Roman"/>
          <w:snapToGrid/>
          <w:kern w:val="22"/>
          <w:szCs w:val="22"/>
        </w:rPr>
        <w:t xml:space="preserve"> to implement obligations arising from Article 8(j) of the Convention and to achieve Aichi Tar</w:t>
      </w:r>
      <w:r w:rsidR="00C74170" w:rsidRPr="009641FF">
        <w:rPr>
          <w:rFonts w:cs="Times New Roman"/>
          <w:snapToGrid/>
          <w:kern w:val="22"/>
          <w:szCs w:val="22"/>
        </w:rPr>
        <w:t>get 18 on traditional knowledge. Moreover</w:t>
      </w:r>
      <w:r w:rsidR="00E730ED" w:rsidRPr="009641FF">
        <w:rPr>
          <w:rFonts w:cs="Times New Roman"/>
          <w:snapToGrid/>
          <w:kern w:val="22"/>
          <w:szCs w:val="22"/>
        </w:rPr>
        <w:t>,</w:t>
      </w:r>
      <w:r w:rsidR="00C74170" w:rsidRPr="009641FF">
        <w:rPr>
          <w:rFonts w:cs="Times New Roman"/>
          <w:snapToGrid/>
          <w:kern w:val="22"/>
          <w:szCs w:val="22"/>
        </w:rPr>
        <w:t xml:space="preserve"> the programme</w:t>
      </w:r>
      <w:r w:rsidR="00E730ED" w:rsidRPr="009641FF">
        <w:rPr>
          <w:rFonts w:cs="Times New Roman"/>
          <w:snapToGrid/>
          <w:kern w:val="22"/>
          <w:szCs w:val="22"/>
        </w:rPr>
        <w:t xml:space="preserve"> was designed to</w:t>
      </w:r>
      <w:r w:rsidR="000831B1" w:rsidRPr="009641FF">
        <w:rPr>
          <w:rFonts w:cs="Times New Roman"/>
          <w:snapToGrid/>
          <w:kern w:val="22"/>
          <w:szCs w:val="22"/>
        </w:rPr>
        <w:t xml:space="preserve"> contribute to the national implementation of articles of the Nagoya Protocol that are most relevant to the indigenous peoples and local communities, especially Articles 5, 6, 7, 12, and 16. </w:t>
      </w:r>
      <w:r w:rsidR="002222BA" w:rsidRPr="009641FF">
        <w:rPr>
          <w:rFonts w:cs="Times New Roman"/>
          <w:snapToGrid/>
          <w:kern w:val="22"/>
          <w:szCs w:val="22"/>
        </w:rPr>
        <w:t xml:space="preserve">Following from the online </w:t>
      </w:r>
      <w:r w:rsidR="004B7FE8" w:rsidRPr="009641FF">
        <w:rPr>
          <w:rFonts w:cs="Times New Roman"/>
          <w:snapToGrid/>
          <w:kern w:val="22"/>
          <w:szCs w:val="22"/>
        </w:rPr>
        <w:t>forum</w:t>
      </w:r>
      <w:r w:rsidR="00C5340D" w:rsidRPr="009641FF">
        <w:rPr>
          <w:rFonts w:cs="Times New Roman"/>
          <w:snapToGrid/>
          <w:kern w:val="22"/>
          <w:szCs w:val="22"/>
        </w:rPr>
        <w:t xml:space="preserve"> and </w:t>
      </w:r>
      <w:r w:rsidR="002107C9" w:rsidRPr="009641FF">
        <w:rPr>
          <w:rFonts w:cs="Times New Roman"/>
          <w:snapToGrid/>
          <w:kern w:val="22"/>
          <w:szCs w:val="22"/>
        </w:rPr>
        <w:t xml:space="preserve">four </w:t>
      </w:r>
      <w:r w:rsidR="005A7DA8" w:rsidRPr="009641FF">
        <w:rPr>
          <w:rFonts w:cs="Times New Roman"/>
          <w:snapToGrid/>
          <w:kern w:val="22"/>
          <w:szCs w:val="22"/>
        </w:rPr>
        <w:t xml:space="preserve">regional </w:t>
      </w:r>
      <w:r w:rsidR="00C5340D" w:rsidRPr="009641FF">
        <w:rPr>
          <w:rFonts w:cs="Times New Roman"/>
          <w:snapToGrid/>
          <w:kern w:val="22"/>
          <w:szCs w:val="22"/>
        </w:rPr>
        <w:t>face</w:t>
      </w:r>
      <w:r w:rsidR="0028557B" w:rsidRPr="009641FF">
        <w:rPr>
          <w:rFonts w:cs="Times New Roman"/>
          <w:snapToGrid/>
          <w:kern w:val="22"/>
          <w:szCs w:val="22"/>
        </w:rPr>
        <w:t>-</w:t>
      </w:r>
      <w:r w:rsidR="00C5340D" w:rsidRPr="009641FF">
        <w:rPr>
          <w:rFonts w:cs="Times New Roman"/>
          <w:snapToGrid/>
          <w:kern w:val="22"/>
          <w:szCs w:val="22"/>
        </w:rPr>
        <w:t>to</w:t>
      </w:r>
      <w:r w:rsidR="0028557B" w:rsidRPr="009641FF">
        <w:rPr>
          <w:rFonts w:cs="Times New Roman"/>
          <w:snapToGrid/>
          <w:kern w:val="22"/>
          <w:szCs w:val="22"/>
        </w:rPr>
        <w:t>-</w:t>
      </w:r>
      <w:r w:rsidR="00C5340D" w:rsidRPr="009641FF">
        <w:rPr>
          <w:rFonts w:cs="Times New Roman"/>
          <w:snapToGrid/>
          <w:kern w:val="22"/>
          <w:szCs w:val="22"/>
        </w:rPr>
        <w:t>face workshops</w:t>
      </w:r>
      <w:r w:rsidR="002107C9" w:rsidRPr="009641FF">
        <w:rPr>
          <w:rStyle w:val="FootnoteReference"/>
          <w:rFonts w:cs="Times New Roman"/>
          <w:snapToGrid/>
          <w:kern w:val="22"/>
          <w:szCs w:val="22"/>
        </w:rPr>
        <w:footnoteReference w:id="16"/>
      </w:r>
      <w:r w:rsidR="002107C9" w:rsidRPr="009641FF">
        <w:rPr>
          <w:rFonts w:cs="Times New Roman"/>
          <w:snapToGrid/>
          <w:kern w:val="22"/>
          <w:szCs w:val="22"/>
        </w:rPr>
        <w:t xml:space="preserve"> that </w:t>
      </w:r>
      <w:r w:rsidR="006D508D">
        <w:rPr>
          <w:rFonts w:cs="Times New Roman"/>
          <w:snapToGrid/>
          <w:kern w:val="22"/>
          <w:szCs w:val="22"/>
        </w:rPr>
        <w:t>were held</w:t>
      </w:r>
      <w:r w:rsidR="002107C9" w:rsidRPr="009641FF">
        <w:rPr>
          <w:rFonts w:cs="Times New Roman"/>
          <w:snapToGrid/>
          <w:kern w:val="22"/>
          <w:szCs w:val="22"/>
        </w:rPr>
        <w:t xml:space="preserve"> in 2018</w:t>
      </w:r>
      <w:r w:rsidR="009641FF" w:rsidRPr="009641FF">
        <w:rPr>
          <w:rFonts w:cs="Times New Roman"/>
          <w:snapToGrid/>
          <w:kern w:val="22"/>
          <w:szCs w:val="22"/>
        </w:rPr>
        <w:t xml:space="preserve"> </w:t>
      </w:r>
      <w:r w:rsidR="00596FE4">
        <w:rPr>
          <w:rFonts w:cs="Times New Roman"/>
          <w:snapToGrid/>
          <w:kern w:val="22"/>
          <w:szCs w:val="22"/>
        </w:rPr>
        <w:t xml:space="preserve">and </w:t>
      </w:r>
      <w:r w:rsidR="009641FF" w:rsidRPr="009641FF">
        <w:rPr>
          <w:rFonts w:cs="Times New Roman"/>
          <w:snapToGrid/>
          <w:kern w:val="22"/>
          <w:szCs w:val="22"/>
        </w:rPr>
        <w:t>with support from the Japan Biodiversity Fund,</w:t>
      </w:r>
      <w:r w:rsidR="002107C9" w:rsidRPr="009641FF">
        <w:rPr>
          <w:rFonts w:cs="Times New Roman"/>
          <w:snapToGrid/>
          <w:kern w:val="22"/>
          <w:szCs w:val="22"/>
        </w:rPr>
        <w:t xml:space="preserve"> activities in 2019 have included</w:t>
      </w:r>
      <w:r w:rsidR="00C5340D" w:rsidRPr="009641FF">
        <w:rPr>
          <w:rFonts w:cs="Times New Roman"/>
          <w:snapToGrid/>
          <w:kern w:val="22"/>
          <w:szCs w:val="22"/>
        </w:rPr>
        <w:t>:</w:t>
      </w:r>
    </w:p>
    <w:p w14:paraId="7C012B15" w14:textId="77777777" w:rsidR="002107C9" w:rsidRPr="006255E2" w:rsidRDefault="002107C9" w:rsidP="000A2552">
      <w:pPr>
        <w:pStyle w:val="Para1"/>
        <w:numPr>
          <w:ilvl w:val="0"/>
          <w:numId w:val="20"/>
        </w:numPr>
        <w:overflowPunct w:val="0"/>
        <w:autoSpaceDE w:val="0"/>
        <w:autoSpaceDN w:val="0"/>
        <w:ind w:hanging="720"/>
        <w:rPr>
          <w:iCs/>
          <w:lang w:eastAsia="ko-KR"/>
        </w:rPr>
      </w:pPr>
      <w:r w:rsidRPr="006255E2">
        <w:rPr>
          <w:iCs/>
          <w:lang w:eastAsia="ko-KR"/>
        </w:rPr>
        <w:t>Webinar on the Integration of Article 8(j) and provisions related to indigenous peoples and local communities in the work of the Convention and its Protocols</w:t>
      </w:r>
      <w:r w:rsidR="009641FF" w:rsidRPr="006255E2">
        <w:rPr>
          <w:iCs/>
          <w:lang w:eastAsia="ko-KR"/>
        </w:rPr>
        <w:t>,</w:t>
      </w:r>
      <w:r w:rsidRPr="006255E2">
        <w:rPr>
          <w:iCs/>
          <w:lang w:eastAsia="ko-KR"/>
        </w:rPr>
        <w:t xml:space="preserve"> 19 February 2019</w:t>
      </w:r>
      <w:r w:rsidR="009641FF" w:rsidRPr="006255E2">
        <w:rPr>
          <w:iCs/>
          <w:lang w:eastAsia="ko-KR"/>
        </w:rPr>
        <w:t>;</w:t>
      </w:r>
    </w:p>
    <w:p w14:paraId="53DEAF40" w14:textId="689FFF85" w:rsidR="002107C9" w:rsidRPr="006255E2" w:rsidRDefault="002107C9" w:rsidP="000A2552">
      <w:pPr>
        <w:pStyle w:val="Para1"/>
        <w:numPr>
          <w:ilvl w:val="0"/>
          <w:numId w:val="20"/>
        </w:numPr>
        <w:overflowPunct w:val="0"/>
        <w:autoSpaceDE w:val="0"/>
        <w:autoSpaceDN w:val="0"/>
        <w:ind w:hanging="720"/>
        <w:rPr>
          <w:iCs/>
          <w:lang w:eastAsia="ko-KR"/>
        </w:rPr>
      </w:pPr>
      <w:r w:rsidRPr="006255E2">
        <w:rPr>
          <w:iCs/>
          <w:lang w:eastAsia="ko-KR"/>
        </w:rPr>
        <w:t>Online Forum on the integration of Article 8(j) and provisions related to indigenous peoples and local communities in the work of the Convention and its Protocols</w:t>
      </w:r>
      <w:r w:rsidR="009641FF" w:rsidRPr="006255E2">
        <w:rPr>
          <w:iCs/>
          <w:lang w:eastAsia="ko-KR"/>
        </w:rPr>
        <w:t xml:space="preserve">, </w:t>
      </w:r>
      <w:r w:rsidRPr="006255E2">
        <w:rPr>
          <w:iCs/>
          <w:lang w:eastAsia="ko-KR"/>
        </w:rPr>
        <w:t>19 February</w:t>
      </w:r>
      <w:r w:rsidR="009641FF" w:rsidRPr="006255E2">
        <w:rPr>
          <w:iCs/>
          <w:lang w:eastAsia="ko-KR"/>
        </w:rPr>
        <w:t xml:space="preserve"> </w:t>
      </w:r>
      <w:r w:rsidR="006255E2">
        <w:rPr>
          <w:iCs/>
          <w:lang w:eastAsia="ko-KR"/>
        </w:rPr>
        <w:t>to</w:t>
      </w:r>
      <w:r w:rsidRPr="006255E2">
        <w:rPr>
          <w:iCs/>
          <w:lang w:eastAsia="ko-KR"/>
        </w:rPr>
        <w:t xml:space="preserve"> 12 March 2019</w:t>
      </w:r>
      <w:r w:rsidR="009641FF" w:rsidRPr="006255E2">
        <w:rPr>
          <w:iCs/>
          <w:lang w:eastAsia="ko-KR"/>
        </w:rPr>
        <w:t>;</w:t>
      </w:r>
    </w:p>
    <w:p w14:paraId="77DBB6F6" w14:textId="002554D4" w:rsidR="00F53A1B" w:rsidRDefault="007F1F40" w:rsidP="0009641F">
      <w:pPr>
        <w:pStyle w:val="Para1"/>
        <w:numPr>
          <w:ilvl w:val="0"/>
          <w:numId w:val="0"/>
        </w:numPr>
        <w:suppressLineNumbers/>
        <w:tabs>
          <w:tab w:val="left" w:pos="720"/>
        </w:tabs>
        <w:suppressAutoHyphens/>
        <w:kinsoku w:val="0"/>
        <w:overflowPunct w:val="0"/>
        <w:autoSpaceDE w:val="0"/>
        <w:autoSpaceDN w:val="0"/>
        <w:rPr>
          <w:rFonts w:cs="Times New Roman"/>
          <w:snapToGrid/>
          <w:kern w:val="22"/>
          <w:szCs w:val="22"/>
          <w:lang w:eastAsia="ko-KR"/>
        </w:rPr>
      </w:pPr>
      <w:r>
        <w:rPr>
          <w:rFonts w:cs="Times New Roman"/>
          <w:snapToGrid/>
          <w:kern w:val="22"/>
          <w:szCs w:val="22"/>
          <w:lang w:eastAsia="ko-KR"/>
        </w:rPr>
        <w:tab/>
      </w:r>
      <w:r w:rsidR="008B1441">
        <w:rPr>
          <w:rFonts w:cs="Times New Roman"/>
          <w:snapToGrid/>
          <w:kern w:val="22"/>
          <w:szCs w:val="22"/>
          <w:lang w:eastAsia="ko-KR"/>
        </w:rPr>
        <w:t>(</w:t>
      </w:r>
      <w:r>
        <w:rPr>
          <w:rFonts w:cs="Times New Roman"/>
          <w:snapToGrid/>
          <w:kern w:val="22"/>
          <w:szCs w:val="22"/>
          <w:lang w:eastAsia="ko-KR"/>
        </w:rPr>
        <w:t>f</w:t>
      </w:r>
      <w:r w:rsidR="008B1441">
        <w:rPr>
          <w:rFonts w:cs="Times New Roman"/>
          <w:snapToGrid/>
          <w:kern w:val="22"/>
          <w:szCs w:val="22"/>
          <w:lang w:eastAsia="ko-KR"/>
        </w:rPr>
        <w:t>)</w:t>
      </w:r>
      <w:r w:rsidR="008B1441">
        <w:rPr>
          <w:rFonts w:cs="Times New Roman"/>
          <w:snapToGrid/>
          <w:kern w:val="22"/>
          <w:szCs w:val="22"/>
          <w:lang w:eastAsia="ko-KR"/>
        </w:rPr>
        <w:tab/>
      </w:r>
      <w:r w:rsidR="008B1441" w:rsidRPr="00EF4797">
        <w:rPr>
          <w:rFonts w:cs="Times New Roman"/>
          <w:snapToGrid/>
          <w:kern w:val="22"/>
          <w:szCs w:val="22"/>
          <w:lang w:eastAsia="ko-KR"/>
        </w:rPr>
        <w:t xml:space="preserve">With the support of the Japan Biodiversity Fund, the Secretariat </w:t>
      </w:r>
      <w:r w:rsidR="001A7021">
        <w:rPr>
          <w:rFonts w:cs="Times New Roman"/>
          <w:snapToGrid/>
          <w:kern w:val="22"/>
          <w:szCs w:val="22"/>
          <w:lang w:eastAsia="ko-KR"/>
        </w:rPr>
        <w:t>in collaboration with the United Nations Staff College has</w:t>
      </w:r>
      <w:r w:rsidR="008B1441" w:rsidRPr="00EF4797">
        <w:rPr>
          <w:rFonts w:cs="Times New Roman"/>
          <w:snapToGrid/>
          <w:kern w:val="22"/>
          <w:szCs w:val="22"/>
          <w:lang w:eastAsia="ko-KR"/>
        </w:rPr>
        <w:t xml:space="preserve"> developed </w:t>
      </w:r>
      <w:r w:rsidR="008B1441">
        <w:rPr>
          <w:rFonts w:cs="Times New Roman"/>
          <w:snapToGrid/>
          <w:kern w:val="22"/>
          <w:szCs w:val="22"/>
          <w:lang w:eastAsia="ko-KR"/>
        </w:rPr>
        <w:t>an</w:t>
      </w:r>
      <w:r w:rsidR="008B1441" w:rsidRPr="00EF4797">
        <w:rPr>
          <w:rFonts w:cs="Times New Roman"/>
          <w:snapToGrid/>
          <w:kern w:val="22"/>
          <w:szCs w:val="22"/>
          <w:lang w:eastAsia="ko-KR"/>
        </w:rPr>
        <w:t xml:space="preserve"> introductory e-learning </w:t>
      </w:r>
      <w:r w:rsidR="001A7021">
        <w:rPr>
          <w:rFonts w:cs="Times New Roman"/>
          <w:snapToGrid/>
          <w:kern w:val="22"/>
          <w:szCs w:val="22"/>
          <w:lang w:eastAsia="ko-KR"/>
        </w:rPr>
        <w:t>course</w:t>
      </w:r>
      <w:r w:rsidR="008B1441" w:rsidRPr="00EF4797">
        <w:rPr>
          <w:rFonts w:cs="Times New Roman"/>
          <w:snapToGrid/>
          <w:kern w:val="22"/>
          <w:szCs w:val="22"/>
          <w:lang w:eastAsia="ko-KR"/>
        </w:rPr>
        <w:t xml:space="preserve"> on </w:t>
      </w:r>
      <w:r w:rsidR="008B1441">
        <w:rPr>
          <w:rFonts w:cs="Times New Roman"/>
          <w:snapToGrid/>
          <w:kern w:val="22"/>
          <w:szCs w:val="22"/>
          <w:lang w:eastAsia="ko-KR"/>
        </w:rPr>
        <w:t xml:space="preserve">ABS </w:t>
      </w:r>
      <w:r w:rsidR="001A7021">
        <w:rPr>
          <w:rFonts w:cs="Times New Roman"/>
          <w:snapToGrid/>
          <w:kern w:val="22"/>
          <w:szCs w:val="22"/>
          <w:lang w:eastAsia="ko-KR"/>
        </w:rPr>
        <w:t>in English, French and Spanish</w:t>
      </w:r>
      <w:r w:rsidR="008B1441">
        <w:rPr>
          <w:rFonts w:cs="Times New Roman"/>
          <w:snapToGrid/>
          <w:kern w:val="22"/>
          <w:szCs w:val="22"/>
          <w:lang w:eastAsia="ko-KR"/>
        </w:rPr>
        <w:t>. The cours</w:t>
      </w:r>
      <w:r w:rsidR="001A7021">
        <w:rPr>
          <w:rFonts w:cs="Times New Roman"/>
          <w:snapToGrid/>
          <w:kern w:val="22"/>
          <w:szCs w:val="22"/>
          <w:lang w:eastAsia="ko-KR"/>
        </w:rPr>
        <w:t>e</w:t>
      </w:r>
      <w:r w:rsidR="008B1441" w:rsidRPr="00EF4797">
        <w:rPr>
          <w:rFonts w:cs="Times New Roman"/>
          <w:snapToGrid/>
          <w:kern w:val="22"/>
          <w:szCs w:val="22"/>
          <w:lang w:eastAsia="ko-KR"/>
        </w:rPr>
        <w:t xml:space="preserve"> provide</w:t>
      </w:r>
      <w:r w:rsidR="001A7021">
        <w:rPr>
          <w:rFonts w:cs="Times New Roman"/>
          <w:snapToGrid/>
          <w:kern w:val="22"/>
          <w:szCs w:val="22"/>
          <w:lang w:eastAsia="ko-KR"/>
        </w:rPr>
        <w:t>s</w:t>
      </w:r>
      <w:r w:rsidR="008B1441" w:rsidRPr="00EF4797">
        <w:rPr>
          <w:rFonts w:cs="Times New Roman"/>
          <w:snapToGrid/>
          <w:kern w:val="22"/>
          <w:szCs w:val="22"/>
          <w:lang w:eastAsia="ko-KR"/>
        </w:rPr>
        <w:t xml:space="preserve"> participants with an introduction to </w:t>
      </w:r>
      <w:r w:rsidR="001A7021">
        <w:rPr>
          <w:rFonts w:cs="Times New Roman"/>
          <w:snapToGrid/>
          <w:kern w:val="22"/>
          <w:szCs w:val="22"/>
          <w:lang w:eastAsia="ko-KR"/>
        </w:rPr>
        <w:t xml:space="preserve">the third </w:t>
      </w:r>
      <w:r w:rsidR="008B1441" w:rsidRPr="00EF4797">
        <w:rPr>
          <w:rFonts w:cs="Times New Roman"/>
          <w:snapToGrid/>
          <w:kern w:val="22"/>
          <w:szCs w:val="22"/>
          <w:lang w:eastAsia="ko-KR"/>
        </w:rPr>
        <w:t>objective of the Convention on Biological Diversity: the fair and equitable sharing of the benefits arising out of the utilization of genetic resources or access and benefit-sharing.</w:t>
      </w:r>
      <w:r w:rsidR="008B1441">
        <w:rPr>
          <w:rFonts w:cs="Times New Roman"/>
          <w:snapToGrid/>
          <w:kern w:val="22"/>
          <w:szCs w:val="22"/>
          <w:lang w:eastAsia="ko-KR"/>
        </w:rPr>
        <w:t xml:space="preserve"> The </w:t>
      </w:r>
      <w:r w:rsidR="001A7021">
        <w:rPr>
          <w:rFonts w:cs="Times New Roman"/>
          <w:snapToGrid/>
          <w:kern w:val="22"/>
          <w:szCs w:val="22"/>
          <w:lang w:eastAsia="ko-KR"/>
        </w:rPr>
        <w:t xml:space="preserve">course is </w:t>
      </w:r>
      <w:r w:rsidR="008B1441">
        <w:rPr>
          <w:rFonts w:cs="Times New Roman"/>
          <w:snapToGrid/>
          <w:kern w:val="22"/>
          <w:szCs w:val="22"/>
          <w:lang w:eastAsia="ko-KR"/>
        </w:rPr>
        <w:t>currently available on the Secretariat’s e-learning platform</w:t>
      </w:r>
      <w:r w:rsidR="008B1441">
        <w:rPr>
          <w:rStyle w:val="FootnoteReference"/>
          <w:rFonts w:cs="Times New Roman"/>
          <w:snapToGrid/>
          <w:kern w:val="22"/>
          <w:szCs w:val="22"/>
          <w:lang w:eastAsia="ko-KR"/>
        </w:rPr>
        <w:footnoteReference w:id="17"/>
      </w:r>
      <w:r w:rsidR="008B1441">
        <w:rPr>
          <w:rFonts w:cs="Times New Roman"/>
          <w:snapToGrid/>
          <w:kern w:val="22"/>
          <w:szCs w:val="22"/>
          <w:lang w:eastAsia="ko-KR"/>
        </w:rPr>
        <w:t xml:space="preserve"> and consist</w:t>
      </w:r>
      <w:r w:rsidR="001A7021">
        <w:rPr>
          <w:rFonts w:cs="Times New Roman"/>
          <w:snapToGrid/>
          <w:kern w:val="22"/>
          <w:szCs w:val="22"/>
          <w:lang w:eastAsia="ko-KR"/>
        </w:rPr>
        <w:t>s</w:t>
      </w:r>
      <w:r w:rsidR="008B1441">
        <w:rPr>
          <w:rFonts w:cs="Times New Roman"/>
          <w:snapToGrid/>
          <w:kern w:val="22"/>
          <w:szCs w:val="22"/>
          <w:lang w:eastAsia="ko-KR"/>
        </w:rPr>
        <w:t xml:space="preserve"> </w:t>
      </w:r>
      <w:r w:rsidR="001A7021">
        <w:rPr>
          <w:rFonts w:cs="Times New Roman"/>
          <w:snapToGrid/>
          <w:kern w:val="22"/>
          <w:szCs w:val="22"/>
          <w:lang w:eastAsia="ko-KR"/>
        </w:rPr>
        <w:t>of</w:t>
      </w:r>
      <w:r w:rsidR="008B1441">
        <w:rPr>
          <w:rFonts w:cs="Times New Roman"/>
          <w:snapToGrid/>
          <w:kern w:val="22"/>
          <w:szCs w:val="22"/>
          <w:lang w:eastAsia="ko-KR"/>
        </w:rPr>
        <w:t xml:space="preserve"> six </w:t>
      </w:r>
      <w:r w:rsidR="003E7A04">
        <w:rPr>
          <w:rFonts w:cs="Times New Roman"/>
          <w:snapToGrid/>
          <w:kern w:val="22"/>
          <w:szCs w:val="22"/>
          <w:lang w:eastAsia="ko-KR"/>
        </w:rPr>
        <w:t>lessons</w:t>
      </w:r>
      <w:r w:rsidR="008B1441">
        <w:rPr>
          <w:rFonts w:cs="Times New Roman"/>
          <w:snapToGrid/>
          <w:kern w:val="22"/>
          <w:szCs w:val="22"/>
          <w:lang w:eastAsia="ko-KR"/>
        </w:rPr>
        <w:t xml:space="preserve">. </w:t>
      </w:r>
      <w:r w:rsidR="008B1441" w:rsidRPr="00EF4797">
        <w:rPr>
          <w:rFonts w:cs="Times New Roman"/>
          <w:snapToGrid/>
          <w:kern w:val="22"/>
          <w:szCs w:val="22"/>
          <w:lang w:eastAsia="ko-KR"/>
        </w:rPr>
        <w:t>The course introduce</w:t>
      </w:r>
      <w:r w:rsidR="008B1441">
        <w:rPr>
          <w:rFonts w:cs="Times New Roman"/>
          <w:snapToGrid/>
          <w:kern w:val="22"/>
          <w:szCs w:val="22"/>
          <w:lang w:eastAsia="ko-KR"/>
        </w:rPr>
        <w:t>s</w:t>
      </w:r>
      <w:r w:rsidR="008B1441" w:rsidRPr="00EF4797">
        <w:rPr>
          <w:rFonts w:cs="Times New Roman"/>
          <w:snapToGrid/>
          <w:kern w:val="22"/>
          <w:szCs w:val="22"/>
          <w:lang w:eastAsia="ko-KR"/>
        </w:rPr>
        <w:t xml:space="preserve"> the basic concepts associated with access and benefit-</w:t>
      </w:r>
      <w:r w:rsidR="001A7021" w:rsidRPr="00EF4797">
        <w:rPr>
          <w:rFonts w:cs="Times New Roman"/>
          <w:snapToGrid/>
          <w:kern w:val="22"/>
          <w:szCs w:val="22"/>
          <w:lang w:eastAsia="ko-KR"/>
        </w:rPr>
        <w:t>sharing and</w:t>
      </w:r>
      <w:r w:rsidR="008B1441" w:rsidRPr="00EF4797">
        <w:rPr>
          <w:rFonts w:cs="Times New Roman"/>
          <w:snapToGrid/>
          <w:kern w:val="22"/>
          <w:szCs w:val="22"/>
          <w:lang w:eastAsia="ko-KR"/>
        </w:rPr>
        <w:t xml:space="preserve"> provide</w:t>
      </w:r>
      <w:r w:rsidR="008B1441">
        <w:rPr>
          <w:rFonts w:cs="Times New Roman"/>
          <w:snapToGrid/>
          <w:kern w:val="22"/>
          <w:szCs w:val="22"/>
          <w:lang w:eastAsia="ko-KR"/>
        </w:rPr>
        <w:t>s</w:t>
      </w:r>
      <w:r w:rsidR="008B1441" w:rsidRPr="00EF4797">
        <w:rPr>
          <w:rFonts w:cs="Times New Roman"/>
          <w:snapToGrid/>
          <w:kern w:val="22"/>
          <w:szCs w:val="22"/>
          <w:lang w:eastAsia="ko-KR"/>
        </w:rPr>
        <w:t xml:space="preserve"> an overview of the main policy milestones on ABS under the Convention on Biological Diversity.</w:t>
      </w:r>
      <w:r w:rsidR="008B1441">
        <w:rPr>
          <w:rFonts w:cs="Times New Roman"/>
          <w:snapToGrid/>
          <w:kern w:val="22"/>
          <w:szCs w:val="22"/>
          <w:lang w:eastAsia="ko-KR"/>
        </w:rPr>
        <w:t xml:space="preserve"> </w:t>
      </w:r>
      <w:r w:rsidR="00AF418D">
        <w:rPr>
          <w:rFonts w:cs="Times New Roman"/>
          <w:snapToGrid/>
          <w:kern w:val="22"/>
          <w:szCs w:val="22"/>
          <w:lang w:eastAsia="ko-KR"/>
        </w:rPr>
        <w:t xml:space="preserve">Another e-learning course on the use of the ABS-Clearing House is forthcoming. </w:t>
      </w:r>
    </w:p>
    <w:p w14:paraId="1A0A158B" w14:textId="24C73E6A" w:rsidR="00FD35A2" w:rsidRDefault="00FD35A2" w:rsidP="00FD35A2">
      <w:pPr>
        <w:pStyle w:val="Heading1"/>
        <w:suppressLineNumbers/>
        <w:suppressAutoHyphens/>
        <w:kinsoku w:val="0"/>
        <w:overflowPunct w:val="0"/>
        <w:autoSpaceDE w:val="0"/>
        <w:autoSpaceDN w:val="0"/>
        <w:spacing w:before="120"/>
        <w:ind w:left="1701" w:hanging="567"/>
        <w:jc w:val="left"/>
        <w:rPr>
          <w:rFonts w:eastAsia="Arial Unicode MS"/>
          <w:kern w:val="22"/>
          <w:szCs w:val="22"/>
        </w:rPr>
      </w:pPr>
      <w:r w:rsidRPr="004A011A">
        <w:rPr>
          <w:rFonts w:eastAsia="Arial Unicode MS"/>
          <w:kern w:val="22"/>
          <w:szCs w:val="22"/>
        </w:rPr>
        <w:t>V.</w:t>
      </w:r>
      <w:r w:rsidRPr="004A011A">
        <w:rPr>
          <w:rFonts w:eastAsia="Arial Unicode MS"/>
          <w:kern w:val="22"/>
          <w:szCs w:val="22"/>
        </w:rPr>
        <w:tab/>
      </w:r>
      <w:r w:rsidR="00761D77">
        <w:rPr>
          <w:rFonts w:eastAsia="Arial Unicode MS"/>
          <w:kern w:val="22"/>
          <w:szCs w:val="22"/>
        </w:rPr>
        <w:t>suggestions for consideration by the informal advisory committee</w:t>
      </w:r>
    </w:p>
    <w:p w14:paraId="2EAE86B0" w14:textId="333407A8" w:rsidR="00520B5D" w:rsidRPr="006255E2" w:rsidRDefault="005A5E56" w:rsidP="006255E2">
      <w:pPr>
        <w:pStyle w:val="Para1"/>
        <w:numPr>
          <w:ilvl w:val="0"/>
          <w:numId w:val="18"/>
        </w:numPr>
        <w:suppressLineNumbers/>
        <w:tabs>
          <w:tab w:val="left" w:pos="720"/>
        </w:tabs>
        <w:suppressAutoHyphens/>
        <w:kinsoku w:val="0"/>
        <w:overflowPunct w:val="0"/>
        <w:autoSpaceDE w:val="0"/>
        <w:autoSpaceDN w:val="0"/>
        <w:ind w:left="0" w:firstLine="0"/>
        <w:rPr>
          <w:kern w:val="22"/>
          <w:szCs w:val="22"/>
          <w:lang w:eastAsia="ko-KR"/>
        </w:rPr>
      </w:pPr>
      <w:r w:rsidRPr="006255E2">
        <w:rPr>
          <w:snapToGrid/>
          <w:kern w:val="22"/>
          <w:szCs w:val="22"/>
          <w:lang w:eastAsia="ko-KR"/>
        </w:rPr>
        <w:t xml:space="preserve">The previous sections highlight the </w:t>
      </w:r>
      <w:r w:rsidR="00520B5D" w:rsidRPr="006255E2">
        <w:rPr>
          <w:snapToGrid/>
          <w:kern w:val="22"/>
          <w:szCs w:val="22"/>
          <w:lang w:eastAsia="ko-KR"/>
        </w:rPr>
        <w:t>status quo of</w:t>
      </w:r>
      <w:r w:rsidRPr="006255E2">
        <w:rPr>
          <w:snapToGrid/>
          <w:kern w:val="22"/>
          <w:szCs w:val="22"/>
          <w:lang w:eastAsia="ko-KR"/>
        </w:rPr>
        <w:t xml:space="preserve"> capacity-building initiatives</w:t>
      </w:r>
      <w:r w:rsidR="001E5FAB" w:rsidRPr="006255E2">
        <w:rPr>
          <w:snapToGrid/>
          <w:kern w:val="22"/>
          <w:szCs w:val="22"/>
          <w:lang w:eastAsia="ko-KR"/>
        </w:rPr>
        <w:t xml:space="preserve"> </w:t>
      </w:r>
      <w:r w:rsidR="00520B5D" w:rsidRPr="006255E2">
        <w:rPr>
          <w:snapToGrid/>
          <w:kern w:val="22"/>
          <w:szCs w:val="22"/>
          <w:lang w:eastAsia="ko-KR"/>
        </w:rPr>
        <w:t>as well as tools and</w:t>
      </w:r>
      <w:r w:rsidRPr="006255E2">
        <w:rPr>
          <w:snapToGrid/>
          <w:kern w:val="22"/>
          <w:szCs w:val="22"/>
          <w:lang w:eastAsia="ko-KR"/>
        </w:rPr>
        <w:t xml:space="preserve"> resources that have been </w:t>
      </w:r>
      <w:r w:rsidR="00520B5D" w:rsidRPr="006255E2">
        <w:rPr>
          <w:snapToGrid/>
          <w:kern w:val="22"/>
          <w:szCs w:val="22"/>
          <w:lang w:eastAsia="ko-KR"/>
        </w:rPr>
        <w:t xml:space="preserve">implemented or </w:t>
      </w:r>
      <w:r w:rsidRPr="006255E2">
        <w:rPr>
          <w:snapToGrid/>
          <w:kern w:val="22"/>
          <w:szCs w:val="22"/>
          <w:lang w:eastAsia="ko-KR"/>
        </w:rPr>
        <w:t xml:space="preserve">compiled to date. One of the ongoing challenges faced by the Secretariat in taking stock, monitoring progress and identifying limitations is that many initiatives and resources </w:t>
      </w:r>
      <w:r w:rsidR="007C4617" w:rsidRPr="006255E2">
        <w:rPr>
          <w:snapToGrid/>
          <w:kern w:val="22"/>
          <w:szCs w:val="22"/>
          <w:lang w:eastAsia="ko-KR"/>
        </w:rPr>
        <w:t>continue</w:t>
      </w:r>
      <w:r w:rsidRPr="006255E2">
        <w:rPr>
          <w:snapToGrid/>
          <w:kern w:val="22"/>
          <w:szCs w:val="22"/>
          <w:lang w:eastAsia="ko-KR"/>
        </w:rPr>
        <w:t xml:space="preserve"> not</w:t>
      </w:r>
      <w:r w:rsidR="007C4617" w:rsidRPr="006255E2">
        <w:rPr>
          <w:snapToGrid/>
          <w:kern w:val="22"/>
          <w:szCs w:val="22"/>
          <w:lang w:eastAsia="ko-KR"/>
        </w:rPr>
        <w:t xml:space="preserve"> to</w:t>
      </w:r>
      <w:r w:rsidRPr="006255E2">
        <w:rPr>
          <w:snapToGrid/>
          <w:kern w:val="22"/>
          <w:szCs w:val="22"/>
          <w:lang w:eastAsia="ko-KR"/>
        </w:rPr>
        <w:t xml:space="preserve"> be uploaded to the ABS-Clearing House, </w:t>
      </w:r>
      <w:r w:rsidR="00520B5D" w:rsidRPr="006255E2">
        <w:rPr>
          <w:snapToGrid/>
          <w:kern w:val="22"/>
          <w:szCs w:val="22"/>
          <w:lang w:eastAsia="ko-KR"/>
        </w:rPr>
        <w:t>or,</w:t>
      </w:r>
      <w:r w:rsidRPr="006255E2">
        <w:rPr>
          <w:snapToGrid/>
          <w:kern w:val="22"/>
          <w:szCs w:val="22"/>
          <w:lang w:eastAsia="ko-KR"/>
        </w:rPr>
        <w:t xml:space="preserve"> for the </w:t>
      </w:r>
      <w:r w:rsidR="00520B5D" w:rsidRPr="006255E2">
        <w:rPr>
          <w:snapToGrid/>
          <w:kern w:val="22"/>
          <w:szCs w:val="22"/>
          <w:lang w:eastAsia="ko-KR"/>
        </w:rPr>
        <w:t>ones available</w:t>
      </w:r>
      <w:r w:rsidRPr="006255E2">
        <w:rPr>
          <w:snapToGrid/>
          <w:kern w:val="22"/>
          <w:szCs w:val="22"/>
          <w:lang w:eastAsia="ko-KR"/>
        </w:rPr>
        <w:t xml:space="preserve">, information is missing and/or not updated. As a result, the Secretariat may not be capturing all the relevant </w:t>
      </w:r>
      <w:r w:rsidR="00520B5D" w:rsidRPr="006255E2">
        <w:rPr>
          <w:snapToGrid/>
          <w:kern w:val="22"/>
          <w:szCs w:val="22"/>
          <w:lang w:eastAsia="ko-KR"/>
        </w:rPr>
        <w:t xml:space="preserve">initiatives </w:t>
      </w:r>
      <w:r w:rsidRPr="006255E2">
        <w:rPr>
          <w:snapToGrid/>
          <w:kern w:val="22"/>
          <w:szCs w:val="22"/>
          <w:lang w:eastAsia="ko-KR"/>
        </w:rPr>
        <w:t>and resources.</w:t>
      </w:r>
    </w:p>
    <w:p w14:paraId="7CBAAB4D" w14:textId="2460BFE5" w:rsidR="005A5E56" w:rsidRPr="006255E2" w:rsidRDefault="005A5E56" w:rsidP="006255E2">
      <w:pPr>
        <w:pStyle w:val="Para1"/>
        <w:numPr>
          <w:ilvl w:val="0"/>
          <w:numId w:val="18"/>
        </w:numPr>
        <w:suppressLineNumbers/>
        <w:tabs>
          <w:tab w:val="left" w:pos="720"/>
        </w:tabs>
        <w:suppressAutoHyphens/>
        <w:kinsoku w:val="0"/>
        <w:overflowPunct w:val="0"/>
        <w:autoSpaceDE w:val="0"/>
        <w:autoSpaceDN w:val="0"/>
        <w:ind w:left="0" w:firstLine="0"/>
        <w:rPr>
          <w:kern w:val="22"/>
          <w:szCs w:val="22"/>
          <w:lang w:eastAsia="ko-KR"/>
        </w:rPr>
      </w:pPr>
      <w:r w:rsidRPr="006255E2">
        <w:rPr>
          <w:snapToGrid/>
          <w:kern w:val="22"/>
          <w:szCs w:val="22"/>
          <w:lang w:eastAsia="ko-KR"/>
        </w:rPr>
        <w:t xml:space="preserve">This limitation has a direct impact on the quality of the information available for reporting to the Conference of the Parties serving as the meeting of the Parties to the Nagoya Protocol on measures to </w:t>
      </w:r>
      <w:r w:rsidR="004E00B2" w:rsidRPr="006255E2">
        <w:rPr>
          <w:snapToGrid/>
          <w:kern w:val="22"/>
          <w:szCs w:val="22"/>
          <w:lang w:eastAsia="ko-KR"/>
        </w:rPr>
        <w:t xml:space="preserve">assist in capacity-building and capacity development (Article 22) </w:t>
      </w:r>
      <w:r w:rsidRPr="006255E2">
        <w:rPr>
          <w:snapToGrid/>
          <w:kern w:val="22"/>
          <w:szCs w:val="22"/>
          <w:lang w:eastAsia="ko-KR"/>
        </w:rPr>
        <w:t>and the analysis related to the implementation of the strategic framework for capacity-building. It also limits the ability of the Committee to identify neglected key areas or regions where a more proactive and strategic approach may be needed or to coordinate in countries which benefit from multiple projects.</w:t>
      </w:r>
    </w:p>
    <w:p w14:paraId="54CC6F87" w14:textId="6E168C2D" w:rsidR="005A5E56" w:rsidRPr="006255E2" w:rsidRDefault="004E00B2" w:rsidP="006255E2">
      <w:pPr>
        <w:pStyle w:val="Para1"/>
        <w:numPr>
          <w:ilvl w:val="0"/>
          <w:numId w:val="18"/>
        </w:numPr>
        <w:suppressLineNumbers/>
        <w:tabs>
          <w:tab w:val="left" w:pos="720"/>
        </w:tabs>
        <w:suppressAutoHyphens/>
        <w:kinsoku w:val="0"/>
        <w:overflowPunct w:val="0"/>
        <w:autoSpaceDE w:val="0"/>
        <w:autoSpaceDN w:val="0"/>
        <w:ind w:left="0" w:firstLine="0"/>
        <w:rPr>
          <w:kern w:val="22"/>
          <w:szCs w:val="22"/>
          <w:lang w:eastAsia="ko-KR"/>
        </w:rPr>
      </w:pPr>
      <w:r w:rsidRPr="006255E2">
        <w:rPr>
          <w:snapToGrid/>
          <w:kern w:val="22"/>
          <w:szCs w:val="22"/>
          <w:lang w:eastAsia="ko-KR"/>
        </w:rPr>
        <w:t>Given that</w:t>
      </w:r>
      <w:r w:rsidR="00E730B7" w:rsidRPr="006255E2">
        <w:rPr>
          <w:snapToGrid/>
          <w:kern w:val="22"/>
          <w:szCs w:val="22"/>
          <w:lang w:eastAsia="ko-KR"/>
        </w:rPr>
        <w:t xml:space="preserve"> for future reporting</w:t>
      </w:r>
      <w:r w:rsidRPr="006255E2">
        <w:rPr>
          <w:snapToGrid/>
          <w:kern w:val="22"/>
          <w:szCs w:val="22"/>
          <w:lang w:eastAsia="ko-KR"/>
        </w:rPr>
        <w:t xml:space="preserve"> the Secretariat is planning to utili</w:t>
      </w:r>
      <w:r w:rsidR="00DC5463" w:rsidRPr="006255E2">
        <w:rPr>
          <w:snapToGrid/>
          <w:kern w:val="22"/>
          <w:szCs w:val="22"/>
          <w:lang w:eastAsia="ko-KR"/>
        </w:rPr>
        <w:t>z</w:t>
      </w:r>
      <w:r w:rsidRPr="006255E2">
        <w:rPr>
          <w:snapToGrid/>
          <w:kern w:val="22"/>
          <w:szCs w:val="22"/>
          <w:lang w:eastAsia="ko-KR"/>
        </w:rPr>
        <w:t>e only the information published in the ABS Clearing-House, the Committee</w:t>
      </w:r>
      <w:r w:rsidR="005A5E56" w:rsidRPr="006255E2">
        <w:rPr>
          <w:snapToGrid/>
          <w:kern w:val="22"/>
          <w:szCs w:val="22"/>
          <w:lang w:eastAsia="ko-KR"/>
        </w:rPr>
        <w:t xml:space="preserve"> </w:t>
      </w:r>
      <w:r w:rsidR="0018663B" w:rsidRPr="006255E2">
        <w:rPr>
          <w:snapToGrid/>
          <w:kern w:val="22"/>
          <w:szCs w:val="22"/>
          <w:lang w:eastAsia="ko-KR"/>
        </w:rPr>
        <w:t>in addition to considering relevant recommendations</w:t>
      </w:r>
      <w:r w:rsidR="00866881" w:rsidRPr="006255E2">
        <w:rPr>
          <w:snapToGrid/>
          <w:kern w:val="22"/>
          <w:szCs w:val="22"/>
          <w:lang w:eastAsia="ko-KR"/>
        </w:rPr>
        <w:t xml:space="preserve"> that emerged during the third meeting of the Informal Advisory Committee</w:t>
      </w:r>
      <w:r w:rsidR="007B5B9E">
        <w:rPr>
          <w:snapToGrid/>
          <w:kern w:val="22"/>
          <w:szCs w:val="22"/>
          <w:lang w:eastAsia="ko-KR"/>
        </w:rPr>
        <w:t>,</w:t>
      </w:r>
      <w:r w:rsidR="0059271F" w:rsidRPr="006255E2">
        <w:rPr>
          <w:rStyle w:val="FootnoteReference"/>
          <w:snapToGrid/>
          <w:kern w:val="22"/>
          <w:szCs w:val="22"/>
          <w:lang w:eastAsia="ko-KR"/>
        </w:rPr>
        <w:footnoteReference w:id="18"/>
      </w:r>
      <w:r w:rsidR="0018663B" w:rsidRPr="006255E2">
        <w:rPr>
          <w:snapToGrid/>
          <w:kern w:val="22"/>
          <w:szCs w:val="22"/>
          <w:lang w:eastAsia="ko-KR"/>
        </w:rPr>
        <w:t xml:space="preserve"> </w:t>
      </w:r>
      <w:r w:rsidR="00E730B7" w:rsidRPr="006255E2">
        <w:rPr>
          <w:snapToGrid/>
          <w:kern w:val="22"/>
          <w:szCs w:val="22"/>
          <w:lang w:eastAsia="ko-KR"/>
        </w:rPr>
        <w:t>will be invited to share</w:t>
      </w:r>
      <w:r w:rsidR="005A5E56" w:rsidRPr="006255E2">
        <w:rPr>
          <w:snapToGrid/>
          <w:kern w:val="22"/>
          <w:szCs w:val="22"/>
          <w:lang w:eastAsia="ko-KR"/>
        </w:rPr>
        <w:t xml:space="preserve"> additional recommendations that could increase publishing records in the ABS Clearing-House and enhance the quality of the information on capacity</w:t>
      </w:r>
      <w:r w:rsidR="00DC5463" w:rsidRPr="006255E2">
        <w:rPr>
          <w:snapToGrid/>
          <w:kern w:val="22"/>
          <w:szCs w:val="22"/>
          <w:lang w:eastAsia="ko-KR"/>
        </w:rPr>
        <w:t>-</w:t>
      </w:r>
      <w:r w:rsidR="005A5E56" w:rsidRPr="006255E2">
        <w:rPr>
          <w:snapToGrid/>
          <w:kern w:val="22"/>
          <w:szCs w:val="22"/>
          <w:lang w:eastAsia="ko-KR"/>
        </w:rPr>
        <w:t>building initiatives and resources published.</w:t>
      </w:r>
    </w:p>
    <w:p w14:paraId="52180CAC" w14:textId="31413385" w:rsidR="005A5E56" w:rsidRPr="006255E2" w:rsidRDefault="005A5E56" w:rsidP="006255E2">
      <w:pPr>
        <w:pStyle w:val="ListParagraph"/>
        <w:numPr>
          <w:ilvl w:val="0"/>
          <w:numId w:val="18"/>
        </w:numPr>
        <w:spacing w:after="120"/>
        <w:ind w:left="0" w:firstLine="0"/>
        <w:contextualSpacing w:val="0"/>
      </w:pPr>
      <w:r w:rsidRPr="006255E2">
        <w:t xml:space="preserve">Another </w:t>
      </w:r>
      <w:r w:rsidR="005E437E" w:rsidRPr="006255E2">
        <w:t>recurring</w:t>
      </w:r>
      <w:r w:rsidRPr="006255E2">
        <w:t xml:space="preserve"> limitation is the low number of projects being carried out in the CEE region</w:t>
      </w:r>
      <w:r w:rsidR="005E437E" w:rsidRPr="006255E2">
        <w:t xml:space="preserve">. </w:t>
      </w:r>
      <w:r w:rsidR="0018663B" w:rsidRPr="006255E2">
        <w:t>To address capacity-building gaps in certain regions, o</w:t>
      </w:r>
      <w:r w:rsidR="005E437E" w:rsidRPr="006255E2">
        <w:t xml:space="preserve">ne suggestion has been to consider developing regional projects as a way forward to support regional cooperation. The </w:t>
      </w:r>
      <w:r w:rsidRPr="006255E2">
        <w:t xml:space="preserve">Committee may wish to discuss </w:t>
      </w:r>
      <w:r w:rsidR="005E437E" w:rsidRPr="006255E2">
        <w:t xml:space="preserve">additional </w:t>
      </w:r>
      <w:r w:rsidRPr="006255E2">
        <w:t>options for addressing this.</w:t>
      </w:r>
    </w:p>
    <w:p w14:paraId="03B43A0A" w14:textId="0DBBD714" w:rsidR="005A5E56" w:rsidRPr="006255E2" w:rsidRDefault="005A5E56" w:rsidP="006255E2">
      <w:pPr>
        <w:pStyle w:val="ListParagraph"/>
        <w:numPr>
          <w:ilvl w:val="0"/>
          <w:numId w:val="18"/>
        </w:numPr>
        <w:spacing w:after="120"/>
        <w:ind w:left="0" w:firstLine="0"/>
        <w:contextualSpacing w:val="0"/>
      </w:pPr>
      <w:r w:rsidRPr="006255E2">
        <w:t>Finally, the Committee may wish to further discuss ways of enhancing synergies and coordination among initiatives, as well as ways of addressing gaps in the coverage of existing capacity-building initiatives.</w:t>
      </w:r>
    </w:p>
    <w:p w14:paraId="43070217" w14:textId="77777777" w:rsidR="00F951DB" w:rsidRPr="00F37E96" w:rsidRDefault="00352691" w:rsidP="00F37E96">
      <w:pPr>
        <w:spacing w:before="120" w:after="120"/>
        <w:jc w:val="center"/>
        <w:rPr>
          <w:rFonts w:cs="Times New Roman"/>
          <w:kern w:val="22"/>
          <w:szCs w:val="22"/>
        </w:rPr>
      </w:pPr>
      <w:r w:rsidRPr="00F37E96">
        <w:rPr>
          <w:rFonts w:cs="Times New Roman"/>
          <w:kern w:val="22"/>
          <w:szCs w:val="22"/>
        </w:rPr>
        <w:t>__________</w:t>
      </w:r>
    </w:p>
    <w:sectPr w:rsidR="00F951DB" w:rsidRPr="00F37E96" w:rsidSect="00AD6A8A">
      <w:headerReference w:type="even" r:id="rId36"/>
      <w:headerReference w:type="default" r:id="rId37"/>
      <w:pgSz w:w="12240" w:h="15840" w:code="1"/>
      <w:pgMar w:top="864" w:right="1440" w:bottom="864" w:left="1440" w:header="461"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0909C" w14:textId="77777777" w:rsidR="0070789C" w:rsidRDefault="0070789C">
      <w:r>
        <w:separator/>
      </w:r>
    </w:p>
  </w:endnote>
  <w:endnote w:type="continuationSeparator" w:id="0">
    <w:p w14:paraId="6966A190" w14:textId="77777777" w:rsidR="0070789C" w:rsidRDefault="00707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pitch w:val="variable"/>
    <w:sig w:usb0="81000003" w:usb1="00000000" w:usb2="00000000" w:usb3="00000000" w:csb0="0001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F45B6" w14:textId="77777777" w:rsidR="0070789C" w:rsidRDefault="0070789C">
      <w:r>
        <w:separator/>
      </w:r>
    </w:p>
  </w:footnote>
  <w:footnote w:type="continuationSeparator" w:id="0">
    <w:p w14:paraId="71DE37E6" w14:textId="77777777" w:rsidR="0070789C" w:rsidRDefault="0070789C">
      <w:r>
        <w:continuationSeparator/>
      </w:r>
    </w:p>
  </w:footnote>
  <w:footnote w:id="1">
    <w:p w14:paraId="3577749D" w14:textId="77C3C2D6" w:rsidR="005826EF" w:rsidRPr="000B358C" w:rsidRDefault="005826EF" w:rsidP="000A2552">
      <w:pPr>
        <w:pStyle w:val="FootnoteText"/>
        <w:suppressLineNumbers/>
        <w:suppressAutoHyphens/>
        <w:kinsoku w:val="0"/>
        <w:overflowPunct w:val="0"/>
        <w:autoSpaceDE w:val="0"/>
        <w:autoSpaceDN w:val="0"/>
        <w:ind w:firstLine="0"/>
        <w:jc w:val="left"/>
        <w:rPr>
          <w:kern w:val="18"/>
          <w:szCs w:val="18"/>
        </w:rPr>
      </w:pPr>
      <w:r w:rsidRPr="00FD72FC">
        <w:rPr>
          <w:rStyle w:val="FootnoteReference"/>
          <w:kern w:val="18"/>
          <w:szCs w:val="18"/>
        </w:rPr>
        <w:t>*</w:t>
      </w:r>
      <w:r w:rsidRPr="00FD72FC">
        <w:rPr>
          <w:kern w:val="18"/>
          <w:szCs w:val="18"/>
        </w:rPr>
        <w:t xml:space="preserve"> CBD/</w:t>
      </w:r>
      <w:r w:rsidR="00BA0B93" w:rsidRPr="00FD72FC">
        <w:rPr>
          <w:kern w:val="18"/>
          <w:szCs w:val="18"/>
        </w:rPr>
        <w:t>NP</w:t>
      </w:r>
      <w:r w:rsidRPr="000B358C">
        <w:rPr>
          <w:kern w:val="18"/>
          <w:szCs w:val="18"/>
        </w:rPr>
        <w:t>/CB-IAC/2019</w:t>
      </w:r>
      <w:r w:rsidR="0015151C" w:rsidRPr="000B358C">
        <w:rPr>
          <w:kern w:val="18"/>
          <w:szCs w:val="18"/>
        </w:rPr>
        <w:t>/1/2</w:t>
      </w:r>
      <w:r w:rsidR="00577D44">
        <w:rPr>
          <w:kern w:val="18"/>
          <w:szCs w:val="18"/>
        </w:rPr>
        <w:t>.</w:t>
      </w:r>
    </w:p>
  </w:footnote>
  <w:footnote w:id="2">
    <w:p w14:paraId="42C16CF9" w14:textId="77777777" w:rsidR="005826EF" w:rsidRPr="00FD72FC" w:rsidRDefault="005826EF" w:rsidP="000A2552">
      <w:pPr>
        <w:pStyle w:val="FootnoteText"/>
        <w:suppressLineNumbers/>
        <w:suppressAutoHyphens/>
        <w:kinsoku w:val="0"/>
        <w:overflowPunct w:val="0"/>
        <w:autoSpaceDE w:val="0"/>
        <w:autoSpaceDN w:val="0"/>
        <w:ind w:firstLine="0"/>
        <w:jc w:val="left"/>
        <w:rPr>
          <w:kern w:val="18"/>
          <w:szCs w:val="18"/>
        </w:rPr>
      </w:pPr>
      <w:r w:rsidRPr="00FD72FC">
        <w:rPr>
          <w:rStyle w:val="FootnoteReference"/>
          <w:kern w:val="18"/>
          <w:szCs w:val="18"/>
        </w:rPr>
        <w:footnoteRef/>
      </w:r>
      <w:r w:rsidRPr="00FD72FC">
        <w:rPr>
          <w:kern w:val="18"/>
          <w:szCs w:val="18"/>
        </w:rPr>
        <w:t xml:space="preserve"> The ABS Clearing-House can be accessed at: </w:t>
      </w:r>
      <w:hyperlink r:id="rId1" w:history="1">
        <w:r w:rsidRPr="00FD72FC">
          <w:rPr>
            <w:rStyle w:val="Hyperlink"/>
            <w:kern w:val="18"/>
            <w:szCs w:val="18"/>
          </w:rPr>
          <w:t>https://absch.cbd.int/</w:t>
        </w:r>
      </w:hyperlink>
    </w:p>
  </w:footnote>
  <w:footnote w:id="3">
    <w:p w14:paraId="117E604E" w14:textId="77777777" w:rsidR="005826EF" w:rsidRPr="00FD72FC" w:rsidRDefault="005826EF" w:rsidP="000A2552">
      <w:pPr>
        <w:pStyle w:val="FootnoteText"/>
        <w:suppressLineNumbers/>
        <w:suppressAutoHyphens/>
        <w:kinsoku w:val="0"/>
        <w:overflowPunct w:val="0"/>
        <w:autoSpaceDE w:val="0"/>
        <w:autoSpaceDN w:val="0"/>
        <w:ind w:firstLine="0"/>
        <w:jc w:val="left"/>
        <w:rPr>
          <w:kern w:val="18"/>
          <w:szCs w:val="18"/>
        </w:rPr>
      </w:pPr>
      <w:r w:rsidRPr="00FD72FC">
        <w:rPr>
          <w:rStyle w:val="FootnoteReference"/>
          <w:kern w:val="18"/>
          <w:szCs w:val="18"/>
        </w:rPr>
        <w:footnoteRef/>
      </w:r>
      <w:r w:rsidRPr="00FD72FC">
        <w:rPr>
          <w:kern w:val="18"/>
          <w:szCs w:val="18"/>
        </w:rPr>
        <w:t xml:space="preserve"> The </w:t>
      </w:r>
      <w:proofErr w:type="spellStart"/>
      <w:r w:rsidRPr="00FD72FC">
        <w:rPr>
          <w:kern w:val="18"/>
          <w:szCs w:val="18"/>
        </w:rPr>
        <w:t>GEF</w:t>
      </w:r>
      <w:proofErr w:type="spellEnd"/>
      <w:r w:rsidRPr="00FD72FC">
        <w:rPr>
          <w:kern w:val="18"/>
          <w:szCs w:val="18"/>
        </w:rPr>
        <w:t xml:space="preserve"> Project Database can be accessed at: </w:t>
      </w:r>
      <w:hyperlink r:id="rId2" w:history="1">
        <w:r w:rsidRPr="00FD72FC">
          <w:rPr>
            <w:rStyle w:val="Hyperlink"/>
            <w:kern w:val="18"/>
            <w:szCs w:val="18"/>
          </w:rPr>
          <w:t>http://www.thegef.org/projects</w:t>
        </w:r>
      </w:hyperlink>
      <w:r w:rsidRPr="00FD72FC">
        <w:rPr>
          <w:kern w:val="18"/>
          <w:szCs w:val="18"/>
        </w:rPr>
        <w:t>.</w:t>
      </w:r>
    </w:p>
  </w:footnote>
  <w:footnote w:id="4">
    <w:p w14:paraId="38414DA1" w14:textId="77777777" w:rsidR="005826EF" w:rsidRPr="00FD72FC" w:rsidRDefault="005826EF" w:rsidP="000A2552">
      <w:pPr>
        <w:pStyle w:val="FootnoteText"/>
        <w:suppressLineNumbers/>
        <w:suppressAutoHyphens/>
        <w:kinsoku w:val="0"/>
        <w:overflowPunct w:val="0"/>
        <w:autoSpaceDE w:val="0"/>
        <w:autoSpaceDN w:val="0"/>
        <w:ind w:firstLine="0"/>
        <w:jc w:val="left"/>
        <w:rPr>
          <w:kern w:val="18"/>
          <w:szCs w:val="18"/>
        </w:rPr>
      </w:pPr>
      <w:r w:rsidRPr="00FD72FC">
        <w:rPr>
          <w:rStyle w:val="FootnoteReference"/>
          <w:kern w:val="18"/>
          <w:szCs w:val="18"/>
        </w:rPr>
        <w:footnoteRef/>
      </w:r>
      <w:r w:rsidRPr="00FD72FC">
        <w:rPr>
          <w:kern w:val="18"/>
          <w:szCs w:val="18"/>
        </w:rPr>
        <w:t xml:space="preserve"> The </w:t>
      </w:r>
      <w:proofErr w:type="spellStart"/>
      <w:r w:rsidRPr="00FD72FC">
        <w:rPr>
          <w:kern w:val="18"/>
          <w:szCs w:val="18"/>
        </w:rPr>
        <w:t>GEF</w:t>
      </w:r>
      <w:proofErr w:type="spellEnd"/>
      <w:r w:rsidRPr="00FD72FC">
        <w:rPr>
          <w:kern w:val="18"/>
          <w:szCs w:val="18"/>
        </w:rPr>
        <w:t xml:space="preserve"> Small Grants Programme Project Database can be accessed at: </w:t>
      </w:r>
      <w:hyperlink r:id="rId3" w:history="1">
        <w:r w:rsidRPr="00FD72FC">
          <w:rPr>
            <w:rStyle w:val="Hyperlink"/>
            <w:kern w:val="18"/>
            <w:szCs w:val="18"/>
          </w:rPr>
          <w:t>https://sgp.undp.org/</w:t>
        </w:r>
      </w:hyperlink>
      <w:r w:rsidRPr="00FD72FC">
        <w:rPr>
          <w:kern w:val="18"/>
          <w:szCs w:val="18"/>
        </w:rPr>
        <w:t>.</w:t>
      </w:r>
    </w:p>
  </w:footnote>
  <w:footnote w:id="5">
    <w:p w14:paraId="267AB532" w14:textId="339E31F4" w:rsidR="009F7FE5" w:rsidRPr="000A2552" w:rsidRDefault="009F7FE5" w:rsidP="000A2552">
      <w:pPr>
        <w:pStyle w:val="FootnoteText"/>
        <w:suppressLineNumbers/>
        <w:suppressAutoHyphens/>
        <w:ind w:firstLine="0"/>
        <w:jc w:val="left"/>
        <w:rPr>
          <w:kern w:val="18"/>
        </w:rPr>
      </w:pPr>
      <w:r w:rsidRPr="000A2552">
        <w:rPr>
          <w:rStyle w:val="FootnoteReference"/>
          <w:kern w:val="18"/>
        </w:rPr>
        <w:footnoteRef/>
      </w:r>
      <w:r w:rsidRPr="000A2552">
        <w:rPr>
          <w:kern w:val="18"/>
        </w:rPr>
        <w:t xml:space="preserve"> </w:t>
      </w:r>
      <w:r w:rsidR="00471511" w:rsidRPr="000A2552">
        <w:rPr>
          <w:kern w:val="18"/>
        </w:rPr>
        <w:t>Among the three projects added is</w:t>
      </w:r>
      <w:r w:rsidRPr="000A2552">
        <w:rPr>
          <w:kern w:val="18"/>
        </w:rPr>
        <w:t xml:space="preserve"> one new ABS project approved under </w:t>
      </w:r>
      <w:proofErr w:type="spellStart"/>
      <w:r w:rsidRPr="000A2552">
        <w:rPr>
          <w:kern w:val="18"/>
        </w:rPr>
        <w:t>GEF</w:t>
      </w:r>
      <w:proofErr w:type="spellEnd"/>
      <w:r w:rsidRPr="000A2552">
        <w:rPr>
          <w:kern w:val="18"/>
        </w:rPr>
        <w:t xml:space="preserve"> 7, </w:t>
      </w:r>
      <w:r w:rsidR="00471511" w:rsidRPr="000A2552">
        <w:rPr>
          <w:kern w:val="18"/>
        </w:rPr>
        <w:t>and</w:t>
      </w:r>
      <w:r w:rsidRPr="000A2552">
        <w:rPr>
          <w:kern w:val="18"/>
        </w:rPr>
        <w:t xml:space="preserve"> two projects related to genetic resources and </w:t>
      </w:r>
      <w:proofErr w:type="spellStart"/>
      <w:r w:rsidRPr="000A2552">
        <w:rPr>
          <w:kern w:val="18"/>
        </w:rPr>
        <w:t>biotrade</w:t>
      </w:r>
      <w:proofErr w:type="spellEnd"/>
      <w:r w:rsidRPr="000A2552">
        <w:rPr>
          <w:kern w:val="18"/>
        </w:rPr>
        <w:t xml:space="preserve"> and the development of small enterprises that were not included in previous reports have been added as they fall under key area 4 and aim to work on developing value chains with indigenous peoples and local communities.</w:t>
      </w:r>
    </w:p>
    <w:p w14:paraId="4C85F82F" w14:textId="77777777" w:rsidR="009F7FE5" w:rsidRPr="000A2552" w:rsidRDefault="009F7FE5" w:rsidP="000A2552">
      <w:pPr>
        <w:pStyle w:val="FootnoteText"/>
        <w:suppressLineNumbers/>
        <w:suppressAutoHyphens/>
        <w:ind w:firstLine="0"/>
        <w:jc w:val="left"/>
        <w:rPr>
          <w:kern w:val="18"/>
        </w:rPr>
      </w:pPr>
    </w:p>
  </w:footnote>
  <w:footnote w:id="6">
    <w:p w14:paraId="40EB193A" w14:textId="0F1778B6" w:rsidR="00927D8C" w:rsidRPr="00FD72FC" w:rsidRDefault="00927D8C" w:rsidP="000A2552">
      <w:pPr>
        <w:pStyle w:val="FootnoteText"/>
        <w:suppressLineNumbers/>
        <w:suppressAutoHyphens/>
        <w:ind w:firstLine="0"/>
        <w:jc w:val="left"/>
        <w:rPr>
          <w:color w:val="FF0000"/>
          <w:kern w:val="18"/>
        </w:rPr>
      </w:pPr>
      <w:r w:rsidRPr="00FD72FC">
        <w:rPr>
          <w:rStyle w:val="FootnoteReference"/>
          <w:kern w:val="18"/>
        </w:rPr>
        <w:footnoteRef/>
      </w:r>
      <w:r w:rsidRPr="00FD72FC">
        <w:rPr>
          <w:kern w:val="18"/>
        </w:rPr>
        <w:t xml:space="preserve"> See </w:t>
      </w:r>
      <w:sdt>
        <w:sdtPr>
          <w:rPr>
            <w:kern w:val="18"/>
          </w:rPr>
          <w:alias w:val="Subject"/>
          <w:tag w:val=""/>
          <w:id w:val="1540319229"/>
          <w:placeholder>
            <w:docPart w:val="C238D7E665AE4961AF9E6887B1801D18"/>
          </w:placeholder>
          <w:dataBinding w:prefixMappings="xmlns:ns0='http://purl.org/dc/elements/1.1/' xmlns:ns1='http://schemas.openxmlformats.org/package/2006/metadata/core-properties' " w:xpath="/ns1:coreProperties[1]/ns0:subject[1]" w:storeItemID="{6C3C8BC8-F283-45AE-878A-BAB7291924A1}"/>
          <w:text/>
        </w:sdtPr>
        <w:sdtEndPr/>
        <w:sdtContent>
          <w:r w:rsidR="00BA0B93" w:rsidRPr="000A2552">
            <w:rPr>
              <w:kern w:val="18"/>
            </w:rPr>
            <w:t>CBD/NP/CB-IAC/2019/1/2</w:t>
          </w:r>
        </w:sdtContent>
      </w:sdt>
      <w:r w:rsidRPr="00FD72FC">
        <w:rPr>
          <w:kern w:val="18"/>
        </w:rPr>
        <w:t>.</w:t>
      </w:r>
    </w:p>
  </w:footnote>
  <w:footnote w:id="7">
    <w:p w14:paraId="163390DA" w14:textId="77777777" w:rsidR="00927D8C" w:rsidRPr="00FD72FC" w:rsidRDefault="00927D8C" w:rsidP="000A2552">
      <w:pPr>
        <w:pStyle w:val="FootnoteText"/>
        <w:suppressLineNumbers/>
        <w:suppressAutoHyphens/>
        <w:kinsoku w:val="0"/>
        <w:overflowPunct w:val="0"/>
        <w:autoSpaceDE w:val="0"/>
        <w:autoSpaceDN w:val="0"/>
        <w:ind w:firstLine="0"/>
        <w:jc w:val="left"/>
        <w:rPr>
          <w:kern w:val="18"/>
          <w:szCs w:val="18"/>
        </w:rPr>
      </w:pPr>
      <w:r w:rsidRPr="00FD72FC">
        <w:rPr>
          <w:rStyle w:val="FootnoteReference"/>
          <w:kern w:val="18"/>
          <w:szCs w:val="18"/>
        </w:rPr>
        <w:footnoteRef/>
      </w:r>
      <w:r w:rsidRPr="00FD72FC">
        <w:rPr>
          <w:kern w:val="18"/>
          <w:szCs w:val="18"/>
        </w:rPr>
        <w:t xml:space="preserve"> Donors use different terminology to reflect the status of projects. For the purposes of this analysis, the status of projects has been classified as follows: proposed, approved, ongoing and completed. “Proposed” refers to projects for which concepts have been developed but not yet submitted to a donor(s) or are submitted but not yet accepted/approved. “Approved” refers to projects whose concepts or documents have, in principle been accepted by the donor(s) and are being developed into full project documents. “Ongoing” refers to projects that are under implementation and “completed” refers to projects that have finalized.</w:t>
      </w:r>
    </w:p>
  </w:footnote>
  <w:footnote w:id="8">
    <w:p w14:paraId="5348B94F" w14:textId="77777777" w:rsidR="00927D8C" w:rsidRPr="000B358C" w:rsidRDefault="00927D8C" w:rsidP="000A2552">
      <w:pPr>
        <w:pStyle w:val="FootnoteText"/>
        <w:suppressLineNumbers/>
        <w:suppressAutoHyphens/>
        <w:kinsoku w:val="0"/>
        <w:overflowPunct w:val="0"/>
        <w:autoSpaceDE w:val="0"/>
        <w:autoSpaceDN w:val="0"/>
        <w:ind w:firstLine="0"/>
        <w:jc w:val="left"/>
        <w:rPr>
          <w:kern w:val="18"/>
          <w:szCs w:val="18"/>
        </w:rPr>
      </w:pPr>
      <w:r w:rsidRPr="00FD72FC">
        <w:rPr>
          <w:rStyle w:val="FootnoteReference"/>
          <w:kern w:val="18"/>
          <w:szCs w:val="18"/>
        </w:rPr>
        <w:footnoteRef/>
      </w:r>
      <w:r w:rsidRPr="00FD72FC">
        <w:rPr>
          <w:rStyle w:val="FootnoteReference"/>
          <w:kern w:val="18"/>
          <w:szCs w:val="18"/>
        </w:rPr>
        <w:t xml:space="preserve"> </w:t>
      </w:r>
      <w:r w:rsidRPr="00FD72FC">
        <w:rPr>
          <w:kern w:val="18"/>
          <w:szCs w:val="18"/>
        </w:rPr>
        <w:t xml:space="preserve">Information is unavailable for one initiative which is still </w:t>
      </w:r>
      <w:r w:rsidRPr="000B358C">
        <w:rPr>
          <w:kern w:val="18"/>
          <w:szCs w:val="18"/>
        </w:rPr>
        <w:t>at the proposal stage.</w:t>
      </w:r>
    </w:p>
  </w:footnote>
  <w:footnote w:id="9">
    <w:p w14:paraId="27F9FBCB" w14:textId="77777777" w:rsidR="00927D8C" w:rsidRPr="00FD72FC" w:rsidRDefault="00927D8C" w:rsidP="000A2552">
      <w:pPr>
        <w:pStyle w:val="FootnoteText"/>
        <w:suppressLineNumbers/>
        <w:suppressAutoHyphens/>
        <w:kinsoku w:val="0"/>
        <w:overflowPunct w:val="0"/>
        <w:autoSpaceDE w:val="0"/>
        <w:autoSpaceDN w:val="0"/>
        <w:ind w:firstLine="0"/>
        <w:jc w:val="left"/>
        <w:rPr>
          <w:kern w:val="18"/>
          <w:szCs w:val="18"/>
        </w:rPr>
      </w:pPr>
      <w:r w:rsidRPr="00FD72FC">
        <w:rPr>
          <w:rStyle w:val="FootnoteReference"/>
          <w:kern w:val="18"/>
          <w:szCs w:val="18"/>
        </w:rPr>
        <w:footnoteRef/>
      </w:r>
      <w:r w:rsidRPr="00FD72FC">
        <w:rPr>
          <w:kern w:val="18"/>
          <w:szCs w:val="18"/>
        </w:rPr>
        <w:t xml:space="preserve"> For the purposes of the present document, the analysis is based on information available on core funding; it does not include co-financing or in-kind contributions. It is important to note that co-financing in some cases may equal or surpass core funding.</w:t>
      </w:r>
    </w:p>
  </w:footnote>
  <w:footnote w:id="10">
    <w:p w14:paraId="3C3D6A65" w14:textId="77777777" w:rsidR="00927D8C" w:rsidRPr="00FD72FC" w:rsidRDefault="00927D8C" w:rsidP="000A2552">
      <w:pPr>
        <w:pStyle w:val="FootnoteText"/>
        <w:suppressLineNumbers/>
        <w:suppressAutoHyphens/>
        <w:kinsoku w:val="0"/>
        <w:overflowPunct w:val="0"/>
        <w:autoSpaceDE w:val="0"/>
        <w:autoSpaceDN w:val="0"/>
        <w:ind w:firstLine="0"/>
        <w:jc w:val="left"/>
        <w:rPr>
          <w:kern w:val="18"/>
          <w:szCs w:val="18"/>
        </w:rPr>
      </w:pPr>
      <w:r w:rsidRPr="00FD72FC">
        <w:rPr>
          <w:rStyle w:val="FootnoteReference"/>
          <w:kern w:val="18"/>
          <w:szCs w:val="18"/>
        </w:rPr>
        <w:footnoteRef/>
      </w:r>
      <w:r w:rsidRPr="00FD72FC">
        <w:rPr>
          <w:kern w:val="18"/>
          <w:szCs w:val="18"/>
        </w:rPr>
        <w:t xml:space="preserve"> In </w:t>
      </w:r>
      <w:hyperlink r:id="rId4" w:history="1">
        <w:r w:rsidRPr="00FD72FC">
          <w:rPr>
            <w:rStyle w:val="Hyperlink"/>
            <w:kern w:val="18"/>
            <w:szCs w:val="18"/>
          </w:rPr>
          <w:t>decision NP-1/8</w:t>
        </w:r>
      </w:hyperlink>
      <w:r w:rsidRPr="00FD72FC">
        <w:rPr>
          <w:kern w:val="18"/>
          <w:szCs w:val="18"/>
        </w:rPr>
        <w:t>, the Conference of Parties serving as the meeting of the Parties to the Nagoya Protocol adopted a strategic framework for capacity-building and development to support the implementation of the Nagoya Protocol (para. 1 and annex I to the decision). The framework identifies five key areas for capacity-building and development.</w:t>
      </w:r>
    </w:p>
  </w:footnote>
  <w:footnote w:id="11">
    <w:p w14:paraId="1B2781C1" w14:textId="77777777" w:rsidR="00927D8C" w:rsidRPr="00FD72FC" w:rsidRDefault="00927D8C" w:rsidP="000A2552">
      <w:pPr>
        <w:pStyle w:val="FootnoteText"/>
        <w:suppressLineNumbers/>
        <w:suppressAutoHyphens/>
        <w:kinsoku w:val="0"/>
        <w:overflowPunct w:val="0"/>
        <w:autoSpaceDE w:val="0"/>
        <w:autoSpaceDN w:val="0"/>
        <w:ind w:firstLine="0"/>
        <w:jc w:val="left"/>
        <w:rPr>
          <w:kern w:val="18"/>
          <w:szCs w:val="18"/>
        </w:rPr>
      </w:pPr>
      <w:r w:rsidRPr="00FD72FC">
        <w:rPr>
          <w:rStyle w:val="FootnoteReference"/>
          <w:kern w:val="18"/>
          <w:szCs w:val="18"/>
        </w:rPr>
        <w:footnoteRef/>
      </w:r>
      <w:r w:rsidRPr="00FD72FC">
        <w:rPr>
          <w:kern w:val="18"/>
          <w:szCs w:val="18"/>
        </w:rPr>
        <w:t xml:space="preserve"> Estimate made based on available information published in the following documents: Building Capacity to Implement the Nagoya Protocol: A Review of </w:t>
      </w:r>
      <w:proofErr w:type="spellStart"/>
      <w:r w:rsidRPr="00FD72FC">
        <w:rPr>
          <w:kern w:val="18"/>
          <w:szCs w:val="18"/>
        </w:rPr>
        <w:t>GEF</w:t>
      </w:r>
      <w:proofErr w:type="spellEnd"/>
      <w:r w:rsidRPr="00FD72FC">
        <w:rPr>
          <w:kern w:val="18"/>
          <w:szCs w:val="18"/>
        </w:rPr>
        <w:t xml:space="preserve"> Support (2014); and the Report of the Global Environment Facility to the Fourteenth Meeting of the Conference of the Parties to the Convention on Biological Diversity (2018).</w:t>
      </w:r>
    </w:p>
  </w:footnote>
  <w:footnote w:id="12">
    <w:p w14:paraId="55A99384" w14:textId="77777777" w:rsidR="00927D8C" w:rsidRPr="00FD72FC" w:rsidRDefault="00927D8C" w:rsidP="000A2552">
      <w:pPr>
        <w:keepLines/>
        <w:suppressLineNumbers/>
        <w:suppressAutoHyphens/>
        <w:kinsoku w:val="0"/>
        <w:overflowPunct w:val="0"/>
        <w:autoSpaceDE w:val="0"/>
        <w:autoSpaceDN w:val="0"/>
        <w:spacing w:after="60"/>
        <w:jc w:val="left"/>
        <w:rPr>
          <w:kern w:val="18"/>
          <w:sz w:val="18"/>
          <w:szCs w:val="18"/>
        </w:rPr>
      </w:pPr>
      <w:r w:rsidRPr="00FD72FC">
        <w:rPr>
          <w:rStyle w:val="FootnoteReference"/>
          <w:kern w:val="18"/>
          <w:szCs w:val="18"/>
        </w:rPr>
        <w:footnoteRef/>
      </w:r>
      <w:r w:rsidRPr="00FD72FC">
        <w:rPr>
          <w:kern w:val="18"/>
          <w:sz w:val="18"/>
          <w:szCs w:val="18"/>
        </w:rPr>
        <w:t xml:space="preserve"> The ABS Capacity-Development Initiative through its global project is providing direct national support to 15 countries. </w:t>
      </w:r>
    </w:p>
  </w:footnote>
  <w:footnote w:id="13">
    <w:p w14:paraId="658D16F4" w14:textId="77777777" w:rsidR="00927D8C" w:rsidRPr="00FD72FC" w:rsidRDefault="00927D8C" w:rsidP="000A2552">
      <w:pPr>
        <w:pStyle w:val="FootnoteText"/>
        <w:suppressLineNumbers/>
        <w:suppressAutoHyphens/>
        <w:kinsoku w:val="0"/>
        <w:overflowPunct w:val="0"/>
        <w:autoSpaceDE w:val="0"/>
        <w:autoSpaceDN w:val="0"/>
        <w:ind w:firstLine="0"/>
        <w:jc w:val="left"/>
        <w:rPr>
          <w:kern w:val="18"/>
          <w:szCs w:val="18"/>
        </w:rPr>
      </w:pPr>
      <w:r w:rsidRPr="00FD72FC">
        <w:rPr>
          <w:rStyle w:val="FootnoteReference"/>
          <w:kern w:val="18"/>
          <w:szCs w:val="18"/>
        </w:rPr>
        <w:footnoteRef/>
      </w:r>
      <w:r w:rsidRPr="00FD72FC">
        <w:rPr>
          <w:kern w:val="18"/>
          <w:szCs w:val="18"/>
        </w:rPr>
        <w:t xml:space="preserve"> This refers only to projects implemented by UNEP and directly executed by national Government agencies.</w:t>
      </w:r>
    </w:p>
  </w:footnote>
  <w:footnote w:id="14">
    <w:p w14:paraId="32A6E9E9" w14:textId="77777777" w:rsidR="007F0ABA" w:rsidRPr="00FD72FC" w:rsidRDefault="007F0ABA" w:rsidP="000A2552">
      <w:pPr>
        <w:pStyle w:val="FootnoteText"/>
        <w:suppressLineNumbers/>
        <w:suppressAutoHyphens/>
        <w:kinsoku w:val="0"/>
        <w:overflowPunct w:val="0"/>
        <w:autoSpaceDE w:val="0"/>
        <w:autoSpaceDN w:val="0"/>
        <w:ind w:firstLine="0"/>
        <w:jc w:val="left"/>
        <w:rPr>
          <w:kern w:val="18"/>
          <w:szCs w:val="18"/>
        </w:rPr>
      </w:pPr>
      <w:r w:rsidRPr="00FD72FC">
        <w:rPr>
          <w:rStyle w:val="FootnoteReference"/>
          <w:kern w:val="18"/>
          <w:szCs w:val="18"/>
        </w:rPr>
        <w:footnoteRef/>
      </w:r>
      <w:r w:rsidRPr="00FD72FC">
        <w:rPr>
          <w:kern w:val="18"/>
          <w:szCs w:val="18"/>
        </w:rPr>
        <w:t xml:space="preserve"> Capacity-building tools and resources are considered those whose primary intent is to facilitate structured learning, to impart new knowledge and skills through systematic instructive steps and/or to provide guidance on how to perform specific tasks related to access and benefit-sharing.</w:t>
      </w:r>
    </w:p>
  </w:footnote>
  <w:footnote w:id="15">
    <w:p w14:paraId="16664582" w14:textId="77777777" w:rsidR="00334BD0" w:rsidRPr="000A2552" w:rsidRDefault="00334BD0" w:rsidP="000A2552">
      <w:pPr>
        <w:pStyle w:val="FootnoteText"/>
        <w:suppressLineNumbers/>
        <w:suppressAutoHyphens/>
        <w:ind w:firstLine="0"/>
        <w:jc w:val="left"/>
        <w:rPr>
          <w:kern w:val="18"/>
        </w:rPr>
      </w:pPr>
      <w:r w:rsidRPr="000A2552">
        <w:rPr>
          <w:rStyle w:val="FootnoteReference"/>
          <w:kern w:val="18"/>
        </w:rPr>
        <w:footnoteRef/>
      </w:r>
      <w:r w:rsidRPr="000A2552">
        <w:rPr>
          <w:kern w:val="18"/>
        </w:rPr>
        <w:t xml:space="preserve"> </w:t>
      </w:r>
      <w:r w:rsidRPr="000A2552">
        <w:rPr>
          <w:kern w:val="18"/>
          <w:szCs w:val="22"/>
        </w:rPr>
        <w:t>Document CBD/NP/MOP/3/INF/6 provides further details on the implementation of this programme, including the workshops carried out.</w:t>
      </w:r>
    </w:p>
  </w:footnote>
  <w:footnote w:id="16">
    <w:p w14:paraId="148CE444" w14:textId="1F4FC235" w:rsidR="005826EF" w:rsidRPr="000A2552" w:rsidRDefault="005826EF" w:rsidP="000A2552">
      <w:pPr>
        <w:pStyle w:val="FootnoteText"/>
        <w:suppressLineNumbers/>
        <w:suppressAutoHyphens/>
        <w:ind w:firstLine="0"/>
        <w:jc w:val="left"/>
        <w:rPr>
          <w:kern w:val="18"/>
        </w:rPr>
      </w:pPr>
      <w:r w:rsidRPr="000A2552">
        <w:rPr>
          <w:rStyle w:val="FootnoteReference"/>
          <w:kern w:val="18"/>
        </w:rPr>
        <w:footnoteRef/>
      </w:r>
      <w:r w:rsidRPr="000A2552">
        <w:rPr>
          <w:kern w:val="18"/>
        </w:rPr>
        <w:t xml:space="preserve"> Regional workshops </w:t>
      </w:r>
      <w:r w:rsidR="006D508D">
        <w:rPr>
          <w:kern w:val="18"/>
        </w:rPr>
        <w:t>were held</w:t>
      </w:r>
      <w:r w:rsidRPr="000A2552">
        <w:rPr>
          <w:kern w:val="18"/>
        </w:rPr>
        <w:t xml:space="preserve"> in: Latin America and the Caribbean (</w:t>
      </w:r>
      <w:proofErr w:type="spellStart"/>
      <w:r w:rsidRPr="000A2552">
        <w:rPr>
          <w:kern w:val="18"/>
        </w:rPr>
        <w:t>Tepoztlan</w:t>
      </w:r>
      <w:proofErr w:type="spellEnd"/>
      <w:r w:rsidRPr="000A2552">
        <w:rPr>
          <w:kern w:val="18"/>
        </w:rPr>
        <w:t xml:space="preserve">, Mexico, 2-6 April 2018), </w:t>
      </w:r>
      <w:r w:rsidR="002D460E">
        <w:rPr>
          <w:kern w:val="18"/>
        </w:rPr>
        <w:t xml:space="preserve">the </w:t>
      </w:r>
      <w:r w:rsidRPr="000A2552">
        <w:rPr>
          <w:kern w:val="18"/>
        </w:rPr>
        <w:t>Pacific (</w:t>
      </w:r>
      <w:proofErr w:type="spellStart"/>
      <w:r w:rsidRPr="000A2552">
        <w:rPr>
          <w:kern w:val="18"/>
        </w:rPr>
        <w:t>Whangārai</w:t>
      </w:r>
      <w:proofErr w:type="spellEnd"/>
      <w:r w:rsidRPr="000A2552">
        <w:rPr>
          <w:kern w:val="18"/>
        </w:rPr>
        <w:t>, New Zealand, 21-25</w:t>
      </w:r>
      <w:r w:rsidR="00F039A7">
        <w:rPr>
          <w:kern w:val="18"/>
        </w:rPr>
        <w:t> </w:t>
      </w:r>
      <w:r w:rsidRPr="000A2552">
        <w:rPr>
          <w:kern w:val="18"/>
        </w:rPr>
        <w:t>May 2018), Asia (Kandy, Sri Lanka, 27-31 July 2018) and Africa (Marrakesh, Morocco, 8-12</w:t>
      </w:r>
      <w:r w:rsidR="00F039A7">
        <w:rPr>
          <w:kern w:val="18"/>
        </w:rPr>
        <w:t> </w:t>
      </w:r>
      <w:r w:rsidRPr="000A2552">
        <w:rPr>
          <w:kern w:val="18"/>
        </w:rPr>
        <w:t>October 2018).</w:t>
      </w:r>
    </w:p>
  </w:footnote>
  <w:footnote w:id="17">
    <w:p w14:paraId="59D76CCD" w14:textId="77777777" w:rsidR="008B1441" w:rsidRPr="000A2552" w:rsidRDefault="008B1441" w:rsidP="000A2552">
      <w:pPr>
        <w:pStyle w:val="FootnoteText"/>
        <w:suppressLineNumbers/>
        <w:suppressAutoHyphens/>
        <w:ind w:firstLine="0"/>
        <w:jc w:val="left"/>
        <w:rPr>
          <w:kern w:val="18"/>
        </w:rPr>
      </w:pPr>
      <w:r w:rsidRPr="000A2552">
        <w:rPr>
          <w:rStyle w:val="FootnoteReference"/>
          <w:kern w:val="18"/>
        </w:rPr>
        <w:footnoteRef/>
      </w:r>
      <w:r w:rsidRPr="000A2552">
        <w:rPr>
          <w:kern w:val="18"/>
        </w:rPr>
        <w:t xml:space="preserve"> </w:t>
      </w:r>
      <w:hyperlink r:id="rId5" w:history="1">
        <w:r w:rsidRPr="000A2552">
          <w:rPr>
            <w:rStyle w:val="Hyperlink"/>
            <w:kern w:val="18"/>
          </w:rPr>
          <w:t>https://scbd.unssc.org/course/index.php?categoryid=4</w:t>
        </w:r>
      </w:hyperlink>
    </w:p>
  </w:footnote>
  <w:footnote w:id="18">
    <w:p w14:paraId="768CC2DD" w14:textId="5557BA19" w:rsidR="0059271F" w:rsidRPr="000A2552" w:rsidRDefault="0059271F" w:rsidP="000A2552">
      <w:pPr>
        <w:pStyle w:val="FootnoteText"/>
        <w:suppressLineNumbers/>
        <w:suppressAutoHyphens/>
        <w:ind w:firstLine="0"/>
        <w:jc w:val="left"/>
        <w:rPr>
          <w:kern w:val="18"/>
        </w:rPr>
      </w:pPr>
      <w:r w:rsidRPr="000A2552">
        <w:rPr>
          <w:rStyle w:val="FootnoteReference"/>
          <w:kern w:val="18"/>
        </w:rPr>
        <w:footnoteRef/>
      </w:r>
      <w:r w:rsidRPr="000A2552">
        <w:rPr>
          <w:kern w:val="18"/>
        </w:rPr>
        <w:t xml:space="preserve"> See </w:t>
      </w:r>
      <w:hyperlink r:id="rId6" w:history="1">
        <w:r w:rsidRPr="000A2552">
          <w:rPr>
            <w:rStyle w:val="Hyperlink"/>
            <w:kern w:val="18"/>
          </w:rPr>
          <w:t>https://www.cbd.int/doc/c/66b5/df36/4a44fbd08dedc4e555c35295/abs-cbiac-2018-01-04-en.pdf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BAC79" w14:textId="720C81E5" w:rsidR="005826EF" w:rsidRPr="00993609" w:rsidRDefault="005826EF" w:rsidP="000A6047">
    <w:pPr>
      <w:pStyle w:val="Header"/>
      <w:tabs>
        <w:tab w:val="clear" w:pos="4320"/>
        <w:tab w:val="clear" w:pos="8640"/>
      </w:tabs>
      <w:kinsoku w:val="0"/>
      <w:overflowPunct w:val="0"/>
      <w:autoSpaceDE w:val="0"/>
      <w:autoSpaceDN w:val="0"/>
      <w:jc w:val="left"/>
      <w:rPr>
        <w:noProof/>
        <w:kern w:val="22"/>
        <w:lang w:val="pt-BR"/>
      </w:rPr>
    </w:pPr>
    <w:r w:rsidRPr="00993609">
      <w:rPr>
        <w:noProof/>
        <w:kern w:val="22"/>
        <w:lang w:val="pt-BR"/>
      </w:rPr>
      <w:t>CBD/</w:t>
    </w:r>
    <w:r w:rsidR="005371DE">
      <w:rPr>
        <w:noProof/>
        <w:kern w:val="22"/>
        <w:lang w:val="pt-BR"/>
      </w:rPr>
      <w:t>NP</w:t>
    </w:r>
    <w:r w:rsidR="00993609" w:rsidRPr="00993609">
      <w:rPr>
        <w:noProof/>
        <w:kern w:val="22"/>
        <w:lang w:val="pt-BR"/>
      </w:rPr>
      <w:t>/CB-I</w:t>
    </w:r>
    <w:r w:rsidR="00993609">
      <w:rPr>
        <w:noProof/>
        <w:kern w:val="22"/>
        <w:lang w:val="pt-BR"/>
      </w:rPr>
      <w:t>AC/2019/1/2</w:t>
    </w:r>
  </w:p>
  <w:p w14:paraId="5B546F54" w14:textId="77777777" w:rsidR="005826EF" w:rsidRPr="00993609" w:rsidRDefault="005826EF" w:rsidP="000A6047">
    <w:pPr>
      <w:pStyle w:val="Header"/>
      <w:tabs>
        <w:tab w:val="clear" w:pos="4320"/>
        <w:tab w:val="clear" w:pos="8640"/>
      </w:tabs>
      <w:kinsoku w:val="0"/>
      <w:overflowPunct w:val="0"/>
      <w:autoSpaceDE w:val="0"/>
      <w:autoSpaceDN w:val="0"/>
      <w:jc w:val="left"/>
      <w:rPr>
        <w:noProof/>
        <w:kern w:val="22"/>
        <w:lang w:val="pt-BR"/>
      </w:rPr>
    </w:pPr>
    <w:r w:rsidRPr="00993609">
      <w:rPr>
        <w:noProof/>
        <w:kern w:val="22"/>
        <w:lang w:val="pt-BR"/>
      </w:rPr>
      <w:t xml:space="preserve">Page </w:t>
    </w:r>
    <w:r w:rsidRPr="00BF3DF8">
      <w:rPr>
        <w:noProof/>
        <w:kern w:val="22"/>
      </w:rPr>
      <w:fldChar w:fldCharType="begin"/>
    </w:r>
    <w:r w:rsidRPr="00993609">
      <w:rPr>
        <w:noProof/>
        <w:kern w:val="22"/>
        <w:lang w:val="pt-BR"/>
      </w:rPr>
      <w:instrText xml:space="preserve"> PAGE </w:instrText>
    </w:r>
    <w:r w:rsidRPr="00BF3DF8">
      <w:rPr>
        <w:noProof/>
        <w:kern w:val="22"/>
      </w:rPr>
      <w:fldChar w:fldCharType="separate"/>
    </w:r>
    <w:r w:rsidR="00AE0729" w:rsidRPr="00993609">
      <w:rPr>
        <w:noProof/>
        <w:kern w:val="22"/>
        <w:lang w:val="pt-BR"/>
      </w:rPr>
      <w:t>14</w:t>
    </w:r>
    <w:r w:rsidRPr="00BF3DF8">
      <w:rPr>
        <w:noProof/>
        <w:kern w:val="22"/>
      </w:rPr>
      <w:fldChar w:fldCharType="end"/>
    </w:r>
  </w:p>
  <w:p w14:paraId="513FCD65" w14:textId="77777777" w:rsidR="005826EF" w:rsidRPr="00993609" w:rsidRDefault="005826EF">
    <w:pPr>
      <w:pStyle w:val="Header"/>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72216" w14:textId="078EA85F" w:rsidR="007A4DB4" w:rsidRPr="00993609" w:rsidRDefault="007A4DB4" w:rsidP="000A2552">
    <w:pPr>
      <w:pStyle w:val="Header"/>
      <w:tabs>
        <w:tab w:val="clear" w:pos="4320"/>
        <w:tab w:val="clear" w:pos="8640"/>
      </w:tabs>
      <w:kinsoku w:val="0"/>
      <w:overflowPunct w:val="0"/>
      <w:autoSpaceDE w:val="0"/>
      <w:autoSpaceDN w:val="0"/>
      <w:jc w:val="right"/>
      <w:rPr>
        <w:noProof/>
        <w:kern w:val="22"/>
        <w:lang w:val="pt-BR"/>
      </w:rPr>
    </w:pPr>
    <w:r w:rsidRPr="00993609">
      <w:rPr>
        <w:noProof/>
        <w:kern w:val="22"/>
        <w:lang w:val="pt-BR"/>
      </w:rPr>
      <w:t>CBD/</w:t>
    </w:r>
    <w:r w:rsidR="00765F28">
      <w:rPr>
        <w:noProof/>
        <w:kern w:val="22"/>
        <w:lang w:val="pt-BR"/>
      </w:rPr>
      <w:t>NP</w:t>
    </w:r>
    <w:r w:rsidRPr="00993609">
      <w:rPr>
        <w:noProof/>
        <w:kern w:val="22"/>
        <w:lang w:val="pt-BR"/>
      </w:rPr>
      <w:t>/CB-I</w:t>
    </w:r>
    <w:r>
      <w:rPr>
        <w:noProof/>
        <w:kern w:val="22"/>
        <w:lang w:val="pt-BR"/>
      </w:rPr>
      <w:t>AC/2019/1/2</w:t>
    </w:r>
  </w:p>
  <w:p w14:paraId="3EFE1F8C" w14:textId="77777777" w:rsidR="005826EF" w:rsidRPr="004A79C2" w:rsidRDefault="005826EF">
    <w:pPr>
      <w:pStyle w:val="Header"/>
      <w:tabs>
        <w:tab w:val="clear" w:pos="4320"/>
        <w:tab w:val="clear" w:pos="8640"/>
      </w:tabs>
      <w:kinsoku w:val="0"/>
      <w:overflowPunct w:val="0"/>
      <w:autoSpaceDE w:val="0"/>
      <w:autoSpaceDN w:val="0"/>
      <w:spacing w:after="240"/>
      <w:jc w:val="right"/>
      <w:rPr>
        <w:kern w:val="22"/>
      </w:rPr>
    </w:pPr>
    <w:r w:rsidRPr="00BF3DF8">
      <w:rPr>
        <w:kern w:val="22"/>
      </w:rPr>
      <w:t xml:space="preserve">Page </w:t>
    </w:r>
    <w:r w:rsidRPr="00BF3DF8">
      <w:rPr>
        <w:kern w:val="22"/>
      </w:rPr>
      <w:fldChar w:fldCharType="begin"/>
    </w:r>
    <w:r w:rsidRPr="00BF3DF8">
      <w:rPr>
        <w:kern w:val="22"/>
      </w:rPr>
      <w:instrText xml:space="preserve"> PAGE </w:instrText>
    </w:r>
    <w:r w:rsidRPr="00BF3DF8">
      <w:rPr>
        <w:kern w:val="22"/>
      </w:rPr>
      <w:fldChar w:fldCharType="separate"/>
    </w:r>
    <w:r w:rsidR="00AE0729">
      <w:rPr>
        <w:noProof/>
        <w:kern w:val="22"/>
      </w:rPr>
      <w:t>15</w:t>
    </w:r>
    <w:r w:rsidRPr="00BF3DF8">
      <w:rPr>
        <w:kern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4756"/>
    <w:multiLevelType w:val="hybridMultilevel"/>
    <w:tmpl w:val="BA32BD34"/>
    <w:lvl w:ilvl="0" w:tplc="5120CA7C">
      <w:start w:val="1"/>
      <w:numFmt w:val="decimal"/>
      <w:lvlText w:val="%1."/>
      <w:lvlJc w:val="left"/>
      <w:pPr>
        <w:ind w:left="1080" w:hanging="720"/>
      </w:pPr>
      <w:rPr>
        <w:rFonts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7A6F77"/>
    <w:multiLevelType w:val="multilevel"/>
    <w:tmpl w:val="FB327912"/>
    <w:styleLink w:val="List1"/>
    <w:lvl w:ilvl="0">
      <w:start w:val="1"/>
      <w:numFmt w:val="decimal"/>
      <w:lvlText w:val="%1."/>
      <w:lvlJc w:val="left"/>
      <w:pPr>
        <w:tabs>
          <w:tab w:val="num" w:pos="104"/>
        </w:tabs>
      </w:pPr>
      <w:rPr>
        <w:color w:val="000000"/>
        <w:position w:val="0"/>
        <w:sz w:val="22"/>
        <w:szCs w:val="22"/>
        <w:rtl w:val="0"/>
        <w:lang w:val="en-US"/>
      </w:rPr>
    </w:lvl>
    <w:lvl w:ilvl="1">
      <w:start w:val="1"/>
      <w:numFmt w:val="lowerLetter"/>
      <w:lvlText w:val="(%2)"/>
      <w:lvlJc w:val="left"/>
      <w:pPr>
        <w:tabs>
          <w:tab w:val="num" w:pos="660"/>
        </w:tabs>
        <w:ind w:left="660" w:hanging="660"/>
      </w:pPr>
      <w:rPr>
        <w:color w:val="000000"/>
        <w:position w:val="0"/>
        <w:sz w:val="22"/>
        <w:szCs w:val="22"/>
        <w:rtl w:val="0"/>
        <w:lang w:val="en-US"/>
      </w:rPr>
    </w:lvl>
    <w:lvl w:ilvl="2">
      <w:start w:val="1"/>
      <w:numFmt w:val="lowerRoman"/>
      <w:lvlText w:val="(%3)"/>
      <w:lvlJc w:val="left"/>
      <w:pPr>
        <w:tabs>
          <w:tab w:val="num" w:pos="104"/>
        </w:tabs>
      </w:pPr>
      <w:rPr>
        <w:color w:val="000000"/>
        <w:position w:val="0"/>
        <w:sz w:val="22"/>
        <w:szCs w:val="22"/>
        <w:rtl w:val="0"/>
        <w:lang w:val="en-US"/>
      </w:rPr>
    </w:lvl>
    <w:lvl w:ilvl="3">
      <w:start w:val="1"/>
      <w:numFmt w:val="bullet"/>
      <w:lvlText w:val="•"/>
      <w:lvlJc w:val="left"/>
      <w:pPr>
        <w:tabs>
          <w:tab w:val="num" w:pos="104"/>
        </w:tabs>
      </w:pPr>
      <w:rPr>
        <w:color w:val="000000"/>
        <w:position w:val="0"/>
        <w:sz w:val="22"/>
        <w:szCs w:val="22"/>
        <w:rtl w:val="0"/>
        <w:lang w:val="en-US"/>
      </w:rPr>
    </w:lvl>
    <w:lvl w:ilvl="4">
      <w:start w:val="1"/>
      <w:numFmt w:val="lowerLetter"/>
      <w:lvlText w:val="(%5)"/>
      <w:lvlJc w:val="left"/>
      <w:pPr>
        <w:tabs>
          <w:tab w:val="num" w:pos="104"/>
        </w:tabs>
      </w:pPr>
      <w:rPr>
        <w:color w:val="000000"/>
        <w:position w:val="0"/>
        <w:sz w:val="22"/>
        <w:szCs w:val="22"/>
        <w:rtl w:val="0"/>
        <w:lang w:val="en-US"/>
      </w:rPr>
    </w:lvl>
    <w:lvl w:ilvl="5">
      <w:start w:val="1"/>
      <w:numFmt w:val="lowerRoman"/>
      <w:lvlText w:val="(%6)"/>
      <w:lvlJc w:val="left"/>
      <w:pPr>
        <w:tabs>
          <w:tab w:val="num" w:pos="104"/>
        </w:tabs>
      </w:pPr>
      <w:rPr>
        <w:color w:val="000000"/>
        <w:position w:val="0"/>
        <w:sz w:val="22"/>
        <w:szCs w:val="22"/>
        <w:rtl w:val="0"/>
        <w:lang w:val="en-US"/>
      </w:rPr>
    </w:lvl>
    <w:lvl w:ilvl="6">
      <w:start w:val="1"/>
      <w:numFmt w:val="decimal"/>
      <w:lvlText w:val="%7."/>
      <w:lvlJc w:val="left"/>
      <w:pPr>
        <w:tabs>
          <w:tab w:val="num" w:pos="104"/>
        </w:tabs>
      </w:pPr>
      <w:rPr>
        <w:color w:val="000000"/>
        <w:position w:val="0"/>
        <w:sz w:val="22"/>
        <w:szCs w:val="22"/>
        <w:rtl w:val="0"/>
        <w:lang w:val="en-US"/>
      </w:rPr>
    </w:lvl>
    <w:lvl w:ilvl="7">
      <w:start w:val="1"/>
      <w:numFmt w:val="lowerLetter"/>
      <w:lvlText w:val="%8."/>
      <w:lvlJc w:val="left"/>
      <w:pPr>
        <w:tabs>
          <w:tab w:val="num" w:pos="104"/>
        </w:tabs>
      </w:pPr>
      <w:rPr>
        <w:color w:val="000000"/>
        <w:position w:val="0"/>
        <w:sz w:val="22"/>
        <w:szCs w:val="22"/>
        <w:rtl w:val="0"/>
        <w:lang w:val="en-US"/>
      </w:rPr>
    </w:lvl>
    <w:lvl w:ilvl="8">
      <w:start w:val="1"/>
      <w:numFmt w:val="lowerRoman"/>
      <w:lvlText w:val="%9."/>
      <w:lvlJc w:val="left"/>
      <w:pPr>
        <w:tabs>
          <w:tab w:val="num" w:pos="104"/>
        </w:tabs>
      </w:pPr>
      <w:rPr>
        <w:color w:val="000000"/>
        <w:position w:val="0"/>
        <w:sz w:val="22"/>
        <w:szCs w:val="22"/>
        <w:rtl w:val="0"/>
        <w:lang w:val="en-US"/>
      </w:rPr>
    </w:lvl>
  </w:abstractNum>
  <w:abstractNum w:abstractNumId="2" w15:restartNumberingAfterBreak="0">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3AEB0B1E"/>
    <w:multiLevelType w:val="multilevel"/>
    <w:tmpl w:val="E07EC098"/>
    <w:lvl w:ilvl="0">
      <w:start w:val="1"/>
      <w:numFmt w:val="decimal"/>
      <w:pStyle w:val="para2"/>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15:restartNumberingAfterBreak="0">
    <w:nsid w:val="3CA410CD"/>
    <w:multiLevelType w:val="hybridMultilevel"/>
    <w:tmpl w:val="981C0292"/>
    <w:lvl w:ilvl="0" w:tplc="A64C2B50">
      <w:start w:val="1"/>
      <w:numFmt w:val="decimal"/>
      <w:pStyle w:val="CBD-Para"/>
      <w:lvlText w:val="%1."/>
      <w:lvlJc w:val="left"/>
      <w:pPr>
        <w:tabs>
          <w:tab w:val="num" w:pos="720"/>
        </w:tabs>
        <w:ind w:left="0" w:firstLine="0"/>
      </w:pPr>
      <w:rPr>
        <w:rFonts w:hint="default"/>
      </w:rPr>
    </w:lvl>
    <w:lvl w:ilvl="1" w:tplc="DF42636C">
      <w:start w:val="1"/>
      <w:numFmt w:val="lowerLetter"/>
      <w:pStyle w:val="CBD-Para-a"/>
      <w:lvlText w:val="(%2)"/>
      <w:lvlJc w:val="left"/>
      <w:pPr>
        <w:tabs>
          <w:tab w:val="num" w:pos="1080"/>
        </w:tabs>
        <w:ind w:left="1080" w:hanging="360"/>
      </w:pPr>
      <w:rPr>
        <w:rFonts w:hint="default"/>
      </w:rPr>
    </w:lvl>
    <w:lvl w:ilvl="2" w:tplc="07B06256">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CE43C91"/>
    <w:multiLevelType w:val="multilevel"/>
    <w:tmpl w:val="C0DEA7A8"/>
    <w:lvl w:ilvl="0">
      <w:start w:val="1"/>
      <w:numFmt w:val="decimal"/>
      <w:pStyle w:val="Paranum"/>
      <w:lvlText w:val="%1."/>
      <w:lvlJc w:val="left"/>
      <w:pPr>
        <w:tabs>
          <w:tab w:val="num" w:pos="360"/>
        </w:tabs>
        <w:ind w:left="0" w:firstLine="0"/>
      </w:pPr>
      <w:rPr>
        <w:b w:val="0"/>
        <w:bCs w:val="0"/>
        <w:i w:val="0"/>
        <w:iCs w:val="0"/>
        <w:color w:val="auto"/>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2C721A"/>
    <w:multiLevelType w:val="hybridMultilevel"/>
    <w:tmpl w:val="96FCDAE6"/>
    <w:lvl w:ilvl="0" w:tplc="4E187748">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6B4288B"/>
    <w:multiLevelType w:val="multilevel"/>
    <w:tmpl w:val="CBA2965A"/>
    <w:styleLink w:val="List6"/>
    <w:lvl w:ilvl="0">
      <w:start w:val="1"/>
      <w:numFmt w:val="upperLetter"/>
      <w:lvlText w:val="%1."/>
      <w:lvlJc w:val="left"/>
      <w:rPr>
        <w:b/>
        <w:bCs/>
        <w:i/>
        <w:iCs/>
        <w:position w:val="0"/>
      </w:rPr>
    </w:lvl>
    <w:lvl w:ilvl="1">
      <w:start w:val="1"/>
      <w:numFmt w:val="lowerLetter"/>
      <w:lvlText w:val="%2."/>
      <w:lvlJc w:val="left"/>
      <w:rPr>
        <w:b/>
        <w:bCs/>
        <w:i/>
        <w:iCs/>
        <w:position w:val="0"/>
      </w:rPr>
    </w:lvl>
    <w:lvl w:ilvl="2">
      <w:start w:val="1"/>
      <w:numFmt w:val="lowerRoman"/>
      <w:lvlText w:val="%3."/>
      <w:lvlJc w:val="left"/>
      <w:rPr>
        <w:b/>
        <w:bCs/>
        <w:i/>
        <w:iCs/>
        <w:position w:val="0"/>
      </w:rPr>
    </w:lvl>
    <w:lvl w:ilvl="3">
      <w:start w:val="1"/>
      <w:numFmt w:val="decimal"/>
      <w:lvlText w:val="%4."/>
      <w:lvlJc w:val="left"/>
      <w:rPr>
        <w:b/>
        <w:bCs/>
        <w:i/>
        <w:iCs/>
        <w:position w:val="0"/>
      </w:rPr>
    </w:lvl>
    <w:lvl w:ilvl="4">
      <w:start w:val="1"/>
      <w:numFmt w:val="lowerLetter"/>
      <w:lvlText w:val="%5."/>
      <w:lvlJc w:val="left"/>
      <w:rPr>
        <w:b/>
        <w:bCs/>
        <w:i/>
        <w:iCs/>
        <w:position w:val="0"/>
      </w:rPr>
    </w:lvl>
    <w:lvl w:ilvl="5">
      <w:start w:val="1"/>
      <w:numFmt w:val="lowerRoman"/>
      <w:lvlText w:val="%6."/>
      <w:lvlJc w:val="left"/>
      <w:rPr>
        <w:b/>
        <w:bCs/>
        <w:i/>
        <w:iCs/>
        <w:position w:val="0"/>
      </w:rPr>
    </w:lvl>
    <w:lvl w:ilvl="6">
      <w:start w:val="1"/>
      <w:numFmt w:val="decimal"/>
      <w:lvlText w:val="%7."/>
      <w:lvlJc w:val="left"/>
      <w:rPr>
        <w:b/>
        <w:bCs/>
        <w:i/>
        <w:iCs/>
        <w:position w:val="0"/>
      </w:rPr>
    </w:lvl>
    <w:lvl w:ilvl="7">
      <w:start w:val="1"/>
      <w:numFmt w:val="lowerLetter"/>
      <w:lvlText w:val="%8."/>
      <w:lvlJc w:val="left"/>
      <w:rPr>
        <w:b/>
        <w:bCs/>
        <w:i/>
        <w:iCs/>
        <w:position w:val="0"/>
      </w:rPr>
    </w:lvl>
    <w:lvl w:ilvl="8">
      <w:start w:val="1"/>
      <w:numFmt w:val="lowerRoman"/>
      <w:lvlText w:val="%9."/>
      <w:lvlJc w:val="left"/>
      <w:rPr>
        <w:b/>
        <w:bCs/>
        <w:i/>
        <w:iCs/>
        <w:position w:val="0"/>
      </w:rPr>
    </w:lvl>
  </w:abstractNum>
  <w:abstractNum w:abstractNumId="8" w15:restartNumberingAfterBreak="0">
    <w:nsid w:val="48E4287B"/>
    <w:multiLevelType w:val="multilevel"/>
    <w:tmpl w:val="DA489A9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pStyle w:val="para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AD040A1"/>
    <w:multiLevelType w:val="multilevel"/>
    <w:tmpl w:val="63CE3590"/>
    <w:styleLink w:val="List17"/>
    <w:lvl w:ilvl="0">
      <w:start w:val="1"/>
      <w:numFmt w:val="decimal"/>
      <w:lvlText w:val="%1."/>
      <w:lvlJc w:val="left"/>
      <w:pPr>
        <w:tabs>
          <w:tab w:val="num" w:pos="95"/>
        </w:tabs>
      </w:pPr>
      <w:rPr>
        <w:color w:val="FF0000"/>
        <w:position w:val="0"/>
        <w:sz w:val="22"/>
        <w:szCs w:val="22"/>
        <w:u w:color="FF0000"/>
        <w:lang w:val="en-US"/>
      </w:rPr>
    </w:lvl>
    <w:lvl w:ilvl="1">
      <w:start w:val="7"/>
      <w:numFmt w:val="lowerLetter"/>
      <w:lvlText w:val="(%2)"/>
      <w:lvlJc w:val="left"/>
      <w:pPr>
        <w:tabs>
          <w:tab w:val="num" w:pos="720"/>
        </w:tabs>
        <w:ind w:left="720" w:hanging="720"/>
      </w:pPr>
      <w:rPr>
        <w:color w:val="FF0000"/>
        <w:position w:val="0"/>
        <w:sz w:val="22"/>
        <w:szCs w:val="22"/>
        <w:u w:color="FF0000"/>
        <w:lang w:val="en-US"/>
      </w:rPr>
    </w:lvl>
    <w:lvl w:ilvl="2">
      <w:start w:val="1"/>
      <w:numFmt w:val="lowerRoman"/>
      <w:lvlText w:val="(%3)"/>
      <w:lvlJc w:val="left"/>
      <w:pPr>
        <w:tabs>
          <w:tab w:val="num" w:pos="95"/>
        </w:tabs>
      </w:pPr>
      <w:rPr>
        <w:color w:val="FF0000"/>
        <w:position w:val="0"/>
        <w:sz w:val="22"/>
        <w:szCs w:val="22"/>
        <w:u w:color="FF0000"/>
        <w:lang w:val="en-US"/>
      </w:rPr>
    </w:lvl>
    <w:lvl w:ilvl="3">
      <w:start w:val="1"/>
      <w:numFmt w:val="bullet"/>
      <w:lvlText w:val="•"/>
      <w:lvlJc w:val="left"/>
      <w:pPr>
        <w:tabs>
          <w:tab w:val="num" w:pos="95"/>
        </w:tabs>
      </w:pPr>
      <w:rPr>
        <w:color w:val="FF0000"/>
        <w:position w:val="0"/>
        <w:sz w:val="22"/>
        <w:szCs w:val="22"/>
        <w:u w:color="FF0000"/>
        <w:lang w:val="en-US"/>
      </w:rPr>
    </w:lvl>
    <w:lvl w:ilvl="4">
      <w:start w:val="1"/>
      <w:numFmt w:val="lowerLetter"/>
      <w:lvlText w:val="(%5)"/>
      <w:lvlJc w:val="left"/>
      <w:pPr>
        <w:tabs>
          <w:tab w:val="num" w:pos="95"/>
        </w:tabs>
      </w:pPr>
      <w:rPr>
        <w:color w:val="FF0000"/>
        <w:position w:val="0"/>
        <w:sz w:val="22"/>
        <w:szCs w:val="22"/>
        <w:u w:color="FF0000"/>
        <w:lang w:val="en-US"/>
      </w:rPr>
    </w:lvl>
    <w:lvl w:ilvl="5">
      <w:start w:val="1"/>
      <w:numFmt w:val="lowerRoman"/>
      <w:lvlText w:val="(%6)"/>
      <w:lvlJc w:val="left"/>
      <w:pPr>
        <w:tabs>
          <w:tab w:val="num" w:pos="95"/>
        </w:tabs>
      </w:pPr>
      <w:rPr>
        <w:color w:val="FF0000"/>
        <w:position w:val="0"/>
        <w:sz w:val="22"/>
        <w:szCs w:val="22"/>
        <w:u w:color="FF0000"/>
        <w:lang w:val="en-US"/>
      </w:rPr>
    </w:lvl>
    <w:lvl w:ilvl="6">
      <w:start w:val="1"/>
      <w:numFmt w:val="decimal"/>
      <w:lvlText w:val="%7."/>
      <w:lvlJc w:val="left"/>
      <w:pPr>
        <w:tabs>
          <w:tab w:val="num" w:pos="95"/>
        </w:tabs>
      </w:pPr>
      <w:rPr>
        <w:color w:val="FF0000"/>
        <w:position w:val="0"/>
        <w:sz w:val="22"/>
        <w:szCs w:val="22"/>
        <w:u w:color="FF0000"/>
        <w:lang w:val="en-US"/>
      </w:rPr>
    </w:lvl>
    <w:lvl w:ilvl="7">
      <w:start w:val="1"/>
      <w:numFmt w:val="lowerLetter"/>
      <w:lvlText w:val="%8."/>
      <w:lvlJc w:val="left"/>
      <w:pPr>
        <w:tabs>
          <w:tab w:val="num" w:pos="95"/>
        </w:tabs>
      </w:pPr>
      <w:rPr>
        <w:color w:val="FF0000"/>
        <w:position w:val="0"/>
        <w:sz w:val="22"/>
        <w:szCs w:val="22"/>
        <w:u w:color="FF0000"/>
        <w:lang w:val="en-US"/>
      </w:rPr>
    </w:lvl>
    <w:lvl w:ilvl="8">
      <w:start w:val="1"/>
      <w:numFmt w:val="lowerRoman"/>
      <w:lvlText w:val="%9."/>
      <w:lvlJc w:val="left"/>
      <w:pPr>
        <w:tabs>
          <w:tab w:val="num" w:pos="95"/>
        </w:tabs>
      </w:pPr>
      <w:rPr>
        <w:color w:val="FF0000"/>
        <w:position w:val="0"/>
        <w:sz w:val="22"/>
        <w:szCs w:val="22"/>
        <w:u w:color="FF0000"/>
        <w:lang w:val="en-US"/>
      </w:rPr>
    </w:lvl>
  </w:abstractNum>
  <w:abstractNum w:abstractNumId="10" w15:restartNumberingAfterBreak="0">
    <w:nsid w:val="4D492D22"/>
    <w:multiLevelType w:val="multilevel"/>
    <w:tmpl w:val="DAEAFBA2"/>
    <w:lvl w:ilvl="0">
      <w:start w:val="1"/>
      <w:numFmt w:val="decimal"/>
      <w:lvlText w:val="%1."/>
      <w:lvlJc w:val="left"/>
      <w:rPr>
        <w:b w:val="0"/>
        <w:i w:val="0"/>
        <w:color w:val="000000"/>
        <w:position w:val="0"/>
        <w:rtl w:val="0"/>
      </w:rPr>
    </w:lvl>
    <w:lvl w:ilvl="1">
      <w:start w:val="1"/>
      <w:numFmt w:val="lowerLetter"/>
      <w:lvlText w:val="(%2)"/>
      <w:lvlJc w:val="left"/>
      <w:rPr>
        <w:color w:val="000000"/>
        <w:position w:val="0"/>
        <w:rtl w:val="0"/>
      </w:rPr>
    </w:lvl>
    <w:lvl w:ilvl="2">
      <w:start w:val="1"/>
      <w:numFmt w:val="upperLetter"/>
      <w:lvlText w:val="%3."/>
      <w:lvlJc w:val="left"/>
      <w:rPr>
        <w:color w:val="000000"/>
        <w:position w:val="0"/>
        <w:rtl w:val="0"/>
      </w:rPr>
    </w:lvl>
    <w:lvl w:ilvl="3">
      <w:start w:val="1"/>
      <w:numFmt w:val="bullet"/>
      <w:lvlText w:val="•"/>
      <w:lvlJc w:val="left"/>
      <w:rPr>
        <w:color w:val="000000"/>
        <w:position w:val="0"/>
        <w:rtl w:val="0"/>
      </w:rPr>
    </w:lvl>
    <w:lvl w:ilvl="4">
      <w:start w:val="1"/>
      <w:numFmt w:val="lowerLetter"/>
      <w:lvlText w:val="(%5)"/>
      <w:lvlJc w:val="left"/>
      <w:rPr>
        <w:color w:val="000000"/>
        <w:position w:val="0"/>
        <w:rtl w:val="0"/>
      </w:rPr>
    </w:lvl>
    <w:lvl w:ilvl="5">
      <w:start w:val="1"/>
      <w:numFmt w:val="lowerRoman"/>
      <w:lvlText w:val="(%6)"/>
      <w:lvlJc w:val="left"/>
      <w:rPr>
        <w:color w:val="000000"/>
        <w:position w:val="0"/>
        <w:rtl w:val="0"/>
      </w:rPr>
    </w:lvl>
    <w:lvl w:ilvl="6">
      <w:start w:val="1"/>
      <w:numFmt w:val="decimal"/>
      <w:lvlText w:val="%7."/>
      <w:lvlJc w:val="left"/>
      <w:rPr>
        <w:i w:val="0"/>
        <w:iCs/>
        <w:color w:val="000000"/>
        <w:position w:val="0"/>
        <w:rtl w:val="0"/>
      </w:rPr>
    </w:lvl>
    <w:lvl w:ilvl="7">
      <w:start w:val="1"/>
      <w:numFmt w:val="lowerLetter"/>
      <w:lvlText w:val="%8."/>
      <w:lvlJc w:val="left"/>
      <w:rPr>
        <w:color w:val="000000"/>
        <w:position w:val="0"/>
        <w:rtl w:val="0"/>
      </w:rPr>
    </w:lvl>
    <w:lvl w:ilvl="8">
      <w:start w:val="1"/>
      <w:numFmt w:val="lowerRoman"/>
      <w:lvlText w:val="%9."/>
      <w:lvlJc w:val="left"/>
      <w:rPr>
        <w:color w:val="000000"/>
        <w:position w:val="0"/>
        <w:rtl w:val="0"/>
      </w:rPr>
    </w:lvl>
  </w:abstractNum>
  <w:abstractNum w:abstractNumId="11" w15:restartNumberingAfterBreak="0">
    <w:nsid w:val="4E0442B4"/>
    <w:multiLevelType w:val="multilevel"/>
    <w:tmpl w:val="9C0AAE10"/>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2FA0D9A"/>
    <w:multiLevelType w:val="multilevel"/>
    <w:tmpl w:val="187822A4"/>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65C5312"/>
    <w:multiLevelType w:val="multilevel"/>
    <w:tmpl w:val="4A8A17EE"/>
    <w:styleLink w:val="List211"/>
    <w:lvl w:ilvl="0">
      <w:start w:val="1"/>
      <w:numFmt w:val="decimal"/>
      <w:lvlText w:val="%1."/>
      <w:lvlJc w:val="left"/>
      <w:pPr>
        <w:tabs>
          <w:tab w:val="num" w:pos="104"/>
        </w:tabs>
      </w:pPr>
      <w:rPr>
        <w:position w:val="0"/>
        <w:sz w:val="22"/>
        <w:szCs w:val="22"/>
        <w:rtl w:val="0"/>
        <w:lang w:val="en-US"/>
      </w:rPr>
    </w:lvl>
    <w:lvl w:ilvl="1">
      <w:start w:val="1"/>
      <w:numFmt w:val="lowerLetter"/>
      <w:lvlText w:val="(%2)"/>
      <w:lvlJc w:val="left"/>
      <w:pPr>
        <w:tabs>
          <w:tab w:val="num" w:pos="720"/>
        </w:tabs>
        <w:ind w:left="720" w:hanging="720"/>
      </w:pPr>
      <w:rPr>
        <w:position w:val="0"/>
        <w:sz w:val="22"/>
        <w:szCs w:val="22"/>
        <w:rtl w:val="0"/>
        <w:lang w:val="en-US"/>
      </w:rPr>
    </w:lvl>
    <w:lvl w:ilvl="2">
      <w:start w:val="1"/>
      <w:numFmt w:val="lowerRoman"/>
      <w:lvlText w:val="(%3)"/>
      <w:lvlJc w:val="left"/>
      <w:pPr>
        <w:tabs>
          <w:tab w:val="num" w:pos="104"/>
        </w:tabs>
      </w:pPr>
      <w:rPr>
        <w:position w:val="0"/>
        <w:sz w:val="22"/>
        <w:szCs w:val="22"/>
        <w:rtl w:val="0"/>
        <w:lang w:val="en-US"/>
      </w:rPr>
    </w:lvl>
    <w:lvl w:ilvl="3">
      <w:start w:val="1"/>
      <w:numFmt w:val="bullet"/>
      <w:lvlText w:val="•"/>
      <w:lvlJc w:val="left"/>
      <w:pPr>
        <w:tabs>
          <w:tab w:val="num" w:pos="104"/>
        </w:tabs>
      </w:pPr>
      <w:rPr>
        <w:position w:val="0"/>
        <w:sz w:val="22"/>
        <w:szCs w:val="22"/>
        <w:rtl w:val="0"/>
        <w:lang w:val="en-US"/>
      </w:rPr>
    </w:lvl>
    <w:lvl w:ilvl="4">
      <w:start w:val="1"/>
      <w:numFmt w:val="lowerLetter"/>
      <w:lvlText w:val="(%5)"/>
      <w:lvlJc w:val="left"/>
      <w:pPr>
        <w:tabs>
          <w:tab w:val="num" w:pos="104"/>
        </w:tabs>
      </w:pPr>
      <w:rPr>
        <w:position w:val="0"/>
        <w:sz w:val="22"/>
        <w:szCs w:val="22"/>
        <w:rtl w:val="0"/>
        <w:lang w:val="en-US"/>
      </w:rPr>
    </w:lvl>
    <w:lvl w:ilvl="5">
      <w:start w:val="1"/>
      <w:numFmt w:val="lowerRoman"/>
      <w:lvlText w:val="(%6)"/>
      <w:lvlJc w:val="left"/>
      <w:pPr>
        <w:tabs>
          <w:tab w:val="num" w:pos="104"/>
        </w:tabs>
      </w:pPr>
      <w:rPr>
        <w:position w:val="0"/>
        <w:sz w:val="22"/>
        <w:szCs w:val="22"/>
        <w:rtl w:val="0"/>
        <w:lang w:val="en-US"/>
      </w:rPr>
    </w:lvl>
    <w:lvl w:ilvl="6">
      <w:start w:val="1"/>
      <w:numFmt w:val="decimal"/>
      <w:lvlText w:val="%7."/>
      <w:lvlJc w:val="left"/>
      <w:pPr>
        <w:tabs>
          <w:tab w:val="num" w:pos="104"/>
        </w:tabs>
      </w:pPr>
      <w:rPr>
        <w:position w:val="0"/>
        <w:sz w:val="22"/>
        <w:szCs w:val="22"/>
        <w:rtl w:val="0"/>
        <w:lang w:val="en-US"/>
      </w:rPr>
    </w:lvl>
    <w:lvl w:ilvl="7">
      <w:start w:val="1"/>
      <w:numFmt w:val="lowerLetter"/>
      <w:lvlText w:val="%8."/>
      <w:lvlJc w:val="left"/>
      <w:pPr>
        <w:tabs>
          <w:tab w:val="num" w:pos="104"/>
        </w:tabs>
      </w:pPr>
      <w:rPr>
        <w:position w:val="0"/>
        <w:sz w:val="22"/>
        <w:szCs w:val="22"/>
        <w:rtl w:val="0"/>
        <w:lang w:val="en-US"/>
      </w:rPr>
    </w:lvl>
    <w:lvl w:ilvl="8">
      <w:start w:val="1"/>
      <w:numFmt w:val="lowerRoman"/>
      <w:lvlText w:val="%9."/>
      <w:lvlJc w:val="left"/>
      <w:pPr>
        <w:tabs>
          <w:tab w:val="num" w:pos="104"/>
        </w:tabs>
      </w:pPr>
      <w:rPr>
        <w:position w:val="0"/>
        <w:sz w:val="22"/>
        <w:szCs w:val="22"/>
        <w:rtl w:val="0"/>
        <w:lang w:val="en-US"/>
      </w:rPr>
    </w:lvl>
  </w:abstractNum>
  <w:abstractNum w:abstractNumId="14" w15:restartNumberingAfterBreak="0">
    <w:nsid w:val="5C126CAA"/>
    <w:multiLevelType w:val="multilevel"/>
    <w:tmpl w:val="13F27FDE"/>
    <w:styleLink w:val="List18"/>
    <w:lvl w:ilvl="0">
      <w:start w:val="1"/>
      <w:numFmt w:val="decimal"/>
      <w:lvlText w:val="%1."/>
      <w:lvlJc w:val="left"/>
      <w:pPr>
        <w:tabs>
          <w:tab w:val="num" w:pos="95"/>
        </w:tabs>
      </w:pPr>
      <w:rPr>
        <w:b/>
        <w:bCs/>
        <w:i/>
        <w:iCs/>
        <w:color w:val="FF0000"/>
        <w:position w:val="0"/>
        <w:sz w:val="22"/>
        <w:szCs w:val="22"/>
        <w:u w:color="FF0000"/>
        <w:rtl w:val="0"/>
      </w:rPr>
    </w:lvl>
    <w:lvl w:ilvl="1">
      <w:start w:val="11"/>
      <w:numFmt w:val="lowerLetter"/>
      <w:lvlText w:val="(%2)"/>
      <w:lvlJc w:val="left"/>
      <w:pPr>
        <w:tabs>
          <w:tab w:val="num" w:pos="720"/>
        </w:tabs>
        <w:ind w:left="720" w:hanging="720"/>
      </w:pPr>
      <w:rPr>
        <w:b/>
        <w:bCs/>
        <w:i/>
        <w:iCs/>
        <w:color w:val="FF0000"/>
        <w:position w:val="0"/>
        <w:sz w:val="22"/>
        <w:szCs w:val="22"/>
        <w:u w:color="FF0000"/>
        <w:rtl w:val="0"/>
      </w:rPr>
    </w:lvl>
    <w:lvl w:ilvl="2">
      <w:start w:val="1"/>
      <w:numFmt w:val="lowerRoman"/>
      <w:lvlText w:val="(%3)"/>
      <w:lvlJc w:val="left"/>
      <w:pPr>
        <w:tabs>
          <w:tab w:val="num" w:pos="95"/>
        </w:tabs>
      </w:pPr>
      <w:rPr>
        <w:b/>
        <w:bCs/>
        <w:i/>
        <w:iCs/>
        <w:color w:val="FF0000"/>
        <w:position w:val="0"/>
        <w:sz w:val="22"/>
        <w:szCs w:val="22"/>
        <w:u w:color="FF0000"/>
        <w:rtl w:val="0"/>
      </w:rPr>
    </w:lvl>
    <w:lvl w:ilvl="3">
      <w:start w:val="1"/>
      <w:numFmt w:val="bullet"/>
      <w:lvlText w:val="•"/>
      <w:lvlJc w:val="left"/>
      <w:pPr>
        <w:tabs>
          <w:tab w:val="num" w:pos="95"/>
        </w:tabs>
      </w:pPr>
      <w:rPr>
        <w:b/>
        <w:bCs/>
        <w:i/>
        <w:iCs/>
        <w:color w:val="FF0000"/>
        <w:position w:val="0"/>
        <w:sz w:val="22"/>
        <w:szCs w:val="22"/>
        <w:u w:color="FF0000"/>
        <w:rtl w:val="0"/>
      </w:rPr>
    </w:lvl>
    <w:lvl w:ilvl="4">
      <w:start w:val="1"/>
      <w:numFmt w:val="lowerLetter"/>
      <w:lvlText w:val="(%5)"/>
      <w:lvlJc w:val="left"/>
      <w:pPr>
        <w:tabs>
          <w:tab w:val="num" w:pos="95"/>
        </w:tabs>
      </w:pPr>
      <w:rPr>
        <w:b/>
        <w:bCs/>
        <w:i/>
        <w:iCs/>
        <w:color w:val="FF0000"/>
        <w:position w:val="0"/>
        <w:sz w:val="22"/>
        <w:szCs w:val="22"/>
        <w:u w:color="FF0000"/>
        <w:rtl w:val="0"/>
      </w:rPr>
    </w:lvl>
    <w:lvl w:ilvl="5">
      <w:start w:val="1"/>
      <w:numFmt w:val="lowerRoman"/>
      <w:lvlText w:val="(%6)"/>
      <w:lvlJc w:val="left"/>
      <w:pPr>
        <w:tabs>
          <w:tab w:val="num" w:pos="95"/>
        </w:tabs>
      </w:pPr>
      <w:rPr>
        <w:b/>
        <w:bCs/>
        <w:i/>
        <w:iCs/>
        <w:color w:val="FF0000"/>
        <w:position w:val="0"/>
        <w:sz w:val="22"/>
        <w:szCs w:val="22"/>
        <w:u w:color="FF0000"/>
        <w:rtl w:val="0"/>
      </w:rPr>
    </w:lvl>
    <w:lvl w:ilvl="6">
      <w:start w:val="1"/>
      <w:numFmt w:val="decimal"/>
      <w:lvlText w:val="%7."/>
      <w:lvlJc w:val="left"/>
      <w:pPr>
        <w:tabs>
          <w:tab w:val="num" w:pos="95"/>
        </w:tabs>
      </w:pPr>
      <w:rPr>
        <w:b/>
        <w:bCs/>
        <w:i/>
        <w:iCs/>
        <w:color w:val="FF0000"/>
        <w:position w:val="0"/>
        <w:sz w:val="22"/>
        <w:szCs w:val="22"/>
        <w:u w:color="FF0000"/>
        <w:rtl w:val="0"/>
      </w:rPr>
    </w:lvl>
    <w:lvl w:ilvl="7">
      <w:start w:val="1"/>
      <w:numFmt w:val="lowerLetter"/>
      <w:lvlText w:val="%8."/>
      <w:lvlJc w:val="left"/>
      <w:pPr>
        <w:tabs>
          <w:tab w:val="num" w:pos="95"/>
        </w:tabs>
      </w:pPr>
      <w:rPr>
        <w:b/>
        <w:bCs/>
        <w:i/>
        <w:iCs/>
        <w:color w:val="FF0000"/>
        <w:position w:val="0"/>
        <w:sz w:val="22"/>
        <w:szCs w:val="22"/>
        <w:u w:color="FF0000"/>
        <w:rtl w:val="0"/>
      </w:rPr>
    </w:lvl>
    <w:lvl w:ilvl="8">
      <w:start w:val="1"/>
      <w:numFmt w:val="lowerRoman"/>
      <w:lvlText w:val="%9."/>
      <w:lvlJc w:val="left"/>
      <w:pPr>
        <w:tabs>
          <w:tab w:val="num" w:pos="95"/>
        </w:tabs>
      </w:pPr>
      <w:rPr>
        <w:b/>
        <w:bCs/>
        <w:i/>
        <w:iCs/>
        <w:color w:val="FF0000"/>
        <w:position w:val="0"/>
        <w:sz w:val="22"/>
        <w:szCs w:val="22"/>
        <w:u w:color="FF0000"/>
        <w:rtl w:val="0"/>
      </w:rPr>
    </w:lvl>
  </w:abstractNum>
  <w:abstractNum w:abstractNumId="15" w15:restartNumberingAfterBreak="0">
    <w:nsid w:val="5C1E2935"/>
    <w:multiLevelType w:val="multilevel"/>
    <w:tmpl w:val="06C88A0C"/>
    <w:styleLink w:val="List10"/>
    <w:lvl w:ilvl="0">
      <w:start w:val="1"/>
      <w:numFmt w:val="decimal"/>
      <w:lvlText w:val="%1."/>
      <w:lvlJc w:val="left"/>
      <w:pPr>
        <w:tabs>
          <w:tab w:val="num" w:pos="95"/>
        </w:tabs>
      </w:pPr>
      <w:rPr>
        <w:color w:val="FF0000"/>
        <w:position w:val="0"/>
        <w:sz w:val="22"/>
        <w:szCs w:val="22"/>
        <w:u w:color="FF0000"/>
        <w:lang w:val="en-US"/>
      </w:rPr>
    </w:lvl>
    <w:lvl w:ilvl="1">
      <w:start w:val="12"/>
      <w:numFmt w:val="lowerLetter"/>
      <w:lvlText w:val="(%2)"/>
      <w:lvlJc w:val="left"/>
      <w:pPr>
        <w:tabs>
          <w:tab w:val="num" w:pos="720"/>
        </w:tabs>
        <w:ind w:left="720" w:hanging="720"/>
      </w:pPr>
      <w:rPr>
        <w:color w:val="FF0000"/>
        <w:position w:val="0"/>
        <w:sz w:val="22"/>
        <w:szCs w:val="22"/>
        <w:u w:color="FF0000"/>
        <w:lang w:val="en-US"/>
      </w:rPr>
    </w:lvl>
    <w:lvl w:ilvl="2">
      <w:start w:val="1"/>
      <w:numFmt w:val="lowerRoman"/>
      <w:lvlText w:val="(%3)"/>
      <w:lvlJc w:val="left"/>
      <w:pPr>
        <w:tabs>
          <w:tab w:val="num" w:pos="95"/>
        </w:tabs>
      </w:pPr>
      <w:rPr>
        <w:color w:val="FF0000"/>
        <w:position w:val="0"/>
        <w:sz w:val="22"/>
        <w:szCs w:val="22"/>
        <w:u w:color="FF0000"/>
        <w:lang w:val="en-US"/>
      </w:rPr>
    </w:lvl>
    <w:lvl w:ilvl="3">
      <w:start w:val="1"/>
      <w:numFmt w:val="bullet"/>
      <w:lvlText w:val="•"/>
      <w:lvlJc w:val="left"/>
      <w:pPr>
        <w:tabs>
          <w:tab w:val="num" w:pos="95"/>
        </w:tabs>
      </w:pPr>
      <w:rPr>
        <w:color w:val="FF0000"/>
        <w:position w:val="0"/>
        <w:sz w:val="22"/>
        <w:szCs w:val="22"/>
        <w:u w:color="FF0000"/>
        <w:lang w:val="en-US"/>
      </w:rPr>
    </w:lvl>
    <w:lvl w:ilvl="4">
      <w:start w:val="1"/>
      <w:numFmt w:val="lowerLetter"/>
      <w:lvlText w:val="(%5)"/>
      <w:lvlJc w:val="left"/>
      <w:pPr>
        <w:tabs>
          <w:tab w:val="num" w:pos="95"/>
        </w:tabs>
      </w:pPr>
      <w:rPr>
        <w:color w:val="FF0000"/>
        <w:position w:val="0"/>
        <w:sz w:val="22"/>
        <w:szCs w:val="22"/>
        <w:u w:color="FF0000"/>
        <w:lang w:val="en-US"/>
      </w:rPr>
    </w:lvl>
    <w:lvl w:ilvl="5">
      <w:start w:val="1"/>
      <w:numFmt w:val="lowerRoman"/>
      <w:lvlText w:val="(%6)"/>
      <w:lvlJc w:val="left"/>
      <w:pPr>
        <w:tabs>
          <w:tab w:val="num" w:pos="95"/>
        </w:tabs>
      </w:pPr>
      <w:rPr>
        <w:color w:val="FF0000"/>
        <w:position w:val="0"/>
        <w:sz w:val="22"/>
        <w:szCs w:val="22"/>
        <w:u w:color="FF0000"/>
        <w:lang w:val="en-US"/>
      </w:rPr>
    </w:lvl>
    <w:lvl w:ilvl="6">
      <w:start w:val="1"/>
      <w:numFmt w:val="decimal"/>
      <w:lvlText w:val="%7."/>
      <w:lvlJc w:val="left"/>
      <w:pPr>
        <w:tabs>
          <w:tab w:val="num" w:pos="95"/>
        </w:tabs>
      </w:pPr>
      <w:rPr>
        <w:color w:val="FF0000"/>
        <w:position w:val="0"/>
        <w:sz w:val="22"/>
        <w:szCs w:val="22"/>
        <w:u w:color="FF0000"/>
        <w:lang w:val="en-US"/>
      </w:rPr>
    </w:lvl>
    <w:lvl w:ilvl="7">
      <w:start w:val="1"/>
      <w:numFmt w:val="lowerLetter"/>
      <w:lvlText w:val="%8."/>
      <w:lvlJc w:val="left"/>
      <w:pPr>
        <w:tabs>
          <w:tab w:val="num" w:pos="95"/>
        </w:tabs>
      </w:pPr>
      <w:rPr>
        <w:color w:val="FF0000"/>
        <w:position w:val="0"/>
        <w:sz w:val="22"/>
        <w:szCs w:val="22"/>
        <w:u w:color="FF0000"/>
        <w:lang w:val="en-US"/>
      </w:rPr>
    </w:lvl>
    <w:lvl w:ilvl="8">
      <w:start w:val="1"/>
      <w:numFmt w:val="lowerRoman"/>
      <w:lvlText w:val="%9."/>
      <w:lvlJc w:val="left"/>
      <w:pPr>
        <w:tabs>
          <w:tab w:val="num" w:pos="95"/>
        </w:tabs>
      </w:pPr>
      <w:rPr>
        <w:color w:val="FF0000"/>
        <w:position w:val="0"/>
        <w:sz w:val="22"/>
        <w:szCs w:val="22"/>
        <w:u w:color="FF0000"/>
        <w:lang w:val="en-US"/>
      </w:rPr>
    </w:lvl>
  </w:abstractNum>
  <w:abstractNum w:abstractNumId="16" w15:restartNumberingAfterBreak="0">
    <w:nsid w:val="614734AD"/>
    <w:multiLevelType w:val="multilevel"/>
    <w:tmpl w:val="1212B94C"/>
    <w:styleLink w:val="List21"/>
    <w:lvl w:ilvl="0">
      <w:start w:val="1"/>
      <w:numFmt w:val="upp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7" w15:restartNumberingAfterBreak="0">
    <w:nsid w:val="63091516"/>
    <w:multiLevelType w:val="hybridMultilevel"/>
    <w:tmpl w:val="0DB43952"/>
    <w:styleLink w:val="ImportedStyle3"/>
    <w:lvl w:ilvl="0" w:tplc="0EAC3448">
      <w:start w:val="1"/>
      <w:numFmt w:val="decimal"/>
      <w:lvlText w:val="%1."/>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3BC0BB8A">
      <w:start w:val="1"/>
      <w:numFmt w:val="lowerLetter"/>
      <w:lvlText w:val="(%2)"/>
      <w:lvlJc w:val="left"/>
      <w:pPr>
        <w:tabs>
          <w:tab w:val="num" w:pos="1440"/>
        </w:tabs>
        <w:ind w:left="720" w:firstLine="0"/>
      </w:pPr>
      <w:rPr>
        <w:rFonts w:hAnsi="Arial Unicode MS"/>
        <w:caps w:val="0"/>
        <w:smallCaps w:val="0"/>
        <w:strike w:val="0"/>
        <w:dstrike w:val="0"/>
        <w:color w:val="000000"/>
        <w:spacing w:val="0"/>
        <w:w w:val="100"/>
        <w:kern w:val="0"/>
        <w:position w:val="0"/>
        <w:highlight w:val="none"/>
        <w:vertAlign w:val="baseline"/>
      </w:rPr>
    </w:lvl>
    <w:lvl w:ilvl="2" w:tplc="29A05F3E">
      <w:start w:val="1"/>
      <w:numFmt w:val="lowerRoman"/>
      <w:lvlText w:val="(%3)"/>
      <w:lvlJc w:val="left"/>
      <w:pPr>
        <w:tabs>
          <w:tab w:val="num" w:pos="2160"/>
        </w:tabs>
        <w:ind w:left="1440" w:firstLine="264"/>
      </w:pPr>
      <w:rPr>
        <w:rFonts w:hAnsi="Arial Unicode MS"/>
        <w:caps w:val="0"/>
        <w:smallCaps w:val="0"/>
        <w:strike w:val="0"/>
        <w:dstrike w:val="0"/>
        <w:color w:val="000000"/>
        <w:spacing w:val="0"/>
        <w:w w:val="100"/>
        <w:kern w:val="0"/>
        <w:position w:val="0"/>
        <w:highlight w:val="none"/>
        <w:vertAlign w:val="baseline"/>
      </w:rPr>
    </w:lvl>
    <w:lvl w:ilvl="3" w:tplc="21AAF838">
      <w:start w:val="1"/>
      <w:numFmt w:val="lowerRoman"/>
      <w:lvlText w:val="(%4)"/>
      <w:lvlJc w:val="left"/>
      <w:pPr>
        <w:tabs>
          <w:tab w:val="num" w:pos="2340"/>
        </w:tabs>
        <w:ind w:left="1620" w:firstLine="312"/>
      </w:pPr>
      <w:rPr>
        <w:rFonts w:hAnsi="Arial Unicode MS"/>
        <w:caps w:val="0"/>
        <w:smallCaps w:val="0"/>
        <w:strike w:val="0"/>
        <w:dstrike w:val="0"/>
        <w:color w:val="000000"/>
        <w:spacing w:val="0"/>
        <w:w w:val="100"/>
        <w:kern w:val="0"/>
        <w:position w:val="0"/>
        <w:highlight w:val="none"/>
        <w:vertAlign w:val="baseline"/>
      </w:rPr>
    </w:lvl>
    <w:lvl w:ilvl="4" w:tplc="360E1968">
      <w:start w:val="1"/>
      <w:numFmt w:val="lowerLetter"/>
      <w:lvlText w:val="(%5)"/>
      <w:lvlJc w:val="left"/>
      <w:pPr>
        <w:tabs>
          <w:tab w:val="num" w:pos="2520"/>
        </w:tabs>
        <w:ind w:left="1800" w:firstLine="360"/>
      </w:pPr>
      <w:rPr>
        <w:rFonts w:hAnsi="Arial Unicode MS"/>
        <w:caps w:val="0"/>
        <w:smallCaps w:val="0"/>
        <w:strike w:val="0"/>
        <w:dstrike w:val="0"/>
        <w:color w:val="000000"/>
        <w:spacing w:val="0"/>
        <w:w w:val="100"/>
        <w:kern w:val="0"/>
        <w:position w:val="0"/>
        <w:highlight w:val="none"/>
        <w:vertAlign w:val="baseline"/>
      </w:rPr>
    </w:lvl>
    <w:lvl w:ilvl="5" w:tplc="0758F9D2">
      <w:start w:val="1"/>
      <w:numFmt w:val="lowerRoman"/>
      <w:lvlText w:val="(%6)"/>
      <w:lvlJc w:val="left"/>
      <w:pPr>
        <w:tabs>
          <w:tab w:val="num" w:pos="2880"/>
        </w:tabs>
        <w:ind w:left="2160" w:firstLine="360"/>
      </w:pPr>
      <w:rPr>
        <w:rFonts w:hAnsi="Arial Unicode MS"/>
        <w:caps w:val="0"/>
        <w:smallCaps w:val="0"/>
        <w:strike w:val="0"/>
        <w:dstrike w:val="0"/>
        <w:color w:val="000000"/>
        <w:spacing w:val="0"/>
        <w:w w:val="100"/>
        <w:kern w:val="0"/>
        <w:position w:val="0"/>
        <w:highlight w:val="none"/>
        <w:vertAlign w:val="baseline"/>
      </w:rPr>
    </w:lvl>
    <w:lvl w:ilvl="6" w:tplc="93DAA5C0">
      <w:start w:val="1"/>
      <w:numFmt w:val="decimal"/>
      <w:lvlText w:val="%7."/>
      <w:lvlJc w:val="left"/>
      <w:pPr>
        <w:tabs>
          <w:tab w:val="num" w:pos="3240"/>
        </w:tabs>
        <w:ind w:left="2520" w:firstLine="360"/>
      </w:pPr>
      <w:rPr>
        <w:rFonts w:hAnsi="Arial Unicode MS"/>
        <w:caps w:val="0"/>
        <w:smallCaps w:val="0"/>
        <w:strike w:val="0"/>
        <w:dstrike w:val="0"/>
        <w:color w:val="000000"/>
        <w:spacing w:val="0"/>
        <w:w w:val="100"/>
        <w:kern w:val="0"/>
        <w:position w:val="0"/>
        <w:highlight w:val="none"/>
        <w:vertAlign w:val="baseline"/>
      </w:rPr>
    </w:lvl>
    <w:lvl w:ilvl="7" w:tplc="213ED058">
      <w:start w:val="1"/>
      <w:numFmt w:val="lowerLetter"/>
      <w:lvlText w:val="%8."/>
      <w:lvlJc w:val="left"/>
      <w:pPr>
        <w:tabs>
          <w:tab w:val="num" w:pos="3600"/>
        </w:tabs>
        <w:ind w:left="2880" w:firstLine="360"/>
      </w:pPr>
      <w:rPr>
        <w:rFonts w:hAnsi="Arial Unicode MS"/>
        <w:caps w:val="0"/>
        <w:smallCaps w:val="0"/>
        <w:strike w:val="0"/>
        <w:dstrike w:val="0"/>
        <w:color w:val="000000"/>
        <w:spacing w:val="0"/>
        <w:w w:val="100"/>
        <w:kern w:val="0"/>
        <w:position w:val="0"/>
        <w:highlight w:val="none"/>
        <w:vertAlign w:val="baseline"/>
      </w:rPr>
    </w:lvl>
    <w:lvl w:ilvl="8" w:tplc="377630C8">
      <w:start w:val="1"/>
      <w:numFmt w:val="lowerRoman"/>
      <w:lvlText w:val="%9."/>
      <w:lvlJc w:val="left"/>
      <w:pPr>
        <w:tabs>
          <w:tab w:val="num" w:pos="3960"/>
        </w:tabs>
        <w:ind w:left="3240" w:firstLine="360"/>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65357F78"/>
    <w:multiLevelType w:val="hybridMultilevel"/>
    <w:tmpl w:val="E59652FE"/>
    <w:lvl w:ilvl="0" w:tplc="46F8F796">
      <w:start w:val="1"/>
      <w:numFmt w:val="decimal"/>
      <w:pStyle w:val="Paraofficial"/>
      <w:lvlText w:val="%1."/>
      <w:lvlJc w:val="left"/>
      <w:pPr>
        <w:tabs>
          <w:tab w:val="num" w:pos="1080"/>
        </w:tabs>
        <w:ind w:left="0" w:firstLine="720"/>
      </w:pPr>
      <w:rPr>
        <w:rFonts w:hint="default"/>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num w:numId="1">
    <w:abstractNumId w:val="2"/>
  </w:num>
  <w:num w:numId="2">
    <w:abstractNumId w:val="18"/>
  </w:num>
  <w:num w:numId="3">
    <w:abstractNumId w:val="12"/>
  </w:num>
  <w:num w:numId="4">
    <w:abstractNumId w:val="3"/>
  </w:num>
  <w:num w:numId="5">
    <w:abstractNumId w:val="8"/>
  </w:num>
  <w:num w:numId="6">
    <w:abstractNumId w:val="5"/>
  </w:num>
  <w:num w:numId="7">
    <w:abstractNumId w:val="1"/>
  </w:num>
  <w:num w:numId="8">
    <w:abstractNumId w:val="13"/>
  </w:num>
  <w:num w:numId="9">
    <w:abstractNumId w:val="15"/>
  </w:num>
  <w:num w:numId="10">
    <w:abstractNumId w:val="9"/>
  </w:num>
  <w:num w:numId="11">
    <w:abstractNumId w:val="14"/>
  </w:num>
  <w:num w:numId="12">
    <w:abstractNumId w:val="16"/>
  </w:num>
  <w:num w:numId="13">
    <w:abstractNumId w:val="10"/>
  </w:num>
  <w:num w:numId="14">
    <w:abstractNumId w:val="4"/>
  </w:num>
  <w:num w:numId="15">
    <w:abstractNumId w:val="11"/>
  </w:num>
  <w:num w:numId="16">
    <w:abstractNumId w:val="17"/>
  </w:num>
  <w:num w:numId="17">
    <w:abstractNumId w:val="7"/>
  </w:num>
  <w:num w:numId="18">
    <w:abstractNumId w:val="0"/>
  </w:num>
  <w:num w:numId="19">
    <w:abstractNumId w:val="11"/>
  </w:num>
  <w:num w:numId="20">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displayBackgroundShape/>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A" w:vendorID="64" w:dllVersion="6" w:nlCheck="1" w:checkStyle="1"/>
  <w:activeWritingStyle w:appName="MSWord" w:lang="en-CA"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GB" w:vendorID="64" w:dllVersion="0" w:nlCheck="1" w:checkStyle="0"/>
  <w:activeWritingStyle w:appName="MSWord" w:lang="en-US" w:vendorID="64" w:dllVersion="0" w:nlCheck="1" w:checkStyle="0"/>
  <w:activeWritingStyle w:appName="MSWord" w:lang="fr-CA" w:vendorID="64" w:dllVersion="0" w:nlCheck="1" w:checkStyle="0"/>
  <w:activeWritingStyle w:appName="MSWord" w:lang="es-419" w:vendorID="64" w:dllVersion="0" w:nlCheck="1" w:checkStyle="0"/>
  <w:activeWritingStyle w:appName="MSWord" w:lang="es-AR" w:vendorID="64" w:dllVersion="6" w:nlCheck="1" w:checkStyle="1"/>
  <w:activeWritingStyle w:appName="MSWord" w:lang="es-A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en-CA"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evenAndOddHeaders/>
  <w:drawingGridHorizontalSpacing w:val="110"/>
  <w:drawingGridVerticalSpacing w:val="299"/>
  <w:displayHorizontalDrawingGridEvery w:val="2"/>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68A"/>
    <w:rsid w:val="000015F9"/>
    <w:rsid w:val="00002456"/>
    <w:rsid w:val="00003F8B"/>
    <w:rsid w:val="00004557"/>
    <w:rsid w:val="0000461C"/>
    <w:rsid w:val="000073F4"/>
    <w:rsid w:val="0000784C"/>
    <w:rsid w:val="000079EF"/>
    <w:rsid w:val="0001125D"/>
    <w:rsid w:val="00011828"/>
    <w:rsid w:val="00012347"/>
    <w:rsid w:val="00013B90"/>
    <w:rsid w:val="00015A18"/>
    <w:rsid w:val="00015E03"/>
    <w:rsid w:val="00015FFC"/>
    <w:rsid w:val="00016A32"/>
    <w:rsid w:val="00016C8A"/>
    <w:rsid w:val="0001730F"/>
    <w:rsid w:val="00017357"/>
    <w:rsid w:val="000173F1"/>
    <w:rsid w:val="0001761A"/>
    <w:rsid w:val="00017B39"/>
    <w:rsid w:val="000207BA"/>
    <w:rsid w:val="00025112"/>
    <w:rsid w:val="00026D87"/>
    <w:rsid w:val="00030677"/>
    <w:rsid w:val="0003130A"/>
    <w:rsid w:val="0003158D"/>
    <w:rsid w:val="0003170D"/>
    <w:rsid w:val="000321CA"/>
    <w:rsid w:val="000323ED"/>
    <w:rsid w:val="0003258C"/>
    <w:rsid w:val="00032CE4"/>
    <w:rsid w:val="0003308A"/>
    <w:rsid w:val="0003356D"/>
    <w:rsid w:val="0003416A"/>
    <w:rsid w:val="00034B6C"/>
    <w:rsid w:val="000370A2"/>
    <w:rsid w:val="000378C6"/>
    <w:rsid w:val="00037E43"/>
    <w:rsid w:val="000408BA"/>
    <w:rsid w:val="00041238"/>
    <w:rsid w:val="0004183B"/>
    <w:rsid w:val="00041EB4"/>
    <w:rsid w:val="000425BC"/>
    <w:rsid w:val="000425D5"/>
    <w:rsid w:val="000430B9"/>
    <w:rsid w:val="00043D81"/>
    <w:rsid w:val="00043EF1"/>
    <w:rsid w:val="00044078"/>
    <w:rsid w:val="000460E8"/>
    <w:rsid w:val="00047BA7"/>
    <w:rsid w:val="00047F1B"/>
    <w:rsid w:val="00051053"/>
    <w:rsid w:val="0005427F"/>
    <w:rsid w:val="00054AFE"/>
    <w:rsid w:val="000563D1"/>
    <w:rsid w:val="00056CC3"/>
    <w:rsid w:val="0005744B"/>
    <w:rsid w:val="0005750E"/>
    <w:rsid w:val="00057BAC"/>
    <w:rsid w:val="000604FD"/>
    <w:rsid w:val="000617F5"/>
    <w:rsid w:val="0006280A"/>
    <w:rsid w:val="000629EA"/>
    <w:rsid w:val="0006327E"/>
    <w:rsid w:val="00064299"/>
    <w:rsid w:val="00065462"/>
    <w:rsid w:val="00066516"/>
    <w:rsid w:val="00066EF7"/>
    <w:rsid w:val="000706D2"/>
    <w:rsid w:val="00072C32"/>
    <w:rsid w:val="00072FA0"/>
    <w:rsid w:val="0007314C"/>
    <w:rsid w:val="00073200"/>
    <w:rsid w:val="00073B00"/>
    <w:rsid w:val="00074FAA"/>
    <w:rsid w:val="000766FA"/>
    <w:rsid w:val="00077834"/>
    <w:rsid w:val="000807A1"/>
    <w:rsid w:val="00080AA2"/>
    <w:rsid w:val="0008200C"/>
    <w:rsid w:val="000831B1"/>
    <w:rsid w:val="000833BC"/>
    <w:rsid w:val="00083AE0"/>
    <w:rsid w:val="00084ABA"/>
    <w:rsid w:val="000854C5"/>
    <w:rsid w:val="00086229"/>
    <w:rsid w:val="00086C49"/>
    <w:rsid w:val="0008716F"/>
    <w:rsid w:val="0008765A"/>
    <w:rsid w:val="000907DB"/>
    <w:rsid w:val="00091A04"/>
    <w:rsid w:val="00092876"/>
    <w:rsid w:val="00092AC3"/>
    <w:rsid w:val="00092B39"/>
    <w:rsid w:val="00092D84"/>
    <w:rsid w:val="000936E3"/>
    <w:rsid w:val="000942FA"/>
    <w:rsid w:val="00094450"/>
    <w:rsid w:val="000948A5"/>
    <w:rsid w:val="000954F4"/>
    <w:rsid w:val="00095933"/>
    <w:rsid w:val="000960A5"/>
    <w:rsid w:val="0009641F"/>
    <w:rsid w:val="00096769"/>
    <w:rsid w:val="00096836"/>
    <w:rsid w:val="000974C0"/>
    <w:rsid w:val="000975D6"/>
    <w:rsid w:val="000A126F"/>
    <w:rsid w:val="000A129B"/>
    <w:rsid w:val="000A1BE4"/>
    <w:rsid w:val="000A2552"/>
    <w:rsid w:val="000A26A9"/>
    <w:rsid w:val="000A6047"/>
    <w:rsid w:val="000A67B5"/>
    <w:rsid w:val="000A7BCB"/>
    <w:rsid w:val="000A7E44"/>
    <w:rsid w:val="000A7F5C"/>
    <w:rsid w:val="000B0096"/>
    <w:rsid w:val="000B0837"/>
    <w:rsid w:val="000B0D20"/>
    <w:rsid w:val="000B197E"/>
    <w:rsid w:val="000B1C2C"/>
    <w:rsid w:val="000B358C"/>
    <w:rsid w:val="000B43AE"/>
    <w:rsid w:val="000B67CC"/>
    <w:rsid w:val="000B7CFF"/>
    <w:rsid w:val="000B7FD3"/>
    <w:rsid w:val="000C16E8"/>
    <w:rsid w:val="000C2F30"/>
    <w:rsid w:val="000C380B"/>
    <w:rsid w:val="000C429D"/>
    <w:rsid w:val="000C4DF4"/>
    <w:rsid w:val="000C6C56"/>
    <w:rsid w:val="000C6C8E"/>
    <w:rsid w:val="000D0B43"/>
    <w:rsid w:val="000D0D7D"/>
    <w:rsid w:val="000D0DB9"/>
    <w:rsid w:val="000D14C8"/>
    <w:rsid w:val="000D15B3"/>
    <w:rsid w:val="000D1DF1"/>
    <w:rsid w:val="000D1E2A"/>
    <w:rsid w:val="000D2342"/>
    <w:rsid w:val="000D481C"/>
    <w:rsid w:val="000D482E"/>
    <w:rsid w:val="000D4AE6"/>
    <w:rsid w:val="000D57E7"/>
    <w:rsid w:val="000D5B1F"/>
    <w:rsid w:val="000D5F7C"/>
    <w:rsid w:val="000D73BF"/>
    <w:rsid w:val="000D7430"/>
    <w:rsid w:val="000D74E6"/>
    <w:rsid w:val="000E06E3"/>
    <w:rsid w:val="000E1C9A"/>
    <w:rsid w:val="000E207B"/>
    <w:rsid w:val="000E3B8D"/>
    <w:rsid w:val="000E3BAA"/>
    <w:rsid w:val="000E4335"/>
    <w:rsid w:val="000E4668"/>
    <w:rsid w:val="000E4D2F"/>
    <w:rsid w:val="000E4E75"/>
    <w:rsid w:val="000E5283"/>
    <w:rsid w:val="000E654B"/>
    <w:rsid w:val="000E65E5"/>
    <w:rsid w:val="000F1E67"/>
    <w:rsid w:val="000F2159"/>
    <w:rsid w:val="000F23C7"/>
    <w:rsid w:val="000F2DA4"/>
    <w:rsid w:val="000F2E21"/>
    <w:rsid w:val="000F3E29"/>
    <w:rsid w:val="000F42B6"/>
    <w:rsid w:val="000F498F"/>
    <w:rsid w:val="000F528D"/>
    <w:rsid w:val="000F5315"/>
    <w:rsid w:val="000F6761"/>
    <w:rsid w:val="000F6787"/>
    <w:rsid w:val="000F6CCA"/>
    <w:rsid w:val="000F7854"/>
    <w:rsid w:val="00100D97"/>
    <w:rsid w:val="00101EED"/>
    <w:rsid w:val="0010229C"/>
    <w:rsid w:val="001022AA"/>
    <w:rsid w:val="00102933"/>
    <w:rsid w:val="0010397A"/>
    <w:rsid w:val="001054F9"/>
    <w:rsid w:val="00106EC1"/>
    <w:rsid w:val="00107B0C"/>
    <w:rsid w:val="00110D82"/>
    <w:rsid w:val="00111FC6"/>
    <w:rsid w:val="00112D54"/>
    <w:rsid w:val="0011414A"/>
    <w:rsid w:val="00114BE9"/>
    <w:rsid w:val="00114C09"/>
    <w:rsid w:val="001161DB"/>
    <w:rsid w:val="00116232"/>
    <w:rsid w:val="00121D22"/>
    <w:rsid w:val="001226B0"/>
    <w:rsid w:val="0012270C"/>
    <w:rsid w:val="0012295B"/>
    <w:rsid w:val="001231DC"/>
    <w:rsid w:val="00123907"/>
    <w:rsid w:val="00123AE5"/>
    <w:rsid w:val="00124E2D"/>
    <w:rsid w:val="0012504C"/>
    <w:rsid w:val="00125305"/>
    <w:rsid w:val="00126BEE"/>
    <w:rsid w:val="00126D49"/>
    <w:rsid w:val="00126F1D"/>
    <w:rsid w:val="00127C22"/>
    <w:rsid w:val="00127E26"/>
    <w:rsid w:val="00130B56"/>
    <w:rsid w:val="00130F36"/>
    <w:rsid w:val="0013147F"/>
    <w:rsid w:val="001314DB"/>
    <w:rsid w:val="00132074"/>
    <w:rsid w:val="001330A6"/>
    <w:rsid w:val="00133B52"/>
    <w:rsid w:val="00135478"/>
    <w:rsid w:val="00136022"/>
    <w:rsid w:val="00136D69"/>
    <w:rsid w:val="001375FE"/>
    <w:rsid w:val="001377AD"/>
    <w:rsid w:val="00137F9C"/>
    <w:rsid w:val="00140785"/>
    <w:rsid w:val="00140F2A"/>
    <w:rsid w:val="00141765"/>
    <w:rsid w:val="00141F72"/>
    <w:rsid w:val="001427B0"/>
    <w:rsid w:val="00145A95"/>
    <w:rsid w:val="00146FD6"/>
    <w:rsid w:val="0015151C"/>
    <w:rsid w:val="00151B29"/>
    <w:rsid w:val="00152163"/>
    <w:rsid w:val="00152987"/>
    <w:rsid w:val="00153018"/>
    <w:rsid w:val="00153E30"/>
    <w:rsid w:val="0015438E"/>
    <w:rsid w:val="00155016"/>
    <w:rsid w:val="00155512"/>
    <w:rsid w:val="00155ADC"/>
    <w:rsid w:val="001560A5"/>
    <w:rsid w:val="001578A6"/>
    <w:rsid w:val="00157C24"/>
    <w:rsid w:val="00160855"/>
    <w:rsid w:val="0016087D"/>
    <w:rsid w:val="0016097B"/>
    <w:rsid w:val="00160C66"/>
    <w:rsid w:val="00163A84"/>
    <w:rsid w:val="00164BEA"/>
    <w:rsid w:val="00164D1C"/>
    <w:rsid w:val="00165B3F"/>
    <w:rsid w:val="00167082"/>
    <w:rsid w:val="00167641"/>
    <w:rsid w:val="00171907"/>
    <w:rsid w:val="00172B14"/>
    <w:rsid w:val="00173569"/>
    <w:rsid w:val="00173AA8"/>
    <w:rsid w:val="00174EB3"/>
    <w:rsid w:val="00174F20"/>
    <w:rsid w:val="00175B60"/>
    <w:rsid w:val="00175C15"/>
    <w:rsid w:val="0018006D"/>
    <w:rsid w:val="0018031F"/>
    <w:rsid w:val="00180EE9"/>
    <w:rsid w:val="0018107A"/>
    <w:rsid w:val="0018277C"/>
    <w:rsid w:val="00184A1B"/>
    <w:rsid w:val="0018535E"/>
    <w:rsid w:val="00185551"/>
    <w:rsid w:val="00185EC9"/>
    <w:rsid w:val="001862EE"/>
    <w:rsid w:val="00186355"/>
    <w:rsid w:val="0018663B"/>
    <w:rsid w:val="0018734B"/>
    <w:rsid w:val="001879FF"/>
    <w:rsid w:val="001903A5"/>
    <w:rsid w:val="00190C9A"/>
    <w:rsid w:val="0019247D"/>
    <w:rsid w:val="00192742"/>
    <w:rsid w:val="001937A0"/>
    <w:rsid w:val="00193BD9"/>
    <w:rsid w:val="00194FA5"/>
    <w:rsid w:val="00195889"/>
    <w:rsid w:val="00195E04"/>
    <w:rsid w:val="00196161"/>
    <w:rsid w:val="00196B77"/>
    <w:rsid w:val="00196E69"/>
    <w:rsid w:val="00197A15"/>
    <w:rsid w:val="001A03DA"/>
    <w:rsid w:val="001A0604"/>
    <w:rsid w:val="001A24A1"/>
    <w:rsid w:val="001A26F8"/>
    <w:rsid w:val="001A2A3F"/>
    <w:rsid w:val="001A32BE"/>
    <w:rsid w:val="001A3834"/>
    <w:rsid w:val="001A4A79"/>
    <w:rsid w:val="001A5677"/>
    <w:rsid w:val="001A56D4"/>
    <w:rsid w:val="001A7021"/>
    <w:rsid w:val="001A7F1A"/>
    <w:rsid w:val="001B1F23"/>
    <w:rsid w:val="001B3840"/>
    <w:rsid w:val="001B47AB"/>
    <w:rsid w:val="001B4DE1"/>
    <w:rsid w:val="001B5493"/>
    <w:rsid w:val="001B5D4C"/>
    <w:rsid w:val="001B65C8"/>
    <w:rsid w:val="001B712B"/>
    <w:rsid w:val="001B755E"/>
    <w:rsid w:val="001C0328"/>
    <w:rsid w:val="001C0ACE"/>
    <w:rsid w:val="001C10AE"/>
    <w:rsid w:val="001C15E9"/>
    <w:rsid w:val="001C1914"/>
    <w:rsid w:val="001C1FD1"/>
    <w:rsid w:val="001C2A17"/>
    <w:rsid w:val="001C3CDA"/>
    <w:rsid w:val="001C4F33"/>
    <w:rsid w:val="001C57A8"/>
    <w:rsid w:val="001C6718"/>
    <w:rsid w:val="001C6F39"/>
    <w:rsid w:val="001C71F8"/>
    <w:rsid w:val="001C7871"/>
    <w:rsid w:val="001C7BB5"/>
    <w:rsid w:val="001C7EC1"/>
    <w:rsid w:val="001C7FC6"/>
    <w:rsid w:val="001D010E"/>
    <w:rsid w:val="001D0318"/>
    <w:rsid w:val="001D0CB2"/>
    <w:rsid w:val="001D1094"/>
    <w:rsid w:val="001D15D8"/>
    <w:rsid w:val="001D1C70"/>
    <w:rsid w:val="001D26A1"/>
    <w:rsid w:val="001D3867"/>
    <w:rsid w:val="001D3DFB"/>
    <w:rsid w:val="001D5EEB"/>
    <w:rsid w:val="001D630A"/>
    <w:rsid w:val="001D77D4"/>
    <w:rsid w:val="001D78B3"/>
    <w:rsid w:val="001D7CE2"/>
    <w:rsid w:val="001E0252"/>
    <w:rsid w:val="001E0979"/>
    <w:rsid w:val="001E0CF2"/>
    <w:rsid w:val="001E1178"/>
    <w:rsid w:val="001E1679"/>
    <w:rsid w:val="001E1F43"/>
    <w:rsid w:val="001E2263"/>
    <w:rsid w:val="001E2D77"/>
    <w:rsid w:val="001E4319"/>
    <w:rsid w:val="001E5487"/>
    <w:rsid w:val="001E5D24"/>
    <w:rsid w:val="001E5FAB"/>
    <w:rsid w:val="001E60FA"/>
    <w:rsid w:val="001E6775"/>
    <w:rsid w:val="001E6D9F"/>
    <w:rsid w:val="001E74FF"/>
    <w:rsid w:val="001E7AA2"/>
    <w:rsid w:val="001F07AD"/>
    <w:rsid w:val="001F2004"/>
    <w:rsid w:val="001F220A"/>
    <w:rsid w:val="001F2433"/>
    <w:rsid w:val="001F268A"/>
    <w:rsid w:val="001F47DA"/>
    <w:rsid w:val="001F617B"/>
    <w:rsid w:val="001F64DE"/>
    <w:rsid w:val="001F7AD1"/>
    <w:rsid w:val="001F7E2F"/>
    <w:rsid w:val="00200467"/>
    <w:rsid w:val="00200B2E"/>
    <w:rsid w:val="00201A1E"/>
    <w:rsid w:val="00201B7E"/>
    <w:rsid w:val="00201E30"/>
    <w:rsid w:val="00202628"/>
    <w:rsid w:val="00203B31"/>
    <w:rsid w:val="00203D62"/>
    <w:rsid w:val="002051E0"/>
    <w:rsid w:val="002052A9"/>
    <w:rsid w:val="002068F1"/>
    <w:rsid w:val="0021038A"/>
    <w:rsid w:val="002107C9"/>
    <w:rsid w:val="0021096D"/>
    <w:rsid w:val="00211ADA"/>
    <w:rsid w:val="00211CD9"/>
    <w:rsid w:val="0021217F"/>
    <w:rsid w:val="00212554"/>
    <w:rsid w:val="002127BD"/>
    <w:rsid w:val="002132C9"/>
    <w:rsid w:val="00213E6D"/>
    <w:rsid w:val="00214538"/>
    <w:rsid w:val="002154D1"/>
    <w:rsid w:val="00215757"/>
    <w:rsid w:val="00215CA4"/>
    <w:rsid w:val="002165FC"/>
    <w:rsid w:val="002169DA"/>
    <w:rsid w:val="00216ADD"/>
    <w:rsid w:val="00217013"/>
    <w:rsid w:val="002207F1"/>
    <w:rsid w:val="00220CD3"/>
    <w:rsid w:val="00221623"/>
    <w:rsid w:val="002220A7"/>
    <w:rsid w:val="002220D5"/>
    <w:rsid w:val="002222BA"/>
    <w:rsid w:val="002230EB"/>
    <w:rsid w:val="0022328A"/>
    <w:rsid w:val="002241DF"/>
    <w:rsid w:val="002247FC"/>
    <w:rsid w:val="00224BD0"/>
    <w:rsid w:val="00224F76"/>
    <w:rsid w:val="00225223"/>
    <w:rsid w:val="00225758"/>
    <w:rsid w:val="00226B07"/>
    <w:rsid w:val="00226D8B"/>
    <w:rsid w:val="00227961"/>
    <w:rsid w:val="00230A63"/>
    <w:rsid w:val="00230EC5"/>
    <w:rsid w:val="00231276"/>
    <w:rsid w:val="00231399"/>
    <w:rsid w:val="00231833"/>
    <w:rsid w:val="00231A0E"/>
    <w:rsid w:val="00231C66"/>
    <w:rsid w:val="00231DB0"/>
    <w:rsid w:val="00231E35"/>
    <w:rsid w:val="002322D7"/>
    <w:rsid w:val="0023358D"/>
    <w:rsid w:val="00233B14"/>
    <w:rsid w:val="00234CE5"/>
    <w:rsid w:val="00234D09"/>
    <w:rsid w:val="002351F1"/>
    <w:rsid w:val="0023639C"/>
    <w:rsid w:val="0023640E"/>
    <w:rsid w:val="0023657A"/>
    <w:rsid w:val="0023696A"/>
    <w:rsid w:val="00237D48"/>
    <w:rsid w:val="00241759"/>
    <w:rsid w:val="00242411"/>
    <w:rsid w:val="00242A96"/>
    <w:rsid w:val="0024320C"/>
    <w:rsid w:val="002434F2"/>
    <w:rsid w:val="0024380F"/>
    <w:rsid w:val="00243BE3"/>
    <w:rsid w:val="00243E3A"/>
    <w:rsid w:val="0024540A"/>
    <w:rsid w:val="00246908"/>
    <w:rsid w:val="00250111"/>
    <w:rsid w:val="0025116E"/>
    <w:rsid w:val="00251175"/>
    <w:rsid w:val="002513B0"/>
    <w:rsid w:val="00252906"/>
    <w:rsid w:val="002530BB"/>
    <w:rsid w:val="00253A8D"/>
    <w:rsid w:val="00253F6D"/>
    <w:rsid w:val="00254056"/>
    <w:rsid w:val="002542D9"/>
    <w:rsid w:val="00254F0D"/>
    <w:rsid w:val="00256B08"/>
    <w:rsid w:val="002570EF"/>
    <w:rsid w:val="00260818"/>
    <w:rsid w:val="00260889"/>
    <w:rsid w:val="00260975"/>
    <w:rsid w:val="00260F7F"/>
    <w:rsid w:val="00260FDC"/>
    <w:rsid w:val="0026137F"/>
    <w:rsid w:val="002615F7"/>
    <w:rsid w:val="0026180B"/>
    <w:rsid w:val="00261BF7"/>
    <w:rsid w:val="002620E8"/>
    <w:rsid w:val="002625D7"/>
    <w:rsid w:val="0026312A"/>
    <w:rsid w:val="002644A5"/>
    <w:rsid w:val="00267432"/>
    <w:rsid w:val="00270538"/>
    <w:rsid w:val="00270C87"/>
    <w:rsid w:val="002728BF"/>
    <w:rsid w:val="00272CAE"/>
    <w:rsid w:val="00273843"/>
    <w:rsid w:val="00274DD5"/>
    <w:rsid w:val="00276761"/>
    <w:rsid w:val="00276CD0"/>
    <w:rsid w:val="00276CFB"/>
    <w:rsid w:val="00277D86"/>
    <w:rsid w:val="00280CF9"/>
    <w:rsid w:val="00280E89"/>
    <w:rsid w:val="00280EAA"/>
    <w:rsid w:val="002815FA"/>
    <w:rsid w:val="00282106"/>
    <w:rsid w:val="002828E3"/>
    <w:rsid w:val="00282952"/>
    <w:rsid w:val="0028380B"/>
    <w:rsid w:val="00283B25"/>
    <w:rsid w:val="0028557B"/>
    <w:rsid w:val="00285DD5"/>
    <w:rsid w:val="00286407"/>
    <w:rsid w:val="00286ECE"/>
    <w:rsid w:val="0028773B"/>
    <w:rsid w:val="00287F7B"/>
    <w:rsid w:val="00290B5E"/>
    <w:rsid w:val="00290EFE"/>
    <w:rsid w:val="002915E8"/>
    <w:rsid w:val="00291C7D"/>
    <w:rsid w:val="00291EFA"/>
    <w:rsid w:val="00292649"/>
    <w:rsid w:val="002932F8"/>
    <w:rsid w:val="00294333"/>
    <w:rsid w:val="002948D6"/>
    <w:rsid w:val="00295764"/>
    <w:rsid w:val="00295862"/>
    <w:rsid w:val="00295A95"/>
    <w:rsid w:val="00296471"/>
    <w:rsid w:val="00296965"/>
    <w:rsid w:val="002975FB"/>
    <w:rsid w:val="002976BC"/>
    <w:rsid w:val="002A05CA"/>
    <w:rsid w:val="002A0676"/>
    <w:rsid w:val="002A0872"/>
    <w:rsid w:val="002A15BC"/>
    <w:rsid w:val="002A2C86"/>
    <w:rsid w:val="002A2E6D"/>
    <w:rsid w:val="002A375B"/>
    <w:rsid w:val="002A3C2D"/>
    <w:rsid w:val="002A56E0"/>
    <w:rsid w:val="002A5DE0"/>
    <w:rsid w:val="002B0514"/>
    <w:rsid w:val="002B0D90"/>
    <w:rsid w:val="002B1235"/>
    <w:rsid w:val="002B133D"/>
    <w:rsid w:val="002B1B74"/>
    <w:rsid w:val="002B1C31"/>
    <w:rsid w:val="002B1ECC"/>
    <w:rsid w:val="002B2395"/>
    <w:rsid w:val="002B24FE"/>
    <w:rsid w:val="002B3339"/>
    <w:rsid w:val="002B4549"/>
    <w:rsid w:val="002B5198"/>
    <w:rsid w:val="002B6117"/>
    <w:rsid w:val="002B71E2"/>
    <w:rsid w:val="002B792F"/>
    <w:rsid w:val="002B793A"/>
    <w:rsid w:val="002C0360"/>
    <w:rsid w:val="002C0B34"/>
    <w:rsid w:val="002C11D8"/>
    <w:rsid w:val="002C11E3"/>
    <w:rsid w:val="002C1876"/>
    <w:rsid w:val="002C2369"/>
    <w:rsid w:val="002C4FAF"/>
    <w:rsid w:val="002C58E5"/>
    <w:rsid w:val="002C5D20"/>
    <w:rsid w:val="002C6354"/>
    <w:rsid w:val="002C69D1"/>
    <w:rsid w:val="002C6C00"/>
    <w:rsid w:val="002C6D80"/>
    <w:rsid w:val="002C7BD5"/>
    <w:rsid w:val="002D03F5"/>
    <w:rsid w:val="002D0FEF"/>
    <w:rsid w:val="002D181A"/>
    <w:rsid w:val="002D1F88"/>
    <w:rsid w:val="002D268F"/>
    <w:rsid w:val="002D36DA"/>
    <w:rsid w:val="002D414F"/>
    <w:rsid w:val="002D4280"/>
    <w:rsid w:val="002D460E"/>
    <w:rsid w:val="002D4DB9"/>
    <w:rsid w:val="002D51D0"/>
    <w:rsid w:val="002D53AA"/>
    <w:rsid w:val="002D53CB"/>
    <w:rsid w:val="002D54B5"/>
    <w:rsid w:val="002D6E26"/>
    <w:rsid w:val="002D7166"/>
    <w:rsid w:val="002D75BF"/>
    <w:rsid w:val="002D7DE5"/>
    <w:rsid w:val="002E0A3A"/>
    <w:rsid w:val="002E23A8"/>
    <w:rsid w:val="002E2E3F"/>
    <w:rsid w:val="002E3042"/>
    <w:rsid w:val="002E3830"/>
    <w:rsid w:val="002E4159"/>
    <w:rsid w:val="002E46CD"/>
    <w:rsid w:val="002E73FC"/>
    <w:rsid w:val="002F0043"/>
    <w:rsid w:val="002F1EBF"/>
    <w:rsid w:val="002F3650"/>
    <w:rsid w:val="002F3D31"/>
    <w:rsid w:val="002F7BD9"/>
    <w:rsid w:val="00300D7F"/>
    <w:rsid w:val="0030154F"/>
    <w:rsid w:val="00302991"/>
    <w:rsid w:val="00302A7B"/>
    <w:rsid w:val="00303287"/>
    <w:rsid w:val="0030346F"/>
    <w:rsid w:val="00303963"/>
    <w:rsid w:val="003043B4"/>
    <w:rsid w:val="0030536B"/>
    <w:rsid w:val="003055E1"/>
    <w:rsid w:val="00305A5C"/>
    <w:rsid w:val="00305FDA"/>
    <w:rsid w:val="0030672A"/>
    <w:rsid w:val="003067F2"/>
    <w:rsid w:val="00307029"/>
    <w:rsid w:val="0030774D"/>
    <w:rsid w:val="00310FBA"/>
    <w:rsid w:val="00311A06"/>
    <w:rsid w:val="003125B3"/>
    <w:rsid w:val="00312CE7"/>
    <w:rsid w:val="00313030"/>
    <w:rsid w:val="00314974"/>
    <w:rsid w:val="00314CD0"/>
    <w:rsid w:val="00314F78"/>
    <w:rsid w:val="0031571E"/>
    <w:rsid w:val="00315C8D"/>
    <w:rsid w:val="003160D1"/>
    <w:rsid w:val="00316497"/>
    <w:rsid w:val="00316A4B"/>
    <w:rsid w:val="00317050"/>
    <w:rsid w:val="003174B2"/>
    <w:rsid w:val="00317F54"/>
    <w:rsid w:val="0032017A"/>
    <w:rsid w:val="0032095F"/>
    <w:rsid w:val="00320CFC"/>
    <w:rsid w:val="00320DD7"/>
    <w:rsid w:val="00320DEF"/>
    <w:rsid w:val="003213D1"/>
    <w:rsid w:val="003213FC"/>
    <w:rsid w:val="00321566"/>
    <w:rsid w:val="003219D3"/>
    <w:rsid w:val="00321BF0"/>
    <w:rsid w:val="003223C7"/>
    <w:rsid w:val="00323C0C"/>
    <w:rsid w:val="00324D60"/>
    <w:rsid w:val="00326490"/>
    <w:rsid w:val="00327656"/>
    <w:rsid w:val="0032781F"/>
    <w:rsid w:val="003303A9"/>
    <w:rsid w:val="00330F0A"/>
    <w:rsid w:val="00331054"/>
    <w:rsid w:val="003313D6"/>
    <w:rsid w:val="0033170A"/>
    <w:rsid w:val="00331917"/>
    <w:rsid w:val="00332A2F"/>
    <w:rsid w:val="0033327A"/>
    <w:rsid w:val="00333620"/>
    <w:rsid w:val="00334BD0"/>
    <w:rsid w:val="00334C06"/>
    <w:rsid w:val="00336EC7"/>
    <w:rsid w:val="0033754B"/>
    <w:rsid w:val="00337C16"/>
    <w:rsid w:val="003400BA"/>
    <w:rsid w:val="00340437"/>
    <w:rsid w:val="00340895"/>
    <w:rsid w:val="00340CEE"/>
    <w:rsid w:val="0034164B"/>
    <w:rsid w:val="00344847"/>
    <w:rsid w:val="00344F86"/>
    <w:rsid w:val="00345251"/>
    <w:rsid w:val="00346FE1"/>
    <w:rsid w:val="00347DDF"/>
    <w:rsid w:val="00351DFE"/>
    <w:rsid w:val="00352691"/>
    <w:rsid w:val="003526F3"/>
    <w:rsid w:val="00352E24"/>
    <w:rsid w:val="00352EF3"/>
    <w:rsid w:val="003544DA"/>
    <w:rsid w:val="0035528A"/>
    <w:rsid w:val="00357606"/>
    <w:rsid w:val="00357F8A"/>
    <w:rsid w:val="0036048C"/>
    <w:rsid w:val="00360727"/>
    <w:rsid w:val="00361178"/>
    <w:rsid w:val="0036152D"/>
    <w:rsid w:val="00361E10"/>
    <w:rsid w:val="00362553"/>
    <w:rsid w:val="00362B51"/>
    <w:rsid w:val="00362C0D"/>
    <w:rsid w:val="00363669"/>
    <w:rsid w:val="003641BC"/>
    <w:rsid w:val="00366D26"/>
    <w:rsid w:val="003671A4"/>
    <w:rsid w:val="003674FB"/>
    <w:rsid w:val="00367DD0"/>
    <w:rsid w:val="00367FDB"/>
    <w:rsid w:val="00370499"/>
    <w:rsid w:val="003719FA"/>
    <w:rsid w:val="00372182"/>
    <w:rsid w:val="0037368D"/>
    <w:rsid w:val="00373C58"/>
    <w:rsid w:val="00373F45"/>
    <w:rsid w:val="003750E0"/>
    <w:rsid w:val="00375695"/>
    <w:rsid w:val="0037577E"/>
    <w:rsid w:val="003758C8"/>
    <w:rsid w:val="00375CCE"/>
    <w:rsid w:val="00376013"/>
    <w:rsid w:val="00376DB0"/>
    <w:rsid w:val="003770D9"/>
    <w:rsid w:val="00377D84"/>
    <w:rsid w:val="0038003B"/>
    <w:rsid w:val="00380760"/>
    <w:rsid w:val="00381566"/>
    <w:rsid w:val="0038272D"/>
    <w:rsid w:val="00382FD0"/>
    <w:rsid w:val="00383DBE"/>
    <w:rsid w:val="00384163"/>
    <w:rsid w:val="0038588C"/>
    <w:rsid w:val="00386002"/>
    <w:rsid w:val="003864A9"/>
    <w:rsid w:val="003870D0"/>
    <w:rsid w:val="00387B5A"/>
    <w:rsid w:val="00387E78"/>
    <w:rsid w:val="003900AF"/>
    <w:rsid w:val="003916D3"/>
    <w:rsid w:val="00392893"/>
    <w:rsid w:val="00392B2B"/>
    <w:rsid w:val="00393427"/>
    <w:rsid w:val="0039438B"/>
    <w:rsid w:val="0039439C"/>
    <w:rsid w:val="00395410"/>
    <w:rsid w:val="00396A35"/>
    <w:rsid w:val="00397740"/>
    <w:rsid w:val="00397EDB"/>
    <w:rsid w:val="003A0A60"/>
    <w:rsid w:val="003A18C6"/>
    <w:rsid w:val="003A28FE"/>
    <w:rsid w:val="003A2988"/>
    <w:rsid w:val="003A2B0E"/>
    <w:rsid w:val="003A3500"/>
    <w:rsid w:val="003A3BD7"/>
    <w:rsid w:val="003A459C"/>
    <w:rsid w:val="003A46F1"/>
    <w:rsid w:val="003A4F07"/>
    <w:rsid w:val="003A569C"/>
    <w:rsid w:val="003A65BE"/>
    <w:rsid w:val="003A7432"/>
    <w:rsid w:val="003B0757"/>
    <w:rsid w:val="003B0CBE"/>
    <w:rsid w:val="003B1300"/>
    <w:rsid w:val="003B1927"/>
    <w:rsid w:val="003B306C"/>
    <w:rsid w:val="003B5D30"/>
    <w:rsid w:val="003B686A"/>
    <w:rsid w:val="003B7627"/>
    <w:rsid w:val="003C1342"/>
    <w:rsid w:val="003C183D"/>
    <w:rsid w:val="003C1EFB"/>
    <w:rsid w:val="003C25AE"/>
    <w:rsid w:val="003C3604"/>
    <w:rsid w:val="003C40B3"/>
    <w:rsid w:val="003C41C9"/>
    <w:rsid w:val="003C4639"/>
    <w:rsid w:val="003C4B26"/>
    <w:rsid w:val="003C5224"/>
    <w:rsid w:val="003C5C62"/>
    <w:rsid w:val="003C60CB"/>
    <w:rsid w:val="003C612F"/>
    <w:rsid w:val="003C62CA"/>
    <w:rsid w:val="003C65FC"/>
    <w:rsid w:val="003C6AEE"/>
    <w:rsid w:val="003D0C29"/>
    <w:rsid w:val="003D0C9E"/>
    <w:rsid w:val="003D4358"/>
    <w:rsid w:val="003D43E4"/>
    <w:rsid w:val="003D445E"/>
    <w:rsid w:val="003D4F5D"/>
    <w:rsid w:val="003D50EF"/>
    <w:rsid w:val="003D79AE"/>
    <w:rsid w:val="003D7B41"/>
    <w:rsid w:val="003E26B2"/>
    <w:rsid w:val="003E286A"/>
    <w:rsid w:val="003E28D8"/>
    <w:rsid w:val="003E2C54"/>
    <w:rsid w:val="003E39AF"/>
    <w:rsid w:val="003E4027"/>
    <w:rsid w:val="003E45D9"/>
    <w:rsid w:val="003E4AD5"/>
    <w:rsid w:val="003E4F72"/>
    <w:rsid w:val="003E7A04"/>
    <w:rsid w:val="003F02DD"/>
    <w:rsid w:val="003F06A8"/>
    <w:rsid w:val="003F184B"/>
    <w:rsid w:val="003F1F5E"/>
    <w:rsid w:val="003F31B0"/>
    <w:rsid w:val="003F389B"/>
    <w:rsid w:val="003F3E10"/>
    <w:rsid w:val="003F46D1"/>
    <w:rsid w:val="003F4914"/>
    <w:rsid w:val="003F55CF"/>
    <w:rsid w:val="003F5740"/>
    <w:rsid w:val="003F5ABF"/>
    <w:rsid w:val="003F616D"/>
    <w:rsid w:val="003F6E49"/>
    <w:rsid w:val="003F71A4"/>
    <w:rsid w:val="003F7C03"/>
    <w:rsid w:val="004000A7"/>
    <w:rsid w:val="0040070D"/>
    <w:rsid w:val="004011C5"/>
    <w:rsid w:val="0040122C"/>
    <w:rsid w:val="0040168B"/>
    <w:rsid w:val="004023DE"/>
    <w:rsid w:val="00402858"/>
    <w:rsid w:val="004031C8"/>
    <w:rsid w:val="00403DBD"/>
    <w:rsid w:val="00403F06"/>
    <w:rsid w:val="0040433F"/>
    <w:rsid w:val="00404347"/>
    <w:rsid w:val="00404AC8"/>
    <w:rsid w:val="00405EDE"/>
    <w:rsid w:val="0040732D"/>
    <w:rsid w:val="00407992"/>
    <w:rsid w:val="00410DE6"/>
    <w:rsid w:val="00411710"/>
    <w:rsid w:val="004121BF"/>
    <w:rsid w:val="004127A0"/>
    <w:rsid w:val="00412D12"/>
    <w:rsid w:val="004130AA"/>
    <w:rsid w:val="00413BEB"/>
    <w:rsid w:val="00413EB1"/>
    <w:rsid w:val="00414839"/>
    <w:rsid w:val="00415C8F"/>
    <w:rsid w:val="00416A45"/>
    <w:rsid w:val="00417C55"/>
    <w:rsid w:val="00420085"/>
    <w:rsid w:val="00420D20"/>
    <w:rsid w:val="00420F64"/>
    <w:rsid w:val="0042203F"/>
    <w:rsid w:val="004220A0"/>
    <w:rsid w:val="00423DF2"/>
    <w:rsid w:val="004252A5"/>
    <w:rsid w:val="00425450"/>
    <w:rsid w:val="0042624F"/>
    <w:rsid w:val="004269FB"/>
    <w:rsid w:val="00427A32"/>
    <w:rsid w:val="004304FE"/>
    <w:rsid w:val="00430637"/>
    <w:rsid w:val="00430D20"/>
    <w:rsid w:val="00430DBE"/>
    <w:rsid w:val="00430F45"/>
    <w:rsid w:val="00431648"/>
    <w:rsid w:val="004339B3"/>
    <w:rsid w:val="00433BCA"/>
    <w:rsid w:val="00435573"/>
    <w:rsid w:val="00436207"/>
    <w:rsid w:val="00437F86"/>
    <w:rsid w:val="00440805"/>
    <w:rsid w:val="004415C2"/>
    <w:rsid w:val="00442724"/>
    <w:rsid w:val="00442789"/>
    <w:rsid w:val="0044355C"/>
    <w:rsid w:val="004438D5"/>
    <w:rsid w:val="00450B6D"/>
    <w:rsid w:val="00451131"/>
    <w:rsid w:val="00452697"/>
    <w:rsid w:val="00453243"/>
    <w:rsid w:val="00453D42"/>
    <w:rsid w:val="00453EC8"/>
    <w:rsid w:val="0045451A"/>
    <w:rsid w:val="0045662A"/>
    <w:rsid w:val="00456B86"/>
    <w:rsid w:val="00457199"/>
    <w:rsid w:val="00457422"/>
    <w:rsid w:val="0045745B"/>
    <w:rsid w:val="00457525"/>
    <w:rsid w:val="00457E05"/>
    <w:rsid w:val="00461082"/>
    <w:rsid w:val="0046130C"/>
    <w:rsid w:val="0046156C"/>
    <w:rsid w:val="00462045"/>
    <w:rsid w:val="00463A05"/>
    <w:rsid w:val="00464904"/>
    <w:rsid w:val="0046535F"/>
    <w:rsid w:val="00465904"/>
    <w:rsid w:val="004663B4"/>
    <w:rsid w:val="0046718C"/>
    <w:rsid w:val="0046794F"/>
    <w:rsid w:val="00470559"/>
    <w:rsid w:val="00470CF4"/>
    <w:rsid w:val="004714AC"/>
    <w:rsid w:val="00471511"/>
    <w:rsid w:val="0047170E"/>
    <w:rsid w:val="00472430"/>
    <w:rsid w:val="00473D51"/>
    <w:rsid w:val="004740B8"/>
    <w:rsid w:val="004744E0"/>
    <w:rsid w:val="00474509"/>
    <w:rsid w:val="004753AB"/>
    <w:rsid w:val="00476B3F"/>
    <w:rsid w:val="00476D70"/>
    <w:rsid w:val="00477CEB"/>
    <w:rsid w:val="00480072"/>
    <w:rsid w:val="00483D41"/>
    <w:rsid w:val="00483D78"/>
    <w:rsid w:val="0048412A"/>
    <w:rsid w:val="00484487"/>
    <w:rsid w:val="00484E88"/>
    <w:rsid w:val="00485C9B"/>
    <w:rsid w:val="00486819"/>
    <w:rsid w:val="004878F3"/>
    <w:rsid w:val="00487E3F"/>
    <w:rsid w:val="004902FD"/>
    <w:rsid w:val="00490515"/>
    <w:rsid w:val="0049194B"/>
    <w:rsid w:val="00491ECA"/>
    <w:rsid w:val="0049290D"/>
    <w:rsid w:val="00492A9A"/>
    <w:rsid w:val="0049326D"/>
    <w:rsid w:val="0049332B"/>
    <w:rsid w:val="00493C1E"/>
    <w:rsid w:val="00494860"/>
    <w:rsid w:val="00495021"/>
    <w:rsid w:val="004950FE"/>
    <w:rsid w:val="00495261"/>
    <w:rsid w:val="004957AB"/>
    <w:rsid w:val="00495ED7"/>
    <w:rsid w:val="0049607A"/>
    <w:rsid w:val="00496342"/>
    <w:rsid w:val="004964E8"/>
    <w:rsid w:val="00497218"/>
    <w:rsid w:val="004A07D5"/>
    <w:rsid w:val="004A0FE2"/>
    <w:rsid w:val="004A2346"/>
    <w:rsid w:val="004A2458"/>
    <w:rsid w:val="004A29A4"/>
    <w:rsid w:val="004A42FD"/>
    <w:rsid w:val="004A50B5"/>
    <w:rsid w:val="004A5AEB"/>
    <w:rsid w:val="004A61A4"/>
    <w:rsid w:val="004A61CC"/>
    <w:rsid w:val="004A6AD9"/>
    <w:rsid w:val="004A6FFE"/>
    <w:rsid w:val="004A79C2"/>
    <w:rsid w:val="004B0995"/>
    <w:rsid w:val="004B3DAD"/>
    <w:rsid w:val="004B4656"/>
    <w:rsid w:val="004B47FE"/>
    <w:rsid w:val="004B5282"/>
    <w:rsid w:val="004B619F"/>
    <w:rsid w:val="004B62B0"/>
    <w:rsid w:val="004B6BF9"/>
    <w:rsid w:val="004B730F"/>
    <w:rsid w:val="004B7FE8"/>
    <w:rsid w:val="004C07BC"/>
    <w:rsid w:val="004C12B8"/>
    <w:rsid w:val="004C2122"/>
    <w:rsid w:val="004C221C"/>
    <w:rsid w:val="004C223D"/>
    <w:rsid w:val="004C2CA2"/>
    <w:rsid w:val="004C3D78"/>
    <w:rsid w:val="004C64F5"/>
    <w:rsid w:val="004C6C5A"/>
    <w:rsid w:val="004C7B29"/>
    <w:rsid w:val="004D009B"/>
    <w:rsid w:val="004D1F83"/>
    <w:rsid w:val="004D2AD7"/>
    <w:rsid w:val="004D2B6C"/>
    <w:rsid w:val="004D2F96"/>
    <w:rsid w:val="004D5021"/>
    <w:rsid w:val="004D5236"/>
    <w:rsid w:val="004D57B5"/>
    <w:rsid w:val="004D6054"/>
    <w:rsid w:val="004D61D7"/>
    <w:rsid w:val="004D657B"/>
    <w:rsid w:val="004E00B2"/>
    <w:rsid w:val="004E0831"/>
    <w:rsid w:val="004E0AD4"/>
    <w:rsid w:val="004E0D5B"/>
    <w:rsid w:val="004E13E2"/>
    <w:rsid w:val="004E172D"/>
    <w:rsid w:val="004E1DEF"/>
    <w:rsid w:val="004E6061"/>
    <w:rsid w:val="004E697E"/>
    <w:rsid w:val="004E7ECC"/>
    <w:rsid w:val="004F00ED"/>
    <w:rsid w:val="004F12E8"/>
    <w:rsid w:val="004F1BCF"/>
    <w:rsid w:val="004F1C51"/>
    <w:rsid w:val="004F1CF7"/>
    <w:rsid w:val="004F3219"/>
    <w:rsid w:val="004F3465"/>
    <w:rsid w:val="004F3A2D"/>
    <w:rsid w:val="004F3CD6"/>
    <w:rsid w:val="004F57C6"/>
    <w:rsid w:val="004F75E5"/>
    <w:rsid w:val="00500A8C"/>
    <w:rsid w:val="00500EC4"/>
    <w:rsid w:val="005013C8"/>
    <w:rsid w:val="00501B22"/>
    <w:rsid w:val="00502188"/>
    <w:rsid w:val="00502658"/>
    <w:rsid w:val="00502792"/>
    <w:rsid w:val="00502EB8"/>
    <w:rsid w:val="00503575"/>
    <w:rsid w:val="00503637"/>
    <w:rsid w:val="00503675"/>
    <w:rsid w:val="0050488A"/>
    <w:rsid w:val="005049B4"/>
    <w:rsid w:val="0050560F"/>
    <w:rsid w:val="00505645"/>
    <w:rsid w:val="005058B3"/>
    <w:rsid w:val="00505C76"/>
    <w:rsid w:val="00506592"/>
    <w:rsid w:val="00506883"/>
    <w:rsid w:val="00507C16"/>
    <w:rsid w:val="0051021F"/>
    <w:rsid w:val="00510598"/>
    <w:rsid w:val="0051095D"/>
    <w:rsid w:val="00511DD7"/>
    <w:rsid w:val="005120C0"/>
    <w:rsid w:val="005126AC"/>
    <w:rsid w:val="005129D9"/>
    <w:rsid w:val="00513AA2"/>
    <w:rsid w:val="005171FE"/>
    <w:rsid w:val="00517604"/>
    <w:rsid w:val="00517FE9"/>
    <w:rsid w:val="00520B5D"/>
    <w:rsid w:val="00522A1D"/>
    <w:rsid w:val="005239EE"/>
    <w:rsid w:val="0052421F"/>
    <w:rsid w:val="005242AB"/>
    <w:rsid w:val="00524A69"/>
    <w:rsid w:val="005253B0"/>
    <w:rsid w:val="005258E2"/>
    <w:rsid w:val="00525A3C"/>
    <w:rsid w:val="0052769C"/>
    <w:rsid w:val="00530E67"/>
    <w:rsid w:val="00531B90"/>
    <w:rsid w:val="00533A6F"/>
    <w:rsid w:val="00534BD8"/>
    <w:rsid w:val="00534EDE"/>
    <w:rsid w:val="005371DE"/>
    <w:rsid w:val="005375E7"/>
    <w:rsid w:val="00537BA2"/>
    <w:rsid w:val="005402B1"/>
    <w:rsid w:val="00540937"/>
    <w:rsid w:val="005416EA"/>
    <w:rsid w:val="005422A8"/>
    <w:rsid w:val="0054424E"/>
    <w:rsid w:val="00545CE9"/>
    <w:rsid w:val="00546900"/>
    <w:rsid w:val="00547270"/>
    <w:rsid w:val="00547ADA"/>
    <w:rsid w:val="00547E77"/>
    <w:rsid w:val="00550C58"/>
    <w:rsid w:val="00550C5F"/>
    <w:rsid w:val="00551D7A"/>
    <w:rsid w:val="0055227E"/>
    <w:rsid w:val="00552B71"/>
    <w:rsid w:val="005531BF"/>
    <w:rsid w:val="005548AB"/>
    <w:rsid w:val="0055590C"/>
    <w:rsid w:val="00555B5C"/>
    <w:rsid w:val="005565D5"/>
    <w:rsid w:val="005571D4"/>
    <w:rsid w:val="00557268"/>
    <w:rsid w:val="0055796C"/>
    <w:rsid w:val="00560165"/>
    <w:rsid w:val="005602A5"/>
    <w:rsid w:val="00560A15"/>
    <w:rsid w:val="00560C71"/>
    <w:rsid w:val="005612F9"/>
    <w:rsid w:val="00561DD5"/>
    <w:rsid w:val="00561ECB"/>
    <w:rsid w:val="00561F12"/>
    <w:rsid w:val="00563C70"/>
    <w:rsid w:val="005652BF"/>
    <w:rsid w:val="0056552C"/>
    <w:rsid w:val="00566023"/>
    <w:rsid w:val="005662A7"/>
    <w:rsid w:val="005662E7"/>
    <w:rsid w:val="0056748D"/>
    <w:rsid w:val="00567FF5"/>
    <w:rsid w:val="0057066A"/>
    <w:rsid w:val="005706FD"/>
    <w:rsid w:val="00571FF9"/>
    <w:rsid w:val="00574344"/>
    <w:rsid w:val="00574B26"/>
    <w:rsid w:val="00574FEC"/>
    <w:rsid w:val="00576782"/>
    <w:rsid w:val="005773BF"/>
    <w:rsid w:val="00577694"/>
    <w:rsid w:val="00577D44"/>
    <w:rsid w:val="0058073B"/>
    <w:rsid w:val="005826CA"/>
    <w:rsid w:val="005826EF"/>
    <w:rsid w:val="0058272D"/>
    <w:rsid w:val="00582B0B"/>
    <w:rsid w:val="00582B95"/>
    <w:rsid w:val="00582DFD"/>
    <w:rsid w:val="005837F6"/>
    <w:rsid w:val="00583D47"/>
    <w:rsid w:val="00584F3C"/>
    <w:rsid w:val="005856EE"/>
    <w:rsid w:val="00585FBD"/>
    <w:rsid w:val="00586A59"/>
    <w:rsid w:val="00586FD9"/>
    <w:rsid w:val="0058737D"/>
    <w:rsid w:val="00590AF6"/>
    <w:rsid w:val="00591AC0"/>
    <w:rsid w:val="00591B53"/>
    <w:rsid w:val="0059271F"/>
    <w:rsid w:val="0059305A"/>
    <w:rsid w:val="005931F2"/>
    <w:rsid w:val="0059355F"/>
    <w:rsid w:val="00593E3D"/>
    <w:rsid w:val="00594F03"/>
    <w:rsid w:val="005966FC"/>
    <w:rsid w:val="005969B9"/>
    <w:rsid w:val="00596FE4"/>
    <w:rsid w:val="00597681"/>
    <w:rsid w:val="00597745"/>
    <w:rsid w:val="00597D17"/>
    <w:rsid w:val="005A0B08"/>
    <w:rsid w:val="005A0DF9"/>
    <w:rsid w:val="005A1F18"/>
    <w:rsid w:val="005A2BD8"/>
    <w:rsid w:val="005A2E16"/>
    <w:rsid w:val="005A3669"/>
    <w:rsid w:val="005A5E56"/>
    <w:rsid w:val="005A6585"/>
    <w:rsid w:val="005A6DDE"/>
    <w:rsid w:val="005A7DA8"/>
    <w:rsid w:val="005A7DFB"/>
    <w:rsid w:val="005A7EFB"/>
    <w:rsid w:val="005B04BD"/>
    <w:rsid w:val="005B1240"/>
    <w:rsid w:val="005B19A9"/>
    <w:rsid w:val="005B23BF"/>
    <w:rsid w:val="005B270A"/>
    <w:rsid w:val="005B2A31"/>
    <w:rsid w:val="005B2B09"/>
    <w:rsid w:val="005B4600"/>
    <w:rsid w:val="005B5D7D"/>
    <w:rsid w:val="005B6E1D"/>
    <w:rsid w:val="005B7B3C"/>
    <w:rsid w:val="005C0FB5"/>
    <w:rsid w:val="005C2637"/>
    <w:rsid w:val="005C2B02"/>
    <w:rsid w:val="005C3132"/>
    <w:rsid w:val="005C343B"/>
    <w:rsid w:val="005C393F"/>
    <w:rsid w:val="005C53BE"/>
    <w:rsid w:val="005C61B0"/>
    <w:rsid w:val="005C6361"/>
    <w:rsid w:val="005C7A71"/>
    <w:rsid w:val="005C7CB1"/>
    <w:rsid w:val="005C7E33"/>
    <w:rsid w:val="005D15BB"/>
    <w:rsid w:val="005D175D"/>
    <w:rsid w:val="005D383C"/>
    <w:rsid w:val="005D4C62"/>
    <w:rsid w:val="005D573C"/>
    <w:rsid w:val="005D5F2E"/>
    <w:rsid w:val="005D600C"/>
    <w:rsid w:val="005D6732"/>
    <w:rsid w:val="005D7055"/>
    <w:rsid w:val="005D77B4"/>
    <w:rsid w:val="005D7CC1"/>
    <w:rsid w:val="005E0121"/>
    <w:rsid w:val="005E01F8"/>
    <w:rsid w:val="005E0410"/>
    <w:rsid w:val="005E104C"/>
    <w:rsid w:val="005E1ABB"/>
    <w:rsid w:val="005E234D"/>
    <w:rsid w:val="005E248B"/>
    <w:rsid w:val="005E289C"/>
    <w:rsid w:val="005E437E"/>
    <w:rsid w:val="005E47FE"/>
    <w:rsid w:val="005E48F3"/>
    <w:rsid w:val="005E4BA3"/>
    <w:rsid w:val="005E501C"/>
    <w:rsid w:val="005E7287"/>
    <w:rsid w:val="005E75A7"/>
    <w:rsid w:val="005E7E22"/>
    <w:rsid w:val="005F02B5"/>
    <w:rsid w:val="005F08B8"/>
    <w:rsid w:val="005F1A0A"/>
    <w:rsid w:val="005F228A"/>
    <w:rsid w:val="005F25BC"/>
    <w:rsid w:val="005F2F6E"/>
    <w:rsid w:val="005F35C4"/>
    <w:rsid w:val="005F45FE"/>
    <w:rsid w:val="005F5015"/>
    <w:rsid w:val="005F518B"/>
    <w:rsid w:val="005F5F2E"/>
    <w:rsid w:val="005F6100"/>
    <w:rsid w:val="005F6767"/>
    <w:rsid w:val="005F6B43"/>
    <w:rsid w:val="005F72D5"/>
    <w:rsid w:val="005F759D"/>
    <w:rsid w:val="005F7CD2"/>
    <w:rsid w:val="00600035"/>
    <w:rsid w:val="00601B69"/>
    <w:rsid w:val="00601EB2"/>
    <w:rsid w:val="006027D7"/>
    <w:rsid w:val="00604510"/>
    <w:rsid w:val="006051F7"/>
    <w:rsid w:val="0060550A"/>
    <w:rsid w:val="00605E98"/>
    <w:rsid w:val="00606348"/>
    <w:rsid w:val="006065B0"/>
    <w:rsid w:val="00606DE9"/>
    <w:rsid w:val="006077B1"/>
    <w:rsid w:val="00610A43"/>
    <w:rsid w:val="0061165E"/>
    <w:rsid w:val="00611782"/>
    <w:rsid w:val="0061236F"/>
    <w:rsid w:val="0061293A"/>
    <w:rsid w:val="00613143"/>
    <w:rsid w:val="00613841"/>
    <w:rsid w:val="00613BD0"/>
    <w:rsid w:val="006157EC"/>
    <w:rsid w:val="00616A74"/>
    <w:rsid w:val="00616D00"/>
    <w:rsid w:val="00621797"/>
    <w:rsid w:val="006222C1"/>
    <w:rsid w:val="006232EA"/>
    <w:rsid w:val="006255E2"/>
    <w:rsid w:val="00625A44"/>
    <w:rsid w:val="00625F46"/>
    <w:rsid w:val="00626CE2"/>
    <w:rsid w:val="0062704F"/>
    <w:rsid w:val="00630229"/>
    <w:rsid w:val="00630397"/>
    <w:rsid w:val="00630A53"/>
    <w:rsid w:val="00630CA8"/>
    <w:rsid w:val="00630CE6"/>
    <w:rsid w:val="00631037"/>
    <w:rsid w:val="0063172B"/>
    <w:rsid w:val="00631E80"/>
    <w:rsid w:val="00632725"/>
    <w:rsid w:val="00632E05"/>
    <w:rsid w:val="00633A60"/>
    <w:rsid w:val="0063450C"/>
    <w:rsid w:val="006346D9"/>
    <w:rsid w:val="00634E63"/>
    <w:rsid w:val="00635C8B"/>
    <w:rsid w:val="00635FC1"/>
    <w:rsid w:val="0063691F"/>
    <w:rsid w:val="00636968"/>
    <w:rsid w:val="0063696F"/>
    <w:rsid w:val="006379FD"/>
    <w:rsid w:val="00637DF5"/>
    <w:rsid w:val="00640342"/>
    <w:rsid w:val="00641A85"/>
    <w:rsid w:val="006437A9"/>
    <w:rsid w:val="00643F18"/>
    <w:rsid w:val="006442B7"/>
    <w:rsid w:val="00644BFE"/>
    <w:rsid w:val="00644FA2"/>
    <w:rsid w:val="006454B4"/>
    <w:rsid w:val="006458F7"/>
    <w:rsid w:val="00645D7E"/>
    <w:rsid w:val="0064618E"/>
    <w:rsid w:val="00646260"/>
    <w:rsid w:val="00646A54"/>
    <w:rsid w:val="00647168"/>
    <w:rsid w:val="006475EA"/>
    <w:rsid w:val="00651A3D"/>
    <w:rsid w:val="00651E30"/>
    <w:rsid w:val="0065258D"/>
    <w:rsid w:val="00652AA0"/>
    <w:rsid w:val="006537AD"/>
    <w:rsid w:val="00653802"/>
    <w:rsid w:val="006550CB"/>
    <w:rsid w:val="00657343"/>
    <w:rsid w:val="0066257A"/>
    <w:rsid w:val="00663B3C"/>
    <w:rsid w:val="00663BB1"/>
    <w:rsid w:val="006642D9"/>
    <w:rsid w:val="0066588E"/>
    <w:rsid w:val="00666383"/>
    <w:rsid w:val="006666E4"/>
    <w:rsid w:val="0066694D"/>
    <w:rsid w:val="00666B23"/>
    <w:rsid w:val="006713F5"/>
    <w:rsid w:val="006719D8"/>
    <w:rsid w:val="00671E71"/>
    <w:rsid w:val="00672780"/>
    <w:rsid w:val="006740B6"/>
    <w:rsid w:val="00674278"/>
    <w:rsid w:val="00675490"/>
    <w:rsid w:val="00675585"/>
    <w:rsid w:val="00675C8E"/>
    <w:rsid w:val="0067614F"/>
    <w:rsid w:val="00676471"/>
    <w:rsid w:val="00676B51"/>
    <w:rsid w:val="0067720B"/>
    <w:rsid w:val="00677226"/>
    <w:rsid w:val="006803D7"/>
    <w:rsid w:val="00680735"/>
    <w:rsid w:val="006809A6"/>
    <w:rsid w:val="006814C7"/>
    <w:rsid w:val="00682048"/>
    <w:rsid w:val="00682A90"/>
    <w:rsid w:val="0068329D"/>
    <w:rsid w:val="00683F38"/>
    <w:rsid w:val="00685120"/>
    <w:rsid w:val="00685F0F"/>
    <w:rsid w:val="00686ABD"/>
    <w:rsid w:val="0068704C"/>
    <w:rsid w:val="00687288"/>
    <w:rsid w:val="006873E7"/>
    <w:rsid w:val="00690DE6"/>
    <w:rsid w:val="0069105A"/>
    <w:rsid w:val="00692CDD"/>
    <w:rsid w:val="0069314F"/>
    <w:rsid w:val="0069330F"/>
    <w:rsid w:val="00694ED7"/>
    <w:rsid w:val="00696303"/>
    <w:rsid w:val="0069716A"/>
    <w:rsid w:val="00697361"/>
    <w:rsid w:val="0069765D"/>
    <w:rsid w:val="0069772A"/>
    <w:rsid w:val="006979E2"/>
    <w:rsid w:val="00697B49"/>
    <w:rsid w:val="00697E96"/>
    <w:rsid w:val="00697F1E"/>
    <w:rsid w:val="006A02BF"/>
    <w:rsid w:val="006A1A83"/>
    <w:rsid w:val="006A1EE7"/>
    <w:rsid w:val="006A2DA5"/>
    <w:rsid w:val="006A2ED6"/>
    <w:rsid w:val="006A3363"/>
    <w:rsid w:val="006A6D80"/>
    <w:rsid w:val="006A6D8C"/>
    <w:rsid w:val="006A7E35"/>
    <w:rsid w:val="006B103B"/>
    <w:rsid w:val="006B15C9"/>
    <w:rsid w:val="006B2007"/>
    <w:rsid w:val="006B2E4C"/>
    <w:rsid w:val="006B34EF"/>
    <w:rsid w:val="006B4298"/>
    <w:rsid w:val="006B4471"/>
    <w:rsid w:val="006B4C8C"/>
    <w:rsid w:val="006B53BF"/>
    <w:rsid w:val="006B58D7"/>
    <w:rsid w:val="006B5D41"/>
    <w:rsid w:val="006B6CF8"/>
    <w:rsid w:val="006B7AC3"/>
    <w:rsid w:val="006B7B1C"/>
    <w:rsid w:val="006B7D79"/>
    <w:rsid w:val="006C09C7"/>
    <w:rsid w:val="006C178C"/>
    <w:rsid w:val="006C1A23"/>
    <w:rsid w:val="006C1B24"/>
    <w:rsid w:val="006C26C5"/>
    <w:rsid w:val="006C48D9"/>
    <w:rsid w:val="006C531D"/>
    <w:rsid w:val="006C5555"/>
    <w:rsid w:val="006C5B84"/>
    <w:rsid w:val="006C74B0"/>
    <w:rsid w:val="006C75C3"/>
    <w:rsid w:val="006C7B16"/>
    <w:rsid w:val="006C7E78"/>
    <w:rsid w:val="006D0185"/>
    <w:rsid w:val="006D15EA"/>
    <w:rsid w:val="006D19E8"/>
    <w:rsid w:val="006D1A0D"/>
    <w:rsid w:val="006D2DED"/>
    <w:rsid w:val="006D337D"/>
    <w:rsid w:val="006D355D"/>
    <w:rsid w:val="006D35F1"/>
    <w:rsid w:val="006D45B2"/>
    <w:rsid w:val="006D508D"/>
    <w:rsid w:val="006D6CC8"/>
    <w:rsid w:val="006D6DBD"/>
    <w:rsid w:val="006D7282"/>
    <w:rsid w:val="006E08BA"/>
    <w:rsid w:val="006E0900"/>
    <w:rsid w:val="006E1EEB"/>
    <w:rsid w:val="006E252B"/>
    <w:rsid w:val="006E26FF"/>
    <w:rsid w:val="006E3718"/>
    <w:rsid w:val="006E3E5B"/>
    <w:rsid w:val="006E529E"/>
    <w:rsid w:val="006E535D"/>
    <w:rsid w:val="006F0791"/>
    <w:rsid w:val="006F19B0"/>
    <w:rsid w:val="006F1C99"/>
    <w:rsid w:val="006F1D48"/>
    <w:rsid w:val="006F2260"/>
    <w:rsid w:val="006F277F"/>
    <w:rsid w:val="006F2EE8"/>
    <w:rsid w:val="006F3631"/>
    <w:rsid w:val="006F367A"/>
    <w:rsid w:val="006F58ED"/>
    <w:rsid w:val="006F595D"/>
    <w:rsid w:val="006F5A1B"/>
    <w:rsid w:val="006F5D3C"/>
    <w:rsid w:val="006F5E22"/>
    <w:rsid w:val="006F72C0"/>
    <w:rsid w:val="006F74B3"/>
    <w:rsid w:val="006F7A11"/>
    <w:rsid w:val="00700ABC"/>
    <w:rsid w:val="00700D2E"/>
    <w:rsid w:val="007010F9"/>
    <w:rsid w:val="00701687"/>
    <w:rsid w:val="00702746"/>
    <w:rsid w:val="00703993"/>
    <w:rsid w:val="00704C30"/>
    <w:rsid w:val="00705589"/>
    <w:rsid w:val="00705BB1"/>
    <w:rsid w:val="00706086"/>
    <w:rsid w:val="007062F5"/>
    <w:rsid w:val="00706BF2"/>
    <w:rsid w:val="0070783C"/>
    <w:rsid w:val="0070789C"/>
    <w:rsid w:val="00707C0D"/>
    <w:rsid w:val="00710721"/>
    <w:rsid w:val="007110F4"/>
    <w:rsid w:val="00711CDA"/>
    <w:rsid w:val="0071217F"/>
    <w:rsid w:val="00715A65"/>
    <w:rsid w:val="00716095"/>
    <w:rsid w:val="00716BFA"/>
    <w:rsid w:val="0071770F"/>
    <w:rsid w:val="00720607"/>
    <w:rsid w:val="007209F9"/>
    <w:rsid w:val="00720E01"/>
    <w:rsid w:val="0072109E"/>
    <w:rsid w:val="007212CD"/>
    <w:rsid w:val="0072137B"/>
    <w:rsid w:val="007213CF"/>
    <w:rsid w:val="007218E5"/>
    <w:rsid w:val="0072259C"/>
    <w:rsid w:val="00722682"/>
    <w:rsid w:val="007228D5"/>
    <w:rsid w:val="00722D84"/>
    <w:rsid w:val="00724255"/>
    <w:rsid w:val="0072660F"/>
    <w:rsid w:val="007268A3"/>
    <w:rsid w:val="0073043F"/>
    <w:rsid w:val="007310F6"/>
    <w:rsid w:val="00731902"/>
    <w:rsid w:val="0073213B"/>
    <w:rsid w:val="00732150"/>
    <w:rsid w:val="00732182"/>
    <w:rsid w:val="007323BF"/>
    <w:rsid w:val="007326C5"/>
    <w:rsid w:val="00735159"/>
    <w:rsid w:val="007367DE"/>
    <w:rsid w:val="00736CE5"/>
    <w:rsid w:val="007375A9"/>
    <w:rsid w:val="00737E07"/>
    <w:rsid w:val="00740143"/>
    <w:rsid w:val="00740591"/>
    <w:rsid w:val="00740664"/>
    <w:rsid w:val="00740F17"/>
    <w:rsid w:val="00741701"/>
    <w:rsid w:val="00741B64"/>
    <w:rsid w:val="00742710"/>
    <w:rsid w:val="007432CF"/>
    <w:rsid w:val="00743FCA"/>
    <w:rsid w:val="00745F94"/>
    <w:rsid w:val="00746448"/>
    <w:rsid w:val="00746485"/>
    <w:rsid w:val="0074727A"/>
    <w:rsid w:val="00747441"/>
    <w:rsid w:val="00747BD2"/>
    <w:rsid w:val="00747F4B"/>
    <w:rsid w:val="0075109E"/>
    <w:rsid w:val="00751DAD"/>
    <w:rsid w:val="00752684"/>
    <w:rsid w:val="00753AD9"/>
    <w:rsid w:val="00754069"/>
    <w:rsid w:val="0075501E"/>
    <w:rsid w:val="0075513C"/>
    <w:rsid w:val="00755DF4"/>
    <w:rsid w:val="00755ECF"/>
    <w:rsid w:val="0075682B"/>
    <w:rsid w:val="00756FA8"/>
    <w:rsid w:val="00757D5A"/>
    <w:rsid w:val="00760A5F"/>
    <w:rsid w:val="0076100C"/>
    <w:rsid w:val="00761D77"/>
    <w:rsid w:val="00762037"/>
    <w:rsid w:val="00763B91"/>
    <w:rsid w:val="00764D4E"/>
    <w:rsid w:val="00765F28"/>
    <w:rsid w:val="0076653E"/>
    <w:rsid w:val="00766657"/>
    <w:rsid w:val="00767447"/>
    <w:rsid w:val="00773232"/>
    <w:rsid w:val="00773270"/>
    <w:rsid w:val="00773B89"/>
    <w:rsid w:val="00774F4E"/>
    <w:rsid w:val="00775E7B"/>
    <w:rsid w:val="00775FC2"/>
    <w:rsid w:val="0077613F"/>
    <w:rsid w:val="00776651"/>
    <w:rsid w:val="007773C5"/>
    <w:rsid w:val="00777688"/>
    <w:rsid w:val="00780167"/>
    <w:rsid w:val="007802F5"/>
    <w:rsid w:val="00780909"/>
    <w:rsid w:val="00781098"/>
    <w:rsid w:val="007819D7"/>
    <w:rsid w:val="0078228A"/>
    <w:rsid w:val="00782C09"/>
    <w:rsid w:val="00782E8B"/>
    <w:rsid w:val="007863BD"/>
    <w:rsid w:val="0078640A"/>
    <w:rsid w:val="00787335"/>
    <w:rsid w:val="007873A4"/>
    <w:rsid w:val="00787F09"/>
    <w:rsid w:val="00790F47"/>
    <w:rsid w:val="0079114B"/>
    <w:rsid w:val="0079273A"/>
    <w:rsid w:val="00792F8A"/>
    <w:rsid w:val="0079322B"/>
    <w:rsid w:val="00794089"/>
    <w:rsid w:val="00794B49"/>
    <w:rsid w:val="00795AC5"/>
    <w:rsid w:val="00795B36"/>
    <w:rsid w:val="0079627F"/>
    <w:rsid w:val="00797594"/>
    <w:rsid w:val="007A0608"/>
    <w:rsid w:val="007A0885"/>
    <w:rsid w:val="007A2401"/>
    <w:rsid w:val="007A2B7F"/>
    <w:rsid w:val="007A45E9"/>
    <w:rsid w:val="007A4DB4"/>
    <w:rsid w:val="007A5662"/>
    <w:rsid w:val="007A567A"/>
    <w:rsid w:val="007A5B0A"/>
    <w:rsid w:val="007A5C5D"/>
    <w:rsid w:val="007A5D62"/>
    <w:rsid w:val="007A7393"/>
    <w:rsid w:val="007A751B"/>
    <w:rsid w:val="007A774D"/>
    <w:rsid w:val="007B07FB"/>
    <w:rsid w:val="007B09E9"/>
    <w:rsid w:val="007B0FEF"/>
    <w:rsid w:val="007B1126"/>
    <w:rsid w:val="007B14DA"/>
    <w:rsid w:val="007B26DE"/>
    <w:rsid w:val="007B317B"/>
    <w:rsid w:val="007B5253"/>
    <w:rsid w:val="007B58DA"/>
    <w:rsid w:val="007B5B9E"/>
    <w:rsid w:val="007B5D33"/>
    <w:rsid w:val="007B5F36"/>
    <w:rsid w:val="007B653E"/>
    <w:rsid w:val="007B6CE5"/>
    <w:rsid w:val="007B722F"/>
    <w:rsid w:val="007B7C77"/>
    <w:rsid w:val="007C19FA"/>
    <w:rsid w:val="007C24C6"/>
    <w:rsid w:val="007C26D4"/>
    <w:rsid w:val="007C29EB"/>
    <w:rsid w:val="007C32D8"/>
    <w:rsid w:val="007C4617"/>
    <w:rsid w:val="007C4DCA"/>
    <w:rsid w:val="007C5525"/>
    <w:rsid w:val="007C569A"/>
    <w:rsid w:val="007C59B0"/>
    <w:rsid w:val="007C5CBF"/>
    <w:rsid w:val="007C5D82"/>
    <w:rsid w:val="007C5F79"/>
    <w:rsid w:val="007C65B0"/>
    <w:rsid w:val="007C6C44"/>
    <w:rsid w:val="007C6CB4"/>
    <w:rsid w:val="007C7685"/>
    <w:rsid w:val="007C7725"/>
    <w:rsid w:val="007D0570"/>
    <w:rsid w:val="007D11F5"/>
    <w:rsid w:val="007D1D2B"/>
    <w:rsid w:val="007D2118"/>
    <w:rsid w:val="007D3EF2"/>
    <w:rsid w:val="007D4C34"/>
    <w:rsid w:val="007D6A8B"/>
    <w:rsid w:val="007D7043"/>
    <w:rsid w:val="007D7144"/>
    <w:rsid w:val="007D7C81"/>
    <w:rsid w:val="007D7D25"/>
    <w:rsid w:val="007E069A"/>
    <w:rsid w:val="007E2389"/>
    <w:rsid w:val="007E289B"/>
    <w:rsid w:val="007E4464"/>
    <w:rsid w:val="007E5BFD"/>
    <w:rsid w:val="007E6018"/>
    <w:rsid w:val="007E7181"/>
    <w:rsid w:val="007E74BA"/>
    <w:rsid w:val="007E79EB"/>
    <w:rsid w:val="007F04D8"/>
    <w:rsid w:val="007F0ABA"/>
    <w:rsid w:val="007F18E8"/>
    <w:rsid w:val="007F1F40"/>
    <w:rsid w:val="007F3220"/>
    <w:rsid w:val="007F338A"/>
    <w:rsid w:val="007F4165"/>
    <w:rsid w:val="007F54E4"/>
    <w:rsid w:val="007F594C"/>
    <w:rsid w:val="007F624B"/>
    <w:rsid w:val="007F6D52"/>
    <w:rsid w:val="007F72A4"/>
    <w:rsid w:val="00800214"/>
    <w:rsid w:val="00800467"/>
    <w:rsid w:val="00800761"/>
    <w:rsid w:val="00800B30"/>
    <w:rsid w:val="00801475"/>
    <w:rsid w:val="00801623"/>
    <w:rsid w:val="008025C6"/>
    <w:rsid w:val="00802C0C"/>
    <w:rsid w:val="00802E4A"/>
    <w:rsid w:val="00803753"/>
    <w:rsid w:val="008048B1"/>
    <w:rsid w:val="008048D8"/>
    <w:rsid w:val="008049D0"/>
    <w:rsid w:val="0080539A"/>
    <w:rsid w:val="00805F2A"/>
    <w:rsid w:val="00806E35"/>
    <w:rsid w:val="00807979"/>
    <w:rsid w:val="0081119B"/>
    <w:rsid w:val="008124E8"/>
    <w:rsid w:val="00812E48"/>
    <w:rsid w:val="00813D14"/>
    <w:rsid w:val="00814765"/>
    <w:rsid w:val="00815FD5"/>
    <w:rsid w:val="008164E8"/>
    <w:rsid w:val="008167FF"/>
    <w:rsid w:val="008171B5"/>
    <w:rsid w:val="00817737"/>
    <w:rsid w:val="00817F8C"/>
    <w:rsid w:val="00820F64"/>
    <w:rsid w:val="00821805"/>
    <w:rsid w:val="0082200A"/>
    <w:rsid w:val="00822806"/>
    <w:rsid w:val="00824E8E"/>
    <w:rsid w:val="0082540A"/>
    <w:rsid w:val="008304ED"/>
    <w:rsid w:val="00830C22"/>
    <w:rsid w:val="008324B2"/>
    <w:rsid w:val="00832529"/>
    <w:rsid w:val="008327C1"/>
    <w:rsid w:val="00832E2E"/>
    <w:rsid w:val="00835719"/>
    <w:rsid w:val="0083578B"/>
    <w:rsid w:val="00836C82"/>
    <w:rsid w:val="008377C8"/>
    <w:rsid w:val="008379D2"/>
    <w:rsid w:val="00840B20"/>
    <w:rsid w:val="00840E26"/>
    <w:rsid w:val="00841955"/>
    <w:rsid w:val="0084238D"/>
    <w:rsid w:val="008427B3"/>
    <w:rsid w:val="00842E38"/>
    <w:rsid w:val="008430AE"/>
    <w:rsid w:val="008435E7"/>
    <w:rsid w:val="00843E43"/>
    <w:rsid w:val="00843EB4"/>
    <w:rsid w:val="0084482F"/>
    <w:rsid w:val="00844A65"/>
    <w:rsid w:val="008451D6"/>
    <w:rsid w:val="008462E5"/>
    <w:rsid w:val="00846842"/>
    <w:rsid w:val="00851463"/>
    <w:rsid w:val="008533B3"/>
    <w:rsid w:val="00853447"/>
    <w:rsid w:val="0085365A"/>
    <w:rsid w:val="0085397B"/>
    <w:rsid w:val="00853B8F"/>
    <w:rsid w:val="00853C93"/>
    <w:rsid w:val="00853F6D"/>
    <w:rsid w:val="00854841"/>
    <w:rsid w:val="00854A37"/>
    <w:rsid w:val="00854D1A"/>
    <w:rsid w:val="00855B62"/>
    <w:rsid w:val="008561CB"/>
    <w:rsid w:val="00857212"/>
    <w:rsid w:val="00857D63"/>
    <w:rsid w:val="008601BD"/>
    <w:rsid w:val="00860D9B"/>
    <w:rsid w:val="00861216"/>
    <w:rsid w:val="00861C7D"/>
    <w:rsid w:val="00862906"/>
    <w:rsid w:val="0086318A"/>
    <w:rsid w:val="008636CD"/>
    <w:rsid w:val="00863C50"/>
    <w:rsid w:val="0086442C"/>
    <w:rsid w:val="008644C5"/>
    <w:rsid w:val="00864E03"/>
    <w:rsid w:val="00865BC9"/>
    <w:rsid w:val="008660CD"/>
    <w:rsid w:val="00866881"/>
    <w:rsid w:val="008679FE"/>
    <w:rsid w:val="00870975"/>
    <w:rsid w:val="00871339"/>
    <w:rsid w:val="00871BE5"/>
    <w:rsid w:val="008730D9"/>
    <w:rsid w:val="008732AD"/>
    <w:rsid w:val="00873818"/>
    <w:rsid w:val="00873F9F"/>
    <w:rsid w:val="00873FF2"/>
    <w:rsid w:val="0087490A"/>
    <w:rsid w:val="00874AF6"/>
    <w:rsid w:val="0087548A"/>
    <w:rsid w:val="008758CF"/>
    <w:rsid w:val="00875F78"/>
    <w:rsid w:val="00876017"/>
    <w:rsid w:val="0087601C"/>
    <w:rsid w:val="00877DAB"/>
    <w:rsid w:val="008812E8"/>
    <w:rsid w:val="00881D99"/>
    <w:rsid w:val="0088278C"/>
    <w:rsid w:val="00886BAB"/>
    <w:rsid w:val="0088749D"/>
    <w:rsid w:val="008904F0"/>
    <w:rsid w:val="00890853"/>
    <w:rsid w:val="0089451E"/>
    <w:rsid w:val="00894873"/>
    <w:rsid w:val="008948BE"/>
    <w:rsid w:val="00895865"/>
    <w:rsid w:val="00896C95"/>
    <w:rsid w:val="00897784"/>
    <w:rsid w:val="008A0405"/>
    <w:rsid w:val="008A0C68"/>
    <w:rsid w:val="008A19B1"/>
    <w:rsid w:val="008A19E3"/>
    <w:rsid w:val="008A1A22"/>
    <w:rsid w:val="008A1C0C"/>
    <w:rsid w:val="008A1FF0"/>
    <w:rsid w:val="008A23B9"/>
    <w:rsid w:val="008A30B2"/>
    <w:rsid w:val="008A3645"/>
    <w:rsid w:val="008A3C46"/>
    <w:rsid w:val="008A49E4"/>
    <w:rsid w:val="008A5C69"/>
    <w:rsid w:val="008A6060"/>
    <w:rsid w:val="008A6161"/>
    <w:rsid w:val="008A6238"/>
    <w:rsid w:val="008A637F"/>
    <w:rsid w:val="008A732F"/>
    <w:rsid w:val="008A733C"/>
    <w:rsid w:val="008A73FB"/>
    <w:rsid w:val="008A77B8"/>
    <w:rsid w:val="008A7BF2"/>
    <w:rsid w:val="008A7E69"/>
    <w:rsid w:val="008B0F8C"/>
    <w:rsid w:val="008B1339"/>
    <w:rsid w:val="008B1441"/>
    <w:rsid w:val="008B15C9"/>
    <w:rsid w:val="008B19FD"/>
    <w:rsid w:val="008B2105"/>
    <w:rsid w:val="008B2FC8"/>
    <w:rsid w:val="008B401B"/>
    <w:rsid w:val="008B5940"/>
    <w:rsid w:val="008B5B56"/>
    <w:rsid w:val="008B65AC"/>
    <w:rsid w:val="008B6F36"/>
    <w:rsid w:val="008B7458"/>
    <w:rsid w:val="008C0183"/>
    <w:rsid w:val="008C0B7A"/>
    <w:rsid w:val="008C2267"/>
    <w:rsid w:val="008C38C6"/>
    <w:rsid w:val="008C47BC"/>
    <w:rsid w:val="008C50D3"/>
    <w:rsid w:val="008C53D4"/>
    <w:rsid w:val="008C58D2"/>
    <w:rsid w:val="008C6FBD"/>
    <w:rsid w:val="008C7F8F"/>
    <w:rsid w:val="008D0BFA"/>
    <w:rsid w:val="008D0C95"/>
    <w:rsid w:val="008D142F"/>
    <w:rsid w:val="008D27A1"/>
    <w:rsid w:val="008D387B"/>
    <w:rsid w:val="008D594E"/>
    <w:rsid w:val="008D5998"/>
    <w:rsid w:val="008D6901"/>
    <w:rsid w:val="008D7001"/>
    <w:rsid w:val="008D7C8D"/>
    <w:rsid w:val="008E00A9"/>
    <w:rsid w:val="008E19EC"/>
    <w:rsid w:val="008E36EF"/>
    <w:rsid w:val="008E3EE7"/>
    <w:rsid w:val="008E57A8"/>
    <w:rsid w:val="008E6731"/>
    <w:rsid w:val="008E728F"/>
    <w:rsid w:val="008E7C34"/>
    <w:rsid w:val="008F114B"/>
    <w:rsid w:val="008F2B68"/>
    <w:rsid w:val="008F49F1"/>
    <w:rsid w:val="008F5BB5"/>
    <w:rsid w:val="008F6B2F"/>
    <w:rsid w:val="009004D3"/>
    <w:rsid w:val="00900C03"/>
    <w:rsid w:val="00900E54"/>
    <w:rsid w:val="00902AA1"/>
    <w:rsid w:val="00903D50"/>
    <w:rsid w:val="009047D3"/>
    <w:rsid w:val="00904A9B"/>
    <w:rsid w:val="00904E84"/>
    <w:rsid w:val="0090527D"/>
    <w:rsid w:val="00905460"/>
    <w:rsid w:val="00905BB0"/>
    <w:rsid w:val="0090623A"/>
    <w:rsid w:val="009074F4"/>
    <w:rsid w:val="00907907"/>
    <w:rsid w:val="00907B83"/>
    <w:rsid w:val="00907E90"/>
    <w:rsid w:val="009108CE"/>
    <w:rsid w:val="00910E76"/>
    <w:rsid w:val="009115B3"/>
    <w:rsid w:val="00912FC7"/>
    <w:rsid w:val="00913237"/>
    <w:rsid w:val="009133EB"/>
    <w:rsid w:val="00913F29"/>
    <w:rsid w:val="009143F2"/>
    <w:rsid w:val="009146B5"/>
    <w:rsid w:val="0091550F"/>
    <w:rsid w:val="009158AE"/>
    <w:rsid w:val="00916259"/>
    <w:rsid w:val="00917409"/>
    <w:rsid w:val="009215DC"/>
    <w:rsid w:val="009216E1"/>
    <w:rsid w:val="00921E00"/>
    <w:rsid w:val="00922D70"/>
    <w:rsid w:val="009238AB"/>
    <w:rsid w:val="00923E50"/>
    <w:rsid w:val="009252E6"/>
    <w:rsid w:val="00925DC5"/>
    <w:rsid w:val="0092756C"/>
    <w:rsid w:val="0092781D"/>
    <w:rsid w:val="00927D8C"/>
    <w:rsid w:val="00927DB9"/>
    <w:rsid w:val="009307B2"/>
    <w:rsid w:val="00930CE7"/>
    <w:rsid w:val="0093146C"/>
    <w:rsid w:val="00931E69"/>
    <w:rsid w:val="009321C8"/>
    <w:rsid w:val="009322F3"/>
    <w:rsid w:val="00932752"/>
    <w:rsid w:val="00933AA6"/>
    <w:rsid w:val="00933E5C"/>
    <w:rsid w:val="0093473F"/>
    <w:rsid w:val="00936F33"/>
    <w:rsid w:val="00937C60"/>
    <w:rsid w:val="0094003B"/>
    <w:rsid w:val="009413F7"/>
    <w:rsid w:val="00941717"/>
    <w:rsid w:val="009419FD"/>
    <w:rsid w:val="00942065"/>
    <w:rsid w:val="00944A76"/>
    <w:rsid w:val="00944D14"/>
    <w:rsid w:val="009452C6"/>
    <w:rsid w:val="00945414"/>
    <w:rsid w:val="00945460"/>
    <w:rsid w:val="00945802"/>
    <w:rsid w:val="0094674F"/>
    <w:rsid w:val="00946D2C"/>
    <w:rsid w:val="00946E48"/>
    <w:rsid w:val="009472B5"/>
    <w:rsid w:val="00950AEF"/>
    <w:rsid w:val="0095153D"/>
    <w:rsid w:val="00952014"/>
    <w:rsid w:val="0095325D"/>
    <w:rsid w:val="00954213"/>
    <w:rsid w:val="00955B3E"/>
    <w:rsid w:val="00955FF2"/>
    <w:rsid w:val="009563A4"/>
    <w:rsid w:val="009567E2"/>
    <w:rsid w:val="00957CA2"/>
    <w:rsid w:val="009604A6"/>
    <w:rsid w:val="00960C00"/>
    <w:rsid w:val="00960E4D"/>
    <w:rsid w:val="009612D8"/>
    <w:rsid w:val="0096184B"/>
    <w:rsid w:val="00963F34"/>
    <w:rsid w:val="00963FC8"/>
    <w:rsid w:val="009641FF"/>
    <w:rsid w:val="00964DC5"/>
    <w:rsid w:val="009655BD"/>
    <w:rsid w:val="0096590A"/>
    <w:rsid w:val="00965A5E"/>
    <w:rsid w:val="009664B7"/>
    <w:rsid w:val="0096720F"/>
    <w:rsid w:val="00971B13"/>
    <w:rsid w:val="009723EC"/>
    <w:rsid w:val="00972FB8"/>
    <w:rsid w:val="00973E0F"/>
    <w:rsid w:val="009744F1"/>
    <w:rsid w:val="009770EE"/>
    <w:rsid w:val="0097780E"/>
    <w:rsid w:val="009811EA"/>
    <w:rsid w:val="00981A9C"/>
    <w:rsid w:val="00981DB3"/>
    <w:rsid w:val="009827E0"/>
    <w:rsid w:val="00982AA0"/>
    <w:rsid w:val="00983D86"/>
    <w:rsid w:val="009845B7"/>
    <w:rsid w:val="00984908"/>
    <w:rsid w:val="009855B3"/>
    <w:rsid w:val="00986523"/>
    <w:rsid w:val="00986DBB"/>
    <w:rsid w:val="00992597"/>
    <w:rsid w:val="0099314C"/>
    <w:rsid w:val="00993609"/>
    <w:rsid w:val="00993855"/>
    <w:rsid w:val="00994493"/>
    <w:rsid w:val="009961AF"/>
    <w:rsid w:val="00996546"/>
    <w:rsid w:val="009967C7"/>
    <w:rsid w:val="00996BDB"/>
    <w:rsid w:val="009A00B2"/>
    <w:rsid w:val="009A02B6"/>
    <w:rsid w:val="009A10CD"/>
    <w:rsid w:val="009A1B35"/>
    <w:rsid w:val="009A1C47"/>
    <w:rsid w:val="009A23C2"/>
    <w:rsid w:val="009A24DC"/>
    <w:rsid w:val="009A2C8D"/>
    <w:rsid w:val="009A31AD"/>
    <w:rsid w:val="009A34B0"/>
    <w:rsid w:val="009A3E04"/>
    <w:rsid w:val="009B0465"/>
    <w:rsid w:val="009B10BC"/>
    <w:rsid w:val="009B1EFC"/>
    <w:rsid w:val="009B2003"/>
    <w:rsid w:val="009B2240"/>
    <w:rsid w:val="009B22E3"/>
    <w:rsid w:val="009B2A10"/>
    <w:rsid w:val="009B2FBF"/>
    <w:rsid w:val="009B3B8E"/>
    <w:rsid w:val="009B3C12"/>
    <w:rsid w:val="009B4CEE"/>
    <w:rsid w:val="009B6528"/>
    <w:rsid w:val="009B71BD"/>
    <w:rsid w:val="009C00DB"/>
    <w:rsid w:val="009C014E"/>
    <w:rsid w:val="009C04AE"/>
    <w:rsid w:val="009C0ADA"/>
    <w:rsid w:val="009C112B"/>
    <w:rsid w:val="009C1287"/>
    <w:rsid w:val="009C12FF"/>
    <w:rsid w:val="009C1401"/>
    <w:rsid w:val="009C16FA"/>
    <w:rsid w:val="009C1738"/>
    <w:rsid w:val="009C222D"/>
    <w:rsid w:val="009C28CE"/>
    <w:rsid w:val="009C29A5"/>
    <w:rsid w:val="009C2CC0"/>
    <w:rsid w:val="009C3A27"/>
    <w:rsid w:val="009C4127"/>
    <w:rsid w:val="009C5109"/>
    <w:rsid w:val="009C5F04"/>
    <w:rsid w:val="009C5F7F"/>
    <w:rsid w:val="009C7476"/>
    <w:rsid w:val="009D0BDA"/>
    <w:rsid w:val="009D0F41"/>
    <w:rsid w:val="009D106D"/>
    <w:rsid w:val="009D1BD8"/>
    <w:rsid w:val="009D27DA"/>
    <w:rsid w:val="009D284A"/>
    <w:rsid w:val="009D2E45"/>
    <w:rsid w:val="009D39C0"/>
    <w:rsid w:val="009D3A9D"/>
    <w:rsid w:val="009D3C28"/>
    <w:rsid w:val="009D559B"/>
    <w:rsid w:val="009D669B"/>
    <w:rsid w:val="009E3016"/>
    <w:rsid w:val="009E5CC1"/>
    <w:rsid w:val="009E5D7B"/>
    <w:rsid w:val="009E62B5"/>
    <w:rsid w:val="009E6714"/>
    <w:rsid w:val="009E6AE4"/>
    <w:rsid w:val="009E70B7"/>
    <w:rsid w:val="009F09F4"/>
    <w:rsid w:val="009F0C0F"/>
    <w:rsid w:val="009F1C14"/>
    <w:rsid w:val="009F2A8B"/>
    <w:rsid w:val="009F4E26"/>
    <w:rsid w:val="009F5B13"/>
    <w:rsid w:val="009F5B78"/>
    <w:rsid w:val="009F5BF6"/>
    <w:rsid w:val="009F7B78"/>
    <w:rsid w:val="009F7FE5"/>
    <w:rsid w:val="00A01301"/>
    <w:rsid w:val="00A0155A"/>
    <w:rsid w:val="00A01DB1"/>
    <w:rsid w:val="00A01F41"/>
    <w:rsid w:val="00A02723"/>
    <w:rsid w:val="00A02DC3"/>
    <w:rsid w:val="00A03364"/>
    <w:rsid w:val="00A04577"/>
    <w:rsid w:val="00A0489E"/>
    <w:rsid w:val="00A058E8"/>
    <w:rsid w:val="00A05C5E"/>
    <w:rsid w:val="00A05EEC"/>
    <w:rsid w:val="00A06870"/>
    <w:rsid w:val="00A06DB7"/>
    <w:rsid w:val="00A07178"/>
    <w:rsid w:val="00A0765C"/>
    <w:rsid w:val="00A125F5"/>
    <w:rsid w:val="00A12E7D"/>
    <w:rsid w:val="00A12F18"/>
    <w:rsid w:val="00A1587D"/>
    <w:rsid w:val="00A16019"/>
    <w:rsid w:val="00A16D3B"/>
    <w:rsid w:val="00A179F6"/>
    <w:rsid w:val="00A200B7"/>
    <w:rsid w:val="00A20715"/>
    <w:rsid w:val="00A21750"/>
    <w:rsid w:val="00A237AF"/>
    <w:rsid w:val="00A25E19"/>
    <w:rsid w:val="00A26606"/>
    <w:rsid w:val="00A268A9"/>
    <w:rsid w:val="00A30527"/>
    <w:rsid w:val="00A318A3"/>
    <w:rsid w:val="00A31AF8"/>
    <w:rsid w:val="00A32B21"/>
    <w:rsid w:val="00A32F7B"/>
    <w:rsid w:val="00A33D1C"/>
    <w:rsid w:val="00A343A9"/>
    <w:rsid w:val="00A344CE"/>
    <w:rsid w:val="00A3499E"/>
    <w:rsid w:val="00A36D14"/>
    <w:rsid w:val="00A372B0"/>
    <w:rsid w:val="00A373C1"/>
    <w:rsid w:val="00A37BA6"/>
    <w:rsid w:val="00A4151D"/>
    <w:rsid w:val="00A41522"/>
    <w:rsid w:val="00A427CD"/>
    <w:rsid w:val="00A42D0D"/>
    <w:rsid w:val="00A4327B"/>
    <w:rsid w:val="00A441B2"/>
    <w:rsid w:val="00A44DF1"/>
    <w:rsid w:val="00A45AFD"/>
    <w:rsid w:val="00A46A0D"/>
    <w:rsid w:val="00A4773B"/>
    <w:rsid w:val="00A47806"/>
    <w:rsid w:val="00A51121"/>
    <w:rsid w:val="00A51533"/>
    <w:rsid w:val="00A51895"/>
    <w:rsid w:val="00A52013"/>
    <w:rsid w:val="00A52A6F"/>
    <w:rsid w:val="00A52E63"/>
    <w:rsid w:val="00A530A3"/>
    <w:rsid w:val="00A53346"/>
    <w:rsid w:val="00A54108"/>
    <w:rsid w:val="00A55391"/>
    <w:rsid w:val="00A5617D"/>
    <w:rsid w:val="00A564F0"/>
    <w:rsid w:val="00A5676C"/>
    <w:rsid w:val="00A61405"/>
    <w:rsid w:val="00A61ADD"/>
    <w:rsid w:val="00A62429"/>
    <w:rsid w:val="00A62A36"/>
    <w:rsid w:val="00A65A10"/>
    <w:rsid w:val="00A663EA"/>
    <w:rsid w:val="00A678F2"/>
    <w:rsid w:val="00A67EBF"/>
    <w:rsid w:val="00A71372"/>
    <w:rsid w:val="00A71CA6"/>
    <w:rsid w:val="00A72960"/>
    <w:rsid w:val="00A73D8B"/>
    <w:rsid w:val="00A74F41"/>
    <w:rsid w:val="00A7569A"/>
    <w:rsid w:val="00A766C7"/>
    <w:rsid w:val="00A77586"/>
    <w:rsid w:val="00A800E3"/>
    <w:rsid w:val="00A80AEF"/>
    <w:rsid w:val="00A8110E"/>
    <w:rsid w:val="00A813E8"/>
    <w:rsid w:val="00A81CDC"/>
    <w:rsid w:val="00A81E14"/>
    <w:rsid w:val="00A820FD"/>
    <w:rsid w:val="00A82254"/>
    <w:rsid w:val="00A8294C"/>
    <w:rsid w:val="00A83253"/>
    <w:rsid w:val="00A836E0"/>
    <w:rsid w:val="00A83FA2"/>
    <w:rsid w:val="00A8417B"/>
    <w:rsid w:val="00A854FD"/>
    <w:rsid w:val="00A8616F"/>
    <w:rsid w:val="00A864C9"/>
    <w:rsid w:val="00A86E75"/>
    <w:rsid w:val="00A87064"/>
    <w:rsid w:val="00A87487"/>
    <w:rsid w:val="00A87EA4"/>
    <w:rsid w:val="00A91746"/>
    <w:rsid w:val="00A91DB0"/>
    <w:rsid w:val="00A91E90"/>
    <w:rsid w:val="00A9382B"/>
    <w:rsid w:val="00A94A63"/>
    <w:rsid w:val="00A95665"/>
    <w:rsid w:val="00A95A65"/>
    <w:rsid w:val="00A96113"/>
    <w:rsid w:val="00A9641C"/>
    <w:rsid w:val="00A96F90"/>
    <w:rsid w:val="00AA0441"/>
    <w:rsid w:val="00AA0E1D"/>
    <w:rsid w:val="00AA0F4B"/>
    <w:rsid w:val="00AA1D1D"/>
    <w:rsid w:val="00AA39D8"/>
    <w:rsid w:val="00AA4800"/>
    <w:rsid w:val="00AA5869"/>
    <w:rsid w:val="00AA59FF"/>
    <w:rsid w:val="00AA6837"/>
    <w:rsid w:val="00AB0E1C"/>
    <w:rsid w:val="00AB1951"/>
    <w:rsid w:val="00AB254B"/>
    <w:rsid w:val="00AB297C"/>
    <w:rsid w:val="00AB2B73"/>
    <w:rsid w:val="00AB2E91"/>
    <w:rsid w:val="00AB3367"/>
    <w:rsid w:val="00AB3457"/>
    <w:rsid w:val="00AB37FB"/>
    <w:rsid w:val="00AB5288"/>
    <w:rsid w:val="00AB5568"/>
    <w:rsid w:val="00AB5D39"/>
    <w:rsid w:val="00AB62D9"/>
    <w:rsid w:val="00AB6D27"/>
    <w:rsid w:val="00AB7657"/>
    <w:rsid w:val="00AC03BE"/>
    <w:rsid w:val="00AC09E9"/>
    <w:rsid w:val="00AC0BA4"/>
    <w:rsid w:val="00AC0CC4"/>
    <w:rsid w:val="00AC414B"/>
    <w:rsid w:val="00AC4B65"/>
    <w:rsid w:val="00AC5133"/>
    <w:rsid w:val="00AC6793"/>
    <w:rsid w:val="00AC7B9B"/>
    <w:rsid w:val="00AD0599"/>
    <w:rsid w:val="00AD0C85"/>
    <w:rsid w:val="00AD1315"/>
    <w:rsid w:val="00AD1554"/>
    <w:rsid w:val="00AD2487"/>
    <w:rsid w:val="00AD2598"/>
    <w:rsid w:val="00AD3402"/>
    <w:rsid w:val="00AD4479"/>
    <w:rsid w:val="00AD47A8"/>
    <w:rsid w:val="00AD4879"/>
    <w:rsid w:val="00AD5425"/>
    <w:rsid w:val="00AD563E"/>
    <w:rsid w:val="00AD5B5F"/>
    <w:rsid w:val="00AD6A8A"/>
    <w:rsid w:val="00AD6C05"/>
    <w:rsid w:val="00AD6D0E"/>
    <w:rsid w:val="00AD6E1D"/>
    <w:rsid w:val="00AD7229"/>
    <w:rsid w:val="00AD7477"/>
    <w:rsid w:val="00AD7A8E"/>
    <w:rsid w:val="00AD7B8F"/>
    <w:rsid w:val="00AE0556"/>
    <w:rsid w:val="00AE0729"/>
    <w:rsid w:val="00AE14BE"/>
    <w:rsid w:val="00AE1EEB"/>
    <w:rsid w:val="00AE1FC0"/>
    <w:rsid w:val="00AE303A"/>
    <w:rsid w:val="00AE38BD"/>
    <w:rsid w:val="00AE39A5"/>
    <w:rsid w:val="00AE3F39"/>
    <w:rsid w:val="00AE431E"/>
    <w:rsid w:val="00AE471D"/>
    <w:rsid w:val="00AE7304"/>
    <w:rsid w:val="00AF01B7"/>
    <w:rsid w:val="00AF082B"/>
    <w:rsid w:val="00AF0B53"/>
    <w:rsid w:val="00AF1BF5"/>
    <w:rsid w:val="00AF1F79"/>
    <w:rsid w:val="00AF2324"/>
    <w:rsid w:val="00AF2BA0"/>
    <w:rsid w:val="00AF310A"/>
    <w:rsid w:val="00AF3A19"/>
    <w:rsid w:val="00AF418D"/>
    <w:rsid w:val="00AF4CA4"/>
    <w:rsid w:val="00AF4E4A"/>
    <w:rsid w:val="00AF5FB9"/>
    <w:rsid w:val="00AF6EC5"/>
    <w:rsid w:val="00AF77C4"/>
    <w:rsid w:val="00B00848"/>
    <w:rsid w:val="00B02894"/>
    <w:rsid w:val="00B030B6"/>
    <w:rsid w:val="00B04783"/>
    <w:rsid w:val="00B04FE9"/>
    <w:rsid w:val="00B05437"/>
    <w:rsid w:val="00B05C0F"/>
    <w:rsid w:val="00B0675F"/>
    <w:rsid w:val="00B10CC8"/>
    <w:rsid w:val="00B1304D"/>
    <w:rsid w:val="00B137CA"/>
    <w:rsid w:val="00B13E2B"/>
    <w:rsid w:val="00B1405A"/>
    <w:rsid w:val="00B14366"/>
    <w:rsid w:val="00B1466D"/>
    <w:rsid w:val="00B15E30"/>
    <w:rsid w:val="00B16178"/>
    <w:rsid w:val="00B169A7"/>
    <w:rsid w:val="00B16C05"/>
    <w:rsid w:val="00B171F3"/>
    <w:rsid w:val="00B2133B"/>
    <w:rsid w:val="00B213C9"/>
    <w:rsid w:val="00B214F3"/>
    <w:rsid w:val="00B21B33"/>
    <w:rsid w:val="00B22D9E"/>
    <w:rsid w:val="00B230A4"/>
    <w:rsid w:val="00B2393D"/>
    <w:rsid w:val="00B26090"/>
    <w:rsid w:val="00B26753"/>
    <w:rsid w:val="00B26B80"/>
    <w:rsid w:val="00B271B0"/>
    <w:rsid w:val="00B31A55"/>
    <w:rsid w:val="00B31F05"/>
    <w:rsid w:val="00B32190"/>
    <w:rsid w:val="00B321B8"/>
    <w:rsid w:val="00B32AF1"/>
    <w:rsid w:val="00B332D0"/>
    <w:rsid w:val="00B340D4"/>
    <w:rsid w:val="00B34BC3"/>
    <w:rsid w:val="00B36733"/>
    <w:rsid w:val="00B36808"/>
    <w:rsid w:val="00B36C07"/>
    <w:rsid w:val="00B36F23"/>
    <w:rsid w:val="00B41101"/>
    <w:rsid w:val="00B4285D"/>
    <w:rsid w:val="00B42BD2"/>
    <w:rsid w:val="00B436EF"/>
    <w:rsid w:val="00B4459F"/>
    <w:rsid w:val="00B44B01"/>
    <w:rsid w:val="00B47446"/>
    <w:rsid w:val="00B47E2E"/>
    <w:rsid w:val="00B504D4"/>
    <w:rsid w:val="00B50E92"/>
    <w:rsid w:val="00B51C0B"/>
    <w:rsid w:val="00B53A4C"/>
    <w:rsid w:val="00B5408D"/>
    <w:rsid w:val="00B540FB"/>
    <w:rsid w:val="00B5430A"/>
    <w:rsid w:val="00B54458"/>
    <w:rsid w:val="00B55181"/>
    <w:rsid w:val="00B552C9"/>
    <w:rsid w:val="00B5569F"/>
    <w:rsid w:val="00B5575F"/>
    <w:rsid w:val="00B5583E"/>
    <w:rsid w:val="00B57315"/>
    <w:rsid w:val="00B57806"/>
    <w:rsid w:val="00B57870"/>
    <w:rsid w:val="00B60317"/>
    <w:rsid w:val="00B610D0"/>
    <w:rsid w:val="00B61921"/>
    <w:rsid w:val="00B61E63"/>
    <w:rsid w:val="00B625BF"/>
    <w:rsid w:val="00B627A4"/>
    <w:rsid w:val="00B62E00"/>
    <w:rsid w:val="00B647B2"/>
    <w:rsid w:val="00B6497A"/>
    <w:rsid w:val="00B64E08"/>
    <w:rsid w:val="00B65CCE"/>
    <w:rsid w:val="00B66045"/>
    <w:rsid w:val="00B661C2"/>
    <w:rsid w:val="00B667E5"/>
    <w:rsid w:val="00B66C39"/>
    <w:rsid w:val="00B66E46"/>
    <w:rsid w:val="00B67497"/>
    <w:rsid w:val="00B72161"/>
    <w:rsid w:val="00B722A4"/>
    <w:rsid w:val="00B7266D"/>
    <w:rsid w:val="00B72899"/>
    <w:rsid w:val="00B73C18"/>
    <w:rsid w:val="00B74938"/>
    <w:rsid w:val="00B74E06"/>
    <w:rsid w:val="00B75F96"/>
    <w:rsid w:val="00B764B9"/>
    <w:rsid w:val="00B77F94"/>
    <w:rsid w:val="00B80C15"/>
    <w:rsid w:val="00B82178"/>
    <w:rsid w:val="00B821C1"/>
    <w:rsid w:val="00B8279A"/>
    <w:rsid w:val="00B832A4"/>
    <w:rsid w:val="00B84AD7"/>
    <w:rsid w:val="00B8543A"/>
    <w:rsid w:val="00B861A2"/>
    <w:rsid w:val="00B8648B"/>
    <w:rsid w:val="00B87686"/>
    <w:rsid w:val="00B9002B"/>
    <w:rsid w:val="00B90576"/>
    <w:rsid w:val="00B90ACD"/>
    <w:rsid w:val="00B90B87"/>
    <w:rsid w:val="00B90B98"/>
    <w:rsid w:val="00B91231"/>
    <w:rsid w:val="00B9286E"/>
    <w:rsid w:val="00B93074"/>
    <w:rsid w:val="00B9311A"/>
    <w:rsid w:val="00B93901"/>
    <w:rsid w:val="00B94267"/>
    <w:rsid w:val="00B945E2"/>
    <w:rsid w:val="00B95567"/>
    <w:rsid w:val="00B96CF4"/>
    <w:rsid w:val="00B96FE1"/>
    <w:rsid w:val="00BA03AE"/>
    <w:rsid w:val="00BA0639"/>
    <w:rsid w:val="00BA0B93"/>
    <w:rsid w:val="00BA168B"/>
    <w:rsid w:val="00BA1A8D"/>
    <w:rsid w:val="00BA24FE"/>
    <w:rsid w:val="00BA367C"/>
    <w:rsid w:val="00BA3D9F"/>
    <w:rsid w:val="00BA49B6"/>
    <w:rsid w:val="00BA5D57"/>
    <w:rsid w:val="00BA6D17"/>
    <w:rsid w:val="00BA7D0F"/>
    <w:rsid w:val="00BA7F87"/>
    <w:rsid w:val="00BB068B"/>
    <w:rsid w:val="00BB0A59"/>
    <w:rsid w:val="00BB12B1"/>
    <w:rsid w:val="00BB16B4"/>
    <w:rsid w:val="00BB1B7A"/>
    <w:rsid w:val="00BB2A53"/>
    <w:rsid w:val="00BB43AF"/>
    <w:rsid w:val="00BB43B5"/>
    <w:rsid w:val="00BB5255"/>
    <w:rsid w:val="00BB54EB"/>
    <w:rsid w:val="00BB5712"/>
    <w:rsid w:val="00BB62B9"/>
    <w:rsid w:val="00BB6F0A"/>
    <w:rsid w:val="00BB75E3"/>
    <w:rsid w:val="00BB79C7"/>
    <w:rsid w:val="00BB7DD2"/>
    <w:rsid w:val="00BB7DDE"/>
    <w:rsid w:val="00BC03D9"/>
    <w:rsid w:val="00BC1BF7"/>
    <w:rsid w:val="00BC27C8"/>
    <w:rsid w:val="00BC3541"/>
    <w:rsid w:val="00BC36D9"/>
    <w:rsid w:val="00BC40D3"/>
    <w:rsid w:val="00BC4CD6"/>
    <w:rsid w:val="00BC4DA3"/>
    <w:rsid w:val="00BC58B5"/>
    <w:rsid w:val="00BC5DE3"/>
    <w:rsid w:val="00BC6283"/>
    <w:rsid w:val="00BC650A"/>
    <w:rsid w:val="00BC6AFD"/>
    <w:rsid w:val="00BC6C84"/>
    <w:rsid w:val="00BD03F2"/>
    <w:rsid w:val="00BD0799"/>
    <w:rsid w:val="00BD1688"/>
    <w:rsid w:val="00BD19D9"/>
    <w:rsid w:val="00BD247C"/>
    <w:rsid w:val="00BD2556"/>
    <w:rsid w:val="00BD2577"/>
    <w:rsid w:val="00BD37D8"/>
    <w:rsid w:val="00BD37F3"/>
    <w:rsid w:val="00BD3E2E"/>
    <w:rsid w:val="00BD4137"/>
    <w:rsid w:val="00BD5673"/>
    <w:rsid w:val="00BD5DB7"/>
    <w:rsid w:val="00BD6450"/>
    <w:rsid w:val="00BD64FC"/>
    <w:rsid w:val="00BD73B7"/>
    <w:rsid w:val="00BD79F8"/>
    <w:rsid w:val="00BD7B82"/>
    <w:rsid w:val="00BE0E8E"/>
    <w:rsid w:val="00BE1287"/>
    <w:rsid w:val="00BE1E0F"/>
    <w:rsid w:val="00BE3D51"/>
    <w:rsid w:val="00BE4232"/>
    <w:rsid w:val="00BE5241"/>
    <w:rsid w:val="00BE58F7"/>
    <w:rsid w:val="00BE7AD4"/>
    <w:rsid w:val="00BF041A"/>
    <w:rsid w:val="00BF04E5"/>
    <w:rsid w:val="00BF21AC"/>
    <w:rsid w:val="00BF35B6"/>
    <w:rsid w:val="00BF38DF"/>
    <w:rsid w:val="00BF428F"/>
    <w:rsid w:val="00BF4B5D"/>
    <w:rsid w:val="00BF5CFE"/>
    <w:rsid w:val="00BF7323"/>
    <w:rsid w:val="00BF7E00"/>
    <w:rsid w:val="00C00A91"/>
    <w:rsid w:val="00C01E8E"/>
    <w:rsid w:val="00C0211D"/>
    <w:rsid w:val="00C0379A"/>
    <w:rsid w:val="00C06082"/>
    <w:rsid w:val="00C111A1"/>
    <w:rsid w:val="00C13A9D"/>
    <w:rsid w:val="00C1428F"/>
    <w:rsid w:val="00C142EC"/>
    <w:rsid w:val="00C14630"/>
    <w:rsid w:val="00C1512C"/>
    <w:rsid w:val="00C1587D"/>
    <w:rsid w:val="00C15E5F"/>
    <w:rsid w:val="00C164B2"/>
    <w:rsid w:val="00C168F8"/>
    <w:rsid w:val="00C16C14"/>
    <w:rsid w:val="00C17489"/>
    <w:rsid w:val="00C20E73"/>
    <w:rsid w:val="00C21E7D"/>
    <w:rsid w:val="00C220D0"/>
    <w:rsid w:val="00C221F2"/>
    <w:rsid w:val="00C22C40"/>
    <w:rsid w:val="00C23F4E"/>
    <w:rsid w:val="00C24483"/>
    <w:rsid w:val="00C253DC"/>
    <w:rsid w:val="00C2679F"/>
    <w:rsid w:val="00C26997"/>
    <w:rsid w:val="00C269E3"/>
    <w:rsid w:val="00C308EA"/>
    <w:rsid w:val="00C31EC4"/>
    <w:rsid w:val="00C3395C"/>
    <w:rsid w:val="00C34475"/>
    <w:rsid w:val="00C352D3"/>
    <w:rsid w:val="00C35EAE"/>
    <w:rsid w:val="00C3671D"/>
    <w:rsid w:val="00C3687B"/>
    <w:rsid w:val="00C4111F"/>
    <w:rsid w:val="00C41537"/>
    <w:rsid w:val="00C424B7"/>
    <w:rsid w:val="00C42C10"/>
    <w:rsid w:val="00C43E63"/>
    <w:rsid w:val="00C45107"/>
    <w:rsid w:val="00C45530"/>
    <w:rsid w:val="00C45ACC"/>
    <w:rsid w:val="00C45E07"/>
    <w:rsid w:val="00C45E86"/>
    <w:rsid w:val="00C4600C"/>
    <w:rsid w:val="00C4656B"/>
    <w:rsid w:val="00C4687F"/>
    <w:rsid w:val="00C46AAE"/>
    <w:rsid w:val="00C47149"/>
    <w:rsid w:val="00C50668"/>
    <w:rsid w:val="00C51036"/>
    <w:rsid w:val="00C53110"/>
    <w:rsid w:val="00C5340D"/>
    <w:rsid w:val="00C537E8"/>
    <w:rsid w:val="00C537ED"/>
    <w:rsid w:val="00C54FF4"/>
    <w:rsid w:val="00C5527C"/>
    <w:rsid w:val="00C55A97"/>
    <w:rsid w:val="00C56318"/>
    <w:rsid w:val="00C56657"/>
    <w:rsid w:val="00C568FD"/>
    <w:rsid w:val="00C56B69"/>
    <w:rsid w:val="00C5758E"/>
    <w:rsid w:val="00C57E8A"/>
    <w:rsid w:val="00C613A7"/>
    <w:rsid w:val="00C6143B"/>
    <w:rsid w:val="00C61D13"/>
    <w:rsid w:val="00C62AF1"/>
    <w:rsid w:val="00C632DE"/>
    <w:rsid w:val="00C64318"/>
    <w:rsid w:val="00C64670"/>
    <w:rsid w:val="00C64D92"/>
    <w:rsid w:val="00C6503E"/>
    <w:rsid w:val="00C6678D"/>
    <w:rsid w:val="00C66CED"/>
    <w:rsid w:val="00C674A9"/>
    <w:rsid w:val="00C67623"/>
    <w:rsid w:val="00C7074B"/>
    <w:rsid w:val="00C72471"/>
    <w:rsid w:val="00C7385D"/>
    <w:rsid w:val="00C73A79"/>
    <w:rsid w:val="00C74170"/>
    <w:rsid w:val="00C74737"/>
    <w:rsid w:val="00C74ABF"/>
    <w:rsid w:val="00C74DA3"/>
    <w:rsid w:val="00C75CA3"/>
    <w:rsid w:val="00C76761"/>
    <w:rsid w:val="00C76D65"/>
    <w:rsid w:val="00C80115"/>
    <w:rsid w:val="00C8037F"/>
    <w:rsid w:val="00C83642"/>
    <w:rsid w:val="00C8379B"/>
    <w:rsid w:val="00C83933"/>
    <w:rsid w:val="00C83BED"/>
    <w:rsid w:val="00C83D2E"/>
    <w:rsid w:val="00C84249"/>
    <w:rsid w:val="00C84A48"/>
    <w:rsid w:val="00C84AD3"/>
    <w:rsid w:val="00C8587D"/>
    <w:rsid w:val="00C86D49"/>
    <w:rsid w:val="00C87211"/>
    <w:rsid w:val="00C90DF9"/>
    <w:rsid w:val="00C91DE3"/>
    <w:rsid w:val="00C92A9C"/>
    <w:rsid w:val="00C93E1C"/>
    <w:rsid w:val="00C93E8C"/>
    <w:rsid w:val="00C9407E"/>
    <w:rsid w:val="00C9560A"/>
    <w:rsid w:val="00C95E26"/>
    <w:rsid w:val="00C96B45"/>
    <w:rsid w:val="00C96BCE"/>
    <w:rsid w:val="00C96C0A"/>
    <w:rsid w:val="00CA0144"/>
    <w:rsid w:val="00CA1DAD"/>
    <w:rsid w:val="00CA2081"/>
    <w:rsid w:val="00CA2500"/>
    <w:rsid w:val="00CA312D"/>
    <w:rsid w:val="00CA3426"/>
    <w:rsid w:val="00CA34AD"/>
    <w:rsid w:val="00CA51F8"/>
    <w:rsid w:val="00CA5E22"/>
    <w:rsid w:val="00CA6027"/>
    <w:rsid w:val="00CA75C6"/>
    <w:rsid w:val="00CA7B52"/>
    <w:rsid w:val="00CB0A23"/>
    <w:rsid w:val="00CB159F"/>
    <w:rsid w:val="00CB15C0"/>
    <w:rsid w:val="00CB1E18"/>
    <w:rsid w:val="00CB29B6"/>
    <w:rsid w:val="00CB3A8F"/>
    <w:rsid w:val="00CB3ED0"/>
    <w:rsid w:val="00CB4768"/>
    <w:rsid w:val="00CB5CDB"/>
    <w:rsid w:val="00CB5E16"/>
    <w:rsid w:val="00CB5EF4"/>
    <w:rsid w:val="00CB615A"/>
    <w:rsid w:val="00CB7BAA"/>
    <w:rsid w:val="00CB7DF3"/>
    <w:rsid w:val="00CB7E9B"/>
    <w:rsid w:val="00CC02F9"/>
    <w:rsid w:val="00CC0DD2"/>
    <w:rsid w:val="00CC107D"/>
    <w:rsid w:val="00CC1363"/>
    <w:rsid w:val="00CC3FF9"/>
    <w:rsid w:val="00CC41B5"/>
    <w:rsid w:val="00CC6792"/>
    <w:rsid w:val="00CC6A2D"/>
    <w:rsid w:val="00CC710C"/>
    <w:rsid w:val="00CC73D5"/>
    <w:rsid w:val="00CC751A"/>
    <w:rsid w:val="00CD0454"/>
    <w:rsid w:val="00CD0889"/>
    <w:rsid w:val="00CD140E"/>
    <w:rsid w:val="00CD2499"/>
    <w:rsid w:val="00CD28B2"/>
    <w:rsid w:val="00CD2A2D"/>
    <w:rsid w:val="00CD369E"/>
    <w:rsid w:val="00CD468B"/>
    <w:rsid w:val="00CD5704"/>
    <w:rsid w:val="00CD6E43"/>
    <w:rsid w:val="00CD789A"/>
    <w:rsid w:val="00CD7A49"/>
    <w:rsid w:val="00CE0455"/>
    <w:rsid w:val="00CE063A"/>
    <w:rsid w:val="00CE175B"/>
    <w:rsid w:val="00CE1E1F"/>
    <w:rsid w:val="00CE2658"/>
    <w:rsid w:val="00CE2B01"/>
    <w:rsid w:val="00CE41F5"/>
    <w:rsid w:val="00CE4533"/>
    <w:rsid w:val="00CE46FC"/>
    <w:rsid w:val="00CE48F0"/>
    <w:rsid w:val="00CE535B"/>
    <w:rsid w:val="00CE5376"/>
    <w:rsid w:val="00CE5758"/>
    <w:rsid w:val="00CE5EF8"/>
    <w:rsid w:val="00CE76B4"/>
    <w:rsid w:val="00CE7BB9"/>
    <w:rsid w:val="00CE7D77"/>
    <w:rsid w:val="00CE7E48"/>
    <w:rsid w:val="00CF06C4"/>
    <w:rsid w:val="00CF1200"/>
    <w:rsid w:val="00CF1EA9"/>
    <w:rsid w:val="00CF2013"/>
    <w:rsid w:val="00CF30F7"/>
    <w:rsid w:val="00CF40A1"/>
    <w:rsid w:val="00CF41E4"/>
    <w:rsid w:val="00CF519C"/>
    <w:rsid w:val="00CF59C5"/>
    <w:rsid w:val="00CF6295"/>
    <w:rsid w:val="00CF6A60"/>
    <w:rsid w:val="00CF6CCC"/>
    <w:rsid w:val="00D0081E"/>
    <w:rsid w:val="00D00D0C"/>
    <w:rsid w:val="00D0162F"/>
    <w:rsid w:val="00D02EA9"/>
    <w:rsid w:val="00D02F83"/>
    <w:rsid w:val="00D030F9"/>
    <w:rsid w:val="00D03679"/>
    <w:rsid w:val="00D041A5"/>
    <w:rsid w:val="00D041EE"/>
    <w:rsid w:val="00D04591"/>
    <w:rsid w:val="00D04948"/>
    <w:rsid w:val="00D04C6A"/>
    <w:rsid w:val="00D069F8"/>
    <w:rsid w:val="00D10219"/>
    <w:rsid w:val="00D11622"/>
    <w:rsid w:val="00D11760"/>
    <w:rsid w:val="00D11AF6"/>
    <w:rsid w:val="00D12520"/>
    <w:rsid w:val="00D141AE"/>
    <w:rsid w:val="00D148CA"/>
    <w:rsid w:val="00D14A28"/>
    <w:rsid w:val="00D15A37"/>
    <w:rsid w:val="00D16753"/>
    <w:rsid w:val="00D17004"/>
    <w:rsid w:val="00D17948"/>
    <w:rsid w:val="00D17DC4"/>
    <w:rsid w:val="00D17FE3"/>
    <w:rsid w:val="00D20029"/>
    <w:rsid w:val="00D20671"/>
    <w:rsid w:val="00D20E33"/>
    <w:rsid w:val="00D21A2C"/>
    <w:rsid w:val="00D21A86"/>
    <w:rsid w:val="00D224E2"/>
    <w:rsid w:val="00D2496A"/>
    <w:rsid w:val="00D272E2"/>
    <w:rsid w:val="00D27DBC"/>
    <w:rsid w:val="00D306A0"/>
    <w:rsid w:val="00D31F16"/>
    <w:rsid w:val="00D32229"/>
    <w:rsid w:val="00D32307"/>
    <w:rsid w:val="00D32593"/>
    <w:rsid w:val="00D33E18"/>
    <w:rsid w:val="00D345BA"/>
    <w:rsid w:val="00D34DAD"/>
    <w:rsid w:val="00D35B43"/>
    <w:rsid w:val="00D35DBD"/>
    <w:rsid w:val="00D4174A"/>
    <w:rsid w:val="00D41B77"/>
    <w:rsid w:val="00D432BD"/>
    <w:rsid w:val="00D433D4"/>
    <w:rsid w:val="00D435D3"/>
    <w:rsid w:val="00D44B04"/>
    <w:rsid w:val="00D45EC4"/>
    <w:rsid w:val="00D46D48"/>
    <w:rsid w:val="00D4702C"/>
    <w:rsid w:val="00D470F0"/>
    <w:rsid w:val="00D471EC"/>
    <w:rsid w:val="00D478B6"/>
    <w:rsid w:val="00D47E8C"/>
    <w:rsid w:val="00D50E5A"/>
    <w:rsid w:val="00D522AF"/>
    <w:rsid w:val="00D55538"/>
    <w:rsid w:val="00D56690"/>
    <w:rsid w:val="00D56DBF"/>
    <w:rsid w:val="00D57F8A"/>
    <w:rsid w:val="00D60DD5"/>
    <w:rsid w:val="00D61164"/>
    <w:rsid w:val="00D63B98"/>
    <w:rsid w:val="00D63BFB"/>
    <w:rsid w:val="00D65306"/>
    <w:rsid w:val="00D658DB"/>
    <w:rsid w:val="00D65FEB"/>
    <w:rsid w:val="00D66BD2"/>
    <w:rsid w:val="00D66FF2"/>
    <w:rsid w:val="00D67A83"/>
    <w:rsid w:val="00D67CE3"/>
    <w:rsid w:val="00D7201D"/>
    <w:rsid w:val="00D7226C"/>
    <w:rsid w:val="00D7250B"/>
    <w:rsid w:val="00D7293A"/>
    <w:rsid w:val="00D72FDA"/>
    <w:rsid w:val="00D74F20"/>
    <w:rsid w:val="00D758BF"/>
    <w:rsid w:val="00D77CB6"/>
    <w:rsid w:val="00D77FFA"/>
    <w:rsid w:val="00D803A1"/>
    <w:rsid w:val="00D805FC"/>
    <w:rsid w:val="00D8131D"/>
    <w:rsid w:val="00D813DB"/>
    <w:rsid w:val="00D818E3"/>
    <w:rsid w:val="00D82828"/>
    <w:rsid w:val="00D8372A"/>
    <w:rsid w:val="00D840EA"/>
    <w:rsid w:val="00D8507E"/>
    <w:rsid w:val="00D8512D"/>
    <w:rsid w:val="00D8714B"/>
    <w:rsid w:val="00D872E2"/>
    <w:rsid w:val="00D901C2"/>
    <w:rsid w:val="00D90901"/>
    <w:rsid w:val="00D90930"/>
    <w:rsid w:val="00D90F77"/>
    <w:rsid w:val="00D9120C"/>
    <w:rsid w:val="00D92A16"/>
    <w:rsid w:val="00D9353C"/>
    <w:rsid w:val="00D93A74"/>
    <w:rsid w:val="00D93A79"/>
    <w:rsid w:val="00D93FD9"/>
    <w:rsid w:val="00D9681B"/>
    <w:rsid w:val="00D9684E"/>
    <w:rsid w:val="00DA0A48"/>
    <w:rsid w:val="00DA14D4"/>
    <w:rsid w:val="00DA1B8F"/>
    <w:rsid w:val="00DA1C1C"/>
    <w:rsid w:val="00DA1DE6"/>
    <w:rsid w:val="00DA21A0"/>
    <w:rsid w:val="00DA2A3A"/>
    <w:rsid w:val="00DA2DD8"/>
    <w:rsid w:val="00DA2EA9"/>
    <w:rsid w:val="00DA352F"/>
    <w:rsid w:val="00DA3B91"/>
    <w:rsid w:val="00DA433D"/>
    <w:rsid w:val="00DA486B"/>
    <w:rsid w:val="00DA49C7"/>
    <w:rsid w:val="00DA5054"/>
    <w:rsid w:val="00DA524F"/>
    <w:rsid w:val="00DA662B"/>
    <w:rsid w:val="00DA68D0"/>
    <w:rsid w:val="00DA6904"/>
    <w:rsid w:val="00DB1903"/>
    <w:rsid w:val="00DB2048"/>
    <w:rsid w:val="00DB261E"/>
    <w:rsid w:val="00DB27D9"/>
    <w:rsid w:val="00DB3488"/>
    <w:rsid w:val="00DB3550"/>
    <w:rsid w:val="00DB3F70"/>
    <w:rsid w:val="00DB4885"/>
    <w:rsid w:val="00DB4AEE"/>
    <w:rsid w:val="00DB57BF"/>
    <w:rsid w:val="00DB64A5"/>
    <w:rsid w:val="00DB69FE"/>
    <w:rsid w:val="00DB6A22"/>
    <w:rsid w:val="00DB6D23"/>
    <w:rsid w:val="00DB6D8B"/>
    <w:rsid w:val="00DB7389"/>
    <w:rsid w:val="00DC086F"/>
    <w:rsid w:val="00DC2204"/>
    <w:rsid w:val="00DC2658"/>
    <w:rsid w:val="00DC4963"/>
    <w:rsid w:val="00DC4E14"/>
    <w:rsid w:val="00DC5463"/>
    <w:rsid w:val="00DC5705"/>
    <w:rsid w:val="00DC5741"/>
    <w:rsid w:val="00DC5F19"/>
    <w:rsid w:val="00DC6D1A"/>
    <w:rsid w:val="00DC6EF3"/>
    <w:rsid w:val="00DC73A4"/>
    <w:rsid w:val="00DC7C42"/>
    <w:rsid w:val="00DC7F45"/>
    <w:rsid w:val="00DD08C4"/>
    <w:rsid w:val="00DD0A2E"/>
    <w:rsid w:val="00DD16D7"/>
    <w:rsid w:val="00DD1E3F"/>
    <w:rsid w:val="00DD3534"/>
    <w:rsid w:val="00DD3965"/>
    <w:rsid w:val="00DD468E"/>
    <w:rsid w:val="00DD4997"/>
    <w:rsid w:val="00DD5011"/>
    <w:rsid w:val="00DD51B6"/>
    <w:rsid w:val="00DD55F4"/>
    <w:rsid w:val="00DD5A4B"/>
    <w:rsid w:val="00DD5D12"/>
    <w:rsid w:val="00DD63CC"/>
    <w:rsid w:val="00DD6ABF"/>
    <w:rsid w:val="00DD70FA"/>
    <w:rsid w:val="00DD7E02"/>
    <w:rsid w:val="00DE0181"/>
    <w:rsid w:val="00DE0A1A"/>
    <w:rsid w:val="00DE130E"/>
    <w:rsid w:val="00DE2164"/>
    <w:rsid w:val="00DE219A"/>
    <w:rsid w:val="00DE26AA"/>
    <w:rsid w:val="00DE2722"/>
    <w:rsid w:val="00DE3194"/>
    <w:rsid w:val="00DE3DA5"/>
    <w:rsid w:val="00DE455E"/>
    <w:rsid w:val="00DE60AB"/>
    <w:rsid w:val="00DE64C0"/>
    <w:rsid w:val="00DE6A56"/>
    <w:rsid w:val="00DE6B5E"/>
    <w:rsid w:val="00DE7229"/>
    <w:rsid w:val="00DE7531"/>
    <w:rsid w:val="00DE7A80"/>
    <w:rsid w:val="00DF006C"/>
    <w:rsid w:val="00DF13BC"/>
    <w:rsid w:val="00DF2564"/>
    <w:rsid w:val="00DF271D"/>
    <w:rsid w:val="00DF283F"/>
    <w:rsid w:val="00DF2BDC"/>
    <w:rsid w:val="00DF2C10"/>
    <w:rsid w:val="00DF402E"/>
    <w:rsid w:val="00DF40AE"/>
    <w:rsid w:val="00DF4A89"/>
    <w:rsid w:val="00DF52EA"/>
    <w:rsid w:val="00DF6081"/>
    <w:rsid w:val="00DF6207"/>
    <w:rsid w:val="00DF71E9"/>
    <w:rsid w:val="00DF7929"/>
    <w:rsid w:val="00DF7C29"/>
    <w:rsid w:val="00E00E35"/>
    <w:rsid w:val="00E01575"/>
    <w:rsid w:val="00E01950"/>
    <w:rsid w:val="00E019FC"/>
    <w:rsid w:val="00E02012"/>
    <w:rsid w:val="00E022E4"/>
    <w:rsid w:val="00E025BE"/>
    <w:rsid w:val="00E02A0C"/>
    <w:rsid w:val="00E030FD"/>
    <w:rsid w:val="00E03610"/>
    <w:rsid w:val="00E0384C"/>
    <w:rsid w:val="00E045B8"/>
    <w:rsid w:val="00E045DF"/>
    <w:rsid w:val="00E0472B"/>
    <w:rsid w:val="00E061B8"/>
    <w:rsid w:val="00E063FE"/>
    <w:rsid w:val="00E101C5"/>
    <w:rsid w:val="00E111F6"/>
    <w:rsid w:val="00E12D75"/>
    <w:rsid w:val="00E13E37"/>
    <w:rsid w:val="00E144C2"/>
    <w:rsid w:val="00E14710"/>
    <w:rsid w:val="00E152C6"/>
    <w:rsid w:val="00E154F0"/>
    <w:rsid w:val="00E15948"/>
    <w:rsid w:val="00E15D1E"/>
    <w:rsid w:val="00E15D23"/>
    <w:rsid w:val="00E163CE"/>
    <w:rsid w:val="00E1668D"/>
    <w:rsid w:val="00E17029"/>
    <w:rsid w:val="00E17789"/>
    <w:rsid w:val="00E2078E"/>
    <w:rsid w:val="00E21183"/>
    <w:rsid w:val="00E22949"/>
    <w:rsid w:val="00E22CC4"/>
    <w:rsid w:val="00E2301B"/>
    <w:rsid w:val="00E239CC"/>
    <w:rsid w:val="00E250BB"/>
    <w:rsid w:val="00E256A2"/>
    <w:rsid w:val="00E26015"/>
    <w:rsid w:val="00E263A6"/>
    <w:rsid w:val="00E2661F"/>
    <w:rsid w:val="00E27011"/>
    <w:rsid w:val="00E27268"/>
    <w:rsid w:val="00E27F94"/>
    <w:rsid w:val="00E30366"/>
    <w:rsid w:val="00E30E65"/>
    <w:rsid w:val="00E3228F"/>
    <w:rsid w:val="00E337D7"/>
    <w:rsid w:val="00E344C9"/>
    <w:rsid w:val="00E34B3B"/>
    <w:rsid w:val="00E35727"/>
    <w:rsid w:val="00E35E83"/>
    <w:rsid w:val="00E35F2F"/>
    <w:rsid w:val="00E366AF"/>
    <w:rsid w:val="00E36AAB"/>
    <w:rsid w:val="00E36CDD"/>
    <w:rsid w:val="00E37876"/>
    <w:rsid w:val="00E421BB"/>
    <w:rsid w:val="00E42324"/>
    <w:rsid w:val="00E42379"/>
    <w:rsid w:val="00E42520"/>
    <w:rsid w:val="00E4259C"/>
    <w:rsid w:val="00E42ADE"/>
    <w:rsid w:val="00E432EC"/>
    <w:rsid w:val="00E43AD5"/>
    <w:rsid w:val="00E43FFF"/>
    <w:rsid w:val="00E4470C"/>
    <w:rsid w:val="00E46335"/>
    <w:rsid w:val="00E466F9"/>
    <w:rsid w:val="00E47BC1"/>
    <w:rsid w:val="00E509E2"/>
    <w:rsid w:val="00E50FA1"/>
    <w:rsid w:val="00E510EF"/>
    <w:rsid w:val="00E547A2"/>
    <w:rsid w:val="00E555B3"/>
    <w:rsid w:val="00E5584F"/>
    <w:rsid w:val="00E60C87"/>
    <w:rsid w:val="00E60F51"/>
    <w:rsid w:val="00E62AFD"/>
    <w:rsid w:val="00E64973"/>
    <w:rsid w:val="00E66616"/>
    <w:rsid w:val="00E705E5"/>
    <w:rsid w:val="00E71735"/>
    <w:rsid w:val="00E71898"/>
    <w:rsid w:val="00E722A1"/>
    <w:rsid w:val="00E730B7"/>
    <w:rsid w:val="00E730ED"/>
    <w:rsid w:val="00E7351E"/>
    <w:rsid w:val="00E7508C"/>
    <w:rsid w:val="00E753E3"/>
    <w:rsid w:val="00E75C3E"/>
    <w:rsid w:val="00E76BFB"/>
    <w:rsid w:val="00E76CDD"/>
    <w:rsid w:val="00E77E8F"/>
    <w:rsid w:val="00E77F16"/>
    <w:rsid w:val="00E80275"/>
    <w:rsid w:val="00E81AF5"/>
    <w:rsid w:val="00E83C55"/>
    <w:rsid w:val="00E853DE"/>
    <w:rsid w:val="00E85861"/>
    <w:rsid w:val="00E86258"/>
    <w:rsid w:val="00E86F4E"/>
    <w:rsid w:val="00E87646"/>
    <w:rsid w:val="00E87901"/>
    <w:rsid w:val="00E87EEC"/>
    <w:rsid w:val="00E90C94"/>
    <w:rsid w:val="00E91CCF"/>
    <w:rsid w:val="00E92F17"/>
    <w:rsid w:val="00E9375E"/>
    <w:rsid w:val="00E93FFB"/>
    <w:rsid w:val="00E94D6F"/>
    <w:rsid w:val="00E95502"/>
    <w:rsid w:val="00E95FB3"/>
    <w:rsid w:val="00E96C80"/>
    <w:rsid w:val="00E96D68"/>
    <w:rsid w:val="00E97D73"/>
    <w:rsid w:val="00EA0945"/>
    <w:rsid w:val="00EA2749"/>
    <w:rsid w:val="00EA2A8D"/>
    <w:rsid w:val="00EA2B56"/>
    <w:rsid w:val="00EA2DB7"/>
    <w:rsid w:val="00EA30C1"/>
    <w:rsid w:val="00EA369C"/>
    <w:rsid w:val="00EA3976"/>
    <w:rsid w:val="00EA46ED"/>
    <w:rsid w:val="00EA52BB"/>
    <w:rsid w:val="00EA56E2"/>
    <w:rsid w:val="00EA5776"/>
    <w:rsid w:val="00EA6988"/>
    <w:rsid w:val="00EA6CBE"/>
    <w:rsid w:val="00EA6FCB"/>
    <w:rsid w:val="00EA7647"/>
    <w:rsid w:val="00EA76D3"/>
    <w:rsid w:val="00EA7DFA"/>
    <w:rsid w:val="00EB124E"/>
    <w:rsid w:val="00EB367B"/>
    <w:rsid w:val="00EB6C99"/>
    <w:rsid w:val="00EB7100"/>
    <w:rsid w:val="00EB7235"/>
    <w:rsid w:val="00EB731F"/>
    <w:rsid w:val="00EC1FDC"/>
    <w:rsid w:val="00EC2D7D"/>
    <w:rsid w:val="00EC4328"/>
    <w:rsid w:val="00EC4B29"/>
    <w:rsid w:val="00EC535E"/>
    <w:rsid w:val="00EC5765"/>
    <w:rsid w:val="00EC649A"/>
    <w:rsid w:val="00EC663B"/>
    <w:rsid w:val="00EC665F"/>
    <w:rsid w:val="00EC6B07"/>
    <w:rsid w:val="00EC6FEE"/>
    <w:rsid w:val="00ED01A9"/>
    <w:rsid w:val="00ED0530"/>
    <w:rsid w:val="00ED05AA"/>
    <w:rsid w:val="00ED0CF2"/>
    <w:rsid w:val="00ED1FD5"/>
    <w:rsid w:val="00ED2BEA"/>
    <w:rsid w:val="00ED2D1E"/>
    <w:rsid w:val="00ED33D6"/>
    <w:rsid w:val="00ED3F19"/>
    <w:rsid w:val="00ED43B7"/>
    <w:rsid w:val="00ED4ED7"/>
    <w:rsid w:val="00ED65DF"/>
    <w:rsid w:val="00ED6708"/>
    <w:rsid w:val="00ED7F5B"/>
    <w:rsid w:val="00EE0815"/>
    <w:rsid w:val="00EE0C6B"/>
    <w:rsid w:val="00EE0CAA"/>
    <w:rsid w:val="00EE11FE"/>
    <w:rsid w:val="00EE133B"/>
    <w:rsid w:val="00EE1B4B"/>
    <w:rsid w:val="00EE38C5"/>
    <w:rsid w:val="00EE42C9"/>
    <w:rsid w:val="00EE587A"/>
    <w:rsid w:val="00EE58D6"/>
    <w:rsid w:val="00EE645A"/>
    <w:rsid w:val="00EE7906"/>
    <w:rsid w:val="00EF07E3"/>
    <w:rsid w:val="00EF0CB1"/>
    <w:rsid w:val="00EF2DA4"/>
    <w:rsid w:val="00EF2E7B"/>
    <w:rsid w:val="00EF31E8"/>
    <w:rsid w:val="00EF3436"/>
    <w:rsid w:val="00EF35FC"/>
    <w:rsid w:val="00EF4138"/>
    <w:rsid w:val="00EF41CE"/>
    <w:rsid w:val="00EF4797"/>
    <w:rsid w:val="00EF4EE3"/>
    <w:rsid w:val="00EF5C3B"/>
    <w:rsid w:val="00EF6003"/>
    <w:rsid w:val="00EF65C8"/>
    <w:rsid w:val="00EF6680"/>
    <w:rsid w:val="00EF72DB"/>
    <w:rsid w:val="00F005DF"/>
    <w:rsid w:val="00F01441"/>
    <w:rsid w:val="00F01646"/>
    <w:rsid w:val="00F019C2"/>
    <w:rsid w:val="00F024DB"/>
    <w:rsid w:val="00F02A82"/>
    <w:rsid w:val="00F02C7F"/>
    <w:rsid w:val="00F02D75"/>
    <w:rsid w:val="00F02FA8"/>
    <w:rsid w:val="00F037A3"/>
    <w:rsid w:val="00F039A7"/>
    <w:rsid w:val="00F03AEB"/>
    <w:rsid w:val="00F043EA"/>
    <w:rsid w:val="00F04F83"/>
    <w:rsid w:val="00F0525B"/>
    <w:rsid w:val="00F0525C"/>
    <w:rsid w:val="00F054BD"/>
    <w:rsid w:val="00F06F77"/>
    <w:rsid w:val="00F0759F"/>
    <w:rsid w:val="00F07F19"/>
    <w:rsid w:val="00F07F70"/>
    <w:rsid w:val="00F10C38"/>
    <w:rsid w:val="00F13041"/>
    <w:rsid w:val="00F1317C"/>
    <w:rsid w:val="00F13788"/>
    <w:rsid w:val="00F15090"/>
    <w:rsid w:val="00F15453"/>
    <w:rsid w:val="00F154BE"/>
    <w:rsid w:val="00F161D8"/>
    <w:rsid w:val="00F16DD6"/>
    <w:rsid w:val="00F20A44"/>
    <w:rsid w:val="00F20FE8"/>
    <w:rsid w:val="00F22A00"/>
    <w:rsid w:val="00F22EE0"/>
    <w:rsid w:val="00F240CE"/>
    <w:rsid w:val="00F2454C"/>
    <w:rsid w:val="00F24EDA"/>
    <w:rsid w:val="00F24FF2"/>
    <w:rsid w:val="00F25499"/>
    <w:rsid w:val="00F25E47"/>
    <w:rsid w:val="00F27234"/>
    <w:rsid w:val="00F2763F"/>
    <w:rsid w:val="00F30167"/>
    <w:rsid w:val="00F30204"/>
    <w:rsid w:val="00F3049E"/>
    <w:rsid w:val="00F3129D"/>
    <w:rsid w:val="00F3203A"/>
    <w:rsid w:val="00F3291F"/>
    <w:rsid w:val="00F329CE"/>
    <w:rsid w:val="00F346D9"/>
    <w:rsid w:val="00F3470E"/>
    <w:rsid w:val="00F34788"/>
    <w:rsid w:val="00F34AFC"/>
    <w:rsid w:val="00F353AE"/>
    <w:rsid w:val="00F353EF"/>
    <w:rsid w:val="00F35694"/>
    <w:rsid w:val="00F36625"/>
    <w:rsid w:val="00F36D6B"/>
    <w:rsid w:val="00F37205"/>
    <w:rsid w:val="00F37844"/>
    <w:rsid w:val="00F37E96"/>
    <w:rsid w:val="00F400C3"/>
    <w:rsid w:val="00F40419"/>
    <w:rsid w:val="00F419B7"/>
    <w:rsid w:val="00F41C59"/>
    <w:rsid w:val="00F41E6E"/>
    <w:rsid w:val="00F42456"/>
    <w:rsid w:val="00F42531"/>
    <w:rsid w:val="00F4497E"/>
    <w:rsid w:val="00F45216"/>
    <w:rsid w:val="00F47197"/>
    <w:rsid w:val="00F507A7"/>
    <w:rsid w:val="00F5250F"/>
    <w:rsid w:val="00F52548"/>
    <w:rsid w:val="00F52691"/>
    <w:rsid w:val="00F532EE"/>
    <w:rsid w:val="00F53A1B"/>
    <w:rsid w:val="00F55AF2"/>
    <w:rsid w:val="00F55C68"/>
    <w:rsid w:val="00F56D65"/>
    <w:rsid w:val="00F57766"/>
    <w:rsid w:val="00F601A3"/>
    <w:rsid w:val="00F60F45"/>
    <w:rsid w:val="00F618A5"/>
    <w:rsid w:val="00F62664"/>
    <w:rsid w:val="00F63EF5"/>
    <w:rsid w:val="00F64385"/>
    <w:rsid w:val="00F65062"/>
    <w:rsid w:val="00F65847"/>
    <w:rsid w:val="00F65DDA"/>
    <w:rsid w:val="00F665D6"/>
    <w:rsid w:val="00F67E04"/>
    <w:rsid w:val="00F67F0D"/>
    <w:rsid w:val="00F703A8"/>
    <w:rsid w:val="00F710B2"/>
    <w:rsid w:val="00F710BD"/>
    <w:rsid w:val="00F71A8A"/>
    <w:rsid w:val="00F72EA7"/>
    <w:rsid w:val="00F73617"/>
    <w:rsid w:val="00F736D4"/>
    <w:rsid w:val="00F74C25"/>
    <w:rsid w:val="00F74F6C"/>
    <w:rsid w:val="00F77445"/>
    <w:rsid w:val="00F7798E"/>
    <w:rsid w:val="00F77EEA"/>
    <w:rsid w:val="00F80274"/>
    <w:rsid w:val="00F80612"/>
    <w:rsid w:val="00F80891"/>
    <w:rsid w:val="00F808E2"/>
    <w:rsid w:val="00F81587"/>
    <w:rsid w:val="00F81A52"/>
    <w:rsid w:val="00F82B45"/>
    <w:rsid w:val="00F82E2D"/>
    <w:rsid w:val="00F83710"/>
    <w:rsid w:val="00F838DE"/>
    <w:rsid w:val="00F83D00"/>
    <w:rsid w:val="00F83FC0"/>
    <w:rsid w:val="00F85ABB"/>
    <w:rsid w:val="00F85AE5"/>
    <w:rsid w:val="00F8670A"/>
    <w:rsid w:val="00F86F1B"/>
    <w:rsid w:val="00F86FBB"/>
    <w:rsid w:val="00F87D3A"/>
    <w:rsid w:val="00F90C3E"/>
    <w:rsid w:val="00F91827"/>
    <w:rsid w:val="00F92A26"/>
    <w:rsid w:val="00F92C1E"/>
    <w:rsid w:val="00F93897"/>
    <w:rsid w:val="00F93908"/>
    <w:rsid w:val="00F93D9F"/>
    <w:rsid w:val="00F951DB"/>
    <w:rsid w:val="00F958AA"/>
    <w:rsid w:val="00F95A67"/>
    <w:rsid w:val="00F95C66"/>
    <w:rsid w:val="00F95C85"/>
    <w:rsid w:val="00F97B6C"/>
    <w:rsid w:val="00F97C2F"/>
    <w:rsid w:val="00FA274C"/>
    <w:rsid w:val="00FA2C08"/>
    <w:rsid w:val="00FA3D9C"/>
    <w:rsid w:val="00FA4BAE"/>
    <w:rsid w:val="00FA4DBA"/>
    <w:rsid w:val="00FA5CA4"/>
    <w:rsid w:val="00FA60F3"/>
    <w:rsid w:val="00FA7777"/>
    <w:rsid w:val="00FA7E54"/>
    <w:rsid w:val="00FB07C7"/>
    <w:rsid w:val="00FB1B96"/>
    <w:rsid w:val="00FB26A7"/>
    <w:rsid w:val="00FB2AB9"/>
    <w:rsid w:val="00FB7045"/>
    <w:rsid w:val="00FB70E5"/>
    <w:rsid w:val="00FB731E"/>
    <w:rsid w:val="00FC12EC"/>
    <w:rsid w:val="00FC1823"/>
    <w:rsid w:val="00FC2178"/>
    <w:rsid w:val="00FC2723"/>
    <w:rsid w:val="00FC4007"/>
    <w:rsid w:val="00FC4409"/>
    <w:rsid w:val="00FC49E1"/>
    <w:rsid w:val="00FC64FE"/>
    <w:rsid w:val="00FC73E2"/>
    <w:rsid w:val="00FC7A4D"/>
    <w:rsid w:val="00FC7C5C"/>
    <w:rsid w:val="00FC7E24"/>
    <w:rsid w:val="00FD04B7"/>
    <w:rsid w:val="00FD0BBE"/>
    <w:rsid w:val="00FD1537"/>
    <w:rsid w:val="00FD1B92"/>
    <w:rsid w:val="00FD24E9"/>
    <w:rsid w:val="00FD2775"/>
    <w:rsid w:val="00FD3536"/>
    <w:rsid w:val="00FD35A2"/>
    <w:rsid w:val="00FD4619"/>
    <w:rsid w:val="00FD48BD"/>
    <w:rsid w:val="00FD4E03"/>
    <w:rsid w:val="00FD64FF"/>
    <w:rsid w:val="00FD68A2"/>
    <w:rsid w:val="00FD72FC"/>
    <w:rsid w:val="00FE0F9C"/>
    <w:rsid w:val="00FE1494"/>
    <w:rsid w:val="00FE28F1"/>
    <w:rsid w:val="00FE2F57"/>
    <w:rsid w:val="00FE37AD"/>
    <w:rsid w:val="00FE40F9"/>
    <w:rsid w:val="00FE497A"/>
    <w:rsid w:val="00FE52A4"/>
    <w:rsid w:val="00FE58FA"/>
    <w:rsid w:val="00FE5C17"/>
    <w:rsid w:val="00FE5D3A"/>
    <w:rsid w:val="00FE62CC"/>
    <w:rsid w:val="00FE68B8"/>
    <w:rsid w:val="00FE6A54"/>
    <w:rsid w:val="00FE7D41"/>
    <w:rsid w:val="00FF0024"/>
    <w:rsid w:val="00FF0E2B"/>
    <w:rsid w:val="00FF1418"/>
    <w:rsid w:val="00FF24F0"/>
    <w:rsid w:val="00FF32C1"/>
    <w:rsid w:val="00FF449C"/>
    <w:rsid w:val="00FF5544"/>
    <w:rsid w:val="00FF5660"/>
    <w:rsid w:val="00FF68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5854C"/>
  <w15:docId w15:val="{ABB30540-FDFB-461B-86CB-CD8903F3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2C7F"/>
    <w:pPr>
      <w:jc w:val="both"/>
    </w:pPr>
    <w:rPr>
      <w:rFonts w:cs="Angsana New"/>
      <w:sz w:val="22"/>
      <w:szCs w:val="24"/>
      <w:lang w:val="en-GB" w:eastAsia="en-US"/>
    </w:rPr>
  </w:style>
  <w:style w:type="paragraph" w:styleId="Heading1">
    <w:name w:val="heading 1"/>
    <w:basedOn w:val="Normal"/>
    <w:next w:val="Heading2"/>
    <w:link w:val="Heading1Char"/>
    <w:qFormat/>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F665D6"/>
    <w:pPr>
      <w:keepNext/>
      <w:tabs>
        <w:tab w:val="left" w:pos="720"/>
      </w:tabs>
      <w:spacing w:before="120" w:after="120"/>
      <w:jc w:val="center"/>
      <w:outlineLvl w:val="1"/>
    </w:pPr>
    <w:rPr>
      <w:b/>
      <w:bCs/>
      <w:iCs/>
    </w:rPr>
  </w:style>
  <w:style w:type="paragraph" w:styleId="Heading3">
    <w:name w:val="heading 3"/>
    <w:basedOn w:val="Normal"/>
    <w:next w:val="Normal"/>
    <w:link w:val="Heading3Char"/>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ascii="Times New Roman Bold" w:eastAsia="Arial Unicode MS" w:hAnsi="Times New Roman Bold" w:cs="Arial"/>
      <w:b/>
      <w:bCs/>
      <w:i/>
      <w:iCs/>
    </w:rPr>
  </w:style>
  <w:style w:type="paragraph" w:styleId="Heading5">
    <w:name w:val="heading 5"/>
    <w:aliases w:val="Heading 5 - GTI"/>
    <w:basedOn w:val="Normal"/>
    <w:next w:val="Normal"/>
    <w:qFormat/>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after="120"/>
      <w:ind w:firstLine="720"/>
    </w:pPr>
    <w:rPr>
      <w:iCs/>
    </w:rPr>
  </w:style>
  <w:style w:type="paragraph" w:styleId="Footer">
    <w:name w:val="footer"/>
    <w:basedOn w:val="Normal"/>
    <w:pPr>
      <w:tabs>
        <w:tab w:val="center" w:pos="4320"/>
        <w:tab w:val="right" w:pos="8640"/>
      </w:tabs>
      <w:ind w:firstLine="720"/>
      <w:jc w:val="right"/>
    </w:pPr>
  </w:style>
  <w:style w:type="paragraph" w:customStyle="1" w:styleId="Para1">
    <w:name w:val="Para1"/>
    <w:basedOn w:val="Normal"/>
    <w:pPr>
      <w:numPr>
        <w:numId w:val="15"/>
      </w:numPr>
      <w:spacing w:after="120"/>
    </w:pPr>
    <w:rPr>
      <w:snapToGrid w:val="0"/>
      <w:szCs w:val="18"/>
    </w:rPr>
  </w:style>
  <w:style w:type="paragraph" w:customStyle="1" w:styleId="Para20">
    <w:name w:val="Para2"/>
    <w:basedOn w:val="Para1"/>
    <w:pPr>
      <w:numPr>
        <w:numId w:val="0"/>
      </w:numPr>
      <w:autoSpaceDE w:val="0"/>
      <w:autoSpaceDN w:val="0"/>
    </w:pPr>
  </w:style>
  <w:style w:type="paragraph" w:customStyle="1" w:styleId="Para3">
    <w:name w:val="Para3"/>
    <w:basedOn w:val="Normal"/>
    <w:pPr>
      <w:tabs>
        <w:tab w:val="left" w:pos="1980"/>
      </w:tabs>
      <w:spacing w:before="80" w:after="80"/>
    </w:pPr>
    <w:rPr>
      <w:szCs w:val="20"/>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pPr>
      <w:keepLines/>
      <w:spacing w:after="60"/>
      <w:ind w:firstLine="720"/>
    </w:pPr>
    <w:rPr>
      <w:rFonts w:cs="Times New Roman"/>
      <w:sz w:val="18"/>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9845B7"/>
    <w:rPr>
      <w:sz w:val="18"/>
      <w:u w:val="none"/>
      <w:vertAlign w:val="superscript"/>
    </w:rPr>
  </w:style>
  <w:style w:type="paragraph" w:customStyle="1" w:styleId="Cornernotation">
    <w:name w:val="Corner notation"/>
    <w:basedOn w:val="Normal"/>
    <w:pPr>
      <w:ind w:left="284" w:right="4398" w:hanging="284"/>
      <w:jc w:val="left"/>
    </w:pPr>
  </w:style>
  <w:style w:type="paragraph" w:customStyle="1" w:styleId="para2">
    <w:name w:val="para2"/>
    <w:basedOn w:val="Normal"/>
    <w:pPr>
      <w:numPr>
        <w:numId w:val="4"/>
      </w:numPr>
      <w:spacing w:before="120" w:after="120"/>
    </w:pPr>
    <w:rPr>
      <w:szCs w:val="20"/>
    </w:rPr>
  </w:style>
  <w:style w:type="paragraph" w:customStyle="1" w:styleId="Paranum">
    <w:name w:val="Paranum"/>
    <w:basedOn w:val="Para1"/>
    <w:rsid w:val="00C95E26"/>
    <w:pPr>
      <w:numPr>
        <w:numId w:val="6"/>
      </w:numPr>
      <w:spacing w:line="240" w:lineRule="exact"/>
    </w:pPr>
    <w:rPr>
      <w:snapToGrid/>
      <w:szCs w:val="20"/>
      <w:lang w:val="en-US"/>
    </w:rPr>
  </w:style>
  <w:style w:type="paragraph" w:styleId="EndnoteText">
    <w:name w:val="endnote text"/>
    <w:basedOn w:val="Normal"/>
    <w:semiHidden/>
    <w:pPr>
      <w:widowControl w:val="0"/>
      <w:tabs>
        <w:tab w:val="left" w:pos="-720"/>
      </w:tabs>
      <w:suppressAutoHyphens/>
    </w:pPr>
    <w:rPr>
      <w:rFonts w:ascii="Courier New" w:hAnsi="Courier New"/>
    </w:rPr>
  </w:style>
  <w:style w:type="character" w:styleId="EndnoteReference">
    <w:name w:val="endnote reference"/>
    <w:semiHidden/>
    <w:rPr>
      <w:vertAlign w:val="superscript"/>
    </w:rPr>
  </w:style>
  <w:style w:type="character" w:styleId="PageNumber">
    <w:name w:val="page number"/>
    <w:rPr>
      <w:rFonts w:ascii="Times New Roman" w:hAnsi="Times New Roman"/>
      <w:sz w:val="22"/>
    </w:rPr>
  </w:style>
  <w:style w:type="paragraph" w:customStyle="1" w:styleId="para4">
    <w:name w:val="para4"/>
    <w:basedOn w:val="Normal"/>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Normal"/>
    <w:pPr>
      <w:spacing w:before="120"/>
      <w:ind w:left="1843" w:right="998" w:hanging="567"/>
      <w:jc w:val="left"/>
    </w:pPr>
    <w:rPr>
      <w:i/>
      <w:iCs/>
      <w:caps w:val="0"/>
    </w:rPr>
  </w:style>
  <w:style w:type="paragraph" w:customStyle="1" w:styleId="Heading3multiline">
    <w:name w:val="Heading 3 (multiline)"/>
    <w:basedOn w:val="Heading3"/>
    <w:next w:val="Normal"/>
    <w:pPr>
      <w:ind w:left="1418" w:hanging="425"/>
      <w:jc w:val="left"/>
    </w:pPr>
  </w:style>
  <w:style w:type="paragraph" w:customStyle="1" w:styleId="Heading2longmultiline">
    <w:name w:val="Heading 2 (long multiline)"/>
    <w:basedOn w:val="Heading2multiline"/>
    <w:pPr>
      <w:ind w:left="2127" w:hanging="1276"/>
    </w:pPr>
  </w:style>
  <w:style w:type="paragraph" w:customStyle="1" w:styleId="Heading1longmultiline">
    <w:name w:val="Heading 1 (long multiline)"/>
    <w:basedOn w:val="Heading1"/>
    <w:pPr>
      <w:ind w:left="1843" w:hanging="1134"/>
      <w:jc w:val="left"/>
    </w:pPr>
  </w:style>
  <w:style w:type="paragraph" w:styleId="BodyTextIndent">
    <w:name w:val="Body Text Indent"/>
    <w:basedOn w:val="Normal"/>
    <w:pPr>
      <w:spacing w:before="120" w:after="120"/>
      <w:ind w:left="1440" w:hanging="720"/>
      <w:jc w:val="left"/>
    </w:pPr>
  </w:style>
  <w:style w:type="paragraph" w:customStyle="1" w:styleId="Heading-plainbold">
    <w:name w:val="Heading-plain bold"/>
    <w:basedOn w:val="BodyText"/>
    <w:pPr>
      <w:ind w:firstLine="0"/>
      <w:jc w:val="center"/>
    </w:pPr>
    <w:rPr>
      <w:b/>
      <w:bCs/>
      <w:i/>
      <w:iCs w:val="0"/>
    </w:rPr>
  </w:style>
  <w:style w:type="paragraph" w:customStyle="1" w:styleId="Heading-plainitalic">
    <w:name w:val="Heading-plain italic"/>
    <w:basedOn w:val="Heading-plainbold"/>
    <w:rPr>
      <w:b w:val="0"/>
      <w:bCs w:val="0"/>
    </w:rPr>
  </w:style>
  <w:style w:type="paragraph" w:styleId="TOC1">
    <w:name w:val="toc 1"/>
    <w:basedOn w:val="Normal"/>
    <w:next w:val="Normal"/>
    <w:autoRedefine/>
    <w:uiPriority w:val="39"/>
    <w:pPr>
      <w:spacing w:before="120"/>
      <w:jc w:val="left"/>
    </w:pPr>
    <w:rPr>
      <w:rFonts w:ascii="Calibri" w:hAnsi="Calibri"/>
      <w:b/>
      <w:color w:val="548DD4"/>
      <w:sz w:val="24"/>
    </w:rPr>
  </w:style>
  <w:style w:type="paragraph" w:styleId="TOC2">
    <w:name w:val="toc 2"/>
    <w:basedOn w:val="Normal"/>
    <w:next w:val="Normal"/>
    <w:autoRedefine/>
    <w:uiPriority w:val="39"/>
    <w:pPr>
      <w:jc w:val="left"/>
    </w:pPr>
    <w:rPr>
      <w:rFonts w:ascii="Cambria" w:hAnsi="Cambria"/>
      <w:szCs w:val="22"/>
    </w:rPr>
  </w:style>
  <w:style w:type="paragraph" w:styleId="TOC3">
    <w:name w:val="toc 3"/>
    <w:basedOn w:val="Normal"/>
    <w:next w:val="Normal"/>
    <w:autoRedefine/>
    <w:uiPriority w:val="39"/>
    <w:pPr>
      <w:ind w:left="220"/>
      <w:jc w:val="left"/>
    </w:pPr>
    <w:rPr>
      <w:rFonts w:ascii="Cambria" w:hAnsi="Cambria"/>
      <w:i/>
      <w:szCs w:val="22"/>
    </w:rPr>
  </w:style>
  <w:style w:type="paragraph" w:styleId="Header">
    <w:name w:val="header"/>
    <w:basedOn w:val="Normal"/>
    <w:link w:val="HeaderChar"/>
    <w:pPr>
      <w:tabs>
        <w:tab w:val="center" w:pos="4320"/>
        <w:tab w:val="right" w:pos="8640"/>
      </w:tabs>
    </w:pPr>
    <w:rPr>
      <w:rFonts w:cs="Times New Roman"/>
    </w:rPr>
  </w:style>
  <w:style w:type="paragraph" w:customStyle="1" w:styleId="HEADINGNOTFORTOC">
    <w:name w:val="HEADING (NOT FOR TOC)"/>
    <w:basedOn w:val="Heading1"/>
    <w:next w:val="Heading2"/>
  </w:style>
  <w:style w:type="character" w:customStyle="1" w:styleId="Document5">
    <w:name w:val="Document 5"/>
    <w:basedOn w:val="DefaultParagraphFont"/>
  </w:style>
  <w:style w:type="paragraph" w:customStyle="1" w:styleId="Paragraph">
    <w:name w:val="Paragraph"/>
    <w:basedOn w:val="Normal"/>
    <w:pPr>
      <w:spacing w:before="120" w:after="120"/>
    </w:pPr>
  </w:style>
  <w:style w:type="character" w:styleId="Hyperlink">
    <w:name w:val="Hyperlink"/>
    <w:uiPriority w:val="99"/>
    <w:rPr>
      <w:color w:val="0000FF"/>
      <w:u w:val="single"/>
    </w:rPr>
  </w:style>
  <w:style w:type="paragraph" w:styleId="BodyTextIndent2">
    <w:name w:val="Body Text Indent 2"/>
    <w:basedOn w:val="Normal"/>
    <w:pPr>
      <w:ind w:firstLine="720"/>
    </w:p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bodytextnoindent">
    <w:name w:val="body text (no indent)"/>
    <w:basedOn w:val="Normal"/>
    <w:pPr>
      <w:widowControl w:val="0"/>
      <w:overflowPunct w:val="0"/>
      <w:autoSpaceDE w:val="0"/>
      <w:autoSpaceDN w:val="0"/>
      <w:adjustRightInd w:val="0"/>
      <w:spacing w:before="120" w:after="120"/>
      <w:textAlignment w:val="baseline"/>
    </w:pPr>
    <w:rPr>
      <w:szCs w:val="20"/>
      <w:lang w:eastAsia="de-DE"/>
    </w:rPr>
  </w:style>
  <w:style w:type="paragraph" w:styleId="BodyText2">
    <w:name w:val="Body Text 2"/>
    <w:basedOn w:val="Normal"/>
    <w:rPr>
      <w:i/>
      <w:iCs/>
    </w:rPr>
  </w:style>
  <w:style w:type="paragraph" w:styleId="BodyText3">
    <w:name w:val="Body Text 3"/>
    <w:basedOn w:val="Normal"/>
    <w:pPr>
      <w:jc w:val="center"/>
    </w:pPr>
    <w:rPr>
      <w:sz w:val="28"/>
    </w:rPr>
  </w:style>
  <w:style w:type="character" w:customStyle="1" w:styleId="BodyTextChar">
    <w:name w:val="Body Text Char"/>
    <w:rPr>
      <w:iCs/>
      <w:sz w:val="22"/>
      <w:szCs w:val="24"/>
      <w:lang w:val="en-GB" w:eastAsia="en-US" w:bidi="ar-SA"/>
    </w:rPr>
  </w:style>
  <w:style w:type="paragraph" w:customStyle="1" w:styleId="Bodytextitalic">
    <w:name w:val="Body text italic"/>
    <w:basedOn w:val="BodyText"/>
    <w:rPr>
      <w:i/>
      <w:iCs w:val="0"/>
    </w:rPr>
  </w:style>
  <w:style w:type="paragraph" w:customStyle="1" w:styleId="boxbody">
    <w:name w:val="boxbody"/>
    <w:basedOn w:val="Normal"/>
    <w:pPr>
      <w:spacing w:before="100" w:beforeAutospacing="1" w:after="100" w:afterAutospacing="1"/>
      <w:ind w:left="612" w:right="612"/>
    </w:pPr>
    <w:rPr>
      <w:rFonts w:ascii="Helvetica" w:eastAsia="Arial Unicode MS" w:hAnsi="Helvetica" w:cs="Arial Unicode MS"/>
      <w:sz w:val="18"/>
      <w:szCs w:val="18"/>
    </w:rPr>
  </w:style>
  <w:style w:type="character" w:styleId="FollowedHyperlink">
    <w:name w:val="FollowedHyperlink"/>
    <w:rPr>
      <w:color w:val="800080"/>
      <w:u w:val="single"/>
    </w:rPr>
  </w:style>
  <w:style w:type="paragraph" w:customStyle="1" w:styleId="HEADING">
    <w:name w:val="HEADING"/>
    <w:basedOn w:val="Normal"/>
    <w:pPr>
      <w:keepNext/>
      <w:tabs>
        <w:tab w:val="left" w:pos="426"/>
      </w:tabs>
      <w:spacing w:before="120" w:after="120"/>
      <w:jc w:val="center"/>
    </w:pPr>
    <w:rPr>
      <w:rFonts w:ascii="Times New Roman Bold" w:hAnsi="Times New Roman Bold" w:cs="Times New Roman"/>
      <w:b/>
      <w:bCs/>
      <w:caps/>
    </w:rPr>
  </w:style>
  <w:style w:type="paragraph" w:customStyle="1" w:styleId="Heading-plain">
    <w:name w:val="Heading - plain"/>
    <w:basedOn w:val="Heading2"/>
    <w:next w:val="BodyText"/>
    <w:pPr>
      <w:tabs>
        <w:tab w:val="clear" w:pos="720"/>
        <w:tab w:val="left" w:pos="900"/>
      </w:tabs>
    </w:pPr>
    <w:rPr>
      <w:rFonts w:eastAsia="Batang" w:cs="Times New Roman"/>
      <w:b w:val="0"/>
      <w:bCs w:val="0"/>
      <w:szCs w:val="20"/>
    </w:rPr>
  </w:style>
  <w:style w:type="paragraph" w:customStyle="1" w:styleId="Heading2noletter">
    <w:name w:val="Heading 2 (no letter)"/>
    <w:basedOn w:val="Heading2"/>
    <w:pPr>
      <w:tabs>
        <w:tab w:val="clear" w:pos="720"/>
      </w:tabs>
    </w:pPr>
    <w:rPr>
      <w:rFonts w:cs="Times New Roman"/>
    </w:rPr>
  </w:style>
  <w:style w:type="character" w:customStyle="1" w:styleId="Heading2CharChar">
    <w:name w:val="Heading 2 Char Char"/>
    <w:rPr>
      <w:rFonts w:ascii="Arial" w:hAnsi="Arial" w:cs="Arial"/>
      <w:b/>
      <w:bCs/>
      <w:i/>
      <w:iCs/>
      <w:noProof w:val="0"/>
      <w:sz w:val="28"/>
      <w:szCs w:val="28"/>
      <w:lang w:val="en-US" w:eastAsia="en-US" w:bidi="ar-SA"/>
    </w:rPr>
  </w:style>
  <w:style w:type="paragraph" w:customStyle="1" w:styleId="Heading-plain0">
    <w:name w:val="Heading-plain"/>
    <w:basedOn w:val="Normal"/>
    <w:pPr>
      <w:spacing w:before="120" w:after="120"/>
      <w:jc w:val="center"/>
      <w:outlineLvl w:val="0"/>
    </w:pPr>
    <w:rPr>
      <w:i/>
      <w:szCs w:val="20"/>
    </w:rPr>
  </w:style>
  <w:style w:type="paragraph" w:styleId="NormalWeb">
    <w:name w:val="Normal (Web)"/>
    <w:basedOn w:val="Normal"/>
    <w:uiPriority w:val="99"/>
    <w:pPr>
      <w:spacing w:before="100" w:beforeAutospacing="1" w:after="100" w:afterAutospacing="1"/>
      <w:jc w:val="left"/>
    </w:pPr>
    <w:rPr>
      <w:rFonts w:ascii="Verdana" w:hAnsi="Verdana"/>
      <w:color w:val="000000"/>
      <w:sz w:val="18"/>
      <w:szCs w:val="18"/>
      <w:lang w:val="en-US"/>
    </w:rPr>
  </w:style>
  <w:style w:type="paragraph" w:customStyle="1" w:styleId="Para10">
    <w:name w:val="Para 1"/>
    <w:basedOn w:val="BodyText"/>
    <w:pPr>
      <w:ind w:firstLine="0"/>
    </w:pPr>
    <w:rPr>
      <w:rFonts w:eastAsia="MS Mincho"/>
      <w:bCs/>
      <w:iCs w:val="0"/>
      <w:szCs w:val="22"/>
    </w:rPr>
  </w:style>
  <w:style w:type="character" w:customStyle="1" w:styleId="Para1Char">
    <w:name w:val="Para 1 Char"/>
    <w:rPr>
      <w:rFonts w:eastAsia="MS Mincho"/>
      <w:bCs/>
      <w:iCs/>
      <w:sz w:val="22"/>
      <w:szCs w:val="22"/>
      <w:lang w:val="en-GB" w:eastAsia="en-US" w:bidi="ar-SA"/>
    </w:rPr>
  </w:style>
  <w:style w:type="paragraph" w:customStyle="1" w:styleId="Para2rev">
    <w:name w:val="Para 2 (rev)"/>
    <w:basedOn w:val="Normal"/>
    <w:pPr>
      <w:tabs>
        <w:tab w:val="num" w:pos="720"/>
      </w:tabs>
      <w:spacing w:after="120"/>
      <w:ind w:left="720" w:hanging="360"/>
    </w:pPr>
  </w:style>
  <w:style w:type="paragraph" w:customStyle="1" w:styleId="Paraofficial">
    <w:name w:val="Para official"/>
    <w:basedOn w:val="Normal"/>
    <w:pPr>
      <w:framePr w:hSpace="187" w:vSpace="187" w:wrap="notBeside" w:vAnchor="text" w:hAnchor="text" w:y="1"/>
      <w:numPr>
        <w:numId w:val="2"/>
      </w:numPr>
      <w:spacing w:before="240" w:after="240"/>
      <w:jc w:val="left"/>
    </w:pPr>
    <w:rPr>
      <w:szCs w:val="20"/>
    </w:rPr>
  </w:style>
  <w:style w:type="paragraph" w:customStyle="1" w:styleId="Para1Char0">
    <w:name w:val="Para1 Char"/>
    <w:basedOn w:val="Normal"/>
    <w:pPr>
      <w:tabs>
        <w:tab w:val="num" w:pos="720"/>
      </w:tabs>
      <w:spacing w:before="120" w:after="120"/>
      <w:ind w:left="360"/>
    </w:pPr>
    <w:rPr>
      <w:snapToGrid w:val="0"/>
      <w:szCs w:val="18"/>
    </w:rPr>
  </w:style>
  <w:style w:type="paragraph" w:customStyle="1" w:styleId="Para1-Annex">
    <w:name w:val="Para1-Annex"/>
    <w:basedOn w:val="Normal"/>
    <w:pPr>
      <w:numPr>
        <w:numId w:val="3"/>
      </w:numPr>
      <w:spacing w:after="120"/>
    </w:pPr>
    <w:rPr>
      <w:rFonts w:cs="Times New Roman"/>
      <w:szCs w:val="22"/>
      <w:lang w:val="en-US"/>
    </w:rPr>
  </w:style>
  <w:style w:type="paragraph" w:customStyle="1" w:styleId="Para40">
    <w:name w:val="Para4"/>
    <w:basedOn w:val="Para3"/>
    <w:pPr>
      <w:tabs>
        <w:tab w:val="clear" w:pos="1980"/>
        <w:tab w:val="left" w:pos="2552"/>
        <w:tab w:val="num" w:pos="3540"/>
      </w:tabs>
      <w:ind w:left="2552" w:hanging="567"/>
    </w:pPr>
    <w:rPr>
      <w:lang w:val="en-US"/>
    </w:rPr>
  </w:style>
  <w:style w:type="character" w:styleId="Strong">
    <w:name w:val="Strong"/>
    <w:uiPriority w:val="22"/>
    <w:qFormat/>
    <w:rPr>
      <w:b/>
      <w:bCs/>
    </w:rPr>
  </w:style>
  <w:style w:type="paragraph" w:customStyle="1" w:styleId="StyleBodyTextTimesNewRoman11ptCharChar">
    <w:name w:val="Style Body Text + Times New Roman 11 pt Char Char"/>
    <w:basedOn w:val="BodyText"/>
    <w:rPr>
      <w:iCs w:val="0"/>
      <w:snapToGrid w:val="0"/>
      <w:color w:val="000000"/>
      <w:szCs w:val="22"/>
      <w:lang w:val="en-US"/>
    </w:rPr>
  </w:style>
  <w:style w:type="character" w:customStyle="1" w:styleId="StyleBodyTextTimesNewRoman11ptCharCharChar">
    <w:name w:val="Style Body Text + Times New Roman 11 pt Char Char Char"/>
    <w:rPr>
      <w:rFonts w:cs="Angsana New"/>
      <w:iCs/>
      <w:snapToGrid w:val="0"/>
      <w:color w:val="000000"/>
      <w:sz w:val="22"/>
      <w:szCs w:val="22"/>
      <w:lang w:val="en-US" w:eastAsia="en-US" w:bidi="ar-SA"/>
    </w:rPr>
  </w:style>
  <w:style w:type="paragraph" w:customStyle="1" w:styleId="StylePara1Firstline127cm">
    <w:name w:val="Style Para1 + First line:  1.27 cm"/>
    <w:basedOn w:val="Para1"/>
    <w:pPr>
      <w:numPr>
        <w:numId w:val="0"/>
      </w:numPr>
      <w:tabs>
        <w:tab w:val="num" w:pos="360"/>
      </w:tabs>
    </w:pPr>
    <w:rPr>
      <w:szCs w:val="20"/>
    </w:rPr>
  </w:style>
  <w:style w:type="paragraph" w:styleId="Title">
    <w:name w:val="Title"/>
    <w:basedOn w:val="Normal"/>
    <w:qFormat/>
    <w:pPr>
      <w:jc w:val="center"/>
    </w:pPr>
    <w:rPr>
      <w:i/>
      <w:iCs/>
    </w:rPr>
  </w:style>
  <w:style w:type="paragraph" w:styleId="TOC5">
    <w:name w:val="toc 5"/>
    <w:basedOn w:val="Normal"/>
    <w:next w:val="Normal"/>
    <w:autoRedefine/>
    <w:semiHidden/>
    <w:pPr>
      <w:pBdr>
        <w:between w:val="double" w:sz="6" w:space="0" w:color="auto"/>
      </w:pBdr>
      <w:ind w:left="660"/>
      <w:jc w:val="left"/>
    </w:pPr>
    <w:rPr>
      <w:rFonts w:ascii="Cambria" w:hAnsi="Cambria"/>
      <w:sz w:val="20"/>
      <w:szCs w:val="20"/>
    </w:rPr>
  </w:style>
  <w:style w:type="character" w:styleId="CommentReference">
    <w:name w:val="annotation reference"/>
    <w:uiPriority w:val="99"/>
    <w:semiHidden/>
    <w:rsid w:val="00231E35"/>
    <w:rPr>
      <w:sz w:val="16"/>
      <w:szCs w:val="16"/>
    </w:rPr>
  </w:style>
  <w:style w:type="paragraph" w:styleId="CommentText">
    <w:name w:val="annotation text"/>
    <w:basedOn w:val="Normal"/>
    <w:link w:val="CommentTextChar"/>
    <w:uiPriority w:val="99"/>
    <w:rsid w:val="00231E35"/>
    <w:rPr>
      <w:rFonts w:cs="Times New Roman"/>
      <w:sz w:val="20"/>
      <w:szCs w:val="20"/>
    </w:rPr>
  </w:style>
  <w:style w:type="paragraph" w:styleId="CommentSubject">
    <w:name w:val="annotation subject"/>
    <w:basedOn w:val="CommentText"/>
    <w:next w:val="CommentText"/>
    <w:semiHidden/>
    <w:rsid w:val="00231E35"/>
    <w:rPr>
      <w:b/>
      <w:bCs/>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rsid w:val="00762037"/>
    <w:rPr>
      <w:rFonts w:cs="Angsana New"/>
      <w:sz w:val="18"/>
      <w:szCs w:val="24"/>
      <w:lang w:val="en-GB" w:eastAsia="en-US"/>
    </w:rPr>
  </w:style>
  <w:style w:type="character" w:customStyle="1" w:styleId="HeaderChar">
    <w:name w:val="Header Char"/>
    <w:link w:val="Header"/>
    <w:rsid w:val="00B271B0"/>
    <w:rPr>
      <w:rFonts w:cs="Angsana New"/>
      <w:sz w:val="22"/>
      <w:szCs w:val="24"/>
      <w:lang w:val="en-GB" w:eastAsia="en-US"/>
    </w:rPr>
  </w:style>
  <w:style w:type="paragraph" w:customStyle="1" w:styleId="ColorfulList-Accent11">
    <w:name w:val="Colorful List - Accent 11"/>
    <w:basedOn w:val="Normal"/>
    <w:uiPriority w:val="34"/>
    <w:qFormat/>
    <w:rsid w:val="00DA1B8F"/>
    <w:pPr>
      <w:ind w:left="720"/>
    </w:pPr>
  </w:style>
  <w:style w:type="character" w:customStyle="1" w:styleId="StyleHeading-plainitalicNotItalicCharCharChar">
    <w:name w:val="Style Heading-plain italic + Not Italic Char Char Char"/>
    <w:rsid w:val="00857D63"/>
    <w:rPr>
      <w:b/>
      <w:bCs/>
      <w:i/>
      <w:iCs/>
      <w:sz w:val="22"/>
      <w:szCs w:val="24"/>
      <w:lang w:val="en-GB" w:eastAsia="en-US" w:bidi="ar-SA"/>
    </w:rPr>
  </w:style>
  <w:style w:type="character" w:customStyle="1" w:styleId="CommentTextChar">
    <w:name w:val="Comment Text Char"/>
    <w:link w:val="CommentText"/>
    <w:uiPriority w:val="99"/>
    <w:rsid w:val="00857D63"/>
    <w:rPr>
      <w:rFonts w:cs="Angsana New"/>
      <w:lang w:val="en-GB" w:eastAsia="en-US"/>
    </w:rPr>
  </w:style>
  <w:style w:type="character" w:customStyle="1" w:styleId="mw-headline">
    <w:name w:val="mw-headline"/>
    <w:basedOn w:val="DefaultParagraphFont"/>
    <w:rsid w:val="005402B1"/>
  </w:style>
  <w:style w:type="paragraph" w:styleId="TOC9">
    <w:name w:val="toc 9"/>
    <w:basedOn w:val="Normal"/>
    <w:next w:val="Normal"/>
    <w:autoRedefine/>
    <w:rsid w:val="0032017A"/>
    <w:pPr>
      <w:pBdr>
        <w:between w:val="double" w:sz="6" w:space="0" w:color="auto"/>
      </w:pBdr>
      <w:ind w:left="1540"/>
      <w:jc w:val="left"/>
    </w:pPr>
    <w:rPr>
      <w:rFonts w:ascii="Cambria" w:hAnsi="Cambria"/>
      <w:sz w:val="20"/>
      <w:szCs w:val="20"/>
    </w:rPr>
  </w:style>
  <w:style w:type="paragraph" w:customStyle="1" w:styleId="Default">
    <w:name w:val="Default"/>
    <w:rsid w:val="00DB6D8B"/>
    <w:pPr>
      <w:autoSpaceDE w:val="0"/>
      <w:autoSpaceDN w:val="0"/>
      <w:adjustRightInd w:val="0"/>
    </w:pPr>
    <w:rPr>
      <w:rFonts w:eastAsia="Calibri"/>
      <w:color w:val="000000"/>
      <w:sz w:val="24"/>
      <w:szCs w:val="24"/>
      <w:lang w:val="en-US" w:eastAsia="en-US"/>
    </w:rPr>
  </w:style>
  <w:style w:type="character" w:customStyle="1" w:styleId="CharChar5">
    <w:name w:val="Char Char5"/>
    <w:semiHidden/>
    <w:rsid w:val="00C16C14"/>
    <w:rPr>
      <w:sz w:val="18"/>
      <w:szCs w:val="24"/>
      <w:lang w:val="en-GB" w:eastAsia="en-US"/>
    </w:rPr>
  </w:style>
  <w:style w:type="character" w:styleId="Emphasis">
    <w:name w:val="Emphasis"/>
    <w:uiPriority w:val="20"/>
    <w:qFormat/>
    <w:rsid w:val="004C12B8"/>
    <w:rPr>
      <w:i/>
    </w:rPr>
  </w:style>
  <w:style w:type="paragraph" w:customStyle="1" w:styleId="ColorfulShading-Accent11">
    <w:name w:val="Colorful Shading - Accent 11"/>
    <w:hidden/>
    <w:uiPriority w:val="99"/>
    <w:semiHidden/>
    <w:rsid w:val="004A2346"/>
    <w:rPr>
      <w:rFonts w:cs="Angsana New"/>
      <w:sz w:val="22"/>
      <w:szCs w:val="24"/>
      <w:lang w:val="en-GB" w:eastAsia="en-US"/>
    </w:rPr>
  </w:style>
  <w:style w:type="character" w:customStyle="1" w:styleId="apple-converted-space">
    <w:name w:val="apple-converted-space"/>
    <w:basedOn w:val="DefaultParagraphFont"/>
    <w:rsid w:val="00B51C0B"/>
  </w:style>
  <w:style w:type="numbering" w:customStyle="1" w:styleId="List1">
    <w:name w:val="List 1"/>
    <w:basedOn w:val="NoList"/>
    <w:rsid w:val="00FB07C7"/>
    <w:pPr>
      <w:numPr>
        <w:numId w:val="7"/>
      </w:numPr>
    </w:pPr>
  </w:style>
  <w:style w:type="numbering" w:customStyle="1" w:styleId="List8">
    <w:name w:val="List 8"/>
    <w:basedOn w:val="NoList"/>
    <w:rsid w:val="009827E0"/>
  </w:style>
  <w:style w:type="numbering" w:customStyle="1" w:styleId="List10">
    <w:name w:val="List 10"/>
    <w:basedOn w:val="NoList"/>
    <w:rsid w:val="009827E0"/>
    <w:pPr>
      <w:numPr>
        <w:numId w:val="9"/>
      </w:numPr>
    </w:pPr>
  </w:style>
  <w:style w:type="numbering" w:customStyle="1" w:styleId="List17">
    <w:name w:val="List 17"/>
    <w:basedOn w:val="NoList"/>
    <w:rsid w:val="009827E0"/>
    <w:pPr>
      <w:numPr>
        <w:numId w:val="10"/>
      </w:numPr>
    </w:pPr>
  </w:style>
  <w:style w:type="numbering" w:customStyle="1" w:styleId="List18">
    <w:name w:val="List 18"/>
    <w:basedOn w:val="NoList"/>
    <w:rsid w:val="009827E0"/>
    <w:pPr>
      <w:numPr>
        <w:numId w:val="11"/>
      </w:numPr>
    </w:pPr>
  </w:style>
  <w:style w:type="character" w:styleId="HTMLVariable">
    <w:name w:val="HTML Variable"/>
    <w:uiPriority w:val="99"/>
    <w:unhideWhenUsed/>
    <w:rsid w:val="00851463"/>
    <w:rPr>
      <w:i/>
      <w:iCs/>
    </w:rPr>
  </w:style>
  <w:style w:type="numbering" w:customStyle="1" w:styleId="List21">
    <w:name w:val="List 21"/>
    <w:basedOn w:val="NoList"/>
    <w:rsid w:val="00320CFC"/>
    <w:pPr>
      <w:numPr>
        <w:numId w:val="12"/>
      </w:numPr>
    </w:pPr>
  </w:style>
  <w:style w:type="character" w:customStyle="1" w:styleId="Heading1Char">
    <w:name w:val="Heading 1 Char"/>
    <w:link w:val="Heading1"/>
    <w:rsid w:val="00BB6F0A"/>
    <w:rPr>
      <w:rFonts w:cs="Angsana New"/>
      <w:b/>
      <w:caps/>
      <w:sz w:val="22"/>
      <w:szCs w:val="24"/>
      <w:lang w:val="en-GB"/>
    </w:rPr>
  </w:style>
  <w:style w:type="character" w:customStyle="1" w:styleId="Heading2Char">
    <w:name w:val="Heading 2 Char"/>
    <w:link w:val="Heading2"/>
    <w:rsid w:val="00F665D6"/>
    <w:rPr>
      <w:rFonts w:cs="Angsana New"/>
      <w:b/>
      <w:bCs/>
      <w:iCs/>
      <w:sz w:val="22"/>
      <w:szCs w:val="24"/>
      <w:lang w:eastAsia="en-US"/>
    </w:rPr>
  </w:style>
  <w:style w:type="paragraph" w:customStyle="1" w:styleId="CBD-Para">
    <w:name w:val="CBD-Para"/>
    <w:basedOn w:val="Normal"/>
    <w:rsid w:val="00112D54"/>
    <w:pPr>
      <w:keepLines/>
      <w:numPr>
        <w:numId w:val="14"/>
      </w:numPr>
      <w:spacing w:before="120" w:after="120"/>
    </w:pPr>
    <w:rPr>
      <w:rFonts w:cs="Times New Roman"/>
      <w:szCs w:val="22"/>
      <w:lang w:val="en-US"/>
    </w:rPr>
  </w:style>
  <w:style w:type="paragraph" w:customStyle="1" w:styleId="CBD-Para-a">
    <w:name w:val="CBD-Para-a"/>
    <w:basedOn w:val="CBD-Para"/>
    <w:rsid w:val="00112D54"/>
    <w:pPr>
      <w:numPr>
        <w:ilvl w:val="1"/>
      </w:numPr>
      <w:tabs>
        <w:tab w:val="clear" w:pos="1080"/>
        <w:tab w:val="num" w:pos="3690"/>
      </w:tabs>
      <w:spacing w:before="60" w:after="60"/>
      <w:ind w:firstLine="720"/>
    </w:pPr>
  </w:style>
  <w:style w:type="numbering" w:customStyle="1" w:styleId="List6">
    <w:name w:val="List 6"/>
    <w:basedOn w:val="NoList"/>
    <w:rsid w:val="007B5D33"/>
    <w:pPr>
      <w:numPr>
        <w:numId w:val="17"/>
      </w:numPr>
    </w:pPr>
  </w:style>
  <w:style w:type="character" w:customStyle="1" w:styleId="Hyperlink0">
    <w:name w:val="Hyperlink.0"/>
    <w:rsid w:val="007B5D33"/>
    <w:rPr>
      <w:color w:val="0000FF"/>
      <w:sz w:val="18"/>
      <w:szCs w:val="18"/>
      <w:u w:val="single" w:color="0000FF"/>
    </w:rPr>
  </w:style>
  <w:style w:type="table" w:styleId="TableGrid">
    <w:name w:val="Table Grid"/>
    <w:basedOn w:val="TableNormal"/>
    <w:uiPriority w:val="59"/>
    <w:rsid w:val="00173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211">
    <w:name w:val="List 211"/>
    <w:basedOn w:val="NoList"/>
    <w:rsid w:val="002A0872"/>
    <w:pPr>
      <w:numPr>
        <w:numId w:val="8"/>
      </w:numPr>
    </w:pPr>
  </w:style>
  <w:style w:type="character" w:customStyle="1" w:styleId="Heading3Char">
    <w:name w:val="Heading 3 Char"/>
    <w:link w:val="Heading3"/>
    <w:uiPriority w:val="9"/>
    <w:locked/>
    <w:rsid w:val="00041238"/>
    <w:rPr>
      <w:rFonts w:cs="Angsana New"/>
      <w:i/>
      <w:iCs/>
      <w:sz w:val="22"/>
      <w:szCs w:val="24"/>
      <w:lang w:val="en-GB"/>
    </w:rPr>
  </w:style>
  <w:style w:type="numbering" w:customStyle="1" w:styleId="ImportedStyle3">
    <w:name w:val="Imported Style 3"/>
    <w:rsid w:val="00095933"/>
    <w:pPr>
      <w:numPr>
        <w:numId w:val="16"/>
      </w:numPr>
    </w:pPr>
  </w:style>
  <w:style w:type="character" w:customStyle="1" w:styleId="BalloonTextChar">
    <w:name w:val="Balloon Text Char"/>
    <w:link w:val="BalloonText"/>
    <w:uiPriority w:val="99"/>
    <w:semiHidden/>
    <w:rsid w:val="002C69D1"/>
    <w:rPr>
      <w:rFonts w:ascii="Tahoma" w:hAnsi="Tahoma" w:cs="Tahoma"/>
      <w:sz w:val="16"/>
      <w:szCs w:val="16"/>
      <w:lang w:val="en-GB" w:eastAsia="en-US"/>
    </w:rPr>
  </w:style>
  <w:style w:type="character" w:customStyle="1" w:styleId="UnresolvedMention1">
    <w:name w:val="Unresolved Mention1"/>
    <w:uiPriority w:val="99"/>
    <w:semiHidden/>
    <w:unhideWhenUsed/>
    <w:rsid w:val="000E4D2F"/>
    <w:rPr>
      <w:color w:val="808080"/>
      <w:shd w:val="clear" w:color="auto" w:fill="E6E6E6"/>
    </w:rPr>
  </w:style>
  <w:style w:type="paragraph" w:customStyle="1" w:styleId="GridTable31">
    <w:name w:val="Grid Table 31"/>
    <w:basedOn w:val="Heading1"/>
    <w:next w:val="Normal"/>
    <w:uiPriority w:val="39"/>
    <w:unhideWhenUsed/>
    <w:qFormat/>
    <w:rsid w:val="00567FF5"/>
    <w:pPr>
      <w:keepLines/>
      <w:tabs>
        <w:tab w:val="clear" w:pos="720"/>
      </w:tabs>
      <w:spacing w:before="480" w:after="0" w:line="276" w:lineRule="auto"/>
      <w:jc w:val="left"/>
      <w:outlineLvl w:val="9"/>
    </w:pPr>
    <w:rPr>
      <w:rFonts w:ascii="Calibri" w:eastAsia="MS Gothic" w:hAnsi="Calibri" w:cs="Times New Roman"/>
      <w:bCs/>
      <w:caps w:val="0"/>
      <w:color w:val="365F91"/>
      <w:sz w:val="28"/>
      <w:szCs w:val="28"/>
      <w:lang w:val="en-US"/>
    </w:rPr>
  </w:style>
  <w:style w:type="paragraph" w:styleId="TOC4">
    <w:name w:val="toc 4"/>
    <w:basedOn w:val="Normal"/>
    <w:next w:val="Normal"/>
    <w:autoRedefine/>
    <w:rsid w:val="00567FF5"/>
    <w:pPr>
      <w:pBdr>
        <w:between w:val="double" w:sz="6" w:space="0" w:color="auto"/>
      </w:pBdr>
      <w:ind w:left="440"/>
      <w:jc w:val="left"/>
    </w:pPr>
    <w:rPr>
      <w:rFonts w:ascii="Cambria" w:hAnsi="Cambria"/>
      <w:sz w:val="20"/>
      <w:szCs w:val="20"/>
    </w:rPr>
  </w:style>
  <w:style w:type="paragraph" w:styleId="TOC6">
    <w:name w:val="toc 6"/>
    <w:basedOn w:val="Normal"/>
    <w:next w:val="Normal"/>
    <w:autoRedefine/>
    <w:rsid w:val="00567FF5"/>
    <w:pPr>
      <w:pBdr>
        <w:between w:val="double" w:sz="6" w:space="0" w:color="auto"/>
      </w:pBdr>
      <w:ind w:left="880"/>
      <w:jc w:val="left"/>
    </w:pPr>
    <w:rPr>
      <w:rFonts w:ascii="Cambria" w:hAnsi="Cambria"/>
      <w:sz w:val="20"/>
      <w:szCs w:val="20"/>
    </w:rPr>
  </w:style>
  <w:style w:type="paragraph" w:styleId="TOC7">
    <w:name w:val="toc 7"/>
    <w:basedOn w:val="Normal"/>
    <w:next w:val="Normal"/>
    <w:autoRedefine/>
    <w:rsid w:val="00567FF5"/>
    <w:pPr>
      <w:pBdr>
        <w:between w:val="double" w:sz="6" w:space="0" w:color="auto"/>
      </w:pBdr>
      <w:ind w:left="1100"/>
      <w:jc w:val="left"/>
    </w:pPr>
    <w:rPr>
      <w:rFonts w:ascii="Cambria" w:hAnsi="Cambria"/>
      <w:sz w:val="20"/>
      <w:szCs w:val="20"/>
    </w:rPr>
  </w:style>
  <w:style w:type="paragraph" w:styleId="TOC8">
    <w:name w:val="toc 8"/>
    <w:basedOn w:val="Normal"/>
    <w:next w:val="Normal"/>
    <w:autoRedefine/>
    <w:rsid w:val="00567FF5"/>
    <w:pPr>
      <w:pBdr>
        <w:between w:val="double" w:sz="6" w:space="0" w:color="auto"/>
      </w:pBdr>
      <w:ind w:left="1320"/>
      <w:jc w:val="left"/>
    </w:pPr>
    <w:rPr>
      <w:rFonts w:ascii="Cambria" w:hAnsi="Cambria"/>
      <w:sz w:val="20"/>
      <w:szCs w:val="20"/>
    </w:rPr>
  </w:style>
  <w:style w:type="character" w:styleId="PlaceholderText">
    <w:name w:val="Placeholder Text"/>
    <w:basedOn w:val="DefaultParagraphFont"/>
    <w:uiPriority w:val="99"/>
    <w:semiHidden/>
    <w:rsid w:val="00AD6A8A"/>
    <w:rPr>
      <w:color w:val="808080"/>
    </w:rPr>
  </w:style>
  <w:style w:type="paragraph" w:styleId="Revision">
    <w:name w:val="Revision"/>
    <w:hidden/>
    <w:uiPriority w:val="99"/>
    <w:semiHidden/>
    <w:rsid w:val="00F02D75"/>
    <w:rPr>
      <w:rFonts w:cs="Angsana New"/>
      <w:sz w:val="22"/>
      <w:szCs w:val="24"/>
      <w:lang w:val="en-GB"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AC0BA4"/>
    <w:pPr>
      <w:spacing w:after="160" w:line="240" w:lineRule="exact"/>
      <w:jc w:val="left"/>
    </w:pPr>
    <w:rPr>
      <w:rFonts w:cs="Times New Roman"/>
      <w:sz w:val="18"/>
      <w:szCs w:val="20"/>
      <w:vertAlign w:val="superscript"/>
      <w:lang w:val="en-CA" w:eastAsia="en-CA"/>
    </w:rPr>
  </w:style>
  <w:style w:type="paragraph" w:styleId="ListParagraph">
    <w:name w:val="List Paragraph"/>
    <w:basedOn w:val="Normal"/>
    <w:uiPriority w:val="34"/>
    <w:qFormat/>
    <w:rsid w:val="009F2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39094">
      <w:bodyDiv w:val="1"/>
      <w:marLeft w:val="0"/>
      <w:marRight w:val="0"/>
      <w:marTop w:val="0"/>
      <w:marBottom w:val="0"/>
      <w:divBdr>
        <w:top w:val="none" w:sz="0" w:space="0" w:color="auto"/>
        <w:left w:val="none" w:sz="0" w:space="0" w:color="auto"/>
        <w:bottom w:val="none" w:sz="0" w:space="0" w:color="auto"/>
        <w:right w:val="none" w:sz="0" w:space="0" w:color="auto"/>
      </w:divBdr>
    </w:div>
    <w:div w:id="565068508">
      <w:bodyDiv w:val="1"/>
      <w:marLeft w:val="0"/>
      <w:marRight w:val="0"/>
      <w:marTop w:val="0"/>
      <w:marBottom w:val="0"/>
      <w:divBdr>
        <w:top w:val="none" w:sz="0" w:space="0" w:color="auto"/>
        <w:left w:val="none" w:sz="0" w:space="0" w:color="auto"/>
        <w:bottom w:val="none" w:sz="0" w:space="0" w:color="auto"/>
        <w:right w:val="none" w:sz="0" w:space="0" w:color="auto"/>
      </w:divBdr>
    </w:div>
    <w:div w:id="646665172">
      <w:bodyDiv w:val="1"/>
      <w:marLeft w:val="0"/>
      <w:marRight w:val="0"/>
      <w:marTop w:val="0"/>
      <w:marBottom w:val="0"/>
      <w:divBdr>
        <w:top w:val="none" w:sz="0" w:space="0" w:color="auto"/>
        <w:left w:val="none" w:sz="0" w:space="0" w:color="auto"/>
        <w:bottom w:val="none" w:sz="0" w:space="0" w:color="auto"/>
        <w:right w:val="none" w:sz="0" w:space="0" w:color="auto"/>
      </w:divBdr>
    </w:div>
    <w:div w:id="904877061">
      <w:bodyDiv w:val="1"/>
      <w:marLeft w:val="0"/>
      <w:marRight w:val="0"/>
      <w:marTop w:val="0"/>
      <w:marBottom w:val="0"/>
      <w:divBdr>
        <w:top w:val="none" w:sz="0" w:space="0" w:color="auto"/>
        <w:left w:val="none" w:sz="0" w:space="0" w:color="auto"/>
        <w:bottom w:val="none" w:sz="0" w:space="0" w:color="auto"/>
        <w:right w:val="none" w:sz="0" w:space="0" w:color="auto"/>
      </w:divBdr>
    </w:div>
    <w:div w:id="957445293">
      <w:bodyDiv w:val="1"/>
      <w:marLeft w:val="0"/>
      <w:marRight w:val="0"/>
      <w:marTop w:val="0"/>
      <w:marBottom w:val="0"/>
      <w:divBdr>
        <w:top w:val="none" w:sz="0" w:space="0" w:color="auto"/>
        <w:left w:val="none" w:sz="0" w:space="0" w:color="auto"/>
        <w:bottom w:val="none" w:sz="0" w:space="0" w:color="auto"/>
        <w:right w:val="none" w:sz="0" w:space="0" w:color="auto"/>
      </w:divBdr>
    </w:div>
    <w:div w:id="1012806910">
      <w:bodyDiv w:val="1"/>
      <w:marLeft w:val="0"/>
      <w:marRight w:val="0"/>
      <w:marTop w:val="0"/>
      <w:marBottom w:val="0"/>
      <w:divBdr>
        <w:top w:val="none" w:sz="0" w:space="0" w:color="auto"/>
        <w:left w:val="none" w:sz="0" w:space="0" w:color="auto"/>
        <w:bottom w:val="none" w:sz="0" w:space="0" w:color="auto"/>
        <w:right w:val="none" w:sz="0" w:space="0" w:color="auto"/>
      </w:divBdr>
    </w:div>
    <w:div w:id="1105463014">
      <w:bodyDiv w:val="1"/>
      <w:marLeft w:val="0"/>
      <w:marRight w:val="0"/>
      <w:marTop w:val="0"/>
      <w:marBottom w:val="0"/>
      <w:divBdr>
        <w:top w:val="none" w:sz="0" w:space="0" w:color="auto"/>
        <w:left w:val="none" w:sz="0" w:space="0" w:color="auto"/>
        <w:bottom w:val="none" w:sz="0" w:space="0" w:color="auto"/>
        <w:right w:val="none" w:sz="0" w:space="0" w:color="auto"/>
      </w:divBdr>
    </w:div>
    <w:div w:id="1119833582">
      <w:bodyDiv w:val="1"/>
      <w:marLeft w:val="0"/>
      <w:marRight w:val="0"/>
      <w:marTop w:val="0"/>
      <w:marBottom w:val="0"/>
      <w:divBdr>
        <w:top w:val="none" w:sz="0" w:space="0" w:color="auto"/>
        <w:left w:val="none" w:sz="0" w:space="0" w:color="auto"/>
        <w:bottom w:val="none" w:sz="0" w:space="0" w:color="auto"/>
        <w:right w:val="none" w:sz="0" w:space="0" w:color="auto"/>
      </w:divBdr>
      <w:divsChild>
        <w:div w:id="32970601">
          <w:marLeft w:val="0"/>
          <w:marRight w:val="0"/>
          <w:marTop w:val="0"/>
          <w:marBottom w:val="0"/>
          <w:divBdr>
            <w:top w:val="none" w:sz="0" w:space="0" w:color="auto"/>
            <w:left w:val="none" w:sz="0" w:space="0" w:color="auto"/>
            <w:bottom w:val="none" w:sz="0" w:space="0" w:color="auto"/>
            <w:right w:val="none" w:sz="0" w:space="0" w:color="auto"/>
          </w:divBdr>
        </w:div>
        <w:div w:id="259995780">
          <w:marLeft w:val="0"/>
          <w:marRight w:val="0"/>
          <w:marTop w:val="0"/>
          <w:marBottom w:val="0"/>
          <w:divBdr>
            <w:top w:val="none" w:sz="0" w:space="0" w:color="auto"/>
            <w:left w:val="none" w:sz="0" w:space="0" w:color="auto"/>
            <w:bottom w:val="none" w:sz="0" w:space="0" w:color="auto"/>
            <w:right w:val="none" w:sz="0" w:space="0" w:color="auto"/>
          </w:divBdr>
        </w:div>
        <w:div w:id="311911160">
          <w:marLeft w:val="0"/>
          <w:marRight w:val="0"/>
          <w:marTop w:val="0"/>
          <w:marBottom w:val="0"/>
          <w:divBdr>
            <w:top w:val="none" w:sz="0" w:space="0" w:color="auto"/>
            <w:left w:val="none" w:sz="0" w:space="0" w:color="auto"/>
            <w:bottom w:val="none" w:sz="0" w:space="0" w:color="auto"/>
            <w:right w:val="none" w:sz="0" w:space="0" w:color="auto"/>
          </w:divBdr>
        </w:div>
        <w:div w:id="352611948">
          <w:marLeft w:val="0"/>
          <w:marRight w:val="0"/>
          <w:marTop w:val="0"/>
          <w:marBottom w:val="0"/>
          <w:divBdr>
            <w:top w:val="none" w:sz="0" w:space="0" w:color="auto"/>
            <w:left w:val="none" w:sz="0" w:space="0" w:color="auto"/>
            <w:bottom w:val="none" w:sz="0" w:space="0" w:color="auto"/>
            <w:right w:val="none" w:sz="0" w:space="0" w:color="auto"/>
          </w:divBdr>
        </w:div>
        <w:div w:id="454520112">
          <w:marLeft w:val="0"/>
          <w:marRight w:val="0"/>
          <w:marTop w:val="0"/>
          <w:marBottom w:val="0"/>
          <w:divBdr>
            <w:top w:val="none" w:sz="0" w:space="0" w:color="auto"/>
            <w:left w:val="none" w:sz="0" w:space="0" w:color="auto"/>
            <w:bottom w:val="none" w:sz="0" w:space="0" w:color="auto"/>
            <w:right w:val="none" w:sz="0" w:space="0" w:color="auto"/>
          </w:divBdr>
        </w:div>
        <w:div w:id="544024314">
          <w:marLeft w:val="0"/>
          <w:marRight w:val="0"/>
          <w:marTop w:val="0"/>
          <w:marBottom w:val="0"/>
          <w:divBdr>
            <w:top w:val="none" w:sz="0" w:space="0" w:color="auto"/>
            <w:left w:val="none" w:sz="0" w:space="0" w:color="auto"/>
            <w:bottom w:val="none" w:sz="0" w:space="0" w:color="auto"/>
            <w:right w:val="none" w:sz="0" w:space="0" w:color="auto"/>
          </w:divBdr>
        </w:div>
        <w:div w:id="649675579">
          <w:marLeft w:val="0"/>
          <w:marRight w:val="0"/>
          <w:marTop w:val="0"/>
          <w:marBottom w:val="0"/>
          <w:divBdr>
            <w:top w:val="none" w:sz="0" w:space="0" w:color="auto"/>
            <w:left w:val="none" w:sz="0" w:space="0" w:color="auto"/>
            <w:bottom w:val="none" w:sz="0" w:space="0" w:color="auto"/>
            <w:right w:val="none" w:sz="0" w:space="0" w:color="auto"/>
          </w:divBdr>
        </w:div>
        <w:div w:id="738747988">
          <w:marLeft w:val="0"/>
          <w:marRight w:val="0"/>
          <w:marTop w:val="0"/>
          <w:marBottom w:val="0"/>
          <w:divBdr>
            <w:top w:val="none" w:sz="0" w:space="0" w:color="auto"/>
            <w:left w:val="none" w:sz="0" w:space="0" w:color="auto"/>
            <w:bottom w:val="none" w:sz="0" w:space="0" w:color="auto"/>
            <w:right w:val="none" w:sz="0" w:space="0" w:color="auto"/>
          </w:divBdr>
        </w:div>
        <w:div w:id="780105033">
          <w:marLeft w:val="0"/>
          <w:marRight w:val="0"/>
          <w:marTop w:val="0"/>
          <w:marBottom w:val="0"/>
          <w:divBdr>
            <w:top w:val="none" w:sz="0" w:space="0" w:color="auto"/>
            <w:left w:val="none" w:sz="0" w:space="0" w:color="auto"/>
            <w:bottom w:val="none" w:sz="0" w:space="0" w:color="auto"/>
            <w:right w:val="none" w:sz="0" w:space="0" w:color="auto"/>
          </w:divBdr>
        </w:div>
        <w:div w:id="905409015">
          <w:marLeft w:val="0"/>
          <w:marRight w:val="0"/>
          <w:marTop w:val="0"/>
          <w:marBottom w:val="0"/>
          <w:divBdr>
            <w:top w:val="none" w:sz="0" w:space="0" w:color="auto"/>
            <w:left w:val="none" w:sz="0" w:space="0" w:color="auto"/>
            <w:bottom w:val="none" w:sz="0" w:space="0" w:color="auto"/>
            <w:right w:val="none" w:sz="0" w:space="0" w:color="auto"/>
          </w:divBdr>
        </w:div>
        <w:div w:id="1196112574">
          <w:marLeft w:val="0"/>
          <w:marRight w:val="0"/>
          <w:marTop w:val="0"/>
          <w:marBottom w:val="0"/>
          <w:divBdr>
            <w:top w:val="none" w:sz="0" w:space="0" w:color="auto"/>
            <w:left w:val="none" w:sz="0" w:space="0" w:color="auto"/>
            <w:bottom w:val="none" w:sz="0" w:space="0" w:color="auto"/>
            <w:right w:val="none" w:sz="0" w:space="0" w:color="auto"/>
          </w:divBdr>
        </w:div>
        <w:div w:id="1220550745">
          <w:marLeft w:val="0"/>
          <w:marRight w:val="0"/>
          <w:marTop w:val="0"/>
          <w:marBottom w:val="0"/>
          <w:divBdr>
            <w:top w:val="none" w:sz="0" w:space="0" w:color="auto"/>
            <w:left w:val="none" w:sz="0" w:space="0" w:color="auto"/>
            <w:bottom w:val="none" w:sz="0" w:space="0" w:color="auto"/>
            <w:right w:val="none" w:sz="0" w:space="0" w:color="auto"/>
          </w:divBdr>
        </w:div>
        <w:div w:id="1362393200">
          <w:marLeft w:val="0"/>
          <w:marRight w:val="0"/>
          <w:marTop w:val="0"/>
          <w:marBottom w:val="0"/>
          <w:divBdr>
            <w:top w:val="none" w:sz="0" w:space="0" w:color="auto"/>
            <w:left w:val="none" w:sz="0" w:space="0" w:color="auto"/>
            <w:bottom w:val="none" w:sz="0" w:space="0" w:color="auto"/>
            <w:right w:val="none" w:sz="0" w:space="0" w:color="auto"/>
          </w:divBdr>
        </w:div>
        <w:div w:id="2028747004">
          <w:marLeft w:val="0"/>
          <w:marRight w:val="0"/>
          <w:marTop w:val="0"/>
          <w:marBottom w:val="0"/>
          <w:divBdr>
            <w:top w:val="none" w:sz="0" w:space="0" w:color="auto"/>
            <w:left w:val="none" w:sz="0" w:space="0" w:color="auto"/>
            <w:bottom w:val="none" w:sz="0" w:space="0" w:color="auto"/>
            <w:right w:val="none" w:sz="0" w:space="0" w:color="auto"/>
          </w:divBdr>
        </w:div>
        <w:div w:id="2079092441">
          <w:marLeft w:val="0"/>
          <w:marRight w:val="0"/>
          <w:marTop w:val="0"/>
          <w:marBottom w:val="0"/>
          <w:divBdr>
            <w:top w:val="none" w:sz="0" w:space="0" w:color="auto"/>
            <w:left w:val="none" w:sz="0" w:space="0" w:color="auto"/>
            <w:bottom w:val="none" w:sz="0" w:space="0" w:color="auto"/>
            <w:right w:val="none" w:sz="0" w:space="0" w:color="auto"/>
          </w:divBdr>
        </w:div>
      </w:divsChild>
    </w:div>
    <w:div w:id="1142621072">
      <w:bodyDiv w:val="1"/>
      <w:marLeft w:val="0"/>
      <w:marRight w:val="0"/>
      <w:marTop w:val="0"/>
      <w:marBottom w:val="0"/>
      <w:divBdr>
        <w:top w:val="none" w:sz="0" w:space="0" w:color="auto"/>
        <w:left w:val="none" w:sz="0" w:space="0" w:color="auto"/>
        <w:bottom w:val="none" w:sz="0" w:space="0" w:color="auto"/>
        <w:right w:val="none" w:sz="0" w:space="0" w:color="auto"/>
      </w:divBdr>
    </w:div>
    <w:div w:id="1153645617">
      <w:bodyDiv w:val="1"/>
      <w:marLeft w:val="0"/>
      <w:marRight w:val="0"/>
      <w:marTop w:val="0"/>
      <w:marBottom w:val="0"/>
      <w:divBdr>
        <w:top w:val="none" w:sz="0" w:space="0" w:color="auto"/>
        <w:left w:val="none" w:sz="0" w:space="0" w:color="auto"/>
        <w:bottom w:val="none" w:sz="0" w:space="0" w:color="auto"/>
        <w:right w:val="none" w:sz="0" w:space="0" w:color="auto"/>
      </w:divBdr>
    </w:div>
    <w:div w:id="1272205941">
      <w:bodyDiv w:val="1"/>
      <w:marLeft w:val="0"/>
      <w:marRight w:val="0"/>
      <w:marTop w:val="0"/>
      <w:marBottom w:val="0"/>
      <w:divBdr>
        <w:top w:val="none" w:sz="0" w:space="0" w:color="auto"/>
        <w:left w:val="none" w:sz="0" w:space="0" w:color="auto"/>
        <w:bottom w:val="none" w:sz="0" w:space="0" w:color="auto"/>
        <w:right w:val="none" w:sz="0" w:space="0" w:color="auto"/>
      </w:divBdr>
    </w:div>
    <w:div w:id="1277785483">
      <w:bodyDiv w:val="1"/>
      <w:marLeft w:val="0"/>
      <w:marRight w:val="0"/>
      <w:marTop w:val="0"/>
      <w:marBottom w:val="0"/>
      <w:divBdr>
        <w:top w:val="none" w:sz="0" w:space="0" w:color="auto"/>
        <w:left w:val="none" w:sz="0" w:space="0" w:color="auto"/>
        <w:bottom w:val="none" w:sz="0" w:space="0" w:color="auto"/>
        <w:right w:val="none" w:sz="0" w:space="0" w:color="auto"/>
      </w:divBdr>
    </w:div>
    <w:div w:id="1323434916">
      <w:bodyDiv w:val="1"/>
      <w:marLeft w:val="0"/>
      <w:marRight w:val="0"/>
      <w:marTop w:val="0"/>
      <w:marBottom w:val="0"/>
      <w:divBdr>
        <w:top w:val="none" w:sz="0" w:space="0" w:color="auto"/>
        <w:left w:val="none" w:sz="0" w:space="0" w:color="auto"/>
        <w:bottom w:val="none" w:sz="0" w:space="0" w:color="auto"/>
        <w:right w:val="none" w:sz="0" w:space="0" w:color="auto"/>
      </w:divBdr>
    </w:div>
    <w:div w:id="1422681975">
      <w:bodyDiv w:val="1"/>
      <w:marLeft w:val="0"/>
      <w:marRight w:val="0"/>
      <w:marTop w:val="0"/>
      <w:marBottom w:val="0"/>
      <w:divBdr>
        <w:top w:val="none" w:sz="0" w:space="0" w:color="auto"/>
        <w:left w:val="none" w:sz="0" w:space="0" w:color="auto"/>
        <w:bottom w:val="none" w:sz="0" w:space="0" w:color="auto"/>
        <w:right w:val="none" w:sz="0" w:space="0" w:color="auto"/>
      </w:divBdr>
    </w:div>
    <w:div w:id="1448505692">
      <w:bodyDiv w:val="1"/>
      <w:marLeft w:val="0"/>
      <w:marRight w:val="0"/>
      <w:marTop w:val="0"/>
      <w:marBottom w:val="0"/>
      <w:divBdr>
        <w:top w:val="none" w:sz="0" w:space="0" w:color="auto"/>
        <w:left w:val="none" w:sz="0" w:space="0" w:color="auto"/>
        <w:bottom w:val="none" w:sz="0" w:space="0" w:color="auto"/>
        <w:right w:val="none" w:sz="0" w:space="0" w:color="auto"/>
      </w:divBdr>
    </w:div>
    <w:div w:id="1451513706">
      <w:bodyDiv w:val="1"/>
      <w:marLeft w:val="0"/>
      <w:marRight w:val="0"/>
      <w:marTop w:val="0"/>
      <w:marBottom w:val="0"/>
      <w:divBdr>
        <w:top w:val="none" w:sz="0" w:space="0" w:color="auto"/>
        <w:left w:val="none" w:sz="0" w:space="0" w:color="auto"/>
        <w:bottom w:val="none" w:sz="0" w:space="0" w:color="auto"/>
        <w:right w:val="none" w:sz="0" w:space="0" w:color="auto"/>
      </w:divBdr>
      <w:divsChild>
        <w:div w:id="182208016">
          <w:marLeft w:val="0"/>
          <w:marRight w:val="0"/>
          <w:marTop w:val="105"/>
          <w:marBottom w:val="105"/>
          <w:divBdr>
            <w:top w:val="none" w:sz="0" w:space="0" w:color="auto"/>
            <w:left w:val="none" w:sz="0" w:space="0" w:color="auto"/>
            <w:bottom w:val="none" w:sz="0" w:space="0" w:color="auto"/>
            <w:right w:val="none" w:sz="0" w:space="0" w:color="auto"/>
          </w:divBdr>
        </w:div>
        <w:div w:id="1847161686">
          <w:marLeft w:val="0"/>
          <w:marRight w:val="0"/>
          <w:marTop w:val="105"/>
          <w:marBottom w:val="105"/>
          <w:divBdr>
            <w:top w:val="none" w:sz="0" w:space="0" w:color="auto"/>
            <w:left w:val="none" w:sz="0" w:space="0" w:color="auto"/>
            <w:bottom w:val="none" w:sz="0" w:space="0" w:color="auto"/>
            <w:right w:val="none" w:sz="0" w:space="0" w:color="auto"/>
          </w:divBdr>
        </w:div>
      </w:divsChild>
    </w:div>
    <w:div w:id="1541672740">
      <w:bodyDiv w:val="1"/>
      <w:marLeft w:val="0"/>
      <w:marRight w:val="0"/>
      <w:marTop w:val="0"/>
      <w:marBottom w:val="0"/>
      <w:divBdr>
        <w:top w:val="none" w:sz="0" w:space="0" w:color="auto"/>
        <w:left w:val="none" w:sz="0" w:space="0" w:color="auto"/>
        <w:bottom w:val="none" w:sz="0" w:space="0" w:color="auto"/>
        <w:right w:val="none" w:sz="0" w:space="0" w:color="auto"/>
      </w:divBdr>
    </w:div>
    <w:div w:id="1669206651">
      <w:bodyDiv w:val="1"/>
      <w:marLeft w:val="0"/>
      <w:marRight w:val="0"/>
      <w:marTop w:val="0"/>
      <w:marBottom w:val="0"/>
      <w:divBdr>
        <w:top w:val="none" w:sz="0" w:space="0" w:color="auto"/>
        <w:left w:val="none" w:sz="0" w:space="0" w:color="auto"/>
        <w:bottom w:val="none" w:sz="0" w:space="0" w:color="auto"/>
        <w:right w:val="none" w:sz="0" w:space="0" w:color="auto"/>
      </w:divBdr>
      <w:divsChild>
        <w:div w:id="43067991">
          <w:marLeft w:val="0"/>
          <w:marRight w:val="0"/>
          <w:marTop w:val="0"/>
          <w:marBottom w:val="0"/>
          <w:divBdr>
            <w:top w:val="none" w:sz="0" w:space="0" w:color="auto"/>
            <w:left w:val="none" w:sz="0" w:space="0" w:color="auto"/>
            <w:bottom w:val="none" w:sz="0" w:space="0" w:color="auto"/>
            <w:right w:val="none" w:sz="0" w:space="0" w:color="auto"/>
          </w:divBdr>
        </w:div>
        <w:div w:id="165750783">
          <w:marLeft w:val="0"/>
          <w:marRight w:val="0"/>
          <w:marTop w:val="0"/>
          <w:marBottom w:val="0"/>
          <w:divBdr>
            <w:top w:val="none" w:sz="0" w:space="0" w:color="auto"/>
            <w:left w:val="none" w:sz="0" w:space="0" w:color="auto"/>
            <w:bottom w:val="none" w:sz="0" w:space="0" w:color="auto"/>
            <w:right w:val="none" w:sz="0" w:space="0" w:color="auto"/>
          </w:divBdr>
        </w:div>
      </w:divsChild>
    </w:div>
    <w:div w:id="1698316185">
      <w:bodyDiv w:val="1"/>
      <w:marLeft w:val="0"/>
      <w:marRight w:val="0"/>
      <w:marTop w:val="0"/>
      <w:marBottom w:val="0"/>
      <w:divBdr>
        <w:top w:val="none" w:sz="0" w:space="0" w:color="auto"/>
        <w:left w:val="none" w:sz="0" w:space="0" w:color="auto"/>
        <w:bottom w:val="none" w:sz="0" w:space="0" w:color="auto"/>
        <w:right w:val="none" w:sz="0" w:space="0" w:color="auto"/>
      </w:divBdr>
    </w:div>
    <w:div w:id="1704095884">
      <w:bodyDiv w:val="1"/>
      <w:marLeft w:val="0"/>
      <w:marRight w:val="0"/>
      <w:marTop w:val="0"/>
      <w:marBottom w:val="0"/>
      <w:divBdr>
        <w:top w:val="none" w:sz="0" w:space="0" w:color="auto"/>
        <w:left w:val="none" w:sz="0" w:space="0" w:color="auto"/>
        <w:bottom w:val="none" w:sz="0" w:space="0" w:color="auto"/>
        <w:right w:val="none" w:sz="0" w:space="0" w:color="auto"/>
      </w:divBdr>
    </w:div>
    <w:div w:id="1812209676">
      <w:bodyDiv w:val="1"/>
      <w:marLeft w:val="0"/>
      <w:marRight w:val="0"/>
      <w:marTop w:val="0"/>
      <w:marBottom w:val="0"/>
      <w:divBdr>
        <w:top w:val="none" w:sz="0" w:space="0" w:color="auto"/>
        <w:left w:val="none" w:sz="0" w:space="0" w:color="auto"/>
        <w:bottom w:val="none" w:sz="0" w:space="0" w:color="auto"/>
        <w:right w:val="none" w:sz="0" w:space="0" w:color="auto"/>
      </w:divBdr>
    </w:div>
    <w:div w:id="1820076086">
      <w:bodyDiv w:val="1"/>
      <w:marLeft w:val="0"/>
      <w:marRight w:val="0"/>
      <w:marTop w:val="0"/>
      <w:marBottom w:val="0"/>
      <w:divBdr>
        <w:top w:val="none" w:sz="0" w:space="0" w:color="auto"/>
        <w:left w:val="none" w:sz="0" w:space="0" w:color="auto"/>
        <w:bottom w:val="none" w:sz="0" w:space="0" w:color="auto"/>
        <w:right w:val="none" w:sz="0" w:space="0" w:color="auto"/>
      </w:divBdr>
    </w:div>
    <w:div w:id="1944728464">
      <w:bodyDiv w:val="1"/>
      <w:marLeft w:val="0"/>
      <w:marRight w:val="0"/>
      <w:marTop w:val="0"/>
      <w:marBottom w:val="0"/>
      <w:divBdr>
        <w:top w:val="none" w:sz="0" w:space="0" w:color="auto"/>
        <w:left w:val="none" w:sz="0" w:space="0" w:color="auto"/>
        <w:bottom w:val="none" w:sz="0" w:space="0" w:color="auto"/>
        <w:right w:val="none" w:sz="0" w:space="0" w:color="auto"/>
      </w:divBdr>
    </w:div>
    <w:div w:id="1963531703">
      <w:bodyDiv w:val="1"/>
      <w:marLeft w:val="0"/>
      <w:marRight w:val="0"/>
      <w:marTop w:val="0"/>
      <w:marBottom w:val="0"/>
      <w:divBdr>
        <w:top w:val="none" w:sz="0" w:space="0" w:color="auto"/>
        <w:left w:val="none" w:sz="0" w:space="0" w:color="auto"/>
        <w:bottom w:val="none" w:sz="0" w:space="0" w:color="auto"/>
        <w:right w:val="none" w:sz="0" w:space="0" w:color="auto"/>
      </w:divBdr>
    </w:div>
    <w:div w:id="2021934265">
      <w:bodyDiv w:val="1"/>
      <w:marLeft w:val="0"/>
      <w:marRight w:val="0"/>
      <w:marTop w:val="0"/>
      <w:marBottom w:val="0"/>
      <w:divBdr>
        <w:top w:val="none" w:sz="0" w:space="0" w:color="auto"/>
        <w:left w:val="none" w:sz="0" w:space="0" w:color="auto"/>
        <w:bottom w:val="none" w:sz="0" w:space="0" w:color="auto"/>
        <w:right w:val="none" w:sz="0" w:space="0" w:color="auto"/>
      </w:divBdr>
      <w:divsChild>
        <w:div w:id="118183174">
          <w:marLeft w:val="0"/>
          <w:marRight w:val="0"/>
          <w:marTop w:val="86"/>
          <w:marBottom w:val="86"/>
          <w:divBdr>
            <w:top w:val="none" w:sz="0" w:space="0" w:color="auto"/>
            <w:left w:val="none" w:sz="0" w:space="0" w:color="auto"/>
            <w:bottom w:val="none" w:sz="0" w:space="0" w:color="auto"/>
            <w:right w:val="none" w:sz="0" w:space="0" w:color="auto"/>
          </w:divBdr>
        </w:div>
        <w:div w:id="981693865">
          <w:marLeft w:val="0"/>
          <w:marRight w:val="0"/>
          <w:marTop w:val="86"/>
          <w:marBottom w:val="86"/>
          <w:divBdr>
            <w:top w:val="none" w:sz="0" w:space="0" w:color="auto"/>
            <w:left w:val="none" w:sz="0" w:space="0" w:color="auto"/>
            <w:bottom w:val="none" w:sz="0" w:space="0" w:color="auto"/>
            <w:right w:val="none" w:sz="0" w:space="0" w:color="auto"/>
          </w:divBdr>
        </w:div>
        <w:div w:id="1126464837">
          <w:marLeft w:val="0"/>
          <w:marRight w:val="0"/>
          <w:marTop w:val="86"/>
          <w:marBottom w:val="86"/>
          <w:divBdr>
            <w:top w:val="none" w:sz="0" w:space="0" w:color="auto"/>
            <w:left w:val="none" w:sz="0" w:space="0" w:color="auto"/>
            <w:bottom w:val="none" w:sz="0" w:space="0" w:color="auto"/>
            <w:right w:val="none" w:sz="0" w:space="0" w:color="auto"/>
          </w:divBdr>
        </w:div>
        <w:div w:id="1315404673">
          <w:marLeft w:val="0"/>
          <w:marRight w:val="0"/>
          <w:marTop w:val="86"/>
          <w:marBottom w:val="86"/>
          <w:divBdr>
            <w:top w:val="none" w:sz="0" w:space="0" w:color="auto"/>
            <w:left w:val="none" w:sz="0" w:space="0" w:color="auto"/>
            <w:bottom w:val="none" w:sz="0" w:space="0" w:color="auto"/>
            <w:right w:val="none" w:sz="0" w:space="0" w:color="auto"/>
          </w:divBdr>
        </w:div>
        <w:div w:id="1441148955">
          <w:marLeft w:val="0"/>
          <w:marRight w:val="0"/>
          <w:marTop w:val="86"/>
          <w:marBottom w:val="86"/>
          <w:divBdr>
            <w:top w:val="none" w:sz="0" w:space="0" w:color="auto"/>
            <w:left w:val="none" w:sz="0" w:space="0" w:color="auto"/>
            <w:bottom w:val="none" w:sz="0" w:space="0" w:color="auto"/>
            <w:right w:val="none" w:sz="0" w:space="0" w:color="auto"/>
          </w:divBdr>
        </w:div>
        <w:div w:id="1530678050">
          <w:marLeft w:val="0"/>
          <w:marRight w:val="0"/>
          <w:marTop w:val="86"/>
          <w:marBottom w:val="86"/>
          <w:divBdr>
            <w:top w:val="none" w:sz="0" w:space="0" w:color="auto"/>
            <w:left w:val="none" w:sz="0" w:space="0" w:color="auto"/>
            <w:bottom w:val="none" w:sz="0" w:space="0" w:color="auto"/>
            <w:right w:val="none" w:sz="0" w:space="0" w:color="auto"/>
          </w:divBdr>
        </w:div>
        <w:div w:id="1657028471">
          <w:marLeft w:val="0"/>
          <w:marRight w:val="0"/>
          <w:marTop w:val="86"/>
          <w:marBottom w:val="86"/>
          <w:divBdr>
            <w:top w:val="none" w:sz="0" w:space="0" w:color="auto"/>
            <w:left w:val="none" w:sz="0" w:space="0" w:color="auto"/>
            <w:bottom w:val="none" w:sz="0" w:space="0" w:color="auto"/>
            <w:right w:val="none" w:sz="0" w:space="0" w:color="auto"/>
          </w:divBdr>
        </w:div>
        <w:div w:id="1693342179">
          <w:marLeft w:val="0"/>
          <w:marRight w:val="0"/>
          <w:marTop w:val="86"/>
          <w:marBottom w:val="86"/>
          <w:divBdr>
            <w:top w:val="none" w:sz="0" w:space="0" w:color="auto"/>
            <w:left w:val="none" w:sz="0" w:space="0" w:color="auto"/>
            <w:bottom w:val="none" w:sz="0" w:space="0" w:color="auto"/>
            <w:right w:val="none" w:sz="0" w:space="0" w:color="auto"/>
          </w:divBdr>
        </w:div>
        <w:div w:id="2023896974">
          <w:marLeft w:val="0"/>
          <w:marRight w:val="0"/>
          <w:marTop w:val="86"/>
          <w:marBottom w:val="86"/>
          <w:divBdr>
            <w:top w:val="none" w:sz="0" w:space="0" w:color="auto"/>
            <w:left w:val="none" w:sz="0" w:space="0" w:color="auto"/>
            <w:bottom w:val="none" w:sz="0" w:space="0" w:color="auto"/>
            <w:right w:val="none" w:sz="0" w:space="0" w:color="auto"/>
          </w:divBdr>
        </w:div>
        <w:div w:id="2067020956">
          <w:marLeft w:val="0"/>
          <w:marRight w:val="0"/>
          <w:marTop w:val="86"/>
          <w:marBottom w:val="8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cbd.int/doc/c/b42c/6de3/2e2b839fcd458c968fa57400/abs-cbiac-2018-01-02-en.pdf" TargetMode="External"/><Relationship Id="rId26" Type="http://schemas.openxmlformats.org/officeDocument/2006/relationships/hyperlink" Target="http://www.undp.org/"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chart" Target="charts/chart2.xml"/><Relationship Id="rId34" Type="http://schemas.openxmlformats.org/officeDocument/2006/relationships/chart" Target="charts/chart6.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cbd.int/doc/meetings/abs/abscbiac-2016-01/official/abscbiac-2016-01-02-en.pdf" TargetMode="External"/><Relationship Id="rId25" Type="http://schemas.openxmlformats.org/officeDocument/2006/relationships/hyperlink" Target="https://www.thegef.org/" TargetMode="External"/><Relationship Id="rId33" Type="http://schemas.openxmlformats.org/officeDocument/2006/relationships/image" Target="media/image4.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bd.int/doc/meetings/abs/abscbiac-2015-01/official/abscbiac-2015-01-02-en.pdf" TargetMode="External"/><Relationship Id="rId20" Type="http://schemas.openxmlformats.org/officeDocument/2006/relationships/chart" Target="charts/chart1.xml"/><Relationship Id="rId29" Type="http://schemas.openxmlformats.org/officeDocument/2006/relationships/hyperlink" Target="https://www.giz.de/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5.xml"/><Relationship Id="rId32" Type="http://schemas.openxmlformats.org/officeDocument/2006/relationships/hyperlink" Target="https://absch.cbd.int/"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bd.int/doc/decisions/np-mop-01/np-mop-01-dec-08-en.pdf" TargetMode="External"/><Relationship Id="rId23" Type="http://schemas.openxmlformats.org/officeDocument/2006/relationships/chart" Target="charts/chart4.xml"/><Relationship Id="rId28" Type="http://schemas.openxmlformats.org/officeDocument/2006/relationships/hyperlink" Target="https://www.unenvironment.org/"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cbd.int/doc/c/afcf/e758/607d3576342330cdc5eec723/np-mop-03-04-en.pdf" TargetMode="External"/><Relationship Id="rId31" Type="http://schemas.openxmlformats.org/officeDocument/2006/relationships/hyperlink" Target="https://www.cbd.int/doc/decisions/np-mop-01/np-mop-01-dec-02-e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chart" Target="charts/chart3.xml"/><Relationship Id="rId27" Type="http://schemas.openxmlformats.org/officeDocument/2006/relationships/hyperlink" Target="http://www.abs-initiative.info/" TargetMode="External"/><Relationship Id="rId30" Type="http://schemas.openxmlformats.org/officeDocument/2006/relationships/hyperlink" Target="https://www.cbd.int/doc/decisions/np-mop-01/np-mop-01-dec-08-en.pdf" TargetMode="External"/><Relationship Id="rId35" Type="http://schemas.openxmlformats.org/officeDocument/2006/relationships/hyperlink" Target="http://www.idlo.i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gp.undp.org/" TargetMode="External"/><Relationship Id="rId2" Type="http://schemas.openxmlformats.org/officeDocument/2006/relationships/hyperlink" Target="http://www.thegef.org/projects" TargetMode="External"/><Relationship Id="rId1" Type="http://schemas.openxmlformats.org/officeDocument/2006/relationships/hyperlink" Target="https://absch.cbd.int/" TargetMode="External"/><Relationship Id="rId6" Type="http://schemas.openxmlformats.org/officeDocument/2006/relationships/hyperlink" Target="https://www.cbd.int/doc/c/66b5/df36/4a44fbd08dedc4e555c35295/abs-cbiac-2018-01-04-en.pdf" TargetMode="External"/><Relationship Id="rId5" Type="http://schemas.openxmlformats.org/officeDocument/2006/relationships/hyperlink" Target="https://scbd.unssc.org/course/index.php?categoryid=4" TargetMode="External"/><Relationship Id="rId4" Type="http://schemas.openxmlformats.org/officeDocument/2006/relationships/hyperlink" Target="https://www.cbd.int/doc/decisions/np-mop-01/np-mop-01-dec-08-en.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Biodiv.org\shares\UserDoc\Working%20Folders\Nagoya%20Protocol\Capacity-building\08%20-%20Evaluation%20Strategic%20Framework\Literature%20review\Matrix%20-%20CB%20projects11_07_2019%20(Autosaved).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Biodiv.org\shares\UserDoc\Working%20Folders\Nagoya%20Protocol\Capacity-building\08%20-%20Evaluation%20Strategic%20Framework\Literature%20review\Matrix%20-%20CB%20projects11_07_2019%20(Autosaved).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Biodiv.org\shares\UserDoc\Working%20Folders\Nagoya%20Protocol\Capacity-building\08%20-%20Evaluation%20Strategic%20Framework\Literature%20review\Matrix%20-%20CB%20projects11_07_2019%20(Autosaved).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Biodiv.org\shares\UserDoc\Working%20Folders\Nagoya%20Protocol\Capacity-building\08%20-%20Evaluation%20Strategic%20Framework\Literature%20review\Matrix%20-%20CB%20projects11_07_2019%20(Autosaved).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Biodiv.org\shares\UserDoc\Working%20Folders\Nagoya%20Protocol\Capacity-building\08%20-%20Evaluation%20Strategic%20Framework\Literature%20review\Matrix%20-%20CB%20projects11_07_2019%20(Autosaved).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Biodiv.org\shares\UserDoc\Working%20Folders\Nagoya%20Protocol\Capacity-building\01%20-%20CB%20Tools%20and%20Resources\List%20of%20cb%20resources-2019091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0" i="0" u="none" strike="noStrike" baseline="0">
                <a:solidFill>
                  <a:srgbClr val="000000"/>
                </a:solidFill>
                <a:latin typeface="Calibri"/>
                <a:ea typeface="Calibri"/>
                <a:cs typeface="Calibri"/>
              </a:defRPr>
            </a:pPr>
            <a:r>
              <a:rPr lang="en-CA" sz="1050" b="1" i="0" u="none" strike="noStrike" baseline="0">
                <a:solidFill>
                  <a:srgbClr val="000000"/>
                </a:solidFill>
                <a:latin typeface="Times New Roman"/>
                <a:cs typeface="Times New Roman"/>
              </a:rPr>
              <a:t>Figure 1: Status of capacity-building initiatives</a:t>
            </a:r>
          </a:p>
          <a:p>
            <a:pPr>
              <a:defRPr sz="1050" b="0" i="0" u="none" strike="noStrike" baseline="0">
                <a:solidFill>
                  <a:srgbClr val="000000"/>
                </a:solidFill>
                <a:latin typeface="Calibri"/>
                <a:ea typeface="Calibri"/>
                <a:cs typeface="Calibri"/>
              </a:defRPr>
            </a:pPr>
            <a:r>
              <a:rPr lang="en-CA" sz="1050" b="0" i="0" u="none" strike="noStrike" baseline="0">
                <a:solidFill>
                  <a:srgbClr val="000000"/>
                </a:solidFill>
                <a:latin typeface="Times New Roman"/>
                <a:cs typeface="Times New Roman"/>
              </a:rPr>
              <a:t>(n=99) </a:t>
            </a:r>
          </a:p>
        </c:rich>
      </c:tx>
      <c:overlay val="0"/>
    </c:title>
    <c:autoTitleDeleted val="0"/>
    <c:plotArea>
      <c:layout/>
      <c:pieChart>
        <c:varyColors val="1"/>
        <c:ser>
          <c:idx val="0"/>
          <c:order val="0"/>
          <c:spPr>
            <a:ln>
              <a:solidFill>
                <a:schemeClr val="tx1"/>
              </a:solidFill>
            </a:ln>
          </c:spPr>
          <c:dPt>
            <c:idx val="0"/>
            <c:bubble3D val="0"/>
            <c:spPr>
              <a:pattFill prst="wdDnDiag">
                <a:fgClr>
                  <a:schemeClr val="tx1"/>
                </a:fgClr>
                <a:bgClr>
                  <a:schemeClr val="bg1"/>
                </a:bgClr>
              </a:pattFill>
              <a:ln>
                <a:solidFill>
                  <a:schemeClr val="tx1"/>
                </a:solidFill>
              </a:ln>
            </c:spPr>
            <c:extLst>
              <c:ext xmlns:c16="http://schemas.microsoft.com/office/drawing/2014/chart" uri="{C3380CC4-5D6E-409C-BE32-E72D297353CC}">
                <c16:uniqueId val="{00000001-0000-49E0-9928-40A4A3201BA8}"/>
              </c:ext>
            </c:extLst>
          </c:dPt>
          <c:dPt>
            <c:idx val="1"/>
            <c:bubble3D val="0"/>
            <c:spPr>
              <a:pattFill prst="pct5">
                <a:fgClr>
                  <a:schemeClr val="tx1"/>
                </a:fgClr>
                <a:bgClr>
                  <a:schemeClr val="bg1"/>
                </a:bgClr>
              </a:pattFill>
              <a:ln>
                <a:solidFill>
                  <a:schemeClr val="tx1"/>
                </a:solidFill>
              </a:ln>
            </c:spPr>
            <c:extLst>
              <c:ext xmlns:c16="http://schemas.microsoft.com/office/drawing/2014/chart" uri="{C3380CC4-5D6E-409C-BE32-E72D297353CC}">
                <c16:uniqueId val="{00000003-0000-49E0-9928-40A4A3201BA8}"/>
              </c:ext>
            </c:extLst>
          </c:dPt>
          <c:dPt>
            <c:idx val="2"/>
            <c:bubble3D val="0"/>
            <c:spPr>
              <a:solidFill>
                <a:schemeClr val="bg1">
                  <a:lumMod val="75000"/>
                </a:schemeClr>
              </a:solidFill>
              <a:ln>
                <a:solidFill>
                  <a:schemeClr val="tx1"/>
                </a:solidFill>
              </a:ln>
            </c:spPr>
            <c:extLst>
              <c:ext xmlns:c16="http://schemas.microsoft.com/office/drawing/2014/chart" uri="{C3380CC4-5D6E-409C-BE32-E72D297353CC}">
                <c16:uniqueId val="{00000005-0000-49E0-9928-40A4A3201BA8}"/>
              </c:ext>
            </c:extLst>
          </c:dPt>
          <c:dPt>
            <c:idx val="3"/>
            <c:bubble3D val="0"/>
            <c:spPr>
              <a:solidFill>
                <a:schemeClr val="tx1"/>
              </a:solidFill>
              <a:ln>
                <a:solidFill>
                  <a:schemeClr val="tx1"/>
                </a:solidFill>
              </a:ln>
            </c:spPr>
            <c:extLst>
              <c:ext xmlns:c16="http://schemas.microsoft.com/office/drawing/2014/chart" uri="{C3380CC4-5D6E-409C-BE32-E72D297353CC}">
                <c16:uniqueId val="{00000007-0000-49E0-9928-40A4A3201BA8}"/>
              </c:ext>
            </c:extLst>
          </c:dPt>
          <c:dLbls>
            <c:dLbl>
              <c:idx val="0"/>
              <c:spPr/>
              <c:txPr>
                <a:bodyPr/>
                <a:lstStyle/>
                <a:p>
                  <a:pPr>
                    <a:defRPr sz="800" b="1" i="0" u="none" strike="noStrike" baseline="0">
                      <a:solidFill>
                        <a:srgbClr val="000000"/>
                      </a:solidFill>
                      <a:latin typeface="Times New Roman"/>
                      <a:ea typeface="Times New Roman"/>
                      <a:cs typeface="Times New Roman"/>
                    </a:defRPr>
                  </a:pPr>
                  <a:endParaRPr lang="en-US"/>
                </a:p>
              </c:txPr>
              <c:showLegendKey val="0"/>
              <c:showVal val="0"/>
              <c:showCatName val="1"/>
              <c:showSerName val="0"/>
              <c:showPercent val="1"/>
              <c:showBubbleSize val="0"/>
              <c:extLst>
                <c:ext xmlns:c16="http://schemas.microsoft.com/office/drawing/2014/chart" uri="{C3380CC4-5D6E-409C-BE32-E72D297353CC}">
                  <c16:uniqueId val="{00000001-0000-49E0-9928-40A4A3201BA8}"/>
                </c:ext>
              </c:extLst>
            </c:dLbl>
            <c:dLbl>
              <c:idx val="1"/>
              <c:spPr/>
              <c:txPr>
                <a:bodyPr/>
                <a:lstStyle/>
                <a:p>
                  <a:pPr>
                    <a:defRPr sz="800" b="1" i="0" u="none" strike="noStrike" baseline="0">
                      <a:solidFill>
                        <a:srgbClr val="000000"/>
                      </a:solidFill>
                      <a:latin typeface="Times New Roman"/>
                      <a:ea typeface="Times New Roman"/>
                      <a:cs typeface="Times New Roman"/>
                    </a:defRPr>
                  </a:pPr>
                  <a:endParaRPr lang="en-US"/>
                </a:p>
              </c:txPr>
              <c:showLegendKey val="0"/>
              <c:showVal val="0"/>
              <c:showCatName val="1"/>
              <c:showSerName val="0"/>
              <c:showPercent val="1"/>
              <c:showBubbleSize val="0"/>
              <c:extLst>
                <c:ext xmlns:c16="http://schemas.microsoft.com/office/drawing/2014/chart" uri="{C3380CC4-5D6E-409C-BE32-E72D297353CC}">
                  <c16:uniqueId val="{00000003-0000-49E0-9928-40A4A3201BA8}"/>
                </c:ext>
              </c:extLst>
            </c:dLbl>
            <c:dLbl>
              <c:idx val="2"/>
              <c:spPr/>
              <c:txPr>
                <a:bodyPr/>
                <a:lstStyle/>
                <a:p>
                  <a:pPr>
                    <a:defRPr sz="800" b="1" i="0" u="none" strike="noStrike" baseline="0">
                      <a:solidFill>
                        <a:srgbClr val="000000"/>
                      </a:solidFill>
                      <a:latin typeface="Times New Roman"/>
                      <a:ea typeface="Times New Roman"/>
                      <a:cs typeface="Times New Roman"/>
                    </a:defRPr>
                  </a:pPr>
                  <a:endParaRPr lang="en-US"/>
                </a:p>
              </c:txPr>
              <c:showLegendKey val="0"/>
              <c:showVal val="0"/>
              <c:showCatName val="1"/>
              <c:showSerName val="0"/>
              <c:showPercent val="1"/>
              <c:showBubbleSize val="0"/>
              <c:extLst>
                <c:ext xmlns:c16="http://schemas.microsoft.com/office/drawing/2014/chart" uri="{C3380CC4-5D6E-409C-BE32-E72D297353CC}">
                  <c16:uniqueId val="{00000005-0000-49E0-9928-40A4A3201BA8}"/>
                </c:ext>
              </c:extLst>
            </c:dLbl>
            <c:dLbl>
              <c:idx val="3"/>
              <c:layout>
                <c:manualLayout>
                  <c:x val="-1.8446850393700788E-2"/>
                  <c:y val="-1.7123668364983788E-2"/>
                </c:manualLayout>
              </c:layout>
              <c:tx>
                <c:rich>
                  <a:bodyPr/>
                  <a:lstStyle/>
                  <a:p>
                    <a:pPr>
                      <a:defRPr sz="800" b="1" i="0" u="none" strike="noStrike" baseline="0">
                        <a:solidFill>
                          <a:srgbClr val="000000"/>
                        </a:solidFill>
                        <a:latin typeface="Times New Roman"/>
                        <a:ea typeface="Times New Roman"/>
                        <a:cs typeface="Times New Roman"/>
                      </a:defRPr>
                    </a:pPr>
                    <a:r>
                      <a:rPr lang="en-US" sz="800"/>
                      <a:t>Completed
41%</a:t>
                    </a:r>
                    <a:endParaRPr lang="en-US"/>
                  </a:p>
                </c:rich>
              </c:tx>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000-49E0-9928-40A4A3201BA8}"/>
                </c:ext>
              </c:extLst>
            </c:dLbl>
            <c:spPr>
              <a:noFill/>
              <a:ln w="25400">
                <a:noFill/>
              </a:ln>
            </c:spPr>
            <c:txPr>
              <a:bodyPr/>
              <a:lstStyle/>
              <a:p>
                <a:pPr>
                  <a:defRPr sz="800" b="1" i="0" u="none" strike="noStrike" baseline="0">
                    <a:solidFill>
                      <a:srgbClr val="000000"/>
                    </a:solidFill>
                    <a:latin typeface="Times New Roman"/>
                    <a:ea typeface="Times New Roman"/>
                    <a:cs typeface="Times New Roman"/>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Analysis!$C$4:$F$4</c:f>
              <c:strCache>
                <c:ptCount val="4"/>
                <c:pt idx="0">
                  <c:v>Proposed</c:v>
                </c:pt>
                <c:pt idx="1">
                  <c:v>Approved</c:v>
                </c:pt>
                <c:pt idx="2">
                  <c:v>Ongoing</c:v>
                </c:pt>
                <c:pt idx="3">
                  <c:v>Completed</c:v>
                </c:pt>
              </c:strCache>
            </c:strRef>
          </c:cat>
          <c:val>
            <c:numRef>
              <c:f>Analysis!$C$10:$F$10</c:f>
              <c:numCache>
                <c:formatCode>General</c:formatCode>
                <c:ptCount val="4"/>
                <c:pt idx="0">
                  <c:v>6</c:v>
                </c:pt>
                <c:pt idx="1">
                  <c:v>12</c:v>
                </c:pt>
                <c:pt idx="2">
                  <c:v>40</c:v>
                </c:pt>
                <c:pt idx="3">
                  <c:v>41</c:v>
                </c:pt>
              </c:numCache>
            </c:numRef>
          </c:val>
          <c:extLst>
            <c:ext xmlns:c16="http://schemas.microsoft.com/office/drawing/2014/chart" uri="{C3380CC4-5D6E-409C-BE32-E72D297353CC}">
              <c16:uniqueId val="{00000008-0000-49E0-9928-40A4A3201BA8}"/>
            </c:ext>
          </c:extLst>
        </c:ser>
        <c:dLbls>
          <c:showLegendKey val="0"/>
          <c:showVal val="0"/>
          <c:showCatName val="0"/>
          <c:showSerName val="0"/>
          <c:showPercent val="0"/>
          <c:showBubbleSize val="0"/>
          <c:showLeaderLines val="1"/>
        </c:dLbls>
        <c:firstSliceAng val="0"/>
      </c:pieChart>
      <c:spPr>
        <a:noFill/>
        <a:ln w="25400">
          <a:noFill/>
        </a:ln>
      </c:spPr>
    </c:plotArea>
    <c:plotVisOnly val="1"/>
    <c:dispBlanksAs val="gap"/>
    <c:showDLblsOverMax val="0"/>
  </c:chart>
  <c:spPr>
    <a:noFill/>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sz="1050" b="0" i="0" u="none" strike="noStrike" baseline="0">
                <a:solidFill>
                  <a:srgbClr val="000000"/>
                </a:solidFill>
                <a:latin typeface="Times New Roman"/>
                <a:ea typeface="Times New Roman"/>
                <a:cs typeface="Times New Roman"/>
              </a:defRPr>
            </a:pPr>
            <a:r>
              <a:rPr lang="en-CA" sz="1050" b="1" i="0" u="none" strike="noStrike" baseline="0">
                <a:solidFill>
                  <a:srgbClr val="000000"/>
                </a:solidFill>
                <a:latin typeface="Times New Roman"/>
                <a:cs typeface="Times New Roman"/>
              </a:rPr>
              <a:t>Figure 2: Capacity-building initiatives by type and region</a:t>
            </a:r>
          </a:p>
          <a:p>
            <a:pPr>
              <a:defRPr sz="1050" b="0" i="0" u="none" strike="noStrike" baseline="0">
                <a:solidFill>
                  <a:srgbClr val="000000"/>
                </a:solidFill>
                <a:latin typeface="Times New Roman"/>
                <a:ea typeface="Times New Roman"/>
                <a:cs typeface="Times New Roman"/>
              </a:defRPr>
            </a:pPr>
            <a:r>
              <a:rPr lang="en-CA" sz="1050" b="0" i="0" u="none" strike="noStrike" baseline="0">
                <a:solidFill>
                  <a:srgbClr val="000000"/>
                </a:solidFill>
                <a:latin typeface="Times New Roman"/>
                <a:cs typeface="Times New Roman"/>
              </a:rPr>
              <a:t>(n=99) </a:t>
            </a:r>
          </a:p>
        </c:rich>
      </c:tx>
      <c:overlay val="0"/>
    </c:title>
    <c:autoTitleDeleted val="0"/>
    <c:plotArea>
      <c:layout>
        <c:manualLayout>
          <c:layoutTarget val="inner"/>
          <c:xMode val="edge"/>
          <c:yMode val="edge"/>
          <c:x val="0.12458642080348993"/>
          <c:y val="0.29214129483814522"/>
          <c:w val="0.84659890991032805"/>
          <c:h val="0.4785345581802275"/>
        </c:manualLayout>
      </c:layout>
      <c:barChart>
        <c:barDir val="col"/>
        <c:grouping val="stacked"/>
        <c:varyColors val="0"/>
        <c:ser>
          <c:idx val="0"/>
          <c:order val="0"/>
          <c:tx>
            <c:strRef>
              <c:f>Analysis!$C$38</c:f>
              <c:strCache>
                <c:ptCount val="1"/>
                <c:pt idx="0">
                  <c:v>National</c:v>
                </c:pt>
              </c:strCache>
            </c:strRef>
          </c:tx>
          <c:spPr>
            <a:solidFill>
              <a:schemeClr val="tx1">
                <a:lumMod val="50000"/>
                <a:lumOff val="50000"/>
              </a:schemeClr>
            </a:solidFill>
          </c:spPr>
          <c:invertIfNegative val="0"/>
          <c:dLbls>
            <c:dLbl>
              <c:idx val="4"/>
              <c:delete val="1"/>
              <c:extLst>
                <c:ext xmlns:c15="http://schemas.microsoft.com/office/drawing/2012/chart" uri="{CE6537A1-D6FC-4f65-9D91-7224C49458BB}"/>
                <c:ext xmlns:c16="http://schemas.microsoft.com/office/drawing/2014/chart" uri="{C3380CC4-5D6E-409C-BE32-E72D297353CC}">
                  <c16:uniqueId val="{00000000-27A2-41DE-B196-FDD3906A13D1}"/>
                </c:ext>
              </c:extLst>
            </c:dLbl>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Analysis!$B$39:$B$43</c:f>
              <c:strCache>
                <c:ptCount val="5"/>
                <c:pt idx="0">
                  <c:v>Africa</c:v>
                </c:pt>
                <c:pt idx="1">
                  <c:v>Asia-Pacific</c:v>
                </c:pt>
                <c:pt idx="2">
                  <c:v>CEE</c:v>
                </c:pt>
                <c:pt idx="3">
                  <c:v>GRULAC</c:v>
                </c:pt>
                <c:pt idx="4">
                  <c:v>Global</c:v>
                </c:pt>
              </c:strCache>
            </c:strRef>
          </c:cat>
          <c:val>
            <c:numRef>
              <c:f>Analysis!$C$39:$C$43</c:f>
              <c:numCache>
                <c:formatCode>General</c:formatCode>
                <c:ptCount val="5"/>
                <c:pt idx="0">
                  <c:v>34</c:v>
                </c:pt>
                <c:pt idx="1">
                  <c:v>27</c:v>
                </c:pt>
                <c:pt idx="2">
                  <c:v>1</c:v>
                </c:pt>
                <c:pt idx="3">
                  <c:v>18</c:v>
                </c:pt>
                <c:pt idx="4">
                  <c:v>0</c:v>
                </c:pt>
              </c:numCache>
            </c:numRef>
          </c:val>
          <c:extLst>
            <c:ext xmlns:c16="http://schemas.microsoft.com/office/drawing/2014/chart" uri="{C3380CC4-5D6E-409C-BE32-E72D297353CC}">
              <c16:uniqueId val="{00000001-27A2-41DE-B196-FDD3906A13D1}"/>
            </c:ext>
          </c:extLst>
        </c:ser>
        <c:ser>
          <c:idx val="1"/>
          <c:order val="1"/>
          <c:tx>
            <c:strRef>
              <c:f>Analysis!$D$38</c:f>
              <c:strCache>
                <c:ptCount val="1"/>
                <c:pt idx="0">
                  <c:v>Regional/subregional</c:v>
                </c:pt>
              </c:strCache>
            </c:strRef>
          </c:tx>
          <c:spPr>
            <a:pattFill prst="pct20">
              <a:fgClr>
                <a:schemeClr val="tx1"/>
              </a:fgClr>
              <a:bgClr>
                <a:schemeClr val="bg1"/>
              </a:bgClr>
            </a:pattFill>
            <a:ln>
              <a:noFill/>
            </a:ln>
          </c:spPr>
          <c:invertIfNegative val="0"/>
          <c:dLbls>
            <c:dLbl>
              <c:idx val="2"/>
              <c:layout>
                <c:manualLayout>
                  <c:x val="0"/>
                  <c:y val="-6.9444444444444448E-2"/>
                </c:manualLayout>
              </c:layout>
              <c:spPr/>
              <c:txPr>
                <a:bodyPr/>
                <a:lstStyle/>
                <a:p>
                  <a:pPr>
                    <a:defRPr sz="1000" b="0" i="0" u="none" strike="noStrike" baseline="0">
                      <a:solidFill>
                        <a:srgbClr val="000000"/>
                      </a:solidFill>
                      <a:latin typeface="Times New Roman"/>
                      <a:ea typeface="Times New Roman"/>
                      <a:cs typeface="Times New Roman"/>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7A2-41DE-B196-FDD3906A13D1}"/>
                </c:ext>
              </c:extLst>
            </c:dLbl>
            <c:dLbl>
              <c:idx val="4"/>
              <c:delete val="1"/>
              <c:extLst>
                <c:ext xmlns:c15="http://schemas.microsoft.com/office/drawing/2012/chart" uri="{CE6537A1-D6FC-4f65-9D91-7224C49458BB}"/>
                <c:ext xmlns:c16="http://schemas.microsoft.com/office/drawing/2014/chart" uri="{C3380CC4-5D6E-409C-BE32-E72D297353CC}">
                  <c16:uniqueId val="{00000003-27A2-41DE-B196-FDD3906A13D1}"/>
                </c:ext>
              </c:extLst>
            </c:dLbl>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Analysis!$B$39:$B$43</c:f>
              <c:strCache>
                <c:ptCount val="5"/>
                <c:pt idx="0">
                  <c:v>Africa</c:v>
                </c:pt>
                <c:pt idx="1">
                  <c:v>Asia-Pacific</c:v>
                </c:pt>
                <c:pt idx="2">
                  <c:v>CEE</c:v>
                </c:pt>
                <c:pt idx="3">
                  <c:v>GRULAC</c:v>
                </c:pt>
                <c:pt idx="4">
                  <c:v>Global</c:v>
                </c:pt>
              </c:strCache>
            </c:strRef>
          </c:cat>
          <c:val>
            <c:numRef>
              <c:f>Analysis!$D$39:$D$43</c:f>
              <c:numCache>
                <c:formatCode>General</c:formatCode>
                <c:ptCount val="5"/>
                <c:pt idx="0">
                  <c:v>6</c:v>
                </c:pt>
                <c:pt idx="1">
                  <c:v>4</c:v>
                </c:pt>
                <c:pt idx="2">
                  <c:v>1</c:v>
                </c:pt>
                <c:pt idx="3">
                  <c:v>5</c:v>
                </c:pt>
                <c:pt idx="4">
                  <c:v>0</c:v>
                </c:pt>
              </c:numCache>
            </c:numRef>
          </c:val>
          <c:extLst>
            <c:ext xmlns:c16="http://schemas.microsoft.com/office/drawing/2014/chart" uri="{C3380CC4-5D6E-409C-BE32-E72D297353CC}">
              <c16:uniqueId val="{00000004-27A2-41DE-B196-FDD3906A13D1}"/>
            </c:ext>
          </c:extLst>
        </c:ser>
        <c:ser>
          <c:idx val="2"/>
          <c:order val="2"/>
          <c:tx>
            <c:strRef>
              <c:f>Analysis!$E$38</c:f>
              <c:strCache>
                <c:ptCount val="1"/>
                <c:pt idx="0">
                  <c:v>Global</c:v>
                </c:pt>
              </c:strCache>
            </c:strRef>
          </c:tx>
          <c:spPr>
            <a:pattFill prst="wdUpDiag">
              <a:fgClr>
                <a:schemeClr val="tx1"/>
              </a:fgClr>
              <a:bgClr>
                <a:schemeClr val="bg1"/>
              </a:bgClr>
            </a:pattFill>
          </c:spPr>
          <c:invertIfNegative val="0"/>
          <c:dLbls>
            <c:dLbl>
              <c:idx val="4"/>
              <c:layout>
                <c:manualLayout>
                  <c:x val="0"/>
                  <c:y val="-7.8703703703703706E-2"/>
                </c:manualLayout>
              </c:layout>
              <c:spPr/>
              <c:txPr>
                <a:bodyPr/>
                <a:lstStyle/>
                <a:p>
                  <a:pPr>
                    <a:defRPr sz="1000" b="0" i="0" u="none" strike="noStrike" baseline="0">
                      <a:solidFill>
                        <a:srgbClr val="000000"/>
                      </a:solidFill>
                      <a:latin typeface="Times New Roman"/>
                      <a:ea typeface="Times New Roman"/>
                      <a:cs typeface="Times New Roman"/>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7A2-41DE-B196-FDD3906A13D1}"/>
                </c:ext>
              </c:extLst>
            </c:dLbl>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Analysis!$B$39:$B$43</c:f>
              <c:strCache>
                <c:ptCount val="5"/>
                <c:pt idx="0">
                  <c:v>Africa</c:v>
                </c:pt>
                <c:pt idx="1">
                  <c:v>Asia-Pacific</c:v>
                </c:pt>
                <c:pt idx="2">
                  <c:v>CEE</c:v>
                </c:pt>
                <c:pt idx="3">
                  <c:v>GRULAC</c:v>
                </c:pt>
                <c:pt idx="4">
                  <c:v>Global</c:v>
                </c:pt>
              </c:strCache>
            </c:strRef>
          </c:cat>
          <c:val>
            <c:numRef>
              <c:f>Analysis!$E$39:$E$43</c:f>
              <c:numCache>
                <c:formatCode>General</c:formatCode>
                <c:ptCount val="5"/>
                <c:pt idx="4">
                  <c:v>3</c:v>
                </c:pt>
              </c:numCache>
            </c:numRef>
          </c:val>
          <c:extLst>
            <c:ext xmlns:c16="http://schemas.microsoft.com/office/drawing/2014/chart" uri="{C3380CC4-5D6E-409C-BE32-E72D297353CC}">
              <c16:uniqueId val="{00000006-27A2-41DE-B196-FDD3906A13D1}"/>
            </c:ext>
          </c:extLst>
        </c:ser>
        <c:dLbls>
          <c:showLegendKey val="0"/>
          <c:showVal val="0"/>
          <c:showCatName val="0"/>
          <c:showSerName val="0"/>
          <c:showPercent val="0"/>
          <c:showBubbleSize val="0"/>
        </c:dLbls>
        <c:gapWidth val="75"/>
        <c:overlap val="100"/>
        <c:axId val="94022656"/>
        <c:axId val="94024448"/>
      </c:barChart>
      <c:catAx>
        <c:axId val="94022656"/>
        <c:scaling>
          <c:orientation val="minMax"/>
        </c:scaling>
        <c:delete val="0"/>
        <c:axPos val="b"/>
        <c:numFmt formatCode="General" sourceLinked="1"/>
        <c:majorTickMark val="none"/>
        <c:minorTickMark val="none"/>
        <c:tickLblPos val="nextTo"/>
        <c:txPr>
          <a:bodyPr rot="0" vert="horz"/>
          <a:lstStyle/>
          <a:p>
            <a:pPr>
              <a:defRPr sz="1100" b="0" i="0" u="none" strike="noStrike" baseline="0">
                <a:solidFill>
                  <a:srgbClr val="000000"/>
                </a:solidFill>
                <a:latin typeface="Times New Roman"/>
                <a:ea typeface="Times New Roman"/>
                <a:cs typeface="Times New Roman"/>
              </a:defRPr>
            </a:pPr>
            <a:endParaRPr lang="en-US"/>
          </a:p>
        </c:txPr>
        <c:crossAx val="94024448"/>
        <c:crosses val="autoZero"/>
        <c:auto val="1"/>
        <c:lblAlgn val="ctr"/>
        <c:lblOffset val="100"/>
        <c:noMultiLvlLbl val="0"/>
      </c:catAx>
      <c:valAx>
        <c:axId val="94024448"/>
        <c:scaling>
          <c:orientation val="minMax"/>
        </c:scaling>
        <c:delete val="0"/>
        <c:axPos val="l"/>
        <c:majorGridlines/>
        <c:title>
          <c:tx>
            <c:rich>
              <a:bodyPr/>
              <a:lstStyle/>
              <a:p>
                <a:pPr>
                  <a:defRPr sz="1100" b="1" i="0" u="none" strike="noStrike" baseline="0">
                    <a:solidFill>
                      <a:srgbClr val="000000"/>
                    </a:solidFill>
                    <a:latin typeface="Times New Roman"/>
                    <a:ea typeface="Times New Roman"/>
                    <a:cs typeface="Times New Roman"/>
                  </a:defRPr>
                </a:pPr>
                <a:r>
                  <a:rPr lang="en-CA"/>
                  <a:t>Number of initiatives</a:t>
                </a:r>
              </a:p>
            </c:rich>
          </c:tx>
          <c:overlay val="0"/>
        </c:title>
        <c:numFmt formatCode="General" sourceLinked="1"/>
        <c:majorTickMark val="none"/>
        <c:minorTickMark val="none"/>
        <c:tickLblPos val="nextTo"/>
        <c:spPr>
          <a:ln w="9525">
            <a:noFill/>
          </a:ln>
        </c:spPr>
        <c:txPr>
          <a:bodyPr rot="0" vert="horz"/>
          <a:lstStyle/>
          <a:p>
            <a:pPr>
              <a:defRPr sz="1000" b="0" i="0" u="none" strike="noStrike" baseline="0">
                <a:solidFill>
                  <a:srgbClr val="000000"/>
                </a:solidFill>
                <a:latin typeface="Calibri"/>
                <a:ea typeface="Calibri"/>
                <a:cs typeface="Calibri"/>
              </a:defRPr>
            </a:pPr>
            <a:endParaRPr lang="en-US"/>
          </a:p>
        </c:txPr>
        <c:crossAx val="94022656"/>
        <c:crosses val="autoZero"/>
        <c:crossBetween val="between"/>
        <c:majorUnit val="5"/>
      </c:valAx>
    </c:plotArea>
    <c:legend>
      <c:legendPos val="b"/>
      <c:layout>
        <c:manualLayout>
          <c:xMode val="edge"/>
          <c:yMode val="edge"/>
          <c:x val="0.25895270843082596"/>
          <c:y val="0.89919305707224551"/>
          <c:w val="0.523437981105075"/>
          <c:h val="0.10080690733330465"/>
        </c:manualLayout>
      </c:layout>
      <c:overlay val="0"/>
      <c:txPr>
        <a:bodyPr/>
        <a:lstStyle/>
        <a:p>
          <a:pPr>
            <a:defRPr sz="80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ln w="9525">
      <a:noFill/>
    </a:ln>
  </c:spPr>
  <c:txPr>
    <a:bodyPr/>
    <a:lstStyle/>
    <a:p>
      <a:pPr>
        <a:defRPr sz="1000"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0" i="0" u="none" strike="noStrike" baseline="0">
                <a:solidFill>
                  <a:srgbClr val="000000"/>
                </a:solidFill>
                <a:latin typeface="Calibri"/>
                <a:ea typeface="Calibri"/>
                <a:cs typeface="Calibri"/>
              </a:defRPr>
            </a:pPr>
            <a:r>
              <a:rPr lang="en-CA" sz="1050" b="1" i="0" u="none" strike="noStrike" baseline="0">
                <a:solidFill>
                  <a:srgbClr val="000000"/>
                </a:solidFill>
                <a:latin typeface="Times New Roman"/>
                <a:cs typeface="Times New Roman"/>
              </a:rPr>
              <a:t>Figure 3: Capacity-building initiatives by duration</a:t>
            </a:r>
          </a:p>
          <a:p>
            <a:pPr>
              <a:defRPr sz="1050" b="0" i="0" u="none" strike="noStrike" baseline="0">
                <a:solidFill>
                  <a:srgbClr val="000000"/>
                </a:solidFill>
                <a:latin typeface="Calibri"/>
                <a:ea typeface="Calibri"/>
                <a:cs typeface="Calibri"/>
              </a:defRPr>
            </a:pPr>
            <a:r>
              <a:rPr lang="en-CA" sz="1050" b="0" i="0" u="none" strike="noStrike" baseline="0">
                <a:solidFill>
                  <a:srgbClr val="000000"/>
                </a:solidFill>
                <a:latin typeface="Times New Roman"/>
                <a:cs typeface="Times New Roman"/>
              </a:rPr>
              <a:t>(n= 98)</a:t>
            </a:r>
          </a:p>
        </c:rich>
      </c:tx>
      <c:overlay val="0"/>
    </c:title>
    <c:autoTitleDeleted val="0"/>
    <c:plotArea>
      <c:layout/>
      <c:barChart>
        <c:barDir val="bar"/>
        <c:grouping val="stacked"/>
        <c:varyColors val="0"/>
        <c:ser>
          <c:idx val="0"/>
          <c:order val="0"/>
          <c:tx>
            <c:strRef>
              <c:f>Analysis!$B$23</c:f>
              <c:strCache>
                <c:ptCount val="1"/>
                <c:pt idx="0">
                  <c:v>Africa</c:v>
                </c:pt>
              </c:strCache>
            </c:strRef>
          </c:tx>
          <c:spPr>
            <a:solidFill>
              <a:schemeClr val="tx1">
                <a:lumMod val="50000"/>
                <a:lumOff val="50000"/>
              </a:schemeClr>
            </a:solidFill>
            <a:ln>
              <a:noFill/>
            </a:ln>
          </c:spPr>
          <c:invertIfNegative val="0"/>
          <c:dLbls>
            <c:spPr>
              <a:noFill/>
              <a:ln w="25400">
                <a:noFill/>
              </a:ln>
            </c:spPr>
            <c:txPr>
              <a:bodyPr/>
              <a:lstStyle/>
              <a:p>
                <a:pPr>
                  <a:defRPr sz="1000" b="0" i="0" u="none" strike="noStrike" baseline="0">
                    <a:solidFill>
                      <a:srgbClr val="FFFFFF"/>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Analysis!$C$22:$E$22</c:f>
              <c:strCache>
                <c:ptCount val="3"/>
                <c:pt idx="0">
                  <c:v>&lt; 2 years</c:v>
                </c:pt>
                <c:pt idx="1">
                  <c:v>2-5 years</c:v>
                </c:pt>
                <c:pt idx="2">
                  <c:v>&gt; 5 years</c:v>
                </c:pt>
              </c:strCache>
            </c:strRef>
          </c:cat>
          <c:val>
            <c:numRef>
              <c:f>Analysis!$C$23:$E$23</c:f>
              <c:numCache>
                <c:formatCode>General</c:formatCode>
                <c:ptCount val="3"/>
                <c:pt idx="0">
                  <c:v>7</c:v>
                </c:pt>
                <c:pt idx="1">
                  <c:v>26</c:v>
                </c:pt>
                <c:pt idx="2">
                  <c:v>7</c:v>
                </c:pt>
              </c:numCache>
            </c:numRef>
          </c:val>
          <c:extLst>
            <c:ext xmlns:c16="http://schemas.microsoft.com/office/drawing/2014/chart" uri="{C3380CC4-5D6E-409C-BE32-E72D297353CC}">
              <c16:uniqueId val="{00000000-27A3-4EC1-8399-62042D0852AE}"/>
            </c:ext>
          </c:extLst>
        </c:ser>
        <c:ser>
          <c:idx val="1"/>
          <c:order val="1"/>
          <c:tx>
            <c:strRef>
              <c:f>Analysis!$B$24</c:f>
              <c:strCache>
                <c:ptCount val="1"/>
                <c:pt idx="0">
                  <c:v>Asia-Pacific</c:v>
                </c:pt>
              </c:strCache>
            </c:strRef>
          </c:tx>
          <c:spPr>
            <a:pattFill prst="pct10">
              <a:fgClr>
                <a:schemeClr val="tx1"/>
              </a:fgClr>
              <a:bgClr>
                <a:schemeClr val="bg1"/>
              </a:bgClr>
            </a:pattFill>
            <a:ln>
              <a:noFill/>
            </a:ln>
          </c:spPr>
          <c:invertIfNegative val="0"/>
          <c:dLbls>
            <c:spPr>
              <a:noFill/>
              <a:ln w="25400">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Analysis!$C$22:$E$22</c:f>
              <c:strCache>
                <c:ptCount val="3"/>
                <c:pt idx="0">
                  <c:v>&lt; 2 years</c:v>
                </c:pt>
                <c:pt idx="1">
                  <c:v>2-5 years</c:v>
                </c:pt>
                <c:pt idx="2">
                  <c:v>&gt; 5 years</c:v>
                </c:pt>
              </c:strCache>
            </c:strRef>
          </c:cat>
          <c:val>
            <c:numRef>
              <c:f>Analysis!$C$24:$E$24</c:f>
              <c:numCache>
                <c:formatCode>General</c:formatCode>
                <c:ptCount val="3"/>
                <c:pt idx="0">
                  <c:v>3</c:v>
                </c:pt>
                <c:pt idx="1">
                  <c:v>26</c:v>
                </c:pt>
                <c:pt idx="2">
                  <c:v>2</c:v>
                </c:pt>
              </c:numCache>
            </c:numRef>
          </c:val>
          <c:extLst>
            <c:ext xmlns:c16="http://schemas.microsoft.com/office/drawing/2014/chart" uri="{C3380CC4-5D6E-409C-BE32-E72D297353CC}">
              <c16:uniqueId val="{00000001-27A3-4EC1-8399-62042D0852AE}"/>
            </c:ext>
          </c:extLst>
        </c:ser>
        <c:ser>
          <c:idx val="2"/>
          <c:order val="2"/>
          <c:tx>
            <c:strRef>
              <c:f>Analysis!$B$25</c:f>
              <c:strCache>
                <c:ptCount val="1"/>
                <c:pt idx="0">
                  <c:v>CEE</c:v>
                </c:pt>
              </c:strCache>
            </c:strRef>
          </c:tx>
          <c:spPr>
            <a:solidFill>
              <a:schemeClr val="tx1">
                <a:lumMod val="50000"/>
                <a:lumOff val="50000"/>
              </a:schemeClr>
            </a:solidFill>
            <a:ln>
              <a:noFill/>
            </a:ln>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27A3-4EC1-8399-62042D0852AE}"/>
                </c:ext>
              </c:extLst>
            </c:dLbl>
            <c:dLbl>
              <c:idx val="3"/>
              <c:delete val="1"/>
              <c:extLst>
                <c:ext xmlns:c15="http://schemas.microsoft.com/office/drawing/2012/chart" uri="{CE6537A1-D6FC-4f65-9D91-7224C49458BB}"/>
                <c:ext xmlns:c16="http://schemas.microsoft.com/office/drawing/2014/chart" uri="{C3380CC4-5D6E-409C-BE32-E72D297353CC}">
                  <c16:uniqueId val="{00000003-27A3-4EC1-8399-62042D0852AE}"/>
                </c:ext>
              </c:extLst>
            </c:dLbl>
            <c:spPr>
              <a:noFill/>
              <a:ln w="25400">
                <a:noFill/>
              </a:ln>
            </c:spPr>
            <c:txPr>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Analysis!$C$22:$E$22</c:f>
              <c:strCache>
                <c:ptCount val="3"/>
                <c:pt idx="0">
                  <c:v>&lt; 2 years</c:v>
                </c:pt>
                <c:pt idx="1">
                  <c:v>2-5 years</c:v>
                </c:pt>
                <c:pt idx="2">
                  <c:v>&gt; 5 years</c:v>
                </c:pt>
              </c:strCache>
            </c:strRef>
          </c:cat>
          <c:val>
            <c:numRef>
              <c:f>Analysis!$C$25:$E$25</c:f>
              <c:numCache>
                <c:formatCode>General</c:formatCode>
                <c:ptCount val="3"/>
                <c:pt idx="0">
                  <c:v>0</c:v>
                </c:pt>
                <c:pt idx="1">
                  <c:v>1</c:v>
                </c:pt>
                <c:pt idx="2">
                  <c:v>1</c:v>
                </c:pt>
              </c:numCache>
            </c:numRef>
          </c:val>
          <c:extLst>
            <c:ext xmlns:c16="http://schemas.microsoft.com/office/drawing/2014/chart" uri="{C3380CC4-5D6E-409C-BE32-E72D297353CC}">
              <c16:uniqueId val="{00000004-27A3-4EC1-8399-62042D0852AE}"/>
            </c:ext>
          </c:extLst>
        </c:ser>
        <c:ser>
          <c:idx val="3"/>
          <c:order val="3"/>
          <c:tx>
            <c:strRef>
              <c:f>Analysis!$B$26</c:f>
              <c:strCache>
                <c:ptCount val="1"/>
                <c:pt idx="0">
                  <c:v>GRULAC</c:v>
                </c:pt>
              </c:strCache>
            </c:strRef>
          </c:tx>
          <c:spPr>
            <a:solidFill>
              <a:schemeClr val="tx1"/>
            </a:solidFill>
            <a:ln>
              <a:noFill/>
            </a:ln>
          </c:spPr>
          <c:invertIfNegative val="0"/>
          <c:dLbls>
            <c:spPr>
              <a:noFill/>
              <a:ln w="25400">
                <a:noFill/>
              </a:ln>
            </c:spPr>
            <c:txPr>
              <a:bodyPr/>
              <a:lstStyle/>
              <a:p>
                <a:pPr>
                  <a:defRPr sz="1000" b="0" i="0" u="none" strike="noStrike" baseline="0">
                    <a:solidFill>
                      <a:srgbClr val="FFFFFF"/>
                    </a:solidFill>
                    <a:latin typeface="Calibri"/>
                    <a:ea typeface="Calibri"/>
                    <a:cs typeface="Calibri"/>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Analysis!$C$22:$E$22</c:f>
              <c:strCache>
                <c:ptCount val="3"/>
                <c:pt idx="0">
                  <c:v>&lt; 2 years</c:v>
                </c:pt>
                <c:pt idx="1">
                  <c:v>2-5 years</c:v>
                </c:pt>
                <c:pt idx="2">
                  <c:v>&gt; 5 years</c:v>
                </c:pt>
              </c:strCache>
            </c:strRef>
          </c:cat>
          <c:val>
            <c:numRef>
              <c:f>Analysis!$C$26:$E$26</c:f>
              <c:numCache>
                <c:formatCode>General</c:formatCode>
                <c:ptCount val="3"/>
                <c:pt idx="0">
                  <c:v>2</c:v>
                </c:pt>
                <c:pt idx="1">
                  <c:v>18</c:v>
                </c:pt>
                <c:pt idx="2">
                  <c:v>2</c:v>
                </c:pt>
              </c:numCache>
            </c:numRef>
          </c:val>
          <c:extLst>
            <c:ext xmlns:c16="http://schemas.microsoft.com/office/drawing/2014/chart" uri="{C3380CC4-5D6E-409C-BE32-E72D297353CC}">
              <c16:uniqueId val="{00000005-27A3-4EC1-8399-62042D0852AE}"/>
            </c:ext>
          </c:extLst>
        </c:ser>
        <c:ser>
          <c:idx val="4"/>
          <c:order val="4"/>
          <c:tx>
            <c:strRef>
              <c:f>Analysis!$B$27</c:f>
              <c:strCache>
                <c:ptCount val="1"/>
                <c:pt idx="0">
                  <c:v>Global</c:v>
                </c:pt>
              </c:strCache>
            </c:strRef>
          </c:tx>
          <c:spPr>
            <a:pattFill prst="wdDnDiag">
              <a:fgClr>
                <a:schemeClr val="tx1"/>
              </a:fgClr>
              <a:bgClr>
                <a:schemeClr val="bg1"/>
              </a:bgClr>
            </a:pattFill>
            <a:ln>
              <a:noFill/>
            </a:ln>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27A3-4EC1-8399-62042D0852AE}"/>
                </c:ext>
              </c:extLst>
            </c:dLbl>
            <c:dLbl>
              <c:idx val="1"/>
              <c:layout>
                <c:manualLayout>
                  <c:x val="3.1457955232909861E-2"/>
                  <c:y val="-1.0721123712016836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1B3-4DA1-9FD2-62E446CFE2FA}"/>
                </c:ext>
              </c:extLst>
            </c:dLbl>
            <c:dLbl>
              <c:idx val="2"/>
              <c:delete val="1"/>
              <c:extLst>
                <c:ext xmlns:c15="http://schemas.microsoft.com/office/drawing/2012/chart" uri="{CE6537A1-D6FC-4f65-9D91-7224C49458BB}"/>
                <c:ext xmlns:c16="http://schemas.microsoft.com/office/drawing/2014/chart" uri="{C3380CC4-5D6E-409C-BE32-E72D297353CC}">
                  <c16:uniqueId val="{00000007-27A3-4EC1-8399-62042D0852AE}"/>
                </c:ext>
              </c:extLst>
            </c:dLbl>
            <c:spPr>
              <a:noFill/>
              <a:ln w="25400">
                <a:noFill/>
              </a:ln>
            </c:spPr>
            <c:txPr>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Analysis!$C$22:$E$22</c:f>
              <c:strCache>
                <c:ptCount val="3"/>
                <c:pt idx="0">
                  <c:v>&lt; 2 years</c:v>
                </c:pt>
                <c:pt idx="1">
                  <c:v>2-5 years</c:v>
                </c:pt>
                <c:pt idx="2">
                  <c:v>&gt; 5 years</c:v>
                </c:pt>
              </c:strCache>
            </c:strRef>
          </c:cat>
          <c:val>
            <c:numRef>
              <c:f>Analysis!$C$27:$E$27</c:f>
              <c:numCache>
                <c:formatCode>General</c:formatCode>
                <c:ptCount val="3"/>
                <c:pt idx="0">
                  <c:v>0</c:v>
                </c:pt>
                <c:pt idx="1">
                  <c:v>3</c:v>
                </c:pt>
                <c:pt idx="2">
                  <c:v>0</c:v>
                </c:pt>
              </c:numCache>
            </c:numRef>
          </c:val>
          <c:extLst>
            <c:ext xmlns:c16="http://schemas.microsoft.com/office/drawing/2014/chart" uri="{C3380CC4-5D6E-409C-BE32-E72D297353CC}">
              <c16:uniqueId val="{00000008-27A3-4EC1-8399-62042D0852AE}"/>
            </c:ext>
          </c:extLst>
        </c:ser>
        <c:dLbls>
          <c:showLegendKey val="0"/>
          <c:showVal val="0"/>
          <c:showCatName val="0"/>
          <c:showSerName val="0"/>
          <c:showPercent val="0"/>
          <c:showBubbleSize val="0"/>
        </c:dLbls>
        <c:gapWidth val="55"/>
        <c:overlap val="100"/>
        <c:axId val="116542848"/>
        <c:axId val="116553600"/>
      </c:barChart>
      <c:catAx>
        <c:axId val="116542848"/>
        <c:scaling>
          <c:orientation val="minMax"/>
        </c:scaling>
        <c:delete val="0"/>
        <c:axPos val="l"/>
        <c:title>
          <c:tx>
            <c:rich>
              <a:bodyPr/>
              <a:lstStyle/>
              <a:p>
                <a:pPr>
                  <a:defRPr sz="1100" b="1" i="0" u="none" strike="noStrike" baseline="0">
                    <a:solidFill>
                      <a:srgbClr val="000000"/>
                    </a:solidFill>
                    <a:latin typeface="Times New Roman"/>
                    <a:ea typeface="Times New Roman"/>
                    <a:cs typeface="Times New Roman"/>
                  </a:defRPr>
                </a:pPr>
                <a:r>
                  <a:rPr lang="en-CA"/>
                  <a:t>Duration (years)</a:t>
                </a:r>
              </a:p>
            </c:rich>
          </c:tx>
          <c:overlay val="0"/>
        </c:title>
        <c:numFmt formatCode="General" sourceLinked="1"/>
        <c:majorTickMark val="none"/>
        <c:minorTickMark val="none"/>
        <c:tickLblPos val="nextTo"/>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116553600"/>
        <c:crosses val="autoZero"/>
        <c:auto val="1"/>
        <c:lblAlgn val="ctr"/>
        <c:lblOffset val="100"/>
        <c:noMultiLvlLbl val="0"/>
      </c:catAx>
      <c:valAx>
        <c:axId val="116553600"/>
        <c:scaling>
          <c:orientation val="minMax"/>
        </c:scaling>
        <c:delete val="0"/>
        <c:axPos val="b"/>
        <c:majorGridlines/>
        <c:numFmt formatCode="General" sourceLinked="1"/>
        <c:majorTickMark val="none"/>
        <c:minorTickMark val="none"/>
        <c:tickLblPos val="nextTo"/>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116542848"/>
        <c:crosses val="autoZero"/>
        <c:crossBetween val="between"/>
      </c:valAx>
    </c:plotArea>
    <c:legend>
      <c:legendPos val="r"/>
      <c:overlay val="0"/>
      <c:txPr>
        <a:bodyPr/>
        <a:lstStyle/>
        <a:p>
          <a:pPr>
            <a:defRPr sz="90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0" i="0" u="none" strike="noStrike" baseline="0">
                <a:solidFill>
                  <a:srgbClr val="000000"/>
                </a:solidFill>
                <a:latin typeface="Calibri"/>
                <a:ea typeface="Calibri"/>
                <a:cs typeface="Calibri"/>
              </a:defRPr>
            </a:pPr>
            <a:r>
              <a:rPr lang="en-CA" sz="1050" b="1" i="0" u="none" strike="noStrike" baseline="0">
                <a:solidFill>
                  <a:srgbClr val="000000"/>
                </a:solidFill>
                <a:latin typeface="Times New Roman"/>
                <a:cs typeface="Times New Roman"/>
              </a:rPr>
              <a:t>Figure 4: Level of core funding for national capacity-building initiatives</a:t>
            </a:r>
            <a:endParaRPr lang="en-CA" sz="1050" b="0" i="0" u="none" strike="noStrike" baseline="0">
              <a:solidFill>
                <a:srgbClr val="000000"/>
              </a:solidFill>
              <a:latin typeface="Times New Roman"/>
              <a:cs typeface="Times New Roman"/>
            </a:endParaRPr>
          </a:p>
          <a:p>
            <a:pPr>
              <a:defRPr sz="1050" b="0" i="0" u="none" strike="noStrike" baseline="0">
                <a:solidFill>
                  <a:srgbClr val="000000"/>
                </a:solidFill>
                <a:latin typeface="Calibri"/>
                <a:ea typeface="Calibri"/>
                <a:cs typeface="Calibri"/>
              </a:defRPr>
            </a:pPr>
            <a:r>
              <a:rPr lang="en-CA" sz="1050" b="0" i="0" u="none" strike="noStrike" baseline="0">
                <a:solidFill>
                  <a:srgbClr val="000000"/>
                </a:solidFill>
                <a:latin typeface="Times New Roman"/>
                <a:cs typeface="Times New Roman"/>
              </a:rPr>
              <a:t>(n=79) </a:t>
            </a:r>
          </a:p>
        </c:rich>
      </c:tx>
      <c:overlay val="0"/>
    </c:title>
    <c:autoTitleDeleted val="0"/>
    <c:plotArea>
      <c:layout/>
      <c:barChart>
        <c:barDir val="bar"/>
        <c:grouping val="stacked"/>
        <c:varyColors val="0"/>
        <c:ser>
          <c:idx val="3"/>
          <c:order val="0"/>
          <c:tx>
            <c:strRef>
              <c:f>Analysis!$B$56</c:f>
              <c:strCache>
                <c:ptCount val="1"/>
                <c:pt idx="0">
                  <c:v>Africa</c:v>
                </c:pt>
              </c:strCache>
            </c:strRef>
          </c:tx>
          <c:spPr>
            <a:solidFill>
              <a:schemeClr val="tx1">
                <a:lumMod val="50000"/>
                <a:lumOff val="50000"/>
              </a:schemeClr>
            </a:solidFill>
          </c:spPr>
          <c:invertIfNegative val="0"/>
          <c:dLbls>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Analysis!$C$55:$F$55</c:f>
              <c:strCache>
                <c:ptCount val="3"/>
                <c:pt idx="0">
                  <c:v>&lt; 500,000 USD</c:v>
                </c:pt>
                <c:pt idx="1">
                  <c:v>500,000 -
2,000,000 USD</c:v>
                </c:pt>
                <c:pt idx="2">
                  <c:v>&gt; 2,000,000 USD</c:v>
                </c:pt>
              </c:strCache>
            </c:strRef>
          </c:cat>
          <c:val>
            <c:numRef>
              <c:f>Analysis!$C$56:$F$56</c:f>
              <c:numCache>
                <c:formatCode>General</c:formatCode>
                <c:ptCount val="4"/>
                <c:pt idx="0">
                  <c:v>17</c:v>
                </c:pt>
                <c:pt idx="1">
                  <c:v>7</c:v>
                </c:pt>
                <c:pt idx="2">
                  <c:v>10</c:v>
                </c:pt>
              </c:numCache>
            </c:numRef>
          </c:val>
          <c:extLst>
            <c:ext xmlns:c16="http://schemas.microsoft.com/office/drawing/2014/chart" uri="{C3380CC4-5D6E-409C-BE32-E72D297353CC}">
              <c16:uniqueId val="{00000000-99E1-4871-B69C-F639EAC98841}"/>
            </c:ext>
          </c:extLst>
        </c:ser>
        <c:ser>
          <c:idx val="0"/>
          <c:order val="1"/>
          <c:tx>
            <c:strRef>
              <c:f>Analysis!$B$57</c:f>
              <c:strCache>
                <c:ptCount val="1"/>
                <c:pt idx="0">
                  <c:v>Asia-Pacific</c:v>
                </c:pt>
              </c:strCache>
            </c:strRef>
          </c:tx>
          <c:spPr>
            <a:pattFill prst="pct20">
              <a:fgClr>
                <a:schemeClr val="tx1"/>
              </a:fgClr>
              <a:bgClr>
                <a:schemeClr val="bg1"/>
              </a:bgClr>
            </a:pattFill>
          </c:spPr>
          <c:invertIfNegative val="0"/>
          <c:dLbls>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Analysis!$C$55:$F$55</c:f>
              <c:strCache>
                <c:ptCount val="3"/>
                <c:pt idx="0">
                  <c:v>&lt; 500,000 USD</c:v>
                </c:pt>
                <c:pt idx="1">
                  <c:v>500,000 -
2,000,000 USD</c:v>
                </c:pt>
                <c:pt idx="2">
                  <c:v>&gt; 2,000,000 USD</c:v>
                </c:pt>
              </c:strCache>
            </c:strRef>
          </c:cat>
          <c:val>
            <c:numRef>
              <c:f>Analysis!$C$57:$F$57</c:f>
              <c:numCache>
                <c:formatCode>General</c:formatCode>
                <c:ptCount val="4"/>
                <c:pt idx="0">
                  <c:v>11</c:v>
                </c:pt>
                <c:pt idx="1">
                  <c:v>9</c:v>
                </c:pt>
                <c:pt idx="2">
                  <c:v>7</c:v>
                </c:pt>
              </c:numCache>
            </c:numRef>
          </c:val>
          <c:extLst>
            <c:ext xmlns:c16="http://schemas.microsoft.com/office/drawing/2014/chart" uri="{C3380CC4-5D6E-409C-BE32-E72D297353CC}">
              <c16:uniqueId val="{00000001-99E1-4871-B69C-F639EAC98841}"/>
            </c:ext>
          </c:extLst>
        </c:ser>
        <c:ser>
          <c:idx val="1"/>
          <c:order val="2"/>
          <c:tx>
            <c:strRef>
              <c:f>Analysis!$B$58</c:f>
              <c:strCache>
                <c:ptCount val="1"/>
                <c:pt idx="0">
                  <c:v>CEE</c:v>
                </c:pt>
              </c:strCache>
            </c:strRef>
          </c:tx>
          <c:spPr>
            <a:pattFill prst="wdUpDiag">
              <a:fgClr>
                <a:schemeClr val="tx1"/>
              </a:fgClr>
              <a:bgClr>
                <a:schemeClr val="bg1"/>
              </a:bgClr>
            </a:pattFill>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99E1-4871-B69C-F639EAC98841}"/>
                </c:ext>
              </c:extLst>
            </c:dLbl>
            <c:dLbl>
              <c:idx val="2"/>
              <c:delete val="1"/>
              <c:extLst>
                <c:ext xmlns:c15="http://schemas.microsoft.com/office/drawing/2012/chart" uri="{CE6537A1-D6FC-4f65-9D91-7224C49458BB}"/>
                <c:ext xmlns:c16="http://schemas.microsoft.com/office/drawing/2014/chart" uri="{C3380CC4-5D6E-409C-BE32-E72D297353CC}">
                  <c16:uniqueId val="{00000003-99E1-4871-B69C-F639EAC98841}"/>
                </c:ext>
              </c:extLst>
            </c:dLbl>
            <c:dLbl>
              <c:idx val="3"/>
              <c:delete val="1"/>
              <c:extLst>
                <c:ext xmlns:c15="http://schemas.microsoft.com/office/drawing/2012/chart" uri="{CE6537A1-D6FC-4f65-9D91-7224C49458BB}"/>
                <c:ext xmlns:c16="http://schemas.microsoft.com/office/drawing/2014/chart" uri="{C3380CC4-5D6E-409C-BE32-E72D297353CC}">
                  <c16:uniqueId val="{00000004-99E1-4871-B69C-F639EAC98841}"/>
                </c:ext>
              </c:extLst>
            </c:dLbl>
            <c:spPr>
              <a:noFill/>
              <a:ln w="25400">
                <a:noFill/>
              </a:ln>
            </c:spPr>
            <c:txPr>
              <a:bodyPr/>
              <a:lstStyle/>
              <a:p>
                <a:pPr>
                  <a:defRPr sz="10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Analysis!$C$55:$F$55</c:f>
              <c:strCache>
                <c:ptCount val="3"/>
                <c:pt idx="0">
                  <c:v>&lt; 500,000 USD</c:v>
                </c:pt>
                <c:pt idx="1">
                  <c:v>500,000 -
2,000,000 USD</c:v>
                </c:pt>
                <c:pt idx="2">
                  <c:v>&gt; 2,000,000 USD</c:v>
                </c:pt>
              </c:strCache>
            </c:strRef>
          </c:cat>
          <c:val>
            <c:numRef>
              <c:f>Analysis!$C$58:$F$58</c:f>
              <c:numCache>
                <c:formatCode>General</c:formatCode>
                <c:ptCount val="4"/>
                <c:pt idx="0">
                  <c:v>0</c:v>
                </c:pt>
                <c:pt idx="1">
                  <c:v>1</c:v>
                </c:pt>
                <c:pt idx="2">
                  <c:v>0</c:v>
                </c:pt>
              </c:numCache>
            </c:numRef>
          </c:val>
          <c:extLst>
            <c:ext xmlns:c16="http://schemas.microsoft.com/office/drawing/2014/chart" uri="{C3380CC4-5D6E-409C-BE32-E72D297353CC}">
              <c16:uniqueId val="{00000005-99E1-4871-B69C-F639EAC98841}"/>
            </c:ext>
          </c:extLst>
        </c:ser>
        <c:ser>
          <c:idx val="2"/>
          <c:order val="3"/>
          <c:tx>
            <c:strRef>
              <c:f>Analysis!$B$59</c:f>
              <c:strCache>
                <c:ptCount val="1"/>
                <c:pt idx="0">
                  <c:v>GRULAC</c:v>
                </c:pt>
              </c:strCache>
            </c:strRef>
          </c:tx>
          <c:spPr>
            <a:solidFill>
              <a:schemeClr val="tx1"/>
            </a:solidFill>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6-99E1-4871-B69C-F639EAC98841}"/>
                </c:ext>
              </c:extLst>
            </c:dLbl>
            <c:spPr>
              <a:noFill/>
              <a:ln w="25400">
                <a:noFill/>
              </a:ln>
            </c:spPr>
            <c:txPr>
              <a:bodyPr/>
              <a:lstStyle/>
              <a:p>
                <a:pPr>
                  <a:defRPr sz="1000" b="0" i="0" u="none" strike="noStrike" baseline="0">
                    <a:solidFill>
                      <a:srgbClr val="FFFFFF"/>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Analysis!$C$55:$F$55</c:f>
              <c:strCache>
                <c:ptCount val="3"/>
                <c:pt idx="0">
                  <c:v>&lt; 500,000 USD</c:v>
                </c:pt>
                <c:pt idx="1">
                  <c:v>500,000 -
2,000,000 USD</c:v>
                </c:pt>
                <c:pt idx="2">
                  <c:v>&gt; 2,000,000 USD</c:v>
                </c:pt>
              </c:strCache>
            </c:strRef>
          </c:cat>
          <c:val>
            <c:numRef>
              <c:f>Analysis!$C$59:$F$59</c:f>
              <c:numCache>
                <c:formatCode>General</c:formatCode>
                <c:ptCount val="4"/>
                <c:pt idx="0">
                  <c:v>2</c:v>
                </c:pt>
                <c:pt idx="1">
                  <c:v>7</c:v>
                </c:pt>
                <c:pt idx="2">
                  <c:v>8</c:v>
                </c:pt>
              </c:numCache>
            </c:numRef>
          </c:val>
          <c:extLst>
            <c:ext xmlns:c16="http://schemas.microsoft.com/office/drawing/2014/chart" uri="{C3380CC4-5D6E-409C-BE32-E72D297353CC}">
              <c16:uniqueId val="{00000007-99E1-4871-B69C-F639EAC98841}"/>
            </c:ext>
          </c:extLst>
        </c:ser>
        <c:dLbls>
          <c:showLegendKey val="0"/>
          <c:showVal val="0"/>
          <c:showCatName val="0"/>
          <c:showSerName val="0"/>
          <c:showPercent val="0"/>
          <c:showBubbleSize val="0"/>
        </c:dLbls>
        <c:gapWidth val="55"/>
        <c:overlap val="100"/>
        <c:axId val="139675904"/>
        <c:axId val="140798208"/>
      </c:barChart>
      <c:catAx>
        <c:axId val="139675904"/>
        <c:scaling>
          <c:orientation val="minMax"/>
        </c:scaling>
        <c:delete val="0"/>
        <c:axPos val="l"/>
        <c:title>
          <c:tx>
            <c:rich>
              <a:bodyPr/>
              <a:lstStyle/>
              <a:p>
                <a:pPr>
                  <a:defRPr sz="1100" b="1" i="0" u="none" strike="noStrike" baseline="0">
                    <a:solidFill>
                      <a:srgbClr val="000000"/>
                    </a:solidFill>
                    <a:latin typeface="Times New Roman"/>
                    <a:ea typeface="Times New Roman"/>
                    <a:cs typeface="Times New Roman"/>
                  </a:defRPr>
                </a:pPr>
                <a:r>
                  <a:rPr lang="en-CA"/>
                  <a:t>Core funding (USD)</a:t>
                </a:r>
              </a:p>
            </c:rich>
          </c:tx>
          <c:overlay val="0"/>
        </c:title>
        <c:numFmt formatCode="General" sourceLinked="1"/>
        <c:majorTickMark val="none"/>
        <c:minorTickMark val="none"/>
        <c:tickLblPos val="nextTo"/>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140798208"/>
        <c:crosses val="autoZero"/>
        <c:auto val="1"/>
        <c:lblAlgn val="ctr"/>
        <c:lblOffset val="100"/>
        <c:noMultiLvlLbl val="0"/>
      </c:catAx>
      <c:valAx>
        <c:axId val="140798208"/>
        <c:scaling>
          <c:orientation val="minMax"/>
        </c:scaling>
        <c:delete val="0"/>
        <c:axPos val="b"/>
        <c:majorGridlines/>
        <c:title>
          <c:tx>
            <c:rich>
              <a:bodyPr/>
              <a:lstStyle/>
              <a:p>
                <a:pPr>
                  <a:defRPr sz="1100" b="1" i="0" u="none" strike="noStrike" baseline="0">
                    <a:solidFill>
                      <a:srgbClr val="000000"/>
                    </a:solidFill>
                    <a:latin typeface="Times New Roman"/>
                    <a:ea typeface="Times New Roman"/>
                    <a:cs typeface="Times New Roman"/>
                  </a:defRPr>
                </a:pPr>
                <a:r>
                  <a:rPr lang="en-CA"/>
                  <a:t>Number of national initiatives </a:t>
                </a:r>
              </a:p>
            </c:rich>
          </c:tx>
          <c:overlay val="0"/>
        </c:title>
        <c:numFmt formatCode="General" sourceLinked="1"/>
        <c:majorTickMark val="none"/>
        <c:minorTickMark val="none"/>
        <c:tickLblPos val="nextTo"/>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139675904"/>
        <c:crosses val="autoZero"/>
        <c:crossBetween val="between"/>
      </c:valAx>
    </c:plotArea>
    <c:legend>
      <c:legendPos val="r"/>
      <c:layout>
        <c:manualLayout>
          <c:xMode val="edge"/>
          <c:yMode val="edge"/>
          <c:x val="0.8525509792045225"/>
          <c:y val="0.19876260637021059"/>
          <c:w val="0.13073454638997073"/>
          <c:h val="0.56191744520680897"/>
        </c:manualLayout>
      </c:layout>
      <c:overlay val="0"/>
      <c:txPr>
        <a:bodyPr/>
        <a:lstStyle/>
        <a:p>
          <a:pPr>
            <a:defRPr sz="80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b="0" i="0" u="none" strike="noStrike" baseline="0">
                <a:solidFill>
                  <a:srgbClr val="000000"/>
                </a:solidFill>
                <a:latin typeface="Calibri"/>
                <a:ea typeface="Calibri"/>
                <a:cs typeface="Calibri"/>
              </a:defRPr>
            </a:pPr>
            <a:r>
              <a:rPr lang="en-CA" sz="1050" b="1" i="0" u="none" strike="noStrike" baseline="0">
                <a:solidFill>
                  <a:srgbClr val="000000"/>
                </a:solidFill>
                <a:latin typeface="Times New Roman"/>
                <a:cs typeface="Times New Roman"/>
              </a:rPr>
              <a:t>Figure 5: Coverage of Key Areas of the Strategic Framework</a:t>
            </a:r>
            <a:endParaRPr lang="en-CA" sz="1050" b="0" i="0" u="none" strike="noStrike" baseline="0">
              <a:solidFill>
                <a:srgbClr val="000000"/>
              </a:solidFill>
              <a:latin typeface="Times New Roman"/>
              <a:cs typeface="Times New Roman"/>
            </a:endParaRPr>
          </a:p>
          <a:p>
            <a:pPr>
              <a:defRPr sz="1050" b="0" i="0" u="none" strike="noStrike" baseline="0">
                <a:solidFill>
                  <a:srgbClr val="000000"/>
                </a:solidFill>
                <a:latin typeface="Calibri"/>
                <a:ea typeface="Calibri"/>
                <a:cs typeface="Calibri"/>
              </a:defRPr>
            </a:pPr>
            <a:r>
              <a:rPr lang="en-CA" sz="1050" b="0" i="0" u="none" strike="noStrike" baseline="0">
                <a:solidFill>
                  <a:srgbClr val="000000"/>
                </a:solidFill>
                <a:latin typeface="Times New Roman"/>
                <a:cs typeface="Times New Roman"/>
              </a:rPr>
              <a:t>(n=93) </a:t>
            </a:r>
          </a:p>
        </c:rich>
      </c:tx>
      <c:overlay val="0"/>
    </c:title>
    <c:autoTitleDeleted val="0"/>
    <c:plotArea>
      <c:layout/>
      <c:barChart>
        <c:barDir val="col"/>
        <c:grouping val="clustered"/>
        <c:varyColors val="0"/>
        <c:ser>
          <c:idx val="0"/>
          <c:order val="0"/>
          <c:tx>
            <c:strRef>
              <c:f>Analysis!$C$72</c:f>
              <c:strCache>
                <c:ptCount val="1"/>
                <c:pt idx="0">
                  <c:v>Key area 1 - Capacity to implement and to comply with the Protocol</c:v>
                </c:pt>
              </c:strCache>
            </c:strRef>
          </c:tx>
          <c:spPr>
            <a:solidFill>
              <a:schemeClr val="tx1"/>
            </a:solidFill>
          </c:spPr>
          <c:invertIfNegative val="0"/>
          <c:dLbls>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Analysis!$C$78</c:f>
              <c:numCache>
                <c:formatCode>General</c:formatCode>
                <c:ptCount val="1"/>
                <c:pt idx="0">
                  <c:v>68</c:v>
                </c:pt>
              </c:numCache>
            </c:numRef>
          </c:val>
          <c:extLst>
            <c:ext xmlns:c16="http://schemas.microsoft.com/office/drawing/2014/chart" uri="{C3380CC4-5D6E-409C-BE32-E72D297353CC}">
              <c16:uniqueId val="{00000000-EC8C-488F-B4D3-C2BE938B800C}"/>
            </c:ext>
          </c:extLst>
        </c:ser>
        <c:ser>
          <c:idx val="1"/>
          <c:order val="1"/>
          <c:tx>
            <c:strRef>
              <c:f>Analysis!$D$72</c:f>
              <c:strCache>
                <c:ptCount val="1"/>
                <c:pt idx="0">
                  <c:v>Key area 2 - Capacity to develop, implement and enforce ABS measures</c:v>
                </c:pt>
              </c:strCache>
            </c:strRef>
          </c:tx>
          <c:spPr>
            <a:pattFill prst="ltUpDiag">
              <a:fgClr>
                <a:schemeClr val="tx1"/>
              </a:fgClr>
              <a:bgClr>
                <a:schemeClr val="bg1"/>
              </a:bgClr>
            </a:pattFill>
          </c:spPr>
          <c:invertIfNegative val="0"/>
          <c:dLbls>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Analysis!$D$78</c:f>
              <c:numCache>
                <c:formatCode>General</c:formatCode>
                <c:ptCount val="1"/>
                <c:pt idx="0">
                  <c:v>80</c:v>
                </c:pt>
              </c:numCache>
            </c:numRef>
          </c:val>
          <c:extLst>
            <c:ext xmlns:c16="http://schemas.microsoft.com/office/drawing/2014/chart" uri="{C3380CC4-5D6E-409C-BE32-E72D297353CC}">
              <c16:uniqueId val="{00000001-EC8C-488F-B4D3-C2BE938B800C}"/>
            </c:ext>
          </c:extLst>
        </c:ser>
        <c:ser>
          <c:idx val="2"/>
          <c:order val="2"/>
          <c:tx>
            <c:strRef>
              <c:f>Analysis!$E$72</c:f>
              <c:strCache>
                <c:ptCount val="1"/>
                <c:pt idx="0">
                  <c:v>Key area 3 - Capacity to negociate MAT</c:v>
                </c:pt>
              </c:strCache>
            </c:strRef>
          </c:tx>
          <c:spPr>
            <a:solidFill>
              <a:schemeClr val="bg1">
                <a:lumMod val="65000"/>
              </a:schemeClr>
            </a:solidFill>
          </c:spPr>
          <c:invertIfNegative val="0"/>
          <c:dLbls>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Analysis!$E$78</c:f>
              <c:numCache>
                <c:formatCode>General</c:formatCode>
                <c:ptCount val="1"/>
                <c:pt idx="0">
                  <c:v>52</c:v>
                </c:pt>
              </c:numCache>
            </c:numRef>
          </c:val>
          <c:extLst>
            <c:ext xmlns:c16="http://schemas.microsoft.com/office/drawing/2014/chart" uri="{C3380CC4-5D6E-409C-BE32-E72D297353CC}">
              <c16:uniqueId val="{00000002-EC8C-488F-B4D3-C2BE938B800C}"/>
            </c:ext>
          </c:extLst>
        </c:ser>
        <c:ser>
          <c:idx val="3"/>
          <c:order val="3"/>
          <c:tx>
            <c:strRef>
              <c:f>Analysis!$F$72</c:f>
              <c:strCache>
                <c:ptCount val="1"/>
                <c:pt idx="0">
                  <c:v>Key area 4 - Capacity of IPLCs and relevant stakeholders to implement the Protocol</c:v>
                </c:pt>
              </c:strCache>
            </c:strRef>
          </c:tx>
          <c:spPr>
            <a:pattFill prst="wdDnDiag">
              <a:fgClr>
                <a:schemeClr val="tx1"/>
              </a:fgClr>
              <a:bgClr>
                <a:schemeClr val="bg1"/>
              </a:bgClr>
            </a:pattFill>
          </c:spPr>
          <c:invertIfNegative val="0"/>
          <c:dLbls>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Analysis!$F$78</c:f>
              <c:numCache>
                <c:formatCode>General</c:formatCode>
                <c:ptCount val="1"/>
                <c:pt idx="0">
                  <c:v>73</c:v>
                </c:pt>
              </c:numCache>
            </c:numRef>
          </c:val>
          <c:extLst>
            <c:ext xmlns:c16="http://schemas.microsoft.com/office/drawing/2014/chart" uri="{C3380CC4-5D6E-409C-BE32-E72D297353CC}">
              <c16:uniqueId val="{00000003-EC8C-488F-B4D3-C2BE938B800C}"/>
            </c:ext>
          </c:extLst>
        </c:ser>
        <c:ser>
          <c:idx val="4"/>
          <c:order val="4"/>
          <c:tx>
            <c:strRef>
              <c:f>Analysis!$G$72</c:f>
              <c:strCache>
                <c:ptCount val="1"/>
                <c:pt idx="0">
                  <c:v>Key area 5 - Capacity to develop endogenous research capabilities</c:v>
                </c:pt>
              </c:strCache>
            </c:strRef>
          </c:tx>
          <c:spPr>
            <a:solidFill>
              <a:schemeClr val="tx1">
                <a:lumMod val="75000"/>
                <a:lumOff val="25000"/>
              </a:schemeClr>
            </a:solidFill>
          </c:spPr>
          <c:invertIfNegative val="0"/>
          <c:dLbls>
            <c:spPr>
              <a:noFill/>
              <a:ln w="25400">
                <a:noFill/>
              </a:ln>
            </c:spPr>
            <c:txPr>
              <a:bodyPr/>
              <a:lstStyle/>
              <a:p>
                <a:pPr>
                  <a:defRPr sz="1000" b="0"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Analysis!$G$78</c:f>
              <c:numCache>
                <c:formatCode>General</c:formatCode>
                <c:ptCount val="1"/>
                <c:pt idx="0">
                  <c:v>53</c:v>
                </c:pt>
              </c:numCache>
            </c:numRef>
          </c:val>
          <c:extLst>
            <c:ext xmlns:c16="http://schemas.microsoft.com/office/drawing/2014/chart" uri="{C3380CC4-5D6E-409C-BE32-E72D297353CC}">
              <c16:uniqueId val="{00000004-EC8C-488F-B4D3-C2BE938B800C}"/>
            </c:ext>
          </c:extLst>
        </c:ser>
        <c:dLbls>
          <c:showLegendKey val="0"/>
          <c:showVal val="0"/>
          <c:showCatName val="0"/>
          <c:showSerName val="0"/>
          <c:showPercent val="0"/>
          <c:showBubbleSize val="0"/>
        </c:dLbls>
        <c:gapWidth val="115"/>
        <c:overlap val="-40"/>
        <c:axId val="175037056"/>
        <c:axId val="225814400"/>
      </c:barChart>
      <c:catAx>
        <c:axId val="175037056"/>
        <c:scaling>
          <c:orientation val="minMax"/>
        </c:scaling>
        <c:delete val="1"/>
        <c:axPos val="b"/>
        <c:majorTickMark val="out"/>
        <c:minorTickMark val="none"/>
        <c:tickLblPos val="nextTo"/>
        <c:crossAx val="225814400"/>
        <c:crosses val="autoZero"/>
        <c:auto val="1"/>
        <c:lblAlgn val="ctr"/>
        <c:lblOffset val="100"/>
        <c:noMultiLvlLbl val="0"/>
      </c:catAx>
      <c:valAx>
        <c:axId val="225814400"/>
        <c:scaling>
          <c:orientation val="minMax"/>
        </c:scaling>
        <c:delete val="0"/>
        <c:axPos val="l"/>
        <c:majorGridlines/>
        <c:title>
          <c:tx>
            <c:rich>
              <a:bodyPr/>
              <a:lstStyle/>
              <a:p>
                <a:pPr>
                  <a:defRPr sz="1000" b="1" i="0" u="none" strike="noStrike" baseline="0">
                    <a:solidFill>
                      <a:srgbClr val="000000"/>
                    </a:solidFill>
                    <a:latin typeface="Times New Roman"/>
                    <a:ea typeface="Times New Roman"/>
                    <a:cs typeface="Times New Roman"/>
                  </a:defRPr>
                </a:pPr>
                <a:r>
                  <a:rPr lang="en-CA"/>
                  <a:t>Number of initiatives</a:t>
                </a:r>
              </a:p>
            </c:rich>
          </c:tx>
          <c:overlay val="0"/>
        </c:title>
        <c:numFmt formatCode="General" sourceLinked="1"/>
        <c:majorTickMark val="none"/>
        <c:minorTickMark val="none"/>
        <c:tickLblPos val="nextTo"/>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175037056"/>
        <c:crosses val="autoZero"/>
        <c:crossBetween val="between"/>
      </c:valAx>
    </c:plotArea>
    <c:legend>
      <c:legendPos val="b"/>
      <c:layout>
        <c:manualLayout>
          <c:xMode val="edge"/>
          <c:yMode val="edge"/>
          <c:x val="0.17329700403303244"/>
          <c:y val="0.75519204465638978"/>
          <c:w val="0.71530199731131172"/>
          <c:h val="0.2227461708131554"/>
        </c:manualLayout>
      </c:layout>
      <c:overlay val="0"/>
      <c:txPr>
        <a:bodyPr/>
        <a:lstStyle/>
        <a:p>
          <a:pPr>
            <a:defRPr sz="845"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Times New Roman"/>
                <a:ea typeface="Times New Roman"/>
                <a:cs typeface="Times New Roman"/>
              </a:defRPr>
            </a:pPr>
            <a:r>
              <a:rPr lang="en-CA"/>
              <a:t>Figure 7: Existing resources in relation to key areas of the strategic framework</a:t>
            </a:r>
          </a:p>
        </c:rich>
      </c:tx>
      <c:layout>
        <c:manualLayout>
          <c:xMode val="edge"/>
          <c:yMode val="edge"/>
          <c:x val="0.1743536231884058"/>
          <c:y val="4.4742729306487698E-2"/>
        </c:manualLayout>
      </c:layout>
      <c:overlay val="0"/>
    </c:title>
    <c:autoTitleDeleted val="0"/>
    <c:plotArea>
      <c:layout/>
      <c:barChart>
        <c:barDir val="col"/>
        <c:grouping val="clustered"/>
        <c:varyColors val="0"/>
        <c:ser>
          <c:idx val="0"/>
          <c:order val="0"/>
          <c:tx>
            <c:strRef>
              <c:f>Analysis!$B$22</c:f>
              <c:strCache>
                <c:ptCount val="1"/>
                <c:pt idx="0">
                  <c:v>Key area 1 - Capacity to implement and to comply with the Protocol</c:v>
                </c:pt>
              </c:strCache>
            </c:strRef>
          </c:tx>
          <c:spPr>
            <a:solidFill>
              <a:schemeClr val="tx1"/>
            </a:solidFill>
          </c:spPr>
          <c:invertIfNegative val="0"/>
          <c:dLbls>
            <c:dLbl>
              <c:idx val="0"/>
              <c:spPr/>
              <c:txPr>
                <a:bodyPr/>
                <a:lstStyle/>
                <a:p>
                  <a:pPr>
                    <a:defRPr sz="1000" b="0" i="0" u="none" strike="noStrike" baseline="0">
                      <a:solidFill>
                        <a:srgbClr val="000000"/>
                      </a:solidFill>
                      <a:latin typeface="Times New Roman"/>
                      <a:ea typeface="Times New Roman"/>
                      <a:cs typeface="Times New Roman"/>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0-58E7-455F-86AA-B42D6D482AF8}"/>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Analysis!$B$23</c:f>
              <c:numCache>
                <c:formatCode>General</c:formatCode>
                <c:ptCount val="1"/>
                <c:pt idx="0">
                  <c:v>70</c:v>
                </c:pt>
              </c:numCache>
            </c:numRef>
          </c:val>
          <c:extLst>
            <c:ext xmlns:c16="http://schemas.microsoft.com/office/drawing/2014/chart" uri="{C3380CC4-5D6E-409C-BE32-E72D297353CC}">
              <c16:uniqueId val="{00000001-58E7-455F-86AA-B42D6D482AF8}"/>
            </c:ext>
          </c:extLst>
        </c:ser>
        <c:ser>
          <c:idx val="1"/>
          <c:order val="1"/>
          <c:tx>
            <c:strRef>
              <c:f>Analysis!$C$22</c:f>
              <c:strCache>
                <c:ptCount val="1"/>
                <c:pt idx="0">
                  <c:v>Key area 2 - Capacity to develop, implement and enforce ABS measures</c:v>
                </c:pt>
              </c:strCache>
            </c:strRef>
          </c:tx>
          <c:spPr>
            <a:pattFill prst="ltUpDiag">
              <a:fgClr>
                <a:schemeClr val="tx1"/>
              </a:fgClr>
              <a:bgClr>
                <a:schemeClr val="bg1"/>
              </a:bgClr>
            </a:pattFill>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Analysis!$C$23</c:f>
              <c:numCache>
                <c:formatCode>General</c:formatCode>
                <c:ptCount val="1"/>
                <c:pt idx="0">
                  <c:v>29</c:v>
                </c:pt>
              </c:numCache>
            </c:numRef>
          </c:val>
          <c:extLst>
            <c:ext xmlns:c16="http://schemas.microsoft.com/office/drawing/2014/chart" uri="{C3380CC4-5D6E-409C-BE32-E72D297353CC}">
              <c16:uniqueId val="{00000002-58E7-455F-86AA-B42D6D482AF8}"/>
            </c:ext>
          </c:extLst>
        </c:ser>
        <c:ser>
          <c:idx val="2"/>
          <c:order val="2"/>
          <c:tx>
            <c:strRef>
              <c:f>Analysis!$D$22</c:f>
              <c:strCache>
                <c:ptCount val="1"/>
                <c:pt idx="0">
                  <c:v>Key area 3 - Capacity to negociate MAT</c:v>
                </c:pt>
              </c:strCache>
            </c:strRef>
          </c:tx>
          <c:spPr>
            <a:solidFill>
              <a:schemeClr val="bg1">
                <a:lumMod val="50000"/>
              </a:schemeClr>
            </a:solidFill>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Analysis!$D$23</c:f>
              <c:numCache>
                <c:formatCode>General</c:formatCode>
                <c:ptCount val="1"/>
                <c:pt idx="0">
                  <c:v>17</c:v>
                </c:pt>
              </c:numCache>
            </c:numRef>
          </c:val>
          <c:extLst>
            <c:ext xmlns:c16="http://schemas.microsoft.com/office/drawing/2014/chart" uri="{C3380CC4-5D6E-409C-BE32-E72D297353CC}">
              <c16:uniqueId val="{00000003-58E7-455F-86AA-B42D6D482AF8}"/>
            </c:ext>
          </c:extLst>
        </c:ser>
        <c:ser>
          <c:idx val="3"/>
          <c:order val="3"/>
          <c:tx>
            <c:strRef>
              <c:f>Analysis!$E$22</c:f>
              <c:strCache>
                <c:ptCount val="1"/>
                <c:pt idx="0">
                  <c:v>Key area 4 - Capacity of IPLCs and relevant stakeholders to implement the Protocol</c:v>
                </c:pt>
              </c:strCache>
            </c:strRef>
          </c:tx>
          <c:spPr>
            <a:pattFill prst="wdDnDiag">
              <a:fgClr>
                <a:schemeClr val="tx1"/>
              </a:fgClr>
              <a:bgClr>
                <a:schemeClr val="bg1"/>
              </a:bgClr>
            </a:pattFill>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Analysis!$E$23</c:f>
              <c:numCache>
                <c:formatCode>General</c:formatCode>
                <c:ptCount val="1"/>
                <c:pt idx="0">
                  <c:v>29</c:v>
                </c:pt>
              </c:numCache>
            </c:numRef>
          </c:val>
          <c:extLst>
            <c:ext xmlns:c16="http://schemas.microsoft.com/office/drawing/2014/chart" uri="{C3380CC4-5D6E-409C-BE32-E72D297353CC}">
              <c16:uniqueId val="{00000004-58E7-455F-86AA-B42D6D482AF8}"/>
            </c:ext>
          </c:extLst>
        </c:ser>
        <c:ser>
          <c:idx val="4"/>
          <c:order val="4"/>
          <c:tx>
            <c:strRef>
              <c:f>Analysis!$F$22</c:f>
              <c:strCache>
                <c:ptCount val="1"/>
                <c:pt idx="0">
                  <c:v>Key area 5 - Capacity to develop endogenous research capabilities</c:v>
                </c:pt>
              </c:strCache>
            </c:strRef>
          </c:tx>
          <c:spPr>
            <a:solidFill>
              <a:schemeClr val="tx1">
                <a:lumMod val="65000"/>
                <a:lumOff val="35000"/>
              </a:schemeClr>
            </a:solidFill>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Analysis!$F$23</c:f>
              <c:numCache>
                <c:formatCode>General</c:formatCode>
                <c:ptCount val="1"/>
                <c:pt idx="0">
                  <c:v>7</c:v>
                </c:pt>
              </c:numCache>
            </c:numRef>
          </c:val>
          <c:extLst>
            <c:ext xmlns:c16="http://schemas.microsoft.com/office/drawing/2014/chart" uri="{C3380CC4-5D6E-409C-BE32-E72D297353CC}">
              <c16:uniqueId val="{00000005-58E7-455F-86AA-B42D6D482AF8}"/>
            </c:ext>
          </c:extLst>
        </c:ser>
        <c:dLbls>
          <c:showLegendKey val="0"/>
          <c:showVal val="0"/>
          <c:showCatName val="0"/>
          <c:showSerName val="0"/>
          <c:showPercent val="0"/>
          <c:showBubbleSize val="0"/>
        </c:dLbls>
        <c:gapWidth val="114"/>
        <c:overlap val="-50"/>
        <c:axId val="483923608"/>
        <c:axId val="1"/>
      </c:barChart>
      <c:catAx>
        <c:axId val="483923608"/>
        <c:scaling>
          <c:orientation val="minMax"/>
        </c:scaling>
        <c:delete val="1"/>
        <c:axPos val="b"/>
        <c:majorTickMark val="out"/>
        <c:minorTickMark val="none"/>
        <c:tickLblPos val="nextTo"/>
        <c:crossAx val="1"/>
        <c:crosses val="autoZero"/>
        <c:auto val="1"/>
        <c:lblAlgn val="ctr"/>
        <c:lblOffset val="100"/>
        <c:noMultiLvlLbl val="0"/>
      </c:catAx>
      <c:valAx>
        <c:axId val="1"/>
        <c:scaling>
          <c:orientation val="minMax"/>
        </c:scaling>
        <c:delete val="0"/>
        <c:axPos val="l"/>
        <c:majorGridlines/>
        <c:title>
          <c:tx>
            <c:rich>
              <a:bodyPr/>
              <a:lstStyle/>
              <a:p>
                <a:pPr>
                  <a:defRPr sz="1000" b="1" i="0" u="none" strike="noStrike" baseline="0">
                    <a:solidFill>
                      <a:srgbClr val="000000"/>
                    </a:solidFill>
                    <a:latin typeface="Times New Roman"/>
                    <a:ea typeface="Times New Roman"/>
                    <a:cs typeface="Times New Roman"/>
                  </a:defRPr>
                </a:pPr>
                <a:r>
                  <a:rPr lang="en-CA"/>
                  <a:t>Number of resources (n=102)</a:t>
                </a:r>
              </a:p>
            </c:rich>
          </c:tx>
          <c:overlay val="0"/>
        </c:title>
        <c:numFmt formatCode="General" sourceLinked="1"/>
        <c:majorTickMark val="none"/>
        <c:minorTickMark val="none"/>
        <c:tickLblPos val="nextTo"/>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483923608"/>
        <c:crosses val="autoZero"/>
        <c:crossBetween val="between"/>
      </c:valAx>
    </c:plotArea>
    <c:legend>
      <c:legendPos val="b"/>
      <c:overlay val="0"/>
      <c:txPr>
        <a:bodyPr/>
        <a:lstStyle/>
        <a:p>
          <a:pPr>
            <a:defRPr sz="755"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538304994064FBAA18310AD3A8B5391"/>
        <w:category>
          <w:name w:val="General"/>
          <w:gallery w:val="placeholder"/>
        </w:category>
        <w:types>
          <w:type w:val="bbPlcHdr"/>
        </w:types>
        <w:behaviors>
          <w:behavior w:val="content"/>
        </w:behaviors>
        <w:guid w:val="{82CFDEC5-9948-408B-B4E0-5A80AB974167}"/>
      </w:docPartPr>
      <w:docPartBody>
        <w:p w:rsidR="002273B1" w:rsidRDefault="002273B1">
          <w:r w:rsidRPr="00C30313">
            <w:rPr>
              <w:rStyle w:val="PlaceholderText"/>
            </w:rPr>
            <w:t>[Subject]</w:t>
          </w:r>
        </w:p>
      </w:docPartBody>
    </w:docPart>
    <w:docPart>
      <w:docPartPr>
        <w:name w:val="C238D7E665AE4961AF9E6887B1801D18"/>
        <w:category>
          <w:name w:val="General"/>
          <w:gallery w:val="placeholder"/>
        </w:category>
        <w:types>
          <w:type w:val="bbPlcHdr"/>
        </w:types>
        <w:behaviors>
          <w:behavior w:val="content"/>
        </w:behaviors>
        <w:guid w:val="{79621D09-59C5-4CB7-83AB-9D2A8CD3AB14}"/>
      </w:docPartPr>
      <w:docPartBody>
        <w:p w:rsidR="00EF4044" w:rsidRDefault="00A416CA" w:rsidP="00A416CA">
          <w:pPr>
            <w:pStyle w:val="C238D7E665AE4961AF9E6887B1801D18"/>
          </w:pPr>
          <w:r w:rsidRPr="00C30313">
            <w:rPr>
              <w:rStyle w:val="PlaceholderText"/>
            </w:rPr>
            <w:t>[Subject]</w:t>
          </w:r>
        </w:p>
      </w:docPartBody>
    </w:docPart>
    <w:docPart>
      <w:docPartPr>
        <w:name w:val="4C826959881B4490BDBA83C1B7B42794"/>
        <w:category>
          <w:name w:val="General"/>
          <w:gallery w:val="placeholder"/>
        </w:category>
        <w:types>
          <w:type w:val="bbPlcHdr"/>
        </w:types>
        <w:behaviors>
          <w:behavior w:val="content"/>
        </w:behaviors>
        <w:guid w:val="{F6AA2726-EE90-4637-BCA8-6F09404FE127}"/>
      </w:docPartPr>
      <w:docPartBody>
        <w:p w:rsidR="00CF5505" w:rsidRDefault="000219AD">
          <w:r w:rsidRPr="00AA33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pitch w:val="variable"/>
    <w:sig w:usb0="81000003" w:usb1="00000000" w:usb2="00000000" w:usb3="00000000" w:csb0="0001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3B1"/>
    <w:rsid w:val="000219AD"/>
    <w:rsid w:val="00051016"/>
    <w:rsid w:val="002273B1"/>
    <w:rsid w:val="00283F50"/>
    <w:rsid w:val="0050767A"/>
    <w:rsid w:val="00510428"/>
    <w:rsid w:val="00890F65"/>
    <w:rsid w:val="00A416CA"/>
    <w:rsid w:val="00A83892"/>
    <w:rsid w:val="00B375F2"/>
    <w:rsid w:val="00CF5505"/>
    <w:rsid w:val="00D61ABD"/>
    <w:rsid w:val="00DC2BA9"/>
    <w:rsid w:val="00E82B38"/>
    <w:rsid w:val="00EF4044"/>
    <w:rsid w:val="00F851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219AD"/>
    <w:rPr>
      <w:color w:val="808080"/>
    </w:rPr>
  </w:style>
  <w:style w:type="paragraph" w:customStyle="1" w:styleId="FB02C4DC491741CDADA99021F48FA04C">
    <w:name w:val="FB02C4DC491741CDADA99021F48FA04C"/>
    <w:rsid w:val="00890F65"/>
    <w:pPr>
      <w:spacing w:after="200" w:line="276" w:lineRule="auto"/>
    </w:pPr>
  </w:style>
  <w:style w:type="paragraph" w:customStyle="1" w:styleId="B2901FB41A884A8BA18FD2DC2FFC245A">
    <w:name w:val="B2901FB41A884A8BA18FD2DC2FFC245A"/>
    <w:rsid w:val="00890F65"/>
    <w:pPr>
      <w:spacing w:after="200" w:line="276" w:lineRule="auto"/>
    </w:pPr>
  </w:style>
  <w:style w:type="paragraph" w:customStyle="1" w:styleId="FB28F4A2B7C74BE0838AD5F774D9FE63">
    <w:name w:val="FB28F4A2B7C74BE0838AD5F774D9FE63"/>
    <w:rsid w:val="00890F65"/>
    <w:pPr>
      <w:spacing w:after="200" w:line="276" w:lineRule="auto"/>
    </w:pPr>
  </w:style>
  <w:style w:type="paragraph" w:customStyle="1" w:styleId="35CBB247DF0F48E78CFC3B133A4C54B7">
    <w:name w:val="35CBB247DF0F48E78CFC3B133A4C54B7"/>
    <w:rsid w:val="00890F65"/>
    <w:pPr>
      <w:spacing w:after="200" w:line="276" w:lineRule="auto"/>
    </w:pPr>
  </w:style>
  <w:style w:type="paragraph" w:customStyle="1" w:styleId="642C09CDD6BF4D06A8E6FDD2DD68FDAC">
    <w:name w:val="642C09CDD6BF4D06A8E6FDD2DD68FDAC"/>
    <w:rsid w:val="00890F65"/>
    <w:pPr>
      <w:spacing w:after="200" w:line="276" w:lineRule="auto"/>
    </w:pPr>
  </w:style>
  <w:style w:type="paragraph" w:customStyle="1" w:styleId="6EED51B6E940407BACAC552845DB52C3">
    <w:name w:val="6EED51B6E940407BACAC552845DB52C3"/>
    <w:rsid w:val="0050767A"/>
    <w:pPr>
      <w:spacing w:after="200" w:line="276" w:lineRule="auto"/>
    </w:pPr>
  </w:style>
  <w:style w:type="paragraph" w:customStyle="1" w:styleId="DF2C9D98554347CC95E4726EFCC6AB97">
    <w:name w:val="DF2C9D98554347CC95E4726EFCC6AB97"/>
    <w:rsid w:val="0050767A"/>
    <w:pPr>
      <w:spacing w:after="200" w:line="276" w:lineRule="auto"/>
    </w:pPr>
  </w:style>
  <w:style w:type="paragraph" w:customStyle="1" w:styleId="1956153D6405477A859BCA3C7987A403">
    <w:name w:val="1956153D6405477A859BCA3C7987A403"/>
    <w:rsid w:val="0050767A"/>
    <w:pPr>
      <w:spacing w:after="200" w:line="276" w:lineRule="auto"/>
    </w:pPr>
  </w:style>
  <w:style w:type="paragraph" w:customStyle="1" w:styleId="C238D7E665AE4961AF9E6887B1801D18">
    <w:name w:val="C238D7E665AE4961AF9E6887B1801D18"/>
    <w:rsid w:val="00A416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October 201</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2" ma:contentTypeDescription="Create a new document." ma:contentTypeScope="" ma:versionID="373b63a2817b8bb51c10b7943bf7fe3e">
  <xsd:schema xmlns:xsd="http://www.w3.org/2001/XMLSchema" xmlns:xs="http://www.w3.org/2001/XMLSchema" xmlns:p="http://schemas.microsoft.com/office/2006/metadata/properties" xmlns:ns2="358298e0-1b7e-4ebe-8695-94439b74f0d1" targetNamespace="http://schemas.microsoft.com/office/2006/metadata/properties" ma:root="true" ma:fieldsID="931dbb0efa7dcf58496b07d136087537" ns2:_="">
    <xsd:import namespace="358298e0-1b7e-4ebe-8695-94439b74f0d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1A225A-440F-4270-B5E9-F0E4E17B78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BE6DE3-6989-4946-98EE-F2041562A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4C3DF1-D8AF-4369-8CF3-E9A373C8ECED}">
  <ds:schemaRefs>
    <ds:schemaRef ds:uri="http://schemas.microsoft.com/sharepoint/v3/contenttype/forms"/>
  </ds:schemaRefs>
</ds:datastoreItem>
</file>

<file path=customXml/itemProps5.xml><?xml version="1.0" encoding="utf-8"?>
<ds:datastoreItem xmlns:ds="http://schemas.openxmlformats.org/officeDocument/2006/customXml" ds:itemID="{E7AD4CC3-E426-4E40-9DB7-981272AF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4106</Words>
  <Characters>23367</Characters>
  <Application>Microsoft Office Word</Application>
  <DocSecurity>0</DocSecurity>
  <Lines>424</Lines>
  <Paragraphs>150</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Update on existing capacity-building and development initiatives and resources supporting the implementation of the Nagoya Protocol on Access and Benefit-sharing</vt:lpstr>
      <vt:lpstr>&lt;Update on existing capacity-building and development initiatives and resources </vt:lpstr>
      <vt:lpstr>    Note by the Executive Secretary</vt:lpstr>
      <vt:lpstr>I.	INTRODUCTION</vt:lpstr>
      <vt:lpstr>II.	Update on capacity-building and development initiatives</vt:lpstr>
      <vt:lpstr>        A.	Capacity-building and development initiatives benefiting specific countries</vt:lpstr>
      <vt:lpstr>IV.	Update on capacity-building and development activities undertaken by the Sec</vt:lpstr>
      <vt:lpstr>    A.	Capacity-building and development activities</vt:lpstr>
      <vt:lpstr>V.	suggestions for consideration by the informal advisory committee</vt:lpstr>
    </vt:vector>
  </TitlesOfParts>
  <Company>SCBD</Company>
  <LinksUpToDate>false</LinksUpToDate>
  <CharactersWithSpaces>27323</CharactersWithSpaces>
  <SharedDoc>false</SharedDoc>
  <HLinks>
    <vt:vector size="102" baseType="variant">
      <vt:variant>
        <vt:i4>8126513</vt:i4>
      </vt:variant>
      <vt:variant>
        <vt:i4>42</vt:i4>
      </vt:variant>
      <vt:variant>
        <vt:i4>0</vt:i4>
      </vt:variant>
      <vt:variant>
        <vt:i4>5</vt:i4>
      </vt:variant>
      <vt:variant>
        <vt:lpwstr>https://www.cbd.int/doc/decisions/np-mop-02/np-mop-02-dec-08-en.pdf</vt:lpwstr>
      </vt:variant>
      <vt:variant>
        <vt:lpwstr/>
      </vt:variant>
      <vt:variant>
        <vt:i4>3342368</vt:i4>
      </vt:variant>
      <vt:variant>
        <vt:i4>39</vt:i4>
      </vt:variant>
      <vt:variant>
        <vt:i4>0</vt:i4>
      </vt:variant>
      <vt:variant>
        <vt:i4>5</vt:i4>
      </vt:variant>
      <vt:variant>
        <vt:lpwstr>https://absch.cbd.int/</vt:lpwstr>
      </vt:variant>
      <vt:variant>
        <vt:lpwstr/>
      </vt:variant>
      <vt:variant>
        <vt:i4>7733297</vt:i4>
      </vt:variant>
      <vt:variant>
        <vt:i4>36</vt:i4>
      </vt:variant>
      <vt:variant>
        <vt:i4>0</vt:i4>
      </vt:variant>
      <vt:variant>
        <vt:i4>5</vt:i4>
      </vt:variant>
      <vt:variant>
        <vt:lpwstr>https://www.cbd.int/doc/decisions/np-mop-01/np-mop-01-dec-02-en.pdf</vt:lpwstr>
      </vt:variant>
      <vt:variant>
        <vt:lpwstr/>
      </vt:variant>
      <vt:variant>
        <vt:i4>8126513</vt:i4>
      </vt:variant>
      <vt:variant>
        <vt:i4>33</vt:i4>
      </vt:variant>
      <vt:variant>
        <vt:i4>0</vt:i4>
      </vt:variant>
      <vt:variant>
        <vt:i4>5</vt:i4>
      </vt:variant>
      <vt:variant>
        <vt:lpwstr>https://www.cbd.int/doc/decisions/np-mop-01/np-mop-01-dec-08-en.pdf</vt:lpwstr>
      </vt:variant>
      <vt:variant>
        <vt:lpwstr/>
      </vt:variant>
      <vt:variant>
        <vt:i4>2097272</vt:i4>
      </vt:variant>
      <vt:variant>
        <vt:i4>30</vt:i4>
      </vt:variant>
      <vt:variant>
        <vt:i4>0</vt:i4>
      </vt:variant>
      <vt:variant>
        <vt:i4>5</vt:i4>
      </vt:variant>
      <vt:variant>
        <vt:lpwstr>https://www.giz.de/en/</vt:lpwstr>
      </vt:variant>
      <vt:variant>
        <vt:lpwstr/>
      </vt:variant>
      <vt:variant>
        <vt:i4>8192103</vt:i4>
      </vt:variant>
      <vt:variant>
        <vt:i4>27</vt:i4>
      </vt:variant>
      <vt:variant>
        <vt:i4>0</vt:i4>
      </vt:variant>
      <vt:variant>
        <vt:i4>5</vt:i4>
      </vt:variant>
      <vt:variant>
        <vt:lpwstr>http://www.abs-initiative.info/</vt:lpwstr>
      </vt:variant>
      <vt:variant>
        <vt:lpwstr/>
      </vt:variant>
      <vt:variant>
        <vt:i4>4063267</vt:i4>
      </vt:variant>
      <vt:variant>
        <vt:i4>24</vt:i4>
      </vt:variant>
      <vt:variant>
        <vt:i4>0</vt:i4>
      </vt:variant>
      <vt:variant>
        <vt:i4>5</vt:i4>
      </vt:variant>
      <vt:variant>
        <vt:lpwstr>https://www.unenvironment.org/</vt:lpwstr>
      </vt:variant>
      <vt:variant>
        <vt:lpwstr/>
      </vt:variant>
      <vt:variant>
        <vt:i4>4784198</vt:i4>
      </vt:variant>
      <vt:variant>
        <vt:i4>21</vt:i4>
      </vt:variant>
      <vt:variant>
        <vt:i4>0</vt:i4>
      </vt:variant>
      <vt:variant>
        <vt:i4>5</vt:i4>
      </vt:variant>
      <vt:variant>
        <vt:lpwstr>http://www.undp.org/</vt:lpwstr>
      </vt:variant>
      <vt:variant>
        <vt:lpwstr/>
      </vt:variant>
      <vt:variant>
        <vt:i4>2687080</vt:i4>
      </vt:variant>
      <vt:variant>
        <vt:i4>18</vt:i4>
      </vt:variant>
      <vt:variant>
        <vt:i4>0</vt:i4>
      </vt:variant>
      <vt:variant>
        <vt:i4>5</vt:i4>
      </vt:variant>
      <vt:variant>
        <vt:lpwstr>https://www.thegef.org/</vt:lpwstr>
      </vt:variant>
      <vt:variant>
        <vt:lpwstr/>
      </vt:variant>
      <vt:variant>
        <vt:i4>6946850</vt:i4>
      </vt:variant>
      <vt:variant>
        <vt:i4>0</vt:i4>
      </vt:variant>
      <vt:variant>
        <vt:i4>0</vt:i4>
      </vt:variant>
      <vt:variant>
        <vt:i4>5</vt:i4>
      </vt:variant>
      <vt:variant>
        <vt:lpwstr>https://www.cbd.int/doc/recommendations/sbi-02/sbi-02-rec-02-en.pdf</vt:lpwstr>
      </vt:variant>
      <vt:variant>
        <vt:lpwstr/>
      </vt:variant>
      <vt:variant>
        <vt:i4>8126513</vt:i4>
      </vt:variant>
      <vt:variant>
        <vt:i4>18</vt:i4>
      </vt:variant>
      <vt:variant>
        <vt:i4>0</vt:i4>
      </vt:variant>
      <vt:variant>
        <vt:i4>5</vt:i4>
      </vt:variant>
      <vt:variant>
        <vt:lpwstr>https://www.cbd.int/doc/decisions/np-mop-01/np-mop-01-dec-08-en.pdf</vt:lpwstr>
      </vt:variant>
      <vt:variant>
        <vt:lpwstr/>
      </vt:variant>
      <vt:variant>
        <vt:i4>8126513</vt:i4>
      </vt:variant>
      <vt:variant>
        <vt:i4>15</vt:i4>
      </vt:variant>
      <vt:variant>
        <vt:i4>0</vt:i4>
      </vt:variant>
      <vt:variant>
        <vt:i4>5</vt:i4>
      </vt:variant>
      <vt:variant>
        <vt:lpwstr>https://www.cbd.int/doc/decisions/np-mop-01/np-mop-01-dec-08-en.pdf</vt:lpwstr>
      </vt:variant>
      <vt:variant>
        <vt:lpwstr/>
      </vt:variant>
      <vt:variant>
        <vt:i4>5046298</vt:i4>
      </vt:variant>
      <vt:variant>
        <vt:i4>12</vt:i4>
      </vt:variant>
      <vt:variant>
        <vt:i4>0</vt:i4>
      </vt:variant>
      <vt:variant>
        <vt:i4>5</vt:i4>
      </vt:variant>
      <vt:variant>
        <vt:lpwstr>https://absch.cbd.int/help/guides</vt:lpwstr>
      </vt:variant>
      <vt:variant>
        <vt:lpwstr/>
      </vt:variant>
      <vt:variant>
        <vt:i4>4522107</vt:i4>
      </vt:variant>
      <vt:variant>
        <vt:i4>9</vt:i4>
      </vt:variant>
      <vt:variant>
        <vt:i4>0</vt:i4>
      </vt:variant>
      <vt:variant>
        <vt:i4>5</vt:i4>
      </vt:variant>
      <vt:variant>
        <vt:lpwstr>https://www.bioversityinternational.org/fileadmin/user_upload/research/research_portfolio/policies_for_crop/Mutually_supportive_implementation_scenarios.pdf</vt:lpwstr>
      </vt:variant>
      <vt:variant>
        <vt:lpwstr/>
      </vt:variant>
      <vt:variant>
        <vt:i4>4325394</vt:i4>
      </vt:variant>
      <vt:variant>
        <vt:i4>6</vt:i4>
      </vt:variant>
      <vt:variant>
        <vt:i4>0</vt:i4>
      </vt:variant>
      <vt:variant>
        <vt:i4>5</vt:i4>
      </vt:variant>
      <vt:variant>
        <vt:lpwstr>https://absch.cbd.int/database/VLR/ABSCH-VLR-SCBD-240572</vt:lpwstr>
      </vt:variant>
      <vt:variant>
        <vt:lpwstr/>
      </vt:variant>
      <vt:variant>
        <vt:i4>2818170</vt:i4>
      </vt:variant>
      <vt:variant>
        <vt:i4>3</vt:i4>
      </vt:variant>
      <vt:variant>
        <vt:i4>0</vt:i4>
      </vt:variant>
      <vt:variant>
        <vt:i4>5</vt:i4>
      </vt:variant>
      <vt:variant>
        <vt:lpwstr>https://www.cbd.int/doc/notifications/2016/ntf-2016-126-bbi-en.pdf</vt:lpwstr>
      </vt:variant>
      <vt:variant>
        <vt:lpwstr/>
      </vt:variant>
      <vt:variant>
        <vt:i4>1245269</vt:i4>
      </vt:variant>
      <vt:variant>
        <vt:i4>0</vt:i4>
      </vt:variant>
      <vt:variant>
        <vt:i4>0</vt:i4>
      </vt:variant>
      <vt:variant>
        <vt:i4>5</vt:i4>
      </vt:variant>
      <vt:variant>
        <vt:lpwstr>https://www.cbd.int/doc/recommendations/sbi-02/sbi-02-rec-08-en.docx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 existing capacity-building and development initiatives and resources supporting the implementation of the Nagoya Protocol on Access and Benefit-sharing</dc:title>
  <dc:subject>CBD/NP/CB-IAC/2019/1/2</dc:subject>
  <dc:creator>SCBD</dc:creator>
  <cp:keywords>Informal Advisory Committee on Capacity-Building for the Implementation of the Nagoya Protocol, fourth meeting, Montreal, Canada, 29-31 October 2019, Nagoya Protocol on Access to Genetic Resources and the Fair and Equitable Sharing of Benefits Arising from their Utilization, Convention on Biological Diversity</cp:keywords>
  <cp:lastModifiedBy>Orestes Plasencia</cp:lastModifiedBy>
  <cp:revision>3</cp:revision>
  <cp:lastPrinted>2019-09-26T20:04:00Z</cp:lastPrinted>
  <dcterms:created xsi:type="dcterms:W3CDTF">2019-10-16T20:56:00Z</dcterms:created>
  <dcterms:modified xsi:type="dcterms:W3CDTF">2019-10-16T20:57:00Z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