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5" w:type="dxa"/>
        <w:tblInd w:w="-34" w:type="dxa"/>
        <w:tblLook w:val="04A0" w:firstRow="1" w:lastRow="0" w:firstColumn="1" w:lastColumn="0" w:noHBand="0" w:noVBand="1"/>
      </w:tblPr>
      <w:tblGrid>
        <w:gridCol w:w="993"/>
        <w:gridCol w:w="4923"/>
        <w:gridCol w:w="3749"/>
      </w:tblGrid>
      <w:tr w:rsidR="008D1E6A" w:rsidRPr="00132DF3" w:rsidTr="00A2540E">
        <w:trPr>
          <w:trHeight w:val="709"/>
        </w:trPr>
        <w:tc>
          <w:tcPr>
            <w:tcW w:w="993" w:type="dxa"/>
            <w:tcBorders>
              <w:bottom w:val="single" w:sz="12" w:space="0" w:color="auto"/>
            </w:tcBorders>
            <w:shd w:val="clear" w:color="auto" w:fill="auto"/>
          </w:tcPr>
          <w:p w:rsidR="008D1E6A" w:rsidRPr="00132DF3" w:rsidRDefault="00661C76" w:rsidP="008D1E6A">
            <w:pPr>
              <w:suppressLineNumbers/>
              <w:suppressAutoHyphens/>
              <w:adjustRightInd w:val="0"/>
              <w:snapToGrid w:val="0"/>
              <w:rPr>
                <w:rFonts w:ascii="Cambria" w:eastAsia="Malgun Gothic" w:hAnsi="Cambria"/>
                <w:snapToGrid w:val="0"/>
                <w:kern w:val="22"/>
              </w:rPr>
            </w:pPr>
            <w:bookmarkStart w:id="0" w:name="_GoBack"/>
            <w:bookmarkEnd w:id="0"/>
            <w:r>
              <w:rPr>
                <w:rFonts w:ascii="Cambria" w:eastAsia="Malgun Gothic" w:hAnsi="Cambria"/>
                <w:noProof/>
                <w:snapToGrid w:val="0"/>
                <w:kern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7.5pt;height:31.5pt;visibility:visible">
                  <v:imagedata r:id="rId8" o:title="un"/>
                </v:shape>
              </w:pict>
            </w:r>
          </w:p>
        </w:tc>
        <w:tc>
          <w:tcPr>
            <w:tcW w:w="4923" w:type="dxa"/>
            <w:tcBorders>
              <w:bottom w:val="single" w:sz="12" w:space="0" w:color="auto"/>
            </w:tcBorders>
            <w:shd w:val="clear" w:color="auto" w:fill="auto"/>
          </w:tcPr>
          <w:p w:rsidR="008D1E6A" w:rsidRPr="00132DF3" w:rsidRDefault="00661C76" w:rsidP="008D1E6A">
            <w:pPr>
              <w:suppressLineNumbers/>
              <w:tabs>
                <w:tab w:val="left" w:pos="325"/>
              </w:tabs>
              <w:suppressAutoHyphens/>
              <w:adjustRightInd w:val="0"/>
              <w:snapToGrid w:val="0"/>
              <w:rPr>
                <w:rFonts w:ascii="Cambria" w:eastAsia="Malgun Gothic" w:hAnsi="Cambria"/>
                <w:snapToGrid w:val="0"/>
                <w:kern w:val="22"/>
              </w:rPr>
            </w:pPr>
            <w:r>
              <w:rPr>
                <w:rFonts w:ascii="Cambria" w:eastAsia="Malgun Gothic" w:hAnsi="Cambria"/>
                <w:noProof/>
                <w:snapToGrid w:val="0"/>
                <w:kern w:val="22"/>
                <w:lang w:eastAsia="en-GB"/>
              </w:rPr>
              <w:pict>
                <v:shape id="Picture 3" o:spid="_x0000_i1026" type="#_x0000_t75" alt="Macintosh HD:Users:bilodeau:Desktop:logos:template 2017:unep-old.emf" style="width:27pt;height:31.5pt;visibility:visible">
                  <v:imagedata r:id="rId9" o:title="unep-old"/>
                </v:shape>
              </w:pict>
            </w:r>
          </w:p>
        </w:tc>
        <w:tc>
          <w:tcPr>
            <w:tcW w:w="3749" w:type="dxa"/>
            <w:tcBorders>
              <w:bottom w:val="single" w:sz="12" w:space="0" w:color="auto"/>
            </w:tcBorders>
            <w:shd w:val="clear" w:color="auto" w:fill="auto"/>
          </w:tcPr>
          <w:p w:rsidR="008D1E6A" w:rsidRPr="00132DF3" w:rsidRDefault="008D1E6A" w:rsidP="008D1E6A">
            <w:pPr>
              <w:suppressLineNumbers/>
              <w:suppressAutoHyphens/>
              <w:adjustRightInd w:val="0"/>
              <w:snapToGrid w:val="0"/>
              <w:jc w:val="right"/>
              <w:rPr>
                <w:rFonts w:ascii="Arial" w:eastAsia="Malgun Gothic" w:hAnsi="Arial" w:cs="Arial"/>
                <w:b/>
                <w:snapToGrid w:val="0"/>
                <w:kern w:val="22"/>
                <w:sz w:val="32"/>
                <w:szCs w:val="32"/>
              </w:rPr>
            </w:pPr>
            <w:r w:rsidRPr="00132DF3">
              <w:rPr>
                <w:rFonts w:ascii="Arial" w:eastAsia="Malgun Gothic" w:hAnsi="Arial" w:cs="Arial"/>
                <w:b/>
                <w:snapToGrid w:val="0"/>
                <w:kern w:val="22"/>
                <w:sz w:val="32"/>
                <w:szCs w:val="32"/>
              </w:rPr>
              <w:t>CBD</w:t>
            </w:r>
          </w:p>
        </w:tc>
      </w:tr>
    </w:tbl>
    <w:p w:rsidR="008D1E6A" w:rsidRPr="00132DF3" w:rsidRDefault="008D1E6A" w:rsidP="008D1E6A">
      <w:pPr>
        <w:suppressLineNumbers/>
        <w:suppressAutoHyphens/>
        <w:adjustRightInd w:val="0"/>
        <w:snapToGrid w:val="0"/>
        <w:rPr>
          <w:rFonts w:eastAsia="Malgun Gothic"/>
          <w:snapToGrid w:val="0"/>
          <w:vanish/>
          <w:kern w:val="22"/>
        </w:rPr>
      </w:pPr>
    </w:p>
    <w:tbl>
      <w:tblPr>
        <w:tblW w:w="0" w:type="auto"/>
        <w:tblBorders>
          <w:bottom w:val="single" w:sz="30" w:space="0" w:color="000000"/>
        </w:tblBorders>
        <w:tblLayout w:type="fixed"/>
        <w:tblLook w:val="0000" w:firstRow="0" w:lastRow="0" w:firstColumn="0" w:lastColumn="0" w:noHBand="0" w:noVBand="0"/>
      </w:tblPr>
      <w:tblGrid>
        <w:gridCol w:w="5718"/>
        <w:gridCol w:w="3858"/>
      </w:tblGrid>
      <w:tr w:rsidR="008D1E6A" w:rsidRPr="002E1148" w:rsidTr="00A2540E">
        <w:trPr>
          <w:cantSplit/>
          <w:trHeight w:val="1693"/>
        </w:trPr>
        <w:tc>
          <w:tcPr>
            <w:tcW w:w="5718" w:type="dxa"/>
            <w:tcBorders>
              <w:bottom w:val="single" w:sz="36" w:space="0" w:color="000000"/>
            </w:tcBorders>
          </w:tcPr>
          <w:p w:rsidR="008D1E6A" w:rsidRPr="00132DF3" w:rsidRDefault="00ED5C13" w:rsidP="008D1E6A">
            <w:pPr>
              <w:suppressLineNumbers/>
              <w:suppressAutoHyphens/>
              <w:adjustRightInd w:val="0"/>
              <w:snapToGrid w:val="0"/>
              <w:ind w:right="1962"/>
              <w:jc w:val="right"/>
              <w:rPr>
                <w:rFonts w:eastAsia="Malgun Gothic"/>
                <w:snapToGrid w:val="0"/>
                <w:kern w:val="22"/>
                <w:szCs w:val="22"/>
              </w:rPr>
            </w:pPr>
            <w:r w:rsidRPr="00D25203">
              <w:rPr>
                <w:kern w:val="22"/>
                <w:lang w:val="fr-FR" w:eastAsia="fr-FR"/>
              </w:rPr>
              <w:pict>
                <v:shape id="_x0000_i1027" type="#_x0000_t75" style="width:226.5pt;height:84.75pt;visibility:visible">
                  <v:imagedata r:id="rId10" o:title="cbd-logo-print-blk-fr"/>
                </v:shape>
              </w:pict>
            </w:r>
          </w:p>
        </w:tc>
        <w:tc>
          <w:tcPr>
            <w:tcW w:w="3858" w:type="dxa"/>
            <w:tcBorders>
              <w:bottom w:val="single" w:sz="36" w:space="0" w:color="000000"/>
            </w:tcBorders>
            <w:noWrap/>
          </w:tcPr>
          <w:p w:rsidR="008D1E6A" w:rsidRPr="00132DF3" w:rsidRDefault="008D1E6A" w:rsidP="008D1E6A">
            <w:pPr>
              <w:suppressLineNumbers/>
              <w:suppressAutoHyphens/>
              <w:adjustRightInd w:val="0"/>
              <w:snapToGrid w:val="0"/>
              <w:ind w:left="803"/>
              <w:rPr>
                <w:rFonts w:eastAsia="Malgun Gothic"/>
                <w:snapToGrid w:val="0"/>
                <w:kern w:val="22"/>
                <w:szCs w:val="22"/>
              </w:rPr>
            </w:pPr>
            <w:r w:rsidRPr="00132DF3">
              <w:rPr>
                <w:rFonts w:eastAsia="Malgun Gothic"/>
                <w:snapToGrid w:val="0"/>
                <w:kern w:val="22"/>
                <w:szCs w:val="22"/>
              </w:rPr>
              <w:t>Distr.</w:t>
            </w:r>
          </w:p>
          <w:p w:rsidR="008D1E6A" w:rsidRPr="002E1148" w:rsidRDefault="00ED5C13" w:rsidP="008D1E6A">
            <w:pPr>
              <w:suppressLineNumbers/>
              <w:suppressAutoHyphens/>
              <w:adjustRightInd w:val="0"/>
              <w:snapToGrid w:val="0"/>
              <w:ind w:left="803"/>
              <w:rPr>
                <w:rFonts w:eastAsia="Malgun Gothic"/>
                <w:snapToGrid w:val="0"/>
                <w:kern w:val="22"/>
                <w:szCs w:val="22"/>
                <w:lang w:val="fr-CA"/>
              </w:rPr>
            </w:pPr>
            <w:r w:rsidRPr="002E1148">
              <w:rPr>
                <w:rFonts w:eastAsia="Malgun Gothic"/>
                <w:snapToGrid w:val="0"/>
                <w:kern w:val="22"/>
                <w:szCs w:val="22"/>
                <w:lang w:val="fr-CA"/>
              </w:rPr>
              <w:t>GÉNÉRALE</w:t>
            </w:r>
          </w:p>
          <w:p w:rsidR="008D1E6A" w:rsidRPr="002E1148" w:rsidRDefault="008D1E6A" w:rsidP="008D1E6A">
            <w:pPr>
              <w:suppressLineNumbers/>
              <w:suppressAutoHyphens/>
              <w:adjustRightInd w:val="0"/>
              <w:snapToGrid w:val="0"/>
              <w:ind w:left="803"/>
              <w:rPr>
                <w:rFonts w:eastAsia="Malgun Gothic"/>
                <w:snapToGrid w:val="0"/>
                <w:kern w:val="22"/>
                <w:szCs w:val="22"/>
                <w:lang w:val="fr-CA"/>
              </w:rPr>
            </w:pPr>
          </w:p>
          <w:p w:rsidR="002E1148" w:rsidRPr="002E1148" w:rsidRDefault="00494367" w:rsidP="002E1148">
            <w:pPr>
              <w:suppressLineNumbers/>
              <w:suppressAutoHyphens/>
              <w:autoSpaceDE w:val="0"/>
              <w:autoSpaceDN w:val="0"/>
              <w:adjustRightInd w:val="0"/>
              <w:snapToGrid w:val="0"/>
              <w:ind w:left="803"/>
              <w:jc w:val="left"/>
              <w:rPr>
                <w:rFonts w:eastAsia="Malgun Gothic"/>
                <w:snapToGrid w:val="0"/>
                <w:kern w:val="22"/>
                <w:szCs w:val="22"/>
                <w:lang w:val="fr-CA" w:eastAsia="ko-KR"/>
              </w:rPr>
            </w:pPr>
            <w:r w:rsidRPr="002E1148">
              <w:rPr>
                <w:rFonts w:eastAsia="Malgun Gothic"/>
                <w:snapToGrid w:val="0"/>
                <w:kern w:val="22"/>
                <w:szCs w:val="22"/>
                <w:lang w:val="fr-CA" w:eastAsia="ko-KR"/>
              </w:rPr>
              <w:t>CBD/</w:t>
            </w:r>
            <w:r w:rsidR="002E1148" w:rsidRPr="002E1148">
              <w:rPr>
                <w:rFonts w:eastAsia="Malgun Gothic"/>
                <w:snapToGrid w:val="0"/>
                <w:kern w:val="22"/>
                <w:szCs w:val="22"/>
                <w:lang w:val="fr-CA" w:eastAsia="ko-KR"/>
              </w:rPr>
              <w:t>SBI/02/19</w:t>
            </w:r>
          </w:p>
          <w:p w:rsidR="008D1E6A" w:rsidRPr="002E1148" w:rsidRDefault="002E1148" w:rsidP="002E1148">
            <w:pPr>
              <w:suppressLineNumbers/>
              <w:suppressAutoHyphens/>
              <w:autoSpaceDE w:val="0"/>
              <w:autoSpaceDN w:val="0"/>
              <w:adjustRightInd w:val="0"/>
              <w:snapToGrid w:val="0"/>
              <w:ind w:left="803"/>
              <w:jc w:val="left"/>
              <w:rPr>
                <w:rFonts w:eastAsia="Malgun Gothic"/>
                <w:snapToGrid w:val="0"/>
                <w:kern w:val="22"/>
                <w:szCs w:val="22"/>
                <w:lang w:val="fr-CA"/>
              </w:rPr>
            </w:pPr>
            <w:r>
              <w:rPr>
                <w:rFonts w:eastAsia="Malgun Gothic"/>
                <w:snapToGrid w:val="0"/>
                <w:kern w:val="22"/>
                <w:szCs w:val="22"/>
                <w:lang w:val="fr-CA"/>
              </w:rPr>
              <w:t>15 mars 2018</w:t>
            </w:r>
          </w:p>
          <w:p w:rsidR="00542939" w:rsidRPr="002E1148" w:rsidRDefault="00542939" w:rsidP="008D1E6A">
            <w:pPr>
              <w:suppressLineNumbers/>
              <w:suppressAutoHyphens/>
              <w:adjustRightInd w:val="0"/>
              <w:snapToGrid w:val="0"/>
              <w:ind w:left="803"/>
              <w:rPr>
                <w:rFonts w:eastAsia="Malgun Gothic"/>
                <w:snapToGrid w:val="0"/>
                <w:kern w:val="22"/>
                <w:szCs w:val="22"/>
                <w:lang w:val="fr-CA"/>
              </w:rPr>
            </w:pPr>
          </w:p>
          <w:p w:rsidR="006118E9" w:rsidRPr="002E1148" w:rsidRDefault="006118E9" w:rsidP="008D1E6A">
            <w:pPr>
              <w:suppressLineNumbers/>
              <w:suppressAutoHyphens/>
              <w:adjustRightInd w:val="0"/>
              <w:snapToGrid w:val="0"/>
              <w:ind w:left="803"/>
              <w:rPr>
                <w:rFonts w:eastAsia="Malgun Gothic"/>
                <w:snapToGrid w:val="0"/>
                <w:kern w:val="22"/>
                <w:szCs w:val="22"/>
                <w:lang w:val="fr-CA"/>
              </w:rPr>
            </w:pPr>
            <w:r w:rsidRPr="002E1148">
              <w:rPr>
                <w:rFonts w:eastAsia="Malgun Gothic"/>
                <w:snapToGrid w:val="0"/>
                <w:kern w:val="22"/>
                <w:szCs w:val="22"/>
                <w:lang w:val="fr-CA"/>
              </w:rPr>
              <w:t>FRANÇAIS</w:t>
            </w:r>
          </w:p>
          <w:p w:rsidR="008D1E6A" w:rsidRPr="002E1148" w:rsidRDefault="008D1E6A" w:rsidP="006118E9">
            <w:pPr>
              <w:suppressLineNumbers/>
              <w:suppressAutoHyphens/>
              <w:adjustRightInd w:val="0"/>
              <w:snapToGrid w:val="0"/>
              <w:ind w:left="803"/>
              <w:rPr>
                <w:rFonts w:eastAsia="Malgun Gothic"/>
                <w:snapToGrid w:val="0"/>
                <w:kern w:val="22"/>
                <w:szCs w:val="22"/>
                <w:lang w:val="fr-CA"/>
              </w:rPr>
            </w:pPr>
            <w:r w:rsidRPr="002E1148">
              <w:rPr>
                <w:rFonts w:eastAsia="Malgun Gothic"/>
                <w:snapToGrid w:val="0"/>
                <w:kern w:val="22"/>
                <w:szCs w:val="22"/>
                <w:lang w:val="fr-CA"/>
              </w:rPr>
              <w:t>ORIGINAL</w:t>
            </w:r>
            <w:r w:rsidR="00C50BA4" w:rsidRPr="002E1148">
              <w:rPr>
                <w:rFonts w:eastAsia="Malgun Gothic"/>
                <w:snapToGrid w:val="0"/>
                <w:kern w:val="22"/>
                <w:szCs w:val="22"/>
                <w:lang w:val="fr-CA"/>
              </w:rPr>
              <w:t> </w:t>
            </w:r>
            <w:r w:rsidRPr="002E1148">
              <w:rPr>
                <w:rFonts w:eastAsia="Malgun Gothic"/>
                <w:snapToGrid w:val="0"/>
                <w:kern w:val="22"/>
                <w:szCs w:val="22"/>
                <w:lang w:val="fr-CA"/>
              </w:rPr>
              <w:t xml:space="preserve">: </w:t>
            </w:r>
            <w:r w:rsidR="006118E9" w:rsidRPr="002E1148">
              <w:rPr>
                <w:rFonts w:eastAsia="Malgun Gothic"/>
                <w:snapToGrid w:val="0"/>
                <w:kern w:val="22"/>
                <w:szCs w:val="22"/>
                <w:lang w:val="fr-CA"/>
              </w:rPr>
              <w:t>ANGLAIS</w:t>
            </w:r>
          </w:p>
        </w:tc>
      </w:tr>
    </w:tbl>
    <w:p w:rsidR="002E1148" w:rsidRPr="002E1148" w:rsidRDefault="002E1148" w:rsidP="002E1148">
      <w:pPr>
        <w:suppressLineNumbers/>
        <w:suppressAutoHyphens/>
        <w:adjustRightInd w:val="0"/>
        <w:snapToGrid w:val="0"/>
        <w:ind w:left="170" w:right="4051" w:hanging="170"/>
        <w:jc w:val="left"/>
        <w:rPr>
          <w:snapToGrid w:val="0"/>
          <w:color w:val="000000"/>
          <w:kern w:val="22"/>
          <w:szCs w:val="22"/>
          <w:lang w:val="fr-FR"/>
        </w:rPr>
      </w:pPr>
      <w:bookmarkStart w:id="1" w:name="_Hlk412100843"/>
      <w:r>
        <w:rPr>
          <w:snapToGrid w:val="0"/>
          <w:color w:val="000000"/>
          <w:kern w:val="22"/>
          <w:szCs w:val="22"/>
          <w:lang w:val="fr-FR"/>
        </w:rPr>
        <w:t>ORGANE SUBSIDIAIRE DE MISE EN ŒUVRE</w:t>
      </w:r>
    </w:p>
    <w:p w:rsidR="008D1E6A" w:rsidRPr="00ED5C13" w:rsidRDefault="002E1148" w:rsidP="008D1E6A">
      <w:pPr>
        <w:suppressLineNumbers/>
        <w:suppressAutoHyphens/>
        <w:adjustRightInd w:val="0"/>
        <w:snapToGrid w:val="0"/>
        <w:ind w:left="170" w:right="4740" w:hanging="170"/>
        <w:jc w:val="left"/>
        <w:rPr>
          <w:rFonts w:eastAsia="Malgun Gothic"/>
          <w:snapToGrid w:val="0"/>
          <w:color w:val="000000"/>
          <w:kern w:val="22"/>
          <w:szCs w:val="22"/>
          <w:lang w:val="fr-CA"/>
        </w:rPr>
      </w:pPr>
      <w:r>
        <w:rPr>
          <w:rFonts w:eastAsia="Malgun Gothic"/>
          <w:snapToGrid w:val="0"/>
          <w:color w:val="000000"/>
          <w:kern w:val="22"/>
          <w:szCs w:val="22"/>
          <w:lang w:val="fr-CA"/>
        </w:rPr>
        <w:t>Deuxième</w:t>
      </w:r>
      <w:r w:rsidR="00ED5C13" w:rsidRPr="00ED5C13">
        <w:rPr>
          <w:rFonts w:eastAsia="Malgun Gothic"/>
          <w:snapToGrid w:val="0"/>
          <w:color w:val="000000"/>
          <w:kern w:val="22"/>
          <w:szCs w:val="22"/>
          <w:lang w:val="fr-CA"/>
        </w:rPr>
        <w:t xml:space="preserve"> réunion</w:t>
      </w:r>
    </w:p>
    <w:p w:rsidR="008D1E6A" w:rsidRPr="00ED5C13" w:rsidRDefault="00ED5C13" w:rsidP="008D1E6A">
      <w:pPr>
        <w:suppressLineNumbers/>
        <w:suppressAutoHyphens/>
        <w:adjustRightInd w:val="0"/>
        <w:snapToGrid w:val="0"/>
        <w:ind w:left="170" w:right="3119" w:hanging="170"/>
        <w:jc w:val="left"/>
        <w:rPr>
          <w:rFonts w:eastAsia="Malgun Gothic"/>
          <w:snapToGrid w:val="0"/>
          <w:color w:val="000000"/>
          <w:kern w:val="22"/>
          <w:szCs w:val="22"/>
          <w:lang w:val="fr-CA"/>
        </w:rPr>
      </w:pPr>
      <w:r w:rsidRPr="00ED5C13">
        <w:rPr>
          <w:rFonts w:eastAsia="Malgun Gothic"/>
          <w:snapToGrid w:val="0"/>
          <w:color w:val="000000"/>
          <w:kern w:val="22"/>
          <w:szCs w:val="22"/>
          <w:lang w:val="fr-CA"/>
        </w:rPr>
        <w:t xml:space="preserve">Montréal, Canada, </w:t>
      </w:r>
      <w:r w:rsidR="002E1148">
        <w:rPr>
          <w:rFonts w:eastAsia="Malgun Gothic"/>
          <w:snapToGrid w:val="0"/>
          <w:color w:val="000000"/>
          <w:kern w:val="22"/>
          <w:szCs w:val="22"/>
          <w:lang w:val="fr-CA"/>
        </w:rPr>
        <w:t>9-13 juillet 2018</w:t>
      </w:r>
    </w:p>
    <w:p w:rsidR="008D1E6A" w:rsidRPr="00ED5C13" w:rsidRDefault="002E1148" w:rsidP="00132DF3">
      <w:pPr>
        <w:suppressLineNumbers/>
        <w:suppressAutoHyphens/>
        <w:adjustRightInd w:val="0"/>
        <w:snapToGrid w:val="0"/>
        <w:ind w:left="170" w:right="3119" w:hanging="170"/>
        <w:jc w:val="left"/>
        <w:rPr>
          <w:rFonts w:eastAsia="Malgun Gothic"/>
          <w:snapToGrid w:val="0"/>
          <w:color w:val="000000"/>
          <w:kern w:val="22"/>
          <w:szCs w:val="22"/>
          <w:lang w:val="fr-CA"/>
        </w:rPr>
      </w:pPr>
      <w:r>
        <w:rPr>
          <w:rFonts w:eastAsia="Malgun Gothic"/>
          <w:snapToGrid w:val="0"/>
          <w:color w:val="000000"/>
          <w:kern w:val="22"/>
          <w:szCs w:val="22"/>
          <w:lang w:val="fr-CA"/>
        </w:rPr>
        <w:t>Point 8</w:t>
      </w:r>
      <w:r w:rsidR="00ED5C13" w:rsidRPr="00ED5C13">
        <w:rPr>
          <w:rFonts w:eastAsia="Malgun Gothic"/>
          <w:snapToGrid w:val="0"/>
          <w:color w:val="000000"/>
          <w:kern w:val="22"/>
          <w:szCs w:val="22"/>
          <w:lang w:val="fr-CA"/>
        </w:rPr>
        <w:t xml:space="preserve"> de l’ordre du jour provisoire</w:t>
      </w:r>
      <w:r w:rsidR="003351A6" w:rsidRPr="00ED5C13">
        <w:rPr>
          <w:rStyle w:val="FootnoteReference"/>
          <w:rFonts w:eastAsia="Malgun Gothic"/>
          <w:snapToGrid w:val="0"/>
          <w:color w:val="000000"/>
          <w:kern w:val="22"/>
          <w:szCs w:val="22"/>
          <w:lang w:val="fr-CA"/>
        </w:rPr>
        <w:footnoteReference w:customMarkFollows="1" w:id="2"/>
        <w:t>*</w:t>
      </w:r>
    </w:p>
    <w:bookmarkEnd w:id="1"/>
    <w:p w:rsidR="00736BC2" w:rsidRPr="00D5280A" w:rsidRDefault="00ED5C13" w:rsidP="00132DF3">
      <w:pPr>
        <w:pStyle w:val="HEADINGNOTFORTOC"/>
        <w:tabs>
          <w:tab w:val="clear" w:pos="720"/>
        </w:tabs>
        <w:rPr>
          <w:rFonts w:ascii="Times New Roman Bold" w:hAnsi="Times New Roman Bold" w:cs="Times New Roman Bold"/>
          <w:bCs/>
          <w:snapToGrid w:val="0"/>
          <w:color w:val="000000"/>
          <w:kern w:val="22"/>
          <w:szCs w:val="22"/>
          <w:lang w:val="fr-CA"/>
        </w:rPr>
      </w:pPr>
      <w:r w:rsidRPr="00D5280A">
        <w:rPr>
          <w:rFonts w:ascii="Times New Roman Bold" w:eastAsia="MS Mincho" w:hAnsi="Times New Roman Bold" w:cs="Times New Roman Bold"/>
          <w:bCs/>
          <w:snapToGrid w:val="0"/>
          <w:kern w:val="22"/>
          <w:lang w:val="fr-CA"/>
        </w:rPr>
        <w:t xml:space="preserve">ÉLÉMENTS DE L’ORIENTATION MÉTHODOLOGIQUE POUR </w:t>
      </w:r>
      <w:r w:rsidR="006118E9">
        <w:rPr>
          <w:rFonts w:ascii="Times New Roman Bold" w:eastAsia="MS Mincho" w:hAnsi="Times New Roman Bold" w:cs="Times New Roman Bold"/>
          <w:bCs/>
          <w:snapToGrid w:val="0"/>
          <w:kern w:val="22"/>
          <w:lang w:val="fr-CA"/>
        </w:rPr>
        <w:t>IDENTIFIER</w:t>
      </w:r>
      <w:r w:rsidRPr="00D5280A">
        <w:rPr>
          <w:rFonts w:ascii="Times New Roman Bold" w:eastAsia="MS Mincho" w:hAnsi="Times New Roman Bold" w:cs="Times New Roman Bold"/>
          <w:bCs/>
          <w:snapToGrid w:val="0"/>
          <w:kern w:val="22"/>
          <w:lang w:val="fr-CA"/>
        </w:rPr>
        <w:t>, SUIVRE ET ÉVALUER LA CONTRIBUTION DES PEUPLES AUTOCHTONES ET DES COMMUNAUTÉS LOCALES À LA RÉALISATION DU PLAN STRATÉGIQUE 2011-2020 POUR LA DIVERSITÉ BIOLOGI</w:t>
      </w:r>
      <w:r w:rsidR="00D5280A" w:rsidRPr="00D5280A">
        <w:rPr>
          <w:rFonts w:ascii="Times New Roman Bold" w:eastAsia="MS Mincho" w:hAnsi="Times New Roman Bold" w:cs="Times New Roman Bold"/>
          <w:bCs/>
          <w:snapToGrid w:val="0"/>
          <w:kern w:val="22"/>
          <w:lang w:val="fr-CA"/>
        </w:rPr>
        <w:t>QUE ET d</w:t>
      </w:r>
      <w:r w:rsidRPr="00D5280A">
        <w:rPr>
          <w:rFonts w:ascii="Times New Roman Bold" w:eastAsia="MS Mincho" w:hAnsi="Times New Roman Bold" w:cs="Times New Roman Bold"/>
          <w:bCs/>
          <w:snapToGrid w:val="0"/>
          <w:kern w:val="22"/>
          <w:lang w:val="fr-CA"/>
        </w:rPr>
        <w:t>ES OBJECTIFS D’AICHI RELATIFS À LA DIVERSITÉ BIOLOGIQUE</w:t>
      </w:r>
    </w:p>
    <w:p w:rsidR="00736BC2" w:rsidRPr="00D5280A" w:rsidRDefault="00D5280A" w:rsidP="000F7AFB">
      <w:pPr>
        <w:pStyle w:val="heading2notforTOC"/>
        <w:tabs>
          <w:tab w:val="clear" w:pos="567"/>
        </w:tabs>
        <w:spacing w:before="0"/>
        <w:rPr>
          <w:snapToGrid w:val="0"/>
          <w:kern w:val="22"/>
          <w:szCs w:val="22"/>
          <w:lang w:val="fr-CA"/>
        </w:rPr>
      </w:pPr>
      <w:r w:rsidRPr="00D5280A">
        <w:rPr>
          <w:snapToGrid w:val="0"/>
          <w:kern w:val="22"/>
          <w:szCs w:val="22"/>
          <w:lang w:val="fr-CA"/>
        </w:rPr>
        <w:t>Note de la Secrétaire exécutive</w:t>
      </w:r>
    </w:p>
    <w:p w:rsidR="00736BC2" w:rsidRPr="00D5280A" w:rsidRDefault="009E60E3" w:rsidP="000F7AFB">
      <w:pPr>
        <w:pStyle w:val="Heading1"/>
        <w:tabs>
          <w:tab w:val="clear" w:pos="720"/>
        </w:tabs>
        <w:spacing w:before="0"/>
        <w:rPr>
          <w:rFonts w:ascii="Times New Roman Bold" w:hAnsi="Times New Roman Bold" w:cs="Times New Roman Bold"/>
          <w:caps w:val="0"/>
          <w:snapToGrid w:val="0"/>
          <w:kern w:val="22"/>
          <w:szCs w:val="22"/>
          <w:lang w:val="fr-CA"/>
        </w:rPr>
      </w:pPr>
      <w:r w:rsidRPr="00D5280A">
        <w:rPr>
          <w:rFonts w:ascii="Times New Roman Bold" w:hAnsi="Times New Roman Bold" w:cs="Times New Roman Bold"/>
          <w:caps w:val="0"/>
          <w:snapToGrid w:val="0"/>
          <w:kern w:val="22"/>
          <w:szCs w:val="22"/>
          <w:lang w:val="fr-CA"/>
        </w:rPr>
        <w:t>INTRODUCTION</w:t>
      </w:r>
    </w:p>
    <w:p w:rsidR="00015717" w:rsidRPr="00D5280A" w:rsidRDefault="00D5280A" w:rsidP="00E92A2B">
      <w:pPr>
        <w:pStyle w:val="Para1"/>
        <w:tabs>
          <w:tab w:val="clear" w:pos="360"/>
        </w:tabs>
        <w:rPr>
          <w:kern w:val="22"/>
          <w:szCs w:val="22"/>
          <w:u w:val="single"/>
          <w:lang w:val="fr-CA"/>
        </w:rPr>
      </w:pPr>
      <w:r w:rsidRPr="00D5280A">
        <w:rPr>
          <w:kern w:val="22"/>
          <w:szCs w:val="22"/>
          <w:lang w:val="fr-CA"/>
        </w:rPr>
        <w:t xml:space="preserve">Au paragraphe 29 de la </w:t>
      </w:r>
      <w:hyperlink r:id="rId11" w:history="1">
        <w:r w:rsidR="00E92A2B" w:rsidRPr="00D5280A">
          <w:rPr>
            <w:rStyle w:val="Hyperlink"/>
            <w:kern w:val="22"/>
            <w:sz w:val="22"/>
            <w:szCs w:val="22"/>
            <w:lang w:val="fr-CA"/>
          </w:rPr>
          <w:t>d</w:t>
        </w:r>
        <w:r w:rsidR="00626210">
          <w:rPr>
            <w:rStyle w:val="Hyperlink"/>
            <w:kern w:val="22"/>
            <w:sz w:val="22"/>
            <w:szCs w:val="22"/>
            <w:lang w:val="fr-CA"/>
          </w:rPr>
          <w:t>é</w:t>
        </w:r>
        <w:r w:rsidR="008D1CBA" w:rsidRPr="00D5280A">
          <w:rPr>
            <w:rStyle w:val="Hyperlink"/>
            <w:kern w:val="22"/>
            <w:sz w:val="22"/>
            <w:szCs w:val="22"/>
            <w:lang w:val="fr-CA"/>
          </w:rPr>
          <w:t>cision XII/3</w:t>
        </w:r>
      </w:hyperlink>
      <w:r w:rsidR="008D1CBA" w:rsidRPr="00D5280A">
        <w:rPr>
          <w:kern w:val="22"/>
          <w:szCs w:val="22"/>
          <w:lang w:val="fr-CA"/>
        </w:rPr>
        <w:t xml:space="preserve"> </w:t>
      </w:r>
      <w:r w:rsidRPr="00D5280A">
        <w:rPr>
          <w:kern w:val="22"/>
          <w:szCs w:val="22"/>
          <w:lang w:val="fr-CA"/>
        </w:rPr>
        <w:t xml:space="preserve">sur la </w:t>
      </w:r>
      <w:r w:rsidR="00626210">
        <w:rPr>
          <w:kern w:val="22"/>
          <w:szCs w:val="22"/>
          <w:lang w:val="fr-CA"/>
        </w:rPr>
        <w:t>mobilis</w:t>
      </w:r>
      <w:r w:rsidRPr="00D5280A">
        <w:rPr>
          <w:kern w:val="22"/>
          <w:szCs w:val="22"/>
          <w:lang w:val="fr-CA"/>
        </w:rPr>
        <w:t>ation des</w:t>
      </w:r>
      <w:r w:rsidR="00626210">
        <w:rPr>
          <w:kern w:val="22"/>
          <w:szCs w:val="22"/>
          <w:lang w:val="fr-CA"/>
        </w:rPr>
        <w:t xml:space="preserve"> ressources</w:t>
      </w:r>
      <w:r w:rsidRPr="00D5280A">
        <w:rPr>
          <w:kern w:val="22"/>
          <w:szCs w:val="22"/>
          <w:lang w:val="fr-CA"/>
        </w:rPr>
        <w:t>, la Conférence des Pa</w:t>
      </w:r>
      <w:r w:rsidR="00442768">
        <w:rPr>
          <w:kern w:val="22"/>
          <w:szCs w:val="22"/>
          <w:lang w:val="fr-CA"/>
        </w:rPr>
        <w:t>rties a reconnu dans le cadre de présentation des rapports financiers, « </w:t>
      </w:r>
      <w:r w:rsidR="00442768" w:rsidRPr="00442768">
        <w:rPr>
          <w:lang w:val="fr-CA"/>
        </w:rPr>
        <w:t>le rôle des mesures collectives, y compris de la part des communautés autochtones et locales, et des approches non fondées sur les marchés pour la mobilisation de ressources pour la réalisation des objectifs de la Convention, dont des approches telles que la gestion communautaire des ressources naturelles, la gouvernance partagée ou la gestion conjointe de zones protégées, ou la conservation autochtone et communautaire de territoires et de zones</w:t>
      </w:r>
      <w:r w:rsidR="00442768">
        <w:rPr>
          <w:lang w:val="fr-CA"/>
        </w:rPr>
        <w:t> »</w:t>
      </w:r>
      <w:r w:rsidR="00442768" w:rsidRPr="00442768">
        <w:rPr>
          <w:lang w:val="fr-CA"/>
        </w:rPr>
        <w:t xml:space="preserve">, et </w:t>
      </w:r>
      <w:r w:rsidR="00442768">
        <w:rPr>
          <w:lang w:val="fr-CA"/>
        </w:rPr>
        <w:t xml:space="preserve">a </w:t>
      </w:r>
      <w:r w:rsidR="00442768" w:rsidRPr="00442768">
        <w:rPr>
          <w:lang w:val="fr-CA"/>
        </w:rPr>
        <w:t>décid</w:t>
      </w:r>
      <w:r w:rsidR="00442768">
        <w:rPr>
          <w:lang w:val="fr-CA"/>
        </w:rPr>
        <w:t>é</w:t>
      </w:r>
      <w:r w:rsidR="00442768" w:rsidRPr="00442768">
        <w:rPr>
          <w:lang w:val="fr-CA"/>
        </w:rPr>
        <w:t xml:space="preserve"> d’inclure des activités qui encouragent et appuient de telles approches dans les rapports au titre de la Convention</w:t>
      </w:r>
      <w:r w:rsidR="00EC1DDE" w:rsidRPr="00D5280A">
        <w:rPr>
          <w:kern w:val="22"/>
          <w:szCs w:val="22"/>
          <w:lang w:val="fr-CA"/>
        </w:rPr>
        <w:t>.</w:t>
      </w:r>
    </w:p>
    <w:p w:rsidR="005A6D72" w:rsidRPr="00D5280A" w:rsidRDefault="00442768" w:rsidP="003B1EE9">
      <w:pPr>
        <w:pStyle w:val="Para1"/>
        <w:tabs>
          <w:tab w:val="clear" w:pos="360"/>
        </w:tabs>
        <w:rPr>
          <w:kern w:val="22"/>
          <w:u w:val="single"/>
          <w:lang w:val="fr-CA"/>
        </w:rPr>
      </w:pPr>
      <w:r>
        <w:rPr>
          <w:kern w:val="22"/>
          <w:lang w:val="fr-CA"/>
        </w:rPr>
        <w:t xml:space="preserve">Au paragraphe 30 de cette même décision, la Conférence des Parties reconnaît l’importance de faire avancer les méthodologies pour évaluer la contribution </w:t>
      </w:r>
      <w:r w:rsidR="00626210">
        <w:rPr>
          <w:kern w:val="22"/>
          <w:lang w:val="fr-CA"/>
        </w:rPr>
        <w:t>des mesures</w:t>
      </w:r>
      <w:r>
        <w:rPr>
          <w:kern w:val="22"/>
          <w:lang w:val="fr-CA"/>
        </w:rPr>
        <w:t xml:space="preserve"> collective</w:t>
      </w:r>
      <w:r w:rsidR="00626210">
        <w:rPr>
          <w:kern w:val="22"/>
          <w:lang w:val="fr-CA"/>
        </w:rPr>
        <w:t xml:space="preserve">s et a invité les Parties, les autres gouvernements et les organisations </w:t>
      </w:r>
      <w:r w:rsidR="008A1368">
        <w:rPr>
          <w:kern w:val="22"/>
          <w:lang w:val="fr-CA"/>
        </w:rPr>
        <w:t>intéressées</w:t>
      </w:r>
      <w:r w:rsidR="00626210">
        <w:rPr>
          <w:kern w:val="22"/>
          <w:lang w:val="fr-CA"/>
        </w:rPr>
        <w:t xml:space="preserve"> à envisager de prendre des mesures pour </w:t>
      </w:r>
      <w:r w:rsidR="008A1368">
        <w:rPr>
          <w:kern w:val="22"/>
          <w:lang w:val="fr-CA"/>
        </w:rPr>
        <w:t>développer de telles méthodologies</w:t>
      </w:r>
      <w:r w:rsidR="00626210">
        <w:rPr>
          <w:kern w:val="22"/>
          <w:lang w:val="fr-CA"/>
        </w:rPr>
        <w:t xml:space="preserve"> sous forme de projets pilotes et d’échanges d’expériences</w:t>
      </w:r>
      <w:r w:rsidR="00C776D0" w:rsidRPr="00D5280A">
        <w:rPr>
          <w:kern w:val="22"/>
          <w:lang w:val="fr-CA"/>
        </w:rPr>
        <w:t>.</w:t>
      </w:r>
    </w:p>
    <w:p w:rsidR="00E82F62" w:rsidRPr="00D5280A" w:rsidRDefault="00626210" w:rsidP="00927B39">
      <w:pPr>
        <w:pStyle w:val="Para1"/>
        <w:tabs>
          <w:tab w:val="clear" w:pos="360"/>
        </w:tabs>
        <w:rPr>
          <w:kern w:val="22"/>
          <w:u w:val="single"/>
          <w:lang w:val="fr-CA"/>
        </w:rPr>
      </w:pPr>
      <w:r w:rsidRPr="00626210">
        <w:rPr>
          <w:rFonts w:eastAsia="MS Mincho"/>
          <w:kern w:val="22"/>
          <w:lang w:val="fr-CA"/>
        </w:rPr>
        <w:t>Au paragraphe 18 de la</w:t>
      </w:r>
      <w:r w:rsidR="00D0282E" w:rsidRPr="00626210">
        <w:rPr>
          <w:rFonts w:eastAsia="MS Mincho"/>
          <w:kern w:val="22"/>
          <w:lang w:val="fr-CA"/>
        </w:rPr>
        <w:t xml:space="preserve"> </w:t>
      </w:r>
      <w:hyperlink r:id="rId12" w:history="1">
        <w:r w:rsidR="003B1EE9" w:rsidRPr="00626210">
          <w:rPr>
            <w:rStyle w:val="Hyperlink"/>
            <w:rFonts w:eastAsia="MS Mincho"/>
            <w:kern w:val="22"/>
            <w:sz w:val="22"/>
            <w:lang w:val="fr-CA"/>
          </w:rPr>
          <w:t>d</w:t>
        </w:r>
        <w:r w:rsidRPr="00626210">
          <w:rPr>
            <w:rStyle w:val="Hyperlink"/>
            <w:rFonts w:eastAsia="MS Mincho"/>
            <w:kern w:val="22"/>
            <w:sz w:val="22"/>
            <w:lang w:val="fr-CA"/>
          </w:rPr>
          <w:t>é</w:t>
        </w:r>
        <w:r w:rsidR="00D0282E" w:rsidRPr="00626210">
          <w:rPr>
            <w:rStyle w:val="Hyperlink"/>
            <w:rFonts w:eastAsia="MS Mincho"/>
            <w:kern w:val="22"/>
            <w:sz w:val="22"/>
            <w:lang w:val="fr-CA"/>
          </w:rPr>
          <w:t>cision XIII/20</w:t>
        </w:r>
      </w:hyperlink>
      <w:r w:rsidR="00D0282E" w:rsidRPr="00626210">
        <w:rPr>
          <w:rFonts w:eastAsia="MS Mincho"/>
          <w:kern w:val="22"/>
          <w:lang w:val="fr-CA"/>
        </w:rPr>
        <w:t xml:space="preserve"> </w:t>
      </w:r>
      <w:r>
        <w:rPr>
          <w:rFonts w:eastAsia="MS Mincho"/>
          <w:kern w:val="22"/>
          <w:lang w:val="fr-CA"/>
        </w:rPr>
        <w:t>sur la mobilisation des ressources,</w:t>
      </w:r>
      <w:r w:rsidR="00E82F62" w:rsidRPr="00626210">
        <w:rPr>
          <w:rFonts w:eastAsia="MS Mincho"/>
          <w:kern w:val="22"/>
          <w:szCs w:val="22"/>
          <w:lang w:val="fr-CA"/>
        </w:rPr>
        <w:t xml:space="preserve"> </w:t>
      </w:r>
      <w:r>
        <w:rPr>
          <w:rFonts w:eastAsia="MS Mincho"/>
          <w:kern w:val="22"/>
          <w:szCs w:val="22"/>
          <w:lang w:val="fr-CA"/>
        </w:rPr>
        <w:t xml:space="preserve">la Conférence des Parties accueille avec satisfaction les </w:t>
      </w:r>
      <w:r w:rsidR="00163488">
        <w:rPr>
          <w:rFonts w:eastAsia="MS Mincho"/>
          <w:kern w:val="22"/>
          <w:szCs w:val="22"/>
          <w:lang w:val="fr-CA"/>
        </w:rPr>
        <w:t xml:space="preserve">principes </w:t>
      </w:r>
      <w:r w:rsidR="00163488" w:rsidRPr="00163488">
        <w:rPr>
          <w:lang w:val="fr-CA"/>
        </w:rPr>
        <w:t xml:space="preserve">directeurs pour l’évaluation de la contribution des mesures collectives des peuples autochtones et des communautés locales, </w:t>
      </w:r>
      <w:r w:rsidR="003F4B35">
        <w:rPr>
          <w:lang w:val="fr-CA"/>
        </w:rPr>
        <w:t>joints</w:t>
      </w:r>
      <w:r w:rsidR="008A1368">
        <w:rPr>
          <w:lang w:val="fr-CA"/>
        </w:rPr>
        <w:t xml:space="preserve"> en </w:t>
      </w:r>
      <w:r w:rsidR="00163488" w:rsidRPr="00163488">
        <w:rPr>
          <w:lang w:val="fr-CA"/>
        </w:rPr>
        <w:t xml:space="preserve">annexe </w:t>
      </w:r>
      <w:r w:rsidR="00163488">
        <w:rPr>
          <w:lang w:val="fr-CA"/>
        </w:rPr>
        <w:t>à</w:t>
      </w:r>
      <w:r w:rsidR="00163488" w:rsidRPr="00163488">
        <w:rPr>
          <w:lang w:val="fr-CA"/>
        </w:rPr>
        <w:t xml:space="preserve"> la décision</w:t>
      </w:r>
      <w:r w:rsidR="00163488">
        <w:rPr>
          <w:lang w:val="fr-CA"/>
        </w:rPr>
        <w:t xml:space="preserve">, et au paragraphe 21, prie </w:t>
      </w:r>
      <w:r w:rsidR="00163488" w:rsidRPr="00163488">
        <w:rPr>
          <w:lang w:val="fr-CA"/>
        </w:rPr>
        <w:t>le Secrétaire exécutif de rassembler et d’analyser les informations sur les mesures collectives communiquées par les Parties au moyen du cadre de présentation des rapports financiers et d’autres sources pertinentes</w:t>
      </w:r>
      <w:r w:rsidR="00163488">
        <w:rPr>
          <w:lang w:val="fr-CA"/>
        </w:rPr>
        <w:t xml:space="preserve">. En conséquence, le Secrétaire exécutif a émis un document intitulé Compilation des points de vue sur la mobilisation de ressources : Évaluation de la contribution des mesures collectives des peuples autochtones et des communautés locales, et </w:t>
      </w:r>
      <w:r w:rsidR="00F15139">
        <w:rPr>
          <w:lang w:val="fr-CA"/>
        </w:rPr>
        <w:t>mesures de sauvegarde prévues dans les mécanismes de financement de la diversité biologique</w:t>
      </w:r>
      <w:r w:rsidR="00163488">
        <w:rPr>
          <w:lang w:val="fr-CA"/>
        </w:rPr>
        <w:t xml:space="preserve"> </w:t>
      </w:r>
      <w:r w:rsidR="00DD5102" w:rsidRPr="00626210">
        <w:rPr>
          <w:rFonts w:eastAsia="MS Mincho"/>
          <w:kern w:val="22"/>
          <w:szCs w:val="22"/>
          <w:lang w:val="fr-CA"/>
        </w:rPr>
        <w:t>(</w:t>
      </w:r>
      <w:r w:rsidR="00E82F62" w:rsidRPr="001F6DB4">
        <w:rPr>
          <w:rFonts w:eastAsia="MS Mincho"/>
          <w:kern w:val="22"/>
          <w:szCs w:val="22"/>
          <w:lang w:val="fr-CA"/>
        </w:rPr>
        <w:t>CBD/WG8J/10/</w:t>
      </w:r>
      <w:r w:rsidR="00E1439F" w:rsidRPr="001F6DB4">
        <w:rPr>
          <w:rFonts w:eastAsia="MS Mincho"/>
          <w:kern w:val="22"/>
          <w:szCs w:val="22"/>
          <w:lang w:val="fr-CA"/>
        </w:rPr>
        <w:t>INF/10</w:t>
      </w:r>
      <w:r w:rsidR="001F6DB4">
        <w:rPr>
          <w:rFonts w:eastAsia="MS Mincho"/>
          <w:kern w:val="22"/>
          <w:szCs w:val="22"/>
          <w:lang w:val="fr-CA"/>
        </w:rPr>
        <w:t>)</w:t>
      </w:r>
      <w:r w:rsidR="00E1439F" w:rsidRPr="00163488">
        <w:rPr>
          <w:rFonts w:eastAsia="MS Mincho"/>
          <w:kern w:val="22"/>
          <w:szCs w:val="22"/>
          <w:lang w:val="fr-CA"/>
        </w:rPr>
        <w:t>,</w:t>
      </w:r>
      <w:r w:rsidR="00E82F62" w:rsidRPr="00163488">
        <w:rPr>
          <w:rFonts w:eastAsia="MS Mincho"/>
          <w:kern w:val="22"/>
          <w:szCs w:val="22"/>
          <w:lang w:val="fr-CA"/>
        </w:rPr>
        <w:t xml:space="preserve"> </w:t>
      </w:r>
      <w:r w:rsidR="00F15139">
        <w:rPr>
          <w:rFonts w:eastAsia="MS Mincho"/>
          <w:kern w:val="22"/>
          <w:szCs w:val="22"/>
          <w:lang w:val="fr-CA"/>
        </w:rPr>
        <w:t>fondé sur les exposés reçus des Parties et des a</w:t>
      </w:r>
      <w:r w:rsidR="003F4B35">
        <w:rPr>
          <w:rFonts w:eastAsia="MS Mincho"/>
          <w:kern w:val="22"/>
          <w:szCs w:val="22"/>
          <w:lang w:val="fr-CA"/>
        </w:rPr>
        <w:t>utres organisations</w:t>
      </w:r>
      <w:r w:rsidR="001F6DB4">
        <w:rPr>
          <w:rFonts w:eastAsia="MS Mincho"/>
          <w:kern w:val="22"/>
          <w:szCs w:val="22"/>
          <w:lang w:val="fr-CA"/>
        </w:rPr>
        <w:t xml:space="preserve"> dans des délais suffisants pour en permettre l’examen par le Groupe de travail spécial à composition non limitée sur l’article 8 j) et les dispositions connexes, à sa dixième réunion</w:t>
      </w:r>
      <w:r w:rsidR="003F4B35">
        <w:rPr>
          <w:rFonts w:eastAsia="MS Mincho"/>
          <w:kern w:val="22"/>
          <w:szCs w:val="22"/>
          <w:lang w:val="fr-CA"/>
        </w:rPr>
        <w:t>. De plus, la</w:t>
      </w:r>
      <w:r w:rsidR="00F15139">
        <w:rPr>
          <w:rFonts w:eastAsia="MS Mincho"/>
          <w:kern w:val="22"/>
          <w:szCs w:val="22"/>
          <w:lang w:val="fr-CA"/>
        </w:rPr>
        <w:t xml:space="preserve"> Secrétaire exécu</w:t>
      </w:r>
      <w:r w:rsidR="003F4B35">
        <w:rPr>
          <w:rFonts w:eastAsia="MS Mincho"/>
          <w:kern w:val="22"/>
          <w:szCs w:val="22"/>
          <w:lang w:val="fr-CA"/>
        </w:rPr>
        <w:t>tive</w:t>
      </w:r>
      <w:r w:rsidR="00F15139">
        <w:rPr>
          <w:rFonts w:eastAsia="MS Mincho"/>
          <w:kern w:val="22"/>
          <w:szCs w:val="22"/>
          <w:lang w:val="fr-CA"/>
        </w:rPr>
        <w:t xml:space="preserve"> a émis un sommaire des informations sur l’évaluation du rôle des mesures collectives</w:t>
      </w:r>
      <w:r w:rsidR="002E5356">
        <w:rPr>
          <w:rFonts w:eastAsia="MS Mincho"/>
          <w:kern w:val="22"/>
          <w:szCs w:val="22"/>
          <w:lang w:val="fr-CA"/>
        </w:rPr>
        <w:t xml:space="preserve"> recueillies dans les exposés </w:t>
      </w:r>
      <w:r w:rsidR="003F4B35">
        <w:rPr>
          <w:rFonts w:eastAsia="MS Mincho"/>
          <w:kern w:val="22"/>
          <w:szCs w:val="22"/>
          <w:lang w:val="fr-CA"/>
        </w:rPr>
        <w:t>soumis</w:t>
      </w:r>
      <w:r w:rsidR="002E5356">
        <w:rPr>
          <w:rFonts w:eastAsia="MS Mincho"/>
          <w:kern w:val="22"/>
          <w:szCs w:val="22"/>
          <w:lang w:val="fr-CA"/>
        </w:rPr>
        <w:t xml:space="preserve"> au moyen du cadre de </w:t>
      </w:r>
      <w:r w:rsidR="002E5356">
        <w:rPr>
          <w:rFonts w:eastAsia="MS Mincho"/>
          <w:kern w:val="22"/>
          <w:szCs w:val="22"/>
          <w:lang w:val="fr-CA"/>
        </w:rPr>
        <w:lastRenderedPageBreak/>
        <w:t>présentation des rapports financiers</w:t>
      </w:r>
      <w:r w:rsidR="00F15139">
        <w:rPr>
          <w:rFonts w:eastAsia="MS Mincho"/>
          <w:kern w:val="22"/>
          <w:szCs w:val="22"/>
          <w:lang w:val="fr-CA"/>
        </w:rPr>
        <w:t>, pour la treizième réunion de la Conférence des Parties</w:t>
      </w:r>
      <w:r w:rsidR="005A6D72" w:rsidRPr="00D5280A">
        <w:rPr>
          <w:kern w:val="22"/>
          <w:lang w:val="fr-CA"/>
        </w:rPr>
        <w:t xml:space="preserve"> </w:t>
      </w:r>
      <w:r w:rsidR="00F15139">
        <w:rPr>
          <w:kern w:val="22"/>
          <w:lang w:val="fr-CA"/>
        </w:rPr>
        <w:t>(voir</w:t>
      </w:r>
      <w:r w:rsidR="009279BD" w:rsidRPr="00D5280A">
        <w:rPr>
          <w:kern w:val="22"/>
          <w:lang w:val="fr-CA"/>
        </w:rPr>
        <w:t xml:space="preserve"> </w:t>
      </w:r>
      <w:r w:rsidR="001F6DB4">
        <w:rPr>
          <w:kern w:val="22"/>
          <w:lang w:val="fr-CA"/>
        </w:rPr>
        <w:t xml:space="preserve">les paragraphes 25-26 du document </w:t>
      </w:r>
      <w:hyperlink r:id="rId13" w:history="1">
        <w:r w:rsidR="009279BD" w:rsidRPr="00D5280A">
          <w:rPr>
            <w:rStyle w:val="Hyperlink"/>
            <w:rFonts w:eastAsia="MS Mincho"/>
            <w:kern w:val="22"/>
            <w:sz w:val="22"/>
            <w:szCs w:val="22"/>
            <w:lang w:val="fr-CA"/>
          </w:rPr>
          <w:t>UNEP/CBD/COP/13/11/Rev.1</w:t>
        </w:r>
      </w:hyperlink>
      <w:r w:rsidR="009279BD" w:rsidRPr="00D5280A">
        <w:rPr>
          <w:kern w:val="22"/>
          <w:lang w:val="fr-CA"/>
        </w:rPr>
        <w:t>)</w:t>
      </w:r>
      <w:r w:rsidR="005A6D72" w:rsidRPr="00D5280A">
        <w:rPr>
          <w:kern w:val="22"/>
          <w:lang w:val="fr-CA"/>
        </w:rPr>
        <w:t>.</w:t>
      </w:r>
      <w:r w:rsidR="005A6D72" w:rsidRPr="00D5280A">
        <w:rPr>
          <w:rStyle w:val="FootnoteReference"/>
          <w:kern w:val="22"/>
          <w:lang w:val="fr-CA"/>
        </w:rPr>
        <w:footnoteReference w:id="3"/>
      </w:r>
    </w:p>
    <w:p w:rsidR="008A2D58" w:rsidRDefault="00D92D1D" w:rsidP="00927B39">
      <w:pPr>
        <w:pStyle w:val="Para1"/>
        <w:tabs>
          <w:tab w:val="clear" w:pos="360"/>
        </w:tabs>
        <w:rPr>
          <w:rFonts w:eastAsia="MS Mincho"/>
          <w:kern w:val="22"/>
          <w:lang w:val="fr-CA"/>
        </w:rPr>
      </w:pPr>
      <w:r>
        <w:rPr>
          <w:rFonts w:eastAsia="MS Mincho"/>
          <w:kern w:val="22"/>
          <w:lang w:val="fr-CA"/>
        </w:rPr>
        <w:t>Au paragraphe 21 de la décision XIII/</w:t>
      </w:r>
      <w:r w:rsidR="009E755C">
        <w:rPr>
          <w:rFonts w:eastAsia="MS Mincho"/>
          <w:kern w:val="22"/>
          <w:lang w:val="fr-CA"/>
        </w:rPr>
        <w:t>20, l</w:t>
      </w:r>
      <w:r w:rsidR="00E5735A">
        <w:rPr>
          <w:rFonts w:eastAsia="MS Mincho"/>
          <w:kern w:val="22"/>
          <w:lang w:val="fr-CA"/>
        </w:rPr>
        <w:t>a Conférence des Parties prie la Secrétaire exécutive</w:t>
      </w:r>
      <w:r w:rsidR="009E755C">
        <w:rPr>
          <w:rFonts w:eastAsia="MS Mincho"/>
          <w:kern w:val="22"/>
          <w:lang w:val="fr-CA"/>
        </w:rPr>
        <w:t xml:space="preserve"> « </w:t>
      </w:r>
      <w:r w:rsidR="009E755C" w:rsidRPr="009E755C">
        <w:rPr>
          <w:lang w:val="fr-CA"/>
        </w:rPr>
        <w:t>d’élaborer les éléments d’orientations méthodologiques pour identifier, surveiller et évaluer la contribution des peuples autochtones et des communautés locales à la réalisation du Plan stratégique pour la diversité biologique 2011-2020 et des Objecti</w:t>
      </w:r>
      <w:r w:rsidR="009E755C">
        <w:rPr>
          <w:lang w:val="fr-CA"/>
        </w:rPr>
        <w:t>fs d’Aichi pour la biodiversité » en tenant compte notamment des principes directeurs</w:t>
      </w:r>
      <w:r w:rsidR="002E5356">
        <w:rPr>
          <w:lang w:val="fr-CA"/>
        </w:rPr>
        <w:t>,</w:t>
      </w:r>
      <w:r w:rsidR="009E755C">
        <w:rPr>
          <w:lang w:val="fr-CA"/>
        </w:rPr>
        <w:t xml:space="preserve"> aux fins d’examen par le Groupe de travail </w:t>
      </w:r>
      <w:r w:rsidR="005264C5">
        <w:rPr>
          <w:lang w:val="fr-CA"/>
        </w:rPr>
        <w:t>sur l’article 8 j)</w:t>
      </w:r>
      <w:r w:rsidR="009E755C">
        <w:rPr>
          <w:lang w:val="fr-CA"/>
        </w:rPr>
        <w:t xml:space="preserve"> à sa dixième réunion, dans le but de parachever l’orientation méthodologique à la deuxième réunion de l’Organe subsi</w:t>
      </w:r>
      <w:r w:rsidR="00A53E35">
        <w:rPr>
          <w:lang w:val="fr-CA"/>
        </w:rPr>
        <w:t>d</w:t>
      </w:r>
      <w:r w:rsidR="009E755C">
        <w:rPr>
          <w:lang w:val="fr-CA"/>
        </w:rPr>
        <w:t xml:space="preserve">iaire </w:t>
      </w:r>
      <w:r w:rsidR="00A53E35">
        <w:rPr>
          <w:lang w:val="fr-CA"/>
        </w:rPr>
        <w:t>de mise en œuvre et de l’adopter à la quatorzième réunion de la Conférence des Parties</w:t>
      </w:r>
      <w:r w:rsidR="008A2D58" w:rsidRPr="00D5280A">
        <w:rPr>
          <w:rFonts w:eastAsia="MS Mincho"/>
          <w:kern w:val="22"/>
          <w:lang w:val="fr-CA"/>
        </w:rPr>
        <w:t>.</w:t>
      </w:r>
    </w:p>
    <w:p w:rsidR="005264C5" w:rsidRPr="001F4F86" w:rsidRDefault="005264C5" w:rsidP="00927B39">
      <w:pPr>
        <w:pStyle w:val="Para1"/>
        <w:tabs>
          <w:tab w:val="clear" w:pos="360"/>
        </w:tabs>
        <w:rPr>
          <w:rFonts w:eastAsia="MS Mincho"/>
          <w:kern w:val="22"/>
          <w:lang w:val="fr-CA"/>
        </w:rPr>
      </w:pPr>
      <w:r>
        <w:rPr>
          <w:rFonts w:eastAsia="MS Mincho"/>
          <w:kern w:val="22"/>
          <w:lang w:val="fr-CA"/>
        </w:rPr>
        <w:t xml:space="preserve">Le Groupe de travail sur l’article 8 j), à sa dixième réunion, a examiné la note de la Secrétaire exécutive sur les éléments de l’orientation méthodologique </w:t>
      </w:r>
      <w:r w:rsidRPr="005264C5">
        <w:rPr>
          <w:rFonts w:eastAsia="Malgun Gothic"/>
          <w:kern w:val="22"/>
          <w:szCs w:val="22"/>
          <w:lang w:val="fr-CA" w:eastAsia="ko-KR"/>
        </w:rPr>
        <w:t>(</w:t>
      </w:r>
      <w:hyperlink r:id="rId14" w:history="1">
        <w:r w:rsidRPr="005264C5">
          <w:rPr>
            <w:rStyle w:val="Hyperlink"/>
            <w:rFonts w:eastAsia="Malgun Gothic"/>
            <w:kern w:val="22"/>
            <w:sz w:val="22"/>
            <w:szCs w:val="22"/>
            <w:lang w:val="fr-CA" w:eastAsia="ko-KR"/>
          </w:rPr>
          <w:t>CBD/WG8J/10/5</w:t>
        </w:r>
      </w:hyperlink>
      <w:r w:rsidRPr="005264C5">
        <w:rPr>
          <w:rFonts w:eastAsia="Malgun Gothic"/>
          <w:kern w:val="22"/>
          <w:szCs w:val="22"/>
          <w:lang w:val="fr-CA" w:eastAsia="ko-KR"/>
        </w:rPr>
        <w:t>)</w:t>
      </w:r>
      <w:r>
        <w:rPr>
          <w:rFonts w:eastAsia="Malgun Gothic"/>
          <w:kern w:val="22"/>
          <w:szCs w:val="22"/>
          <w:lang w:val="fr-CA" w:eastAsia="ko-KR"/>
        </w:rPr>
        <w:t xml:space="preserve"> </w:t>
      </w:r>
      <w:r w:rsidR="00276971">
        <w:rPr>
          <w:rFonts w:eastAsia="Malgun Gothic"/>
          <w:kern w:val="22"/>
          <w:szCs w:val="22"/>
          <w:lang w:val="fr-CA" w:eastAsia="ko-KR"/>
        </w:rPr>
        <w:t xml:space="preserve">et, dans sa recommandation </w:t>
      </w:r>
      <w:hyperlink r:id="rId15" w:history="1">
        <w:r w:rsidR="00276971" w:rsidRPr="001F4F86">
          <w:rPr>
            <w:rStyle w:val="Hyperlink"/>
            <w:rFonts w:eastAsia="Malgun Gothic"/>
            <w:kern w:val="22"/>
            <w:sz w:val="22"/>
            <w:szCs w:val="22"/>
            <w:lang w:val="fr-CA" w:eastAsia="ko-KR"/>
          </w:rPr>
          <w:t>10/4</w:t>
        </w:r>
      </w:hyperlink>
      <w:r w:rsidR="00276971">
        <w:rPr>
          <w:rFonts w:eastAsia="Malgun Gothic"/>
          <w:kern w:val="22"/>
          <w:szCs w:val="22"/>
          <w:lang w:val="fr-CA" w:eastAsia="ko-KR"/>
        </w:rPr>
        <w:t>, invite les Parties, les autres gouvernements, les parties prenantes</w:t>
      </w:r>
      <w:r w:rsidR="001F4F86">
        <w:rPr>
          <w:rFonts w:eastAsia="Malgun Gothic"/>
          <w:kern w:val="22"/>
          <w:szCs w:val="22"/>
          <w:lang w:val="fr-CA" w:eastAsia="ko-KR"/>
        </w:rPr>
        <w:t>,</w:t>
      </w:r>
      <w:r w:rsidR="00276971">
        <w:rPr>
          <w:rFonts w:eastAsia="Malgun Gothic"/>
          <w:kern w:val="22"/>
          <w:szCs w:val="22"/>
          <w:lang w:val="fr-CA" w:eastAsia="ko-KR"/>
        </w:rPr>
        <w:t xml:space="preserve"> et les peuples autochtones et les communautés locales à présenter leurs points de vue sur le document à la Secrétaire exécutive. Le Groupe de travail a également demandé à la Secrétaire exécutive de compiler les exposés reçus et de les rendre disponibles par le biais du mécanisme de Centre d’échange</w:t>
      </w:r>
      <w:r w:rsidR="0088388E">
        <w:rPr>
          <w:rFonts w:eastAsia="Malgun Gothic"/>
          <w:kern w:val="22"/>
          <w:szCs w:val="22"/>
          <w:lang w:val="fr-CA" w:eastAsia="ko-KR"/>
        </w:rPr>
        <w:t xml:space="preserve"> de la Convention, et de réviser les documents</w:t>
      </w:r>
      <w:r w:rsidR="0088388E" w:rsidRPr="00B752DD">
        <w:rPr>
          <w:iCs/>
          <w:kern w:val="22"/>
          <w:szCs w:val="22"/>
          <w:vertAlign w:val="superscript"/>
        </w:rPr>
        <w:footnoteReference w:id="4"/>
      </w:r>
      <w:r w:rsidR="0088388E">
        <w:rPr>
          <w:rFonts w:eastAsia="Malgun Gothic"/>
          <w:kern w:val="22"/>
          <w:szCs w:val="22"/>
          <w:lang w:val="fr-CA" w:eastAsia="ko-KR"/>
        </w:rPr>
        <w:t xml:space="preserve"> ainsi que les projets de recommandations qu’il contient à partir des exposés reçus et des points de vue des peuples autochtones et des communautés locales</w:t>
      </w:r>
      <w:r w:rsidR="0088388E" w:rsidRPr="00B752DD">
        <w:rPr>
          <w:rStyle w:val="FootnoteReference"/>
          <w:iCs/>
          <w:kern w:val="22"/>
          <w:szCs w:val="22"/>
        </w:rPr>
        <w:footnoteReference w:id="5"/>
      </w:r>
      <w:r w:rsidR="0088388E">
        <w:rPr>
          <w:rFonts w:eastAsia="Malgun Gothic"/>
          <w:kern w:val="22"/>
          <w:szCs w:val="22"/>
          <w:lang w:val="fr-CA" w:eastAsia="ko-KR"/>
        </w:rPr>
        <w:t xml:space="preserve">, et </w:t>
      </w:r>
      <w:r w:rsidR="001F4F86">
        <w:rPr>
          <w:rFonts w:eastAsia="Malgun Gothic"/>
          <w:kern w:val="22"/>
          <w:szCs w:val="22"/>
          <w:lang w:val="fr-CA" w:eastAsia="ko-KR"/>
        </w:rPr>
        <w:t xml:space="preserve">de </w:t>
      </w:r>
      <w:r w:rsidR="0088388E">
        <w:rPr>
          <w:rFonts w:eastAsia="Malgun Gothic"/>
          <w:kern w:val="22"/>
          <w:szCs w:val="22"/>
          <w:lang w:val="fr-CA" w:eastAsia="ko-KR"/>
        </w:rPr>
        <w:t>faire en sorte que le document soi</w:t>
      </w:r>
      <w:r w:rsidR="008F474A">
        <w:rPr>
          <w:rFonts w:eastAsia="Malgun Gothic"/>
          <w:kern w:val="22"/>
          <w:szCs w:val="22"/>
          <w:lang w:val="fr-CA" w:eastAsia="ko-KR"/>
        </w:rPr>
        <w:t>t disponible pour examen par l’O</w:t>
      </w:r>
      <w:r w:rsidR="0088388E">
        <w:rPr>
          <w:rFonts w:eastAsia="Malgun Gothic"/>
          <w:kern w:val="22"/>
          <w:szCs w:val="22"/>
          <w:lang w:val="fr-CA" w:eastAsia="ko-KR"/>
        </w:rPr>
        <w:t>rgane subsidiaire de mise en œuvre à sa deuxième réunion.</w:t>
      </w:r>
      <w:r w:rsidR="00276971">
        <w:rPr>
          <w:rFonts w:eastAsia="Malgun Gothic"/>
          <w:kern w:val="22"/>
          <w:szCs w:val="22"/>
          <w:lang w:val="fr-CA" w:eastAsia="ko-KR"/>
        </w:rPr>
        <w:t xml:space="preserve"> </w:t>
      </w:r>
    </w:p>
    <w:p w:rsidR="001F4F86" w:rsidRPr="00D5280A" w:rsidRDefault="001F4F86" w:rsidP="00927B39">
      <w:pPr>
        <w:pStyle w:val="Para1"/>
        <w:tabs>
          <w:tab w:val="clear" w:pos="360"/>
        </w:tabs>
        <w:rPr>
          <w:rFonts w:eastAsia="MS Mincho"/>
          <w:kern w:val="22"/>
          <w:lang w:val="fr-CA"/>
        </w:rPr>
      </w:pPr>
      <w:r>
        <w:rPr>
          <w:rFonts w:eastAsia="Malgun Gothic"/>
          <w:kern w:val="22"/>
          <w:szCs w:val="22"/>
          <w:lang w:val="fr-CA" w:eastAsia="ko-KR"/>
        </w:rPr>
        <w:t xml:space="preserve">Dans la foulée de ce qui précède, la Secrétaire exécutive </w:t>
      </w:r>
      <w:r w:rsidR="0070772B">
        <w:rPr>
          <w:rFonts w:eastAsia="Malgun Gothic"/>
          <w:kern w:val="22"/>
          <w:szCs w:val="22"/>
          <w:lang w:val="fr-CA" w:eastAsia="ko-KR"/>
        </w:rPr>
        <w:t xml:space="preserve">a </w:t>
      </w:r>
      <w:r w:rsidR="008F474A">
        <w:rPr>
          <w:rFonts w:eastAsia="Malgun Gothic"/>
          <w:kern w:val="22"/>
          <w:szCs w:val="22"/>
          <w:lang w:val="fr-CA" w:eastAsia="ko-KR"/>
        </w:rPr>
        <w:t>publié une notification datée du 15 janvier 2018</w:t>
      </w:r>
      <w:r w:rsidR="0070772B" w:rsidRPr="00B752DD">
        <w:rPr>
          <w:rStyle w:val="FootnoteReference"/>
          <w:color w:val="333333"/>
          <w:kern w:val="22"/>
          <w:szCs w:val="22"/>
        </w:rPr>
        <w:footnoteReference w:id="6"/>
      </w:r>
      <w:r w:rsidR="008F474A" w:rsidRPr="008F474A">
        <w:rPr>
          <w:rFonts w:eastAsia="Malgun Gothic"/>
          <w:kern w:val="22"/>
          <w:szCs w:val="22"/>
          <w:lang w:val="fr-CA" w:eastAsia="ko-KR"/>
        </w:rPr>
        <w:t xml:space="preserve"> dans laquelle </w:t>
      </w:r>
      <w:r w:rsidR="008F474A">
        <w:rPr>
          <w:rFonts w:eastAsia="Malgun Gothic"/>
          <w:kern w:val="22"/>
          <w:szCs w:val="22"/>
          <w:lang w:val="fr-CA" w:eastAsia="ko-KR"/>
        </w:rPr>
        <w:t xml:space="preserve">elle invite les parties concernées à faire connaître leurs points de vue, qui ont ensuite été compilés </w:t>
      </w:r>
      <w:r>
        <w:rPr>
          <w:rFonts w:eastAsia="Malgun Gothic"/>
          <w:kern w:val="22"/>
          <w:szCs w:val="22"/>
          <w:lang w:val="fr-CA" w:eastAsia="ko-KR"/>
        </w:rPr>
        <w:t>dans une note informative les accompagnant</w:t>
      </w:r>
      <w:r w:rsidR="005375DC" w:rsidRPr="00B752DD">
        <w:rPr>
          <w:kern w:val="22"/>
          <w:szCs w:val="22"/>
          <w:vertAlign w:val="superscript"/>
        </w:rPr>
        <w:footnoteReference w:id="7"/>
      </w:r>
      <w:r>
        <w:rPr>
          <w:rFonts w:eastAsia="Malgun Gothic"/>
          <w:kern w:val="22"/>
          <w:szCs w:val="22"/>
          <w:lang w:val="fr-CA" w:eastAsia="ko-KR"/>
        </w:rPr>
        <w:t xml:space="preserve">. Le présent document, comprenant la recommandation suggérée à la Partie IV, </w:t>
      </w:r>
      <w:r w:rsidR="0070772B">
        <w:rPr>
          <w:rFonts w:eastAsia="Malgun Gothic"/>
          <w:kern w:val="22"/>
          <w:szCs w:val="22"/>
          <w:lang w:val="fr-CA" w:eastAsia="ko-KR"/>
        </w:rPr>
        <w:t>représente la version révisée</w:t>
      </w:r>
      <w:r>
        <w:rPr>
          <w:rFonts w:eastAsia="Malgun Gothic"/>
          <w:kern w:val="22"/>
          <w:szCs w:val="22"/>
          <w:lang w:val="fr-CA" w:eastAsia="ko-KR"/>
        </w:rPr>
        <w:t xml:space="preserve"> du document du Groupe de travail</w:t>
      </w:r>
      <w:r w:rsidR="0070772B">
        <w:rPr>
          <w:rFonts w:eastAsia="Malgun Gothic"/>
          <w:kern w:val="22"/>
          <w:szCs w:val="22"/>
          <w:lang w:val="fr-CA" w:eastAsia="ko-KR"/>
        </w:rPr>
        <w:t xml:space="preserve"> préparée à partir des points de vue supplémentaires reçus, et développe les points de vue déjà reçus à la dixième réunion du Groupe de travail. </w:t>
      </w:r>
    </w:p>
    <w:p w:rsidR="00973097" w:rsidRPr="00D5280A" w:rsidRDefault="00A53E35" w:rsidP="00927B39">
      <w:pPr>
        <w:pStyle w:val="Para1"/>
        <w:tabs>
          <w:tab w:val="clear" w:pos="360"/>
        </w:tabs>
        <w:rPr>
          <w:kern w:val="22"/>
          <w:lang w:val="fr-CA"/>
        </w:rPr>
      </w:pPr>
      <w:r>
        <w:rPr>
          <w:kern w:val="22"/>
          <w:lang w:val="fr-CA"/>
        </w:rPr>
        <w:t>La partie I propose une analyse des exposés reçus sur l’évaluation de la contribution des mesures collectives des peuples autochtones et des communautés locales à la réalisation des objectifs du Plan stratégique 2011-2020 pour la diversité biologique et des Objectifs d’Aichi relatifs à la diversité biologique. La partie II</w:t>
      </w:r>
      <w:r w:rsidR="00E266B3">
        <w:rPr>
          <w:kern w:val="22"/>
          <w:lang w:val="fr-CA"/>
        </w:rPr>
        <w:t xml:space="preserve"> présente un survol des élément</w:t>
      </w:r>
      <w:r>
        <w:rPr>
          <w:kern w:val="22"/>
          <w:lang w:val="fr-CA"/>
        </w:rPr>
        <w:t>s de</w:t>
      </w:r>
      <w:r w:rsidR="00E5735A">
        <w:rPr>
          <w:kern w:val="22"/>
          <w:lang w:val="fr-CA"/>
        </w:rPr>
        <w:t xml:space="preserve">s </w:t>
      </w:r>
      <w:r w:rsidR="00E266B3">
        <w:rPr>
          <w:kern w:val="22"/>
          <w:lang w:val="fr-CA"/>
        </w:rPr>
        <w:t>orientati</w:t>
      </w:r>
      <w:r>
        <w:rPr>
          <w:kern w:val="22"/>
          <w:lang w:val="fr-CA"/>
        </w:rPr>
        <w:t>on</w:t>
      </w:r>
      <w:r w:rsidR="00E5735A">
        <w:rPr>
          <w:kern w:val="22"/>
          <w:lang w:val="fr-CA"/>
        </w:rPr>
        <w:t>s</w:t>
      </w:r>
      <w:r>
        <w:rPr>
          <w:kern w:val="22"/>
          <w:lang w:val="fr-CA"/>
        </w:rPr>
        <w:t xml:space="preserve"> méthodologique</w:t>
      </w:r>
      <w:r w:rsidR="00E5735A">
        <w:rPr>
          <w:kern w:val="22"/>
          <w:lang w:val="fr-CA"/>
        </w:rPr>
        <w:t>s</w:t>
      </w:r>
      <w:r>
        <w:rPr>
          <w:kern w:val="22"/>
          <w:lang w:val="fr-CA"/>
        </w:rPr>
        <w:t xml:space="preserve"> dans les cadres existants. La partie III présente les éléments possibles d’une </w:t>
      </w:r>
      <w:r w:rsidR="00E266B3">
        <w:rPr>
          <w:kern w:val="22"/>
          <w:lang w:val="fr-CA"/>
        </w:rPr>
        <w:t>orientati</w:t>
      </w:r>
      <w:r>
        <w:rPr>
          <w:kern w:val="22"/>
          <w:lang w:val="fr-CA"/>
        </w:rPr>
        <w:t>on méthodologique</w:t>
      </w:r>
      <w:r w:rsidR="00E266B3">
        <w:rPr>
          <w:kern w:val="22"/>
          <w:lang w:val="fr-CA"/>
        </w:rPr>
        <w:t xml:space="preserve"> él</w:t>
      </w:r>
      <w:r>
        <w:rPr>
          <w:kern w:val="22"/>
          <w:lang w:val="fr-CA"/>
        </w:rPr>
        <w:t>aboré</w:t>
      </w:r>
      <w:r w:rsidR="00F82B6C">
        <w:rPr>
          <w:kern w:val="22"/>
          <w:lang w:val="fr-CA"/>
        </w:rPr>
        <w:t>e</w:t>
      </w:r>
      <w:r>
        <w:rPr>
          <w:kern w:val="22"/>
          <w:lang w:val="fr-CA"/>
        </w:rPr>
        <w:t xml:space="preserve"> à partir des parties I et II. </w:t>
      </w:r>
      <w:r w:rsidR="00F82B6C">
        <w:rPr>
          <w:kern w:val="22"/>
          <w:lang w:val="fr-CA"/>
        </w:rPr>
        <w:t>L</w:t>
      </w:r>
      <w:r w:rsidR="00E266B3">
        <w:rPr>
          <w:kern w:val="22"/>
          <w:lang w:val="fr-CA"/>
        </w:rPr>
        <w:t>a partie IV</w:t>
      </w:r>
      <w:r w:rsidR="00F82B6C">
        <w:rPr>
          <w:kern w:val="22"/>
          <w:lang w:val="fr-CA"/>
        </w:rPr>
        <w:t xml:space="preserve">, qui développe les propositions présentées à la partie III, </w:t>
      </w:r>
      <w:r w:rsidR="00E266B3">
        <w:rPr>
          <w:kern w:val="22"/>
          <w:lang w:val="fr-CA"/>
        </w:rPr>
        <w:t xml:space="preserve">propose </w:t>
      </w:r>
      <w:r w:rsidR="007123F8">
        <w:rPr>
          <w:kern w:val="22"/>
          <w:lang w:val="fr-CA"/>
        </w:rPr>
        <w:t xml:space="preserve">le texte </w:t>
      </w:r>
      <w:r w:rsidR="005C4FD7">
        <w:rPr>
          <w:kern w:val="22"/>
          <w:lang w:val="fr-CA"/>
        </w:rPr>
        <w:t>d’un</w:t>
      </w:r>
      <w:r w:rsidR="00E266B3">
        <w:rPr>
          <w:kern w:val="22"/>
          <w:lang w:val="fr-CA"/>
        </w:rPr>
        <w:t xml:space="preserve"> projet de recommandation aux fins d’examen par </w:t>
      </w:r>
      <w:r w:rsidR="007123F8">
        <w:rPr>
          <w:kern w:val="22"/>
          <w:lang w:val="fr-CA"/>
        </w:rPr>
        <w:t xml:space="preserve">l’Organe subsidiaire de mise </w:t>
      </w:r>
      <w:r w:rsidR="005C4FD7">
        <w:rPr>
          <w:kern w:val="22"/>
          <w:lang w:val="fr-CA"/>
        </w:rPr>
        <w:t>en</w:t>
      </w:r>
      <w:r w:rsidR="007123F8">
        <w:rPr>
          <w:kern w:val="22"/>
          <w:lang w:val="fr-CA"/>
        </w:rPr>
        <w:t xml:space="preserve"> œuvre à sa deuxième réunion</w:t>
      </w:r>
      <w:r w:rsidR="005C4FD7">
        <w:rPr>
          <w:kern w:val="22"/>
          <w:lang w:val="fr-CA"/>
        </w:rPr>
        <w:t>.</w:t>
      </w:r>
      <w:r w:rsidR="00E266B3">
        <w:rPr>
          <w:kern w:val="22"/>
          <w:lang w:val="fr-CA"/>
        </w:rPr>
        <w:t xml:space="preserve"> Une liste indicative non exhaustive des éléments </w:t>
      </w:r>
      <w:r w:rsidR="00F82B6C">
        <w:rPr>
          <w:kern w:val="22"/>
          <w:lang w:val="fr-CA"/>
        </w:rPr>
        <w:t>méthodologiques</w:t>
      </w:r>
      <w:r w:rsidR="00E266B3">
        <w:rPr>
          <w:kern w:val="22"/>
          <w:lang w:val="fr-CA"/>
        </w:rPr>
        <w:t xml:space="preserve"> en lien avec le projet de recommandation est jointe à l’annexe </w:t>
      </w:r>
      <w:r w:rsidR="005C4FD7">
        <w:rPr>
          <w:kern w:val="22"/>
          <w:lang w:val="fr-CA"/>
        </w:rPr>
        <w:t>à la recommandation proposée (voir le paragraphe 66)</w:t>
      </w:r>
      <w:r w:rsidR="00E1753C" w:rsidRPr="00D5280A">
        <w:rPr>
          <w:iCs/>
          <w:kern w:val="22"/>
          <w:szCs w:val="22"/>
          <w:lang w:val="fr-CA"/>
        </w:rPr>
        <w:t>.</w:t>
      </w:r>
    </w:p>
    <w:p w:rsidR="009E6ED9" w:rsidRPr="00D5280A" w:rsidRDefault="00566C01" w:rsidP="00015319">
      <w:pPr>
        <w:pStyle w:val="Heading1longmultiline"/>
        <w:numPr>
          <w:ilvl w:val="0"/>
          <w:numId w:val="14"/>
        </w:numPr>
        <w:spacing w:before="120"/>
        <w:rPr>
          <w:snapToGrid w:val="0"/>
          <w:kern w:val="22"/>
          <w:szCs w:val="22"/>
          <w:lang w:val="fr-CA"/>
        </w:rPr>
      </w:pPr>
      <w:r>
        <w:rPr>
          <w:snapToGrid w:val="0"/>
          <w:kern w:val="22"/>
          <w:szCs w:val="22"/>
          <w:lang w:val="fr-CA"/>
        </w:rPr>
        <w:lastRenderedPageBreak/>
        <w:t>APERÇU DES EXPOSÉS SUR L’ÉVALUATION DE LA CONTRIBUTION DES MESURES COLLECTIVES DES PEUPLES AUTOCHTONES ET DES COMMUNAUTÉS LOCALES</w:t>
      </w:r>
    </w:p>
    <w:p w:rsidR="000A36E3" w:rsidRPr="00566C01" w:rsidRDefault="005C4FD7" w:rsidP="00132DF3">
      <w:pPr>
        <w:pStyle w:val="Para1"/>
        <w:tabs>
          <w:tab w:val="clear" w:pos="360"/>
        </w:tabs>
        <w:rPr>
          <w:kern w:val="22"/>
          <w:lang w:val="fr-CA"/>
        </w:rPr>
      </w:pPr>
      <w:r>
        <w:rPr>
          <w:kern w:val="22"/>
          <w:lang w:val="fr-CA"/>
        </w:rPr>
        <w:t>En réponse au premier appel de points de vue</w:t>
      </w:r>
      <w:r w:rsidRPr="00B752DD">
        <w:rPr>
          <w:rStyle w:val="FootnoteReference"/>
          <w:kern w:val="22"/>
          <w:szCs w:val="22"/>
        </w:rPr>
        <w:footnoteReference w:id="8"/>
      </w:r>
      <w:r>
        <w:rPr>
          <w:kern w:val="22"/>
          <w:lang w:val="fr-CA"/>
        </w:rPr>
        <w:t>, s</w:t>
      </w:r>
      <w:r w:rsidR="00566C01" w:rsidRPr="00566C01">
        <w:rPr>
          <w:kern w:val="22"/>
          <w:lang w:val="fr-CA"/>
        </w:rPr>
        <w:t xml:space="preserve">ix Parties et sept </w:t>
      </w:r>
      <w:r w:rsidR="00566C01">
        <w:rPr>
          <w:kern w:val="22"/>
          <w:lang w:val="fr-CA"/>
        </w:rPr>
        <w:t>organisations compétentes</w:t>
      </w:r>
      <w:r w:rsidR="007B4F90" w:rsidRPr="00D5280A">
        <w:rPr>
          <w:rStyle w:val="FootnoteReference"/>
          <w:kern w:val="22"/>
          <w:lang w:val="fr-CA"/>
        </w:rPr>
        <w:footnoteReference w:id="9"/>
      </w:r>
      <w:r w:rsidR="0012373D" w:rsidRPr="00566C01">
        <w:rPr>
          <w:kern w:val="22"/>
          <w:lang w:val="fr-CA"/>
        </w:rPr>
        <w:t xml:space="preserve"> </w:t>
      </w:r>
      <w:r w:rsidR="00566C01">
        <w:rPr>
          <w:kern w:val="22"/>
          <w:lang w:val="fr-CA"/>
        </w:rPr>
        <w:t>ont fait parvenir des exposés contenant de l’information sur les activités nationales et autres expériences pertinentes aux mesures collectives des peuples autochtones et des communautés locales, et sur les mesures de sauvegarde prévues dans les mécanismes de financement de la diversité biologique</w:t>
      </w:r>
      <w:r w:rsidR="0012373D" w:rsidRPr="00566C01">
        <w:rPr>
          <w:kern w:val="22"/>
          <w:lang w:val="fr-CA"/>
        </w:rPr>
        <w:t>.</w:t>
      </w:r>
      <w:r w:rsidR="00C87212">
        <w:rPr>
          <w:kern w:val="22"/>
          <w:lang w:val="fr-CA"/>
        </w:rPr>
        <w:t xml:space="preserve"> Une notification supplémentaire datée du 15 janvier 2018 a été émise après la dixième réunion du Groupe de travail sur l’article 8 j), sollicitant des points de vue sur la note de la Secrétaire exécutive sur les éléments de l’orientation méthodologique (CDB/WG8J/10/5), dans le but </w:t>
      </w:r>
      <w:r w:rsidR="000C7E7B">
        <w:rPr>
          <w:kern w:val="22"/>
          <w:lang w:val="fr-CA"/>
        </w:rPr>
        <w:t>d’actualiser</w:t>
      </w:r>
      <w:r w:rsidR="00C87212">
        <w:rPr>
          <w:kern w:val="22"/>
          <w:lang w:val="fr-CA"/>
        </w:rPr>
        <w:t xml:space="preserve"> le document aux fins d’examen par l’Organe subsidiaire à sa deuxième réunion. Deux exposés ont été reçus de Parties, un exposé a été reçu d’un autre gouvernement et un exposé a été reçu d’une organisation autochtone</w:t>
      </w:r>
      <w:r w:rsidR="00097337" w:rsidRPr="00B752DD">
        <w:rPr>
          <w:rStyle w:val="FootnoteReference"/>
          <w:rFonts w:eastAsia="Malgun Gothic"/>
          <w:kern w:val="22"/>
          <w:szCs w:val="22"/>
          <w:lang w:eastAsia="ko-KR"/>
        </w:rPr>
        <w:footnoteReference w:id="10"/>
      </w:r>
      <w:r w:rsidR="00C87212">
        <w:rPr>
          <w:kern w:val="22"/>
          <w:lang w:val="fr-CA"/>
        </w:rPr>
        <w:t xml:space="preserve"> en réponse à la notification. Ces exposés ont été colligés et publiés dans une note informative, et intégrés dans cette partie.</w:t>
      </w:r>
    </w:p>
    <w:p w:rsidR="007246C5" w:rsidRPr="00D5280A" w:rsidRDefault="000A36E3" w:rsidP="00132DF3">
      <w:pPr>
        <w:keepNext/>
        <w:jc w:val="center"/>
        <w:rPr>
          <w:b/>
          <w:bCs/>
          <w:snapToGrid w:val="0"/>
          <w:kern w:val="22"/>
          <w:szCs w:val="22"/>
          <w:lang w:val="fr-CA"/>
        </w:rPr>
      </w:pPr>
      <w:r w:rsidRPr="00D5280A">
        <w:rPr>
          <w:b/>
          <w:bCs/>
          <w:snapToGrid w:val="0"/>
          <w:kern w:val="22"/>
          <w:szCs w:val="22"/>
          <w:lang w:val="fr-CA"/>
        </w:rPr>
        <w:t>A.</w:t>
      </w:r>
      <w:r w:rsidRPr="00D5280A">
        <w:rPr>
          <w:b/>
          <w:bCs/>
          <w:snapToGrid w:val="0"/>
          <w:kern w:val="22"/>
          <w:szCs w:val="22"/>
          <w:lang w:val="fr-CA"/>
        </w:rPr>
        <w:tab/>
      </w:r>
      <w:r w:rsidR="00000ACB">
        <w:rPr>
          <w:b/>
          <w:bCs/>
          <w:snapToGrid w:val="0"/>
          <w:kern w:val="22"/>
          <w:szCs w:val="22"/>
          <w:lang w:val="fr-CA"/>
        </w:rPr>
        <w:t>Exposés des Parties</w:t>
      </w:r>
    </w:p>
    <w:p w:rsidR="006C536F" w:rsidRPr="00D5280A" w:rsidRDefault="00014277" w:rsidP="00927B39">
      <w:pPr>
        <w:pStyle w:val="Para1"/>
        <w:tabs>
          <w:tab w:val="clear" w:pos="360"/>
        </w:tabs>
        <w:rPr>
          <w:i/>
          <w:iCs/>
          <w:kern w:val="22"/>
          <w:lang w:val="fr-CA"/>
        </w:rPr>
      </w:pPr>
      <w:r>
        <w:rPr>
          <w:kern w:val="22"/>
          <w:lang w:val="fr-CA"/>
        </w:rPr>
        <w:t xml:space="preserve">Les exposés des Parties mettent en évidence le rôle important </w:t>
      </w:r>
      <w:r w:rsidR="005C21F3">
        <w:rPr>
          <w:kern w:val="22"/>
          <w:lang w:val="fr-CA"/>
        </w:rPr>
        <w:t>des</w:t>
      </w:r>
      <w:r>
        <w:rPr>
          <w:kern w:val="22"/>
          <w:lang w:val="fr-CA"/>
        </w:rPr>
        <w:t xml:space="preserve"> mesures collectives des peuples autochtones et des communautés locales dans la réalisation des objectifs du Plan stratégique 2011-2020 p</w:t>
      </w:r>
      <w:r w:rsidR="005C21F3">
        <w:rPr>
          <w:kern w:val="22"/>
          <w:lang w:val="fr-CA"/>
        </w:rPr>
        <w:t>our la diversité biologique et d</w:t>
      </w:r>
      <w:r>
        <w:rPr>
          <w:kern w:val="22"/>
          <w:lang w:val="fr-CA"/>
        </w:rPr>
        <w:t>es Objectifs d’A</w:t>
      </w:r>
      <w:r w:rsidR="00583E41">
        <w:rPr>
          <w:kern w:val="22"/>
          <w:lang w:val="fr-CA"/>
        </w:rPr>
        <w:t>ichi rela</w:t>
      </w:r>
      <w:r>
        <w:rPr>
          <w:kern w:val="22"/>
          <w:lang w:val="fr-CA"/>
        </w:rPr>
        <w:t xml:space="preserve">tifs à la </w:t>
      </w:r>
      <w:r w:rsidR="00A065F8">
        <w:rPr>
          <w:kern w:val="22"/>
          <w:lang w:val="fr-CA"/>
        </w:rPr>
        <w:t>diversité biologiqu</w:t>
      </w:r>
      <w:r>
        <w:rPr>
          <w:kern w:val="22"/>
          <w:lang w:val="fr-CA"/>
        </w:rPr>
        <w:t>e dans leurs pays</w:t>
      </w:r>
      <w:r w:rsidR="00583E41">
        <w:rPr>
          <w:kern w:val="22"/>
          <w:lang w:val="fr-CA"/>
        </w:rPr>
        <w:t xml:space="preserve"> et offrent de l’information </w:t>
      </w:r>
      <w:r w:rsidR="005C21F3">
        <w:rPr>
          <w:kern w:val="22"/>
          <w:lang w:val="fr-CA"/>
        </w:rPr>
        <w:t xml:space="preserve">sur </w:t>
      </w:r>
      <w:r w:rsidR="00583E41">
        <w:rPr>
          <w:kern w:val="22"/>
          <w:lang w:val="fr-CA"/>
        </w:rPr>
        <w:t>la façon dont leurs activités pilotes aident à tirer des leçons sur les éléments pouvant contribuer potentiellement à un cadre méthodologique pour l’évaluation de ces contributions.</w:t>
      </w:r>
    </w:p>
    <w:p w:rsidR="008A276B" w:rsidRPr="00D5280A" w:rsidRDefault="00583E41" w:rsidP="00927B39">
      <w:pPr>
        <w:pStyle w:val="Para1"/>
        <w:tabs>
          <w:tab w:val="clear" w:pos="360"/>
        </w:tabs>
        <w:rPr>
          <w:i/>
          <w:kern w:val="22"/>
          <w:lang w:val="fr-CA"/>
        </w:rPr>
      </w:pPr>
      <w:r>
        <w:rPr>
          <w:kern w:val="22"/>
          <w:lang w:val="fr-CA"/>
        </w:rPr>
        <w:t xml:space="preserve">Le projet </w:t>
      </w:r>
      <w:r w:rsidR="000414D9">
        <w:rPr>
          <w:kern w:val="22"/>
          <w:lang w:val="fr-CA"/>
        </w:rPr>
        <w:t xml:space="preserve">pour soutenir la mise en œuvre de la politique nationale brésilienne sur la gestion territoriale et environnementale des terres autochtones (PNGATI) financé par </w:t>
      </w:r>
      <w:r>
        <w:rPr>
          <w:kern w:val="22"/>
          <w:lang w:val="fr-CA"/>
        </w:rPr>
        <w:t>le Fonds pour l’environ</w:t>
      </w:r>
      <w:r w:rsidR="005C21F3">
        <w:rPr>
          <w:kern w:val="22"/>
          <w:lang w:val="fr-CA"/>
        </w:rPr>
        <w:t>nement mondial est une activité</w:t>
      </w:r>
      <w:r w:rsidR="000414D9">
        <w:rPr>
          <w:kern w:val="22"/>
          <w:lang w:val="fr-CA"/>
        </w:rPr>
        <w:t xml:space="preserve"> pilote importante pour l’avancement des mesures collectives au Brésil, qui encourage l’inclusion sociale des peuples autochtones et la participatio</w:t>
      </w:r>
      <w:r w:rsidR="00F275BF">
        <w:rPr>
          <w:kern w:val="22"/>
          <w:lang w:val="fr-CA"/>
        </w:rPr>
        <w:t>n de leurs</w:t>
      </w:r>
      <w:r w:rsidR="00725A9C">
        <w:rPr>
          <w:kern w:val="22"/>
          <w:lang w:val="fr-CA"/>
        </w:rPr>
        <w:t xml:space="preserve"> organisations au dé</w:t>
      </w:r>
      <w:r w:rsidR="000414D9">
        <w:rPr>
          <w:kern w:val="22"/>
          <w:lang w:val="fr-CA"/>
        </w:rPr>
        <w:t xml:space="preserve">veloppement des politiques publiques. </w:t>
      </w:r>
      <w:r w:rsidR="00725A9C">
        <w:rPr>
          <w:kern w:val="22"/>
          <w:lang w:val="fr-CA"/>
        </w:rPr>
        <w:t>Quatre élé</w:t>
      </w:r>
      <w:r w:rsidR="00F275BF">
        <w:rPr>
          <w:kern w:val="22"/>
          <w:lang w:val="fr-CA"/>
        </w:rPr>
        <w:t>ments clé</w:t>
      </w:r>
      <w:r w:rsidR="00725A9C">
        <w:rPr>
          <w:kern w:val="22"/>
          <w:lang w:val="fr-CA"/>
        </w:rPr>
        <w:t xml:space="preserve">s de cette expérience ont été recensés en tant </w:t>
      </w:r>
      <w:r w:rsidR="00836DB1">
        <w:rPr>
          <w:kern w:val="22"/>
          <w:lang w:val="fr-CA"/>
        </w:rPr>
        <w:t>qu’éléments de base d</w:t>
      </w:r>
      <w:r w:rsidR="00725A9C">
        <w:rPr>
          <w:kern w:val="22"/>
          <w:lang w:val="fr-CA"/>
        </w:rPr>
        <w:t>es mesures collectives des peuples autochtones : a) le développement de mécanismes de financement et d’outils pour la gestion et le suivi</w:t>
      </w:r>
      <w:r w:rsidR="007A5DD8">
        <w:rPr>
          <w:kern w:val="22"/>
          <w:lang w:val="fr-CA"/>
        </w:rPr>
        <w:t>;</w:t>
      </w:r>
      <w:r w:rsidR="00725A9C">
        <w:rPr>
          <w:kern w:val="22"/>
          <w:lang w:val="fr-CA"/>
        </w:rPr>
        <w:t xml:space="preserve"> b) la consolidation d’un ré</w:t>
      </w:r>
      <w:r w:rsidR="00F275BF">
        <w:rPr>
          <w:kern w:val="22"/>
          <w:lang w:val="fr-CA"/>
        </w:rPr>
        <w:t>s</w:t>
      </w:r>
      <w:r w:rsidR="00725A9C">
        <w:rPr>
          <w:kern w:val="22"/>
          <w:lang w:val="fr-CA"/>
        </w:rPr>
        <w:t>eau autochtone pour le partage des expériences</w:t>
      </w:r>
      <w:r w:rsidR="007A5DD8">
        <w:rPr>
          <w:kern w:val="22"/>
          <w:lang w:val="fr-CA"/>
        </w:rPr>
        <w:t>;</w:t>
      </w:r>
      <w:r w:rsidR="00725A9C">
        <w:rPr>
          <w:kern w:val="22"/>
          <w:lang w:val="fr-CA"/>
        </w:rPr>
        <w:t xml:space="preserve"> </w:t>
      </w:r>
      <w:r w:rsidR="00F275BF">
        <w:rPr>
          <w:kern w:val="22"/>
          <w:lang w:val="fr-CA"/>
        </w:rPr>
        <w:t>c) l’autoidentification des aires nécessitant une intervention prioritaire pour la protection, la récupération et l’utilisation durable des forêts</w:t>
      </w:r>
      <w:r w:rsidR="007A5DD8">
        <w:rPr>
          <w:kern w:val="22"/>
          <w:lang w:val="fr-CA"/>
        </w:rPr>
        <w:t>;</w:t>
      </w:r>
      <w:r w:rsidR="00F275BF">
        <w:rPr>
          <w:kern w:val="22"/>
          <w:lang w:val="fr-CA"/>
        </w:rPr>
        <w:t xml:space="preserve"> </w:t>
      </w:r>
      <w:r w:rsidR="00836DB1">
        <w:rPr>
          <w:kern w:val="22"/>
          <w:lang w:val="fr-CA"/>
        </w:rPr>
        <w:t xml:space="preserve">et </w:t>
      </w:r>
      <w:r w:rsidR="00F275BF">
        <w:rPr>
          <w:kern w:val="22"/>
          <w:lang w:val="fr-CA"/>
        </w:rPr>
        <w:t>d) la participation des peup</w:t>
      </w:r>
      <w:r w:rsidR="00A065F8">
        <w:rPr>
          <w:kern w:val="22"/>
          <w:lang w:val="fr-CA"/>
        </w:rPr>
        <w:t>l</w:t>
      </w:r>
      <w:r w:rsidR="00F275BF">
        <w:rPr>
          <w:kern w:val="22"/>
          <w:lang w:val="fr-CA"/>
        </w:rPr>
        <w:t>es autochtones à des forums et des entités compétentes en matière de politiques et de gestion.</w:t>
      </w:r>
    </w:p>
    <w:p w:rsidR="00CF6E9F" w:rsidRDefault="00F275BF" w:rsidP="00927B39">
      <w:pPr>
        <w:pStyle w:val="Para1"/>
        <w:tabs>
          <w:tab w:val="clear" w:pos="360"/>
        </w:tabs>
        <w:rPr>
          <w:kern w:val="22"/>
          <w:lang w:val="fr-CA"/>
        </w:rPr>
      </w:pPr>
      <w:r>
        <w:rPr>
          <w:kern w:val="22"/>
          <w:lang w:val="fr-CA"/>
        </w:rPr>
        <w:t>Au Canada, le gouvernement a lancé «</w:t>
      </w:r>
      <w:r w:rsidR="00C50BA4">
        <w:rPr>
          <w:kern w:val="22"/>
          <w:lang w:val="fr-CA"/>
        </w:rPr>
        <w:t> </w:t>
      </w:r>
      <w:r>
        <w:rPr>
          <w:kern w:val="22"/>
          <w:lang w:val="fr-CA"/>
        </w:rPr>
        <w:t>En route vers l’objectif 1 du Canada » en 2016</w:t>
      </w:r>
      <w:r w:rsidR="001B2FB4">
        <w:rPr>
          <w:kern w:val="22"/>
          <w:lang w:val="fr-CA"/>
        </w:rPr>
        <w:t>, dans le contexte d</w:t>
      </w:r>
      <w:r w:rsidR="00172D58">
        <w:rPr>
          <w:kern w:val="22"/>
          <w:lang w:val="fr-CA"/>
        </w:rPr>
        <w:t>u</w:t>
      </w:r>
      <w:r w:rsidR="001B2FB4">
        <w:rPr>
          <w:kern w:val="22"/>
          <w:lang w:val="fr-CA"/>
        </w:rPr>
        <w:t xml:space="preserve"> cadre national à 19 objectifs, afin de s</w:t>
      </w:r>
      <w:r w:rsidR="0098756F">
        <w:rPr>
          <w:kern w:val="22"/>
          <w:lang w:val="fr-CA"/>
        </w:rPr>
        <w:t>out</w:t>
      </w:r>
      <w:r w:rsidR="001B2FB4">
        <w:rPr>
          <w:kern w:val="22"/>
          <w:lang w:val="fr-CA"/>
        </w:rPr>
        <w:t xml:space="preserve">enir le Plan stratégique 2011-2020 pour la diversité biologique et les Objectifs d’Aichi. Il s’agit un programme multipartites et collaboratif qui réunit </w:t>
      </w:r>
      <w:r w:rsidR="0098756F">
        <w:rPr>
          <w:kern w:val="22"/>
          <w:lang w:val="fr-CA"/>
        </w:rPr>
        <w:t>tous</w:t>
      </w:r>
      <w:r w:rsidR="001B2FB4">
        <w:rPr>
          <w:kern w:val="22"/>
          <w:lang w:val="fr-CA"/>
        </w:rPr>
        <w:t xml:space="preserve"> les paliers de gouvernements, les peuples autochtones, les commu</w:t>
      </w:r>
      <w:r w:rsidR="0098756F">
        <w:rPr>
          <w:kern w:val="22"/>
          <w:lang w:val="fr-CA"/>
        </w:rPr>
        <w:t>nautés et autres parties pren</w:t>
      </w:r>
      <w:r w:rsidR="001B2FB4">
        <w:rPr>
          <w:kern w:val="22"/>
          <w:lang w:val="fr-CA"/>
        </w:rPr>
        <w:t>antes, afin qu’</w:t>
      </w:r>
      <w:r w:rsidR="0098756F">
        <w:rPr>
          <w:kern w:val="22"/>
          <w:lang w:val="fr-CA"/>
        </w:rPr>
        <w:t>ils</w:t>
      </w:r>
      <w:r w:rsidR="001B2FB4">
        <w:rPr>
          <w:kern w:val="22"/>
          <w:lang w:val="fr-CA"/>
        </w:rPr>
        <w:t xml:space="preserve"> </w:t>
      </w:r>
      <w:r w:rsidR="00172D58">
        <w:rPr>
          <w:kern w:val="22"/>
          <w:lang w:val="fr-CA"/>
        </w:rPr>
        <w:t>collaborent</w:t>
      </w:r>
      <w:r w:rsidR="001B2FB4">
        <w:rPr>
          <w:kern w:val="22"/>
          <w:lang w:val="fr-CA"/>
        </w:rPr>
        <w:t xml:space="preserve"> </w:t>
      </w:r>
      <w:r w:rsidR="0098756F">
        <w:rPr>
          <w:kern w:val="22"/>
          <w:lang w:val="fr-CA"/>
        </w:rPr>
        <w:t>à atteindre l’</w:t>
      </w:r>
      <w:r w:rsidR="001B2FB4">
        <w:rPr>
          <w:kern w:val="22"/>
          <w:lang w:val="fr-CA"/>
        </w:rPr>
        <w:t>objectif national</w:t>
      </w:r>
      <w:r w:rsidR="00172D58">
        <w:rPr>
          <w:kern w:val="22"/>
          <w:lang w:val="fr-CA"/>
        </w:rPr>
        <w:t xml:space="preserve"> en matière d’</w:t>
      </w:r>
      <w:r w:rsidR="001B2FB4">
        <w:rPr>
          <w:kern w:val="22"/>
          <w:lang w:val="fr-CA"/>
        </w:rPr>
        <w:t xml:space="preserve">aires protégées. Les peuples </w:t>
      </w:r>
      <w:r w:rsidR="00C31D40">
        <w:rPr>
          <w:kern w:val="22"/>
          <w:lang w:val="fr-CA"/>
        </w:rPr>
        <w:t>autochtones</w:t>
      </w:r>
      <w:r w:rsidR="001B2FB4">
        <w:rPr>
          <w:kern w:val="22"/>
          <w:lang w:val="fr-CA"/>
        </w:rPr>
        <w:t xml:space="preserve"> participent activement au programme et contribuent leurs connaissances traditionnelles et leur sagesse. Le développement de recommandations</w:t>
      </w:r>
      <w:r w:rsidR="0098756F">
        <w:rPr>
          <w:kern w:val="22"/>
          <w:lang w:val="fr-CA"/>
        </w:rPr>
        <w:t xml:space="preserve"> pour l’établissement et la reconnaissance des aires conservées par les</w:t>
      </w:r>
      <w:r w:rsidR="00C31D40">
        <w:rPr>
          <w:kern w:val="22"/>
          <w:lang w:val="fr-CA"/>
        </w:rPr>
        <w:t xml:space="preserve"> peuples autochtones et les communautés par un Cercle d’experts est un de ses principaux sujets de travail</w:t>
      </w:r>
      <w:r w:rsidR="006F311C" w:rsidRPr="00D5280A">
        <w:rPr>
          <w:kern w:val="22"/>
          <w:lang w:val="fr-CA"/>
        </w:rPr>
        <w:t>.</w:t>
      </w:r>
      <w:r w:rsidR="00C31D40">
        <w:rPr>
          <w:kern w:val="22"/>
          <w:lang w:val="fr-CA"/>
        </w:rPr>
        <w:t xml:space="preserve"> La reconnaissance des droits autochtones, le respect, la coopération et le partenariat avec des peuples </w:t>
      </w:r>
      <w:r w:rsidR="00C31D40">
        <w:rPr>
          <w:kern w:val="22"/>
          <w:lang w:val="fr-CA"/>
        </w:rPr>
        <w:lastRenderedPageBreak/>
        <w:t xml:space="preserve">autochtones à l’échelle du Canada sont des conditions essentielles reconnues de l’avancement des mesures collectives représentées par le </w:t>
      </w:r>
      <w:r w:rsidR="00A4184A">
        <w:rPr>
          <w:kern w:val="22"/>
          <w:lang w:val="fr-CA"/>
        </w:rPr>
        <w:t>programme En route</w:t>
      </w:r>
      <w:r w:rsidR="00C31D40">
        <w:rPr>
          <w:kern w:val="22"/>
          <w:lang w:val="fr-CA"/>
        </w:rPr>
        <w:t>.</w:t>
      </w:r>
    </w:p>
    <w:p w:rsidR="00A37101" w:rsidRDefault="00860887" w:rsidP="00927B39">
      <w:pPr>
        <w:pStyle w:val="Para1"/>
        <w:tabs>
          <w:tab w:val="clear" w:pos="360"/>
        </w:tabs>
        <w:rPr>
          <w:kern w:val="22"/>
          <w:lang w:val="fr-CA"/>
        </w:rPr>
      </w:pPr>
      <w:r>
        <w:rPr>
          <w:kern w:val="22"/>
          <w:lang w:val="fr-CA"/>
        </w:rPr>
        <w:t>En ce qui concerne les mesures collectives, l’Iraq a souligné dans s</w:t>
      </w:r>
      <w:r w:rsidR="000A696E">
        <w:rPr>
          <w:kern w:val="22"/>
          <w:lang w:val="fr-CA"/>
        </w:rPr>
        <w:t>on exposé</w:t>
      </w:r>
      <w:r>
        <w:rPr>
          <w:kern w:val="22"/>
          <w:lang w:val="fr-CA"/>
        </w:rPr>
        <w:t xml:space="preserve"> le besoin de synergies, de coopération, d’échanges, d’apprentissage réciproque et de communications entre les conventions telles que la Convention sur la diversité biologique, la Convention de Ramsar sur les </w:t>
      </w:r>
      <w:r w:rsidR="000A696E">
        <w:rPr>
          <w:kern w:val="22"/>
          <w:lang w:val="fr-CA"/>
        </w:rPr>
        <w:t>zones</w:t>
      </w:r>
      <w:r>
        <w:rPr>
          <w:kern w:val="22"/>
          <w:lang w:val="fr-CA"/>
        </w:rPr>
        <w:t xml:space="preserve"> humides</w:t>
      </w:r>
      <w:r w:rsidR="000A696E">
        <w:rPr>
          <w:kern w:val="22"/>
          <w:lang w:val="fr-CA"/>
        </w:rPr>
        <w:t>, la Convention-cadre des Nations Unies sur les changements climatiques et la Convention sur la conservation des espèces migratrices, afin de préserver, documenter et étudier les connaissances traditionnelles sur la diversité biologique. Les exposés ont mis en évidence le besoin de soutenir les métiers traditionnels fondés sur la diversité biologique afin de reconnaître et de soutenir les mesures collectives.</w:t>
      </w:r>
    </w:p>
    <w:p w:rsidR="000A696E" w:rsidRPr="00D5280A" w:rsidRDefault="00B12BD7" w:rsidP="00927B39">
      <w:pPr>
        <w:pStyle w:val="Para1"/>
        <w:tabs>
          <w:tab w:val="clear" w:pos="360"/>
        </w:tabs>
        <w:rPr>
          <w:kern w:val="22"/>
          <w:lang w:val="fr-CA"/>
        </w:rPr>
      </w:pPr>
      <w:r>
        <w:rPr>
          <w:kern w:val="22"/>
          <w:lang w:val="fr-CA"/>
        </w:rPr>
        <w:t>La Nouvelle-Zélande a proposé que les lignes directrices améliorent les résultats escomptés et reflètent les aspirations</w:t>
      </w:r>
      <w:r w:rsidR="00A64282">
        <w:rPr>
          <w:kern w:val="22"/>
          <w:lang w:val="fr-CA"/>
        </w:rPr>
        <w:t xml:space="preserve"> des peuples autochtones et des communautés </w:t>
      </w:r>
      <w:r w:rsidR="00923892">
        <w:rPr>
          <w:kern w:val="22"/>
          <w:lang w:val="fr-CA"/>
        </w:rPr>
        <w:t>locales</w:t>
      </w:r>
      <w:r w:rsidR="00A64282">
        <w:rPr>
          <w:kern w:val="22"/>
          <w:lang w:val="fr-CA"/>
        </w:rPr>
        <w:t>, dont la prise en considération du bien-</w:t>
      </w:r>
      <w:r w:rsidR="00923892">
        <w:rPr>
          <w:kern w:val="22"/>
          <w:lang w:val="fr-CA"/>
        </w:rPr>
        <w:t>être psychologique et phys</w:t>
      </w:r>
      <w:r w:rsidR="00A64282">
        <w:rPr>
          <w:kern w:val="22"/>
          <w:lang w:val="fr-CA"/>
        </w:rPr>
        <w:t xml:space="preserve">ique, en plus de la subsistance et la sécurité </w:t>
      </w:r>
      <w:r w:rsidR="00097337">
        <w:rPr>
          <w:kern w:val="22"/>
          <w:lang w:val="fr-CA"/>
        </w:rPr>
        <w:t>des aliments</w:t>
      </w:r>
      <w:r w:rsidR="00A64282">
        <w:rPr>
          <w:kern w:val="22"/>
          <w:lang w:val="fr-CA"/>
        </w:rPr>
        <w:t>. La Nouvelle-Zélande a également in</w:t>
      </w:r>
      <w:r w:rsidR="00923892">
        <w:rPr>
          <w:kern w:val="22"/>
          <w:lang w:val="fr-CA"/>
        </w:rPr>
        <w:t>diq</w:t>
      </w:r>
      <w:r w:rsidR="00A64282">
        <w:rPr>
          <w:kern w:val="22"/>
          <w:lang w:val="fr-CA"/>
        </w:rPr>
        <w:t>ué que la collecte, le partage et le stockage de données doi</w:t>
      </w:r>
      <w:r w:rsidR="004C70A4">
        <w:rPr>
          <w:kern w:val="22"/>
          <w:lang w:val="fr-CA"/>
        </w:rPr>
        <w:t>ven</w:t>
      </w:r>
      <w:r w:rsidR="00A64282">
        <w:rPr>
          <w:kern w:val="22"/>
          <w:lang w:val="fr-CA"/>
        </w:rPr>
        <w:t>t être</w:t>
      </w:r>
      <w:r w:rsidR="00923892">
        <w:rPr>
          <w:kern w:val="22"/>
          <w:lang w:val="fr-CA"/>
        </w:rPr>
        <w:t xml:space="preserve"> considéré</w:t>
      </w:r>
      <w:r w:rsidR="004C70A4">
        <w:rPr>
          <w:kern w:val="22"/>
          <w:lang w:val="fr-CA"/>
        </w:rPr>
        <w:t>s</w:t>
      </w:r>
      <w:r w:rsidR="00923892">
        <w:rPr>
          <w:kern w:val="22"/>
          <w:lang w:val="fr-CA"/>
        </w:rPr>
        <w:t xml:space="preserve"> en harmonie avec les </w:t>
      </w:r>
      <w:r w:rsidR="004C70A4">
        <w:rPr>
          <w:kern w:val="22"/>
          <w:lang w:val="fr-CA"/>
        </w:rPr>
        <w:t xml:space="preserve">autres </w:t>
      </w:r>
      <w:r w:rsidR="00923892">
        <w:rPr>
          <w:kern w:val="22"/>
          <w:lang w:val="fr-CA"/>
        </w:rPr>
        <w:t>orientations de la Convention en lien avec l’article 8 j) et les disposi</w:t>
      </w:r>
      <w:r w:rsidR="004C70A4">
        <w:rPr>
          <w:kern w:val="22"/>
          <w:lang w:val="fr-CA"/>
        </w:rPr>
        <w:t>tions connexes telles que les Li</w:t>
      </w:r>
      <w:r w:rsidR="00923892">
        <w:rPr>
          <w:kern w:val="22"/>
          <w:lang w:val="fr-CA"/>
        </w:rPr>
        <w:t>gnes directrices volontaires de Mo’</w:t>
      </w:r>
      <w:r w:rsidR="004C70A4">
        <w:rPr>
          <w:kern w:val="22"/>
          <w:lang w:val="fr-CA"/>
        </w:rPr>
        <w:t>otz Kuxtal sur les connaissance</w:t>
      </w:r>
      <w:r w:rsidR="00923892">
        <w:rPr>
          <w:kern w:val="22"/>
          <w:lang w:val="fr-CA"/>
        </w:rPr>
        <w:t>s traditionnelles</w:t>
      </w:r>
      <w:r w:rsidR="00ED5C8F" w:rsidRPr="00B752DD">
        <w:rPr>
          <w:rStyle w:val="FootnoteReference"/>
          <w:kern w:val="22"/>
          <w:szCs w:val="22"/>
        </w:rPr>
        <w:footnoteReference w:id="11"/>
      </w:r>
      <w:r w:rsidR="00923892">
        <w:rPr>
          <w:kern w:val="22"/>
          <w:lang w:val="fr-CA"/>
        </w:rPr>
        <w:t xml:space="preserve">. </w:t>
      </w:r>
      <w:r w:rsidR="004C70A4">
        <w:rPr>
          <w:kern w:val="22"/>
          <w:lang w:val="fr-CA"/>
        </w:rPr>
        <w:t>La Nou</w:t>
      </w:r>
      <w:r w:rsidR="00923892">
        <w:rPr>
          <w:kern w:val="22"/>
          <w:lang w:val="fr-CA"/>
        </w:rPr>
        <w:t>velle-Zélande a aussi indiqu</w:t>
      </w:r>
      <w:r w:rsidR="004C70A4">
        <w:rPr>
          <w:kern w:val="22"/>
          <w:lang w:val="fr-CA"/>
        </w:rPr>
        <w:t>é q</w:t>
      </w:r>
      <w:r w:rsidR="00923892">
        <w:rPr>
          <w:kern w:val="22"/>
          <w:lang w:val="fr-CA"/>
        </w:rPr>
        <w:t>ue l’utilisation régulière d’indicateurs identiques au fil du temps favorise la</w:t>
      </w:r>
      <w:r w:rsidR="004C70A4">
        <w:rPr>
          <w:kern w:val="22"/>
          <w:lang w:val="fr-CA"/>
        </w:rPr>
        <w:t xml:space="preserve"> répétabilité et les comparaisons temporelles</w:t>
      </w:r>
      <w:r w:rsidR="00ED5C8F">
        <w:rPr>
          <w:kern w:val="22"/>
          <w:lang w:val="fr-CA"/>
        </w:rPr>
        <w:t>,</w:t>
      </w:r>
      <w:r w:rsidR="004C70A4">
        <w:rPr>
          <w:kern w:val="22"/>
          <w:lang w:val="fr-CA"/>
        </w:rPr>
        <w:t xml:space="preserve"> </w:t>
      </w:r>
      <w:r w:rsidR="00923892">
        <w:rPr>
          <w:kern w:val="22"/>
          <w:lang w:val="fr-CA"/>
        </w:rPr>
        <w:t xml:space="preserve">et </w:t>
      </w:r>
      <w:r w:rsidR="004C70A4">
        <w:rPr>
          <w:kern w:val="22"/>
          <w:lang w:val="fr-CA"/>
        </w:rPr>
        <w:t>qu’une v</w:t>
      </w:r>
      <w:r w:rsidR="00923892">
        <w:rPr>
          <w:kern w:val="22"/>
          <w:lang w:val="fr-CA"/>
        </w:rPr>
        <w:t xml:space="preserve">aleur de référence </w:t>
      </w:r>
      <w:r w:rsidR="004C70A4">
        <w:rPr>
          <w:kern w:val="22"/>
          <w:lang w:val="fr-CA"/>
        </w:rPr>
        <w:t>permet d’effectuer</w:t>
      </w:r>
      <w:r w:rsidR="00923892">
        <w:rPr>
          <w:kern w:val="22"/>
          <w:lang w:val="fr-CA"/>
        </w:rPr>
        <w:t xml:space="preserve"> une meille</w:t>
      </w:r>
      <w:r w:rsidR="004C70A4">
        <w:rPr>
          <w:kern w:val="22"/>
          <w:lang w:val="fr-CA"/>
        </w:rPr>
        <w:t>ure évaluati</w:t>
      </w:r>
      <w:r w:rsidR="00923892">
        <w:rPr>
          <w:kern w:val="22"/>
          <w:lang w:val="fr-CA"/>
        </w:rPr>
        <w:t>on des changements et des tendances.</w:t>
      </w:r>
    </w:p>
    <w:p w:rsidR="00BE0F37" w:rsidRPr="007A4546" w:rsidRDefault="007A4546" w:rsidP="007A4546">
      <w:pPr>
        <w:pStyle w:val="Para1"/>
        <w:tabs>
          <w:tab w:val="clear" w:pos="360"/>
        </w:tabs>
        <w:rPr>
          <w:kern w:val="22"/>
          <w:lang w:val="fr-CA"/>
        </w:rPr>
      </w:pPr>
      <w:r w:rsidRPr="007A4546">
        <w:rPr>
          <w:kern w:val="22"/>
          <w:lang w:val="fr-CA"/>
        </w:rPr>
        <w:t>La Suède appuie activement le développement d’un cadr</w:t>
      </w:r>
      <w:r>
        <w:rPr>
          <w:kern w:val="22"/>
          <w:lang w:val="fr-CA"/>
        </w:rPr>
        <w:t>e de mesures collectives au moyen de diverses activité</w:t>
      </w:r>
      <w:r w:rsidR="00A4184A">
        <w:rPr>
          <w:kern w:val="22"/>
          <w:lang w:val="fr-CA"/>
        </w:rPr>
        <w:t>s</w:t>
      </w:r>
      <w:r>
        <w:rPr>
          <w:kern w:val="22"/>
          <w:lang w:val="fr-CA"/>
        </w:rPr>
        <w:t xml:space="preserve"> dont la Conférence des Parties connaît</w:t>
      </w:r>
      <w:r w:rsidRPr="007A4546">
        <w:rPr>
          <w:kern w:val="22"/>
          <w:lang w:val="fr-CA"/>
        </w:rPr>
        <w:t xml:space="preserve"> déj</w:t>
      </w:r>
      <w:r>
        <w:rPr>
          <w:kern w:val="22"/>
          <w:lang w:val="fr-CA"/>
        </w:rPr>
        <w:t>à</w:t>
      </w:r>
      <w:r w:rsidRPr="007A4546">
        <w:rPr>
          <w:kern w:val="22"/>
          <w:lang w:val="fr-CA"/>
        </w:rPr>
        <w:t xml:space="preserve"> l’existence</w:t>
      </w:r>
      <w:r w:rsidR="009F6521" w:rsidRPr="007A4546">
        <w:rPr>
          <w:kern w:val="22"/>
          <w:lang w:val="fr-CA"/>
        </w:rPr>
        <w:t>.</w:t>
      </w:r>
      <w:r w:rsidR="00EF4A38" w:rsidRPr="00D5280A">
        <w:rPr>
          <w:rStyle w:val="FootnoteReference"/>
          <w:kern w:val="22"/>
          <w:lang w:val="fr-CA"/>
        </w:rPr>
        <w:footnoteReference w:id="12"/>
      </w:r>
      <w:r w:rsidR="006D55FE" w:rsidRPr="007A4546">
        <w:rPr>
          <w:kern w:val="22"/>
          <w:lang w:val="fr-CA"/>
        </w:rPr>
        <w:t xml:space="preserve"> </w:t>
      </w:r>
      <w:r w:rsidRPr="007A4546">
        <w:rPr>
          <w:kern w:val="22"/>
          <w:lang w:val="fr-CA"/>
        </w:rPr>
        <w:t>S’ap</w:t>
      </w:r>
      <w:r>
        <w:rPr>
          <w:kern w:val="22"/>
          <w:lang w:val="fr-CA"/>
        </w:rPr>
        <w:t>p</w:t>
      </w:r>
      <w:r w:rsidRPr="007A4546">
        <w:rPr>
          <w:kern w:val="22"/>
          <w:lang w:val="fr-CA"/>
        </w:rPr>
        <w:t xml:space="preserve">uyant sur ces activités et </w:t>
      </w:r>
      <w:r>
        <w:rPr>
          <w:kern w:val="22"/>
          <w:lang w:val="fr-CA"/>
        </w:rPr>
        <w:t>dans la foulée</w:t>
      </w:r>
      <w:r w:rsidRPr="007A4546">
        <w:rPr>
          <w:kern w:val="22"/>
          <w:lang w:val="fr-CA"/>
        </w:rPr>
        <w:t xml:space="preserve"> des délibérations et des </w:t>
      </w:r>
      <w:r>
        <w:rPr>
          <w:kern w:val="22"/>
          <w:lang w:val="fr-CA"/>
        </w:rPr>
        <w:t>dé</w:t>
      </w:r>
      <w:r w:rsidRPr="007A4546">
        <w:rPr>
          <w:kern w:val="22"/>
          <w:lang w:val="fr-CA"/>
        </w:rPr>
        <w:t xml:space="preserve">cisions </w:t>
      </w:r>
      <w:r>
        <w:rPr>
          <w:kern w:val="22"/>
          <w:lang w:val="fr-CA"/>
        </w:rPr>
        <w:t>de la Co</w:t>
      </w:r>
      <w:r w:rsidRPr="007A4546">
        <w:rPr>
          <w:kern w:val="22"/>
          <w:lang w:val="fr-CA"/>
        </w:rPr>
        <w:t>nférence des Parties</w:t>
      </w:r>
      <w:r w:rsidR="00BE0F37" w:rsidRPr="007A4546">
        <w:rPr>
          <w:kern w:val="22"/>
          <w:lang w:val="fr-CA"/>
        </w:rPr>
        <w:t>,</w:t>
      </w:r>
      <w:r>
        <w:rPr>
          <w:kern w:val="22"/>
          <w:lang w:val="fr-CA"/>
        </w:rPr>
        <w:t xml:space="preserve"> la Suède soutient fortement l’engagement des peuples autochtones et des communautés locales</w:t>
      </w:r>
      <w:r w:rsidR="008A4CFD">
        <w:rPr>
          <w:kern w:val="22"/>
          <w:lang w:val="fr-CA"/>
        </w:rPr>
        <w:t>, e</w:t>
      </w:r>
      <w:r w:rsidR="00E77100">
        <w:rPr>
          <w:kern w:val="22"/>
          <w:lang w:val="fr-CA"/>
        </w:rPr>
        <w:t>t l’application</w:t>
      </w:r>
      <w:r w:rsidR="008A4CFD">
        <w:rPr>
          <w:kern w:val="22"/>
          <w:lang w:val="fr-CA"/>
        </w:rPr>
        <w:t xml:space="preserve"> des principes directeurs sur l’</w:t>
      </w:r>
      <w:r w:rsidR="00E77100">
        <w:rPr>
          <w:kern w:val="22"/>
          <w:lang w:val="fr-CA"/>
        </w:rPr>
        <w:t>é</w:t>
      </w:r>
      <w:r w:rsidR="008A4CFD">
        <w:rPr>
          <w:kern w:val="22"/>
          <w:lang w:val="fr-CA"/>
        </w:rPr>
        <w:t>valuation de la contribution de</w:t>
      </w:r>
      <w:r w:rsidR="00E77100">
        <w:rPr>
          <w:kern w:val="22"/>
          <w:lang w:val="fr-CA"/>
        </w:rPr>
        <w:t>s</w:t>
      </w:r>
      <w:r w:rsidR="008A4CFD">
        <w:rPr>
          <w:kern w:val="22"/>
          <w:lang w:val="fr-CA"/>
        </w:rPr>
        <w:t xml:space="preserve"> </w:t>
      </w:r>
      <w:r w:rsidR="00E77100">
        <w:rPr>
          <w:kern w:val="22"/>
          <w:lang w:val="fr-CA"/>
        </w:rPr>
        <w:t xml:space="preserve">mesures collectives </w:t>
      </w:r>
      <w:r w:rsidR="00A4184A">
        <w:rPr>
          <w:kern w:val="22"/>
          <w:lang w:val="fr-CA"/>
        </w:rPr>
        <w:t>des</w:t>
      </w:r>
      <w:r w:rsidR="00E77100">
        <w:rPr>
          <w:kern w:val="22"/>
          <w:lang w:val="fr-CA"/>
        </w:rPr>
        <w:t xml:space="preserve"> peuples autochtones et </w:t>
      </w:r>
      <w:r w:rsidR="00A4184A">
        <w:rPr>
          <w:kern w:val="22"/>
          <w:lang w:val="fr-CA"/>
        </w:rPr>
        <w:t>d</w:t>
      </w:r>
      <w:r w:rsidR="00E77100">
        <w:rPr>
          <w:kern w:val="22"/>
          <w:lang w:val="fr-CA"/>
        </w:rPr>
        <w:t>es communautés locales</w:t>
      </w:r>
      <w:r w:rsidR="008D0260" w:rsidRPr="00D5280A">
        <w:rPr>
          <w:rStyle w:val="FootnoteReference"/>
          <w:kern w:val="22"/>
          <w:lang w:val="fr-CA"/>
        </w:rPr>
        <w:footnoteReference w:id="13"/>
      </w:r>
      <w:r w:rsidR="00BE0F37" w:rsidRPr="007A4546">
        <w:rPr>
          <w:kern w:val="22"/>
          <w:lang w:val="fr-CA"/>
        </w:rPr>
        <w:t xml:space="preserve"> </w:t>
      </w:r>
      <w:r w:rsidR="00E77100">
        <w:rPr>
          <w:kern w:val="22"/>
          <w:lang w:val="fr-CA"/>
        </w:rPr>
        <w:t>ainsi que l’examen de</w:t>
      </w:r>
      <w:r w:rsidR="008A4CFD">
        <w:rPr>
          <w:kern w:val="22"/>
          <w:lang w:val="fr-CA"/>
        </w:rPr>
        <w:t>s</w:t>
      </w:r>
      <w:r w:rsidR="00E77100">
        <w:rPr>
          <w:kern w:val="22"/>
          <w:lang w:val="fr-CA"/>
        </w:rPr>
        <w:t xml:space="preserve"> m</w:t>
      </w:r>
      <w:r w:rsidR="008A4CFD">
        <w:rPr>
          <w:kern w:val="22"/>
          <w:lang w:val="fr-CA"/>
        </w:rPr>
        <w:t>éthod</w:t>
      </w:r>
      <w:r w:rsidR="00E77100">
        <w:rPr>
          <w:kern w:val="22"/>
          <w:lang w:val="fr-CA"/>
        </w:rPr>
        <w:t>es proposées présentées dans ce document. La Suède met en évidence l’importance des méthodes qualitatives pour faire rapport sur les mesures collectives, car elles favorisent la reconnaissance des valeurs qualitatives de la conservation communautaire. L’évaluation de la diversité biologique et des services écosyst</w:t>
      </w:r>
      <w:r w:rsidR="008A4CFD">
        <w:rPr>
          <w:kern w:val="22"/>
          <w:lang w:val="fr-CA"/>
        </w:rPr>
        <w:t>é</w:t>
      </w:r>
      <w:r w:rsidR="00E77100">
        <w:rPr>
          <w:kern w:val="22"/>
          <w:lang w:val="fr-CA"/>
        </w:rPr>
        <w:t>miques dans les écosystèmes côtiers et certain</w:t>
      </w:r>
      <w:r w:rsidR="00A4184A">
        <w:rPr>
          <w:kern w:val="22"/>
          <w:lang w:val="fr-CA"/>
        </w:rPr>
        <w:t>e</w:t>
      </w:r>
      <w:r w:rsidR="00E77100">
        <w:rPr>
          <w:kern w:val="22"/>
          <w:lang w:val="fr-CA"/>
        </w:rPr>
        <w:t>s terres humi</w:t>
      </w:r>
      <w:r w:rsidR="008A4CFD">
        <w:rPr>
          <w:kern w:val="22"/>
          <w:lang w:val="fr-CA"/>
        </w:rPr>
        <w:t>d</w:t>
      </w:r>
      <w:r w:rsidR="00E77100">
        <w:rPr>
          <w:kern w:val="22"/>
          <w:lang w:val="fr-CA"/>
        </w:rPr>
        <w:t xml:space="preserve">es </w:t>
      </w:r>
      <w:r w:rsidR="00A4184A">
        <w:rPr>
          <w:kern w:val="22"/>
          <w:lang w:val="fr-CA"/>
        </w:rPr>
        <w:t>connexes</w:t>
      </w:r>
      <w:r w:rsidR="00E77100">
        <w:rPr>
          <w:kern w:val="22"/>
          <w:lang w:val="fr-CA"/>
        </w:rPr>
        <w:t xml:space="preserve"> mise en </w:t>
      </w:r>
      <w:r w:rsidR="008A4CFD">
        <w:rPr>
          <w:kern w:val="22"/>
          <w:lang w:val="fr-CA"/>
        </w:rPr>
        <w:t xml:space="preserve">œuvre </w:t>
      </w:r>
      <w:r w:rsidR="00E77100">
        <w:rPr>
          <w:kern w:val="22"/>
          <w:lang w:val="fr-CA"/>
        </w:rPr>
        <w:t xml:space="preserve">pour </w:t>
      </w:r>
      <w:r w:rsidR="00340BFF">
        <w:rPr>
          <w:kern w:val="22"/>
          <w:lang w:val="fr-CA"/>
        </w:rPr>
        <w:t>la Plateforme intergouvernementale scientifique et politique sur la biodiversité et les services écosystémiques (la Plateforme)</w:t>
      </w:r>
      <w:r w:rsidR="00E77100">
        <w:rPr>
          <w:kern w:val="22"/>
          <w:lang w:val="fr-CA"/>
        </w:rPr>
        <w:t xml:space="preserve"> est une activité pilote apparentée</w:t>
      </w:r>
      <w:r w:rsidR="007A5DD8">
        <w:rPr>
          <w:kern w:val="22"/>
          <w:lang w:val="fr-CA"/>
        </w:rPr>
        <w:t>;</w:t>
      </w:r>
      <w:r w:rsidR="00E77100">
        <w:rPr>
          <w:kern w:val="22"/>
          <w:lang w:val="fr-CA"/>
        </w:rPr>
        <w:t xml:space="preserve"> </w:t>
      </w:r>
      <w:r w:rsidR="008A4CFD">
        <w:rPr>
          <w:kern w:val="22"/>
          <w:lang w:val="fr-CA"/>
        </w:rPr>
        <w:t>les communautés locales</w:t>
      </w:r>
      <w:r w:rsidR="004251AB">
        <w:rPr>
          <w:kern w:val="22"/>
          <w:lang w:val="fr-CA"/>
        </w:rPr>
        <w:t xml:space="preserve"> de l’archipel de Kalix pratiqua</w:t>
      </w:r>
      <w:r w:rsidR="008A4CFD">
        <w:rPr>
          <w:kern w:val="22"/>
          <w:lang w:val="fr-CA"/>
        </w:rPr>
        <w:t xml:space="preserve">nt la pêche artisanale sont en train de développer des systèmes de suivi fondés sur la mobilisation de leurs connaissances traditionnelles. La Suède a appuyé des expériences semblables dans des </w:t>
      </w:r>
      <w:r w:rsidR="0066334F">
        <w:rPr>
          <w:kern w:val="22"/>
          <w:lang w:val="fr-CA"/>
        </w:rPr>
        <w:t>projets</w:t>
      </w:r>
      <w:r w:rsidR="008A4CFD">
        <w:rPr>
          <w:kern w:val="22"/>
          <w:lang w:val="fr-CA"/>
        </w:rPr>
        <w:t xml:space="preserve"> pilotes pour la renaissance et la mobilisation des connaissances traditionnelles en Éthiopie, au Kenya, aux Philippines et en Thaïlande.</w:t>
      </w:r>
    </w:p>
    <w:p w:rsidR="00DA1B01" w:rsidRPr="0066334F" w:rsidRDefault="008A4CFD" w:rsidP="00244571">
      <w:pPr>
        <w:pStyle w:val="Para1"/>
        <w:tabs>
          <w:tab w:val="clear" w:pos="360"/>
        </w:tabs>
        <w:rPr>
          <w:kern w:val="22"/>
          <w:lang w:val="fr-CA"/>
        </w:rPr>
      </w:pPr>
      <w:r w:rsidRPr="0066334F">
        <w:rPr>
          <w:kern w:val="22"/>
          <w:lang w:val="fr-CA"/>
        </w:rPr>
        <w:t xml:space="preserve">Le Mexique décrit d’importants exemples de mesures collectives des peuples autochtones et des communautés locales sur </w:t>
      </w:r>
      <w:r w:rsidR="00C7783D">
        <w:rPr>
          <w:kern w:val="22"/>
          <w:lang w:val="fr-CA"/>
        </w:rPr>
        <w:t>des</w:t>
      </w:r>
      <w:r w:rsidRPr="0066334F">
        <w:rPr>
          <w:kern w:val="22"/>
          <w:lang w:val="fr-CA"/>
        </w:rPr>
        <w:t xml:space="preserve"> sujets</w:t>
      </w:r>
      <w:r w:rsidR="00C7783D">
        <w:rPr>
          <w:kern w:val="22"/>
          <w:lang w:val="fr-CA"/>
        </w:rPr>
        <w:t xml:space="preserve"> substantiels</w:t>
      </w:r>
      <w:r w:rsidRPr="0066334F">
        <w:rPr>
          <w:kern w:val="22"/>
          <w:lang w:val="fr-CA"/>
        </w:rPr>
        <w:t xml:space="preserve"> liés à la conservation et à l’utilisation durable de la diversité biologique mises en œuvre dans 15 aires protégées en 2016 avec l’assistance du la Commission nationale pour le développement des peuples autochtones. Ces mesures contribuent directement à la réalisation des objectifs du Plan stratégique 2011-2020 pour la diversité b</w:t>
      </w:r>
      <w:r w:rsidR="0066334F">
        <w:rPr>
          <w:kern w:val="22"/>
          <w:lang w:val="fr-CA"/>
        </w:rPr>
        <w:t>iologique et d</w:t>
      </w:r>
      <w:r w:rsidRPr="0066334F">
        <w:rPr>
          <w:kern w:val="22"/>
          <w:lang w:val="fr-CA"/>
        </w:rPr>
        <w:t>es Objectifs d’Aichi</w:t>
      </w:r>
      <w:r w:rsidR="00DA1B01" w:rsidRPr="0066334F">
        <w:rPr>
          <w:kern w:val="22"/>
          <w:lang w:val="fr-CA"/>
        </w:rPr>
        <w:t>.</w:t>
      </w:r>
    </w:p>
    <w:p w:rsidR="006F311C" w:rsidRPr="00D5280A" w:rsidRDefault="00EC232B" w:rsidP="00CC0066">
      <w:pPr>
        <w:pStyle w:val="Para1"/>
        <w:tabs>
          <w:tab w:val="clear" w:pos="360"/>
        </w:tabs>
        <w:rPr>
          <w:kern w:val="22"/>
          <w:lang w:val="fr-CA"/>
        </w:rPr>
      </w:pPr>
      <w:r w:rsidRPr="0066334F">
        <w:rPr>
          <w:kern w:val="22"/>
          <w:lang w:val="fr-CA"/>
        </w:rPr>
        <w:t>Un projet pilote pertinent sur les mesures collectives au Venezuela, appelé Siembra, soutient les peuples autochtones afin qu’ils renforcent leurs</w:t>
      </w:r>
      <w:r>
        <w:rPr>
          <w:kern w:val="22"/>
          <w:lang w:val="fr-CA"/>
        </w:rPr>
        <w:t xml:space="preserve"> pratiques de production alimentaire écologique</w:t>
      </w:r>
      <w:r w:rsidR="001733FF" w:rsidRPr="00D5280A">
        <w:rPr>
          <w:kern w:val="22"/>
          <w:lang w:val="fr-CA"/>
        </w:rPr>
        <w:t>.</w:t>
      </w:r>
    </w:p>
    <w:p w:rsidR="00B7798B" w:rsidRPr="00577CFE" w:rsidRDefault="00A311C3" w:rsidP="00132DF3">
      <w:pPr>
        <w:keepNext/>
        <w:jc w:val="center"/>
        <w:rPr>
          <w:b/>
          <w:bCs/>
          <w:snapToGrid w:val="0"/>
          <w:kern w:val="22"/>
          <w:szCs w:val="22"/>
          <w:lang w:val="fr-CA"/>
        </w:rPr>
      </w:pPr>
      <w:r w:rsidRPr="00132DF3">
        <w:rPr>
          <w:b/>
          <w:bCs/>
          <w:snapToGrid w:val="0"/>
          <w:kern w:val="22"/>
          <w:szCs w:val="22"/>
        </w:rPr>
        <w:lastRenderedPageBreak/>
        <w:t>B.</w:t>
      </w:r>
      <w:r w:rsidRPr="00132DF3">
        <w:rPr>
          <w:b/>
          <w:bCs/>
          <w:snapToGrid w:val="0"/>
          <w:kern w:val="22"/>
          <w:szCs w:val="22"/>
        </w:rPr>
        <w:tab/>
      </w:r>
      <w:r w:rsidR="00577CFE">
        <w:rPr>
          <w:b/>
          <w:bCs/>
          <w:snapToGrid w:val="0"/>
          <w:kern w:val="22"/>
          <w:szCs w:val="22"/>
          <w:lang w:val="fr-CA"/>
        </w:rPr>
        <w:t>Exposés des organisations pertinentes</w:t>
      </w:r>
    </w:p>
    <w:p w:rsidR="00DC4087" w:rsidRPr="00577CFE" w:rsidRDefault="00577CFE" w:rsidP="006A720D">
      <w:pPr>
        <w:pStyle w:val="Para1"/>
        <w:tabs>
          <w:tab w:val="clear" w:pos="360"/>
        </w:tabs>
        <w:rPr>
          <w:i/>
          <w:iCs/>
          <w:kern w:val="22"/>
          <w:lang w:val="fr-CA"/>
        </w:rPr>
      </w:pPr>
      <w:r>
        <w:rPr>
          <w:kern w:val="22"/>
          <w:lang w:val="fr-CA"/>
        </w:rPr>
        <w:t>Les exposés des organisations pertinentes fournissent de plus amples renseignements sur les cas précis de mesures collectives des peuples autochtones et des communautés locales, et sur les approches méthodologiques utilisées dans les principes directeurs</w:t>
      </w:r>
      <w:r w:rsidR="00DC4087" w:rsidRPr="00577CFE">
        <w:rPr>
          <w:kern w:val="22"/>
          <w:szCs w:val="22"/>
          <w:lang w:val="fr-CA"/>
        </w:rPr>
        <w:t>.</w:t>
      </w:r>
    </w:p>
    <w:p w:rsidR="00635A4B" w:rsidRPr="00BD4C74" w:rsidRDefault="00A065F8" w:rsidP="00927B39">
      <w:pPr>
        <w:pStyle w:val="Para1"/>
        <w:tabs>
          <w:tab w:val="clear" w:pos="360"/>
        </w:tabs>
        <w:rPr>
          <w:i/>
          <w:iCs/>
          <w:kern w:val="22"/>
          <w:lang w:val="fr-CA"/>
        </w:rPr>
      </w:pPr>
      <w:r w:rsidRPr="00BD4C74">
        <w:rPr>
          <w:kern w:val="22"/>
          <w:lang w:val="fr-CA"/>
        </w:rPr>
        <w:t>La</w:t>
      </w:r>
      <w:r w:rsidR="00635A4B" w:rsidRPr="00BD4C74">
        <w:rPr>
          <w:kern w:val="22"/>
          <w:lang w:val="fr-CA"/>
        </w:rPr>
        <w:t xml:space="preserve"> </w:t>
      </w:r>
      <w:r w:rsidR="00DC4087" w:rsidRPr="00ED5C8F">
        <w:rPr>
          <w:kern w:val="22"/>
          <w:lang w:val="fr-CA"/>
        </w:rPr>
        <w:t xml:space="preserve">Great </w:t>
      </w:r>
      <w:r w:rsidR="00DC4087" w:rsidRPr="00241194">
        <w:rPr>
          <w:kern w:val="22"/>
          <w:lang w:val="en-CA"/>
        </w:rPr>
        <w:t>Barrier Reef Marine Park Authority of Australia</w:t>
      </w:r>
      <w:r w:rsidR="00910352" w:rsidRPr="00BD4C74">
        <w:rPr>
          <w:kern w:val="22"/>
          <w:lang w:val="fr-CA"/>
        </w:rPr>
        <w:t xml:space="preserve">, </w:t>
      </w:r>
      <w:r w:rsidR="00A27858" w:rsidRPr="00BD4C74">
        <w:rPr>
          <w:kern w:val="22"/>
          <w:lang w:val="fr-CA"/>
        </w:rPr>
        <w:t>offre</w:t>
      </w:r>
      <w:r w:rsidRPr="00BD4C74">
        <w:rPr>
          <w:kern w:val="22"/>
          <w:lang w:val="fr-CA"/>
        </w:rPr>
        <w:t xml:space="preserve"> un soutien financier aux peuples</w:t>
      </w:r>
      <w:r w:rsidR="00A27858" w:rsidRPr="00BD4C74">
        <w:rPr>
          <w:kern w:val="22"/>
          <w:lang w:val="fr-CA"/>
        </w:rPr>
        <w:t xml:space="preserve"> </w:t>
      </w:r>
      <w:r w:rsidRPr="00BD4C74">
        <w:rPr>
          <w:kern w:val="22"/>
          <w:lang w:val="fr-CA"/>
        </w:rPr>
        <w:t xml:space="preserve">autochtones et </w:t>
      </w:r>
      <w:r w:rsidR="00DF1C00">
        <w:rPr>
          <w:kern w:val="22"/>
          <w:lang w:val="fr-CA"/>
        </w:rPr>
        <w:t>insulaires</w:t>
      </w:r>
      <w:r w:rsidRPr="00BD4C74">
        <w:rPr>
          <w:kern w:val="22"/>
          <w:lang w:val="fr-CA"/>
        </w:rPr>
        <w:t xml:space="preserve"> du détroit de Torrès, par le biais de son programme</w:t>
      </w:r>
      <w:r w:rsidR="00A27858" w:rsidRPr="00BD4C74">
        <w:rPr>
          <w:kern w:val="22"/>
          <w:lang w:val="fr-CA"/>
        </w:rPr>
        <w:t xml:space="preserve"> de partenariats nationaux sur les terres et la mer, afin d’appuyer l’utilisation durable au moyen d’accords sur «</w:t>
      </w:r>
      <w:r w:rsidR="00C50BA4">
        <w:rPr>
          <w:kern w:val="22"/>
          <w:lang w:val="fr-CA"/>
        </w:rPr>
        <w:t> </w:t>
      </w:r>
      <w:r w:rsidR="00A27858" w:rsidRPr="00BD4C74">
        <w:rPr>
          <w:kern w:val="22"/>
          <w:lang w:val="fr-CA"/>
        </w:rPr>
        <w:t xml:space="preserve">l’utilisation traditionnelle des ressources marines », qui expliquent comment chaque groupe gérera </w:t>
      </w:r>
      <w:r w:rsidR="00930684">
        <w:rPr>
          <w:kern w:val="22"/>
          <w:lang w:val="fr-CA"/>
        </w:rPr>
        <w:t>son pays marin</w:t>
      </w:r>
      <w:r w:rsidR="00ED5C8F" w:rsidRPr="00B752DD">
        <w:rPr>
          <w:rStyle w:val="FootnoteReference"/>
          <w:kern w:val="22"/>
          <w:szCs w:val="22"/>
        </w:rPr>
        <w:footnoteReference w:id="14"/>
      </w:r>
      <w:r w:rsidR="00A27858" w:rsidRPr="00BD4C74">
        <w:rPr>
          <w:kern w:val="22"/>
          <w:lang w:val="fr-CA"/>
        </w:rPr>
        <w:t xml:space="preserve"> et son rôle dans les activités de conformité et de suivi des conditions environnementales. De plus, le gouvernement </w:t>
      </w:r>
      <w:r w:rsidR="00BD4C74" w:rsidRPr="00BD4C74">
        <w:rPr>
          <w:kern w:val="22"/>
          <w:lang w:val="fr-CA"/>
        </w:rPr>
        <w:t>conçoit</w:t>
      </w:r>
      <w:r w:rsidR="00A27858" w:rsidRPr="00BD4C74">
        <w:rPr>
          <w:kern w:val="22"/>
          <w:lang w:val="fr-CA"/>
        </w:rPr>
        <w:t xml:space="preserve"> et offre une formation spécialisée aux brigadiers autochtones</w:t>
      </w:r>
      <w:r w:rsidR="00CC1C5B" w:rsidRPr="00BD4C74">
        <w:rPr>
          <w:kern w:val="22"/>
          <w:lang w:val="fr-CA"/>
        </w:rPr>
        <w:t>.</w:t>
      </w:r>
    </w:p>
    <w:p w:rsidR="00635A4B" w:rsidRPr="00577CFE" w:rsidRDefault="00D954E1" w:rsidP="00927B39">
      <w:pPr>
        <w:pStyle w:val="Para1"/>
        <w:tabs>
          <w:tab w:val="clear" w:pos="360"/>
        </w:tabs>
        <w:rPr>
          <w:i/>
          <w:iCs/>
          <w:kern w:val="22"/>
          <w:lang w:val="fr-CA"/>
        </w:rPr>
      </w:pPr>
      <w:r w:rsidRPr="00D954E1">
        <w:rPr>
          <w:kern w:val="22"/>
          <w:lang w:val="fr-CA"/>
        </w:rPr>
        <w:t>Le</w:t>
      </w:r>
      <w:r w:rsidR="00635A4B" w:rsidRPr="00D954E1">
        <w:rPr>
          <w:kern w:val="22"/>
          <w:lang w:val="fr-CA"/>
        </w:rPr>
        <w:t xml:space="preserve"> </w:t>
      </w:r>
      <w:r w:rsidR="00DC4087" w:rsidRPr="00930684">
        <w:rPr>
          <w:kern w:val="22"/>
          <w:lang w:val="fr-CA"/>
        </w:rPr>
        <w:t>Forest Peoples Programme</w:t>
      </w:r>
      <w:r w:rsidR="00DC4087" w:rsidRPr="00D954E1">
        <w:rPr>
          <w:kern w:val="22"/>
          <w:lang w:val="fr-CA"/>
        </w:rPr>
        <w:t xml:space="preserve"> (FPP) </w:t>
      </w:r>
      <w:r w:rsidRPr="00D954E1">
        <w:rPr>
          <w:kern w:val="22"/>
          <w:lang w:val="fr-CA"/>
        </w:rPr>
        <w:t>e</w:t>
      </w:r>
      <w:r>
        <w:rPr>
          <w:kern w:val="22"/>
          <w:lang w:val="fr-CA"/>
        </w:rPr>
        <w:t>t les organisations membres du Forum international des peuples autochtones sur la biodiversité ont fait état d’un programme d’élevage de lamas par les peuples autochtones</w:t>
      </w:r>
      <w:r w:rsidR="00DF1C00">
        <w:rPr>
          <w:kern w:val="22"/>
          <w:lang w:val="fr-CA"/>
        </w:rPr>
        <w:t>, une activité</w:t>
      </w:r>
      <w:r w:rsidR="00BD4C74">
        <w:rPr>
          <w:kern w:val="22"/>
          <w:lang w:val="fr-CA"/>
        </w:rPr>
        <w:t xml:space="preserve"> important</w:t>
      </w:r>
      <w:r w:rsidR="00DF1C00">
        <w:rPr>
          <w:kern w:val="22"/>
          <w:lang w:val="fr-CA"/>
        </w:rPr>
        <w:t>e</w:t>
      </w:r>
      <w:r>
        <w:rPr>
          <w:kern w:val="22"/>
          <w:lang w:val="fr-CA"/>
        </w:rPr>
        <w:t xml:space="preserve"> pour la subsistance et la culture. Les communautés </w:t>
      </w:r>
      <w:r w:rsidR="00BD4C74">
        <w:rPr>
          <w:kern w:val="22"/>
          <w:lang w:val="fr-CA"/>
        </w:rPr>
        <w:t>maintiennent</w:t>
      </w:r>
      <w:r>
        <w:rPr>
          <w:kern w:val="22"/>
          <w:lang w:val="fr-CA"/>
        </w:rPr>
        <w:t xml:space="preserve"> un vaste éventail de pratiques traditionnelles qui re</w:t>
      </w:r>
      <w:r w:rsidR="00CF6B35">
        <w:rPr>
          <w:kern w:val="22"/>
          <w:lang w:val="fr-CA"/>
        </w:rPr>
        <w:t xml:space="preserve">présentent </w:t>
      </w:r>
      <w:r w:rsidR="00BD4C74">
        <w:rPr>
          <w:kern w:val="22"/>
          <w:lang w:val="fr-CA"/>
        </w:rPr>
        <w:t>essentiellement</w:t>
      </w:r>
      <w:r w:rsidR="00CF6B35">
        <w:rPr>
          <w:kern w:val="22"/>
          <w:lang w:val="fr-CA"/>
        </w:rPr>
        <w:t xml:space="preserve"> des mesures c</w:t>
      </w:r>
      <w:r>
        <w:rPr>
          <w:kern w:val="22"/>
          <w:lang w:val="fr-CA"/>
        </w:rPr>
        <w:t>ollectives incarnant l’utilisation des connaissances traditionnelles pour l’utilisation durable de la diversité biologique pour la subsistance</w:t>
      </w:r>
      <w:r w:rsidR="008A16FE">
        <w:rPr>
          <w:kern w:val="22"/>
          <w:lang w:val="fr-CA"/>
        </w:rPr>
        <w:t>.</w:t>
      </w:r>
    </w:p>
    <w:p w:rsidR="00635A4B" w:rsidRPr="00577CFE" w:rsidRDefault="00836A04" w:rsidP="00132DF3">
      <w:pPr>
        <w:pStyle w:val="Para1"/>
        <w:tabs>
          <w:tab w:val="clear" w:pos="360"/>
        </w:tabs>
        <w:rPr>
          <w:i/>
          <w:iCs/>
          <w:kern w:val="22"/>
          <w:szCs w:val="22"/>
          <w:lang w:val="fr-CA"/>
        </w:rPr>
      </w:pPr>
      <w:r w:rsidRPr="00836A04">
        <w:rPr>
          <w:kern w:val="22"/>
          <w:szCs w:val="22"/>
          <w:lang w:val="fr-CA"/>
        </w:rPr>
        <w:t>La</w:t>
      </w:r>
      <w:r w:rsidR="00F94442" w:rsidRPr="00836A04">
        <w:rPr>
          <w:kern w:val="22"/>
          <w:szCs w:val="22"/>
          <w:lang w:val="fr-CA"/>
        </w:rPr>
        <w:t xml:space="preserve"> </w:t>
      </w:r>
      <w:r w:rsidR="00DC4087" w:rsidRPr="00773997">
        <w:rPr>
          <w:kern w:val="22"/>
          <w:szCs w:val="22"/>
          <w:lang w:val="en-CA"/>
        </w:rPr>
        <w:t>Community Conservation Resilience Initiative</w:t>
      </w:r>
      <w:r w:rsidR="008A16FE">
        <w:rPr>
          <w:kern w:val="22"/>
          <w:szCs w:val="22"/>
          <w:lang w:val="fr-CA"/>
        </w:rPr>
        <w:t xml:space="preserve"> (l’Initiative)</w:t>
      </w:r>
      <w:r w:rsidR="00F94442" w:rsidRPr="00836A04">
        <w:rPr>
          <w:kern w:val="22"/>
          <w:szCs w:val="22"/>
          <w:lang w:val="fr-CA"/>
        </w:rPr>
        <w:t xml:space="preserve">, </w:t>
      </w:r>
      <w:r w:rsidRPr="00836A04">
        <w:rPr>
          <w:kern w:val="22"/>
          <w:szCs w:val="22"/>
          <w:lang w:val="fr-CA"/>
        </w:rPr>
        <w:t>coordonnée par la</w:t>
      </w:r>
      <w:r w:rsidR="00F94442" w:rsidRPr="00836A04">
        <w:rPr>
          <w:kern w:val="22"/>
          <w:szCs w:val="22"/>
          <w:lang w:val="fr-CA"/>
        </w:rPr>
        <w:t xml:space="preserve"> </w:t>
      </w:r>
      <w:hyperlink r:id="rId16" w:history="1">
        <w:r w:rsidRPr="00836A04">
          <w:rPr>
            <w:rStyle w:val="Hyperlink"/>
            <w:kern w:val="22"/>
            <w:sz w:val="22"/>
            <w:szCs w:val="22"/>
            <w:lang w:val="fr-CA"/>
          </w:rPr>
          <w:t>Co</w:t>
        </w:r>
        <w:r w:rsidRPr="00836A04">
          <w:rPr>
            <w:rStyle w:val="Hyperlink"/>
            <w:kern w:val="22"/>
            <w:sz w:val="22"/>
            <w:szCs w:val="22"/>
            <w:lang w:val="fr-CA"/>
          </w:rPr>
          <w:t>a</w:t>
        </w:r>
        <w:r w:rsidRPr="00836A04">
          <w:rPr>
            <w:rStyle w:val="Hyperlink"/>
            <w:kern w:val="22"/>
            <w:sz w:val="22"/>
            <w:szCs w:val="22"/>
            <w:lang w:val="fr-CA"/>
          </w:rPr>
          <w:t>lition mondiale des forêts</w:t>
        </w:r>
      </w:hyperlink>
      <w:r w:rsidR="00F94442" w:rsidRPr="00836A04">
        <w:rPr>
          <w:kern w:val="22"/>
          <w:szCs w:val="22"/>
          <w:lang w:val="fr-CA"/>
        </w:rPr>
        <w:t xml:space="preserve">, </w:t>
      </w:r>
      <w:r w:rsidRPr="00836A04">
        <w:rPr>
          <w:kern w:val="22"/>
          <w:szCs w:val="22"/>
          <w:lang w:val="fr-CA"/>
        </w:rPr>
        <w:t>a commenc</w:t>
      </w:r>
      <w:r>
        <w:rPr>
          <w:kern w:val="22"/>
          <w:szCs w:val="22"/>
          <w:lang w:val="fr-CA"/>
        </w:rPr>
        <w:t>é</w:t>
      </w:r>
      <w:r w:rsidRPr="00836A04">
        <w:rPr>
          <w:kern w:val="22"/>
          <w:szCs w:val="22"/>
          <w:lang w:val="fr-CA"/>
        </w:rPr>
        <w:t xml:space="preserve"> </w:t>
      </w:r>
      <w:r>
        <w:rPr>
          <w:kern w:val="22"/>
          <w:szCs w:val="22"/>
          <w:lang w:val="fr-CA"/>
        </w:rPr>
        <w:t>à documenter et à analyser les approches communautaires participatives à des projets de conservation communautaires dans 22 pays de l’Afrique, de l’Asie et du Pacifique, et de l’Amérique latine, ce qui a mené à une méthodol</w:t>
      </w:r>
      <w:r w:rsidR="008A16FE">
        <w:rPr>
          <w:kern w:val="22"/>
          <w:szCs w:val="22"/>
          <w:lang w:val="fr-CA"/>
        </w:rPr>
        <w:t>og</w:t>
      </w:r>
      <w:r>
        <w:rPr>
          <w:kern w:val="22"/>
          <w:szCs w:val="22"/>
          <w:lang w:val="fr-CA"/>
        </w:rPr>
        <w:t xml:space="preserve">ie directrice et une boîte à outils. </w:t>
      </w:r>
      <w:r w:rsidR="008A16FE">
        <w:rPr>
          <w:kern w:val="22"/>
          <w:szCs w:val="22"/>
          <w:lang w:val="fr-CA"/>
        </w:rPr>
        <w:t>L’Initiative recommande cinq normes intersectorielles dérivée</w:t>
      </w:r>
      <w:r w:rsidR="00666759">
        <w:rPr>
          <w:kern w:val="22"/>
          <w:szCs w:val="22"/>
          <w:lang w:val="fr-CA"/>
        </w:rPr>
        <w:t>s</w:t>
      </w:r>
      <w:r w:rsidR="008A16FE">
        <w:rPr>
          <w:kern w:val="22"/>
          <w:szCs w:val="22"/>
          <w:lang w:val="fr-CA"/>
        </w:rPr>
        <w:t xml:space="preserve"> de sa méthodologie : a) le respect des droits des peuples autochtones et des communautés locales, y compris le droit à un consentement préalable libre </w:t>
      </w:r>
      <w:r w:rsidR="00666759">
        <w:rPr>
          <w:kern w:val="22"/>
          <w:szCs w:val="22"/>
          <w:lang w:val="fr-CA"/>
        </w:rPr>
        <w:t>et éclairé</w:t>
      </w:r>
      <w:r w:rsidR="007A5DD8">
        <w:rPr>
          <w:kern w:val="22"/>
          <w:szCs w:val="22"/>
          <w:lang w:val="fr-CA"/>
        </w:rPr>
        <w:t>;</w:t>
      </w:r>
      <w:r w:rsidR="008A16FE">
        <w:rPr>
          <w:kern w:val="22"/>
          <w:szCs w:val="22"/>
          <w:lang w:val="fr-CA"/>
        </w:rPr>
        <w:t xml:space="preserve"> b) le droit de propriété autochtone et communautaire</w:t>
      </w:r>
      <w:r w:rsidR="007A5DD8">
        <w:rPr>
          <w:kern w:val="22"/>
          <w:szCs w:val="22"/>
          <w:lang w:val="fr-CA"/>
        </w:rPr>
        <w:t>;</w:t>
      </w:r>
      <w:r w:rsidR="008A16FE">
        <w:rPr>
          <w:kern w:val="22"/>
          <w:szCs w:val="22"/>
          <w:lang w:val="fr-CA"/>
        </w:rPr>
        <w:t xml:space="preserve"> c) la facilitation adaptative</w:t>
      </w:r>
      <w:r w:rsidR="007A5DD8">
        <w:rPr>
          <w:kern w:val="22"/>
          <w:szCs w:val="22"/>
          <w:lang w:val="fr-CA"/>
        </w:rPr>
        <w:t>;</w:t>
      </w:r>
      <w:r w:rsidR="008A16FE">
        <w:rPr>
          <w:kern w:val="22"/>
          <w:szCs w:val="22"/>
          <w:lang w:val="fr-CA"/>
        </w:rPr>
        <w:t xml:space="preserve"> d) la participation et la représentation, et e) la reconnaissance des rôles selon le </w:t>
      </w:r>
      <w:r w:rsidR="00666759">
        <w:rPr>
          <w:kern w:val="22"/>
          <w:szCs w:val="22"/>
          <w:lang w:val="fr-CA"/>
        </w:rPr>
        <w:t>sexe</w:t>
      </w:r>
      <w:r w:rsidR="008A16FE">
        <w:rPr>
          <w:kern w:val="22"/>
          <w:szCs w:val="22"/>
          <w:lang w:val="fr-CA"/>
        </w:rPr>
        <w:t xml:space="preserve"> dans les mesures collectives.</w:t>
      </w:r>
    </w:p>
    <w:p w:rsidR="003B2DD6" w:rsidRPr="00B100CF" w:rsidRDefault="008A16FE" w:rsidP="00927B39">
      <w:pPr>
        <w:pStyle w:val="Para1"/>
        <w:tabs>
          <w:tab w:val="clear" w:pos="360"/>
        </w:tabs>
        <w:rPr>
          <w:kern w:val="22"/>
          <w:lang w:val="fr-CA"/>
        </w:rPr>
      </w:pPr>
      <w:r w:rsidRPr="00B100CF">
        <w:rPr>
          <w:kern w:val="22"/>
          <w:lang w:val="fr-CA"/>
        </w:rPr>
        <w:t>Le</w:t>
      </w:r>
      <w:r w:rsidR="00635A4B" w:rsidRPr="00B100CF">
        <w:rPr>
          <w:kern w:val="22"/>
          <w:lang w:val="fr-CA"/>
        </w:rPr>
        <w:t xml:space="preserve"> </w:t>
      </w:r>
      <w:hyperlink r:id="rId17" w:history="1">
        <w:r w:rsidR="00DC4087" w:rsidRPr="00B100CF">
          <w:rPr>
            <w:rStyle w:val="Hyperlink"/>
            <w:kern w:val="22"/>
            <w:sz w:val="22"/>
            <w:lang w:val="fr-CA"/>
          </w:rPr>
          <w:t>Consortium</w:t>
        </w:r>
      </w:hyperlink>
      <w:r w:rsidR="00974562" w:rsidRPr="00B100CF">
        <w:rPr>
          <w:rStyle w:val="Hyperlink"/>
          <w:kern w:val="22"/>
          <w:sz w:val="22"/>
          <w:lang w:val="fr-CA"/>
        </w:rPr>
        <w:t xml:space="preserve"> APAC</w:t>
      </w:r>
      <w:r w:rsidR="00645640" w:rsidRPr="00B100CF">
        <w:rPr>
          <w:kern w:val="22"/>
          <w:lang w:val="fr-CA"/>
        </w:rPr>
        <w:t xml:space="preserve"> </w:t>
      </w:r>
      <w:r w:rsidR="00974562" w:rsidRPr="00B100CF">
        <w:rPr>
          <w:kern w:val="22"/>
          <w:lang w:val="fr-CA"/>
        </w:rPr>
        <w:t>a partagé de l’information sur l’Initiative mondiale de soutien aux APAC</w:t>
      </w:r>
      <w:r w:rsidR="00B100CF" w:rsidRPr="00B100CF">
        <w:rPr>
          <w:kern w:val="22"/>
          <w:lang w:val="fr-CA"/>
        </w:rPr>
        <w:t xml:space="preserve"> qui </w:t>
      </w:r>
      <w:r w:rsidR="00B100CF">
        <w:rPr>
          <w:kern w:val="22"/>
          <w:lang w:val="fr-CA"/>
        </w:rPr>
        <w:t>offre</w:t>
      </w:r>
      <w:r w:rsidR="00B100CF" w:rsidRPr="00B100CF">
        <w:rPr>
          <w:kern w:val="22"/>
          <w:lang w:val="fr-CA"/>
        </w:rPr>
        <w:t xml:space="preserve"> un soutien aux APAC et aux réseaux apparentés da</w:t>
      </w:r>
      <w:r w:rsidR="00666759">
        <w:rPr>
          <w:kern w:val="22"/>
          <w:lang w:val="fr-CA"/>
        </w:rPr>
        <w:t>n</w:t>
      </w:r>
      <w:r w:rsidR="00B100CF" w:rsidRPr="00B100CF">
        <w:rPr>
          <w:kern w:val="22"/>
          <w:lang w:val="fr-CA"/>
        </w:rPr>
        <w:t>s 26 pays.</w:t>
      </w:r>
      <w:r w:rsidR="00B100CF">
        <w:rPr>
          <w:kern w:val="22"/>
          <w:lang w:val="fr-CA"/>
        </w:rPr>
        <w:t xml:space="preserve"> </w:t>
      </w:r>
      <w:r w:rsidR="00B100CF" w:rsidRPr="00B100CF">
        <w:rPr>
          <w:kern w:val="22"/>
          <w:lang w:val="fr-CA"/>
        </w:rPr>
        <w:t>Il a produit un document intitulé</w:t>
      </w:r>
      <w:r w:rsidR="00841A75" w:rsidRPr="00B100CF">
        <w:rPr>
          <w:kern w:val="22"/>
          <w:lang w:val="fr-CA"/>
        </w:rPr>
        <w:t xml:space="preserve"> </w:t>
      </w:r>
      <w:r w:rsidR="00B100CF" w:rsidRPr="00773997">
        <w:rPr>
          <w:kern w:val="22"/>
          <w:lang w:val="en-CA"/>
        </w:rPr>
        <w:t>« </w:t>
      </w:r>
      <w:r w:rsidR="003B2DD6" w:rsidRPr="00773997">
        <w:rPr>
          <w:kern w:val="22"/>
          <w:lang w:val="en-CA"/>
        </w:rPr>
        <w:t>Self-Strengthening ICCAs</w:t>
      </w:r>
      <w:r w:rsidR="003B2DD6" w:rsidRPr="00930684">
        <w:rPr>
          <w:kern w:val="22"/>
          <w:lang w:val="fr-CA"/>
        </w:rPr>
        <w:t xml:space="preserve">: Guidance on a process </w:t>
      </w:r>
      <w:r w:rsidR="003B2DD6" w:rsidRPr="00773997">
        <w:rPr>
          <w:kern w:val="22"/>
          <w:lang w:val="en-CA"/>
        </w:rPr>
        <w:t>and resources for custodian indigenous</w:t>
      </w:r>
      <w:r w:rsidR="003B2DD6" w:rsidRPr="00930684">
        <w:rPr>
          <w:kern w:val="22"/>
          <w:lang w:val="fr-CA"/>
        </w:rPr>
        <w:t xml:space="preserve"> peoples and </w:t>
      </w:r>
      <w:r w:rsidR="003B2DD6" w:rsidRPr="00773997">
        <w:rPr>
          <w:kern w:val="22"/>
          <w:lang w:val="en-CA"/>
        </w:rPr>
        <w:t>local communities</w:t>
      </w:r>
      <w:r w:rsidR="00B100CF" w:rsidRPr="00B100CF">
        <w:rPr>
          <w:kern w:val="22"/>
          <w:lang w:val="fr-CA"/>
        </w:rPr>
        <w:t> »</w:t>
      </w:r>
      <w:r w:rsidR="00666759">
        <w:rPr>
          <w:kern w:val="22"/>
          <w:lang w:val="fr-CA"/>
        </w:rPr>
        <w:t xml:space="preserve"> </w:t>
      </w:r>
      <w:r w:rsidR="00B100CF" w:rsidRPr="00B100CF">
        <w:rPr>
          <w:kern w:val="22"/>
          <w:lang w:val="fr-CA"/>
        </w:rPr>
        <w:t>qui recommand</w:t>
      </w:r>
      <w:r w:rsidR="00B100CF">
        <w:rPr>
          <w:kern w:val="22"/>
          <w:lang w:val="fr-CA"/>
        </w:rPr>
        <w:t xml:space="preserve">e cinq éléments parmi les </w:t>
      </w:r>
      <w:r w:rsidR="0014388A">
        <w:rPr>
          <w:kern w:val="22"/>
          <w:lang w:val="fr-CA"/>
        </w:rPr>
        <w:t>divers</w:t>
      </w:r>
      <w:r w:rsidR="00B100CF">
        <w:rPr>
          <w:kern w:val="22"/>
          <w:lang w:val="fr-CA"/>
        </w:rPr>
        <w:t xml:space="preserve"> aspect</w:t>
      </w:r>
      <w:r w:rsidR="0014388A">
        <w:rPr>
          <w:kern w:val="22"/>
          <w:lang w:val="fr-CA"/>
        </w:rPr>
        <w:t>s</w:t>
      </w:r>
      <w:r w:rsidR="00B100CF">
        <w:rPr>
          <w:kern w:val="22"/>
          <w:lang w:val="fr-CA"/>
        </w:rPr>
        <w:t xml:space="preserve"> de l’orientation, </w:t>
      </w:r>
      <w:r w:rsidR="0014388A">
        <w:rPr>
          <w:kern w:val="22"/>
          <w:lang w:val="fr-CA"/>
        </w:rPr>
        <w:t>comme</w:t>
      </w:r>
      <w:r w:rsidR="00B100CF">
        <w:rPr>
          <w:kern w:val="22"/>
          <w:lang w:val="fr-CA"/>
        </w:rPr>
        <w:t xml:space="preserve"> </w:t>
      </w:r>
      <w:r w:rsidR="008945CB">
        <w:rPr>
          <w:kern w:val="22"/>
          <w:lang w:val="fr-CA"/>
        </w:rPr>
        <w:t>éléments de base d’</w:t>
      </w:r>
      <w:r w:rsidR="00B100CF">
        <w:rPr>
          <w:kern w:val="22"/>
          <w:lang w:val="fr-CA"/>
        </w:rPr>
        <w:t>APAC efficace</w:t>
      </w:r>
      <w:r w:rsidR="0014388A">
        <w:rPr>
          <w:kern w:val="22"/>
          <w:lang w:val="fr-CA"/>
        </w:rPr>
        <w:t>s : a</w:t>
      </w:r>
      <w:r w:rsidR="00B100CF">
        <w:rPr>
          <w:kern w:val="22"/>
          <w:lang w:val="fr-CA"/>
        </w:rPr>
        <w:t xml:space="preserve">) l’intégrité et la force de la communauté </w:t>
      </w:r>
      <w:r w:rsidR="009226EA">
        <w:rPr>
          <w:kern w:val="22"/>
          <w:lang w:val="fr-CA"/>
        </w:rPr>
        <w:t>gardienne</w:t>
      </w:r>
      <w:r w:rsidR="00B100CF">
        <w:rPr>
          <w:kern w:val="22"/>
          <w:lang w:val="fr-CA"/>
        </w:rPr>
        <w:t>, b) le lien entre la communauté et son territoire</w:t>
      </w:r>
      <w:r w:rsidR="007A5DD8">
        <w:rPr>
          <w:kern w:val="22"/>
          <w:lang w:val="fr-CA"/>
        </w:rPr>
        <w:t>;</w:t>
      </w:r>
      <w:r w:rsidR="00B100CF">
        <w:rPr>
          <w:kern w:val="22"/>
          <w:lang w:val="fr-CA"/>
        </w:rPr>
        <w:t xml:space="preserve"> c) le fonctionnement de l’institution de gouvernance</w:t>
      </w:r>
      <w:r w:rsidR="007A5DD8">
        <w:rPr>
          <w:kern w:val="22"/>
          <w:lang w:val="fr-CA"/>
        </w:rPr>
        <w:t>;</w:t>
      </w:r>
      <w:r w:rsidR="00B100CF">
        <w:rPr>
          <w:kern w:val="22"/>
          <w:lang w:val="fr-CA"/>
        </w:rPr>
        <w:t xml:space="preserve"> d) l’état de la conservation du territoire</w:t>
      </w:r>
      <w:r w:rsidR="007A5DD8">
        <w:rPr>
          <w:kern w:val="22"/>
          <w:lang w:val="fr-CA"/>
        </w:rPr>
        <w:t>;</w:t>
      </w:r>
      <w:r w:rsidR="00B100CF">
        <w:rPr>
          <w:kern w:val="22"/>
          <w:lang w:val="fr-CA"/>
        </w:rPr>
        <w:t xml:space="preserve"> et e) l</w:t>
      </w:r>
      <w:r w:rsidR="008945CB">
        <w:rPr>
          <w:kern w:val="22"/>
          <w:lang w:val="fr-CA"/>
        </w:rPr>
        <w:t>a</w:t>
      </w:r>
      <w:r w:rsidR="00B100CF">
        <w:rPr>
          <w:kern w:val="22"/>
          <w:lang w:val="fr-CA"/>
        </w:rPr>
        <w:t xml:space="preserve"> subsistance et le bien-être de la communauté.</w:t>
      </w:r>
    </w:p>
    <w:p w:rsidR="00635A4B" w:rsidRPr="00577CFE" w:rsidRDefault="003B785C" w:rsidP="00830A7A">
      <w:pPr>
        <w:pStyle w:val="Para1"/>
        <w:tabs>
          <w:tab w:val="clear" w:pos="360"/>
        </w:tabs>
        <w:rPr>
          <w:b/>
          <w:bCs/>
          <w:iCs/>
          <w:kern w:val="22"/>
          <w:szCs w:val="22"/>
          <w:lang w:val="fr-CA"/>
        </w:rPr>
      </w:pPr>
      <w:r w:rsidRPr="003B785C">
        <w:rPr>
          <w:kern w:val="22"/>
          <w:szCs w:val="22"/>
          <w:lang w:val="fr-CA"/>
        </w:rPr>
        <w:t>Le Réseau des femmes autochtones sur la diversité biologique de l’Amérique latine et des Caraïbes</w:t>
      </w:r>
      <w:r w:rsidR="007451F4" w:rsidRPr="003B785C">
        <w:rPr>
          <w:kern w:val="22"/>
          <w:szCs w:val="22"/>
          <w:lang w:val="fr-CA"/>
        </w:rPr>
        <w:t xml:space="preserve"> </w:t>
      </w:r>
      <w:r w:rsidR="005746BB" w:rsidRPr="003B785C">
        <w:rPr>
          <w:kern w:val="22"/>
          <w:szCs w:val="22"/>
          <w:lang w:val="fr-CA"/>
        </w:rPr>
        <w:t>(</w:t>
      </w:r>
      <w:r w:rsidR="005746BB" w:rsidRPr="00773997">
        <w:rPr>
          <w:kern w:val="22"/>
          <w:szCs w:val="22"/>
          <w:lang w:val="es-AR"/>
        </w:rPr>
        <w:t>Red de Mujeres Ind</w:t>
      </w:r>
      <w:r w:rsidR="00A37688" w:rsidRPr="00773997">
        <w:rPr>
          <w:kern w:val="22"/>
          <w:szCs w:val="22"/>
          <w:lang w:val="es-AR"/>
        </w:rPr>
        <w:t>í</w:t>
      </w:r>
      <w:r w:rsidR="005746BB" w:rsidRPr="00773997">
        <w:rPr>
          <w:kern w:val="22"/>
          <w:szCs w:val="22"/>
          <w:lang w:val="es-AR"/>
        </w:rPr>
        <w:t>genas sobre Biodiversidad de Am</w:t>
      </w:r>
      <w:r w:rsidR="00A37688" w:rsidRPr="00773997">
        <w:rPr>
          <w:kern w:val="22"/>
          <w:szCs w:val="22"/>
          <w:lang w:val="es-AR"/>
        </w:rPr>
        <w:t>é</w:t>
      </w:r>
      <w:r w:rsidR="005746BB" w:rsidRPr="00773997">
        <w:rPr>
          <w:kern w:val="22"/>
          <w:szCs w:val="22"/>
          <w:lang w:val="es-AR"/>
        </w:rPr>
        <w:t>rica</w:t>
      </w:r>
      <w:r w:rsidR="005746BB" w:rsidRPr="003B785C">
        <w:rPr>
          <w:kern w:val="22"/>
          <w:szCs w:val="22"/>
          <w:lang w:val="fr-CA"/>
        </w:rPr>
        <w:t xml:space="preserve"> Latina y el Caribe) </w:t>
      </w:r>
      <w:r w:rsidR="008945CB">
        <w:rPr>
          <w:kern w:val="22"/>
          <w:szCs w:val="22"/>
          <w:lang w:val="fr-CA"/>
        </w:rPr>
        <w:t xml:space="preserve">met en </w:t>
      </w:r>
      <w:r w:rsidRPr="003B785C">
        <w:rPr>
          <w:kern w:val="22"/>
          <w:szCs w:val="22"/>
          <w:lang w:val="fr-CA"/>
        </w:rPr>
        <w:t>évidence l’importance de comprendre comment les connais</w:t>
      </w:r>
      <w:r>
        <w:rPr>
          <w:kern w:val="22"/>
          <w:szCs w:val="22"/>
          <w:lang w:val="fr-CA"/>
        </w:rPr>
        <w:t xml:space="preserve">sances autochtones et la sagesse, en tant </w:t>
      </w:r>
      <w:r w:rsidR="008945CB">
        <w:rPr>
          <w:kern w:val="22"/>
          <w:szCs w:val="22"/>
          <w:lang w:val="fr-CA"/>
        </w:rPr>
        <w:t>qu’éléments</w:t>
      </w:r>
      <w:r>
        <w:rPr>
          <w:kern w:val="22"/>
          <w:szCs w:val="22"/>
          <w:lang w:val="fr-CA"/>
        </w:rPr>
        <w:t xml:space="preserve"> des mesures col</w:t>
      </w:r>
      <w:r w:rsidR="008945CB">
        <w:rPr>
          <w:kern w:val="22"/>
          <w:szCs w:val="22"/>
          <w:lang w:val="fr-CA"/>
        </w:rPr>
        <w:t>lectives, s</w:t>
      </w:r>
      <w:r>
        <w:rPr>
          <w:kern w:val="22"/>
          <w:szCs w:val="22"/>
          <w:lang w:val="fr-CA"/>
        </w:rPr>
        <w:t>ont créées et transmises, et comment elles soutiennent le processus décisionnel et le fonctionnement des institutions traditionnelles. Le Réseau recommande la plural</w:t>
      </w:r>
      <w:r w:rsidR="00931513">
        <w:rPr>
          <w:kern w:val="22"/>
          <w:szCs w:val="22"/>
          <w:lang w:val="fr-CA"/>
        </w:rPr>
        <w:t>ité et la complémentarité des m</w:t>
      </w:r>
      <w:r>
        <w:rPr>
          <w:kern w:val="22"/>
          <w:szCs w:val="22"/>
          <w:lang w:val="fr-CA"/>
        </w:rPr>
        <w:t>éthodologies, ainsi que la reconnaissance des systèmes d’établissement de la valeur</w:t>
      </w:r>
      <w:r w:rsidR="00ED3960" w:rsidRPr="00577CFE">
        <w:rPr>
          <w:kern w:val="22"/>
          <w:szCs w:val="22"/>
          <w:lang w:val="fr-CA"/>
        </w:rPr>
        <w:t>.</w:t>
      </w:r>
    </w:p>
    <w:p w:rsidR="00136B14" w:rsidRPr="00577CFE" w:rsidRDefault="00142DDA" w:rsidP="00132DF3">
      <w:pPr>
        <w:pStyle w:val="Para1"/>
        <w:keepNext/>
        <w:numPr>
          <w:ilvl w:val="0"/>
          <w:numId w:val="0"/>
        </w:numPr>
        <w:jc w:val="center"/>
        <w:rPr>
          <w:b/>
          <w:bCs/>
          <w:iCs/>
          <w:kern w:val="22"/>
          <w:szCs w:val="22"/>
          <w:lang w:val="fr-CA"/>
        </w:rPr>
      </w:pPr>
      <w:r w:rsidRPr="00577CFE">
        <w:rPr>
          <w:b/>
          <w:bCs/>
          <w:iCs/>
          <w:kern w:val="22"/>
          <w:szCs w:val="22"/>
          <w:lang w:val="fr-CA"/>
        </w:rPr>
        <w:t>C.</w:t>
      </w:r>
      <w:r w:rsidRPr="00577CFE">
        <w:rPr>
          <w:b/>
          <w:bCs/>
          <w:iCs/>
          <w:kern w:val="22"/>
          <w:szCs w:val="22"/>
          <w:lang w:val="fr-CA"/>
        </w:rPr>
        <w:tab/>
      </w:r>
      <w:r w:rsidR="00DC4087" w:rsidRPr="00577CFE">
        <w:rPr>
          <w:b/>
          <w:bCs/>
          <w:iCs/>
          <w:kern w:val="22"/>
          <w:szCs w:val="22"/>
          <w:lang w:val="fr-CA"/>
        </w:rPr>
        <w:t>Conclusions</w:t>
      </w:r>
    </w:p>
    <w:p w:rsidR="005C607B" w:rsidRPr="001D597F" w:rsidRDefault="00931513" w:rsidP="001D597F">
      <w:pPr>
        <w:pStyle w:val="Para1"/>
        <w:tabs>
          <w:tab w:val="clear" w:pos="360"/>
        </w:tabs>
        <w:rPr>
          <w:kern w:val="22"/>
          <w:lang w:val="fr-CA"/>
        </w:rPr>
      </w:pPr>
      <w:r>
        <w:rPr>
          <w:kern w:val="22"/>
          <w:lang w:val="fr-CA"/>
        </w:rPr>
        <w:t>Les points de v</w:t>
      </w:r>
      <w:r w:rsidR="001D597F">
        <w:rPr>
          <w:kern w:val="22"/>
          <w:lang w:val="fr-CA"/>
        </w:rPr>
        <w:t>ue des Parties et des organisati</w:t>
      </w:r>
      <w:r>
        <w:rPr>
          <w:kern w:val="22"/>
          <w:lang w:val="fr-CA"/>
        </w:rPr>
        <w:t>ons pertinentes révèlent certains points communs dans l’évaluation des mesures collectives des peuples autochtones et des communautés locales dans la réalisa</w:t>
      </w:r>
      <w:r w:rsidR="001D597F">
        <w:rPr>
          <w:kern w:val="22"/>
          <w:lang w:val="fr-CA"/>
        </w:rPr>
        <w:t>tion des obj</w:t>
      </w:r>
      <w:r>
        <w:rPr>
          <w:kern w:val="22"/>
          <w:lang w:val="fr-CA"/>
        </w:rPr>
        <w:t>ectifs du Plan strat</w:t>
      </w:r>
      <w:r w:rsidR="001D597F">
        <w:rPr>
          <w:kern w:val="22"/>
          <w:lang w:val="fr-CA"/>
        </w:rPr>
        <w:t>égique 2011-2020 po</w:t>
      </w:r>
      <w:r>
        <w:rPr>
          <w:kern w:val="22"/>
          <w:lang w:val="fr-CA"/>
        </w:rPr>
        <w:t xml:space="preserve">ur la </w:t>
      </w:r>
      <w:r w:rsidR="001D597F">
        <w:rPr>
          <w:kern w:val="22"/>
          <w:lang w:val="fr-CA"/>
        </w:rPr>
        <w:t>diversité biologique et des Obj</w:t>
      </w:r>
      <w:r>
        <w:rPr>
          <w:kern w:val="22"/>
          <w:lang w:val="fr-CA"/>
        </w:rPr>
        <w:t xml:space="preserve">ectifs d’Aichi relatifs à la diversité biologique. </w:t>
      </w:r>
      <w:r w:rsidR="001C5785">
        <w:rPr>
          <w:kern w:val="22"/>
          <w:lang w:val="fr-CA"/>
        </w:rPr>
        <w:t>I</w:t>
      </w:r>
      <w:r>
        <w:rPr>
          <w:kern w:val="22"/>
          <w:lang w:val="fr-CA"/>
        </w:rPr>
        <w:t xml:space="preserve">l a été confirmé </w:t>
      </w:r>
      <w:r w:rsidR="005702BA">
        <w:rPr>
          <w:kern w:val="22"/>
          <w:lang w:val="fr-CA"/>
        </w:rPr>
        <w:t>avant tout</w:t>
      </w:r>
      <w:r w:rsidR="001C5785">
        <w:rPr>
          <w:kern w:val="22"/>
          <w:lang w:val="fr-CA"/>
        </w:rPr>
        <w:t xml:space="preserve"> </w:t>
      </w:r>
      <w:r>
        <w:rPr>
          <w:kern w:val="22"/>
          <w:lang w:val="fr-CA"/>
        </w:rPr>
        <w:t>que les m</w:t>
      </w:r>
      <w:r w:rsidR="001D597F">
        <w:rPr>
          <w:kern w:val="22"/>
          <w:lang w:val="fr-CA"/>
        </w:rPr>
        <w:t>esur</w:t>
      </w:r>
      <w:r w:rsidRPr="001D597F">
        <w:rPr>
          <w:kern w:val="22"/>
          <w:lang w:val="fr-CA"/>
        </w:rPr>
        <w:t xml:space="preserve">es collectives des peuples </w:t>
      </w:r>
      <w:r w:rsidRPr="001D597F">
        <w:rPr>
          <w:kern w:val="22"/>
          <w:lang w:val="fr-CA"/>
        </w:rPr>
        <w:lastRenderedPageBreak/>
        <w:t>autochtones et des communautés locales sont perti</w:t>
      </w:r>
      <w:r w:rsidR="001D597F" w:rsidRPr="001D597F">
        <w:rPr>
          <w:kern w:val="22"/>
          <w:lang w:val="fr-CA"/>
        </w:rPr>
        <w:t>n</w:t>
      </w:r>
      <w:r w:rsidRPr="001D597F">
        <w:rPr>
          <w:kern w:val="22"/>
          <w:lang w:val="fr-CA"/>
        </w:rPr>
        <w:t xml:space="preserve">entes aux trois objectifs de la Convention et </w:t>
      </w:r>
      <w:r w:rsidR="000278A3">
        <w:rPr>
          <w:kern w:val="22"/>
          <w:lang w:val="fr-CA"/>
        </w:rPr>
        <w:t>à la réalisation des objectifs d</w:t>
      </w:r>
      <w:r w:rsidRPr="001D597F">
        <w:rPr>
          <w:kern w:val="22"/>
          <w:lang w:val="fr-CA"/>
        </w:rPr>
        <w:t>u Plan strat</w:t>
      </w:r>
      <w:r w:rsidR="001D597F">
        <w:rPr>
          <w:kern w:val="22"/>
          <w:lang w:val="fr-CA"/>
        </w:rPr>
        <w:t>égique et des Objecti</w:t>
      </w:r>
      <w:r w:rsidRPr="001D597F">
        <w:rPr>
          <w:kern w:val="22"/>
          <w:lang w:val="fr-CA"/>
        </w:rPr>
        <w:t xml:space="preserve">fs d’Aichi relatifs </w:t>
      </w:r>
      <w:r w:rsidR="001D597F" w:rsidRPr="001D597F">
        <w:rPr>
          <w:kern w:val="22"/>
          <w:lang w:val="fr-CA"/>
        </w:rPr>
        <w:t>à la diversité biolog</w:t>
      </w:r>
      <w:r w:rsidRPr="001D597F">
        <w:rPr>
          <w:kern w:val="22"/>
          <w:lang w:val="fr-CA"/>
        </w:rPr>
        <w:t>ique, selon le premier principe directeur, «</w:t>
      </w:r>
      <w:r w:rsidR="00C50BA4">
        <w:rPr>
          <w:kern w:val="22"/>
          <w:lang w:val="fr-CA"/>
        </w:rPr>
        <w:t> </w:t>
      </w:r>
      <w:r w:rsidRPr="001D597F">
        <w:rPr>
          <w:kern w:val="22"/>
          <w:lang w:val="fr-CA"/>
        </w:rPr>
        <w:t>l’</w:t>
      </w:r>
      <w:r w:rsidR="001D597F" w:rsidRPr="001D597F">
        <w:rPr>
          <w:kern w:val="22"/>
          <w:lang w:val="fr-CA"/>
        </w:rPr>
        <w:t>importance d</w:t>
      </w:r>
      <w:r w:rsidRPr="001D597F">
        <w:rPr>
          <w:kern w:val="22"/>
          <w:lang w:val="fr-CA"/>
        </w:rPr>
        <w:t>es mesures collectives », décrit</w:t>
      </w:r>
      <w:r w:rsidR="000278A3">
        <w:rPr>
          <w:kern w:val="22"/>
          <w:lang w:val="fr-CA"/>
        </w:rPr>
        <w:t xml:space="preserve"> à l’annexe de la décision </w:t>
      </w:r>
      <w:r w:rsidR="001D597F" w:rsidRPr="001D597F">
        <w:rPr>
          <w:kern w:val="22"/>
          <w:lang w:val="fr-CA"/>
        </w:rPr>
        <w:t>XIII/20</w:t>
      </w:r>
      <w:r w:rsidR="00CD3EBC" w:rsidRPr="001D597F">
        <w:rPr>
          <w:kern w:val="22"/>
          <w:szCs w:val="22"/>
          <w:lang w:val="fr-CA"/>
        </w:rPr>
        <w:t>.</w:t>
      </w:r>
    </w:p>
    <w:p w:rsidR="0082559A" w:rsidRPr="00577CFE" w:rsidRDefault="00515B96" w:rsidP="00DF3196">
      <w:pPr>
        <w:pStyle w:val="Para1"/>
        <w:tabs>
          <w:tab w:val="clear" w:pos="360"/>
        </w:tabs>
        <w:rPr>
          <w:kern w:val="22"/>
          <w:szCs w:val="22"/>
          <w:lang w:val="fr-CA"/>
        </w:rPr>
      </w:pPr>
      <w:r>
        <w:rPr>
          <w:kern w:val="22"/>
          <w:szCs w:val="22"/>
          <w:lang w:val="fr-CA"/>
        </w:rPr>
        <w:t>La reconnaissance de l</w:t>
      </w:r>
      <w:r w:rsidR="001D597F">
        <w:rPr>
          <w:kern w:val="22"/>
          <w:szCs w:val="22"/>
          <w:lang w:val="fr-CA"/>
        </w:rPr>
        <w:t>a valeur des mesures collectives des peuples autochtones et des communautés locales ayant été établie, plusieurs exposés proposent des exemples et des modèles d’</w:t>
      </w:r>
      <w:r>
        <w:rPr>
          <w:kern w:val="22"/>
          <w:szCs w:val="22"/>
          <w:lang w:val="fr-CA"/>
        </w:rPr>
        <w:t xml:space="preserve">activités mises en œuvre </w:t>
      </w:r>
      <w:r w:rsidR="000278A3">
        <w:rPr>
          <w:kern w:val="22"/>
          <w:szCs w:val="22"/>
          <w:lang w:val="fr-CA"/>
        </w:rPr>
        <w:t>aux niveaux national et local</w:t>
      </w:r>
      <w:r>
        <w:rPr>
          <w:kern w:val="22"/>
          <w:szCs w:val="22"/>
          <w:lang w:val="fr-CA"/>
        </w:rPr>
        <w:t xml:space="preserve"> afin de soutenir</w:t>
      </w:r>
      <w:r w:rsidR="001D597F">
        <w:rPr>
          <w:kern w:val="22"/>
          <w:szCs w:val="22"/>
          <w:lang w:val="fr-CA"/>
        </w:rPr>
        <w:t xml:space="preserve"> les mesures collectives, dont l’offre </w:t>
      </w:r>
      <w:r>
        <w:rPr>
          <w:kern w:val="22"/>
          <w:szCs w:val="22"/>
          <w:lang w:val="fr-CA"/>
        </w:rPr>
        <w:t>de ressources financières et de différen</w:t>
      </w:r>
      <w:r w:rsidR="001D597F">
        <w:rPr>
          <w:kern w:val="22"/>
          <w:szCs w:val="22"/>
          <w:lang w:val="fr-CA"/>
        </w:rPr>
        <w:t xml:space="preserve">ts </w:t>
      </w:r>
      <w:r>
        <w:rPr>
          <w:kern w:val="22"/>
          <w:szCs w:val="22"/>
          <w:lang w:val="fr-CA"/>
        </w:rPr>
        <w:t>types</w:t>
      </w:r>
      <w:r w:rsidR="001D597F">
        <w:rPr>
          <w:kern w:val="22"/>
          <w:szCs w:val="22"/>
          <w:lang w:val="fr-CA"/>
        </w:rPr>
        <w:t xml:space="preserve"> de soutien technique</w:t>
      </w:r>
      <w:r w:rsidR="00217C78">
        <w:rPr>
          <w:kern w:val="22"/>
          <w:szCs w:val="22"/>
          <w:lang w:val="fr-CA"/>
        </w:rPr>
        <w:t xml:space="preserve">. Voici quelques éléments importants des approches décrites pour </w:t>
      </w:r>
      <w:r w:rsidR="00B7766E">
        <w:rPr>
          <w:kern w:val="22"/>
          <w:szCs w:val="22"/>
          <w:lang w:val="fr-CA"/>
        </w:rPr>
        <w:t>améliorer</w:t>
      </w:r>
      <w:r>
        <w:rPr>
          <w:kern w:val="22"/>
          <w:szCs w:val="22"/>
          <w:lang w:val="fr-CA"/>
        </w:rPr>
        <w:t xml:space="preserve"> l</w:t>
      </w:r>
      <w:r w:rsidR="00217C78">
        <w:rPr>
          <w:kern w:val="22"/>
          <w:szCs w:val="22"/>
          <w:lang w:val="fr-CA"/>
        </w:rPr>
        <w:t>es répercussions des mesures collectives : a) l</w:t>
      </w:r>
      <w:r>
        <w:rPr>
          <w:kern w:val="22"/>
          <w:szCs w:val="22"/>
          <w:lang w:val="fr-CA"/>
        </w:rPr>
        <w:t>a reconnaissance des connaissanc</w:t>
      </w:r>
      <w:r w:rsidR="00217C78">
        <w:rPr>
          <w:kern w:val="22"/>
          <w:szCs w:val="22"/>
          <w:lang w:val="fr-CA"/>
        </w:rPr>
        <w:t>es traditionnelles et des prat</w:t>
      </w:r>
      <w:r>
        <w:rPr>
          <w:kern w:val="22"/>
          <w:szCs w:val="22"/>
          <w:lang w:val="fr-CA"/>
        </w:rPr>
        <w:t>i</w:t>
      </w:r>
      <w:r w:rsidR="00217C78">
        <w:rPr>
          <w:kern w:val="22"/>
          <w:szCs w:val="22"/>
          <w:lang w:val="fr-CA"/>
        </w:rPr>
        <w:t>ques en tant qu’</w:t>
      </w:r>
      <w:r>
        <w:rPr>
          <w:kern w:val="22"/>
          <w:szCs w:val="22"/>
          <w:lang w:val="fr-CA"/>
        </w:rPr>
        <w:t>él</w:t>
      </w:r>
      <w:r w:rsidR="00217C78">
        <w:rPr>
          <w:kern w:val="22"/>
          <w:szCs w:val="22"/>
          <w:lang w:val="fr-CA"/>
        </w:rPr>
        <w:t>éments principaux de la conservation communautaire</w:t>
      </w:r>
      <w:r w:rsidR="007A5DD8">
        <w:rPr>
          <w:kern w:val="22"/>
          <w:szCs w:val="22"/>
          <w:lang w:val="fr-CA"/>
        </w:rPr>
        <w:t>;</w:t>
      </w:r>
      <w:r w:rsidR="00217C78">
        <w:rPr>
          <w:kern w:val="22"/>
          <w:szCs w:val="22"/>
          <w:lang w:val="fr-CA"/>
        </w:rPr>
        <w:t xml:space="preserve"> b) la reconnaissance que les systèmes d’établissement de la valeur liés à la culture des communautés en matière de conservation et d’utilisation durable doivent être compris et </w:t>
      </w:r>
      <w:r w:rsidR="00B7766E">
        <w:rPr>
          <w:kern w:val="22"/>
          <w:szCs w:val="22"/>
          <w:lang w:val="fr-CA"/>
        </w:rPr>
        <w:t>soutenus</w:t>
      </w:r>
      <w:r w:rsidR="007A5DD8">
        <w:rPr>
          <w:kern w:val="22"/>
          <w:szCs w:val="22"/>
          <w:lang w:val="fr-CA"/>
        </w:rPr>
        <w:t>;</w:t>
      </w:r>
      <w:r w:rsidR="00217C78">
        <w:rPr>
          <w:kern w:val="22"/>
          <w:szCs w:val="22"/>
          <w:lang w:val="fr-CA"/>
        </w:rPr>
        <w:t xml:space="preserve"> c) le besoin de plateformes d’échange et de partage des connaissances</w:t>
      </w:r>
      <w:r w:rsidR="007A5DD8">
        <w:rPr>
          <w:kern w:val="22"/>
          <w:szCs w:val="22"/>
          <w:lang w:val="fr-CA"/>
        </w:rPr>
        <w:t>;</w:t>
      </w:r>
      <w:r>
        <w:rPr>
          <w:kern w:val="22"/>
          <w:szCs w:val="22"/>
          <w:lang w:val="fr-CA"/>
        </w:rPr>
        <w:t xml:space="preserve"> et d) l’importance de créer des occasions d’établir des liens entre les politiques et la participation directe des peuples autochtones et des communautés locales au processus d’établissement des politiques</w:t>
      </w:r>
      <w:r w:rsidR="00E0350E" w:rsidRPr="00577CFE">
        <w:rPr>
          <w:kern w:val="22"/>
          <w:szCs w:val="22"/>
          <w:lang w:val="fr-CA"/>
        </w:rPr>
        <w:t>.</w:t>
      </w:r>
    </w:p>
    <w:p w:rsidR="003C0118" w:rsidRPr="00777792" w:rsidRDefault="00515B96" w:rsidP="00AF5A4A">
      <w:pPr>
        <w:pStyle w:val="Para1"/>
        <w:tabs>
          <w:tab w:val="clear" w:pos="360"/>
        </w:tabs>
        <w:rPr>
          <w:kern w:val="22"/>
          <w:szCs w:val="22"/>
          <w:lang w:val="fr-CA"/>
        </w:rPr>
      </w:pPr>
      <w:r w:rsidRPr="00777792">
        <w:rPr>
          <w:kern w:val="22"/>
          <w:szCs w:val="22"/>
          <w:lang w:val="fr-CA"/>
        </w:rPr>
        <w:t xml:space="preserve">Un concept fondamental commun se dégage de tous les exposés, à savoir que les besoins et les intérêts des peuples autochtones et des communautés locales </w:t>
      </w:r>
      <w:r w:rsidR="005702BA">
        <w:rPr>
          <w:kern w:val="22"/>
          <w:szCs w:val="22"/>
          <w:lang w:val="fr-CA"/>
        </w:rPr>
        <w:t>pour</w:t>
      </w:r>
      <w:r w:rsidRPr="00777792">
        <w:rPr>
          <w:kern w:val="22"/>
          <w:szCs w:val="22"/>
          <w:lang w:val="fr-CA"/>
        </w:rPr>
        <w:t xml:space="preserve"> leur subsistance et leur culture doi</w:t>
      </w:r>
      <w:r w:rsidR="00B7766E" w:rsidRPr="00777792">
        <w:rPr>
          <w:kern w:val="22"/>
          <w:szCs w:val="22"/>
          <w:lang w:val="fr-CA"/>
        </w:rPr>
        <w:t>ven</w:t>
      </w:r>
      <w:r w:rsidRPr="00777792">
        <w:rPr>
          <w:kern w:val="22"/>
          <w:szCs w:val="22"/>
          <w:lang w:val="fr-CA"/>
        </w:rPr>
        <w:t xml:space="preserve">t </w:t>
      </w:r>
      <w:r w:rsidR="00436842" w:rsidRPr="00777792">
        <w:rPr>
          <w:kern w:val="22"/>
          <w:szCs w:val="22"/>
          <w:lang w:val="fr-CA"/>
        </w:rPr>
        <w:t>faire pa</w:t>
      </w:r>
      <w:r w:rsidRPr="00777792">
        <w:rPr>
          <w:kern w:val="22"/>
          <w:szCs w:val="22"/>
          <w:lang w:val="fr-CA"/>
        </w:rPr>
        <w:t>rtie intégrante de l’évaluation de leur contribution, car les peuples autochtones et les communautés locales ont souvent leur propre façon de conserver et de faire une utilisation durable</w:t>
      </w:r>
      <w:r w:rsidR="00B7766E" w:rsidRPr="00777792">
        <w:rPr>
          <w:kern w:val="22"/>
          <w:szCs w:val="22"/>
          <w:lang w:val="fr-CA"/>
        </w:rPr>
        <w:t xml:space="preserve">, </w:t>
      </w:r>
      <w:r w:rsidR="00777792" w:rsidRPr="00777792">
        <w:rPr>
          <w:kern w:val="22"/>
          <w:szCs w:val="22"/>
          <w:lang w:val="fr-CA"/>
        </w:rPr>
        <w:t>qui établit un lien étroit entre</w:t>
      </w:r>
      <w:r w:rsidR="00436842" w:rsidRPr="00777792">
        <w:rPr>
          <w:kern w:val="22"/>
          <w:szCs w:val="22"/>
          <w:lang w:val="fr-CA"/>
        </w:rPr>
        <w:t xml:space="preserve"> la diversité biologique </w:t>
      </w:r>
      <w:r w:rsidR="00777792" w:rsidRPr="00777792">
        <w:rPr>
          <w:kern w:val="22"/>
          <w:szCs w:val="22"/>
          <w:lang w:val="fr-CA"/>
        </w:rPr>
        <w:t>et</w:t>
      </w:r>
      <w:r w:rsidR="00436842" w:rsidRPr="00777792">
        <w:rPr>
          <w:kern w:val="22"/>
          <w:szCs w:val="22"/>
          <w:lang w:val="fr-CA"/>
        </w:rPr>
        <w:t xml:space="preserve"> leurs approches globales. Ce concept est surtout lié au</w:t>
      </w:r>
      <w:r w:rsidR="001C5785">
        <w:rPr>
          <w:kern w:val="22"/>
          <w:szCs w:val="22"/>
          <w:lang w:val="fr-CA"/>
        </w:rPr>
        <w:t xml:space="preserve"> deuxième </w:t>
      </w:r>
      <w:r w:rsidR="00436842" w:rsidRPr="00777792">
        <w:rPr>
          <w:kern w:val="22"/>
          <w:szCs w:val="22"/>
          <w:lang w:val="fr-CA"/>
        </w:rPr>
        <w:t>(spécificité du contexte) et</w:t>
      </w:r>
      <w:r w:rsidR="001C5785">
        <w:rPr>
          <w:kern w:val="22"/>
          <w:szCs w:val="22"/>
          <w:lang w:val="fr-CA"/>
        </w:rPr>
        <w:t xml:space="preserve"> au troisième</w:t>
      </w:r>
      <w:r w:rsidR="00436842" w:rsidRPr="00777792">
        <w:rPr>
          <w:kern w:val="22"/>
          <w:szCs w:val="22"/>
          <w:lang w:val="fr-CA"/>
        </w:rPr>
        <w:t xml:space="preserve"> (multiplicité des valeurs) </w:t>
      </w:r>
      <w:r w:rsidR="001C5785">
        <w:rPr>
          <w:kern w:val="22"/>
          <w:szCs w:val="22"/>
          <w:lang w:val="fr-CA"/>
        </w:rPr>
        <w:t xml:space="preserve">principes directeurs </w:t>
      </w:r>
      <w:r w:rsidR="00436842" w:rsidRPr="00777792">
        <w:rPr>
          <w:kern w:val="22"/>
          <w:szCs w:val="22"/>
          <w:lang w:val="fr-CA"/>
        </w:rPr>
        <w:t>de la décision XIII/20.</w:t>
      </w:r>
    </w:p>
    <w:p w:rsidR="00440A24" w:rsidRPr="00777792" w:rsidRDefault="00436842" w:rsidP="006A720D">
      <w:pPr>
        <w:pStyle w:val="Para1"/>
        <w:tabs>
          <w:tab w:val="clear" w:pos="360"/>
        </w:tabs>
        <w:rPr>
          <w:kern w:val="22"/>
          <w:lang w:val="fr-CA"/>
        </w:rPr>
      </w:pPr>
      <w:r w:rsidRPr="00777792">
        <w:rPr>
          <w:kern w:val="22"/>
          <w:lang w:val="fr-CA"/>
        </w:rPr>
        <w:t>Certains exposés ont mis en évidence l’importance des méthodes qualitatives</w:t>
      </w:r>
      <w:r w:rsidR="005702BA">
        <w:rPr>
          <w:kern w:val="22"/>
          <w:lang w:val="fr-CA"/>
        </w:rPr>
        <w:t xml:space="preserve"> dans le contexte de la reconnaissance de la</w:t>
      </w:r>
      <w:r w:rsidRPr="00777792">
        <w:rPr>
          <w:kern w:val="22"/>
          <w:lang w:val="fr-CA"/>
        </w:rPr>
        <w:t xml:space="preserve"> multiplicité des valeurs et </w:t>
      </w:r>
      <w:r w:rsidR="00937C41">
        <w:rPr>
          <w:kern w:val="22"/>
          <w:lang w:val="fr-CA"/>
        </w:rPr>
        <w:t>du pluralisme et de l</w:t>
      </w:r>
      <w:r w:rsidRPr="00777792">
        <w:rPr>
          <w:kern w:val="22"/>
          <w:lang w:val="fr-CA"/>
        </w:rPr>
        <w:t xml:space="preserve">a complémentarité des méthodologies, conformément au </w:t>
      </w:r>
      <w:r w:rsidR="00DF5B6E">
        <w:rPr>
          <w:kern w:val="22"/>
          <w:lang w:val="fr-CA"/>
        </w:rPr>
        <w:t xml:space="preserve">quatrième </w:t>
      </w:r>
      <w:r w:rsidRPr="00777792">
        <w:rPr>
          <w:kern w:val="22"/>
          <w:lang w:val="fr-CA"/>
        </w:rPr>
        <w:t>principe sur</w:t>
      </w:r>
      <w:r w:rsidR="007D5499" w:rsidRPr="00777792">
        <w:rPr>
          <w:kern w:val="22"/>
          <w:lang w:val="fr-CA"/>
        </w:rPr>
        <w:t xml:space="preserve"> le « pluralisme méthodologique et la complémentarité »</w:t>
      </w:r>
      <w:r w:rsidR="007E2112" w:rsidRPr="00777792">
        <w:rPr>
          <w:kern w:val="22"/>
          <w:szCs w:val="22"/>
          <w:lang w:val="fr-CA"/>
        </w:rPr>
        <w:t>.</w:t>
      </w:r>
      <w:r w:rsidR="007D5499" w:rsidRPr="00777792">
        <w:rPr>
          <w:kern w:val="22"/>
          <w:szCs w:val="22"/>
          <w:lang w:val="fr-CA"/>
        </w:rPr>
        <w:t xml:space="preserve"> Les méthodes qualitatives permettent aussi </w:t>
      </w:r>
      <w:r w:rsidR="00DF5B6E">
        <w:rPr>
          <w:kern w:val="22"/>
          <w:szCs w:val="22"/>
          <w:lang w:val="fr-CA"/>
        </w:rPr>
        <w:t>de reconnaître</w:t>
      </w:r>
      <w:r w:rsidR="007D5499" w:rsidRPr="00777792">
        <w:rPr>
          <w:kern w:val="22"/>
          <w:szCs w:val="22"/>
          <w:lang w:val="fr-CA"/>
        </w:rPr>
        <w:t xml:space="preserve"> la spécificité des contextes et des systèmes de connaissances</w:t>
      </w:r>
      <w:r w:rsidR="00777792">
        <w:rPr>
          <w:kern w:val="22"/>
          <w:szCs w:val="22"/>
          <w:lang w:val="fr-CA"/>
        </w:rPr>
        <w:t>.</w:t>
      </w:r>
      <w:r w:rsidR="0078768A">
        <w:rPr>
          <w:kern w:val="22"/>
          <w:szCs w:val="22"/>
          <w:lang w:val="fr-CA"/>
        </w:rPr>
        <w:t xml:space="preserve"> </w:t>
      </w:r>
      <w:r w:rsidR="00FE086C">
        <w:rPr>
          <w:kern w:val="22"/>
          <w:szCs w:val="22"/>
          <w:lang w:val="fr-CA"/>
        </w:rPr>
        <w:t>Parallèlement</w:t>
      </w:r>
      <w:r w:rsidR="0078768A">
        <w:rPr>
          <w:kern w:val="22"/>
          <w:szCs w:val="22"/>
          <w:lang w:val="fr-CA"/>
        </w:rPr>
        <w:t xml:space="preserve">, la collecte, le partage et le stockage de données doivent être considérés </w:t>
      </w:r>
      <w:r w:rsidR="00253E54">
        <w:rPr>
          <w:kern w:val="22"/>
          <w:szCs w:val="22"/>
          <w:lang w:val="fr-CA"/>
        </w:rPr>
        <w:t>de concert</w:t>
      </w:r>
      <w:r w:rsidR="0078768A">
        <w:rPr>
          <w:kern w:val="22"/>
          <w:szCs w:val="22"/>
          <w:lang w:val="fr-CA"/>
        </w:rPr>
        <w:t xml:space="preserve"> avec les autre</w:t>
      </w:r>
      <w:r w:rsidR="00253E54">
        <w:rPr>
          <w:kern w:val="22"/>
          <w:szCs w:val="22"/>
          <w:lang w:val="fr-CA"/>
        </w:rPr>
        <w:t>s orientations de la Convention.</w:t>
      </w:r>
      <w:r w:rsidR="0078768A">
        <w:rPr>
          <w:kern w:val="22"/>
          <w:szCs w:val="22"/>
          <w:lang w:val="fr-CA"/>
        </w:rPr>
        <w:t xml:space="preserve"> L’utilisation d’indicateurs conséquents au fil du temps </w:t>
      </w:r>
      <w:r w:rsidR="00253E54">
        <w:rPr>
          <w:kern w:val="22"/>
          <w:szCs w:val="22"/>
          <w:lang w:val="fr-CA"/>
        </w:rPr>
        <w:t>favorise</w:t>
      </w:r>
      <w:r w:rsidR="0078768A">
        <w:rPr>
          <w:kern w:val="22"/>
          <w:szCs w:val="22"/>
          <w:lang w:val="fr-CA"/>
        </w:rPr>
        <w:t xml:space="preserve"> les comparaisons temporelles et établit une valeur de référence permettant de mieux évaluer les changements et les tendances.  </w:t>
      </w:r>
    </w:p>
    <w:p w:rsidR="001F03D3" w:rsidRPr="00777792" w:rsidRDefault="007D5499" w:rsidP="00322961">
      <w:pPr>
        <w:pStyle w:val="Para1"/>
        <w:tabs>
          <w:tab w:val="clear" w:pos="360"/>
        </w:tabs>
        <w:rPr>
          <w:kern w:val="22"/>
          <w:szCs w:val="22"/>
          <w:lang w:val="fr-CA"/>
        </w:rPr>
      </w:pPr>
      <w:r w:rsidRPr="00777792">
        <w:rPr>
          <w:kern w:val="22"/>
          <w:szCs w:val="22"/>
          <w:lang w:val="fr-CA"/>
        </w:rPr>
        <w:t>Une attention doit être accordée a</w:t>
      </w:r>
      <w:r w:rsidR="00322961" w:rsidRPr="00777792">
        <w:rPr>
          <w:kern w:val="22"/>
          <w:szCs w:val="22"/>
          <w:lang w:val="fr-CA"/>
        </w:rPr>
        <w:t>ux régimes des droits des peuple</w:t>
      </w:r>
      <w:r w:rsidRPr="00777792">
        <w:rPr>
          <w:kern w:val="22"/>
          <w:szCs w:val="22"/>
          <w:lang w:val="fr-CA"/>
        </w:rPr>
        <w:t>s autochtones et des communautés l</w:t>
      </w:r>
      <w:r w:rsidR="00322961" w:rsidRPr="00777792">
        <w:rPr>
          <w:kern w:val="22"/>
          <w:szCs w:val="22"/>
          <w:lang w:val="fr-CA"/>
        </w:rPr>
        <w:t xml:space="preserve">ocales </w:t>
      </w:r>
      <w:r w:rsidR="00DF5B6E">
        <w:rPr>
          <w:kern w:val="22"/>
          <w:szCs w:val="22"/>
          <w:lang w:val="fr-CA"/>
        </w:rPr>
        <w:t>relatifs à</w:t>
      </w:r>
      <w:r w:rsidR="00322961" w:rsidRPr="00777792">
        <w:rPr>
          <w:kern w:val="22"/>
          <w:szCs w:val="22"/>
          <w:lang w:val="fr-CA"/>
        </w:rPr>
        <w:t xml:space="preserve"> leurs territo</w:t>
      </w:r>
      <w:r w:rsidRPr="00777792">
        <w:rPr>
          <w:kern w:val="22"/>
          <w:szCs w:val="22"/>
          <w:lang w:val="fr-CA"/>
        </w:rPr>
        <w:t>i</w:t>
      </w:r>
      <w:r w:rsidR="00322961" w:rsidRPr="00777792">
        <w:rPr>
          <w:kern w:val="22"/>
          <w:szCs w:val="22"/>
          <w:lang w:val="fr-CA"/>
        </w:rPr>
        <w:t>r</w:t>
      </w:r>
      <w:r w:rsidRPr="00777792">
        <w:rPr>
          <w:kern w:val="22"/>
          <w:szCs w:val="22"/>
          <w:lang w:val="fr-CA"/>
        </w:rPr>
        <w:t>es traditionnels (terres et eaux) et leurs ressources nature</w:t>
      </w:r>
      <w:r w:rsidR="00322961" w:rsidRPr="00777792">
        <w:rPr>
          <w:kern w:val="22"/>
          <w:szCs w:val="22"/>
          <w:lang w:val="fr-CA"/>
        </w:rPr>
        <w:t>lle</w:t>
      </w:r>
      <w:r w:rsidRPr="00777792">
        <w:rPr>
          <w:kern w:val="22"/>
          <w:szCs w:val="22"/>
          <w:lang w:val="fr-CA"/>
        </w:rPr>
        <w:t>s, afin que les mesures collectives (dont il est question au paragraphe 29 de la décision XII/3) contribuent efficacem</w:t>
      </w:r>
      <w:r w:rsidR="00322961" w:rsidRPr="00777792">
        <w:rPr>
          <w:kern w:val="22"/>
          <w:szCs w:val="22"/>
          <w:lang w:val="fr-CA"/>
        </w:rPr>
        <w:t>ent aux objectifs du Plan stratégique 2011-2020 pour la d</w:t>
      </w:r>
      <w:r w:rsidRPr="00777792">
        <w:rPr>
          <w:kern w:val="22"/>
          <w:szCs w:val="22"/>
          <w:lang w:val="fr-CA"/>
        </w:rPr>
        <w:t xml:space="preserve">iversité biologique et la résilience des communautés. </w:t>
      </w:r>
      <w:r w:rsidR="00322961" w:rsidRPr="00777792">
        <w:rPr>
          <w:kern w:val="22"/>
          <w:szCs w:val="22"/>
          <w:lang w:val="fr-CA"/>
        </w:rPr>
        <w:t>Ce point a été réitéré dans plusieurs exposés. La sécurité des droits mène à la propriété collective et facilite l’engagement envers les partenariats et les mesures conjointes de conservation</w:t>
      </w:r>
      <w:r w:rsidR="001F03D3" w:rsidRPr="00777792">
        <w:rPr>
          <w:kern w:val="22"/>
          <w:lang w:val="fr-CA"/>
        </w:rPr>
        <w:t>.</w:t>
      </w:r>
    </w:p>
    <w:p w:rsidR="00333FFD" w:rsidRPr="00777792" w:rsidRDefault="00322961" w:rsidP="006A720D">
      <w:pPr>
        <w:pStyle w:val="Para1"/>
        <w:tabs>
          <w:tab w:val="clear" w:pos="360"/>
        </w:tabs>
        <w:rPr>
          <w:kern w:val="22"/>
          <w:szCs w:val="22"/>
          <w:lang w:val="fr-CA"/>
        </w:rPr>
      </w:pPr>
      <w:r w:rsidRPr="00777792">
        <w:rPr>
          <w:kern w:val="22"/>
          <w:lang w:val="fr-CA"/>
        </w:rPr>
        <w:t xml:space="preserve">En dernier lieu, la plupart des exposés mettent en évidence les aspects procéduraux des mesures collectives, en particulier le besoin d’occasions et de mécanismes de participation, </w:t>
      </w:r>
      <w:r w:rsidR="00DF5B6E">
        <w:rPr>
          <w:kern w:val="22"/>
          <w:lang w:val="fr-CA"/>
        </w:rPr>
        <w:t>notamment</w:t>
      </w:r>
      <w:r w:rsidRPr="00777792">
        <w:rPr>
          <w:kern w:val="22"/>
          <w:lang w:val="fr-CA"/>
        </w:rPr>
        <w:t xml:space="preserve"> au processus d’établissement de politiques, </w:t>
      </w:r>
      <w:r w:rsidR="00EB063C" w:rsidRPr="00777792">
        <w:rPr>
          <w:kern w:val="22"/>
          <w:lang w:val="fr-CA"/>
        </w:rPr>
        <w:t xml:space="preserve">et le respect du consentement préalable libre </w:t>
      </w:r>
      <w:r w:rsidR="00777792">
        <w:rPr>
          <w:kern w:val="22"/>
          <w:lang w:val="fr-CA"/>
        </w:rPr>
        <w:t>et éclairé</w:t>
      </w:r>
      <w:r w:rsidR="00EB063C" w:rsidRPr="00777792">
        <w:rPr>
          <w:kern w:val="22"/>
          <w:lang w:val="fr-CA"/>
        </w:rPr>
        <w:t xml:space="preserve"> ou l’approbation par les peuples autochtones et les communautés locales des mesures pertinentes à leur rôle en matière de conservation et d’utilisation durable</w:t>
      </w:r>
      <w:r w:rsidR="00145B6F" w:rsidRPr="00777792">
        <w:rPr>
          <w:kern w:val="22"/>
          <w:lang w:val="fr-CA"/>
        </w:rPr>
        <w:t>.</w:t>
      </w:r>
    </w:p>
    <w:p w:rsidR="009E6ED9" w:rsidRPr="00EB063C" w:rsidRDefault="009E6ED9" w:rsidP="000F7AFB">
      <w:pPr>
        <w:pStyle w:val="Heading1"/>
        <w:tabs>
          <w:tab w:val="clear" w:pos="720"/>
        </w:tabs>
        <w:spacing w:before="120"/>
        <w:rPr>
          <w:bCs/>
          <w:caps w:val="0"/>
          <w:snapToGrid w:val="0"/>
          <w:kern w:val="22"/>
          <w:szCs w:val="22"/>
          <w:lang w:val="fr-CA"/>
        </w:rPr>
      </w:pPr>
      <w:r w:rsidRPr="00EB063C">
        <w:rPr>
          <w:snapToGrid w:val="0"/>
          <w:kern w:val="22"/>
          <w:szCs w:val="22"/>
          <w:lang w:val="fr-CA"/>
        </w:rPr>
        <w:t>II.</w:t>
      </w:r>
      <w:r w:rsidRPr="00EB063C">
        <w:rPr>
          <w:snapToGrid w:val="0"/>
          <w:kern w:val="22"/>
          <w:szCs w:val="22"/>
          <w:lang w:val="fr-CA"/>
        </w:rPr>
        <w:tab/>
      </w:r>
      <w:r w:rsidR="00EB063C">
        <w:rPr>
          <w:snapToGrid w:val="0"/>
          <w:kern w:val="22"/>
          <w:szCs w:val="22"/>
          <w:lang w:val="fr-CA"/>
        </w:rPr>
        <w:t>SURVOL DES ÉLÉMENTS DE L’ORIENTATION MÉTHODOLOGIQUE</w:t>
      </w:r>
    </w:p>
    <w:p w:rsidR="00651D44" w:rsidRPr="00EB063C" w:rsidRDefault="00EB063C" w:rsidP="001D2DAE">
      <w:pPr>
        <w:pStyle w:val="Para1"/>
        <w:tabs>
          <w:tab w:val="clear" w:pos="360"/>
        </w:tabs>
        <w:rPr>
          <w:i/>
          <w:kern w:val="22"/>
          <w:szCs w:val="22"/>
          <w:lang w:val="fr-CA"/>
        </w:rPr>
      </w:pPr>
      <w:r>
        <w:rPr>
          <w:kern w:val="22"/>
          <w:szCs w:val="22"/>
          <w:lang w:val="fr-CA"/>
        </w:rPr>
        <w:t xml:space="preserve">L’appendice à la décision XIII/20 </w:t>
      </w:r>
      <w:r w:rsidR="00DF5B6E">
        <w:rPr>
          <w:kern w:val="22"/>
          <w:szCs w:val="22"/>
          <w:lang w:val="fr-CA"/>
        </w:rPr>
        <w:t>identifie</w:t>
      </w:r>
      <w:r w:rsidR="0036320D">
        <w:rPr>
          <w:kern w:val="22"/>
          <w:szCs w:val="22"/>
          <w:lang w:val="fr-CA"/>
        </w:rPr>
        <w:t xml:space="preserve"> des sources d’orientation méthodologique dont l’analyse pourrait servir à l’avancement des éléments de l’orientation méthodologique, </w:t>
      </w:r>
      <w:r w:rsidR="001A4BB8">
        <w:rPr>
          <w:kern w:val="22"/>
          <w:szCs w:val="22"/>
          <w:lang w:val="fr-CA"/>
        </w:rPr>
        <w:t>notamment en ce qui concerne l’identification</w:t>
      </w:r>
      <w:r w:rsidR="0036320D">
        <w:rPr>
          <w:kern w:val="22"/>
          <w:szCs w:val="22"/>
          <w:lang w:val="fr-CA"/>
        </w:rPr>
        <w:t xml:space="preserve">, le suivi et l’évaluation de la contribution des peuples autochtones et des </w:t>
      </w:r>
      <w:r w:rsidR="0036320D">
        <w:rPr>
          <w:kern w:val="22"/>
          <w:szCs w:val="22"/>
          <w:lang w:val="fr-CA"/>
        </w:rPr>
        <w:lastRenderedPageBreak/>
        <w:t>communautés locales à la réalisation des objectifs du Plan stratégique 2011-2020 p</w:t>
      </w:r>
      <w:r w:rsidR="001A4BB8">
        <w:rPr>
          <w:kern w:val="22"/>
          <w:szCs w:val="22"/>
          <w:lang w:val="fr-CA"/>
        </w:rPr>
        <w:t>our la diversité biologique et d</w:t>
      </w:r>
      <w:r w:rsidR="0036320D">
        <w:rPr>
          <w:kern w:val="22"/>
          <w:szCs w:val="22"/>
          <w:lang w:val="fr-CA"/>
        </w:rPr>
        <w:t>es Objectifs d’Aichi relatifs à la diversité biologique, à savoir :</w:t>
      </w:r>
    </w:p>
    <w:p w:rsidR="006851CA" w:rsidRPr="0036320D" w:rsidRDefault="001731F9" w:rsidP="0036320D">
      <w:pPr>
        <w:pStyle w:val="Para1"/>
        <w:numPr>
          <w:ilvl w:val="1"/>
          <w:numId w:val="3"/>
        </w:numPr>
        <w:tabs>
          <w:tab w:val="left" w:pos="1260"/>
        </w:tabs>
        <w:spacing w:before="0"/>
        <w:rPr>
          <w:iCs/>
          <w:kern w:val="22"/>
          <w:szCs w:val="22"/>
          <w:lang w:val="fr-CA"/>
        </w:rPr>
      </w:pPr>
      <w:r>
        <w:rPr>
          <w:lang w:val="fr-CA"/>
        </w:rPr>
        <w:t>Le C</w:t>
      </w:r>
      <w:r w:rsidR="0036320D" w:rsidRPr="0036320D">
        <w:rPr>
          <w:lang w:val="fr-CA"/>
        </w:rPr>
        <w:t>adre conceptuel et méthodologique pour évaluer la contribution des mesures collectives à la conserva</w:t>
      </w:r>
      <w:r>
        <w:rPr>
          <w:lang w:val="fr-CA"/>
        </w:rPr>
        <w:t>tion de la diversité biologique</w:t>
      </w:r>
      <w:r w:rsidR="0036320D" w:rsidRPr="0036320D">
        <w:rPr>
          <w:lang w:val="fr-CA"/>
        </w:rPr>
        <w:t>, élaboré par le Gouvernement bolivien, avec le soutien de l’Organisation du Traité de coopération amazonienn</w:t>
      </w:r>
      <w:r>
        <w:rPr>
          <w:lang w:val="fr-CA"/>
        </w:rPr>
        <w:t>e (OCTA)</w:t>
      </w:r>
      <w:r w:rsidR="007A5DD8">
        <w:rPr>
          <w:lang w:val="fr-CA"/>
        </w:rPr>
        <w:t>;</w:t>
      </w:r>
    </w:p>
    <w:p w:rsidR="006851CA" w:rsidRPr="00EB063C" w:rsidRDefault="001731F9" w:rsidP="00132DF3">
      <w:pPr>
        <w:pStyle w:val="Para1"/>
        <w:numPr>
          <w:ilvl w:val="1"/>
          <w:numId w:val="3"/>
        </w:numPr>
        <w:tabs>
          <w:tab w:val="clear" w:pos="1440"/>
          <w:tab w:val="left" w:pos="1260"/>
        </w:tabs>
        <w:spacing w:before="0"/>
        <w:rPr>
          <w:iCs/>
          <w:kern w:val="22"/>
          <w:szCs w:val="22"/>
          <w:lang w:val="fr-CA"/>
        </w:rPr>
      </w:pPr>
      <w:r w:rsidRPr="001731F9">
        <w:rPr>
          <w:lang w:val="fr-CA"/>
        </w:rPr>
        <w:t>L’approche fondée sur des preuves multiples</w:t>
      </w:r>
      <w:r w:rsidR="007A5DD8">
        <w:rPr>
          <w:lang w:val="fr-CA"/>
        </w:rPr>
        <w:t>;</w:t>
      </w:r>
    </w:p>
    <w:p w:rsidR="006851CA" w:rsidRPr="00EB063C" w:rsidRDefault="001731F9" w:rsidP="00132DF3">
      <w:pPr>
        <w:pStyle w:val="Para1"/>
        <w:numPr>
          <w:ilvl w:val="1"/>
          <w:numId w:val="3"/>
        </w:numPr>
        <w:tabs>
          <w:tab w:val="clear" w:pos="1440"/>
          <w:tab w:val="left" w:pos="1260"/>
        </w:tabs>
        <w:spacing w:before="0"/>
        <w:rPr>
          <w:iCs/>
          <w:kern w:val="22"/>
          <w:szCs w:val="22"/>
          <w:lang w:val="fr-CA"/>
        </w:rPr>
      </w:pPr>
      <w:r w:rsidRPr="001731F9">
        <w:rPr>
          <w:lang w:val="fr-CA"/>
        </w:rPr>
        <w:t>Les systèmes d’information et de suivi communautaires</w:t>
      </w:r>
      <w:r w:rsidR="007A5DD8">
        <w:rPr>
          <w:lang w:val="fr-CA"/>
        </w:rPr>
        <w:t>;</w:t>
      </w:r>
    </w:p>
    <w:p w:rsidR="006851CA" w:rsidRPr="00EB063C" w:rsidRDefault="001731F9" w:rsidP="00A510D7">
      <w:pPr>
        <w:pStyle w:val="Para1"/>
        <w:numPr>
          <w:ilvl w:val="1"/>
          <w:numId w:val="3"/>
        </w:numPr>
        <w:tabs>
          <w:tab w:val="clear" w:pos="1440"/>
          <w:tab w:val="left" w:pos="1260"/>
        </w:tabs>
        <w:spacing w:before="0"/>
        <w:ind w:left="1260" w:hanging="540"/>
        <w:rPr>
          <w:iCs/>
          <w:kern w:val="22"/>
          <w:szCs w:val="22"/>
          <w:lang w:val="fr-CA"/>
        </w:rPr>
      </w:pPr>
      <w:r>
        <w:rPr>
          <w:iCs/>
          <w:kern w:val="22"/>
          <w:szCs w:val="22"/>
          <w:lang w:val="fr-CA"/>
        </w:rPr>
        <w:t>L</w:t>
      </w:r>
      <w:r w:rsidR="00A510D7">
        <w:rPr>
          <w:iCs/>
          <w:kern w:val="22"/>
          <w:szCs w:val="22"/>
          <w:lang w:val="fr-CA"/>
        </w:rPr>
        <w:t xml:space="preserve">es outils et méthodes du Consortium des </w:t>
      </w:r>
      <w:r w:rsidR="00A510D7" w:rsidRPr="00A510D7">
        <w:rPr>
          <w:lang w:val="fr-CA"/>
        </w:rPr>
        <w:t>aires et territoires du patrimoine autochtone et communautaire (APAC)</w:t>
      </w:r>
      <w:r w:rsidR="007F3FE8" w:rsidRPr="00EB063C">
        <w:rPr>
          <w:iCs/>
          <w:kern w:val="22"/>
          <w:szCs w:val="22"/>
          <w:lang w:val="fr-CA"/>
        </w:rPr>
        <w:t>.</w:t>
      </w:r>
    </w:p>
    <w:p w:rsidR="006851CA" w:rsidRPr="001A4BB8" w:rsidRDefault="00A510D7" w:rsidP="00E74264">
      <w:pPr>
        <w:pStyle w:val="Para1"/>
        <w:tabs>
          <w:tab w:val="clear" w:pos="360"/>
        </w:tabs>
        <w:rPr>
          <w:i/>
          <w:kern w:val="22"/>
          <w:szCs w:val="22"/>
          <w:lang w:val="fr-CA"/>
        </w:rPr>
      </w:pPr>
      <w:r>
        <w:rPr>
          <w:kern w:val="22"/>
          <w:szCs w:val="22"/>
          <w:lang w:val="fr-CA"/>
        </w:rPr>
        <w:t xml:space="preserve">Plusieurs autres approches </w:t>
      </w:r>
      <w:r w:rsidRPr="001A4BB8">
        <w:rPr>
          <w:kern w:val="22"/>
          <w:szCs w:val="22"/>
          <w:lang w:val="fr-CA"/>
        </w:rPr>
        <w:t xml:space="preserve">pertinentes aux mesures collectives des peuples autochtones et des communautés locales </w:t>
      </w:r>
      <w:r w:rsidR="00782847" w:rsidRPr="001A4BB8">
        <w:rPr>
          <w:kern w:val="22"/>
          <w:szCs w:val="22"/>
          <w:lang w:val="fr-CA"/>
        </w:rPr>
        <w:t xml:space="preserve">en matière de conservation et d’utilisation durable </w:t>
      </w:r>
      <w:r w:rsidRPr="001A4BB8">
        <w:rPr>
          <w:kern w:val="22"/>
          <w:szCs w:val="22"/>
          <w:lang w:val="fr-CA"/>
        </w:rPr>
        <w:t xml:space="preserve">ont été développées, en plus des quatre sources indicatives indiquées dans la décision XIII/20. </w:t>
      </w:r>
      <w:r w:rsidR="001A4BB8">
        <w:rPr>
          <w:kern w:val="22"/>
          <w:szCs w:val="22"/>
          <w:lang w:val="fr-CA"/>
        </w:rPr>
        <w:t>L</w:t>
      </w:r>
      <w:r w:rsidR="00782847" w:rsidRPr="001A4BB8">
        <w:rPr>
          <w:kern w:val="22"/>
          <w:szCs w:val="22"/>
          <w:lang w:val="fr-CA"/>
        </w:rPr>
        <w:t xml:space="preserve">a plupart de ces approches semblent </w:t>
      </w:r>
      <w:r w:rsidR="001A4BB8">
        <w:rPr>
          <w:kern w:val="22"/>
          <w:szCs w:val="22"/>
          <w:lang w:val="fr-CA"/>
        </w:rPr>
        <w:t xml:space="preserve">toutefois </w:t>
      </w:r>
      <w:r w:rsidR="00782847" w:rsidRPr="001A4BB8">
        <w:rPr>
          <w:kern w:val="22"/>
          <w:szCs w:val="22"/>
          <w:lang w:val="fr-CA"/>
        </w:rPr>
        <w:t>mettre l’accent sur les conditions et les éléments de l’établissement et du fonctionnement des modalités des mesures collectives et pas nécessairement sur l’évaluation de leur contribution.</w:t>
      </w:r>
    </w:p>
    <w:p w:rsidR="006A4A77" w:rsidRPr="001A4BB8" w:rsidRDefault="00782847" w:rsidP="00862204">
      <w:pPr>
        <w:pStyle w:val="Para1"/>
        <w:tabs>
          <w:tab w:val="clear" w:pos="360"/>
        </w:tabs>
        <w:rPr>
          <w:kern w:val="22"/>
          <w:lang w:val="fr-CA"/>
        </w:rPr>
      </w:pPr>
      <w:r w:rsidRPr="001A4BB8">
        <w:rPr>
          <w:kern w:val="22"/>
          <w:lang w:val="fr-CA"/>
        </w:rPr>
        <w:t>Les approches méthodologiques ont en commun d’identifier et de pr</w:t>
      </w:r>
      <w:r w:rsidR="00D159A7" w:rsidRPr="001A4BB8">
        <w:rPr>
          <w:kern w:val="22"/>
          <w:lang w:val="fr-CA"/>
        </w:rPr>
        <w:t>oposer des séries de principes a</w:t>
      </w:r>
      <w:r w:rsidRPr="001A4BB8">
        <w:rPr>
          <w:kern w:val="22"/>
          <w:lang w:val="fr-CA"/>
        </w:rPr>
        <w:t>yant un lien avec le</w:t>
      </w:r>
      <w:r w:rsidR="00D159A7" w:rsidRPr="001A4BB8">
        <w:rPr>
          <w:kern w:val="22"/>
          <w:lang w:val="fr-CA"/>
        </w:rPr>
        <w:t xml:space="preserve">s </w:t>
      </w:r>
      <w:r w:rsidRPr="001A4BB8">
        <w:rPr>
          <w:kern w:val="22"/>
          <w:lang w:val="fr-CA"/>
        </w:rPr>
        <w:t xml:space="preserve">politiques et les théories du changement, dans le sens des principes directeurs de la décision XIII/20. </w:t>
      </w:r>
      <w:r w:rsidR="00D159A7" w:rsidRPr="001A4BB8">
        <w:rPr>
          <w:kern w:val="22"/>
          <w:lang w:val="fr-CA"/>
        </w:rPr>
        <w:t xml:space="preserve">On peut affirmer avec certitude que tout nouveau développement dans la construction des méthodologies pour </w:t>
      </w:r>
      <w:r w:rsidR="001B7AE8">
        <w:rPr>
          <w:kern w:val="22"/>
          <w:lang w:val="fr-CA"/>
        </w:rPr>
        <w:t>évaluer</w:t>
      </w:r>
      <w:r w:rsidR="00D159A7" w:rsidRPr="001A4BB8">
        <w:rPr>
          <w:kern w:val="22"/>
          <w:lang w:val="fr-CA"/>
        </w:rPr>
        <w:t xml:space="preserve"> la contribution des mesures collectives doit reposer sur une série de</w:t>
      </w:r>
      <w:r w:rsidR="00F54A48">
        <w:rPr>
          <w:kern w:val="22"/>
          <w:lang w:val="fr-CA"/>
        </w:rPr>
        <w:t xml:space="preserve"> principes solides, bien établis</w:t>
      </w:r>
      <w:r w:rsidR="00D159A7" w:rsidRPr="001A4BB8">
        <w:rPr>
          <w:kern w:val="22"/>
          <w:lang w:val="fr-CA"/>
        </w:rPr>
        <w:t xml:space="preserve"> et largement acceptés.</w:t>
      </w:r>
    </w:p>
    <w:p w:rsidR="001B2423" w:rsidRPr="001A4BB8" w:rsidRDefault="00937C41" w:rsidP="005071BE">
      <w:pPr>
        <w:pStyle w:val="Para1"/>
        <w:tabs>
          <w:tab w:val="clear" w:pos="360"/>
        </w:tabs>
        <w:rPr>
          <w:i/>
          <w:kern w:val="22"/>
          <w:lang w:val="fr-CA"/>
        </w:rPr>
      </w:pPr>
      <w:r>
        <w:rPr>
          <w:kern w:val="22"/>
          <w:lang w:val="fr-CA"/>
        </w:rPr>
        <w:t>Plusieurs</w:t>
      </w:r>
      <w:r w:rsidR="00D159A7" w:rsidRPr="001A4BB8">
        <w:rPr>
          <w:kern w:val="22"/>
          <w:lang w:val="fr-CA"/>
        </w:rPr>
        <w:t xml:space="preserve"> points de vue </w:t>
      </w:r>
      <w:r>
        <w:rPr>
          <w:kern w:val="22"/>
          <w:lang w:val="fr-CA"/>
        </w:rPr>
        <w:t xml:space="preserve">portant sur </w:t>
      </w:r>
      <w:r w:rsidRPr="001A4BB8">
        <w:rPr>
          <w:kern w:val="22"/>
          <w:lang w:val="fr-CA"/>
        </w:rPr>
        <w:t>des contextes et des besoins spécifiques</w:t>
      </w:r>
      <w:r w:rsidR="00A02141">
        <w:rPr>
          <w:kern w:val="22"/>
          <w:lang w:val="fr-CA"/>
        </w:rPr>
        <w:t xml:space="preserve"> </w:t>
      </w:r>
      <w:r>
        <w:rPr>
          <w:kern w:val="22"/>
          <w:lang w:val="fr-CA"/>
        </w:rPr>
        <w:t>ont été exprimés au sujet des</w:t>
      </w:r>
      <w:r w:rsidR="00D159A7" w:rsidRPr="001A4BB8">
        <w:rPr>
          <w:kern w:val="22"/>
          <w:lang w:val="fr-CA"/>
        </w:rPr>
        <w:t xml:space="preserve"> él</w:t>
      </w:r>
      <w:r w:rsidR="00785F50" w:rsidRPr="001A4BB8">
        <w:rPr>
          <w:kern w:val="22"/>
          <w:lang w:val="fr-CA"/>
        </w:rPr>
        <w:t xml:space="preserve">éments méthodologiques. Cet aspect de l’évaluation est relié, en grande partie, aux travaux sur les indicateurs pour les Objectifs d’Aichi, notamment en ce qui a trait aux peuples autochtones et </w:t>
      </w:r>
      <w:r w:rsidR="00F54A48">
        <w:rPr>
          <w:kern w:val="22"/>
          <w:lang w:val="fr-CA"/>
        </w:rPr>
        <w:t>aux</w:t>
      </w:r>
      <w:r w:rsidR="00785F50" w:rsidRPr="001A4BB8">
        <w:rPr>
          <w:kern w:val="22"/>
          <w:lang w:val="fr-CA"/>
        </w:rPr>
        <w:t xml:space="preserve"> communautés locales, </w:t>
      </w:r>
      <w:r w:rsidR="00F54A48">
        <w:rPr>
          <w:kern w:val="22"/>
          <w:lang w:val="fr-CA"/>
        </w:rPr>
        <w:t>qui reconnaissent le</w:t>
      </w:r>
      <w:r w:rsidR="00785F50" w:rsidRPr="001A4BB8">
        <w:rPr>
          <w:kern w:val="22"/>
          <w:lang w:val="fr-CA"/>
        </w:rPr>
        <w:t xml:space="preserve"> besoin d’un système d’indicateurs par paliers</w:t>
      </w:r>
      <w:r w:rsidR="006618B8" w:rsidRPr="001A4BB8">
        <w:rPr>
          <w:kern w:val="22"/>
          <w:lang w:val="fr-CA"/>
        </w:rPr>
        <w:t xml:space="preserve"> </w:t>
      </w:r>
      <w:r w:rsidR="00F54A48">
        <w:rPr>
          <w:kern w:val="22"/>
          <w:lang w:val="fr-CA"/>
        </w:rPr>
        <w:t>comprenant</w:t>
      </w:r>
      <w:r w:rsidR="006618B8" w:rsidRPr="001A4BB8">
        <w:rPr>
          <w:kern w:val="22"/>
          <w:lang w:val="fr-CA"/>
        </w:rPr>
        <w:t xml:space="preserve"> un niveau élevé d’indicateurs </w:t>
      </w:r>
      <w:r w:rsidR="00F54A48">
        <w:rPr>
          <w:kern w:val="22"/>
          <w:lang w:val="fr-CA"/>
        </w:rPr>
        <w:t xml:space="preserve">globaux et des </w:t>
      </w:r>
      <w:r w:rsidR="006618B8" w:rsidRPr="001A4BB8">
        <w:rPr>
          <w:kern w:val="22"/>
          <w:lang w:val="fr-CA"/>
        </w:rPr>
        <w:t>indicateurs imbriqués qui descendent jusqu’au</w:t>
      </w:r>
      <w:r w:rsidR="00C50BA4">
        <w:rPr>
          <w:kern w:val="22"/>
          <w:lang w:val="fr-CA"/>
        </w:rPr>
        <w:t>x</w:t>
      </w:r>
      <w:r w:rsidR="006618B8" w:rsidRPr="001A4BB8">
        <w:rPr>
          <w:kern w:val="22"/>
          <w:lang w:val="fr-CA"/>
        </w:rPr>
        <w:t xml:space="preserve"> indicateurs propres au contexte. Les peuples autochtones et les communautés </w:t>
      </w:r>
      <w:r w:rsidR="00696A95">
        <w:rPr>
          <w:kern w:val="22"/>
          <w:lang w:val="fr-CA"/>
        </w:rPr>
        <w:t>locales, travaillant en</w:t>
      </w:r>
      <w:r w:rsidR="00FB361C" w:rsidRPr="001A4BB8">
        <w:rPr>
          <w:kern w:val="22"/>
          <w:lang w:val="fr-CA"/>
        </w:rPr>
        <w:t xml:space="preserve"> collaboration avec plusieurs institutions, ont fait un énorme travail de </w:t>
      </w:r>
      <w:r w:rsidR="006047F8">
        <w:rPr>
          <w:kern w:val="22"/>
          <w:lang w:val="fr-CA"/>
        </w:rPr>
        <w:t>définition</w:t>
      </w:r>
      <w:r w:rsidR="00FB361C" w:rsidRPr="001A4BB8">
        <w:rPr>
          <w:kern w:val="22"/>
          <w:lang w:val="fr-CA"/>
        </w:rPr>
        <w:t xml:space="preserve"> et de développement d’indicateurs propres à la culture de conservation et d’utilisation durable portant directement sur l’évaluation de leur contribution collective à la réalisation des </w:t>
      </w:r>
      <w:r w:rsidR="00696A95">
        <w:rPr>
          <w:kern w:val="22"/>
          <w:lang w:val="fr-CA"/>
        </w:rPr>
        <w:t>objectifs du Plan stratégique 2</w:t>
      </w:r>
      <w:r w:rsidR="00FB361C" w:rsidRPr="001A4BB8">
        <w:rPr>
          <w:kern w:val="22"/>
          <w:lang w:val="fr-CA"/>
        </w:rPr>
        <w:t>011-2020 po</w:t>
      </w:r>
      <w:r w:rsidR="00696A95">
        <w:rPr>
          <w:kern w:val="22"/>
          <w:lang w:val="fr-CA"/>
        </w:rPr>
        <w:t>ur la diversité biologique et d</w:t>
      </w:r>
      <w:r w:rsidR="00FB361C" w:rsidRPr="001A4BB8">
        <w:rPr>
          <w:kern w:val="22"/>
          <w:lang w:val="fr-CA"/>
        </w:rPr>
        <w:t xml:space="preserve">es Objectifs d’Aichi relatifs à la diversité biologique. </w:t>
      </w:r>
      <w:r w:rsidR="006047F8">
        <w:rPr>
          <w:kern w:val="22"/>
          <w:lang w:val="fr-CA"/>
        </w:rPr>
        <w:t>Cependant, comme</w:t>
      </w:r>
      <w:r w:rsidR="00FB361C" w:rsidRPr="001A4BB8">
        <w:rPr>
          <w:kern w:val="22"/>
          <w:lang w:val="fr-CA"/>
        </w:rPr>
        <w:t xml:space="preserve"> ces travaux sont en cours, comme indiqué ci-dessus, tout développement </w:t>
      </w:r>
      <w:r w:rsidR="00696A95">
        <w:rPr>
          <w:kern w:val="22"/>
          <w:lang w:val="fr-CA"/>
        </w:rPr>
        <w:t>dont fait l’objet le</w:t>
      </w:r>
      <w:r w:rsidR="00FB361C" w:rsidRPr="001A4BB8">
        <w:rPr>
          <w:kern w:val="22"/>
          <w:lang w:val="fr-CA"/>
        </w:rPr>
        <w:t xml:space="preserve"> cadre des indicateurs doit compléter et soutenir les approches pour l’évaluation des contributions des mesures collectives </w:t>
      </w:r>
      <w:r w:rsidR="00696A95">
        <w:rPr>
          <w:kern w:val="22"/>
          <w:lang w:val="fr-CA"/>
        </w:rPr>
        <w:t>des peuples autochtones et d</w:t>
      </w:r>
      <w:r w:rsidR="00FB361C" w:rsidRPr="001A4BB8">
        <w:rPr>
          <w:kern w:val="22"/>
          <w:lang w:val="fr-CA"/>
        </w:rPr>
        <w:t>es communautés locales.</w:t>
      </w:r>
    </w:p>
    <w:p w:rsidR="00EE5180" w:rsidRPr="00EB063C" w:rsidRDefault="0058401F" w:rsidP="00132DF3">
      <w:pPr>
        <w:pStyle w:val="Para1"/>
        <w:tabs>
          <w:tab w:val="clear" w:pos="360"/>
        </w:tabs>
        <w:rPr>
          <w:i/>
          <w:kern w:val="22"/>
          <w:lang w:val="fr-CA"/>
        </w:rPr>
      </w:pPr>
      <w:r w:rsidRPr="0058401F">
        <w:rPr>
          <w:rFonts w:eastAsia="MS Mincho"/>
          <w:kern w:val="22"/>
          <w:lang w:val="fr-CA"/>
        </w:rPr>
        <w:t xml:space="preserve">De </w:t>
      </w:r>
      <w:r w:rsidR="006047F8">
        <w:rPr>
          <w:rFonts w:eastAsia="MS Mincho"/>
          <w:kern w:val="22"/>
          <w:lang w:val="fr-CA"/>
        </w:rPr>
        <w:t xml:space="preserve">la </w:t>
      </w:r>
      <w:r w:rsidRPr="0058401F">
        <w:rPr>
          <w:rFonts w:eastAsia="MS Mincho"/>
          <w:kern w:val="22"/>
          <w:lang w:val="fr-CA"/>
        </w:rPr>
        <w:t>même</w:t>
      </w:r>
      <w:r w:rsidR="006047F8">
        <w:rPr>
          <w:rFonts w:eastAsia="MS Mincho"/>
          <w:kern w:val="22"/>
          <w:lang w:val="fr-CA"/>
        </w:rPr>
        <w:t xml:space="preserve"> façon</w:t>
      </w:r>
      <w:r w:rsidRPr="0058401F">
        <w:rPr>
          <w:rFonts w:eastAsia="MS Mincho"/>
          <w:kern w:val="22"/>
          <w:lang w:val="fr-CA"/>
        </w:rPr>
        <w:t xml:space="preserve">, des travaux importants </w:t>
      </w:r>
      <w:r>
        <w:rPr>
          <w:rFonts w:eastAsia="MS Mincho"/>
          <w:kern w:val="22"/>
          <w:lang w:val="fr-CA"/>
        </w:rPr>
        <w:t>son</w:t>
      </w:r>
      <w:r w:rsidRPr="0058401F">
        <w:rPr>
          <w:rFonts w:eastAsia="MS Mincho"/>
          <w:kern w:val="22"/>
          <w:lang w:val="fr-CA"/>
        </w:rPr>
        <w:t>t</w:t>
      </w:r>
      <w:r>
        <w:rPr>
          <w:rFonts w:eastAsia="MS Mincho"/>
          <w:kern w:val="22"/>
          <w:lang w:val="fr-CA"/>
        </w:rPr>
        <w:t xml:space="preserve"> </w:t>
      </w:r>
      <w:r w:rsidRPr="0058401F">
        <w:rPr>
          <w:rFonts w:eastAsia="MS Mincho"/>
          <w:kern w:val="22"/>
          <w:lang w:val="fr-CA"/>
        </w:rPr>
        <w:t xml:space="preserve">en cours, </w:t>
      </w:r>
      <w:r>
        <w:rPr>
          <w:rFonts w:eastAsia="MS Mincho"/>
          <w:kern w:val="22"/>
          <w:lang w:val="fr-CA"/>
        </w:rPr>
        <w:t>en lien avec</w:t>
      </w:r>
      <w:r w:rsidRPr="0058401F">
        <w:rPr>
          <w:rFonts w:eastAsia="MS Mincho"/>
          <w:kern w:val="22"/>
          <w:lang w:val="fr-CA"/>
        </w:rPr>
        <w:t xml:space="preserve"> l’évaluation des mesur</w:t>
      </w:r>
      <w:r w:rsidR="009D4A68">
        <w:rPr>
          <w:rFonts w:eastAsia="MS Mincho"/>
          <w:kern w:val="22"/>
          <w:lang w:val="fr-CA"/>
        </w:rPr>
        <w:t>es collectives</w:t>
      </w:r>
      <w:r w:rsidR="005018E4">
        <w:rPr>
          <w:rFonts w:eastAsia="MS Mincho"/>
          <w:kern w:val="22"/>
          <w:lang w:val="fr-CA"/>
        </w:rPr>
        <w:t xml:space="preserve"> qui se déroule</w:t>
      </w:r>
      <w:r w:rsidRPr="0058401F">
        <w:rPr>
          <w:rFonts w:eastAsia="MS Mincho"/>
          <w:kern w:val="22"/>
          <w:lang w:val="fr-CA"/>
        </w:rPr>
        <w:t xml:space="preserve"> au titre de </w:t>
      </w:r>
      <w:r w:rsidR="00340BFF">
        <w:rPr>
          <w:rFonts w:eastAsia="MS Mincho"/>
          <w:kern w:val="22"/>
          <w:lang w:val="fr-CA"/>
        </w:rPr>
        <w:t>la Plateforme intergouvernementale scientifique et politique sur la biodiversité et les services écosystémiques (la Plateforme)</w:t>
      </w:r>
      <w:r w:rsidRPr="0058401F">
        <w:rPr>
          <w:rFonts w:eastAsia="MS Mincho"/>
          <w:kern w:val="22"/>
          <w:lang w:val="fr-CA"/>
        </w:rPr>
        <w:t xml:space="preserve">, </w:t>
      </w:r>
      <w:r w:rsidR="005018E4">
        <w:rPr>
          <w:rFonts w:eastAsia="MS Mincho"/>
          <w:kern w:val="22"/>
          <w:lang w:val="fr-CA"/>
        </w:rPr>
        <w:t>sur des</w:t>
      </w:r>
      <w:r w:rsidRPr="0058401F">
        <w:rPr>
          <w:rFonts w:eastAsia="MS Mincho"/>
          <w:kern w:val="22"/>
          <w:lang w:val="fr-CA"/>
        </w:rPr>
        <w:t xml:space="preserve"> questions </w:t>
      </w:r>
      <w:r w:rsidR="00D76C5E">
        <w:rPr>
          <w:rFonts w:eastAsia="MS Mincho"/>
          <w:kern w:val="22"/>
          <w:lang w:val="fr-CA"/>
        </w:rPr>
        <w:t>touchant</w:t>
      </w:r>
      <w:r w:rsidRPr="0058401F">
        <w:rPr>
          <w:rFonts w:eastAsia="MS Mincho"/>
          <w:kern w:val="22"/>
          <w:lang w:val="fr-CA"/>
        </w:rPr>
        <w:t xml:space="preserve"> les </w:t>
      </w:r>
      <w:r>
        <w:rPr>
          <w:rFonts w:eastAsia="MS Mincho"/>
          <w:kern w:val="22"/>
          <w:lang w:val="fr-CA"/>
        </w:rPr>
        <w:t>façons de travailler avec les connaissances autochtones et locales,</w:t>
      </w:r>
      <w:r w:rsidR="00D76C5E">
        <w:rPr>
          <w:rFonts w:eastAsia="MS Mincho"/>
          <w:kern w:val="22"/>
          <w:lang w:val="fr-CA"/>
        </w:rPr>
        <w:t xml:space="preserve"> et la </w:t>
      </w:r>
      <w:r w:rsidR="009D4A68">
        <w:rPr>
          <w:rFonts w:eastAsia="MS Mincho"/>
          <w:kern w:val="22"/>
          <w:lang w:val="fr-CA"/>
        </w:rPr>
        <w:t>reconnaissance</w:t>
      </w:r>
      <w:r w:rsidR="00D76C5E">
        <w:rPr>
          <w:rFonts w:eastAsia="MS Mincho"/>
          <w:kern w:val="22"/>
          <w:lang w:val="fr-CA"/>
        </w:rPr>
        <w:t xml:space="preserve"> des nombreuses valeurs de la nature. </w:t>
      </w:r>
      <w:r w:rsidR="00D76C5E" w:rsidRPr="00D76C5E">
        <w:rPr>
          <w:rFonts w:eastAsia="MS Mincho"/>
          <w:kern w:val="22"/>
          <w:lang w:val="fr-CA"/>
        </w:rPr>
        <w:t>La cinq</w:t>
      </w:r>
      <w:r w:rsidR="00340BFF">
        <w:rPr>
          <w:rFonts w:eastAsia="MS Mincho"/>
          <w:kern w:val="22"/>
          <w:lang w:val="fr-CA"/>
        </w:rPr>
        <w:t>uième pl</w:t>
      </w:r>
      <w:r w:rsidR="00D76C5E" w:rsidRPr="00D76C5E">
        <w:rPr>
          <w:rFonts w:eastAsia="MS Mincho"/>
          <w:kern w:val="22"/>
          <w:lang w:val="fr-CA"/>
        </w:rPr>
        <w:t xml:space="preserve">énière de </w:t>
      </w:r>
      <w:r w:rsidR="00340BFF">
        <w:rPr>
          <w:rFonts w:eastAsia="MS Mincho"/>
          <w:kern w:val="22"/>
          <w:lang w:val="fr-CA"/>
        </w:rPr>
        <w:t>la Plateforme</w:t>
      </w:r>
      <w:r w:rsidR="00D76C5E" w:rsidRPr="00D76C5E">
        <w:rPr>
          <w:rFonts w:eastAsia="MS Mincho"/>
          <w:kern w:val="22"/>
          <w:lang w:val="fr-CA"/>
        </w:rPr>
        <w:t xml:space="preserve">, qui s’est déroulée en mars 2017, a adopté une </w:t>
      </w:r>
      <w:r w:rsidR="00D57692">
        <w:rPr>
          <w:rFonts w:eastAsia="MS Mincho"/>
          <w:kern w:val="22"/>
          <w:lang w:val="fr-CA"/>
        </w:rPr>
        <w:t>« Approche concernant la reconnaissance et l’utilisation des savoirs autochtones et locaux</w:t>
      </w:r>
      <w:r w:rsidR="00340BFF">
        <w:rPr>
          <w:rFonts w:eastAsia="MS Mincho"/>
          <w:kern w:val="22"/>
          <w:lang w:val="fr-CA"/>
        </w:rPr>
        <w:t> »</w:t>
      </w:r>
      <w:bookmarkStart w:id="2" w:name="_Ref499582989"/>
      <w:r w:rsidR="00340BFF">
        <w:rPr>
          <w:rFonts w:eastAsia="MS Mincho"/>
          <w:kern w:val="22"/>
          <w:lang w:val="fr-CA"/>
        </w:rPr>
        <w:t xml:space="preserve"> </w:t>
      </w:r>
      <w:r w:rsidR="00107667" w:rsidRPr="00EB063C">
        <w:rPr>
          <w:rStyle w:val="FootnoteReference"/>
          <w:rFonts w:eastAsia="MS Mincho"/>
          <w:kern w:val="22"/>
          <w:lang w:val="fr-CA"/>
        </w:rPr>
        <w:footnoteReference w:id="15"/>
      </w:r>
      <w:bookmarkEnd w:id="2"/>
      <w:r w:rsidR="009B33C6" w:rsidRPr="00D76C5E">
        <w:rPr>
          <w:rFonts w:eastAsia="MS Mincho"/>
          <w:kern w:val="22"/>
          <w:lang w:val="fr-CA"/>
        </w:rPr>
        <w:t xml:space="preserve"> </w:t>
      </w:r>
      <w:r w:rsidR="00340BFF">
        <w:rPr>
          <w:rFonts w:eastAsia="MS Mincho"/>
          <w:kern w:val="22"/>
          <w:lang w:val="fr-CA"/>
        </w:rPr>
        <w:t>qui contient de précieux éléments sur les concepts, les meilleures pratiques et les questions d’orientation p</w:t>
      </w:r>
      <w:r w:rsidR="005018E4">
        <w:rPr>
          <w:rFonts w:eastAsia="MS Mincho"/>
          <w:kern w:val="22"/>
          <w:lang w:val="fr-CA"/>
        </w:rPr>
        <w:t>our les évaluations. Par contre, c</w:t>
      </w:r>
      <w:r w:rsidR="00340BFF">
        <w:rPr>
          <w:rFonts w:eastAsia="MS Mincho"/>
          <w:kern w:val="22"/>
          <w:lang w:val="fr-CA"/>
        </w:rPr>
        <w:t>omme l’Approche n’a été adoptée que tout récemment, son application en est encore aux étapes initiales.</w:t>
      </w:r>
    </w:p>
    <w:p w:rsidR="00651D44" w:rsidRPr="00EB063C" w:rsidRDefault="00833969" w:rsidP="006A720D">
      <w:pPr>
        <w:pStyle w:val="Para1"/>
        <w:tabs>
          <w:tab w:val="clear" w:pos="360"/>
        </w:tabs>
        <w:rPr>
          <w:i/>
          <w:kern w:val="22"/>
          <w:lang w:val="fr-CA"/>
        </w:rPr>
      </w:pPr>
      <w:r>
        <w:rPr>
          <w:kern w:val="22"/>
          <w:lang w:val="fr-CA"/>
        </w:rPr>
        <w:t>La sous-section ci-dessous regroupe et systématise les principes et les éléments méthodologiques provenant de différentes sources importantes</w:t>
      </w:r>
      <w:r w:rsidR="00E63281" w:rsidRPr="00EB063C">
        <w:rPr>
          <w:kern w:val="22"/>
          <w:lang w:val="fr-CA"/>
        </w:rPr>
        <w:t>.</w:t>
      </w:r>
    </w:p>
    <w:p w:rsidR="006128A2" w:rsidRPr="00011ACC" w:rsidRDefault="00256384" w:rsidP="000F7AFB">
      <w:pPr>
        <w:pStyle w:val="Heading2"/>
        <w:tabs>
          <w:tab w:val="clear" w:pos="720"/>
        </w:tabs>
        <w:rPr>
          <w:i w:val="0"/>
          <w:snapToGrid w:val="0"/>
          <w:kern w:val="22"/>
          <w:szCs w:val="22"/>
          <w:lang w:val="fr-CA"/>
        </w:rPr>
      </w:pPr>
      <w:r w:rsidRPr="00132DF3">
        <w:rPr>
          <w:i w:val="0"/>
          <w:snapToGrid w:val="0"/>
          <w:kern w:val="22"/>
          <w:szCs w:val="22"/>
        </w:rPr>
        <w:lastRenderedPageBreak/>
        <w:t>A.</w:t>
      </w:r>
      <w:r w:rsidRPr="00132DF3">
        <w:rPr>
          <w:i w:val="0"/>
          <w:snapToGrid w:val="0"/>
          <w:kern w:val="22"/>
          <w:szCs w:val="22"/>
        </w:rPr>
        <w:tab/>
      </w:r>
      <w:r w:rsidR="00011ACC" w:rsidRPr="00011ACC">
        <w:rPr>
          <w:i w:val="0"/>
          <w:snapToGrid w:val="0"/>
          <w:kern w:val="22"/>
          <w:szCs w:val="22"/>
          <w:lang w:val="fr-CA"/>
        </w:rPr>
        <w:t>Principes directeurs</w:t>
      </w:r>
    </w:p>
    <w:p w:rsidR="009D4A68" w:rsidRPr="00A557E0" w:rsidRDefault="00011ACC" w:rsidP="00A557E0">
      <w:pPr>
        <w:pStyle w:val="Para1"/>
        <w:tabs>
          <w:tab w:val="clear" w:pos="360"/>
        </w:tabs>
        <w:rPr>
          <w:kern w:val="22"/>
          <w:szCs w:val="22"/>
          <w:lang w:val="fr-CA"/>
        </w:rPr>
      </w:pPr>
      <w:r>
        <w:rPr>
          <w:kern w:val="22"/>
          <w:szCs w:val="22"/>
          <w:lang w:val="fr-CA"/>
        </w:rPr>
        <w:t xml:space="preserve">Les sources indiquées à l’annexe </w:t>
      </w:r>
      <w:r w:rsidR="009D4A68">
        <w:rPr>
          <w:kern w:val="22"/>
          <w:szCs w:val="22"/>
          <w:lang w:val="fr-CA"/>
        </w:rPr>
        <w:t>à</w:t>
      </w:r>
      <w:r>
        <w:rPr>
          <w:kern w:val="22"/>
          <w:szCs w:val="22"/>
          <w:lang w:val="fr-CA"/>
        </w:rPr>
        <w:t xml:space="preserve"> la décision XIII/20 et autres approches pertinentes mettent de l’avant plusieurs principes qui </w:t>
      </w:r>
      <w:r w:rsidR="0077753F">
        <w:rPr>
          <w:kern w:val="22"/>
          <w:szCs w:val="22"/>
          <w:lang w:val="fr-CA"/>
        </w:rPr>
        <w:t>fournissent de l’information et orientent leur développement et leur application, ou qui sont proposés dans le contexte d’autres expériences. Le tableau ci-dessous propose une liste non exhaustive des séries de principes, par source</w:t>
      </w:r>
      <w:r w:rsidR="00C50BA4">
        <w:rPr>
          <w:kern w:val="22"/>
          <w:szCs w:val="22"/>
          <w:lang w:val="fr-CA"/>
        </w:rPr>
        <w:t> </w:t>
      </w:r>
      <w:r w:rsidR="00662E61" w:rsidRPr="00011ACC">
        <w:rPr>
          <w:kern w:val="22"/>
          <w:szCs w:val="22"/>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CA671B" w:rsidRPr="00011ACC" w:rsidTr="00132DF3">
        <w:trPr>
          <w:tblHeader/>
        </w:trPr>
        <w:tc>
          <w:tcPr>
            <w:tcW w:w="2376" w:type="dxa"/>
            <w:shd w:val="clear" w:color="auto" w:fill="auto"/>
          </w:tcPr>
          <w:p w:rsidR="005E1D29" w:rsidRPr="00011ACC" w:rsidRDefault="005E1D29" w:rsidP="00132DF3">
            <w:pPr>
              <w:spacing w:after="40"/>
              <w:jc w:val="center"/>
              <w:rPr>
                <w:rFonts w:eastAsia="Calibri"/>
                <w:b/>
                <w:snapToGrid w:val="0"/>
                <w:kern w:val="22"/>
                <w:szCs w:val="22"/>
                <w:lang w:val="fr-CA"/>
              </w:rPr>
            </w:pPr>
            <w:r w:rsidRPr="00011ACC">
              <w:rPr>
                <w:rFonts w:eastAsia="Calibri"/>
                <w:b/>
                <w:snapToGrid w:val="0"/>
                <w:kern w:val="22"/>
                <w:szCs w:val="22"/>
                <w:lang w:val="fr-CA"/>
              </w:rPr>
              <w:t>Source</w:t>
            </w:r>
          </w:p>
        </w:tc>
        <w:tc>
          <w:tcPr>
            <w:tcW w:w="6836" w:type="dxa"/>
            <w:shd w:val="clear" w:color="auto" w:fill="auto"/>
          </w:tcPr>
          <w:p w:rsidR="005E1D29" w:rsidRPr="00011ACC" w:rsidRDefault="0077753F" w:rsidP="00132DF3">
            <w:pPr>
              <w:spacing w:after="40"/>
              <w:jc w:val="center"/>
              <w:rPr>
                <w:rFonts w:eastAsia="Calibri"/>
                <w:b/>
                <w:snapToGrid w:val="0"/>
                <w:kern w:val="22"/>
                <w:szCs w:val="22"/>
                <w:lang w:val="fr-CA"/>
              </w:rPr>
            </w:pPr>
            <w:r>
              <w:rPr>
                <w:rFonts w:eastAsia="Calibri"/>
                <w:b/>
                <w:snapToGrid w:val="0"/>
                <w:kern w:val="22"/>
                <w:szCs w:val="22"/>
                <w:lang w:val="fr-CA"/>
              </w:rPr>
              <w:t>Principes</w:t>
            </w:r>
          </w:p>
        </w:tc>
      </w:tr>
      <w:tr w:rsidR="00CA671B" w:rsidRPr="000C7065" w:rsidTr="00A03CB3">
        <w:tc>
          <w:tcPr>
            <w:tcW w:w="2376" w:type="dxa"/>
            <w:shd w:val="clear" w:color="auto" w:fill="auto"/>
          </w:tcPr>
          <w:p w:rsidR="00EE5180" w:rsidRPr="00011ACC" w:rsidRDefault="00EE5180" w:rsidP="00132DF3">
            <w:pPr>
              <w:spacing w:after="40"/>
              <w:jc w:val="left"/>
              <w:rPr>
                <w:rFonts w:eastAsia="Calibri"/>
                <w:snapToGrid w:val="0"/>
                <w:kern w:val="22"/>
                <w:szCs w:val="22"/>
                <w:lang w:val="fr-CA"/>
              </w:rPr>
            </w:pPr>
            <w:r w:rsidRPr="006F379E">
              <w:rPr>
                <w:rFonts w:eastAsia="Calibri"/>
                <w:snapToGrid w:val="0"/>
                <w:kern w:val="22"/>
                <w:szCs w:val="22"/>
                <w:lang w:val="en-US"/>
              </w:rPr>
              <w:t>Community Conservation Resilience</w:t>
            </w:r>
            <w:r w:rsidRPr="00011ACC">
              <w:rPr>
                <w:rFonts w:eastAsia="Calibri"/>
                <w:snapToGrid w:val="0"/>
                <w:kern w:val="22"/>
                <w:szCs w:val="22"/>
                <w:lang w:val="fr-CA"/>
              </w:rPr>
              <w:t xml:space="preserve"> Initiative (CCRI)</w:t>
            </w:r>
            <w:r w:rsidR="001B0B4C" w:rsidRPr="00011ACC">
              <w:rPr>
                <w:rStyle w:val="FootnoteReference"/>
                <w:rFonts w:eastAsia="Calibri"/>
                <w:snapToGrid w:val="0"/>
                <w:kern w:val="22"/>
                <w:szCs w:val="22"/>
                <w:lang w:val="fr-CA"/>
              </w:rPr>
              <w:footnoteReference w:id="16"/>
            </w:r>
          </w:p>
        </w:tc>
        <w:tc>
          <w:tcPr>
            <w:tcW w:w="6836" w:type="dxa"/>
            <w:shd w:val="clear" w:color="auto" w:fill="auto"/>
          </w:tcPr>
          <w:p w:rsidR="00EE5180" w:rsidRPr="00011ACC" w:rsidRDefault="00E3076B"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77753F">
              <w:rPr>
                <w:rFonts w:eastAsia="MS Mincho"/>
                <w:snapToGrid w:val="0"/>
                <w:kern w:val="22"/>
                <w:szCs w:val="22"/>
                <w:lang w:val="fr-CA"/>
              </w:rPr>
              <w:t xml:space="preserve">Respect et </w:t>
            </w:r>
            <w:r w:rsidR="005018E4">
              <w:rPr>
                <w:rFonts w:eastAsia="MS Mincho"/>
                <w:snapToGrid w:val="0"/>
                <w:kern w:val="22"/>
                <w:szCs w:val="22"/>
                <w:lang w:val="fr-CA"/>
              </w:rPr>
              <w:t>matérialisation</w:t>
            </w:r>
            <w:r w:rsidR="0077753F">
              <w:rPr>
                <w:rFonts w:eastAsia="MS Mincho"/>
                <w:snapToGrid w:val="0"/>
                <w:kern w:val="22"/>
                <w:szCs w:val="22"/>
                <w:lang w:val="fr-CA"/>
              </w:rPr>
              <w:t xml:space="preserve"> des droits des peuples autochtones et des communautés locales, y compris le </w:t>
            </w:r>
            <w:r w:rsidR="000C715B">
              <w:rPr>
                <w:rFonts w:eastAsia="MS Mincho"/>
                <w:snapToGrid w:val="0"/>
                <w:kern w:val="22"/>
                <w:szCs w:val="22"/>
                <w:lang w:val="fr-CA"/>
              </w:rPr>
              <w:t>consentement préalable libre et éclairé</w:t>
            </w:r>
          </w:p>
          <w:p w:rsidR="00EE5180" w:rsidRPr="00011ACC" w:rsidRDefault="00E3076B"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EB0AFB">
              <w:rPr>
                <w:rFonts w:eastAsia="MS Mincho"/>
                <w:snapToGrid w:val="0"/>
                <w:kern w:val="22"/>
                <w:szCs w:val="22"/>
                <w:lang w:val="fr-CA"/>
              </w:rPr>
              <w:t>Droit de propriété</w:t>
            </w:r>
            <w:r w:rsidR="00AD66F7">
              <w:rPr>
                <w:rFonts w:eastAsia="MS Mincho"/>
                <w:snapToGrid w:val="0"/>
                <w:kern w:val="22"/>
                <w:szCs w:val="22"/>
                <w:lang w:val="fr-CA"/>
              </w:rPr>
              <w:t xml:space="preserve"> autochtone et communautaire : L</w:t>
            </w:r>
            <w:r w:rsidR="00EB0AFB">
              <w:rPr>
                <w:rFonts w:eastAsia="MS Mincho"/>
                <w:snapToGrid w:val="0"/>
                <w:kern w:val="22"/>
                <w:szCs w:val="22"/>
                <w:lang w:val="fr-CA"/>
              </w:rPr>
              <w:t xml:space="preserve">es processus et résultats souhaités des évaluations des </w:t>
            </w:r>
            <w:r w:rsidR="00AD66F7">
              <w:rPr>
                <w:rFonts w:eastAsia="MS Mincho"/>
                <w:snapToGrid w:val="0"/>
                <w:kern w:val="22"/>
                <w:szCs w:val="22"/>
                <w:lang w:val="fr-CA"/>
              </w:rPr>
              <w:t>mesures</w:t>
            </w:r>
            <w:r w:rsidR="00EB0AFB">
              <w:rPr>
                <w:rFonts w:eastAsia="MS Mincho"/>
                <w:snapToGrid w:val="0"/>
                <w:kern w:val="22"/>
                <w:szCs w:val="22"/>
                <w:lang w:val="fr-CA"/>
              </w:rPr>
              <w:t xml:space="preserve"> communautaires doivent être motivés et créés par les peuples autochtones et les communautés locales</w:t>
            </w:r>
          </w:p>
          <w:p w:rsidR="00EE5180" w:rsidRPr="00011ACC" w:rsidRDefault="00E3076B"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EB0AFB">
              <w:rPr>
                <w:rFonts w:eastAsia="MS Mincho"/>
                <w:snapToGrid w:val="0"/>
                <w:kern w:val="22"/>
                <w:szCs w:val="22"/>
                <w:lang w:val="fr-CA"/>
              </w:rPr>
              <w:t>Facilitation adaptative : La facilitation des évaluations des mesures collectives est fondée sur le respect, la réciprocité, l’équité, la sensibilité, la souplesse, la confiance et l’adaptabilité</w:t>
            </w:r>
          </w:p>
          <w:p w:rsidR="00EE5180" w:rsidRPr="00011ACC" w:rsidRDefault="00E3076B"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EB0AFB">
              <w:rPr>
                <w:rFonts w:eastAsia="MS Mincho"/>
                <w:snapToGrid w:val="0"/>
                <w:kern w:val="22"/>
                <w:szCs w:val="22"/>
                <w:lang w:val="fr-CA"/>
              </w:rPr>
              <w:t xml:space="preserve">Participation et représentation : Une participation </w:t>
            </w:r>
            <w:r w:rsidR="000C7065">
              <w:rPr>
                <w:rFonts w:eastAsia="MS Mincho"/>
                <w:snapToGrid w:val="0"/>
                <w:kern w:val="22"/>
                <w:szCs w:val="22"/>
                <w:lang w:val="fr-CA"/>
              </w:rPr>
              <w:t xml:space="preserve">valable et culturellement pertinente des représentants de tous les groupes sociaux (enfants, jeunes, femmes, hommes, </w:t>
            </w:r>
            <w:r w:rsidR="00AB57F7">
              <w:rPr>
                <w:rFonts w:eastAsia="MS Mincho"/>
                <w:snapToGrid w:val="0"/>
                <w:kern w:val="22"/>
                <w:szCs w:val="22"/>
                <w:lang w:val="fr-CA"/>
              </w:rPr>
              <w:t>aîné</w:t>
            </w:r>
            <w:r w:rsidR="000C7065">
              <w:rPr>
                <w:rFonts w:eastAsia="MS Mincho"/>
                <w:snapToGrid w:val="0"/>
                <w:kern w:val="22"/>
                <w:szCs w:val="22"/>
                <w:lang w:val="fr-CA"/>
              </w:rPr>
              <w:t>s, personnes ayant un handicap ou une maladie, minorités ethniques,</w:t>
            </w:r>
            <w:r w:rsidR="00C50BA4">
              <w:rPr>
                <w:rFonts w:eastAsia="MS Mincho"/>
                <w:snapToGrid w:val="0"/>
                <w:kern w:val="22"/>
                <w:szCs w:val="22"/>
                <w:lang w:val="fr-CA"/>
              </w:rPr>
              <w:t xml:space="preserve"> </w:t>
            </w:r>
            <w:r w:rsidR="000C7065">
              <w:rPr>
                <w:rFonts w:eastAsia="MS Mincho"/>
                <w:snapToGrid w:val="0"/>
                <w:kern w:val="22"/>
                <w:szCs w:val="22"/>
                <w:lang w:val="fr-CA"/>
              </w:rPr>
              <w:t>etc.) aux évaluations des mesures collectives</w:t>
            </w:r>
          </w:p>
          <w:p w:rsidR="00EE5180" w:rsidRPr="000C7065" w:rsidRDefault="00E3076B" w:rsidP="00AD66F7">
            <w:pPr>
              <w:spacing w:after="60"/>
              <w:jc w:val="left"/>
              <w:rPr>
                <w:rFonts w:eastAsia="MS Mincho"/>
                <w:snapToGrid w:val="0"/>
                <w:kern w:val="22"/>
                <w:szCs w:val="22"/>
                <w:lang w:val="fr-CA"/>
              </w:rPr>
            </w:pPr>
            <w:r w:rsidRPr="000C7065">
              <w:rPr>
                <w:rFonts w:eastAsia="MS Mincho"/>
                <w:snapToGrid w:val="0"/>
                <w:kern w:val="22"/>
                <w:szCs w:val="22"/>
                <w:lang w:val="fr-CA"/>
              </w:rPr>
              <w:t xml:space="preserve">- </w:t>
            </w:r>
            <w:r w:rsidR="000C7065" w:rsidRPr="000C7065">
              <w:rPr>
                <w:rFonts w:eastAsia="MS Mincho"/>
                <w:snapToGrid w:val="0"/>
                <w:kern w:val="22"/>
                <w:szCs w:val="22"/>
                <w:lang w:val="fr-CA"/>
              </w:rPr>
              <w:t>Femmes et genre :</w:t>
            </w:r>
            <w:r w:rsidR="00271EC7" w:rsidRPr="000C7065">
              <w:rPr>
                <w:rFonts w:eastAsia="MS Mincho"/>
                <w:snapToGrid w:val="0"/>
                <w:kern w:val="22"/>
                <w:szCs w:val="22"/>
                <w:lang w:val="fr-CA"/>
              </w:rPr>
              <w:t xml:space="preserve"> </w:t>
            </w:r>
            <w:r w:rsidR="000C7065" w:rsidRPr="000C7065">
              <w:rPr>
                <w:rFonts w:eastAsia="MS Mincho"/>
                <w:snapToGrid w:val="0"/>
                <w:kern w:val="22"/>
                <w:szCs w:val="22"/>
                <w:lang w:val="fr-CA"/>
              </w:rPr>
              <w:t xml:space="preserve">Comme les hommes et les femmes </w:t>
            </w:r>
            <w:r w:rsidR="00AD66F7">
              <w:rPr>
                <w:rFonts w:eastAsia="MS Mincho"/>
                <w:snapToGrid w:val="0"/>
                <w:kern w:val="22"/>
                <w:szCs w:val="22"/>
                <w:lang w:val="fr-CA"/>
              </w:rPr>
              <w:t>jouent</w:t>
            </w:r>
            <w:r w:rsidR="000C7065" w:rsidRPr="000C7065">
              <w:rPr>
                <w:rFonts w:eastAsia="MS Mincho"/>
                <w:snapToGrid w:val="0"/>
                <w:kern w:val="22"/>
                <w:szCs w:val="22"/>
                <w:lang w:val="fr-CA"/>
              </w:rPr>
              <w:t xml:space="preserve"> un r</w:t>
            </w:r>
            <w:r w:rsidR="000C7065">
              <w:rPr>
                <w:rFonts w:eastAsia="MS Mincho"/>
                <w:snapToGrid w:val="0"/>
                <w:kern w:val="22"/>
                <w:szCs w:val="22"/>
                <w:lang w:val="fr-CA"/>
              </w:rPr>
              <w:t>ôle différent, les évaluations communautaires des mesures collectives doivent avoir une dimension fondée sur le genre afin de mieux comprendre et soutenir ces rôles</w:t>
            </w:r>
          </w:p>
        </w:tc>
      </w:tr>
      <w:tr w:rsidR="00CA671B" w:rsidRPr="00011ACC" w:rsidTr="00A03CB3">
        <w:tc>
          <w:tcPr>
            <w:tcW w:w="2376" w:type="dxa"/>
            <w:shd w:val="clear" w:color="auto" w:fill="auto"/>
          </w:tcPr>
          <w:p w:rsidR="00EE5180" w:rsidRPr="00011ACC" w:rsidRDefault="000C7065" w:rsidP="00D11605">
            <w:pPr>
              <w:spacing w:after="40"/>
              <w:jc w:val="left"/>
              <w:rPr>
                <w:rFonts w:eastAsia="Calibri"/>
                <w:snapToGrid w:val="0"/>
                <w:kern w:val="22"/>
                <w:szCs w:val="22"/>
                <w:lang w:val="fr-CA"/>
              </w:rPr>
            </w:pPr>
            <w:r>
              <w:rPr>
                <w:rFonts w:eastAsia="Calibri"/>
                <w:snapToGrid w:val="0"/>
                <w:kern w:val="22"/>
                <w:szCs w:val="22"/>
                <w:lang w:val="fr-CA"/>
              </w:rPr>
              <w:t xml:space="preserve">Approche </w:t>
            </w:r>
            <w:r w:rsidR="00D11605">
              <w:rPr>
                <w:rFonts w:eastAsia="Calibri"/>
                <w:snapToGrid w:val="0"/>
                <w:kern w:val="22"/>
                <w:szCs w:val="22"/>
                <w:lang w:val="fr-CA"/>
              </w:rPr>
              <w:t>fondée sur d</w:t>
            </w:r>
            <w:r>
              <w:rPr>
                <w:rFonts w:eastAsia="Calibri"/>
                <w:snapToGrid w:val="0"/>
                <w:kern w:val="22"/>
                <w:szCs w:val="22"/>
                <w:lang w:val="fr-CA"/>
              </w:rPr>
              <w:t>es preuves</w:t>
            </w:r>
            <w:r w:rsidR="00D11605">
              <w:rPr>
                <w:rFonts w:eastAsia="Calibri"/>
                <w:snapToGrid w:val="0"/>
                <w:kern w:val="22"/>
                <w:szCs w:val="22"/>
                <w:lang w:val="fr-CA"/>
              </w:rPr>
              <w:t xml:space="preserve"> multiples</w:t>
            </w:r>
          </w:p>
        </w:tc>
        <w:tc>
          <w:tcPr>
            <w:tcW w:w="6836" w:type="dxa"/>
            <w:shd w:val="clear" w:color="auto" w:fill="auto"/>
          </w:tcPr>
          <w:p w:rsidR="00690781" w:rsidRPr="00011ACC" w:rsidRDefault="00E3076B"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D11605">
              <w:rPr>
                <w:rFonts w:eastAsia="MS Mincho"/>
                <w:snapToGrid w:val="0"/>
                <w:kern w:val="22"/>
                <w:szCs w:val="22"/>
                <w:lang w:val="fr-CA"/>
              </w:rPr>
              <w:t xml:space="preserve">Les systèmes de connaissances autochtones, locales et scientifiques sont différentes manifestations de systèmes de connaissances utiles et </w:t>
            </w:r>
            <w:r w:rsidR="008E3AAC">
              <w:rPr>
                <w:rFonts w:eastAsia="MS Mincho"/>
                <w:snapToGrid w:val="0"/>
                <w:kern w:val="22"/>
                <w:szCs w:val="22"/>
                <w:lang w:val="fr-CA"/>
              </w:rPr>
              <w:t>aussi valides les uns que les autres</w:t>
            </w:r>
            <w:r w:rsidR="00AD66F7">
              <w:rPr>
                <w:rFonts w:eastAsia="MS Mincho"/>
                <w:snapToGrid w:val="0"/>
                <w:kern w:val="22"/>
                <w:szCs w:val="22"/>
                <w:lang w:val="fr-CA"/>
              </w:rPr>
              <w:t>,</w:t>
            </w:r>
            <w:r w:rsidR="00D11605">
              <w:rPr>
                <w:rFonts w:eastAsia="MS Mincho"/>
                <w:snapToGrid w:val="0"/>
                <w:kern w:val="22"/>
                <w:szCs w:val="22"/>
                <w:lang w:val="fr-CA"/>
              </w:rPr>
              <w:t xml:space="preserve"> qui produisent des preuves complémentaires pour l’interprétation des conditions, des changements, des trajectoires et des relations de cause à effet en lien avec la gouvernance durable des écosystèmes et de la biodiversité. Il ne s’agit pas de «</w:t>
            </w:r>
            <w:r w:rsidR="00C50BA4">
              <w:rPr>
                <w:rFonts w:eastAsia="MS Mincho"/>
                <w:snapToGrid w:val="0"/>
                <w:kern w:val="22"/>
                <w:szCs w:val="22"/>
                <w:lang w:val="fr-CA"/>
              </w:rPr>
              <w:t> </w:t>
            </w:r>
            <w:r w:rsidR="00D11605">
              <w:rPr>
                <w:rFonts w:eastAsia="MS Mincho"/>
                <w:snapToGrid w:val="0"/>
                <w:kern w:val="22"/>
                <w:szCs w:val="22"/>
                <w:lang w:val="fr-CA"/>
              </w:rPr>
              <w:t>traduire les connaissances en science », mais plutôt de faire travailler les systèmes de connaissance</w:t>
            </w:r>
            <w:r w:rsidR="00B94188">
              <w:rPr>
                <w:rFonts w:eastAsia="MS Mincho"/>
                <w:snapToGrid w:val="0"/>
                <w:kern w:val="22"/>
                <w:szCs w:val="22"/>
                <w:lang w:val="fr-CA"/>
              </w:rPr>
              <w:t>s</w:t>
            </w:r>
            <w:r w:rsidR="00D11605">
              <w:rPr>
                <w:rFonts w:eastAsia="MS Mincho"/>
                <w:snapToGrid w:val="0"/>
                <w:kern w:val="22"/>
                <w:szCs w:val="22"/>
                <w:lang w:val="fr-CA"/>
              </w:rPr>
              <w:t xml:space="preserve"> ensemble, ou d’engager plusieurs systèmes de connaissances</w:t>
            </w:r>
            <w:r w:rsidR="00D11605" w:rsidRPr="00132DF3">
              <w:rPr>
                <w:rStyle w:val="FootnoteReference"/>
                <w:rFonts w:eastAsia="Calibri"/>
                <w:i/>
                <w:snapToGrid w:val="0"/>
                <w:kern w:val="22"/>
                <w:szCs w:val="22"/>
              </w:rPr>
              <w:footnoteReference w:id="17"/>
            </w:r>
            <w:r w:rsidR="00D11605">
              <w:rPr>
                <w:rFonts w:eastAsia="MS Mincho"/>
                <w:snapToGrid w:val="0"/>
                <w:kern w:val="22"/>
                <w:szCs w:val="22"/>
                <w:lang w:val="fr-CA"/>
              </w:rPr>
              <w:t xml:space="preserve"> afin de créer l</w:t>
            </w:r>
            <w:r w:rsidR="00AD66F7">
              <w:rPr>
                <w:rFonts w:eastAsia="MS Mincho"/>
                <w:snapToGrid w:val="0"/>
                <w:kern w:val="22"/>
                <w:szCs w:val="22"/>
                <w:lang w:val="fr-CA"/>
              </w:rPr>
              <w:t>a</w:t>
            </w:r>
            <w:r w:rsidR="00D11605">
              <w:rPr>
                <w:rFonts w:eastAsia="MS Mincho"/>
                <w:snapToGrid w:val="0"/>
                <w:kern w:val="22"/>
                <w:szCs w:val="22"/>
                <w:lang w:val="fr-CA"/>
              </w:rPr>
              <w:t xml:space="preserve"> meilleure base possible.</w:t>
            </w:r>
          </w:p>
          <w:p w:rsidR="004C4F42" w:rsidRPr="00011ACC" w:rsidRDefault="00690781"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8E3AAC">
              <w:rPr>
                <w:rFonts w:eastAsia="MS Mincho"/>
                <w:snapToGrid w:val="0"/>
                <w:kern w:val="22"/>
                <w:szCs w:val="22"/>
                <w:lang w:val="fr-CA"/>
              </w:rPr>
              <w:t>Reconnaître l’incommensurabilité des divers systèmes de connaissances et les problèmes souvent asymétriques qu’engendre le pouvoir lorsqu’on tente de relier différentes branches de la science à des systèmes de connaissances locaux</w:t>
            </w:r>
            <w:r w:rsidRPr="00011ACC">
              <w:rPr>
                <w:rStyle w:val="FootnoteReference"/>
                <w:rFonts w:eastAsia="Calibri"/>
                <w:snapToGrid w:val="0"/>
                <w:kern w:val="22"/>
                <w:szCs w:val="22"/>
                <w:lang w:val="fr-CA"/>
              </w:rPr>
              <w:footnoteReference w:id="18"/>
            </w:r>
          </w:p>
          <w:p w:rsidR="004C4F42" w:rsidRPr="00011ACC" w:rsidRDefault="004C4F42"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8E3AAC">
              <w:rPr>
                <w:rFonts w:eastAsia="MS Mincho"/>
                <w:snapToGrid w:val="0"/>
                <w:kern w:val="22"/>
                <w:szCs w:val="22"/>
                <w:lang w:val="fr-CA"/>
              </w:rPr>
              <w:t xml:space="preserve">Veiller à ce que les détenteurs du savoir obtiennent des résultats utiles du processus </w:t>
            </w:r>
            <w:r w:rsidR="00AD66F7">
              <w:rPr>
                <w:rFonts w:eastAsia="MS Mincho"/>
                <w:snapToGrid w:val="0"/>
                <w:kern w:val="22"/>
                <w:szCs w:val="22"/>
                <w:lang w:val="fr-CA"/>
              </w:rPr>
              <w:t>pour les</w:t>
            </w:r>
            <w:r w:rsidR="008E3AAC">
              <w:rPr>
                <w:rFonts w:eastAsia="MS Mincho"/>
                <w:snapToGrid w:val="0"/>
                <w:kern w:val="22"/>
                <w:szCs w:val="22"/>
                <w:lang w:val="fr-CA"/>
              </w:rPr>
              <w:t xml:space="preserve"> réalités de</w:t>
            </w:r>
            <w:r w:rsidR="00AD66F7">
              <w:rPr>
                <w:rFonts w:eastAsia="MS Mincho"/>
                <w:snapToGrid w:val="0"/>
                <w:kern w:val="22"/>
                <w:szCs w:val="22"/>
                <w:lang w:val="fr-CA"/>
              </w:rPr>
              <w:t xml:space="preserve"> leur</w:t>
            </w:r>
            <w:r w:rsidR="008E3AAC">
              <w:rPr>
                <w:rFonts w:eastAsia="MS Mincho"/>
                <w:snapToGrid w:val="0"/>
                <w:kern w:val="22"/>
                <w:szCs w:val="22"/>
                <w:lang w:val="fr-CA"/>
              </w:rPr>
              <w:t xml:space="preserve"> subsistance</w:t>
            </w:r>
            <w:r w:rsidRPr="00011ACC">
              <w:rPr>
                <w:rStyle w:val="FootnoteReference"/>
                <w:rFonts w:eastAsia="Calibri"/>
                <w:snapToGrid w:val="0"/>
                <w:kern w:val="22"/>
                <w:szCs w:val="22"/>
                <w:lang w:val="fr-CA"/>
              </w:rPr>
              <w:footnoteReference w:id="19"/>
            </w:r>
          </w:p>
          <w:p w:rsidR="004C4F42" w:rsidRPr="00F62E07" w:rsidRDefault="004C4F42"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8E3AAC">
              <w:rPr>
                <w:rFonts w:eastAsia="MS Mincho"/>
                <w:snapToGrid w:val="0"/>
                <w:kern w:val="22"/>
                <w:szCs w:val="22"/>
                <w:lang w:val="fr-CA"/>
              </w:rPr>
              <w:t xml:space="preserve">Participation fondée sur le consentement préalable </w:t>
            </w:r>
            <w:r w:rsidR="008E3AAC" w:rsidRPr="00F62E07">
              <w:rPr>
                <w:rFonts w:eastAsia="MS Mincho"/>
                <w:snapToGrid w:val="0"/>
                <w:kern w:val="22"/>
                <w:szCs w:val="22"/>
                <w:lang w:val="fr-CA"/>
              </w:rPr>
              <w:t>libre et éclairé</w:t>
            </w:r>
          </w:p>
          <w:p w:rsidR="00EE5180" w:rsidRPr="00011ACC" w:rsidRDefault="004C4F42" w:rsidP="008E3AAC">
            <w:pPr>
              <w:spacing w:after="60"/>
              <w:jc w:val="left"/>
              <w:rPr>
                <w:rFonts w:eastAsia="MS Mincho"/>
                <w:snapToGrid w:val="0"/>
                <w:kern w:val="22"/>
                <w:szCs w:val="22"/>
                <w:lang w:val="fr-CA"/>
              </w:rPr>
            </w:pPr>
            <w:r w:rsidRPr="00F62E07">
              <w:rPr>
                <w:rFonts w:eastAsia="MS Mincho"/>
                <w:snapToGrid w:val="0"/>
                <w:kern w:val="22"/>
                <w:szCs w:val="22"/>
                <w:lang w:val="fr-CA"/>
              </w:rPr>
              <w:t xml:space="preserve">- </w:t>
            </w:r>
            <w:r w:rsidR="008E3AAC" w:rsidRPr="00F62E07">
              <w:rPr>
                <w:rFonts w:eastAsia="MS Mincho"/>
                <w:snapToGrid w:val="0"/>
                <w:kern w:val="22"/>
                <w:szCs w:val="22"/>
                <w:lang w:val="fr-CA"/>
              </w:rPr>
              <w:t xml:space="preserve">Légitimité, crédibilité, transparence, réciprocité, utilité pour </w:t>
            </w:r>
            <w:r w:rsidR="008E3AAC" w:rsidRPr="00F62E07">
              <w:rPr>
                <w:snapToGrid w:val="0"/>
                <w:kern w:val="22"/>
                <w:szCs w:val="22"/>
                <w:lang w:val="fr-CA"/>
              </w:rPr>
              <w:t>toutes</w:t>
            </w:r>
            <w:r w:rsidR="008E3AAC" w:rsidRPr="00F62E07">
              <w:rPr>
                <w:rFonts w:eastAsia="MS Mincho"/>
                <w:snapToGrid w:val="0"/>
                <w:kern w:val="22"/>
                <w:szCs w:val="22"/>
                <w:lang w:val="fr-CA"/>
              </w:rPr>
              <w:t xml:space="preserve"> les </w:t>
            </w:r>
            <w:r w:rsidR="008E3AAC" w:rsidRPr="00F62E07">
              <w:rPr>
                <w:rFonts w:eastAsia="MS Mincho"/>
                <w:snapToGrid w:val="0"/>
                <w:kern w:val="22"/>
                <w:szCs w:val="22"/>
                <w:lang w:val="fr-CA"/>
              </w:rPr>
              <w:lastRenderedPageBreak/>
              <w:t>personnes en cause, confiance et équité en tant que principes de base des évaluations, reposant sur l’utilisation de codes de conduite éthiqu</w:t>
            </w:r>
            <w:r w:rsidR="008E3AAC">
              <w:rPr>
                <w:rFonts w:eastAsia="MS Mincho"/>
                <w:snapToGrid w:val="0"/>
                <w:kern w:val="22"/>
                <w:szCs w:val="22"/>
                <w:lang w:val="fr-CA"/>
              </w:rPr>
              <w:t>e</w:t>
            </w:r>
          </w:p>
        </w:tc>
      </w:tr>
      <w:tr w:rsidR="00CA671B" w:rsidRPr="00011ACC" w:rsidTr="00A03CB3">
        <w:tc>
          <w:tcPr>
            <w:tcW w:w="2376" w:type="dxa"/>
            <w:shd w:val="clear" w:color="auto" w:fill="auto"/>
          </w:tcPr>
          <w:p w:rsidR="00F04062" w:rsidRPr="00011ACC" w:rsidRDefault="008E3AAC" w:rsidP="0086643B">
            <w:pPr>
              <w:spacing w:after="40"/>
              <w:jc w:val="left"/>
              <w:rPr>
                <w:rFonts w:eastAsia="Calibri"/>
                <w:snapToGrid w:val="0"/>
                <w:kern w:val="22"/>
                <w:szCs w:val="22"/>
                <w:lang w:val="fr-CA"/>
              </w:rPr>
            </w:pPr>
            <w:r>
              <w:rPr>
                <w:rFonts w:eastAsia="Calibri"/>
                <w:snapToGrid w:val="0"/>
                <w:kern w:val="22"/>
                <w:szCs w:val="22"/>
                <w:lang w:val="fr-CA"/>
              </w:rPr>
              <w:lastRenderedPageBreak/>
              <w:t xml:space="preserve">Atelier </w:t>
            </w:r>
            <w:r w:rsidR="0086643B">
              <w:rPr>
                <w:rFonts w:eastAsia="Calibri"/>
                <w:snapToGrid w:val="0"/>
                <w:kern w:val="22"/>
                <w:szCs w:val="22"/>
                <w:lang w:val="fr-CA"/>
              </w:rPr>
              <w:t xml:space="preserve">de </w:t>
            </w:r>
            <w:r w:rsidR="007A7AF8" w:rsidRPr="00011ACC">
              <w:rPr>
                <w:rFonts w:eastAsia="Calibri"/>
                <w:snapToGrid w:val="0"/>
                <w:kern w:val="22"/>
                <w:szCs w:val="22"/>
                <w:lang w:val="fr-CA"/>
              </w:rPr>
              <w:t xml:space="preserve">Panajachel </w:t>
            </w:r>
            <w:r w:rsidR="007A7AF8" w:rsidRPr="00011ACC">
              <w:rPr>
                <w:rStyle w:val="FootnoteReference"/>
                <w:rFonts w:eastAsia="Calibri"/>
                <w:snapToGrid w:val="0"/>
                <w:kern w:val="22"/>
                <w:szCs w:val="22"/>
                <w:lang w:val="fr-CA"/>
              </w:rPr>
              <w:footnoteReference w:id="20"/>
            </w:r>
          </w:p>
        </w:tc>
        <w:tc>
          <w:tcPr>
            <w:tcW w:w="6836" w:type="dxa"/>
            <w:shd w:val="clear" w:color="auto" w:fill="auto"/>
          </w:tcPr>
          <w:p w:rsidR="00490F37" w:rsidRPr="0086643B" w:rsidRDefault="00933BAC" w:rsidP="00132DF3">
            <w:pPr>
              <w:spacing w:after="60"/>
              <w:jc w:val="left"/>
              <w:rPr>
                <w:rFonts w:eastAsia="MS Mincho"/>
                <w:snapToGrid w:val="0"/>
                <w:kern w:val="22"/>
                <w:szCs w:val="22"/>
                <w:lang w:val="fr-CA"/>
              </w:rPr>
            </w:pPr>
            <w:r w:rsidRPr="0086643B">
              <w:rPr>
                <w:rFonts w:eastAsia="MS Mincho"/>
                <w:snapToGrid w:val="0"/>
                <w:kern w:val="22"/>
                <w:szCs w:val="22"/>
                <w:lang w:val="fr-CA"/>
              </w:rPr>
              <w:t xml:space="preserve">- </w:t>
            </w:r>
            <w:r w:rsidR="0086643B" w:rsidRPr="0086643B">
              <w:rPr>
                <w:rFonts w:eastAsia="MS Mincho"/>
                <w:snapToGrid w:val="0"/>
                <w:kern w:val="22"/>
                <w:szCs w:val="22"/>
                <w:lang w:val="fr-CA"/>
              </w:rPr>
              <w:t xml:space="preserve">Coopération : </w:t>
            </w:r>
            <w:r w:rsidR="00F62E07">
              <w:rPr>
                <w:rFonts w:eastAsia="MS Mincho"/>
                <w:snapToGrid w:val="0"/>
                <w:kern w:val="22"/>
                <w:szCs w:val="22"/>
                <w:lang w:val="fr-CA"/>
              </w:rPr>
              <w:t>Collaborer activement</w:t>
            </w:r>
            <w:r w:rsidR="0086643B" w:rsidRPr="0086643B">
              <w:rPr>
                <w:rFonts w:eastAsia="MS Mincho"/>
                <w:snapToGrid w:val="0"/>
                <w:kern w:val="22"/>
                <w:szCs w:val="22"/>
                <w:lang w:val="fr-CA"/>
              </w:rPr>
              <w:t xml:space="preserve">, chercher les avantages pour le groupe et non seulement pour l’individu. L’unité et l’interdépendance ont </w:t>
            </w:r>
            <w:r w:rsidR="00F62E07">
              <w:rPr>
                <w:rFonts w:eastAsia="MS Mincho"/>
                <w:snapToGrid w:val="0"/>
                <w:kern w:val="22"/>
                <w:szCs w:val="22"/>
                <w:lang w:val="fr-CA"/>
              </w:rPr>
              <w:t>plus de valeur</w:t>
            </w:r>
            <w:r w:rsidR="0086643B" w:rsidRPr="0086643B">
              <w:rPr>
                <w:rFonts w:eastAsia="MS Mincho"/>
                <w:snapToGrid w:val="0"/>
                <w:kern w:val="22"/>
                <w:szCs w:val="22"/>
                <w:lang w:val="fr-CA"/>
              </w:rPr>
              <w:t xml:space="preserve"> que les </w:t>
            </w:r>
            <w:r w:rsidR="0086643B">
              <w:rPr>
                <w:rFonts w:eastAsia="MS Mincho"/>
                <w:snapToGrid w:val="0"/>
                <w:kern w:val="22"/>
                <w:szCs w:val="22"/>
                <w:lang w:val="fr-CA"/>
              </w:rPr>
              <w:t>diffé</w:t>
            </w:r>
            <w:r w:rsidR="0086643B" w:rsidRPr="0086643B">
              <w:rPr>
                <w:rFonts w:eastAsia="MS Mincho"/>
                <w:snapToGrid w:val="0"/>
                <w:kern w:val="22"/>
                <w:szCs w:val="22"/>
                <w:lang w:val="fr-CA"/>
              </w:rPr>
              <w:t xml:space="preserve">rences </w:t>
            </w:r>
            <w:r w:rsidR="0086643B">
              <w:rPr>
                <w:rFonts w:eastAsia="MS Mincho"/>
                <w:snapToGrid w:val="0"/>
                <w:kern w:val="22"/>
                <w:szCs w:val="22"/>
                <w:lang w:val="fr-CA"/>
              </w:rPr>
              <w:t xml:space="preserve">entre les </w:t>
            </w:r>
            <w:r w:rsidR="00F62E07">
              <w:rPr>
                <w:rFonts w:eastAsia="MS Mincho"/>
                <w:snapToGrid w:val="0"/>
                <w:kern w:val="22"/>
                <w:szCs w:val="22"/>
                <w:lang w:val="fr-CA"/>
              </w:rPr>
              <w:t>personnes</w:t>
            </w:r>
          </w:p>
          <w:p w:rsidR="00490F37" w:rsidRPr="0086643B" w:rsidRDefault="00933BAC" w:rsidP="00132DF3">
            <w:pPr>
              <w:spacing w:after="60"/>
              <w:jc w:val="left"/>
              <w:rPr>
                <w:rFonts w:eastAsia="MS Mincho"/>
                <w:snapToGrid w:val="0"/>
                <w:kern w:val="22"/>
                <w:szCs w:val="22"/>
                <w:lang w:val="fr-CA"/>
              </w:rPr>
            </w:pPr>
            <w:r w:rsidRPr="000B5584">
              <w:rPr>
                <w:rFonts w:eastAsia="MS Mincho"/>
                <w:snapToGrid w:val="0"/>
                <w:kern w:val="22"/>
                <w:szCs w:val="22"/>
                <w:lang w:val="fr-CA"/>
              </w:rPr>
              <w:t xml:space="preserve">- </w:t>
            </w:r>
            <w:r w:rsidR="0086643B">
              <w:rPr>
                <w:rFonts w:eastAsia="MS Mincho"/>
                <w:snapToGrid w:val="0"/>
                <w:kern w:val="22"/>
                <w:szCs w:val="22"/>
                <w:lang w:val="fr-CA"/>
              </w:rPr>
              <w:t xml:space="preserve">Vision à long terme : </w:t>
            </w:r>
            <w:r w:rsidR="000B5584">
              <w:rPr>
                <w:rFonts w:eastAsia="MS Mincho"/>
                <w:snapToGrid w:val="0"/>
                <w:kern w:val="22"/>
                <w:szCs w:val="22"/>
                <w:lang w:val="fr-CA"/>
              </w:rPr>
              <w:t>Engagement envers le processus et le groupe, le respect de la culture, les institutions traditionnelles et le droit coutumier</w:t>
            </w:r>
          </w:p>
          <w:p w:rsidR="00490F37" w:rsidRPr="0086643B" w:rsidRDefault="00933BAC" w:rsidP="00132DF3">
            <w:pPr>
              <w:spacing w:after="60"/>
              <w:jc w:val="left"/>
              <w:rPr>
                <w:rFonts w:eastAsia="MS Mincho"/>
                <w:snapToGrid w:val="0"/>
                <w:kern w:val="22"/>
                <w:szCs w:val="22"/>
                <w:lang w:val="fr-CA"/>
              </w:rPr>
            </w:pPr>
            <w:r w:rsidRPr="0086643B">
              <w:rPr>
                <w:rFonts w:eastAsia="MS Mincho"/>
                <w:snapToGrid w:val="0"/>
                <w:kern w:val="22"/>
                <w:szCs w:val="22"/>
                <w:lang w:val="fr-CA"/>
              </w:rPr>
              <w:t xml:space="preserve">- </w:t>
            </w:r>
            <w:r w:rsidR="000B5584">
              <w:rPr>
                <w:rFonts w:eastAsia="MS Mincho"/>
                <w:snapToGrid w:val="0"/>
                <w:kern w:val="22"/>
                <w:szCs w:val="22"/>
                <w:lang w:val="fr-CA"/>
              </w:rPr>
              <w:t>Volontaire et non coercitif, en appui à l’esprit de solidarité et d’empathie</w:t>
            </w:r>
          </w:p>
          <w:p w:rsidR="00490F37" w:rsidRPr="0086643B" w:rsidRDefault="00933BAC" w:rsidP="00132DF3">
            <w:pPr>
              <w:spacing w:after="60"/>
              <w:jc w:val="left"/>
              <w:rPr>
                <w:rFonts w:eastAsia="MS Mincho"/>
                <w:snapToGrid w:val="0"/>
                <w:kern w:val="22"/>
                <w:szCs w:val="22"/>
                <w:lang w:val="fr-CA"/>
              </w:rPr>
            </w:pPr>
            <w:r w:rsidRPr="0086643B">
              <w:rPr>
                <w:rFonts w:eastAsia="MS Mincho"/>
                <w:snapToGrid w:val="0"/>
                <w:kern w:val="22"/>
                <w:szCs w:val="22"/>
                <w:lang w:val="fr-CA"/>
              </w:rPr>
              <w:t xml:space="preserve">- </w:t>
            </w:r>
            <w:r w:rsidR="000B5584">
              <w:rPr>
                <w:rFonts w:eastAsia="MS Mincho"/>
                <w:snapToGrid w:val="0"/>
                <w:kern w:val="22"/>
                <w:szCs w:val="22"/>
                <w:lang w:val="fr-CA"/>
              </w:rPr>
              <w:t xml:space="preserve">Bénéfique et </w:t>
            </w:r>
            <w:r w:rsidR="00F62E07">
              <w:rPr>
                <w:rFonts w:eastAsia="MS Mincho"/>
                <w:snapToGrid w:val="0"/>
                <w:kern w:val="22"/>
                <w:szCs w:val="22"/>
                <w:lang w:val="fr-CA"/>
              </w:rPr>
              <w:t>enrichissant</w:t>
            </w:r>
            <w:r w:rsidR="000B5584">
              <w:rPr>
                <w:rFonts w:eastAsia="MS Mincho"/>
                <w:snapToGrid w:val="0"/>
                <w:kern w:val="22"/>
                <w:szCs w:val="22"/>
                <w:lang w:val="fr-CA"/>
              </w:rPr>
              <w:t xml:space="preserve"> en soi</w:t>
            </w:r>
          </w:p>
          <w:p w:rsidR="00490F37" w:rsidRPr="00011ACC" w:rsidRDefault="00490F37" w:rsidP="00132DF3">
            <w:pPr>
              <w:spacing w:after="60"/>
              <w:jc w:val="left"/>
              <w:rPr>
                <w:rFonts w:eastAsia="MS Mincho"/>
                <w:snapToGrid w:val="0"/>
                <w:kern w:val="22"/>
                <w:szCs w:val="22"/>
                <w:lang w:val="fr-CA"/>
              </w:rPr>
            </w:pPr>
            <w:r w:rsidRPr="0086643B">
              <w:rPr>
                <w:rFonts w:eastAsia="MS Mincho"/>
                <w:snapToGrid w:val="0"/>
                <w:kern w:val="22"/>
                <w:szCs w:val="22"/>
                <w:lang w:val="fr-CA"/>
              </w:rPr>
              <w:t>-</w:t>
            </w:r>
            <w:r w:rsidR="00933BAC" w:rsidRPr="0086643B">
              <w:rPr>
                <w:rFonts w:eastAsia="MS Mincho"/>
                <w:snapToGrid w:val="0"/>
                <w:kern w:val="22"/>
                <w:szCs w:val="22"/>
                <w:lang w:val="fr-CA"/>
              </w:rPr>
              <w:t xml:space="preserve"> </w:t>
            </w:r>
            <w:r w:rsidR="000B5584">
              <w:rPr>
                <w:rFonts w:eastAsia="MS Mincho"/>
                <w:snapToGrid w:val="0"/>
                <w:kern w:val="22"/>
                <w:szCs w:val="22"/>
                <w:lang w:val="fr-CA"/>
              </w:rPr>
              <w:t>Les femmes jouent un rôle important dans</w:t>
            </w:r>
            <w:r w:rsidR="00940293">
              <w:rPr>
                <w:rFonts w:eastAsia="MS Mincho"/>
                <w:snapToGrid w:val="0"/>
                <w:kern w:val="22"/>
                <w:szCs w:val="22"/>
                <w:lang w:val="fr-CA"/>
              </w:rPr>
              <w:t xml:space="preserve"> </w:t>
            </w:r>
            <w:r w:rsidR="000B5584">
              <w:rPr>
                <w:rFonts w:eastAsia="MS Mincho"/>
                <w:snapToGrid w:val="0"/>
                <w:kern w:val="22"/>
                <w:szCs w:val="22"/>
                <w:lang w:val="fr-CA"/>
              </w:rPr>
              <w:t>les mesures collectives et le maintien et la promotion des valeurs communautaires telles que la solidarité, la réciprocité et prendre soin des autres</w:t>
            </w:r>
          </w:p>
          <w:p w:rsidR="00F04062" w:rsidRPr="00011ACC" w:rsidRDefault="00490F37" w:rsidP="00F62E07">
            <w:pPr>
              <w:spacing w:after="60"/>
              <w:jc w:val="left"/>
              <w:rPr>
                <w:rFonts w:eastAsia="MS Mincho"/>
                <w:snapToGrid w:val="0"/>
                <w:kern w:val="22"/>
                <w:szCs w:val="22"/>
                <w:lang w:val="fr-CA"/>
              </w:rPr>
            </w:pPr>
            <w:r w:rsidRPr="00011ACC">
              <w:rPr>
                <w:rFonts w:eastAsia="MS Mincho"/>
                <w:snapToGrid w:val="0"/>
                <w:kern w:val="22"/>
                <w:szCs w:val="22"/>
                <w:lang w:val="fr-CA"/>
              </w:rPr>
              <w:t>-</w:t>
            </w:r>
            <w:r w:rsidR="00933BAC" w:rsidRPr="00011ACC">
              <w:rPr>
                <w:rFonts w:eastAsia="MS Mincho"/>
                <w:snapToGrid w:val="0"/>
                <w:kern w:val="22"/>
                <w:szCs w:val="22"/>
                <w:lang w:val="fr-CA"/>
              </w:rPr>
              <w:t xml:space="preserve"> </w:t>
            </w:r>
            <w:r w:rsidR="00940293">
              <w:rPr>
                <w:rFonts w:eastAsia="MS Mincho"/>
                <w:snapToGrid w:val="0"/>
                <w:kern w:val="22"/>
                <w:szCs w:val="22"/>
                <w:lang w:val="fr-CA"/>
              </w:rPr>
              <w:t>Droit de propriété : À qui s’adresse l’évaluation</w:t>
            </w:r>
            <w:r w:rsidR="00C50BA4">
              <w:rPr>
                <w:rFonts w:eastAsia="MS Mincho"/>
                <w:snapToGrid w:val="0"/>
                <w:kern w:val="22"/>
                <w:szCs w:val="22"/>
                <w:lang w:val="fr-CA"/>
              </w:rPr>
              <w:t> </w:t>
            </w:r>
            <w:r w:rsidR="00940293">
              <w:rPr>
                <w:rFonts w:eastAsia="MS Mincho"/>
                <w:snapToGrid w:val="0"/>
                <w:kern w:val="22"/>
                <w:szCs w:val="22"/>
                <w:lang w:val="fr-CA"/>
              </w:rPr>
              <w:t>? Qui la réalise</w:t>
            </w:r>
            <w:r w:rsidR="00C50BA4">
              <w:rPr>
                <w:rFonts w:eastAsia="MS Mincho"/>
                <w:snapToGrid w:val="0"/>
                <w:kern w:val="22"/>
                <w:szCs w:val="22"/>
                <w:lang w:val="fr-CA"/>
              </w:rPr>
              <w:t> </w:t>
            </w:r>
            <w:r w:rsidR="00940293">
              <w:rPr>
                <w:rFonts w:eastAsia="MS Mincho"/>
                <w:snapToGrid w:val="0"/>
                <w:kern w:val="22"/>
                <w:szCs w:val="22"/>
                <w:lang w:val="fr-CA"/>
              </w:rPr>
              <w:t>? Comment est-</w:t>
            </w:r>
            <w:r w:rsidR="00F62E07">
              <w:rPr>
                <w:rFonts w:eastAsia="MS Mincho"/>
                <w:snapToGrid w:val="0"/>
                <w:kern w:val="22"/>
                <w:szCs w:val="22"/>
                <w:lang w:val="fr-CA"/>
              </w:rPr>
              <w:t>elle menée</w:t>
            </w:r>
            <w:r w:rsidR="00C50BA4">
              <w:rPr>
                <w:rFonts w:eastAsia="MS Mincho"/>
                <w:snapToGrid w:val="0"/>
                <w:kern w:val="22"/>
                <w:szCs w:val="22"/>
                <w:lang w:val="fr-CA"/>
              </w:rPr>
              <w:t> </w:t>
            </w:r>
            <w:r w:rsidR="00940293">
              <w:rPr>
                <w:rFonts w:eastAsia="MS Mincho"/>
                <w:snapToGrid w:val="0"/>
                <w:kern w:val="22"/>
                <w:szCs w:val="22"/>
                <w:lang w:val="fr-CA"/>
              </w:rPr>
              <w:t>? Quel sera le résultat ultime des évaluations des mesures collectives pour les systèmes et écosystèmes communautaires locaux</w:t>
            </w:r>
            <w:r w:rsidR="00C50BA4">
              <w:rPr>
                <w:rFonts w:eastAsia="MS Mincho"/>
                <w:snapToGrid w:val="0"/>
                <w:kern w:val="22"/>
                <w:szCs w:val="22"/>
                <w:lang w:val="fr-CA"/>
              </w:rPr>
              <w:t> </w:t>
            </w:r>
            <w:r w:rsidRPr="00011ACC">
              <w:rPr>
                <w:rFonts w:eastAsia="MS Mincho"/>
                <w:snapToGrid w:val="0"/>
                <w:kern w:val="22"/>
                <w:szCs w:val="22"/>
                <w:lang w:val="fr-CA"/>
              </w:rPr>
              <w:t>?</w:t>
            </w:r>
          </w:p>
        </w:tc>
      </w:tr>
      <w:tr w:rsidR="00CA671B" w:rsidRPr="00011ACC" w:rsidTr="00A03CB3">
        <w:tc>
          <w:tcPr>
            <w:tcW w:w="2376" w:type="dxa"/>
            <w:shd w:val="clear" w:color="auto" w:fill="auto"/>
          </w:tcPr>
          <w:p w:rsidR="00734DF0" w:rsidRPr="00011ACC" w:rsidRDefault="00940293" w:rsidP="00132DF3">
            <w:pPr>
              <w:spacing w:after="40"/>
              <w:jc w:val="left"/>
              <w:rPr>
                <w:rFonts w:eastAsia="Calibri"/>
                <w:snapToGrid w:val="0"/>
                <w:kern w:val="22"/>
                <w:szCs w:val="22"/>
                <w:lang w:val="fr-CA"/>
              </w:rPr>
            </w:pPr>
            <w:r>
              <w:rPr>
                <w:rFonts w:eastAsia="Calibri"/>
                <w:snapToGrid w:val="0"/>
                <w:kern w:val="22"/>
                <w:szCs w:val="22"/>
                <w:lang w:val="fr-CA"/>
              </w:rPr>
              <w:t>Systèmes de suivi et d’information communautaires</w:t>
            </w:r>
            <w:r w:rsidR="00734DF0" w:rsidRPr="00011ACC">
              <w:rPr>
                <w:rStyle w:val="FootnoteReference"/>
                <w:rFonts w:eastAsia="Calibri"/>
                <w:snapToGrid w:val="0"/>
                <w:kern w:val="22"/>
                <w:szCs w:val="22"/>
                <w:lang w:val="fr-CA"/>
              </w:rPr>
              <w:footnoteReference w:id="21"/>
            </w:r>
          </w:p>
        </w:tc>
        <w:tc>
          <w:tcPr>
            <w:tcW w:w="6836" w:type="dxa"/>
            <w:shd w:val="clear" w:color="auto" w:fill="auto"/>
          </w:tcPr>
          <w:p w:rsidR="00C17728" w:rsidRPr="00011ACC" w:rsidRDefault="00C17728"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940293">
              <w:rPr>
                <w:rFonts w:eastAsia="MS Mincho"/>
                <w:snapToGrid w:val="0"/>
                <w:kern w:val="22"/>
                <w:szCs w:val="22"/>
                <w:lang w:val="fr-CA"/>
              </w:rPr>
              <w:t>Le droit aux terres, aux territoires</w:t>
            </w:r>
            <w:r w:rsidR="00F62E07">
              <w:rPr>
                <w:rFonts w:eastAsia="MS Mincho"/>
                <w:snapToGrid w:val="0"/>
                <w:kern w:val="22"/>
                <w:szCs w:val="22"/>
                <w:lang w:val="fr-CA"/>
              </w:rPr>
              <w:t xml:space="preserve"> et aux ressources est respecté, p</w:t>
            </w:r>
            <w:r w:rsidR="00940293">
              <w:rPr>
                <w:rFonts w:eastAsia="MS Mincho"/>
                <w:snapToGrid w:val="0"/>
                <w:kern w:val="22"/>
                <w:szCs w:val="22"/>
                <w:lang w:val="fr-CA"/>
              </w:rPr>
              <w:t>rotégé et réalisé</w:t>
            </w:r>
          </w:p>
          <w:p w:rsidR="00C17728" w:rsidRPr="00011ACC" w:rsidRDefault="00C17728"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940293">
              <w:rPr>
                <w:rFonts w:eastAsia="MS Mincho"/>
                <w:snapToGrid w:val="0"/>
                <w:kern w:val="22"/>
                <w:szCs w:val="22"/>
                <w:lang w:val="fr-CA"/>
              </w:rPr>
              <w:t>Consentement préalable libre et éclairé</w:t>
            </w:r>
          </w:p>
          <w:p w:rsidR="00C17728" w:rsidRPr="00011ACC" w:rsidRDefault="00C17728"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940293">
              <w:rPr>
                <w:rFonts w:eastAsia="MS Mincho"/>
                <w:snapToGrid w:val="0"/>
                <w:kern w:val="22"/>
                <w:szCs w:val="22"/>
                <w:lang w:val="fr-CA"/>
              </w:rPr>
              <w:t>Respect, préservation, maintien des connaissances traditionnel</w:t>
            </w:r>
            <w:r w:rsidR="00BC6F3C">
              <w:rPr>
                <w:rFonts w:eastAsia="MS Mincho"/>
                <w:snapToGrid w:val="0"/>
                <w:kern w:val="22"/>
                <w:szCs w:val="22"/>
                <w:lang w:val="fr-CA"/>
              </w:rPr>
              <w:t>les, des inno</w:t>
            </w:r>
            <w:r w:rsidR="00940293">
              <w:rPr>
                <w:rFonts w:eastAsia="MS Mincho"/>
                <w:snapToGrid w:val="0"/>
                <w:kern w:val="22"/>
                <w:szCs w:val="22"/>
                <w:lang w:val="fr-CA"/>
              </w:rPr>
              <w:t>vations et des pratiques</w:t>
            </w:r>
          </w:p>
          <w:p w:rsidR="00C17728" w:rsidRPr="00011ACC" w:rsidRDefault="00C17728"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BC6F3C">
              <w:rPr>
                <w:rFonts w:eastAsia="MS Mincho"/>
                <w:snapToGrid w:val="0"/>
                <w:kern w:val="22"/>
                <w:szCs w:val="22"/>
                <w:lang w:val="fr-CA"/>
              </w:rPr>
              <w:t xml:space="preserve">Assurance de la sécurité des métiers et </w:t>
            </w:r>
            <w:r w:rsidR="00831156">
              <w:rPr>
                <w:rFonts w:eastAsia="MS Mincho"/>
                <w:snapToGrid w:val="0"/>
                <w:kern w:val="22"/>
                <w:szCs w:val="22"/>
                <w:lang w:val="fr-CA"/>
              </w:rPr>
              <w:t xml:space="preserve">des </w:t>
            </w:r>
            <w:r w:rsidR="00BC6F3C">
              <w:rPr>
                <w:rFonts w:eastAsia="MS Mincho"/>
                <w:snapToGrid w:val="0"/>
                <w:kern w:val="22"/>
                <w:szCs w:val="22"/>
                <w:lang w:val="fr-CA"/>
              </w:rPr>
              <w:t>modes de subsistance traditionnels</w:t>
            </w:r>
          </w:p>
          <w:p w:rsidR="00C17728" w:rsidRPr="00011ACC" w:rsidRDefault="00C17728"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BC6F3C">
              <w:rPr>
                <w:rFonts w:eastAsia="MS Mincho"/>
                <w:snapToGrid w:val="0"/>
                <w:kern w:val="22"/>
                <w:szCs w:val="22"/>
                <w:lang w:val="fr-CA"/>
              </w:rPr>
              <w:t>Gouvernance coutumière</w:t>
            </w:r>
          </w:p>
          <w:p w:rsidR="00C17728" w:rsidRPr="00011ACC" w:rsidRDefault="00C17728"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BC6F3C">
              <w:rPr>
                <w:rFonts w:eastAsia="MS Mincho"/>
                <w:snapToGrid w:val="0"/>
                <w:kern w:val="22"/>
                <w:szCs w:val="22"/>
                <w:lang w:val="fr-CA"/>
              </w:rPr>
              <w:t>Partage des avantages</w:t>
            </w:r>
          </w:p>
          <w:p w:rsidR="003F227C" w:rsidRPr="00A557E0" w:rsidRDefault="00A80456" w:rsidP="00E1780B">
            <w:pPr>
              <w:spacing w:after="60"/>
              <w:jc w:val="left"/>
              <w:rPr>
                <w:rFonts w:eastAsia="MS Mincho"/>
                <w:szCs w:val="22"/>
                <w:lang w:val="fr-CA"/>
              </w:rPr>
            </w:pPr>
            <w:r w:rsidRPr="00011ACC">
              <w:rPr>
                <w:rFonts w:eastAsia="MS Mincho"/>
                <w:snapToGrid w:val="0"/>
                <w:kern w:val="22"/>
                <w:szCs w:val="22"/>
                <w:lang w:val="fr-CA"/>
              </w:rPr>
              <w:t xml:space="preserve">- </w:t>
            </w:r>
            <w:r w:rsidR="00BC6F3C">
              <w:rPr>
                <w:rFonts w:eastAsia="MS Mincho"/>
                <w:snapToGrid w:val="0"/>
                <w:kern w:val="22"/>
                <w:szCs w:val="22"/>
                <w:lang w:val="fr-CA"/>
              </w:rPr>
              <w:t xml:space="preserve">Dimension de genre et intergénérationnelle : Assurer la participation entière et efficace des femmes, des jeunes et des </w:t>
            </w:r>
            <w:r w:rsidR="00AB57F7">
              <w:rPr>
                <w:rFonts w:eastAsia="MS Mincho"/>
                <w:snapToGrid w:val="0"/>
                <w:kern w:val="22"/>
                <w:szCs w:val="22"/>
                <w:lang w:val="fr-CA"/>
              </w:rPr>
              <w:t>aîné</w:t>
            </w:r>
            <w:r w:rsidR="00BC6F3C">
              <w:rPr>
                <w:rFonts w:eastAsia="MS Mincho"/>
                <w:snapToGrid w:val="0"/>
                <w:kern w:val="22"/>
                <w:szCs w:val="22"/>
                <w:lang w:val="fr-CA"/>
              </w:rPr>
              <w:t>s à toutes les étapes</w:t>
            </w:r>
          </w:p>
        </w:tc>
      </w:tr>
      <w:tr w:rsidR="00CA671B" w:rsidRPr="00011ACC" w:rsidTr="00132DF3">
        <w:trPr>
          <w:cantSplit/>
        </w:trPr>
        <w:tc>
          <w:tcPr>
            <w:tcW w:w="2376" w:type="dxa"/>
            <w:shd w:val="clear" w:color="auto" w:fill="auto"/>
          </w:tcPr>
          <w:p w:rsidR="00AA1C7C" w:rsidRPr="00011ACC" w:rsidRDefault="00BC6F3C" w:rsidP="00831156">
            <w:pPr>
              <w:spacing w:after="40"/>
              <w:jc w:val="left"/>
              <w:rPr>
                <w:rFonts w:eastAsia="Calibri"/>
                <w:snapToGrid w:val="0"/>
                <w:kern w:val="22"/>
                <w:szCs w:val="22"/>
                <w:lang w:val="fr-CA"/>
              </w:rPr>
            </w:pPr>
            <w:bookmarkStart w:id="3" w:name="_Ref499583583"/>
            <w:r>
              <w:rPr>
                <w:rFonts w:eastAsia="Calibri"/>
                <w:snapToGrid w:val="0"/>
                <w:kern w:val="22"/>
                <w:szCs w:val="22"/>
                <w:lang w:val="fr-CA"/>
              </w:rPr>
              <w:t xml:space="preserve">Bolivie et cadre conceptuel et méthodologique </w:t>
            </w:r>
            <w:r w:rsidR="005768FC">
              <w:rPr>
                <w:rFonts w:eastAsia="Calibri"/>
                <w:snapToGrid w:val="0"/>
                <w:kern w:val="22"/>
                <w:szCs w:val="22"/>
                <w:lang w:val="fr-CA"/>
              </w:rPr>
              <w:t>de l’OCTA</w:t>
            </w:r>
            <w:r>
              <w:rPr>
                <w:rFonts w:eastAsia="Calibri"/>
                <w:snapToGrid w:val="0"/>
                <w:kern w:val="22"/>
                <w:szCs w:val="22"/>
                <w:lang w:val="fr-CA"/>
              </w:rPr>
              <w:t xml:space="preserve"> pour évaluer la contribution des mesures collectives à la conservation de la diversité biologique</w:t>
            </w:r>
            <w:r w:rsidR="00592F99" w:rsidRPr="00011ACC">
              <w:rPr>
                <w:rStyle w:val="FootnoteReference"/>
                <w:rFonts w:eastAsia="Calibri"/>
                <w:snapToGrid w:val="0"/>
                <w:kern w:val="22"/>
                <w:szCs w:val="22"/>
                <w:lang w:val="fr-CA"/>
              </w:rPr>
              <w:footnoteReference w:id="22"/>
            </w:r>
            <w:bookmarkEnd w:id="3"/>
          </w:p>
        </w:tc>
        <w:tc>
          <w:tcPr>
            <w:tcW w:w="6836" w:type="dxa"/>
            <w:shd w:val="clear" w:color="auto" w:fill="auto"/>
          </w:tcPr>
          <w:p w:rsidR="00714BE5" w:rsidRPr="00011ACC" w:rsidRDefault="00BC6F3C" w:rsidP="00132DF3">
            <w:pPr>
              <w:spacing w:after="60"/>
              <w:jc w:val="left"/>
              <w:rPr>
                <w:rFonts w:eastAsia="MS Mincho"/>
                <w:snapToGrid w:val="0"/>
                <w:kern w:val="22"/>
                <w:szCs w:val="22"/>
                <w:lang w:val="fr-CA"/>
              </w:rPr>
            </w:pPr>
            <w:r>
              <w:rPr>
                <w:rFonts w:eastAsia="MS Mincho"/>
                <w:snapToGrid w:val="0"/>
                <w:kern w:val="22"/>
                <w:szCs w:val="22"/>
                <w:lang w:val="fr-CA"/>
              </w:rPr>
              <w:t>Principes de la conception</w:t>
            </w:r>
            <w:r w:rsidR="00C50BA4">
              <w:rPr>
                <w:rFonts w:eastAsia="MS Mincho"/>
                <w:snapToGrid w:val="0"/>
                <w:kern w:val="22"/>
                <w:szCs w:val="22"/>
                <w:lang w:val="fr-CA"/>
              </w:rPr>
              <w:t> </w:t>
            </w:r>
            <w:r w:rsidR="00714BE5" w:rsidRPr="00011ACC">
              <w:rPr>
                <w:rFonts w:eastAsia="MS Mincho"/>
                <w:snapToGrid w:val="0"/>
                <w:kern w:val="22"/>
                <w:szCs w:val="22"/>
                <w:lang w:val="fr-CA"/>
              </w:rPr>
              <w:t>:</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BC6F3C">
              <w:rPr>
                <w:rFonts w:eastAsia="MS Mincho"/>
                <w:snapToGrid w:val="0"/>
                <w:kern w:val="22"/>
                <w:szCs w:val="22"/>
                <w:lang w:val="fr-CA"/>
              </w:rPr>
              <w:t>Frontières physiques et sociales bien définies</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1E11E4">
              <w:rPr>
                <w:rFonts w:eastAsia="MS Mincho"/>
                <w:snapToGrid w:val="0"/>
                <w:kern w:val="22"/>
                <w:szCs w:val="22"/>
                <w:lang w:val="fr-CA"/>
              </w:rPr>
              <w:t xml:space="preserve">Conformité des conditions locales, </w:t>
            </w:r>
            <w:r w:rsidR="00831156">
              <w:rPr>
                <w:rFonts w:eastAsia="MS Mincho"/>
                <w:snapToGrid w:val="0"/>
                <w:kern w:val="22"/>
                <w:szCs w:val="22"/>
                <w:lang w:val="fr-CA"/>
              </w:rPr>
              <w:t>de l’affectation de fonds et d</w:t>
            </w:r>
            <w:r w:rsidR="001E11E4">
              <w:rPr>
                <w:rFonts w:eastAsia="MS Mincho"/>
                <w:snapToGrid w:val="0"/>
                <w:kern w:val="22"/>
                <w:szCs w:val="22"/>
                <w:lang w:val="fr-CA"/>
              </w:rPr>
              <w:t>es règles d’approvisionnement</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1E11E4">
              <w:rPr>
                <w:rFonts w:eastAsia="MS Mincho"/>
                <w:snapToGrid w:val="0"/>
                <w:kern w:val="22"/>
                <w:szCs w:val="22"/>
                <w:lang w:val="fr-CA"/>
              </w:rPr>
              <w:t>Adaptabilité des arrangements des choix collectifs</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1E11E4">
              <w:rPr>
                <w:rFonts w:eastAsia="MS Mincho"/>
                <w:snapToGrid w:val="0"/>
                <w:kern w:val="22"/>
                <w:szCs w:val="22"/>
                <w:lang w:val="fr-CA"/>
              </w:rPr>
              <w:t>Suivi approprié</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1E11E4">
              <w:rPr>
                <w:rFonts w:eastAsia="MS Mincho"/>
                <w:snapToGrid w:val="0"/>
                <w:kern w:val="22"/>
                <w:szCs w:val="22"/>
                <w:lang w:val="fr-CA"/>
              </w:rPr>
              <w:t>Sanctions graduelles et applicables</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1E11E4">
              <w:rPr>
                <w:rFonts w:eastAsia="MS Mincho"/>
                <w:snapToGrid w:val="0"/>
                <w:kern w:val="22"/>
                <w:szCs w:val="22"/>
                <w:lang w:val="fr-CA"/>
              </w:rPr>
              <w:t>Mécanismes de règlement des différends</w:t>
            </w:r>
          </w:p>
          <w:p w:rsidR="00592F99" w:rsidRPr="00011ACC" w:rsidRDefault="00DD487E"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1E11E4">
              <w:rPr>
                <w:rFonts w:eastAsia="MS Mincho"/>
                <w:snapToGrid w:val="0"/>
                <w:kern w:val="22"/>
                <w:szCs w:val="22"/>
                <w:lang w:val="fr-CA"/>
              </w:rPr>
              <w:t>Droits d’organisation reconnus</w:t>
            </w:r>
          </w:p>
          <w:p w:rsidR="00AA1C7C" w:rsidRPr="00011ACC" w:rsidRDefault="00DD487E" w:rsidP="00AD5C54">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AD5C54">
              <w:rPr>
                <w:rFonts w:eastAsia="MS Mincho"/>
                <w:snapToGrid w:val="0"/>
                <w:kern w:val="22"/>
                <w:szCs w:val="22"/>
                <w:lang w:val="fr-CA"/>
              </w:rPr>
              <w:t>Intégration des arrangements locaux dans les arrangements institutionnels de haut niveau</w:t>
            </w:r>
          </w:p>
        </w:tc>
      </w:tr>
      <w:tr w:rsidR="00CA671B" w:rsidRPr="00011ACC" w:rsidTr="00A03CB3">
        <w:tc>
          <w:tcPr>
            <w:tcW w:w="2376" w:type="dxa"/>
            <w:shd w:val="clear" w:color="auto" w:fill="auto"/>
          </w:tcPr>
          <w:p w:rsidR="006A18E3" w:rsidRPr="00011ACC" w:rsidRDefault="00AD5C54" w:rsidP="00132DF3">
            <w:pPr>
              <w:spacing w:after="40"/>
              <w:jc w:val="left"/>
              <w:rPr>
                <w:rFonts w:eastAsia="Calibri"/>
                <w:snapToGrid w:val="0"/>
                <w:kern w:val="22"/>
                <w:szCs w:val="22"/>
                <w:lang w:val="fr-CA"/>
              </w:rPr>
            </w:pPr>
            <w:r>
              <w:rPr>
                <w:rFonts w:eastAsia="Calibri"/>
                <w:snapToGrid w:val="0"/>
                <w:kern w:val="22"/>
                <w:szCs w:val="22"/>
                <w:lang w:val="fr-CA"/>
              </w:rPr>
              <w:lastRenderedPageBreak/>
              <w:t>Consortium APAC</w:t>
            </w:r>
            <w:r w:rsidR="00BC3028" w:rsidRPr="00011ACC">
              <w:rPr>
                <w:rStyle w:val="FootnoteReference"/>
                <w:rFonts w:eastAsia="Calibri"/>
                <w:snapToGrid w:val="0"/>
                <w:kern w:val="22"/>
                <w:szCs w:val="22"/>
                <w:lang w:val="fr-CA"/>
              </w:rPr>
              <w:footnoteReference w:id="23"/>
            </w:r>
          </w:p>
        </w:tc>
        <w:tc>
          <w:tcPr>
            <w:tcW w:w="6836" w:type="dxa"/>
            <w:shd w:val="clear" w:color="auto" w:fill="auto"/>
          </w:tcPr>
          <w:p w:rsidR="008B6AE7"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AD5C54">
              <w:rPr>
                <w:rFonts w:eastAsia="MS Mincho"/>
                <w:snapToGrid w:val="0"/>
                <w:kern w:val="22"/>
                <w:szCs w:val="22"/>
                <w:lang w:val="fr-CA"/>
              </w:rPr>
              <w:t xml:space="preserve">Respect et soutien </w:t>
            </w:r>
            <w:r w:rsidR="008C5585">
              <w:rPr>
                <w:rFonts w:eastAsia="MS Mincho"/>
                <w:snapToGrid w:val="0"/>
                <w:kern w:val="22"/>
                <w:szCs w:val="22"/>
                <w:lang w:val="fr-CA"/>
              </w:rPr>
              <w:t>du droit des communautés gardiennes à l’autodétermination</w:t>
            </w:r>
          </w:p>
          <w:p w:rsidR="008B6AE7"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8C5585">
              <w:rPr>
                <w:rFonts w:eastAsia="MS Mincho"/>
                <w:snapToGrid w:val="0"/>
                <w:kern w:val="22"/>
                <w:szCs w:val="22"/>
                <w:lang w:val="fr-CA"/>
              </w:rPr>
              <w:t>Accompagnement et soutien des communautés gardiennes dans la réalisation de ce à quoi elles aspirent et ce qu’elles souhaitent devenir</w:t>
            </w:r>
          </w:p>
          <w:p w:rsidR="006A18E3"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8C5585">
              <w:rPr>
                <w:rFonts w:eastAsia="MS Mincho"/>
                <w:snapToGrid w:val="0"/>
                <w:kern w:val="22"/>
                <w:szCs w:val="22"/>
                <w:lang w:val="fr-CA"/>
              </w:rPr>
              <w:t xml:space="preserve">Reconnaître et respecter </w:t>
            </w:r>
            <w:r w:rsidR="00764EAE">
              <w:rPr>
                <w:rFonts w:eastAsia="MS Mincho"/>
                <w:snapToGrid w:val="0"/>
                <w:kern w:val="22"/>
                <w:szCs w:val="22"/>
                <w:lang w:val="fr-CA"/>
              </w:rPr>
              <w:t>les connaissances et les capacités communautaires</w:t>
            </w:r>
          </w:p>
          <w:p w:rsidR="00E3508F"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764EAE">
              <w:rPr>
                <w:rFonts w:eastAsia="MS Mincho"/>
                <w:snapToGrid w:val="0"/>
                <w:kern w:val="22"/>
                <w:szCs w:val="22"/>
                <w:lang w:val="fr-CA"/>
              </w:rPr>
              <w:t>Prendre toutes les précautions possibles pour éviter de causer du tort</w:t>
            </w:r>
          </w:p>
          <w:p w:rsidR="008B6AE7"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764EAE">
              <w:rPr>
                <w:rFonts w:eastAsia="MS Mincho"/>
                <w:snapToGrid w:val="0"/>
                <w:kern w:val="22"/>
                <w:szCs w:val="22"/>
                <w:lang w:val="fr-CA"/>
              </w:rPr>
              <w:t xml:space="preserve">Assurer des activités respectueuses </w:t>
            </w:r>
            <w:r w:rsidR="001A5AA1">
              <w:rPr>
                <w:rFonts w:eastAsia="MS Mincho"/>
                <w:snapToGrid w:val="0"/>
                <w:kern w:val="22"/>
                <w:szCs w:val="22"/>
                <w:lang w:val="fr-CA"/>
              </w:rPr>
              <w:t xml:space="preserve">de la culture et du contexte, </w:t>
            </w:r>
            <w:r w:rsidR="00764EAE">
              <w:rPr>
                <w:rFonts w:eastAsia="MS Mincho"/>
                <w:snapToGrid w:val="0"/>
                <w:kern w:val="22"/>
                <w:szCs w:val="22"/>
                <w:lang w:val="fr-CA"/>
              </w:rPr>
              <w:t>et accessibles</w:t>
            </w:r>
          </w:p>
          <w:p w:rsidR="00E3508F"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764EAE">
              <w:rPr>
                <w:rFonts w:eastAsia="MS Mincho"/>
                <w:snapToGrid w:val="0"/>
                <w:kern w:val="22"/>
                <w:szCs w:val="22"/>
                <w:lang w:val="fr-CA"/>
              </w:rPr>
              <w:t>Reconnaître et respecter les systèmes de gouvernance locaux et les façons de connaître et de travailler</w:t>
            </w:r>
          </w:p>
          <w:p w:rsidR="00BC3028" w:rsidRPr="00011ACC" w:rsidRDefault="008B6AE7"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764EAE">
              <w:rPr>
                <w:rFonts w:eastAsia="MS Mincho"/>
                <w:snapToGrid w:val="0"/>
                <w:kern w:val="22"/>
                <w:szCs w:val="22"/>
                <w:lang w:val="fr-CA"/>
              </w:rPr>
              <w:t>Assurer une langue et une terminologie utiles et compréhensibles</w:t>
            </w:r>
          </w:p>
          <w:p w:rsidR="00E3508F" w:rsidRPr="00011ACC" w:rsidRDefault="008B6AE7" w:rsidP="00D34DEE">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764EAE">
              <w:rPr>
                <w:rFonts w:eastAsia="MS Mincho"/>
                <w:snapToGrid w:val="0"/>
                <w:kern w:val="22"/>
                <w:szCs w:val="22"/>
                <w:lang w:val="fr-CA"/>
              </w:rPr>
              <w:t xml:space="preserve">Assurer une documentation exacte, </w:t>
            </w:r>
            <w:r w:rsidR="00D34DEE">
              <w:rPr>
                <w:rFonts w:eastAsia="MS Mincho"/>
                <w:snapToGrid w:val="0"/>
                <w:kern w:val="22"/>
                <w:szCs w:val="22"/>
                <w:lang w:val="fr-CA"/>
              </w:rPr>
              <w:t>comprenant le consentement pré</w:t>
            </w:r>
            <w:r w:rsidR="00764EAE">
              <w:rPr>
                <w:rFonts w:eastAsia="MS Mincho"/>
                <w:snapToGrid w:val="0"/>
                <w:kern w:val="22"/>
                <w:szCs w:val="22"/>
                <w:lang w:val="fr-CA"/>
              </w:rPr>
              <w:t>al</w:t>
            </w:r>
            <w:r w:rsidR="00D34DEE">
              <w:rPr>
                <w:rFonts w:eastAsia="MS Mincho"/>
                <w:snapToGrid w:val="0"/>
                <w:kern w:val="22"/>
                <w:szCs w:val="22"/>
                <w:lang w:val="fr-CA"/>
              </w:rPr>
              <w:t>a</w:t>
            </w:r>
            <w:r w:rsidR="00764EAE">
              <w:rPr>
                <w:rFonts w:eastAsia="MS Mincho"/>
                <w:snapToGrid w:val="0"/>
                <w:kern w:val="22"/>
                <w:szCs w:val="22"/>
                <w:lang w:val="fr-CA"/>
              </w:rPr>
              <w:t>ble libre et éclairé et la confidentialité, si nécessaire</w:t>
            </w:r>
          </w:p>
        </w:tc>
      </w:tr>
      <w:tr w:rsidR="00CA671B" w:rsidRPr="00011ACC" w:rsidTr="00A03CB3">
        <w:tc>
          <w:tcPr>
            <w:tcW w:w="2376" w:type="dxa"/>
            <w:shd w:val="clear" w:color="auto" w:fill="auto"/>
          </w:tcPr>
          <w:p w:rsidR="00444BCE" w:rsidRPr="00011ACC" w:rsidRDefault="00D34DEE" w:rsidP="00253E54">
            <w:pPr>
              <w:spacing w:after="40"/>
              <w:jc w:val="left"/>
              <w:rPr>
                <w:rFonts w:eastAsia="Calibri"/>
                <w:snapToGrid w:val="0"/>
                <w:kern w:val="22"/>
                <w:szCs w:val="22"/>
                <w:lang w:val="fr-CA"/>
              </w:rPr>
            </w:pPr>
            <w:r>
              <w:rPr>
                <w:rFonts w:eastAsia="Calibri"/>
                <w:snapToGrid w:val="0"/>
                <w:kern w:val="22"/>
                <w:szCs w:val="22"/>
                <w:lang w:val="fr-CA"/>
              </w:rPr>
              <w:t>Plateforme intergouvernementale scientifique et politique sur la biodiversité et les services écosystémiques (IPBES</w:t>
            </w:r>
            <w:r w:rsidR="00444BCE" w:rsidRPr="00011ACC">
              <w:rPr>
                <w:rFonts w:eastAsia="Calibri"/>
                <w:snapToGrid w:val="0"/>
                <w:kern w:val="22"/>
                <w:szCs w:val="22"/>
                <w:lang w:val="fr-CA"/>
              </w:rPr>
              <w:t>)</w:t>
            </w:r>
            <w:r w:rsidR="00253E54">
              <w:rPr>
                <w:rFonts w:eastAsia="Calibri"/>
                <w:snapToGrid w:val="0"/>
                <w:kern w:val="22"/>
                <w:szCs w:val="22"/>
                <w:vertAlign w:val="superscript"/>
                <w:lang w:val="fr-CA"/>
              </w:rPr>
              <w:t>14</w:t>
            </w:r>
          </w:p>
        </w:tc>
        <w:tc>
          <w:tcPr>
            <w:tcW w:w="6836" w:type="dxa"/>
            <w:shd w:val="clear" w:color="auto" w:fill="auto"/>
          </w:tcPr>
          <w:p w:rsidR="007576FB" w:rsidRPr="00011ACC" w:rsidRDefault="00D34DEE" w:rsidP="00132DF3">
            <w:pPr>
              <w:spacing w:after="60"/>
              <w:jc w:val="left"/>
              <w:rPr>
                <w:rFonts w:eastAsia="MS Mincho"/>
                <w:snapToGrid w:val="0"/>
                <w:kern w:val="22"/>
                <w:szCs w:val="22"/>
                <w:lang w:val="fr-CA"/>
              </w:rPr>
            </w:pPr>
            <w:r>
              <w:rPr>
                <w:rFonts w:eastAsia="MS Mincho"/>
                <w:snapToGrid w:val="0"/>
                <w:kern w:val="22"/>
                <w:szCs w:val="22"/>
                <w:lang w:val="fr-CA"/>
              </w:rPr>
              <w:t>Meilleures pratiques à respecter</w:t>
            </w:r>
            <w:r w:rsidR="00C50BA4">
              <w:rPr>
                <w:rFonts w:eastAsia="MS Mincho"/>
                <w:snapToGrid w:val="0"/>
                <w:kern w:val="22"/>
                <w:szCs w:val="22"/>
                <w:lang w:val="fr-CA"/>
              </w:rPr>
              <w:t> </w:t>
            </w:r>
            <w:r w:rsidR="007576FB" w:rsidRPr="00011ACC">
              <w:rPr>
                <w:rFonts w:eastAsia="MS Mincho"/>
                <w:snapToGrid w:val="0"/>
                <w:kern w:val="22"/>
                <w:szCs w:val="22"/>
                <w:lang w:val="fr-CA"/>
              </w:rPr>
              <w:t>:</w:t>
            </w:r>
          </w:p>
          <w:p w:rsidR="007660E4" w:rsidRPr="00011ACC" w:rsidRDefault="007660E4"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D34DEE">
              <w:rPr>
                <w:rFonts w:eastAsia="MS Mincho"/>
                <w:snapToGrid w:val="0"/>
                <w:kern w:val="22"/>
                <w:szCs w:val="22"/>
                <w:lang w:val="fr-CA"/>
              </w:rPr>
              <w:t>Développer la confiance réciproque entre les détenteurs des connaissances autochtones et locales et les scientifiques sociaux</w:t>
            </w:r>
            <w:r w:rsidR="009226EA">
              <w:rPr>
                <w:rFonts w:eastAsia="MS Mincho"/>
                <w:snapToGrid w:val="0"/>
                <w:kern w:val="22"/>
                <w:szCs w:val="22"/>
                <w:lang w:val="fr-CA"/>
              </w:rPr>
              <w:t xml:space="preserve"> et naturels</w:t>
            </w:r>
            <w:r w:rsidR="00D34DEE">
              <w:rPr>
                <w:rFonts w:eastAsia="MS Mincho"/>
                <w:snapToGrid w:val="0"/>
                <w:kern w:val="22"/>
                <w:szCs w:val="22"/>
                <w:lang w:val="fr-CA"/>
              </w:rPr>
              <w:t xml:space="preserve"> par </w:t>
            </w:r>
            <w:r w:rsidR="009226EA">
              <w:rPr>
                <w:rFonts w:eastAsia="MS Mincho"/>
                <w:snapToGrid w:val="0"/>
                <w:kern w:val="22"/>
                <w:szCs w:val="22"/>
                <w:lang w:val="fr-CA"/>
              </w:rPr>
              <w:t>le</w:t>
            </w:r>
            <w:r w:rsidR="00D34DEE">
              <w:rPr>
                <w:rFonts w:eastAsia="MS Mincho"/>
                <w:snapToGrid w:val="0"/>
                <w:kern w:val="22"/>
                <w:szCs w:val="22"/>
                <w:lang w:val="fr-CA"/>
              </w:rPr>
              <w:t xml:space="preserve"> respect et la sensibilité </w:t>
            </w:r>
            <w:r w:rsidR="001A5AA1">
              <w:rPr>
                <w:rFonts w:eastAsia="MS Mincho"/>
                <w:snapToGrid w:val="0"/>
                <w:kern w:val="22"/>
                <w:szCs w:val="22"/>
                <w:lang w:val="fr-CA"/>
              </w:rPr>
              <w:t>à la culture</w:t>
            </w:r>
          </w:p>
          <w:p w:rsidR="007660E4" w:rsidRPr="00011ACC" w:rsidRDefault="007660E4"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D34DEE">
              <w:rPr>
                <w:rFonts w:eastAsia="MS Mincho"/>
                <w:snapToGrid w:val="0"/>
                <w:kern w:val="22"/>
                <w:szCs w:val="22"/>
                <w:lang w:val="fr-CA"/>
              </w:rPr>
              <w:t>Offrir des occasions de dialogue</w:t>
            </w:r>
          </w:p>
          <w:p w:rsidR="007660E4" w:rsidRPr="00011ACC" w:rsidRDefault="007660E4"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D34DEE">
              <w:rPr>
                <w:rFonts w:eastAsia="MS Mincho"/>
                <w:snapToGrid w:val="0"/>
                <w:kern w:val="22"/>
                <w:szCs w:val="22"/>
                <w:lang w:val="fr-CA"/>
              </w:rPr>
              <w:t>Reconnaître la durée du processus décisionnel des institutions</w:t>
            </w:r>
            <w:r w:rsidR="00046735">
              <w:rPr>
                <w:rFonts w:eastAsia="MS Mincho"/>
                <w:snapToGrid w:val="0"/>
                <w:kern w:val="22"/>
                <w:szCs w:val="22"/>
                <w:lang w:val="fr-CA"/>
              </w:rPr>
              <w:t xml:space="preserve"> coutumières et traditionnelles</w:t>
            </w:r>
          </w:p>
          <w:p w:rsidR="007660E4" w:rsidRPr="00011ACC" w:rsidRDefault="007660E4"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046735">
              <w:rPr>
                <w:rFonts w:eastAsia="MS Mincho"/>
                <w:snapToGrid w:val="0"/>
                <w:kern w:val="22"/>
                <w:szCs w:val="22"/>
                <w:lang w:val="fr-CA"/>
              </w:rPr>
              <w:t>Travailler dans des environnements convenables</w:t>
            </w:r>
            <w:r w:rsidR="001A5AA1">
              <w:rPr>
                <w:rFonts w:eastAsia="MS Mincho"/>
                <w:snapToGrid w:val="0"/>
                <w:kern w:val="22"/>
                <w:szCs w:val="22"/>
                <w:lang w:val="fr-CA"/>
              </w:rPr>
              <w:t xml:space="preserve"> sur le plan culturel</w:t>
            </w:r>
            <w:r w:rsidR="00046735">
              <w:rPr>
                <w:rFonts w:eastAsia="MS Mincho"/>
                <w:snapToGrid w:val="0"/>
                <w:kern w:val="22"/>
                <w:szCs w:val="22"/>
                <w:lang w:val="fr-CA"/>
              </w:rPr>
              <w:t>, respecter les styles d’engagement diversifiés et interactifs, utiliser des outils et des stratégies efficaces afin de favoriser le dialogue efficace entre les différents systèmes de connaissances</w:t>
            </w:r>
          </w:p>
          <w:p w:rsidR="007660E4" w:rsidRPr="00011ACC" w:rsidRDefault="007660E4"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046735">
              <w:rPr>
                <w:rFonts w:eastAsia="MS Mincho"/>
                <w:snapToGrid w:val="0"/>
                <w:kern w:val="22"/>
                <w:szCs w:val="22"/>
                <w:lang w:val="fr-CA"/>
              </w:rPr>
              <w:t>Promouvoir le dialogue participatif et responsabilisant fondé sur la non-discrimination, l’inclusion et la reconnaissance de la pluralité sociale, culturelle, économique et politique</w:t>
            </w:r>
          </w:p>
          <w:p w:rsidR="007660E4" w:rsidRPr="00011ACC" w:rsidRDefault="007660E4" w:rsidP="00132DF3">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046735">
              <w:rPr>
                <w:rFonts w:eastAsia="MS Mincho"/>
                <w:snapToGrid w:val="0"/>
                <w:kern w:val="22"/>
                <w:szCs w:val="22"/>
                <w:lang w:val="fr-CA"/>
              </w:rPr>
              <w:t>Reconnaître, renforcer et promouvoir la conservation des systèmes de connaissances in situ</w:t>
            </w:r>
          </w:p>
          <w:p w:rsidR="00444BCE" w:rsidRPr="00011ACC" w:rsidRDefault="007660E4" w:rsidP="006B073A">
            <w:pPr>
              <w:spacing w:after="60"/>
              <w:jc w:val="left"/>
              <w:rPr>
                <w:rFonts w:eastAsia="MS Mincho"/>
                <w:snapToGrid w:val="0"/>
                <w:kern w:val="22"/>
                <w:szCs w:val="22"/>
                <w:lang w:val="fr-CA"/>
              </w:rPr>
            </w:pPr>
            <w:r w:rsidRPr="00011ACC">
              <w:rPr>
                <w:rFonts w:eastAsia="MS Mincho"/>
                <w:snapToGrid w:val="0"/>
                <w:kern w:val="22"/>
                <w:szCs w:val="22"/>
                <w:lang w:val="fr-CA"/>
              </w:rPr>
              <w:t xml:space="preserve">- </w:t>
            </w:r>
            <w:r w:rsidR="00046735">
              <w:rPr>
                <w:rFonts w:eastAsia="MS Mincho"/>
                <w:snapToGrid w:val="0"/>
                <w:kern w:val="22"/>
                <w:szCs w:val="22"/>
                <w:lang w:val="fr-CA"/>
              </w:rPr>
              <w:t>R</w:t>
            </w:r>
            <w:r w:rsidR="006B073A">
              <w:rPr>
                <w:rFonts w:eastAsia="MS Mincho"/>
                <w:snapToGrid w:val="0"/>
                <w:kern w:val="22"/>
                <w:szCs w:val="22"/>
                <w:lang w:val="fr-CA"/>
              </w:rPr>
              <w:t>echercher le consent</w:t>
            </w:r>
            <w:r w:rsidR="00046735">
              <w:rPr>
                <w:rFonts w:eastAsia="MS Mincho"/>
                <w:snapToGrid w:val="0"/>
                <w:kern w:val="22"/>
                <w:szCs w:val="22"/>
                <w:lang w:val="fr-CA"/>
              </w:rPr>
              <w:t>e</w:t>
            </w:r>
            <w:r w:rsidR="006B073A">
              <w:rPr>
                <w:rFonts w:eastAsia="MS Mincho"/>
                <w:snapToGrid w:val="0"/>
                <w:kern w:val="22"/>
                <w:szCs w:val="22"/>
                <w:lang w:val="fr-CA"/>
              </w:rPr>
              <w:t>men</w:t>
            </w:r>
            <w:r w:rsidR="00046735">
              <w:rPr>
                <w:rFonts w:eastAsia="MS Mincho"/>
                <w:snapToGrid w:val="0"/>
                <w:kern w:val="22"/>
                <w:szCs w:val="22"/>
                <w:lang w:val="fr-CA"/>
              </w:rPr>
              <w:t xml:space="preserve">t préalable </w:t>
            </w:r>
            <w:r w:rsidR="006B073A">
              <w:rPr>
                <w:rFonts w:eastAsia="MS Mincho"/>
                <w:snapToGrid w:val="0"/>
                <w:kern w:val="22"/>
                <w:szCs w:val="22"/>
                <w:lang w:val="fr-CA"/>
              </w:rPr>
              <w:t>libre et éclairé, selon qu’il convient, pour obtenir l’accès aux connaissances autochtones et locales</w:t>
            </w:r>
          </w:p>
        </w:tc>
      </w:tr>
    </w:tbl>
    <w:p w:rsidR="00CD4BA9" w:rsidRPr="00BA7B20" w:rsidRDefault="006B073A" w:rsidP="00122D5B">
      <w:pPr>
        <w:pStyle w:val="Para1"/>
        <w:tabs>
          <w:tab w:val="clear" w:pos="360"/>
        </w:tabs>
        <w:rPr>
          <w:rFonts w:eastAsia="Batang"/>
          <w:kern w:val="22"/>
          <w:szCs w:val="22"/>
          <w:lang w:val="fr-CA" w:eastAsia="ko-KR"/>
        </w:rPr>
      </w:pPr>
      <w:r>
        <w:rPr>
          <w:kern w:val="22"/>
          <w:szCs w:val="22"/>
          <w:lang w:val="fr-CA"/>
        </w:rPr>
        <w:t xml:space="preserve">Cette compilation des principes provenant de différentes sources révèle en général </w:t>
      </w:r>
      <w:r w:rsidR="00A02141">
        <w:rPr>
          <w:kern w:val="22"/>
          <w:szCs w:val="22"/>
          <w:lang w:val="fr-CA"/>
        </w:rPr>
        <w:t>un lien important</w:t>
      </w:r>
      <w:r>
        <w:rPr>
          <w:kern w:val="22"/>
          <w:szCs w:val="22"/>
          <w:lang w:val="fr-CA"/>
        </w:rPr>
        <w:t xml:space="preserve"> avec les principes directeurs de</w:t>
      </w:r>
      <w:r w:rsidR="00F55816">
        <w:rPr>
          <w:kern w:val="22"/>
          <w:szCs w:val="22"/>
          <w:lang w:val="fr-CA"/>
        </w:rPr>
        <w:t xml:space="preserve"> </w:t>
      </w:r>
      <w:r>
        <w:rPr>
          <w:kern w:val="22"/>
          <w:szCs w:val="22"/>
          <w:lang w:val="fr-CA"/>
        </w:rPr>
        <w:t xml:space="preserve">la décision XIII/20, surtout en ce qui concerne la reconnaissance de la valeur des </w:t>
      </w:r>
      <w:r w:rsidR="00F55816" w:rsidRPr="00BA7B20">
        <w:rPr>
          <w:kern w:val="22"/>
          <w:szCs w:val="22"/>
          <w:lang w:val="fr-CA"/>
        </w:rPr>
        <w:t>mesures</w:t>
      </w:r>
      <w:r w:rsidRPr="00BA7B20">
        <w:rPr>
          <w:kern w:val="22"/>
          <w:szCs w:val="22"/>
          <w:lang w:val="fr-CA"/>
        </w:rPr>
        <w:t xml:space="preserve"> collectives, l</w:t>
      </w:r>
      <w:r w:rsidR="00BA7B20" w:rsidRPr="00BA7B20">
        <w:rPr>
          <w:kern w:val="22"/>
          <w:szCs w:val="22"/>
          <w:lang w:val="fr-CA"/>
        </w:rPr>
        <w:t>a</w:t>
      </w:r>
      <w:r w:rsidRPr="00BA7B20">
        <w:rPr>
          <w:kern w:val="22"/>
          <w:szCs w:val="22"/>
          <w:lang w:val="fr-CA"/>
        </w:rPr>
        <w:t xml:space="preserve"> pluralité et la diversité des approches, et la participation entière et efficace. </w:t>
      </w:r>
      <w:r w:rsidR="00F55816" w:rsidRPr="00BA7B20">
        <w:rPr>
          <w:kern w:val="22"/>
          <w:szCs w:val="22"/>
          <w:lang w:val="fr-CA"/>
        </w:rPr>
        <w:t xml:space="preserve">D’autres principes directeurs proposés par les sources étudiées portent notamment sur </w:t>
      </w:r>
      <w:r w:rsidR="008666ED">
        <w:rPr>
          <w:kern w:val="22"/>
          <w:szCs w:val="22"/>
          <w:lang w:val="fr-CA"/>
        </w:rPr>
        <w:t>l’attention accordée aux</w:t>
      </w:r>
      <w:r w:rsidR="00F55816" w:rsidRPr="00BA7B20">
        <w:rPr>
          <w:kern w:val="22"/>
          <w:szCs w:val="22"/>
          <w:lang w:val="fr-CA"/>
        </w:rPr>
        <w:t xml:space="preserve"> rôles et </w:t>
      </w:r>
      <w:r w:rsidR="008666ED">
        <w:rPr>
          <w:kern w:val="22"/>
          <w:szCs w:val="22"/>
          <w:lang w:val="fr-CA"/>
        </w:rPr>
        <w:t>aux</w:t>
      </w:r>
      <w:r w:rsidR="00F55816" w:rsidRPr="00BA7B20">
        <w:rPr>
          <w:kern w:val="22"/>
          <w:szCs w:val="22"/>
          <w:lang w:val="fr-CA"/>
        </w:rPr>
        <w:t xml:space="preserve"> contributions définis en </w:t>
      </w:r>
      <w:r w:rsidR="00BA7B20" w:rsidRPr="00BA7B20">
        <w:rPr>
          <w:kern w:val="22"/>
          <w:szCs w:val="22"/>
          <w:lang w:val="fr-CA"/>
        </w:rPr>
        <w:t>fonction</w:t>
      </w:r>
      <w:r w:rsidR="00F55816" w:rsidRPr="00BA7B20">
        <w:rPr>
          <w:kern w:val="22"/>
          <w:szCs w:val="22"/>
          <w:lang w:val="fr-CA"/>
        </w:rPr>
        <w:t xml:space="preserve"> du sexe, </w:t>
      </w:r>
      <w:r w:rsidR="008666ED">
        <w:rPr>
          <w:kern w:val="22"/>
          <w:szCs w:val="22"/>
          <w:lang w:val="fr-CA"/>
        </w:rPr>
        <w:t>au</w:t>
      </w:r>
      <w:r w:rsidR="00F55816" w:rsidRPr="00BA7B20">
        <w:rPr>
          <w:kern w:val="22"/>
          <w:szCs w:val="22"/>
          <w:lang w:val="fr-CA"/>
        </w:rPr>
        <w:t xml:space="preserve"> développement du droit de propriété autochtone et communautaire par rapport au processus d’évaluation, </w:t>
      </w:r>
      <w:r w:rsidR="008666ED">
        <w:rPr>
          <w:kern w:val="22"/>
          <w:szCs w:val="22"/>
          <w:lang w:val="fr-CA"/>
        </w:rPr>
        <w:t>aux</w:t>
      </w:r>
      <w:r w:rsidR="00F55816" w:rsidRPr="00BA7B20">
        <w:rPr>
          <w:kern w:val="22"/>
          <w:szCs w:val="22"/>
          <w:lang w:val="fr-CA"/>
        </w:rPr>
        <w:t xml:space="preserve"> règles de participation des facilitateurs et des parties prenantes travaillant avec les communautés, </w:t>
      </w:r>
      <w:r w:rsidR="008666ED">
        <w:rPr>
          <w:kern w:val="22"/>
          <w:szCs w:val="22"/>
          <w:lang w:val="fr-CA"/>
        </w:rPr>
        <w:t>aux</w:t>
      </w:r>
      <w:r w:rsidR="00F55816" w:rsidRPr="00BA7B20">
        <w:rPr>
          <w:kern w:val="22"/>
          <w:szCs w:val="22"/>
          <w:lang w:val="fr-CA"/>
        </w:rPr>
        <w:t xml:space="preserve"> aspects des mesures collectives liés à la gouvernance tels que les régimes des droits, </w:t>
      </w:r>
      <w:r w:rsidR="008666ED">
        <w:rPr>
          <w:kern w:val="22"/>
          <w:szCs w:val="22"/>
          <w:lang w:val="fr-CA"/>
        </w:rPr>
        <w:t>aux</w:t>
      </w:r>
      <w:r w:rsidR="00F55816" w:rsidRPr="00BA7B20">
        <w:rPr>
          <w:kern w:val="22"/>
          <w:szCs w:val="22"/>
          <w:lang w:val="fr-CA"/>
        </w:rPr>
        <w:t xml:space="preserve"> acteurs et </w:t>
      </w:r>
      <w:r w:rsidR="008666ED">
        <w:rPr>
          <w:kern w:val="22"/>
          <w:szCs w:val="22"/>
          <w:lang w:val="fr-CA"/>
        </w:rPr>
        <w:t>aux</w:t>
      </w:r>
      <w:r w:rsidR="00F55816" w:rsidRPr="00BA7B20">
        <w:rPr>
          <w:kern w:val="22"/>
          <w:szCs w:val="22"/>
          <w:lang w:val="fr-CA"/>
        </w:rPr>
        <w:t xml:space="preserve"> institutions. En conclusion, il est possible d’avancer la formulation d’une série de principes plus larges reposant sur les principes directeurs de la décision XIII/20 et d’intégrer les principes recommandés par d’autres sources, selon qu’il convient</w:t>
      </w:r>
      <w:r w:rsidR="00FE28E2" w:rsidRPr="00BA7B20">
        <w:rPr>
          <w:kern w:val="22"/>
          <w:szCs w:val="22"/>
          <w:lang w:val="fr-CA"/>
        </w:rPr>
        <w:t>.</w:t>
      </w:r>
    </w:p>
    <w:p w:rsidR="00186580" w:rsidRPr="00F55816" w:rsidRDefault="00C051F3" w:rsidP="0032425B">
      <w:pPr>
        <w:pStyle w:val="Heading2"/>
        <w:tabs>
          <w:tab w:val="clear" w:pos="720"/>
        </w:tabs>
        <w:rPr>
          <w:i w:val="0"/>
          <w:snapToGrid w:val="0"/>
          <w:kern w:val="22"/>
          <w:szCs w:val="22"/>
          <w:lang w:val="fr-CA"/>
        </w:rPr>
      </w:pPr>
      <w:r w:rsidRPr="00F55816">
        <w:rPr>
          <w:i w:val="0"/>
          <w:snapToGrid w:val="0"/>
          <w:kern w:val="22"/>
          <w:szCs w:val="22"/>
          <w:lang w:val="fr-CA"/>
        </w:rPr>
        <w:lastRenderedPageBreak/>
        <w:t>B.</w:t>
      </w:r>
      <w:r w:rsidRPr="00F55816">
        <w:rPr>
          <w:i w:val="0"/>
          <w:snapToGrid w:val="0"/>
          <w:kern w:val="22"/>
          <w:szCs w:val="22"/>
          <w:lang w:val="fr-CA"/>
        </w:rPr>
        <w:tab/>
      </w:r>
      <w:r w:rsidR="00527CEC">
        <w:rPr>
          <w:i w:val="0"/>
          <w:snapToGrid w:val="0"/>
          <w:kern w:val="22"/>
          <w:szCs w:val="22"/>
          <w:lang w:val="fr-CA"/>
        </w:rPr>
        <w:t>Éléments des approches méthodologiques existantes</w:t>
      </w:r>
    </w:p>
    <w:p w:rsidR="0014172E" w:rsidRPr="00F55816" w:rsidRDefault="00527CEC" w:rsidP="00781794">
      <w:pPr>
        <w:pStyle w:val="Para1"/>
        <w:tabs>
          <w:tab w:val="clear" w:pos="360"/>
        </w:tabs>
        <w:rPr>
          <w:kern w:val="22"/>
          <w:szCs w:val="22"/>
          <w:lang w:val="fr-CA"/>
        </w:rPr>
      </w:pPr>
      <w:r>
        <w:rPr>
          <w:rFonts w:eastAsia="Calibri"/>
          <w:kern w:val="22"/>
          <w:szCs w:val="22"/>
          <w:lang w:val="fr-CA"/>
        </w:rPr>
        <w:t xml:space="preserve">Le cadre conceptuel et méthodologique pour évaluer la contribution des mesures collectives à la conservation de la diversité biologique développé par le gouvernement de la Bolivie </w:t>
      </w:r>
      <w:r w:rsidR="005768FC">
        <w:rPr>
          <w:rFonts w:eastAsia="Calibri"/>
          <w:kern w:val="22"/>
          <w:szCs w:val="22"/>
          <w:lang w:val="fr-CA"/>
        </w:rPr>
        <w:t xml:space="preserve">avec l’appui de l’Organisation du Traité de la coopération amazonienne (OCTA), par l’entremise du Programme régional amazonien (ARP)-GIZ et </w:t>
      </w:r>
      <w:r w:rsidR="00BA7B20">
        <w:rPr>
          <w:rFonts w:eastAsia="Calibri"/>
          <w:kern w:val="22"/>
          <w:szCs w:val="22"/>
          <w:lang w:val="fr-CA"/>
        </w:rPr>
        <w:t>du</w:t>
      </w:r>
      <w:r w:rsidR="000F2F48">
        <w:rPr>
          <w:rFonts w:eastAsia="Calibri"/>
          <w:kern w:val="22"/>
          <w:szCs w:val="22"/>
          <w:lang w:val="fr-CA"/>
        </w:rPr>
        <w:t xml:space="preserve"> Programme de résilience et de développement de l’UICN Sud (Union internationale pour la conservation de la nature)</w:t>
      </w:r>
      <w:r w:rsidR="00856205" w:rsidRPr="00F55816">
        <w:rPr>
          <w:kern w:val="22"/>
          <w:szCs w:val="22"/>
          <w:vertAlign w:val="superscript"/>
          <w:lang w:val="fr-CA"/>
        </w:rPr>
        <w:fldChar w:fldCharType="begin"/>
      </w:r>
      <w:r w:rsidR="00856205" w:rsidRPr="00527CEC">
        <w:rPr>
          <w:kern w:val="22"/>
          <w:szCs w:val="22"/>
          <w:vertAlign w:val="superscript"/>
          <w:lang w:val="fr-CA"/>
        </w:rPr>
        <w:instrText xml:space="preserve"> NOTEREF _Ref499583583 \h  \* MERGEFORMAT </w:instrText>
      </w:r>
      <w:r w:rsidR="00856205" w:rsidRPr="00F55816">
        <w:rPr>
          <w:kern w:val="22"/>
          <w:szCs w:val="22"/>
          <w:vertAlign w:val="superscript"/>
          <w:lang w:val="fr-CA"/>
        </w:rPr>
      </w:r>
      <w:r w:rsidR="00856205" w:rsidRPr="00F55816">
        <w:rPr>
          <w:kern w:val="22"/>
          <w:szCs w:val="22"/>
          <w:vertAlign w:val="superscript"/>
          <w:lang w:val="fr-CA"/>
        </w:rPr>
        <w:fldChar w:fldCharType="separate"/>
      </w:r>
      <w:r w:rsidR="00856205" w:rsidRPr="00527CEC">
        <w:rPr>
          <w:kern w:val="22"/>
          <w:szCs w:val="22"/>
          <w:vertAlign w:val="superscript"/>
          <w:lang w:val="fr-CA"/>
        </w:rPr>
        <w:t>14</w:t>
      </w:r>
      <w:r w:rsidR="00856205" w:rsidRPr="00F55816">
        <w:rPr>
          <w:kern w:val="22"/>
          <w:szCs w:val="22"/>
          <w:vertAlign w:val="superscript"/>
          <w:lang w:val="fr-CA"/>
        </w:rPr>
        <w:fldChar w:fldCharType="end"/>
      </w:r>
      <w:r w:rsidR="005F3C2D" w:rsidRPr="00527CEC">
        <w:rPr>
          <w:kern w:val="22"/>
          <w:szCs w:val="22"/>
          <w:lang w:val="fr-CA"/>
        </w:rPr>
        <w:t xml:space="preserve"> </w:t>
      </w:r>
      <w:r w:rsidR="000F2F48">
        <w:rPr>
          <w:kern w:val="22"/>
          <w:szCs w:val="22"/>
          <w:lang w:val="fr-CA"/>
        </w:rPr>
        <w:t xml:space="preserve">propose une méthode en trois modules </w:t>
      </w:r>
      <w:r w:rsidR="00A5450C">
        <w:rPr>
          <w:kern w:val="22"/>
          <w:szCs w:val="22"/>
          <w:lang w:val="fr-CA"/>
        </w:rPr>
        <w:t>reliant</w:t>
      </w:r>
      <w:r w:rsidR="000F2F48">
        <w:rPr>
          <w:kern w:val="22"/>
          <w:szCs w:val="22"/>
          <w:lang w:val="fr-CA"/>
        </w:rPr>
        <w:t xml:space="preserve"> la modélisation </w:t>
      </w:r>
      <w:r w:rsidR="006D506F">
        <w:rPr>
          <w:kern w:val="22"/>
          <w:szCs w:val="22"/>
          <w:lang w:val="fr-CA"/>
        </w:rPr>
        <w:t>gé</w:t>
      </w:r>
      <w:r w:rsidR="000F2F48">
        <w:rPr>
          <w:kern w:val="22"/>
          <w:szCs w:val="22"/>
          <w:lang w:val="fr-CA"/>
        </w:rPr>
        <w:t xml:space="preserve">ospatiale, l’analyse institutionnelle et l’évaluation écologique. </w:t>
      </w:r>
      <w:r w:rsidR="000F2F48" w:rsidRPr="006D506F">
        <w:rPr>
          <w:kern w:val="22"/>
          <w:szCs w:val="22"/>
          <w:lang w:val="fr-CA"/>
        </w:rPr>
        <w:t>Sa m</w:t>
      </w:r>
      <w:r w:rsidR="006D506F" w:rsidRPr="006D506F">
        <w:rPr>
          <w:kern w:val="22"/>
          <w:szCs w:val="22"/>
          <w:lang w:val="fr-CA"/>
        </w:rPr>
        <w:t>é</w:t>
      </w:r>
      <w:r w:rsidR="000F2F48" w:rsidRPr="006D506F">
        <w:rPr>
          <w:kern w:val="22"/>
          <w:szCs w:val="22"/>
          <w:lang w:val="fr-CA"/>
        </w:rPr>
        <w:t>thodologie «</w:t>
      </w:r>
      <w:r w:rsidR="006D506F" w:rsidRPr="006D506F">
        <w:rPr>
          <w:kern w:val="22"/>
          <w:szCs w:val="22"/>
          <w:lang w:val="fr-CA"/>
        </w:rPr>
        <w:t> </w:t>
      </w:r>
      <w:r w:rsidR="006D506F" w:rsidRPr="006D506F">
        <w:rPr>
          <w:lang w:val="fr-CA"/>
        </w:rPr>
        <w:t>réunit les progrès réalisés dans le domaine des changements d’occupation et d’usage des sols qui associent, par le biais d’une analyse géospatiale, l’analyse du changement environnemental à différents échelons et l’analyse des changements institutionnels qui examine les mécanismes sous-jacents de l’action individuelle et collective locale pour protéger la diversité biologique et les écosystèmes</w:t>
      </w:r>
      <w:r w:rsidR="006D506F">
        <w:rPr>
          <w:lang w:val="fr-CA"/>
        </w:rPr>
        <w:t> »</w:t>
      </w:r>
      <w:r w:rsidR="00031B44" w:rsidRPr="006D506F">
        <w:rPr>
          <w:kern w:val="22"/>
          <w:szCs w:val="22"/>
          <w:lang w:val="fr-CA"/>
        </w:rPr>
        <w:t>.</w:t>
      </w:r>
      <w:r w:rsidR="00A400A0" w:rsidRPr="00F55816">
        <w:rPr>
          <w:rStyle w:val="FootnoteReference"/>
          <w:kern w:val="22"/>
          <w:szCs w:val="22"/>
          <w:lang w:val="fr-CA"/>
        </w:rPr>
        <w:footnoteReference w:id="24"/>
      </w:r>
      <w:r w:rsidR="007D3908" w:rsidRPr="006D506F">
        <w:rPr>
          <w:kern w:val="22"/>
          <w:szCs w:val="22"/>
          <w:lang w:val="fr-CA"/>
        </w:rPr>
        <w:t xml:space="preserve"> </w:t>
      </w:r>
      <w:r w:rsidR="006D506F" w:rsidRPr="006D506F">
        <w:rPr>
          <w:kern w:val="22"/>
          <w:szCs w:val="22"/>
          <w:lang w:val="fr-CA"/>
        </w:rPr>
        <w:t xml:space="preserve">Le cadre </w:t>
      </w:r>
      <w:r w:rsidR="006751F3">
        <w:rPr>
          <w:kern w:val="22"/>
          <w:szCs w:val="22"/>
          <w:lang w:val="fr-CA"/>
        </w:rPr>
        <w:t>conceptue</w:t>
      </w:r>
      <w:r w:rsidR="006D506F" w:rsidRPr="006D506F">
        <w:rPr>
          <w:kern w:val="22"/>
          <w:szCs w:val="22"/>
          <w:lang w:val="fr-CA"/>
        </w:rPr>
        <w:t>l et la méthodologie réunis sous l’appellation Mesures collectives des syst</w:t>
      </w:r>
      <w:r w:rsidR="006D506F">
        <w:rPr>
          <w:kern w:val="22"/>
          <w:szCs w:val="22"/>
          <w:lang w:val="fr-CA"/>
        </w:rPr>
        <w:t>èmes socioécologiques, a pour but de permettre aux pays et à leurs parties prenantes d’évaluer et d</w:t>
      </w:r>
      <w:r w:rsidR="006751F3">
        <w:rPr>
          <w:kern w:val="22"/>
          <w:szCs w:val="22"/>
          <w:lang w:val="fr-CA"/>
        </w:rPr>
        <w:t>e quantifier les contr</w:t>
      </w:r>
      <w:r w:rsidR="006D506F">
        <w:rPr>
          <w:kern w:val="22"/>
          <w:szCs w:val="22"/>
          <w:lang w:val="fr-CA"/>
        </w:rPr>
        <w:t>ibutions des per</w:t>
      </w:r>
      <w:r w:rsidR="006751F3">
        <w:rPr>
          <w:kern w:val="22"/>
          <w:szCs w:val="22"/>
          <w:lang w:val="fr-CA"/>
        </w:rPr>
        <w:t>s</w:t>
      </w:r>
      <w:r w:rsidR="006D506F">
        <w:rPr>
          <w:kern w:val="22"/>
          <w:szCs w:val="22"/>
          <w:lang w:val="fr-CA"/>
        </w:rPr>
        <w:t xml:space="preserve">onnes locales à la conservation de la diversité biologique. Ce cadre </w:t>
      </w:r>
      <w:r w:rsidR="002B54DC">
        <w:rPr>
          <w:kern w:val="22"/>
          <w:szCs w:val="22"/>
          <w:lang w:val="fr-CA"/>
        </w:rPr>
        <w:t>repose sur</w:t>
      </w:r>
      <w:r w:rsidR="006751F3">
        <w:rPr>
          <w:kern w:val="22"/>
          <w:szCs w:val="22"/>
          <w:lang w:val="fr-CA"/>
        </w:rPr>
        <w:t xml:space="preserve"> deu</w:t>
      </w:r>
      <w:r w:rsidR="006D506F">
        <w:rPr>
          <w:kern w:val="22"/>
          <w:szCs w:val="22"/>
          <w:lang w:val="fr-CA"/>
        </w:rPr>
        <w:t>x cadres conceptu</w:t>
      </w:r>
      <w:r w:rsidR="006751F3">
        <w:rPr>
          <w:kern w:val="22"/>
          <w:szCs w:val="22"/>
          <w:lang w:val="fr-CA"/>
        </w:rPr>
        <w:t>e</w:t>
      </w:r>
      <w:r w:rsidR="006D506F">
        <w:rPr>
          <w:kern w:val="22"/>
          <w:szCs w:val="22"/>
          <w:lang w:val="fr-CA"/>
        </w:rPr>
        <w:t>ls établis : le cadre des systèmes so</w:t>
      </w:r>
      <w:r w:rsidR="006751F3">
        <w:rPr>
          <w:kern w:val="22"/>
          <w:szCs w:val="22"/>
          <w:lang w:val="fr-CA"/>
        </w:rPr>
        <w:t>cioécologiques et le cadre d’analyse et de développement institutionnels</w:t>
      </w:r>
      <w:r w:rsidR="0032425B" w:rsidRPr="00F55816">
        <w:rPr>
          <w:kern w:val="22"/>
          <w:szCs w:val="22"/>
          <w:lang w:val="fr-CA"/>
        </w:rPr>
        <w:t>.</w:t>
      </w:r>
      <w:r w:rsidR="0003127A" w:rsidRPr="00F55816">
        <w:rPr>
          <w:rStyle w:val="FootnoteReference"/>
          <w:kern w:val="22"/>
          <w:szCs w:val="22"/>
          <w:lang w:val="fr-CA"/>
        </w:rPr>
        <w:footnoteReference w:id="25"/>
      </w:r>
    </w:p>
    <w:p w:rsidR="00CE0833" w:rsidRPr="00F55816" w:rsidRDefault="006751F3" w:rsidP="006A720D">
      <w:pPr>
        <w:pStyle w:val="Para1"/>
        <w:tabs>
          <w:tab w:val="clear" w:pos="360"/>
        </w:tabs>
        <w:rPr>
          <w:kern w:val="22"/>
          <w:lang w:val="fr-CA"/>
        </w:rPr>
      </w:pPr>
      <w:r>
        <w:rPr>
          <w:kern w:val="22"/>
          <w:lang w:val="fr-CA"/>
        </w:rPr>
        <w:t xml:space="preserve">Le cadre conceptuel et méthodologique des Mesures collectives des systèmes socioécologiques utilise l’exemple du rôle des mesures collectives des communautés locales pour la conservation de la diversité biologique et l’utilisation durable des régions forestières, et </w:t>
      </w:r>
      <w:r w:rsidR="00D4441B">
        <w:rPr>
          <w:kern w:val="22"/>
          <w:lang w:val="fr-CA"/>
        </w:rPr>
        <w:t>produit sur cette base une méthode de créer des indicateurs pour les mesures collectives et la mobilisation des ressources. Les trois modules proposés de l’évaluation permettent d’identifier des critères et des exemples d’indicateurs pour la mobilisation des ressources pouvant être développés sous forme d’indicateurs direct</w:t>
      </w:r>
      <w:r w:rsidR="002B54DC">
        <w:rPr>
          <w:kern w:val="22"/>
          <w:lang w:val="fr-CA"/>
        </w:rPr>
        <w:t>s</w:t>
      </w:r>
      <w:r w:rsidR="00D4441B">
        <w:rPr>
          <w:kern w:val="22"/>
          <w:lang w:val="fr-CA"/>
        </w:rPr>
        <w:t>, de substitution ou indirects, comme indiqué dans le tableau suivant</w:t>
      </w:r>
      <w:r w:rsidR="00C50BA4">
        <w:rPr>
          <w:kern w:val="22"/>
          <w:lang w:val="fr-CA"/>
        </w:rPr>
        <w:t> </w:t>
      </w:r>
      <w:r w:rsidR="00031B44" w:rsidRPr="00F55816">
        <w:rPr>
          <w:kern w:val="22"/>
          <w:szCs w:val="22"/>
          <w:lang w:val="fr-CA"/>
        </w:rPr>
        <w:t>:</w:t>
      </w:r>
      <w:r w:rsidR="00CE706E" w:rsidRPr="00F55816">
        <w:rPr>
          <w:rStyle w:val="FootnoteReference"/>
          <w:kern w:val="22"/>
          <w:szCs w:val="22"/>
          <w:lang w:val="fr-CA"/>
        </w:rPr>
        <w:footnoteReference w:id="26"/>
      </w:r>
    </w:p>
    <w:tbl>
      <w:tblPr>
        <w:tblW w:w="9498" w:type="dxa"/>
        <w:tblBorders>
          <w:top w:val="single" w:sz="4" w:space="0" w:color="7F7F7F"/>
          <w:bottom w:val="single" w:sz="4" w:space="0" w:color="7F7F7F"/>
        </w:tblBorders>
        <w:tblLayout w:type="fixed"/>
        <w:tblLook w:val="04A0" w:firstRow="1" w:lastRow="0" w:firstColumn="1" w:lastColumn="0" w:noHBand="0" w:noVBand="1"/>
      </w:tblPr>
      <w:tblGrid>
        <w:gridCol w:w="1818"/>
        <w:gridCol w:w="3840"/>
        <w:gridCol w:w="3840"/>
      </w:tblGrid>
      <w:tr w:rsidR="00CE0833" w:rsidRPr="00F55816" w:rsidTr="00132DF3">
        <w:trPr>
          <w:tblHeader/>
        </w:trPr>
        <w:tc>
          <w:tcPr>
            <w:tcW w:w="1818" w:type="dxa"/>
            <w:tcBorders>
              <w:bottom w:val="single" w:sz="4" w:space="0" w:color="7F7F7F"/>
            </w:tcBorders>
            <w:shd w:val="clear" w:color="auto" w:fill="auto"/>
          </w:tcPr>
          <w:p w:rsidR="00CE0833" w:rsidRPr="00F55816" w:rsidRDefault="00CE0833" w:rsidP="00132DF3">
            <w:pPr>
              <w:jc w:val="center"/>
              <w:rPr>
                <w:snapToGrid w:val="0"/>
                <w:spacing w:val="-8"/>
                <w:kern w:val="22"/>
                <w:szCs w:val="22"/>
                <w:lang w:val="fr-CA"/>
              </w:rPr>
            </w:pPr>
            <w:r w:rsidRPr="00F55816">
              <w:rPr>
                <w:b/>
                <w:bCs/>
                <w:snapToGrid w:val="0"/>
                <w:spacing w:val="-8"/>
                <w:kern w:val="22"/>
                <w:szCs w:val="22"/>
                <w:lang w:val="fr-CA"/>
              </w:rPr>
              <w:t>Module</w:t>
            </w:r>
          </w:p>
        </w:tc>
        <w:tc>
          <w:tcPr>
            <w:tcW w:w="3840" w:type="dxa"/>
            <w:tcBorders>
              <w:bottom w:val="single" w:sz="4" w:space="0" w:color="7F7F7F"/>
            </w:tcBorders>
            <w:shd w:val="clear" w:color="auto" w:fill="auto"/>
          </w:tcPr>
          <w:p w:rsidR="00CE0833" w:rsidRPr="00F55816" w:rsidRDefault="00D4441B" w:rsidP="00132DF3">
            <w:pPr>
              <w:jc w:val="center"/>
              <w:rPr>
                <w:snapToGrid w:val="0"/>
                <w:spacing w:val="-8"/>
                <w:kern w:val="22"/>
                <w:szCs w:val="22"/>
                <w:lang w:val="fr-CA"/>
              </w:rPr>
            </w:pPr>
            <w:r>
              <w:rPr>
                <w:b/>
                <w:bCs/>
                <w:snapToGrid w:val="0"/>
                <w:spacing w:val="-8"/>
                <w:kern w:val="22"/>
                <w:szCs w:val="22"/>
                <w:lang w:val="fr-CA"/>
              </w:rPr>
              <w:t>Critère</w:t>
            </w:r>
          </w:p>
        </w:tc>
        <w:tc>
          <w:tcPr>
            <w:tcW w:w="3840" w:type="dxa"/>
            <w:tcBorders>
              <w:bottom w:val="single" w:sz="4" w:space="0" w:color="7F7F7F"/>
            </w:tcBorders>
            <w:shd w:val="clear" w:color="auto" w:fill="auto"/>
          </w:tcPr>
          <w:p w:rsidR="00CE0833" w:rsidRPr="00F55816" w:rsidRDefault="00D4441B" w:rsidP="00132DF3">
            <w:pPr>
              <w:jc w:val="center"/>
              <w:rPr>
                <w:snapToGrid w:val="0"/>
                <w:spacing w:val="-8"/>
                <w:kern w:val="22"/>
                <w:szCs w:val="22"/>
                <w:lang w:val="fr-CA"/>
              </w:rPr>
            </w:pPr>
            <w:r>
              <w:rPr>
                <w:b/>
                <w:bCs/>
                <w:snapToGrid w:val="0"/>
                <w:spacing w:val="-8"/>
                <w:kern w:val="22"/>
                <w:szCs w:val="22"/>
                <w:lang w:val="fr-CA"/>
              </w:rPr>
              <w:t>Exemples d’indicateurs pour la mobilisation des ressources</w:t>
            </w:r>
          </w:p>
        </w:tc>
      </w:tr>
      <w:tr w:rsidR="00CE0833" w:rsidRPr="00F55816" w:rsidTr="009401A4">
        <w:tc>
          <w:tcPr>
            <w:tcW w:w="1818" w:type="dxa"/>
            <w:tcBorders>
              <w:top w:val="single" w:sz="4" w:space="0" w:color="7F7F7F"/>
              <w:bottom w:val="single" w:sz="4" w:space="0" w:color="7F7F7F"/>
            </w:tcBorders>
            <w:shd w:val="clear" w:color="auto" w:fill="auto"/>
          </w:tcPr>
          <w:p w:rsidR="00CE0833" w:rsidRPr="00F55816" w:rsidRDefault="00D4441B" w:rsidP="00BA501B">
            <w:pPr>
              <w:jc w:val="left"/>
              <w:rPr>
                <w:snapToGrid w:val="0"/>
                <w:spacing w:val="-8"/>
                <w:kern w:val="22"/>
                <w:szCs w:val="22"/>
                <w:lang w:val="fr-CA"/>
              </w:rPr>
            </w:pPr>
            <w:r>
              <w:rPr>
                <w:snapToGrid w:val="0"/>
                <w:spacing w:val="-8"/>
                <w:kern w:val="22"/>
                <w:szCs w:val="22"/>
                <w:lang w:val="fr-CA"/>
              </w:rPr>
              <w:t>Module de modélisation géospatiale</w:t>
            </w:r>
          </w:p>
        </w:tc>
        <w:tc>
          <w:tcPr>
            <w:tcW w:w="3840" w:type="dxa"/>
            <w:tcBorders>
              <w:top w:val="single" w:sz="4" w:space="0" w:color="7F7F7F"/>
              <w:bottom w:val="single" w:sz="4" w:space="0" w:color="7F7F7F"/>
            </w:tcBorders>
            <w:shd w:val="clear" w:color="auto" w:fill="auto"/>
          </w:tcPr>
          <w:p w:rsidR="00CE0833" w:rsidRPr="00F55816" w:rsidRDefault="00BA501B" w:rsidP="00132DF3">
            <w:pPr>
              <w:jc w:val="left"/>
              <w:rPr>
                <w:snapToGrid w:val="0"/>
                <w:spacing w:val="-8"/>
                <w:kern w:val="22"/>
                <w:szCs w:val="22"/>
                <w:lang w:val="fr-CA"/>
              </w:rPr>
            </w:pPr>
            <w:r>
              <w:rPr>
                <w:snapToGrid w:val="0"/>
                <w:spacing w:val="-8"/>
                <w:kern w:val="22"/>
                <w:szCs w:val="22"/>
                <w:lang w:val="fr-CA"/>
              </w:rPr>
              <w:t>Les utilisateurs des ressources locales sont en mesure de conserver les ressources naturelles malgré les pressions toujours plus fortes qu’exercent une population en croissance et les occasions de marché</w:t>
            </w:r>
          </w:p>
        </w:tc>
        <w:tc>
          <w:tcPr>
            <w:tcW w:w="3840" w:type="dxa"/>
            <w:tcBorders>
              <w:top w:val="single" w:sz="4" w:space="0" w:color="7F7F7F"/>
              <w:bottom w:val="single" w:sz="4" w:space="0" w:color="7F7F7F"/>
            </w:tcBorders>
            <w:shd w:val="clear" w:color="auto" w:fill="auto"/>
          </w:tcPr>
          <w:p w:rsidR="00CE0833" w:rsidRPr="00F55816" w:rsidRDefault="00BA501B" w:rsidP="009401A4">
            <w:pPr>
              <w:pStyle w:val="ListParagraph"/>
              <w:numPr>
                <w:ilvl w:val="0"/>
                <w:numId w:val="40"/>
              </w:numPr>
              <w:rPr>
                <w:snapToGrid w:val="0"/>
                <w:spacing w:val="-8"/>
                <w:kern w:val="22"/>
                <w:sz w:val="22"/>
                <w:szCs w:val="22"/>
                <w:lang w:val="fr-CA"/>
              </w:rPr>
            </w:pPr>
            <w:r>
              <w:rPr>
                <w:snapToGrid w:val="0"/>
                <w:spacing w:val="-8"/>
                <w:kern w:val="22"/>
                <w:sz w:val="22"/>
                <w:szCs w:val="22"/>
                <w:lang w:val="fr-CA"/>
              </w:rPr>
              <w:t>Aire conservée par les communautés locales</w:t>
            </w:r>
            <w:r w:rsidR="00CE0833" w:rsidRPr="00F55816">
              <w:rPr>
                <w:snapToGrid w:val="0"/>
                <w:spacing w:val="-8"/>
                <w:kern w:val="22"/>
                <w:sz w:val="22"/>
                <w:szCs w:val="22"/>
                <w:lang w:val="fr-CA"/>
              </w:rPr>
              <w:t xml:space="preserve"> (km</w:t>
            </w:r>
            <w:r w:rsidR="00CE0833" w:rsidRPr="00F55816">
              <w:rPr>
                <w:snapToGrid w:val="0"/>
                <w:spacing w:val="-8"/>
                <w:kern w:val="22"/>
                <w:sz w:val="22"/>
                <w:szCs w:val="22"/>
                <w:vertAlign w:val="superscript"/>
                <w:lang w:val="fr-CA"/>
              </w:rPr>
              <w:t>2</w:t>
            </w:r>
            <w:r w:rsidR="00CE0833" w:rsidRPr="00F55816">
              <w:rPr>
                <w:snapToGrid w:val="0"/>
                <w:spacing w:val="-8"/>
                <w:kern w:val="22"/>
                <w:sz w:val="22"/>
                <w:szCs w:val="22"/>
                <w:lang w:val="fr-CA"/>
              </w:rPr>
              <w:t>)</w:t>
            </w:r>
          </w:p>
          <w:p w:rsidR="00CE0833" w:rsidRPr="00F55816" w:rsidRDefault="00BA501B" w:rsidP="009401A4">
            <w:pPr>
              <w:pStyle w:val="ListParagraph"/>
              <w:numPr>
                <w:ilvl w:val="0"/>
                <w:numId w:val="40"/>
              </w:numPr>
              <w:rPr>
                <w:snapToGrid w:val="0"/>
                <w:spacing w:val="-8"/>
                <w:kern w:val="22"/>
                <w:sz w:val="22"/>
                <w:szCs w:val="22"/>
                <w:lang w:val="fr-CA"/>
              </w:rPr>
            </w:pPr>
            <w:r>
              <w:rPr>
                <w:snapToGrid w:val="0"/>
                <w:spacing w:val="-8"/>
                <w:kern w:val="22"/>
                <w:sz w:val="22"/>
                <w:szCs w:val="22"/>
                <w:lang w:val="fr-CA"/>
              </w:rPr>
              <w:t>Fonctions environnementales et inventaires des ressources régionales</w:t>
            </w:r>
          </w:p>
        </w:tc>
      </w:tr>
      <w:tr w:rsidR="00CE0833" w:rsidRPr="00F55816" w:rsidTr="009401A4">
        <w:tc>
          <w:tcPr>
            <w:tcW w:w="1818" w:type="dxa"/>
            <w:shd w:val="clear" w:color="auto" w:fill="auto"/>
          </w:tcPr>
          <w:p w:rsidR="00CE0833" w:rsidRPr="00F55816" w:rsidRDefault="00D4441B" w:rsidP="00BA501B">
            <w:pPr>
              <w:jc w:val="left"/>
              <w:rPr>
                <w:snapToGrid w:val="0"/>
                <w:spacing w:val="-8"/>
                <w:kern w:val="22"/>
                <w:szCs w:val="22"/>
                <w:lang w:val="fr-CA"/>
              </w:rPr>
            </w:pPr>
            <w:r>
              <w:rPr>
                <w:snapToGrid w:val="0"/>
                <w:spacing w:val="-8"/>
                <w:kern w:val="22"/>
                <w:szCs w:val="22"/>
                <w:lang w:val="fr-CA"/>
              </w:rPr>
              <w:t>Module d’analyse institutionnelle</w:t>
            </w:r>
          </w:p>
        </w:tc>
        <w:tc>
          <w:tcPr>
            <w:tcW w:w="3840" w:type="dxa"/>
            <w:shd w:val="clear" w:color="auto" w:fill="auto"/>
          </w:tcPr>
          <w:p w:rsidR="00CE0833" w:rsidRPr="002B54DC" w:rsidRDefault="00BA501B" w:rsidP="00132DF3">
            <w:pPr>
              <w:jc w:val="left"/>
              <w:rPr>
                <w:snapToGrid w:val="0"/>
                <w:spacing w:val="-8"/>
                <w:kern w:val="22"/>
                <w:szCs w:val="22"/>
                <w:lang w:val="fr-CA"/>
              </w:rPr>
            </w:pPr>
            <w:r w:rsidRPr="002B54DC">
              <w:rPr>
                <w:snapToGrid w:val="0"/>
                <w:spacing w:val="-8"/>
                <w:kern w:val="22"/>
                <w:szCs w:val="22"/>
                <w:lang w:val="fr-CA"/>
              </w:rPr>
              <w:t>Participation active des utilisateurs des ressources locales à la création, au suivi et à l’application des règlements associés aux ressources naturelles et aux fonctions environnementales</w:t>
            </w:r>
            <w:r w:rsidR="008E64A3">
              <w:rPr>
                <w:snapToGrid w:val="0"/>
                <w:spacing w:val="-8"/>
                <w:kern w:val="22"/>
                <w:szCs w:val="22"/>
                <w:lang w:val="fr-CA"/>
              </w:rPr>
              <w:t>,</w:t>
            </w:r>
            <w:r w:rsidRPr="002B54DC">
              <w:rPr>
                <w:snapToGrid w:val="0"/>
                <w:spacing w:val="-8"/>
                <w:kern w:val="22"/>
                <w:szCs w:val="22"/>
                <w:lang w:val="fr-CA"/>
              </w:rPr>
              <w:t xml:space="preserve"> qui améliorent la rentabilité des efforts de conservation à l’intérieur et à l’extérieur des aires protégées</w:t>
            </w:r>
          </w:p>
        </w:tc>
        <w:tc>
          <w:tcPr>
            <w:tcW w:w="3840" w:type="dxa"/>
            <w:shd w:val="clear" w:color="auto" w:fill="auto"/>
          </w:tcPr>
          <w:p w:rsidR="00CE0833" w:rsidRPr="002B54DC" w:rsidRDefault="00BA501B"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Indicateurs d’équivalent de main d’œuvre</w:t>
            </w:r>
          </w:p>
          <w:p w:rsidR="00CE0833" w:rsidRPr="002B54DC" w:rsidRDefault="00BA501B"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Indicateurs de mesures collectives en lien avec la conservation</w:t>
            </w:r>
          </w:p>
          <w:p w:rsidR="00CE0833" w:rsidRPr="002B54DC" w:rsidRDefault="00BA501B"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Contributions au bien-être local/humain</w:t>
            </w:r>
          </w:p>
          <w:p w:rsidR="00CE0833" w:rsidRPr="002B54DC" w:rsidRDefault="00BA501B"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Valeurs sociales et culturelles intangibles</w:t>
            </w:r>
          </w:p>
          <w:p w:rsidR="00CE0833" w:rsidRPr="002B54DC" w:rsidRDefault="00BA501B"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Fonctions environnementales locales et inventaires des ressources</w:t>
            </w:r>
          </w:p>
        </w:tc>
      </w:tr>
      <w:tr w:rsidR="00CE0833" w:rsidRPr="00F55816" w:rsidTr="009401A4">
        <w:tc>
          <w:tcPr>
            <w:tcW w:w="1818" w:type="dxa"/>
            <w:tcBorders>
              <w:top w:val="single" w:sz="4" w:space="0" w:color="7F7F7F"/>
              <w:bottom w:val="single" w:sz="4" w:space="0" w:color="7F7F7F"/>
            </w:tcBorders>
            <w:shd w:val="clear" w:color="auto" w:fill="auto"/>
          </w:tcPr>
          <w:p w:rsidR="00CE0833" w:rsidRPr="00F55816" w:rsidRDefault="00D4441B" w:rsidP="00BA501B">
            <w:pPr>
              <w:jc w:val="left"/>
              <w:rPr>
                <w:snapToGrid w:val="0"/>
                <w:spacing w:val="-8"/>
                <w:kern w:val="22"/>
                <w:szCs w:val="22"/>
                <w:lang w:val="fr-CA"/>
              </w:rPr>
            </w:pPr>
            <w:r>
              <w:rPr>
                <w:snapToGrid w:val="0"/>
                <w:spacing w:val="-8"/>
                <w:kern w:val="22"/>
                <w:szCs w:val="22"/>
                <w:lang w:val="fr-CA"/>
              </w:rPr>
              <w:t>Module d’évaluation écologique</w:t>
            </w:r>
          </w:p>
        </w:tc>
        <w:tc>
          <w:tcPr>
            <w:tcW w:w="3840" w:type="dxa"/>
            <w:tcBorders>
              <w:top w:val="single" w:sz="4" w:space="0" w:color="7F7F7F"/>
              <w:bottom w:val="single" w:sz="4" w:space="0" w:color="7F7F7F"/>
            </w:tcBorders>
            <w:shd w:val="clear" w:color="auto" w:fill="auto"/>
          </w:tcPr>
          <w:p w:rsidR="00CE0833" w:rsidRPr="002B54DC" w:rsidRDefault="00F9475D" w:rsidP="00132DF3">
            <w:pPr>
              <w:jc w:val="left"/>
              <w:rPr>
                <w:snapToGrid w:val="0"/>
                <w:spacing w:val="-8"/>
                <w:kern w:val="22"/>
                <w:szCs w:val="22"/>
                <w:lang w:val="fr-CA"/>
              </w:rPr>
            </w:pPr>
            <w:r w:rsidRPr="002B54DC">
              <w:rPr>
                <w:snapToGrid w:val="0"/>
                <w:spacing w:val="-8"/>
                <w:kern w:val="22"/>
                <w:szCs w:val="22"/>
                <w:lang w:val="fr-CA"/>
              </w:rPr>
              <w:t>Les e</w:t>
            </w:r>
            <w:r w:rsidR="00BA501B" w:rsidRPr="002B54DC">
              <w:rPr>
                <w:snapToGrid w:val="0"/>
                <w:spacing w:val="-8"/>
                <w:kern w:val="22"/>
                <w:szCs w:val="22"/>
                <w:lang w:val="fr-CA"/>
              </w:rPr>
              <w:t>fforts de protection locaux, individuels ou collectifs</w:t>
            </w:r>
            <w:r w:rsidRPr="002B54DC">
              <w:rPr>
                <w:snapToGrid w:val="0"/>
                <w:spacing w:val="-8"/>
                <w:kern w:val="22"/>
                <w:szCs w:val="22"/>
                <w:lang w:val="fr-CA"/>
              </w:rPr>
              <w:t>, améliorent l’état de la base de la ressource naturelle</w:t>
            </w:r>
            <w:r w:rsidR="00CE0833" w:rsidRPr="002B54DC">
              <w:rPr>
                <w:snapToGrid w:val="0"/>
                <w:spacing w:val="-8"/>
                <w:kern w:val="22"/>
                <w:szCs w:val="22"/>
                <w:lang w:val="fr-CA"/>
              </w:rPr>
              <w:t>.</w:t>
            </w:r>
          </w:p>
        </w:tc>
        <w:tc>
          <w:tcPr>
            <w:tcW w:w="3840" w:type="dxa"/>
            <w:tcBorders>
              <w:top w:val="single" w:sz="4" w:space="0" w:color="7F7F7F"/>
              <w:bottom w:val="single" w:sz="4" w:space="0" w:color="7F7F7F"/>
            </w:tcBorders>
            <w:shd w:val="clear" w:color="auto" w:fill="auto"/>
          </w:tcPr>
          <w:p w:rsidR="00CE0833" w:rsidRPr="002B54DC" w:rsidRDefault="00F9475D"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Approvisionnement de la ressource et sécurité des aliments</w:t>
            </w:r>
          </w:p>
          <w:p w:rsidR="00CE0833" w:rsidRPr="002B54DC" w:rsidRDefault="00F9475D"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Richesse des espèces</w:t>
            </w:r>
          </w:p>
          <w:p w:rsidR="00CE0833" w:rsidRPr="002B54DC" w:rsidRDefault="00F9475D" w:rsidP="009401A4">
            <w:pPr>
              <w:pStyle w:val="ListParagraph"/>
              <w:numPr>
                <w:ilvl w:val="0"/>
                <w:numId w:val="40"/>
              </w:numPr>
              <w:rPr>
                <w:snapToGrid w:val="0"/>
                <w:spacing w:val="-8"/>
                <w:kern w:val="22"/>
                <w:sz w:val="22"/>
                <w:szCs w:val="22"/>
                <w:lang w:val="fr-CA"/>
              </w:rPr>
            </w:pPr>
            <w:r w:rsidRPr="002B54DC">
              <w:rPr>
                <w:snapToGrid w:val="0"/>
                <w:spacing w:val="-8"/>
                <w:kern w:val="22"/>
                <w:sz w:val="22"/>
                <w:szCs w:val="22"/>
                <w:lang w:val="fr-CA"/>
              </w:rPr>
              <w:t>État de la conservation</w:t>
            </w:r>
          </w:p>
        </w:tc>
      </w:tr>
    </w:tbl>
    <w:p w:rsidR="004C4E06" w:rsidRPr="00F55816" w:rsidRDefault="00F9475D" w:rsidP="006A720D">
      <w:pPr>
        <w:pStyle w:val="Para1"/>
        <w:tabs>
          <w:tab w:val="clear" w:pos="360"/>
        </w:tabs>
        <w:rPr>
          <w:kern w:val="22"/>
          <w:lang w:val="fr-CA"/>
        </w:rPr>
      </w:pPr>
      <w:r>
        <w:rPr>
          <w:kern w:val="22"/>
          <w:lang w:val="fr-CA"/>
        </w:rPr>
        <w:lastRenderedPageBreak/>
        <w:t xml:space="preserve">Cette approche </w:t>
      </w:r>
      <w:r w:rsidR="00ED19AA">
        <w:rPr>
          <w:kern w:val="22"/>
          <w:lang w:val="fr-CA"/>
        </w:rPr>
        <w:t>au développement de</w:t>
      </w:r>
      <w:r>
        <w:rPr>
          <w:kern w:val="22"/>
          <w:lang w:val="fr-CA"/>
        </w:rPr>
        <w:t xml:space="preserve"> paramètres pour l’évaluation est une innovation importante du cadre et présente un moyen possible d’avancer les futurs d</w:t>
      </w:r>
      <w:r w:rsidR="005B3CAD">
        <w:rPr>
          <w:kern w:val="22"/>
          <w:lang w:val="fr-CA"/>
        </w:rPr>
        <w:t>éveloppements méthodologiques</w:t>
      </w:r>
      <w:r w:rsidR="007A5DD8">
        <w:rPr>
          <w:kern w:val="22"/>
          <w:lang w:val="fr-CA"/>
        </w:rPr>
        <w:t>;</w:t>
      </w:r>
      <w:r w:rsidR="005B3CAD">
        <w:rPr>
          <w:kern w:val="22"/>
          <w:lang w:val="fr-CA"/>
        </w:rPr>
        <w:t xml:space="preserve"> certains indicateurs reposant sur des données quantitatives demeureront toujours utiles, surtout dans le contexte des rapports sur la mobilisation des ressources, i</w:t>
      </w:r>
      <w:r w:rsidR="008E64A3">
        <w:rPr>
          <w:kern w:val="22"/>
          <w:lang w:val="fr-CA"/>
        </w:rPr>
        <w:t>ndépendamment du besoin de</w:t>
      </w:r>
      <w:r>
        <w:rPr>
          <w:kern w:val="22"/>
          <w:lang w:val="fr-CA"/>
        </w:rPr>
        <w:t xml:space="preserve"> méthodes qualitatives pou</w:t>
      </w:r>
      <w:r w:rsidR="005B3CAD">
        <w:rPr>
          <w:kern w:val="22"/>
          <w:lang w:val="fr-CA"/>
        </w:rPr>
        <w:t>r évaluer les contributions de</w:t>
      </w:r>
      <w:r>
        <w:rPr>
          <w:kern w:val="22"/>
          <w:lang w:val="fr-CA"/>
        </w:rPr>
        <w:t>s</w:t>
      </w:r>
      <w:r w:rsidR="005B3CAD">
        <w:rPr>
          <w:kern w:val="22"/>
          <w:lang w:val="fr-CA"/>
        </w:rPr>
        <w:t xml:space="preserve"> </w:t>
      </w:r>
      <w:r>
        <w:rPr>
          <w:kern w:val="22"/>
          <w:lang w:val="fr-CA"/>
        </w:rPr>
        <w:t>mesures collectives</w:t>
      </w:r>
      <w:r w:rsidR="00AF3C67" w:rsidRPr="00F55816">
        <w:rPr>
          <w:kern w:val="22"/>
          <w:lang w:val="fr-CA"/>
        </w:rPr>
        <w:t>.</w:t>
      </w:r>
    </w:p>
    <w:p w:rsidR="00AF3C67" w:rsidRPr="00F55816" w:rsidRDefault="005B3CAD" w:rsidP="00D5717D">
      <w:pPr>
        <w:pStyle w:val="Para1"/>
        <w:tabs>
          <w:tab w:val="clear" w:pos="360"/>
        </w:tabs>
        <w:rPr>
          <w:kern w:val="22"/>
          <w:lang w:val="fr-CA"/>
        </w:rPr>
      </w:pPr>
      <w:r>
        <w:rPr>
          <w:kern w:val="22"/>
          <w:lang w:val="fr-CA"/>
        </w:rPr>
        <w:t xml:space="preserve">Travailler à différentes échelles peut représenter un autre aspect important du cadre, car cela permet de reconnaître les liens </w:t>
      </w:r>
      <w:r w:rsidR="00193C18">
        <w:rPr>
          <w:kern w:val="22"/>
          <w:lang w:val="fr-CA"/>
        </w:rPr>
        <w:t>à l’intérieur</w:t>
      </w:r>
      <w:r w:rsidR="008E64A3">
        <w:rPr>
          <w:kern w:val="22"/>
          <w:lang w:val="fr-CA"/>
        </w:rPr>
        <w:t xml:space="preserve"> du</w:t>
      </w:r>
      <w:r>
        <w:rPr>
          <w:kern w:val="22"/>
          <w:lang w:val="fr-CA"/>
        </w:rPr>
        <w:t xml:space="preserve"> paysage </w:t>
      </w:r>
      <w:r w:rsidR="00602171">
        <w:rPr>
          <w:kern w:val="22"/>
          <w:lang w:val="fr-CA"/>
        </w:rPr>
        <w:t>tout en examinant de près l</w:t>
      </w:r>
      <w:r>
        <w:rPr>
          <w:kern w:val="22"/>
          <w:lang w:val="fr-CA"/>
        </w:rPr>
        <w:t xml:space="preserve">es contributions </w:t>
      </w:r>
      <w:r w:rsidR="00602171">
        <w:rPr>
          <w:kern w:val="22"/>
          <w:lang w:val="fr-CA"/>
        </w:rPr>
        <w:t>et les contextes locaux</w:t>
      </w:r>
      <w:r w:rsidR="00BC2402" w:rsidRPr="00F55816">
        <w:rPr>
          <w:kern w:val="22"/>
          <w:lang w:val="fr-CA"/>
        </w:rPr>
        <w:t>.</w:t>
      </w:r>
      <w:r w:rsidR="00602171">
        <w:rPr>
          <w:kern w:val="22"/>
          <w:lang w:val="fr-CA"/>
        </w:rPr>
        <w:t xml:space="preserve"> L’équilibre entre les grandes et les petites échelles exige toutefois un examen minutieux et des prédictions fondées sur la modélisation géospatiale, car l’expérience a démontré que les données disponibles pour de tels exercices ne reflète</w:t>
      </w:r>
      <w:r w:rsidR="00193C18">
        <w:rPr>
          <w:kern w:val="22"/>
          <w:lang w:val="fr-CA"/>
        </w:rPr>
        <w:t>nt</w:t>
      </w:r>
      <w:r w:rsidR="00602171">
        <w:rPr>
          <w:kern w:val="22"/>
          <w:lang w:val="fr-CA"/>
        </w:rPr>
        <w:t xml:space="preserve"> pas toujours la réalité et les problèmes complexes tels que la sous-déclaration de la gestion coutumière.</w:t>
      </w:r>
    </w:p>
    <w:p w:rsidR="00D80DC3" w:rsidRPr="00873250" w:rsidRDefault="004C3900" w:rsidP="00626292">
      <w:pPr>
        <w:pStyle w:val="Para1"/>
        <w:tabs>
          <w:tab w:val="clear" w:pos="360"/>
        </w:tabs>
        <w:rPr>
          <w:kern w:val="22"/>
          <w:lang w:val="fr-CA"/>
        </w:rPr>
      </w:pPr>
      <w:r>
        <w:rPr>
          <w:kern w:val="22"/>
          <w:lang w:val="fr-CA"/>
        </w:rPr>
        <w:t xml:space="preserve">Le cadre demeure expérimental, à cette étape, </w:t>
      </w:r>
      <w:r w:rsidRPr="00873250">
        <w:rPr>
          <w:kern w:val="22"/>
          <w:lang w:val="fr-CA"/>
        </w:rPr>
        <w:t>et son développement peut se heurter à certains obstacles tels que l</w:t>
      </w:r>
      <w:r w:rsidR="00873250">
        <w:rPr>
          <w:kern w:val="22"/>
          <w:lang w:val="fr-CA"/>
        </w:rPr>
        <w:t>a disponibilité des données et l</w:t>
      </w:r>
      <w:r w:rsidRPr="00873250">
        <w:rPr>
          <w:kern w:val="22"/>
          <w:lang w:val="fr-CA"/>
        </w:rPr>
        <w:t xml:space="preserve">e niveau de ressources et d’effort que son application pourrait </w:t>
      </w:r>
      <w:r w:rsidR="00873250">
        <w:rPr>
          <w:kern w:val="22"/>
          <w:lang w:val="fr-CA"/>
        </w:rPr>
        <w:t>exiger</w:t>
      </w:r>
      <w:r w:rsidRPr="00873250">
        <w:rPr>
          <w:kern w:val="22"/>
          <w:lang w:val="fr-CA"/>
        </w:rPr>
        <w:t>. Comme le cadre lui-même l’indique, l’évaluation du rôle des mesures col</w:t>
      </w:r>
      <w:r w:rsidR="00873250">
        <w:rPr>
          <w:kern w:val="22"/>
          <w:lang w:val="fr-CA"/>
        </w:rPr>
        <w:t>lectives dans d’autres domaines</w:t>
      </w:r>
      <w:r w:rsidRPr="00873250">
        <w:rPr>
          <w:kern w:val="22"/>
          <w:lang w:val="fr-CA"/>
        </w:rPr>
        <w:t xml:space="preserve"> tels que l’eau, les services environnementaux </w:t>
      </w:r>
      <w:r w:rsidR="00E323AA" w:rsidRPr="00873250">
        <w:rPr>
          <w:kern w:val="22"/>
          <w:lang w:val="fr-CA"/>
        </w:rPr>
        <w:t>et la sécurité des aliments n’e</w:t>
      </w:r>
      <w:r w:rsidRPr="00873250">
        <w:rPr>
          <w:kern w:val="22"/>
          <w:lang w:val="fr-CA"/>
        </w:rPr>
        <w:t>st pas abordée et devra l’être lors de futures étapes</w:t>
      </w:r>
      <w:r w:rsidR="00D80DC3" w:rsidRPr="00873250">
        <w:rPr>
          <w:kern w:val="22"/>
          <w:szCs w:val="22"/>
          <w:lang w:val="fr-CA"/>
        </w:rPr>
        <w:t>.</w:t>
      </w:r>
    </w:p>
    <w:p w:rsidR="00D56B19" w:rsidRPr="00873250" w:rsidRDefault="00E323AA" w:rsidP="005432C0">
      <w:pPr>
        <w:pStyle w:val="Para1"/>
        <w:tabs>
          <w:tab w:val="clear" w:pos="360"/>
        </w:tabs>
        <w:rPr>
          <w:kern w:val="22"/>
          <w:szCs w:val="22"/>
          <w:lang w:val="fr-CA"/>
        </w:rPr>
      </w:pPr>
      <w:r w:rsidRPr="00873250">
        <w:rPr>
          <w:kern w:val="22"/>
          <w:szCs w:val="22"/>
          <w:lang w:val="fr-CA"/>
        </w:rPr>
        <w:t>L’approche fondée sur</w:t>
      </w:r>
      <w:r w:rsidR="004C3900" w:rsidRPr="00873250">
        <w:rPr>
          <w:kern w:val="22"/>
          <w:szCs w:val="22"/>
          <w:lang w:val="fr-CA"/>
        </w:rPr>
        <w:t xml:space="preserve"> des preuves multiples </w:t>
      </w:r>
      <w:r w:rsidRPr="00873250">
        <w:rPr>
          <w:kern w:val="22"/>
          <w:szCs w:val="22"/>
          <w:lang w:val="fr-CA"/>
        </w:rPr>
        <w:t>est basé</w:t>
      </w:r>
      <w:r w:rsidR="00873250">
        <w:rPr>
          <w:kern w:val="22"/>
          <w:szCs w:val="22"/>
          <w:lang w:val="fr-CA"/>
        </w:rPr>
        <w:t>e</w:t>
      </w:r>
      <w:r w:rsidRPr="00873250">
        <w:rPr>
          <w:kern w:val="22"/>
          <w:szCs w:val="22"/>
          <w:lang w:val="fr-CA"/>
        </w:rPr>
        <w:t xml:space="preserve"> sur la reconnaissance que les </w:t>
      </w:r>
      <w:r w:rsidRPr="00873250">
        <w:rPr>
          <w:rFonts w:eastAsia="MS Mincho"/>
          <w:kern w:val="22"/>
          <w:szCs w:val="22"/>
          <w:lang w:val="fr-CA"/>
        </w:rPr>
        <w:t>systèmes de connaissances autochtones, locales et scientifiques sont différentes manifestations de systèmes de connaissances utiles et aussi valides les uns que les autres qui produisent des preuves complémentaires pour l’interprétation des conditions, des changements, des trajectoires et des relations de cause à effet en lien avec la gouvernance durable des écosystèmes et de la biodiversité</w:t>
      </w:r>
      <w:r w:rsidRPr="00873250">
        <w:rPr>
          <w:kern w:val="22"/>
          <w:szCs w:val="22"/>
          <w:lang w:val="fr-CA"/>
        </w:rPr>
        <w:t xml:space="preserve"> (voir la section A, ci-dessus)</w:t>
      </w:r>
      <w:r w:rsidR="008F2199" w:rsidRPr="00873250">
        <w:rPr>
          <w:kern w:val="22"/>
          <w:szCs w:val="22"/>
          <w:lang w:val="fr-CA"/>
        </w:rPr>
        <w:t>, ce qui donne lieu à d’importants facteurs méthodologiques tels que :</w:t>
      </w:r>
    </w:p>
    <w:p w:rsidR="00EF53B4" w:rsidRPr="00873250" w:rsidRDefault="008F2199" w:rsidP="00132DF3">
      <w:pPr>
        <w:pStyle w:val="Para1"/>
        <w:numPr>
          <w:ilvl w:val="1"/>
          <w:numId w:val="3"/>
        </w:numPr>
        <w:spacing w:before="0"/>
        <w:rPr>
          <w:kern w:val="22"/>
          <w:szCs w:val="22"/>
          <w:lang w:val="fr-CA"/>
        </w:rPr>
      </w:pPr>
      <w:r w:rsidRPr="00873250">
        <w:rPr>
          <w:kern w:val="22"/>
          <w:szCs w:val="22"/>
          <w:lang w:val="fr-CA"/>
        </w:rPr>
        <w:t>Différents critères de validation doivent être appliqués aux données et à l’information provenant des différents syst</w:t>
      </w:r>
      <w:r w:rsidR="004E47F2" w:rsidRPr="00873250">
        <w:rPr>
          <w:kern w:val="22"/>
          <w:szCs w:val="22"/>
          <w:lang w:val="fr-CA"/>
        </w:rPr>
        <w:t>èmes de conna</w:t>
      </w:r>
      <w:r w:rsidRPr="00873250">
        <w:rPr>
          <w:kern w:val="22"/>
          <w:szCs w:val="22"/>
          <w:lang w:val="fr-CA"/>
        </w:rPr>
        <w:t xml:space="preserve">issances. </w:t>
      </w:r>
      <w:r w:rsidR="004E47F2" w:rsidRPr="00873250">
        <w:rPr>
          <w:kern w:val="22"/>
          <w:szCs w:val="22"/>
          <w:lang w:val="fr-CA"/>
        </w:rPr>
        <w:t>La validation des conna</w:t>
      </w:r>
      <w:r w:rsidRPr="00873250">
        <w:rPr>
          <w:kern w:val="22"/>
          <w:szCs w:val="22"/>
          <w:lang w:val="fr-CA"/>
        </w:rPr>
        <w:t xml:space="preserve">issances doit se faire </w:t>
      </w:r>
      <w:r w:rsidR="00193C18">
        <w:rPr>
          <w:kern w:val="22"/>
          <w:szCs w:val="22"/>
          <w:lang w:val="fr-CA"/>
        </w:rPr>
        <w:t>à l’intérieur</w:t>
      </w:r>
      <w:r w:rsidRPr="00873250">
        <w:rPr>
          <w:kern w:val="22"/>
          <w:szCs w:val="22"/>
          <w:lang w:val="fr-CA"/>
        </w:rPr>
        <w:t xml:space="preserve"> d’un </w:t>
      </w:r>
      <w:r w:rsidR="00193C18">
        <w:rPr>
          <w:kern w:val="22"/>
          <w:szCs w:val="22"/>
          <w:lang w:val="fr-CA"/>
        </w:rPr>
        <w:t xml:space="preserve">même </w:t>
      </w:r>
      <w:r w:rsidRPr="00873250">
        <w:rPr>
          <w:kern w:val="22"/>
          <w:szCs w:val="22"/>
          <w:lang w:val="fr-CA"/>
        </w:rPr>
        <w:t>syst</w:t>
      </w:r>
      <w:r w:rsidR="004E47F2" w:rsidRPr="00873250">
        <w:rPr>
          <w:kern w:val="22"/>
          <w:szCs w:val="22"/>
          <w:lang w:val="fr-CA"/>
        </w:rPr>
        <w:t>ème de conna</w:t>
      </w:r>
      <w:r w:rsidRPr="00873250">
        <w:rPr>
          <w:kern w:val="22"/>
          <w:szCs w:val="22"/>
          <w:lang w:val="fr-CA"/>
        </w:rPr>
        <w:t>issances et non à l’échelle de tous les systèmes, et des évaluations conjointes</w:t>
      </w:r>
      <w:r w:rsidR="004E47F2" w:rsidRPr="00873250">
        <w:rPr>
          <w:kern w:val="22"/>
          <w:szCs w:val="22"/>
          <w:lang w:val="fr-CA"/>
        </w:rPr>
        <w:t xml:space="preserve"> doivent être menées sur la contribution des connaissances</w:t>
      </w:r>
      <w:r w:rsidR="007A5DD8">
        <w:rPr>
          <w:kern w:val="22"/>
          <w:szCs w:val="22"/>
          <w:lang w:val="fr-CA"/>
        </w:rPr>
        <w:t>;</w:t>
      </w:r>
    </w:p>
    <w:p w:rsidR="00EF53B4" w:rsidRPr="00873250" w:rsidRDefault="004E47F2" w:rsidP="00132DF3">
      <w:pPr>
        <w:pStyle w:val="Para1"/>
        <w:numPr>
          <w:ilvl w:val="1"/>
          <w:numId w:val="3"/>
        </w:numPr>
        <w:spacing w:before="0"/>
        <w:rPr>
          <w:kern w:val="22"/>
          <w:szCs w:val="22"/>
          <w:lang w:val="fr-CA"/>
        </w:rPr>
      </w:pPr>
      <w:r w:rsidRPr="00873250">
        <w:rPr>
          <w:kern w:val="22"/>
          <w:szCs w:val="22"/>
          <w:lang w:val="fr-CA"/>
        </w:rPr>
        <w:t>L’approche crée un point de départ équitable pour les façons de procéder consensuelle</w:t>
      </w:r>
      <w:r w:rsidR="00B5526F">
        <w:rPr>
          <w:kern w:val="22"/>
          <w:szCs w:val="22"/>
          <w:lang w:val="fr-CA"/>
        </w:rPr>
        <w:t>s</w:t>
      </w:r>
      <w:r w:rsidRPr="00873250">
        <w:rPr>
          <w:kern w:val="22"/>
          <w:szCs w:val="22"/>
          <w:lang w:val="fr-CA"/>
        </w:rPr>
        <w:t>, dont le potentiel de co-production de connaissances</w:t>
      </w:r>
      <w:r w:rsidR="007A5DD8">
        <w:rPr>
          <w:kern w:val="22"/>
          <w:szCs w:val="22"/>
          <w:lang w:val="fr-CA"/>
        </w:rPr>
        <w:t>;</w:t>
      </w:r>
    </w:p>
    <w:p w:rsidR="00EF53B4" w:rsidRPr="00873250" w:rsidRDefault="00800270" w:rsidP="00132DF3">
      <w:pPr>
        <w:pStyle w:val="Para1"/>
        <w:numPr>
          <w:ilvl w:val="1"/>
          <w:numId w:val="3"/>
        </w:numPr>
        <w:spacing w:before="0"/>
        <w:rPr>
          <w:kern w:val="22"/>
          <w:szCs w:val="22"/>
          <w:lang w:val="fr-CA"/>
        </w:rPr>
      </w:pPr>
      <w:r w:rsidRPr="00873250">
        <w:rPr>
          <w:kern w:val="22"/>
          <w:szCs w:val="22"/>
          <w:lang w:val="fr-CA"/>
        </w:rPr>
        <w:t>Il y a une certaine valeur à laisser les systèmes de connaissances s’affirmer individuellement, dans leur propre contexte, dans une démarche en parallèle ou concurrentes</w:t>
      </w:r>
      <w:r w:rsidR="003A5C6D">
        <w:rPr>
          <w:kern w:val="22"/>
          <w:szCs w:val="22"/>
          <w:lang w:val="fr-CA"/>
        </w:rPr>
        <w:t>;</w:t>
      </w:r>
      <w:r w:rsidRPr="00873250">
        <w:rPr>
          <w:kern w:val="22"/>
          <w:szCs w:val="22"/>
          <w:lang w:val="fr-CA"/>
        </w:rPr>
        <w:t xml:space="preserve"> les perspectives complémentaires créeront une image plus riche des difficultés</w:t>
      </w:r>
      <w:r w:rsidR="007A5DD8">
        <w:rPr>
          <w:kern w:val="22"/>
          <w:szCs w:val="22"/>
          <w:lang w:val="fr-CA"/>
        </w:rPr>
        <w:t>;</w:t>
      </w:r>
    </w:p>
    <w:p w:rsidR="00D552B2" w:rsidRPr="00873250" w:rsidRDefault="00800270" w:rsidP="00132DF3">
      <w:pPr>
        <w:pStyle w:val="Para1"/>
        <w:numPr>
          <w:ilvl w:val="1"/>
          <w:numId w:val="3"/>
        </w:numPr>
        <w:spacing w:before="0"/>
        <w:rPr>
          <w:kern w:val="22"/>
          <w:szCs w:val="22"/>
          <w:lang w:val="fr-CA"/>
        </w:rPr>
      </w:pPr>
      <w:r w:rsidRPr="00873250">
        <w:rPr>
          <w:kern w:val="22"/>
          <w:szCs w:val="22"/>
          <w:lang w:val="fr-CA"/>
        </w:rPr>
        <w:t>Une attention spéciale doit être accordée aux acteurs incarnant et représentant les systèmes de connaissances et les contextes de gouvernance connexes, surtout dans le contexte institutionnel et des processus de collaboration, qui devraient être équitables et</w:t>
      </w:r>
      <w:r w:rsidR="00F81652" w:rsidRPr="00873250">
        <w:rPr>
          <w:kern w:val="22"/>
          <w:szCs w:val="22"/>
          <w:lang w:val="fr-CA"/>
        </w:rPr>
        <w:t xml:space="preserve"> </w:t>
      </w:r>
      <w:r w:rsidR="00B5526F">
        <w:rPr>
          <w:kern w:val="22"/>
          <w:szCs w:val="22"/>
          <w:lang w:val="fr-CA"/>
        </w:rPr>
        <w:t>stimulants</w:t>
      </w:r>
      <w:r w:rsidR="00F81652" w:rsidRPr="00873250">
        <w:rPr>
          <w:kern w:val="22"/>
          <w:szCs w:val="22"/>
          <w:lang w:val="fr-CA"/>
        </w:rPr>
        <w:t xml:space="preserve"> grâce à une participation utile. Toute la diversité des connaissances autochtones et locales dans un contexte donné devrait pouvoir contribuer à l’évaluation sur la base de l’équité et de la réciprocité des systèmes de connaissances</w:t>
      </w:r>
      <w:r w:rsidR="007A5DD8">
        <w:rPr>
          <w:kern w:val="22"/>
          <w:szCs w:val="22"/>
          <w:lang w:val="fr-CA"/>
        </w:rPr>
        <w:t>;</w:t>
      </w:r>
    </w:p>
    <w:p w:rsidR="00D552B2" w:rsidRPr="00873250" w:rsidRDefault="00F81652" w:rsidP="00132DF3">
      <w:pPr>
        <w:pStyle w:val="Para1"/>
        <w:numPr>
          <w:ilvl w:val="1"/>
          <w:numId w:val="3"/>
        </w:numPr>
        <w:spacing w:before="0"/>
        <w:rPr>
          <w:kern w:val="22"/>
          <w:szCs w:val="22"/>
          <w:lang w:val="fr-CA"/>
        </w:rPr>
      </w:pPr>
      <w:r w:rsidRPr="00873250">
        <w:rPr>
          <w:kern w:val="22"/>
          <w:szCs w:val="22"/>
          <w:lang w:val="fr-CA"/>
        </w:rPr>
        <w:t>Les évaluations doivent aussi inclure des échanges entre les systèmes de connaissances réalisés au moyen de méthodes non conventionnelles qui contribuent aux échanges libres</w:t>
      </w:r>
      <w:r w:rsidR="007A5DD8">
        <w:rPr>
          <w:kern w:val="22"/>
          <w:szCs w:val="22"/>
          <w:lang w:val="fr-CA"/>
        </w:rPr>
        <w:t>;</w:t>
      </w:r>
    </w:p>
    <w:p w:rsidR="00F92EE1" w:rsidRPr="00F55816" w:rsidRDefault="00687F45" w:rsidP="00132DF3">
      <w:pPr>
        <w:pStyle w:val="Para1"/>
        <w:numPr>
          <w:ilvl w:val="1"/>
          <w:numId w:val="3"/>
        </w:numPr>
        <w:spacing w:before="0"/>
        <w:rPr>
          <w:kern w:val="22"/>
          <w:szCs w:val="22"/>
          <w:lang w:val="fr-CA"/>
        </w:rPr>
      </w:pPr>
      <w:r>
        <w:rPr>
          <w:kern w:val="22"/>
          <w:szCs w:val="22"/>
          <w:lang w:val="fr-CA"/>
        </w:rPr>
        <w:t>La combinaison</w:t>
      </w:r>
      <w:r w:rsidR="008532AA" w:rsidRPr="00873250">
        <w:rPr>
          <w:kern w:val="22"/>
          <w:szCs w:val="22"/>
          <w:lang w:val="fr-CA"/>
        </w:rPr>
        <w:t xml:space="preserve"> de données qualitatives et quantitatives, et le travail dans différentes échelles, </w:t>
      </w:r>
      <w:r w:rsidR="003A5C6D">
        <w:rPr>
          <w:kern w:val="22"/>
          <w:szCs w:val="22"/>
          <w:lang w:val="fr-CA"/>
        </w:rPr>
        <w:t xml:space="preserve">tout en </w:t>
      </w:r>
      <w:r w:rsidR="008532AA" w:rsidRPr="00873250">
        <w:rPr>
          <w:kern w:val="22"/>
          <w:szCs w:val="22"/>
          <w:lang w:val="fr-CA"/>
        </w:rPr>
        <w:t xml:space="preserve">reconnaissant </w:t>
      </w:r>
      <w:r>
        <w:rPr>
          <w:kern w:val="22"/>
          <w:szCs w:val="22"/>
          <w:lang w:val="fr-CA"/>
        </w:rPr>
        <w:t xml:space="preserve">les interactions </w:t>
      </w:r>
      <w:r w:rsidR="008532AA" w:rsidRPr="00873250">
        <w:rPr>
          <w:kern w:val="22"/>
          <w:szCs w:val="22"/>
          <w:lang w:val="fr-CA"/>
        </w:rPr>
        <w:t>d’une échelle à l’autre mène</w:t>
      </w:r>
      <w:r w:rsidR="00C50BA4">
        <w:rPr>
          <w:kern w:val="22"/>
          <w:szCs w:val="22"/>
          <w:lang w:val="fr-CA"/>
        </w:rPr>
        <w:t>nt</w:t>
      </w:r>
      <w:r w:rsidR="008532AA" w:rsidRPr="00873250">
        <w:rPr>
          <w:kern w:val="22"/>
          <w:szCs w:val="22"/>
          <w:lang w:val="fr-CA"/>
        </w:rPr>
        <w:t xml:space="preserve"> à une approche imbriquée qui tient compte de différents types de connaissances (de très spécifiques à</w:t>
      </w:r>
      <w:r w:rsidR="008532AA">
        <w:rPr>
          <w:kern w:val="22"/>
          <w:szCs w:val="22"/>
          <w:lang w:val="fr-CA"/>
        </w:rPr>
        <w:t xml:space="preserve"> plus générales) et différents types de chevauchements entre les systèmes de connaissances à différents niveaux et dans différents buts</w:t>
      </w:r>
      <w:r w:rsidR="007A5DD8">
        <w:rPr>
          <w:kern w:val="22"/>
          <w:szCs w:val="22"/>
          <w:lang w:val="fr-CA"/>
        </w:rPr>
        <w:t>;</w:t>
      </w:r>
    </w:p>
    <w:p w:rsidR="00F92EE1" w:rsidRPr="00F55816" w:rsidRDefault="00A47909" w:rsidP="00132DF3">
      <w:pPr>
        <w:pStyle w:val="Para1"/>
        <w:numPr>
          <w:ilvl w:val="1"/>
          <w:numId w:val="3"/>
        </w:numPr>
        <w:spacing w:before="0"/>
        <w:rPr>
          <w:kern w:val="22"/>
          <w:szCs w:val="22"/>
          <w:lang w:val="fr-CA"/>
        </w:rPr>
      </w:pPr>
      <w:r>
        <w:rPr>
          <w:kern w:val="22"/>
          <w:szCs w:val="22"/>
          <w:lang w:val="fr-CA"/>
        </w:rPr>
        <w:t>Les évaluations doivent être adaptées aux différents buts, régions, types d’évaluation et échelles d’enquête</w:t>
      </w:r>
      <w:r w:rsidR="007A5DD8">
        <w:rPr>
          <w:kern w:val="22"/>
          <w:szCs w:val="22"/>
          <w:lang w:val="fr-CA"/>
        </w:rPr>
        <w:t>;</w:t>
      </w:r>
      <w:r>
        <w:rPr>
          <w:kern w:val="22"/>
          <w:szCs w:val="22"/>
          <w:lang w:val="fr-CA"/>
        </w:rPr>
        <w:t xml:space="preserve"> les processus d’évaluation sont propres aux problèmes et aux buts préalablement définis</w:t>
      </w:r>
      <w:r w:rsidR="007A5DD8">
        <w:rPr>
          <w:kern w:val="22"/>
          <w:szCs w:val="22"/>
          <w:lang w:val="fr-CA"/>
        </w:rPr>
        <w:t>;</w:t>
      </w:r>
    </w:p>
    <w:p w:rsidR="00F92EE1" w:rsidRPr="00F55816" w:rsidRDefault="00A47909" w:rsidP="00132DF3">
      <w:pPr>
        <w:pStyle w:val="Para1"/>
        <w:numPr>
          <w:ilvl w:val="1"/>
          <w:numId w:val="3"/>
        </w:numPr>
        <w:spacing w:before="0"/>
        <w:rPr>
          <w:kern w:val="22"/>
          <w:szCs w:val="22"/>
          <w:lang w:val="fr-CA"/>
        </w:rPr>
      </w:pPr>
      <w:r>
        <w:rPr>
          <w:kern w:val="22"/>
          <w:szCs w:val="22"/>
          <w:lang w:val="fr-CA"/>
        </w:rPr>
        <w:lastRenderedPageBreak/>
        <w:t xml:space="preserve">Les cinq tâches nécessaires à la collaboration réussie des différents systèmes de connaissances sont : i) </w:t>
      </w:r>
      <w:r w:rsidRPr="00A47909">
        <w:rPr>
          <w:i/>
          <w:kern w:val="22"/>
          <w:szCs w:val="22"/>
          <w:lang w:val="fr-CA"/>
        </w:rPr>
        <w:t>Mobiliser</w:t>
      </w:r>
      <w:r>
        <w:rPr>
          <w:kern w:val="22"/>
          <w:szCs w:val="22"/>
          <w:lang w:val="fr-CA"/>
        </w:rPr>
        <w:t xml:space="preserve"> : Faire ressortir et présenter les connaissances d’une façon qui peut </w:t>
      </w:r>
      <w:r w:rsidR="00815E29">
        <w:rPr>
          <w:kern w:val="22"/>
          <w:szCs w:val="22"/>
          <w:lang w:val="fr-CA"/>
        </w:rPr>
        <w:t>être</w:t>
      </w:r>
      <w:r>
        <w:rPr>
          <w:kern w:val="22"/>
          <w:szCs w:val="22"/>
          <w:lang w:val="fr-CA"/>
        </w:rPr>
        <w:t xml:space="preserve"> partagée avec d’autres</w:t>
      </w:r>
      <w:r w:rsidR="007A5DD8">
        <w:rPr>
          <w:kern w:val="22"/>
          <w:szCs w:val="22"/>
          <w:lang w:val="fr-CA"/>
        </w:rPr>
        <w:t>;</w:t>
      </w:r>
      <w:r>
        <w:rPr>
          <w:kern w:val="22"/>
          <w:szCs w:val="22"/>
          <w:lang w:val="fr-CA"/>
        </w:rPr>
        <w:t xml:space="preserve"> ii) </w:t>
      </w:r>
      <w:r w:rsidRPr="00815E29">
        <w:rPr>
          <w:i/>
          <w:kern w:val="22"/>
          <w:szCs w:val="22"/>
          <w:lang w:val="fr-CA"/>
        </w:rPr>
        <w:t>Traduire</w:t>
      </w:r>
      <w:r>
        <w:rPr>
          <w:kern w:val="22"/>
          <w:szCs w:val="22"/>
          <w:lang w:val="fr-CA"/>
        </w:rPr>
        <w:t> : Interactions entre les systèmes de connaissances</w:t>
      </w:r>
      <w:r w:rsidR="007A5DD8">
        <w:rPr>
          <w:kern w:val="22"/>
          <w:szCs w:val="22"/>
          <w:lang w:val="fr-CA"/>
        </w:rPr>
        <w:t>;</w:t>
      </w:r>
      <w:r>
        <w:rPr>
          <w:kern w:val="22"/>
          <w:szCs w:val="22"/>
          <w:lang w:val="fr-CA"/>
        </w:rPr>
        <w:t xml:space="preserve"> iii) </w:t>
      </w:r>
      <w:r w:rsidRPr="00815E29">
        <w:rPr>
          <w:i/>
          <w:kern w:val="22"/>
          <w:szCs w:val="22"/>
          <w:lang w:val="fr-CA"/>
        </w:rPr>
        <w:t>Négocier</w:t>
      </w:r>
      <w:r>
        <w:rPr>
          <w:kern w:val="22"/>
          <w:szCs w:val="22"/>
          <w:lang w:val="fr-CA"/>
        </w:rPr>
        <w:t> : évaluations conjointes sur la convergence, la divergence et les conflits</w:t>
      </w:r>
      <w:r w:rsidR="00815E29">
        <w:rPr>
          <w:kern w:val="22"/>
          <w:szCs w:val="22"/>
          <w:lang w:val="fr-CA"/>
        </w:rPr>
        <w:t xml:space="preserve"> </w:t>
      </w:r>
      <w:r w:rsidR="00232E38">
        <w:rPr>
          <w:kern w:val="22"/>
          <w:szCs w:val="22"/>
          <w:lang w:val="fr-CA"/>
        </w:rPr>
        <w:t>que suscite</w:t>
      </w:r>
      <w:r w:rsidR="00815E29">
        <w:rPr>
          <w:kern w:val="22"/>
          <w:szCs w:val="22"/>
          <w:lang w:val="fr-CA"/>
        </w:rPr>
        <w:t xml:space="preserve"> la contribution de connai</w:t>
      </w:r>
      <w:r>
        <w:rPr>
          <w:kern w:val="22"/>
          <w:szCs w:val="22"/>
          <w:lang w:val="fr-CA"/>
        </w:rPr>
        <w:t>ssances</w:t>
      </w:r>
      <w:r w:rsidR="007A5DD8">
        <w:rPr>
          <w:kern w:val="22"/>
          <w:szCs w:val="22"/>
          <w:lang w:val="fr-CA"/>
        </w:rPr>
        <w:t>;</w:t>
      </w:r>
      <w:r>
        <w:rPr>
          <w:kern w:val="22"/>
          <w:szCs w:val="22"/>
          <w:lang w:val="fr-CA"/>
        </w:rPr>
        <w:t xml:space="preserve"> iv) </w:t>
      </w:r>
      <w:r w:rsidRPr="00815E29">
        <w:rPr>
          <w:i/>
          <w:kern w:val="22"/>
          <w:szCs w:val="22"/>
          <w:lang w:val="fr-CA"/>
        </w:rPr>
        <w:t>Résumer</w:t>
      </w:r>
      <w:r>
        <w:rPr>
          <w:kern w:val="22"/>
          <w:szCs w:val="22"/>
          <w:lang w:val="fr-CA"/>
        </w:rPr>
        <w:t xml:space="preserve"> : </w:t>
      </w:r>
      <w:r w:rsidR="00815E29">
        <w:rPr>
          <w:kern w:val="22"/>
          <w:szCs w:val="22"/>
          <w:lang w:val="fr-CA"/>
        </w:rPr>
        <w:t>Façonner des connaissances communes largement acceptées qui protègent l’intégrité de chaque système de connaissances</w:t>
      </w:r>
      <w:r w:rsidR="007A5DD8">
        <w:rPr>
          <w:kern w:val="22"/>
          <w:szCs w:val="22"/>
          <w:lang w:val="fr-CA"/>
        </w:rPr>
        <w:t>;</w:t>
      </w:r>
      <w:r w:rsidR="00815E29">
        <w:rPr>
          <w:kern w:val="22"/>
          <w:szCs w:val="22"/>
          <w:lang w:val="fr-CA"/>
        </w:rPr>
        <w:t xml:space="preserve"> v) </w:t>
      </w:r>
      <w:r w:rsidR="00815E29" w:rsidRPr="00815E29">
        <w:rPr>
          <w:i/>
          <w:kern w:val="22"/>
          <w:szCs w:val="22"/>
          <w:lang w:val="fr-CA"/>
        </w:rPr>
        <w:t>Appliquer</w:t>
      </w:r>
      <w:r w:rsidR="00815E29">
        <w:rPr>
          <w:kern w:val="22"/>
          <w:szCs w:val="22"/>
          <w:lang w:val="fr-CA"/>
        </w:rPr>
        <w:t xml:space="preserve"> : Utiliser les connaissances </w:t>
      </w:r>
      <w:r w:rsidR="000D76D8">
        <w:rPr>
          <w:kern w:val="22"/>
          <w:szCs w:val="22"/>
          <w:lang w:val="fr-CA"/>
        </w:rPr>
        <w:t>propices</w:t>
      </w:r>
      <w:r w:rsidR="00815E29">
        <w:rPr>
          <w:kern w:val="22"/>
          <w:szCs w:val="22"/>
          <w:lang w:val="fr-CA"/>
        </w:rPr>
        <w:t xml:space="preserve"> à la prise de décisions pour tous les acteurs participant aux différentes échelles.</w:t>
      </w:r>
    </w:p>
    <w:p w:rsidR="00716612" w:rsidRPr="00061409" w:rsidRDefault="00815E29" w:rsidP="00061409">
      <w:pPr>
        <w:pStyle w:val="Para1"/>
        <w:tabs>
          <w:tab w:val="clear" w:pos="360"/>
        </w:tabs>
        <w:rPr>
          <w:kern w:val="22"/>
          <w:lang w:val="fr-CA"/>
        </w:rPr>
      </w:pPr>
      <w:r w:rsidRPr="00815E29">
        <w:rPr>
          <w:kern w:val="22"/>
          <w:lang w:val="fr-CA"/>
        </w:rPr>
        <w:t xml:space="preserve">Les systèmes de suivi et d’information communautaires sont </w:t>
      </w:r>
      <w:r>
        <w:rPr>
          <w:kern w:val="22"/>
          <w:lang w:val="fr-CA"/>
        </w:rPr>
        <w:t>des groupe</w:t>
      </w:r>
      <w:r w:rsidR="000D76D8">
        <w:rPr>
          <w:kern w:val="22"/>
          <w:lang w:val="fr-CA"/>
        </w:rPr>
        <w:t>s</w:t>
      </w:r>
      <w:r>
        <w:rPr>
          <w:kern w:val="22"/>
          <w:lang w:val="fr-CA"/>
        </w:rPr>
        <w:t xml:space="preserve"> de méthode</w:t>
      </w:r>
      <w:r w:rsidR="000D76D8">
        <w:rPr>
          <w:kern w:val="22"/>
          <w:lang w:val="fr-CA"/>
        </w:rPr>
        <w:t>s de suivi lié</w:t>
      </w:r>
      <w:r>
        <w:rPr>
          <w:kern w:val="22"/>
          <w:lang w:val="fr-CA"/>
        </w:rPr>
        <w:t xml:space="preserve">s à la diversité biologique, aux écosystèmes, aux terres et aux eaux, et à d’autres ressources, ainsi qu’au bien-être humain, </w:t>
      </w:r>
      <w:r w:rsidR="003161B5">
        <w:rPr>
          <w:kern w:val="22"/>
          <w:lang w:val="fr-CA"/>
        </w:rPr>
        <w:t>qu’utilisent les peuples autochtones et les communautés locales pour gérer et documenter leurs ressources</w:t>
      </w:r>
      <w:r w:rsidR="009A4A24" w:rsidRPr="00815E29">
        <w:rPr>
          <w:kern w:val="22"/>
          <w:lang w:val="fr-CA"/>
        </w:rPr>
        <w:t>.</w:t>
      </w:r>
      <w:r w:rsidR="00B01461" w:rsidRPr="00815E29">
        <w:rPr>
          <w:rStyle w:val="FootnoteReference"/>
          <w:kern w:val="22"/>
          <w:szCs w:val="22"/>
          <w:lang w:val="fr-CA"/>
        </w:rPr>
        <w:footnoteReference w:id="27"/>
      </w:r>
      <w:r w:rsidR="00261BC5" w:rsidRPr="00815E29">
        <w:rPr>
          <w:kern w:val="22"/>
          <w:lang w:val="fr-CA"/>
        </w:rPr>
        <w:t xml:space="preserve"> </w:t>
      </w:r>
      <w:r w:rsidR="003161B5" w:rsidRPr="003161B5">
        <w:rPr>
          <w:kern w:val="22"/>
          <w:lang w:val="fr-CA"/>
        </w:rPr>
        <w:t xml:space="preserve">Ce sont essentiellement des </w:t>
      </w:r>
      <w:r w:rsidR="003161B5">
        <w:rPr>
          <w:kern w:val="22"/>
          <w:lang w:val="fr-CA"/>
        </w:rPr>
        <w:t>mé</w:t>
      </w:r>
      <w:r w:rsidR="003161B5" w:rsidRPr="003161B5">
        <w:rPr>
          <w:kern w:val="22"/>
          <w:lang w:val="fr-CA"/>
        </w:rPr>
        <w:t>thodologies ascendant</w:t>
      </w:r>
      <w:r w:rsidR="003161B5">
        <w:rPr>
          <w:kern w:val="22"/>
          <w:lang w:val="fr-CA"/>
        </w:rPr>
        <w:t>e</w:t>
      </w:r>
      <w:r w:rsidR="003161B5" w:rsidRPr="003161B5">
        <w:rPr>
          <w:kern w:val="22"/>
          <w:lang w:val="fr-CA"/>
        </w:rPr>
        <w:t>s ayant évolué dans différents context</w:t>
      </w:r>
      <w:r w:rsidR="003161B5">
        <w:rPr>
          <w:kern w:val="22"/>
          <w:lang w:val="fr-CA"/>
        </w:rPr>
        <w:t>e</w:t>
      </w:r>
      <w:r w:rsidR="003161B5" w:rsidRPr="003161B5">
        <w:rPr>
          <w:kern w:val="22"/>
          <w:lang w:val="fr-CA"/>
        </w:rPr>
        <w:t xml:space="preserve">s </w:t>
      </w:r>
      <w:r w:rsidR="003161B5">
        <w:rPr>
          <w:kern w:val="22"/>
          <w:lang w:val="fr-CA"/>
        </w:rPr>
        <w:t>géograp</w:t>
      </w:r>
      <w:r w:rsidR="003161B5" w:rsidRPr="003161B5">
        <w:rPr>
          <w:kern w:val="22"/>
          <w:lang w:val="fr-CA"/>
        </w:rPr>
        <w:t>hiques et socioculturels,</w:t>
      </w:r>
      <w:r w:rsidR="003161B5">
        <w:rPr>
          <w:kern w:val="22"/>
          <w:lang w:val="fr-CA"/>
        </w:rPr>
        <w:t xml:space="preserve"> dont les objectifs sont déterminés selon les besoi</w:t>
      </w:r>
      <w:r w:rsidR="00FC0D9B">
        <w:rPr>
          <w:kern w:val="22"/>
          <w:lang w:val="fr-CA"/>
        </w:rPr>
        <w:t>ns locaux</w:t>
      </w:r>
      <w:r w:rsidR="007A5DD8">
        <w:rPr>
          <w:kern w:val="22"/>
          <w:lang w:val="fr-CA"/>
        </w:rPr>
        <w:t>;</w:t>
      </w:r>
      <w:r w:rsidR="00FC0D9B">
        <w:rPr>
          <w:kern w:val="22"/>
          <w:lang w:val="fr-CA"/>
        </w:rPr>
        <w:t xml:space="preserve"> voilà</w:t>
      </w:r>
      <w:r w:rsidR="003161B5">
        <w:rPr>
          <w:kern w:val="22"/>
          <w:lang w:val="fr-CA"/>
        </w:rPr>
        <w:t xml:space="preserve"> pourquoi ces systèmes de suivi et d’information communautaires dont tr</w:t>
      </w:r>
      <w:r w:rsidR="00FC0D9B">
        <w:rPr>
          <w:kern w:val="22"/>
          <w:lang w:val="fr-CA"/>
        </w:rPr>
        <w:t>è</w:t>
      </w:r>
      <w:r w:rsidR="003161B5">
        <w:rPr>
          <w:kern w:val="22"/>
          <w:lang w:val="fr-CA"/>
        </w:rPr>
        <w:t xml:space="preserve">s diversifiés et peuvent </w:t>
      </w:r>
      <w:r w:rsidR="00FC0D9B">
        <w:rPr>
          <w:kern w:val="22"/>
          <w:lang w:val="fr-CA"/>
        </w:rPr>
        <w:t>varier d’approche</w:t>
      </w:r>
      <w:r w:rsidR="000D76D8">
        <w:rPr>
          <w:kern w:val="22"/>
          <w:lang w:val="fr-CA"/>
        </w:rPr>
        <w:t>s</w:t>
      </w:r>
      <w:r w:rsidR="00FC0D9B">
        <w:rPr>
          <w:kern w:val="22"/>
          <w:lang w:val="fr-CA"/>
        </w:rPr>
        <w:t xml:space="preserve"> technique</w:t>
      </w:r>
      <w:r w:rsidR="000D76D8">
        <w:rPr>
          <w:kern w:val="22"/>
          <w:lang w:val="fr-CA"/>
        </w:rPr>
        <w:t>s</w:t>
      </w:r>
      <w:r w:rsidR="00FC0D9B">
        <w:rPr>
          <w:kern w:val="22"/>
          <w:lang w:val="fr-CA"/>
        </w:rPr>
        <w:t xml:space="preserve"> simple</w:t>
      </w:r>
      <w:r w:rsidR="000D76D8">
        <w:rPr>
          <w:kern w:val="22"/>
          <w:lang w:val="fr-CA"/>
        </w:rPr>
        <w:t>s et fondamental</w:t>
      </w:r>
      <w:r w:rsidR="00FC0D9B">
        <w:rPr>
          <w:kern w:val="22"/>
          <w:lang w:val="fr-CA"/>
        </w:rPr>
        <w:t>e</w:t>
      </w:r>
      <w:r w:rsidR="000D76D8">
        <w:rPr>
          <w:kern w:val="22"/>
          <w:lang w:val="fr-CA"/>
        </w:rPr>
        <w:t>s</w:t>
      </w:r>
      <w:r w:rsidR="00FC0D9B">
        <w:rPr>
          <w:kern w:val="22"/>
          <w:lang w:val="fr-CA"/>
        </w:rPr>
        <w:t xml:space="preserve"> jusqu’à des approches très avancées sur le plan technique,</w:t>
      </w:r>
      <w:r w:rsidR="00716612" w:rsidRPr="00815E29">
        <w:rPr>
          <w:rStyle w:val="FootnoteReference"/>
          <w:kern w:val="22"/>
          <w:szCs w:val="22"/>
          <w:lang w:val="fr-CA"/>
        </w:rPr>
        <w:footnoteReference w:id="28"/>
      </w:r>
      <w:r w:rsidR="00B36BE1" w:rsidRPr="003161B5">
        <w:rPr>
          <w:kern w:val="22"/>
          <w:szCs w:val="22"/>
          <w:lang w:val="fr-CA"/>
        </w:rPr>
        <w:t xml:space="preserve"> </w:t>
      </w:r>
      <w:r w:rsidR="00FC0D9B">
        <w:rPr>
          <w:kern w:val="22"/>
          <w:szCs w:val="22"/>
          <w:lang w:val="fr-CA"/>
        </w:rPr>
        <w:t>et proposent différents outils tels que la cartographie communautaire, les inventaires de ressources, la recherche</w:t>
      </w:r>
      <w:r w:rsidR="000D76D8">
        <w:rPr>
          <w:kern w:val="22"/>
          <w:szCs w:val="22"/>
          <w:lang w:val="fr-CA"/>
        </w:rPr>
        <w:t xml:space="preserve"> fondée sur les enquêtes, les </w:t>
      </w:r>
      <w:r w:rsidR="00061409">
        <w:rPr>
          <w:kern w:val="22"/>
          <w:szCs w:val="22"/>
          <w:lang w:val="fr-CA"/>
        </w:rPr>
        <w:t>études de cas, les calendriers é</w:t>
      </w:r>
      <w:r w:rsidR="00FC0D9B">
        <w:rPr>
          <w:kern w:val="22"/>
          <w:szCs w:val="22"/>
          <w:lang w:val="fr-CA"/>
        </w:rPr>
        <w:t>cologi</w:t>
      </w:r>
      <w:r w:rsidR="00061409">
        <w:rPr>
          <w:kern w:val="22"/>
          <w:szCs w:val="22"/>
          <w:lang w:val="fr-CA"/>
        </w:rPr>
        <w:t>qu</w:t>
      </w:r>
      <w:r w:rsidR="00FC0D9B">
        <w:rPr>
          <w:kern w:val="22"/>
          <w:szCs w:val="22"/>
          <w:lang w:val="fr-CA"/>
        </w:rPr>
        <w:t>es/agricoles, et autres. Cette diversité dans</w:t>
      </w:r>
      <w:r w:rsidR="00061409">
        <w:rPr>
          <w:kern w:val="22"/>
          <w:szCs w:val="22"/>
          <w:lang w:val="fr-CA"/>
        </w:rPr>
        <w:t xml:space="preserve"> le</w:t>
      </w:r>
      <w:r w:rsidR="00FC0D9B">
        <w:rPr>
          <w:kern w:val="22"/>
          <w:szCs w:val="22"/>
          <w:lang w:val="fr-CA"/>
        </w:rPr>
        <w:t>s</w:t>
      </w:r>
      <w:r w:rsidR="00061409">
        <w:rPr>
          <w:kern w:val="22"/>
          <w:szCs w:val="22"/>
          <w:lang w:val="fr-CA"/>
        </w:rPr>
        <w:t xml:space="preserve"> </w:t>
      </w:r>
      <w:r w:rsidR="00FC0D9B">
        <w:rPr>
          <w:kern w:val="22"/>
          <w:szCs w:val="22"/>
          <w:lang w:val="fr-CA"/>
        </w:rPr>
        <w:t xml:space="preserve">origines, les contextes, les objectifs, les approches et les outils </w:t>
      </w:r>
      <w:r w:rsidR="00061409">
        <w:rPr>
          <w:kern w:val="22"/>
          <w:szCs w:val="22"/>
          <w:lang w:val="fr-CA"/>
        </w:rPr>
        <w:t xml:space="preserve">contribue à la richesse et au dynamisme des systèmes </w:t>
      </w:r>
      <w:r w:rsidR="00061409" w:rsidRPr="00061409">
        <w:rPr>
          <w:rFonts w:eastAsia="MS Mincho"/>
          <w:kern w:val="22"/>
          <w:szCs w:val="22"/>
          <w:lang w:val="fr-CA"/>
        </w:rPr>
        <w:t>de suivi et d’</w:t>
      </w:r>
      <w:r w:rsidR="00061409">
        <w:rPr>
          <w:rFonts w:eastAsia="MS Mincho"/>
          <w:kern w:val="22"/>
          <w:szCs w:val="22"/>
          <w:lang w:val="fr-CA"/>
        </w:rPr>
        <w:t>information commu</w:t>
      </w:r>
      <w:r w:rsidR="00061409" w:rsidRPr="00061409">
        <w:rPr>
          <w:rFonts w:eastAsia="MS Mincho"/>
          <w:kern w:val="22"/>
          <w:szCs w:val="22"/>
          <w:lang w:val="fr-CA"/>
        </w:rPr>
        <w:t>nautaires</w:t>
      </w:r>
      <w:r w:rsidR="00061409">
        <w:rPr>
          <w:rFonts w:eastAsia="MS Mincho"/>
          <w:kern w:val="22"/>
          <w:szCs w:val="22"/>
          <w:lang w:val="fr-CA"/>
        </w:rPr>
        <w:t>, mais compliquent la systématisation des méthodologies.</w:t>
      </w:r>
    </w:p>
    <w:p w:rsidR="00D56B19" w:rsidRPr="00815E29" w:rsidRDefault="00061409" w:rsidP="00D55193">
      <w:pPr>
        <w:pStyle w:val="Para1"/>
        <w:tabs>
          <w:tab w:val="clear" w:pos="360"/>
        </w:tabs>
        <w:rPr>
          <w:kern w:val="22"/>
          <w:szCs w:val="22"/>
          <w:lang w:val="fr-CA"/>
        </w:rPr>
      </w:pPr>
      <w:r>
        <w:rPr>
          <w:kern w:val="22"/>
          <w:szCs w:val="22"/>
          <w:lang w:val="fr-CA"/>
        </w:rPr>
        <w:t>Les systèmes de suivi et d’information communautaires possèdent néanmoins plusieurs caractéristiques communes reconnues et mises en évidence dans différent</w:t>
      </w:r>
      <w:r w:rsidR="00C1463D">
        <w:rPr>
          <w:kern w:val="22"/>
          <w:szCs w:val="22"/>
          <w:lang w:val="fr-CA"/>
        </w:rPr>
        <w:t>e</w:t>
      </w:r>
      <w:r>
        <w:rPr>
          <w:kern w:val="22"/>
          <w:szCs w:val="22"/>
          <w:lang w:val="fr-CA"/>
        </w:rPr>
        <w:t>s act</w:t>
      </w:r>
      <w:r w:rsidR="0085485C">
        <w:rPr>
          <w:kern w:val="22"/>
          <w:szCs w:val="22"/>
          <w:lang w:val="fr-CA"/>
        </w:rPr>
        <w:t>i</w:t>
      </w:r>
      <w:r>
        <w:rPr>
          <w:kern w:val="22"/>
          <w:szCs w:val="22"/>
          <w:lang w:val="fr-CA"/>
        </w:rPr>
        <w:t>vités de partage d’information, en commen</w:t>
      </w:r>
      <w:r w:rsidR="0085485C">
        <w:rPr>
          <w:kern w:val="22"/>
          <w:szCs w:val="22"/>
          <w:lang w:val="fr-CA"/>
        </w:rPr>
        <w:t>çant par les principes indiqué</w:t>
      </w:r>
      <w:r>
        <w:rPr>
          <w:kern w:val="22"/>
          <w:szCs w:val="22"/>
          <w:lang w:val="fr-CA"/>
        </w:rPr>
        <w:t>s dans la s</w:t>
      </w:r>
      <w:r w:rsidR="0085485C">
        <w:rPr>
          <w:kern w:val="22"/>
          <w:szCs w:val="22"/>
          <w:lang w:val="fr-CA"/>
        </w:rPr>
        <w:t>ection A, ci-dessus, entre autres</w:t>
      </w:r>
      <w:r w:rsidR="00C50BA4">
        <w:rPr>
          <w:kern w:val="22"/>
          <w:szCs w:val="22"/>
          <w:lang w:val="fr-CA"/>
        </w:rPr>
        <w:t> </w:t>
      </w:r>
      <w:r w:rsidR="00001283" w:rsidRPr="00815E29">
        <w:rPr>
          <w:kern w:val="22"/>
          <w:szCs w:val="22"/>
          <w:lang w:val="fr-CA"/>
        </w:rPr>
        <w:t>:</w:t>
      </w:r>
    </w:p>
    <w:p w:rsidR="00BB3030" w:rsidRPr="00815E29" w:rsidRDefault="0085485C" w:rsidP="00132DF3">
      <w:pPr>
        <w:pStyle w:val="Para1"/>
        <w:numPr>
          <w:ilvl w:val="1"/>
          <w:numId w:val="3"/>
        </w:numPr>
        <w:tabs>
          <w:tab w:val="clear" w:pos="1440"/>
        </w:tabs>
        <w:spacing w:before="0"/>
        <w:rPr>
          <w:kern w:val="22"/>
          <w:szCs w:val="22"/>
          <w:lang w:val="fr-CA"/>
        </w:rPr>
      </w:pPr>
      <w:r>
        <w:rPr>
          <w:kern w:val="22"/>
          <w:szCs w:val="22"/>
          <w:lang w:val="fr-CA"/>
        </w:rPr>
        <w:t xml:space="preserve">Le suivi s’intéresse surtout au changement dans </w:t>
      </w:r>
      <w:r w:rsidR="00232E38">
        <w:rPr>
          <w:kern w:val="22"/>
          <w:szCs w:val="22"/>
          <w:lang w:val="fr-CA"/>
        </w:rPr>
        <w:t>l’emploi</w:t>
      </w:r>
      <w:r>
        <w:rPr>
          <w:kern w:val="22"/>
          <w:szCs w:val="22"/>
          <w:lang w:val="fr-CA"/>
        </w:rPr>
        <w:t xml:space="preserve"> des terres, car elles </w:t>
      </w:r>
      <w:r w:rsidR="00066693">
        <w:rPr>
          <w:kern w:val="22"/>
          <w:szCs w:val="22"/>
          <w:lang w:val="fr-CA"/>
        </w:rPr>
        <w:t xml:space="preserve">sont au centre </w:t>
      </w:r>
      <w:r>
        <w:rPr>
          <w:kern w:val="22"/>
          <w:szCs w:val="22"/>
          <w:lang w:val="fr-CA"/>
        </w:rPr>
        <w:t xml:space="preserve">de la culture, des connaissances et de la langue, </w:t>
      </w:r>
      <w:r w:rsidR="00066693">
        <w:rPr>
          <w:kern w:val="22"/>
          <w:szCs w:val="22"/>
          <w:lang w:val="fr-CA"/>
        </w:rPr>
        <w:t>de</w:t>
      </w:r>
      <w:r>
        <w:rPr>
          <w:kern w:val="22"/>
          <w:szCs w:val="22"/>
          <w:lang w:val="fr-CA"/>
        </w:rPr>
        <w:t xml:space="preserve"> sorte que </w:t>
      </w:r>
      <w:r w:rsidR="00452C6F">
        <w:rPr>
          <w:kern w:val="22"/>
          <w:szCs w:val="22"/>
          <w:lang w:val="fr-CA"/>
        </w:rPr>
        <w:t xml:space="preserve">l’état et les tendances dans </w:t>
      </w:r>
      <w:r w:rsidR="00232E38">
        <w:rPr>
          <w:kern w:val="22"/>
          <w:szCs w:val="22"/>
          <w:lang w:val="fr-CA"/>
        </w:rPr>
        <w:t>l’emploi</w:t>
      </w:r>
      <w:r w:rsidR="00452C6F">
        <w:rPr>
          <w:kern w:val="22"/>
          <w:szCs w:val="22"/>
          <w:lang w:val="fr-CA"/>
        </w:rPr>
        <w:t xml:space="preserve"> des terres et le régime foncier sont des indicateurs importants des connaissances traditionnelles et des droits des peuples autochtones.</w:t>
      </w:r>
      <w:r w:rsidR="00BB3030" w:rsidRPr="00815E29">
        <w:rPr>
          <w:rStyle w:val="FootnoteReference"/>
          <w:kern w:val="22"/>
          <w:szCs w:val="22"/>
          <w:lang w:val="fr-CA"/>
        </w:rPr>
        <w:footnoteReference w:id="29"/>
      </w:r>
    </w:p>
    <w:p w:rsidR="00C17728" w:rsidRPr="00815E29" w:rsidRDefault="00452C6F" w:rsidP="00132DF3">
      <w:pPr>
        <w:pStyle w:val="Para1"/>
        <w:numPr>
          <w:ilvl w:val="1"/>
          <w:numId w:val="3"/>
        </w:numPr>
        <w:tabs>
          <w:tab w:val="clear" w:pos="1440"/>
        </w:tabs>
        <w:spacing w:before="0"/>
        <w:rPr>
          <w:kern w:val="22"/>
          <w:szCs w:val="22"/>
          <w:lang w:val="fr-CA"/>
        </w:rPr>
      </w:pPr>
      <w:r>
        <w:rPr>
          <w:kern w:val="22"/>
          <w:szCs w:val="22"/>
          <w:lang w:val="fr-CA"/>
        </w:rPr>
        <w:t>D’autres secteurs thématiques doivent aussi être suivis, tels que les métiers traditionnels, et la participation entière et efficace. L’atelier mondial sur les systèmes de suivi et d’information communautaires</w:t>
      </w:r>
      <w:r w:rsidR="004859C7">
        <w:rPr>
          <w:kern w:val="22"/>
          <w:szCs w:val="22"/>
          <w:lang w:val="fr-CA"/>
        </w:rPr>
        <w:t xml:space="preserve"> a défini les indicateurs et composants suivants dans ces secteurs :</w:t>
      </w:r>
      <w:r w:rsidR="00BB3030" w:rsidRPr="00815E29">
        <w:rPr>
          <w:rStyle w:val="FootnoteReference"/>
          <w:kern w:val="22"/>
          <w:szCs w:val="22"/>
          <w:lang w:val="fr-CA"/>
        </w:rPr>
        <w:footnoteReference w:id="30"/>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54"/>
      </w:tblGrid>
      <w:tr w:rsidR="00BB3030" w:rsidRPr="00815E29" w:rsidTr="00132DF3">
        <w:trPr>
          <w:tblHeader/>
          <w:jc w:val="center"/>
        </w:trPr>
        <w:tc>
          <w:tcPr>
            <w:tcW w:w="3647" w:type="dxa"/>
          </w:tcPr>
          <w:p w:rsidR="00BB3030" w:rsidRPr="00815E29" w:rsidRDefault="00B06B1B" w:rsidP="00132DF3">
            <w:pPr>
              <w:pStyle w:val="Pa20"/>
              <w:spacing w:before="20" w:after="20" w:line="240" w:lineRule="auto"/>
              <w:jc w:val="center"/>
              <w:rPr>
                <w:rFonts w:ascii="Times New Roman" w:hAnsi="Times New Roman" w:cs="Times New Roman"/>
                <w:snapToGrid w:val="0"/>
                <w:color w:val="000000"/>
                <w:kern w:val="22"/>
                <w:sz w:val="22"/>
                <w:szCs w:val="22"/>
                <w:lang w:val="fr-CA"/>
              </w:rPr>
            </w:pPr>
            <w:r>
              <w:rPr>
                <w:rFonts w:ascii="Times New Roman" w:hAnsi="Times New Roman" w:cs="Times New Roman"/>
                <w:b/>
                <w:bCs/>
                <w:snapToGrid w:val="0"/>
                <w:color w:val="000000"/>
                <w:kern w:val="22"/>
                <w:sz w:val="22"/>
                <w:szCs w:val="22"/>
                <w:lang w:val="fr-CA"/>
              </w:rPr>
              <w:t>Secteurs/domaines clés</w:t>
            </w:r>
          </w:p>
        </w:tc>
        <w:tc>
          <w:tcPr>
            <w:tcW w:w="5954" w:type="dxa"/>
          </w:tcPr>
          <w:p w:rsidR="00BB3030" w:rsidRPr="00815E29" w:rsidRDefault="00B06B1B" w:rsidP="00132DF3">
            <w:pPr>
              <w:pStyle w:val="Pa20"/>
              <w:spacing w:before="20" w:after="20" w:line="240" w:lineRule="auto"/>
              <w:jc w:val="center"/>
              <w:rPr>
                <w:rFonts w:ascii="Times New Roman" w:hAnsi="Times New Roman" w:cs="Times New Roman"/>
                <w:snapToGrid w:val="0"/>
                <w:color w:val="000000"/>
                <w:kern w:val="22"/>
                <w:sz w:val="22"/>
                <w:szCs w:val="22"/>
                <w:lang w:val="fr-CA"/>
              </w:rPr>
            </w:pPr>
            <w:r>
              <w:rPr>
                <w:rFonts w:ascii="Times New Roman" w:hAnsi="Times New Roman" w:cs="Times New Roman"/>
                <w:b/>
                <w:bCs/>
                <w:snapToGrid w:val="0"/>
                <w:color w:val="000000"/>
                <w:kern w:val="22"/>
                <w:sz w:val="22"/>
                <w:szCs w:val="22"/>
                <w:lang w:val="fr-CA"/>
              </w:rPr>
              <w:t>Indicateurs/éléments</w:t>
            </w:r>
          </w:p>
        </w:tc>
      </w:tr>
      <w:tr w:rsidR="00BB3030" w:rsidRPr="00815E29" w:rsidTr="00132DF3">
        <w:trPr>
          <w:jc w:val="center"/>
        </w:trPr>
        <w:tc>
          <w:tcPr>
            <w:tcW w:w="3647" w:type="dxa"/>
          </w:tcPr>
          <w:p w:rsidR="00BB3030" w:rsidRPr="00815E29" w:rsidRDefault="00BB3030" w:rsidP="00B06B1B">
            <w:pPr>
              <w:pStyle w:val="Pa21"/>
              <w:spacing w:before="20" w:after="20" w:line="240" w:lineRule="auto"/>
              <w:rPr>
                <w:rFonts w:ascii="Times New Roman" w:hAnsi="Times New Roman" w:cs="Times New Roman"/>
                <w:snapToGrid w:val="0"/>
                <w:color w:val="000000"/>
                <w:kern w:val="22"/>
                <w:sz w:val="22"/>
                <w:szCs w:val="22"/>
                <w:lang w:val="fr-CA"/>
              </w:rPr>
            </w:pPr>
            <w:r w:rsidRPr="00815E29">
              <w:rPr>
                <w:rFonts w:ascii="Times New Roman" w:hAnsi="Times New Roman" w:cs="Times New Roman"/>
                <w:snapToGrid w:val="0"/>
                <w:color w:val="000000"/>
                <w:kern w:val="22"/>
                <w:sz w:val="22"/>
                <w:szCs w:val="22"/>
                <w:lang w:val="fr-CA"/>
              </w:rPr>
              <w:t xml:space="preserve">A. </w:t>
            </w:r>
            <w:r w:rsidR="00B06B1B">
              <w:rPr>
                <w:rFonts w:ascii="Times New Roman" w:hAnsi="Times New Roman" w:cs="Times New Roman"/>
                <w:snapToGrid w:val="0"/>
                <w:color w:val="000000"/>
                <w:kern w:val="22"/>
                <w:sz w:val="22"/>
                <w:szCs w:val="22"/>
                <w:lang w:val="fr-CA"/>
              </w:rPr>
              <w:t>Terres, territoires et ressources</w:t>
            </w:r>
          </w:p>
        </w:tc>
        <w:tc>
          <w:tcPr>
            <w:tcW w:w="5954" w:type="dxa"/>
          </w:tcPr>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Menaces externes</w:t>
            </w:r>
          </w:p>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Droits fonciers</w:t>
            </w:r>
          </w:p>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 xml:space="preserve">État des changements dans </w:t>
            </w:r>
            <w:r w:rsidR="00232E38">
              <w:rPr>
                <w:rFonts w:ascii="Times New Roman" w:hAnsi="Times New Roman" w:cs="Times New Roman"/>
                <w:snapToGrid w:val="0"/>
                <w:color w:val="000000"/>
                <w:kern w:val="22"/>
                <w:sz w:val="22"/>
                <w:szCs w:val="22"/>
                <w:lang w:val="fr-CA"/>
              </w:rPr>
              <w:t>l’emploi</w:t>
            </w:r>
            <w:r>
              <w:rPr>
                <w:rFonts w:ascii="Times New Roman" w:hAnsi="Times New Roman" w:cs="Times New Roman"/>
                <w:snapToGrid w:val="0"/>
                <w:color w:val="000000"/>
                <w:kern w:val="22"/>
                <w:sz w:val="22"/>
                <w:szCs w:val="22"/>
                <w:lang w:val="fr-CA"/>
              </w:rPr>
              <w:t xml:space="preserve"> des terres</w:t>
            </w:r>
          </w:p>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Contrôle du destin</w:t>
            </w:r>
          </w:p>
          <w:p w:rsidR="00BB3030" w:rsidRPr="00815E29" w:rsidRDefault="00BB3030" w:rsidP="00132DF3">
            <w:pPr>
              <w:pStyle w:val="Pa21"/>
              <w:spacing w:before="20" w:after="20" w:line="240" w:lineRule="auto"/>
              <w:rPr>
                <w:rFonts w:ascii="Times New Roman" w:hAnsi="Times New Roman" w:cs="Times New Roman"/>
                <w:snapToGrid w:val="0"/>
                <w:color w:val="000000"/>
                <w:kern w:val="22"/>
                <w:sz w:val="22"/>
                <w:szCs w:val="22"/>
                <w:lang w:val="fr-CA"/>
              </w:rPr>
            </w:pPr>
            <w:r w:rsidRPr="00815E29">
              <w:rPr>
                <w:rFonts w:ascii="Times New Roman" w:hAnsi="Times New Roman" w:cs="Times New Roman"/>
                <w:snapToGrid w:val="0"/>
                <w:color w:val="000000"/>
                <w:kern w:val="22"/>
                <w:sz w:val="22"/>
                <w:szCs w:val="22"/>
                <w:lang w:val="fr-CA"/>
              </w:rPr>
              <w:t xml:space="preserve">Violations </w:t>
            </w:r>
            <w:r w:rsidR="00B06B1B">
              <w:rPr>
                <w:rFonts w:ascii="Times New Roman" w:hAnsi="Times New Roman" w:cs="Times New Roman"/>
                <w:snapToGrid w:val="0"/>
                <w:color w:val="000000"/>
                <w:kern w:val="22"/>
                <w:sz w:val="22"/>
                <w:szCs w:val="22"/>
                <w:lang w:val="fr-CA"/>
              </w:rPr>
              <w:t>des droits</w:t>
            </w:r>
          </w:p>
          <w:p w:rsidR="00BB3030" w:rsidRPr="00815E29" w:rsidRDefault="00066693" w:rsidP="0006669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 xml:space="preserve">Méthodes d’observation des règlements/normes/politiques </w:t>
            </w:r>
            <w:r w:rsidR="00B06B1B">
              <w:rPr>
                <w:rFonts w:ascii="Times New Roman" w:hAnsi="Times New Roman" w:cs="Times New Roman"/>
                <w:snapToGrid w:val="0"/>
                <w:color w:val="000000"/>
                <w:kern w:val="22"/>
                <w:sz w:val="22"/>
                <w:szCs w:val="22"/>
                <w:lang w:val="fr-CA"/>
              </w:rPr>
              <w:t>dans la communauté</w:t>
            </w:r>
          </w:p>
        </w:tc>
      </w:tr>
      <w:tr w:rsidR="00BB3030" w:rsidRPr="00815E29" w:rsidTr="00132DF3">
        <w:trPr>
          <w:jc w:val="center"/>
        </w:trPr>
        <w:tc>
          <w:tcPr>
            <w:tcW w:w="3647" w:type="dxa"/>
          </w:tcPr>
          <w:p w:rsidR="00BB3030" w:rsidRPr="00815E29" w:rsidRDefault="00A816E3" w:rsidP="00B06B1B">
            <w:pPr>
              <w:pStyle w:val="Pa21"/>
              <w:spacing w:before="20" w:after="20" w:line="240" w:lineRule="auto"/>
              <w:rPr>
                <w:rFonts w:ascii="Times New Roman" w:hAnsi="Times New Roman" w:cs="Times New Roman"/>
                <w:snapToGrid w:val="0"/>
                <w:color w:val="000000"/>
                <w:kern w:val="22"/>
                <w:sz w:val="22"/>
                <w:szCs w:val="22"/>
                <w:lang w:val="fr-CA"/>
              </w:rPr>
            </w:pPr>
            <w:r w:rsidRPr="00815E29">
              <w:rPr>
                <w:rFonts w:ascii="Times New Roman" w:hAnsi="Times New Roman" w:cs="Times New Roman"/>
                <w:snapToGrid w:val="0"/>
                <w:color w:val="000000"/>
                <w:kern w:val="22"/>
                <w:sz w:val="22"/>
                <w:szCs w:val="22"/>
                <w:lang w:val="fr-CA"/>
              </w:rPr>
              <w:t xml:space="preserve">B. </w:t>
            </w:r>
            <w:r w:rsidR="00B06B1B">
              <w:rPr>
                <w:rFonts w:ascii="Times New Roman" w:hAnsi="Times New Roman" w:cs="Times New Roman"/>
                <w:snapToGrid w:val="0"/>
                <w:color w:val="000000"/>
                <w:kern w:val="22"/>
                <w:sz w:val="22"/>
                <w:szCs w:val="22"/>
                <w:lang w:val="fr-CA"/>
              </w:rPr>
              <w:t>Métiers traditionnels</w:t>
            </w:r>
          </w:p>
        </w:tc>
        <w:tc>
          <w:tcPr>
            <w:tcW w:w="5954" w:type="dxa"/>
          </w:tcPr>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Dimensions de la culture, pratique des rituels</w:t>
            </w:r>
          </w:p>
        </w:tc>
      </w:tr>
      <w:tr w:rsidR="00BB3030" w:rsidRPr="00815E29" w:rsidTr="00132DF3">
        <w:trPr>
          <w:jc w:val="center"/>
        </w:trPr>
        <w:tc>
          <w:tcPr>
            <w:tcW w:w="3647" w:type="dxa"/>
          </w:tcPr>
          <w:p w:rsidR="00BB3030" w:rsidRPr="00815E29" w:rsidRDefault="00A816E3" w:rsidP="00B06B1B">
            <w:pPr>
              <w:pStyle w:val="Pa21"/>
              <w:spacing w:before="20" w:after="20" w:line="240" w:lineRule="auto"/>
              <w:rPr>
                <w:rFonts w:ascii="Times New Roman" w:hAnsi="Times New Roman" w:cs="Times New Roman"/>
                <w:snapToGrid w:val="0"/>
                <w:color w:val="000000"/>
                <w:kern w:val="22"/>
                <w:sz w:val="22"/>
                <w:szCs w:val="22"/>
                <w:lang w:val="fr-CA"/>
              </w:rPr>
            </w:pPr>
            <w:r w:rsidRPr="00815E29">
              <w:rPr>
                <w:rFonts w:ascii="Times New Roman" w:hAnsi="Times New Roman" w:cs="Times New Roman"/>
                <w:snapToGrid w:val="0"/>
                <w:color w:val="000000"/>
                <w:kern w:val="22"/>
                <w:sz w:val="22"/>
                <w:szCs w:val="22"/>
                <w:lang w:val="fr-CA"/>
              </w:rPr>
              <w:t xml:space="preserve">C. </w:t>
            </w:r>
            <w:r w:rsidR="00B06B1B">
              <w:rPr>
                <w:rFonts w:ascii="Times New Roman" w:hAnsi="Times New Roman" w:cs="Times New Roman"/>
                <w:snapToGrid w:val="0"/>
                <w:color w:val="000000"/>
                <w:kern w:val="22"/>
                <w:sz w:val="22"/>
                <w:szCs w:val="22"/>
                <w:lang w:val="fr-CA"/>
              </w:rPr>
              <w:t>Connaissances traditionnelles</w:t>
            </w:r>
          </w:p>
        </w:tc>
        <w:tc>
          <w:tcPr>
            <w:tcW w:w="5954" w:type="dxa"/>
          </w:tcPr>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Relations sociales/interactions communautaires</w:t>
            </w:r>
          </w:p>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lastRenderedPageBreak/>
              <w:t>Langues autochtones</w:t>
            </w:r>
          </w:p>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Intégrité culturelle</w:t>
            </w:r>
          </w:p>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Espèces/vie sauvage</w:t>
            </w:r>
          </w:p>
        </w:tc>
      </w:tr>
      <w:tr w:rsidR="00BB3030" w:rsidRPr="00815E29" w:rsidTr="00132DF3">
        <w:trPr>
          <w:jc w:val="center"/>
        </w:trPr>
        <w:tc>
          <w:tcPr>
            <w:tcW w:w="3647" w:type="dxa"/>
          </w:tcPr>
          <w:p w:rsidR="00BB3030" w:rsidRPr="00815E29" w:rsidRDefault="00BB3030" w:rsidP="00B06B1B">
            <w:pPr>
              <w:pStyle w:val="Pa21"/>
              <w:spacing w:before="20" w:after="20" w:line="240" w:lineRule="auto"/>
              <w:rPr>
                <w:rFonts w:ascii="Times New Roman" w:hAnsi="Times New Roman" w:cs="Times New Roman"/>
                <w:snapToGrid w:val="0"/>
                <w:color w:val="000000"/>
                <w:kern w:val="22"/>
                <w:sz w:val="22"/>
                <w:szCs w:val="22"/>
                <w:lang w:val="fr-CA"/>
              </w:rPr>
            </w:pPr>
            <w:r w:rsidRPr="00815E29">
              <w:rPr>
                <w:rFonts w:ascii="Times New Roman" w:hAnsi="Times New Roman" w:cs="Times New Roman"/>
                <w:snapToGrid w:val="0"/>
                <w:color w:val="000000"/>
                <w:kern w:val="22"/>
                <w:sz w:val="22"/>
                <w:szCs w:val="22"/>
                <w:lang w:val="fr-CA"/>
              </w:rPr>
              <w:lastRenderedPageBreak/>
              <w:t xml:space="preserve">D. </w:t>
            </w:r>
            <w:r w:rsidR="00B06B1B">
              <w:rPr>
                <w:rFonts w:ascii="Times New Roman" w:hAnsi="Times New Roman" w:cs="Times New Roman"/>
                <w:snapToGrid w:val="0"/>
                <w:color w:val="000000"/>
                <w:kern w:val="22"/>
                <w:sz w:val="22"/>
                <w:szCs w:val="22"/>
                <w:lang w:val="fr-CA"/>
              </w:rPr>
              <w:t>Participation entière et efficace</w:t>
            </w:r>
          </w:p>
        </w:tc>
        <w:tc>
          <w:tcPr>
            <w:tcW w:w="5954" w:type="dxa"/>
          </w:tcPr>
          <w:p w:rsidR="00BB3030" w:rsidRPr="00815E29" w:rsidRDefault="00B06B1B"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Rôle des femmes, des hommes, des aînés et des jeunes</w:t>
            </w:r>
          </w:p>
          <w:p w:rsidR="00BB3030" w:rsidRPr="00815E29" w:rsidRDefault="00AB57F7"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La participation efficace dépend du type et des méthodes</w:t>
            </w:r>
          </w:p>
          <w:p w:rsidR="00BB3030" w:rsidRPr="00815E29" w:rsidRDefault="00AB57F7"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Processus décisionnel</w:t>
            </w:r>
          </w:p>
          <w:p w:rsidR="00BB3030" w:rsidRPr="00815E29" w:rsidRDefault="00AB57F7" w:rsidP="00132DF3">
            <w:pPr>
              <w:pStyle w:val="Pa21"/>
              <w:spacing w:before="20" w:after="20" w:line="240" w:lineRule="auto"/>
              <w:rPr>
                <w:rFonts w:ascii="Times New Roman" w:hAnsi="Times New Roman" w:cs="Times New Roman"/>
                <w:snapToGrid w:val="0"/>
                <w:color w:val="000000"/>
                <w:kern w:val="22"/>
                <w:sz w:val="22"/>
                <w:szCs w:val="22"/>
                <w:lang w:val="fr-CA"/>
              </w:rPr>
            </w:pPr>
            <w:r>
              <w:rPr>
                <w:rFonts w:ascii="Times New Roman" w:hAnsi="Times New Roman" w:cs="Times New Roman"/>
                <w:snapToGrid w:val="0"/>
                <w:color w:val="000000"/>
                <w:kern w:val="22"/>
                <w:sz w:val="22"/>
                <w:szCs w:val="22"/>
                <w:lang w:val="fr-CA"/>
              </w:rPr>
              <w:t>Consentement préalable libre et éclairé</w:t>
            </w:r>
          </w:p>
        </w:tc>
      </w:tr>
    </w:tbl>
    <w:p w:rsidR="00BB3030" w:rsidRPr="00815E29" w:rsidRDefault="00AB57F7" w:rsidP="00132DF3">
      <w:pPr>
        <w:pStyle w:val="Para1"/>
        <w:keepNext/>
        <w:tabs>
          <w:tab w:val="clear" w:pos="360"/>
        </w:tabs>
        <w:rPr>
          <w:kern w:val="22"/>
          <w:lang w:val="fr-CA"/>
        </w:rPr>
      </w:pPr>
      <w:r>
        <w:rPr>
          <w:kern w:val="22"/>
          <w:lang w:val="fr-CA"/>
        </w:rPr>
        <w:t>Voici quelques enseignements pertinents tirés de la mise en œuvre des systèmes de suivi et d’information communautaires dans plusieurs pays</w:t>
      </w:r>
      <w:r w:rsidR="00C50BA4">
        <w:rPr>
          <w:kern w:val="22"/>
          <w:lang w:val="fr-CA"/>
        </w:rPr>
        <w:t> </w:t>
      </w:r>
      <w:r w:rsidR="00B60D94" w:rsidRPr="00815E29">
        <w:rPr>
          <w:kern w:val="22"/>
          <w:lang w:val="fr-CA"/>
        </w:rPr>
        <w:t>:</w:t>
      </w:r>
      <w:r w:rsidR="00BB3030" w:rsidRPr="00815E29">
        <w:rPr>
          <w:rStyle w:val="FootnoteReference"/>
          <w:kern w:val="22"/>
          <w:lang w:val="fr-CA"/>
        </w:rPr>
        <w:footnoteReference w:id="31"/>
      </w:r>
    </w:p>
    <w:p w:rsidR="00714BE5" w:rsidRPr="00815E29" w:rsidRDefault="00AB57F7" w:rsidP="00132DF3">
      <w:pPr>
        <w:pStyle w:val="Para1"/>
        <w:numPr>
          <w:ilvl w:val="1"/>
          <w:numId w:val="3"/>
        </w:numPr>
        <w:tabs>
          <w:tab w:val="clear" w:pos="1440"/>
        </w:tabs>
        <w:spacing w:before="0"/>
        <w:rPr>
          <w:kern w:val="22"/>
          <w:lang w:val="fr-CA"/>
        </w:rPr>
      </w:pPr>
      <w:r>
        <w:rPr>
          <w:kern w:val="22"/>
          <w:lang w:val="fr-CA"/>
        </w:rPr>
        <w:t>Les données recueillies par les personnes en utilisant différentes méthodologies peuvent être regroupées, en autant que les méthodes utilisées au fil du temps en chaque lieu soient conséquentes</w:t>
      </w:r>
      <w:r w:rsidR="007A5DD8">
        <w:rPr>
          <w:kern w:val="22"/>
          <w:lang w:val="fr-CA"/>
        </w:rPr>
        <w:t>;</w:t>
      </w:r>
    </w:p>
    <w:p w:rsidR="00714BE5" w:rsidRPr="00815E29" w:rsidRDefault="00F817EF" w:rsidP="00132DF3">
      <w:pPr>
        <w:pStyle w:val="Para1"/>
        <w:numPr>
          <w:ilvl w:val="1"/>
          <w:numId w:val="3"/>
        </w:numPr>
        <w:tabs>
          <w:tab w:val="clear" w:pos="1440"/>
        </w:tabs>
        <w:spacing w:before="0"/>
        <w:rPr>
          <w:kern w:val="22"/>
          <w:szCs w:val="22"/>
          <w:lang w:val="fr-CA"/>
        </w:rPr>
      </w:pPr>
      <w:r>
        <w:rPr>
          <w:kern w:val="22"/>
          <w:szCs w:val="22"/>
          <w:lang w:val="fr-CA"/>
        </w:rPr>
        <w:t>La simplicité avant tout</w:t>
      </w:r>
      <w:r w:rsidR="007A5DD8">
        <w:rPr>
          <w:kern w:val="22"/>
          <w:szCs w:val="22"/>
          <w:lang w:val="fr-CA"/>
        </w:rPr>
        <w:t>;</w:t>
      </w:r>
    </w:p>
    <w:p w:rsidR="00714BE5" w:rsidRPr="00815E29" w:rsidRDefault="00F817EF" w:rsidP="00132DF3">
      <w:pPr>
        <w:pStyle w:val="Para1"/>
        <w:numPr>
          <w:ilvl w:val="1"/>
          <w:numId w:val="3"/>
        </w:numPr>
        <w:tabs>
          <w:tab w:val="clear" w:pos="1440"/>
        </w:tabs>
        <w:spacing w:before="0"/>
        <w:rPr>
          <w:kern w:val="22"/>
          <w:szCs w:val="22"/>
          <w:lang w:val="fr-CA"/>
        </w:rPr>
      </w:pPr>
      <w:r>
        <w:rPr>
          <w:kern w:val="22"/>
          <w:szCs w:val="22"/>
          <w:lang w:val="fr-CA"/>
        </w:rPr>
        <w:t xml:space="preserve">Mélange de nouvelles et </w:t>
      </w:r>
      <w:r w:rsidR="00B02C7F">
        <w:rPr>
          <w:kern w:val="22"/>
          <w:szCs w:val="22"/>
          <w:lang w:val="fr-CA"/>
        </w:rPr>
        <w:t>d’anciennes</w:t>
      </w:r>
      <w:r>
        <w:rPr>
          <w:kern w:val="22"/>
          <w:szCs w:val="22"/>
          <w:lang w:val="fr-CA"/>
        </w:rPr>
        <w:t xml:space="preserve"> technologies</w:t>
      </w:r>
      <w:r w:rsidR="007A5DD8">
        <w:rPr>
          <w:kern w:val="22"/>
          <w:szCs w:val="22"/>
          <w:lang w:val="fr-CA"/>
        </w:rPr>
        <w:t>;</w:t>
      </w:r>
    </w:p>
    <w:p w:rsidR="00BB3030" w:rsidRPr="00815E29" w:rsidRDefault="00F817EF" w:rsidP="00132DF3">
      <w:pPr>
        <w:pStyle w:val="Para1"/>
        <w:numPr>
          <w:ilvl w:val="1"/>
          <w:numId w:val="3"/>
        </w:numPr>
        <w:tabs>
          <w:tab w:val="clear" w:pos="1440"/>
        </w:tabs>
        <w:spacing w:before="0"/>
        <w:rPr>
          <w:kern w:val="22"/>
          <w:szCs w:val="22"/>
          <w:lang w:val="fr-CA"/>
        </w:rPr>
      </w:pPr>
      <w:r>
        <w:rPr>
          <w:kern w:val="22"/>
          <w:szCs w:val="22"/>
          <w:lang w:val="fr-CA"/>
        </w:rPr>
        <w:t>Le suivi doit être effectué selon les besoins de la communauté</w:t>
      </w:r>
      <w:r w:rsidR="007A5DD8">
        <w:rPr>
          <w:kern w:val="22"/>
          <w:szCs w:val="22"/>
          <w:lang w:val="fr-CA"/>
        </w:rPr>
        <w:t>;</w:t>
      </w:r>
    </w:p>
    <w:p w:rsidR="00BB3030" w:rsidRPr="00815E29" w:rsidRDefault="00F817EF" w:rsidP="00F817EF">
      <w:pPr>
        <w:pStyle w:val="Para1"/>
        <w:numPr>
          <w:ilvl w:val="1"/>
          <w:numId w:val="3"/>
        </w:numPr>
        <w:tabs>
          <w:tab w:val="clear" w:pos="1440"/>
        </w:tabs>
        <w:spacing w:before="0"/>
        <w:ind w:left="1440" w:hanging="720"/>
        <w:rPr>
          <w:kern w:val="22"/>
          <w:szCs w:val="22"/>
          <w:lang w:val="fr-CA"/>
        </w:rPr>
      </w:pPr>
      <w:r>
        <w:rPr>
          <w:kern w:val="22"/>
          <w:szCs w:val="22"/>
          <w:lang w:val="fr-CA"/>
        </w:rPr>
        <w:t>Les communautés doivent avoir accès à l’information sur les programmes qui les concernent</w:t>
      </w:r>
      <w:r w:rsidR="007A5DD8">
        <w:rPr>
          <w:kern w:val="22"/>
          <w:szCs w:val="22"/>
          <w:lang w:val="fr-CA"/>
        </w:rPr>
        <w:t>;</w:t>
      </w:r>
    </w:p>
    <w:p w:rsidR="00C17728" w:rsidRPr="00815E29" w:rsidRDefault="00BB3030" w:rsidP="00C376DA">
      <w:pPr>
        <w:pStyle w:val="Para1"/>
        <w:numPr>
          <w:ilvl w:val="1"/>
          <w:numId w:val="3"/>
        </w:numPr>
        <w:tabs>
          <w:tab w:val="clear" w:pos="1440"/>
        </w:tabs>
        <w:spacing w:before="0"/>
        <w:ind w:left="1440" w:hanging="720"/>
        <w:rPr>
          <w:kern w:val="22"/>
          <w:szCs w:val="22"/>
          <w:lang w:val="fr-CA"/>
        </w:rPr>
      </w:pPr>
      <w:r w:rsidRPr="00815E29">
        <w:rPr>
          <w:kern w:val="22"/>
          <w:szCs w:val="22"/>
          <w:lang w:val="fr-CA"/>
        </w:rPr>
        <w:t>R</w:t>
      </w:r>
      <w:r w:rsidR="00C376DA">
        <w:rPr>
          <w:kern w:val="22"/>
          <w:szCs w:val="22"/>
          <w:lang w:val="fr-CA"/>
        </w:rPr>
        <w:t>econnaître que la richesse des systèmes de suivi et d’information communautaires repose da</w:t>
      </w:r>
      <w:r w:rsidR="00B02C7F">
        <w:rPr>
          <w:kern w:val="22"/>
          <w:szCs w:val="22"/>
          <w:lang w:val="fr-CA"/>
        </w:rPr>
        <w:t>ns sa diversité, mais collabore</w:t>
      </w:r>
      <w:r w:rsidR="00C376DA">
        <w:rPr>
          <w:kern w:val="22"/>
          <w:szCs w:val="22"/>
          <w:lang w:val="fr-CA"/>
        </w:rPr>
        <w:t xml:space="preserve"> dans certaines circonstances</w:t>
      </w:r>
      <w:r w:rsidRPr="00815E29">
        <w:rPr>
          <w:kern w:val="22"/>
          <w:szCs w:val="22"/>
          <w:lang w:val="fr-CA"/>
        </w:rPr>
        <w:t>.</w:t>
      </w:r>
    </w:p>
    <w:p w:rsidR="00D56B19" w:rsidRPr="00815E29" w:rsidRDefault="0033193A" w:rsidP="006A720D">
      <w:pPr>
        <w:pStyle w:val="Para1"/>
        <w:tabs>
          <w:tab w:val="clear" w:pos="360"/>
        </w:tabs>
        <w:rPr>
          <w:kern w:val="22"/>
          <w:szCs w:val="22"/>
          <w:lang w:val="fr-CA"/>
        </w:rPr>
      </w:pPr>
      <w:r>
        <w:rPr>
          <w:kern w:val="22"/>
          <w:szCs w:val="22"/>
          <w:lang w:val="fr-CA"/>
        </w:rPr>
        <w:t xml:space="preserve">Le Consortium des aires et territoires du patrimoine autochtone et communautaire (APAC) possède plusieurs </w:t>
      </w:r>
      <w:r w:rsidR="00B02C7F">
        <w:rPr>
          <w:kern w:val="22"/>
          <w:szCs w:val="22"/>
          <w:lang w:val="fr-CA"/>
        </w:rPr>
        <w:t xml:space="preserve">méthodes </w:t>
      </w:r>
      <w:r>
        <w:rPr>
          <w:kern w:val="22"/>
          <w:szCs w:val="22"/>
          <w:lang w:val="fr-CA"/>
        </w:rPr>
        <w:t>et outils pertinents à l’évaluation des contributions de</w:t>
      </w:r>
      <w:r w:rsidR="00B02C7F">
        <w:rPr>
          <w:kern w:val="22"/>
          <w:szCs w:val="22"/>
          <w:lang w:val="fr-CA"/>
        </w:rPr>
        <w:t>s</w:t>
      </w:r>
      <w:r>
        <w:rPr>
          <w:kern w:val="22"/>
          <w:szCs w:val="22"/>
          <w:lang w:val="fr-CA"/>
        </w:rPr>
        <w:t xml:space="preserve"> mesures communautaires des peuples autochtones et communautés locales pour leur gestion de ces aires, dont ceux-ci</w:t>
      </w:r>
      <w:r w:rsidR="00C50BA4">
        <w:rPr>
          <w:kern w:val="22"/>
          <w:szCs w:val="22"/>
          <w:lang w:val="fr-CA"/>
        </w:rPr>
        <w:t> </w:t>
      </w:r>
      <w:r w:rsidR="00BB3030" w:rsidRPr="00815E29">
        <w:rPr>
          <w:kern w:val="22"/>
          <w:szCs w:val="22"/>
          <w:lang w:val="fr-CA"/>
        </w:rPr>
        <w:t>:</w:t>
      </w:r>
    </w:p>
    <w:p w:rsidR="00BB3030" w:rsidRPr="00815E29" w:rsidRDefault="0033193A" w:rsidP="00132DF3">
      <w:pPr>
        <w:pStyle w:val="Para1"/>
        <w:numPr>
          <w:ilvl w:val="1"/>
          <w:numId w:val="3"/>
        </w:numPr>
        <w:tabs>
          <w:tab w:val="clear" w:pos="1440"/>
        </w:tabs>
        <w:spacing w:before="0"/>
        <w:rPr>
          <w:kern w:val="22"/>
          <w:szCs w:val="22"/>
          <w:lang w:val="fr-CA"/>
        </w:rPr>
      </w:pPr>
      <w:r>
        <w:rPr>
          <w:kern w:val="22"/>
          <w:szCs w:val="22"/>
          <w:lang w:val="fr-CA"/>
        </w:rPr>
        <w:t xml:space="preserve">Discussions populaires sur les APAC : </w:t>
      </w:r>
      <w:r w:rsidR="00B02C7F">
        <w:rPr>
          <w:kern w:val="22"/>
          <w:szCs w:val="22"/>
          <w:lang w:val="fr-CA"/>
        </w:rPr>
        <w:t>Elles portent</w:t>
      </w:r>
      <w:r w:rsidR="0017601F">
        <w:rPr>
          <w:kern w:val="22"/>
          <w:szCs w:val="22"/>
          <w:lang w:val="fr-CA"/>
        </w:rPr>
        <w:t xml:space="preserve"> sur les processus participatifs et l’utilisation d’une vaste gamme de méthodes et d’out</w:t>
      </w:r>
      <w:r w:rsidR="00B02C7F">
        <w:rPr>
          <w:kern w:val="22"/>
          <w:szCs w:val="22"/>
          <w:lang w:val="fr-CA"/>
        </w:rPr>
        <w:t>ils adaptés au contexte et mette</w:t>
      </w:r>
      <w:r w:rsidR="0017601F">
        <w:rPr>
          <w:kern w:val="22"/>
          <w:szCs w:val="22"/>
          <w:lang w:val="fr-CA"/>
        </w:rPr>
        <w:t xml:space="preserve">nt surtout l’accent sur les outils visuels (p. ex., cartographie, analyse des tendances) appliqués par les groupes communautaires. Elles </w:t>
      </w:r>
      <w:r w:rsidR="00CD705C">
        <w:rPr>
          <w:kern w:val="22"/>
          <w:szCs w:val="22"/>
          <w:lang w:val="fr-CA"/>
        </w:rPr>
        <w:t>s’intéressent</w:t>
      </w:r>
      <w:r w:rsidR="0017601F">
        <w:rPr>
          <w:kern w:val="22"/>
          <w:szCs w:val="22"/>
          <w:lang w:val="fr-CA"/>
        </w:rPr>
        <w:t xml:space="preserve"> surtout </w:t>
      </w:r>
      <w:r w:rsidR="00CD705C">
        <w:rPr>
          <w:kern w:val="22"/>
          <w:szCs w:val="22"/>
          <w:lang w:val="fr-CA"/>
        </w:rPr>
        <w:t>à</w:t>
      </w:r>
      <w:r w:rsidR="0017601F">
        <w:rPr>
          <w:kern w:val="22"/>
          <w:szCs w:val="22"/>
          <w:lang w:val="fr-CA"/>
        </w:rPr>
        <w:t xml:space="preserve"> l’état des APAC, les menaces et besoins éventuels et le type de reconnaissance et de soutien que les communautés aimeraient recevoir</w:t>
      </w:r>
      <w:r w:rsidR="007A5DD8">
        <w:rPr>
          <w:kern w:val="22"/>
          <w:szCs w:val="22"/>
          <w:lang w:val="fr-CA"/>
        </w:rPr>
        <w:t>;</w:t>
      </w:r>
    </w:p>
    <w:p w:rsidR="00BB3030" w:rsidRPr="00815E29" w:rsidRDefault="0017601F" w:rsidP="00132DF3">
      <w:pPr>
        <w:pStyle w:val="Para1"/>
        <w:numPr>
          <w:ilvl w:val="1"/>
          <w:numId w:val="3"/>
        </w:numPr>
        <w:tabs>
          <w:tab w:val="clear" w:pos="1440"/>
        </w:tabs>
        <w:spacing w:before="0"/>
        <w:rPr>
          <w:kern w:val="22"/>
          <w:szCs w:val="22"/>
          <w:lang w:val="fr-CA"/>
        </w:rPr>
      </w:pPr>
      <w:r>
        <w:rPr>
          <w:kern w:val="22"/>
          <w:szCs w:val="22"/>
          <w:lang w:val="fr-CA"/>
        </w:rPr>
        <w:t>Cartographie de la participation et documentation des APAC, qui compren</w:t>
      </w:r>
      <w:r w:rsidR="00DE1BF8">
        <w:rPr>
          <w:kern w:val="22"/>
          <w:szCs w:val="22"/>
          <w:lang w:val="fr-CA"/>
        </w:rPr>
        <w:t>d</w:t>
      </w:r>
      <w:r>
        <w:rPr>
          <w:kern w:val="22"/>
          <w:szCs w:val="22"/>
          <w:lang w:val="fr-CA"/>
        </w:rPr>
        <w:t xml:space="preserve"> des cartes en deux et trois dimensions et un système</w:t>
      </w:r>
      <w:r w:rsidR="00507B56">
        <w:rPr>
          <w:kern w:val="22"/>
          <w:szCs w:val="22"/>
          <w:lang w:val="fr-CA"/>
        </w:rPr>
        <w:t xml:space="preserve"> participatif d’information géographique appliqué par les communautés pour leurs propres objectifs et utilisation</w:t>
      </w:r>
      <w:r w:rsidR="007A5DD8">
        <w:rPr>
          <w:kern w:val="22"/>
          <w:szCs w:val="22"/>
          <w:lang w:val="fr-CA"/>
        </w:rPr>
        <w:t>;</w:t>
      </w:r>
    </w:p>
    <w:p w:rsidR="007B5DDF" w:rsidRPr="00815E29" w:rsidRDefault="006156C0" w:rsidP="00132DF3">
      <w:pPr>
        <w:pStyle w:val="Para1"/>
        <w:numPr>
          <w:ilvl w:val="1"/>
          <w:numId w:val="3"/>
        </w:numPr>
        <w:tabs>
          <w:tab w:val="clear" w:pos="1440"/>
        </w:tabs>
        <w:spacing w:before="0"/>
        <w:rPr>
          <w:kern w:val="22"/>
          <w:szCs w:val="22"/>
          <w:lang w:val="fr-CA"/>
        </w:rPr>
      </w:pPr>
      <w:r>
        <w:rPr>
          <w:kern w:val="22"/>
          <w:szCs w:val="22"/>
          <w:lang w:val="fr-CA"/>
        </w:rPr>
        <w:t>Un outil</w:t>
      </w:r>
      <w:r w:rsidR="00507B56" w:rsidRPr="00507B56">
        <w:rPr>
          <w:kern w:val="22"/>
          <w:szCs w:val="22"/>
          <w:lang w:val="fr-CA"/>
        </w:rPr>
        <w:t xml:space="preserve"> de résilience et de sécurité (simplifié</w:t>
      </w:r>
      <w:r w:rsidR="007B5DDF" w:rsidRPr="00507B56">
        <w:rPr>
          <w:kern w:val="22"/>
          <w:szCs w:val="22"/>
          <w:lang w:val="fr-CA"/>
        </w:rPr>
        <w:t>)</w:t>
      </w:r>
      <w:r w:rsidR="006A720D" w:rsidRPr="00507B56">
        <w:rPr>
          <w:kern w:val="22"/>
          <w:szCs w:val="22"/>
          <w:lang w:val="fr-CA"/>
        </w:rPr>
        <w:t>,</w:t>
      </w:r>
      <w:r w:rsidR="006B7442" w:rsidRPr="00815E29">
        <w:rPr>
          <w:rStyle w:val="FootnoteReference"/>
          <w:kern w:val="22"/>
          <w:szCs w:val="22"/>
          <w:lang w:val="fr-CA"/>
        </w:rPr>
        <w:footnoteReference w:id="32"/>
      </w:r>
      <w:r w:rsidR="00BB3030" w:rsidRPr="00507B56">
        <w:rPr>
          <w:kern w:val="22"/>
          <w:szCs w:val="22"/>
          <w:lang w:val="fr-CA"/>
        </w:rPr>
        <w:t xml:space="preserve"> </w:t>
      </w:r>
      <w:r w:rsidR="00507B56" w:rsidRPr="00507B56">
        <w:rPr>
          <w:kern w:val="22"/>
          <w:szCs w:val="22"/>
          <w:lang w:val="fr-CA"/>
        </w:rPr>
        <w:t xml:space="preserve">pour aider les communautés </w:t>
      </w:r>
      <w:r w:rsidR="00507B56">
        <w:rPr>
          <w:kern w:val="22"/>
          <w:szCs w:val="22"/>
          <w:lang w:val="fr-CA"/>
        </w:rPr>
        <w:t>à autoévaluer leurs propres forces et faiblesses int</w:t>
      </w:r>
      <w:r>
        <w:rPr>
          <w:kern w:val="22"/>
          <w:szCs w:val="22"/>
          <w:lang w:val="fr-CA"/>
        </w:rPr>
        <w:t>ernes et externes influençant l</w:t>
      </w:r>
      <w:r w:rsidR="00507B56">
        <w:rPr>
          <w:kern w:val="22"/>
          <w:szCs w:val="22"/>
          <w:lang w:val="fr-CA"/>
        </w:rPr>
        <w:t xml:space="preserve">’existence et la durabilité de leurs APAC. L’outil met l’accent sur l’évaluation de cinq bases essentielles d’une APAC efficace : i) l’intégrité et la force de la communauté </w:t>
      </w:r>
      <w:r w:rsidR="0084292A">
        <w:rPr>
          <w:kern w:val="22"/>
          <w:szCs w:val="22"/>
          <w:lang w:val="fr-CA"/>
        </w:rPr>
        <w:t>gardienne, ii) le lien entre la communauté et son territoire, iii) le fonctionnement de l’institution de gouvernance, iv) l’état de conservation du territoire et v) la subsistance et le bien-être de la communauté</w:t>
      </w:r>
      <w:r w:rsidR="007A5DD8">
        <w:rPr>
          <w:kern w:val="22"/>
          <w:szCs w:val="22"/>
          <w:lang w:val="fr-CA"/>
        </w:rPr>
        <w:t>;</w:t>
      </w:r>
    </w:p>
    <w:p w:rsidR="007B5DDF" w:rsidRPr="0084292A" w:rsidRDefault="0084292A" w:rsidP="00132DF3">
      <w:pPr>
        <w:pStyle w:val="Para1"/>
        <w:numPr>
          <w:ilvl w:val="1"/>
          <w:numId w:val="3"/>
        </w:numPr>
        <w:tabs>
          <w:tab w:val="clear" w:pos="1440"/>
        </w:tabs>
        <w:spacing w:before="0"/>
        <w:rPr>
          <w:kern w:val="22"/>
          <w:szCs w:val="22"/>
          <w:lang w:val="fr-CA"/>
        </w:rPr>
      </w:pPr>
      <w:r w:rsidRPr="0084292A">
        <w:rPr>
          <w:kern w:val="22"/>
          <w:szCs w:val="22"/>
          <w:lang w:val="fr-CA"/>
        </w:rPr>
        <w:lastRenderedPageBreak/>
        <w:t>Une boîte à outils qui soutient la gestion des APAC</w:t>
      </w:r>
      <w:r w:rsidR="006B7442" w:rsidRPr="00815E29">
        <w:rPr>
          <w:rStyle w:val="FootnoteReference"/>
          <w:kern w:val="22"/>
          <w:szCs w:val="22"/>
          <w:lang w:val="fr-CA"/>
        </w:rPr>
        <w:footnoteReference w:id="33"/>
      </w:r>
      <w:r w:rsidR="006156C0">
        <w:rPr>
          <w:kern w:val="22"/>
          <w:szCs w:val="22"/>
          <w:lang w:val="fr-CA"/>
        </w:rPr>
        <w:t xml:space="preserve"> et</w:t>
      </w:r>
      <w:r w:rsidR="007B5DDF" w:rsidRPr="0084292A">
        <w:rPr>
          <w:kern w:val="22"/>
          <w:szCs w:val="22"/>
          <w:lang w:val="fr-CA"/>
        </w:rPr>
        <w:t xml:space="preserve"> </w:t>
      </w:r>
      <w:r w:rsidRPr="0084292A">
        <w:rPr>
          <w:kern w:val="22"/>
          <w:szCs w:val="22"/>
          <w:lang w:val="fr-CA"/>
        </w:rPr>
        <w:t>of</w:t>
      </w:r>
      <w:r>
        <w:rPr>
          <w:kern w:val="22"/>
          <w:szCs w:val="22"/>
          <w:lang w:val="fr-CA"/>
        </w:rPr>
        <w:t>fr</w:t>
      </w:r>
      <w:r w:rsidR="006156C0">
        <w:rPr>
          <w:kern w:val="22"/>
          <w:szCs w:val="22"/>
          <w:lang w:val="fr-CA"/>
        </w:rPr>
        <w:t>e</w:t>
      </w:r>
      <w:r>
        <w:rPr>
          <w:kern w:val="22"/>
          <w:szCs w:val="22"/>
          <w:lang w:val="fr-CA"/>
        </w:rPr>
        <w:t xml:space="preserve"> différentes sources pour </w:t>
      </w:r>
      <w:r w:rsidRPr="0084292A">
        <w:rPr>
          <w:kern w:val="22"/>
          <w:szCs w:val="22"/>
          <w:lang w:val="fr-CA"/>
        </w:rPr>
        <w:t>cinq objectifs</w:t>
      </w:r>
      <w:r w:rsidR="00C50BA4">
        <w:rPr>
          <w:kern w:val="22"/>
          <w:szCs w:val="22"/>
          <w:lang w:val="fr-CA"/>
        </w:rPr>
        <w:t> </w:t>
      </w:r>
      <w:r w:rsidRPr="0084292A">
        <w:rPr>
          <w:kern w:val="22"/>
          <w:szCs w:val="22"/>
          <w:lang w:val="fr-CA"/>
        </w:rPr>
        <w:t>: i)</w:t>
      </w:r>
      <w:r>
        <w:rPr>
          <w:kern w:val="22"/>
          <w:szCs w:val="22"/>
          <w:lang w:val="fr-CA"/>
        </w:rPr>
        <w:t xml:space="preserve"> documenter la présence des peuples autochtones et des communautés locales, ii) planification de la gestion, iii) suivi et évaluation, iv) communications et v) financement et établissement de la valeur</w:t>
      </w:r>
      <w:r w:rsidR="007B5DDF" w:rsidRPr="0084292A">
        <w:rPr>
          <w:kern w:val="22"/>
          <w:szCs w:val="22"/>
          <w:lang w:val="fr-CA"/>
        </w:rPr>
        <w:t>.</w:t>
      </w:r>
    </w:p>
    <w:p w:rsidR="007B5DDF" w:rsidRPr="002324BA" w:rsidRDefault="002324BA" w:rsidP="00132DF3">
      <w:pPr>
        <w:pStyle w:val="Para1"/>
        <w:tabs>
          <w:tab w:val="clear" w:pos="360"/>
        </w:tabs>
        <w:rPr>
          <w:kern w:val="22"/>
          <w:lang w:val="fr-CA"/>
        </w:rPr>
      </w:pPr>
      <w:r w:rsidRPr="002324BA">
        <w:rPr>
          <w:kern w:val="22"/>
          <w:lang w:val="fr-CA"/>
        </w:rPr>
        <w:t xml:space="preserve">La </w:t>
      </w:r>
      <w:r w:rsidRPr="004C435F">
        <w:rPr>
          <w:kern w:val="22"/>
          <w:lang w:val="fr-CA"/>
        </w:rPr>
        <w:t xml:space="preserve">méthodologie de la </w:t>
      </w:r>
      <w:r w:rsidRPr="00070F84">
        <w:rPr>
          <w:kern w:val="22"/>
          <w:lang w:val="en-CA"/>
        </w:rPr>
        <w:t>C</w:t>
      </w:r>
      <w:r w:rsidR="007B5DDF" w:rsidRPr="00070F84">
        <w:rPr>
          <w:kern w:val="22"/>
          <w:lang w:val="en-CA"/>
        </w:rPr>
        <w:t>ommunity Conservation Resilience</w:t>
      </w:r>
      <w:r w:rsidR="007B5DDF" w:rsidRPr="004C435F">
        <w:rPr>
          <w:kern w:val="22"/>
          <w:lang w:val="fr-CA"/>
        </w:rPr>
        <w:t xml:space="preserve"> Initiative</w:t>
      </w:r>
      <w:r w:rsidR="007B5DDF" w:rsidRPr="002324BA">
        <w:rPr>
          <w:kern w:val="22"/>
          <w:lang w:val="fr-CA"/>
        </w:rPr>
        <w:t xml:space="preserve"> </w:t>
      </w:r>
      <w:r w:rsidRPr="002324BA">
        <w:rPr>
          <w:kern w:val="22"/>
          <w:lang w:val="fr-CA"/>
        </w:rPr>
        <w:t xml:space="preserve">propose un cadre d’orientation </w:t>
      </w:r>
      <w:r>
        <w:rPr>
          <w:kern w:val="22"/>
          <w:lang w:val="fr-CA"/>
        </w:rPr>
        <w:t>pour effectuer une évaluation ascendante de a) la résilience des programmes et des méthodes des peuples autochtones et des communautés locales en matière de conservation et de restauration et b) le soutien légal, politique, socio</w:t>
      </w:r>
      <w:r w:rsidR="00C50BA4">
        <w:rPr>
          <w:kern w:val="22"/>
          <w:lang w:val="fr-CA"/>
        </w:rPr>
        <w:t>-</w:t>
      </w:r>
      <w:r>
        <w:rPr>
          <w:kern w:val="22"/>
          <w:lang w:val="fr-CA"/>
        </w:rPr>
        <w:t xml:space="preserve">économique, financier, technique et de renforcement des capacités qui aiderait à maintenir et à renforcer de tels programmes et méthodes, et </w:t>
      </w:r>
      <w:r w:rsidR="001C61ED">
        <w:rPr>
          <w:kern w:val="22"/>
          <w:lang w:val="fr-CA"/>
        </w:rPr>
        <w:t>confirmerait ensuite</w:t>
      </w:r>
      <w:r>
        <w:rPr>
          <w:kern w:val="22"/>
          <w:lang w:val="fr-CA"/>
        </w:rPr>
        <w:t xml:space="preserve"> ces formes d’appui grâce à une représentation stratégique.</w:t>
      </w:r>
      <w:r w:rsidRPr="00132DF3">
        <w:rPr>
          <w:rStyle w:val="FootnoteReference"/>
          <w:kern w:val="22"/>
          <w:szCs w:val="22"/>
        </w:rPr>
        <w:footnoteReference w:id="34"/>
      </w:r>
      <w:r>
        <w:rPr>
          <w:kern w:val="22"/>
          <w:lang w:val="fr-CA"/>
        </w:rPr>
        <w:t xml:space="preserve"> La méthodologie comprend neuf éléments</w:t>
      </w:r>
      <w:r w:rsidR="00C50BA4">
        <w:rPr>
          <w:kern w:val="22"/>
          <w:lang w:val="fr-CA"/>
        </w:rPr>
        <w:t> </w:t>
      </w:r>
      <w:r w:rsidR="007B5DDF" w:rsidRPr="002324BA">
        <w:rPr>
          <w:kern w:val="22"/>
          <w:szCs w:val="22"/>
          <w:lang w:val="fr-CA"/>
        </w:rPr>
        <w:t>:</w:t>
      </w:r>
    </w:p>
    <w:p w:rsidR="007B5DDF" w:rsidRPr="00815E29" w:rsidRDefault="002324BA" w:rsidP="00132DF3">
      <w:pPr>
        <w:pStyle w:val="Para1"/>
        <w:numPr>
          <w:ilvl w:val="1"/>
          <w:numId w:val="3"/>
        </w:numPr>
        <w:spacing w:before="0"/>
        <w:rPr>
          <w:kern w:val="22"/>
          <w:lang w:val="fr-CA"/>
        </w:rPr>
      </w:pPr>
      <w:r>
        <w:rPr>
          <w:kern w:val="22"/>
          <w:lang w:val="fr-CA"/>
        </w:rPr>
        <w:t>Préparation et visionnement stratégique</w:t>
      </w:r>
      <w:r w:rsidR="007A5DD8">
        <w:rPr>
          <w:kern w:val="22"/>
          <w:lang w:val="fr-CA"/>
        </w:rPr>
        <w:t>;</w:t>
      </w:r>
    </w:p>
    <w:p w:rsidR="007B5DDF" w:rsidRPr="00815E29" w:rsidRDefault="007B5DDF" w:rsidP="00132DF3">
      <w:pPr>
        <w:pStyle w:val="Para1"/>
        <w:numPr>
          <w:ilvl w:val="1"/>
          <w:numId w:val="3"/>
        </w:numPr>
        <w:spacing w:before="0"/>
        <w:rPr>
          <w:kern w:val="22"/>
          <w:lang w:val="fr-CA"/>
        </w:rPr>
      </w:pPr>
      <w:r w:rsidRPr="00815E29">
        <w:rPr>
          <w:kern w:val="22"/>
          <w:lang w:val="fr-CA"/>
        </w:rPr>
        <w:t xml:space="preserve">Coordination </w:t>
      </w:r>
      <w:r w:rsidR="002324BA">
        <w:rPr>
          <w:kern w:val="22"/>
          <w:lang w:val="fr-CA"/>
        </w:rPr>
        <w:t>et</w:t>
      </w:r>
      <w:r w:rsidRPr="00815E29">
        <w:rPr>
          <w:kern w:val="22"/>
          <w:lang w:val="fr-CA"/>
        </w:rPr>
        <w:t xml:space="preserve"> facilitation</w:t>
      </w:r>
      <w:r w:rsidR="007A5DD8">
        <w:rPr>
          <w:kern w:val="22"/>
          <w:lang w:val="fr-CA"/>
        </w:rPr>
        <w:t>;</w:t>
      </w:r>
    </w:p>
    <w:p w:rsidR="007B5DDF" w:rsidRPr="00815E29" w:rsidRDefault="002324BA" w:rsidP="00132DF3">
      <w:pPr>
        <w:pStyle w:val="Para1"/>
        <w:numPr>
          <w:ilvl w:val="1"/>
          <w:numId w:val="3"/>
        </w:numPr>
        <w:spacing w:before="0"/>
        <w:rPr>
          <w:kern w:val="22"/>
          <w:lang w:val="fr-CA"/>
        </w:rPr>
      </w:pPr>
      <w:r>
        <w:rPr>
          <w:kern w:val="22"/>
          <w:lang w:val="fr-CA"/>
        </w:rPr>
        <w:t>Sélection des sites, y compris le consentement préalable libre et éclairé</w:t>
      </w:r>
      <w:r w:rsidR="007A5DD8">
        <w:rPr>
          <w:kern w:val="22"/>
          <w:lang w:val="fr-CA"/>
        </w:rPr>
        <w:t>;</w:t>
      </w:r>
    </w:p>
    <w:p w:rsidR="007B5DDF" w:rsidRPr="00815E29" w:rsidRDefault="002324BA" w:rsidP="00132DF3">
      <w:pPr>
        <w:pStyle w:val="Para1"/>
        <w:numPr>
          <w:ilvl w:val="1"/>
          <w:numId w:val="3"/>
        </w:numPr>
        <w:spacing w:before="0"/>
        <w:rPr>
          <w:kern w:val="22"/>
          <w:lang w:val="fr-CA"/>
        </w:rPr>
      </w:pPr>
      <w:r>
        <w:rPr>
          <w:kern w:val="22"/>
          <w:lang w:val="fr-CA"/>
        </w:rPr>
        <w:t>Apprentissage réciproque et partage des compétences</w:t>
      </w:r>
      <w:r w:rsidR="007A5DD8">
        <w:rPr>
          <w:kern w:val="22"/>
          <w:lang w:val="fr-CA"/>
        </w:rPr>
        <w:t>;</w:t>
      </w:r>
    </w:p>
    <w:p w:rsidR="007B5DDF" w:rsidRPr="00815E29" w:rsidRDefault="002324BA" w:rsidP="00132DF3">
      <w:pPr>
        <w:pStyle w:val="Para1"/>
        <w:numPr>
          <w:ilvl w:val="1"/>
          <w:numId w:val="3"/>
        </w:numPr>
        <w:spacing w:before="0"/>
        <w:rPr>
          <w:kern w:val="22"/>
          <w:lang w:val="fr-CA"/>
        </w:rPr>
      </w:pPr>
      <w:r>
        <w:rPr>
          <w:kern w:val="22"/>
          <w:lang w:val="fr-CA"/>
        </w:rPr>
        <w:t>Valeurs de référence</w:t>
      </w:r>
      <w:r w:rsidR="007A5DD8">
        <w:rPr>
          <w:kern w:val="22"/>
          <w:lang w:val="fr-CA"/>
        </w:rPr>
        <w:t>;</w:t>
      </w:r>
    </w:p>
    <w:p w:rsidR="007B5DDF" w:rsidRPr="00815E29" w:rsidRDefault="002324BA" w:rsidP="00132DF3">
      <w:pPr>
        <w:pStyle w:val="Para1"/>
        <w:numPr>
          <w:ilvl w:val="1"/>
          <w:numId w:val="3"/>
        </w:numPr>
        <w:spacing w:before="0"/>
        <w:rPr>
          <w:kern w:val="22"/>
          <w:lang w:val="fr-CA"/>
        </w:rPr>
      </w:pPr>
      <w:r>
        <w:rPr>
          <w:kern w:val="22"/>
          <w:lang w:val="fr-CA"/>
        </w:rPr>
        <w:t>Conception et exécution des évaluations</w:t>
      </w:r>
      <w:r w:rsidR="007A5DD8">
        <w:rPr>
          <w:kern w:val="22"/>
          <w:lang w:val="fr-CA"/>
        </w:rPr>
        <w:t>;</w:t>
      </w:r>
    </w:p>
    <w:p w:rsidR="007B5DDF" w:rsidRPr="00815E29" w:rsidRDefault="001133BD" w:rsidP="00132DF3">
      <w:pPr>
        <w:pStyle w:val="Para1"/>
        <w:numPr>
          <w:ilvl w:val="1"/>
          <w:numId w:val="3"/>
        </w:numPr>
        <w:spacing w:before="0"/>
        <w:rPr>
          <w:kern w:val="22"/>
          <w:lang w:val="fr-CA"/>
        </w:rPr>
      </w:pPr>
      <w:r>
        <w:rPr>
          <w:kern w:val="22"/>
          <w:lang w:val="fr-CA"/>
        </w:rPr>
        <w:t>Visionnement, planification stratégique et consolidation</w:t>
      </w:r>
      <w:r w:rsidR="007A5DD8">
        <w:rPr>
          <w:kern w:val="22"/>
          <w:lang w:val="fr-CA"/>
        </w:rPr>
        <w:t>;</w:t>
      </w:r>
    </w:p>
    <w:p w:rsidR="007B5DDF" w:rsidRPr="00815E29" w:rsidRDefault="001133BD" w:rsidP="00132DF3">
      <w:pPr>
        <w:pStyle w:val="Para1"/>
        <w:numPr>
          <w:ilvl w:val="1"/>
          <w:numId w:val="3"/>
        </w:numPr>
        <w:spacing w:before="0"/>
        <w:rPr>
          <w:kern w:val="22"/>
          <w:lang w:val="fr-CA"/>
        </w:rPr>
      </w:pPr>
      <w:r>
        <w:rPr>
          <w:kern w:val="22"/>
          <w:lang w:val="fr-CA"/>
        </w:rPr>
        <w:t>Représentation stratégique et engagement</w:t>
      </w:r>
      <w:r w:rsidR="007A5DD8">
        <w:rPr>
          <w:kern w:val="22"/>
          <w:lang w:val="fr-CA"/>
        </w:rPr>
        <w:t>;</w:t>
      </w:r>
    </w:p>
    <w:p w:rsidR="007B5DDF" w:rsidRPr="00815E29" w:rsidRDefault="001133BD" w:rsidP="00132DF3">
      <w:pPr>
        <w:pStyle w:val="Para1"/>
        <w:numPr>
          <w:ilvl w:val="1"/>
          <w:numId w:val="3"/>
        </w:numPr>
        <w:spacing w:before="0"/>
        <w:rPr>
          <w:kern w:val="22"/>
          <w:lang w:val="fr-CA"/>
        </w:rPr>
      </w:pPr>
      <w:r>
        <w:rPr>
          <w:kern w:val="22"/>
          <w:lang w:val="fr-CA"/>
        </w:rPr>
        <w:t>Réflexion, préparation des rapports et révision</w:t>
      </w:r>
      <w:r w:rsidR="00333224" w:rsidRPr="00815E29">
        <w:rPr>
          <w:kern w:val="22"/>
          <w:lang w:val="fr-CA"/>
        </w:rPr>
        <w:t>.</w:t>
      </w:r>
    </w:p>
    <w:p w:rsidR="007B5DDF" w:rsidRPr="00815E29" w:rsidRDefault="00C930FD" w:rsidP="00132DF3">
      <w:pPr>
        <w:pStyle w:val="Para1"/>
        <w:tabs>
          <w:tab w:val="clear" w:pos="360"/>
        </w:tabs>
        <w:rPr>
          <w:kern w:val="22"/>
          <w:lang w:val="fr-CA"/>
        </w:rPr>
      </w:pPr>
      <w:r>
        <w:rPr>
          <w:kern w:val="22"/>
          <w:lang w:val="fr-CA"/>
        </w:rPr>
        <w:t>L’élément «</w:t>
      </w:r>
      <w:r w:rsidR="00C50BA4">
        <w:rPr>
          <w:kern w:val="22"/>
          <w:lang w:val="fr-CA"/>
        </w:rPr>
        <w:t> </w:t>
      </w:r>
      <w:r>
        <w:rPr>
          <w:kern w:val="22"/>
          <w:lang w:val="fr-CA"/>
        </w:rPr>
        <w:t>conception et exécution de l’évaluation</w:t>
      </w:r>
      <w:r w:rsidR="00C50BA4">
        <w:rPr>
          <w:kern w:val="22"/>
          <w:lang w:val="fr-CA"/>
        </w:rPr>
        <w:t> </w:t>
      </w:r>
      <w:r w:rsidRPr="00C930FD">
        <w:rPr>
          <w:lang w:val="fr-CA"/>
        </w:rPr>
        <w:t xml:space="preserve">» </w:t>
      </w:r>
      <w:r w:rsidR="00DE1BF8">
        <w:rPr>
          <w:lang w:val="fr-CA"/>
        </w:rPr>
        <w:t>laisse entendre</w:t>
      </w:r>
      <w:r w:rsidRPr="00C930FD">
        <w:rPr>
          <w:lang w:val="fr-CA"/>
        </w:rPr>
        <w:t xml:space="preserve"> un exercice communautaire pour définir les indicateurs</w:t>
      </w:r>
      <w:r w:rsidR="004638AD">
        <w:rPr>
          <w:lang w:val="fr-CA"/>
        </w:rPr>
        <w:t>,</w:t>
      </w:r>
      <w:r w:rsidRPr="00C930FD">
        <w:rPr>
          <w:lang w:val="fr-CA"/>
        </w:rPr>
        <w:t xml:space="preserve"> afin de d</w:t>
      </w:r>
      <w:r>
        <w:rPr>
          <w:lang w:val="fr-CA"/>
        </w:rPr>
        <w:t>é</w:t>
      </w:r>
      <w:r w:rsidRPr="00C930FD">
        <w:rPr>
          <w:lang w:val="fr-CA"/>
        </w:rPr>
        <w:t>terminer l’état historique et actuel, ainsi que les changements et les tendances au fil du temps pour différents aspects de la résilience communautaire, d</w:t>
      </w:r>
      <w:r w:rsidR="004B6F12">
        <w:rPr>
          <w:lang w:val="fr-CA"/>
        </w:rPr>
        <w:t>on</w:t>
      </w:r>
      <w:r w:rsidRPr="00C930FD">
        <w:rPr>
          <w:lang w:val="fr-CA"/>
        </w:rPr>
        <w:t>t son «</w:t>
      </w:r>
      <w:r w:rsidR="00C50BA4">
        <w:rPr>
          <w:lang w:val="fr-CA"/>
        </w:rPr>
        <w:t> </w:t>
      </w:r>
      <w:r w:rsidRPr="00C930FD">
        <w:rPr>
          <w:lang w:val="fr-CA"/>
        </w:rPr>
        <w:t>fondement naturel</w:t>
      </w:r>
      <w:r w:rsidR="00C50BA4">
        <w:rPr>
          <w:lang w:val="fr-CA"/>
        </w:rPr>
        <w:t> </w:t>
      </w:r>
      <w:r w:rsidRPr="00C930FD">
        <w:rPr>
          <w:lang w:val="fr-CA"/>
        </w:rPr>
        <w:t>», c.-</w:t>
      </w:r>
      <w:r>
        <w:rPr>
          <w:lang w:val="fr-CA"/>
        </w:rPr>
        <w:t>à-d.,</w:t>
      </w:r>
      <w:r w:rsidR="004B6F12">
        <w:rPr>
          <w:lang w:val="fr-CA"/>
        </w:rPr>
        <w:t xml:space="preserve"> ses écosystè</w:t>
      </w:r>
      <w:r>
        <w:rPr>
          <w:lang w:val="fr-CA"/>
        </w:rPr>
        <w:t>mes et sa biodiversité</w:t>
      </w:r>
      <w:r w:rsidR="007B5DDF" w:rsidRPr="00815E29">
        <w:rPr>
          <w:kern w:val="22"/>
          <w:lang w:val="fr-CA"/>
        </w:rPr>
        <w:t>.</w:t>
      </w:r>
    </w:p>
    <w:p w:rsidR="00FF51C7" w:rsidRPr="00815E29" w:rsidRDefault="004B6F12" w:rsidP="00107F4D">
      <w:pPr>
        <w:pStyle w:val="Para1"/>
        <w:tabs>
          <w:tab w:val="clear" w:pos="360"/>
        </w:tabs>
        <w:rPr>
          <w:kern w:val="22"/>
          <w:szCs w:val="22"/>
          <w:lang w:val="fr-CA"/>
        </w:rPr>
      </w:pPr>
      <w:r>
        <w:rPr>
          <w:rFonts w:eastAsia="Batang"/>
          <w:kern w:val="22"/>
          <w:szCs w:val="22"/>
          <w:lang w:val="fr-CA" w:eastAsia="ko-KR"/>
        </w:rPr>
        <w:t xml:space="preserve">L’examen de certaines approches méthodologiques existantes présentées dans cette section révèle la mise en œuvre d’expériences et d’outils d’une grande richesse par les peuples autochtones et les communautés locales </w:t>
      </w:r>
      <w:r w:rsidR="004638AD">
        <w:rPr>
          <w:rFonts w:eastAsia="Batang"/>
          <w:kern w:val="22"/>
          <w:szCs w:val="22"/>
          <w:lang w:val="fr-CA" w:eastAsia="ko-KR"/>
        </w:rPr>
        <w:t>dans toutes les régions du monde grâce au</w:t>
      </w:r>
      <w:r>
        <w:rPr>
          <w:rFonts w:eastAsia="Batang"/>
          <w:kern w:val="22"/>
          <w:szCs w:val="22"/>
          <w:lang w:val="fr-CA" w:eastAsia="ko-KR"/>
        </w:rPr>
        <w:t xml:space="preserve"> soutien et </w:t>
      </w:r>
      <w:r w:rsidR="004638AD">
        <w:rPr>
          <w:rFonts w:eastAsia="Batang"/>
          <w:kern w:val="22"/>
          <w:szCs w:val="22"/>
          <w:lang w:val="fr-CA" w:eastAsia="ko-KR"/>
        </w:rPr>
        <w:t xml:space="preserve">à </w:t>
      </w:r>
      <w:r>
        <w:rPr>
          <w:rFonts w:eastAsia="Batang"/>
          <w:kern w:val="22"/>
          <w:szCs w:val="22"/>
          <w:lang w:val="fr-CA" w:eastAsia="ko-KR"/>
        </w:rPr>
        <w:t>la facilitation de plusieurs institutions</w:t>
      </w:r>
      <w:r w:rsidR="004638AD">
        <w:rPr>
          <w:rFonts w:eastAsia="Batang"/>
          <w:kern w:val="22"/>
          <w:szCs w:val="22"/>
          <w:lang w:val="fr-CA" w:eastAsia="ko-KR"/>
        </w:rPr>
        <w:t xml:space="preserve">, </w:t>
      </w:r>
      <w:r w:rsidR="00CE3A01">
        <w:rPr>
          <w:rFonts w:eastAsia="Batang"/>
          <w:kern w:val="22"/>
          <w:szCs w:val="22"/>
          <w:lang w:val="fr-CA" w:eastAsia="ko-KR"/>
        </w:rPr>
        <w:t>en vue</w:t>
      </w:r>
      <w:r w:rsidR="004638AD">
        <w:rPr>
          <w:rFonts w:eastAsia="Batang"/>
          <w:kern w:val="22"/>
          <w:szCs w:val="22"/>
          <w:lang w:val="fr-CA" w:eastAsia="ko-KR"/>
        </w:rPr>
        <w:t xml:space="preserve"> de documenter</w:t>
      </w:r>
      <w:r>
        <w:rPr>
          <w:rFonts w:eastAsia="Batang"/>
          <w:kern w:val="22"/>
          <w:szCs w:val="22"/>
          <w:lang w:val="fr-CA" w:eastAsia="ko-KR"/>
        </w:rPr>
        <w:t xml:space="preserve">, comprendre, évaluer et soutenir les mesures collectives aux fins de conservation et d’utilisation durable. </w:t>
      </w:r>
      <w:r w:rsidR="00805D1C">
        <w:rPr>
          <w:rFonts w:eastAsia="Batang"/>
          <w:kern w:val="22"/>
          <w:szCs w:val="22"/>
          <w:lang w:val="fr-CA" w:eastAsia="ko-KR"/>
        </w:rPr>
        <w:t xml:space="preserve">Bien que les contextes et les objectifs précis soient différents, les méthodologies </w:t>
      </w:r>
      <w:r w:rsidR="00CE3A01">
        <w:rPr>
          <w:rFonts w:eastAsia="Batang"/>
          <w:kern w:val="22"/>
          <w:szCs w:val="22"/>
          <w:lang w:val="fr-CA" w:eastAsia="ko-KR"/>
        </w:rPr>
        <w:t>ont</w:t>
      </w:r>
      <w:r w:rsidR="00805D1C">
        <w:rPr>
          <w:rFonts w:eastAsia="Batang"/>
          <w:kern w:val="22"/>
          <w:szCs w:val="22"/>
          <w:lang w:val="fr-CA" w:eastAsia="ko-KR"/>
        </w:rPr>
        <w:t xml:space="preserve"> plusieurs éléments </w:t>
      </w:r>
      <w:r w:rsidR="00B4777C">
        <w:rPr>
          <w:rFonts w:eastAsia="Batang"/>
          <w:kern w:val="22"/>
          <w:szCs w:val="22"/>
          <w:lang w:val="fr-CA" w:eastAsia="ko-KR"/>
        </w:rPr>
        <w:t>importants</w:t>
      </w:r>
      <w:r w:rsidR="00805D1C">
        <w:rPr>
          <w:rFonts w:eastAsia="Batang"/>
          <w:kern w:val="22"/>
          <w:szCs w:val="22"/>
          <w:lang w:val="fr-CA" w:eastAsia="ko-KR"/>
        </w:rPr>
        <w:t xml:space="preserve"> en commun</w:t>
      </w:r>
      <w:r w:rsidR="00A15FF4">
        <w:rPr>
          <w:rFonts w:eastAsia="Batang"/>
          <w:kern w:val="22"/>
          <w:szCs w:val="22"/>
          <w:lang w:val="fr-CA" w:eastAsia="ko-KR"/>
        </w:rPr>
        <w:t xml:space="preserve"> qui ont</w:t>
      </w:r>
      <w:r w:rsidR="00805D1C">
        <w:rPr>
          <w:rFonts w:eastAsia="Batang"/>
          <w:kern w:val="22"/>
          <w:szCs w:val="22"/>
          <w:lang w:val="fr-CA" w:eastAsia="ko-KR"/>
        </w:rPr>
        <w:t xml:space="preserve"> not</w:t>
      </w:r>
      <w:r w:rsidR="00B4777C">
        <w:rPr>
          <w:rFonts w:eastAsia="Batang"/>
          <w:kern w:val="22"/>
          <w:szCs w:val="22"/>
          <w:lang w:val="fr-CA" w:eastAsia="ko-KR"/>
        </w:rPr>
        <w:t>a</w:t>
      </w:r>
      <w:r w:rsidR="00805D1C">
        <w:rPr>
          <w:rFonts w:eastAsia="Batang"/>
          <w:kern w:val="22"/>
          <w:szCs w:val="22"/>
          <w:lang w:val="fr-CA" w:eastAsia="ko-KR"/>
        </w:rPr>
        <w:t xml:space="preserve">mment pour but d’habiliter les communautés </w:t>
      </w:r>
      <w:r w:rsidR="00B4777C">
        <w:rPr>
          <w:rFonts w:eastAsia="Batang"/>
          <w:kern w:val="22"/>
          <w:szCs w:val="22"/>
          <w:lang w:val="fr-CA" w:eastAsia="ko-KR"/>
        </w:rPr>
        <w:t>à mieux re</w:t>
      </w:r>
      <w:r w:rsidR="00805D1C">
        <w:rPr>
          <w:rFonts w:eastAsia="Batang"/>
          <w:kern w:val="22"/>
          <w:szCs w:val="22"/>
          <w:lang w:val="fr-CA" w:eastAsia="ko-KR"/>
        </w:rPr>
        <w:t>lever les défis</w:t>
      </w:r>
      <w:r w:rsidR="00B4777C">
        <w:rPr>
          <w:rFonts w:eastAsia="Batang"/>
          <w:kern w:val="22"/>
          <w:szCs w:val="22"/>
          <w:lang w:val="fr-CA" w:eastAsia="ko-KR"/>
        </w:rPr>
        <w:t xml:space="preserve"> en se responsabilisant, </w:t>
      </w:r>
      <w:r w:rsidR="00CE3A01">
        <w:rPr>
          <w:rFonts w:eastAsia="Batang"/>
          <w:kern w:val="22"/>
          <w:szCs w:val="22"/>
          <w:lang w:val="fr-CA" w:eastAsia="ko-KR"/>
        </w:rPr>
        <w:t>à créer</w:t>
      </w:r>
      <w:r w:rsidR="00805D1C">
        <w:rPr>
          <w:rFonts w:eastAsia="Batang"/>
          <w:kern w:val="22"/>
          <w:szCs w:val="22"/>
          <w:lang w:val="fr-CA" w:eastAsia="ko-KR"/>
        </w:rPr>
        <w:t xml:space="preserve"> des c</w:t>
      </w:r>
      <w:r w:rsidR="00B4777C">
        <w:rPr>
          <w:rFonts w:eastAsia="Batang"/>
          <w:kern w:val="22"/>
          <w:szCs w:val="22"/>
          <w:lang w:val="fr-CA" w:eastAsia="ko-KR"/>
        </w:rPr>
        <w:t>onditions et des processus propr</w:t>
      </w:r>
      <w:r w:rsidR="00805D1C">
        <w:rPr>
          <w:rFonts w:eastAsia="Batang"/>
          <w:kern w:val="22"/>
          <w:szCs w:val="22"/>
          <w:lang w:val="fr-CA" w:eastAsia="ko-KR"/>
        </w:rPr>
        <w:t>es au dialogue et à</w:t>
      </w:r>
      <w:r w:rsidR="00B4777C">
        <w:rPr>
          <w:rFonts w:eastAsia="Batang"/>
          <w:kern w:val="22"/>
          <w:szCs w:val="22"/>
          <w:lang w:val="fr-CA" w:eastAsia="ko-KR"/>
        </w:rPr>
        <w:t xml:space="preserve"> la</w:t>
      </w:r>
      <w:r w:rsidR="00805D1C">
        <w:rPr>
          <w:rFonts w:eastAsia="Batang"/>
          <w:kern w:val="22"/>
          <w:szCs w:val="22"/>
          <w:lang w:val="fr-CA" w:eastAsia="ko-KR"/>
        </w:rPr>
        <w:t xml:space="preserve"> collaboration entre les différents systèmes de connaissances, </w:t>
      </w:r>
      <w:r w:rsidR="00CE3A01">
        <w:rPr>
          <w:rFonts w:eastAsia="Batang"/>
          <w:kern w:val="22"/>
          <w:szCs w:val="22"/>
          <w:lang w:val="fr-CA" w:eastAsia="ko-KR"/>
        </w:rPr>
        <w:t xml:space="preserve">à </w:t>
      </w:r>
      <w:r w:rsidR="00B4777C">
        <w:rPr>
          <w:rFonts w:eastAsia="Batang"/>
          <w:kern w:val="22"/>
          <w:szCs w:val="22"/>
          <w:lang w:val="fr-CA" w:eastAsia="ko-KR"/>
        </w:rPr>
        <w:t>d</w:t>
      </w:r>
      <w:r w:rsidR="00805D1C">
        <w:rPr>
          <w:rFonts w:eastAsia="Batang"/>
          <w:kern w:val="22"/>
          <w:szCs w:val="22"/>
          <w:lang w:val="fr-CA" w:eastAsia="ko-KR"/>
        </w:rPr>
        <w:t>évelopper des occasions d’apprentis</w:t>
      </w:r>
      <w:r w:rsidR="00B4777C">
        <w:rPr>
          <w:rFonts w:eastAsia="Batang"/>
          <w:kern w:val="22"/>
          <w:szCs w:val="22"/>
          <w:lang w:val="fr-CA" w:eastAsia="ko-KR"/>
        </w:rPr>
        <w:t>s</w:t>
      </w:r>
      <w:r w:rsidR="00805D1C">
        <w:rPr>
          <w:rFonts w:eastAsia="Batang"/>
          <w:kern w:val="22"/>
          <w:szCs w:val="22"/>
          <w:lang w:val="fr-CA" w:eastAsia="ko-KR"/>
        </w:rPr>
        <w:t xml:space="preserve">age permanent, </w:t>
      </w:r>
      <w:r w:rsidR="00CE3A01">
        <w:rPr>
          <w:rFonts w:eastAsia="Batang"/>
          <w:kern w:val="22"/>
          <w:szCs w:val="22"/>
          <w:lang w:val="fr-CA" w:eastAsia="ko-KR"/>
        </w:rPr>
        <w:t xml:space="preserve">à </w:t>
      </w:r>
      <w:r w:rsidR="00805D1C">
        <w:rPr>
          <w:rFonts w:eastAsia="Batang"/>
          <w:kern w:val="22"/>
          <w:szCs w:val="22"/>
          <w:lang w:val="fr-CA" w:eastAsia="ko-KR"/>
        </w:rPr>
        <w:t>combiner l’</w:t>
      </w:r>
      <w:r w:rsidR="00B4777C">
        <w:rPr>
          <w:rFonts w:eastAsia="Batang"/>
          <w:kern w:val="22"/>
          <w:szCs w:val="22"/>
          <w:lang w:val="fr-CA" w:eastAsia="ko-KR"/>
        </w:rPr>
        <w:t>ut</w:t>
      </w:r>
      <w:r w:rsidR="00805D1C">
        <w:rPr>
          <w:rFonts w:eastAsia="Batang"/>
          <w:kern w:val="22"/>
          <w:szCs w:val="22"/>
          <w:lang w:val="fr-CA" w:eastAsia="ko-KR"/>
        </w:rPr>
        <w:t>ilisation «</w:t>
      </w:r>
      <w:r w:rsidR="00C50BA4">
        <w:rPr>
          <w:rFonts w:eastAsia="Batang"/>
          <w:kern w:val="22"/>
          <w:szCs w:val="22"/>
          <w:lang w:val="fr-CA" w:eastAsia="ko-KR"/>
        </w:rPr>
        <w:t> </w:t>
      </w:r>
      <w:r w:rsidR="00805D1C">
        <w:rPr>
          <w:rFonts w:eastAsia="Batang"/>
          <w:kern w:val="22"/>
          <w:szCs w:val="22"/>
          <w:lang w:val="fr-CA" w:eastAsia="ko-KR"/>
        </w:rPr>
        <w:t>d’anciennes » et de «</w:t>
      </w:r>
      <w:r w:rsidR="00C50BA4">
        <w:rPr>
          <w:rFonts w:eastAsia="Batang"/>
          <w:kern w:val="22"/>
          <w:szCs w:val="22"/>
          <w:lang w:val="fr-CA" w:eastAsia="ko-KR"/>
        </w:rPr>
        <w:t> </w:t>
      </w:r>
      <w:r w:rsidR="00805D1C">
        <w:rPr>
          <w:rFonts w:eastAsia="Batang"/>
          <w:kern w:val="22"/>
          <w:szCs w:val="22"/>
          <w:lang w:val="fr-CA" w:eastAsia="ko-KR"/>
        </w:rPr>
        <w:t xml:space="preserve">nouvelles » technologies, </w:t>
      </w:r>
      <w:r w:rsidR="00CE3A01">
        <w:rPr>
          <w:rFonts w:eastAsia="Batang"/>
          <w:kern w:val="22"/>
          <w:szCs w:val="22"/>
          <w:lang w:val="fr-CA" w:eastAsia="ko-KR"/>
        </w:rPr>
        <w:t xml:space="preserve">à </w:t>
      </w:r>
      <w:r w:rsidR="00805D1C">
        <w:rPr>
          <w:rFonts w:eastAsia="Batang"/>
          <w:kern w:val="22"/>
          <w:szCs w:val="22"/>
          <w:lang w:val="fr-CA" w:eastAsia="ko-KR"/>
        </w:rPr>
        <w:t xml:space="preserve">aborder des aspects critiques de la gouvernance, </w:t>
      </w:r>
      <w:r w:rsidR="00CE3A01">
        <w:rPr>
          <w:rFonts w:eastAsia="Batang"/>
          <w:kern w:val="22"/>
          <w:szCs w:val="22"/>
          <w:lang w:val="fr-CA" w:eastAsia="ko-KR"/>
        </w:rPr>
        <w:t xml:space="preserve">à </w:t>
      </w:r>
      <w:r w:rsidR="00805D1C">
        <w:rPr>
          <w:rFonts w:eastAsia="Batang"/>
          <w:kern w:val="22"/>
          <w:szCs w:val="22"/>
          <w:lang w:val="fr-CA" w:eastAsia="ko-KR"/>
        </w:rPr>
        <w:t xml:space="preserve">mettre au jour et </w:t>
      </w:r>
      <w:r w:rsidR="00CE3A01">
        <w:rPr>
          <w:rFonts w:eastAsia="Batang"/>
          <w:kern w:val="22"/>
          <w:szCs w:val="22"/>
          <w:lang w:val="fr-CA" w:eastAsia="ko-KR"/>
        </w:rPr>
        <w:t>à r</w:t>
      </w:r>
      <w:r w:rsidR="00805D1C">
        <w:rPr>
          <w:rFonts w:eastAsia="Batang"/>
          <w:kern w:val="22"/>
          <w:szCs w:val="22"/>
          <w:lang w:val="fr-CA" w:eastAsia="ko-KR"/>
        </w:rPr>
        <w:t>enforcer les nombreux liens entre la communauté et son territoire, dont sa subsistance et la gestion culturelle du paysage,</w:t>
      </w:r>
      <w:r w:rsidR="00CE3A01">
        <w:rPr>
          <w:rFonts w:eastAsia="Batang"/>
          <w:kern w:val="22"/>
          <w:szCs w:val="22"/>
          <w:lang w:val="fr-CA" w:eastAsia="ko-KR"/>
        </w:rPr>
        <w:t xml:space="preserve"> à</w:t>
      </w:r>
      <w:r w:rsidR="00805D1C">
        <w:rPr>
          <w:rFonts w:eastAsia="Batang"/>
          <w:kern w:val="22"/>
          <w:szCs w:val="22"/>
          <w:lang w:val="fr-CA" w:eastAsia="ko-KR"/>
        </w:rPr>
        <w:t xml:space="preserve"> habiliter les communautés à gérer le changement </w:t>
      </w:r>
      <w:r w:rsidR="00B4777C">
        <w:rPr>
          <w:rFonts w:eastAsia="Batang"/>
          <w:kern w:val="22"/>
          <w:szCs w:val="22"/>
          <w:lang w:val="fr-CA" w:eastAsia="ko-KR"/>
        </w:rPr>
        <w:t>à différentes é</w:t>
      </w:r>
      <w:r w:rsidR="00805D1C">
        <w:rPr>
          <w:rFonts w:eastAsia="Batang"/>
          <w:kern w:val="22"/>
          <w:szCs w:val="22"/>
          <w:lang w:val="fr-CA" w:eastAsia="ko-KR"/>
        </w:rPr>
        <w:t xml:space="preserve">chelles et </w:t>
      </w:r>
      <w:r w:rsidR="00CE3A01">
        <w:rPr>
          <w:rFonts w:eastAsia="Batang"/>
          <w:kern w:val="22"/>
          <w:szCs w:val="22"/>
          <w:lang w:val="fr-CA" w:eastAsia="ko-KR"/>
        </w:rPr>
        <w:t xml:space="preserve">à </w:t>
      </w:r>
      <w:r w:rsidR="00805D1C">
        <w:rPr>
          <w:rFonts w:eastAsia="Batang"/>
          <w:kern w:val="22"/>
          <w:szCs w:val="22"/>
          <w:lang w:val="fr-CA" w:eastAsia="ko-KR"/>
        </w:rPr>
        <w:t xml:space="preserve">renforcer leur contribution à la conservation et </w:t>
      </w:r>
      <w:r w:rsidR="00CE3A01">
        <w:rPr>
          <w:rFonts w:eastAsia="Batang"/>
          <w:kern w:val="22"/>
          <w:szCs w:val="22"/>
          <w:lang w:val="fr-CA" w:eastAsia="ko-KR"/>
        </w:rPr>
        <w:t xml:space="preserve">à </w:t>
      </w:r>
      <w:r w:rsidR="00805D1C">
        <w:rPr>
          <w:rFonts w:eastAsia="Batang"/>
          <w:kern w:val="22"/>
          <w:szCs w:val="22"/>
          <w:lang w:val="fr-CA" w:eastAsia="ko-KR"/>
        </w:rPr>
        <w:t xml:space="preserve">l’utilisation durable </w:t>
      </w:r>
      <w:r w:rsidR="00C50BA4">
        <w:rPr>
          <w:rFonts w:eastAsia="Batang"/>
          <w:kern w:val="22"/>
          <w:szCs w:val="22"/>
          <w:lang w:val="fr-CA" w:eastAsia="ko-KR"/>
        </w:rPr>
        <w:t>en garantissant leurs droits</w:t>
      </w:r>
      <w:r w:rsidR="00B4777C">
        <w:rPr>
          <w:rFonts w:eastAsia="Batang"/>
          <w:kern w:val="22"/>
          <w:szCs w:val="22"/>
          <w:lang w:val="fr-CA" w:eastAsia="ko-KR"/>
        </w:rPr>
        <w:t xml:space="preserve"> et leur bien-être</w:t>
      </w:r>
      <w:r w:rsidR="007B5DDF" w:rsidRPr="00815E29">
        <w:rPr>
          <w:kern w:val="22"/>
          <w:szCs w:val="22"/>
          <w:lang w:val="fr-CA"/>
        </w:rPr>
        <w:t>.</w:t>
      </w:r>
    </w:p>
    <w:p w:rsidR="00141E38" w:rsidRPr="00B4777C" w:rsidRDefault="00BE076F" w:rsidP="00132DF3">
      <w:pPr>
        <w:pStyle w:val="Heading1"/>
        <w:tabs>
          <w:tab w:val="clear" w:pos="720"/>
        </w:tabs>
        <w:spacing w:before="120"/>
        <w:ind w:left="1728" w:hanging="1008"/>
        <w:jc w:val="left"/>
        <w:rPr>
          <w:snapToGrid w:val="0"/>
          <w:kern w:val="22"/>
          <w:szCs w:val="22"/>
          <w:lang w:val="fr-CA"/>
        </w:rPr>
      </w:pPr>
      <w:r w:rsidRPr="00B4777C">
        <w:rPr>
          <w:snapToGrid w:val="0"/>
          <w:kern w:val="22"/>
          <w:szCs w:val="22"/>
          <w:lang w:val="fr-CA"/>
        </w:rPr>
        <w:t>III.</w:t>
      </w:r>
      <w:r w:rsidR="00C051F3" w:rsidRPr="00B4777C">
        <w:rPr>
          <w:snapToGrid w:val="0"/>
          <w:kern w:val="22"/>
          <w:szCs w:val="22"/>
          <w:lang w:val="fr-CA"/>
        </w:rPr>
        <w:tab/>
      </w:r>
      <w:r w:rsidR="00B4777C">
        <w:rPr>
          <w:snapToGrid w:val="0"/>
          <w:kern w:val="22"/>
          <w:szCs w:val="22"/>
          <w:lang w:val="fr-CA"/>
        </w:rPr>
        <w:t>ÉLÉMENTS SUGGÉRÉS D’UNE ORIENTATION MÉTHODOLOGIQUE</w:t>
      </w:r>
    </w:p>
    <w:p w:rsidR="00CF696B" w:rsidRPr="00B4777C" w:rsidRDefault="00940867" w:rsidP="00384D3F">
      <w:pPr>
        <w:pStyle w:val="Para1"/>
        <w:tabs>
          <w:tab w:val="clear" w:pos="360"/>
        </w:tabs>
        <w:rPr>
          <w:rFonts w:eastAsia="Batang"/>
          <w:kern w:val="22"/>
          <w:szCs w:val="22"/>
          <w:lang w:val="fr-CA" w:eastAsia="ko-KR"/>
        </w:rPr>
      </w:pPr>
      <w:r>
        <w:rPr>
          <w:kern w:val="22"/>
          <w:szCs w:val="22"/>
          <w:lang w:val="fr-CA"/>
        </w:rPr>
        <w:t xml:space="preserve">Les éléments suivants d’une orientation méthodologique peuvent être proposés au Groupe de travail sur l’article 8 j) pour examen à sa dixième réunion, à la lumière de l’examen des activités et </w:t>
      </w:r>
      <w:r>
        <w:rPr>
          <w:kern w:val="22"/>
          <w:szCs w:val="22"/>
          <w:lang w:val="fr-CA"/>
        </w:rPr>
        <w:lastRenderedPageBreak/>
        <w:t xml:space="preserve">expériences pilotes des Parties et autres organisations pertinentes, ainsi que </w:t>
      </w:r>
      <w:r w:rsidR="00322AFE">
        <w:rPr>
          <w:kern w:val="22"/>
          <w:szCs w:val="22"/>
          <w:lang w:val="fr-CA"/>
        </w:rPr>
        <w:t>d</w:t>
      </w:r>
      <w:r>
        <w:rPr>
          <w:kern w:val="22"/>
          <w:szCs w:val="22"/>
          <w:lang w:val="fr-CA"/>
        </w:rPr>
        <w:t xml:space="preserve">es principaux aspects des méthodologies existantes. Il est toutefois important de prendre note que plusieurs expériences et processus sont en cours, possiblement encore à leurs débuts, et que </w:t>
      </w:r>
      <w:r w:rsidR="00A15FF4">
        <w:rPr>
          <w:kern w:val="22"/>
          <w:szCs w:val="22"/>
          <w:lang w:val="fr-CA"/>
        </w:rPr>
        <w:t>la</w:t>
      </w:r>
      <w:r>
        <w:rPr>
          <w:kern w:val="22"/>
          <w:szCs w:val="22"/>
          <w:lang w:val="fr-CA"/>
        </w:rPr>
        <w:t xml:space="preserve"> définition des éléments est aussi en cours et doit être révisée et enrichie de manière continuelle </w:t>
      </w:r>
      <w:r w:rsidR="001E7F9A">
        <w:rPr>
          <w:kern w:val="22"/>
          <w:szCs w:val="22"/>
          <w:lang w:val="fr-CA"/>
        </w:rPr>
        <w:t>selon les ensei</w:t>
      </w:r>
      <w:r>
        <w:rPr>
          <w:kern w:val="22"/>
          <w:szCs w:val="22"/>
          <w:lang w:val="fr-CA"/>
        </w:rPr>
        <w:t>gnements tirés des expériences</w:t>
      </w:r>
      <w:r w:rsidR="00AA736F" w:rsidRPr="00B4777C">
        <w:rPr>
          <w:rFonts w:eastAsia="Batang"/>
          <w:kern w:val="22"/>
          <w:szCs w:val="22"/>
          <w:lang w:val="fr-CA" w:eastAsia="ko-KR"/>
        </w:rPr>
        <w:t>.</w:t>
      </w:r>
    </w:p>
    <w:p w:rsidR="00173AA6" w:rsidRPr="00B4777C" w:rsidRDefault="006C7342" w:rsidP="006A6E26">
      <w:pPr>
        <w:pStyle w:val="Heading2"/>
        <w:tabs>
          <w:tab w:val="clear" w:pos="720"/>
        </w:tabs>
        <w:ind w:left="720" w:hanging="720"/>
        <w:rPr>
          <w:rFonts w:eastAsia="Batang"/>
          <w:bCs w:val="0"/>
          <w:i w:val="0"/>
          <w:iCs w:val="0"/>
          <w:snapToGrid w:val="0"/>
          <w:kern w:val="22"/>
          <w:szCs w:val="22"/>
          <w:lang w:val="fr-CA" w:eastAsia="ko-KR"/>
        </w:rPr>
      </w:pPr>
      <w:r w:rsidRPr="00B4777C">
        <w:rPr>
          <w:bCs w:val="0"/>
          <w:i w:val="0"/>
          <w:iCs w:val="0"/>
          <w:snapToGrid w:val="0"/>
          <w:kern w:val="22"/>
          <w:szCs w:val="22"/>
          <w:lang w:val="fr-CA"/>
        </w:rPr>
        <w:t>A.</w:t>
      </w:r>
      <w:r w:rsidRPr="00B4777C">
        <w:rPr>
          <w:bCs w:val="0"/>
          <w:i w:val="0"/>
          <w:iCs w:val="0"/>
          <w:snapToGrid w:val="0"/>
          <w:kern w:val="22"/>
          <w:szCs w:val="22"/>
          <w:lang w:val="fr-CA"/>
        </w:rPr>
        <w:tab/>
      </w:r>
      <w:r w:rsidR="001E7F9A">
        <w:rPr>
          <w:bCs w:val="0"/>
          <w:i w:val="0"/>
          <w:iCs w:val="0"/>
          <w:snapToGrid w:val="0"/>
          <w:kern w:val="22"/>
          <w:szCs w:val="22"/>
          <w:lang w:val="fr-CA"/>
        </w:rPr>
        <w:t>Grands principes</w:t>
      </w:r>
    </w:p>
    <w:p w:rsidR="00D53FB2" w:rsidRPr="00B4777C" w:rsidRDefault="001E7F9A" w:rsidP="00687A7A">
      <w:pPr>
        <w:pStyle w:val="Para1"/>
        <w:tabs>
          <w:tab w:val="clear" w:pos="360"/>
        </w:tabs>
        <w:rPr>
          <w:kern w:val="22"/>
          <w:szCs w:val="22"/>
          <w:lang w:val="fr-CA"/>
        </w:rPr>
      </w:pPr>
      <w:r>
        <w:rPr>
          <w:rFonts w:eastAsia="Batang"/>
          <w:kern w:val="22"/>
          <w:szCs w:val="22"/>
          <w:lang w:val="fr-CA" w:eastAsia="ko-KR"/>
        </w:rPr>
        <w:t xml:space="preserve">Toutes les approches méthodologiques pertinentes aux fins d’évaluation des mesures collectives des peuples autochtones et des communautés locales pour la conservation et l’utilisation durable sont fondées sur des séries de principes précis qui </w:t>
      </w:r>
      <w:r w:rsidR="0024580E">
        <w:rPr>
          <w:rFonts w:eastAsia="Batang"/>
          <w:kern w:val="22"/>
          <w:szCs w:val="22"/>
          <w:lang w:val="fr-CA" w:eastAsia="ko-KR"/>
        </w:rPr>
        <w:t>fournissent de l’information pour</w:t>
      </w:r>
      <w:r>
        <w:rPr>
          <w:rFonts w:eastAsia="Batang"/>
          <w:kern w:val="22"/>
          <w:szCs w:val="22"/>
          <w:lang w:val="fr-CA" w:eastAsia="ko-KR"/>
        </w:rPr>
        <w:t xml:space="preserve"> la conceptualisation, la conception, le développement et l’application de leurs cadres et outils. C’est un </w:t>
      </w:r>
      <w:r w:rsidR="0024580E">
        <w:rPr>
          <w:rFonts w:eastAsia="Batang"/>
          <w:kern w:val="22"/>
          <w:szCs w:val="22"/>
          <w:lang w:val="fr-CA" w:eastAsia="ko-KR"/>
        </w:rPr>
        <w:t>point</w:t>
      </w:r>
      <w:r>
        <w:rPr>
          <w:rFonts w:eastAsia="Batang"/>
          <w:kern w:val="22"/>
          <w:szCs w:val="22"/>
          <w:lang w:val="fr-CA" w:eastAsia="ko-KR"/>
        </w:rPr>
        <w:t xml:space="preserve"> commun important des différentes approches car il confirme la volonté de leurs parties prenantes de développer des instruments ayant un objectif clair </w:t>
      </w:r>
      <w:r w:rsidR="00D07D0C">
        <w:rPr>
          <w:rFonts w:eastAsia="Batang"/>
          <w:kern w:val="22"/>
          <w:szCs w:val="22"/>
          <w:lang w:val="fr-CA" w:eastAsia="ko-KR"/>
        </w:rPr>
        <w:t xml:space="preserve">et ainsi que des conditions d’efficacité et </w:t>
      </w:r>
      <w:r w:rsidR="00D07D0C" w:rsidRPr="004A5FB1">
        <w:rPr>
          <w:rFonts w:eastAsia="Batang"/>
          <w:kern w:val="22"/>
          <w:szCs w:val="22"/>
          <w:lang w:val="fr-CA" w:eastAsia="ko-KR"/>
        </w:rPr>
        <w:t xml:space="preserve">d’équité. De plus, l’examen des principes révèle que les principes directeurs enchâssés dans la décision XIII/20 de la Conférence des Parties forment une base solide pour documenter et soutenir les développements méthodologiques, car presque </w:t>
      </w:r>
      <w:r w:rsidR="00D07D0C" w:rsidRPr="004A5FB1">
        <w:rPr>
          <w:kern w:val="22"/>
          <w:szCs w:val="22"/>
          <w:lang w:val="fr-CA" w:eastAsia="ko-KR"/>
        </w:rPr>
        <w:t>toutes</w:t>
      </w:r>
      <w:r w:rsidR="00D07D0C" w:rsidRPr="004A5FB1">
        <w:rPr>
          <w:rFonts w:eastAsia="Batang"/>
          <w:kern w:val="22"/>
          <w:szCs w:val="22"/>
          <w:lang w:val="fr-CA" w:eastAsia="ko-KR"/>
        </w:rPr>
        <w:t xml:space="preserve"> les approches en </w:t>
      </w:r>
      <w:r w:rsidR="00A631FE">
        <w:rPr>
          <w:rFonts w:eastAsia="Batang"/>
          <w:kern w:val="22"/>
          <w:szCs w:val="22"/>
          <w:lang w:val="fr-CA" w:eastAsia="ko-KR"/>
        </w:rPr>
        <w:t>tiennent compte</w:t>
      </w:r>
      <w:r w:rsidR="00D07D0C" w:rsidRPr="004A5FB1">
        <w:rPr>
          <w:rFonts w:eastAsia="Batang"/>
          <w:kern w:val="22"/>
          <w:szCs w:val="22"/>
          <w:lang w:val="fr-CA" w:eastAsia="ko-KR"/>
        </w:rPr>
        <w:t xml:space="preserve"> ou les intègrent de diverses façons. L</w:t>
      </w:r>
      <w:r w:rsidR="006974D9" w:rsidRPr="004A5FB1">
        <w:rPr>
          <w:rFonts w:eastAsia="Batang"/>
          <w:kern w:val="22"/>
          <w:szCs w:val="22"/>
          <w:lang w:val="fr-CA" w:eastAsia="ko-KR"/>
        </w:rPr>
        <w:t>e</w:t>
      </w:r>
      <w:r w:rsidR="00D07D0C" w:rsidRPr="004A5FB1">
        <w:rPr>
          <w:rFonts w:eastAsia="Batang"/>
          <w:kern w:val="22"/>
          <w:szCs w:val="22"/>
          <w:lang w:val="fr-CA" w:eastAsia="ko-KR"/>
        </w:rPr>
        <w:t xml:space="preserve"> tableau 1 de l’annexe révèle les principaux points de correspond</w:t>
      </w:r>
      <w:r w:rsidR="006974D9" w:rsidRPr="004A5FB1">
        <w:rPr>
          <w:rFonts w:eastAsia="Batang"/>
          <w:kern w:val="22"/>
          <w:szCs w:val="22"/>
          <w:lang w:val="fr-CA" w:eastAsia="ko-KR"/>
        </w:rPr>
        <w:t>anc</w:t>
      </w:r>
      <w:r w:rsidR="003D0D76">
        <w:rPr>
          <w:rFonts w:eastAsia="Batang"/>
          <w:kern w:val="22"/>
          <w:szCs w:val="22"/>
          <w:lang w:val="fr-CA" w:eastAsia="ko-KR"/>
        </w:rPr>
        <w:t xml:space="preserve">e </w:t>
      </w:r>
      <w:r w:rsidR="006974D9" w:rsidRPr="004A5FB1">
        <w:rPr>
          <w:rFonts w:eastAsia="Batang"/>
          <w:kern w:val="22"/>
          <w:szCs w:val="22"/>
          <w:lang w:val="fr-CA" w:eastAsia="ko-KR"/>
        </w:rPr>
        <w:t>e</w:t>
      </w:r>
      <w:r w:rsidR="003D0D76">
        <w:rPr>
          <w:rFonts w:eastAsia="Batang"/>
          <w:kern w:val="22"/>
          <w:szCs w:val="22"/>
          <w:lang w:val="fr-CA" w:eastAsia="ko-KR"/>
        </w:rPr>
        <w:t>ntre l</w:t>
      </w:r>
      <w:r w:rsidR="006974D9" w:rsidRPr="004A5FB1">
        <w:rPr>
          <w:rFonts w:eastAsia="Batang"/>
          <w:kern w:val="22"/>
          <w:szCs w:val="22"/>
          <w:lang w:val="fr-CA" w:eastAsia="ko-KR"/>
        </w:rPr>
        <w:t>es princ</w:t>
      </w:r>
      <w:r w:rsidR="00D07D0C" w:rsidRPr="004A5FB1">
        <w:rPr>
          <w:rFonts w:eastAsia="Batang"/>
          <w:kern w:val="22"/>
          <w:szCs w:val="22"/>
          <w:lang w:val="fr-CA" w:eastAsia="ko-KR"/>
        </w:rPr>
        <w:t xml:space="preserve">ipes des différentes approches </w:t>
      </w:r>
      <w:r w:rsidR="003D0D76">
        <w:rPr>
          <w:rFonts w:eastAsia="Batang"/>
          <w:kern w:val="22"/>
          <w:szCs w:val="22"/>
          <w:lang w:val="fr-CA" w:eastAsia="ko-KR"/>
        </w:rPr>
        <w:t>et les</w:t>
      </w:r>
      <w:r w:rsidR="00D07D0C">
        <w:rPr>
          <w:rFonts w:eastAsia="Batang"/>
          <w:kern w:val="22"/>
          <w:szCs w:val="22"/>
          <w:lang w:val="fr-CA" w:eastAsia="ko-KR"/>
        </w:rPr>
        <w:t xml:space="preserve"> principes directeurs</w:t>
      </w:r>
      <w:r w:rsidR="00DF6DA0" w:rsidRPr="00B4777C">
        <w:rPr>
          <w:rFonts w:eastAsia="Batang"/>
          <w:kern w:val="22"/>
          <w:szCs w:val="22"/>
          <w:lang w:val="fr-CA" w:eastAsia="ko-KR"/>
        </w:rPr>
        <w:t>.</w:t>
      </w:r>
    </w:p>
    <w:p w:rsidR="005259DF" w:rsidRPr="00B4777C" w:rsidRDefault="006974D9" w:rsidP="004E1A0A">
      <w:pPr>
        <w:pStyle w:val="Para1"/>
        <w:tabs>
          <w:tab w:val="clear" w:pos="360"/>
        </w:tabs>
        <w:rPr>
          <w:kern w:val="22"/>
          <w:szCs w:val="22"/>
          <w:lang w:val="fr-CA"/>
        </w:rPr>
      </w:pPr>
      <w:r>
        <w:rPr>
          <w:rFonts w:eastAsia="Batang"/>
          <w:kern w:val="22"/>
          <w:szCs w:val="22"/>
          <w:lang w:val="fr-CA" w:eastAsia="ko-KR"/>
        </w:rPr>
        <w:t>Des principes supplémentaires souvent considérés comme des compléments aux principes directeurs peuvent être cernés dans les méthodologies examinées, par exemple</w:t>
      </w:r>
      <w:r w:rsidR="00C50BA4">
        <w:rPr>
          <w:rFonts w:eastAsia="Batang"/>
          <w:kern w:val="22"/>
          <w:szCs w:val="22"/>
          <w:lang w:val="fr-CA" w:eastAsia="ko-KR"/>
        </w:rPr>
        <w:t> </w:t>
      </w:r>
      <w:r w:rsidR="005259DF" w:rsidRPr="00B4777C">
        <w:rPr>
          <w:rFonts w:eastAsia="Batang"/>
          <w:kern w:val="22"/>
          <w:szCs w:val="22"/>
          <w:lang w:val="fr-CA" w:eastAsia="ko-KR"/>
        </w:rPr>
        <w:t>:</w:t>
      </w:r>
    </w:p>
    <w:p w:rsidR="0090234E" w:rsidRPr="00B4777C" w:rsidRDefault="006974D9" w:rsidP="00132DF3">
      <w:pPr>
        <w:pStyle w:val="Para1"/>
        <w:numPr>
          <w:ilvl w:val="1"/>
          <w:numId w:val="3"/>
        </w:numPr>
        <w:tabs>
          <w:tab w:val="clear" w:pos="1440"/>
        </w:tabs>
        <w:spacing w:before="0"/>
        <w:rPr>
          <w:kern w:val="22"/>
          <w:szCs w:val="22"/>
          <w:lang w:val="fr-CA"/>
        </w:rPr>
      </w:pPr>
      <w:r>
        <w:rPr>
          <w:rFonts w:eastAsia="Batang"/>
          <w:kern w:val="22"/>
          <w:szCs w:val="22"/>
          <w:lang w:val="fr-CA" w:eastAsia="ko-KR"/>
        </w:rPr>
        <w:t xml:space="preserve">Principes reliés aux droits, qui font essentiellement état du besoin de concevoir et d’exécuter des évaluations de façon à reconnaître, respecter et </w:t>
      </w:r>
      <w:r w:rsidR="00183ED5">
        <w:rPr>
          <w:rFonts w:eastAsia="Batang"/>
          <w:kern w:val="22"/>
          <w:szCs w:val="22"/>
          <w:lang w:val="fr-CA" w:eastAsia="ko-KR"/>
        </w:rPr>
        <w:t>contribuer</w:t>
      </w:r>
      <w:r>
        <w:rPr>
          <w:rFonts w:eastAsia="Batang"/>
          <w:kern w:val="22"/>
          <w:szCs w:val="22"/>
          <w:lang w:val="fr-CA" w:eastAsia="ko-KR"/>
        </w:rPr>
        <w:t xml:space="preserve"> à la réa</w:t>
      </w:r>
      <w:r w:rsidR="00183ED5">
        <w:rPr>
          <w:rFonts w:eastAsia="Batang"/>
          <w:kern w:val="22"/>
          <w:szCs w:val="22"/>
          <w:lang w:val="fr-CA" w:eastAsia="ko-KR"/>
        </w:rPr>
        <w:t xml:space="preserve">lisation des droits des peuples </w:t>
      </w:r>
      <w:r>
        <w:rPr>
          <w:rFonts w:eastAsia="Batang"/>
          <w:kern w:val="22"/>
          <w:szCs w:val="22"/>
          <w:lang w:val="fr-CA" w:eastAsia="ko-KR"/>
        </w:rPr>
        <w:t>autochtones et des communautés local</w:t>
      </w:r>
      <w:r w:rsidR="003D0D76">
        <w:rPr>
          <w:rFonts w:eastAsia="Batang"/>
          <w:kern w:val="22"/>
          <w:szCs w:val="22"/>
          <w:lang w:val="fr-CA" w:eastAsia="ko-KR"/>
        </w:rPr>
        <w:t>es, notamment en ce qui concerne</w:t>
      </w:r>
      <w:r>
        <w:rPr>
          <w:rFonts w:eastAsia="Batang"/>
          <w:kern w:val="22"/>
          <w:szCs w:val="22"/>
          <w:lang w:val="fr-CA" w:eastAsia="ko-KR"/>
        </w:rPr>
        <w:t xml:space="preserve"> le régime foncier et les droits d’accès</w:t>
      </w:r>
      <w:r w:rsidR="007A5DD8">
        <w:rPr>
          <w:rFonts w:eastAsia="Batang"/>
          <w:kern w:val="22"/>
          <w:szCs w:val="22"/>
          <w:lang w:val="fr-CA" w:eastAsia="ko-KR"/>
        </w:rPr>
        <w:t>;</w:t>
      </w:r>
    </w:p>
    <w:p w:rsidR="005259DF" w:rsidRPr="00B4777C" w:rsidRDefault="00183ED5" w:rsidP="00132DF3">
      <w:pPr>
        <w:pStyle w:val="Para1"/>
        <w:numPr>
          <w:ilvl w:val="1"/>
          <w:numId w:val="3"/>
        </w:numPr>
        <w:tabs>
          <w:tab w:val="clear" w:pos="1440"/>
        </w:tabs>
        <w:spacing w:before="0"/>
        <w:rPr>
          <w:kern w:val="22"/>
          <w:szCs w:val="22"/>
          <w:lang w:val="fr-CA"/>
        </w:rPr>
      </w:pPr>
      <w:r>
        <w:rPr>
          <w:rFonts w:eastAsia="Batang"/>
          <w:kern w:val="22"/>
          <w:szCs w:val="22"/>
          <w:lang w:val="fr-CA" w:eastAsia="ko-KR"/>
        </w:rPr>
        <w:t>Des principes éthiques qui cherchent à renforcer la légitimité et la propriété sociale des évaluations, dont la transparence, la réciprocité, l’utilité pour toutes les personnes en cause, la confiance, l’équité, la sensibilité, la souplesse, le respect de l’autodétermination et le respect de toutes les dimensions de la pluralité</w:t>
      </w:r>
      <w:r w:rsidR="007A5DD8">
        <w:rPr>
          <w:rFonts w:eastAsia="Batang"/>
          <w:kern w:val="22"/>
          <w:szCs w:val="22"/>
          <w:lang w:val="fr-CA" w:eastAsia="ko-KR"/>
        </w:rPr>
        <w:t>;</w:t>
      </w:r>
    </w:p>
    <w:p w:rsidR="00DF6DA0" w:rsidRPr="00B4777C" w:rsidRDefault="00183ED5" w:rsidP="00132DF3">
      <w:pPr>
        <w:pStyle w:val="Para1"/>
        <w:numPr>
          <w:ilvl w:val="1"/>
          <w:numId w:val="3"/>
        </w:numPr>
        <w:tabs>
          <w:tab w:val="clear" w:pos="1440"/>
        </w:tabs>
        <w:spacing w:before="0"/>
        <w:rPr>
          <w:kern w:val="22"/>
          <w:szCs w:val="22"/>
          <w:lang w:val="fr-CA"/>
        </w:rPr>
      </w:pPr>
      <w:r>
        <w:rPr>
          <w:rFonts w:eastAsia="Batang"/>
          <w:kern w:val="22"/>
          <w:szCs w:val="22"/>
          <w:lang w:val="fr-CA" w:eastAsia="ko-KR"/>
        </w:rPr>
        <w:t>Les principes liés à la gouvernance, plus particulièrement le besoin de reconnaître et de respecter les systèmes de gouvernance locaux et coutumiers</w:t>
      </w:r>
      <w:r w:rsidR="007A5DD8">
        <w:rPr>
          <w:rFonts w:eastAsia="Batang"/>
          <w:kern w:val="22"/>
          <w:szCs w:val="22"/>
          <w:lang w:val="fr-CA" w:eastAsia="ko-KR"/>
        </w:rPr>
        <w:t>;</w:t>
      </w:r>
    </w:p>
    <w:p w:rsidR="005259DF" w:rsidRPr="00B4777C" w:rsidRDefault="00183ED5" w:rsidP="00132DF3">
      <w:pPr>
        <w:pStyle w:val="Para1"/>
        <w:numPr>
          <w:ilvl w:val="1"/>
          <w:numId w:val="3"/>
        </w:numPr>
        <w:tabs>
          <w:tab w:val="clear" w:pos="1440"/>
        </w:tabs>
        <w:spacing w:before="0"/>
        <w:rPr>
          <w:kern w:val="22"/>
          <w:szCs w:val="22"/>
          <w:lang w:val="fr-CA"/>
        </w:rPr>
      </w:pPr>
      <w:r>
        <w:rPr>
          <w:rFonts w:eastAsia="Batang"/>
          <w:kern w:val="22"/>
          <w:szCs w:val="22"/>
          <w:lang w:val="fr-CA" w:eastAsia="ko-KR"/>
        </w:rPr>
        <w:t xml:space="preserve">Une reconnaissance claire des rôles définis selon le </w:t>
      </w:r>
      <w:r w:rsidR="003D0D76">
        <w:rPr>
          <w:rFonts w:eastAsia="Batang"/>
          <w:kern w:val="22"/>
          <w:szCs w:val="22"/>
          <w:lang w:val="fr-CA" w:eastAsia="ko-KR"/>
        </w:rPr>
        <w:t>sexe</w:t>
      </w:r>
      <w:r>
        <w:rPr>
          <w:rFonts w:eastAsia="Batang"/>
          <w:kern w:val="22"/>
          <w:szCs w:val="22"/>
          <w:lang w:val="fr-CA" w:eastAsia="ko-KR"/>
        </w:rPr>
        <w:t xml:space="preserve"> dans les mesures collectives et le besoin de voi</w:t>
      </w:r>
      <w:r w:rsidR="00352D0C">
        <w:rPr>
          <w:rFonts w:eastAsia="Batang"/>
          <w:kern w:val="22"/>
          <w:szCs w:val="22"/>
          <w:lang w:val="fr-CA" w:eastAsia="ko-KR"/>
        </w:rPr>
        <w:t>e</w:t>
      </w:r>
      <w:r>
        <w:rPr>
          <w:rFonts w:eastAsia="Batang"/>
          <w:kern w:val="22"/>
          <w:szCs w:val="22"/>
          <w:lang w:val="fr-CA" w:eastAsia="ko-KR"/>
        </w:rPr>
        <w:t>s pour améliorer l’équité des genres parmi les résultats et processus</w:t>
      </w:r>
      <w:r w:rsidR="007A5DD8">
        <w:rPr>
          <w:rFonts w:eastAsia="Batang"/>
          <w:kern w:val="22"/>
          <w:szCs w:val="22"/>
          <w:lang w:val="fr-CA" w:eastAsia="ko-KR"/>
        </w:rPr>
        <w:t>;</w:t>
      </w:r>
    </w:p>
    <w:p w:rsidR="005259DF" w:rsidRPr="00B4777C" w:rsidRDefault="00352D0C" w:rsidP="00132DF3">
      <w:pPr>
        <w:pStyle w:val="Para1"/>
        <w:numPr>
          <w:ilvl w:val="1"/>
          <w:numId w:val="3"/>
        </w:numPr>
        <w:tabs>
          <w:tab w:val="clear" w:pos="1440"/>
        </w:tabs>
        <w:spacing w:before="0"/>
        <w:rPr>
          <w:kern w:val="22"/>
          <w:szCs w:val="22"/>
          <w:lang w:val="fr-CA"/>
        </w:rPr>
      </w:pPr>
      <w:r>
        <w:rPr>
          <w:rFonts w:eastAsia="Batang"/>
          <w:kern w:val="22"/>
          <w:szCs w:val="22"/>
          <w:lang w:val="fr-CA" w:eastAsia="ko-KR"/>
        </w:rPr>
        <w:t>Une orien</w:t>
      </w:r>
      <w:r w:rsidR="003D0D76">
        <w:rPr>
          <w:rFonts w:eastAsia="Batang"/>
          <w:kern w:val="22"/>
          <w:szCs w:val="22"/>
          <w:lang w:val="fr-CA" w:eastAsia="ko-KR"/>
        </w:rPr>
        <w:t>tation pour régler les différend</w:t>
      </w:r>
      <w:r>
        <w:rPr>
          <w:rFonts w:eastAsia="Batang"/>
          <w:kern w:val="22"/>
          <w:szCs w:val="22"/>
          <w:lang w:val="fr-CA" w:eastAsia="ko-KR"/>
        </w:rPr>
        <w:t>s dans le cadre des processus d’évaluation</w:t>
      </w:r>
      <w:r w:rsidR="005259DF" w:rsidRPr="00B4777C">
        <w:rPr>
          <w:rFonts w:eastAsia="Batang"/>
          <w:kern w:val="22"/>
          <w:szCs w:val="22"/>
          <w:lang w:val="fr-CA" w:eastAsia="ko-KR"/>
        </w:rPr>
        <w:t>.</w:t>
      </w:r>
    </w:p>
    <w:p w:rsidR="00F64271" w:rsidRPr="00EF7C49" w:rsidRDefault="00C3151B" w:rsidP="00EF7C49">
      <w:pPr>
        <w:pStyle w:val="Para1"/>
        <w:tabs>
          <w:tab w:val="clear" w:pos="360"/>
        </w:tabs>
        <w:rPr>
          <w:kern w:val="22"/>
          <w:lang w:val="fr-CA"/>
        </w:rPr>
      </w:pPr>
      <w:r>
        <w:rPr>
          <w:kern w:val="22"/>
          <w:lang w:val="fr-CA"/>
        </w:rPr>
        <w:t>Manifestement,</w:t>
      </w:r>
      <w:r w:rsidR="00352D0C">
        <w:rPr>
          <w:kern w:val="22"/>
          <w:lang w:val="fr-CA"/>
        </w:rPr>
        <w:t xml:space="preserve"> les principes indiqués complètent et ne contredisent pas les principes directeurs</w:t>
      </w:r>
      <w:r w:rsidR="00352D0C">
        <w:rPr>
          <w:rFonts w:eastAsia="Batang"/>
          <w:kern w:val="22"/>
          <w:szCs w:val="22"/>
          <w:lang w:val="fr-CA" w:eastAsia="ko-KR"/>
        </w:rPr>
        <w:t>, et ils peuvent même êtr</w:t>
      </w:r>
      <w:r w:rsidR="00EF7C49">
        <w:rPr>
          <w:rFonts w:eastAsia="Batang"/>
          <w:kern w:val="22"/>
          <w:szCs w:val="22"/>
          <w:lang w:val="fr-CA" w:eastAsia="ko-KR"/>
        </w:rPr>
        <w:t>e</w:t>
      </w:r>
      <w:r w:rsidR="00352D0C">
        <w:rPr>
          <w:rFonts w:eastAsia="Batang"/>
          <w:kern w:val="22"/>
          <w:szCs w:val="22"/>
          <w:lang w:val="fr-CA" w:eastAsia="ko-KR"/>
        </w:rPr>
        <w:t xml:space="preserve"> </w:t>
      </w:r>
      <w:r w:rsidR="00EF7C49">
        <w:rPr>
          <w:rFonts w:eastAsia="Batang"/>
          <w:kern w:val="22"/>
          <w:szCs w:val="22"/>
          <w:lang w:val="fr-CA" w:eastAsia="ko-KR"/>
        </w:rPr>
        <w:t>interprétés</w:t>
      </w:r>
      <w:r w:rsidR="00352D0C">
        <w:rPr>
          <w:rFonts w:eastAsia="Batang"/>
          <w:kern w:val="22"/>
          <w:szCs w:val="22"/>
          <w:lang w:val="fr-CA" w:eastAsia="ko-KR"/>
        </w:rPr>
        <w:t xml:space="preserve"> comme des améliorations</w:t>
      </w:r>
      <w:r>
        <w:rPr>
          <w:rFonts w:eastAsia="Batang"/>
          <w:kern w:val="22"/>
          <w:szCs w:val="22"/>
          <w:lang w:val="fr-CA" w:eastAsia="ko-KR"/>
        </w:rPr>
        <w:t xml:space="preserve"> ou des précisions</w:t>
      </w:r>
      <w:r w:rsidR="00352D0C">
        <w:rPr>
          <w:rFonts w:eastAsia="Batang"/>
          <w:kern w:val="22"/>
          <w:szCs w:val="22"/>
          <w:lang w:val="fr-CA" w:eastAsia="ko-KR"/>
        </w:rPr>
        <w:t xml:space="preserve"> du champ d’activité des principes directeurs. </w:t>
      </w:r>
      <w:r w:rsidR="00EF7C49">
        <w:rPr>
          <w:rFonts w:eastAsia="Batang"/>
          <w:kern w:val="22"/>
          <w:szCs w:val="22"/>
          <w:lang w:val="fr-CA" w:eastAsia="ko-KR"/>
        </w:rPr>
        <w:t>Par consé</w:t>
      </w:r>
      <w:r w:rsidR="00352D0C">
        <w:rPr>
          <w:rFonts w:eastAsia="Batang"/>
          <w:kern w:val="22"/>
          <w:szCs w:val="22"/>
          <w:lang w:val="fr-CA" w:eastAsia="ko-KR"/>
        </w:rPr>
        <w:t>quent les parties prenantes participant à l’</w:t>
      </w:r>
      <w:r w:rsidR="00EF7C49">
        <w:rPr>
          <w:rFonts w:eastAsia="Batang"/>
          <w:kern w:val="22"/>
          <w:szCs w:val="22"/>
          <w:lang w:val="fr-CA" w:eastAsia="ko-KR"/>
        </w:rPr>
        <w:t>application des différentes approches pou</w:t>
      </w:r>
      <w:r w:rsidR="00352D0C" w:rsidRPr="00EF7C49">
        <w:rPr>
          <w:rFonts w:eastAsia="Batang"/>
          <w:kern w:val="22"/>
          <w:szCs w:val="22"/>
          <w:lang w:val="fr-CA" w:eastAsia="ko-KR"/>
        </w:rPr>
        <w:t xml:space="preserve">rraient être invitées à découvrir des moyens d’harmoniser ou d’intégrer les </w:t>
      </w:r>
      <w:r w:rsidR="00EF7C49">
        <w:rPr>
          <w:rFonts w:eastAsia="Batang"/>
          <w:kern w:val="22"/>
          <w:szCs w:val="22"/>
          <w:lang w:val="fr-CA" w:eastAsia="ko-KR"/>
        </w:rPr>
        <w:t>principes directeurs et leurs p</w:t>
      </w:r>
      <w:r w:rsidR="00352D0C" w:rsidRPr="00EF7C49">
        <w:rPr>
          <w:rFonts w:eastAsia="Batang"/>
          <w:kern w:val="22"/>
          <w:szCs w:val="22"/>
          <w:lang w:val="fr-CA" w:eastAsia="ko-KR"/>
        </w:rPr>
        <w:t xml:space="preserve">ropres séries de principes </w:t>
      </w:r>
      <w:r>
        <w:rPr>
          <w:rFonts w:eastAsia="Batang"/>
          <w:kern w:val="22"/>
          <w:szCs w:val="22"/>
          <w:lang w:val="fr-CA" w:eastAsia="ko-KR"/>
        </w:rPr>
        <w:t>en vue</w:t>
      </w:r>
      <w:r w:rsidR="00352D0C" w:rsidRPr="00EF7C49">
        <w:rPr>
          <w:rFonts w:eastAsia="Batang"/>
          <w:kern w:val="22"/>
          <w:szCs w:val="22"/>
          <w:lang w:val="fr-CA" w:eastAsia="ko-KR"/>
        </w:rPr>
        <w:t xml:space="preserve"> de renforcer la </w:t>
      </w:r>
      <w:r w:rsidR="00EF7C49">
        <w:rPr>
          <w:rFonts w:eastAsia="Batang"/>
          <w:kern w:val="22"/>
          <w:szCs w:val="22"/>
          <w:lang w:val="fr-CA" w:eastAsia="ko-KR"/>
        </w:rPr>
        <w:t xml:space="preserve">convergence des approches </w:t>
      </w:r>
      <w:r>
        <w:rPr>
          <w:rFonts w:eastAsia="Batang"/>
          <w:kern w:val="22"/>
          <w:szCs w:val="22"/>
          <w:lang w:val="fr-CA" w:eastAsia="ko-KR"/>
        </w:rPr>
        <w:t>pour</w:t>
      </w:r>
      <w:r w:rsidR="00EF7C49">
        <w:rPr>
          <w:rFonts w:eastAsia="Batang"/>
          <w:kern w:val="22"/>
          <w:szCs w:val="22"/>
          <w:lang w:val="fr-CA" w:eastAsia="ko-KR"/>
        </w:rPr>
        <w:t xml:space="preserve"> la réalisati</w:t>
      </w:r>
      <w:r w:rsidR="00EF7C49" w:rsidRPr="00EF7C49">
        <w:rPr>
          <w:rFonts w:eastAsia="Batang"/>
          <w:kern w:val="22"/>
          <w:szCs w:val="22"/>
          <w:lang w:val="fr-CA" w:eastAsia="ko-KR"/>
        </w:rPr>
        <w:t>on des objectifs du</w:t>
      </w:r>
      <w:r w:rsidR="00EF7C49">
        <w:rPr>
          <w:rFonts w:eastAsia="Batang"/>
          <w:kern w:val="22"/>
          <w:szCs w:val="22"/>
          <w:lang w:val="fr-CA" w:eastAsia="ko-KR"/>
        </w:rPr>
        <w:t xml:space="preserve"> Plan stratégique 2011-2020 pou</w:t>
      </w:r>
      <w:r w:rsidR="00EF7C49" w:rsidRPr="00EF7C49">
        <w:rPr>
          <w:rFonts w:eastAsia="Batang"/>
          <w:kern w:val="22"/>
          <w:szCs w:val="22"/>
          <w:lang w:val="fr-CA" w:eastAsia="ko-KR"/>
        </w:rPr>
        <w:t>r la diversité biologique e</w:t>
      </w:r>
      <w:r w:rsidR="00EF7C49">
        <w:rPr>
          <w:rFonts w:eastAsia="Batang"/>
          <w:kern w:val="22"/>
          <w:szCs w:val="22"/>
          <w:lang w:val="fr-CA" w:eastAsia="ko-KR"/>
        </w:rPr>
        <w:t>t des Obje</w:t>
      </w:r>
      <w:r w:rsidR="00EF7C49" w:rsidRPr="00EF7C49">
        <w:rPr>
          <w:rFonts w:eastAsia="Batang"/>
          <w:kern w:val="22"/>
          <w:szCs w:val="22"/>
          <w:lang w:val="fr-CA" w:eastAsia="ko-KR"/>
        </w:rPr>
        <w:t>ctifs d’Aichi relatifs à la diversité biologique.</w:t>
      </w:r>
    </w:p>
    <w:p w:rsidR="00137224" w:rsidRPr="00131775" w:rsidRDefault="00E95313" w:rsidP="004B2F7D">
      <w:pPr>
        <w:pStyle w:val="Para1"/>
        <w:keepNext/>
        <w:numPr>
          <w:ilvl w:val="0"/>
          <w:numId w:val="0"/>
        </w:numPr>
        <w:jc w:val="center"/>
        <w:rPr>
          <w:rFonts w:eastAsia="Batang"/>
          <w:b/>
          <w:bCs/>
          <w:iCs/>
          <w:kern w:val="22"/>
          <w:szCs w:val="22"/>
          <w:lang w:val="fr-CA" w:eastAsia="ko-KR"/>
        </w:rPr>
      </w:pPr>
      <w:r w:rsidRPr="00132DF3">
        <w:rPr>
          <w:b/>
          <w:bCs/>
          <w:iCs/>
          <w:kern w:val="22"/>
          <w:szCs w:val="22"/>
        </w:rPr>
        <w:t>B.</w:t>
      </w:r>
      <w:r w:rsidRPr="00132DF3">
        <w:rPr>
          <w:b/>
          <w:bCs/>
          <w:iCs/>
          <w:kern w:val="22"/>
          <w:szCs w:val="22"/>
        </w:rPr>
        <w:tab/>
      </w:r>
      <w:r w:rsidR="00131775">
        <w:rPr>
          <w:b/>
          <w:bCs/>
          <w:iCs/>
          <w:kern w:val="22"/>
          <w:szCs w:val="22"/>
          <w:lang w:val="fr-CA"/>
        </w:rPr>
        <w:t>Éléments de l’orientation méthodologique</w:t>
      </w:r>
    </w:p>
    <w:p w:rsidR="0066026D" w:rsidRPr="00131775" w:rsidRDefault="002904E5" w:rsidP="00C423F2">
      <w:pPr>
        <w:pStyle w:val="Para1"/>
        <w:tabs>
          <w:tab w:val="clear" w:pos="360"/>
        </w:tabs>
        <w:rPr>
          <w:rFonts w:eastAsia="Batang"/>
          <w:kern w:val="22"/>
          <w:szCs w:val="22"/>
          <w:lang w:val="fr-CA" w:eastAsia="ko-KR"/>
        </w:rPr>
      </w:pPr>
      <w:r>
        <w:rPr>
          <w:rFonts w:eastAsia="Batang"/>
          <w:kern w:val="22"/>
          <w:szCs w:val="22"/>
          <w:lang w:val="fr-CA" w:eastAsia="ko-KR"/>
        </w:rPr>
        <w:t>Le développement « </w:t>
      </w:r>
      <w:r w:rsidR="00011E00">
        <w:rPr>
          <w:rFonts w:eastAsia="Batang"/>
          <w:kern w:val="22"/>
          <w:szCs w:val="22"/>
          <w:lang w:val="fr-CA" w:eastAsia="ko-KR"/>
        </w:rPr>
        <w:t>[</w:t>
      </w:r>
      <w:r w:rsidRPr="002904E5">
        <w:rPr>
          <w:lang w:val="fr-CA"/>
        </w:rPr>
        <w:t>d</w:t>
      </w:r>
      <w:r w:rsidR="00011E00">
        <w:rPr>
          <w:lang w:val="fr-CA"/>
        </w:rPr>
        <w:t>’]</w:t>
      </w:r>
      <w:r w:rsidRPr="002904E5">
        <w:rPr>
          <w:lang w:val="fr-CA"/>
        </w:rPr>
        <w:t>éléments d’orientations méthodologiques pour identifier, surveiller et évaluer la contribution des peuples autochtones et des communautés locales à la réalisation du Plan stratégique pour la diversité biologique 2011-2020 et des Objectifs d’Aichi pour la biodiversité</w:t>
      </w:r>
      <w:r w:rsidR="00C50BA4">
        <w:rPr>
          <w:lang w:val="fr-CA"/>
        </w:rPr>
        <w:t> </w:t>
      </w:r>
      <w:r>
        <w:rPr>
          <w:lang w:val="fr-CA"/>
        </w:rPr>
        <w:t>», demandé à la déc</w:t>
      </w:r>
      <w:r w:rsidR="00011E00">
        <w:rPr>
          <w:lang w:val="fr-CA"/>
        </w:rPr>
        <w:t>ision XIII/20 doit être encadré</w:t>
      </w:r>
      <w:r>
        <w:rPr>
          <w:lang w:val="fr-CA"/>
        </w:rPr>
        <w:t xml:space="preserve"> de principes directeurs, </w:t>
      </w:r>
      <w:r w:rsidR="00011E00">
        <w:rPr>
          <w:lang w:val="fr-CA"/>
        </w:rPr>
        <w:t>offrant</w:t>
      </w:r>
      <w:r>
        <w:rPr>
          <w:lang w:val="fr-CA"/>
        </w:rPr>
        <w:t xml:space="preserve"> déjà une orientation claire à cet égard. Les éléments de l’orientation méthodologique doivent posséder, entre autres, les caractéristiques présentées dans le tableau ci-dessous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A671B" w:rsidRPr="00131775" w:rsidTr="00132DF3">
        <w:trPr>
          <w:tblHeader/>
          <w:jc w:val="center"/>
        </w:trPr>
        <w:tc>
          <w:tcPr>
            <w:tcW w:w="3256" w:type="dxa"/>
            <w:shd w:val="clear" w:color="auto" w:fill="auto"/>
          </w:tcPr>
          <w:p w:rsidR="0066026D" w:rsidRPr="00131775" w:rsidRDefault="00011E00" w:rsidP="00011E00">
            <w:pPr>
              <w:jc w:val="center"/>
              <w:rPr>
                <w:b/>
                <w:snapToGrid w:val="0"/>
                <w:kern w:val="22"/>
                <w:lang w:val="fr-CA"/>
              </w:rPr>
            </w:pPr>
            <w:r>
              <w:rPr>
                <w:b/>
                <w:snapToGrid w:val="0"/>
                <w:kern w:val="22"/>
                <w:lang w:val="fr-CA"/>
              </w:rPr>
              <w:lastRenderedPageBreak/>
              <w:t>Principe</w:t>
            </w:r>
            <w:r w:rsidR="00105CE2">
              <w:rPr>
                <w:b/>
                <w:snapToGrid w:val="0"/>
                <w:kern w:val="22"/>
                <w:lang w:val="fr-CA"/>
              </w:rPr>
              <w:t xml:space="preserve"> directeur</w:t>
            </w:r>
          </w:p>
        </w:tc>
        <w:tc>
          <w:tcPr>
            <w:tcW w:w="6237" w:type="dxa"/>
            <w:shd w:val="clear" w:color="auto" w:fill="auto"/>
          </w:tcPr>
          <w:p w:rsidR="0066026D" w:rsidRPr="00131775" w:rsidRDefault="00105CE2" w:rsidP="00132DF3">
            <w:pPr>
              <w:ind w:left="63"/>
              <w:jc w:val="center"/>
              <w:rPr>
                <w:b/>
                <w:snapToGrid w:val="0"/>
                <w:kern w:val="22"/>
                <w:lang w:val="fr-CA"/>
              </w:rPr>
            </w:pPr>
            <w:r>
              <w:rPr>
                <w:b/>
                <w:snapToGrid w:val="0"/>
                <w:kern w:val="22"/>
                <w:lang w:val="fr-CA"/>
              </w:rPr>
              <w:t>Les éléments de l’orientation méthodologique doivent :</w:t>
            </w:r>
          </w:p>
        </w:tc>
      </w:tr>
      <w:tr w:rsidR="00CA671B" w:rsidRPr="00131775" w:rsidTr="00132DF3">
        <w:trPr>
          <w:jc w:val="center"/>
        </w:trPr>
        <w:tc>
          <w:tcPr>
            <w:tcW w:w="3256" w:type="dxa"/>
            <w:shd w:val="clear" w:color="auto" w:fill="auto"/>
          </w:tcPr>
          <w:p w:rsidR="0066026D" w:rsidRPr="00131775" w:rsidRDefault="0066026D" w:rsidP="00105CE2">
            <w:pPr>
              <w:jc w:val="left"/>
              <w:rPr>
                <w:iCs/>
                <w:snapToGrid w:val="0"/>
                <w:kern w:val="22"/>
                <w:lang w:val="fr-CA"/>
              </w:rPr>
            </w:pPr>
            <w:r w:rsidRPr="00131775">
              <w:rPr>
                <w:rFonts w:eastAsia="MS Mincho"/>
                <w:iCs/>
                <w:snapToGrid w:val="0"/>
                <w:kern w:val="22"/>
                <w:lang w:val="fr-CA"/>
              </w:rPr>
              <w:t xml:space="preserve">1. </w:t>
            </w:r>
            <w:r w:rsidR="00105CE2">
              <w:rPr>
                <w:rFonts w:eastAsia="MS Mincho"/>
                <w:iCs/>
                <w:snapToGrid w:val="0"/>
                <w:kern w:val="22"/>
                <w:lang w:val="fr-CA"/>
              </w:rPr>
              <w:t>Importance des mesures collectives</w:t>
            </w:r>
          </w:p>
        </w:tc>
        <w:tc>
          <w:tcPr>
            <w:tcW w:w="6237" w:type="dxa"/>
            <w:shd w:val="clear" w:color="auto" w:fill="auto"/>
          </w:tcPr>
          <w:p w:rsidR="0066026D" w:rsidRPr="00131775" w:rsidRDefault="006335B9" w:rsidP="00011E00">
            <w:pPr>
              <w:jc w:val="left"/>
              <w:rPr>
                <w:rFonts w:eastAsia="MS Mincho"/>
                <w:snapToGrid w:val="0"/>
                <w:kern w:val="22"/>
                <w:lang w:val="fr-CA"/>
              </w:rPr>
            </w:pPr>
            <w:r w:rsidRPr="00131775">
              <w:rPr>
                <w:rFonts w:eastAsia="MS Mincho"/>
                <w:snapToGrid w:val="0"/>
                <w:kern w:val="22"/>
                <w:lang w:val="fr-CA"/>
              </w:rPr>
              <w:t xml:space="preserve">- </w:t>
            </w:r>
            <w:r w:rsidR="00105CE2">
              <w:rPr>
                <w:rFonts w:eastAsia="MS Mincho"/>
                <w:snapToGrid w:val="0"/>
                <w:kern w:val="22"/>
                <w:lang w:val="fr-CA"/>
              </w:rPr>
              <w:t xml:space="preserve">Reconnaître et inclure </w:t>
            </w:r>
            <w:r w:rsidR="00011E00">
              <w:rPr>
                <w:rFonts w:eastAsia="MS Mincho"/>
                <w:snapToGrid w:val="0"/>
                <w:kern w:val="22"/>
                <w:lang w:val="fr-CA"/>
              </w:rPr>
              <w:t>entièrement</w:t>
            </w:r>
            <w:r w:rsidR="00105CE2">
              <w:rPr>
                <w:rFonts w:eastAsia="MS Mincho"/>
                <w:snapToGrid w:val="0"/>
                <w:kern w:val="22"/>
                <w:lang w:val="fr-CA"/>
              </w:rPr>
              <w:t xml:space="preserve"> les connaissances traditionnelles</w:t>
            </w:r>
          </w:p>
        </w:tc>
      </w:tr>
      <w:tr w:rsidR="00CA671B" w:rsidRPr="00131775" w:rsidTr="00132DF3">
        <w:trPr>
          <w:jc w:val="center"/>
        </w:trPr>
        <w:tc>
          <w:tcPr>
            <w:tcW w:w="3256" w:type="dxa"/>
            <w:shd w:val="clear" w:color="auto" w:fill="auto"/>
          </w:tcPr>
          <w:p w:rsidR="0066026D" w:rsidRPr="00131775" w:rsidRDefault="0066026D" w:rsidP="00105CE2">
            <w:pPr>
              <w:jc w:val="left"/>
              <w:rPr>
                <w:iCs/>
                <w:snapToGrid w:val="0"/>
                <w:kern w:val="22"/>
                <w:lang w:val="fr-CA"/>
              </w:rPr>
            </w:pPr>
            <w:r w:rsidRPr="00131775">
              <w:rPr>
                <w:iCs/>
                <w:snapToGrid w:val="0"/>
                <w:kern w:val="22"/>
                <w:lang w:val="fr-CA"/>
              </w:rPr>
              <w:t xml:space="preserve">2. </w:t>
            </w:r>
            <w:r w:rsidR="00105CE2">
              <w:rPr>
                <w:rFonts w:eastAsia="MS Mincho"/>
                <w:iCs/>
                <w:snapToGrid w:val="0"/>
                <w:kern w:val="22"/>
                <w:lang w:val="fr-CA"/>
              </w:rPr>
              <w:t>Spécificité du contexte</w:t>
            </w:r>
          </w:p>
        </w:tc>
        <w:tc>
          <w:tcPr>
            <w:tcW w:w="6237" w:type="dxa"/>
            <w:shd w:val="clear" w:color="auto" w:fill="auto"/>
          </w:tcPr>
          <w:p w:rsidR="0066026D" w:rsidRPr="00131775" w:rsidRDefault="006335B9" w:rsidP="00132DF3">
            <w:pPr>
              <w:jc w:val="left"/>
              <w:rPr>
                <w:rFonts w:eastAsia="MS Mincho"/>
                <w:snapToGrid w:val="0"/>
                <w:kern w:val="22"/>
                <w:lang w:val="fr-CA"/>
              </w:rPr>
            </w:pPr>
            <w:r w:rsidRPr="00131775">
              <w:rPr>
                <w:rFonts w:eastAsia="MS Mincho"/>
                <w:snapToGrid w:val="0"/>
                <w:kern w:val="22"/>
                <w:lang w:val="fr-CA"/>
              </w:rPr>
              <w:t xml:space="preserve">- </w:t>
            </w:r>
            <w:r w:rsidR="00105CE2">
              <w:rPr>
                <w:rFonts w:eastAsia="MS Mincho"/>
                <w:snapToGrid w:val="0"/>
                <w:kern w:val="22"/>
                <w:lang w:val="fr-CA"/>
              </w:rPr>
              <w:t>Être fortement liés au contexte</w:t>
            </w:r>
          </w:p>
          <w:p w:rsidR="0066026D" w:rsidRPr="00131775" w:rsidRDefault="006335B9" w:rsidP="00132DF3">
            <w:pPr>
              <w:jc w:val="left"/>
              <w:rPr>
                <w:rFonts w:eastAsia="MS Mincho"/>
                <w:snapToGrid w:val="0"/>
                <w:kern w:val="22"/>
                <w:lang w:val="fr-CA"/>
              </w:rPr>
            </w:pPr>
            <w:r w:rsidRPr="00131775">
              <w:rPr>
                <w:rFonts w:eastAsia="MS Mincho"/>
                <w:snapToGrid w:val="0"/>
                <w:kern w:val="22"/>
                <w:lang w:val="fr-CA"/>
              </w:rPr>
              <w:t xml:space="preserve">- </w:t>
            </w:r>
            <w:r w:rsidR="00105CE2">
              <w:rPr>
                <w:rFonts w:eastAsia="MS Mincho"/>
                <w:snapToGrid w:val="0"/>
                <w:kern w:val="22"/>
                <w:lang w:val="fr-CA"/>
              </w:rPr>
              <w:t>Inclure une vaste gamme d’approches méthodologiques</w:t>
            </w:r>
          </w:p>
          <w:p w:rsidR="0066026D" w:rsidRPr="00131775" w:rsidRDefault="006335B9" w:rsidP="00011E00">
            <w:pPr>
              <w:jc w:val="left"/>
              <w:rPr>
                <w:rFonts w:eastAsia="MS Mincho"/>
                <w:snapToGrid w:val="0"/>
                <w:kern w:val="22"/>
                <w:lang w:val="fr-CA"/>
              </w:rPr>
            </w:pPr>
            <w:r w:rsidRPr="00131775">
              <w:rPr>
                <w:rFonts w:eastAsia="MS Mincho"/>
                <w:snapToGrid w:val="0"/>
                <w:kern w:val="22"/>
                <w:lang w:val="fr-CA"/>
              </w:rPr>
              <w:t xml:space="preserve">- </w:t>
            </w:r>
            <w:r w:rsidR="00011E00">
              <w:rPr>
                <w:rFonts w:eastAsia="MS Mincho"/>
                <w:snapToGrid w:val="0"/>
                <w:kern w:val="22"/>
                <w:lang w:val="fr-CA"/>
              </w:rPr>
              <w:t>Être adapté</w:t>
            </w:r>
            <w:r w:rsidR="00105CE2">
              <w:rPr>
                <w:rFonts w:eastAsia="MS Mincho"/>
                <w:snapToGrid w:val="0"/>
                <w:kern w:val="22"/>
                <w:lang w:val="fr-CA"/>
              </w:rPr>
              <w:t xml:space="preserve">s </w:t>
            </w:r>
            <w:r w:rsidR="00011E00">
              <w:rPr>
                <w:rFonts w:eastAsia="MS Mincho"/>
                <w:snapToGrid w:val="0"/>
                <w:kern w:val="22"/>
                <w:lang w:val="fr-CA"/>
              </w:rPr>
              <w:t>aux</w:t>
            </w:r>
            <w:r w:rsidR="00105CE2">
              <w:rPr>
                <w:rFonts w:eastAsia="MS Mincho"/>
                <w:snapToGrid w:val="0"/>
                <w:kern w:val="22"/>
                <w:lang w:val="fr-CA"/>
              </w:rPr>
              <w:t xml:space="preserve"> circonstances locales</w:t>
            </w:r>
          </w:p>
        </w:tc>
      </w:tr>
      <w:tr w:rsidR="00CA671B" w:rsidRPr="00131775" w:rsidTr="00132DF3">
        <w:trPr>
          <w:jc w:val="center"/>
        </w:trPr>
        <w:tc>
          <w:tcPr>
            <w:tcW w:w="3256" w:type="dxa"/>
            <w:shd w:val="clear" w:color="auto" w:fill="auto"/>
          </w:tcPr>
          <w:p w:rsidR="0066026D" w:rsidRPr="00131775" w:rsidRDefault="0066026D" w:rsidP="00105CE2">
            <w:pPr>
              <w:jc w:val="left"/>
              <w:rPr>
                <w:iCs/>
                <w:snapToGrid w:val="0"/>
                <w:kern w:val="22"/>
                <w:lang w:val="fr-CA"/>
              </w:rPr>
            </w:pPr>
            <w:r w:rsidRPr="00131775">
              <w:rPr>
                <w:rFonts w:eastAsia="MS Mincho"/>
                <w:iCs/>
                <w:snapToGrid w:val="0"/>
                <w:kern w:val="22"/>
                <w:lang w:val="fr-CA"/>
              </w:rPr>
              <w:t xml:space="preserve">3. </w:t>
            </w:r>
            <w:r w:rsidR="00105CE2">
              <w:rPr>
                <w:rFonts w:eastAsia="MS Mincho"/>
                <w:iCs/>
                <w:snapToGrid w:val="0"/>
                <w:kern w:val="22"/>
                <w:lang w:val="fr-CA"/>
              </w:rPr>
              <w:t>Multiplicité des valeurs</w:t>
            </w:r>
          </w:p>
        </w:tc>
        <w:tc>
          <w:tcPr>
            <w:tcW w:w="6237" w:type="dxa"/>
            <w:shd w:val="clear" w:color="auto" w:fill="auto"/>
          </w:tcPr>
          <w:p w:rsidR="0066026D" w:rsidRPr="00131775" w:rsidRDefault="006335B9" w:rsidP="00C50BA4">
            <w:pPr>
              <w:jc w:val="left"/>
              <w:rPr>
                <w:rFonts w:eastAsia="MS Mincho"/>
                <w:snapToGrid w:val="0"/>
                <w:kern w:val="22"/>
                <w:lang w:val="fr-CA"/>
              </w:rPr>
            </w:pPr>
            <w:r w:rsidRPr="00131775">
              <w:rPr>
                <w:rFonts w:eastAsia="MS Mincho"/>
                <w:snapToGrid w:val="0"/>
                <w:kern w:val="22"/>
                <w:lang w:val="fr-CA"/>
              </w:rPr>
              <w:t xml:space="preserve">- </w:t>
            </w:r>
            <w:r w:rsidR="00241BF2">
              <w:rPr>
                <w:rFonts w:eastAsia="MS Mincho"/>
                <w:snapToGrid w:val="0"/>
                <w:kern w:val="22"/>
                <w:lang w:val="fr-CA"/>
              </w:rPr>
              <w:t>Reconnaître la multitude de perspectives et d’opinions mondiales sur les valeurs</w:t>
            </w:r>
          </w:p>
        </w:tc>
      </w:tr>
      <w:tr w:rsidR="00CA671B" w:rsidRPr="00131775" w:rsidTr="00132DF3">
        <w:trPr>
          <w:jc w:val="center"/>
        </w:trPr>
        <w:tc>
          <w:tcPr>
            <w:tcW w:w="3256" w:type="dxa"/>
            <w:shd w:val="clear" w:color="auto" w:fill="auto"/>
          </w:tcPr>
          <w:p w:rsidR="0066026D" w:rsidRPr="00131775" w:rsidRDefault="0066026D" w:rsidP="002A6F0D">
            <w:pPr>
              <w:jc w:val="left"/>
              <w:rPr>
                <w:iCs/>
                <w:snapToGrid w:val="0"/>
                <w:kern w:val="22"/>
                <w:lang w:val="fr-CA"/>
              </w:rPr>
            </w:pPr>
            <w:r w:rsidRPr="00131775">
              <w:rPr>
                <w:rFonts w:eastAsia="MS Mincho"/>
                <w:iCs/>
                <w:snapToGrid w:val="0"/>
                <w:kern w:val="22"/>
                <w:lang w:val="fr-CA"/>
              </w:rPr>
              <w:t xml:space="preserve">4. </w:t>
            </w:r>
            <w:r w:rsidR="002A6F0D">
              <w:rPr>
                <w:rFonts w:eastAsia="MS Mincho"/>
                <w:iCs/>
                <w:snapToGrid w:val="0"/>
                <w:kern w:val="22"/>
                <w:lang w:val="fr-CA"/>
              </w:rPr>
              <w:t>Pluralité</w:t>
            </w:r>
            <w:r w:rsidR="00241BF2">
              <w:rPr>
                <w:rFonts w:eastAsia="MS Mincho"/>
                <w:iCs/>
                <w:snapToGrid w:val="0"/>
                <w:kern w:val="22"/>
                <w:lang w:val="fr-CA"/>
              </w:rPr>
              <w:t xml:space="preserve"> méthodologique et complémentarité</w:t>
            </w:r>
          </w:p>
        </w:tc>
        <w:tc>
          <w:tcPr>
            <w:tcW w:w="6237" w:type="dxa"/>
            <w:shd w:val="clear" w:color="auto" w:fill="auto"/>
          </w:tcPr>
          <w:p w:rsidR="0066026D" w:rsidRPr="00131775" w:rsidRDefault="006335B9" w:rsidP="00132DF3">
            <w:pPr>
              <w:jc w:val="left"/>
              <w:rPr>
                <w:rFonts w:eastAsia="MS Mincho"/>
                <w:snapToGrid w:val="0"/>
                <w:kern w:val="22"/>
                <w:lang w:val="fr-CA"/>
              </w:rPr>
            </w:pPr>
            <w:r w:rsidRPr="00131775">
              <w:rPr>
                <w:rFonts w:eastAsia="MS Mincho"/>
                <w:snapToGrid w:val="0"/>
                <w:kern w:val="22"/>
                <w:lang w:val="fr-CA"/>
              </w:rPr>
              <w:t xml:space="preserve">- </w:t>
            </w:r>
            <w:r w:rsidR="00241BF2">
              <w:rPr>
                <w:rFonts w:eastAsia="MS Mincho"/>
                <w:snapToGrid w:val="0"/>
                <w:kern w:val="22"/>
                <w:lang w:val="fr-CA"/>
              </w:rPr>
              <w:t>Utiliser différentes méthodes en complémentarité car elles peuvent produire des données différentes</w:t>
            </w:r>
          </w:p>
          <w:p w:rsidR="0066026D" w:rsidRPr="00131775" w:rsidRDefault="006335B9" w:rsidP="00132DF3">
            <w:pPr>
              <w:jc w:val="left"/>
              <w:rPr>
                <w:rFonts w:eastAsia="MS Mincho"/>
                <w:snapToGrid w:val="0"/>
                <w:kern w:val="22"/>
                <w:lang w:val="fr-CA"/>
              </w:rPr>
            </w:pPr>
            <w:r w:rsidRPr="00131775">
              <w:rPr>
                <w:rFonts w:eastAsia="MS Mincho"/>
                <w:snapToGrid w:val="0"/>
                <w:kern w:val="22"/>
                <w:lang w:val="fr-CA"/>
              </w:rPr>
              <w:t xml:space="preserve">- </w:t>
            </w:r>
            <w:r w:rsidR="00241BF2">
              <w:rPr>
                <w:rFonts w:eastAsia="MS Mincho"/>
                <w:snapToGrid w:val="0"/>
                <w:kern w:val="22"/>
                <w:lang w:val="fr-CA"/>
              </w:rPr>
              <w:t xml:space="preserve">S’appliquer </w:t>
            </w:r>
            <w:r w:rsidR="002A6F0D">
              <w:rPr>
                <w:rFonts w:eastAsia="MS Mincho"/>
                <w:snapToGrid w:val="0"/>
                <w:kern w:val="22"/>
                <w:lang w:val="fr-CA"/>
              </w:rPr>
              <w:t>à plusieurs échelles</w:t>
            </w:r>
          </w:p>
          <w:p w:rsidR="0066026D" w:rsidRPr="00131775" w:rsidRDefault="006335B9" w:rsidP="00241BF2">
            <w:pPr>
              <w:jc w:val="left"/>
              <w:rPr>
                <w:rFonts w:eastAsia="MS Mincho"/>
                <w:snapToGrid w:val="0"/>
                <w:kern w:val="22"/>
                <w:lang w:val="fr-CA"/>
              </w:rPr>
            </w:pPr>
            <w:r w:rsidRPr="00131775">
              <w:rPr>
                <w:rFonts w:eastAsia="MS Mincho"/>
                <w:snapToGrid w:val="0"/>
                <w:kern w:val="22"/>
                <w:lang w:val="fr-CA"/>
              </w:rPr>
              <w:t xml:space="preserve">- </w:t>
            </w:r>
            <w:r w:rsidR="00241BF2">
              <w:rPr>
                <w:rFonts w:eastAsia="MS Mincho"/>
                <w:snapToGrid w:val="0"/>
                <w:kern w:val="22"/>
                <w:lang w:val="fr-CA"/>
              </w:rPr>
              <w:t>Être mises à l’essai au moyen de projets pilotes</w:t>
            </w:r>
          </w:p>
        </w:tc>
      </w:tr>
      <w:tr w:rsidR="00CA671B" w:rsidRPr="00131775" w:rsidTr="00132DF3">
        <w:trPr>
          <w:jc w:val="center"/>
        </w:trPr>
        <w:tc>
          <w:tcPr>
            <w:tcW w:w="3256" w:type="dxa"/>
            <w:shd w:val="clear" w:color="auto" w:fill="auto"/>
          </w:tcPr>
          <w:p w:rsidR="0066026D" w:rsidRPr="00131775" w:rsidRDefault="0066026D" w:rsidP="00241BF2">
            <w:pPr>
              <w:jc w:val="left"/>
              <w:rPr>
                <w:iCs/>
                <w:snapToGrid w:val="0"/>
                <w:kern w:val="22"/>
                <w:lang w:val="fr-CA"/>
              </w:rPr>
            </w:pPr>
            <w:r w:rsidRPr="00131775">
              <w:rPr>
                <w:iCs/>
                <w:snapToGrid w:val="0"/>
                <w:kern w:val="22"/>
                <w:lang w:val="fr-CA"/>
              </w:rPr>
              <w:t xml:space="preserve">5. </w:t>
            </w:r>
            <w:r w:rsidR="00241BF2">
              <w:rPr>
                <w:rFonts w:eastAsia="MS Mincho"/>
                <w:iCs/>
                <w:snapToGrid w:val="0"/>
                <w:kern w:val="22"/>
                <w:lang w:val="fr-CA"/>
              </w:rPr>
              <w:t>Orientation sur le processus</w:t>
            </w:r>
          </w:p>
        </w:tc>
        <w:tc>
          <w:tcPr>
            <w:tcW w:w="6237" w:type="dxa"/>
            <w:shd w:val="clear" w:color="auto" w:fill="auto"/>
          </w:tcPr>
          <w:p w:rsidR="009E4E9A" w:rsidRPr="00131775" w:rsidRDefault="006335B9" w:rsidP="00132DF3">
            <w:pPr>
              <w:jc w:val="left"/>
              <w:rPr>
                <w:rFonts w:eastAsia="MS Mincho"/>
                <w:snapToGrid w:val="0"/>
                <w:kern w:val="22"/>
                <w:lang w:val="fr-CA"/>
              </w:rPr>
            </w:pPr>
            <w:r w:rsidRPr="00131775">
              <w:rPr>
                <w:rFonts w:eastAsia="MS Mincho"/>
                <w:snapToGrid w:val="0"/>
                <w:kern w:val="22"/>
                <w:lang w:val="fr-CA"/>
              </w:rPr>
              <w:t xml:space="preserve">- </w:t>
            </w:r>
            <w:r w:rsidR="00ED02A9">
              <w:rPr>
                <w:rFonts w:eastAsia="MS Mincho"/>
                <w:snapToGrid w:val="0"/>
                <w:kern w:val="22"/>
                <w:lang w:val="fr-CA"/>
              </w:rPr>
              <w:t>Être fondés sur la participation entière et efficace des peuples autochtones et des communautés locales tout au long du processus de développement et de l’application</w:t>
            </w:r>
          </w:p>
          <w:p w:rsidR="0066026D" w:rsidRPr="00131775" w:rsidRDefault="009E4E9A" w:rsidP="00ED02A9">
            <w:pPr>
              <w:jc w:val="left"/>
              <w:rPr>
                <w:rFonts w:eastAsia="MS Mincho"/>
                <w:snapToGrid w:val="0"/>
                <w:kern w:val="22"/>
                <w:lang w:val="fr-CA"/>
              </w:rPr>
            </w:pPr>
            <w:r w:rsidRPr="00131775">
              <w:rPr>
                <w:rFonts w:eastAsia="MS Mincho"/>
                <w:snapToGrid w:val="0"/>
                <w:kern w:val="22"/>
                <w:lang w:val="fr-CA"/>
              </w:rPr>
              <w:t xml:space="preserve">- </w:t>
            </w:r>
            <w:r w:rsidR="00ED02A9">
              <w:rPr>
                <w:rFonts w:eastAsia="MS Mincho"/>
                <w:snapToGrid w:val="0"/>
                <w:kern w:val="22"/>
                <w:lang w:val="fr-CA"/>
              </w:rPr>
              <w:t>Garantir la participation de tous les groupes</w:t>
            </w:r>
          </w:p>
        </w:tc>
      </w:tr>
      <w:tr w:rsidR="00CA671B" w:rsidRPr="00131775" w:rsidTr="00132DF3">
        <w:trPr>
          <w:jc w:val="center"/>
        </w:trPr>
        <w:tc>
          <w:tcPr>
            <w:tcW w:w="3256" w:type="dxa"/>
            <w:shd w:val="clear" w:color="auto" w:fill="auto"/>
          </w:tcPr>
          <w:p w:rsidR="0066026D" w:rsidRPr="00131775" w:rsidRDefault="0066026D" w:rsidP="00ED02A9">
            <w:pPr>
              <w:jc w:val="left"/>
              <w:rPr>
                <w:iCs/>
                <w:snapToGrid w:val="0"/>
                <w:kern w:val="22"/>
                <w:lang w:val="fr-CA"/>
              </w:rPr>
            </w:pPr>
            <w:r w:rsidRPr="00131775">
              <w:rPr>
                <w:iCs/>
                <w:snapToGrid w:val="0"/>
                <w:kern w:val="22"/>
                <w:lang w:val="fr-CA"/>
              </w:rPr>
              <w:t xml:space="preserve">6. </w:t>
            </w:r>
            <w:r w:rsidR="00ED02A9">
              <w:rPr>
                <w:rFonts w:eastAsia="MS Mincho"/>
                <w:iCs/>
                <w:snapToGrid w:val="0"/>
                <w:kern w:val="22"/>
                <w:lang w:val="fr-CA"/>
              </w:rPr>
              <w:t>Liens avec les travaux sur l’utilisation coutumière durable</w:t>
            </w:r>
          </w:p>
        </w:tc>
        <w:tc>
          <w:tcPr>
            <w:tcW w:w="6237" w:type="dxa"/>
            <w:shd w:val="clear" w:color="auto" w:fill="auto"/>
          </w:tcPr>
          <w:p w:rsidR="0066026D" w:rsidRPr="00131775" w:rsidRDefault="006335B9" w:rsidP="00132DF3">
            <w:pPr>
              <w:jc w:val="left"/>
              <w:rPr>
                <w:rFonts w:eastAsia="MS Mincho"/>
                <w:snapToGrid w:val="0"/>
                <w:kern w:val="22"/>
                <w:lang w:val="fr-CA"/>
              </w:rPr>
            </w:pPr>
            <w:r w:rsidRPr="00131775">
              <w:rPr>
                <w:rFonts w:eastAsia="MS Mincho"/>
                <w:snapToGrid w:val="0"/>
                <w:kern w:val="22"/>
                <w:lang w:val="fr-CA"/>
              </w:rPr>
              <w:t xml:space="preserve">- </w:t>
            </w:r>
            <w:r w:rsidR="00ED02A9">
              <w:rPr>
                <w:rFonts w:eastAsia="MS Mincho"/>
                <w:snapToGrid w:val="0"/>
                <w:kern w:val="22"/>
                <w:lang w:val="fr-CA"/>
              </w:rPr>
              <w:t xml:space="preserve">Chercher à contribuer à la protection et </w:t>
            </w:r>
            <w:r w:rsidR="002A6F0D">
              <w:rPr>
                <w:rFonts w:eastAsia="MS Mincho"/>
                <w:snapToGrid w:val="0"/>
                <w:kern w:val="22"/>
                <w:lang w:val="fr-CA"/>
              </w:rPr>
              <w:t xml:space="preserve">à </w:t>
            </w:r>
            <w:r w:rsidR="00ED02A9">
              <w:rPr>
                <w:rFonts w:eastAsia="MS Mincho"/>
                <w:snapToGrid w:val="0"/>
                <w:kern w:val="22"/>
                <w:lang w:val="fr-CA"/>
              </w:rPr>
              <w:t>la promotion du transfert intergénérationnel des connaissances traditionnelles, des innovations et des pratiques</w:t>
            </w:r>
          </w:p>
          <w:p w:rsidR="0066026D" w:rsidRPr="00131775" w:rsidRDefault="006335B9" w:rsidP="00ED02A9">
            <w:pPr>
              <w:jc w:val="left"/>
              <w:rPr>
                <w:rFonts w:eastAsia="MS Mincho"/>
                <w:snapToGrid w:val="0"/>
                <w:kern w:val="22"/>
                <w:lang w:val="fr-CA"/>
              </w:rPr>
            </w:pPr>
            <w:r w:rsidRPr="00131775">
              <w:rPr>
                <w:rFonts w:eastAsia="MS Mincho"/>
                <w:snapToGrid w:val="0"/>
                <w:kern w:val="22"/>
                <w:lang w:val="fr-CA"/>
              </w:rPr>
              <w:t xml:space="preserve">- </w:t>
            </w:r>
            <w:r w:rsidR="00ED02A9">
              <w:rPr>
                <w:rFonts w:eastAsia="MS Mincho"/>
                <w:snapToGrid w:val="0"/>
                <w:kern w:val="22"/>
                <w:lang w:val="fr-CA"/>
              </w:rPr>
              <w:t>Reconnaître que les mesures collectives sont liées à l’utilisation coutumière grâce au transfer</w:t>
            </w:r>
            <w:r w:rsidR="003A728D">
              <w:rPr>
                <w:rFonts w:eastAsia="MS Mincho"/>
                <w:snapToGrid w:val="0"/>
                <w:kern w:val="22"/>
                <w:lang w:val="fr-CA"/>
              </w:rPr>
              <w:t>t</w:t>
            </w:r>
            <w:r w:rsidR="00ED02A9">
              <w:rPr>
                <w:rFonts w:eastAsia="MS Mincho"/>
                <w:snapToGrid w:val="0"/>
                <w:kern w:val="22"/>
                <w:lang w:val="fr-CA"/>
              </w:rPr>
              <w:t xml:space="preserve"> intergénérationnel des connaissances traditionnelles, des innovations et des pratiques</w:t>
            </w:r>
          </w:p>
        </w:tc>
      </w:tr>
    </w:tbl>
    <w:p w:rsidR="009E4E9A" w:rsidRPr="00131775" w:rsidRDefault="009E4E9A">
      <w:pPr>
        <w:rPr>
          <w:snapToGrid w:val="0"/>
          <w:kern w:val="22"/>
          <w:lang w:val="fr-CA"/>
        </w:rPr>
      </w:pPr>
    </w:p>
    <w:p w:rsidR="00662E61" w:rsidRPr="00131775" w:rsidRDefault="00ED02A9" w:rsidP="006A720D">
      <w:pPr>
        <w:pStyle w:val="Para1"/>
        <w:tabs>
          <w:tab w:val="clear" w:pos="360"/>
        </w:tabs>
        <w:rPr>
          <w:rFonts w:eastAsia="Batang"/>
          <w:kern w:val="22"/>
          <w:szCs w:val="22"/>
          <w:lang w:val="fr-CA" w:eastAsia="ko-KR"/>
        </w:rPr>
      </w:pPr>
      <w:r>
        <w:rPr>
          <w:rFonts w:eastAsia="Batang"/>
          <w:kern w:val="22"/>
          <w:szCs w:val="22"/>
          <w:lang w:val="fr-CA" w:eastAsia="ko-KR"/>
        </w:rPr>
        <w:t>Les séries de principes provenant des approches existantes examinées plus tôt</w:t>
      </w:r>
      <w:r w:rsidR="003A728D">
        <w:rPr>
          <w:rFonts w:eastAsia="Batang"/>
          <w:kern w:val="22"/>
          <w:szCs w:val="22"/>
          <w:lang w:val="fr-CA" w:eastAsia="ko-KR"/>
        </w:rPr>
        <w:t xml:space="preserve"> proposent des concepts susceptibles d’aider à encadrer les éléments de l’orientation méthodologique afin qu’ils soient conformes aux principes. Le tableau ci-dessous présente quelques-uns de ces concepts</w:t>
      </w:r>
      <w:r w:rsidR="00C50BA4">
        <w:rPr>
          <w:rFonts w:eastAsia="Batang"/>
          <w:kern w:val="22"/>
          <w:szCs w:val="22"/>
          <w:lang w:val="fr-CA" w:eastAsia="ko-KR"/>
        </w:rPr>
        <w:t> </w:t>
      </w:r>
      <w:r w:rsidR="00CD7190" w:rsidRPr="00131775">
        <w:rPr>
          <w:rFonts w:eastAsia="Batang"/>
          <w:kern w:val="22"/>
          <w:szCs w:val="22"/>
          <w:lang w:val="fr-CA" w:eastAsia="ko-KR"/>
        </w:rPr>
        <w:t>:</w:t>
      </w:r>
    </w:p>
    <w:tbl>
      <w:tblPr>
        <w:tblpPr w:leftFromText="180" w:rightFromText="180" w:vertAnchor="text" w:horzAnchor="margin" w:tblpXSpec="center" w:tblpY="51"/>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237"/>
      </w:tblGrid>
      <w:tr w:rsidR="00CA671B" w:rsidRPr="00131775" w:rsidTr="00132DF3">
        <w:trPr>
          <w:jc w:val="center"/>
        </w:trPr>
        <w:tc>
          <w:tcPr>
            <w:tcW w:w="3256" w:type="dxa"/>
            <w:shd w:val="clear" w:color="auto" w:fill="auto"/>
          </w:tcPr>
          <w:p w:rsidR="00E13565" w:rsidRPr="00131775" w:rsidRDefault="003A728D" w:rsidP="00132DF3">
            <w:pPr>
              <w:jc w:val="center"/>
              <w:rPr>
                <w:b/>
                <w:snapToGrid w:val="0"/>
                <w:kern w:val="22"/>
                <w:lang w:val="fr-CA"/>
              </w:rPr>
            </w:pPr>
            <w:r>
              <w:rPr>
                <w:b/>
                <w:snapToGrid w:val="0"/>
                <w:kern w:val="22"/>
                <w:lang w:val="fr-CA"/>
              </w:rPr>
              <w:t>Autres principes</w:t>
            </w:r>
          </w:p>
        </w:tc>
        <w:tc>
          <w:tcPr>
            <w:tcW w:w="6237" w:type="dxa"/>
            <w:shd w:val="clear" w:color="auto" w:fill="auto"/>
          </w:tcPr>
          <w:p w:rsidR="00E13565" w:rsidRPr="00131775" w:rsidRDefault="003A728D" w:rsidP="00132DF3">
            <w:pPr>
              <w:jc w:val="center"/>
              <w:rPr>
                <w:b/>
                <w:snapToGrid w:val="0"/>
                <w:kern w:val="22"/>
                <w:lang w:val="fr-CA"/>
              </w:rPr>
            </w:pPr>
            <w:r>
              <w:rPr>
                <w:b/>
                <w:snapToGrid w:val="0"/>
                <w:kern w:val="22"/>
                <w:lang w:val="fr-CA"/>
              </w:rPr>
              <w:t>Les éléments de l’orientation méthodologique doivent</w:t>
            </w:r>
            <w:r w:rsidR="00C50BA4">
              <w:rPr>
                <w:b/>
                <w:snapToGrid w:val="0"/>
                <w:kern w:val="22"/>
                <w:lang w:val="fr-CA"/>
              </w:rPr>
              <w:t> </w:t>
            </w:r>
            <w:r w:rsidR="00E13565" w:rsidRPr="00131775">
              <w:rPr>
                <w:b/>
                <w:snapToGrid w:val="0"/>
                <w:kern w:val="22"/>
                <w:lang w:val="fr-CA"/>
              </w:rPr>
              <w:t>:</w:t>
            </w:r>
          </w:p>
        </w:tc>
      </w:tr>
      <w:tr w:rsidR="00CA671B" w:rsidRPr="00131775" w:rsidTr="00132DF3">
        <w:trPr>
          <w:jc w:val="center"/>
        </w:trPr>
        <w:tc>
          <w:tcPr>
            <w:tcW w:w="3256" w:type="dxa"/>
            <w:shd w:val="clear" w:color="auto" w:fill="auto"/>
          </w:tcPr>
          <w:p w:rsidR="00E13565" w:rsidRPr="00131775" w:rsidRDefault="003A728D" w:rsidP="00132DF3">
            <w:pPr>
              <w:jc w:val="left"/>
              <w:rPr>
                <w:snapToGrid w:val="0"/>
                <w:kern w:val="22"/>
                <w:lang w:val="fr-CA"/>
              </w:rPr>
            </w:pPr>
            <w:r>
              <w:rPr>
                <w:rFonts w:eastAsia="Batang"/>
                <w:snapToGrid w:val="0"/>
                <w:kern w:val="22"/>
                <w:szCs w:val="22"/>
                <w:lang w:val="fr-CA" w:eastAsia="ko-KR"/>
              </w:rPr>
              <w:t>Principes liés aux droits</w:t>
            </w:r>
          </w:p>
        </w:tc>
        <w:tc>
          <w:tcPr>
            <w:tcW w:w="6237" w:type="dxa"/>
            <w:shd w:val="clear" w:color="auto" w:fill="auto"/>
          </w:tcPr>
          <w:p w:rsidR="00E13565" w:rsidRPr="00131775" w:rsidRDefault="00E13565" w:rsidP="003A728D">
            <w:pPr>
              <w:jc w:val="left"/>
              <w:rPr>
                <w:rFonts w:eastAsia="MS Mincho"/>
                <w:snapToGrid w:val="0"/>
                <w:kern w:val="22"/>
                <w:lang w:val="fr-CA"/>
              </w:rPr>
            </w:pPr>
            <w:r w:rsidRPr="00131775">
              <w:rPr>
                <w:rFonts w:eastAsia="MS Mincho"/>
                <w:snapToGrid w:val="0"/>
                <w:kern w:val="22"/>
                <w:lang w:val="fr-CA"/>
              </w:rPr>
              <w:t xml:space="preserve">- </w:t>
            </w:r>
            <w:r w:rsidR="003A728D">
              <w:rPr>
                <w:rFonts w:eastAsia="MS Mincho"/>
                <w:snapToGrid w:val="0"/>
                <w:kern w:val="22"/>
                <w:lang w:val="fr-CA"/>
              </w:rPr>
              <w:t>Chercher à contribuer à la sécurité des droits, surtout le régime foncier et les droits d’accès</w:t>
            </w:r>
          </w:p>
        </w:tc>
      </w:tr>
      <w:tr w:rsidR="00CA671B" w:rsidRPr="00131775" w:rsidTr="00132DF3">
        <w:trPr>
          <w:jc w:val="center"/>
        </w:trPr>
        <w:tc>
          <w:tcPr>
            <w:tcW w:w="3256" w:type="dxa"/>
            <w:shd w:val="clear" w:color="auto" w:fill="auto"/>
          </w:tcPr>
          <w:p w:rsidR="00E13565" w:rsidRPr="00131775" w:rsidRDefault="003A728D" w:rsidP="003A728D">
            <w:pPr>
              <w:jc w:val="left"/>
              <w:rPr>
                <w:snapToGrid w:val="0"/>
                <w:kern w:val="22"/>
                <w:lang w:val="fr-CA"/>
              </w:rPr>
            </w:pPr>
            <w:r>
              <w:rPr>
                <w:rFonts w:eastAsia="Batang"/>
                <w:snapToGrid w:val="0"/>
                <w:kern w:val="22"/>
                <w:szCs w:val="22"/>
                <w:lang w:val="fr-CA" w:eastAsia="ko-KR"/>
              </w:rPr>
              <w:t>Principes éthiques cherchant à renforcer la légitimité et la propriété sociale des évaluations, notamment la transparence, la réciprocité, l’utilité pour toutes les parties en cause, la confiance, l’équité, la sensibilité, la souplesse, le respect de l’autodétermination, le respect pour toutes les dimensions de la pluralité</w:t>
            </w:r>
          </w:p>
        </w:tc>
        <w:tc>
          <w:tcPr>
            <w:tcW w:w="6237" w:type="dxa"/>
            <w:shd w:val="clear" w:color="auto" w:fill="auto"/>
          </w:tcPr>
          <w:p w:rsidR="00E13565" w:rsidRPr="00131775" w:rsidRDefault="003A728D" w:rsidP="00997A2C">
            <w:pPr>
              <w:pStyle w:val="ListParagraph"/>
              <w:numPr>
                <w:ilvl w:val="0"/>
                <w:numId w:val="45"/>
              </w:numPr>
              <w:tabs>
                <w:tab w:val="left" w:pos="154"/>
              </w:tabs>
              <w:contextualSpacing w:val="0"/>
              <w:rPr>
                <w:rFonts w:eastAsia="MS Mincho"/>
                <w:snapToGrid w:val="0"/>
                <w:kern w:val="22"/>
                <w:sz w:val="22"/>
                <w:lang w:val="fr-CA"/>
              </w:rPr>
            </w:pPr>
            <w:r>
              <w:rPr>
                <w:rFonts w:eastAsia="MS Mincho"/>
                <w:snapToGrid w:val="0"/>
                <w:kern w:val="22"/>
                <w:sz w:val="22"/>
                <w:lang w:val="fr-CA"/>
              </w:rPr>
              <w:t>Tenir compte des facteurs éthiques</w:t>
            </w:r>
          </w:p>
        </w:tc>
      </w:tr>
      <w:tr w:rsidR="00CA671B" w:rsidRPr="00131775" w:rsidTr="00132DF3">
        <w:trPr>
          <w:jc w:val="center"/>
        </w:trPr>
        <w:tc>
          <w:tcPr>
            <w:tcW w:w="3256" w:type="dxa"/>
            <w:shd w:val="clear" w:color="auto" w:fill="auto"/>
          </w:tcPr>
          <w:p w:rsidR="00E13565" w:rsidRPr="00131775" w:rsidRDefault="000028B5" w:rsidP="00132DF3">
            <w:pPr>
              <w:jc w:val="left"/>
              <w:rPr>
                <w:snapToGrid w:val="0"/>
                <w:kern w:val="22"/>
                <w:lang w:val="fr-CA"/>
              </w:rPr>
            </w:pPr>
            <w:r>
              <w:rPr>
                <w:rFonts w:eastAsia="Batang"/>
                <w:snapToGrid w:val="0"/>
                <w:kern w:val="22"/>
                <w:szCs w:val="22"/>
                <w:lang w:val="fr-CA" w:eastAsia="ko-KR"/>
              </w:rPr>
              <w:t>Principes liés à la gouvernance, en particulier le besoin de reconnaître et de respecter les systèmes de gouvernance locaux et coutumiers</w:t>
            </w:r>
          </w:p>
        </w:tc>
        <w:tc>
          <w:tcPr>
            <w:tcW w:w="6237" w:type="dxa"/>
            <w:shd w:val="clear" w:color="auto" w:fill="auto"/>
          </w:tcPr>
          <w:p w:rsidR="00E13565" w:rsidRPr="00131775" w:rsidRDefault="00E13565" w:rsidP="000028B5">
            <w:pPr>
              <w:jc w:val="left"/>
              <w:rPr>
                <w:rFonts w:eastAsia="MS Mincho"/>
                <w:snapToGrid w:val="0"/>
                <w:kern w:val="22"/>
                <w:lang w:val="fr-CA"/>
              </w:rPr>
            </w:pPr>
            <w:r w:rsidRPr="00131775">
              <w:rPr>
                <w:rFonts w:eastAsia="MS Mincho"/>
                <w:snapToGrid w:val="0"/>
                <w:kern w:val="22"/>
                <w:lang w:val="fr-CA"/>
              </w:rPr>
              <w:t xml:space="preserve">- </w:t>
            </w:r>
            <w:r w:rsidR="000028B5">
              <w:rPr>
                <w:rFonts w:eastAsia="MS Mincho"/>
                <w:snapToGrid w:val="0"/>
                <w:kern w:val="22"/>
                <w:lang w:val="fr-CA"/>
              </w:rPr>
              <w:t>Inclure les éléments pertinents des évaluations de la gouvernance, notamment en ce qui concerne les systèmes de gouvernance coutumière</w:t>
            </w:r>
          </w:p>
        </w:tc>
      </w:tr>
      <w:tr w:rsidR="00CA671B" w:rsidRPr="00131775" w:rsidTr="00132DF3">
        <w:trPr>
          <w:jc w:val="center"/>
        </w:trPr>
        <w:tc>
          <w:tcPr>
            <w:tcW w:w="3256" w:type="dxa"/>
            <w:shd w:val="clear" w:color="auto" w:fill="auto"/>
          </w:tcPr>
          <w:p w:rsidR="00E13565" w:rsidRPr="00131775" w:rsidRDefault="000028B5" w:rsidP="000028B5">
            <w:pPr>
              <w:pStyle w:val="Para1"/>
              <w:numPr>
                <w:ilvl w:val="0"/>
                <w:numId w:val="0"/>
              </w:numPr>
              <w:spacing w:before="0" w:after="0"/>
              <w:jc w:val="left"/>
              <w:rPr>
                <w:kern w:val="22"/>
                <w:szCs w:val="22"/>
                <w:lang w:val="fr-CA"/>
              </w:rPr>
            </w:pPr>
            <w:r>
              <w:rPr>
                <w:rFonts w:eastAsia="Batang"/>
                <w:kern w:val="22"/>
                <w:szCs w:val="22"/>
                <w:lang w:val="fr-CA" w:eastAsia="ko-KR"/>
              </w:rPr>
              <w:t>Reconnaissance claire des rôles liés au sexe dans les mesures collectives et le besoin de voies pour améliorer l’équité entre les sexes dans le cadre des résultats et des procédés</w:t>
            </w:r>
          </w:p>
        </w:tc>
        <w:tc>
          <w:tcPr>
            <w:tcW w:w="6237" w:type="dxa"/>
            <w:shd w:val="clear" w:color="auto" w:fill="auto"/>
          </w:tcPr>
          <w:p w:rsidR="00E13565" w:rsidRPr="00131775" w:rsidRDefault="00E13565" w:rsidP="000028B5">
            <w:pPr>
              <w:jc w:val="left"/>
              <w:rPr>
                <w:rFonts w:eastAsia="MS Mincho"/>
                <w:snapToGrid w:val="0"/>
                <w:kern w:val="22"/>
                <w:lang w:val="fr-CA"/>
              </w:rPr>
            </w:pPr>
            <w:r w:rsidRPr="00131775">
              <w:rPr>
                <w:rFonts w:eastAsia="MS Mincho"/>
                <w:snapToGrid w:val="0"/>
                <w:kern w:val="22"/>
                <w:lang w:val="fr-CA"/>
              </w:rPr>
              <w:t xml:space="preserve">- </w:t>
            </w:r>
            <w:r w:rsidR="000028B5">
              <w:rPr>
                <w:rFonts w:eastAsia="MS Mincho"/>
                <w:snapToGrid w:val="0"/>
                <w:kern w:val="22"/>
                <w:lang w:val="fr-CA"/>
              </w:rPr>
              <w:t>Inclure des évaluations des rôles variant selon le sexe et la découverte d’occasions d’améliorer l’équité entre les sexes</w:t>
            </w:r>
          </w:p>
        </w:tc>
      </w:tr>
      <w:tr w:rsidR="00CA671B" w:rsidRPr="00131775" w:rsidTr="00132DF3">
        <w:trPr>
          <w:jc w:val="center"/>
        </w:trPr>
        <w:tc>
          <w:tcPr>
            <w:tcW w:w="3256" w:type="dxa"/>
            <w:shd w:val="clear" w:color="auto" w:fill="auto"/>
          </w:tcPr>
          <w:p w:rsidR="00E13565" w:rsidRPr="00131775" w:rsidRDefault="000028B5" w:rsidP="000028B5">
            <w:pPr>
              <w:jc w:val="left"/>
              <w:rPr>
                <w:snapToGrid w:val="0"/>
                <w:kern w:val="22"/>
                <w:lang w:val="fr-CA"/>
              </w:rPr>
            </w:pPr>
            <w:r>
              <w:rPr>
                <w:rFonts w:eastAsia="Batang"/>
                <w:snapToGrid w:val="0"/>
                <w:kern w:val="22"/>
                <w:szCs w:val="22"/>
                <w:lang w:val="fr-CA" w:eastAsia="ko-KR"/>
              </w:rPr>
              <w:lastRenderedPageBreak/>
              <w:t>Orientation pour le règlement de différends dans le processus d’évaluation</w:t>
            </w:r>
          </w:p>
        </w:tc>
        <w:tc>
          <w:tcPr>
            <w:tcW w:w="6237" w:type="dxa"/>
            <w:shd w:val="clear" w:color="auto" w:fill="auto"/>
          </w:tcPr>
          <w:p w:rsidR="00E13565" w:rsidRPr="00131775" w:rsidRDefault="000028B5" w:rsidP="00997A2C">
            <w:pPr>
              <w:pStyle w:val="ListParagraph"/>
              <w:numPr>
                <w:ilvl w:val="0"/>
                <w:numId w:val="45"/>
              </w:numPr>
              <w:tabs>
                <w:tab w:val="left" w:pos="143"/>
              </w:tabs>
              <w:ind w:left="-16" w:firstLine="16"/>
              <w:contextualSpacing w:val="0"/>
              <w:rPr>
                <w:rFonts w:eastAsia="MS Mincho"/>
                <w:snapToGrid w:val="0"/>
                <w:kern w:val="22"/>
                <w:lang w:val="fr-CA"/>
              </w:rPr>
            </w:pPr>
            <w:r>
              <w:rPr>
                <w:rFonts w:eastAsia="MS Mincho"/>
                <w:snapToGrid w:val="0"/>
                <w:kern w:val="22"/>
                <w:sz w:val="22"/>
                <w:lang w:val="fr-CA"/>
              </w:rPr>
              <w:t>Inclure dans les évaluations le repérage de conflits réels ou potentiels, utiliser le processus d’évaluation pour améliorer le dialogue et découvrir d’autres occasions de régler les différends</w:t>
            </w:r>
          </w:p>
        </w:tc>
      </w:tr>
    </w:tbl>
    <w:p w:rsidR="00E56F36" w:rsidRPr="00131775" w:rsidRDefault="00E446A9" w:rsidP="009536FC">
      <w:pPr>
        <w:pStyle w:val="Para1"/>
        <w:tabs>
          <w:tab w:val="clear" w:pos="360"/>
        </w:tabs>
        <w:rPr>
          <w:rFonts w:eastAsia="Batang"/>
          <w:kern w:val="22"/>
          <w:szCs w:val="22"/>
          <w:lang w:val="fr-CA" w:eastAsia="ko-KR"/>
        </w:rPr>
      </w:pPr>
      <w:r>
        <w:rPr>
          <w:rFonts w:eastAsia="Batang"/>
          <w:kern w:val="22"/>
          <w:szCs w:val="22"/>
          <w:lang w:val="fr-CA" w:eastAsia="ko-KR"/>
        </w:rPr>
        <w:t>Un important facteur se dégage de ce qui précède, à savoir que la combina</w:t>
      </w:r>
      <w:r w:rsidR="00432756">
        <w:rPr>
          <w:rFonts w:eastAsia="Batang"/>
          <w:kern w:val="22"/>
          <w:szCs w:val="22"/>
          <w:lang w:val="fr-CA" w:eastAsia="ko-KR"/>
        </w:rPr>
        <w:t>ison et la complémentarité des m</w:t>
      </w:r>
      <w:r>
        <w:rPr>
          <w:rFonts w:eastAsia="Batang"/>
          <w:kern w:val="22"/>
          <w:szCs w:val="22"/>
          <w:lang w:val="fr-CA" w:eastAsia="ko-KR"/>
        </w:rPr>
        <w:t>éthodologies doi</w:t>
      </w:r>
      <w:r w:rsidR="00997A2C">
        <w:rPr>
          <w:rFonts w:eastAsia="Batang"/>
          <w:kern w:val="22"/>
          <w:szCs w:val="22"/>
          <w:lang w:val="fr-CA" w:eastAsia="ko-KR"/>
        </w:rPr>
        <w:t>ven</w:t>
      </w:r>
      <w:r>
        <w:rPr>
          <w:rFonts w:eastAsia="Batang"/>
          <w:kern w:val="22"/>
          <w:szCs w:val="22"/>
          <w:lang w:val="fr-CA" w:eastAsia="ko-KR"/>
        </w:rPr>
        <w:t>t être reconnu</w:t>
      </w:r>
      <w:r w:rsidR="00997A2C">
        <w:rPr>
          <w:rFonts w:eastAsia="Batang"/>
          <w:kern w:val="22"/>
          <w:szCs w:val="22"/>
          <w:lang w:val="fr-CA" w:eastAsia="ko-KR"/>
        </w:rPr>
        <w:t>es</w:t>
      </w:r>
      <w:r>
        <w:rPr>
          <w:rFonts w:eastAsia="Batang"/>
          <w:kern w:val="22"/>
          <w:szCs w:val="22"/>
          <w:lang w:val="fr-CA" w:eastAsia="ko-KR"/>
        </w:rPr>
        <w:t xml:space="preserve"> comme </w:t>
      </w:r>
      <w:r w:rsidR="00997A2C">
        <w:rPr>
          <w:rFonts w:eastAsia="Batang"/>
          <w:kern w:val="22"/>
          <w:szCs w:val="22"/>
          <w:lang w:val="fr-CA" w:eastAsia="ko-KR"/>
        </w:rPr>
        <w:t>des</w:t>
      </w:r>
      <w:r>
        <w:rPr>
          <w:rFonts w:eastAsia="Batang"/>
          <w:kern w:val="22"/>
          <w:szCs w:val="22"/>
          <w:lang w:val="fr-CA" w:eastAsia="ko-KR"/>
        </w:rPr>
        <w:t xml:space="preserve"> point</w:t>
      </w:r>
      <w:r w:rsidR="00997A2C">
        <w:rPr>
          <w:rFonts w:eastAsia="Batang"/>
          <w:kern w:val="22"/>
          <w:szCs w:val="22"/>
          <w:lang w:val="fr-CA" w:eastAsia="ko-KR"/>
        </w:rPr>
        <w:t>s</w:t>
      </w:r>
      <w:r>
        <w:rPr>
          <w:rFonts w:eastAsia="Batang"/>
          <w:kern w:val="22"/>
          <w:szCs w:val="22"/>
          <w:lang w:val="fr-CA" w:eastAsia="ko-KR"/>
        </w:rPr>
        <w:t xml:space="preserve"> fort</w:t>
      </w:r>
      <w:r w:rsidR="00997A2C">
        <w:rPr>
          <w:rFonts w:eastAsia="Batang"/>
          <w:kern w:val="22"/>
          <w:szCs w:val="22"/>
          <w:lang w:val="fr-CA" w:eastAsia="ko-KR"/>
        </w:rPr>
        <w:t>s</w:t>
      </w:r>
      <w:r>
        <w:rPr>
          <w:rFonts w:eastAsia="Batang"/>
          <w:kern w:val="22"/>
          <w:szCs w:val="22"/>
          <w:lang w:val="fr-CA" w:eastAsia="ko-KR"/>
        </w:rPr>
        <w:t xml:space="preserve"> de l’</w:t>
      </w:r>
      <w:r w:rsidR="00432756">
        <w:rPr>
          <w:rFonts w:eastAsia="Batang"/>
          <w:kern w:val="22"/>
          <w:szCs w:val="22"/>
          <w:lang w:val="fr-CA" w:eastAsia="ko-KR"/>
        </w:rPr>
        <w:t>évalu</w:t>
      </w:r>
      <w:r>
        <w:rPr>
          <w:rFonts w:eastAsia="Batang"/>
          <w:kern w:val="22"/>
          <w:szCs w:val="22"/>
          <w:lang w:val="fr-CA" w:eastAsia="ko-KR"/>
        </w:rPr>
        <w:t xml:space="preserve">ation des </w:t>
      </w:r>
      <w:r w:rsidR="00432756">
        <w:rPr>
          <w:rFonts w:eastAsia="Batang"/>
          <w:kern w:val="22"/>
          <w:szCs w:val="22"/>
          <w:lang w:val="fr-CA" w:eastAsia="ko-KR"/>
        </w:rPr>
        <w:t>processus</w:t>
      </w:r>
      <w:r>
        <w:rPr>
          <w:rFonts w:eastAsia="Batang"/>
          <w:kern w:val="22"/>
          <w:szCs w:val="22"/>
          <w:lang w:val="fr-CA" w:eastAsia="ko-KR"/>
        </w:rPr>
        <w:t xml:space="preserve">, </w:t>
      </w:r>
      <w:r w:rsidR="008033C2">
        <w:rPr>
          <w:rFonts w:eastAsia="Batang"/>
          <w:kern w:val="22"/>
          <w:szCs w:val="22"/>
          <w:lang w:val="fr-CA" w:eastAsia="ko-KR"/>
        </w:rPr>
        <w:t>lorsque</w:t>
      </w:r>
      <w:r>
        <w:rPr>
          <w:rFonts w:eastAsia="Batang"/>
          <w:kern w:val="22"/>
          <w:szCs w:val="22"/>
          <w:lang w:val="fr-CA" w:eastAsia="ko-KR"/>
        </w:rPr>
        <w:t xml:space="preserve"> toutes les méthodologies utilisées pour les évaluations respectent les mêmes </w:t>
      </w:r>
      <w:r w:rsidR="00432756">
        <w:rPr>
          <w:rFonts w:eastAsia="Batang"/>
          <w:kern w:val="22"/>
          <w:szCs w:val="22"/>
          <w:lang w:val="fr-CA" w:eastAsia="ko-KR"/>
        </w:rPr>
        <w:t>principes</w:t>
      </w:r>
      <w:r>
        <w:rPr>
          <w:rFonts w:eastAsia="Batang"/>
          <w:kern w:val="22"/>
          <w:szCs w:val="22"/>
          <w:lang w:val="fr-CA" w:eastAsia="ko-KR"/>
        </w:rPr>
        <w:t xml:space="preserve"> directeurs, car elles favorisent une meilleure représentation de la pluralité des situations et des approches. </w:t>
      </w:r>
      <w:r w:rsidR="00432756">
        <w:rPr>
          <w:rFonts w:eastAsia="Batang"/>
          <w:kern w:val="22"/>
          <w:szCs w:val="22"/>
          <w:lang w:val="fr-CA" w:eastAsia="ko-KR"/>
        </w:rPr>
        <w:t xml:space="preserve">Les approches favorisant diverses méthodes lors de récentes </w:t>
      </w:r>
      <w:r w:rsidR="00BC5450">
        <w:rPr>
          <w:rFonts w:eastAsia="Batang"/>
          <w:kern w:val="22"/>
          <w:szCs w:val="22"/>
          <w:lang w:val="fr-CA" w:eastAsia="ko-KR"/>
        </w:rPr>
        <w:t>épistémologie</w:t>
      </w:r>
      <w:r w:rsidR="00997A2C">
        <w:rPr>
          <w:rFonts w:eastAsia="Batang"/>
          <w:kern w:val="22"/>
          <w:szCs w:val="22"/>
          <w:lang w:val="fr-CA" w:eastAsia="ko-KR"/>
        </w:rPr>
        <w:t>s et recherches</w:t>
      </w:r>
      <w:r w:rsidR="00BC5450">
        <w:rPr>
          <w:rFonts w:eastAsia="Batang"/>
          <w:kern w:val="22"/>
          <w:szCs w:val="22"/>
          <w:lang w:val="fr-CA" w:eastAsia="ko-KR"/>
        </w:rPr>
        <w:t xml:space="preserve"> sont particulièrement pertinentes et confirment, </w:t>
      </w:r>
      <w:r w:rsidR="00997A2C">
        <w:rPr>
          <w:rFonts w:eastAsia="Batang"/>
          <w:kern w:val="22"/>
          <w:szCs w:val="22"/>
          <w:lang w:val="fr-CA" w:eastAsia="ko-KR"/>
        </w:rPr>
        <w:t>en se fondant sur</w:t>
      </w:r>
      <w:r w:rsidR="00BC5450">
        <w:rPr>
          <w:rFonts w:eastAsia="Batang"/>
          <w:kern w:val="22"/>
          <w:szCs w:val="22"/>
          <w:lang w:val="fr-CA" w:eastAsia="ko-KR"/>
        </w:rPr>
        <w:t xml:space="preserve"> une base de recherche grandissante dans des domaines sociaux,</w:t>
      </w:r>
      <w:r w:rsidR="00432756">
        <w:rPr>
          <w:rFonts w:eastAsia="Batang"/>
          <w:kern w:val="22"/>
          <w:szCs w:val="22"/>
          <w:lang w:val="fr-CA" w:eastAsia="ko-KR"/>
        </w:rPr>
        <w:t xml:space="preserve"> </w:t>
      </w:r>
      <w:r w:rsidR="00BC5450">
        <w:rPr>
          <w:rFonts w:eastAsia="Batang"/>
          <w:kern w:val="22"/>
          <w:szCs w:val="22"/>
          <w:lang w:val="fr-CA" w:eastAsia="ko-KR"/>
        </w:rPr>
        <w:t>la valeur du concept proposé par les princip</w:t>
      </w:r>
      <w:r w:rsidR="00A615D7">
        <w:rPr>
          <w:rFonts w:eastAsia="Batang"/>
          <w:kern w:val="22"/>
          <w:szCs w:val="22"/>
          <w:lang w:val="fr-CA" w:eastAsia="ko-KR"/>
        </w:rPr>
        <w:t xml:space="preserve">es directeurs et appliqué dans </w:t>
      </w:r>
      <w:r w:rsidR="00BC5450">
        <w:rPr>
          <w:rFonts w:eastAsia="Batang"/>
          <w:kern w:val="22"/>
          <w:szCs w:val="22"/>
          <w:lang w:val="fr-CA" w:eastAsia="ko-KR"/>
        </w:rPr>
        <w:t>les approches analysées</w:t>
      </w:r>
      <w:r w:rsidR="00465FE9" w:rsidRPr="00131775">
        <w:rPr>
          <w:rFonts w:eastAsia="Batang"/>
          <w:kern w:val="22"/>
          <w:szCs w:val="22"/>
          <w:lang w:val="fr-CA" w:eastAsia="ko-KR"/>
        </w:rPr>
        <w:t>.</w:t>
      </w:r>
    </w:p>
    <w:p w:rsidR="0066026D" w:rsidRPr="00E46B3D" w:rsidRDefault="00DA0386" w:rsidP="000708FC">
      <w:pPr>
        <w:pStyle w:val="Para1"/>
        <w:tabs>
          <w:tab w:val="clear" w:pos="360"/>
        </w:tabs>
        <w:rPr>
          <w:rFonts w:eastAsia="Batang"/>
          <w:kern w:val="22"/>
          <w:lang w:val="fr-CA" w:eastAsia="ko-KR"/>
        </w:rPr>
      </w:pPr>
      <w:r w:rsidRPr="00DA0386">
        <w:rPr>
          <w:rFonts w:eastAsia="Batang"/>
          <w:kern w:val="22"/>
          <w:lang w:val="fr-CA" w:eastAsia="ko-KR"/>
        </w:rPr>
        <w:t>L’utilisation d’une approche à mé</w:t>
      </w:r>
      <w:r>
        <w:rPr>
          <w:rFonts w:eastAsia="Batang"/>
          <w:kern w:val="22"/>
          <w:lang w:val="fr-CA" w:eastAsia="ko-KR"/>
        </w:rPr>
        <w:t xml:space="preserve">thodes mixtes, en tant qu’application </w:t>
      </w:r>
      <w:r w:rsidR="008033C2">
        <w:rPr>
          <w:rFonts w:eastAsia="Batang"/>
          <w:kern w:val="22"/>
          <w:lang w:val="fr-CA" w:eastAsia="ko-KR"/>
        </w:rPr>
        <w:t>du concept des méthodes</w:t>
      </w:r>
      <w:r w:rsidR="00EA5ED9">
        <w:rPr>
          <w:rFonts w:eastAsia="Batang"/>
          <w:kern w:val="22"/>
          <w:lang w:val="fr-CA" w:eastAsia="ko-KR"/>
        </w:rPr>
        <w:t xml:space="preserve"> multiples</w:t>
      </w:r>
      <w:r w:rsidR="008033C2">
        <w:rPr>
          <w:rFonts w:eastAsia="Batang"/>
          <w:kern w:val="22"/>
          <w:lang w:val="fr-CA" w:eastAsia="ko-KR"/>
        </w:rPr>
        <w:t>, convient part</w:t>
      </w:r>
      <w:r w:rsidR="00E46B3D">
        <w:rPr>
          <w:rFonts w:eastAsia="Batang"/>
          <w:kern w:val="22"/>
          <w:lang w:val="fr-CA" w:eastAsia="ko-KR"/>
        </w:rPr>
        <w:t>i</w:t>
      </w:r>
      <w:r w:rsidR="008033C2">
        <w:rPr>
          <w:rFonts w:eastAsia="Batang"/>
          <w:kern w:val="22"/>
          <w:lang w:val="fr-CA" w:eastAsia="ko-KR"/>
        </w:rPr>
        <w:t xml:space="preserve">culièrement à l’évaluation des méthodes collectives. </w:t>
      </w:r>
      <w:r w:rsidR="00AF156D">
        <w:rPr>
          <w:rFonts w:eastAsia="Batang"/>
          <w:kern w:val="22"/>
          <w:lang w:val="fr-CA" w:eastAsia="ko-KR"/>
        </w:rPr>
        <w:t>Les</w:t>
      </w:r>
      <w:r w:rsidR="008033C2" w:rsidRPr="008033C2">
        <w:rPr>
          <w:rFonts w:eastAsia="Batang"/>
          <w:kern w:val="22"/>
          <w:lang w:val="fr-CA" w:eastAsia="ko-KR"/>
        </w:rPr>
        <w:t xml:space="preserve"> </w:t>
      </w:r>
      <w:r w:rsidR="00E46B3D">
        <w:rPr>
          <w:rFonts w:eastAsia="Batang"/>
          <w:kern w:val="22"/>
          <w:lang w:val="fr-CA" w:eastAsia="ko-KR"/>
        </w:rPr>
        <w:t>méthodes</w:t>
      </w:r>
      <w:r w:rsidR="008033C2" w:rsidRPr="008033C2">
        <w:rPr>
          <w:rFonts w:eastAsia="Batang"/>
          <w:kern w:val="22"/>
          <w:lang w:val="fr-CA" w:eastAsia="ko-KR"/>
        </w:rPr>
        <w:t xml:space="preserve"> mixtes </w:t>
      </w:r>
      <w:r w:rsidR="00AF156D">
        <w:rPr>
          <w:rFonts w:eastAsia="Batang"/>
          <w:kern w:val="22"/>
          <w:lang w:val="fr-CA" w:eastAsia="ko-KR"/>
        </w:rPr>
        <w:t>reposent sur le principe central</w:t>
      </w:r>
      <w:r w:rsidR="008033C2" w:rsidRPr="008033C2">
        <w:rPr>
          <w:rFonts w:eastAsia="Batang"/>
          <w:kern w:val="22"/>
          <w:lang w:val="fr-CA" w:eastAsia="ko-KR"/>
        </w:rPr>
        <w:t xml:space="preserve"> </w:t>
      </w:r>
      <w:r w:rsidR="008033C2">
        <w:rPr>
          <w:rFonts w:eastAsia="Batang"/>
          <w:kern w:val="22"/>
          <w:lang w:val="fr-CA" w:eastAsia="ko-KR"/>
        </w:rPr>
        <w:t xml:space="preserve">que </w:t>
      </w:r>
      <w:r w:rsidR="00EA5ED9">
        <w:rPr>
          <w:rFonts w:eastAsia="Batang"/>
          <w:kern w:val="22"/>
          <w:lang w:val="fr-CA" w:eastAsia="ko-KR"/>
        </w:rPr>
        <w:t>la</w:t>
      </w:r>
      <w:r w:rsidR="008033C2">
        <w:rPr>
          <w:rFonts w:eastAsia="Batang"/>
          <w:kern w:val="22"/>
          <w:lang w:val="fr-CA" w:eastAsia="ko-KR"/>
        </w:rPr>
        <w:t xml:space="preserve"> combinaison de</w:t>
      </w:r>
      <w:r w:rsidR="00EA5ED9">
        <w:rPr>
          <w:rFonts w:eastAsia="Batang"/>
          <w:kern w:val="22"/>
          <w:lang w:val="fr-CA" w:eastAsia="ko-KR"/>
        </w:rPr>
        <w:t>s</w:t>
      </w:r>
      <w:r w:rsidR="008033C2">
        <w:rPr>
          <w:rFonts w:eastAsia="Batang"/>
          <w:kern w:val="22"/>
          <w:lang w:val="fr-CA" w:eastAsia="ko-KR"/>
        </w:rPr>
        <w:t xml:space="preserve"> méthodes qualitatives et quantitatives </w:t>
      </w:r>
      <w:r w:rsidR="00E46B3D">
        <w:rPr>
          <w:rFonts w:eastAsia="Batang"/>
          <w:kern w:val="22"/>
          <w:lang w:val="fr-CA" w:eastAsia="ko-KR"/>
        </w:rPr>
        <w:t xml:space="preserve">offre une meilleure compréhension des problèmes liés à la recherche que </w:t>
      </w:r>
      <w:r w:rsidR="00EA5ED9">
        <w:rPr>
          <w:rFonts w:eastAsia="Batang"/>
          <w:kern w:val="22"/>
          <w:lang w:val="fr-CA" w:eastAsia="ko-KR"/>
        </w:rPr>
        <w:t>ne le fait individuellement l’une ou l’autre méthode</w:t>
      </w:r>
      <w:r w:rsidR="000657F1" w:rsidRPr="008033C2">
        <w:rPr>
          <w:rFonts w:eastAsia="Batang"/>
          <w:kern w:val="22"/>
          <w:szCs w:val="22"/>
          <w:lang w:val="fr-CA" w:eastAsia="ko-KR"/>
        </w:rPr>
        <w:t>.</w:t>
      </w:r>
      <w:r w:rsidR="005640E8" w:rsidRPr="00131775">
        <w:rPr>
          <w:rStyle w:val="FootnoteReference"/>
          <w:rFonts w:eastAsia="Batang"/>
          <w:kern w:val="22"/>
          <w:szCs w:val="22"/>
          <w:lang w:val="fr-CA" w:eastAsia="ko-KR"/>
        </w:rPr>
        <w:footnoteReference w:id="35"/>
      </w:r>
      <w:r w:rsidR="00465FE9" w:rsidRPr="008033C2">
        <w:rPr>
          <w:rFonts w:eastAsia="Batang"/>
          <w:kern w:val="22"/>
          <w:szCs w:val="22"/>
          <w:lang w:val="fr-CA" w:eastAsia="ko-KR"/>
        </w:rPr>
        <w:t xml:space="preserve"> </w:t>
      </w:r>
      <w:r w:rsidR="00E46B3D" w:rsidRPr="00E46B3D">
        <w:rPr>
          <w:rFonts w:eastAsia="Batang"/>
          <w:kern w:val="22"/>
          <w:szCs w:val="22"/>
          <w:lang w:val="fr-CA" w:eastAsia="ko-KR"/>
        </w:rPr>
        <w:t xml:space="preserve">Ce concept a été mis en </w:t>
      </w:r>
      <w:r w:rsidR="002D568E">
        <w:rPr>
          <w:rFonts w:eastAsia="Batang"/>
          <w:kern w:val="22"/>
          <w:szCs w:val="22"/>
          <w:lang w:val="fr-CA" w:eastAsia="ko-KR"/>
        </w:rPr>
        <w:t>é</w:t>
      </w:r>
      <w:r w:rsidR="00E46B3D" w:rsidRPr="00E46B3D">
        <w:rPr>
          <w:rFonts w:eastAsia="Batang"/>
          <w:kern w:val="22"/>
          <w:szCs w:val="22"/>
          <w:lang w:val="fr-CA" w:eastAsia="ko-KR"/>
        </w:rPr>
        <w:t xml:space="preserve">vidence dans plusieurs approches, telles que </w:t>
      </w:r>
      <w:r w:rsidR="002D568E">
        <w:rPr>
          <w:rFonts w:eastAsia="Batang"/>
          <w:kern w:val="22"/>
          <w:szCs w:val="22"/>
          <w:lang w:val="fr-CA" w:eastAsia="ko-KR"/>
        </w:rPr>
        <w:t xml:space="preserve">l’approche fondée sur des preuves multiples et </w:t>
      </w:r>
      <w:r w:rsidR="00D31163">
        <w:rPr>
          <w:rFonts w:eastAsia="Batang"/>
          <w:kern w:val="22"/>
          <w:szCs w:val="22"/>
          <w:lang w:val="fr-CA" w:eastAsia="ko-KR"/>
        </w:rPr>
        <w:t>s’applique</w:t>
      </w:r>
      <w:r w:rsidR="002D568E">
        <w:rPr>
          <w:rFonts w:eastAsia="Batang"/>
          <w:kern w:val="22"/>
          <w:szCs w:val="22"/>
          <w:lang w:val="fr-CA" w:eastAsia="ko-KR"/>
        </w:rPr>
        <w:t xml:space="preserve"> parfaitement aux </w:t>
      </w:r>
      <w:r w:rsidR="00EA5ED9">
        <w:rPr>
          <w:rFonts w:eastAsia="Batang"/>
          <w:kern w:val="22"/>
          <w:szCs w:val="22"/>
          <w:lang w:val="fr-CA" w:eastAsia="ko-KR"/>
        </w:rPr>
        <w:t xml:space="preserve">principes </w:t>
      </w:r>
      <w:r w:rsidR="002D568E">
        <w:rPr>
          <w:rFonts w:eastAsia="Batang"/>
          <w:kern w:val="22"/>
          <w:szCs w:val="22"/>
          <w:lang w:val="fr-CA" w:eastAsia="ko-KR"/>
        </w:rPr>
        <w:t>directeurs</w:t>
      </w:r>
      <w:r w:rsidR="00B53884" w:rsidRPr="00E46B3D">
        <w:rPr>
          <w:rFonts w:eastAsia="Batang"/>
          <w:kern w:val="22"/>
          <w:szCs w:val="22"/>
          <w:lang w:val="fr-CA" w:eastAsia="ko-KR"/>
        </w:rPr>
        <w:t>.</w:t>
      </w:r>
    </w:p>
    <w:p w:rsidR="00D86BA9" w:rsidRPr="002D568E" w:rsidRDefault="00D31163" w:rsidP="00AD463C">
      <w:pPr>
        <w:pStyle w:val="Para1"/>
        <w:tabs>
          <w:tab w:val="clear" w:pos="360"/>
        </w:tabs>
        <w:rPr>
          <w:rFonts w:eastAsia="Batang"/>
          <w:kern w:val="22"/>
          <w:szCs w:val="22"/>
          <w:lang w:val="fr-CA" w:eastAsia="ko-KR"/>
        </w:rPr>
      </w:pPr>
      <w:r>
        <w:rPr>
          <w:rFonts w:eastAsia="Batang"/>
          <w:kern w:val="22"/>
          <w:szCs w:val="22"/>
          <w:lang w:val="fr-CA" w:eastAsia="ko-KR"/>
        </w:rPr>
        <w:t>L’évaluation</w:t>
      </w:r>
      <w:r w:rsidR="002D568E" w:rsidRPr="002D568E">
        <w:rPr>
          <w:rFonts w:eastAsia="Batang"/>
          <w:kern w:val="22"/>
          <w:szCs w:val="22"/>
          <w:lang w:val="fr-CA" w:eastAsia="ko-KR"/>
        </w:rPr>
        <w:t xml:space="preserve"> </w:t>
      </w:r>
      <w:r>
        <w:rPr>
          <w:rFonts w:eastAsia="Batang"/>
          <w:kern w:val="22"/>
          <w:szCs w:val="22"/>
          <w:lang w:val="fr-CA" w:eastAsia="ko-KR"/>
        </w:rPr>
        <w:t>des</w:t>
      </w:r>
      <w:r w:rsidR="002D568E" w:rsidRPr="002D568E">
        <w:rPr>
          <w:rFonts w:eastAsia="Batang"/>
          <w:kern w:val="22"/>
          <w:szCs w:val="22"/>
          <w:lang w:val="fr-CA" w:eastAsia="ko-KR"/>
        </w:rPr>
        <w:t xml:space="preserve"> aires </w:t>
      </w:r>
      <w:r>
        <w:rPr>
          <w:rFonts w:eastAsia="Batang"/>
          <w:kern w:val="22"/>
          <w:szCs w:val="22"/>
          <w:lang w:val="fr-CA" w:eastAsia="ko-KR"/>
        </w:rPr>
        <w:t>est</w:t>
      </w:r>
      <w:r w:rsidR="002D568E" w:rsidRPr="002D568E">
        <w:rPr>
          <w:rFonts w:eastAsia="Batang"/>
          <w:kern w:val="22"/>
          <w:szCs w:val="22"/>
          <w:lang w:val="fr-CA" w:eastAsia="ko-KR"/>
        </w:rPr>
        <w:t xml:space="preserve"> un type d’évaluation pr</w:t>
      </w:r>
      <w:r w:rsidR="002D568E">
        <w:rPr>
          <w:rFonts w:eastAsia="Batang"/>
          <w:kern w:val="22"/>
          <w:szCs w:val="22"/>
          <w:lang w:val="fr-CA" w:eastAsia="ko-KR"/>
        </w:rPr>
        <w:t xml:space="preserve">édominant car les mesures collectives des peuples autochtones et des communautés locales se déroulent sur leurs terres et dans leurs eaux, et partout où se </w:t>
      </w:r>
      <w:r>
        <w:rPr>
          <w:rFonts w:eastAsia="Batang"/>
          <w:kern w:val="22"/>
          <w:szCs w:val="22"/>
          <w:lang w:val="fr-CA" w:eastAsia="ko-KR"/>
        </w:rPr>
        <w:t>trouvent</w:t>
      </w:r>
      <w:r w:rsidR="002D568E">
        <w:rPr>
          <w:rFonts w:eastAsia="Batang"/>
          <w:kern w:val="22"/>
          <w:szCs w:val="22"/>
          <w:lang w:val="fr-CA" w:eastAsia="ko-KR"/>
        </w:rPr>
        <w:t xml:space="preserve"> les ressources. </w:t>
      </w:r>
      <w:r w:rsidR="002D568E" w:rsidRPr="002D568E">
        <w:rPr>
          <w:rFonts w:eastAsia="Batang"/>
          <w:kern w:val="22"/>
          <w:szCs w:val="22"/>
          <w:lang w:val="fr-CA" w:eastAsia="ko-KR"/>
        </w:rPr>
        <w:t xml:space="preserve">Par contre, certaines parties ou </w:t>
      </w:r>
      <w:r w:rsidR="00AF156D">
        <w:rPr>
          <w:rFonts w:eastAsia="Batang"/>
          <w:kern w:val="22"/>
          <w:szCs w:val="22"/>
          <w:lang w:val="fr-CA" w:eastAsia="ko-KR"/>
        </w:rPr>
        <w:t xml:space="preserve">parties représentatives des </w:t>
      </w:r>
      <w:r w:rsidR="008E56DF">
        <w:rPr>
          <w:rFonts w:eastAsia="Batang"/>
          <w:kern w:val="22"/>
          <w:szCs w:val="22"/>
          <w:lang w:val="fr-CA" w:eastAsia="ko-KR"/>
        </w:rPr>
        <w:t xml:space="preserve">évaluations peuvent cibler l’incidence des espèces ou </w:t>
      </w:r>
      <w:r>
        <w:rPr>
          <w:rFonts w:eastAsia="Batang"/>
          <w:kern w:val="22"/>
          <w:szCs w:val="22"/>
          <w:lang w:val="fr-CA" w:eastAsia="ko-KR"/>
        </w:rPr>
        <w:t>d’</w:t>
      </w:r>
      <w:r w:rsidR="008E56DF">
        <w:rPr>
          <w:rFonts w:eastAsia="Batang"/>
          <w:kern w:val="22"/>
          <w:szCs w:val="22"/>
          <w:lang w:val="fr-CA" w:eastAsia="ko-KR"/>
        </w:rPr>
        <w:t>autres aspects de</w:t>
      </w:r>
      <w:r w:rsidR="00BE3A11">
        <w:rPr>
          <w:rFonts w:eastAsia="Batang"/>
          <w:kern w:val="22"/>
          <w:szCs w:val="22"/>
          <w:lang w:val="fr-CA" w:eastAsia="ko-KR"/>
        </w:rPr>
        <w:t xml:space="preserve"> </w:t>
      </w:r>
      <w:r w:rsidR="008E56DF">
        <w:rPr>
          <w:rFonts w:eastAsia="Batang"/>
          <w:kern w:val="22"/>
          <w:szCs w:val="22"/>
          <w:lang w:val="fr-CA" w:eastAsia="ko-KR"/>
        </w:rPr>
        <w:t>la dive</w:t>
      </w:r>
      <w:r w:rsidR="00BE3A11">
        <w:rPr>
          <w:rFonts w:eastAsia="Batang"/>
          <w:kern w:val="22"/>
          <w:szCs w:val="22"/>
          <w:lang w:val="fr-CA" w:eastAsia="ko-KR"/>
        </w:rPr>
        <w:t>r</w:t>
      </w:r>
      <w:r w:rsidR="008E56DF">
        <w:rPr>
          <w:rFonts w:eastAsia="Batang"/>
          <w:kern w:val="22"/>
          <w:szCs w:val="22"/>
          <w:lang w:val="fr-CA" w:eastAsia="ko-KR"/>
        </w:rPr>
        <w:t>sité biologique dans tous les habitats. L’utilisation de différentes formes d’analyse</w:t>
      </w:r>
      <w:r w:rsidR="00BE3A11">
        <w:rPr>
          <w:rFonts w:eastAsia="Batang"/>
          <w:kern w:val="22"/>
          <w:szCs w:val="22"/>
          <w:lang w:val="fr-CA" w:eastAsia="ko-KR"/>
        </w:rPr>
        <w:t xml:space="preserve"> géospatiale dans </w:t>
      </w:r>
      <w:r>
        <w:rPr>
          <w:rFonts w:eastAsia="Batang"/>
          <w:kern w:val="22"/>
          <w:szCs w:val="22"/>
          <w:lang w:val="fr-CA" w:eastAsia="ko-KR"/>
        </w:rPr>
        <w:t>l’évaluation</w:t>
      </w:r>
      <w:r w:rsidR="00BE3A11">
        <w:rPr>
          <w:rFonts w:eastAsia="Batang"/>
          <w:kern w:val="22"/>
          <w:szCs w:val="22"/>
          <w:lang w:val="fr-CA" w:eastAsia="ko-KR"/>
        </w:rPr>
        <w:t xml:space="preserve"> des</w:t>
      </w:r>
      <w:r w:rsidR="008E56DF">
        <w:rPr>
          <w:rFonts w:eastAsia="Batang"/>
          <w:kern w:val="22"/>
          <w:szCs w:val="22"/>
          <w:lang w:val="fr-CA" w:eastAsia="ko-KR"/>
        </w:rPr>
        <w:t xml:space="preserve"> aires (terrestre</w:t>
      </w:r>
      <w:r w:rsidR="00BE3A11">
        <w:rPr>
          <w:rFonts w:eastAsia="Batang"/>
          <w:kern w:val="22"/>
          <w:szCs w:val="22"/>
          <w:lang w:val="fr-CA" w:eastAsia="ko-KR"/>
        </w:rPr>
        <w:t>s</w:t>
      </w:r>
      <w:r w:rsidR="008E56DF">
        <w:rPr>
          <w:rFonts w:eastAsia="Batang"/>
          <w:kern w:val="22"/>
          <w:szCs w:val="22"/>
          <w:lang w:val="fr-CA" w:eastAsia="ko-KR"/>
        </w:rPr>
        <w:t xml:space="preserve"> ou marines) est devenu</w:t>
      </w:r>
      <w:r>
        <w:rPr>
          <w:rFonts w:eastAsia="Batang"/>
          <w:kern w:val="22"/>
          <w:szCs w:val="22"/>
          <w:lang w:val="fr-CA" w:eastAsia="ko-KR"/>
        </w:rPr>
        <w:t>e</w:t>
      </w:r>
      <w:r w:rsidR="008E56DF">
        <w:rPr>
          <w:rFonts w:eastAsia="Batang"/>
          <w:kern w:val="22"/>
          <w:szCs w:val="22"/>
          <w:lang w:val="fr-CA" w:eastAsia="ko-KR"/>
        </w:rPr>
        <w:t xml:space="preserve"> un ingrédient </w:t>
      </w:r>
      <w:r w:rsidR="00BE3A11">
        <w:rPr>
          <w:rFonts w:eastAsia="Batang"/>
          <w:kern w:val="22"/>
          <w:szCs w:val="22"/>
          <w:lang w:val="fr-CA" w:eastAsia="ko-KR"/>
        </w:rPr>
        <w:t>fondamental</w:t>
      </w:r>
      <w:r w:rsidR="008E56DF">
        <w:rPr>
          <w:rFonts w:eastAsia="Batang"/>
          <w:kern w:val="22"/>
          <w:szCs w:val="22"/>
          <w:lang w:val="fr-CA" w:eastAsia="ko-KR"/>
        </w:rPr>
        <w:t xml:space="preserve"> et devrait continuer à être encouragé</w:t>
      </w:r>
      <w:r>
        <w:rPr>
          <w:rFonts w:eastAsia="Batang"/>
          <w:kern w:val="22"/>
          <w:szCs w:val="22"/>
          <w:lang w:val="fr-CA" w:eastAsia="ko-KR"/>
        </w:rPr>
        <w:t>e</w:t>
      </w:r>
      <w:r w:rsidR="008E56DF">
        <w:rPr>
          <w:rFonts w:eastAsia="Batang"/>
          <w:kern w:val="22"/>
          <w:szCs w:val="22"/>
          <w:lang w:val="fr-CA" w:eastAsia="ko-KR"/>
        </w:rPr>
        <w:t xml:space="preserve"> lorsque </w:t>
      </w:r>
      <w:r w:rsidR="00BE3A11">
        <w:rPr>
          <w:rFonts w:eastAsia="Batang"/>
          <w:kern w:val="22"/>
          <w:szCs w:val="22"/>
          <w:lang w:val="fr-CA" w:eastAsia="ko-KR"/>
        </w:rPr>
        <w:t>les communautés reconna</w:t>
      </w:r>
      <w:r>
        <w:rPr>
          <w:rFonts w:eastAsia="Batang"/>
          <w:kern w:val="22"/>
          <w:szCs w:val="22"/>
          <w:lang w:val="fr-CA" w:eastAsia="ko-KR"/>
        </w:rPr>
        <w:t>issent leur utilit</w:t>
      </w:r>
      <w:r w:rsidR="008E56DF">
        <w:rPr>
          <w:rFonts w:eastAsia="Batang"/>
          <w:kern w:val="22"/>
          <w:szCs w:val="22"/>
          <w:lang w:val="fr-CA" w:eastAsia="ko-KR"/>
        </w:rPr>
        <w:t xml:space="preserve">é pour des résultats satisfaisants, et la diversité croissante des techniques doit être mise à la disposition des communautés. </w:t>
      </w:r>
      <w:r w:rsidR="00BE3A11">
        <w:rPr>
          <w:rFonts w:eastAsia="Batang"/>
          <w:kern w:val="22"/>
          <w:szCs w:val="22"/>
          <w:lang w:val="fr-CA" w:eastAsia="ko-KR"/>
        </w:rPr>
        <w:t xml:space="preserve">Les excellents exemples présentés dans les expériences étudiées démontrent la valeur de tels outils et l’enrichissement qu’ils </w:t>
      </w:r>
      <w:r>
        <w:rPr>
          <w:rFonts w:eastAsia="Batang"/>
          <w:kern w:val="22"/>
          <w:szCs w:val="22"/>
          <w:lang w:val="fr-CA" w:eastAsia="ko-KR"/>
        </w:rPr>
        <w:t>procurent</w:t>
      </w:r>
      <w:r w:rsidR="00BE3A11">
        <w:rPr>
          <w:rFonts w:eastAsia="Batang"/>
          <w:kern w:val="22"/>
          <w:szCs w:val="22"/>
          <w:lang w:val="fr-CA" w:eastAsia="ko-KR"/>
        </w:rPr>
        <w:t xml:space="preserve"> lorsqu’on intègre les connaissances traditionnelles et les techniques d’analyse géospatiale.</w:t>
      </w:r>
    </w:p>
    <w:p w:rsidR="00F9355F" w:rsidRPr="00131775" w:rsidRDefault="004368BB" w:rsidP="00944863">
      <w:pPr>
        <w:pStyle w:val="Para1"/>
        <w:tabs>
          <w:tab w:val="clear" w:pos="360"/>
        </w:tabs>
        <w:rPr>
          <w:rFonts w:eastAsia="Batang"/>
          <w:kern w:val="22"/>
          <w:szCs w:val="22"/>
          <w:lang w:val="fr-CA" w:eastAsia="ko-KR"/>
        </w:rPr>
      </w:pPr>
      <w:r w:rsidRPr="004368BB">
        <w:rPr>
          <w:rFonts w:eastAsia="Batang"/>
          <w:kern w:val="22"/>
          <w:szCs w:val="22"/>
          <w:lang w:val="fr-CA" w:eastAsia="ko-KR"/>
        </w:rPr>
        <w:t xml:space="preserve">Le développement d’une série </w:t>
      </w:r>
      <w:r w:rsidR="008A2F70">
        <w:rPr>
          <w:rFonts w:eastAsia="Batang"/>
          <w:kern w:val="22"/>
          <w:szCs w:val="22"/>
          <w:lang w:val="fr-CA" w:eastAsia="ko-KR"/>
        </w:rPr>
        <w:t>d’</w:t>
      </w:r>
      <w:r w:rsidRPr="004368BB">
        <w:rPr>
          <w:rFonts w:eastAsia="Batang"/>
          <w:kern w:val="22"/>
          <w:szCs w:val="22"/>
          <w:lang w:val="fr-CA" w:eastAsia="ko-KR"/>
        </w:rPr>
        <w:t xml:space="preserve">indicateurs et </w:t>
      </w:r>
      <w:r w:rsidR="008A2F70">
        <w:rPr>
          <w:rFonts w:eastAsia="Batang"/>
          <w:kern w:val="22"/>
          <w:szCs w:val="22"/>
          <w:lang w:val="fr-CA" w:eastAsia="ko-KR"/>
        </w:rPr>
        <w:t xml:space="preserve">de </w:t>
      </w:r>
      <w:r w:rsidRPr="004368BB">
        <w:rPr>
          <w:rFonts w:eastAsia="Batang"/>
          <w:kern w:val="22"/>
          <w:szCs w:val="22"/>
          <w:lang w:val="fr-CA" w:eastAsia="ko-KR"/>
        </w:rPr>
        <w:t>paramètres</w:t>
      </w:r>
      <w:r w:rsidR="008A2F70">
        <w:rPr>
          <w:rFonts w:eastAsia="Batang"/>
          <w:kern w:val="22"/>
          <w:szCs w:val="22"/>
          <w:lang w:val="fr-CA" w:eastAsia="ko-KR"/>
        </w:rPr>
        <w:t xml:space="preserve"> solides</w:t>
      </w:r>
      <w:r w:rsidRPr="004368BB">
        <w:rPr>
          <w:rFonts w:eastAsia="Batang"/>
          <w:kern w:val="22"/>
          <w:szCs w:val="22"/>
          <w:lang w:val="fr-CA" w:eastAsia="ko-KR"/>
        </w:rPr>
        <w:t xml:space="preserve"> est </w:t>
      </w:r>
      <w:r w:rsidR="00017D0C">
        <w:rPr>
          <w:rFonts w:eastAsia="Batang"/>
          <w:kern w:val="22"/>
          <w:szCs w:val="22"/>
          <w:lang w:val="fr-CA" w:eastAsia="ko-KR"/>
        </w:rPr>
        <w:t>essentie</w:t>
      </w:r>
      <w:r w:rsidRPr="004368BB">
        <w:rPr>
          <w:rFonts w:eastAsia="Batang"/>
          <w:kern w:val="22"/>
          <w:szCs w:val="22"/>
          <w:lang w:val="fr-CA" w:eastAsia="ko-KR"/>
        </w:rPr>
        <w:t xml:space="preserve">l </w:t>
      </w:r>
      <w:r>
        <w:rPr>
          <w:rFonts w:eastAsia="Batang"/>
          <w:kern w:val="22"/>
          <w:szCs w:val="22"/>
          <w:lang w:val="fr-CA" w:eastAsia="ko-KR"/>
        </w:rPr>
        <w:t>à l’évaluation des mesures collectives</w:t>
      </w:r>
      <w:r w:rsidR="00F9355F" w:rsidRPr="00131775">
        <w:rPr>
          <w:rFonts w:eastAsia="Batang"/>
          <w:kern w:val="22"/>
          <w:szCs w:val="22"/>
          <w:lang w:val="fr-CA" w:eastAsia="ko-KR"/>
        </w:rPr>
        <w:t>.</w:t>
      </w:r>
      <w:r>
        <w:rPr>
          <w:rFonts w:eastAsia="Batang"/>
          <w:kern w:val="22"/>
          <w:szCs w:val="22"/>
          <w:lang w:val="fr-CA" w:eastAsia="ko-KR"/>
        </w:rPr>
        <w:t xml:space="preserve"> Réitérons q</w:t>
      </w:r>
      <w:r w:rsidR="00017D0C">
        <w:rPr>
          <w:rFonts w:eastAsia="Batang"/>
          <w:kern w:val="22"/>
          <w:szCs w:val="22"/>
          <w:lang w:val="fr-CA" w:eastAsia="ko-KR"/>
        </w:rPr>
        <w:t>ue dans ce domaine, l’utilisation</w:t>
      </w:r>
      <w:r>
        <w:rPr>
          <w:rFonts w:eastAsia="Batang"/>
          <w:kern w:val="22"/>
          <w:szCs w:val="22"/>
          <w:lang w:val="fr-CA" w:eastAsia="ko-KR"/>
        </w:rPr>
        <w:t xml:space="preserve"> d’indicateurs qualitatifs et quantitatifs,</w:t>
      </w:r>
      <w:r w:rsidR="00017D0C">
        <w:rPr>
          <w:rFonts w:eastAsia="Batang"/>
          <w:kern w:val="22"/>
          <w:szCs w:val="22"/>
          <w:lang w:val="fr-CA" w:eastAsia="ko-KR"/>
        </w:rPr>
        <w:t xml:space="preserve"> de processus et de résultats, s</w:t>
      </w:r>
      <w:r>
        <w:rPr>
          <w:rFonts w:eastAsia="Batang"/>
          <w:kern w:val="22"/>
          <w:szCs w:val="22"/>
          <w:lang w:val="fr-CA" w:eastAsia="ko-KR"/>
        </w:rPr>
        <w:t>imples et globaux</w:t>
      </w:r>
      <w:r w:rsidR="004440D5">
        <w:rPr>
          <w:rFonts w:eastAsia="Batang"/>
          <w:kern w:val="22"/>
          <w:szCs w:val="22"/>
          <w:lang w:val="fr-CA" w:eastAsia="ko-KR"/>
        </w:rPr>
        <w:t xml:space="preserve"> est nécessaire pour les mêmes raisons que la pluralité des méthodes abordée précédemment. </w:t>
      </w:r>
      <w:r w:rsidR="008A2F70">
        <w:rPr>
          <w:rFonts w:eastAsia="Batang"/>
          <w:kern w:val="22"/>
          <w:szCs w:val="22"/>
          <w:lang w:val="fr-CA" w:eastAsia="ko-KR"/>
        </w:rPr>
        <w:t>Il est également important</w:t>
      </w:r>
      <w:r w:rsidR="004440D5">
        <w:rPr>
          <w:rFonts w:eastAsia="Batang"/>
          <w:kern w:val="22"/>
          <w:szCs w:val="22"/>
          <w:lang w:val="fr-CA" w:eastAsia="ko-KR"/>
        </w:rPr>
        <w:t xml:space="preserve"> de noter que l’utilisation d’indicateurs conséquents au fil du temps favorise les comparaisons temporelles et </w:t>
      </w:r>
      <w:r w:rsidR="00AD0405">
        <w:rPr>
          <w:rFonts w:eastAsia="Batang"/>
          <w:kern w:val="22"/>
          <w:szCs w:val="22"/>
          <w:lang w:val="fr-CA" w:eastAsia="ko-KR"/>
        </w:rPr>
        <w:t>que l’établissement d’une</w:t>
      </w:r>
      <w:r w:rsidR="004440D5">
        <w:rPr>
          <w:rFonts w:eastAsia="Batang"/>
          <w:kern w:val="22"/>
          <w:szCs w:val="22"/>
          <w:lang w:val="fr-CA" w:eastAsia="ko-KR"/>
        </w:rPr>
        <w:t xml:space="preserve"> valeur de référence permet d’effectuer une meilleure évaluation d</w:t>
      </w:r>
      <w:r w:rsidR="00AD0405">
        <w:rPr>
          <w:rFonts w:eastAsia="Batang"/>
          <w:kern w:val="22"/>
          <w:szCs w:val="22"/>
          <w:lang w:val="fr-CA" w:eastAsia="ko-KR"/>
        </w:rPr>
        <w:t>es changements et des tendances.</w:t>
      </w:r>
      <w:r w:rsidR="004440D5">
        <w:rPr>
          <w:rFonts w:eastAsia="Batang"/>
          <w:kern w:val="22"/>
          <w:szCs w:val="22"/>
          <w:lang w:val="fr-CA" w:eastAsia="ko-KR"/>
        </w:rPr>
        <w:t xml:space="preserve"> De plus, le développement d’indicateurs</w:t>
      </w:r>
      <w:r>
        <w:rPr>
          <w:rFonts w:eastAsia="Batang"/>
          <w:kern w:val="22"/>
          <w:szCs w:val="22"/>
          <w:lang w:val="fr-CA" w:eastAsia="ko-KR"/>
        </w:rPr>
        <w:t xml:space="preserve"> reposant sur la culture</w:t>
      </w:r>
      <w:r w:rsidR="004440D5">
        <w:rPr>
          <w:rFonts w:eastAsia="Batang"/>
          <w:kern w:val="22"/>
          <w:szCs w:val="22"/>
          <w:lang w:val="fr-CA" w:eastAsia="ko-KR"/>
        </w:rPr>
        <w:t xml:space="preserve"> </w:t>
      </w:r>
      <w:r>
        <w:rPr>
          <w:rFonts w:eastAsia="Batang"/>
          <w:kern w:val="22"/>
          <w:szCs w:val="22"/>
          <w:lang w:val="fr-CA" w:eastAsia="ko-KR"/>
        </w:rPr>
        <w:t xml:space="preserve">et harmonisés aux systèmes de valeurs des communautés et </w:t>
      </w:r>
      <w:r w:rsidR="00906D89">
        <w:rPr>
          <w:rFonts w:eastAsia="Batang"/>
          <w:kern w:val="22"/>
          <w:szCs w:val="22"/>
          <w:lang w:val="fr-CA" w:eastAsia="ko-KR"/>
        </w:rPr>
        <w:t>aux</w:t>
      </w:r>
      <w:r>
        <w:rPr>
          <w:rFonts w:eastAsia="Batang"/>
          <w:kern w:val="22"/>
          <w:szCs w:val="22"/>
          <w:lang w:val="fr-CA" w:eastAsia="ko-KR"/>
        </w:rPr>
        <w:t xml:space="preserve"> particularités du contexte doit être combiné à l’utilisation des indicateurs de la conservation et de l’utilisation durable </w:t>
      </w:r>
      <w:r w:rsidR="00A2757D">
        <w:rPr>
          <w:rFonts w:eastAsia="Batang"/>
          <w:kern w:val="22"/>
          <w:szCs w:val="22"/>
          <w:lang w:val="fr-CA" w:eastAsia="ko-KR"/>
        </w:rPr>
        <w:t>qu</w:t>
      </w:r>
      <w:r>
        <w:rPr>
          <w:rFonts w:eastAsia="Batang"/>
          <w:kern w:val="22"/>
          <w:szCs w:val="22"/>
          <w:lang w:val="fr-CA" w:eastAsia="ko-KR"/>
        </w:rPr>
        <w:t xml:space="preserve">i favorisent la comparaison </w:t>
      </w:r>
      <w:r w:rsidR="00906D89">
        <w:rPr>
          <w:rFonts w:eastAsia="Batang"/>
          <w:kern w:val="22"/>
          <w:szCs w:val="22"/>
          <w:lang w:val="fr-CA" w:eastAsia="ko-KR"/>
        </w:rPr>
        <w:t>entre les</w:t>
      </w:r>
      <w:r>
        <w:rPr>
          <w:rFonts w:eastAsia="Batang"/>
          <w:kern w:val="22"/>
          <w:szCs w:val="22"/>
          <w:lang w:val="fr-CA" w:eastAsia="ko-KR"/>
        </w:rPr>
        <w:t xml:space="preserve"> écosystème</w:t>
      </w:r>
      <w:r w:rsidR="00906D89">
        <w:rPr>
          <w:rFonts w:eastAsia="Batang"/>
          <w:kern w:val="22"/>
          <w:szCs w:val="22"/>
          <w:lang w:val="fr-CA" w:eastAsia="ko-KR"/>
        </w:rPr>
        <w:t>s</w:t>
      </w:r>
      <w:r>
        <w:rPr>
          <w:rFonts w:eastAsia="Batang"/>
          <w:kern w:val="22"/>
          <w:szCs w:val="22"/>
          <w:lang w:val="fr-CA" w:eastAsia="ko-KR"/>
        </w:rPr>
        <w:t xml:space="preserve"> et </w:t>
      </w:r>
      <w:r w:rsidR="00906D89">
        <w:rPr>
          <w:rFonts w:eastAsia="Batang"/>
          <w:kern w:val="22"/>
          <w:szCs w:val="22"/>
          <w:lang w:val="fr-CA" w:eastAsia="ko-KR"/>
        </w:rPr>
        <w:t>les</w:t>
      </w:r>
      <w:r>
        <w:rPr>
          <w:rFonts w:eastAsia="Batang"/>
          <w:kern w:val="22"/>
          <w:szCs w:val="22"/>
          <w:lang w:val="fr-CA" w:eastAsia="ko-KR"/>
        </w:rPr>
        <w:t xml:space="preserve"> géographie</w:t>
      </w:r>
      <w:r w:rsidR="00906D89">
        <w:rPr>
          <w:rFonts w:eastAsia="Batang"/>
          <w:kern w:val="22"/>
          <w:szCs w:val="22"/>
          <w:lang w:val="fr-CA" w:eastAsia="ko-KR"/>
        </w:rPr>
        <w:t>s</w:t>
      </w:r>
      <w:r>
        <w:rPr>
          <w:rFonts w:eastAsia="Batang"/>
          <w:kern w:val="22"/>
          <w:szCs w:val="22"/>
          <w:lang w:val="fr-CA" w:eastAsia="ko-KR"/>
        </w:rPr>
        <w:t>. Il y a eu d’excellents développements dans ce domaine</w:t>
      </w:r>
      <w:r w:rsidR="00017D0C">
        <w:rPr>
          <w:rFonts w:eastAsia="Batang"/>
          <w:kern w:val="22"/>
          <w:szCs w:val="22"/>
          <w:lang w:val="fr-CA" w:eastAsia="ko-KR"/>
        </w:rPr>
        <w:t>, dont les projets de développement d’indicateurs des peuples autochtones et des communautés locales, mais d’importantes lacunes persistent, comme en témoignent les nombreuses expériences analysées.</w:t>
      </w:r>
    </w:p>
    <w:p w:rsidR="00310E00" w:rsidRPr="00906D89" w:rsidRDefault="00A2757D" w:rsidP="006A720D">
      <w:pPr>
        <w:pStyle w:val="Para1"/>
        <w:tabs>
          <w:tab w:val="clear" w:pos="360"/>
        </w:tabs>
        <w:rPr>
          <w:rFonts w:eastAsia="Batang"/>
          <w:kern w:val="22"/>
          <w:szCs w:val="22"/>
          <w:lang w:val="fr-CA" w:eastAsia="ko-KR"/>
        </w:rPr>
      </w:pPr>
      <w:r>
        <w:rPr>
          <w:rFonts w:eastAsia="Batang"/>
          <w:kern w:val="22"/>
          <w:szCs w:val="22"/>
          <w:lang w:val="fr-CA" w:eastAsia="ko-KR"/>
        </w:rPr>
        <w:t xml:space="preserve">L’évaluation des contributions des mesures collectives doit mettre l’accent sur l’état et les tendances des changements et non seulement sur des situations ponctuelles </w:t>
      </w:r>
      <w:r w:rsidR="00D13C90">
        <w:rPr>
          <w:rFonts w:eastAsia="Batang"/>
          <w:kern w:val="22"/>
          <w:szCs w:val="22"/>
          <w:lang w:val="fr-CA" w:eastAsia="ko-KR"/>
        </w:rPr>
        <w:t xml:space="preserve">précises </w:t>
      </w:r>
      <w:r>
        <w:rPr>
          <w:rFonts w:eastAsia="Batang"/>
          <w:kern w:val="22"/>
          <w:szCs w:val="22"/>
          <w:lang w:val="fr-CA" w:eastAsia="ko-KR"/>
        </w:rPr>
        <w:t xml:space="preserve">des écosystèmes et de la diversité </w:t>
      </w:r>
      <w:r w:rsidR="00D77E3B">
        <w:rPr>
          <w:rFonts w:eastAsia="Batang"/>
          <w:kern w:val="22"/>
          <w:szCs w:val="22"/>
          <w:lang w:val="fr-CA" w:eastAsia="ko-KR"/>
        </w:rPr>
        <w:t>biologique</w:t>
      </w:r>
      <w:r>
        <w:rPr>
          <w:rFonts w:eastAsia="Batang"/>
          <w:kern w:val="22"/>
          <w:szCs w:val="22"/>
          <w:lang w:val="fr-CA" w:eastAsia="ko-KR"/>
        </w:rPr>
        <w:t xml:space="preserve"> gérés par les peup</w:t>
      </w:r>
      <w:r w:rsidR="00D77E3B">
        <w:rPr>
          <w:rFonts w:eastAsia="Batang"/>
          <w:kern w:val="22"/>
          <w:szCs w:val="22"/>
          <w:lang w:val="fr-CA" w:eastAsia="ko-KR"/>
        </w:rPr>
        <w:t>l</w:t>
      </w:r>
      <w:r>
        <w:rPr>
          <w:rFonts w:eastAsia="Batang"/>
          <w:kern w:val="22"/>
          <w:szCs w:val="22"/>
          <w:lang w:val="fr-CA" w:eastAsia="ko-KR"/>
        </w:rPr>
        <w:t>es aut</w:t>
      </w:r>
      <w:r w:rsidR="00D77E3B">
        <w:rPr>
          <w:rFonts w:eastAsia="Batang"/>
          <w:kern w:val="22"/>
          <w:szCs w:val="22"/>
          <w:lang w:val="fr-CA" w:eastAsia="ko-KR"/>
        </w:rPr>
        <w:t>o</w:t>
      </w:r>
      <w:r>
        <w:rPr>
          <w:rFonts w:eastAsia="Batang"/>
          <w:kern w:val="22"/>
          <w:szCs w:val="22"/>
          <w:lang w:val="fr-CA" w:eastAsia="ko-KR"/>
        </w:rPr>
        <w:t>chtones et les communautés locales. Cela représente non seulement une exigence technique des éval</w:t>
      </w:r>
      <w:r w:rsidR="00D77E3B">
        <w:rPr>
          <w:rFonts w:eastAsia="Batang"/>
          <w:kern w:val="22"/>
          <w:szCs w:val="22"/>
          <w:lang w:val="fr-CA" w:eastAsia="ko-KR"/>
        </w:rPr>
        <w:t>uations, notamment en ce qui co</w:t>
      </w:r>
      <w:r>
        <w:rPr>
          <w:rFonts w:eastAsia="Batang"/>
          <w:kern w:val="22"/>
          <w:szCs w:val="22"/>
          <w:lang w:val="fr-CA" w:eastAsia="ko-KR"/>
        </w:rPr>
        <w:t xml:space="preserve">ncerne la </w:t>
      </w:r>
      <w:r w:rsidR="00D77E3B">
        <w:rPr>
          <w:rFonts w:eastAsia="Batang"/>
          <w:kern w:val="22"/>
          <w:szCs w:val="22"/>
          <w:lang w:val="fr-CA" w:eastAsia="ko-KR"/>
        </w:rPr>
        <w:t>comparaison</w:t>
      </w:r>
      <w:r>
        <w:rPr>
          <w:rFonts w:eastAsia="Batang"/>
          <w:kern w:val="22"/>
          <w:szCs w:val="22"/>
          <w:lang w:val="fr-CA" w:eastAsia="ko-KR"/>
        </w:rPr>
        <w:t xml:space="preserve"> </w:t>
      </w:r>
      <w:r w:rsidR="00D13C90">
        <w:rPr>
          <w:rFonts w:eastAsia="Batang"/>
          <w:kern w:val="22"/>
          <w:szCs w:val="22"/>
          <w:lang w:val="fr-CA" w:eastAsia="ko-KR"/>
        </w:rPr>
        <w:t>d</w:t>
      </w:r>
      <w:r>
        <w:rPr>
          <w:rFonts w:eastAsia="Batang"/>
          <w:kern w:val="22"/>
          <w:szCs w:val="22"/>
          <w:lang w:val="fr-CA" w:eastAsia="ko-KR"/>
        </w:rPr>
        <w:t xml:space="preserve">e la situation </w:t>
      </w:r>
      <w:r w:rsidR="004B1739">
        <w:rPr>
          <w:rFonts w:eastAsia="Batang"/>
          <w:kern w:val="22"/>
          <w:szCs w:val="22"/>
          <w:lang w:val="fr-CA" w:eastAsia="ko-KR"/>
        </w:rPr>
        <w:t>à</w:t>
      </w:r>
      <w:r>
        <w:rPr>
          <w:rFonts w:eastAsia="Batang"/>
          <w:kern w:val="22"/>
          <w:szCs w:val="22"/>
          <w:lang w:val="fr-CA" w:eastAsia="ko-KR"/>
        </w:rPr>
        <w:t xml:space="preserve"> deux moments diffé</w:t>
      </w:r>
      <w:r w:rsidR="00D77E3B">
        <w:rPr>
          <w:rFonts w:eastAsia="Batang"/>
          <w:kern w:val="22"/>
          <w:szCs w:val="22"/>
          <w:lang w:val="fr-CA" w:eastAsia="ko-KR"/>
        </w:rPr>
        <w:t xml:space="preserve">rents </w:t>
      </w:r>
      <w:r w:rsidR="00D13C90">
        <w:rPr>
          <w:rFonts w:eastAsia="Batang"/>
          <w:kern w:val="22"/>
          <w:szCs w:val="22"/>
          <w:lang w:val="fr-CA" w:eastAsia="ko-KR"/>
        </w:rPr>
        <w:t>pour</w:t>
      </w:r>
      <w:r>
        <w:rPr>
          <w:rFonts w:eastAsia="Batang"/>
          <w:kern w:val="22"/>
          <w:szCs w:val="22"/>
          <w:lang w:val="fr-CA" w:eastAsia="ko-KR"/>
        </w:rPr>
        <w:t xml:space="preserve"> repérer les pertes et les gains, </w:t>
      </w:r>
      <w:r w:rsidR="00D77E3B">
        <w:rPr>
          <w:rFonts w:eastAsia="Batang"/>
          <w:kern w:val="22"/>
          <w:szCs w:val="22"/>
          <w:lang w:val="fr-CA" w:eastAsia="ko-KR"/>
        </w:rPr>
        <w:t xml:space="preserve">mais </w:t>
      </w:r>
      <w:r w:rsidR="00D13C90">
        <w:rPr>
          <w:rFonts w:eastAsia="Batang"/>
          <w:kern w:val="22"/>
          <w:szCs w:val="22"/>
          <w:lang w:val="fr-CA" w:eastAsia="ko-KR"/>
        </w:rPr>
        <w:t>c’est aussi essentiel afin de</w:t>
      </w:r>
      <w:r w:rsidR="00D77E3B">
        <w:rPr>
          <w:rFonts w:eastAsia="Batang"/>
          <w:kern w:val="22"/>
          <w:szCs w:val="22"/>
          <w:lang w:val="fr-CA" w:eastAsia="ko-KR"/>
        </w:rPr>
        <w:t xml:space="preserve"> com</w:t>
      </w:r>
      <w:r>
        <w:rPr>
          <w:rFonts w:eastAsia="Batang"/>
          <w:kern w:val="22"/>
          <w:szCs w:val="22"/>
          <w:lang w:val="fr-CA" w:eastAsia="ko-KR"/>
        </w:rPr>
        <w:t xml:space="preserve">prendre les processus de changement et les défis que ceux-ci entraînent et </w:t>
      </w:r>
      <w:r w:rsidR="00D77E3B">
        <w:rPr>
          <w:rFonts w:eastAsia="Batang"/>
          <w:kern w:val="22"/>
          <w:szCs w:val="22"/>
          <w:lang w:val="fr-CA" w:eastAsia="ko-KR"/>
        </w:rPr>
        <w:t>auxquels</w:t>
      </w:r>
      <w:r>
        <w:rPr>
          <w:rFonts w:eastAsia="Batang"/>
          <w:kern w:val="22"/>
          <w:szCs w:val="22"/>
          <w:lang w:val="fr-CA" w:eastAsia="ko-KR"/>
        </w:rPr>
        <w:t xml:space="preserve"> les communautés </w:t>
      </w:r>
      <w:r>
        <w:rPr>
          <w:rFonts w:eastAsia="Batang"/>
          <w:kern w:val="22"/>
          <w:szCs w:val="22"/>
          <w:lang w:val="fr-CA" w:eastAsia="ko-KR"/>
        </w:rPr>
        <w:lastRenderedPageBreak/>
        <w:t xml:space="preserve">doivent faire face. </w:t>
      </w:r>
      <w:r w:rsidR="00D77E3B">
        <w:rPr>
          <w:rFonts w:eastAsia="Batang"/>
          <w:kern w:val="22"/>
          <w:szCs w:val="22"/>
          <w:lang w:val="fr-CA" w:eastAsia="ko-KR"/>
        </w:rPr>
        <w:t xml:space="preserve">Les connaissances </w:t>
      </w:r>
      <w:r w:rsidR="00D77E3B" w:rsidRPr="00906D89">
        <w:rPr>
          <w:rFonts w:eastAsia="Batang"/>
          <w:kern w:val="22"/>
          <w:szCs w:val="22"/>
          <w:lang w:val="fr-CA" w:eastAsia="ko-KR"/>
        </w:rPr>
        <w:t xml:space="preserve">traditionnelles </w:t>
      </w:r>
      <w:r w:rsidR="002737D5">
        <w:rPr>
          <w:rFonts w:eastAsia="Batang"/>
          <w:kern w:val="22"/>
          <w:szCs w:val="22"/>
          <w:lang w:val="fr-CA" w:eastAsia="ko-KR"/>
        </w:rPr>
        <w:t xml:space="preserve">portant </w:t>
      </w:r>
      <w:r w:rsidR="00D77E3B" w:rsidRPr="00906D89">
        <w:rPr>
          <w:rFonts w:eastAsia="Batang"/>
          <w:kern w:val="22"/>
          <w:szCs w:val="22"/>
          <w:lang w:val="fr-CA" w:eastAsia="ko-KR"/>
        </w:rPr>
        <w:t xml:space="preserve">sur les processus entourant les territoires traditionnels (terres et eaux) et les changements dans les </w:t>
      </w:r>
      <w:r w:rsidR="00D77E3B" w:rsidRPr="00906D89">
        <w:rPr>
          <w:kern w:val="22"/>
          <w:szCs w:val="22"/>
          <w:lang w:val="fr-CA" w:eastAsia="ko-KR"/>
        </w:rPr>
        <w:t>ressources</w:t>
      </w:r>
      <w:r w:rsidR="002737D5">
        <w:rPr>
          <w:rFonts w:eastAsia="Batang"/>
          <w:kern w:val="22"/>
          <w:szCs w:val="22"/>
          <w:lang w:val="fr-CA" w:eastAsia="ko-KR"/>
        </w:rPr>
        <w:t xml:space="preserve"> au fil du temps, la relève</w:t>
      </w:r>
      <w:r w:rsidR="00D77E3B" w:rsidRPr="00906D89">
        <w:rPr>
          <w:rFonts w:eastAsia="Batang"/>
          <w:kern w:val="22"/>
          <w:szCs w:val="22"/>
          <w:lang w:val="fr-CA" w:eastAsia="ko-KR"/>
        </w:rPr>
        <w:t xml:space="preserve"> écologique et autres aspects, sont particulièrement utiles dans ce domaine car elles permettront de </w:t>
      </w:r>
      <w:r w:rsidR="002737D5">
        <w:rPr>
          <w:rFonts w:eastAsia="Batang"/>
          <w:kern w:val="22"/>
          <w:szCs w:val="22"/>
          <w:lang w:val="fr-CA" w:eastAsia="ko-KR"/>
        </w:rPr>
        <w:t>comprendre</w:t>
      </w:r>
      <w:r w:rsidR="00D77E3B" w:rsidRPr="00906D89">
        <w:rPr>
          <w:rFonts w:eastAsia="Batang"/>
          <w:kern w:val="22"/>
          <w:szCs w:val="22"/>
          <w:lang w:val="fr-CA" w:eastAsia="ko-KR"/>
        </w:rPr>
        <w:t xml:space="preserve"> les facteurs de ces changements positifs ou négatifs</w:t>
      </w:r>
      <w:r w:rsidR="00F40479" w:rsidRPr="00906D89">
        <w:rPr>
          <w:rFonts w:eastAsia="Batang"/>
          <w:kern w:val="22"/>
          <w:szCs w:val="22"/>
          <w:lang w:val="fr-CA" w:eastAsia="ko-KR"/>
        </w:rPr>
        <w:t>.</w:t>
      </w:r>
    </w:p>
    <w:p w:rsidR="008A2F70" w:rsidRDefault="00647BDC" w:rsidP="00BE5F13">
      <w:pPr>
        <w:pStyle w:val="Para1"/>
        <w:tabs>
          <w:tab w:val="clear" w:pos="360"/>
        </w:tabs>
        <w:rPr>
          <w:rFonts w:eastAsia="Batang"/>
          <w:kern w:val="22"/>
          <w:szCs w:val="22"/>
          <w:lang w:val="fr-CA" w:eastAsia="ko-KR"/>
        </w:rPr>
      </w:pPr>
      <w:r w:rsidRPr="00906D89">
        <w:rPr>
          <w:rFonts w:eastAsia="Batang"/>
          <w:kern w:val="22"/>
          <w:szCs w:val="22"/>
          <w:lang w:val="fr-CA" w:eastAsia="ko-KR"/>
        </w:rPr>
        <w:t xml:space="preserve">Les méthodologies d’établissement des valeurs demeurent un champ d’activités important </w:t>
      </w:r>
      <w:r w:rsidR="004E0922" w:rsidRPr="00906D89">
        <w:rPr>
          <w:rFonts w:eastAsia="Batang"/>
          <w:kern w:val="22"/>
          <w:szCs w:val="22"/>
          <w:lang w:val="fr-CA" w:eastAsia="ko-KR"/>
        </w:rPr>
        <w:t>dans lequel</w:t>
      </w:r>
      <w:r w:rsidRPr="00906D89">
        <w:rPr>
          <w:rFonts w:eastAsia="Batang"/>
          <w:kern w:val="22"/>
          <w:szCs w:val="22"/>
          <w:lang w:val="fr-CA" w:eastAsia="ko-KR"/>
        </w:rPr>
        <w:t xml:space="preserve"> de nouveaux développements s’imposent. Il est accepté de tous que l’établissement de la valeur économique</w:t>
      </w:r>
      <w:r w:rsidR="004E0922" w:rsidRPr="00906D89">
        <w:rPr>
          <w:rFonts w:eastAsia="Batang"/>
          <w:kern w:val="22"/>
          <w:szCs w:val="22"/>
          <w:lang w:val="fr-CA" w:eastAsia="ko-KR"/>
        </w:rPr>
        <w:t>,</w:t>
      </w:r>
      <w:r w:rsidRPr="00906D89">
        <w:rPr>
          <w:rFonts w:eastAsia="Batang"/>
          <w:kern w:val="22"/>
          <w:szCs w:val="22"/>
          <w:lang w:val="fr-CA" w:eastAsia="ko-KR"/>
        </w:rPr>
        <w:t xml:space="preserve"> qui </w:t>
      </w:r>
      <w:r w:rsidR="000A6270">
        <w:rPr>
          <w:rFonts w:eastAsia="Batang"/>
          <w:kern w:val="22"/>
          <w:szCs w:val="22"/>
          <w:lang w:val="fr-CA" w:eastAsia="ko-KR"/>
        </w:rPr>
        <w:t>confère</w:t>
      </w:r>
      <w:r w:rsidR="004E0922" w:rsidRPr="00906D89">
        <w:rPr>
          <w:rFonts w:eastAsia="Batang"/>
          <w:kern w:val="22"/>
          <w:szCs w:val="22"/>
          <w:lang w:val="fr-CA" w:eastAsia="ko-KR"/>
        </w:rPr>
        <w:t xml:space="preserve"> une valeur monétaire à</w:t>
      </w:r>
      <w:r w:rsidRPr="00906D89">
        <w:rPr>
          <w:rFonts w:eastAsia="Batang"/>
          <w:kern w:val="22"/>
          <w:szCs w:val="22"/>
          <w:lang w:val="fr-CA" w:eastAsia="ko-KR"/>
        </w:rPr>
        <w:t xml:space="preserve"> la conservation et l’utilisation </w:t>
      </w:r>
      <w:r w:rsidR="004E0922" w:rsidRPr="00906D89">
        <w:rPr>
          <w:rFonts w:eastAsia="Batang"/>
          <w:kern w:val="22"/>
          <w:szCs w:val="22"/>
          <w:lang w:val="fr-CA" w:eastAsia="ko-KR"/>
        </w:rPr>
        <w:t xml:space="preserve">durable, </w:t>
      </w:r>
      <w:r w:rsidRPr="00906D89">
        <w:rPr>
          <w:rFonts w:eastAsia="Batang"/>
          <w:kern w:val="22"/>
          <w:szCs w:val="22"/>
          <w:lang w:val="fr-CA" w:eastAsia="ko-KR"/>
        </w:rPr>
        <w:t xml:space="preserve">est utile dans certains contextes ou à certaines fins, </w:t>
      </w:r>
      <w:r w:rsidR="000A6270">
        <w:rPr>
          <w:rFonts w:eastAsia="Batang"/>
          <w:kern w:val="22"/>
          <w:szCs w:val="22"/>
          <w:lang w:val="fr-CA" w:eastAsia="ko-KR"/>
        </w:rPr>
        <w:t>notamment</w:t>
      </w:r>
      <w:r w:rsidRPr="00906D89">
        <w:rPr>
          <w:rFonts w:eastAsia="Batang"/>
          <w:kern w:val="22"/>
          <w:szCs w:val="22"/>
          <w:lang w:val="fr-CA" w:eastAsia="ko-KR"/>
        </w:rPr>
        <w:t xml:space="preserve"> le besoin </w:t>
      </w:r>
      <w:r w:rsidR="000A6270">
        <w:rPr>
          <w:rFonts w:eastAsia="Batang"/>
          <w:kern w:val="22"/>
          <w:szCs w:val="22"/>
          <w:lang w:val="fr-CA" w:eastAsia="ko-KR"/>
        </w:rPr>
        <w:t xml:space="preserve">de certaines sociétés de se doter </w:t>
      </w:r>
      <w:r w:rsidR="005B63F7" w:rsidRPr="00906D89">
        <w:rPr>
          <w:rFonts w:eastAsia="Batang"/>
          <w:kern w:val="22"/>
          <w:szCs w:val="22"/>
          <w:lang w:val="fr-CA" w:eastAsia="ko-KR"/>
        </w:rPr>
        <w:t>d’un syst</w:t>
      </w:r>
      <w:r w:rsidR="000A6270">
        <w:rPr>
          <w:rFonts w:eastAsia="Batang"/>
          <w:kern w:val="22"/>
          <w:szCs w:val="22"/>
          <w:lang w:val="fr-CA" w:eastAsia="ko-KR"/>
        </w:rPr>
        <w:t>ème économique formel</w:t>
      </w:r>
      <w:r w:rsidR="002737D5">
        <w:rPr>
          <w:rFonts w:eastAsia="Batang"/>
          <w:kern w:val="22"/>
          <w:szCs w:val="22"/>
          <w:lang w:val="fr-CA" w:eastAsia="ko-KR"/>
        </w:rPr>
        <w:t>,</w:t>
      </w:r>
      <w:r w:rsidR="005B63F7" w:rsidRPr="00906D89">
        <w:rPr>
          <w:rFonts w:eastAsia="Batang"/>
          <w:kern w:val="22"/>
          <w:szCs w:val="22"/>
          <w:lang w:val="fr-CA" w:eastAsia="ko-KR"/>
        </w:rPr>
        <w:t xml:space="preserve"> afin de mieux </w:t>
      </w:r>
      <w:r w:rsidR="004E0922" w:rsidRPr="00906D89">
        <w:rPr>
          <w:rFonts w:eastAsia="Batang"/>
          <w:kern w:val="22"/>
          <w:szCs w:val="22"/>
          <w:lang w:val="fr-CA" w:eastAsia="ko-KR"/>
        </w:rPr>
        <w:t>reconnaître</w:t>
      </w:r>
      <w:r w:rsidR="005B63F7" w:rsidRPr="00906D89">
        <w:rPr>
          <w:rFonts w:eastAsia="Batang"/>
          <w:kern w:val="22"/>
          <w:szCs w:val="22"/>
          <w:lang w:val="fr-CA" w:eastAsia="ko-KR"/>
        </w:rPr>
        <w:t xml:space="preserve"> l’énorme contribution des mesures collectives, </w:t>
      </w:r>
      <w:r w:rsidR="00DC08DB" w:rsidRPr="00906D89">
        <w:rPr>
          <w:rFonts w:eastAsia="Batang"/>
          <w:kern w:val="22"/>
          <w:szCs w:val="22"/>
          <w:lang w:val="fr-CA" w:eastAsia="ko-KR"/>
        </w:rPr>
        <w:t xml:space="preserve">qui </w:t>
      </w:r>
      <w:r w:rsidR="005B63F7" w:rsidRPr="00906D89">
        <w:rPr>
          <w:rFonts w:eastAsia="Batang"/>
          <w:kern w:val="22"/>
          <w:szCs w:val="22"/>
          <w:lang w:val="fr-CA" w:eastAsia="ko-KR"/>
        </w:rPr>
        <w:t>est habitu</w:t>
      </w:r>
      <w:r w:rsidR="004E0922" w:rsidRPr="00906D89">
        <w:rPr>
          <w:rFonts w:eastAsia="Batang"/>
          <w:kern w:val="22"/>
          <w:szCs w:val="22"/>
          <w:lang w:val="fr-CA" w:eastAsia="ko-KR"/>
        </w:rPr>
        <w:t>ellement sous-estimée par rappor</w:t>
      </w:r>
      <w:r w:rsidR="005B63F7" w:rsidRPr="00906D89">
        <w:rPr>
          <w:rFonts w:eastAsia="Batang"/>
          <w:kern w:val="22"/>
          <w:szCs w:val="22"/>
          <w:lang w:val="fr-CA" w:eastAsia="ko-KR"/>
        </w:rPr>
        <w:t>t aux investi</w:t>
      </w:r>
      <w:r w:rsidR="000A6270">
        <w:rPr>
          <w:rFonts w:eastAsia="Batang"/>
          <w:kern w:val="22"/>
          <w:szCs w:val="22"/>
          <w:lang w:val="fr-CA" w:eastAsia="ko-KR"/>
        </w:rPr>
        <w:t>ssements dans d’autres secteurs. Il est également</w:t>
      </w:r>
      <w:r w:rsidR="005B63F7" w:rsidRPr="00906D89">
        <w:rPr>
          <w:rFonts w:eastAsia="Batang"/>
          <w:kern w:val="22"/>
          <w:szCs w:val="22"/>
          <w:lang w:val="fr-CA" w:eastAsia="ko-KR"/>
        </w:rPr>
        <w:t xml:space="preserve"> </w:t>
      </w:r>
      <w:r w:rsidR="004B1739">
        <w:rPr>
          <w:rFonts w:eastAsia="Batang"/>
          <w:kern w:val="22"/>
          <w:szCs w:val="22"/>
          <w:lang w:val="fr-CA" w:eastAsia="ko-KR"/>
        </w:rPr>
        <w:t>convenu</w:t>
      </w:r>
      <w:r w:rsidR="005B63F7" w:rsidRPr="00906D89">
        <w:rPr>
          <w:rFonts w:eastAsia="Batang"/>
          <w:kern w:val="22"/>
          <w:szCs w:val="22"/>
          <w:lang w:val="fr-CA" w:eastAsia="ko-KR"/>
        </w:rPr>
        <w:t xml:space="preserve"> qu’il faut reconnaître et soutenir </w:t>
      </w:r>
      <w:r w:rsidR="000A6270">
        <w:rPr>
          <w:rFonts w:eastAsia="Batang"/>
          <w:kern w:val="22"/>
          <w:szCs w:val="22"/>
          <w:lang w:val="fr-CA" w:eastAsia="ko-KR"/>
        </w:rPr>
        <w:t>l</w:t>
      </w:r>
      <w:r w:rsidR="005B63F7" w:rsidRPr="00906D89">
        <w:rPr>
          <w:rFonts w:eastAsia="Batang"/>
          <w:kern w:val="22"/>
          <w:szCs w:val="22"/>
          <w:lang w:val="fr-CA" w:eastAsia="ko-KR"/>
        </w:rPr>
        <w:t>’</w:t>
      </w:r>
      <w:r w:rsidR="004E0922" w:rsidRPr="00906D89">
        <w:rPr>
          <w:rFonts w:eastAsia="Batang"/>
          <w:kern w:val="22"/>
          <w:szCs w:val="22"/>
          <w:lang w:val="fr-CA" w:eastAsia="ko-KR"/>
        </w:rPr>
        <w:t>é</w:t>
      </w:r>
      <w:r w:rsidR="005B63F7" w:rsidRPr="00906D89">
        <w:rPr>
          <w:rFonts w:eastAsia="Batang"/>
          <w:kern w:val="22"/>
          <w:szCs w:val="22"/>
          <w:lang w:val="fr-CA" w:eastAsia="ko-KR"/>
        </w:rPr>
        <w:t xml:space="preserve">tablissement </w:t>
      </w:r>
      <w:r w:rsidR="000A6270">
        <w:rPr>
          <w:rFonts w:eastAsia="Batang"/>
          <w:kern w:val="22"/>
          <w:szCs w:val="22"/>
          <w:lang w:val="fr-CA" w:eastAsia="ko-KR"/>
        </w:rPr>
        <w:t>d’autres valeurs</w:t>
      </w:r>
      <w:r w:rsidR="005B63F7" w:rsidRPr="00906D89">
        <w:rPr>
          <w:rFonts w:eastAsia="Batang"/>
          <w:kern w:val="22"/>
          <w:szCs w:val="22"/>
          <w:lang w:val="fr-CA" w:eastAsia="ko-KR"/>
        </w:rPr>
        <w:t xml:space="preserve">, </w:t>
      </w:r>
      <w:r w:rsidR="004E0922" w:rsidRPr="00906D89">
        <w:rPr>
          <w:rFonts w:eastAsia="Batang"/>
          <w:kern w:val="22"/>
          <w:szCs w:val="22"/>
          <w:lang w:val="fr-CA" w:eastAsia="ko-KR"/>
        </w:rPr>
        <w:t>notamment</w:t>
      </w:r>
      <w:r w:rsidR="002737D5">
        <w:rPr>
          <w:rFonts w:eastAsia="Batang"/>
          <w:kern w:val="22"/>
          <w:szCs w:val="22"/>
          <w:lang w:val="fr-CA" w:eastAsia="ko-KR"/>
        </w:rPr>
        <w:t xml:space="preserve"> la</w:t>
      </w:r>
      <w:r w:rsidR="005B63F7" w:rsidRPr="00906D89">
        <w:rPr>
          <w:rFonts w:eastAsia="Batang"/>
          <w:kern w:val="22"/>
          <w:szCs w:val="22"/>
          <w:lang w:val="fr-CA" w:eastAsia="ko-KR"/>
        </w:rPr>
        <w:t xml:space="preserve"> valeur de la </w:t>
      </w:r>
      <w:r w:rsidR="004E0922" w:rsidRPr="00906D89">
        <w:rPr>
          <w:rFonts w:eastAsia="Batang"/>
          <w:kern w:val="22"/>
          <w:szCs w:val="22"/>
          <w:lang w:val="fr-CA" w:eastAsia="ko-KR"/>
        </w:rPr>
        <w:t>conservation</w:t>
      </w:r>
      <w:r w:rsidR="005B63F7" w:rsidRPr="00906D89">
        <w:rPr>
          <w:rFonts w:eastAsia="Batang"/>
          <w:kern w:val="22"/>
          <w:szCs w:val="22"/>
          <w:lang w:val="fr-CA" w:eastAsia="ko-KR"/>
        </w:rPr>
        <w:t xml:space="preserve"> et de l’</w:t>
      </w:r>
      <w:r w:rsidR="005B63F7" w:rsidRPr="00906D89">
        <w:rPr>
          <w:kern w:val="22"/>
          <w:szCs w:val="22"/>
          <w:lang w:val="fr-CA" w:eastAsia="ko-KR"/>
        </w:rPr>
        <w:t>utilisation</w:t>
      </w:r>
      <w:r w:rsidR="005B63F7" w:rsidRPr="00906D89">
        <w:rPr>
          <w:rFonts w:eastAsia="Batang"/>
          <w:kern w:val="22"/>
          <w:szCs w:val="22"/>
          <w:lang w:val="fr-CA" w:eastAsia="ko-KR"/>
        </w:rPr>
        <w:t xml:space="preserve"> </w:t>
      </w:r>
      <w:r w:rsidR="004E0922" w:rsidRPr="00906D89">
        <w:rPr>
          <w:rFonts w:eastAsia="Batang"/>
          <w:kern w:val="22"/>
          <w:szCs w:val="22"/>
          <w:lang w:val="fr-CA" w:eastAsia="ko-KR"/>
        </w:rPr>
        <w:t>durable pour le</w:t>
      </w:r>
      <w:r w:rsidR="005B63F7" w:rsidRPr="00906D89">
        <w:rPr>
          <w:rFonts w:eastAsia="Batang"/>
          <w:kern w:val="22"/>
          <w:szCs w:val="22"/>
          <w:lang w:val="fr-CA" w:eastAsia="ko-KR"/>
        </w:rPr>
        <w:t>s communautés</w:t>
      </w:r>
      <w:r w:rsidR="00DC08DB" w:rsidRPr="00906D89">
        <w:rPr>
          <w:rFonts w:eastAsia="Batang"/>
          <w:kern w:val="22"/>
          <w:szCs w:val="22"/>
          <w:lang w:val="fr-CA" w:eastAsia="ko-KR"/>
        </w:rPr>
        <w:t xml:space="preserve"> </w:t>
      </w:r>
      <w:r w:rsidR="000A6270">
        <w:rPr>
          <w:rFonts w:eastAsia="Batang"/>
          <w:kern w:val="22"/>
          <w:szCs w:val="22"/>
          <w:lang w:val="fr-CA" w:eastAsia="ko-KR"/>
        </w:rPr>
        <w:t>afin d’</w:t>
      </w:r>
      <w:r w:rsidR="00DC08DB" w:rsidRPr="00906D89">
        <w:rPr>
          <w:rFonts w:eastAsia="Batang"/>
          <w:kern w:val="22"/>
          <w:szCs w:val="22"/>
          <w:lang w:val="fr-CA" w:eastAsia="ko-KR"/>
        </w:rPr>
        <w:t>assurer leur</w:t>
      </w:r>
      <w:r w:rsidR="005B63F7" w:rsidRPr="00906D89">
        <w:rPr>
          <w:rFonts w:eastAsia="Batang"/>
          <w:kern w:val="22"/>
          <w:szCs w:val="22"/>
          <w:lang w:val="fr-CA" w:eastAsia="ko-KR"/>
        </w:rPr>
        <w:t xml:space="preserve"> subsistance, leur culture, la sécurité de leurs </w:t>
      </w:r>
      <w:r w:rsidR="004E0922" w:rsidRPr="00906D89">
        <w:rPr>
          <w:rFonts w:eastAsia="Batang"/>
          <w:kern w:val="22"/>
          <w:szCs w:val="22"/>
          <w:lang w:val="fr-CA" w:eastAsia="ko-KR"/>
        </w:rPr>
        <w:t>ressources,</w:t>
      </w:r>
      <w:r w:rsidR="005B63F7" w:rsidRPr="00906D89">
        <w:rPr>
          <w:rFonts w:eastAsia="Batang"/>
          <w:kern w:val="22"/>
          <w:szCs w:val="22"/>
          <w:lang w:val="fr-CA" w:eastAsia="ko-KR"/>
        </w:rPr>
        <w:t xml:space="preserve"> le</w:t>
      </w:r>
      <w:r w:rsidR="00DC08DB" w:rsidRPr="00906D89">
        <w:rPr>
          <w:rFonts w:eastAsia="Batang"/>
          <w:kern w:val="22"/>
          <w:szCs w:val="22"/>
          <w:lang w:val="fr-CA" w:eastAsia="ko-KR"/>
        </w:rPr>
        <w:t>ur</w:t>
      </w:r>
      <w:r w:rsidR="005B63F7" w:rsidRPr="00906D89">
        <w:rPr>
          <w:rFonts w:eastAsia="Batang"/>
          <w:kern w:val="22"/>
          <w:szCs w:val="22"/>
          <w:lang w:val="fr-CA" w:eastAsia="ko-KR"/>
        </w:rPr>
        <w:t xml:space="preserve"> </w:t>
      </w:r>
      <w:r w:rsidR="004E0922" w:rsidRPr="00906D89">
        <w:rPr>
          <w:rFonts w:eastAsia="Batang"/>
          <w:kern w:val="22"/>
          <w:szCs w:val="22"/>
          <w:lang w:val="fr-CA" w:eastAsia="ko-KR"/>
        </w:rPr>
        <w:t>développement autodéterminé</w:t>
      </w:r>
      <w:r w:rsidR="008A2F70">
        <w:rPr>
          <w:rFonts w:eastAsia="Batang"/>
          <w:kern w:val="22"/>
          <w:szCs w:val="22"/>
          <w:lang w:val="fr-CA" w:eastAsia="ko-KR"/>
        </w:rPr>
        <w:t xml:space="preserve"> et leur résilience, ainsi que leur bien-être psychologique et physique.</w:t>
      </w:r>
      <w:r w:rsidR="005B63F7" w:rsidRPr="00906D89">
        <w:rPr>
          <w:rFonts w:eastAsia="Batang"/>
          <w:kern w:val="22"/>
          <w:szCs w:val="22"/>
          <w:lang w:val="fr-CA" w:eastAsia="ko-KR"/>
        </w:rPr>
        <w:t xml:space="preserve"> </w:t>
      </w:r>
    </w:p>
    <w:p w:rsidR="001F2BF3" w:rsidRPr="00906D89" w:rsidRDefault="005B63F7" w:rsidP="00BE5F13">
      <w:pPr>
        <w:pStyle w:val="Para1"/>
        <w:tabs>
          <w:tab w:val="clear" w:pos="360"/>
        </w:tabs>
        <w:rPr>
          <w:rFonts w:eastAsia="Batang"/>
          <w:kern w:val="22"/>
          <w:szCs w:val="22"/>
          <w:lang w:val="fr-CA" w:eastAsia="ko-KR"/>
        </w:rPr>
      </w:pPr>
      <w:r w:rsidRPr="00906D89">
        <w:rPr>
          <w:rFonts w:eastAsia="Batang"/>
          <w:kern w:val="22"/>
          <w:szCs w:val="22"/>
          <w:lang w:val="fr-CA" w:eastAsia="ko-KR"/>
        </w:rPr>
        <w:t>Ces aspects de l’établissement de la valeur sont étroitement liés aux systèmes d</w:t>
      </w:r>
      <w:r w:rsidR="004E0922" w:rsidRPr="00906D89">
        <w:rPr>
          <w:rFonts w:eastAsia="Batang"/>
          <w:kern w:val="22"/>
          <w:szCs w:val="22"/>
          <w:lang w:val="fr-CA" w:eastAsia="ko-KR"/>
        </w:rPr>
        <w:t>’</w:t>
      </w:r>
      <w:r w:rsidRPr="00906D89">
        <w:rPr>
          <w:rFonts w:eastAsia="Batang"/>
          <w:kern w:val="22"/>
          <w:szCs w:val="22"/>
          <w:lang w:val="fr-CA" w:eastAsia="ko-KR"/>
        </w:rPr>
        <w:t xml:space="preserve">indicateurs et doivent être intégrés dans les évaluations, mais doivent </w:t>
      </w:r>
      <w:r w:rsidR="000A6270">
        <w:rPr>
          <w:rFonts w:eastAsia="Batang"/>
          <w:kern w:val="22"/>
          <w:szCs w:val="22"/>
          <w:lang w:val="fr-CA" w:eastAsia="ko-KR"/>
        </w:rPr>
        <w:t xml:space="preserve">aussi </w:t>
      </w:r>
      <w:r w:rsidRPr="00906D89">
        <w:rPr>
          <w:rFonts w:eastAsia="Batang"/>
          <w:kern w:val="22"/>
          <w:szCs w:val="22"/>
          <w:lang w:val="fr-CA" w:eastAsia="ko-KR"/>
        </w:rPr>
        <w:t>faire l’objet d’un développement substantiel</w:t>
      </w:r>
      <w:r w:rsidR="000011C8" w:rsidRPr="00906D89">
        <w:rPr>
          <w:rFonts w:eastAsia="Batang"/>
          <w:kern w:val="22"/>
          <w:szCs w:val="22"/>
          <w:lang w:val="fr-CA" w:eastAsia="ko-KR"/>
        </w:rPr>
        <w:t>.</w:t>
      </w:r>
    </w:p>
    <w:p w:rsidR="00310E00" w:rsidRPr="00131775" w:rsidRDefault="00DC08DB" w:rsidP="001E711D">
      <w:pPr>
        <w:pStyle w:val="Para1"/>
        <w:tabs>
          <w:tab w:val="clear" w:pos="360"/>
        </w:tabs>
        <w:rPr>
          <w:b/>
          <w:i/>
          <w:kern w:val="22"/>
          <w:szCs w:val="22"/>
          <w:lang w:val="fr-CA"/>
        </w:rPr>
      </w:pPr>
      <w:r>
        <w:rPr>
          <w:kern w:val="22"/>
          <w:szCs w:val="22"/>
          <w:lang w:val="fr-CA"/>
        </w:rPr>
        <w:t>L</w:t>
      </w:r>
      <w:r w:rsidR="000A6270">
        <w:rPr>
          <w:kern w:val="22"/>
          <w:szCs w:val="22"/>
          <w:lang w:val="fr-CA"/>
        </w:rPr>
        <w:t>’</w:t>
      </w:r>
      <w:r>
        <w:rPr>
          <w:kern w:val="22"/>
          <w:szCs w:val="22"/>
          <w:lang w:val="fr-CA"/>
        </w:rPr>
        <w:t xml:space="preserve">évaluation </w:t>
      </w:r>
      <w:r w:rsidR="000A6270">
        <w:rPr>
          <w:kern w:val="22"/>
          <w:szCs w:val="22"/>
          <w:lang w:val="fr-CA"/>
        </w:rPr>
        <w:t>de la contribution</w:t>
      </w:r>
      <w:r>
        <w:rPr>
          <w:kern w:val="22"/>
          <w:szCs w:val="22"/>
          <w:lang w:val="fr-CA"/>
        </w:rPr>
        <w:t xml:space="preserve"> des mesures collectives doit également inclure des éléments de force et d’analyse de</w:t>
      </w:r>
      <w:r w:rsidR="00A30F80">
        <w:rPr>
          <w:kern w:val="22"/>
          <w:szCs w:val="22"/>
          <w:lang w:val="fr-CA"/>
        </w:rPr>
        <w:t xml:space="preserve"> </w:t>
      </w:r>
      <w:r>
        <w:rPr>
          <w:kern w:val="22"/>
          <w:szCs w:val="22"/>
          <w:lang w:val="fr-CA"/>
        </w:rPr>
        <w:t xml:space="preserve">la menace, afin que les communautés et les parties prenantes puissent non </w:t>
      </w:r>
      <w:r w:rsidR="00A30F80">
        <w:rPr>
          <w:kern w:val="22"/>
          <w:szCs w:val="22"/>
          <w:lang w:val="fr-CA"/>
        </w:rPr>
        <w:t>seulement identifier et é</w:t>
      </w:r>
      <w:r>
        <w:rPr>
          <w:kern w:val="22"/>
          <w:szCs w:val="22"/>
          <w:lang w:val="fr-CA"/>
        </w:rPr>
        <w:t xml:space="preserve">valuer les contributions, mais aussi </w:t>
      </w:r>
      <w:r w:rsidR="00A30F80">
        <w:rPr>
          <w:kern w:val="22"/>
          <w:szCs w:val="22"/>
          <w:lang w:val="fr-CA"/>
        </w:rPr>
        <w:t>déterminer</w:t>
      </w:r>
      <w:r>
        <w:rPr>
          <w:kern w:val="22"/>
          <w:szCs w:val="22"/>
          <w:lang w:val="fr-CA"/>
        </w:rPr>
        <w:t xml:space="preserve"> quels facteurs donnent des résultats positifs et quels facteurs </w:t>
      </w:r>
      <w:r w:rsidR="003E7C0B">
        <w:rPr>
          <w:kern w:val="22"/>
          <w:szCs w:val="22"/>
          <w:lang w:val="fr-CA"/>
        </w:rPr>
        <w:t>pourraient faire</w:t>
      </w:r>
      <w:r>
        <w:rPr>
          <w:kern w:val="22"/>
          <w:szCs w:val="22"/>
          <w:lang w:val="fr-CA"/>
        </w:rPr>
        <w:t xml:space="preserve"> obstacle à la réalisation. </w:t>
      </w:r>
      <w:r w:rsidR="007E66A4">
        <w:rPr>
          <w:kern w:val="22"/>
          <w:szCs w:val="22"/>
          <w:lang w:val="fr-CA"/>
        </w:rPr>
        <w:t>Il va sans dire que l</w:t>
      </w:r>
      <w:r w:rsidR="00A30F80">
        <w:rPr>
          <w:kern w:val="22"/>
          <w:szCs w:val="22"/>
          <w:lang w:val="fr-CA"/>
        </w:rPr>
        <w:t xml:space="preserve">’analyse des conditions de gouvernance, à savoir la sécurité des droits, la robustesse des institutions, la stabilité, la responsabilité et la prévisibilité des régimes fonciers et de ressources, et la </w:t>
      </w:r>
      <w:r w:rsidR="007E66A4">
        <w:rPr>
          <w:kern w:val="22"/>
          <w:szCs w:val="22"/>
          <w:lang w:val="fr-CA"/>
        </w:rPr>
        <w:t>convergence</w:t>
      </w:r>
      <w:r w:rsidR="00A30F80">
        <w:rPr>
          <w:kern w:val="22"/>
          <w:szCs w:val="22"/>
          <w:lang w:val="fr-CA"/>
        </w:rPr>
        <w:t xml:space="preserve"> de facteurs qui peuvent avoir une influence positive ou négative sur des conditions</w:t>
      </w:r>
      <w:r w:rsidR="003E7C0B">
        <w:rPr>
          <w:kern w:val="22"/>
          <w:szCs w:val="22"/>
          <w:lang w:val="fr-CA"/>
        </w:rPr>
        <w:t>,</w:t>
      </w:r>
      <w:r w:rsidR="00A30F80">
        <w:rPr>
          <w:kern w:val="22"/>
          <w:szCs w:val="22"/>
          <w:lang w:val="fr-CA"/>
        </w:rPr>
        <w:t xml:space="preserve"> doit être intégrée dans ce secteur d’activité</w:t>
      </w:r>
      <w:r w:rsidR="00310E00" w:rsidRPr="00131775">
        <w:rPr>
          <w:kern w:val="22"/>
          <w:szCs w:val="22"/>
          <w:lang w:val="fr-CA"/>
        </w:rPr>
        <w:t>.</w:t>
      </w:r>
    </w:p>
    <w:p w:rsidR="00E345E8" w:rsidRPr="00131775" w:rsidRDefault="00115DDE" w:rsidP="009C2109">
      <w:pPr>
        <w:pStyle w:val="Para1"/>
        <w:tabs>
          <w:tab w:val="clear" w:pos="360"/>
        </w:tabs>
        <w:rPr>
          <w:b/>
          <w:i/>
          <w:lang w:val="fr-CA"/>
        </w:rPr>
      </w:pPr>
      <w:r>
        <w:rPr>
          <w:lang w:val="fr-CA"/>
        </w:rPr>
        <w:t>En dernier lieu, il faut encourager la synergie tout en maintenant et en favorisant la diversité des approches. La diversité améliore l’adaptabilité aux différents contextes, mais les synergies,</w:t>
      </w:r>
      <w:r w:rsidR="003E7C0B">
        <w:rPr>
          <w:lang w:val="fr-CA"/>
        </w:rPr>
        <w:t xml:space="preserve"> l’échange, l</w:t>
      </w:r>
      <w:r>
        <w:rPr>
          <w:lang w:val="fr-CA"/>
        </w:rPr>
        <w:t xml:space="preserve">’apprentissage croisé et le réseautage mènent à de plus grandes synergies et à des résultats convergents. Il est extrêmement important de retenir diverses approches à l’évaluation à l’intérieur du cadre des principes directeurs enchâssés dans la décision XIII/20 et autres principes </w:t>
      </w:r>
      <w:r w:rsidR="00DC6104">
        <w:rPr>
          <w:lang w:val="fr-CA"/>
        </w:rPr>
        <w:t>et lignes directrices pertinent</w:t>
      </w:r>
      <w:r>
        <w:rPr>
          <w:lang w:val="fr-CA"/>
        </w:rPr>
        <w:t xml:space="preserve">s au titre de la Convention sur la diversité biologique, et que ce cadre continue à évoluer et soit soutenu et enrichi par d’autres principes que les expériences continuent à créer. Pour résumer, </w:t>
      </w:r>
      <w:r w:rsidR="003911FA">
        <w:rPr>
          <w:lang w:val="fr-CA"/>
        </w:rPr>
        <w:t>les approches méthodologiques pour identifier, suivre et évaluer la contribution des peuples autochtones et des communautés locales à la réalisation des objectifs du Plan stratégique 2011-2020 pour la diversité biologique et des Objectifs d’Aichi relatifs à la diversité biologique doi</w:t>
      </w:r>
      <w:r w:rsidR="00C50BA4">
        <w:rPr>
          <w:lang w:val="fr-CA"/>
        </w:rPr>
        <w:t>ven</w:t>
      </w:r>
      <w:r w:rsidR="003911FA">
        <w:rPr>
          <w:lang w:val="fr-CA"/>
        </w:rPr>
        <w:t xml:space="preserve">t être encouragées, afin d’utiliser les principes directeurs </w:t>
      </w:r>
      <w:r w:rsidR="00C85CA1">
        <w:rPr>
          <w:lang w:val="fr-CA"/>
        </w:rPr>
        <w:t>pour encadrer et guider le</w:t>
      </w:r>
      <w:r w:rsidR="003911FA">
        <w:rPr>
          <w:lang w:val="fr-CA"/>
        </w:rPr>
        <w:t>ur conception et leur application, dans un premier temp</w:t>
      </w:r>
      <w:r w:rsidR="00C85CA1">
        <w:rPr>
          <w:lang w:val="fr-CA"/>
        </w:rPr>
        <w:t>s et, dans un deuxième temps, ê</w:t>
      </w:r>
      <w:r w:rsidR="00CD5DA3">
        <w:rPr>
          <w:iCs/>
          <w:lang w:val="fr-CA"/>
        </w:rPr>
        <w:t>tre i</w:t>
      </w:r>
      <w:r w:rsidR="003911FA">
        <w:rPr>
          <w:iCs/>
          <w:lang w:val="fr-CA"/>
        </w:rPr>
        <w:t>nvité</w:t>
      </w:r>
      <w:r w:rsidR="00C85CA1">
        <w:rPr>
          <w:iCs/>
          <w:lang w:val="fr-CA"/>
        </w:rPr>
        <w:t>e</w:t>
      </w:r>
      <w:r w:rsidR="003911FA">
        <w:rPr>
          <w:iCs/>
          <w:lang w:val="fr-CA"/>
        </w:rPr>
        <w:t xml:space="preserve">s </w:t>
      </w:r>
      <w:r w:rsidR="00CD5DA3">
        <w:rPr>
          <w:iCs/>
          <w:lang w:val="fr-CA"/>
        </w:rPr>
        <w:t xml:space="preserve">à tenir compte de la liste indicative non exhaustive des éléments méthodologiques </w:t>
      </w:r>
      <w:r w:rsidR="00A02C4C">
        <w:rPr>
          <w:iCs/>
          <w:lang w:val="fr-CA"/>
        </w:rPr>
        <w:t>jointe</w:t>
      </w:r>
      <w:r w:rsidR="00CD5DA3">
        <w:rPr>
          <w:iCs/>
          <w:lang w:val="fr-CA"/>
        </w:rPr>
        <w:t xml:space="preserve"> à l’annexe I pour leur conception et leur application, en prenant note </w:t>
      </w:r>
      <w:r w:rsidR="00C85CA1">
        <w:rPr>
          <w:iCs/>
          <w:lang w:val="fr-CA"/>
        </w:rPr>
        <w:t>qu’elles</w:t>
      </w:r>
      <w:r w:rsidR="00CD5DA3">
        <w:rPr>
          <w:iCs/>
          <w:lang w:val="fr-CA"/>
        </w:rPr>
        <w:t xml:space="preserve"> font déjà partie des approches existantes, dans une grande mesure, et que ce résumé</w:t>
      </w:r>
      <w:r w:rsidR="004D6D13">
        <w:rPr>
          <w:iCs/>
          <w:lang w:val="fr-CA"/>
        </w:rPr>
        <w:t xml:space="preserve"> est le fruit de leurs propr</w:t>
      </w:r>
      <w:r w:rsidR="00CD5DA3">
        <w:rPr>
          <w:iCs/>
          <w:lang w:val="fr-CA"/>
        </w:rPr>
        <w:t>es enseignements tirés.</w:t>
      </w:r>
    </w:p>
    <w:p w:rsidR="00885835" w:rsidRPr="00131775" w:rsidRDefault="004D6D13" w:rsidP="009C2109">
      <w:pPr>
        <w:pStyle w:val="Para1"/>
        <w:rPr>
          <w:b/>
          <w:i/>
          <w:kern w:val="22"/>
          <w:szCs w:val="22"/>
          <w:lang w:val="fr-CA"/>
        </w:rPr>
      </w:pPr>
      <w:r>
        <w:rPr>
          <w:kern w:val="22"/>
          <w:szCs w:val="22"/>
          <w:lang w:val="fr-CA"/>
        </w:rPr>
        <w:t xml:space="preserve">Étant donné que la plupart des informations et des points de vue reçus sont généralement plus pertinents </w:t>
      </w:r>
      <w:r w:rsidR="001C5D05">
        <w:rPr>
          <w:kern w:val="22"/>
          <w:szCs w:val="22"/>
          <w:lang w:val="fr-CA"/>
        </w:rPr>
        <w:t>à</w:t>
      </w:r>
      <w:r>
        <w:rPr>
          <w:kern w:val="22"/>
          <w:szCs w:val="22"/>
          <w:lang w:val="fr-CA"/>
        </w:rPr>
        <w:t xml:space="preserve"> la mise en</w:t>
      </w:r>
      <w:r w:rsidR="001C5D05">
        <w:rPr>
          <w:kern w:val="22"/>
          <w:szCs w:val="22"/>
          <w:lang w:val="fr-CA"/>
        </w:rPr>
        <w:t xml:space="preserve"> œuvre </w:t>
      </w:r>
      <w:r>
        <w:rPr>
          <w:kern w:val="22"/>
          <w:szCs w:val="22"/>
          <w:lang w:val="fr-CA"/>
        </w:rPr>
        <w:t>d</w:t>
      </w:r>
      <w:r w:rsidR="001C5D05">
        <w:rPr>
          <w:kern w:val="22"/>
          <w:szCs w:val="22"/>
          <w:lang w:val="fr-CA"/>
        </w:rPr>
        <w:t>u Plan stratégique 2011-2020 po</w:t>
      </w:r>
      <w:r>
        <w:rPr>
          <w:kern w:val="22"/>
          <w:szCs w:val="22"/>
          <w:lang w:val="fr-CA"/>
        </w:rPr>
        <w:t xml:space="preserve">ur la diversité biologique, tout en ayant un </w:t>
      </w:r>
      <w:r w:rsidR="001C5D05">
        <w:rPr>
          <w:kern w:val="22"/>
          <w:szCs w:val="22"/>
          <w:lang w:val="fr-CA"/>
        </w:rPr>
        <w:t>lien</w:t>
      </w:r>
      <w:r>
        <w:rPr>
          <w:kern w:val="22"/>
          <w:szCs w:val="22"/>
          <w:lang w:val="fr-CA"/>
        </w:rPr>
        <w:t xml:space="preserve"> avec la mobilisation des ressources, ces conseils pourraient aussi être pris en ligne de compte lors</w:t>
      </w:r>
      <w:r w:rsidR="001C5D05">
        <w:rPr>
          <w:kern w:val="22"/>
          <w:szCs w:val="22"/>
          <w:lang w:val="fr-CA"/>
        </w:rPr>
        <w:t xml:space="preserve"> du développement du</w:t>
      </w:r>
      <w:r>
        <w:rPr>
          <w:kern w:val="22"/>
          <w:szCs w:val="22"/>
          <w:lang w:val="fr-CA"/>
        </w:rPr>
        <w:t xml:space="preserve"> cadre d’établissement des rapports p</w:t>
      </w:r>
      <w:r w:rsidR="00250318">
        <w:rPr>
          <w:kern w:val="22"/>
          <w:szCs w:val="22"/>
          <w:lang w:val="fr-CA"/>
        </w:rPr>
        <w:t>our les arrangements de l’après-</w:t>
      </w:r>
      <w:r>
        <w:rPr>
          <w:kern w:val="22"/>
          <w:szCs w:val="22"/>
          <w:lang w:val="fr-CA"/>
        </w:rPr>
        <w:t>2020 sur les moyens d’</w:t>
      </w:r>
      <w:r w:rsidR="001C5D05">
        <w:rPr>
          <w:kern w:val="22"/>
          <w:szCs w:val="22"/>
          <w:lang w:val="fr-CA"/>
        </w:rPr>
        <w:t>amél</w:t>
      </w:r>
      <w:r>
        <w:rPr>
          <w:kern w:val="22"/>
          <w:szCs w:val="22"/>
          <w:lang w:val="fr-CA"/>
        </w:rPr>
        <w:t>iorer la synergie des rapports nationaux</w:t>
      </w:r>
      <w:r w:rsidR="001C5D05">
        <w:rPr>
          <w:kern w:val="22"/>
          <w:szCs w:val="22"/>
          <w:lang w:val="fr-CA"/>
        </w:rPr>
        <w:t xml:space="preserve"> entre les conventions, conformément au paragraphe 9 de la décision XIII/27</w:t>
      </w:r>
      <w:r w:rsidR="00E345E8" w:rsidRPr="00131775">
        <w:rPr>
          <w:kern w:val="22"/>
          <w:szCs w:val="22"/>
          <w:lang w:val="fr-CA"/>
        </w:rPr>
        <w:t>.</w:t>
      </w:r>
    </w:p>
    <w:p w:rsidR="00885835" w:rsidRPr="001C5D05" w:rsidRDefault="00885835" w:rsidP="00132DF3">
      <w:pPr>
        <w:pStyle w:val="Heading1"/>
        <w:tabs>
          <w:tab w:val="clear" w:pos="720"/>
        </w:tabs>
        <w:spacing w:before="120"/>
        <w:rPr>
          <w:snapToGrid w:val="0"/>
          <w:kern w:val="22"/>
          <w:szCs w:val="22"/>
          <w:lang w:val="fr-CA"/>
        </w:rPr>
      </w:pPr>
      <w:r w:rsidRPr="00132DF3">
        <w:rPr>
          <w:snapToGrid w:val="0"/>
          <w:kern w:val="22"/>
          <w:szCs w:val="22"/>
          <w:lang w:val="en-GB"/>
        </w:rPr>
        <w:lastRenderedPageBreak/>
        <w:t>iv.</w:t>
      </w:r>
      <w:r w:rsidRPr="00132DF3">
        <w:rPr>
          <w:snapToGrid w:val="0"/>
          <w:kern w:val="22"/>
          <w:szCs w:val="22"/>
          <w:lang w:val="en-GB"/>
        </w:rPr>
        <w:tab/>
      </w:r>
      <w:r w:rsidR="001C5D05">
        <w:rPr>
          <w:snapToGrid w:val="0"/>
          <w:kern w:val="22"/>
          <w:szCs w:val="22"/>
          <w:lang w:val="fr-CA"/>
        </w:rPr>
        <w:t>RECOMMANDATION SUGGÉRÉE</w:t>
      </w:r>
    </w:p>
    <w:p w:rsidR="00E345E8" w:rsidRPr="001C5D05" w:rsidRDefault="001C5D05" w:rsidP="00DF567C">
      <w:pPr>
        <w:pStyle w:val="Para1"/>
        <w:tabs>
          <w:tab w:val="clear" w:pos="360"/>
        </w:tabs>
        <w:rPr>
          <w:rFonts w:eastAsia="Batang"/>
          <w:kern w:val="22"/>
          <w:szCs w:val="22"/>
          <w:lang w:val="fr-CA"/>
        </w:rPr>
      </w:pPr>
      <w:r>
        <w:rPr>
          <w:kern w:val="22"/>
          <w:szCs w:val="22"/>
          <w:lang w:val="fr-CA"/>
        </w:rPr>
        <w:t xml:space="preserve">À la lumière </w:t>
      </w:r>
      <w:r w:rsidR="009C2109">
        <w:rPr>
          <w:kern w:val="22"/>
          <w:szCs w:val="22"/>
          <w:lang w:val="fr-CA"/>
        </w:rPr>
        <w:t xml:space="preserve">de la demande du Groupe de travail sur l’article 8 j) formulée au paragraphe 2 de sa recommandation 10/4, </w:t>
      </w:r>
      <w:r w:rsidR="009328EE">
        <w:rPr>
          <w:rFonts w:eastAsia="Batang"/>
          <w:kern w:val="22"/>
          <w:szCs w:val="22"/>
          <w:lang w:val="fr-CA" w:eastAsia="ko-KR"/>
        </w:rPr>
        <w:t xml:space="preserve">l’Organe subsidiaire de mise en œuvre </w:t>
      </w:r>
      <w:r w:rsidR="009C2109">
        <w:rPr>
          <w:rFonts w:eastAsia="Batang"/>
          <w:kern w:val="22"/>
          <w:szCs w:val="22"/>
          <w:lang w:val="fr-CA" w:eastAsia="ko-KR"/>
        </w:rPr>
        <w:t xml:space="preserve">pourrait recommander que la Conférence des Parties adopte, à sa quatorzième réunion, une décision qui ressemble à ce qui suit : </w:t>
      </w:r>
    </w:p>
    <w:p w:rsidR="00E345E8" w:rsidRPr="001C5D05" w:rsidRDefault="009328EE" w:rsidP="00132DF3">
      <w:pPr>
        <w:pStyle w:val="Para1"/>
        <w:keepNext/>
        <w:numPr>
          <w:ilvl w:val="0"/>
          <w:numId w:val="0"/>
        </w:numPr>
        <w:jc w:val="center"/>
        <w:rPr>
          <w:b/>
          <w:kern w:val="22"/>
          <w:szCs w:val="22"/>
          <w:lang w:val="fr-CA"/>
        </w:rPr>
      </w:pPr>
      <w:r>
        <w:rPr>
          <w:b/>
          <w:kern w:val="22"/>
          <w:szCs w:val="22"/>
          <w:lang w:val="fr-CA"/>
        </w:rPr>
        <w:t>Liste indicative non exhaustive des éléments de l’orientation méthodologique pour identifier, suivre et évaluer la contribution des peuples autochtones et des communautés locales à la réalisation des objectifs du Plan stratégique 2011-2020 p</w:t>
      </w:r>
      <w:r w:rsidR="00250318">
        <w:rPr>
          <w:b/>
          <w:kern w:val="22"/>
          <w:szCs w:val="22"/>
          <w:lang w:val="fr-CA"/>
        </w:rPr>
        <w:t>our la diversité biologique et d</w:t>
      </w:r>
      <w:r>
        <w:rPr>
          <w:b/>
          <w:kern w:val="22"/>
          <w:szCs w:val="22"/>
          <w:lang w:val="fr-CA"/>
        </w:rPr>
        <w:t>es Objectifs d’Aichi relatifs à la diversité biologique</w:t>
      </w:r>
    </w:p>
    <w:p w:rsidR="00E345E8" w:rsidRPr="001C5D05" w:rsidRDefault="007E26FB" w:rsidP="00132DF3">
      <w:pPr>
        <w:pStyle w:val="Para1"/>
        <w:numPr>
          <w:ilvl w:val="0"/>
          <w:numId w:val="0"/>
        </w:numPr>
        <w:ind w:firstLine="709"/>
        <w:rPr>
          <w:i/>
          <w:iCs/>
          <w:kern w:val="22"/>
          <w:szCs w:val="22"/>
          <w:lang w:val="fr-CA"/>
        </w:rPr>
      </w:pPr>
      <w:r>
        <w:rPr>
          <w:i/>
          <w:iCs/>
          <w:kern w:val="22"/>
          <w:szCs w:val="22"/>
          <w:lang w:val="fr-CA"/>
        </w:rPr>
        <w:t>La Conférence des</w:t>
      </w:r>
      <w:r w:rsidR="00885835" w:rsidRPr="001C5D05">
        <w:rPr>
          <w:i/>
          <w:iCs/>
          <w:kern w:val="22"/>
          <w:szCs w:val="22"/>
          <w:lang w:val="fr-CA"/>
        </w:rPr>
        <w:t xml:space="preserve"> Parties,</w:t>
      </w:r>
    </w:p>
    <w:p w:rsidR="000A36E3" w:rsidRPr="001C5D05" w:rsidRDefault="007E26FB" w:rsidP="00132DF3">
      <w:pPr>
        <w:pStyle w:val="Para1"/>
        <w:numPr>
          <w:ilvl w:val="0"/>
          <w:numId w:val="0"/>
        </w:numPr>
        <w:ind w:firstLine="709"/>
        <w:rPr>
          <w:rFonts w:eastAsia="Batang"/>
          <w:kern w:val="22"/>
          <w:szCs w:val="22"/>
          <w:lang w:val="fr-CA"/>
        </w:rPr>
      </w:pPr>
      <w:r>
        <w:rPr>
          <w:rFonts w:eastAsia="Batang"/>
          <w:i/>
          <w:kern w:val="22"/>
          <w:szCs w:val="22"/>
          <w:lang w:val="fr-CA"/>
        </w:rPr>
        <w:t xml:space="preserve">Rappelant </w:t>
      </w:r>
      <w:r>
        <w:rPr>
          <w:rFonts w:eastAsia="Batang"/>
          <w:kern w:val="22"/>
          <w:szCs w:val="22"/>
          <w:lang w:val="fr-CA"/>
        </w:rPr>
        <w:t>la décision XIII/20, dans laquelle la Conférence des Parties demande à la Secrétaire exécutive de développer les éléments d’une orientation méthodologique sur la contribution des peuples autochtones et des communautés locales</w:t>
      </w:r>
      <w:r w:rsidR="006A720D" w:rsidRPr="001C5D05">
        <w:rPr>
          <w:rFonts w:eastAsia="Batang"/>
          <w:kern w:val="22"/>
          <w:szCs w:val="22"/>
          <w:lang w:val="fr-CA"/>
        </w:rPr>
        <w:t>,</w:t>
      </w:r>
    </w:p>
    <w:p w:rsidR="00E345E8" w:rsidRPr="001C5D05" w:rsidRDefault="006A720D" w:rsidP="00132DF3">
      <w:pPr>
        <w:spacing w:before="120" w:after="120"/>
        <w:ind w:firstLine="709"/>
        <w:rPr>
          <w:rFonts w:eastAsia="MS Mincho"/>
          <w:snapToGrid w:val="0"/>
          <w:kern w:val="22"/>
          <w:szCs w:val="22"/>
          <w:lang w:val="fr-CA"/>
        </w:rPr>
      </w:pPr>
      <w:r w:rsidRPr="001C5D05">
        <w:rPr>
          <w:iCs/>
          <w:snapToGrid w:val="0"/>
          <w:kern w:val="22"/>
          <w:szCs w:val="22"/>
          <w:lang w:val="fr-CA"/>
        </w:rPr>
        <w:t>1.</w:t>
      </w:r>
      <w:r w:rsidRPr="001C5D05">
        <w:rPr>
          <w:i/>
          <w:iCs/>
          <w:snapToGrid w:val="0"/>
          <w:kern w:val="22"/>
          <w:szCs w:val="22"/>
          <w:lang w:val="fr-CA"/>
        </w:rPr>
        <w:tab/>
      </w:r>
      <w:r w:rsidR="007E26FB">
        <w:rPr>
          <w:i/>
          <w:iCs/>
          <w:snapToGrid w:val="0"/>
          <w:kern w:val="22"/>
          <w:szCs w:val="22"/>
          <w:lang w:val="fr-CA"/>
        </w:rPr>
        <w:t xml:space="preserve">Accueille </w:t>
      </w:r>
      <w:r w:rsidR="007E26FB">
        <w:rPr>
          <w:iCs/>
          <w:snapToGrid w:val="0"/>
          <w:kern w:val="22"/>
          <w:szCs w:val="22"/>
          <w:lang w:val="fr-CA"/>
        </w:rPr>
        <w:t>la li</w:t>
      </w:r>
      <w:r w:rsidR="00250318">
        <w:rPr>
          <w:iCs/>
          <w:snapToGrid w:val="0"/>
          <w:kern w:val="22"/>
          <w:szCs w:val="22"/>
          <w:lang w:val="fr-CA"/>
        </w:rPr>
        <w:t xml:space="preserve">ste indicative non exhaustive des </w:t>
      </w:r>
      <w:r w:rsidR="007E26FB">
        <w:rPr>
          <w:iCs/>
          <w:snapToGrid w:val="0"/>
          <w:kern w:val="22"/>
          <w:szCs w:val="22"/>
          <w:lang w:val="fr-CA"/>
        </w:rPr>
        <w:t>éléments de l’orientation méthodologique pour identifier, suivre et évaluer la contribution</w:t>
      </w:r>
      <w:r w:rsidR="002E1615">
        <w:rPr>
          <w:iCs/>
          <w:snapToGrid w:val="0"/>
          <w:kern w:val="22"/>
          <w:szCs w:val="22"/>
          <w:lang w:val="fr-CA"/>
        </w:rPr>
        <w:t xml:space="preserve"> des peuples autochtones et des communautés locales à la réalisation des objectifs du Plan stratégique 2011-2020 pour la diversité biologique et des Objectifs d’Aichi relatifs à la diversité biologique</w:t>
      </w:r>
      <w:r w:rsidR="007A5DD8">
        <w:rPr>
          <w:iCs/>
          <w:snapToGrid w:val="0"/>
          <w:kern w:val="22"/>
          <w:szCs w:val="22"/>
          <w:lang w:val="fr-CA"/>
        </w:rPr>
        <w:t>;</w:t>
      </w:r>
    </w:p>
    <w:p w:rsidR="00E345E8" w:rsidRPr="001C5D05" w:rsidRDefault="006A720D" w:rsidP="00132DF3">
      <w:pPr>
        <w:spacing w:before="120" w:after="120"/>
        <w:ind w:firstLine="709"/>
        <w:rPr>
          <w:iCs/>
          <w:snapToGrid w:val="0"/>
          <w:kern w:val="22"/>
          <w:szCs w:val="22"/>
          <w:lang w:val="fr-CA"/>
        </w:rPr>
      </w:pPr>
      <w:r w:rsidRPr="001C5D05">
        <w:rPr>
          <w:iCs/>
          <w:snapToGrid w:val="0"/>
          <w:kern w:val="22"/>
          <w:szCs w:val="22"/>
          <w:lang w:val="fr-CA"/>
        </w:rPr>
        <w:t>2</w:t>
      </w:r>
      <w:r w:rsidRPr="001C5D05">
        <w:rPr>
          <w:i/>
          <w:iCs/>
          <w:snapToGrid w:val="0"/>
          <w:kern w:val="22"/>
          <w:szCs w:val="22"/>
          <w:lang w:val="fr-CA"/>
        </w:rPr>
        <w:t>.</w:t>
      </w:r>
      <w:r w:rsidRPr="001C5D05">
        <w:rPr>
          <w:i/>
          <w:iCs/>
          <w:snapToGrid w:val="0"/>
          <w:kern w:val="22"/>
          <w:szCs w:val="22"/>
          <w:lang w:val="fr-CA"/>
        </w:rPr>
        <w:tab/>
      </w:r>
      <w:r w:rsidR="002E1615">
        <w:rPr>
          <w:i/>
          <w:iCs/>
          <w:snapToGrid w:val="0"/>
          <w:kern w:val="22"/>
          <w:szCs w:val="22"/>
          <w:lang w:val="fr-CA"/>
        </w:rPr>
        <w:t xml:space="preserve">Invite </w:t>
      </w:r>
      <w:r w:rsidR="002E1615">
        <w:rPr>
          <w:iCs/>
          <w:snapToGrid w:val="0"/>
          <w:kern w:val="22"/>
          <w:szCs w:val="22"/>
          <w:lang w:val="fr-CA"/>
        </w:rPr>
        <w:t xml:space="preserve">les Parties, les autres gouvernements et les organisations </w:t>
      </w:r>
      <w:r w:rsidR="00250318">
        <w:rPr>
          <w:iCs/>
          <w:snapToGrid w:val="0"/>
          <w:kern w:val="22"/>
          <w:szCs w:val="22"/>
          <w:lang w:val="fr-CA"/>
        </w:rPr>
        <w:t>intéressées</w:t>
      </w:r>
      <w:r w:rsidR="002E1615">
        <w:rPr>
          <w:iCs/>
          <w:snapToGrid w:val="0"/>
          <w:kern w:val="22"/>
          <w:szCs w:val="22"/>
          <w:lang w:val="fr-CA"/>
        </w:rPr>
        <w:t xml:space="preserve"> à utiliser les principes directeurs de l’évaluation de la contribution des mesures collectives des peuples autochtones et des communautés locales, joints en annexe à la décision XIII/20, à envisager d’utiliser la liste indicative non exhaustive des éléments de l’orientation méthodologique jointe en annexe </w:t>
      </w:r>
      <w:r w:rsidR="00E87DFA">
        <w:rPr>
          <w:iCs/>
          <w:snapToGrid w:val="0"/>
          <w:kern w:val="22"/>
          <w:szCs w:val="22"/>
          <w:lang w:val="fr-CA"/>
        </w:rPr>
        <w:t>à la pr</w:t>
      </w:r>
      <w:r w:rsidR="002E1615">
        <w:rPr>
          <w:iCs/>
          <w:snapToGrid w:val="0"/>
          <w:kern w:val="22"/>
          <w:szCs w:val="22"/>
          <w:lang w:val="fr-CA"/>
        </w:rPr>
        <w:t>ésente décision lors de la conception et de l’</w:t>
      </w:r>
      <w:r w:rsidR="00E87DFA">
        <w:rPr>
          <w:iCs/>
          <w:snapToGrid w:val="0"/>
          <w:kern w:val="22"/>
          <w:szCs w:val="22"/>
          <w:lang w:val="fr-CA"/>
        </w:rPr>
        <w:t>application des appro</w:t>
      </w:r>
      <w:r w:rsidR="002E1615">
        <w:rPr>
          <w:iCs/>
          <w:snapToGrid w:val="0"/>
          <w:kern w:val="22"/>
          <w:szCs w:val="22"/>
          <w:lang w:val="fr-CA"/>
        </w:rPr>
        <w:t xml:space="preserve">ches méthodologiques pour évaluer la contribution des peuples autochtones et des communautés locales </w:t>
      </w:r>
      <w:r w:rsidR="00E87DFA">
        <w:rPr>
          <w:iCs/>
          <w:snapToGrid w:val="0"/>
          <w:kern w:val="22"/>
          <w:szCs w:val="22"/>
          <w:lang w:val="fr-CA"/>
        </w:rPr>
        <w:t>à la réalisati</w:t>
      </w:r>
      <w:r w:rsidR="002E1615">
        <w:rPr>
          <w:iCs/>
          <w:snapToGrid w:val="0"/>
          <w:kern w:val="22"/>
          <w:szCs w:val="22"/>
          <w:lang w:val="fr-CA"/>
        </w:rPr>
        <w:t>on des objectifs du Plan stratégique 2011-2020 p</w:t>
      </w:r>
      <w:r w:rsidR="009E31D5">
        <w:rPr>
          <w:iCs/>
          <w:snapToGrid w:val="0"/>
          <w:kern w:val="22"/>
          <w:szCs w:val="22"/>
          <w:lang w:val="fr-CA"/>
        </w:rPr>
        <w:t>our la diversité biologique et d</w:t>
      </w:r>
      <w:r w:rsidR="002E1615">
        <w:rPr>
          <w:iCs/>
          <w:snapToGrid w:val="0"/>
          <w:kern w:val="22"/>
          <w:szCs w:val="22"/>
          <w:lang w:val="fr-CA"/>
        </w:rPr>
        <w:t>es Objectifs d’Aichi relatifs à la diversité biologique</w:t>
      </w:r>
      <w:r w:rsidR="00E87DFA">
        <w:rPr>
          <w:iCs/>
          <w:snapToGrid w:val="0"/>
          <w:kern w:val="22"/>
          <w:szCs w:val="22"/>
          <w:lang w:val="fr-CA"/>
        </w:rPr>
        <w:t xml:space="preserve"> et </w:t>
      </w:r>
      <w:r w:rsidR="00936F98">
        <w:rPr>
          <w:iCs/>
          <w:snapToGrid w:val="0"/>
          <w:kern w:val="22"/>
          <w:szCs w:val="22"/>
          <w:lang w:val="fr-CA"/>
        </w:rPr>
        <w:t>dans la préparation des</w:t>
      </w:r>
      <w:r w:rsidR="00E87DFA">
        <w:rPr>
          <w:iCs/>
          <w:snapToGrid w:val="0"/>
          <w:kern w:val="22"/>
          <w:szCs w:val="22"/>
          <w:lang w:val="fr-CA"/>
        </w:rPr>
        <w:t xml:space="preserve"> rapports soumis par le biais du mécanisme de financement</w:t>
      </w:r>
      <w:r w:rsidRPr="001C5D05">
        <w:rPr>
          <w:iCs/>
          <w:snapToGrid w:val="0"/>
          <w:kern w:val="22"/>
          <w:szCs w:val="22"/>
          <w:lang w:val="fr-CA"/>
        </w:rPr>
        <w:t>.</w:t>
      </w:r>
    </w:p>
    <w:p w:rsidR="00DA3A23" w:rsidRPr="001C5D05" w:rsidRDefault="00DA3A23" w:rsidP="00132DF3">
      <w:pPr>
        <w:keepNext/>
        <w:spacing w:before="120" w:after="120"/>
        <w:jc w:val="center"/>
        <w:rPr>
          <w:b/>
          <w:snapToGrid w:val="0"/>
          <w:kern w:val="22"/>
          <w:lang w:val="fr-CA"/>
        </w:rPr>
      </w:pPr>
      <w:r w:rsidRPr="001C5D05">
        <w:rPr>
          <w:bCs/>
          <w:i/>
          <w:snapToGrid w:val="0"/>
          <w:kern w:val="22"/>
          <w:szCs w:val="22"/>
          <w:lang w:val="fr-CA"/>
        </w:rPr>
        <w:t>Annex</w:t>
      </w:r>
      <w:r w:rsidR="00E87DFA">
        <w:rPr>
          <w:bCs/>
          <w:i/>
          <w:snapToGrid w:val="0"/>
          <w:kern w:val="22"/>
          <w:szCs w:val="22"/>
          <w:lang w:val="fr-CA"/>
        </w:rPr>
        <w:t>e</w:t>
      </w:r>
    </w:p>
    <w:p w:rsidR="00885835" w:rsidRPr="001C5D05" w:rsidRDefault="00E87DFA" w:rsidP="00132DF3">
      <w:pPr>
        <w:keepNext/>
        <w:spacing w:before="120" w:after="120"/>
        <w:jc w:val="center"/>
        <w:rPr>
          <w:b/>
          <w:snapToGrid w:val="0"/>
          <w:kern w:val="22"/>
          <w:lang w:val="fr-CA"/>
        </w:rPr>
      </w:pPr>
      <w:r>
        <w:rPr>
          <w:b/>
          <w:snapToGrid w:val="0"/>
          <w:kern w:val="22"/>
          <w:lang w:val="fr-CA"/>
        </w:rPr>
        <w:t>LISTE DES ÉLÉMENTS DE L’ORIENTATION MÉTHODOLOGIQUE</w:t>
      </w:r>
    </w:p>
    <w:p w:rsidR="00885835" w:rsidRPr="001C5D05" w:rsidRDefault="000F5014" w:rsidP="00132DF3">
      <w:pPr>
        <w:keepNext/>
        <w:spacing w:before="120" w:after="120"/>
        <w:ind w:firstLine="720"/>
        <w:rPr>
          <w:iCs/>
          <w:snapToGrid w:val="0"/>
          <w:kern w:val="22"/>
          <w:szCs w:val="22"/>
          <w:lang w:val="fr-CA"/>
        </w:rPr>
      </w:pPr>
      <w:r>
        <w:rPr>
          <w:iCs/>
          <w:snapToGrid w:val="0"/>
          <w:kern w:val="22"/>
          <w:szCs w:val="22"/>
          <w:lang w:val="fr-CA"/>
        </w:rPr>
        <w:t>Les approches méthodologiques pour identifier, suivre et évaluer la contribution des peuples autochtones et des communautés locales à la réalisation des objectifs du Plan stratégique 2011-2020 pour la d</w:t>
      </w:r>
      <w:r w:rsidR="009E31D5">
        <w:rPr>
          <w:iCs/>
          <w:snapToGrid w:val="0"/>
          <w:kern w:val="22"/>
          <w:szCs w:val="22"/>
          <w:lang w:val="fr-CA"/>
        </w:rPr>
        <w:t>iversité biologique et d</w:t>
      </w:r>
      <w:r>
        <w:rPr>
          <w:iCs/>
          <w:snapToGrid w:val="0"/>
          <w:kern w:val="22"/>
          <w:szCs w:val="22"/>
          <w:lang w:val="fr-CA"/>
        </w:rPr>
        <w:t xml:space="preserve">es Objectifs d’Aichi relatifs à la diversité biologique </w:t>
      </w:r>
      <w:r w:rsidR="00535893">
        <w:rPr>
          <w:iCs/>
          <w:snapToGrid w:val="0"/>
          <w:kern w:val="22"/>
          <w:szCs w:val="22"/>
          <w:lang w:val="fr-CA"/>
        </w:rPr>
        <w:t xml:space="preserve">devraient </w:t>
      </w:r>
      <w:r>
        <w:rPr>
          <w:iCs/>
          <w:snapToGrid w:val="0"/>
          <w:kern w:val="22"/>
          <w:szCs w:val="22"/>
          <w:lang w:val="fr-CA"/>
        </w:rPr>
        <w:t xml:space="preserve">appliquer les principes directeurs contenus dans la décision XIII/20 de la Conférence des Parties à la Convention sur la diversité biologique afin d’encadrer et de diriger la conception de telles méthodologies, et </w:t>
      </w:r>
      <w:r w:rsidR="00535893">
        <w:rPr>
          <w:iCs/>
          <w:snapToGrid w:val="0"/>
          <w:kern w:val="22"/>
          <w:szCs w:val="22"/>
          <w:lang w:val="fr-CA"/>
        </w:rPr>
        <w:t xml:space="preserve">respecter la liste </w:t>
      </w:r>
      <w:r>
        <w:rPr>
          <w:iCs/>
          <w:snapToGrid w:val="0"/>
          <w:kern w:val="22"/>
          <w:szCs w:val="22"/>
          <w:lang w:val="fr-CA"/>
        </w:rPr>
        <w:t xml:space="preserve">indicative non exhaustive </w:t>
      </w:r>
      <w:r w:rsidR="00535893">
        <w:rPr>
          <w:iCs/>
          <w:snapToGrid w:val="0"/>
          <w:kern w:val="22"/>
          <w:szCs w:val="22"/>
          <w:lang w:val="fr-CA"/>
        </w:rPr>
        <w:t xml:space="preserve">d’éléments méthodologiques </w:t>
      </w:r>
      <w:r>
        <w:rPr>
          <w:iCs/>
          <w:snapToGrid w:val="0"/>
          <w:kern w:val="22"/>
          <w:szCs w:val="22"/>
          <w:lang w:val="fr-CA"/>
        </w:rPr>
        <w:t>suivante</w:t>
      </w:r>
      <w:r w:rsidR="00535893">
        <w:rPr>
          <w:iCs/>
          <w:snapToGrid w:val="0"/>
          <w:kern w:val="22"/>
          <w:szCs w:val="22"/>
          <w:lang w:val="fr-CA"/>
        </w:rPr>
        <w:t xml:space="preserve"> pour la conception et l’application </w:t>
      </w:r>
      <w:r w:rsidR="009E31D5">
        <w:rPr>
          <w:iCs/>
          <w:snapToGrid w:val="0"/>
          <w:kern w:val="22"/>
          <w:szCs w:val="22"/>
          <w:lang w:val="fr-CA"/>
        </w:rPr>
        <w:t xml:space="preserve">de </w:t>
      </w:r>
      <w:r w:rsidR="00535893">
        <w:rPr>
          <w:iCs/>
          <w:snapToGrid w:val="0"/>
          <w:kern w:val="22"/>
          <w:szCs w:val="22"/>
          <w:lang w:val="fr-CA"/>
        </w:rPr>
        <w:t>ces méthodologies</w:t>
      </w:r>
      <w:r w:rsidR="00C50BA4">
        <w:rPr>
          <w:iCs/>
          <w:snapToGrid w:val="0"/>
          <w:kern w:val="22"/>
          <w:szCs w:val="22"/>
          <w:lang w:val="fr-CA"/>
        </w:rPr>
        <w:t> </w:t>
      </w:r>
      <w:r w:rsidR="00885835" w:rsidRPr="001C5D05">
        <w:rPr>
          <w:iCs/>
          <w:snapToGrid w:val="0"/>
          <w:kern w:val="22"/>
          <w:szCs w:val="22"/>
          <w:lang w:val="fr-CA"/>
        </w:rPr>
        <w:t>:</w:t>
      </w:r>
    </w:p>
    <w:p w:rsidR="00374F0E" w:rsidRPr="001C5D05" w:rsidRDefault="00535893" w:rsidP="00132DF3">
      <w:pPr>
        <w:pStyle w:val="Para1"/>
        <w:numPr>
          <w:ilvl w:val="1"/>
          <w:numId w:val="3"/>
        </w:numPr>
        <w:tabs>
          <w:tab w:val="clear" w:pos="1440"/>
        </w:tabs>
        <w:spacing w:before="0"/>
        <w:rPr>
          <w:kern w:val="22"/>
          <w:lang w:val="fr-CA"/>
        </w:rPr>
      </w:pPr>
      <w:r>
        <w:rPr>
          <w:kern w:val="22"/>
          <w:lang w:val="fr-CA"/>
        </w:rPr>
        <w:t>Reconnaître et inclure à part entière les connaissances traditionnelles, afin d’assurer la complémentarité des systèmes de connaiss</w:t>
      </w:r>
      <w:r w:rsidR="00E42721">
        <w:rPr>
          <w:kern w:val="22"/>
          <w:lang w:val="fr-CA"/>
        </w:rPr>
        <w:t>a</w:t>
      </w:r>
      <w:r>
        <w:rPr>
          <w:kern w:val="22"/>
          <w:lang w:val="fr-CA"/>
        </w:rPr>
        <w:t>nces, la création de conditions pour un dialogue efficace entre les systèmes de connaissances, y compris la science, et les processus qui favorisent la co</w:t>
      </w:r>
      <w:r w:rsidR="00E42721">
        <w:rPr>
          <w:kern w:val="22"/>
          <w:lang w:val="fr-CA"/>
        </w:rPr>
        <w:t>-</w:t>
      </w:r>
      <w:r>
        <w:rPr>
          <w:kern w:val="22"/>
          <w:lang w:val="fr-CA"/>
        </w:rPr>
        <w:t>création de connaissances dès le départ</w:t>
      </w:r>
      <w:r w:rsidR="007A5DD8">
        <w:rPr>
          <w:kern w:val="22"/>
          <w:lang w:val="fr-CA"/>
        </w:rPr>
        <w:t>;</w:t>
      </w:r>
    </w:p>
    <w:p w:rsidR="00374F0E" w:rsidRPr="001C5D05" w:rsidRDefault="00E42721" w:rsidP="00132DF3">
      <w:pPr>
        <w:pStyle w:val="Para1"/>
        <w:numPr>
          <w:ilvl w:val="1"/>
          <w:numId w:val="3"/>
        </w:numPr>
        <w:tabs>
          <w:tab w:val="clear" w:pos="1440"/>
        </w:tabs>
        <w:spacing w:before="0"/>
        <w:rPr>
          <w:kern w:val="22"/>
          <w:lang w:val="fr-CA"/>
        </w:rPr>
      </w:pPr>
      <w:r>
        <w:rPr>
          <w:kern w:val="22"/>
          <w:lang w:val="fr-CA"/>
        </w:rPr>
        <w:t>Inclure une vaste gamme d’approches méthodologiques, en fonction de la spécificité des contextes, en tenant compte de la diversité des circonstances nationales et de la diversité culturelle des peuples autochtones et des communautés locales, et les appliquer en les adaptant aux circonstances locales</w:t>
      </w:r>
      <w:r w:rsidR="007A5DD8">
        <w:rPr>
          <w:kern w:val="22"/>
          <w:lang w:val="fr-CA"/>
        </w:rPr>
        <w:t>;</w:t>
      </w:r>
    </w:p>
    <w:p w:rsidR="00374F0E" w:rsidRPr="001C5D05" w:rsidRDefault="00E42721" w:rsidP="00132DF3">
      <w:pPr>
        <w:pStyle w:val="Para1"/>
        <w:numPr>
          <w:ilvl w:val="1"/>
          <w:numId w:val="3"/>
        </w:numPr>
        <w:tabs>
          <w:tab w:val="clear" w:pos="1440"/>
        </w:tabs>
        <w:spacing w:before="0"/>
        <w:rPr>
          <w:kern w:val="22"/>
          <w:lang w:val="fr-CA"/>
        </w:rPr>
      </w:pPr>
      <w:r>
        <w:rPr>
          <w:kern w:val="22"/>
          <w:lang w:val="fr-CA"/>
        </w:rPr>
        <w:t xml:space="preserve">Reconnaître les nombreuses perspectives et les points de vue mondiaux en lien avec les valeurs, à savoir les valeurs sociales, économiques, culturelles et spirituelles, </w:t>
      </w:r>
      <w:r w:rsidR="00EB468C">
        <w:rPr>
          <w:kern w:val="22"/>
          <w:lang w:val="fr-CA"/>
        </w:rPr>
        <w:t xml:space="preserve">relatifs à la conservation et </w:t>
      </w:r>
      <w:r w:rsidR="00EB468C">
        <w:rPr>
          <w:kern w:val="22"/>
          <w:lang w:val="fr-CA"/>
        </w:rPr>
        <w:lastRenderedPageBreak/>
        <w:t>l’utilisation durable de la diversité biologique, et les intégrer dans le choix des approches et des outils méthodologiques</w:t>
      </w:r>
      <w:r w:rsidR="007A5DD8">
        <w:rPr>
          <w:kern w:val="22"/>
          <w:lang w:val="fr-CA"/>
        </w:rPr>
        <w:t>;</w:t>
      </w:r>
    </w:p>
    <w:p w:rsidR="00374F0E" w:rsidRPr="001C5D05" w:rsidRDefault="00EB468C" w:rsidP="00132DF3">
      <w:pPr>
        <w:pStyle w:val="Para1"/>
        <w:numPr>
          <w:ilvl w:val="1"/>
          <w:numId w:val="3"/>
        </w:numPr>
        <w:tabs>
          <w:tab w:val="clear" w:pos="1440"/>
        </w:tabs>
        <w:spacing w:before="0"/>
        <w:rPr>
          <w:kern w:val="22"/>
          <w:lang w:val="fr-CA"/>
        </w:rPr>
      </w:pPr>
      <w:r>
        <w:rPr>
          <w:kern w:val="22"/>
          <w:lang w:val="fr-CA"/>
        </w:rPr>
        <w:t>Utiliser des méthodes mixtes pour la recherche et les autres méthodologies pouvant fonctionner avec différents types de donnée</w:t>
      </w:r>
      <w:r w:rsidR="00F214DC">
        <w:rPr>
          <w:kern w:val="22"/>
          <w:lang w:val="fr-CA"/>
        </w:rPr>
        <w:t>s</w:t>
      </w:r>
      <w:r>
        <w:rPr>
          <w:kern w:val="22"/>
          <w:lang w:val="fr-CA"/>
        </w:rPr>
        <w:t>, notamment la combinaison de données et d’informations quantitatives et qualitatives</w:t>
      </w:r>
      <w:r w:rsidR="007A5DD8">
        <w:rPr>
          <w:kern w:val="22"/>
          <w:lang w:val="fr-CA"/>
        </w:rPr>
        <w:t>;</w:t>
      </w:r>
    </w:p>
    <w:p w:rsidR="00374F0E" w:rsidRPr="001C5D05" w:rsidRDefault="00EB468C" w:rsidP="00132DF3">
      <w:pPr>
        <w:pStyle w:val="Para1"/>
        <w:numPr>
          <w:ilvl w:val="1"/>
          <w:numId w:val="3"/>
        </w:numPr>
        <w:tabs>
          <w:tab w:val="clear" w:pos="1440"/>
        </w:tabs>
        <w:spacing w:before="0"/>
        <w:rPr>
          <w:kern w:val="22"/>
          <w:lang w:val="fr-CA"/>
        </w:rPr>
      </w:pPr>
      <w:r>
        <w:rPr>
          <w:kern w:val="22"/>
          <w:lang w:val="fr-CA"/>
        </w:rPr>
        <w:t xml:space="preserve">Appliquer les approches, processus et outils </w:t>
      </w:r>
      <w:r w:rsidR="00F214DC">
        <w:rPr>
          <w:kern w:val="22"/>
          <w:lang w:val="fr-CA"/>
        </w:rPr>
        <w:t>utilisés sur</w:t>
      </w:r>
      <w:r>
        <w:rPr>
          <w:kern w:val="22"/>
          <w:lang w:val="fr-CA"/>
        </w:rPr>
        <w:t xml:space="preserve"> pl</w:t>
      </w:r>
      <w:r w:rsidR="00F214DC">
        <w:rPr>
          <w:kern w:val="22"/>
          <w:lang w:val="fr-CA"/>
        </w:rPr>
        <w:t>usieurs échelles, afin de saisir</w:t>
      </w:r>
      <w:r>
        <w:rPr>
          <w:kern w:val="22"/>
          <w:lang w:val="fr-CA"/>
        </w:rPr>
        <w:t xml:space="preserve"> et d’évaluer la situation locale tout en considérant les liens </w:t>
      </w:r>
      <w:r w:rsidR="001B6490">
        <w:rPr>
          <w:kern w:val="22"/>
          <w:lang w:val="fr-CA"/>
        </w:rPr>
        <w:t>à l’intérieur du</w:t>
      </w:r>
      <w:r>
        <w:rPr>
          <w:kern w:val="22"/>
          <w:lang w:val="fr-CA"/>
        </w:rPr>
        <w:t xml:space="preserve"> paysage et avec les cadres de politique nationaux et infranationaux</w:t>
      </w:r>
      <w:r w:rsidR="007A5DD8">
        <w:rPr>
          <w:kern w:val="22"/>
          <w:lang w:val="fr-CA"/>
        </w:rPr>
        <w:t>;</w:t>
      </w:r>
    </w:p>
    <w:p w:rsidR="00374F0E" w:rsidRPr="001C5D05" w:rsidRDefault="00C83841" w:rsidP="00132DF3">
      <w:pPr>
        <w:pStyle w:val="Para1"/>
        <w:numPr>
          <w:ilvl w:val="1"/>
          <w:numId w:val="3"/>
        </w:numPr>
        <w:tabs>
          <w:tab w:val="clear" w:pos="1440"/>
        </w:tabs>
        <w:spacing w:before="0"/>
        <w:rPr>
          <w:kern w:val="22"/>
          <w:lang w:val="fr-CA"/>
        </w:rPr>
      </w:pPr>
      <w:r>
        <w:rPr>
          <w:kern w:val="22"/>
          <w:lang w:val="fr-CA"/>
        </w:rPr>
        <w:t xml:space="preserve">Mettre à l’essai et </w:t>
      </w:r>
      <w:r w:rsidR="00F214DC">
        <w:rPr>
          <w:kern w:val="22"/>
          <w:lang w:val="fr-CA"/>
        </w:rPr>
        <w:t>peaufiner</w:t>
      </w:r>
      <w:r>
        <w:rPr>
          <w:kern w:val="22"/>
          <w:lang w:val="fr-CA"/>
        </w:rPr>
        <w:t xml:space="preserve"> les approches méthodologiques au moyen de projets pilotes, </w:t>
      </w:r>
      <w:r w:rsidR="00F214DC">
        <w:rPr>
          <w:kern w:val="22"/>
          <w:lang w:val="fr-CA"/>
        </w:rPr>
        <w:t xml:space="preserve">en </w:t>
      </w:r>
      <w:r>
        <w:rPr>
          <w:kern w:val="22"/>
          <w:lang w:val="fr-CA"/>
        </w:rPr>
        <w:t>reconnaissant qu’il s’agit d’un champ d’activité en émergence et qu’elles doivent être développées à partir des enseignements tirés des expériences et d’une diversité de contextes</w:t>
      </w:r>
      <w:r w:rsidR="007A5DD8">
        <w:rPr>
          <w:kern w:val="22"/>
          <w:lang w:val="fr-CA"/>
        </w:rPr>
        <w:t>;</w:t>
      </w:r>
    </w:p>
    <w:p w:rsidR="00374F0E" w:rsidRPr="001C5D05" w:rsidRDefault="00C83841" w:rsidP="00132DF3">
      <w:pPr>
        <w:pStyle w:val="Para1"/>
        <w:numPr>
          <w:ilvl w:val="1"/>
          <w:numId w:val="3"/>
        </w:numPr>
        <w:tabs>
          <w:tab w:val="clear" w:pos="1440"/>
        </w:tabs>
        <w:spacing w:before="0"/>
        <w:rPr>
          <w:kern w:val="22"/>
          <w:lang w:val="fr-CA"/>
        </w:rPr>
      </w:pPr>
      <w:r>
        <w:rPr>
          <w:kern w:val="22"/>
          <w:lang w:val="fr-CA"/>
        </w:rPr>
        <w:t>Assurer la participation entière et efficace des peuples autochtones et des communautés locales tout au long du processus de développement et d’application des approches, en portant une attention particulière à la participation des femmes, des jeunes, des aînés et de tous les autres groupes qui forment la communauté</w:t>
      </w:r>
      <w:r w:rsidR="007A5DD8">
        <w:rPr>
          <w:kern w:val="22"/>
          <w:lang w:val="fr-CA"/>
        </w:rPr>
        <w:t>;</w:t>
      </w:r>
    </w:p>
    <w:p w:rsidR="00374F0E" w:rsidRPr="001C5D05" w:rsidRDefault="00C83841" w:rsidP="00C83841">
      <w:pPr>
        <w:pStyle w:val="Para1"/>
        <w:numPr>
          <w:ilvl w:val="1"/>
          <w:numId w:val="3"/>
        </w:numPr>
        <w:tabs>
          <w:tab w:val="clear" w:pos="1440"/>
        </w:tabs>
        <w:spacing w:before="0"/>
        <w:rPr>
          <w:kern w:val="22"/>
          <w:lang w:val="fr-CA"/>
        </w:rPr>
      </w:pPr>
      <w:r>
        <w:rPr>
          <w:kern w:val="22"/>
          <w:lang w:val="fr-CA"/>
        </w:rPr>
        <w:t xml:space="preserve">Encourager les interactions intergénérationnelles pendant le processus d’évaluation, en faisant participer les jeunes, les aînés et les autres groupes, afin de stimuler l’apprentissage et de contribuer à la protection et </w:t>
      </w:r>
      <w:r w:rsidR="00F214DC">
        <w:rPr>
          <w:kern w:val="22"/>
          <w:lang w:val="fr-CA"/>
        </w:rPr>
        <w:t xml:space="preserve">à </w:t>
      </w:r>
      <w:r>
        <w:rPr>
          <w:kern w:val="22"/>
          <w:lang w:val="fr-CA"/>
        </w:rPr>
        <w:t>la promotion du transfert intergénérationnel des connaissances traditionnelles, des innovations et des pratiques</w:t>
      </w:r>
      <w:r w:rsidR="007A5DD8">
        <w:rPr>
          <w:kern w:val="22"/>
          <w:lang w:val="fr-CA"/>
        </w:rPr>
        <w:t>;</w:t>
      </w:r>
    </w:p>
    <w:p w:rsidR="00374F0E" w:rsidRPr="001C5D05" w:rsidRDefault="00F036BB" w:rsidP="00132DF3">
      <w:pPr>
        <w:pStyle w:val="Para1"/>
        <w:numPr>
          <w:ilvl w:val="1"/>
          <w:numId w:val="3"/>
        </w:numPr>
        <w:tabs>
          <w:tab w:val="clear" w:pos="1440"/>
        </w:tabs>
        <w:spacing w:before="0"/>
        <w:rPr>
          <w:kern w:val="22"/>
          <w:lang w:val="fr-CA"/>
        </w:rPr>
      </w:pPr>
      <w:r>
        <w:rPr>
          <w:kern w:val="22"/>
          <w:lang w:val="fr-CA"/>
        </w:rPr>
        <w:t xml:space="preserve">Inclure </w:t>
      </w:r>
      <w:r w:rsidR="00F214DC">
        <w:rPr>
          <w:kern w:val="22"/>
          <w:lang w:val="fr-CA"/>
        </w:rPr>
        <w:t>dans l’évaluation</w:t>
      </w:r>
      <w:r>
        <w:rPr>
          <w:kern w:val="22"/>
          <w:lang w:val="fr-CA"/>
        </w:rPr>
        <w:t xml:space="preserve"> l’analyse des rôles selon le sexe et découvrir des occasions et des conditions pour améliorer l’équité entre les sexes</w:t>
      </w:r>
      <w:r w:rsidR="007A5DD8">
        <w:rPr>
          <w:kern w:val="22"/>
          <w:lang w:val="fr-CA"/>
        </w:rPr>
        <w:t>;</w:t>
      </w:r>
    </w:p>
    <w:p w:rsidR="00374F0E" w:rsidRPr="001C5D05" w:rsidRDefault="00F036BB" w:rsidP="00132DF3">
      <w:pPr>
        <w:pStyle w:val="Para1"/>
        <w:numPr>
          <w:ilvl w:val="1"/>
          <w:numId w:val="3"/>
        </w:numPr>
        <w:tabs>
          <w:tab w:val="clear" w:pos="1440"/>
        </w:tabs>
        <w:spacing w:before="0"/>
        <w:rPr>
          <w:kern w:val="22"/>
          <w:lang w:val="fr-CA"/>
        </w:rPr>
      </w:pPr>
      <w:r>
        <w:rPr>
          <w:kern w:val="22"/>
          <w:lang w:val="fr-CA"/>
        </w:rPr>
        <w:t>Reconnaître que les mesures collectives sont liées à l’utilisation durable coutumière</w:t>
      </w:r>
      <w:r w:rsidR="0054084B">
        <w:rPr>
          <w:kern w:val="22"/>
          <w:lang w:val="fr-CA"/>
        </w:rPr>
        <w:t xml:space="preserve">, que les résultats </w:t>
      </w:r>
      <w:r w:rsidR="0082603D">
        <w:rPr>
          <w:kern w:val="22"/>
          <w:lang w:val="fr-CA"/>
        </w:rPr>
        <w:t xml:space="preserve">peuvent être </w:t>
      </w:r>
      <w:r w:rsidR="0054084B">
        <w:rPr>
          <w:kern w:val="22"/>
          <w:lang w:val="fr-CA"/>
        </w:rPr>
        <w:t>vastes</w:t>
      </w:r>
      <w:r w:rsidR="0082603D">
        <w:rPr>
          <w:kern w:val="22"/>
          <w:lang w:val="fr-CA"/>
        </w:rPr>
        <w:t xml:space="preserve"> et qu’</w:t>
      </w:r>
      <w:r w:rsidR="0054084B">
        <w:rPr>
          <w:kern w:val="22"/>
          <w:lang w:val="fr-CA"/>
        </w:rPr>
        <w:t>ils englobent des él</w:t>
      </w:r>
      <w:r w:rsidR="0082603D">
        <w:rPr>
          <w:kern w:val="22"/>
          <w:lang w:val="fr-CA"/>
        </w:rPr>
        <w:t xml:space="preserve">éments tels que </w:t>
      </w:r>
      <w:r>
        <w:rPr>
          <w:kern w:val="22"/>
          <w:lang w:val="fr-CA"/>
        </w:rPr>
        <w:t>la subsistance et la sécurité des aliments</w:t>
      </w:r>
      <w:r w:rsidR="0054084B">
        <w:rPr>
          <w:kern w:val="22"/>
          <w:lang w:val="fr-CA"/>
        </w:rPr>
        <w:t>, ainsi que le bien-être psychologique et physique</w:t>
      </w:r>
      <w:r w:rsidR="007A5DD8">
        <w:rPr>
          <w:kern w:val="22"/>
          <w:lang w:val="fr-CA"/>
        </w:rPr>
        <w:t>;</w:t>
      </w:r>
    </w:p>
    <w:p w:rsidR="00374F0E" w:rsidRPr="00F036BB" w:rsidRDefault="00F036BB" w:rsidP="00132DF3">
      <w:pPr>
        <w:pStyle w:val="Para1"/>
        <w:numPr>
          <w:ilvl w:val="1"/>
          <w:numId w:val="3"/>
        </w:numPr>
        <w:tabs>
          <w:tab w:val="clear" w:pos="1440"/>
        </w:tabs>
        <w:spacing w:before="0"/>
        <w:rPr>
          <w:kern w:val="22"/>
          <w:lang w:val="fr-CA"/>
        </w:rPr>
      </w:pPr>
      <w:r w:rsidRPr="00F036BB">
        <w:rPr>
          <w:kern w:val="22"/>
          <w:lang w:val="fr-CA"/>
        </w:rPr>
        <w:t>Chercher à contribuer à la reconnaissance des droits, s</w:t>
      </w:r>
      <w:r w:rsidR="00C93FDF">
        <w:rPr>
          <w:kern w:val="22"/>
          <w:lang w:val="fr-CA"/>
        </w:rPr>
        <w:t>urtout l</w:t>
      </w:r>
      <w:r w:rsidRPr="00F036BB">
        <w:rPr>
          <w:kern w:val="22"/>
          <w:lang w:val="fr-CA"/>
        </w:rPr>
        <w:t>e régime foncier</w:t>
      </w:r>
      <w:r w:rsidR="00C93FDF" w:rsidRPr="00132DF3">
        <w:rPr>
          <w:rStyle w:val="FootnoteReference"/>
          <w:kern w:val="22"/>
        </w:rPr>
        <w:footnoteReference w:id="36"/>
      </w:r>
      <w:r w:rsidR="004C6858" w:rsidRPr="00F036BB">
        <w:rPr>
          <w:kern w:val="22"/>
          <w:lang w:val="fr-CA"/>
        </w:rPr>
        <w:t xml:space="preserve"> </w:t>
      </w:r>
      <w:r>
        <w:rPr>
          <w:kern w:val="22"/>
          <w:lang w:val="fr-CA"/>
        </w:rPr>
        <w:t>et l’accès aux ressources coutumières</w:t>
      </w:r>
      <w:r w:rsidR="00D015DE">
        <w:rPr>
          <w:kern w:val="22"/>
          <w:lang w:val="fr-CA"/>
        </w:rPr>
        <w:t>,</w:t>
      </w:r>
      <w:r w:rsidR="00C93FDF" w:rsidRPr="00132DF3">
        <w:rPr>
          <w:rStyle w:val="FootnoteReference"/>
          <w:kern w:val="22"/>
        </w:rPr>
        <w:footnoteReference w:id="37"/>
      </w:r>
      <w:r>
        <w:rPr>
          <w:kern w:val="22"/>
          <w:lang w:val="fr-CA"/>
        </w:rPr>
        <w:t xml:space="preserve"> et leur influence sur l’efficacité des mesures collectives, </w:t>
      </w:r>
      <w:r w:rsidR="00D015DE">
        <w:rPr>
          <w:kern w:val="22"/>
          <w:lang w:val="fr-CA"/>
        </w:rPr>
        <w:t>grâce à</w:t>
      </w:r>
      <w:r w:rsidR="00C93FDF">
        <w:rPr>
          <w:kern w:val="22"/>
          <w:lang w:val="fr-CA"/>
        </w:rPr>
        <w:t xml:space="preserve"> la responsabilisation communautaire pour l’avancement de la sécurité des régimes fonciers et de l’accès</w:t>
      </w:r>
      <w:r w:rsidR="007A5DD8">
        <w:rPr>
          <w:kern w:val="22"/>
          <w:lang w:val="fr-CA"/>
        </w:rPr>
        <w:t>;</w:t>
      </w:r>
    </w:p>
    <w:p w:rsidR="00374F0E" w:rsidRPr="001C5D05" w:rsidRDefault="0014374B" w:rsidP="00132DF3">
      <w:pPr>
        <w:pStyle w:val="Para1"/>
        <w:numPr>
          <w:ilvl w:val="1"/>
          <w:numId w:val="3"/>
        </w:numPr>
        <w:tabs>
          <w:tab w:val="clear" w:pos="1440"/>
        </w:tabs>
        <w:spacing w:before="0"/>
        <w:rPr>
          <w:kern w:val="22"/>
          <w:lang w:val="fr-CA"/>
        </w:rPr>
      </w:pPr>
      <w:r>
        <w:rPr>
          <w:kern w:val="22"/>
          <w:lang w:val="fr-CA"/>
        </w:rPr>
        <w:t xml:space="preserve">Inclure d’autres éléments pertinents d’évaluations </w:t>
      </w:r>
      <w:r w:rsidR="00D015DE">
        <w:rPr>
          <w:kern w:val="22"/>
          <w:lang w:val="fr-CA"/>
        </w:rPr>
        <w:t>de la gouvernance</w:t>
      </w:r>
      <w:r>
        <w:rPr>
          <w:kern w:val="22"/>
          <w:lang w:val="fr-CA"/>
        </w:rPr>
        <w:t>, spécifiquement le rôle, les caractéristiques et la vitalité des systèmes de gouvernance coutumière</w:t>
      </w:r>
      <w:r w:rsidR="00374F0E" w:rsidRPr="001C5D05">
        <w:rPr>
          <w:kern w:val="22"/>
          <w:lang w:val="fr-CA"/>
        </w:rPr>
        <w:t>;</w:t>
      </w:r>
    </w:p>
    <w:p w:rsidR="00374F0E" w:rsidRPr="001C5D05" w:rsidRDefault="0014374B" w:rsidP="00132DF3">
      <w:pPr>
        <w:pStyle w:val="Para1"/>
        <w:numPr>
          <w:ilvl w:val="1"/>
          <w:numId w:val="3"/>
        </w:numPr>
        <w:tabs>
          <w:tab w:val="clear" w:pos="1440"/>
        </w:tabs>
        <w:spacing w:before="0"/>
        <w:rPr>
          <w:kern w:val="22"/>
          <w:lang w:val="fr-CA"/>
        </w:rPr>
      </w:pPr>
      <w:r>
        <w:rPr>
          <w:kern w:val="22"/>
          <w:lang w:val="fr-CA"/>
        </w:rPr>
        <w:t xml:space="preserve">Inclure dans </w:t>
      </w:r>
      <w:r w:rsidR="00D015DE">
        <w:rPr>
          <w:kern w:val="22"/>
          <w:lang w:val="fr-CA"/>
        </w:rPr>
        <w:t>l’évaluation</w:t>
      </w:r>
      <w:r>
        <w:rPr>
          <w:kern w:val="22"/>
          <w:lang w:val="fr-CA"/>
        </w:rPr>
        <w:t xml:space="preserve"> le repérage des conflits réels ou potentiels influençant les mesures </w:t>
      </w:r>
      <w:r w:rsidR="00515AC4">
        <w:rPr>
          <w:kern w:val="22"/>
          <w:lang w:val="fr-CA"/>
        </w:rPr>
        <w:t>c</w:t>
      </w:r>
      <w:r w:rsidR="00D015DE">
        <w:rPr>
          <w:kern w:val="22"/>
          <w:lang w:val="fr-CA"/>
        </w:rPr>
        <w:t>ollectives, utiliser le processus d’évaluation pour améliorer le dialogue entre les groupes pouvant</w:t>
      </w:r>
      <w:r>
        <w:rPr>
          <w:kern w:val="22"/>
          <w:lang w:val="fr-CA"/>
        </w:rPr>
        <w:t xml:space="preserve"> avoir des intérêts opposés, et découvrir d’autres occasions de régler les différends</w:t>
      </w:r>
      <w:r w:rsidR="00515AC4">
        <w:rPr>
          <w:kern w:val="22"/>
          <w:lang w:val="fr-CA"/>
        </w:rPr>
        <w:t xml:space="preserve"> par l</w:t>
      </w:r>
      <w:r w:rsidR="007A5DD8">
        <w:rPr>
          <w:kern w:val="22"/>
          <w:lang w:val="fr-CA"/>
        </w:rPr>
        <w:t>e</w:t>
      </w:r>
      <w:r w:rsidR="00515AC4">
        <w:rPr>
          <w:kern w:val="22"/>
          <w:lang w:val="fr-CA"/>
        </w:rPr>
        <w:t xml:space="preserve"> dialogue et la coopération, de même que les mécanismes de règlement des différends convenables sur le plan culturel</w:t>
      </w:r>
      <w:r w:rsidR="007A5DD8">
        <w:rPr>
          <w:kern w:val="22"/>
          <w:lang w:val="fr-CA"/>
        </w:rPr>
        <w:t>;</w:t>
      </w:r>
    </w:p>
    <w:p w:rsidR="00374F0E" w:rsidRPr="001C5D05" w:rsidRDefault="00515AC4" w:rsidP="00132DF3">
      <w:pPr>
        <w:pStyle w:val="Para1"/>
        <w:numPr>
          <w:ilvl w:val="1"/>
          <w:numId w:val="3"/>
        </w:numPr>
        <w:tabs>
          <w:tab w:val="clear" w:pos="1440"/>
        </w:tabs>
        <w:spacing w:before="0"/>
        <w:rPr>
          <w:kern w:val="22"/>
          <w:lang w:val="fr-CA"/>
        </w:rPr>
      </w:pPr>
      <w:r>
        <w:rPr>
          <w:kern w:val="22"/>
          <w:lang w:val="fr-CA"/>
        </w:rPr>
        <w:t>Tenir compte des évaluations des aires qui mettent l’accent sur les terres et les resso</w:t>
      </w:r>
      <w:r w:rsidR="001B6490">
        <w:rPr>
          <w:kern w:val="22"/>
          <w:lang w:val="fr-CA"/>
        </w:rPr>
        <w:t>urces appartenant aux</w:t>
      </w:r>
      <w:r>
        <w:rPr>
          <w:kern w:val="22"/>
          <w:lang w:val="fr-CA"/>
        </w:rPr>
        <w:t xml:space="preserve"> peuples autochtones et </w:t>
      </w:r>
      <w:r w:rsidR="001B6490">
        <w:rPr>
          <w:kern w:val="22"/>
          <w:lang w:val="fr-CA"/>
        </w:rPr>
        <w:t>aux</w:t>
      </w:r>
      <w:r>
        <w:rPr>
          <w:kern w:val="22"/>
          <w:lang w:val="fr-CA"/>
        </w:rPr>
        <w:t xml:space="preserve"> communautés locales, </w:t>
      </w:r>
      <w:r w:rsidR="001B6490">
        <w:rPr>
          <w:kern w:val="22"/>
          <w:lang w:val="fr-CA"/>
        </w:rPr>
        <w:t xml:space="preserve">ou occupées ou utilisées par ceux-ci, </w:t>
      </w:r>
      <w:r>
        <w:rPr>
          <w:kern w:val="22"/>
          <w:lang w:val="fr-CA"/>
        </w:rPr>
        <w:t>et sur les éléments précis de la diversité biologique tels que les espèces présente</w:t>
      </w:r>
      <w:r w:rsidR="0011660B">
        <w:rPr>
          <w:kern w:val="22"/>
          <w:lang w:val="fr-CA"/>
        </w:rPr>
        <w:t>s</w:t>
      </w:r>
      <w:r>
        <w:rPr>
          <w:kern w:val="22"/>
          <w:lang w:val="fr-CA"/>
        </w:rPr>
        <w:t xml:space="preserve"> dans tous les habitats et qui font l’objet de mesures collectives</w:t>
      </w:r>
      <w:r w:rsidR="007A5DD8">
        <w:rPr>
          <w:kern w:val="22"/>
          <w:lang w:val="fr-CA"/>
        </w:rPr>
        <w:t>;</w:t>
      </w:r>
    </w:p>
    <w:p w:rsidR="00374F0E" w:rsidRPr="001C5D05" w:rsidRDefault="00515AC4" w:rsidP="00132DF3">
      <w:pPr>
        <w:pStyle w:val="Para1"/>
        <w:numPr>
          <w:ilvl w:val="1"/>
          <w:numId w:val="3"/>
        </w:numPr>
        <w:tabs>
          <w:tab w:val="clear" w:pos="1440"/>
        </w:tabs>
        <w:spacing w:before="0"/>
        <w:rPr>
          <w:kern w:val="22"/>
          <w:lang w:val="fr-CA"/>
        </w:rPr>
      </w:pPr>
      <w:r>
        <w:rPr>
          <w:kern w:val="22"/>
          <w:lang w:val="fr-CA"/>
        </w:rPr>
        <w:t xml:space="preserve">Envisager l’utilisation de différentes formes d’analyse géospatiale pour </w:t>
      </w:r>
      <w:r w:rsidR="0011660B">
        <w:rPr>
          <w:kern w:val="22"/>
          <w:lang w:val="fr-CA"/>
        </w:rPr>
        <w:t>l’évaluation</w:t>
      </w:r>
      <w:r>
        <w:rPr>
          <w:kern w:val="22"/>
          <w:lang w:val="fr-CA"/>
        </w:rPr>
        <w:t xml:space="preserve"> des aires, de manière à combiner les outils technologiques et les connaissances traditionnelles, et tenter de les rendre accessibles aux communautés</w:t>
      </w:r>
      <w:r w:rsidR="007A5DD8">
        <w:rPr>
          <w:kern w:val="22"/>
          <w:lang w:val="fr-CA"/>
        </w:rPr>
        <w:t>;</w:t>
      </w:r>
    </w:p>
    <w:p w:rsidR="00374F0E" w:rsidRPr="001C5D05" w:rsidRDefault="00AC36D6" w:rsidP="00132DF3">
      <w:pPr>
        <w:pStyle w:val="Para1"/>
        <w:numPr>
          <w:ilvl w:val="1"/>
          <w:numId w:val="3"/>
        </w:numPr>
        <w:tabs>
          <w:tab w:val="clear" w:pos="1440"/>
        </w:tabs>
        <w:spacing w:before="0"/>
        <w:rPr>
          <w:kern w:val="22"/>
          <w:lang w:val="fr-CA"/>
        </w:rPr>
      </w:pPr>
      <w:r>
        <w:rPr>
          <w:kern w:val="22"/>
          <w:lang w:val="fr-CA"/>
        </w:rPr>
        <w:lastRenderedPageBreak/>
        <w:t>Avancer le développement de sé</w:t>
      </w:r>
      <w:r w:rsidR="007A5DD8">
        <w:rPr>
          <w:kern w:val="22"/>
          <w:lang w:val="fr-CA"/>
        </w:rPr>
        <w:t>ries d</w:t>
      </w:r>
      <w:r w:rsidR="00AE3CB1">
        <w:rPr>
          <w:kern w:val="22"/>
          <w:lang w:val="fr-CA"/>
        </w:rPr>
        <w:t>’</w:t>
      </w:r>
      <w:r w:rsidR="007A5DD8">
        <w:rPr>
          <w:kern w:val="22"/>
          <w:lang w:val="fr-CA"/>
        </w:rPr>
        <w:t>indicateurs et</w:t>
      </w:r>
      <w:r>
        <w:rPr>
          <w:kern w:val="22"/>
          <w:lang w:val="fr-CA"/>
        </w:rPr>
        <w:t xml:space="preserve"> </w:t>
      </w:r>
      <w:r w:rsidR="00AE3CB1">
        <w:rPr>
          <w:kern w:val="22"/>
          <w:lang w:val="fr-CA"/>
        </w:rPr>
        <w:t xml:space="preserve">de </w:t>
      </w:r>
      <w:r>
        <w:rPr>
          <w:kern w:val="22"/>
          <w:lang w:val="fr-CA"/>
        </w:rPr>
        <w:t xml:space="preserve">paramètres </w:t>
      </w:r>
      <w:r w:rsidR="00AE3CB1">
        <w:rPr>
          <w:kern w:val="22"/>
          <w:lang w:val="fr-CA"/>
        </w:rPr>
        <w:t xml:space="preserve">solides </w:t>
      </w:r>
      <w:r>
        <w:rPr>
          <w:kern w:val="22"/>
          <w:lang w:val="fr-CA"/>
        </w:rPr>
        <w:t>pour l’évaluation de mesures collectives qui combinent</w:t>
      </w:r>
      <w:r w:rsidR="003F5145">
        <w:rPr>
          <w:kern w:val="22"/>
          <w:lang w:val="fr-CA"/>
        </w:rPr>
        <w:t xml:space="preserve"> différents types d’indicateurs</w:t>
      </w:r>
      <w:r>
        <w:rPr>
          <w:kern w:val="22"/>
          <w:lang w:val="fr-CA"/>
        </w:rPr>
        <w:t xml:space="preserve"> qualitatifs et quantitatifs, de processus et résultats, simples et globaux,</w:t>
      </w:r>
      <w:r w:rsidR="007A5DD8">
        <w:rPr>
          <w:kern w:val="22"/>
          <w:lang w:val="fr-CA"/>
        </w:rPr>
        <w:t xml:space="preserve"> </w:t>
      </w:r>
      <w:r>
        <w:rPr>
          <w:kern w:val="22"/>
          <w:lang w:val="fr-CA"/>
        </w:rPr>
        <w:t xml:space="preserve">etc., et comprennent des indicateurs culturels </w:t>
      </w:r>
      <w:r w:rsidR="0069775A">
        <w:rPr>
          <w:kern w:val="22"/>
          <w:lang w:val="fr-CA"/>
        </w:rPr>
        <w:t>harmonisés</w:t>
      </w:r>
      <w:r w:rsidR="0011660B">
        <w:rPr>
          <w:kern w:val="22"/>
          <w:lang w:val="fr-CA"/>
        </w:rPr>
        <w:t xml:space="preserve"> aux</w:t>
      </w:r>
      <w:r>
        <w:rPr>
          <w:kern w:val="22"/>
          <w:lang w:val="fr-CA"/>
        </w:rPr>
        <w:t xml:space="preserve"> systèmes d’établissement de la valeur des communautés et </w:t>
      </w:r>
      <w:r w:rsidR="0069775A">
        <w:rPr>
          <w:kern w:val="22"/>
          <w:lang w:val="fr-CA"/>
        </w:rPr>
        <w:t>aux</w:t>
      </w:r>
      <w:r>
        <w:rPr>
          <w:kern w:val="22"/>
          <w:lang w:val="fr-CA"/>
        </w:rPr>
        <w:t xml:space="preserve"> particularités des contextes</w:t>
      </w:r>
      <w:r w:rsidR="0054084B">
        <w:rPr>
          <w:kern w:val="22"/>
          <w:lang w:val="fr-CA"/>
        </w:rPr>
        <w:t>, et prendre note également que l’utilisation d’indicateurs conséquents au fil du temps favorise les comparaisons temporelles et que l’établissement d’une valeur de référence permet d’effectuer une meilleure évaluation des changements et des tendances</w:t>
      </w:r>
      <w:r w:rsidR="007A5DD8">
        <w:rPr>
          <w:kern w:val="22"/>
          <w:lang w:val="fr-CA"/>
        </w:rPr>
        <w:t>;</w:t>
      </w:r>
    </w:p>
    <w:p w:rsidR="00374F0E" w:rsidRPr="001C5D05" w:rsidRDefault="0069775A" w:rsidP="00132DF3">
      <w:pPr>
        <w:pStyle w:val="Para1"/>
        <w:numPr>
          <w:ilvl w:val="1"/>
          <w:numId w:val="3"/>
        </w:numPr>
        <w:tabs>
          <w:tab w:val="clear" w:pos="1440"/>
        </w:tabs>
        <w:spacing w:before="0"/>
        <w:rPr>
          <w:kern w:val="22"/>
          <w:lang w:val="fr-CA"/>
        </w:rPr>
      </w:pPr>
      <w:r>
        <w:rPr>
          <w:kern w:val="22"/>
          <w:lang w:val="fr-CA"/>
        </w:rPr>
        <w:t>Intégrer des approches pour analyser l’état et les tendances du changement dans les évaluations, ainsi qu’une compréhension des moteurs de changements et des conditions favorables à des résultats positifs</w:t>
      </w:r>
      <w:r w:rsidR="007A5DD8">
        <w:rPr>
          <w:kern w:val="22"/>
          <w:lang w:val="fr-CA"/>
        </w:rPr>
        <w:t>;</w:t>
      </w:r>
    </w:p>
    <w:p w:rsidR="00374F0E" w:rsidRPr="00DA185D" w:rsidRDefault="0069775A" w:rsidP="00132DF3">
      <w:pPr>
        <w:pStyle w:val="Para1"/>
        <w:numPr>
          <w:ilvl w:val="1"/>
          <w:numId w:val="3"/>
        </w:numPr>
        <w:tabs>
          <w:tab w:val="clear" w:pos="1440"/>
        </w:tabs>
        <w:spacing w:before="0"/>
        <w:rPr>
          <w:kern w:val="22"/>
          <w:lang w:val="fr-CA"/>
        </w:rPr>
      </w:pPr>
      <w:r>
        <w:rPr>
          <w:kern w:val="22"/>
          <w:lang w:val="fr-CA"/>
        </w:rPr>
        <w:t xml:space="preserve">Avancer les travaux sur les méthodologies </w:t>
      </w:r>
      <w:r w:rsidRPr="00DA185D">
        <w:rPr>
          <w:kern w:val="22"/>
          <w:lang w:val="fr-CA"/>
        </w:rPr>
        <w:t xml:space="preserve">d’établissement de la valeur pertinentes et applicables aux contextes, en tenant compte de </w:t>
      </w:r>
      <w:r w:rsidR="00DA185D">
        <w:rPr>
          <w:kern w:val="22"/>
          <w:lang w:val="fr-CA"/>
        </w:rPr>
        <w:t>l’ensemble</w:t>
      </w:r>
      <w:r w:rsidRPr="00DA185D">
        <w:rPr>
          <w:kern w:val="22"/>
          <w:lang w:val="fr-CA"/>
        </w:rPr>
        <w:t xml:space="preserve"> des valeurs de la diversité biologique pour les communautés et </w:t>
      </w:r>
      <w:r w:rsidR="00DA185D">
        <w:rPr>
          <w:kern w:val="22"/>
          <w:lang w:val="fr-CA"/>
        </w:rPr>
        <w:t>leurs mesures collectives, et utiliser l</w:t>
      </w:r>
      <w:r w:rsidRPr="00DA185D">
        <w:rPr>
          <w:kern w:val="22"/>
          <w:lang w:val="fr-CA"/>
        </w:rPr>
        <w:t xml:space="preserve">es résultats de l’établissement de la valeur pour </w:t>
      </w:r>
      <w:r w:rsidR="00031DC2" w:rsidRPr="00DA185D">
        <w:rPr>
          <w:kern w:val="22"/>
          <w:lang w:val="fr-CA"/>
        </w:rPr>
        <w:t>établir le bien-fondé d’un respect, d’une reconnaissance et d’un appui accrus aux mesures collectives</w:t>
      </w:r>
      <w:r w:rsidR="007A5DD8">
        <w:rPr>
          <w:kern w:val="22"/>
          <w:lang w:val="fr-CA"/>
        </w:rPr>
        <w:t>;</w:t>
      </w:r>
    </w:p>
    <w:p w:rsidR="00374F0E" w:rsidRPr="00DA185D" w:rsidRDefault="00031DC2" w:rsidP="00132DF3">
      <w:pPr>
        <w:pStyle w:val="Para1"/>
        <w:numPr>
          <w:ilvl w:val="1"/>
          <w:numId w:val="3"/>
        </w:numPr>
        <w:tabs>
          <w:tab w:val="clear" w:pos="1440"/>
        </w:tabs>
        <w:spacing w:before="0"/>
        <w:rPr>
          <w:kern w:val="22"/>
          <w:lang w:val="fr-CA"/>
        </w:rPr>
      </w:pPr>
      <w:r w:rsidRPr="00DA185D">
        <w:rPr>
          <w:kern w:val="22"/>
          <w:lang w:val="fr-CA"/>
        </w:rPr>
        <w:t>Envisager d’inclure dans les évaluations une analyse des forces et des menaces dans les contextes précis, dans le but d’améliorer la compréhension des facteurs et des conditions à renforcer ou exigeant un appui supplémentaire</w:t>
      </w:r>
      <w:r w:rsidR="007A5DD8">
        <w:rPr>
          <w:kern w:val="22"/>
          <w:lang w:val="fr-CA"/>
        </w:rPr>
        <w:t>;</w:t>
      </w:r>
    </w:p>
    <w:p w:rsidR="00374F0E" w:rsidRDefault="00031DC2" w:rsidP="00132DF3">
      <w:pPr>
        <w:pStyle w:val="Para1"/>
        <w:numPr>
          <w:ilvl w:val="1"/>
          <w:numId w:val="3"/>
        </w:numPr>
        <w:tabs>
          <w:tab w:val="clear" w:pos="1440"/>
        </w:tabs>
        <w:spacing w:before="0"/>
        <w:rPr>
          <w:kern w:val="22"/>
          <w:lang w:val="fr-CA"/>
        </w:rPr>
      </w:pPr>
      <w:r w:rsidRPr="00DA185D">
        <w:rPr>
          <w:kern w:val="22"/>
          <w:lang w:val="fr-CA"/>
        </w:rPr>
        <w:t xml:space="preserve">Encourager la collaboration, l’échange, l’apprentissage croisé, </w:t>
      </w:r>
      <w:r w:rsidR="00DA185D">
        <w:rPr>
          <w:kern w:val="22"/>
          <w:lang w:val="fr-CA"/>
        </w:rPr>
        <w:t xml:space="preserve">et </w:t>
      </w:r>
      <w:r w:rsidRPr="00DA185D">
        <w:rPr>
          <w:kern w:val="22"/>
          <w:lang w:val="fr-CA"/>
        </w:rPr>
        <w:t xml:space="preserve">le réseautage entre les différentes approches, et rechercher de meilleures synergies et des résultats </w:t>
      </w:r>
      <w:r w:rsidR="00ED088C" w:rsidRPr="00DA185D">
        <w:rPr>
          <w:kern w:val="22"/>
          <w:lang w:val="fr-CA"/>
        </w:rPr>
        <w:t>convergents</w:t>
      </w:r>
      <w:r w:rsidR="00374F0E" w:rsidRPr="00DA185D">
        <w:rPr>
          <w:kern w:val="22"/>
          <w:lang w:val="fr-CA"/>
        </w:rPr>
        <w:t>.</w:t>
      </w:r>
    </w:p>
    <w:p w:rsidR="000F7ABA" w:rsidRPr="00DA185D" w:rsidRDefault="000F7ABA" w:rsidP="000F7ABA">
      <w:pPr>
        <w:pStyle w:val="Para1"/>
        <w:numPr>
          <w:ilvl w:val="0"/>
          <w:numId w:val="0"/>
        </w:numPr>
        <w:spacing w:before="0"/>
        <w:ind w:left="720"/>
        <w:rPr>
          <w:kern w:val="22"/>
          <w:lang w:val="fr-CA"/>
        </w:rPr>
      </w:pPr>
    </w:p>
    <w:p w:rsidR="00374F0E" w:rsidRPr="001C5D05" w:rsidRDefault="003A6348" w:rsidP="00132DF3">
      <w:pPr>
        <w:keepNext/>
        <w:spacing w:before="120" w:after="120"/>
        <w:jc w:val="center"/>
        <w:rPr>
          <w:iCs/>
          <w:snapToGrid w:val="0"/>
          <w:kern w:val="22"/>
          <w:szCs w:val="22"/>
          <w:lang w:val="fr-CA"/>
        </w:rPr>
      </w:pPr>
      <w:r w:rsidRPr="001C5D05">
        <w:rPr>
          <w:iCs/>
          <w:snapToGrid w:val="0"/>
          <w:kern w:val="22"/>
          <w:szCs w:val="22"/>
          <w:lang w:val="fr-CA"/>
        </w:rPr>
        <w:t>__________</w:t>
      </w:r>
    </w:p>
    <w:p w:rsidR="00F91584" w:rsidRPr="001C5D05" w:rsidRDefault="00F91584" w:rsidP="003A6348">
      <w:pPr>
        <w:keepNext/>
        <w:spacing w:before="120" w:after="120"/>
        <w:rPr>
          <w:iCs/>
          <w:snapToGrid w:val="0"/>
          <w:kern w:val="22"/>
          <w:szCs w:val="22"/>
          <w:lang w:val="fr-CA"/>
        </w:rPr>
      </w:pPr>
    </w:p>
    <w:sectPr w:rsidR="00F91584" w:rsidRPr="001C5D05" w:rsidSect="00557835">
      <w:headerReference w:type="even" r:id="rId18"/>
      <w:headerReference w:type="default" r:id="rId19"/>
      <w:footerReference w:type="even" r:id="rId20"/>
      <w:footerReference w:type="default" r:id="rId21"/>
      <w:footerReference w:type="first" r:id="rId22"/>
      <w:type w:val="continuous"/>
      <w:pgSz w:w="12240" w:h="15840" w:code="1"/>
      <w:pgMar w:top="810" w:right="1349" w:bottom="1080"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7B" w:rsidRDefault="00E2697B">
      <w:r>
        <w:separator/>
      </w:r>
    </w:p>
  </w:endnote>
  <w:endnote w:type="continuationSeparator" w:id="0">
    <w:p w:rsidR="00E2697B" w:rsidRDefault="00E2697B">
      <w:r>
        <w:continuationSeparator/>
      </w:r>
    </w:p>
  </w:endnote>
  <w:endnote w:type="continuationNotice" w:id="1">
    <w:p w:rsidR="00E2697B" w:rsidRDefault="00E26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New Roman Bold">
    <w:altName w:val="Times"/>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A4" w:rsidRDefault="00C50BA4" w:rsidP="000F7A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A4" w:rsidRDefault="00C50BA4" w:rsidP="000F7AFB">
    <w:pPr>
      <w:pStyle w:val="Footer"/>
      <w:tabs>
        <w:tab w:val="clear" w:pos="4320"/>
        <w:tab w:val="clear" w:pos="8640"/>
      </w:tabs>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A4" w:rsidRDefault="00C50BA4" w:rsidP="00132DF3">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7B" w:rsidRDefault="00E2697B">
      <w:r>
        <w:separator/>
      </w:r>
    </w:p>
  </w:footnote>
  <w:footnote w:type="continuationSeparator" w:id="0">
    <w:p w:rsidR="00E2697B" w:rsidRDefault="00E2697B">
      <w:r>
        <w:continuationSeparator/>
      </w:r>
    </w:p>
  </w:footnote>
  <w:footnote w:type="continuationNotice" w:id="1">
    <w:p w:rsidR="00E2697B" w:rsidRDefault="00E2697B"/>
  </w:footnote>
  <w:footnote w:id="2">
    <w:p w:rsidR="00C50BA4" w:rsidRPr="00132DF3" w:rsidRDefault="00C50BA4" w:rsidP="00132DF3">
      <w:pPr>
        <w:pStyle w:val="FootnoteText"/>
        <w:keepLines w:val="0"/>
        <w:kinsoku w:val="0"/>
        <w:overflowPunct w:val="0"/>
        <w:ind w:firstLine="0"/>
        <w:jc w:val="left"/>
        <w:rPr>
          <w:snapToGrid w:val="0"/>
          <w:kern w:val="18"/>
          <w:szCs w:val="18"/>
          <w:lang w:val="en-US"/>
        </w:rPr>
      </w:pPr>
      <w:r w:rsidRPr="00132DF3">
        <w:rPr>
          <w:rStyle w:val="FootnoteReference"/>
          <w:snapToGrid w:val="0"/>
          <w:kern w:val="18"/>
          <w:sz w:val="18"/>
          <w:szCs w:val="18"/>
        </w:rPr>
        <w:t>*</w:t>
      </w:r>
      <w:r w:rsidRPr="00132DF3">
        <w:rPr>
          <w:snapToGrid w:val="0"/>
          <w:kern w:val="18"/>
          <w:szCs w:val="18"/>
        </w:rPr>
        <w:t xml:space="preserve"> </w:t>
      </w:r>
      <w:hyperlink r:id="rId1" w:history="1">
        <w:r w:rsidRPr="00132DF3">
          <w:rPr>
            <w:rStyle w:val="Hyperlink"/>
            <w:snapToGrid w:val="0"/>
            <w:kern w:val="18"/>
            <w:szCs w:val="18"/>
          </w:rPr>
          <w:t>CBD/WG8J/10/1</w:t>
        </w:r>
      </w:hyperlink>
      <w:r w:rsidRPr="00132DF3">
        <w:rPr>
          <w:snapToGrid w:val="0"/>
          <w:kern w:val="18"/>
          <w:szCs w:val="18"/>
          <w:lang w:val="en-US"/>
        </w:rPr>
        <w:t>.</w:t>
      </w:r>
    </w:p>
  </w:footnote>
  <w:footnote w:id="3">
    <w:p w:rsidR="00C50BA4" w:rsidRPr="00D92D1D" w:rsidRDefault="00C50BA4" w:rsidP="00132DF3">
      <w:pPr>
        <w:kinsoku w:val="0"/>
        <w:overflowPunct w:val="0"/>
        <w:spacing w:after="60"/>
        <w:jc w:val="left"/>
        <w:rPr>
          <w:snapToGrid w:val="0"/>
          <w:kern w:val="18"/>
          <w:sz w:val="18"/>
          <w:szCs w:val="18"/>
          <w:lang w:val="fr-CA"/>
        </w:rPr>
      </w:pPr>
      <w:r w:rsidRPr="00132DF3">
        <w:rPr>
          <w:rStyle w:val="FootnoteReference"/>
          <w:snapToGrid w:val="0"/>
          <w:kern w:val="18"/>
          <w:sz w:val="18"/>
          <w:szCs w:val="18"/>
        </w:rPr>
        <w:footnoteRef/>
      </w:r>
      <w:r w:rsidRPr="00D92D1D">
        <w:rPr>
          <w:snapToGrid w:val="0"/>
          <w:kern w:val="18"/>
          <w:sz w:val="18"/>
          <w:szCs w:val="18"/>
          <w:lang w:val="fr-CA"/>
        </w:rPr>
        <w:t xml:space="preserve"> </w:t>
      </w:r>
      <w:r w:rsidRPr="00D92D1D">
        <w:rPr>
          <w:sz w:val="18"/>
          <w:lang w:val="fr-CA"/>
        </w:rPr>
        <w:t xml:space="preserve">Au total, 61 Parties ont </w:t>
      </w:r>
      <w:r>
        <w:rPr>
          <w:sz w:val="18"/>
          <w:lang w:val="fr-CA"/>
        </w:rPr>
        <w:t>précisé</w:t>
      </w:r>
      <w:r w:rsidRPr="00D92D1D">
        <w:rPr>
          <w:sz w:val="18"/>
          <w:lang w:val="fr-CA"/>
        </w:rPr>
        <w:t xml:space="preserve"> si elles avaient évalué le rôle </w:t>
      </w:r>
      <w:r>
        <w:rPr>
          <w:sz w:val="18"/>
          <w:lang w:val="fr-CA"/>
        </w:rPr>
        <w:t>des mesures collectives</w:t>
      </w:r>
      <w:r w:rsidRPr="00D92D1D">
        <w:rPr>
          <w:sz w:val="18"/>
          <w:lang w:val="fr-CA"/>
        </w:rPr>
        <w:t>, notamment celle</w:t>
      </w:r>
      <w:r>
        <w:rPr>
          <w:sz w:val="18"/>
          <w:lang w:val="fr-CA"/>
        </w:rPr>
        <w:t>s</w:t>
      </w:r>
      <w:r w:rsidRPr="00D92D1D">
        <w:rPr>
          <w:sz w:val="18"/>
          <w:lang w:val="fr-CA"/>
        </w:rPr>
        <w:t xml:space="preserve"> des communautés autochtones et locales, et des approches non fondées sur le marché pour mobiliser des ressources </w:t>
      </w:r>
      <w:r>
        <w:rPr>
          <w:sz w:val="18"/>
          <w:lang w:val="fr-CA"/>
        </w:rPr>
        <w:t>afin de réaliser les</w:t>
      </w:r>
      <w:r w:rsidRPr="00D92D1D">
        <w:rPr>
          <w:sz w:val="18"/>
          <w:lang w:val="fr-CA"/>
        </w:rPr>
        <w:t xml:space="preserve"> objectifs de la Convention. Au total, 18 Parties ont indiqué qu’aucune évaluation de ce type n’était nécessaire tandis que 37 Parties n’avaient pas encore commencé leurs travaux et six pays ont indiqué que certaines évaluations </w:t>
      </w:r>
      <w:r>
        <w:rPr>
          <w:sz w:val="18"/>
          <w:lang w:val="fr-CA"/>
        </w:rPr>
        <w:t>avaient été</w:t>
      </w:r>
      <w:r w:rsidRPr="00D92D1D">
        <w:rPr>
          <w:sz w:val="18"/>
          <w:lang w:val="fr-CA"/>
        </w:rPr>
        <w:t xml:space="preserve"> entreprises. Aucun pays n’a indiqué que des évaluations globales étaient menées</w:t>
      </w:r>
      <w:r w:rsidRPr="00D92D1D">
        <w:rPr>
          <w:rFonts w:eastAsia="MS Mincho"/>
          <w:snapToGrid w:val="0"/>
          <w:kern w:val="18"/>
          <w:sz w:val="18"/>
          <w:szCs w:val="18"/>
          <w:lang w:val="fr-CA"/>
        </w:rPr>
        <w:t>.</w:t>
      </w:r>
    </w:p>
  </w:footnote>
  <w:footnote w:id="4">
    <w:p w:rsidR="0088388E" w:rsidRPr="006F7354" w:rsidRDefault="0088388E" w:rsidP="0088388E">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6F7354">
        <w:rPr>
          <w:snapToGrid w:val="0"/>
          <w:kern w:val="18"/>
          <w:szCs w:val="18"/>
          <w:lang w:val="fr-CA"/>
        </w:rPr>
        <w:t xml:space="preserve"> </w:t>
      </w:r>
      <w:r w:rsidR="006F7354" w:rsidRPr="006F7354">
        <w:rPr>
          <w:snapToGrid w:val="0"/>
          <w:kern w:val="18"/>
          <w:szCs w:val="18"/>
          <w:lang w:val="fr-CA"/>
        </w:rPr>
        <w:t xml:space="preserve">« Éléments de l’orientation méthodologique </w:t>
      </w:r>
      <w:r w:rsidR="0042438D" w:rsidRPr="006F7354">
        <w:rPr>
          <w:snapToGrid w:val="0"/>
          <w:kern w:val="18"/>
          <w:szCs w:val="18"/>
          <w:lang w:val="fr-CA"/>
        </w:rPr>
        <w:t>pour identifier</w:t>
      </w:r>
      <w:r w:rsidR="006F7354" w:rsidRPr="006F7354">
        <w:rPr>
          <w:snapToGrid w:val="0"/>
          <w:kern w:val="18"/>
          <w:szCs w:val="18"/>
          <w:lang w:val="fr-CA"/>
        </w:rPr>
        <w:t xml:space="preserve">, suivre et évaluer la contribution des peuples autochtones » </w:t>
      </w:r>
      <w:r w:rsidRPr="006F7354">
        <w:rPr>
          <w:snapToGrid w:val="0"/>
          <w:kern w:val="18"/>
          <w:szCs w:val="18"/>
          <w:lang w:val="fr-CA"/>
        </w:rPr>
        <w:t>(</w:t>
      </w:r>
      <w:r w:rsidR="007123F8">
        <w:rPr>
          <w:lang w:val="fr-CA"/>
        </w:rPr>
        <w:t>CBD/WG8J/10/5)</w:t>
      </w:r>
      <w:r w:rsidRPr="006F7354">
        <w:rPr>
          <w:iCs/>
          <w:snapToGrid w:val="0"/>
          <w:kern w:val="18"/>
          <w:szCs w:val="18"/>
          <w:lang w:val="fr-CA"/>
        </w:rPr>
        <w:t xml:space="preserve"> </w:t>
      </w:r>
      <w:r w:rsidR="006F7354" w:rsidRPr="006F7354">
        <w:rPr>
          <w:iCs/>
          <w:snapToGrid w:val="0"/>
          <w:kern w:val="18"/>
          <w:szCs w:val="18"/>
          <w:lang w:val="fr-CA"/>
        </w:rPr>
        <w:t>et « Prendre en compte les directives volontaires sur les sauvegardes dans les mécanismes de financement de la diversité biologique lors de la s</w:t>
      </w:r>
      <w:r w:rsidR="007123F8">
        <w:rPr>
          <w:iCs/>
          <w:snapToGrid w:val="0"/>
          <w:kern w:val="18"/>
          <w:szCs w:val="18"/>
          <w:lang w:val="fr-CA"/>
        </w:rPr>
        <w:t>é</w:t>
      </w:r>
      <w:r w:rsidR="006F7354" w:rsidRPr="006F7354">
        <w:rPr>
          <w:iCs/>
          <w:snapToGrid w:val="0"/>
          <w:kern w:val="18"/>
          <w:szCs w:val="18"/>
          <w:lang w:val="fr-CA"/>
        </w:rPr>
        <w:t>lection,</w:t>
      </w:r>
      <w:r w:rsidR="007123F8">
        <w:rPr>
          <w:iCs/>
          <w:snapToGrid w:val="0"/>
          <w:kern w:val="18"/>
          <w:szCs w:val="18"/>
          <w:lang w:val="fr-CA"/>
        </w:rPr>
        <w:t xml:space="preserve"> conception et mise</w:t>
      </w:r>
      <w:r w:rsidR="006F7354" w:rsidRPr="006F7354">
        <w:rPr>
          <w:iCs/>
          <w:snapToGrid w:val="0"/>
          <w:kern w:val="18"/>
          <w:szCs w:val="18"/>
          <w:lang w:val="fr-CA"/>
        </w:rPr>
        <w:t xml:space="preserve"> en </w:t>
      </w:r>
      <w:r w:rsidR="007123F8">
        <w:rPr>
          <w:iCs/>
          <w:snapToGrid w:val="0"/>
          <w:kern w:val="18"/>
          <w:szCs w:val="18"/>
          <w:lang w:val="fr-CA"/>
        </w:rPr>
        <w:t xml:space="preserve">œuvre </w:t>
      </w:r>
      <w:r w:rsidR="006F7354" w:rsidRPr="006F7354">
        <w:rPr>
          <w:iCs/>
          <w:snapToGrid w:val="0"/>
          <w:kern w:val="18"/>
          <w:szCs w:val="18"/>
          <w:lang w:val="fr-CA"/>
        </w:rPr>
        <w:t>des mécanismes de financement de la diversité biologique et lors de l’élaboration de sauvegardes pour des instruments spécifiques »</w:t>
      </w:r>
      <w:r w:rsidR="00E9646B">
        <w:rPr>
          <w:iCs/>
          <w:snapToGrid w:val="0"/>
          <w:kern w:val="18"/>
          <w:szCs w:val="18"/>
          <w:lang w:val="fr-CA"/>
        </w:rPr>
        <w:t xml:space="preserve"> </w:t>
      </w:r>
      <w:r w:rsidRPr="006F7354">
        <w:rPr>
          <w:iCs/>
          <w:snapToGrid w:val="0"/>
          <w:kern w:val="18"/>
          <w:szCs w:val="18"/>
          <w:lang w:val="fr-CA"/>
        </w:rPr>
        <w:t>(</w:t>
      </w:r>
      <w:r w:rsidRPr="007123F8">
        <w:rPr>
          <w:iCs/>
          <w:snapToGrid w:val="0"/>
          <w:kern w:val="18"/>
          <w:szCs w:val="18"/>
          <w:lang w:val="fr-CA"/>
        </w:rPr>
        <w:t>CBD/WG8J/10/6</w:t>
      </w:r>
      <w:r w:rsidRPr="006F7354">
        <w:rPr>
          <w:iCs/>
          <w:snapToGrid w:val="0"/>
          <w:kern w:val="18"/>
          <w:szCs w:val="18"/>
          <w:lang w:val="fr-CA"/>
        </w:rPr>
        <w:t>)</w:t>
      </w:r>
      <w:r w:rsidRPr="006F7354">
        <w:rPr>
          <w:snapToGrid w:val="0"/>
          <w:kern w:val="18"/>
          <w:szCs w:val="18"/>
          <w:lang w:val="fr-CA"/>
        </w:rPr>
        <w:t>.</w:t>
      </w:r>
    </w:p>
  </w:footnote>
  <w:footnote w:id="5">
    <w:p w:rsidR="0088388E" w:rsidRPr="007123F8" w:rsidRDefault="0088388E" w:rsidP="0088388E">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7123F8">
        <w:rPr>
          <w:snapToGrid w:val="0"/>
          <w:kern w:val="18"/>
          <w:szCs w:val="18"/>
          <w:lang w:val="fr-CA"/>
        </w:rPr>
        <w:t xml:space="preserve"> </w:t>
      </w:r>
      <w:r w:rsidR="007123F8">
        <w:rPr>
          <w:iCs/>
          <w:snapToGrid w:val="0"/>
          <w:kern w:val="18"/>
          <w:szCs w:val="18"/>
          <w:lang w:val="fr-CA"/>
        </w:rPr>
        <w:t>Telle qu’elle a été</w:t>
      </w:r>
      <w:r w:rsidR="007123F8" w:rsidRPr="007123F8">
        <w:rPr>
          <w:iCs/>
          <w:snapToGrid w:val="0"/>
          <w:kern w:val="18"/>
          <w:szCs w:val="18"/>
          <w:lang w:val="fr-CA"/>
        </w:rPr>
        <w:t xml:space="preserve"> exprimé</w:t>
      </w:r>
      <w:r w:rsidR="007123F8">
        <w:rPr>
          <w:iCs/>
          <w:snapToGrid w:val="0"/>
          <w:kern w:val="18"/>
          <w:szCs w:val="18"/>
          <w:lang w:val="fr-CA"/>
        </w:rPr>
        <w:t>e</w:t>
      </w:r>
      <w:r w:rsidR="007123F8" w:rsidRPr="007123F8">
        <w:rPr>
          <w:iCs/>
          <w:snapToGrid w:val="0"/>
          <w:kern w:val="18"/>
          <w:szCs w:val="18"/>
          <w:lang w:val="fr-CA"/>
        </w:rPr>
        <w:t xml:space="preserve"> à la dixième r</w:t>
      </w:r>
      <w:r w:rsidR="007123F8">
        <w:rPr>
          <w:iCs/>
          <w:snapToGrid w:val="0"/>
          <w:kern w:val="18"/>
          <w:szCs w:val="18"/>
          <w:lang w:val="fr-CA"/>
        </w:rPr>
        <w:t>é</w:t>
      </w:r>
      <w:r w:rsidR="007123F8" w:rsidRPr="007123F8">
        <w:rPr>
          <w:iCs/>
          <w:snapToGrid w:val="0"/>
          <w:kern w:val="18"/>
          <w:szCs w:val="18"/>
          <w:lang w:val="fr-CA"/>
        </w:rPr>
        <w:t xml:space="preserve">union </w:t>
      </w:r>
      <w:r w:rsidR="007123F8">
        <w:rPr>
          <w:iCs/>
          <w:snapToGrid w:val="0"/>
          <w:kern w:val="18"/>
          <w:szCs w:val="18"/>
          <w:lang w:val="fr-CA"/>
        </w:rPr>
        <w:t>du Groupe de travail spécial à composition non limitée sur l’article 8 j) et les disposition connexes et jointe en annexe à la recommandation 10/4</w:t>
      </w:r>
      <w:r w:rsidRPr="007123F8">
        <w:rPr>
          <w:iCs/>
          <w:snapToGrid w:val="0"/>
          <w:kern w:val="18"/>
          <w:szCs w:val="18"/>
          <w:lang w:val="fr-CA"/>
        </w:rPr>
        <w:t>.</w:t>
      </w:r>
    </w:p>
  </w:footnote>
  <w:footnote w:id="6">
    <w:p w:rsidR="0070772B" w:rsidRPr="007123F8" w:rsidRDefault="0070772B" w:rsidP="0070772B">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7123F8">
        <w:rPr>
          <w:snapToGrid w:val="0"/>
          <w:kern w:val="18"/>
          <w:szCs w:val="18"/>
          <w:lang w:val="fr-CA"/>
        </w:rPr>
        <w:t xml:space="preserve"> </w:t>
      </w:r>
      <w:r w:rsidRPr="007123F8">
        <w:rPr>
          <w:bCs/>
          <w:snapToGrid w:val="0"/>
          <w:kern w:val="18"/>
          <w:szCs w:val="18"/>
          <w:lang w:val="fr-CA"/>
        </w:rPr>
        <w:t>SCBD/MCO/DC/VN/JS/GD/JH/87060 (</w:t>
      </w:r>
      <w:r w:rsidRPr="007123F8">
        <w:rPr>
          <w:snapToGrid w:val="0"/>
          <w:kern w:val="18"/>
          <w:szCs w:val="22"/>
          <w:lang w:val="fr-CA"/>
        </w:rPr>
        <w:t>2018-007</w:t>
      </w:r>
      <w:r w:rsidRPr="007123F8">
        <w:rPr>
          <w:bCs/>
          <w:snapToGrid w:val="0"/>
          <w:kern w:val="18"/>
          <w:szCs w:val="18"/>
          <w:lang w:val="fr-CA"/>
        </w:rPr>
        <w:t>).</w:t>
      </w:r>
    </w:p>
  </w:footnote>
  <w:footnote w:id="7">
    <w:p w:rsidR="005375DC" w:rsidRPr="005375DC" w:rsidRDefault="005375DC" w:rsidP="005375DC">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5375DC">
        <w:rPr>
          <w:snapToGrid w:val="0"/>
          <w:kern w:val="18"/>
          <w:szCs w:val="18"/>
          <w:lang w:val="fr-CA"/>
        </w:rPr>
        <w:t xml:space="preserve"> L’Iraq, les États-Unis d’Amérique, la Nouvelle</w:t>
      </w:r>
      <w:r>
        <w:rPr>
          <w:snapToGrid w:val="0"/>
          <w:kern w:val="18"/>
          <w:szCs w:val="18"/>
          <w:lang w:val="fr-CA"/>
        </w:rPr>
        <w:t xml:space="preserve">-Zélande et </w:t>
      </w:r>
      <w:r w:rsidRPr="0042438D">
        <w:rPr>
          <w:snapToGrid w:val="0"/>
          <w:kern w:val="18"/>
          <w:szCs w:val="18"/>
          <w:lang w:val="en-CA"/>
        </w:rPr>
        <w:t>la Foundation for Aboriginal and Islander Research</w:t>
      </w:r>
      <w:r>
        <w:rPr>
          <w:snapToGrid w:val="0"/>
          <w:kern w:val="18"/>
          <w:szCs w:val="18"/>
          <w:lang w:val="fr-CA"/>
        </w:rPr>
        <w:t xml:space="preserve"> Action ont transmis un exposé. Cependant, seuls les exposés de l’Iraq et de la Nouvelle-Zélande ont mis l’accent sur les « mesures collectives ».</w:t>
      </w:r>
      <w:r w:rsidRPr="005375DC">
        <w:rPr>
          <w:snapToGrid w:val="0"/>
          <w:kern w:val="18"/>
          <w:szCs w:val="18"/>
          <w:lang w:val="fr-CA"/>
        </w:rPr>
        <w:t xml:space="preserve"> </w:t>
      </w:r>
    </w:p>
  </w:footnote>
  <w:footnote w:id="8">
    <w:p w:rsidR="005C4FD7" w:rsidRPr="00A37101" w:rsidRDefault="005C4FD7" w:rsidP="005C4FD7">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A37101">
        <w:rPr>
          <w:snapToGrid w:val="0"/>
          <w:kern w:val="18"/>
          <w:szCs w:val="18"/>
          <w:lang w:val="fr-CA"/>
        </w:rPr>
        <w:t xml:space="preserve"> </w:t>
      </w:r>
      <w:r w:rsidR="00A37101" w:rsidRPr="00A37101">
        <w:rPr>
          <w:snapToGrid w:val="0"/>
          <w:kern w:val="18"/>
          <w:szCs w:val="18"/>
          <w:lang w:val="fr-CA"/>
        </w:rPr>
        <w:t>En réponse à la notification</w:t>
      </w:r>
      <w:r w:rsidRPr="00A37101">
        <w:rPr>
          <w:snapToGrid w:val="0"/>
          <w:kern w:val="18"/>
          <w:szCs w:val="18"/>
          <w:lang w:val="fr-CA"/>
        </w:rPr>
        <w:t xml:space="preserve"> </w:t>
      </w:r>
      <w:r w:rsidRPr="00A37101">
        <w:rPr>
          <w:bCs/>
          <w:snapToGrid w:val="0"/>
          <w:color w:val="333333"/>
          <w:kern w:val="18"/>
          <w:szCs w:val="18"/>
          <w:lang w:val="fr-CA"/>
        </w:rPr>
        <w:t>SCBD/SPS/DC/VN/JS/DM/86220</w:t>
      </w:r>
      <w:r w:rsidRPr="00A37101">
        <w:rPr>
          <w:snapToGrid w:val="0"/>
          <w:color w:val="333333"/>
          <w:kern w:val="18"/>
          <w:szCs w:val="18"/>
          <w:lang w:val="fr-CA"/>
        </w:rPr>
        <w:t xml:space="preserve"> (2017-006) </w:t>
      </w:r>
      <w:r w:rsidR="00A37101" w:rsidRPr="00A37101">
        <w:rPr>
          <w:snapToGrid w:val="0"/>
          <w:color w:val="333333"/>
          <w:kern w:val="18"/>
          <w:szCs w:val="18"/>
          <w:lang w:val="fr-CA"/>
        </w:rPr>
        <w:t>datée du 27 janvier</w:t>
      </w:r>
      <w:r w:rsidRPr="00A37101">
        <w:rPr>
          <w:snapToGrid w:val="0"/>
          <w:color w:val="333333"/>
          <w:kern w:val="18"/>
          <w:szCs w:val="18"/>
          <w:lang w:val="fr-CA"/>
        </w:rPr>
        <w:t xml:space="preserve"> 2017.</w:t>
      </w:r>
    </w:p>
  </w:footnote>
  <w:footnote w:id="9">
    <w:p w:rsidR="00C50BA4" w:rsidRPr="00000ACB" w:rsidRDefault="00C50BA4" w:rsidP="00793BFA">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lang w:val="en-GB"/>
        </w:rPr>
        <w:footnoteRef/>
      </w:r>
      <w:r w:rsidRPr="00000ACB">
        <w:rPr>
          <w:snapToGrid w:val="0"/>
          <w:kern w:val="18"/>
          <w:szCs w:val="18"/>
          <w:lang w:val="fr-CA"/>
        </w:rPr>
        <w:t xml:space="preserve"> </w:t>
      </w:r>
      <w:r w:rsidR="00A37101">
        <w:rPr>
          <w:snapToGrid w:val="0"/>
          <w:kern w:val="18"/>
          <w:szCs w:val="18"/>
          <w:lang w:val="fr-CA"/>
        </w:rPr>
        <w:t xml:space="preserve">Exposés reçus du </w:t>
      </w:r>
      <w:r w:rsidRPr="00000ACB">
        <w:rPr>
          <w:snapToGrid w:val="0"/>
          <w:kern w:val="18"/>
          <w:szCs w:val="18"/>
          <w:lang w:val="fr-CA"/>
        </w:rPr>
        <w:t xml:space="preserve">Brésil, </w:t>
      </w:r>
      <w:r w:rsidR="00A37101">
        <w:rPr>
          <w:snapToGrid w:val="0"/>
          <w:kern w:val="18"/>
          <w:szCs w:val="18"/>
          <w:lang w:val="fr-CA"/>
        </w:rPr>
        <w:t xml:space="preserve">du </w:t>
      </w:r>
      <w:r w:rsidRPr="00000ACB">
        <w:rPr>
          <w:snapToGrid w:val="0"/>
          <w:kern w:val="18"/>
          <w:szCs w:val="18"/>
          <w:lang w:val="fr-CA"/>
        </w:rPr>
        <w:t>Canada,</w:t>
      </w:r>
      <w:r w:rsidR="00A37101">
        <w:rPr>
          <w:snapToGrid w:val="0"/>
          <w:kern w:val="18"/>
          <w:szCs w:val="18"/>
          <w:lang w:val="fr-CA"/>
        </w:rPr>
        <w:t xml:space="preserve"> de l’</w:t>
      </w:r>
      <w:r w:rsidRPr="00000ACB">
        <w:rPr>
          <w:snapToGrid w:val="0"/>
          <w:kern w:val="18"/>
          <w:szCs w:val="18"/>
          <w:lang w:val="fr-CA"/>
        </w:rPr>
        <w:t xml:space="preserve">Union européenne et ses États membres, ainsi qu’une </w:t>
      </w:r>
      <w:r>
        <w:rPr>
          <w:snapToGrid w:val="0"/>
          <w:kern w:val="18"/>
          <w:szCs w:val="18"/>
          <w:lang w:val="fr-CA"/>
        </w:rPr>
        <w:t xml:space="preserve">contribution nationale de la Suède, du Mexique, du Pérou et du Venezuela. Les organisations compétentes suivantes ont aussi transmis un exposé : Great </w:t>
      </w:r>
      <w:r w:rsidRPr="00F87BF2">
        <w:rPr>
          <w:snapToGrid w:val="0"/>
          <w:kern w:val="18"/>
          <w:szCs w:val="18"/>
          <w:lang w:val="en-CA"/>
        </w:rPr>
        <w:t>Barrier Reef Marine Park Authority</w:t>
      </w:r>
      <w:r>
        <w:rPr>
          <w:snapToGrid w:val="0"/>
          <w:kern w:val="18"/>
          <w:szCs w:val="18"/>
          <w:lang w:val="fr-CA"/>
        </w:rPr>
        <w:t xml:space="preserve"> de l’Australie; Forest Peoples Programme (FPP); et les organisations membres du Forum international des peuples autochtones sur la biodiversité; Community </w:t>
      </w:r>
      <w:r w:rsidRPr="00F87BF2">
        <w:rPr>
          <w:snapToGrid w:val="0"/>
          <w:kern w:val="18"/>
          <w:szCs w:val="18"/>
          <w:lang w:val="en-CA"/>
        </w:rPr>
        <w:t>Conservation Resilience Initiative</w:t>
      </w:r>
      <w:r>
        <w:rPr>
          <w:snapToGrid w:val="0"/>
          <w:kern w:val="18"/>
          <w:szCs w:val="18"/>
          <w:lang w:val="fr-CA"/>
        </w:rPr>
        <w:t xml:space="preserve"> de la Coalition mondiale des forêts; Consortium APAC; Centre de résilience de Stockholm; et Réseau des femmes autochtones sur la biodiversité de l’Amérique latine et des Caraïbes</w:t>
      </w:r>
      <w:r w:rsidRPr="00000ACB">
        <w:rPr>
          <w:snapToGrid w:val="0"/>
          <w:kern w:val="18"/>
          <w:szCs w:val="18"/>
          <w:lang w:val="fr-CA"/>
        </w:rPr>
        <w:t>.</w:t>
      </w:r>
    </w:p>
  </w:footnote>
  <w:footnote w:id="10">
    <w:p w:rsidR="00097337" w:rsidRPr="00097337" w:rsidRDefault="00097337" w:rsidP="00097337">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097337">
        <w:rPr>
          <w:snapToGrid w:val="0"/>
          <w:kern w:val="18"/>
          <w:szCs w:val="18"/>
          <w:lang w:val="fr-CA"/>
        </w:rPr>
        <w:t xml:space="preserve"> Des exposés pertinents ont été reçus de l’Iraq, de la Nouvelle-Zélande et de la </w:t>
      </w:r>
      <w:r w:rsidRPr="00F87BF2">
        <w:rPr>
          <w:snapToGrid w:val="0"/>
          <w:kern w:val="18"/>
          <w:szCs w:val="18"/>
          <w:lang w:val="en-CA"/>
        </w:rPr>
        <w:t>Foundation for Aboriginal and Islander Research</w:t>
      </w:r>
      <w:r w:rsidRPr="00097337">
        <w:rPr>
          <w:snapToGrid w:val="0"/>
          <w:kern w:val="18"/>
          <w:szCs w:val="18"/>
          <w:lang w:val="fr-CA"/>
        </w:rPr>
        <w:t xml:space="preserve"> Action.</w:t>
      </w:r>
    </w:p>
  </w:footnote>
  <w:footnote w:id="11">
    <w:p w:rsidR="00ED5C8F" w:rsidRPr="00ED5C8F" w:rsidRDefault="00ED5C8F" w:rsidP="00ED5C8F">
      <w:pPr>
        <w:keepLines/>
        <w:kinsoku w:val="0"/>
        <w:overflowPunct w:val="0"/>
        <w:autoSpaceDE w:val="0"/>
        <w:autoSpaceDN w:val="0"/>
        <w:adjustRightInd w:val="0"/>
        <w:snapToGrid w:val="0"/>
        <w:spacing w:after="60"/>
        <w:jc w:val="left"/>
        <w:rPr>
          <w:snapToGrid w:val="0"/>
          <w:kern w:val="18"/>
          <w:sz w:val="18"/>
          <w:szCs w:val="18"/>
          <w:lang w:val="fr-CA"/>
        </w:rPr>
      </w:pPr>
      <w:r w:rsidRPr="00B752DD">
        <w:rPr>
          <w:rStyle w:val="FootnoteReference"/>
          <w:snapToGrid w:val="0"/>
          <w:kern w:val="18"/>
          <w:sz w:val="18"/>
          <w:szCs w:val="18"/>
        </w:rPr>
        <w:footnoteRef/>
      </w:r>
      <w:r w:rsidRPr="00ED5C8F">
        <w:rPr>
          <w:snapToGrid w:val="0"/>
          <w:kern w:val="18"/>
          <w:sz w:val="18"/>
          <w:szCs w:val="18"/>
          <w:lang w:val="fr-CA"/>
        </w:rPr>
        <w:t xml:space="preserve"> CBD/COP/DEC/XIII/18.</w:t>
      </w:r>
    </w:p>
  </w:footnote>
  <w:footnote w:id="12">
    <w:p w:rsidR="00C50BA4" w:rsidRPr="00EC232B" w:rsidRDefault="00C50BA4" w:rsidP="00132DF3">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lang w:val="en-GB"/>
        </w:rPr>
        <w:footnoteRef/>
      </w:r>
      <w:r w:rsidRPr="00EC232B">
        <w:rPr>
          <w:snapToGrid w:val="0"/>
          <w:kern w:val="18"/>
          <w:szCs w:val="18"/>
          <w:lang w:val="fr-CA"/>
        </w:rPr>
        <w:t xml:space="preserve"> Voir </w:t>
      </w:r>
      <w:hyperlink r:id="rId2" w:history="1">
        <w:r w:rsidRPr="00EC232B">
          <w:rPr>
            <w:rStyle w:val="Hyperlink"/>
            <w:snapToGrid w:val="0"/>
            <w:kern w:val="18"/>
            <w:szCs w:val="18"/>
            <w:lang w:val="fr-CA"/>
          </w:rPr>
          <w:t>CBD/COP/12/13/Add.5/Rev.1</w:t>
        </w:r>
      </w:hyperlink>
      <w:r w:rsidRPr="00EC232B">
        <w:rPr>
          <w:snapToGrid w:val="0"/>
          <w:kern w:val="18"/>
          <w:szCs w:val="18"/>
          <w:lang w:val="fr-CA"/>
        </w:rPr>
        <w:t xml:space="preserve"> et </w:t>
      </w:r>
      <w:r w:rsidRPr="00ED5C8F">
        <w:rPr>
          <w:snapToGrid w:val="0"/>
          <w:kern w:val="18"/>
          <w:szCs w:val="18"/>
          <w:lang w:val="fr-CA"/>
        </w:rPr>
        <w:t>CBD/SBI/1/INF/6</w:t>
      </w:r>
      <w:r w:rsidRPr="00EC232B">
        <w:rPr>
          <w:snapToGrid w:val="0"/>
          <w:kern w:val="18"/>
          <w:szCs w:val="18"/>
          <w:lang w:val="fr-CA"/>
        </w:rPr>
        <w:t>.</w:t>
      </w:r>
    </w:p>
  </w:footnote>
  <w:footnote w:id="13">
    <w:p w:rsidR="00C50BA4" w:rsidRPr="00EC232B" w:rsidRDefault="00C50BA4" w:rsidP="00132DF3">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rPr>
        <w:footnoteRef/>
      </w:r>
      <w:r w:rsidRPr="00132DF3">
        <w:rPr>
          <w:snapToGrid w:val="0"/>
          <w:kern w:val="18"/>
          <w:szCs w:val="18"/>
        </w:rPr>
        <w:t xml:space="preserve"> </w:t>
      </w:r>
      <w:r>
        <w:rPr>
          <w:snapToGrid w:val="0"/>
          <w:kern w:val="18"/>
          <w:szCs w:val="18"/>
          <w:lang w:val="fr-CA"/>
        </w:rPr>
        <w:t xml:space="preserve">Annexe à la </w:t>
      </w:r>
      <w:hyperlink r:id="rId3" w:history="1">
        <w:r>
          <w:rPr>
            <w:rStyle w:val="Hyperlink"/>
            <w:snapToGrid w:val="0"/>
            <w:kern w:val="18"/>
            <w:szCs w:val="18"/>
            <w:lang w:val="fr-CA"/>
          </w:rPr>
          <w:t>dé</w:t>
        </w:r>
        <w:r w:rsidRPr="00EC232B">
          <w:rPr>
            <w:rStyle w:val="Hyperlink"/>
            <w:snapToGrid w:val="0"/>
            <w:kern w:val="18"/>
            <w:szCs w:val="18"/>
            <w:lang w:val="fr-CA"/>
          </w:rPr>
          <w:t>cision XIII/20</w:t>
        </w:r>
      </w:hyperlink>
      <w:r w:rsidRPr="00EC232B">
        <w:rPr>
          <w:snapToGrid w:val="0"/>
          <w:kern w:val="18"/>
          <w:szCs w:val="18"/>
          <w:lang w:val="fr-CA"/>
        </w:rPr>
        <w:t>, .</w:t>
      </w:r>
    </w:p>
  </w:footnote>
  <w:footnote w:id="14">
    <w:p w:rsidR="00ED5C8F" w:rsidRPr="00ED5C8F" w:rsidRDefault="00ED5C8F" w:rsidP="00ED5C8F">
      <w:pPr>
        <w:pStyle w:val="FootnoteText"/>
        <w:kinsoku w:val="0"/>
        <w:overflowPunct w:val="0"/>
        <w:autoSpaceDE w:val="0"/>
        <w:autoSpaceDN w:val="0"/>
        <w:adjustRightInd w:val="0"/>
        <w:snapToGrid w:val="0"/>
        <w:ind w:firstLine="0"/>
        <w:jc w:val="left"/>
        <w:rPr>
          <w:snapToGrid w:val="0"/>
          <w:kern w:val="18"/>
          <w:szCs w:val="18"/>
          <w:lang w:val="fr-CA"/>
        </w:rPr>
      </w:pPr>
      <w:r w:rsidRPr="00B752DD">
        <w:rPr>
          <w:rStyle w:val="FootnoteReference"/>
          <w:snapToGrid w:val="0"/>
          <w:kern w:val="18"/>
          <w:sz w:val="18"/>
          <w:szCs w:val="18"/>
          <w:lang w:val="en-GB"/>
        </w:rPr>
        <w:footnoteRef/>
      </w:r>
      <w:r w:rsidRPr="00ED5C8F">
        <w:rPr>
          <w:snapToGrid w:val="0"/>
          <w:kern w:val="18"/>
          <w:szCs w:val="18"/>
          <w:lang w:val="fr-CA"/>
        </w:rPr>
        <w:t xml:space="preserve"> En Australie, les peoples autochtones </w:t>
      </w:r>
      <w:r w:rsidR="00930684">
        <w:rPr>
          <w:snapToGrid w:val="0"/>
          <w:kern w:val="18"/>
          <w:szCs w:val="18"/>
          <w:lang w:val="fr-CA"/>
        </w:rPr>
        <w:t>parlent de leur territoire traditionnel comme étant leur « pays ».</w:t>
      </w:r>
    </w:p>
  </w:footnote>
  <w:footnote w:id="15">
    <w:p w:rsidR="00C50BA4" w:rsidRPr="00D76C5E" w:rsidRDefault="00C50BA4" w:rsidP="00132DF3">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lang w:val="en-GB"/>
        </w:rPr>
        <w:footnoteRef/>
      </w:r>
      <w:r w:rsidRPr="00D76C5E">
        <w:rPr>
          <w:snapToGrid w:val="0"/>
          <w:kern w:val="18"/>
          <w:szCs w:val="18"/>
          <w:lang w:val="fr-CA"/>
        </w:rPr>
        <w:t xml:space="preserve"> </w:t>
      </w:r>
      <w:r>
        <w:rPr>
          <w:snapToGrid w:val="0"/>
          <w:kern w:val="18"/>
          <w:szCs w:val="18"/>
          <w:lang w:val="fr-CA"/>
        </w:rPr>
        <w:t>Voir l’annexe au</w:t>
      </w:r>
      <w:r w:rsidRPr="00D76C5E">
        <w:rPr>
          <w:snapToGrid w:val="0"/>
          <w:kern w:val="18"/>
          <w:szCs w:val="18"/>
          <w:lang w:val="fr-CA"/>
        </w:rPr>
        <w:t xml:space="preserve"> </w:t>
      </w:r>
      <w:hyperlink r:id="rId4" w:history="1">
        <w:r w:rsidRPr="00D76C5E">
          <w:rPr>
            <w:rStyle w:val="Hyperlink"/>
            <w:snapToGrid w:val="0"/>
            <w:kern w:val="18"/>
            <w:szCs w:val="18"/>
            <w:lang w:val="fr-CA"/>
          </w:rPr>
          <w:t>rapp</w:t>
        </w:r>
        <w:r w:rsidRPr="00D76C5E">
          <w:rPr>
            <w:rStyle w:val="Hyperlink"/>
            <w:snapToGrid w:val="0"/>
            <w:kern w:val="18"/>
            <w:szCs w:val="18"/>
            <w:lang w:val="fr-CA"/>
          </w:rPr>
          <w:t>o</w:t>
        </w:r>
        <w:r w:rsidRPr="00D76C5E">
          <w:rPr>
            <w:rStyle w:val="Hyperlink"/>
            <w:snapToGrid w:val="0"/>
            <w:kern w:val="18"/>
            <w:szCs w:val="18"/>
            <w:lang w:val="fr-CA"/>
          </w:rPr>
          <w:t>rt de la Plénière de la Plateforme intergouvernementale scientifique et politique sur la biodiversité et</w:t>
        </w:r>
        <w:r>
          <w:rPr>
            <w:rStyle w:val="Hyperlink"/>
            <w:snapToGrid w:val="0"/>
            <w:kern w:val="18"/>
            <w:szCs w:val="18"/>
            <w:lang w:val="fr-CA"/>
          </w:rPr>
          <w:t xml:space="preserve"> les services écosystémiques sur les travaux de sa cinquième session</w:t>
        </w:r>
        <w:r w:rsidRPr="00D76C5E">
          <w:rPr>
            <w:rStyle w:val="Hyperlink"/>
            <w:snapToGrid w:val="0"/>
            <w:kern w:val="18"/>
            <w:szCs w:val="18"/>
            <w:lang w:val="fr-CA"/>
          </w:rPr>
          <w:t xml:space="preserve"> (IPBES/5/15)</w:t>
        </w:r>
      </w:hyperlink>
      <w:r w:rsidRPr="00D76C5E">
        <w:rPr>
          <w:snapToGrid w:val="0"/>
          <w:kern w:val="18"/>
          <w:szCs w:val="18"/>
          <w:lang w:val="fr-CA"/>
        </w:rPr>
        <w:t xml:space="preserve">, </w:t>
      </w:r>
      <w:r>
        <w:rPr>
          <w:snapToGrid w:val="0"/>
          <w:kern w:val="18"/>
          <w:szCs w:val="18"/>
          <w:lang w:val="fr-CA"/>
        </w:rPr>
        <w:t>l’</w:t>
      </w:r>
      <w:r w:rsidRPr="00D76C5E">
        <w:rPr>
          <w:snapToGrid w:val="0"/>
          <w:kern w:val="18"/>
          <w:szCs w:val="18"/>
          <w:lang w:val="fr-CA"/>
        </w:rPr>
        <w:t>annex</w:t>
      </w:r>
      <w:r>
        <w:rPr>
          <w:snapToGrid w:val="0"/>
          <w:kern w:val="18"/>
          <w:szCs w:val="18"/>
          <w:lang w:val="fr-CA"/>
        </w:rPr>
        <w:t>e II à la dé</w:t>
      </w:r>
      <w:r w:rsidRPr="00D76C5E">
        <w:rPr>
          <w:snapToGrid w:val="0"/>
          <w:kern w:val="18"/>
          <w:szCs w:val="18"/>
          <w:lang w:val="fr-CA"/>
        </w:rPr>
        <w:t>cision IPBES-5/1, 11 </w:t>
      </w:r>
      <w:r>
        <w:rPr>
          <w:snapToGrid w:val="0"/>
          <w:kern w:val="18"/>
          <w:szCs w:val="18"/>
          <w:lang w:val="fr-CA"/>
        </w:rPr>
        <w:t>avril</w:t>
      </w:r>
      <w:r w:rsidRPr="00D76C5E">
        <w:rPr>
          <w:snapToGrid w:val="0"/>
          <w:kern w:val="18"/>
          <w:szCs w:val="18"/>
          <w:lang w:val="fr-CA"/>
        </w:rPr>
        <w:t> 2017.</w:t>
      </w:r>
    </w:p>
  </w:footnote>
  <w:footnote w:id="16">
    <w:p w:rsidR="00C50BA4" w:rsidRPr="002F08E5" w:rsidRDefault="00C50BA4" w:rsidP="00132DF3">
      <w:pPr>
        <w:pStyle w:val="FootnoteText"/>
        <w:keepLines w:val="0"/>
        <w:kinsoku w:val="0"/>
        <w:overflowPunct w:val="0"/>
        <w:ind w:firstLine="0"/>
        <w:jc w:val="left"/>
        <w:rPr>
          <w:snapToGrid w:val="0"/>
          <w:kern w:val="18"/>
          <w:szCs w:val="18"/>
          <w:lang w:val="fr-FR"/>
        </w:rPr>
      </w:pPr>
      <w:r w:rsidRPr="00132DF3">
        <w:rPr>
          <w:rStyle w:val="FootnoteReference"/>
          <w:snapToGrid w:val="0"/>
          <w:kern w:val="18"/>
          <w:sz w:val="18"/>
          <w:szCs w:val="18"/>
          <w:lang w:val="en-GB"/>
        </w:rPr>
        <w:footnoteRef/>
      </w:r>
      <w:r w:rsidRPr="002F08E5">
        <w:rPr>
          <w:snapToGrid w:val="0"/>
          <w:kern w:val="18"/>
          <w:szCs w:val="18"/>
          <w:lang w:val="fr-FR"/>
        </w:rPr>
        <w:t xml:space="preserve"> </w:t>
      </w:r>
      <w:r w:rsidRPr="00253E54">
        <w:rPr>
          <w:snapToGrid w:val="0"/>
          <w:kern w:val="18"/>
          <w:szCs w:val="18"/>
          <w:lang w:val="fr-FR"/>
        </w:rPr>
        <w:t>CBD/WG8J/10/INF/10</w:t>
      </w:r>
      <w:r w:rsidRPr="002F08E5">
        <w:rPr>
          <w:snapToGrid w:val="0"/>
          <w:kern w:val="18"/>
          <w:szCs w:val="18"/>
          <w:lang w:val="fr-FR"/>
        </w:rPr>
        <w:t>.</w:t>
      </w:r>
    </w:p>
  </w:footnote>
  <w:footnote w:id="17">
    <w:p w:rsidR="00C50BA4" w:rsidRPr="00F62E07" w:rsidRDefault="00C50BA4" w:rsidP="00D11605">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lang w:val="en-GB"/>
        </w:rPr>
        <w:footnoteRef/>
      </w:r>
      <w:r w:rsidRPr="00D11605">
        <w:rPr>
          <w:snapToGrid w:val="0"/>
          <w:kern w:val="18"/>
          <w:szCs w:val="18"/>
          <w:lang w:val="en-US"/>
        </w:rPr>
        <w:t xml:space="preserve"> Tengö et al., 2013. </w:t>
      </w:r>
      <w:r w:rsidRPr="00132DF3">
        <w:rPr>
          <w:snapToGrid w:val="0"/>
          <w:kern w:val="18"/>
          <w:szCs w:val="18"/>
          <w:lang w:val="en-GB"/>
        </w:rPr>
        <w:t xml:space="preserve">The Multiple Evidence Base as a framework for connecting diverse knowledge systems in the IPBES. </w:t>
      </w:r>
      <w:r w:rsidRPr="00F62E07">
        <w:rPr>
          <w:snapToGrid w:val="0"/>
          <w:kern w:val="18"/>
          <w:szCs w:val="18"/>
          <w:lang w:val="fr-CA"/>
        </w:rPr>
        <w:t xml:space="preserve">Document de discussion 2012-06-04. </w:t>
      </w:r>
      <w:r w:rsidRPr="00253E66">
        <w:rPr>
          <w:snapToGrid w:val="0"/>
          <w:kern w:val="18"/>
          <w:szCs w:val="18"/>
          <w:lang w:val="en-CA"/>
        </w:rPr>
        <w:t>Stockholm Resilience Centre</w:t>
      </w:r>
      <w:r w:rsidRPr="00F62E07">
        <w:rPr>
          <w:snapToGrid w:val="0"/>
          <w:kern w:val="18"/>
          <w:szCs w:val="18"/>
          <w:lang w:val="fr-CA"/>
        </w:rPr>
        <w:t xml:space="preserve"> (SRC), Université de Stockholm, Suède.</w:t>
      </w:r>
    </w:p>
  </w:footnote>
  <w:footnote w:id="18">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D11605">
        <w:rPr>
          <w:snapToGrid w:val="0"/>
          <w:kern w:val="18"/>
          <w:szCs w:val="18"/>
          <w:lang w:val="en-US"/>
        </w:rPr>
        <w:t xml:space="preserve"> Tengö et al., 2017. </w:t>
      </w:r>
      <w:r w:rsidRPr="00132DF3">
        <w:rPr>
          <w:snapToGrid w:val="0"/>
          <w:kern w:val="18"/>
          <w:szCs w:val="18"/>
          <w:lang w:val="en-GB"/>
        </w:rPr>
        <w:t xml:space="preserve">Weaving Knowledge Systems in IPBES, CBD and beyond – lessons learned for sustainability. </w:t>
      </w:r>
      <w:r>
        <w:rPr>
          <w:snapToGrid w:val="0"/>
          <w:kern w:val="18"/>
          <w:szCs w:val="18"/>
          <w:lang w:val="en-GB"/>
        </w:rPr>
        <w:t>Tiré de </w:t>
      </w:r>
      <w:r w:rsidRPr="00132DF3">
        <w:rPr>
          <w:snapToGrid w:val="0"/>
          <w:kern w:val="18"/>
          <w:szCs w:val="18"/>
          <w:lang w:val="en-GB"/>
        </w:rPr>
        <w:t xml:space="preserve">: </w:t>
      </w:r>
      <w:r w:rsidRPr="00132DF3">
        <w:rPr>
          <w:i/>
          <w:iCs/>
          <w:snapToGrid w:val="0"/>
          <w:kern w:val="18"/>
          <w:szCs w:val="18"/>
          <w:lang w:val="en-GB"/>
        </w:rPr>
        <w:t>Current Opinion in Environmental Sustainability 2017</w:t>
      </w:r>
      <w:r w:rsidRPr="00132DF3">
        <w:rPr>
          <w:snapToGrid w:val="0"/>
          <w:kern w:val="18"/>
          <w:szCs w:val="18"/>
          <w:lang w:val="en-GB"/>
        </w:rPr>
        <w:t>, 26:17-25.</w:t>
      </w:r>
    </w:p>
  </w:footnote>
  <w:footnote w:id="19">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Nordic Council of Ministers/ Schultz et al., 2016. Framing a Nordic IPBES-like Assessment. Introductory Study including Scoping for a Nordic Assessment of Biodiversity and Ecosystem Services, based on IPBES methods and procedures.</w:t>
      </w:r>
    </w:p>
  </w:footnote>
  <w:footnote w:id="20">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Edgar Selvin Pérez and Maria Schultz, 2015. Co-chairs’ summary, Dialogue Workshop on Assessment of Collective Action in Biodiversity Conservation, Panajachel, Guatemala, 11-13 </w:t>
      </w:r>
      <w:r w:rsidR="00B94188">
        <w:rPr>
          <w:snapToGrid w:val="0"/>
          <w:kern w:val="18"/>
          <w:szCs w:val="18"/>
          <w:lang w:val="en-GB"/>
        </w:rPr>
        <w:t>juin</w:t>
      </w:r>
      <w:r w:rsidRPr="00132DF3">
        <w:rPr>
          <w:snapToGrid w:val="0"/>
          <w:kern w:val="18"/>
          <w:szCs w:val="18"/>
          <w:lang w:val="en-GB"/>
        </w:rPr>
        <w:t xml:space="preserve"> 2015 (</w:t>
      </w:r>
      <w:r w:rsidR="00B94188">
        <w:rPr>
          <w:snapToGrid w:val="0"/>
          <w:kern w:val="18"/>
          <w:szCs w:val="18"/>
          <w:lang w:val="en-GB"/>
        </w:rPr>
        <w:t>voir</w:t>
      </w:r>
      <w:r w:rsidRPr="00132DF3">
        <w:rPr>
          <w:snapToGrid w:val="0"/>
          <w:kern w:val="18"/>
          <w:szCs w:val="18"/>
          <w:lang w:val="en-GB"/>
        </w:rPr>
        <w:t xml:space="preserve"> </w:t>
      </w:r>
      <w:r w:rsidRPr="00253E54">
        <w:rPr>
          <w:snapToGrid w:val="0"/>
          <w:kern w:val="18"/>
          <w:szCs w:val="18"/>
          <w:lang w:val="en-GB"/>
        </w:rPr>
        <w:t>UNEP/CBD/SBSTTA/19/INF/21</w:t>
      </w:r>
      <w:r w:rsidRPr="00132DF3">
        <w:rPr>
          <w:snapToGrid w:val="0"/>
          <w:kern w:val="18"/>
          <w:szCs w:val="18"/>
          <w:lang w:val="en-GB"/>
        </w:rPr>
        <w:t>).</w:t>
      </w:r>
    </w:p>
  </w:footnote>
  <w:footnote w:id="21">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Tebtebba Foundation, 2013. Developing and Implementing Community-Based Monitoring and Information Systems: The Global Workshop and the Philippine Workshop Reports. Baguio City, Philippines.</w:t>
      </w:r>
    </w:p>
  </w:footnote>
  <w:footnote w:id="22">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w:t>
      </w:r>
      <w:r w:rsidRPr="00253E54">
        <w:rPr>
          <w:snapToGrid w:val="0"/>
          <w:kern w:val="18"/>
          <w:szCs w:val="18"/>
          <w:lang w:val="en-GB"/>
        </w:rPr>
        <w:t>CBD/COP/12/INF/7</w:t>
      </w:r>
      <w:r w:rsidRPr="00132DF3">
        <w:rPr>
          <w:snapToGrid w:val="0"/>
          <w:kern w:val="18"/>
          <w:szCs w:val="18"/>
          <w:lang w:val="en-GB"/>
        </w:rPr>
        <w:t xml:space="preserve"> (2014).</w:t>
      </w:r>
    </w:p>
  </w:footnote>
  <w:footnote w:id="23">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w:t>
      </w:r>
      <w:r w:rsidRPr="00253E54">
        <w:rPr>
          <w:snapToGrid w:val="0"/>
          <w:kern w:val="18"/>
          <w:szCs w:val="18"/>
          <w:lang w:val="en-GB"/>
        </w:rPr>
        <w:t>https://www.iccaconsortium.org/wp-content/uploads/2017/04/ICCA-SSP-Guidance-Document-14-March.pdf</w:t>
      </w:r>
    </w:p>
  </w:footnote>
  <w:footnote w:id="24">
    <w:p w:rsidR="00C50BA4" w:rsidRPr="000F2F48" w:rsidRDefault="00C50BA4" w:rsidP="00132DF3">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lang w:val="en-GB"/>
        </w:rPr>
        <w:footnoteRef/>
      </w:r>
      <w:r w:rsidRPr="000F2F48">
        <w:rPr>
          <w:snapToGrid w:val="0"/>
          <w:kern w:val="18"/>
          <w:szCs w:val="18"/>
          <w:lang w:val="fr-CA"/>
        </w:rPr>
        <w:t xml:space="preserve"> Voir le paragraphe 6 de l’annexe au document </w:t>
      </w:r>
      <w:hyperlink r:id="rId5" w:history="1">
        <w:r w:rsidRPr="000F2F48">
          <w:rPr>
            <w:rStyle w:val="Hyperlink"/>
            <w:snapToGrid w:val="0"/>
            <w:kern w:val="18"/>
            <w:szCs w:val="18"/>
            <w:lang w:val="fr-CA"/>
          </w:rPr>
          <w:t>UNEP/CBD/CO</w:t>
        </w:r>
        <w:r w:rsidRPr="000F2F48">
          <w:rPr>
            <w:rStyle w:val="Hyperlink"/>
            <w:snapToGrid w:val="0"/>
            <w:kern w:val="18"/>
            <w:szCs w:val="18"/>
            <w:lang w:val="fr-CA"/>
          </w:rPr>
          <w:t>P</w:t>
        </w:r>
        <w:r w:rsidRPr="000F2F48">
          <w:rPr>
            <w:rStyle w:val="Hyperlink"/>
            <w:snapToGrid w:val="0"/>
            <w:kern w:val="18"/>
            <w:szCs w:val="18"/>
            <w:lang w:val="fr-CA"/>
          </w:rPr>
          <w:t>/12/13/Add.5/Rev.1</w:t>
        </w:r>
      </w:hyperlink>
      <w:r w:rsidRPr="000F2F48">
        <w:rPr>
          <w:snapToGrid w:val="0"/>
          <w:kern w:val="18"/>
          <w:szCs w:val="18"/>
          <w:lang w:val="fr-CA"/>
        </w:rPr>
        <w:t>.</w:t>
      </w:r>
    </w:p>
  </w:footnote>
  <w:footnote w:id="25">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Ostrom, E. 1990. Governing the commons: The evolution of institutions for collective action. Cambridge University Press, New York; and Ostrom, E. 2009. </w:t>
      </w:r>
      <w:r w:rsidRPr="00253E66">
        <w:rPr>
          <w:snapToGrid w:val="0"/>
          <w:kern w:val="18"/>
          <w:szCs w:val="18"/>
          <w:lang w:val="en-CA"/>
        </w:rPr>
        <w:t>A General Framework for Analyzing Sustainability</w:t>
      </w:r>
      <w:r w:rsidRPr="00132DF3">
        <w:rPr>
          <w:snapToGrid w:val="0"/>
          <w:kern w:val="18"/>
          <w:szCs w:val="18"/>
          <w:lang w:val="en-GB"/>
        </w:rPr>
        <w:t xml:space="preserve"> of Social-Ecological Systems. Science 325 (5939): 419-422. DOI:10.1126/science.1172133.</w:t>
      </w:r>
    </w:p>
  </w:footnote>
  <w:footnote w:id="26">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Source: </w:t>
      </w:r>
      <w:r w:rsidRPr="009753AA">
        <w:rPr>
          <w:snapToGrid w:val="0"/>
          <w:kern w:val="18"/>
          <w:szCs w:val="18"/>
          <w:lang w:val="en-GB"/>
        </w:rPr>
        <w:t>CBD/COP/12/INF/7</w:t>
      </w:r>
      <w:r w:rsidRPr="00132DF3">
        <w:rPr>
          <w:snapToGrid w:val="0"/>
          <w:kern w:val="18"/>
          <w:szCs w:val="18"/>
          <w:lang w:val="en-GB"/>
        </w:rPr>
        <w:t>, p. 20.</w:t>
      </w:r>
    </w:p>
  </w:footnote>
  <w:footnote w:id="27">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Tebtebba Foundation, 2013. Developing and Implementing Community-Based Monitoring and Information Systems: The Global Workshop and the Philippine Workshop Reports. Baguio City, Philippines. p. 75.</w:t>
      </w:r>
    </w:p>
  </w:footnote>
  <w:footnote w:id="28">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Maurizio Farhan Ferrari, s/d. Community-based monitoring and information systems (CBMIS) tools. Forest Peoples Programme.</w:t>
      </w:r>
    </w:p>
  </w:footnote>
  <w:footnote w:id="29">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Tebtebba Foundation, 2013. Developing and Implementing Community-Based Monitoring and Information Systems: The Global Workshop and the Philippine Workshop Reports. Baguio City, Philippines. p. 5.</w:t>
      </w:r>
    </w:p>
  </w:footnote>
  <w:footnote w:id="30">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Ibid. p. 9.</w:t>
      </w:r>
    </w:p>
  </w:footnote>
  <w:footnote w:id="31">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Ibid.</w:t>
      </w:r>
    </w:p>
  </w:footnote>
  <w:footnote w:id="32">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w:t>
      </w:r>
      <w:r w:rsidR="00070F84">
        <w:rPr>
          <w:snapToGrid w:val="0"/>
          <w:kern w:val="18"/>
          <w:szCs w:val="18"/>
          <w:lang w:val="en-GB"/>
        </w:rPr>
        <w:t>Consortium</w:t>
      </w:r>
      <w:r>
        <w:rPr>
          <w:snapToGrid w:val="0"/>
          <w:kern w:val="18"/>
          <w:szCs w:val="18"/>
          <w:lang w:val="en-GB"/>
        </w:rPr>
        <w:t xml:space="preserve"> APAC</w:t>
      </w:r>
      <w:r w:rsidRPr="00132DF3">
        <w:rPr>
          <w:snapToGrid w:val="0"/>
          <w:kern w:val="18"/>
          <w:szCs w:val="18"/>
          <w:lang w:val="en-GB"/>
        </w:rPr>
        <w:t>, 2017. Self-Strengthening ICCAs – Guidance on a process and resources for custodian indigenous peoples and local communities. Module 3.</w:t>
      </w:r>
    </w:p>
  </w:footnote>
  <w:footnote w:id="33">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Corrigan, C. and Hay-Edie, T., 2013. A toolkit to support conservation by indigenous peoples and local communities: building capacity and sharing knowledge for indigenous peoples’ and community conserved territories and areas (ICCAs). UNEP-WCMC, Cambridge, United Kingdom.</w:t>
      </w:r>
    </w:p>
  </w:footnote>
  <w:footnote w:id="34">
    <w:p w:rsidR="00C50BA4" w:rsidRPr="00132DF3" w:rsidRDefault="00C50BA4" w:rsidP="002324BA">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w:t>
      </w:r>
      <w:r w:rsidRPr="004C435F">
        <w:rPr>
          <w:snapToGrid w:val="0"/>
          <w:kern w:val="18"/>
          <w:szCs w:val="18"/>
          <w:lang w:val="en-GB"/>
        </w:rPr>
        <w:t>Community Conservation Resilience Initiative Methodology, 2014</w:t>
      </w:r>
      <w:r w:rsidRPr="00132DF3">
        <w:rPr>
          <w:snapToGrid w:val="0"/>
          <w:kern w:val="18"/>
          <w:szCs w:val="18"/>
          <w:lang w:val="en-GB"/>
        </w:rPr>
        <w:t>, p. 2.</w:t>
      </w:r>
    </w:p>
  </w:footnote>
  <w:footnote w:id="35">
    <w:p w:rsidR="00C50BA4" w:rsidRPr="00132DF3" w:rsidRDefault="00C50BA4" w:rsidP="00132DF3">
      <w:pPr>
        <w:pStyle w:val="FootnoteText"/>
        <w:keepLines w:val="0"/>
        <w:kinsoku w:val="0"/>
        <w:overflowPunct w:val="0"/>
        <w:ind w:firstLine="0"/>
        <w:jc w:val="left"/>
        <w:rPr>
          <w:snapToGrid w:val="0"/>
          <w:kern w:val="18"/>
          <w:szCs w:val="18"/>
          <w:lang w:val="en-GB"/>
        </w:rPr>
      </w:pPr>
      <w:r w:rsidRPr="00132DF3">
        <w:rPr>
          <w:rStyle w:val="FootnoteReference"/>
          <w:snapToGrid w:val="0"/>
          <w:kern w:val="18"/>
          <w:sz w:val="18"/>
          <w:szCs w:val="18"/>
          <w:lang w:val="en-GB"/>
        </w:rPr>
        <w:footnoteRef/>
      </w:r>
      <w:r w:rsidRPr="00132DF3">
        <w:rPr>
          <w:snapToGrid w:val="0"/>
          <w:kern w:val="18"/>
          <w:szCs w:val="18"/>
          <w:lang w:val="en-GB"/>
        </w:rPr>
        <w:t xml:space="preserve"> J. Creswell and V. Plano Clark, 2007. </w:t>
      </w:r>
      <w:r w:rsidRPr="00132DF3">
        <w:rPr>
          <w:i/>
          <w:iCs/>
          <w:snapToGrid w:val="0"/>
          <w:kern w:val="18"/>
          <w:szCs w:val="18"/>
          <w:lang w:val="en-GB"/>
        </w:rPr>
        <w:t>Designing and Conducting Mixed Methods Research</w:t>
      </w:r>
      <w:r w:rsidRPr="00132DF3">
        <w:rPr>
          <w:snapToGrid w:val="0"/>
          <w:kern w:val="18"/>
          <w:szCs w:val="18"/>
          <w:lang w:val="en-GB"/>
        </w:rPr>
        <w:t>, Thousand Oaks, California, United States, Sage Publications.</w:t>
      </w:r>
    </w:p>
  </w:footnote>
  <w:footnote w:id="36">
    <w:p w:rsidR="00C50BA4" w:rsidRPr="00082861" w:rsidRDefault="00C50BA4" w:rsidP="00C93FDF">
      <w:pPr>
        <w:pStyle w:val="NormalWeb"/>
        <w:kinsoku w:val="0"/>
        <w:overflowPunct w:val="0"/>
        <w:spacing w:before="0" w:beforeAutospacing="0" w:after="60" w:afterAutospacing="0"/>
        <w:textAlignment w:val="baseline"/>
        <w:rPr>
          <w:rFonts w:ascii="Times New Roman" w:hAnsi="Times New Roman"/>
          <w:snapToGrid w:val="0"/>
          <w:kern w:val="18"/>
          <w:lang w:val="fr-CA"/>
        </w:rPr>
      </w:pPr>
      <w:r w:rsidRPr="00132DF3">
        <w:rPr>
          <w:rStyle w:val="FootnoteReference"/>
          <w:rFonts w:ascii="Times New Roman" w:hAnsi="Times New Roman"/>
          <w:snapToGrid w:val="0"/>
          <w:color w:val="auto"/>
          <w:kern w:val="18"/>
          <w:sz w:val="18"/>
          <w:lang w:val="en-GB"/>
        </w:rPr>
        <w:footnoteRef/>
      </w:r>
      <w:r w:rsidRPr="00C93FDF">
        <w:rPr>
          <w:rFonts w:ascii="Times New Roman" w:hAnsi="Times New Roman"/>
          <w:snapToGrid w:val="0"/>
          <w:color w:val="auto"/>
          <w:kern w:val="18"/>
          <w:lang w:val="fr-CA"/>
        </w:rPr>
        <w:t xml:space="preserve"> La Conférence des Parties a adopté, dans sa décis</w:t>
      </w:r>
      <w:r>
        <w:rPr>
          <w:rFonts w:ascii="Times New Roman" w:hAnsi="Times New Roman"/>
          <w:snapToGrid w:val="0"/>
          <w:color w:val="auto"/>
          <w:kern w:val="18"/>
          <w:lang w:val="fr-CA"/>
        </w:rPr>
        <w:t xml:space="preserve">ion X/43, </w:t>
      </w:r>
      <w:r w:rsidRPr="00082861">
        <w:rPr>
          <w:rFonts w:ascii="Times New Roman" w:hAnsi="Times New Roman"/>
          <w:snapToGrid w:val="0"/>
          <w:color w:val="auto"/>
          <w:kern w:val="18"/>
          <w:lang w:val="fr-CA"/>
        </w:rPr>
        <w:t>« </w:t>
      </w:r>
      <w:r w:rsidRPr="00082861">
        <w:rPr>
          <w:rFonts w:ascii="Times New Roman" w:hAnsi="Times New Roman"/>
          <w:noProof/>
          <w:szCs w:val="22"/>
          <w:lang w:val="fr-FR"/>
        </w:rPr>
        <w:t xml:space="preserve">l’état et les tendances des changements dans l’affectation des terres et le statut foncier dans les territoires traditionnels des communautés autochtones et locales » comme un des quatre indicateurs des connaissances traditionnelles au titre de la Convention sur la diversité biologique. « L’affectation des terres » situées sur les territoires </w:t>
      </w:r>
      <w:r w:rsidR="00350A32">
        <w:rPr>
          <w:rFonts w:ascii="Times New Roman" w:hAnsi="Times New Roman"/>
          <w:noProof/>
          <w:szCs w:val="22"/>
          <w:lang w:val="fr-FR"/>
        </w:rPr>
        <w:t>traditionnels</w:t>
      </w:r>
      <w:r w:rsidRPr="00082861">
        <w:rPr>
          <w:rFonts w:ascii="Times New Roman" w:hAnsi="Times New Roman"/>
          <w:noProof/>
          <w:szCs w:val="22"/>
          <w:lang w:val="fr-FR"/>
        </w:rPr>
        <w:t xml:space="preserve"> des peuples autochtones et des communautés locales, peut inclure les terres et les eaux</w:t>
      </w:r>
      <w:r w:rsidRPr="00082861">
        <w:rPr>
          <w:rFonts w:ascii="Times New Roman" w:hAnsi="Times New Roman"/>
          <w:snapToGrid w:val="0"/>
          <w:color w:val="auto"/>
          <w:kern w:val="18"/>
          <w:lang w:val="fr-CA"/>
        </w:rPr>
        <w:t>.</w:t>
      </w:r>
    </w:p>
  </w:footnote>
  <w:footnote w:id="37">
    <w:p w:rsidR="00C50BA4" w:rsidRPr="0014374B" w:rsidRDefault="00C50BA4" w:rsidP="00C93FDF">
      <w:pPr>
        <w:pStyle w:val="FootnoteText"/>
        <w:keepLines w:val="0"/>
        <w:kinsoku w:val="0"/>
        <w:overflowPunct w:val="0"/>
        <w:ind w:firstLine="0"/>
        <w:jc w:val="left"/>
        <w:rPr>
          <w:snapToGrid w:val="0"/>
          <w:kern w:val="18"/>
          <w:szCs w:val="18"/>
          <w:lang w:val="fr-CA"/>
        </w:rPr>
      </w:pPr>
      <w:r w:rsidRPr="00132DF3">
        <w:rPr>
          <w:rStyle w:val="FootnoteReference"/>
          <w:snapToGrid w:val="0"/>
          <w:kern w:val="18"/>
          <w:sz w:val="18"/>
          <w:szCs w:val="18"/>
          <w:lang w:val="en-GB"/>
        </w:rPr>
        <w:footnoteRef/>
      </w:r>
      <w:r w:rsidRPr="0014374B">
        <w:rPr>
          <w:snapToGrid w:val="0"/>
          <w:kern w:val="18"/>
          <w:szCs w:val="18"/>
          <w:lang w:val="fr-CA"/>
        </w:rPr>
        <w:t xml:space="preserve"> La </w:t>
      </w:r>
      <w:r>
        <w:rPr>
          <w:snapToGrid w:val="0"/>
          <w:kern w:val="18"/>
          <w:szCs w:val="18"/>
          <w:lang w:val="fr-CA"/>
        </w:rPr>
        <w:t>Confé</w:t>
      </w:r>
      <w:r w:rsidRPr="0014374B">
        <w:rPr>
          <w:snapToGrid w:val="0"/>
          <w:kern w:val="18"/>
          <w:szCs w:val="18"/>
          <w:lang w:val="fr-CA"/>
        </w:rPr>
        <w:t>rence des Parties a adopté, à l’annexe à la d</w:t>
      </w:r>
      <w:r>
        <w:rPr>
          <w:snapToGrid w:val="0"/>
          <w:kern w:val="18"/>
          <w:szCs w:val="18"/>
          <w:lang w:val="fr-CA"/>
        </w:rPr>
        <w:t>é</w:t>
      </w:r>
      <w:r w:rsidRPr="0014374B">
        <w:rPr>
          <w:snapToGrid w:val="0"/>
          <w:kern w:val="18"/>
          <w:szCs w:val="18"/>
          <w:lang w:val="fr-CA"/>
        </w:rPr>
        <w:t>cision XII/12 B, un plan d’action global pour l’utilisation durable coutumière de la diversité biologique.</w:t>
      </w:r>
      <w:r>
        <w:rPr>
          <w:snapToGrid w:val="0"/>
          <w:kern w:val="18"/>
          <w:szCs w:val="18"/>
          <w:lang w:val="fr-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A4" w:rsidRDefault="002E1148" w:rsidP="00132DF3">
    <w:pPr>
      <w:pStyle w:val="Header"/>
      <w:tabs>
        <w:tab w:val="clear" w:pos="4320"/>
        <w:tab w:val="clear" w:pos="8640"/>
      </w:tabs>
      <w:jc w:val="right"/>
      <w:rPr>
        <w:noProof/>
      </w:rPr>
    </w:pPr>
    <w:r>
      <w:rPr>
        <w:noProof/>
      </w:rPr>
      <w:t>CBD/SBI/02/19</w:t>
    </w:r>
  </w:p>
  <w:p w:rsidR="00C50BA4" w:rsidRDefault="00C50BA4" w:rsidP="00132DF3">
    <w:pPr>
      <w:pStyle w:val="Header"/>
      <w:tabs>
        <w:tab w:val="clear" w:pos="4320"/>
        <w:tab w:val="clear" w:pos="8640"/>
      </w:tabs>
      <w:spacing w:after="24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C53889">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BA4" w:rsidRDefault="00C50BA4" w:rsidP="00927B39">
    <w:pPr>
      <w:pStyle w:val="Header"/>
      <w:tabs>
        <w:tab w:val="clear" w:pos="4320"/>
        <w:tab w:val="clear" w:pos="8640"/>
      </w:tabs>
      <w:jc w:val="left"/>
      <w:rPr>
        <w:noProof/>
      </w:rPr>
    </w:pPr>
    <w:r>
      <w:rPr>
        <w:noProof/>
      </w:rPr>
      <w:t>CBD/</w:t>
    </w:r>
    <w:r w:rsidR="002E1148">
      <w:rPr>
        <w:noProof/>
      </w:rPr>
      <w:t>SBI/02/19</w:t>
    </w:r>
  </w:p>
  <w:p w:rsidR="00C50BA4" w:rsidRDefault="00C50BA4" w:rsidP="00927B39">
    <w:pPr>
      <w:pStyle w:val="Header"/>
      <w:tabs>
        <w:tab w:val="clear" w:pos="4320"/>
        <w:tab w:val="clear" w:pos="8640"/>
      </w:tabs>
      <w:spacing w:after="240"/>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sidR="00C53889">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47A"/>
    <w:multiLevelType w:val="hybridMultilevel"/>
    <w:tmpl w:val="2EF00766"/>
    <w:lvl w:ilvl="0" w:tplc="202E0E70">
      <w:start w:val="5"/>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C337D"/>
    <w:multiLevelType w:val="hybridMultilevel"/>
    <w:tmpl w:val="7E3AD6AC"/>
    <w:lvl w:ilvl="0" w:tplc="E2EE5C1E">
      <w:start w:val="1"/>
      <w:numFmt w:val="lowerLetter"/>
      <w:lvlText w:val="(%1)"/>
      <w:lvlJc w:val="left"/>
      <w:pPr>
        <w:tabs>
          <w:tab w:val="num" w:pos="720"/>
        </w:tabs>
        <w:ind w:left="720" w:hanging="360"/>
      </w:pPr>
      <w:rPr>
        <w:rFonts w:hint="default"/>
      </w:rPr>
    </w:lvl>
    <w:lvl w:ilvl="1" w:tplc="25A2FE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8009F"/>
    <w:multiLevelType w:val="hybridMultilevel"/>
    <w:tmpl w:val="1B888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05020"/>
    <w:multiLevelType w:val="hybridMultilevel"/>
    <w:tmpl w:val="AC4C76B6"/>
    <w:lvl w:ilvl="0" w:tplc="4AC4987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F21A9"/>
    <w:multiLevelType w:val="hybridMultilevel"/>
    <w:tmpl w:val="F77CD58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486F70"/>
    <w:multiLevelType w:val="hybridMultilevel"/>
    <w:tmpl w:val="F8C41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1442D3"/>
    <w:multiLevelType w:val="hybridMultilevel"/>
    <w:tmpl w:val="F71C9F5A"/>
    <w:lvl w:ilvl="0" w:tplc="989E4F2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7066"/>
    <w:multiLevelType w:val="hybridMultilevel"/>
    <w:tmpl w:val="46AC807E"/>
    <w:lvl w:ilvl="0" w:tplc="F51A669E">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B4E5F"/>
    <w:multiLevelType w:val="hybridMultilevel"/>
    <w:tmpl w:val="A83A4062"/>
    <w:lvl w:ilvl="0" w:tplc="90DCD226">
      <w:start w:val="6"/>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7153C9"/>
    <w:multiLevelType w:val="hybridMultilevel"/>
    <w:tmpl w:val="EB1423C0"/>
    <w:lvl w:ilvl="0" w:tplc="E0D85EEE">
      <w:start w:val="1"/>
      <w:numFmt w:val="lowerLetter"/>
      <w:lvlText w:val="(%1)"/>
      <w:lvlJc w:val="right"/>
      <w:pPr>
        <w:tabs>
          <w:tab w:val="num" w:pos="1260"/>
        </w:tabs>
        <w:ind w:left="1260" w:hanging="180"/>
      </w:pPr>
      <w:rPr>
        <w:rFonts w:ascii="Times New Roman" w:eastAsia="Times New Roman" w:hAnsi="Times New Roman" w:cs="Times New Roman"/>
      </w:rPr>
    </w:lvl>
    <w:lvl w:ilvl="1" w:tplc="AFB2C50C">
      <w:start w:val="1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22D1505"/>
    <w:multiLevelType w:val="hybridMultilevel"/>
    <w:tmpl w:val="7E3AD6AC"/>
    <w:lvl w:ilvl="0" w:tplc="E2EE5C1E">
      <w:start w:val="1"/>
      <w:numFmt w:val="lowerLetter"/>
      <w:lvlText w:val="(%1)"/>
      <w:lvlJc w:val="left"/>
      <w:pPr>
        <w:tabs>
          <w:tab w:val="num" w:pos="720"/>
        </w:tabs>
        <w:ind w:left="720" w:hanging="360"/>
      </w:pPr>
      <w:rPr>
        <w:rFonts w:hint="default"/>
      </w:rPr>
    </w:lvl>
    <w:lvl w:ilvl="1" w:tplc="25A2FE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88236B"/>
    <w:multiLevelType w:val="hybridMultilevel"/>
    <w:tmpl w:val="AEF20B9A"/>
    <w:lvl w:ilvl="0" w:tplc="B9DE3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DA23B0"/>
    <w:multiLevelType w:val="hybridMultilevel"/>
    <w:tmpl w:val="A260DD02"/>
    <w:lvl w:ilvl="0" w:tplc="F854424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18618C"/>
    <w:multiLevelType w:val="hybridMultilevel"/>
    <w:tmpl w:val="717CFF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42334A8"/>
    <w:multiLevelType w:val="hybridMultilevel"/>
    <w:tmpl w:val="23D609D6"/>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CAB40D4C">
      <w:start w:val="1"/>
      <w:numFmt w:val="lowerLetter"/>
      <w:lvlText w:val="(%3)"/>
      <w:lvlJc w:val="left"/>
      <w:pPr>
        <w:ind w:left="2869" w:hanging="18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C45590"/>
    <w:multiLevelType w:val="hybridMultilevel"/>
    <w:tmpl w:val="2B8AC750"/>
    <w:lvl w:ilvl="0" w:tplc="A2447D1C">
      <w:start w:val="6"/>
      <w:numFmt w:val="bullet"/>
      <w:lvlText w:val="-"/>
      <w:lvlJc w:val="left"/>
      <w:pPr>
        <w:ind w:left="360" w:hanging="360"/>
      </w:pPr>
      <w:rPr>
        <w:rFonts w:ascii="Times New Roman" w:eastAsia="MS Mincho" w:hAnsi="Times New Roman" w:cs="Times New Roman" w:hint="default"/>
      </w:rPr>
    </w:lvl>
    <w:lvl w:ilvl="1" w:tplc="C00653CE">
      <w:start w:val="59"/>
      <w:numFmt w:val="bullet"/>
      <w:lvlText w:val="•"/>
      <w:lvlJc w:val="left"/>
      <w:pPr>
        <w:ind w:left="1455" w:hanging="735"/>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D37EEE"/>
    <w:multiLevelType w:val="hybridMultilevel"/>
    <w:tmpl w:val="02B06A32"/>
    <w:lvl w:ilvl="0" w:tplc="D8BE8410">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E0442B4"/>
    <w:multiLevelType w:val="multilevel"/>
    <w:tmpl w:val="C6B243B6"/>
    <w:lvl w:ilvl="0">
      <w:start w:val="1"/>
      <w:numFmt w:val="decimal"/>
      <w:pStyle w:val="Para1"/>
      <w:lvlText w:val="%1."/>
      <w:lvlJc w:val="left"/>
      <w:pPr>
        <w:tabs>
          <w:tab w:val="num" w:pos="360"/>
        </w:tabs>
        <w:ind w:left="0" w:firstLine="0"/>
      </w:pPr>
      <w:rPr>
        <w:rFonts w:ascii="Times New Roman" w:hAnsi="Times New Roman" w:hint="default"/>
        <w:b w:val="0"/>
        <w:i w:val="0"/>
        <w:sz w:val="22"/>
        <w:lang w:val="en-GB"/>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lang w:val="en-GB"/>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FF24EDB"/>
    <w:multiLevelType w:val="hybridMultilevel"/>
    <w:tmpl w:val="F8EC3434"/>
    <w:lvl w:ilvl="0" w:tplc="35E60AB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EE7076"/>
    <w:multiLevelType w:val="hybridMultilevel"/>
    <w:tmpl w:val="74F0BD00"/>
    <w:lvl w:ilvl="0" w:tplc="88B050B4">
      <w:start w:val="1"/>
      <w:numFmt w:val="lowerLetter"/>
      <w:lvlText w:val="(%1)"/>
      <w:lvlJc w:val="left"/>
      <w:pPr>
        <w:ind w:left="1080" w:hanging="360"/>
      </w:pPr>
      <w:rPr>
        <w:rFonts w:eastAsia="Batang"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28A4331"/>
    <w:multiLevelType w:val="hybridMultilevel"/>
    <w:tmpl w:val="083639A4"/>
    <w:lvl w:ilvl="0" w:tplc="B9DE31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4B0323D"/>
    <w:multiLevelType w:val="hybridMultilevel"/>
    <w:tmpl w:val="1A5460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7807B2"/>
    <w:multiLevelType w:val="hybridMultilevel"/>
    <w:tmpl w:val="8E34E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B894D91"/>
    <w:multiLevelType w:val="hybridMultilevel"/>
    <w:tmpl w:val="CEDC5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9C37A9"/>
    <w:multiLevelType w:val="hybridMultilevel"/>
    <w:tmpl w:val="3F449C40"/>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CAB40D4C">
      <w:start w:val="1"/>
      <w:numFmt w:val="lowerLetter"/>
      <w:lvlText w:val="(%3)"/>
      <w:lvlJc w:val="left"/>
      <w:pPr>
        <w:ind w:left="2869" w:hanging="18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15:restartNumberingAfterBreak="0">
    <w:nsid w:val="5E953602"/>
    <w:multiLevelType w:val="multilevel"/>
    <w:tmpl w:val="34E6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E305A8"/>
    <w:multiLevelType w:val="hybridMultilevel"/>
    <w:tmpl w:val="87C4FD2A"/>
    <w:lvl w:ilvl="0" w:tplc="E758D3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7BD15B2"/>
    <w:multiLevelType w:val="hybridMultilevel"/>
    <w:tmpl w:val="DF2AE9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82B0FA8"/>
    <w:multiLevelType w:val="hybridMultilevel"/>
    <w:tmpl w:val="BF26AFEA"/>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B9DE3132">
      <w:start w:val="1"/>
      <w:numFmt w:val="lowerLetter"/>
      <w:lvlText w:val="(%3)"/>
      <w:lvlJc w:val="left"/>
      <w:pPr>
        <w:ind w:left="2869" w:hanging="180"/>
      </w:pPr>
      <w:rPr>
        <w:rFonts w:hint="default"/>
        <w:b w:val="0"/>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69A70665"/>
    <w:multiLevelType w:val="hybridMultilevel"/>
    <w:tmpl w:val="083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108C7"/>
    <w:multiLevelType w:val="hybridMultilevel"/>
    <w:tmpl w:val="85CEA7E4"/>
    <w:lvl w:ilvl="0" w:tplc="2E98FCDE">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3072D6E"/>
    <w:multiLevelType w:val="hybridMultilevel"/>
    <w:tmpl w:val="00C02374"/>
    <w:lvl w:ilvl="0" w:tplc="CAB40D4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15:restartNumberingAfterBreak="0">
    <w:nsid w:val="74EE2D75"/>
    <w:multiLevelType w:val="hybridMultilevel"/>
    <w:tmpl w:val="005063AE"/>
    <w:lvl w:ilvl="0" w:tplc="316431EE">
      <w:start w:val="6"/>
      <w:numFmt w:val="bullet"/>
      <w:lvlText w:val="-"/>
      <w:lvlJc w:val="left"/>
      <w:pPr>
        <w:ind w:left="360" w:hanging="360"/>
      </w:pPr>
      <w:rPr>
        <w:rFonts w:ascii="Times New Roman" w:eastAsia="MS Mincho"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7E797C"/>
    <w:multiLevelType w:val="hybridMultilevel"/>
    <w:tmpl w:val="519E9376"/>
    <w:lvl w:ilvl="0" w:tplc="3C7CF44A">
      <w:start w:val="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17"/>
  </w:num>
  <w:num w:numId="5">
    <w:abstractNumId w:val="21"/>
  </w:num>
  <w:num w:numId="6">
    <w:abstractNumId w:val="18"/>
  </w:num>
  <w:num w:numId="7">
    <w:abstractNumId w:val="1"/>
  </w:num>
  <w:num w:numId="8">
    <w:abstractNumId w:val="9"/>
  </w:num>
  <w:num w:numId="9">
    <w:abstractNumId w:val="6"/>
  </w:num>
  <w:num w:numId="10">
    <w:abstractNumId w:val="34"/>
  </w:num>
  <w:num w:numId="11">
    <w:abstractNumId w:val="15"/>
  </w:num>
  <w:num w:numId="12">
    <w:abstractNumId w:val="22"/>
  </w:num>
  <w:num w:numId="13">
    <w:abstractNumId w:val="12"/>
  </w:num>
  <w:num w:numId="14">
    <w:abstractNumId w:val="20"/>
  </w:num>
  <w:num w:numId="15">
    <w:abstractNumId w:val="21"/>
    <w:lvlOverride w:ilvl="0">
      <w:startOverride w:val="1"/>
    </w:lvlOverride>
    <w:lvlOverride w:ilvl="1">
      <w:startOverride w:val="1"/>
    </w:lvlOverride>
    <w:lvlOverride w:ilvl="2">
      <w:startOverride w:val="3"/>
    </w:lvlOverride>
  </w:num>
  <w:num w:numId="16">
    <w:abstractNumId w:val="21"/>
    <w:lvlOverride w:ilvl="0">
      <w:startOverride w:val="32"/>
    </w:lvlOverride>
  </w:num>
  <w:num w:numId="17">
    <w:abstractNumId w:val="21"/>
    <w:lvlOverride w:ilvl="0">
      <w:startOverride w:val="43"/>
    </w:lvlOverride>
  </w:num>
  <w:num w:numId="18">
    <w:abstractNumId w:val="14"/>
  </w:num>
  <w:num w:numId="19">
    <w:abstractNumId w:val="23"/>
  </w:num>
  <w:num w:numId="20">
    <w:abstractNumId w:val="30"/>
  </w:num>
  <w:num w:numId="21">
    <w:abstractNumId w:val="21"/>
    <w:lvlOverride w:ilvl="0">
      <w:startOverride w:val="43"/>
    </w:lvlOverride>
  </w:num>
  <w:num w:numId="22">
    <w:abstractNumId w:val="24"/>
  </w:num>
  <w:num w:numId="23">
    <w:abstractNumId w:val="13"/>
  </w:num>
  <w:num w:numId="24">
    <w:abstractNumId w:val="33"/>
  </w:num>
  <w:num w:numId="25">
    <w:abstractNumId w:val="21"/>
  </w:num>
  <w:num w:numId="26">
    <w:abstractNumId w:val="21"/>
  </w:num>
  <w:num w:numId="27">
    <w:abstractNumId w:val="21"/>
  </w:num>
  <w:num w:numId="28">
    <w:abstractNumId w:val="21"/>
  </w:num>
  <w:num w:numId="29">
    <w:abstractNumId w:val="21"/>
  </w:num>
  <w:num w:numId="30">
    <w:abstractNumId w:val="29"/>
  </w:num>
  <w:num w:numId="31">
    <w:abstractNumId w:val="4"/>
  </w:num>
  <w:num w:numId="32">
    <w:abstractNumId w:val="21"/>
    <w:lvlOverride w:ilvl="0">
      <w:startOverride w:val="1"/>
    </w:lvlOverride>
    <w:lvlOverride w:ilvl="1">
      <w:startOverride w:val="1"/>
    </w:lvlOverride>
  </w:num>
  <w:num w:numId="33">
    <w:abstractNumId w:val="35"/>
  </w:num>
  <w:num w:numId="34">
    <w:abstractNumId w:val="28"/>
  </w:num>
  <w:num w:numId="35">
    <w:abstractNumId w:val="16"/>
  </w:num>
  <w:num w:numId="36">
    <w:abstractNumId w:val="32"/>
  </w:num>
  <w:num w:numId="37">
    <w:abstractNumId w:val="26"/>
  </w:num>
  <w:num w:numId="38">
    <w:abstractNumId w:val="37"/>
  </w:num>
  <w:num w:numId="39">
    <w:abstractNumId w:val="5"/>
  </w:num>
  <w:num w:numId="40">
    <w:abstractNumId w:val="2"/>
  </w:num>
  <w:num w:numId="41">
    <w:abstractNumId w:val="0"/>
  </w:num>
  <w:num w:numId="42">
    <w:abstractNumId w:val="3"/>
  </w:num>
  <w:num w:numId="43">
    <w:abstractNumId w:val="36"/>
  </w:num>
  <w:num w:numId="44">
    <w:abstractNumId w:val="8"/>
  </w:num>
  <w:num w:numId="45">
    <w:abstractNumId w:val="19"/>
  </w:num>
  <w:num w:numId="46">
    <w:abstractNumId w:val="25"/>
  </w:num>
  <w:num w:numId="47">
    <w:abstractNumId w:val="27"/>
  </w:num>
  <w:num w:numId="48">
    <w:abstractNumId w:val="7"/>
  </w:num>
  <w:num w:numId="49">
    <w:abstractNumId w:val="31"/>
  </w:num>
  <w:num w:numId="50">
    <w:abstractNumId w:val="21"/>
    <w:lvlOverride w:ilvl="0">
      <w:startOverride w:val="60"/>
    </w:lvlOverride>
  </w:num>
  <w:num w:numId="51">
    <w:abstractNumId w:val="21"/>
  </w:num>
  <w:num w:numId="52">
    <w:abstractNumId w:val="21"/>
  </w:num>
  <w:num w:numId="53">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B0F"/>
    <w:rsid w:val="00000ACB"/>
    <w:rsid w:val="000011C8"/>
    <w:rsid w:val="00001283"/>
    <w:rsid w:val="00002448"/>
    <w:rsid w:val="000028B5"/>
    <w:rsid w:val="000028F4"/>
    <w:rsid w:val="00003A66"/>
    <w:rsid w:val="00004D46"/>
    <w:rsid w:val="00006CDB"/>
    <w:rsid w:val="0000724C"/>
    <w:rsid w:val="00007A33"/>
    <w:rsid w:val="00010DE2"/>
    <w:rsid w:val="00011ACC"/>
    <w:rsid w:val="00011E00"/>
    <w:rsid w:val="00013A48"/>
    <w:rsid w:val="00014277"/>
    <w:rsid w:val="000149C7"/>
    <w:rsid w:val="00014D17"/>
    <w:rsid w:val="00015319"/>
    <w:rsid w:val="00015717"/>
    <w:rsid w:val="00017D0C"/>
    <w:rsid w:val="00021009"/>
    <w:rsid w:val="0002427A"/>
    <w:rsid w:val="000244AB"/>
    <w:rsid w:val="00024C34"/>
    <w:rsid w:val="000255BE"/>
    <w:rsid w:val="00026369"/>
    <w:rsid w:val="0002656B"/>
    <w:rsid w:val="000278A3"/>
    <w:rsid w:val="0003127A"/>
    <w:rsid w:val="00031906"/>
    <w:rsid w:val="00031B44"/>
    <w:rsid w:val="00031D0D"/>
    <w:rsid w:val="00031DC2"/>
    <w:rsid w:val="0003293E"/>
    <w:rsid w:val="00032E11"/>
    <w:rsid w:val="000361EC"/>
    <w:rsid w:val="0003768A"/>
    <w:rsid w:val="000414D9"/>
    <w:rsid w:val="00042CD7"/>
    <w:rsid w:val="0004314D"/>
    <w:rsid w:val="00043C1B"/>
    <w:rsid w:val="00043CCC"/>
    <w:rsid w:val="0004505D"/>
    <w:rsid w:val="00046735"/>
    <w:rsid w:val="00047F27"/>
    <w:rsid w:val="000515E1"/>
    <w:rsid w:val="00051B0F"/>
    <w:rsid w:val="00053269"/>
    <w:rsid w:val="00054A44"/>
    <w:rsid w:val="00054B6C"/>
    <w:rsid w:val="00056D5B"/>
    <w:rsid w:val="00057A84"/>
    <w:rsid w:val="00057D59"/>
    <w:rsid w:val="00060D39"/>
    <w:rsid w:val="00061409"/>
    <w:rsid w:val="0006231C"/>
    <w:rsid w:val="00062DCF"/>
    <w:rsid w:val="000657F1"/>
    <w:rsid w:val="00065A83"/>
    <w:rsid w:val="00066693"/>
    <w:rsid w:val="00066EA8"/>
    <w:rsid w:val="000678E9"/>
    <w:rsid w:val="000708FC"/>
    <w:rsid w:val="00070F84"/>
    <w:rsid w:val="000711E1"/>
    <w:rsid w:val="000714CD"/>
    <w:rsid w:val="00072F3C"/>
    <w:rsid w:val="00074BB9"/>
    <w:rsid w:val="000763B6"/>
    <w:rsid w:val="00077D88"/>
    <w:rsid w:val="00082861"/>
    <w:rsid w:val="000835DA"/>
    <w:rsid w:val="00084180"/>
    <w:rsid w:val="00085DFE"/>
    <w:rsid w:val="00086720"/>
    <w:rsid w:val="00086814"/>
    <w:rsid w:val="0008794C"/>
    <w:rsid w:val="00087EFC"/>
    <w:rsid w:val="00090446"/>
    <w:rsid w:val="0009169A"/>
    <w:rsid w:val="00091AED"/>
    <w:rsid w:val="0009271B"/>
    <w:rsid w:val="00095912"/>
    <w:rsid w:val="000969C0"/>
    <w:rsid w:val="00097337"/>
    <w:rsid w:val="00097DCE"/>
    <w:rsid w:val="000A006E"/>
    <w:rsid w:val="000A0D34"/>
    <w:rsid w:val="000A19D2"/>
    <w:rsid w:val="000A1F0F"/>
    <w:rsid w:val="000A36E3"/>
    <w:rsid w:val="000A6270"/>
    <w:rsid w:val="000A696E"/>
    <w:rsid w:val="000A6B1C"/>
    <w:rsid w:val="000A7222"/>
    <w:rsid w:val="000A760B"/>
    <w:rsid w:val="000A7B6E"/>
    <w:rsid w:val="000A7D72"/>
    <w:rsid w:val="000B055F"/>
    <w:rsid w:val="000B0AC4"/>
    <w:rsid w:val="000B0AF3"/>
    <w:rsid w:val="000B0F8C"/>
    <w:rsid w:val="000B17F7"/>
    <w:rsid w:val="000B2693"/>
    <w:rsid w:val="000B31BE"/>
    <w:rsid w:val="000B4EEE"/>
    <w:rsid w:val="000B5584"/>
    <w:rsid w:val="000B5C6C"/>
    <w:rsid w:val="000C0876"/>
    <w:rsid w:val="000C4E4E"/>
    <w:rsid w:val="000C51DE"/>
    <w:rsid w:val="000C53EB"/>
    <w:rsid w:val="000C5460"/>
    <w:rsid w:val="000C5769"/>
    <w:rsid w:val="000C6CDC"/>
    <w:rsid w:val="000C7065"/>
    <w:rsid w:val="000C715B"/>
    <w:rsid w:val="000C7545"/>
    <w:rsid w:val="000C7E7B"/>
    <w:rsid w:val="000D2C6B"/>
    <w:rsid w:val="000D41CF"/>
    <w:rsid w:val="000D4207"/>
    <w:rsid w:val="000D43F2"/>
    <w:rsid w:val="000D671C"/>
    <w:rsid w:val="000D69C9"/>
    <w:rsid w:val="000D6E8F"/>
    <w:rsid w:val="000D76D8"/>
    <w:rsid w:val="000E1E38"/>
    <w:rsid w:val="000E4508"/>
    <w:rsid w:val="000E4E2A"/>
    <w:rsid w:val="000E72F1"/>
    <w:rsid w:val="000E74DA"/>
    <w:rsid w:val="000F292C"/>
    <w:rsid w:val="000F2F48"/>
    <w:rsid w:val="000F32C2"/>
    <w:rsid w:val="000F4D7B"/>
    <w:rsid w:val="000F5014"/>
    <w:rsid w:val="000F63F9"/>
    <w:rsid w:val="000F7ABA"/>
    <w:rsid w:val="000F7AFB"/>
    <w:rsid w:val="0010015B"/>
    <w:rsid w:val="00101134"/>
    <w:rsid w:val="0010138E"/>
    <w:rsid w:val="0010163F"/>
    <w:rsid w:val="00101909"/>
    <w:rsid w:val="001026E2"/>
    <w:rsid w:val="00103891"/>
    <w:rsid w:val="00105CE2"/>
    <w:rsid w:val="0010658A"/>
    <w:rsid w:val="00107667"/>
    <w:rsid w:val="00107F4D"/>
    <w:rsid w:val="00110CD5"/>
    <w:rsid w:val="00111088"/>
    <w:rsid w:val="00112627"/>
    <w:rsid w:val="00112BFB"/>
    <w:rsid w:val="001133BD"/>
    <w:rsid w:val="0011463A"/>
    <w:rsid w:val="001147F0"/>
    <w:rsid w:val="001148B6"/>
    <w:rsid w:val="00115DDE"/>
    <w:rsid w:val="0011660B"/>
    <w:rsid w:val="00121C07"/>
    <w:rsid w:val="0012226E"/>
    <w:rsid w:val="00122D5B"/>
    <w:rsid w:val="00122DCF"/>
    <w:rsid w:val="0012373D"/>
    <w:rsid w:val="001245B1"/>
    <w:rsid w:val="00125869"/>
    <w:rsid w:val="00125E64"/>
    <w:rsid w:val="00125FD3"/>
    <w:rsid w:val="001261AB"/>
    <w:rsid w:val="00126EF2"/>
    <w:rsid w:val="0012731D"/>
    <w:rsid w:val="001279F0"/>
    <w:rsid w:val="00127DCC"/>
    <w:rsid w:val="00130CD8"/>
    <w:rsid w:val="00131775"/>
    <w:rsid w:val="00131EE2"/>
    <w:rsid w:val="00132AC7"/>
    <w:rsid w:val="00132DF3"/>
    <w:rsid w:val="001333BC"/>
    <w:rsid w:val="00134725"/>
    <w:rsid w:val="00135049"/>
    <w:rsid w:val="00135994"/>
    <w:rsid w:val="00136388"/>
    <w:rsid w:val="00136818"/>
    <w:rsid w:val="00136B14"/>
    <w:rsid w:val="00136D1E"/>
    <w:rsid w:val="00137224"/>
    <w:rsid w:val="001372B5"/>
    <w:rsid w:val="00140EE7"/>
    <w:rsid w:val="00141465"/>
    <w:rsid w:val="0014172E"/>
    <w:rsid w:val="00141896"/>
    <w:rsid w:val="00141E38"/>
    <w:rsid w:val="00142DDA"/>
    <w:rsid w:val="001436F7"/>
    <w:rsid w:val="0014374B"/>
    <w:rsid w:val="0014388A"/>
    <w:rsid w:val="00143F1F"/>
    <w:rsid w:val="00145B6F"/>
    <w:rsid w:val="00146D7F"/>
    <w:rsid w:val="001528C5"/>
    <w:rsid w:val="001531B4"/>
    <w:rsid w:val="00153A5A"/>
    <w:rsid w:val="00154C98"/>
    <w:rsid w:val="00155D9C"/>
    <w:rsid w:val="00161158"/>
    <w:rsid w:val="001622F5"/>
    <w:rsid w:val="00163488"/>
    <w:rsid w:val="00163F0E"/>
    <w:rsid w:val="00165952"/>
    <w:rsid w:val="00165A8D"/>
    <w:rsid w:val="001662F3"/>
    <w:rsid w:val="0016634A"/>
    <w:rsid w:val="00166F0F"/>
    <w:rsid w:val="00167BF4"/>
    <w:rsid w:val="00167CAE"/>
    <w:rsid w:val="00170CF7"/>
    <w:rsid w:val="00172230"/>
    <w:rsid w:val="00172C56"/>
    <w:rsid w:val="00172D58"/>
    <w:rsid w:val="001731F9"/>
    <w:rsid w:val="001733FF"/>
    <w:rsid w:val="00173AA6"/>
    <w:rsid w:val="00175E40"/>
    <w:rsid w:val="0017601F"/>
    <w:rsid w:val="00176CA9"/>
    <w:rsid w:val="00176E3E"/>
    <w:rsid w:val="0017775B"/>
    <w:rsid w:val="0018224C"/>
    <w:rsid w:val="00182781"/>
    <w:rsid w:val="00183ED5"/>
    <w:rsid w:val="001856DE"/>
    <w:rsid w:val="00185D23"/>
    <w:rsid w:val="00185D8D"/>
    <w:rsid w:val="00186580"/>
    <w:rsid w:val="0018677A"/>
    <w:rsid w:val="001878DB"/>
    <w:rsid w:val="00190F13"/>
    <w:rsid w:val="001913E2"/>
    <w:rsid w:val="001930CB"/>
    <w:rsid w:val="0019334C"/>
    <w:rsid w:val="0019374F"/>
    <w:rsid w:val="00193991"/>
    <w:rsid w:val="00193C18"/>
    <w:rsid w:val="00194E32"/>
    <w:rsid w:val="00197207"/>
    <w:rsid w:val="001972B7"/>
    <w:rsid w:val="00197DD9"/>
    <w:rsid w:val="001A0A5A"/>
    <w:rsid w:val="001A0E5E"/>
    <w:rsid w:val="001A1578"/>
    <w:rsid w:val="001A1684"/>
    <w:rsid w:val="001A1776"/>
    <w:rsid w:val="001A1C6F"/>
    <w:rsid w:val="001A25A6"/>
    <w:rsid w:val="001A29E5"/>
    <w:rsid w:val="001A36AA"/>
    <w:rsid w:val="001A4BB8"/>
    <w:rsid w:val="001A5AA1"/>
    <w:rsid w:val="001A62DB"/>
    <w:rsid w:val="001A7FDA"/>
    <w:rsid w:val="001B0B4C"/>
    <w:rsid w:val="001B12A1"/>
    <w:rsid w:val="001B1D97"/>
    <w:rsid w:val="001B2423"/>
    <w:rsid w:val="001B242B"/>
    <w:rsid w:val="001B286D"/>
    <w:rsid w:val="001B2FB4"/>
    <w:rsid w:val="001B4262"/>
    <w:rsid w:val="001B567E"/>
    <w:rsid w:val="001B6490"/>
    <w:rsid w:val="001B6DE5"/>
    <w:rsid w:val="001B72E2"/>
    <w:rsid w:val="001B7710"/>
    <w:rsid w:val="001B7AE8"/>
    <w:rsid w:val="001C1062"/>
    <w:rsid w:val="001C1869"/>
    <w:rsid w:val="001C50E2"/>
    <w:rsid w:val="001C5785"/>
    <w:rsid w:val="001C5D05"/>
    <w:rsid w:val="001C61ED"/>
    <w:rsid w:val="001C7651"/>
    <w:rsid w:val="001C7AE5"/>
    <w:rsid w:val="001D143C"/>
    <w:rsid w:val="001D27C1"/>
    <w:rsid w:val="001D2DAE"/>
    <w:rsid w:val="001D2E9D"/>
    <w:rsid w:val="001D3D4E"/>
    <w:rsid w:val="001D597F"/>
    <w:rsid w:val="001D6F78"/>
    <w:rsid w:val="001D7A02"/>
    <w:rsid w:val="001E11E4"/>
    <w:rsid w:val="001E2149"/>
    <w:rsid w:val="001E50AA"/>
    <w:rsid w:val="001E5D87"/>
    <w:rsid w:val="001E6E09"/>
    <w:rsid w:val="001E711D"/>
    <w:rsid w:val="001E7F9A"/>
    <w:rsid w:val="001F03D3"/>
    <w:rsid w:val="001F09FE"/>
    <w:rsid w:val="001F2BF3"/>
    <w:rsid w:val="001F2E45"/>
    <w:rsid w:val="001F355D"/>
    <w:rsid w:val="001F380F"/>
    <w:rsid w:val="001F386F"/>
    <w:rsid w:val="001F4149"/>
    <w:rsid w:val="001F46F4"/>
    <w:rsid w:val="001F4B7E"/>
    <w:rsid w:val="001F4F86"/>
    <w:rsid w:val="001F5938"/>
    <w:rsid w:val="001F6B36"/>
    <w:rsid w:val="001F6DB4"/>
    <w:rsid w:val="001F72E1"/>
    <w:rsid w:val="001F7B65"/>
    <w:rsid w:val="00200609"/>
    <w:rsid w:val="002006C5"/>
    <w:rsid w:val="00200B53"/>
    <w:rsid w:val="00201EDB"/>
    <w:rsid w:val="00202655"/>
    <w:rsid w:val="0020382A"/>
    <w:rsid w:val="0020399C"/>
    <w:rsid w:val="00204630"/>
    <w:rsid w:val="00205378"/>
    <w:rsid w:val="0020559C"/>
    <w:rsid w:val="00205C65"/>
    <w:rsid w:val="00205CA2"/>
    <w:rsid w:val="00206047"/>
    <w:rsid w:val="00206718"/>
    <w:rsid w:val="002071FE"/>
    <w:rsid w:val="00207845"/>
    <w:rsid w:val="0021020B"/>
    <w:rsid w:val="00210F1C"/>
    <w:rsid w:val="002112C4"/>
    <w:rsid w:val="00212F6C"/>
    <w:rsid w:val="002154CB"/>
    <w:rsid w:val="00215FB4"/>
    <w:rsid w:val="002171E4"/>
    <w:rsid w:val="00217910"/>
    <w:rsid w:val="00217C78"/>
    <w:rsid w:val="00221678"/>
    <w:rsid w:val="00222712"/>
    <w:rsid w:val="0022310C"/>
    <w:rsid w:val="002247EA"/>
    <w:rsid w:val="00224E21"/>
    <w:rsid w:val="002250AF"/>
    <w:rsid w:val="00227606"/>
    <w:rsid w:val="002311D0"/>
    <w:rsid w:val="00231A12"/>
    <w:rsid w:val="002324BA"/>
    <w:rsid w:val="00232E38"/>
    <w:rsid w:val="00233BF3"/>
    <w:rsid w:val="00233DCB"/>
    <w:rsid w:val="0023474F"/>
    <w:rsid w:val="002354E5"/>
    <w:rsid w:val="002355A3"/>
    <w:rsid w:val="00236BB8"/>
    <w:rsid w:val="00236F16"/>
    <w:rsid w:val="00237853"/>
    <w:rsid w:val="00237E60"/>
    <w:rsid w:val="00240582"/>
    <w:rsid w:val="00241194"/>
    <w:rsid w:val="002416E6"/>
    <w:rsid w:val="00241BF2"/>
    <w:rsid w:val="0024340A"/>
    <w:rsid w:val="00244571"/>
    <w:rsid w:val="0024580E"/>
    <w:rsid w:val="00245E02"/>
    <w:rsid w:val="00246E22"/>
    <w:rsid w:val="002473A0"/>
    <w:rsid w:val="002501A1"/>
    <w:rsid w:val="00250318"/>
    <w:rsid w:val="00251429"/>
    <w:rsid w:val="00251E69"/>
    <w:rsid w:val="002530D8"/>
    <w:rsid w:val="00253E54"/>
    <w:rsid w:val="00253E66"/>
    <w:rsid w:val="0025618B"/>
    <w:rsid w:val="00256384"/>
    <w:rsid w:val="00256B23"/>
    <w:rsid w:val="002575ED"/>
    <w:rsid w:val="00260107"/>
    <w:rsid w:val="0026039C"/>
    <w:rsid w:val="0026100A"/>
    <w:rsid w:val="00261BC5"/>
    <w:rsid w:val="00262A61"/>
    <w:rsid w:val="002641A2"/>
    <w:rsid w:val="00266F34"/>
    <w:rsid w:val="002716E8"/>
    <w:rsid w:val="00271EC7"/>
    <w:rsid w:val="002727D9"/>
    <w:rsid w:val="00272ECE"/>
    <w:rsid w:val="0027350E"/>
    <w:rsid w:val="002737D5"/>
    <w:rsid w:val="0027383D"/>
    <w:rsid w:val="00273C9C"/>
    <w:rsid w:val="0027436F"/>
    <w:rsid w:val="0027560C"/>
    <w:rsid w:val="00275836"/>
    <w:rsid w:val="00275AFC"/>
    <w:rsid w:val="00276971"/>
    <w:rsid w:val="00283CBC"/>
    <w:rsid w:val="0028412B"/>
    <w:rsid w:val="0028581F"/>
    <w:rsid w:val="002874D6"/>
    <w:rsid w:val="0028765B"/>
    <w:rsid w:val="002904E5"/>
    <w:rsid w:val="00290A5C"/>
    <w:rsid w:val="00290DF6"/>
    <w:rsid w:val="002928AA"/>
    <w:rsid w:val="00292B39"/>
    <w:rsid w:val="00294727"/>
    <w:rsid w:val="00294C32"/>
    <w:rsid w:val="00296805"/>
    <w:rsid w:val="002A0A9B"/>
    <w:rsid w:val="002A18D2"/>
    <w:rsid w:val="002A1F0D"/>
    <w:rsid w:val="002A3813"/>
    <w:rsid w:val="002A602E"/>
    <w:rsid w:val="002A63BA"/>
    <w:rsid w:val="002A691A"/>
    <w:rsid w:val="002A6F0D"/>
    <w:rsid w:val="002A7A33"/>
    <w:rsid w:val="002B0050"/>
    <w:rsid w:val="002B07F0"/>
    <w:rsid w:val="002B11B7"/>
    <w:rsid w:val="002B1611"/>
    <w:rsid w:val="002B1697"/>
    <w:rsid w:val="002B1E17"/>
    <w:rsid w:val="002B4CD7"/>
    <w:rsid w:val="002B54DC"/>
    <w:rsid w:val="002B63F8"/>
    <w:rsid w:val="002B6EC3"/>
    <w:rsid w:val="002C06D1"/>
    <w:rsid w:val="002C2FCA"/>
    <w:rsid w:val="002C33C8"/>
    <w:rsid w:val="002C3493"/>
    <w:rsid w:val="002C3B17"/>
    <w:rsid w:val="002C7973"/>
    <w:rsid w:val="002D0028"/>
    <w:rsid w:val="002D2B46"/>
    <w:rsid w:val="002D2F4B"/>
    <w:rsid w:val="002D3B78"/>
    <w:rsid w:val="002D5123"/>
    <w:rsid w:val="002D568E"/>
    <w:rsid w:val="002D5DD3"/>
    <w:rsid w:val="002D765C"/>
    <w:rsid w:val="002E1148"/>
    <w:rsid w:val="002E1615"/>
    <w:rsid w:val="002E2008"/>
    <w:rsid w:val="002E2217"/>
    <w:rsid w:val="002E248A"/>
    <w:rsid w:val="002E2CDB"/>
    <w:rsid w:val="002E2D9B"/>
    <w:rsid w:val="002E5356"/>
    <w:rsid w:val="002E6029"/>
    <w:rsid w:val="002E70DD"/>
    <w:rsid w:val="002E7240"/>
    <w:rsid w:val="002F08E5"/>
    <w:rsid w:val="002F1332"/>
    <w:rsid w:val="002F3953"/>
    <w:rsid w:val="002F3C4E"/>
    <w:rsid w:val="002F4582"/>
    <w:rsid w:val="002F5140"/>
    <w:rsid w:val="002F5ECA"/>
    <w:rsid w:val="002F6839"/>
    <w:rsid w:val="002F6B85"/>
    <w:rsid w:val="002F6C8F"/>
    <w:rsid w:val="002F7943"/>
    <w:rsid w:val="00300EE7"/>
    <w:rsid w:val="0030248D"/>
    <w:rsid w:val="003024F6"/>
    <w:rsid w:val="003030CC"/>
    <w:rsid w:val="0030359C"/>
    <w:rsid w:val="003049CF"/>
    <w:rsid w:val="003057DC"/>
    <w:rsid w:val="00305EB3"/>
    <w:rsid w:val="00306EC9"/>
    <w:rsid w:val="0030737B"/>
    <w:rsid w:val="00307AE6"/>
    <w:rsid w:val="00310E00"/>
    <w:rsid w:val="003161B5"/>
    <w:rsid w:val="00316256"/>
    <w:rsid w:val="0031637D"/>
    <w:rsid w:val="003163FB"/>
    <w:rsid w:val="003164C1"/>
    <w:rsid w:val="0032072D"/>
    <w:rsid w:val="003212E4"/>
    <w:rsid w:val="00322961"/>
    <w:rsid w:val="00322AFE"/>
    <w:rsid w:val="00323D31"/>
    <w:rsid w:val="003241B8"/>
    <w:rsid w:val="0032425B"/>
    <w:rsid w:val="00325AA1"/>
    <w:rsid w:val="00326A56"/>
    <w:rsid w:val="00330D96"/>
    <w:rsid w:val="0033193A"/>
    <w:rsid w:val="003320EF"/>
    <w:rsid w:val="0033248C"/>
    <w:rsid w:val="00332D41"/>
    <w:rsid w:val="00332F41"/>
    <w:rsid w:val="00333224"/>
    <w:rsid w:val="00333863"/>
    <w:rsid w:val="00333A11"/>
    <w:rsid w:val="00333FFD"/>
    <w:rsid w:val="003340AB"/>
    <w:rsid w:val="00334F44"/>
    <w:rsid w:val="003351A6"/>
    <w:rsid w:val="003354E9"/>
    <w:rsid w:val="0034016B"/>
    <w:rsid w:val="00340BFF"/>
    <w:rsid w:val="00341FBC"/>
    <w:rsid w:val="00342D6D"/>
    <w:rsid w:val="00344804"/>
    <w:rsid w:val="00344CB7"/>
    <w:rsid w:val="00345CD0"/>
    <w:rsid w:val="00345F87"/>
    <w:rsid w:val="0034606B"/>
    <w:rsid w:val="003474AE"/>
    <w:rsid w:val="0035012B"/>
    <w:rsid w:val="00350A32"/>
    <w:rsid w:val="00350D51"/>
    <w:rsid w:val="00350EDE"/>
    <w:rsid w:val="00352058"/>
    <w:rsid w:val="00352380"/>
    <w:rsid w:val="00352D0C"/>
    <w:rsid w:val="003560DC"/>
    <w:rsid w:val="00360E22"/>
    <w:rsid w:val="00360FB1"/>
    <w:rsid w:val="003615E6"/>
    <w:rsid w:val="00361AEE"/>
    <w:rsid w:val="00361CBD"/>
    <w:rsid w:val="00362484"/>
    <w:rsid w:val="0036253A"/>
    <w:rsid w:val="00362557"/>
    <w:rsid w:val="00362FA9"/>
    <w:rsid w:val="0036320D"/>
    <w:rsid w:val="00363346"/>
    <w:rsid w:val="0036480D"/>
    <w:rsid w:val="003652B8"/>
    <w:rsid w:val="00365AE8"/>
    <w:rsid w:val="00370AA6"/>
    <w:rsid w:val="00370D4A"/>
    <w:rsid w:val="00370D54"/>
    <w:rsid w:val="003722E1"/>
    <w:rsid w:val="00374F0E"/>
    <w:rsid w:val="00375216"/>
    <w:rsid w:val="0037661B"/>
    <w:rsid w:val="00376BC5"/>
    <w:rsid w:val="00376FA4"/>
    <w:rsid w:val="0037704A"/>
    <w:rsid w:val="00377942"/>
    <w:rsid w:val="00377B17"/>
    <w:rsid w:val="003829B4"/>
    <w:rsid w:val="003830C4"/>
    <w:rsid w:val="003846DF"/>
    <w:rsid w:val="00384D3F"/>
    <w:rsid w:val="00390D22"/>
    <w:rsid w:val="003911FA"/>
    <w:rsid w:val="00391E5D"/>
    <w:rsid w:val="0039205B"/>
    <w:rsid w:val="003921BA"/>
    <w:rsid w:val="0039643D"/>
    <w:rsid w:val="0039712D"/>
    <w:rsid w:val="003A0FE6"/>
    <w:rsid w:val="003A1534"/>
    <w:rsid w:val="003A2570"/>
    <w:rsid w:val="003A341F"/>
    <w:rsid w:val="003A505B"/>
    <w:rsid w:val="003A5C6D"/>
    <w:rsid w:val="003A6348"/>
    <w:rsid w:val="003A728D"/>
    <w:rsid w:val="003A79DE"/>
    <w:rsid w:val="003B1EE9"/>
    <w:rsid w:val="003B2163"/>
    <w:rsid w:val="003B2C78"/>
    <w:rsid w:val="003B2DD6"/>
    <w:rsid w:val="003B3FF7"/>
    <w:rsid w:val="003B464E"/>
    <w:rsid w:val="003B4AFB"/>
    <w:rsid w:val="003B5F98"/>
    <w:rsid w:val="003B785C"/>
    <w:rsid w:val="003C0118"/>
    <w:rsid w:val="003C0E43"/>
    <w:rsid w:val="003C17BC"/>
    <w:rsid w:val="003C2B6C"/>
    <w:rsid w:val="003C374F"/>
    <w:rsid w:val="003C3A54"/>
    <w:rsid w:val="003C453C"/>
    <w:rsid w:val="003C47E8"/>
    <w:rsid w:val="003C7089"/>
    <w:rsid w:val="003C7A05"/>
    <w:rsid w:val="003C7BEB"/>
    <w:rsid w:val="003D0D76"/>
    <w:rsid w:val="003D2343"/>
    <w:rsid w:val="003D23B9"/>
    <w:rsid w:val="003D546A"/>
    <w:rsid w:val="003D54AF"/>
    <w:rsid w:val="003D5576"/>
    <w:rsid w:val="003D6ECE"/>
    <w:rsid w:val="003E095B"/>
    <w:rsid w:val="003E2D54"/>
    <w:rsid w:val="003E35B3"/>
    <w:rsid w:val="003E41C9"/>
    <w:rsid w:val="003E45D7"/>
    <w:rsid w:val="003E4930"/>
    <w:rsid w:val="003E5665"/>
    <w:rsid w:val="003E5E74"/>
    <w:rsid w:val="003E6023"/>
    <w:rsid w:val="003E6AF6"/>
    <w:rsid w:val="003E79F0"/>
    <w:rsid w:val="003E7B4C"/>
    <w:rsid w:val="003E7B55"/>
    <w:rsid w:val="003E7C0B"/>
    <w:rsid w:val="003E7DC4"/>
    <w:rsid w:val="003F0969"/>
    <w:rsid w:val="003F12B6"/>
    <w:rsid w:val="003F227C"/>
    <w:rsid w:val="003F26F3"/>
    <w:rsid w:val="003F4B1E"/>
    <w:rsid w:val="003F4B35"/>
    <w:rsid w:val="003F5145"/>
    <w:rsid w:val="003F5C8A"/>
    <w:rsid w:val="003F6289"/>
    <w:rsid w:val="003F62D8"/>
    <w:rsid w:val="003F7C98"/>
    <w:rsid w:val="00400139"/>
    <w:rsid w:val="00402C81"/>
    <w:rsid w:val="00403DCB"/>
    <w:rsid w:val="00404DE1"/>
    <w:rsid w:val="00406F4E"/>
    <w:rsid w:val="00407953"/>
    <w:rsid w:val="00407AC3"/>
    <w:rsid w:val="004118D4"/>
    <w:rsid w:val="00412835"/>
    <w:rsid w:val="00412C62"/>
    <w:rsid w:val="00412FAE"/>
    <w:rsid w:val="00413667"/>
    <w:rsid w:val="00414559"/>
    <w:rsid w:val="004148CB"/>
    <w:rsid w:val="00415B07"/>
    <w:rsid w:val="004163BA"/>
    <w:rsid w:val="00417F96"/>
    <w:rsid w:val="0042052D"/>
    <w:rsid w:val="00421398"/>
    <w:rsid w:val="0042156C"/>
    <w:rsid w:val="00421B87"/>
    <w:rsid w:val="004226F4"/>
    <w:rsid w:val="00422FFE"/>
    <w:rsid w:val="0042438D"/>
    <w:rsid w:val="004251AB"/>
    <w:rsid w:val="004266F5"/>
    <w:rsid w:val="00426961"/>
    <w:rsid w:val="00427657"/>
    <w:rsid w:val="00430291"/>
    <w:rsid w:val="00431816"/>
    <w:rsid w:val="00431BE0"/>
    <w:rsid w:val="0043246C"/>
    <w:rsid w:val="00432756"/>
    <w:rsid w:val="00432CC1"/>
    <w:rsid w:val="0043318E"/>
    <w:rsid w:val="0043455D"/>
    <w:rsid w:val="004350ED"/>
    <w:rsid w:val="0043652E"/>
    <w:rsid w:val="00436815"/>
    <w:rsid w:val="00436842"/>
    <w:rsid w:val="004368BB"/>
    <w:rsid w:val="00436C48"/>
    <w:rsid w:val="00437860"/>
    <w:rsid w:val="00437EC2"/>
    <w:rsid w:val="004402E5"/>
    <w:rsid w:val="004403A7"/>
    <w:rsid w:val="00440A24"/>
    <w:rsid w:val="00440E78"/>
    <w:rsid w:val="00442768"/>
    <w:rsid w:val="004428FB"/>
    <w:rsid w:val="00443371"/>
    <w:rsid w:val="004440D5"/>
    <w:rsid w:val="004441DE"/>
    <w:rsid w:val="004442A8"/>
    <w:rsid w:val="004444D4"/>
    <w:rsid w:val="00444BCE"/>
    <w:rsid w:val="00444F8C"/>
    <w:rsid w:val="0044647C"/>
    <w:rsid w:val="00447288"/>
    <w:rsid w:val="00447C59"/>
    <w:rsid w:val="0045171B"/>
    <w:rsid w:val="00451F0D"/>
    <w:rsid w:val="00452C6F"/>
    <w:rsid w:val="004538C0"/>
    <w:rsid w:val="00454E7A"/>
    <w:rsid w:val="004556A4"/>
    <w:rsid w:val="0045642D"/>
    <w:rsid w:val="00457386"/>
    <w:rsid w:val="0045748B"/>
    <w:rsid w:val="00460385"/>
    <w:rsid w:val="004617D1"/>
    <w:rsid w:val="004623A4"/>
    <w:rsid w:val="004626DC"/>
    <w:rsid w:val="004638AD"/>
    <w:rsid w:val="0046525A"/>
    <w:rsid w:val="00465E6E"/>
    <w:rsid w:val="00465E91"/>
    <w:rsid w:val="00465FE9"/>
    <w:rsid w:val="00467858"/>
    <w:rsid w:val="004709BF"/>
    <w:rsid w:val="00471975"/>
    <w:rsid w:val="00474D9C"/>
    <w:rsid w:val="0047604E"/>
    <w:rsid w:val="00480C77"/>
    <w:rsid w:val="004817FD"/>
    <w:rsid w:val="00481F38"/>
    <w:rsid w:val="00482EA6"/>
    <w:rsid w:val="00482F24"/>
    <w:rsid w:val="00483DF2"/>
    <w:rsid w:val="004859C7"/>
    <w:rsid w:val="00487F40"/>
    <w:rsid w:val="0049031F"/>
    <w:rsid w:val="00490C4B"/>
    <w:rsid w:val="00490F37"/>
    <w:rsid w:val="0049384A"/>
    <w:rsid w:val="00494367"/>
    <w:rsid w:val="00496C26"/>
    <w:rsid w:val="00496E04"/>
    <w:rsid w:val="00497155"/>
    <w:rsid w:val="00497EA2"/>
    <w:rsid w:val="00497F42"/>
    <w:rsid w:val="004A0361"/>
    <w:rsid w:val="004A170E"/>
    <w:rsid w:val="004A185B"/>
    <w:rsid w:val="004A2B0D"/>
    <w:rsid w:val="004A49A0"/>
    <w:rsid w:val="004A56C7"/>
    <w:rsid w:val="004A5D02"/>
    <w:rsid w:val="004A5FB1"/>
    <w:rsid w:val="004A65E6"/>
    <w:rsid w:val="004A7795"/>
    <w:rsid w:val="004B0017"/>
    <w:rsid w:val="004B06AC"/>
    <w:rsid w:val="004B0C85"/>
    <w:rsid w:val="004B1739"/>
    <w:rsid w:val="004B260E"/>
    <w:rsid w:val="004B2F7D"/>
    <w:rsid w:val="004B3528"/>
    <w:rsid w:val="004B446A"/>
    <w:rsid w:val="004B49CF"/>
    <w:rsid w:val="004B4E97"/>
    <w:rsid w:val="004B523B"/>
    <w:rsid w:val="004B5E03"/>
    <w:rsid w:val="004B5E74"/>
    <w:rsid w:val="004B6036"/>
    <w:rsid w:val="004B61B8"/>
    <w:rsid w:val="004B6734"/>
    <w:rsid w:val="004B69BE"/>
    <w:rsid w:val="004B6F12"/>
    <w:rsid w:val="004B72B6"/>
    <w:rsid w:val="004B750F"/>
    <w:rsid w:val="004C1BED"/>
    <w:rsid w:val="004C29D8"/>
    <w:rsid w:val="004C3900"/>
    <w:rsid w:val="004C435F"/>
    <w:rsid w:val="004C4753"/>
    <w:rsid w:val="004C4E06"/>
    <w:rsid w:val="004C4F42"/>
    <w:rsid w:val="004C5A9A"/>
    <w:rsid w:val="004C6858"/>
    <w:rsid w:val="004C70A4"/>
    <w:rsid w:val="004C7321"/>
    <w:rsid w:val="004C7CFE"/>
    <w:rsid w:val="004C7E93"/>
    <w:rsid w:val="004D046D"/>
    <w:rsid w:val="004D0850"/>
    <w:rsid w:val="004D1F3B"/>
    <w:rsid w:val="004D2802"/>
    <w:rsid w:val="004D5C30"/>
    <w:rsid w:val="004D5FCC"/>
    <w:rsid w:val="004D6D13"/>
    <w:rsid w:val="004E0922"/>
    <w:rsid w:val="004E15E7"/>
    <w:rsid w:val="004E1A0A"/>
    <w:rsid w:val="004E1BF8"/>
    <w:rsid w:val="004E1C30"/>
    <w:rsid w:val="004E32B2"/>
    <w:rsid w:val="004E3F70"/>
    <w:rsid w:val="004E3FDB"/>
    <w:rsid w:val="004E47F2"/>
    <w:rsid w:val="004E5975"/>
    <w:rsid w:val="004E59D0"/>
    <w:rsid w:val="004E6143"/>
    <w:rsid w:val="004E6C6A"/>
    <w:rsid w:val="004E7AF9"/>
    <w:rsid w:val="004F0855"/>
    <w:rsid w:val="004F2B98"/>
    <w:rsid w:val="004F3047"/>
    <w:rsid w:val="004F4973"/>
    <w:rsid w:val="004F549F"/>
    <w:rsid w:val="004F7F18"/>
    <w:rsid w:val="005004B1"/>
    <w:rsid w:val="00500D30"/>
    <w:rsid w:val="00501370"/>
    <w:rsid w:val="005018E4"/>
    <w:rsid w:val="00502D33"/>
    <w:rsid w:val="00505374"/>
    <w:rsid w:val="00505414"/>
    <w:rsid w:val="005060EE"/>
    <w:rsid w:val="005067DB"/>
    <w:rsid w:val="005071BE"/>
    <w:rsid w:val="00507725"/>
    <w:rsid w:val="00507B56"/>
    <w:rsid w:val="005103A0"/>
    <w:rsid w:val="005107C5"/>
    <w:rsid w:val="00511161"/>
    <w:rsid w:val="005111AD"/>
    <w:rsid w:val="005154FA"/>
    <w:rsid w:val="00515AC4"/>
    <w:rsid w:val="00515B96"/>
    <w:rsid w:val="005168EA"/>
    <w:rsid w:val="005231FE"/>
    <w:rsid w:val="0052345F"/>
    <w:rsid w:val="005234B6"/>
    <w:rsid w:val="00523F4D"/>
    <w:rsid w:val="005242AD"/>
    <w:rsid w:val="00524927"/>
    <w:rsid w:val="00524BA7"/>
    <w:rsid w:val="00525923"/>
    <w:rsid w:val="005259CE"/>
    <w:rsid w:val="005259DF"/>
    <w:rsid w:val="00526421"/>
    <w:rsid w:val="005264C5"/>
    <w:rsid w:val="00526963"/>
    <w:rsid w:val="00527CEC"/>
    <w:rsid w:val="005312CD"/>
    <w:rsid w:val="00532CF4"/>
    <w:rsid w:val="00533023"/>
    <w:rsid w:val="00533402"/>
    <w:rsid w:val="00535893"/>
    <w:rsid w:val="005375DC"/>
    <w:rsid w:val="00537B18"/>
    <w:rsid w:val="0054084B"/>
    <w:rsid w:val="00541574"/>
    <w:rsid w:val="00542939"/>
    <w:rsid w:val="005432C0"/>
    <w:rsid w:val="00543644"/>
    <w:rsid w:val="00543903"/>
    <w:rsid w:val="005444A9"/>
    <w:rsid w:val="005469C8"/>
    <w:rsid w:val="00546DF1"/>
    <w:rsid w:val="00547AB4"/>
    <w:rsid w:val="00552F9A"/>
    <w:rsid w:val="005545E9"/>
    <w:rsid w:val="005557A5"/>
    <w:rsid w:val="005567B3"/>
    <w:rsid w:val="005570CC"/>
    <w:rsid w:val="00557835"/>
    <w:rsid w:val="0056008E"/>
    <w:rsid w:val="00561967"/>
    <w:rsid w:val="005640E8"/>
    <w:rsid w:val="00564AB9"/>
    <w:rsid w:val="005651CC"/>
    <w:rsid w:val="00565764"/>
    <w:rsid w:val="00566C01"/>
    <w:rsid w:val="00570237"/>
    <w:rsid w:val="005702BA"/>
    <w:rsid w:val="0057095B"/>
    <w:rsid w:val="00570AAB"/>
    <w:rsid w:val="00572D5E"/>
    <w:rsid w:val="00573655"/>
    <w:rsid w:val="005742A4"/>
    <w:rsid w:val="005746BB"/>
    <w:rsid w:val="005751EF"/>
    <w:rsid w:val="00575C16"/>
    <w:rsid w:val="00575C63"/>
    <w:rsid w:val="005768FC"/>
    <w:rsid w:val="00577CFE"/>
    <w:rsid w:val="00581972"/>
    <w:rsid w:val="00582218"/>
    <w:rsid w:val="00582307"/>
    <w:rsid w:val="0058275A"/>
    <w:rsid w:val="005838D2"/>
    <w:rsid w:val="00583E41"/>
    <w:rsid w:val="0058401F"/>
    <w:rsid w:val="00584F38"/>
    <w:rsid w:val="005870D8"/>
    <w:rsid w:val="005904CE"/>
    <w:rsid w:val="00592A52"/>
    <w:rsid w:val="00592F99"/>
    <w:rsid w:val="00594030"/>
    <w:rsid w:val="0059486C"/>
    <w:rsid w:val="005962F8"/>
    <w:rsid w:val="00597113"/>
    <w:rsid w:val="005A03DA"/>
    <w:rsid w:val="005A06D0"/>
    <w:rsid w:val="005A1D09"/>
    <w:rsid w:val="005A243C"/>
    <w:rsid w:val="005A2965"/>
    <w:rsid w:val="005A3CB2"/>
    <w:rsid w:val="005A40DB"/>
    <w:rsid w:val="005A4D9D"/>
    <w:rsid w:val="005A6D72"/>
    <w:rsid w:val="005B0C00"/>
    <w:rsid w:val="005B0DCE"/>
    <w:rsid w:val="005B1814"/>
    <w:rsid w:val="005B1FD6"/>
    <w:rsid w:val="005B3CAD"/>
    <w:rsid w:val="005B42C0"/>
    <w:rsid w:val="005B524B"/>
    <w:rsid w:val="005B63F7"/>
    <w:rsid w:val="005B6AB5"/>
    <w:rsid w:val="005B6E83"/>
    <w:rsid w:val="005B78CE"/>
    <w:rsid w:val="005C034B"/>
    <w:rsid w:val="005C21F3"/>
    <w:rsid w:val="005C2A47"/>
    <w:rsid w:val="005C40D5"/>
    <w:rsid w:val="005C4FD7"/>
    <w:rsid w:val="005C607B"/>
    <w:rsid w:val="005D0951"/>
    <w:rsid w:val="005D320E"/>
    <w:rsid w:val="005D32BB"/>
    <w:rsid w:val="005D33C2"/>
    <w:rsid w:val="005D468A"/>
    <w:rsid w:val="005D4CBC"/>
    <w:rsid w:val="005D6097"/>
    <w:rsid w:val="005E01FE"/>
    <w:rsid w:val="005E03E2"/>
    <w:rsid w:val="005E1CEE"/>
    <w:rsid w:val="005E1D29"/>
    <w:rsid w:val="005E48FD"/>
    <w:rsid w:val="005E4DD1"/>
    <w:rsid w:val="005E503E"/>
    <w:rsid w:val="005E6AEA"/>
    <w:rsid w:val="005F08A3"/>
    <w:rsid w:val="005F1448"/>
    <w:rsid w:val="005F184A"/>
    <w:rsid w:val="005F2628"/>
    <w:rsid w:val="005F2E8A"/>
    <w:rsid w:val="005F32DF"/>
    <w:rsid w:val="005F39E1"/>
    <w:rsid w:val="005F3C2D"/>
    <w:rsid w:val="005F40CB"/>
    <w:rsid w:val="005F5381"/>
    <w:rsid w:val="005F5391"/>
    <w:rsid w:val="005F6BED"/>
    <w:rsid w:val="0060049F"/>
    <w:rsid w:val="006008A4"/>
    <w:rsid w:val="006017F6"/>
    <w:rsid w:val="00601FA4"/>
    <w:rsid w:val="00602171"/>
    <w:rsid w:val="00602BBA"/>
    <w:rsid w:val="00602E35"/>
    <w:rsid w:val="0060373A"/>
    <w:rsid w:val="006047F8"/>
    <w:rsid w:val="0060596D"/>
    <w:rsid w:val="0060648E"/>
    <w:rsid w:val="0061132D"/>
    <w:rsid w:val="006118E9"/>
    <w:rsid w:val="00612797"/>
    <w:rsid w:val="006128A2"/>
    <w:rsid w:val="00613875"/>
    <w:rsid w:val="006146DA"/>
    <w:rsid w:val="006156C0"/>
    <w:rsid w:val="00615B02"/>
    <w:rsid w:val="0061607F"/>
    <w:rsid w:val="006170FB"/>
    <w:rsid w:val="006209AA"/>
    <w:rsid w:val="006219AB"/>
    <w:rsid w:val="0062255C"/>
    <w:rsid w:val="006229F7"/>
    <w:rsid w:val="00623500"/>
    <w:rsid w:val="00623F81"/>
    <w:rsid w:val="00624BA8"/>
    <w:rsid w:val="00626210"/>
    <w:rsid w:val="00626292"/>
    <w:rsid w:val="00627EAC"/>
    <w:rsid w:val="00627FE2"/>
    <w:rsid w:val="00630C66"/>
    <w:rsid w:val="00630F8B"/>
    <w:rsid w:val="006335B9"/>
    <w:rsid w:val="00635287"/>
    <w:rsid w:val="0063584A"/>
    <w:rsid w:val="00635A4B"/>
    <w:rsid w:val="006362D5"/>
    <w:rsid w:val="006407DC"/>
    <w:rsid w:val="00641348"/>
    <w:rsid w:val="00641BD7"/>
    <w:rsid w:val="00642257"/>
    <w:rsid w:val="00643F4B"/>
    <w:rsid w:val="00645640"/>
    <w:rsid w:val="00646103"/>
    <w:rsid w:val="006468FF"/>
    <w:rsid w:val="00646901"/>
    <w:rsid w:val="00646FDD"/>
    <w:rsid w:val="00647BDC"/>
    <w:rsid w:val="00647BEC"/>
    <w:rsid w:val="00647DB1"/>
    <w:rsid w:val="00647FDE"/>
    <w:rsid w:val="00650AD9"/>
    <w:rsid w:val="00651D44"/>
    <w:rsid w:val="0065236D"/>
    <w:rsid w:val="006526F4"/>
    <w:rsid w:val="00653EFD"/>
    <w:rsid w:val="006544FA"/>
    <w:rsid w:val="006548AB"/>
    <w:rsid w:val="00654B36"/>
    <w:rsid w:val="00656BE9"/>
    <w:rsid w:val="00657020"/>
    <w:rsid w:val="0066026D"/>
    <w:rsid w:val="006618B8"/>
    <w:rsid w:val="00661B20"/>
    <w:rsid w:val="00661C76"/>
    <w:rsid w:val="00661DEE"/>
    <w:rsid w:val="00662E61"/>
    <w:rsid w:val="0066334F"/>
    <w:rsid w:val="00663367"/>
    <w:rsid w:val="00663795"/>
    <w:rsid w:val="006648B1"/>
    <w:rsid w:val="00665405"/>
    <w:rsid w:val="00665929"/>
    <w:rsid w:val="00666759"/>
    <w:rsid w:val="006676EF"/>
    <w:rsid w:val="00667ADA"/>
    <w:rsid w:val="006714A6"/>
    <w:rsid w:val="006729CA"/>
    <w:rsid w:val="00672D53"/>
    <w:rsid w:val="00673EAD"/>
    <w:rsid w:val="00674C4A"/>
    <w:rsid w:val="006751F3"/>
    <w:rsid w:val="00676E4D"/>
    <w:rsid w:val="0067728E"/>
    <w:rsid w:val="00680D0E"/>
    <w:rsid w:val="0068103E"/>
    <w:rsid w:val="00684C91"/>
    <w:rsid w:val="00684C9D"/>
    <w:rsid w:val="006851CA"/>
    <w:rsid w:val="00685B9F"/>
    <w:rsid w:val="006868D5"/>
    <w:rsid w:val="00686970"/>
    <w:rsid w:val="00686B3F"/>
    <w:rsid w:val="00687194"/>
    <w:rsid w:val="006876BF"/>
    <w:rsid w:val="00687A7A"/>
    <w:rsid w:val="00687D69"/>
    <w:rsid w:val="00687F45"/>
    <w:rsid w:val="0069051F"/>
    <w:rsid w:val="00690781"/>
    <w:rsid w:val="0069095A"/>
    <w:rsid w:val="00691CE4"/>
    <w:rsid w:val="00692541"/>
    <w:rsid w:val="00695061"/>
    <w:rsid w:val="006952F4"/>
    <w:rsid w:val="0069649A"/>
    <w:rsid w:val="00696A95"/>
    <w:rsid w:val="00696AB4"/>
    <w:rsid w:val="006974D9"/>
    <w:rsid w:val="006975DD"/>
    <w:rsid w:val="00697679"/>
    <w:rsid w:val="0069775A"/>
    <w:rsid w:val="00697B28"/>
    <w:rsid w:val="006A06B7"/>
    <w:rsid w:val="006A0A80"/>
    <w:rsid w:val="006A1783"/>
    <w:rsid w:val="006A18E3"/>
    <w:rsid w:val="006A221C"/>
    <w:rsid w:val="006A32C4"/>
    <w:rsid w:val="006A4658"/>
    <w:rsid w:val="006A4A77"/>
    <w:rsid w:val="006A6470"/>
    <w:rsid w:val="006A6E26"/>
    <w:rsid w:val="006A720D"/>
    <w:rsid w:val="006A7B78"/>
    <w:rsid w:val="006A7FA9"/>
    <w:rsid w:val="006B073A"/>
    <w:rsid w:val="006B0883"/>
    <w:rsid w:val="006B5ECA"/>
    <w:rsid w:val="006B675B"/>
    <w:rsid w:val="006B7442"/>
    <w:rsid w:val="006C0152"/>
    <w:rsid w:val="006C1145"/>
    <w:rsid w:val="006C196D"/>
    <w:rsid w:val="006C1F6A"/>
    <w:rsid w:val="006C276C"/>
    <w:rsid w:val="006C536F"/>
    <w:rsid w:val="006C5420"/>
    <w:rsid w:val="006C65FB"/>
    <w:rsid w:val="006C7342"/>
    <w:rsid w:val="006D077C"/>
    <w:rsid w:val="006D1729"/>
    <w:rsid w:val="006D1EF6"/>
    <w:rsid w:val="006D296D"/>
    <w:rsid w:val="006D2DCE"/>
    <w:rsid w:val="006D31F5"/>
    <w:rsid w:val="006D4043"/>
    <w:rsid w:val="006D4258"/>
    <w:rsid w:val="006D4F8B"/>
    <w:rsid w:val="006D506F"/>
    <w:rsid w:val="006D5080"/>
    <w:rsid w:val="006D55FE"/>
    <w:rsid w:val="006D66FA"/>
    <w:rsid w:val="006D794B"/>
    <w:rsid w:val="006E1228"/>
    <w:rsid w:val="006E1A45"/>
    <w:rsid w:val="006E1AA8"/>
    <w:rsid w:val="006E3CD5"/>
    <w:rsid w:val="006E5DD1"/>
    <w:rsid w:val="006E6676"/>
    <w:rsid w:val="006E67E5"/>
    <w:rsid w:val="006E6B90"/>
    <w:rsid w:val="006E750A"/>
    <w:rsid w:val="006E7EAD"/>
    <w:rsid w:val="006F1FB9"/>
    <w:rsid w:val="006F311C"/>
    <w:rsid w:val="006F3178"/>
    <w:rsid w:val="006F379E"/>
    <w:rsid w:val="006F3C31"/>
    <w:rsid w:val="006F4D26"/>
    <w:rsid w:val="006F6894"/>
    <w:rsid w:val="006F7354"/>
    <w:rsid w:val="006F7A0B"/>
    <w:rsid w:val="00700A89"/>
    <w:rsid w:val="007018AC"/>
    <w:rsid w:val="00701C6F"/>
    <w:rsid w:val="007027A7"/>
    <w:rsid w:val="00702DD3"/>
    <w:rsid w:val="00703B56"/>
    <w:rsid w:val="00703E3E"/>
    <w:rsid w:val="0070473A"/>
    <w:rsid w:val="0070552B"/>
    <w:rsid w:val="0070772B"/>
    <w:rsid w:val="00707758"/>
    <w:rsid w:val="00707BED"/>
    <w:rsid w:val="007100BA"/>
    <w:rsid w:val="00710110"/>
    <w:rsid w:val="007110B9"/>
    <w:rsid w:val="007123F8"/>
    <w:rsid w:val="00713943"/>
    <w:rsid w:val="007145AD"/>
    <w:rsid w:val="00714B1B"/>
    <w:rsid w:val="00714BE5"/>
    <w:rsid w:val="00716612"/>
    <w:rsid w:val="007242F9"/>
    <w:rsid w:val="007246C5"/>
    <w:rsid w:val="00725A9C"/>
    <w:rsid w:val="00725D82"/>
    <w:rsid w:val="007277E5"/>
    <w:rsid w:val="007279B8"/>
    <w:rsid w:val="00727D69"/>
    <w:rsid w:val="0073092C"/>
    <w:rsid w:val="00730AE3"/>
    <w:rsid w:val="00730DBE"/>
    <w:rsid w:val="00731073"/>
    <w:rsid w:val="00733BA4"/>
    <w:rsid w:val="00734DF0"/>
    <w:rsid w:val="007353B0"/>
    <w:rsid w:val="00735D57"/>
    <w:rsid w:val="00736BC2"/>
    <w:rsid w:val="00736F9D"/>
    <w:rsid w:val="0073702C"/>
    <w:rsid w:val="00737115"/>
    <w:rsid w:val="007372F7"/>
    <w:rsid w:val="00737B2B"/>
    <w:rsid w:val="00740379"/>
    <w:rsid w:val="00740BAC"/>
    <w:rsid w:val="007419B8"/>
    <w:rsid w:val="00742E71"/>
    <w:rsid w:val="00743423"/>
    <w:rsid w:val="0074499C"/>
    <w:rsid w:val="007451F4"/>
    <w:rsid w:val="00745306"/>
    <w:rsid w:val="0074604F"/>
    <w:rsid w:val="0074787A"/>
    <w:rsid w:val="007500D4"/>
    <w:rsid w:val="00751BA7"/>
    <w:rsid w:val="00752C7C"/>
    <w:rsid w:val="00754043"/>
    <w:rsid w:val="00754188"/>
    <w:rsid w:val="00755ED1"/>
    <w:rsid w:val="007576FB"/>
    <w:rsid w:val="00760098"/>
    <w:rsid w:val="007616E1"/>
    <w:rsid w:val="0076239F"/>
    <w:rsid w:val="007646B1"/>
    <w:rsid w:val="00764D61"/>
    <w:rsid w:val="00764EAE"/>
    <w:rsid w:val="007660E4"/>
    <w:rsid w:val="0076733D"/>
    <w:rsid w:val="00770348"/>
    <w:rsid w:val="00773997"/>
    <w:rsid w:val="007759E4"/>
    <w:rsid w:val="00776D22"/>
    <w:rsid w:val="0077753F"/>
    <w:rsid w:val="00777792"/>
    <w:rsid w:val="007808DA"/>
    <w:rsid w:val="00780C24"/>
    <w:rsid w:val="00780F62"/>
    <w:rsid w:val="00781794"/>
    <w:rsid w:val="00782847"/>
    <w:rsid w:val="00783746"/>
    <w:rsid w:val="007850FC"/>
    <w:rsid w:val="00785487"/>
    <w:rsid w:val="00785F50"/>
    <w:rsid w:val="007861D7"/>
    <w:rsid w:val="00786613"/>
    <w:rsid w:val="0078753C"/>
    <w:rsid w:val="0078768A"/>
    <w:rsid w:val="0079033F"/>
    <w:rsid w:val="007917DE"/>
    <w:rsid w:val="007917E5"/>
    <w:rsid w:val="00791CD4"/>
    <w:rsid w:val="007925CC"/>
    <w:rsid w:val="00792D70"/>
    <w:rsid w:val="00793BFA"/>
    <w:rsid w:val="00795189"/>
    <w:rsid w:val="0079575C"/>
    <w:rsid w:val="00796154"/>
    <w:rsid w:val="007978B0"/>
    <w:rsid w:val="007A3343"/>
    <w:rsid w:val="007A3526"/>
    <w:rsid w:val="007A3F06"/>
    <w:rsid w:val="007A40C9"/>
    <w:rsid w:val="007A4546"/>
    <w:rsid w:val="007A4930"/>
    <w:rsid w:val="007A573D"/>
    <w:rsid w:val="007A5DD8"/>
    <w:rsid w:val="007A6AC7"/>
    <w:rsid w:val="007A7AF8"/>
    <w:rsid w:val="007B1F9B"/>
    <w:rsid w:val="007B2FEE"/>
    <w:rsid w:val="007B33F6"/>
    <w:rsid w:val="007B48FE"/>
    <w:rsid w:val="007B4F90"/>
    <w:rsid w:val="007B5137"/>
    <w:rsid w:val="007B5DDF"/>
    <w:rsid w:val="007B6BE1"/>
    <w:rsid w:val="007B75C0"/>
    <w:rsid w:val="007B7AA2"/>
    <w:rsid w:val="007C20B3"/>
    <w:rsid w:val="007C2466"/>
    <w:rsid w:val="007C247C"/>
    <w:rsid w:val="007C4204"/>
    <w:rsid w:val="007C474E"/>
    <w:rsid w:val="007C7943"/>
    <w:rsid w:val="007C7C08"/>
    <w:rsid w:val="007C7E95"/>
    <w:rsid w:val="007D1991"/>
    <w:rsid w:val="007D2903"/>
    <w:rsid w:val="007D3618"/>
    <w:rsid w:val="007D3908"/>
    <w:rsid w:val="007D3C6C"/>
    <w:rsid w:val="007D4679"/>
    <w:rsid w:val="007D5364"/>
    <w:rsid w:val="007D5499"/>
    <w:rsid w:val="007D60A7"/>
    <w:rsid w:val="007E0C9E"/>
    <w:rsid w:val="007E1395"/>
    <w:rsid w:val="007E1765"/>
    <w:rsid w:val="007E2112"/>
    <w:rsid w:val="007E22B4"/>
    <w:rsid w:val="007E26FB"/>
    <w:rsid w:val="007E28F4"/>
    <w:rsid w:val="007E341F"/>
    <w:rsid w:val="007E4EE5"/>
    <w:rsid w:val="007E5425"/>
    <w:rsid w:val="007E55B3"/>
    <w:rsid w:val="007E612B"/>
    <w:rsid w:val="007E66A4"/>
    <w:rsid w:val="007E70FC"/>
    <w:rsid w:val="007F077E"/>
    <w:rsid w:val="007F11ED"/>
    <w:rsid w:val="007F2C23"/>
    <w:rsid w:val="007F3388"/>
    <w:rsid w:val="007F33C3"/>
    <w:rsid w:val="007F3FE8"/>
    <w:rsid w:val="007F52D9"/>
    <w:rsid w:val="007F5CD1"/>
    <w:rsid w:val="007F638C"/>
    <w:rsid w:val="007F6C0E"/>
    <w:rsid w:val="00800270"/>
    <w:rsid w:val="0080079E"/>
    <w:rsid w:val="00801007"/>
    <w:rsid w:val="008023B3"/>
    <w:rsid w:val="00802951"/>
    <w:rsid w:val="008033C2"/>
    <w:rsid w:val="0080377E"/>
    <w:rsid w:val="00805BDD"/>
    <w:rsid w:val="00805D1C"/>
    <w:rsid w:val="008101D7"/>
    <w:rsid w:val="008110B7"/>
    <w:rsid w:val="00811CED"/>
    <w:rsid w:val="00812ED7"/>
    <w:rsid w:val="00813E3B"/>
    <w:rsid w:val="00815E29"/>
    <w:rsid w:val="00816048"/>
    <w:rsid w:val="008170BF"/>
    <w:rsid w:val="00817786"/>
    <w:rsid w:val="00817C5F"/>
    <w:rsid w:val="00817C7F"/>
    <w:rsid w:val="008213DF"/>
    <w:rsid w:val="00821DA6"/>
    <w:rsid w:val="00822E8A"/>
    <w:rsid w:val="008241A0"/>
    <w:rsid w:val="0082559A"/>
    <w:rsid w:val="0082560B"/>
    <w:rsid w:val="0082603D"/>
    <w:rsid w:val="008260FD"/>
    <w:rsid w:val="00830A7A"/>
    <w:rsid w:val="00830BA5"/>
    <w:rsid w:val="00831156"/>
    <w:rsid w:val="00833749"/>
    <w:rsid w:val="00833969"/>
    <w:rsid w:val="00836536"/>
    <w:rsid w:val="0083676B"/>
    <w:rsid w:val="008367EE"/>
    <w:rsid w:val="00836A04"/>
    <w:rsid w:val="00836DB1"/>
    <w:rsid w:val="008373CD"/>
    <w:rsid w:val="008405F7"/>
    <w:rsid w:val="00841A75"/>
    <w:rsid w:val="00842016"/>
    <w:rsid w:val="00842111"/>
    <w:rsid w:val="00842812"/>
    <w:rsid w:val="0084292A"/>
    <w:rsid w:val="00843FF1"/>
    <w:rsid w:val="00844DA5"/>
    <w:rsid w:val="00845FE2"/>
    <w:rsid w:val="0084701C"/>
    <w:rsid w:val="00847F6C"/>
    <w:rsid w:val="00847F9D"/>
    <w:rsid w:val="008500E8"/>
    <w:rsid w:val="008526AE"/>
    <w:rsid w:val="008532AA"/>
    <w:rsid w:val="00853D63"/>
    <w:rsid w:val="00853F08"/>
    <w:rsid w:val="0085485C"/>
    <w:rsid w:val="00854A3C"/>
    <w:rsid w:val="008556E4"/>
    <w:rsid w:val="00855944"/>
    <w:rsid w:val="00855F25"/>
    <w:rsid w:val="00856205"/>
    <w:rsid w:val="008568A4"/>
    <w:rsid w:val="00857A75"/>
    <w:rsid w:val="008601D0"/>
    <w:rsid w:val="00860887"/>
    <w:rsid w:val="00860C32"/>
    <w:rsid w:val="00861005"/>
    <w:rsid w:val="00861AAF"/>
    <w:rsid w:val="00861ECE"/>
    <w:rsid w:val="00862204"/>
    <w:rsid w:val="008629B9"/>
    <w:rsid w:val="008629D0"/>
    <w:rsid w:val="00863C70"/>
    <w:rsid w:val="008640A0"/>
    <w:rsid w:val="0086643B"/>
    <w:rsid w:val="008666ED"/>
    <w:rsid w:val="00870381"/>
    <w:rsid w:val="00870A55"/>
    <w:rsid w:val="00870EC4"/>
    <w:rsid w:val="00871BBA"/>
    <w:rsid w:val="00872C13"/>
    <w:rsid w:val="00873250"/>
    <w:rsid w:val="00873593"/>
    <w:rsid w:val="00873C4C"/>
    <w:rsid w:val="00873DB3"/>
    <w:rsid w:val="00874F67"/>
    <w:rsid w:val="00875625"/>
    <w:rsid w:val="00875B39"/>
    <w:rsid w:val="008761A5"/>
    <w:rsid w:val="00881BFC"/>
    <w:rsid w:val="0088388E"/>
    <w:rsid w:val="00883D6A"/>
    <w:rsid w:val="008842CF"/>
    <w:rsid w:val="00885835"/>
    <w:rsid w:val="00886D7B"/>
    <w:rsid w:val="0088785E"/>
    <w:rsid w:val="0089041F"/>
    <w:rsid w:val="008905ED"/>
    <w:rsid w:val="008914D8"/>
    <w:rsid w:val="0089162C"/>
    <w:rsid w:val="00891AB1"/>
    <w:rsid w:val="00893396"/>
    <w:rsid w:val="008935EA"/>
    <w:rsid w:val="00893DA2"/>
    <w:rsid w:val="008945CB"/>
    <w:rsid w:val="00894787"/>
    <w:rsid w:val="00896A78"/>
    <w:rsid w:val="0089794D"/>
    <w:rsid w:val="00897E2A"/>
    <w:rsid w:val="008A11DB"/>
    <w:rsid w:val="008A1368"/>
    <w:rsid w:val="008A16FE"/>
    <w:rsid w:val="008A276B"/>
    <w:rsid w:val="008A2D58"/>
    <w:rsid w:val="008A2F70"/>
    <w:rsid w:val="008A4CFD"/>
    <w:rsid w:val="008A76BC"/>
    <w:rsid w:val="008B0278"/>
    <w:rsid w:val="008B1384"/>
    <w:rsid w:val="008B144C"/>
    <w:rsid w:val="008B1CA0"/>
    <w:rsid w:val="008B232B"/>
    <w:rsid w:val="008B2556"/>
    <w:rsid w:val="008B39D5"/>
    <w:rsid w:val="008B3FED"/>
    <w:rsid w:val="008B4A5B"/>
    <w:rsid w:val="008B5DD7"/>
    <w:rsid w:val="008B6AE7"/>
    <w:rsid w:val="008B6D98"/>
    <w:rsid w:val="008C0C1B"/>
    <w:rsid w:val="008C1FF0"/>
    <w:rsid w:val="008C2AC3"/>
    <w:rsid w:val="008C38A7"/>
    <w:rsid w:val="008C5585"/>
    <w:rsid w:val="008C59C3"/>
    <w:rsid w:val="008C69B8"/>
    <w:rsid w:val="008C6D7E"/>
    <w:rsid w:val="008D0260"/>
    <w:rsid w:val="008D14FB"/>
    <w:rsid w:val="008D1CBA"/>
    <w:rsid w:val="008D1E6A"/>
    <w:rsid w:val="008D238B"/>
    <w:rsid w:val="008D288D"/>
    <w:rsid w:val="008D66D0"/>
    <w:rsid w:val="008E0F6D"/>
    <w:rsid w:val="008E12EF"/>
    <w:rsid w:val="008E1DFE"/>
    <w:rsid w:val="008E2257"/>
    <w:rsid w:val="008E3AAC"/>
    <w:rsid w:val="008E4F50"/>
    <w:rsid w:val="008E5283"/>
    <w:rsid w:val="008E56DF"/>
    <w:rsid w:val="008E64A3"/>
    <w:rsid w:val="008E7DC2"/>
    <w:rsid w:val="008F0A7C"/>
    <w:rsid w:val="008F2199"/>
    <w:rsid w:val="008F2A0E"/>
    <w:rsid w:val="008F3913"/>
    <w:rsid w:val="008F40E9"/>
    <w:rsid w:val="008F474A"/>
    <w:rsid w:val="008F4C80"/>
    <w:rsid w:val="008F6AB1"/>
    <w:rsid w:val="008F72EF"/>
    <w:rsid w:val="00901CF7"/>
    <w:rsid w:val="0090234E"/>
    <w:rsid w:val="00902835"/>
    <w:rsid w:val="0090420A"/>
    <w:rsid w:val="00905488"/>
    <w:rsid w:val="00906D89"/>
    <w:rsid w:val="00906F90"/>
    <w:rsid w:val="00907C2C"/>
    <w:rsid w:val="00910352"/>
    <w:rsid w:val="00910DFE"/>
    <w:rsid w:val="00914075"/>
    <w:rsid w:val="00914306"/>
    <w:rsid w:val="009150A9"/>
    <w:rsid w:val="0092054C"/>
    <w:rsid w:val="00920CAB"/>
    <w:rsid w:val="00920FCF"/>
    <w:rsid w:val="0092149F"/>
    <w:rsid w:val="0092172E"/>
    <w:rsid w:val="00922674"/>
    <w:rsid w:val="009226EA"/>
    <w:rsid w:val="00922A73"/>
    <w:rsid w:val="0092366F"/>
    <w:rsid w:val="00923892"/>
    <w:rsid w:val="00923F47"/>
    <w:rsid w:val="00925430"/>
    <w:rsid w:val="009262FD"/>
    <w:rsid w:val="009278D0"/>
    <w:rsid w:val="0092790D"/>
    <w:rsid w:val="009279BD"/>
    <w:rsid w:val="00927B39"/>
    <w:rsid w:val="00930684"/>
    <w:rsid w:val="00930EA9"/>
    <w:rsid w:val="00931513"/>
    <w:rsid w:val="009328EE"/>
    <w:rsid w:val="00932C6A"/>
    <w:rsid w:val="00933BAC"/>
    <w:rsid w:val="00935D6E"/>
    <w:rsid w:val="00936158"/>
    <w:rsid w:val="00936D7C"/>
    <w:rsid w:val="00936F98"/>
    <w:rsid w:val="009372C5"/>
    <w:rsid w:val="00937C41"/>
    <w:rsid w:val="009401A4"/>
    <w:rsid w:val="00940293"/>
    <w:rsid w:val="00940867"/>
    <w:rsid w:val="00941604"/>
    <w:rsid w:val="0094271D"/>
    <w:rsid w:val="00943C7D"/>
    <w:rsid w:val="00944499"/>
    <w:rsid w:val="00944863"/>
    <w:rsid w:val="00944B08"/>
    <w:rsid w:val="00944EA3"/>
    <w:rsid w:val="00944F44"/>
    <w:rsid w:val="00947716"/>
    <w:rsid w:val="00950D71"/>
    <w:rsid w:val="00951529"/>
    <w:rsid w:val="00951981"/>
    <w:rsid w:val="0095284F"/>
    <w:rsid w:val="00952EC2"/>
    <w:rsid w:val="009536FC"/>
    <w:rsid w:val="00953AF7"/>
    <w:rsid w:val="00953E0C"/>
    <w:rsid w:val="009542B3"/>
    <w:rsid w:val="00954905"/>
    <w:rsid w:val="00956E62"/>
    <w:rsid w:val="009570C0"/>
    <w:rsid w:val="009609D3"/>
    <w:rsid w:val="00960EDC"/>
    <w:rsid w:val="00962ECE"/>
    <w:rsid w:val="00963D69"/>
    <w:rsid w:val="009644CE"/>
    <w:rsid w:val="00965343"/>
    <w:rsid w:val="00966906"/>
    <w:rsid w:val="00966A18"/>
    <w:rsid w:val="0096705F"/>
    <w:rsid w:val="00967683"/>
    <w:rsid w:val="00970154"/>
    <w:rsid w:val="00972247"/>
    <w:rsid w:val="00972D53"/>
    <w:rsid w:val="00973097"/>
    <w:rsid w:val="00973B6F"/>
    <w:rsid w:val="00974562"/>
    <w:rsid w:val="00974DDB"/>
    <w:rsid w:val="009753AA"/>
    <w:rsid w:val="0097551B"/>
    <w:rsid w:val="00976111"/>
    <w:rsid w:val="00977062"/>
    <w:rsid w:val="00977D51"/>
    <w:rsid w:val="00980ACD"/>
    <w:rsid w:val="00981121"/>
    <w:rsid w:val="009819D7"/>
    <w:rsid w:val="00986795"/>
    <w:rsid w:val="00986E5E"/>
    <w:rsid w:val="009871F6"/>
    <w:rsid w:val="009873BF"/>
    <w:rsid w:val="0098756F"/>
    <w:rsid w:val="0098766D"/>
    <w:rsid w:val="00987941"/>
    <w:rsid w:val="009911B8"/>
    <w:rsid w:val="00993F5B"/>
    <w:rsid w:val="00995923"/>
    <w:rsid w:val="00996037"/>
    <w:rsid w:val="00997A2C"/>
    <w:rsid w:val="009A078B"/>
    <w:rsid w:val="009A2504"/>
    <w:rsid w:val="009A3C4F"/>
    <w:rsid w:val="009A4A24"/>
    <w:rsid w:val="009A5987"/>
    <w:rsid w:val="009B0DD3"/>
    <w:rsid w:val="009B115E"/>
    <w:rsid w:val="009B153C"/>
    <w:rsid w:val="009B186A"/>
    <w:rsid w:val="009B1D52"/>
    <w:rsid w:val="009B2179"/>
    <w:rsid w:val="009B33C6"/>
    <w:rsid w:val="009B421A"/>
    <w:rsid w:val="009B497D"/>
    <w:rsid w:val="009B4CC0"/>
    <w:rsid w:val="009B5C8C"/>
    <w:rsid w:val="009B6063"/>
    <w:rsid w:val="009B6923"/>
    <w:rsid w:val="009B7E17"/>
    <w:rsid w:val="009C2109"/>
    <w:rsid w:val="009C39B2"/>
    <w:rsid w:val="009C4C9C"/>
    <w:rsid w:val="009C4E43"/>
    <w:rsid w:val="009C6010"/>
    <w:rsid w:val="009C7DA3"/>
    <w:rsid w:val="009D06CA"/>
    <w:rsid w:val="009D1A77"/>
    <w:rsid w:val="009D203A"/>
    <w:rsid w:val="009D315C"/>
    <w:rsid w:val="009D4430"/>
    <w:rsid w:val="009D4A68"/>
    <w:rsid w:val="009D68BB"/>
    <w:rsid w:val="009D6ECA"/>
    <w:rsid w:val="009E12B3"/>
    <w:rsid w:val="009E167E"/>
    <w:rsid w:val="009E2915"/>
    <w:rsid w:val="009E2A14"/>
    <w:rsid w:val="009E31D5"/>
    <w:rsid w:val="009E4E9A"/>
    <w:rsid w:val="009E60E3"/>
    <w:rsid w:val="009E6BED"/>
    <w:rsid w:val="009E6ED9"/>
    <w:rsid w:val="009E6EDE"/>
    <w:rsid w:val="009E755C"/>
    <w:rsid w:val="009F00D2"/>
    <w:rsid w:val="009F026D"/>
    <w:rsid w:val="009F2224"/>
    <w:rsid w:val="009F2388"/>
    <w:rsid w:val="009F289E"/>
    <w:rsid w:val="009F388C"/>
    <w:rsid w:val="009F4028"/>
    <w:rsid w:val="009F44E9"/>
    <w:rsid w:val="009F4FC4"/>
    <w:rsid w:val="009F54F6"/>
    <w:rsid w:val="009F6521"/>
    <w:rsid w:val="00A006D9"/>
    <w:rsid w:val="00A0080F"/>
    <w:rsid w:val="00A02141"/>
    <w:rsid w:val="00A023BA"/>
    <w:rsid w:val="00A02C4C"/>
    <w:rsid w:val="00A03CB3"/>
    <w:rsid w:val="00A05176"/>
    <w:rsid w:val="00A06262"/>
    <w:rsid w:val="00A065F8"/>
    <w:rsid w:val="00A06CE5"/>
    <w:rsid w:val="00A06D04"/>
    <w:rsid w:val="00A124AE"/>
    <w:rsid w:val="00A12B4D"/>
    <w:rsid w:val="00A13AFC"/>
    <w:rsid w:val="00A14529"/>
    <w:rsid w:val="00A15FF4"/>
    <w:rsid w:val="00A1692F"/>
    <w:rsid w:val="00A16C3E"/>
    <w:rsid w:val="00A171F2"/>
    <w:rsid w:val="00A205E3"/>
    <w:rsid w:val="00A24B2D"/>
    <w:rsid w:val="00A2540E"/>
    <w:rsid w:val="00A25D52"/>
    <w:rsid w:val="00A25E8C"/>
    <w:rsid w:val="00A26ADC"/>
    <w:rsid w:val="00A26FDA"/>
    <w:rsid w:val="00A2700F"/>
    <w:rsid w:val="00A2757D"/>
    <w:rsid w:val="00A27858"/>
    <w:rsid w:val="00A279E2"/>
    <w:rsid w:val="00A30082"/>
    <w:rsid w:val="00A303E3"/>
    <w:rsid w:val="00A30F71"/>
    <w:rsid w:val="00A30F80"/>
    <w:rsid w:val="00A311C3"/>
    <w:rsid w:val="00A3185B"/>
    <w:rsid w:val="00A336F6"/>
    <w:rsid w:val="00A34A0F"/>
    <w:rsid w:val="00A3586F"/>
    <w:rsid w:val="00A3681D"/>
    <w:rsid w:val="00A37101"/>
    <w:rsid w:val="00A37167"/>
    <w:rsid w:val="00A37688"/>
    <w:rsid w:val="00A376AB"/>
    <w:rsid w:val="00A3785B"/>
    <w:rsid w:val="00A37F58"/>
    <w:rsid w:val="00A400A0"/>
    <w:rsid w:val="00A4184A"/>
    <w:rsid w:val="00A43A57"/>
    <w:rsid w:val="00A43C22"/>
    <w:rsid w:val="00A47909"/>
    <w:rsid w:val="00A47C9E"/>
    <w:rsid w:val="00A510D7"/>
    <w:rsid w:val="00A522A3"/>
    <w:rsid w:val="00A529BD"/>
    <w:rsid w:val="00A53E35"/>
    <w:rsid w:val="00A5450C"/>
    <w:rsid w:val="00A557E0"/>
    <w:rsid w:val="00A56714"/>
    <w:rsid w:val="00A56CF1"/>
    <w:rsid w:val="00A578CF"/>
    <w:rsid w:val="00A6146B"/>
    <w:rsid w:val="00A615D7"/>
    <w:rsid w:val="00A631FE"/>
    <w:rsid w:val="00A63313"/>
    <w:rsid w:val="00A64282"/>
    <w:rsid w:val="00A648D3"/>
    <w:rsid w:val="00A64EA6"/>
    <w:rsid w:val="00A659C8"/>
    <w:rsid w:val="00A66D74"/>
    <w:rsid w:val="00A67670"/>
    <w:rsid w:val="00A709AD"/>
    <w:rsid w:val="00A726B3"/>
    <w:rsid w:val="00A72FE4"/>
    <w:rsid w:val="00A73034"/>
    <w:rsid w:val="00A73291"/>
    <w:rsid w:val="00A734AF"/>
    <w:rsid w:val="00A75A5B"/>
    <w:rsid w:val="00A76756"/>
    <w:rsid w:val="00A76B80"/>
    <w:rsid w:val="00A7751C"/>
    <w:rsid w:val="00A80102"/>
    <w:rsid w:val="00A80456"/>
    <w:rsid w:val="00A805CD"/>
    <w:rsid w:val="00A809D3"/>
    <w:rsid w:val="00A816E3"/>
    <w:rsid w:val="00A8387B"/>
    <w:rsid w:val="00A8407A"/>
    <w:rsid w:val="00A85449"/>
    <w:rsid w:val="00A857C8"/>
    <w:rsid w:val="00A85E73"/>
    <w:rsid w:val="00A86891"/>
    <w:rsid w:val="00A912BF"/>
    <w:rsid w:val="00A9234C"/>
    <w:rsid w:val="00A941DB"/>
    <w:rsid w:val="00A951C3"/>
    <w:rsid w:val="00A955A2"/>
    <w:rsid w:val="00A95638"/>
    <w:rsid w:val="00A95BDF"/>
    <w:rsid w:val="00A96114"/>
    <w:rsid w:val="00A970C2"/>
    <w:rsid w:val="00AA0DDC"/>
    <w:rsid w:val="00AA0DFE"/>
    <w:rsid w:val="00AA1C7C"/>
    <w:rsid w:val="00AA2284"/>
    <w:rsid w:val="00AA260C"/>
    <w:rsid w:val="00AA41E9"/>
    <w:rsid w:val="00AA439F"/>
    <w:rsid w:val="00AA4CE1"/>
    <w:rsid w:val="00AA5944"/>
    <w:rsid w:val="00AA736F"/>
    <w:rsid w:val="00AB0FF3"/>
    <w:rsid w:val="00AB17A2"/>
    <w:rsid w:val="00AB1BD7"/>
    <w:rsid w:val="00AB2429"/>
    <w:rsid w:val="00AB2A3A"/>
    <w:rsid w:val="00AB34FA"/>
    <w:rsid w:val="00AB4F97"/>
    <w:rsid w:val="00AB5186"/>
    <w:rsid w:val="00AB57F7"/>
    <w:rsid w:val="00AB5CE0"/>
    <w:rsid w:val="00AC0934"/>
    <w:rsid w:val="00AC0B37"/>
    <w:rsid w:val="00AC23A6"/>
    <w:rsid w:val="00AC2E7B"/>
    <w:rsid w:val="00AC36D6"/>
    <w:rsid w:val="00AC37E7"/>
    <w:rsid w:val="00AC593F"/>
    <w:rsid w:val="00AC6DC5"/>
    <w:rsid w:val="00AD0405"/>
    <w:rsid w:val="00AD0F14"/>
    <w:rsid w:val="00AD2686"/>
    <w:rsid w:val="00AD3103"/>
    <w:rsid w:val="00AD3201"/>
    <w:rsid w:val="00AD463C"/>
    <w:rsid w:val="00AD5C54"/>
    <w:rsid w:val="00AD6466"/>
    <w:rsid w:val="00AD66F7"/>
    <w:rsid w:val="00AE3702"/>
    <w:rsid w:val="00AE3CB1"/>
    <w:rsid w:val="00AE4FE4"/>
    <w:rsid w:val="00AE5824"/>
    <w:rsid w:val="00AE664A"/>
    <w:rsid w:val="00AF09B0"/>
    <w:rsid w:val="00AF156D"/>
    <w:rsid w:val="00AF1A2B"/>
    <w:rsid w:val="00AF1BDF"/>
    <w:rsid w:val="00AF3C67"/>
    <w:rsid w:val="00AF446C"/>
    <w:rsid w:val="00AF5A4A"/>
    <w:rsid w:val="00AF6804"/>
    <w:rsid w:val="00AF7DAC"/>
    <w:rsid w:val="00B01461"/>
    <w:rsid w:val="00B01EBA"/>
    <w:rsid w:val="00B02C7F"/>
    <w:rsid w:val="00B02CA2"/>
    <w:rsid w:val="00B03232"/>
    <w:rsid w:val="00B05D59"/>
    <w:rsid w:val="00B05EF8"/>
    <w:rsid w:val="00B06031"/>
    <w:rsid w:val="00B06066"/>
    <w:rsid w:val="00B06177"/>
    <w:rsid w:val="00B06B1B"/>
    <w:rsid w:val="00B0741B"/>
    <w:rsid w:val="00B100CF"/>
    <w:rsid w:val="00B10A34"/>
    <w:rsid w:val="00B11BAD"/>
    <w:rsid w:val="00B1253C"/>
    <w:rsid w:val="00B12BD7"/>
    <w:rsid w:val="00B13140"/>
    <w:rsid w:val="00B13926"/>
    <w:rsid w:val="00B13DB9"/>
    <w:rsid w:val="00B151E2"/>
    <w:rsid w:val="00B153F2"/>
    <w:rsid w:val="00B15999"/>
    <w:rsid w:val="00B168FA"/>
    <w:rsid w:val="00B16AC6"/>
    <w:rsid w:val="00B1749D"/>
    <w:rsid w:val="00B2326F"/>
    <w:rsid w:val="00B2586C"/>
    <w:rsid w:val="00B26161"/>
    <w:rsid w:val="00B3046A"/>
    <w:rsid w:val="00B30ED2"/>
    <w:rsid w:val="00B3221E"/>
    <w:rsid w:val="00B32982"/>
    <w:rsid w:val="00B33F54"/>
    <w:rsid w:val="00B34E08"/>
    <w:rsid w:val="00B36BE1"/>
    <w:rsid w:val="00B37CB9"/>
    <w:rsid w:val="00B4115D"/>
    <w:rsid w:val="00B42AC4"/>
    <w:rsid w:val="00B43D9B"/>
    <w:rsid w:val="00B445B9"/>
    <w:rsid w:val="00B45CDE"/>
    <w:rsid w:val="00B45D55"/>
    <w:rsid w:val="00B4777C"/>
    <w:rsid w:val="00B50693"/>
    <w:rsid w:val="00B51B8B"/>
    <w:rsid w:val="00B52888"/>
    <w:rsid w:val="00B53884"/>
    <w:rsid w:val="00B54EB9"/>
    <w:rsid w:val="00B5526F"/>
    <w:rsid w:val="00B55634"/>
    <w:rsid w:val="00B55909"/>
    <w:rsid w:val="00B55F4B"/>
    <w:rsid w:val="00B565B9"/>
    <w:rsid w:val="00B57BA9"/>
    <w:rsid w:val="00B6019B"/>
    <w:rsid w:val="00B60D94"/>
    <w:rsid w:val="00B60FF2"/>
    <w:rsid w:val="00B62281"/>
    <w:rsid w:val="00B630F6"/>
    <w:rsid w:val="00B63D66"/>
    <w:rsid w:val="00B64E51"/>
    <w:rsid w:val="00B6519F"/>
    <w:rsid w:val="00B677B2"/>
    <w:rsid w:val="00B67A37"/>
    <w:rsid w:val="00B701FE"/>
    <w:rsid w:val="00B70EE7"/>
    <w:rsid w:val="00B70F85"/>
    <w:rsid w:val="00B719B9"/>
    <w:rsid w:val="00B72310"/>
    <w:rsid w:val="00B74C02"/>
    <w:rsid w:val="00B7766E"/>
    <w:rsid w:val="00B77798"/>
    <w:rsid w:val="00B7798B"/>
    <w:rsid w:val="00B8050C"/>
    <w:rsid w:val="00B81A77"/>
    <w:rsid w:val="00B81D72"/>
    <w:rsid w:val="00B84324"/>
    <w:rsid w:val="00B85AC5"/>
    <w:rsid w:val="00B86C64"/>
    <w:rsid w:val="00B91E8B"/>
    <w:rsid w:val="00B94188"/>
    <w:rsid w:val="00B95ACF"/>
    <w:rsid w:val="00B963C6"/>
    <w:rsid w:val="00B974B9"/>
    <w:rsid w:val="00BA1CEE"/>
    <w:rsid w:val="00BA334B"/>
    <w:rsid w:val="00BA38AE"/>
    <w:rsid w:val="00BA4DE4"/>
    <w:rsid w:val="00BA501B"/>
    <w:rsid w:val="00BA687B"/>
    <w:rsid w:val="00BA7B20"/>
    <w:rsid w:val="00BB2412"/>
    <w:rsid w:val="00BB2926"/>
    <w:rsid w:val="00BB3030"/>
    <w:rsid w:val="00BB384E"/>
    <w:rsid w:val="00BB3E98"/>
    <w:rsid w:val="00BB5F93"/>
    <w:rsid w:val="00BB6581"/>
    <w:rsid w:val="00BC09F5"/>
    <w:rsid w:val="00BC113F"/>
    <w:rsid w:val="00BC189A"/>
    <w:rsid w:val="00BC2402"/>
    <w:rsid w:val="00BC3028"/>
    <w:rsid w:val="00BC3146"/>
    <w:rsid w:val="00BC485A"/>
    <w:rsid w:val="00BC4915"/>
    <w:rsid w:val="00BC4A85"/>
    <w:rsid w:val="00BC5450"/>
    <w:rsid w:val="00BC61A9"/>
    <w:rsid w:val="00BC6F3C"/>
    <w:rsid w:val="00BD076F"/>
    <w:rsid w:val="00BD08F0"/>
    <w:rsid w:val="00BD0A39"/>
    <w:rsid w:val="00BD1CE0"/>
    <w:rsid w:val="00BD24CA"/>
    <w:rsid w:val="00BD4C74"/>
    <w:rsid w:val="00BD6637"/>
    <w:rsid w:val="00BD7AA4"/>
    <w:rsid w:val="00BE076F"/>
    <w:rsid w:val="00BE0F37"/>
    <w:rsid w:val="00BE1222"/>
    <w:rsid w:val="00BE386C"/>
    <w:rsid w:val="00BE3A11"/>
    <w:rsid w:val="00BE4CBC"/>
    <w:rsid w:val="00BE5F13"/>
    <w:rsid w:val="00BF1100"/>
    <w:rsid w:val="00BF18CD"/>
    <w:rsid w:val="00BF2B1F"/>
    <w:rsid w:val="00BF2EBD"/>
    <w:rsid w:val="00BF2FAC"/>
    <w:rsid w:val="00BF4D65"/>
    <w:rsid w:val="00C00281"/>
    <w:rsid w:val="00C008C9"/>
    <w:rsid w:val="00C01148"/>
    <w:rsid w:val="00C0123C"/>
    <w:rsid w:val="00C01E1E"/>
    <w:rsid w:val="00C04B6F"/>
    <w:rsid w:val="00C051F3"/>
    <w:rsid w:val="00C05DF5"/>
    <w:rsid w:val="00C06AF6"/>
    <w:rsid w:val="00C06F57"/>
    <w:rsid w:val="00C110A1"/>
    <w:rsid w:val="00C12C9F"/>
    <w:rsid w:val="00C1405C"/>
    <w:rsid w:val="00C1463D"/>
    <w:rsid w:val="00C14A34"/>
    <w:rsid w:val="00C160BB"/>
    <w:rsid w:val="00C165F1"/>
    <w:rsid w:val="00C16743"/>
    <w:rsid w:val="00C17728"/>
    <w:rsid w:val="00C178EC"/>
    <w:rsid w:val="00C216E3"/>
    <w:rsid w:val="00C23136"/>
    <w:rsid w:val="00C234C3"/>
    <w:rsid w:val="00C239F8"/>
    <w:rsid w:val="00C248DA"/>
    <w:rsid w:val="00C25013"/>
    <w:rsid w:val="00C25214"/>
    <w:rsid w:val="00C301EB"/>
    <w:rsid w:val="00C3151B"/>
    <w:rsid w:val="00C31D40"/>
    <w:rsid w:val="00C31FC0"/>
    <w:rsid w:val="00C32B84"/>
    <w:rsid w:val="00C34BBB"/>
    <w:rsid w:val="00C34CF8"/>
    <w:rsid w:val="00C3544B"/>
    <w:rsid w:val="00C36094"/>
    <w:rsid w:val="00C376DA"/>
    <w:rsid w:val="00C37DDF"/>
    <w:rsid w:val="00C40ED4"/>
    <w:rsid w:val="00C423F2"/>
    <w:rsid w:val="00C429C1"/>
    <w:rsid w:val="00C43A64"/>
    <w:rsid w:val="00C4414D"/>
    <w:rsid w:val="00C4591B"/>
    <w:rsid w:val="00C459CC"/>
    <w:rsid w:val="00C45FA2"/>
    <w:rsid w:val="00C46E22"/>
    <w:rsid w:val="00C477E7"/>
    <w:rsid w:val="00C50848"/>
    <w:rsid w:val="00C50BA4"/>
    <w:rsid w:val="00C5192E"/>
    <w:rsid w:val="00C521EA"/>
    <w:rsid w:val="00C53653"/>
    <w:rsid w:val="00C53889"/>
    <w:rsid w:val="00C5423E"/>
    <w:rsid w:val="00C56093"/>
    <w:rsid w:val="00C5612E"/>
    <w:rsid w:val="00C6138B"/>
    <w:rsid w:val="00C62E9D"/>
    <w:rsid w:val="00C63948"/>
    <w:rsid w:val="00C6402A"/>
    <w:rsid w:val="00C644D3"/>
    <w:rsid w:val="00C64D07"/>
    <w:rsid w:val="00C65387"/>
    <w:rsid w:val="00C65813"/>
    <w:rsid w:val="00C67208"/>
    <w:rsid w:val="00C678A4"/>
    <w:rsid w:val="00C67CD0"/>
    <w:rsid w:val="00C704AA"/>
    <w:rsid w:val="00C70523"/>
    <w:rsid w:val="00C711C6"/>
    <w:rsid w:val="00C72607"/>
    <w:rsid w:val="00C729D6"/>
    <w:rsid w:val="00C73A6C"/>
    <w:rsid w:val="00C7442F"/>
    <w:rsid w:val="00C74C49"/>
    <w:rsid w:val="00C77252"/>
    <w:rsid w:val="00C776D0"/>
    <w:rsid w:val="00C7783D"/>
    <w:rsid w:val="00C8028B"/>
    <w:rsid w:val="00C81234"/>
    <w:rsid w:val="00C82019"/>
    <w:rsid w:val="00C83841"/>
    <w:rsid w:val="00C83D4B"/>
    <w:rsid w:val="00C844EB"/>
    <w:rsid w:val="00C85C17"/>
    <w:rsid w:val="00C85CA1"/>
    <w:rsid w:val="00C87212"/>
    <w:rsid w:val="00C87DA0"/>
    <w:rsid w:val="00C90804"/>
    <w:rsid w:val="00C90831"/>
    <w:rsid w:val="00C90F69"/>
    <w:rsid w:val="00C91B50"/>
    <w:rsid w:val="00C9280A"/>
    <w:rsid w:val="00C930FD"/>
    <w:rsid w:val="00C93951"/>
    <w:rsid w:val="00C93FDF"/>
    <w:rsid w:val="00C94D43"/>
    <w:rsid w:val="00C96756"/>
    <w:rsid w:val="00C96EE0"/>
    <w:rsid w:val="00CA3975"/>
    <w:rsid w:val="00CA56DC"/>
    <w:rsid w:val="00CA620D"/>
    <w:rsid w:val="00CA6635"/>
    <w:rsid w:val="00CA671B"/>
    <w:rsid w:val="00CA692C"/>
    <w:rsid w:val="00CA7832"/>
    <w:rsid w:val="00CB084E"/>
    <w:rsid w:val="00CB09C5"/>
    <w:rsid w:val="00CB2713"/>
    <w:rsid w:val="00CB42D5"/>
    <w:rsid w:val="00CB5C96"/>
    <w:rsid w:val="00CB6821"/>
    <w:rsid w:val="00CB68A0"/>
    <w:rsid w:val="00CB7E49"/>
    <w:rsid w:val="00CC0066"/>
    <w:rsid w:val="00CC04AE"/>
    <w:rsid w:val="00CC1081"/>
    <w:rsid w:val="00CC11DC"/>
    <w:rsid w:val="00CC1713"/>
    <w:rsid w:val="00CC1C5B"/>
    <w:rsid w:val="00CC3162"/>
    <w:rsid w:val="00CC40C8"/>
    <w:rsid w:val="00CC4674"/>
    <w:rsid w:val="00CC5666"/>
    <w:rsid w:val="00CC6E28"/>
    <w:rsid w:val="00CC77C3"/>
    <w:rsid w:val="00CC783E"/>
    <w:rsid w:val="00CC7A18"/>
    <w:rsid w:val="00CC7B76"/>
    <w:rsid w:val="00CC7C2B"/>
    <w:rsid w:val="00CC7F99"/>
    <w:rsid w:val="00CD1024"/>
    <w:rsid w:val="00CD1368"/>
    <w:rsid w:val="00CD1903"/>
    <w:rsid w:val="00CD2D10"/>
    <w:rsid w:val="00CD3EBC"/>
    <w:rsid w:val="00CD4564"/>
    <w:rsid w:val="00CD4BA9"/>
    <w:rsid w:val="00CD5DA3"/>
    <w:rsid w:val="00CD705C"/>
    <w:rsid w:val="00CD7190"/>
    <w:rsid w:val="00CD75DA"/>
    <w:rsid w:val="00CE0613"/>
    <w:rsid w:val="00CE0833"/>
    <w:rsid w:val="00CE190E"/>
    <w:rsid w:val="00CE1D98"/>
    <w:rsid w:val="00CE20B4"/>
    <w:rsid w:val="00CE2C9B"/>
    <w:rsid w:val="00CE3611"/>
    <w:rsid w:val="00CE3A01"/>
    <w:rsid w:val="00CE46EF"/>
    <w:rsid w:val="00CE6086"/>
    <w:rsid w:val="00CE61D1"/>
    <w:rsid w:val="00CE706E"/>
    <w:rsid w:val="00CE78E5"/>
    <w:rsid w:val="00CF0D44"/>
    <w:rsid w:val="00CF2265"/>
    <w:rsid w:val="00CF2BD5"/>
    <w:rsid w:val="00CF3B7F"/>
    <w:rsid w:val="00CF5168"/>
    <w:rsid w:val="00CF5BF2"/>
    <w:rsid w:val="00CF646B"/>
    <w:rsid w:val="00CF656D"/>
    <w:rsid w:val="00CF696B"/>
    <w:rsid w:val="00CF6B35"/>
    <w:rsid w:val="00CF6E9F"/>
    <w:rsid w:val="00CF792D"/>
    <w:rsid w:val="00D00AFD"/>
    <w:rsid w:val="00D015DE"/>
    <w:rsid w:val="00D0282E"/>
    <w:rsid w:val="00D030E2"/>
    <w:rsid w:val="00D0315C"/>
    <w:rsid w:val="00D03177"/>
    <w:rsid w:val="00D064E8"/>
    <w:rsid w:val="00D07ACF"/>
    <w:rsid w:val="00D07D0C"/>
    <w:rsid w:val="00D10CBA"/>
    <w:rsid w:val="00D10EF7"/>
    <w:rsid w:val="00D11605"/>
    <w:rsid w:val="00D12AEF"/>
    <w:rsid w:val="00D12E74"/>
    <w:rsid w:val="00D13C90"/>
    <w:rsid w:val="00D15273"/>
    <w:rsid w:val="00D159A7"/>
    <w:rsid w:val="00D1701C"/>
    <w:rsid w:val="00D20200"/>
    <w:rsid w:val="00D21122"/>
    <w:rsid w:val="00D2123B"/>
    <w:rsid w:val="00D21B66"/>
    <w:rsid w:val="00D21ED8"/>
    <w:rsid w:val="00D222B1"/>
    <w:rsid w:val="00D22CD6"/>
    <w:rsid w:val="00D2304B"/>
    <w:rsid w:val="00D23085"/>
    <w:rsid w:val="00D23F19"/>
    <w:rsid w:val="00D24E21"/>
    <w:rsid w:val="00D25A25"/>
    <w:rsid w:val="00D26161"/>
    <w:rsid w:val="00D26B20"/>
    <w:rsid w:val="00D277DB"/>
    <w:rsid w:val="00D3031D"/>
    <w:rsid w:val="00D30F1D"/>
    <w:rsid w:val="00D31163"/>
    <w:rsid w:val="00D31DB6"/>
    <w:rsid w:val="00D34734"/>
    <w:rsid w:val="00D34D01"/>
    <w:rsid w:val="00D34DEE"/>
    <w:rsid w:val="00D36062"/>
    <w:rsid w:val="00D365B3"/>
    <w:rsid w:val="00D36996"/>
    <w:rsid w:val="00D3720C"/>
    <w:rsid w:val="00D40D16"/>
    <w:rsid w:val="00D41159"/>
    <w:rsid w:val="00D41E30"/>
    <w:rsid w:val="00D42503"/>
    <w:rsid w:val="00D4441B"/>
    <w:rsid w:val="00D44B73"/>
    <w:rsid w:val="00D4500F"/>
    <w:rsid w:val="00D45860"/>
    <w:rsid w:val="00D5280A"/>
    <w:rsid w:val="00D52B7B"/>
    <w:rsid w:val="00D53FB2"/>
    <w:rsid w:val="00D55193"/>
    <w:rsid w:val="00D552B2"/>
    <w:rsid w:val="00D55338"/>
    <w:rsid w:val="00D56224"/>
    <w:rsid w:val="00D56B19"/>
    <w:rsid w:val="00D5717D"/>
    <w:rsid w:val="00D57187"/>
    <w:rsid w:val="00D57692"/>
    <w:rsid w:val="00D57792"/>
    <w:rsid w:val="00D60802"/>
    <w:rsid w:val="00D618B4"/>
    <w:rsid w:val="00D64806"/>
    <w:rsid w:val="00D64D4B"/>
    <w:rsid w:val="00D6530F"/>
    <w:rsid w:val="00D653F0"/>
    <w:rsid w:val="00D65998"/>
    <w:rsid w:val="00D6626C"/>
    <w:rsid w:val="00D673FE"/>
    <w:rsid w:val="00D70776"/>
    <w:rsid w:val="00D73412"/>
    <w:rsid w:val="00D7360B"/>
    <w:rsid w:val="00D76C5E"/>
    <w:rsid w:val="00D76CBB"/>
    <w:rsid w:val="00D77457"/>
    <w:rsid w:val="00D77AAB"/>
    <w:rsid w:val="00D77E3B"/>
    <w:rsid w:val="00D80DC3"/>
    <w:rsid w:val="00D82483"/>
    <w:rsid w:val="00D83833"/>
    <w:rsid w:val="00D846B3"/>
    <w:rsid w:val="00D8573C"/>
    <w:rsid w:val="00D86BA9"/>
    <w:rsid w:val="00D86EA9"/>
    <w:rsid w:val="00D86F64"/>
    <w:rsid w:val="00D8783D"/>
    <w:rsid w:val="00D900A0"/>
    <w:rsid w:val="00D9097B"/>
    <w:rsid w:val="00D90EA4"/>
    <w:rsid w:val="00D912A4"/>
    <w:rsid w:val="00D92D1D"/>
    <w:rsid w:val="00D954E1"/>
    <w:rsid w:val="00D95832"/>
    <w:rsid w:val="00D95CD2"/>
    <w:rsid w:val="00D95E3E"/>
    <w:rsid w:val="00D96B58"/>
    <w:rsid w:val="00DA0386"/>
    <w:rsid w:val="00DA0C07"/>
    <w:rsid w:val="00DA185D"/>
    <w:rsid w:val="00DA1B01"/>
    <w:rsid w:val="00DA235B"/>
    <w:rsid w:val="00DA365E"/>
    <w:rsid w:val="00DA3A23"/>
    <w:rsid w:val="00DA3DC0"/>
    <w:rsid w:val="00DA5BB2"/>
    <w:rsid w:val="00DA7039"/>
    <w:rsid w:val="00DB3B9E"/>
    <w:rsid w:val="00DB4346"/>
    <w:rsid w:val="00DB5464"/>
    <w:rsid w:val="00DB6DDE"/>
    <w:rsid w:val="00DB7F7B"/>
    <w:rsid w:val="00DC08DB"/>
    <w:rsid w:val="00DC3077"/>
    <w:rsid w:val="00DC34B1"/>
    <w:rsid w:val="00DC3AF0"/>
    <w:rsid w:val="00DC4087"/>
    <w:rsid w:val="00DC44E7"/>
    <w:rsid w:val="00DC58F1"/>
    <w:rsid w:val="00DC6104"/>
    <w:rsid w:val="00DC654A"/>
    <w:rsid w:val="00DC7142"/>
    <w:rsid w:val="00DC7B1E"/>
    <w:rsid w:val="00DC7E1A"/>
    <w:rsid w:val="00DD00BC"/>
    <w:rsid w:val="00DD151B"/>
    <w:rsid w:val="00DD240D"/>
    <w:rsid w:val="00DD2698"/>
    <w:rsid w:val="00DD3265"/>
    <w:rsid w:val="00DD4587"/>
    <w:rsid w:val="00DD487E"/>
    <w:rsid w:val="00DD5102"/>
    <w:rsid w:val="00DD5CF5"/>
    <w:rsid w:val="00DD66AD"/>
    <w:rsid w:val="00DD6875"/>
    <w:rsid w:val="00DD7722"/>
    <w:rsid w:val="00DD7AE2"/>
    <w:rsid w:val="00DE0044"/>
    <w:rsid w:val="00DE0C2E"/>
    <w:rsid w:val="00DE1BF8"/>
    <w:rsid w:val="00DE3983"/>
    <w:rsid w:val="00DE4A3A"/>
    <w:rsid w:val="00DE6F79"/>
    <w:rsid w:val="00DE749B"/>
    <w:rsid w:val="00DF0A11"/>
    <w:rsid w:val="00DF1C00"/>
    <w:rsid w:val="00DF3196"/>
    <w:rsid w:val="00DF3632"/>
    <w:rsid w:val="00DF567C"/>
    <w:rsid w:val="00DF5A14"/>
    <w:rsid w:val="00DF5B6E"/>
    <w:rsid w:val="00DF620A"/>
    <w:rsid w:val="00DF6DA0"/>
    <w:rsid w:val="00DF7AE0"/>
    <w:rsid w:val="00E000B0"/>
    <w:rsid w:val="00E00BBC"/>
    <w:rsid w:val="00E00CF6"/>
    <w:rsid w:val="00E011E2"/>
    <w:rsid w:val="00E026DB"/>
    <w:rsid w:val="00E02A22"/>
    <w:rsid w:val="00E0350E"/>
    <w:rsid w:val="00E03E51"/>
    <w:rsid w:val="00E04785"/>
    <w:rsid w:val="00E04D5C"/>
    <w:rsid w:val="00E04F16"/>
    <w:rsid w:val="00E0550F"/>
    <w:rsid w:val="00E11048"/>
    <w:rsid w:val="00E13565"/>
    <w:rsid w:val="00E1439F"/>
    <w:rsid w:val="00E145D6"/>
    <w:rsid w:val="00E1475D"/>
    <w:rsid w:val="00E151E3"/>
    <w:rsid w:val="00E1753C"/>
    <w:rsid w:val="00E1780B"/>
    <w:rsid w:val="00E25371"/>
    <w:rsid w:val="00E25D7B"/>
    <w:rsid w:val="00E266B3"/>
    <w:rsid w:val="00E268AE"/>
    <w:rsid w:val="00E2697B"/>
    <w:rsid w:val="00E3076B"/>
    <w:rsid w:val="00E323AA"/>
    <w:rsid w:val="00E328F2"/>
    <w:rsid w:val="00E33CA2"/>
    <w:rsid w:val="00E34564"/>
    <w:rsid w:val="00E345E8"/>
    <w:rsid w:val="00E3508F"/>
    <w:rsid w:val="00E368EE"/>
    <w:rsid w:val="00E36BAA"/>
    <w:rsid w:val="00E40360"/>
    <w:rsid w:val="00E41B85"/>
    <w:rsid w:val="00E420AB"/>
    <w:rsid w:val="00E42721"/>
    <w:rsid w:val="00E4284E"/>
    <w:rsid w:val="00E42DC3"/>
    <w:rsid w:val="00E43B0D"/>
    <w:rsid w:val="00E446A9"/>
    <w:rsid w:val="00E45390"/>
    <w:rsid w:val="00E45C47"/>
    <w:rsid w:val="00E46A25"/>
    <w:rsid w:val="00E46B3D"/>
    <w:rsid w:val="00E505FC"/>
    <w:rsid w:val="00E51A6B"/>
    <w:rsid w:val="00E51CC0"/>
    <w:rsid w:val="00E53DFB"/>
    <w:rsid w:val="00E5403C"/>
    <w:rsid w:val="00E54911"/>
    <w:rsid w:val="00E54FD7"/>
    <w:rsid w:val="00E556C6"/>
    <w:rsid w:val="00E56442"/>
    <w:rsid w:val="00E56F36"/>
    <w:rsid w:val="00E57149"/>
    <w:rsid w:val="00E5735A"/>
    <w:rsid w:val="00E573E1"/>
    <w:rsid w:val="00E576C6"/>
    <w:rsid w:val="00E6045A"/>
    <w:rsid w:val="00E617A3"/>
    <w:rsid w:val="00E62397"/>
    <w:rsid w:val="00E63133"/>
    <w:rsid w:val="00E63281"/>
    <w:rsid w:val="00E64B5F"/>
    <w:rsid w:val="00E65532"/>
    <w:rsid w:val="00E669DC"/>
    <w:rsid w:val="00E67DFF"/>
    <w:rsid w:val="00E71028"/>
    <w:rsid w:val="00E71413"/>
    <w:rsid w:val="00E73194"/>
    <w:rsid w:val="00E74264"/>
    <w:rsid w:val="00E77100"/>
    <w:rsid w:val="00E801BC"/>
    <w:rsid w:val="00E80C03"/>
    <w:rsid w:val="00E8220F"/>
    <w:rsid w:val="00E82F62"/>
    <w:rsid w:val="00E834AE"/>
    <w:rsid w:val="00E8462F"/>
    <w:rsid w:val="00E8773D"/>
    <w:rsid w:val="00E87DFA"/>
    <w:rsid w:val="00E9088C"/>
    <w:rsid w:val="00E90A1B"/>
    <w:rsid w:val="00E90D1C"/>
    <w:rsid w:val="00E928EF"/>
    <w:rsid w:val="00E92A2B"/>
    <w:rsid w:val="00E944AD"/>
    <w:rsid w:val="00E95313"/>
    <w:rsid w:val="00E9646B"/>
    <w:rsid w:val="00E96A9F"/>
    <w:rsid w:val="00EA0081"/>
    <w:rsid w:val="00EA0DD9"/>
    <w:rsid w:val="00EA2219"/>
    <w:rsid w:val="00EA231C"/>
    <w:rsid w:val="00EA312B"/>
    <w:rsid w:val="00EA33F9"/>
    <w:rsid w:val="00EA457F"/>
    <w:rsid w:val="00EA5ED9"/>
    <w:rsid w:val="00EA7525"/>
    <w:rsid w:val="00EA7F36"/>
    <w:rsid w:val="00EB063C"/>
    <w:rsid w:val="00EB0992"/>
    <w:rsid w:val="00EB0AFB"/>
    <w:rsid w:val="00EB111C"/>
    <w:rsid w:val="00EB1780"/>
    <w:rsid w:val="00EB2403"/>
    <w:rsid w:val="00EB32CB"/>
    <w:rsid w:val="00EB398B"/>
    <w:rsid w:val="00EB4313"/>
    <w:rsid w:val="00EB43F2"/>
    <w:rsid w:val="00EB468C"/>
    <w:rsid w:val="00EB4FA2"/>
    <w:rsid w:val="00EC180B"/>
    <w:rsid w:val="00EC1DDE"/>
    <w:rsid w:val="00EC232B"/>
    <w:rsid w:val="00EC30FB"/>
    <w:rsid w:val="00EC45EC"/>
    <w:rsid w:val="00EC5AA3"/>
    <w:rsid w:val="00EC6E23"/>
    <w:rsid w:val="00EC6EBC"/>
    <w:rsid w:val="00EC760F"/>
    <w:rsid w:val="00EC7A48"/>
    <w:rsid w:val="00ED02A9"/>
    <w:rsid w:val="00ED088C"/>
    <w:rsid w:val="00ED18DE"/>
    <w:rsid w:val="00ED19AA"/>
    <w:rsid w:val="00ED1A08"/>
    <w:rsid w:val="00ED219A"/>
    <w:rsid w:val="00ED34D1"/>
    <w:rsid w:val="00ED3733"/>
    <w:rsid w:val="00ED3960"/>
    <w:rsid w:val="00ED4ACA"/>
    <w:rsid w:val="00ED5B78"/>
    <w:rsid w:val="00ED5C13"/>
    <w:rsid w:val="00ED5C8F"/>
    <w:rsid w:val="00ED6022"/>
    <w:rsid w:val="00ED64FD"/>
    <w:rsid w:val="00ED6611"/>
    <w:rsid w:val="00EE06A4"/>
    <w:rsid w:val="00EE2025"/>
    <w:rsid w:val="00EE208B"/>
    <w:rsid w:val="00EE4D03"/>
    <w:rsid w:val="00EE5180"/>
    <w:rsid w:val="00EE5524"/>
    <w:rsid w:val="00EE5F67"/>
    <w:rsid w:val="00EE5FA2"/>
    <w:rsid w:val="00EE61EC"/>
    <w:rsid w:val="00EE770B"/>
    <w:rsid w:val="00EE7E19"/>
    <w:rsid w:val="00EF2369"/>
    <w:rsid w:val="00EF40F7"/>
    <w:rsid w:val="00EF4898"/>
    <w:rsid w:val="00EF4A38"/>
    <w:rsid w:val="00EF53B4"/>
    <w:rsid w:val="00EF5795"/>
    <w:rsid w:val="00EF579B"/>
    <w:rsid w:val="00EF5A12"/>
    <w:rsid w:val="00EF5B44"/>
    <w:rsid w:val="00EF7C49"/>
    <w:rsid w:val="00F02066"/>
    <w:rsid w:val="00F02CAD"/>
    <w:rsid w:val="00F033F5"/>
    <w:rsid w:val="00F036BB"/>
    <w:rsid w:val="00F04062"/>
    <w:rsid w:val="00F0492C"/>
    <w:rsid w:val="00F05797"/>
    <w:rsid w:val="00F07037"/>
    <w:rsid w:val="00F07180"/>
    <w:rsid w:val="00F117D9"/>
    <w:rsid w:val="00F13087"/>
    <w:rsid w:val="00F15139"/>
    <w:rsid w:val="00F205D5"/>
    <w:rsid w:val="00F214DC"/>
    <w:rsid w:val="00F22DBD"/>
    <w:rsid w:val="00F2565F"/>
    <w:rsid w:val="00F25963"/>
    <w:rsid w:val="00F26752"/>
    <w:rsid w:val="00F275BF"/>
    <w:rsid w:val="00F30B04"/>
    <w:rsid w:val="00F324B8"/>
    <w:rsid w:val="00F3342A"/>
    <w:rsid w:val="00F33B5D"/>
    <w:rsid w:val="00F36119"/>
    <w:rsid w:val="00F40479"/>
    <w:rsid w:val="00F40890"/>
    <w:rsid w:val="00F41B79"/>
    <w:rsid w:val="00F42F3F"/>
    <w:rsid w:val="00F434D8"/>
    <w:rsid w:val="00F43ED4"/>
    <w:rsid w:val="00F4421C"/>
    <w:rsid w:val="00F45F86"/>
    <w:rsid w:val="00F47462"/>
    <w:rsid w:val="00F47912"/>
    <w:rsid w:val="00F51FFA"/>
    <w:rsid w:val="00F53C6A"/>
    <w:rsid w:val="00F54A48"/>
    <w:rsid w:val="00F5512E"/>
    <w:rsid w:val="00F55816"/>
    <w:rsid w:val="00F57242"/>
    <w:rsid w:val="00F573DF"/>
    <w:rsid w:val="00F608E4"/>
    <w:rsid w:val="00F60915"/>
    <w:rsid w:val="00F62E07"/>
    <w:rsid w:val="00F63A96"/>
    <w:rsid w:val="00F63EAE"/>
    <w:rsid w:val="00F64271"/>
    <w:rsid w:val="00F64C2E"/>
    <w:rsid w:val="00F65862"/>
    <w:rsid w:val="00F65FDA"/>
    <w:rsid w:val="00F6689D"/>
    <w:rsid w:val="00F66AD0"/>
    <w:rsid w:val="00F706EE"/>
    <w:rsid w:val="00F7133A"/>
    <w:rsid w:val="00F71DC1"/>
    <w:rsid w:val="00F74B85"/>
    <w:rsid w:val="00F75EC8"/>
    <w:rsid w:val="00F766EF"/>
    <w:rsid w:val="00F77417"/>
    <w:rsid w:val="00F8056C"/>
    <w:rsid w:val="00F81652"/>
    <w:rsid w:val="00F817EF"/>
    <w:rsid w:val="00F82122"/>
    <w:rsid w:val="00F82B6C"/>
    <w:rsid w:val="00F83415"/>
    <w:rsid w:val="00F84DAB"/>
    <w:rsid w:val="00F873ED"/>
    <w:rsid w:val="00F87BF2"/>
    <w:rsid w:val="00F90313"/>
    <w:rsid w:val="00F90F09"/>
    <w:rsid w:val="00F91584"/>
    <w:rsid w:val="00F92EE1"/>
    <w:rsid w:val="00F9342B"/>
    <w:rsid w:val="00F9355F"/>
    <w:rsid w:val="00F94442"/>
    <w:rsid w:val="00F9475D"/>
    <w:rsid w:val="00F94AF0"/>
    <w:rsid w:val="00F95C1E"/>
    <w:rsid w:val="00FA0812"/>
    <w:rsid w:val="00FA2DD2"/>
    <w:rsid w:val="00FA5543"/>
    <w:rsid w:val="00FA69B2"/>
    <w:rsid w:val="00FA71CD"/>
    <w:rsid w:val="00FA74C1"/>
    <w:rsid w:val="00FA74CC"/>
    <w:rsid w:val="00FB0F75"/>
    <w:rsid w:val="00FB14B9"/>
    <w:rsid w:val="00FB27AC"/>
    <w:rsid w:val="00FB361C"/>
    <w:rsid w:val="00FB45FF"/>
    <w:rsid w:val="00FB4C39"/>
    <w:rsid w:val="00FB58CF"/>
    <w:rsid w:val="00FC0D9B"/>
    <w:rsid w:val="00FC11FA"/>
    <w:rsid w:val="00FC1221"/>
    <w:rsid w:val="00FC2285"/>
    <w:rsid w:val="00FC23E2"/>
    <w:rsid w:val="00FC36DB"/>
    <w:rsid w:val="00FC3FB7"/>
    <w:rsid w:val="00FC77FC"/>
    <w:rsid w:val="00FD1025"/>
    <w:rsid w:val="00FD1693"/>
    <w:rsid w:val="00FD2FBC"/>
    <w:rsid w:val="00FD44EB"/>
    <w:rsid w:val="00FD4E42"/>
    <w:rsid w:val="00FD524D"/>
    <w:rsid w:val="00FD5906"/>
    <w:rsid w:val="00FD5AD4"/>
    <w:rsid w:val="00FD6320"/>
    <w:rsid w:val="00FD7A9F"/>
    <w:rsid w:val="00FE086C"/>
    <w:rsid w:val="00FE28E2"/>
    <w:rsid w:val="00FE53A1"/>
    <w:rsid w:val="00FE6665"/>
    <w:rsid w:val="00FE666F"/>
    <w:rsid w:val="00FE6EAD"/>
    <w:rsid w:val="00FE7BDA"/>
    <w:rsid w:val="00FE7FFA"/>
    <w:rsid w:val="00FF0BE2"/>
    <w:rsid w:val="00FF2DDD"/>
    <w:rsid w:val="00FF3594"/>
    <w:rsid w:val="00FF4C93"/>
    <w:rsid w:val="00FF4FAE"/>
    <w:rsid w:val="00FF51C7"/>
    <w:rsid w:val="00FF6BDE"/>
    <w:rsid w:val="00FF7A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B65D003-131F-4D23-8468-1F833D28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val="x-none"/>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pPr>
      <w:keepLines/>
      <w:spacing w:after="60"/>
      <w:ind w:firstLine="720"/>
    </w:pPr>
    <w:rPr>
      <w:sz w:val="18"/>
      <w:lang w:val="x-none"/>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rPr>
      <w:lang w:val="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AC2E7B"/>
    <w:rPr>
      <w:sz w:val="22"/>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tabs>
        <w:tab w:val="num" w:pos="1440"/>
        <w:tab w:val="left" w:pos="1980"/>
      </w:tabs>
      <w:spacing w:before="80" w:after="80"/>
      <w:ind w:left="1440" w:hanging="36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rsid w:val="00E5403C"/>
    <w:pPr>
      <w:spacing w:before="120" w:after="120"/>
      <w:jc w:val="left"/>
    </w:pPr>
    <w:rPr>
      <w:rFonts w:eastAsia="Batang"/>
      <w:b/>
      <w:i/>
      <w:snapToGrid w:val="0"/>
      <w:lang w:eastAsia="ko-KR"/>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styleId="NormalWeb">
    <w:name w:val="Normal (Web)"/>
    <w:basedOn w:val="Normal"/>
    <w:uiPriority w:val="99"/>
    <w:rsid w:val="009E6ED9"/>
    <w:pPr>
      <w:spacing w:before="100" w:beforeAutospacing="1" w:after="100" w:afterAutospacing="1"/>
      <w:jc w:val="left"/>
    </w:pPr>
    <w:rPr>
      <w:rFonts w:ascii="Verdana" w:eastAsia="Arial Unicode MS" w:hAnsi="Verdana"/>
      <w:color w:val="000000"/>
      <w:sz w:val="18"/>
      <w:szCs w:val="18"/>
      <w:lang w:val="en-US"/>
    </w:rPr>
  </w:style>
  <w:style w:type="paragraph" w:customStyle="1" w:styleId="goal">
    <w:name w:val="goal"/>
    <w:basedOn w:val="BodyText2"/>
    <w:rsid w:val="009E6ED9"/>
    <w:pPr>
      <w:tabs>
        <w:tab w:val="clear" w:pos="-1440"/>
        <w:tab w:val="clear" w:pos="-720"/>
        <w:tab w:val="clear" w:pos="0"/>
        <w:tab w:val="clear" w:pos="720"/>
        <w:tab w:val="clear" w:pos="1080"/>
        <w:tab w:val="clear" w:pos="1440"/>
      </w:tabs>
      <w:suppressAutoHyphens w:val="0"/>
      <w:spacing w:line="240" w:lineRule="auto"/>
      <w:ind w:left="0" w:firstLine="0"/>
    </w:pPr>
    <w:rPr>
      <w:rFonts w:ascii="Times New Roman Bold" w:hAnsi="Times New Roman Bold"/>
      <w:b/>
      <w:bCs/>
    </w:rPr>
  </w:style>
  <w:style w:type="character" w:styleId="Hyperlink">
    <w:name w:val="Hyperlink"/>
    <w:rsid w:val="009E6ED9"/>
    <w:rPr>
      <w:color w:val="0000FF"/>
      <w:sz w:val="18"/>
      <w:u w:val="single"/>
    </w:rPr>
  </w:style>
  <w:style w:type="character" w:styleId="Emphasis">
    <w:name w:val="Emphasis"/>
    <w:qFormat/>
    <w:rsid w:val="0009169A"/>
    <w:rPr>
      <w:i/>
      <w:iCs/>
    </w:rPr>
  </w:style>
  <w:style w:type="paragraph" w:customStyle="1" w:styleId="Default">
    <w:name w:val="Default"/>
    <w:rsid w:val="009F388C"/>
    <w:pPr>
      <w:autoSpaceDE w:val="0"/>
      <w:autoSpaceDN w:val="0"/>
      <w:adjustRightInd w:val="0"/>
    </w:pPr>
    <w:rPr>
      <w:color w:val="000000"/>
      <w:sz w:val="24"/>
      <w:szCs w:val="24"/>
      <w:lang w:val="en-US" w:eastAsia="en-US"/>
    </w:rPr>
  </w:style>
  <w:style w:type="character" w:customStyle="1" w:styleId="SCOTT">
    <w:name w:val="SCOTT"/>
    <w:semiHidden/>
    <w:rsid w:val="006F1FB9"/>
    <w:rPr>
      <w:rFonts w:ascii="Palatino Linotype" w:hAnsi="Palatino Linotype"/>
      <w:b w:val="0"/>
      <w:bCs w:val="0"/>
      <w:i w:val="0"/>
      <w:iCs w:val="0"/>
      <w:strike w:val="0"/>
      <w:color w:val="008000"/>
      <w:sz w:val="24"/>
      <w:szCs w:val="24"/>
      <w:u w:val="none"/>
    </w:rPr>
  </w:style>
  <w:style w:type="paragraph" w:customStyle="1" w:styleId="headingrec">
    <w:name w:val="headingrec"/>
    <w:basedOn w:val="Normal"/>
    <w:rsid w:val="006F1FB9"/>
    <w:pPr>
      <w:keepNext/>
      <w:spacing w:before="120" w:after="120"/>
      <w:jc w:val="center"/>
    </w:pPr>
    <w:rPr>
      <w:b/>
      <w:bCs/>
      <w:i/>
      <w:iCs/>
      <w:szCs w:val="22"/>
      <w:lang w:val="en-US"/>
    </w:rPr>
  </w:style>
  <w:style w:type="paragraph" w:styleId="BalloonText">
    <w:name w:val="Balloon Text"/>
    <w:basedOn w:val="Normal"/>
    <w:semiHidden/>
    <w:rsid w:val="00EB4FA2"/>
    <w:rPr>
      <w:rFonts w:ascii="Tahoma" w:hAnsi="Tahoma" w:cs="Tahoma"/>
      <w:sz w:val="16"/>
      <w:szCs w:val="16"/>
    </w:rPr>
  </w:style>
  <w:style w:type="paragraph" w:customStyle="1" w:styleId="RKnormal">
    <w:name w:val="RKnormal"/>
    <w:basedOn w:val="Normal"/>
    <w:rsid w:val="005651CC"/>
    <w:pPr>
      <w:tabs>
        <w:tab w:val="left" w:pos="2835"/>
      </w:tabs>
      <w:overflowPunct w:val="0"/>
      <w:autoSpaceDE w:val="0"/>
      <w:autoSpaceDN w:val="0"/>
      <w:adjustRightInd w:val="0"/>
      <w:spacing w:line="240" w:lineRule="atLeast"/>
      <w:jc w:val="left"/>
      <w:textAlignment w:val="baseline"/>
    </w:pPr>
    <w:rPr>
      <w:rFonts w:ascii="OrigGarmnd BT" w:hAnsi="OrigGarmnd BT"/>
      <w:sz w:val="24"/>
      <w:szCs w:val="20"/>
      <w:lang w:val="sv-SE"/>
    </w:rPr>
  </w:style>
  <w:style w:type="paragraph" w:styleId="CommentSubject">
    <w:name w:val="annotation subject"/>
    <w:basedOn w:val="CommentText"/>
    <w:next w:val="CommentText"/>
    <w:semiHidden/>
    <w:rsid w:val="00377942"/>
    <w:pPr>
      <w:spacing w:after="0" w:line="240" w:lineRule="auto"/>
    </w:pPr>
    <w:rPr>
      <w:b/>
      <w:bCs/>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43652E"/>
    <w:rPr>
      <w:sz w:val="18"/>
      <w:szCs w:val="24"/>
      <w:lang w:eastAsia="en-US"/>
    </w:rPr>
  </w:style>
  <w:style w:type="paragraph" w:customStyle="1" w:styleId="para10">
    <w:name w:val="para1"/>
    <w:basedOn w:val="Normal"/>
    <w:uiPriority w:val="99"/>
    <w:rsid w:val="00DD7AE2"/>
    <w:pPr>
      <w:tabs>
        <w:tab w:val="num" w:pos="360"/>
      </w:tabs>
      <w:snapToGrid w:val="0"/>
      <w:spacing w:before="120" w:after="120"/>
    </w:pPr>
    <w:rPr>
      <w:szCs w:val="22"/>
      <w:lang w:val="en-US"/>
    </w:rPr>
  </w:style>
  <w:style w:type="character" w:customStyle="1" w:styleId="Heading1Char">
    <w:name w:val="Heading 1 Char"/>
    <w:link w:val="Heading1"/>
    <w:rsid w:val="00A8387B"/>
    <w:rPr>
      <w:b/>
      <w:caps/>
      <w:sz w:val="22"/>
      <w:szCs w:val="24"/>
      <w:lang w:eastAsia="en-US"/>
    </w:rPr>
  </w:style>
  <w:style w:type="paragraph" w:customStyle="1" w:styleId="recommendation">
    <w:name w:val="recommendation"/>
    <w:basedOn w:val="Heading2"/>
    <w:qFormat/>
    <w:rsid w:val="00CC1081"/>
    <w:rPr>
      <w:lang w:eastAsia="x-none"/>
    </w:rPr>
  </w:style>
  <w:style w:type="character" w:customStyle="1" w:styleId="CommentTextChar">
    <w:name w:val="Comment Text Char"/>
    <w:link w:val="CommentText"/>
    <w:uiPriority w:val="99"/>
    <w:semiHidden/>
    <w:rsid w:val="004B6734"/>
    <w:rPr>
      <w:sz w:val="22"/>
      <w:szCs w:val="24"/>
      <w:lang w:eastAsia="en-US"/>
    </w:rPr>
  </w:style>
  <w:style w:type="character" w:styleId="LineNumber">
    <w:name w:val="line number"/>
    <w:rsid w:val="008373CD"/>
  </w:style>
  <w:style w:type="table" w:styleId="TableGrid">
    <w:name w:val="Table Grid"/>
    <w:basedOn w:val="TableNormal"/>
    <w:uiPriority w:val="59"/>
    <w:rsid w:val="00392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F5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v-SE" w:eastAsia="sv-SE"/>
    </w:rPr>
  </w:style>
  <w:style w:type="character" w:customStyle="1" w:styleId="HTMLPreformattedChar">
    <w:name w:val="HTML Preformatted Char"/>
    <w:link w:val="HTMLPreformatted"/>
    <w:uiPriority w:val="99"/>
    <w:rsid w:val="00CF5BF2"/>
    <w:rPr>
      <w:rFonts w:ascii="Courier New" w:hAnsi="Courier New" w:cs="Courier New"/>
      <w:lang w:val="sv-SE" w:eastAsia="sv-SE"/>
    </w:rPr>
  </w:style>
  <w:style w:type="paragraph" w:styleId="Revision">
    <w:name w:val="Revision"/>
    <w:hidden/>
    <w:uiPriority w:val="99"/>
    <w:semiHidden/>
    <w:rsid w:val="00CF5BF2"/>
    <w:rPr>
      <w:sz w:val="22"/>
      <w:szCs w:val="24"/>
      <w:lang w:val="en-GB" w:eastAsia="en-US"/>
    </w:rPr>
  </w:style>
  <w:style w:type="paragraph" w:customStyle="1" w:styleId="p1">
    <w:name w:val="p1"/>
    <w:basedOn w:val="Normal"/>
    <w:rsid w:val="00754188"/>
    <w:pPr>
      <w:jc w:val="left"/>
    </w:pPr>
    <w:rPr>
      <w:rFonts w:ascii="Times" w:eastAsia="Calibri" w:hAnsi="Times"/>
      <w:sz w:val="16"/>
      <w:szCs w:val="16"/>
      <w:lang w:val="sv-SE" w:eastAsia="sv-SE"/>
    </w:rPr>
  </w:style>
  <w:style w:type="character" w:customStyle="1" w:styleId="apple-converted-space">
    <w:name w:val="apple-converted-space"/>
    <w:rsid w:val="00754188"/>
  </w:style>
  <w:style w:type="paragraph" w:styleId="ListParagraph">
    <w:name w:val="List Paragraph"/>
    <w:basedOn w:val="Normal"/>
    <w:uiPriority w:val="34"/>
    <w:qFormat/>
    <w:rsid w:val="003F62D8"/>
    <w:pPr>
      <w:ind w:left="720"/>
      <w:contextualSpacing/>
      <w:jc w:val="left"/>
    </w:pPr>
    <w:rPr>
      <w:sz w:val="24"/>
      <w:lang w:eastAsia="en-CA"/>
    </w:rPr>
  </w:style>
  <w:style w:type="paragraph" w:styleId="Subtitle">
    <w:name w:val="Subtitle"/>
    <w:basedOn w:val="Normal"/>
    <w:next w:val="Normal"/>
    <w:link w:val="SubtitleChar"/>
    <w:uiPriority w:val="11"/>
    <w:qFormat/>
    <w:rsid w:val="00DB6DDE"/>
    <w:pPr>
      <w:numPr>
        <w:ilvl w:val="1"/>
      </w:numPr>
      <w:spacing w:after="200" w:line="276" w:lineRule="auto"/>
      <w:jc w:val="left"/>
    </w:pPr>
    <w:rPr>
      <w:rFonts w:ascii="Calibri Light" w:hAnsi="Calibri Light"/>
      <w:i/>
      <w:iCs/>
      <w:color w:val="4472C4"/>
      <w:spacing w:val="15"/>
      <w:sz w:val="24"/>
      <w:lang w:val="de-DE"/>
    </w:rPr>
  </w:style>
  <w:style w:type="character" w:customStyle="1" w:styleId="SubtitleChar">
    <w:name w:val="Subtitle Char"/>
    <w:link w:val="Subtitle"/>
    <w:uiPriority w:val="11"/>
    <w:rsid w:val="00DB6DDE"/>
    <w:rPr>
      <w:rFonts w:ascii="Calibri Light" w:eastAsia="Times New Roman" w:hAnsi="Calibri Light" w:cs="Times New Roman"/>
      <w:i/>
      <w:iCs/>
      <w:color w:val="4472C4"/>
      <w:spacing w:val="15"/>
      <w:sz w:val="24"/>
      <w:szCs w:val="24"/>
      <w:lang w:val="de-DE" w:eastAsia="en-US"/>
    </w:rPr>
  </w:style>
  <w:style w:type="table" w:customStyle="1" w:styleId="Tablaconcuadrcula1">
    <w:name w:val="Tabla con cuadrícula1"/>
    <w:basedOn w:val="TableNormal"/>
    <w:next w:val="TableGrid"/>
    <w:uiPriority w:val="59"/>
    <w:rsid w:val="00205378"/>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0">
    <w:name w:val="Pa20"/>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 w:type="paragraph" w:customStyle="1" w:styleId="Pa21">
    <w:name w:val="Pa21"/>
    <w:basedOn w:val="Normal"/>
    <w:next w:val="Normal"/>
    <w:uiPriority w:val="99"/>
    <w:rsid w:val="00C17728"/>
    <w:pPr>
      <w:autoSpaceDE w:val="0"/>
      <w:autoSpaceDN w:val="0"/>
      <w:adjustRightInd w:val="0"/>
      <w:spacing w:line="181" w:lineRule="atLeast"/>
      <w:jc w:val="left"/>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3596">
      <w:bodyDiv w:val="1"/>
      <w:marLeft w:val="0"/>
      <w:marRight w:val="0"/>
      <w:marTop w:val="0"/>
      <w:marBottom w:val="0"/>
      <w:divBdr>
        <w:top w:val="none" w:sz="0" w:space="0" w:color="auto"/>
        <w:left w:val="none" w:sz="0" w:space="0" w:color="auto"/>
        <w:bottom w:val="none" w:sz="0" w:space="0" w:color="auto"/>
        <w:right w:val="none" w:sz="0" w:space="0" w:color="auto"/>
      </w:divBdr>
    </w:div>
    <w:div w:id="90198692">
      <w:bodyDiv w:val="1"/>
      <w:marLeft w:val="0"/>
      <w:marRight w:val="0"/>
      <w:marTop w:val="0"/>
      <w:marBottom w:val="0"/>
      <w:divBdr>
        <w:top w:val="none" w:sz="0" w:space="0" w:color="auto"/>
        <w:left w:val="none" w:sz="0" w:space="0" w:color="auto"/>
        <w:bottom w:val="none" w:sz="0" w:space="0" w:color="auto"/>
        <w:right w:val="none" w:sz="0" w:space="0" w:color="auto"/>
      </w:divBdr>
      <w:divsChild>
        <w:div w:id="166095829">
          <w:marLeft w:val="0"/>
          <w:marRight w:val="0"/>
          <w:marTop w:val="0"/>
          <w:marBottom w:val="0"/>
          <w:divBdr>
            <w:top w:val="none" w:sz="0" w:space="0" w:color="auto"/>
            <w:left w:val="none" w:sz="0" w:space="0" w:color="auto"/>
            <w:bottom w:val="none" w:sz="0" w:space="0" w:color="auto"/>
            <w:right w:val="none" w:sz="0" w:space="0" w:color="auto"/>
          </w:divBdr>
          <w:divsChild>
            <w:div w:id="1364476022">
              <w:marLeft w:val="0"/>
              <w:marRight w:val="0"/>
              <w:marTop w:val="0"/>
              <w:marBottom w:val="0"/>
              <w:divBdr>
                <w:top w:val="none" w:sz="0" w:space="0" w:color="auto"/>
                <w:left w:val="none" w:sz="0" w:space="0" w:color="auto"/>
                <w:bottom w:val="none" w:sz="0" w:space="0" w:color="auto"/>
                <w:right w:val="none" w:sz="0" w:space="0" w:color="auto"/>
              </w:divBdr>
              <w:divsChild>
                <w:div w:id="54859309">
                  <w:marLeft w:val="0"/>
                  <w:marRight w:val="0"/>
                  <w:marTop w:val="0"/>
                  <w:marBottom w:val="0"/>
                  <w:divBdr>
                    <w:top w:val="none" w:sz="0" w:space="0" w:color="auto"/>
                    <w:left w:val="none" w:sz="0" w:space="0" w:color="auto"/>
                    <w:bottom w:val="none" w:sz="0" w:space="0" w:color="auto"/>
                    <w:right w:val="none" w:sz="0" w:space="0" w:color="auto"/>
                  </w:divBdr>
                  <w:divsChild>
                    <w:div w:id="327363974">
                      <w:marLeft w:val="3000"/>
                      <w:marRight w:val="0"/>
                      <w:marTop w:val="0"/>
                      <w:marBottom w:val="0"/>
                      <w:divBdr>
                        <w:top w:val="none" w:sz="0" w:space="0" w:color="auto"/>
                        <w:left w:val="none" w:sz="0" w:space="0" w:color="auto"/>
                        <w:bottom w:val="none" w:sz="0" w:space="0" w:color="auto"/>
                        <w:right w:val="none" w:sz="0" w:space="0" w:color="auto"/>
                      </w:divBdr>
                      <w:divsChild>
                        <w:div w:id="384722057">
                          <w:marLeft w:val="0"/>
                          <w:marRight w:val="0"/>
                          <w:marTop w:val="0"/>
                          <w:marBottom w:val="0"/>
                          <w:divBdr>
                            <w:top w:val="none" w:sz="0" w:space="0" w:color="auto"/>
                            <w:left w:val="none" w:sz="0" w:space="0" w:color="auto"/>
                            <w:bottom w:val="single" w:sz="48" w:space="0" w:color="FFFFFF"/>
                            <w:right w:val="none" w:sz="0" w:space="0" w:color="auto"/>
                          </w:divBdr>
                          <w:divsChild>
                            <w:div w:id="754329443">
                              <w:marLeft w:val="0"/>
                              <w:marRight w:val="0"/>
                              <w:marTop w:val="0"/>
                              <w:marBottom w:val="0"/>
                              <w:divBdr>
                                <w:top w:val="none" w:sz="0" w:space="0" w:color="auto"/>
                                <w:left w:val="none" w:sz="0" w:space="0" w:color="auto"/>
                                <w:bottom w:val="none" w:sz="0" w:space="0" w:color="auto"/>
                                <w:right w:val="none" w:sz="0" w:space="0" w:color="auto"/>
                              </w:divBdr>
                              <w:divsChild>
                                <w:div w:id="682557484">
                                  <w:marLeft w:val="0"/>
                                  <w:marRight w:val="0"/>
                                  <w:marTop w:val="0"/>
                                  <w:marBottom w:val="0"/>
                                  <w:divBdr>
                                    <w:top w:val="none" w:sz="0" w:space="0" w:color="auto"/>
                                    <w:left w:val="none" w:sz="0" w:space="0" w:color="auto"/>
                                    <w:bottom w:val="none" w:sz="0" w:space="0" w:color="auto"/>
                                    <w:right w:val="none" w:sz="0" w:space="0" w:color="auto"/>
                                  </w:divBdr>
                                  <w:divsChild>
                                    <w:div w:id="85080509">
                                      <w:marLeft w:val="0"/>
                                      <w:marRight w:val="0"/>
                                      <w:marTop w:val="0"/>
                                      <w:marBottom w:val="0"/>
                                      <w:divBdr>
                                        <w:top w:val="none" w:sz="0" w:space="0" w:color="auto"/>
                                        <w:left w:val="none" w:sz="0" w:space="0" w:color="auto"/>
                                        <w:bottom w:val="none" w:sz="0" w:space="0" w:color="auto"/>
                                        <w:right w:val="none" w:sz="0" w:space="0" w:color="auto"/>
                                      </w:divBdr>
                                      <w:divsChild>
                                        <w:div w:id="683558296">
                                          <w:marLeft w:val="0"/>
                                          <w:marRight w:val="0"/>
                                          <w:marTop w:val="0"/>
                                          <w:marBottom w:val="0"/>
                                          <w:divBdr>
                                            <w:top w:val="none" w:sz="0" w:space="0" w:color="auto"/>
                                            <w:left w:val="none" w:sz="0" w:space="0" w:color="auto"/>
                                            <w:bottom w:val="none" w:sz="0" w:space="0" w:color="auto"/>
                                            <w:right w:val="none" w:sz="0" w:space="0" w:color="auto"/>
                                          </w:divBdr>
                                          <w:divsChild>
                                            <w:div w:id="169179045">
                                              <w:marLeft w:val="0"/>
                                              <w:marRight w:val="0"/>
                                              <w:marTop w:val="0"/>
                                              <w:marBottom w:val="0"/>
                                              <w:divBdr>
                                                <w:top w:val="none" w:sz="0" w:space="0" w:color="auto"/>
                                                <w:left w:val="none" w:sz="0" w:space="0" w:color="auto"/>
                                                <w:bottom w:val="none" w:sz="0" w:space="0" w:color="auto"/>
                                                <w:right w:val="none" w:sz="0" w:space="0" w:color="auto"/>
                                              </w:divBdr>
                                              <w:divsChild>
                                                <w:div w:id="1381395721">
                                                  <w:marLeft w:val="0"/>
                                                  <w:marRight w:val="0"/>
                                                  <w:marTop w:val="0"/>
                                                  <w:marBottom w:val="0"/>
                                                  <w:divBdr>
                                                    <w:top w:val="none" w:sz="0" w:space="0" w:color="auto"/>
                                                    <w:left w:val="none" w:sz="0" w:space="0" w:color="auto"/>
                                                    <w:bottom w:val="none" w:sz="0" w:space="0" w:color="auto"/>
                                                    <w:right w:val="none" w:sz="0" w:space="0" w:color="auto"/>
                                                  </w:divBdr>
                                                  <w:divsChild>
                                                    <w:div w:id="2420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15240">
      <w:bodyDiv w:val="1"/>
      <w:marLeft w:val="0"/>
      <w:marRight w:val="0"/>
      <w:marTop w:val="0"/>
      <w:marBottom w:val="0"/>
      <w:divBdr>
        <w:top w:val="none" w:sz="0" w:space="0" w:color="auto"/>
        <w:left w:val="none" w:sz="0" w:space="0" w:color="auto"/>
        <w:bottom w:val="none" w:sz="0" w:space="0" w:color="auto"/>
        <w:right w:val="none" w:sz="0" w:space="0" w:color="auto"/>
      </w:divBdr>
      <w:divsChild>
        <w:div w:id="1223248448">
          <w:marLeft w:val="0"/>
          <w:marRight w:val="0"/>
          <w:marTop w:val="0"/>
          <w:marBottom w:val="0"/>
          <w:divBdr>
            <w:top w:val="none" w:sz="0" w:space="0" w:color="auto"/>
            <w:left w:val="none" w:sz="0" w:space="0" w:color="auto"/>
            <w:bottom w:val="none" w:sz="0" w:space="0" w:color="auto"/>
            <w:right w:val="none" w:sz="0" w:space="0" w:color="auto"/>
          </w:divBdr>
          <w:divsChild>
            <w:div w:id="2053265067">
              <w:marLeft w:val="0"/>
              <w:marRight w:val="0"/>
              <w:marTop w:val="0"/>
              <w:marBottom w:val="0"/>
              <w:divBdr>
                <w:top w:val="none" w:sz="0" w:space="0" w:color="auto"/>
                <w:left w:val="none" w:sz="0" w:space="0" w:color="auto"/>
                <w:bottom w:val="none" w:sz="0" w:space="0" w:color="auto"/>
                <w:right w:val="none" w:sz="0" w:space="0" w:color="auto"/>
              </w:divBdr>
              <w:divsChild>
                <w:div w:id="296572335">
                  <w:marLeft w:val="0"/>
                  <w:marRight w:val="0"/>
                  <w:marTop w:val="0"/>
                  <w:marBottom w:val="0"/>
                  <w:divBdr>
                    <w:top w:val="none" w:sz="0" w:space="0" w:color="auto"/>
                    <w:left w:val="none" w:sz="0" w:space="0" w:color="auto"/>
                    <w:bottom w:val="none" w:sz="0" w:space="0" w:color="auto"/>
                    <w:right w:val="none" w:sz="0" w:space="0" w:color="auto"/>
                  </w:divBdr>
                </w:div>
                <w:div w:id="742029729">
                  <w:marLeft w:val="0"/>
                  <w:marRight w:val="0"/>
                  <w:marTop w:val="0"/>
                  <w:marBottom w:val="0"/>
                  <w:divBdr>
                    <w:top w:val="none" w:sz="0" w:space="0" w:color="auto"/>
                    <w:left w:val="none" w:sz="0" w:space="0" w:color="auto"/>
                    <w:bottom w:val="none" w:sz="0" w:space="0" w:color="auto"/>
                    <w:right w:val="none" w:sz="0" w:space="0" w:color="auto"/>
                  </w:divBdr>
                  <w:divsChild>
                    <w:div w:id="1620528022">
                      <w:marLeft w:val="0"/>
                      <w:marRight w:val="0"/>
                      <w:marTop w:val="0"/>
                      <w:marBottom w:val="0"/>
                      <w:divBdr>
                        <w:top w:val="none" w:sz="0" w:space="0" w:color="auto"/>
                        <w:left w:val="none" w:sz="0" w:space="0" w:color="auto"/>
                        <w:bottom w:val="none" w:sz="0" w:space="0" w:color="auto"/>
                        <w:right w:val="none" w:sz="0" w:space="0" w:color="auto"/>
                      </w:divBdr>
                      <w:divsChild>
                        <w:div w:id="11079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7642">
      <w:bodyDiv w:val="1"/>
      <w:marLeft w:val="0"/>
      <w:marRight w:val="0"/>
      <w:marTop w:val="0"/>
      <w:marBottom w:val="0"/>
      <w:divBdr>
        <w:top w:val="none" w:sz="0" w:space="0" w:color="auto"/>
        <w:left w:val="none" w:sz="0" w:space="0" w:color="auto"/>
        <w:bottom w:val="none" w:sz="0" w:space="0" w:color="auto"/>
        <w:right w:val="none" w:sz="0" w:space="0" w:color="auto"/>
      </w:divBdr>
    </w:div>
    <w:div w:id="909464390">
      <w:bodyDiv w:val="1"/>
      <w:marLeft w:val="0"/>
      <w:marRight w:val="0"/>
      <w:marTop w:val="0"/>
      <w:marBottom w:val="0"/>
      <w:divBdr>
        <w:top w:val="none" w:sz="0" w:space="0" w:color="auto"/>
        <w:left w:val="none" w:sz="0" w:space="0" w:color="auto"/>
        <w:bottom w:val="none" w:sz="0" w:space="0" w:color="auto"/>
        <w:right w:val="none" w:sz="0" w:space="0" w:color="auto"/>
      </w:divBdr>
      <w:divsChild>
        <w:div w:id="405340471">
          <w:marLeft w:val="0"/>
          <w:marRight w:val="0"/>
          <w:marTop w:val="0"/>
          <w:marBottom w:val="0"/>
          <w:divBdr>
            <w:top w:val="none" w:sz="0" w:space="0" w:color="auto"/>
            <w:left w:val="none" w:sz="0" w:space="0" w:color="auto"/>
            <w:bottom w:val="none" w:sz="0" w:space="0" w:color="auto"/>
            <w:right w:val="none" w:sz="0" w:space="0" w:color="auto"/>
          </w:divBdr>
          <w:divsChild>
            <w:div w:id="1082068700">
              <w:marLeft w:val="0"/>
              <w:marRight w:val="0"/>
              <w:marTop w:val="0"/>
              <w:marBottom w:val="0"/>
              <w:divBdr>
                <w:top w:val="none" w:sz="0" w:space="0" w:color="auto"/>
                <w:left w:val="none" w:sz="0" w:space="0" w:color="auto"/>
                <w:bottom w:val="none" w:sz="0" w:space="0" w:color="auto"/>
                <w:right w:val="none" w:sz="0" w:space="0" w:color="auto"/>
              </w:divBdr>
              <w:divsChild>
                <w:div w:id="569465897">
                  <w:marLeft w:val="0"/>
                  <w:marRight w:val="0"/>
                  <w:marTop w:val="0"/>
                  <w:marBottom w:val="0"/>
                  <w:divBdr>
                    <w:top w:val="none" w:sz="0" w:space="0" w:color="auto"/>
                    <w:left w:val="none" w:sz="0" w:space="0" w:color="auto"/>
                    <w:bottom w:val="none" w:sz="0" w:space="0" w:color="auto"/>
                    <w:right w:val="none" w:sz="0" w:space="0" w:color="auto"/>
                  </w:divBdr>
                  <w:divsChild>
                    <w:div w:id="2011594461">
                      <w:marLeft w:val="0"/>
                      <w:marRight w:val="0"/>
                      <w:marTop w:val="0"/>
                      <w:marBottom w:val="0"/>
                      <w:divBdr>
                        <w:top w:val="none" w:sz="0" w:space="0" w:color="auto"/>
                        <w:left w:val="none" w:sz="0" w:space="0" w:color="auto"/>
                        <w:bottom w:val="none" w:sz="0" w:space="0" w:color="auto"/>
                        <w:right w:val="none" w:sz="0" w:space="0" w:color="auto"/>
                      </w:divBdr>
                      <w:divsChild>
                        <w:div w:id="2141879578">
                          <w:marLeft w:val="0"/>
                          <w:marRight w:val="0"/>
                          <w:marTop w:val="0"/>
                          <w:marBottom w:val="0"/>
                          <w:divBdr>
                            <w:top w:val="none" w:sz="0" w:space="0" w:color="auto"/>
                            <w:left w:val="none" w:sz="0" w:space="0" w:color="auto"/>
                            <w:bottom w:val="none" w:sz="0" w:space="0" w:color="auto"/>
                            <w:right w:val="none" w:sz="0" w:space="0" w:color="auto"/>
                          </w:divBdr>
                          <w:divsChild>
                            <w:div w:id="366415673">
                              <w:marLeft w:val="0"/>
                              <w:marRight w:val="0"/>
                              <w:marTop w:val="0"/>
                              <w:marBottom w:val="0"/>
                              <w:divBdr>
                                <w:top w:val="none" w:sz="0" w:space="0" w:color="auto"/>
                                <w:left w:val="none" w:sz="0" w:space="0" w:color="auto"/>
                                <w:bottom w:val="none" w:sz="0" w:space="0" w:color="auto"/>
                                <w:right w:val="none" w:sz="0" w:space="0" w:color="auto"/>
                              </w:divBdr>
                              <w:divsChild>
                                <w:div w:id="1611159795">
                                  <w:marLeft w:val="0"/>
                                  <w:marRight w:val="0"/>
                                  <w:marTop w:val="0"/>
                                  <w:marBottom w:val="0"/>
                                  <w:divBdr>
                                    <w:top w:val="none" w:sz="0" w:space="0" w:color="auto"/>
                                    <w:left w:val="none" w:sz="0" w:space="0" w:color="auto"/>
                                    <w:bottom w:val="none" w:sz="0" w:space="0" w:color="auto"/>
                                    <w:right w:val="none" w:sz="0" w:space="0" w:color="auto"/>
                                  </w:divBdr>
                                  <w:divsChild>
                                    <w:div w:id="5013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958048">
      <w:bodyDiv w:val="1"/>
      <w:marLeft w:val="0"/>
      <w:marRight w:val="0"/>
      <w:marTop w:val="0"/>
      <w:marBottom w:val="0"/>
      <w:divBdr>
        <w:top w:val="none" w:sz="0" w:space="0" w:color="auto"/>
        <w:left w:val="none" w:sz="0" w:space="0" w:color="auto"/>
        <w:bottom w:val="none" w:sz="0" w:space="0" w:color="auto"/>
        <w:right w:val="none" w:sz="0" w:space="0" w:color="auto"/>
      </w:divBdr>
      <w:divsChild>
        <w:div w:id="538594828">
          <w:marLeft w:val="0"/>
          <w:marRight w:val="0"/>
          <w:marTop w:val="0"/>
          <w:marBottom w:val="0"/>
          <w:divBdr>
            <w:top w:val="none" w:sz="0" w:space="0" w:color="auto"/>
            <w:left w:val="none" w:sz="0" w:space="0" w:color="auto"/>
            <w:bottom w:val="none" w:sz="0" w:space="0" w:color="auto"/>
            <w:right w:val="none" w:sz="0" w:space="0" w:color="auto"/>
          </w:divBdr>
          <w:divsChild>
            <w:div w:id="1628117872">
              <w:marLeft w:val="0"/>
              <w:marRight w:val="0"/>
              <w:marTop w:val="0"/>
              <w:marBottom w:val="0"/>
              <w:divBdr>
                <w:top w:val="none" w:sz="0" w:space="0" w:color="auto"/>
                <w:left w:val="none" w:sz="0" w:space="0" w:color="auto"/>
                <w:bottom w:val="none" w:sz="0" w:space="0" w:color="auto"/>
                <w:right w:val="none" w:sz="0" w:space="0" w:color="auto"/>
              </w:divBdr>
              <w:divsChild>
                <w:div w:id="1497453733">
                  <w:marLeft w:val="0"/>
                  <w:marRight w:val="0"/>
                  <w:marTop w:val="0"/>
                  <w:marBottom w:val="0"/>
                  <w:divBdr>
                    <w:top w:val="none" w:sz="0" w:space="0" w:color="auto"/>
                    <w:left w:val="none" w:sz="0" w:space="0" w:color="auto"/>
                    <w:bottom w:val="none" w:sz="0" w:space="0" w:color="auto"/>
                    <w:right w:val="none" w:sz="0" w:space="0" w:color="auto"/>
                  </w:divBdr>
                  <w:divsChild>
                    <w:div w:id="9306394">
                      <w:marLeft w:val="3000"/>
                      <w:marRight w:val="0"/>
                      <w:marTop w:val="0"/>
                      <w:marBottom w:val="0"/>
                      <w:divBdr>
                        <w:top w:val="none" w:sz="0" w:space="0" w:color="auto"/>
                        <w:left w:val="none" w:sz="0" w:space="0" w:color="auto"/>
                        <w:bottom w:val="none" w:sz="0" w:space="0" w:color="auto"/>
                        <w:right w:val="none" w:sz="0" w:space="0" w:color="auto"/>
                      </w:divBdr>
                      <w:divsChild>
                        <w:div w:id="1779989316">
                          <w:marLeft w:val="0"/>
                          <w:marRight w:val="0"/>
                          <w:marTop w:val="0"/>
                          <w:marBottom w:val="0"/>
                          <w:divBdr>
                            <w:top w:val="none" w:sz="0" w:space="0" w:color="auto"/>
                            <w:left w:val="none" w:sz="0" w:space="0" w:color="auto"/>
                            <w:bottom w:val="single" w:sz="48" w:space="0" w:color="FFFFFF"/>
                            <w:right w:val="none" w:sz="0" w:space="0" w:color="auto"/>
                          </w:divBdr>
                          <w:divsChild>
                            <w:div w:id="1859272274">
                              <w:marLeft w:val="0"/>
                              <w:marRight w:val="0"/>
                              <w:marTop w:val="0"/>
                              <w:marBottom w:val="0"/>
                              <w:divBdr>
                                <w:top w:val="none" w:sz="0" w:space="0" w:color="auto"/>
                                <w:left w:val="none" w:sz="0" w:space="0" w:color="auto"/>
                                <w:bottom w:val="none" w:sz="0" w:space="0" w:color="auto"/>
                                <w:right w:val="none" w:sz="0" w:space="0" w:color="auto"/>
                              </w:divBdr>
                              <w:divsChild>
                                <w:div w:id="147718814">
                                  <w:marLeft w:val="0"/>
                                  <w:marRight w:val="0"/>
                                  <w:marTop w:val="0"/>
                                  <w:marBottom w:val="0"/>
                                  <w:divBdr>
                                    <w:top w:val="none" w:sz="0" w:space="0" w:color="auto"/>
                                    <w:left w:val="none" w:sz="0" w:space="0" w:color="auto"/>
                                    <w:bottom w:val="none" w:sz="0" w:space="0" w:color="auto"/>
                                    <w:right w:val="none" w:sz="0" w:space="0" w:color="auto"/>
                                  </w:divBdr>
                                  <w:divsChild>
                                    <w:div w:id="907573377">
                                      <w:marLeft w:val="0"/>
                                      <w:marRight w:val="0"/>
                                      <w:marTop w:val="0"/>
                                      <w:marBottom w:val="0"/>
                                      <w:divBdr>
                                        <w:top w:val="none" w:sz="0" w:space="0" w:color="auto"/>
                                        <w:left w:val="none" w:sz="0" w:space="0" w:color="auto"/>
                                        <w:bottom w:val="none" w:sz="0" w:space="0" w:color="auto"/>
                                        <w:right w:val="none" w:sz="0" w:space="0" w:color="auto"/>
                                      </w:divBdr>
                                      <w:divsChild>
                                        <w:div w:id="1379471426">
                                          <w:marLeft w:val="0"/>
                                          <w:marRight w:val="0"/>
                                          <w:marTop w:val="0"/>
                                          <w:marBottom w:val="0"/>
                                          <w:divBdr>
                                            <w:top w:val="none" w:sz="0" w:space="0" w:color="auto"/>
                                            <w:left w:val="none" w:sz="0" w:space="0" w:color="auto"/>
                                            <w:bottom w:val="none" w:sz="0" w:space="0" w:color="auto"/>
                                            <w:right w:val="none" w:sz="0" w:space="0" w:color="auto"/>
                                          </w:divBdr>
                                          <w:divsChild>
                                            <w:div w:id="1077674036">
                                              <w:marLeft w:val="0"/>
                                              <w:marRight w:val="0"/>
                                              <w:marTop w:val="0"/>
                                              <w:marBottom w:val="0"/>
                                              <w:divBdr>
                                                <w:top w:val="none" w:sz="0" w:space="0" w:color="auto"/>
                                                <w:left w:val="none" w:sz="0" w:space="0" w:color="auto"/>
                                                <w:bottom w:val="none" w:sz="0" w:space="0" w:color="auto"/>
                                                <w:right w:val="none" w:sz="0" w:space="0" w:color="auto"/>
                                              </w:divBdr>
                                              <w:divsChild>
                                                <w:div w:id="946497622">
                                                  <w:marLeft w:val="0"/>
                                                  <w:marRight w:val="0"/>
                                                  <w:marTop w:val="0"/>
                                                  <w:marBottom w:val="0"/>
                                                  <w:divBdr>
                                                    <w:top w:val="none" w:sz="0" w:space="0" w:color="auto"/>
                                                    <w:left w:val="none" w:sz="0" w:space="0" w:color="auto"/>
                                                    <w:bottom w:val="none" w:sz="0" w:space="0" w:color="auto"/>
                                                    <w:right w:val="none" w:sz="0" w:space="0" w:color="auto"/>
                                                  </w:divBdr>
                                                  <w:divsChild>
                                                    <w:div w:id="1551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6778011">
      <w:bodyDiv w:val="1"/>
      <w:marLeft w:val="0"/>
      <w:marRight w:val="0"/>
      <w:marTop w:val="0"/>
      <w:marBottom w:val="0"/>
      <w:divBdr>
        <w:top w:val="none" w:sz="0" w:space="0" w:color="auto"/>
        <w:left w:val="none" w:sz="0" w:space="0" w:color="auto"/>
        <w:bottom w:val="none" w:sz="0" w:space="0" w:color="auto"/>
        <w:right w:val="none" w:sz="0" w:space="0" w:color="auto"/>
      </w:divBdr>
      <w:divsChild>
        <w:div w:id="1698502483">
          <w:marLeft w:val="0"/>
          <w:marRight w:val="0"/>
          <w:marTop w:val="0"/>
          <w:marBottom w:val="0"/>
          <w:divBdr>
            <w:top w:val="none" w:sz="0" w:space="0" w:color="auto"/>
            <w:left w:val="none" w:sz="0" w:space="0" w:color="auto"/>
            <w:bottom w:val="none" w:sz="0" w:space="0" w:color="auto"/>
            <w:right w:val="none" w:sz="0" w:space="0" w:color="auto"/>
          </w:divBdr>
          <w:divsChild>
            <w:div w:id="1844707461">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300"/>
                  <w:marTop w:val="0"/>
                  <w:marBottom w:val="0"/>
                  <w:divBdr>
                    <w:top w:val="none" w:sz="0" w:space="0" w:color="auto"/>
                    <w:left w:val="none" w:sz="0" w:space="0" w:color="auto"/>
                    <w:bottom w:val="none" w:sz="0" w:space="0" w:color="auto"/>
                    <w:right w:val="none" w:sz="0" w:space="0" w:color="auto"/>
                  </w:divBdr>
                  <w:divsChild>
                    <w:div w:id="1598757718">
                      <w:marLeft w:val="0"/>
                      <w:marRight w:val="0"/>
                      <w:marTop w:val="0"/>
                      <w:marBottom w:val="0"/>
                      <w:divBdr>
                        <w:top w:val="none" w:sz="0" w:space="0" w:color="auto"/>
                        <w:left w:val="none" w:sz="0" w:space="0" w:color="auto"/>
                        <w:bottom w:val="none" w:sz="0" w:space="0" w:color="auto"/>
                        <w:right w:val="none" w:sz="0" w:space="0" w:color="auto"/>
                      </w:divBdr>
                      <w:divsChild>
                        <w:div w:id="238028873">
                          <w:marLeft w:val="0"/>
                          <w:marRight w:val="0"/>
                          <w:marTop w:val="0"/>
                          <w:marBottom w:val="0"/>
                          <w:divBdr>
                            <w:top w:val="none" w:sz="0" w:space="0" w:color="auto"/>
                            <w:left w:val="none" w:sz="0" w:space="0" w:color="auto"/>
                            <w:bottom w:val="none" w:sz="0" w:space="0" w:color="auto"/>
                            <w:right w:val="none" w:sz="0" w:space="0" w:color="auto"/>
                          </w:divBdr>
                          <w:divsChild>
                            <w:div w:id="1188443977">
                              <w:marLeft w:val="0"/>
                              <w:marRight w:val="0"/>
                              <w:marTop w:val="0"/>
                              <w:marBottom w:val="0"/>
                              <w:divBdr>
                                <w:top w:val="none" w:sz="0" w:space="0" w:color="auto"/>
                                <w:left w:val="none" w:sz="0" w:space="0" w:color="auto"/>
                                <w:bottom w:val="none" w:sz="0" w:space="0" w:color="auto"/>
                                <w:right w:val="none" w:sz="0" w:space="0" w:color="auto"/>
                              </w:divBdr>
                              <w:divsChild>
                                <w:div w:id="451555163">
                                  <w:marLeft w:val="0"/>
                                  <w:marRight w:val="0"/>
                                  <w:marTop w:val="0"/>
                                  <w:marBottom w:val="0"/>
                                  <w:divBdr>
                                    <w:top w:val="none" w:sz="0" w:space="0" w:color="auto"/>
                                    <w:left w:val="none" w:sz="0" w:space="0" w:color="auto"/>
                                    <w:bottom w:val="none" w:sz="0" w:space="0" w:color="auto"/>
                                    <w:right w:val="none" w:sz="0" w:space="0" w:color="auto"/>
                                  </w:divBdr>
                                  <w:divsChild>
                                    <w:div w:id="661662317">
                                      <w:marLeft w:val="0"/>
                                      <w:marRight w:val="0"/>
                                      <w:marTop w:val="0"/>
                                      <w:marBottom w:val="0"/>
                                      <w:divBdr>
                                        <w:top w:val="none" w:sz="0" w:space="0" w:color="auto"/>
                                        <w:left w:val="none" w:sz="0" w:space="0" w:color="auto"/>
                                        <w:bottom w:val="none" w:sz="0" w:space="0" w:color="auto"/>
                                        <w:right w:val="none" w:sz="0" w:space="0" w:color="auto"/>
                                      </w:divBdr>
                                      <w:divsChild>
                                        <w:div w:id="2052604583">
                                          <w:marLeft w:val="0"/>
                                          <w:marRight w:val="0"/>
                                          <w:marTop w:val="0"/>
                                          <w:marBottom w:val="0"/>
                                          <w:divBdr>
                                            <w:top w:val="none" w:sz="0" w:space="0" w:color="auto"/>
                                            <w:left w:val="none" w:sz="0" w:space="0" w:color="auto"/>
                                            <w:bottom w:val="none" w:sz="0" w:space="0" w:color="auto"/>
                                            <w:right w:val="none" w:sz="0" w:space="0" w:color="auto"/>
                                          </w:divBdr>
                                          <w:divsChild>
                                            <w:div w:id="1592592087">
                                              <w:marLeft w:val="0"/>
                                              <w:marRight w:val="0"/>
                                              <w:marTop w:val="0"/>
                                              <w:marBottom w:val="0"/>
                                              <w:divBdr>
                                                <w:top w:val="none" w:sz="0" w:space="0" w:color="auto"/>
                                                <w:left w:val="none" w:sz="0" w:space="0" w:color="auto"/>
                                                <w:bottom w:val="none" w:sz="0" w:space="0" w:color="auto"/>
                                                <w:right w:val="none" w:sz="0" w:space="0" w:color="auto"/>
                                              </w:divBdr>
                                              <w:divsChild>
                                                <w:div w:id="1280185888">
                                                  <w:marLeft w:val="0"/>
                                                  <w:marRight w:val="0"/>
                                                  <w:marTop w:val="0"/>
                                                  <w:marBottom w:val="0"/>
                                                  <w:divBdr>
                                                    <w:top w:val="none" w:sz="0" w:space="0" w:color="auto"/>
                                                    <w:left w:val="none" w:sz="0" w:space="0" w:color="auto"/>
                                                    <w:bottom w:val="none" w:sz="0" w:space="0" w:color="auto"/>
                                                    <w:right w:val="none" w:sz="0" w:space="0" w:color="auto"/>
                                                  </w:divBdr>
                                                  <w:divsChild>
                                                    <w:div w:id="345719231">
                                                      <w:marLeft w:val="0"/>
                                                      <w:marRight w:val="0"/>
                                                      <w:marTop w:val="0"/>
                                                      <w:marBottom w:val="0"/>
                                                      <w:divBdr>
                                                        <w:top w:val="none" w:sz="0" w:space="0" w:color="auto"/>
                                                        <w:left w:val="none" w:sz="0" w:space="0" w:color="auto"/>
                                                        <w:bottom w:val="none" w:sz="0" w:space="0" w:color="auto"/>
                                                        <w:right w:val="none" w:sz="0" w:space="0" w:color="auto"/>
                                                      </w:divBdr>
                                                    </w:div>
                                                    <w:div w:id="15003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700430">
      <w:bodyDiv w:val="1"/>
      <w:marLeft w:val="0"/>
      <w:marRight w:val="0"/>
      <w:marTop w:val="0"/>
      <w:marBottom w:val="0"/>
      <w:divBdr>
        <w:top w:val="none" w:sz="0" w:space="0" w:color="auto"/>
        <w:left w:val="none" w:sz="0" w:space="0" w:color="auto"/>
        <w:bottom w:val="none" w:sz="0" w:space="0" w:color="auto"/>
        <w:right w:val="none" w:sz="0" w:space="0" w:color="auto"/>
      </w:divBdr>
      <w:divsChild>
        <w:div w:id="2013335235">
          <w:marLeft w:val="0"/>
          <w:marRight w:val="0"/>
          <w:marTop w:val="0"/>
          <w:marBottom w:val="0"/>
          <w:divBdr>
            <w:top w:val="none" w:sz="0" w:space="0" w:color="auto"/>
            <w:left w:val="none" w:sz="0" w:space="0" w:color="auto"/>
            <w:bottom w:val="none" w:sz="0" w:space="0" w:color="auto"/>
            <w:right w:val="none" w:sz="0" w:space="0" w:color="auto"/>
          </w:divBdr>
          <w:divsChild>
            <w:div w:id="1230766310">
              <w:marLeft w:val="0"/>
              <w:marRight w:val="0"/>
              <w:marTop w:val="0"/>
              <w:marBottom w:val="0"/>
              <w:divBdr>
                <w:top w:val="none" w:sz="0" w:space="0" w:color="auto"/>
                <w:left w:val="none" w:sz="0" w:space="0" w:color="auto"/>
                <w:bottom w:val="none" w:sz="0" w:space="0" w:color="auto"/>
                <w:right w:val="none" w:sz="0" w:space="0" w:color="auto"/>
              </w:divBdr>
              <w:divsChild>
                <w:div w:id="1465731559">
                  <w:marLeft w:val="0"/>
                  <w:marRight w:val="300"/>
                  <w:marTop w:val="0"/>
                  <w:marBottom w:val="0"/>
                  <w:divBdr>
                    <w:top w:val="none" w:sz="0" w:space="0" w:color="auto"/>
                    <w:left w:val="none" w:sz="0" w:space="0" w:color="auto"/>
                    <w:bottom w:val="none" w:sz="0" w:space="0" w:color="auto"/>
                    <w:right w:val="none" w:sz="0" w:space="0" w:color="auto"/>
                  </w:divBdr>
                  <w:divsChild>
                    <w:div w:id="653728478">
                      <w:marLeft w:val="0"/>
                      <w:marRight w:val="0"/>
                      <w:marTop w:val="0"/>
                      <w:marBottom w:val="0"/>
                      <w:divBdr>
                        <w:top w:val="none" w:sz="0" w:space="0" w:color="auto"/>
                        <w:left w:val="none" w:sz="0" w:space="0" w:color="auto"/>
                        <w:bottom w:val="none" w:sz="0" w:space="0" w:color="auto"/>
                        <w:right w:val="none" w:sz="0" w:space="0" w:color="auto"/>
                      </w:divBdr>
                      <w:divsChild>
                        <w:div w:id="497308115">
                          <w:marLeft w:val="0"/>
                          <w:marRight w:val="0"/>
                          <w:marTop w:val="0"/>
                          <w:marBottom w:val="0"/>
                          <w:divBdr>
                            <w:top w:val="none" w:sz="0" w:space="0" w:color="auto"/>
                            <w:left w:val="none" w:sz="0" w:space="0" w:color="auto"/>
                            <w:bottom w:val="none" w:sz="0" w:space="0" w:color="auto"/>
                            <w:right w:val="none" w:sz="0" w:space="0" w:color="auto"/>
                          </w:divBdr>
                          <w:divsChild>
                            <w:div w:id="1413697505">
                              <w:marLeft w:val="0"/>
                              <w:marRight w:val="0"/>
                              <w:marTop w:val="0"/>
                              <w:marBottom w:val="0"/>
                              <w:divBdr>
                                <w:top w:val="none" w:sz="0" w:space="0" w:color="auto"/>
                                <w:left w:val="none" w:sz="0" w:space="0" w:color="auto"/>
                                <w:bottom w:val="none" w:sz="0" w:space="0" w:color="auto"/>
                                <w:right w:val="none" w:sz="0" w:space="0" w:color="auto"/>
                              </w:divBdr>
                              <w:divsChild>
                                <w:div w:id="2144274978">
                                  <w:marLeft w:val="0"/>
                                  <w:marRight w:val="0"/>
                                  <w:marTop w:val="0"/>
                                  <w:marBottom w:val="0"/>
                                  <w:divBdr>
                                    <w:top w:val="none" w:sz="0" w:space="0" w:color="auto"/>
                                    <w:left w:val="none" w:sz="0" w:space="0" w:color="auto"/>
                                    <w:bottom w:val="none" w:sz="0" w:space="0" w:color="auto"/>
                                    <w:right w:val="none" w:sz="0" w:space="0" w:color="auto"/>
                                  </w:divBdr>
                                  <w:divsChild>
                                    <w:div w:id="1540623521">
                                      <w:marLeft w:val="0"/>
                                      <w:marRight w:val="0"/>
                                      <w:marTop w:val="0"/>
                                      <w:marBottom w:val="0"/>
                                      <w:divBdr>
                                        <w:top w:val="none" w:sz="0" w:space="0" w:color="auto"/>
                                        <w:left w:val="none" w:sz="0" w:space="0" w:color="auto"/>
                                        <w:bottom w:val="none" w:sz="0" w:space="0" w:color="auto"/>
                                        <w:right w:val="none" w:sz="0" w:space="0" w:color="auto"/>
                                      </w:divBdr>
                                      <w:divsChild>
                                        <w:div w:id="944653759">
                                          <w:marLeft w:val="0"/>
                                          <w:marRight w:val="0"/>
                                          <w:marTop w:val="0"/>
                                          <w:marBottom w:val="0"/>
                                          <w:divBdr>
                                            <w:top w:val="none" w:sz="0" w:space="0" w:color="auto"/>
                                            <w:left w:val="none" w:sz="0" w:space="0" w:color="auto"/>
                                            <w:bottom w:val="none" w:sz="0" w:space="0" w:color="auto"/>
                                            <w:right w:val="none" w:sz="0" w:space="0" w:color="auto"/>
                                          </w:divBdr>
                                          <w:divsChild>
                                            <w:div w:id="2006281812">
                                              <w:marLeft w:val="0"/>
                                              <w:marRight w:val="0"/>
                                              <w:marTop w:val="0"/>
                                              <w:marBottom w:val="0"/>
                                              <w:divBdr>
                                                <w:top w:val="none" w:sz="0" w:space="0" w:color="auto"/>
                                                <w:left w:val="none" w:sz="0" w:space="0" w:color="auto"/>
                                                <w:bottom w:val="none" w:sz="0" w:space="0" w:color="auto"/>
                                                <w:right w:val="none" w:sz="0" w:space="0" w:color="auto"/>
                                              </w:divBdr>
                                              <w:divsChild>
                                                <w:div w:id="1288661660">
                                                  <w:marLeft w:val="0"/>
                                                  <w:marRight w:val="0"/>
                                                  <w:marTop w:val="0"/>
                                                  <w:marBottom w:val="0"/>
                                                  <w:divBdr>
                                                    <w:top w:val="none" w:sz="0" w:space="0" w:color="auto"/>
                                                    <w:left w:val="none" w:sz="0" w:space="0" w:color="auto"/>
                                                    <w:bottom w:val="none" w:sz="0" w:space="0" w:color="auto"/>
                                                    <w:right w:val="none" w:sz="0" w:space="0" w:color="auto"/>
                                                  </w:divBdr>
                                                  <w:divsChild>
                                                    <w:div w:id="1266378034">
                                                      <w:marLeft w:val="0"/>
                                                      <w:marRight w:val="0"/>
                                                      <w:marTop w:val="0"/>
                                                      <w:marBottom w:val="0"/>
                                                      <w:divBdr>
                                                        <w:top w:val="none" w:sz="0" w:space="0" w:color="auto"/>
                                                        <w:left w:val="none" w:sz="0" w:space="0" w:color="auto"/>
                                                        <w:bottom w:val="none" w:sz="0" w:space="0" w:color="auto"/>
                                                        <w:right w:val="none" w:sz="0" w:space="0" w:color="auto"/>
                                                      </w:divBdr>
                                                    </w:div>
                                                    <w:div w:id="13613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324006">
      <w:bodyDiv w:val="1"/>
      <w:marLeft w:val="0"/>
      <w:marRight w:val="0"/>
      <w:marTop w:val="0"/>
      <w:marBottom w:val="0"/>
      <w:divBdr>
        <w:top w:val="none" w:sz="0" w:space="0" w:color="auto"/>
        <w:left w:val="none" w:sz="0" w:space="0" w:color="auto"/>
        <w:bottom w:val="none" w:sz="0" w:space="0" w:color="auto"/>
        <w:right w:val="none" w:sz="0" w:space="0" w:color="auto"/>
      </w:divBdr>
      <w:divsChild>
        <w:div w:id="1605260059">
          <w:marLeft w:val="0"/>
          <w:marRight w:val="0"/>
          <w:marTop w:val="0"/>
          <w:marBottom w:val="0"/>
          <w:divBdr>
            <w:top w:val="none" w:sz="0" w:space="0" w:color="auto"/>
            <w:left w:val="none" w:sz="0" w:space="0" w:color="auto"/>
            <w:bottom w:val="none" w:sz="0" w:space="0" w:color="auto"/>
            <w:right w:val="none" w:sz="0" w:space="0" w:color="auto"/>
          </w:divBdr>
          <w:divsChild>
            <w:div w:id="1039621402">
              <w:marLeft w:val="0"/>
              <w:marRight w:val="0"/>
              <w:marTop w:val="0"/>
              <w:marBottom w:val="0"/>
              <w:divBdr>
                <w:top w:val="none" w:sz="0" w:space="0" w:color="auto"/>
                <w:left w:val="none" w:sz="0" w:space="0" w:color="auto"/>
                <w:bottom w:val="none" w:sz="0" w:space="0" w:color="auto"/>
                <w:right w:val="none" w:sz="0" w:space="0" w:color="auto"/>
              </w:divBdr>
              <w:divsChild>
                <w:div w:id="45689650">
                  <w:marLeft w:val="0"/>
                  <w:marRight w:val="300"/>
                  <w:marTop w:val="0"/>
                  <w:marBottom w:val="0"/>
                  <w:divBdr>
                    <w:top w:val="none" w:sz="0" w:space="0" w:color="auto"/>
                    <w:left w:val="none" w:sz="0" w:space="0" w:color="auto"/>
                    <w:bottom w:val="none" w:sz="0" w:space="0" w:color="auto"/>
                    <w:right w:val="none" w:sz="0" w:space="0" w:color="auto"/>
                  </w:divBdr>
                  <w:divsChild>
                    <w:div w:id="1698580708">
                      <w:marLeft w:val="0"/>
                      <w:marRight w:val="0"/>
                      <w:marTop w:val="0"/>
                      <w:marBottom w:val="0"/>
                      <w:divBdr>
                        <w:top w:val="none" w:sz="0" w:space="0" w:color="auto"/>
                        <w:left w:val="none" w:sz="0" w:space="0" w:color="auto"/>
                        <w:bottom w:val="none" w:sz="0" w:space="0" w:color="auto"/>
                        <w:right w:val="none" w:sz="0" w:space="0" w:color="auto"/>
                      </w:divBdr>
                      <w:divsChild>
                        <w:div w:id="2077238290">
                          <w:marLeft w:val="0"/>
                          <w:marRight w:val="0"/>
                          <w:marTop w:val="0"/>
                          <w:marBottom w:val="0"/>
                          <w:divBdr>
                            <w:top w:val="none" w:sz="0" w:space="0" w:color="auto"/>
                            <w:left w:val="none" w:sz="0" w:space="0" w:color="auto"/>
                            <w:bottom w:val="none" w:sz="0" w:space="0" w:color="auto"/>
                            <w:right w:val="none" w:sz="0" w:space="0" w:color="auto"/>
                          </w:divBdr>
                          <w:divsChild>
                            <w:div w:id="1530412920">
                              <w:marLeft w:val="0"/>
                              <w:marRight w:val="0"/>
                              <w:marTop w:val="0"/>
                              <w:marBottom w:val="0"/>
                              <w:divBdr>
                                <w:top w:val="none" w:sz="0" w:space="0" w:color="auto"/>
                                <w:left w:val="none" w:sz="0" w:space="0" w:color="auto"/>
                                <w:bottom w:val="none" w:sz="0" w:space="0" w:color="auto"/>
                                <w:right w:val="none" w:sz="0" w:space="0" w:color="auto"/>
                              </w:divBdr>
                              <w:divsChild>
                                <w:div w:id="999887665">
                                  <w:marLeft w:val="0"/>
                                  <w:marRight w:val="0"/>
                                  <w:marTop w:val="0"/>
                                  <w:marBottom w:val="0"/>
                                  <w:divBdr>
                                    <w:top w:val="none" w:sz="0" w:space="0" w:color="auto"/>
                                    <w:left w:val="none" w:sz="0" w:space="0" w:color="auto"/>
                                    <w:bottom w:val="none" w:sz="0" w:space="0" w:color="auto"/>
                                    <w:right w:val="none" w:sz="0" w:space="0" w:color="auto"/>
                                  </w:divBdr>
                                  <w:divsChild>
                                    <w:div w:id="1847404908">
                                      <w:marLeft w:val="0"/>
                                      <w:marRight w:val="0"/>
                                      <w:marTop w:val="0"/>
                                      <w:marBottom w:val="0"/>
                                      <w:divBdr>
                                        <w:top w:val="none" w:sz="0" w:space="0" w:color="auto"/>
                                        <w:left w:val="none" w:sz="0" w:space="0" w:color="auto"/>
                                        <w:bottom w:val="none" w:sz="0" w:space="0" w:color="auto"/>
                                        <w:right w:val="none" w:sz="0" w:space="0" w:color="auto"/>
                                      </w:divBdr>
                                      <w:divsChild>
                                        <w:div w:id="1092817560">
                                          <w:marLeft w:val="0"/>
                                          <w:marRight w:val="0"/>
                                          <w:marTop w:val="0"/>
                                          <w:marBottom w:val="0"/>
                                          <w:divBdr>
                                            <w:top w:val="none" w:sz="0" w:space="0" w:color="auto"/>
                                            <w:left w:val="none" w:sz="0" w:space="0" w:color="auto"/>
                                            <w:bottom w:val="none" w:sz="0" w:space="0" w:color="auto"/>
                                            <w:right w:val="none" w:sz="0" w:space="0" w:color="auto"/>
                                          </w:divBdr>
                                          <w:divsChild>
                                            <w:div w:id="284238402">
                                              <w:marLeft w:val="0"/>
                                              <w:marRight w:val="0"/>
                                              <w:marTop w:val="0"/>
                                              <w:marBottom w:val="0"/>
                                              <w:divBdr>
                                                <w:top w:val="none" w:sz="0" w:space="0" w:color="auto"/>
                                                <w:left w:val="none" w:sz="0" w:space="0" w:color="auto"/>
                                                <w:bottom w:val="none" w:sz="0" w:space="0" w:color="auto"/>
                                                <w:right w:val="none" w:sz="0" w:space="0" w:color="auto"/>
                                              </w:divBdr>
                                              <w:divsChild>
                                                <w:div w:id="1661617554">
                                                  <w:marLeft w:val="0"/>
                                                  <w:marRight w:val="0"/>
                                                  <w:marTop w:val="0"/>
                                                  <w:marBottom w:val="0"/>
                                                  <w:divBdr>
                                                    <w:top w:val="none" w:sz="0" w:space="0" w:color="auto"/>
                                                    <w:left w:val="none" w:sz="0" w:space="0" w:color="auto"/>
                                                    <w:bottom w:val="none" w:sz="0" w:space="0" w:color="auto"/>
                                                    <w:right w:val="none" w:sz="0" w:space="0" w:color="auto"/>
                                                  </w:divBdr>
                                                  <w:divsChild>
                                                    <w:div w:id="563957110">
                                                      <w:marLeft w:val="0"/>
                                                      <w:marRight w:val="0"/>
                                                      <w:marTop w:val="0"/>
                                                      <w:marBottom w:val="0"/>
                                                      <w:divBdr>
                                                        <w:top w:val="none" w:sz="0" w:space="0" w:color="auto"/>
                                                        <w:left w:val="none" w:sz="0" w:space="0" w:color="auto"/>
                                                        <w:bottom w:val="none" w:sz="0" w:space="0" w:color="auto"/>
                                                        <w:right w:val="none" w:sz="0" w:space="0" w:color="auto"/>
                                                      </w:divBdr>
                                                    </w:div>
                                                    <w:div w:id="12596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496359">
      <w:bodyDiv w:val="1"/>
      <w:marLeft w:val="0"/>
      <w:marRight w:val="0"/>
      <w:marTop w:val="0"/>
      <w:marBottom w:val="0"/>
      <w:divBdr>
        <w:top w:val="none" w:sz="0" w:space="0" w:color="auto"/>
        <w:left w:val="none" w:sz="0" w:space="0" w:color="auto"/>
        <w:bottom w:val="none" w:sz="0" w:space="0" w:color="auto"/>
        <w:right w:val="none" w:sz="0" w:space="0" w:color="auto"/>
      </w:divBdr>
    </w:div>
    <w:div w:id="19247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meetings/cop/cop-13/official/cop-13-11-rev1-f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cop-13/cop-13-dec-20-fr.pdf" TargetMode="External"/><Relationship Id="rId17" Type="http://schemas.openxmlformats.org/officeDocument/2006/relationships/hyperlink" Target="https://www.iccaconsortium.org/" TargetMode="External"/><Relationship Id="rId2" Type="http://schemas.openxmlformats.org/officeDocument/2006/relationships/numbering" Target="numbering.xml"/><Relationship Id="rId16" Type="http://schemas.openxmlformats.org/officeDocument/2006/relationships/hyperlink" Target="http://globalforestcoaliti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3-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recommendations/wg8j-10/wg8j-10-rec-04-f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c/5ae3/177a/9c20f79d172c5eec0cd6e0a6/wg8j-10-05-fr.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3/cop-13-dec-20-fr.pdf" TargetMode="External"/><Relationship Id="rId2" Type="http://schemas.openxmlformats.org/officeDocument/2006/relationships/hyperlink" Target="https://www.cbd.int/doc/meetings/cop/cop-12/official/cop-12-13-add5-rev1-fr.pdf" TargetMode="External"/><Relationship Id="rId1" Type="http://schemas.openxmlformats.org/officeDocument/2006/relationships/hyperlink" Target="https://www.cbd.int/doc/meetings/tk/wg8j-10/official/wg8j-10-01-en.pdf" TargetMode="External"/><Relationship Id="rId5" Type="http://schemas.openxmlformats.org/officeDocument/2006/relationships/hyperlink" Target="https://www.cbd.int/doc/meetings/cop/cop-12/official/cop-12-13-add5-rev1-fr.pdf" TargetMode="External"/><Relationship Id="rId4" Type="http://schemas.openxmlformats.org/officeDocument/2006/relationships/hyperlink" Target="https://www.ipbes.net/system/tdf/ipbes-5-15_fr.pdf?file=1&amp;type=node&amp;id=155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Local%20Settings\Temporary%20Internet%20Files\OLK1\template-8j.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0A15-5C29-4755-9F85-293FB469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template-8j.dot</Template>
  <TotalTime>0</TotalTime>
  <Pages>22</Pages>
  <Words>11200</Words>
  <Characters>63841</Characters>
  <Application>Microsoft Office Word</Application>
  <DocSecurity>0</DocSecurity>
  <Lines>532</Lines>
  <Paragraphs>149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Elements of methodological guidance for identifying, monitoring, and assessing the contribution of indigenous peoples and local communities to the achievement of the Strategic Plan for Biodiversity 2011-2020 and the Aichi Biodiversity Targets</vt:lpstr>
      <vt:lpstr>Elements of methodological guidance for identifying, monitoring, and assessing the contribution of indigenous peoples and local communities to the achievement of the Strategic Plan for Biodiversity 2011-2020 and the Aichi Biodiversity Targets</vt:lpstr>
      <vt:lpstr>Integration of Article 8(j) and provisions related to indigenous peoples and local communities in the work of the Convention and its Protocols</vt:lpstr>
    </vt:vector>
  </TitlesOfParts>
  <Company>Biodiversity</Company>
  <LinksUpToDate>false</LinksUpToDate>
  <CharactersWithSpaces>74892</CharactersWithSpaces>
  <SharedDoc>false</SharedDoc>
  <HyperlinkBase/>
  <HLinks>
    <vt:vector size="72" baseType="variant">
      <vt:variant>
        <vt:i4>2621557</vt:i4>
      </vt:variant>
      <vt:variant>
        <vt:i4>18</vt:i4>
      </vt:variant>
      <vt:variant>
        <vt:i4>0</vt:i4>
      </vt:variant>
      <vt:variant>
        <vt:i4>5</vt:i4>
      </vt:variant>
      <vt:variant>
        <vt:lpwstr>https://www.iccaconsortium.org/</vt:lpwstr>
      </vt:variant>
      <vt:variant>
        <vt:lpwstr/>
      </vt:variant>
      <vt:variant>
        <vt:i4>4259921</vt:i4>
      </vt:variant>
      <vt:variant>
        <vt:i4>15</vt:i4>
      </vt:variant>
      <vt:variant>
        <vt:i4>0</vt:i4>
      </vt:variant>
      <vt:variant>
        <vt:i4>5</vt:i4>
      </vt:variant>
      <vt:variant>
        <vt:lpwstr>http://globalforestcoalition.org/</vt:lpwstr>
      </vt:variant>
      <vt:variant>
        <vt:lpwstr/>
      </vt:variant>
      <vt:variant>
        <vt:i4>1507398</vt:i4>
      </vt:variant>
      <vt:variant>
        <vt:i4>12</vt:i4>
      </vt:variant>
      <vt:variant>
        <vt:i4>0</vt:i4>
      </vt:variant>
      <vt:variant>
        <vt:i4>5</vt:i4>
      </vt:variant>
      <vt:variant>
        <vt:lpwstr>https://www.cbd.int/doc/recommendations/wg8j-10/wg8j-10-rec-04-fr.pdf</vt:lpwstr>
      </vt:variant>
      <vt:variant>
        <vt:lpwstr/>
      </vt:variant>
      <vt:variant>
        <vt:i4>8061031</vt:i4>
      </vt:variant>
      <vt:variant>
        <vt:i4>9</vt:i4>
      </vt:variant>
      <vt:variant>
        <vt:i4>0</vt:i4>
      </vt:variant>
      <vt:variant>
        <vt:i4>5</vt:i4>
      </vt:variant>
      <vt:variant>
        <vt:lpwstr>https://www.cbd.int/doc/c/5ae3/177a/9c20f79d172c5eec0cd6e0a6/wg8j-10-05-fr.pdf</vt:lpwstr>
      </vt:variant>
      <vt:variant>
        <vt:lpwstr/>
      </vt:variant>
      <vt:variant>
        <vt:i4>7209076</vt:i4>
      </vt:variant>
      <vt:variant>
        <vt:i4>6</vt:i4>
      </vt:variant>
      <vt:variant>
        <vt:i4>0</vt:i4>
      </vt:variant>
      <vt:variant>
        <vt:i4>5</vt:i4>
      </vt:variant>
      <vt:variant>
        <vt:lpwstr>https://www.cbd.int/doc/meetings/cop/cop-13/official/cop-13-11-rev1-fr.pdf</vt:lpwstr>
      </vt:variant>
      <vt:variant>
        <vt:lpwstr/>
      </vt:variant>
      <vt:variant>
        <vt:i4>720979</vt:i4>
      </vt:variant>
      <vt:variant>
        <vt:i4>3</vt:i4>
      </vt:variant>
      <vt:variant>
        <vt:i4>0</vt:i4>
      </vt:variant>
      <vt:variant>
        <vt:i4>5</vt:i4>
      </vt:variant>
      <vt:variant>
        <vt:lpwstr>https://www.cbd.int/doc/decisions/cop-13/cop-13-dec-20-fr.pdf</vt:lpwstr>
      </vt:variant>
      <vt:variant>
        <vt:lpwstr/>
      </vt:variant>
      <vt:variant>
        <vt:i4>589904</vt:i4>
      </vt:variant>
      <vt:variant>
        <vt:i4>0</vt:i4>
      </vt:variant>
      <vt:variant>
        <vt:i4>0</vt:i4>
      </vt:variant>
      <vt:variant>
        <vt:i4>5</vt:i4>
      </vt:variant>
      <vt:variant>
        <vt:lpwstr>https://www.cbd.int/doc/decisions/cop-12/cop-12-dec-03-fr.pdf</vt:lpwstr>
      </vt:variant>
      <vt:variant>
        <vt:lpwstr/>
      </vt:variant>
      <vt:variant>
        <vt:i4>7405686</vt:i4>
      </vt:variant>
      <vt:variant>
        <vt:i4>12</vt:i4>
      </vt:variant>
      <vt:variant>
        <vt:i4>0</vt:i4>
      </vt:variant>
      <vt:variant>
        <vt:i4>5</vt:i4>
      </vt:variant>
      <vt:variant>
        <vt:lpwstr>https://www.cbd.int/doc/meetings/cop/cop-12/official/cop-12-13-add5-rev1-fr.pdf</vt:lpwstr>
      </vt:variant>
      <vt:variant>
        <vt:lpwstr/>
      </vt:variant>
      <vt:variant>
        <vt:i4>7995468</vt:i4>
      </vt:variant>
      <vt:variant>
        <vt:i4>9</vt:i4>
      </vt:variant>
      <vt:variant>
        <vt:i4>0</vt:i4>
      </vt:variant>
      <vt:variant>
        <vt:i4>5</vt:i4>
      </vt:variant>
      <vt:variant>
        <vt:lpwstr>https://www.ipbes.net/system/tdf/ipbes-5-15_fr.pdf?file=1&amp;type=node&amp;id=15537</vt:lpwstr>
      </vt:variant>
      <vt:variant>
        <vt:lpwstr/>
      </vt:variant>
      <vt:variant>
        <vt:i4>720979</vt:i4>
      </vt:variant>
      <vt:variant>
        <vt:i4>6</vt:i4>
      </vt:variant>
      <vt:variant>
        <vt:i4>0</vt:i4>
      </vt:variant>
      <vt:variant>
        <vt:i4>5</vt:i4>
      </vt:variant>
      <vt:variant>
        <vt:lpwstr>https://www.cbd.int/doc/decisions/cop-13/cop-13-dec-20-fr.pdf</vt:lpwstr>
      </vt:variant>
      <vt:variant>
        <vt:lpwstr/>
      </vt:variant>
      <vt:variant>
        <vt:i4>7405686</vt:i4>
      </vt:variant>
      <vt:variant>
        <vt:i4>3</vt:i4>
      </vt:variant>
      <vt:variant>
        <vt:i4>0</vt:i4>
      </vt:variant>
      <vt:variant>
        <vt:i4>5</vt:i4>
      </vt:variant>
      <vt:variant>
        <vt:lpwstr>https://www.cbd.int/doc/meetings/cop/cop-12/official/cop-12-13-add5-rev1-fr.pdf</vt:lpwstr>
      </vt:variant>
      <vt:variant>
        <vt:lpwstr/>
      </vt:variant>
      <vt:variant>
        <vt:i4>8126566</vt:i4>
      </vt:variant>
      <vt:variant>
        <vt:i4>0</vt:i4>
      </vt:variant>
      <vt:variant>
        <vt:i4>0</vt:i4>
      </vt:variant>
      <vt:variant>
        <vt:i4>5</vt:i4>
      </vt:variant>
      <vt:variant>
        <vt:lpwstr>https://www.cbd.int/doc/meetings/tk/wg8j-10/official/wg8j-10-01-en.pdf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methodological guidance for identifying, monitoring, and assessing the contribution of indigenous peoples and local communities to the achievement of the Strategic Plan for Biodiversity 2011-2020 and the Aichi Biodiversity Targets</dc:title>
  <dc:subject>AD HOC OPEN-ENDED INTER-SESSIONAL WORKING GROUP ON ARTICLE 8(j) AND RELATED PROVISIONS OF THE CONVENTION ON BIOLOGICAL DIVERSITY</dc:subject>
  <dc:creator>SCBD</dc:creator>
  <cp:keywords/>
  <cp:lastModifiedBy>Tatiana Zavarzina</cp:lastModifiedBy>
  <cp:revision>2</cp:revision>
  <cp:lastPrinted>2017-11-23T15:02:00Z</cp:lastPrinted>
  <dcterms:created xsi:type="dcterms:W3CDTF">2018-05-18T18:03:00Z</dcterms:created>
  <dcterms:modified xsi:type="dcterms:W3CDTF">2018-05-18T18:03:00Z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