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106" w:type="dxa"/>
        <w:tblBorders>
          <w:bottom w:val="single" w:sz="4" w:space="0" w:color="auto"/>
        </w:tblBorders>
        <w:tblLook w:val="0000" w:firstRow="0" w:lastRow="0" w:firstColumn="0" w:lastColumn="0" w:noHBand="0" w:noVBand="0"/>
      </w:tblPr>
      <w:tblGrid>
        <w:gridCol w:w="976"/>
        <w:gridCol w:w="5141"/>
        <w:gridCol w:w="4090"/>
      </w:tblGrid>
      <w:tr w:rsidR="00775B5A">
        <w:trPr>
          <w:trHeight w:val="851"/>
        </w:trPr>
        <w:tc>
          <w:tcPr>
            <w:tcW w:w="976" w:type="dxa"/>
            <w:tcBorders>
              <w:top w:val="nil"/>
              <w:left w:val="nil"/>
              <w:bottom w:val="nil"/>
              <w:right w:val="nil"/>
            </w:tcBorders>
          </w:tcPr>
          <w:p w:rsidR="00775B5A" w:rsidRDefault="002E21F4">
            <w:pPr>
              <w:suppressLineNumbers/>
              <w:suppressAutoHyphens/>
              <w:rPr>
                <w:rFonts w:ascii="Angsana New" w:hAnsi="Angsana New" w:cs="Angsana New"/>
                <w:kern w:val="22"/>
              </w:rPr>
            </w:pPr>
            <w:bookmarkStart w:id="0" w:name="_Hlk505247837"/>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Macintosh HD:Users:bilodeau:Desktop:logos:template 2017:un.emf" style="position:absolute;left:0;text-align:left;margin-left:.05pt;margin-top:0;width:37.5pt;height:31.7pt;z-index:8;visibility:visible;mso-position-vertical-relative:page">
                  <v:imagedata r:id="rId8" o:title=""/>
                  <w10:wrap anchory="page"/>
                </v:shape>
              </w:pict>
            </w:r>
          </w:p>
        </w:tc>
        <w:tc>
          <w:tcPr>
            <w:tcW w:w="5141" w:type="dxa"/>
            <w:tcBorders>
              <w:top w:val="nil"/>
              <w:left w:val="nil"/>
              <w:bottom w:val="nil"/>
              <w:right w:val="nil"/>
            </w:tcBorders>
            <w:tcFitText/>
          </w:tcPr>
          <w:p w:rsidR="00775B5A" w:rsidRDefault="002E21F4">
            <w:pPr>
              <w:suppressLineNumbers/>
              <w:suppressAutoHyphens/>
              <w:rPr>
                <w:rFonts w:ascii="Angsana New" w:hAnsi="Angsana New" w:cs="Angsana New"/>
                <w:kern w:val="22"/>
              </w:rPr>
            </w:pPr>
            <w:r>
              <w:rPr>
                <w:noProof/>
                <w:lang w:val="es-ES" w:eastAsia="es-ES"/>
              </w:rPr>
              <w:pict>
                <v:shape id="Imagen 2" o:spid="_x0000_s1027" type="#_x0000_t75" style="position:absolute;left:0;text-align:left;margin-left:2.35pt;margin-top:1.45pt;width:52.6pt;height:30.75pt;z-index:9;visibility:visible;mso-position-horizontal-relative:text;mso-position-vertical-relative:text">
                  <v:imagedata r:id="rId9" o:title=""/>
                  <w10:wrap type="square"/>
                </v:shape>
              </w:pict>
            </w:r>
          </w:p>
        </w:tc>
        <w:tc>
          <w:tcPr>
            <w:tcW w:w="4090" w:type="dxa"/>
            <w:tcBorders>
              <w:top w:val="nil"/>
              <w:left w:val="nil"/>
              <w:bottom w:val="nil"/>
              <w:right w:val="nil"/>
            </w:tcBorders>
          </w:tcPr>
          <w:p w:rsidR="00775B5A" w:rsidRDefault="00775B5A">
            <w:pPr>
              <w:suppressLineNumbers/>
              <w:suppressAutoHyphens/>
              <w:jc w:val="right"/>
              <w:rPr>
                <w:rFonts w:ascii="Arial" w:hAnsi="Arial" w:cs="Arial"/>
                <w:b/>
                <w:bCs/>
                <w:kern w:val="22"/>
                <w:sz w:val="32"/>
                <w:szCs w:val="32"/>
              </w:rPr>
            </w:pPr>
            <w:r>
              <w:rPr>
                <w:rFonts w:ascii="Arial" w:hAnsi="Arial" w:cs="Arial"/>
                <w:b/>
                <w:bCs/>
                <w:kern w:val="22"/>
                <w:sz w:val="32"/>
                <w:szCs w:val="32"/>
              </w:rPr>
              <w:t>CBD</w:t>
            </w:r>
          </w:p>
        </w:tc>
      </w:tr>
      <w:bookmarkEnd w:id="0"/>
      <w:tr w:rsidR="00775B5A">
        <w:tblPrEx>
          <w:tblBorders>
            <w:bottom w:val="none" w:sz="0" w:space="0" w:color="auto"/>
          </w:tblBorders>
        </w:tblPrEx>
        <w:tc>
          <w:tcPr>
            <w:tcW w:w="6117" w:type="dxa"/>
            <w:gridSpan w:val="2"/>
            <w:tcBorders>
              <w:top w:val="single" w:sz="12" w:space="0" w:color="auto"/>
              <w:left w:val="nil"/>
              <w:bottom w:val="single" w:sz="36" w:space="0" w:color="auto"/>
              <w:right w:val="nil"/>
            </w:tcBorders>
            <w:vAlign w:val="center"/>
          </w:tcPr>
          <w:p w:rsidR="00775B5A" w:rsidRDefault="003D557E">
            <w:pPr>
              <w:kinsoku w:val="0"/>
              <w:overflowPunct w:val="0"/>
              <w:autoSpaceDE w:val="0"/>
              <w:autoSpaceDN w:val="0"/>
              <w:rPr>
                <w:rFonts w:ascii="Angsana New" w:hAnsi="Angsana New" w:cs="Angsana New"/>
                <w:snapToGrid w:val="0"/>
                <w:kern w:val="22"/>
              </w:rPr>
            </w:pPr>
            <w:r w:rsidRPr="0095007E">
              <w:rPr>
                <w:noProof/>
                <w:kern w:val="22"/>
                <w:lang w:val="es-ES" w:eastAsia="es-ES"/>
              </w:rPr>
              <w:pict>
                <v:shape id="_x0000_i1025" type="#_x0000_t75" style="width:228.75pt;height:81.75pt;visibility:visible">
                  <v:imagedata r:id="rId10" o:title=""/>
                </v:shape>
              </w:pict>
            </w:r>
          </w:p>
        </w:tc>
        <w:tc>
          <w:tcPr>
            <w:tcW w:w="4090" w:type="dxa"/>
            <w:tcBorders>
              <w:top w:val="single" w:sz="12" w:space="0" w:color="auto"/>
              <w:left w:val="nil"/>
              <w:bottom w:val="single" w:sz="36" w:space="0" w:color="auto"/>
              <w:right w:val="nil"/>
            </w:tcBorders>
          </w:tcPr>
          <w:p w:rsidR="00775B5A" w:rsidRPr="00EC2231" w:rsidRDefault="00775B5A">
            <w:pPr>
              <w:kinsoku w:val="0"/>
              <w:overflowPunct w:val="0"/>
              <w:autoSpaceDE w:val="0"/>
              <w:autoSpaceDN w:val="0"/>
              <w:ind w:left="1215"/>
              <w:jc w:val="left"/>
              <w:rPr>
                <w:snapToGrid w:val="0"/>
                <w:kern w:val="22"/>
                <w:lang w:val="es-ES"/>
              </w:rPr>
            </w:pPr>
            <w:r w:rsidRPr="00EC2231">
              <w:rPr>
                <w:snapToGrid w:val="0"/>
                <w:kern w:val="22"/>
                <w:lang w:val="es-ES"/>
              </w:rPr>
              <w:t>Distr.</w:t>
            </w:r>
          </w:p>
          <w:p w:rsidR="00775B5A" w:rsidRPr="00EC2231" w:rsidRDefault="00775B5A">
            <w:pPr>
              <w:kinsoku w:val="0"/>
              <w:overflowPunct w:val="0"/>
              <w:autoSpaceDE w:val="0"/>
              <w:autoSpaceDN w:val="0"/>
              <w:ind w:left="1215"/>
              <w:jc w:val="left"/>
              <w:rPr>
                <w:snapToGrid w:val="0"/>
                <w:kern w:val="22"/>
                <w:lang w:val="es-ES"/>
              </w:rPr>
            </w:pPr>
            <w:r w:rsidRPr="00EC2231">
              <w:rPr>
                <w:snapToGrid w:val="0"/>
                <w:kern w:val="22"/>
                <w:lang w:val="es-ES"/>
              </w:rPr>
              <w:t>GENERAL</w:t>
            </w:r>
          </w:p>
          <w:p w:rsidR="00775B5A" w:rsidRPr="00EC2231" w:rsidRDefault="00775B5A">
            <w:pPr>
              <w:kinsoku w:val="0"/>
              <w:overflowPunct w:val="0"/>
              <w:autoSpaceDE w:val="0"/>
              <w:autoSpaceDN w:val="0"/>
              <w:ind w:left="1215"/>
              <w:jc w:val="left"/>
              <w:rPr>
                <w:snapToGrid w:val="0"/>
                <w:kern w:val="22"/>
                <w:lang w:val="es-ES"/>
              </w:rPr>
            </w:pPr>
          </w:p>
          <w:p w:rsidR="00775B5A" w:rsidRPr="00EC2231" w:rsidRDefault="00775B5A">
            <w:pPr>
              <w:ind w:left="1215"/>
              <w:jc w:val="left"/>
              <w:rPr>
                <w:rFonts w:ascii="Angsana New" w:hAnsi="Angsana New" w:cs="Angsana New"/>
                <w:snapToGrid w:val="0"/>
                <w:kern w:val="22"/>
                <w:lang w:val="es-ES"/>
              </w:rPr>
            </w:pPr>
            <w:r w:rsidRPr="00EC2231">
              <w:rPr>
                <w:snapToGrid w:val="0"/>
                <w:kern w:val="22"/>
                <w:lang w:val="es-ES"/>
              </w:rPr>
              <w:t>CBD/SBI/3/3/Add.1</w:t>
            </w:r>
          </w:p>
          <w:p w:rsidR="00775B5A" w:rsidRPr="00EC2231" w:rsidRDefault="00775B5A">
            <w:pPr>
              <w:kinsoku w:val="0"/>
              <w:overflowPunct w:val="0"/>
              <w:autoSpaceDE w:val="0"/>
              <w:autoSpaceDN w:val="0"/>
              <w:ind w:left="1215"/>
              <w:jc w:val="left"/>
              <w:rPr>
                <w:snapToGrid w:val="0"/>
                <w:kern w:val="22"/>
                <w:lang w:val="es-ES"/>
              </w:rPr>
            </w:pPr>
            <w:r w:rsidRPr="00EC2231">
              <w:rPr>
                <w:snapToGrid w:val="0"/>
                <w:kern w:val="22"/>
                <w:lang w:val="es-ES"/>
              </w:rPr>
              <w:t>17 de agosto de 2020</w:t>
            </w:r>
          </w:p>
          <w:p w:rsidR="00775B5A" w:rsidRPr="00EC2231" w:rsidRDefault="00775B5A">
            <w:pPr>
              <w:kinsoku w:val="0"/>
              <w:overflowPunct w:val="0"/>
              <w:autoSpaceDE w:val="0"/>
              <w:autoSpaceDN w:val="0"/>
              <w:ind w:left="1215"/>
              <w:jc w:val="left"/>
              <w:rPr>
                <w:snapToGrid w:val="0"/>
                <w:kern w:val="22"/>
                <w:lang w:val="es-ES"/>
              </w:rPr>
            </w:pPr>
          </w:p>
          <w:p w:rsidR="00775B5A" w:rsidRDefault="00775B5A">
            <w:pPr>
              <w:kinsoku w:val="0"/>
              <w:overflowPunct w:val="0"/>
              <w:autoSpaceDE w:val="0"/>
              <w:autoSpaceDN w:val="0"/>
              <w:ind w:left="1215"/>
              <w:jc w:val="left"/>
              <w:rPr>
                <w:snapToGrid w:val="0"/>
                <w:kern w:val="22"/>
              </w:rPr>
            </w:pPr>
            <w:r>
              <w:rPr>
                <w:snapToGrid w:val="0"/>
                <w:kern w:val="22"/>
              </w:rPr>
              <w:t>ESPAÑOL</w:t>
            </w:r>
          </w:p>
          <w:p w:rsidR="00775B5A" w:rsidRDefault="00775B5A">
            <w:pPr>
              <w:kinsoku w:val="0"/>
              <w:overflowPunct w:val="0"/>
              <w:autoSpaceDE w:val="0"/>
              <w:autoSpaceDN w:val="0"/>
              <w:ind w:left="1215"/>
              <w:jc w:val="left"/>
              <w:rPr>
                <w:snapToGrid w:val="0"/>
                <w:kern w:val="22"/>
              </w:rPr>
            </w:pPr>
            <w:r>
              <w:rPr>
                <w:snapToGrid w:val="0"/>
                <w:kern w:val="22"/>
              </w:rPr>
              <w:t>ORIGINAL: INGLÉS</w:t>
            </w:r>
          </w:p>
          <w:p w:rsidR="00775B5A" w:rsidRDefault="00775B5A">
            <w:pPr>
              <w:kinsoku w:val="0"/>
              <w:overflowPunct w:val="0"/>
              <w:autoSpaceDE w:val="0"/>
              <w:autoSpaceDN w:val="0"/>
              <w:jc w:val="left"/>
              <w:rPr>
                <w:rFonts w:ascii="Angsana New" w:hAnsi="Angsana New" w:cs="Angsana New"/>
                <w:snapToGrid w:val="0"/>
                <w:kern w:val="22"/>
              </w:rPr>
            </w:pPr>
          </w:p>
        </w:tc>
      </w:tr>
    </w:tbl>
    <w:p w:rsidR="00775B5A" w:rsidRDefault="00775B5A">
      <w:pPr>
        <w:pStyle w:val="Cornernotation"/>
        <w:suppressLineNumbers/>
        <w:suppressAutoHyphens/>
        <w:kinsoku w:val="0"/>
        <w:overflowPunct w:val="0"/>
        <w:autoSpaceDE w:val="0"/>
        <w:autoSpaceDN w:val="0"/>
        <w:ind w:left="227" w:right="3831" w:hanging="227"/>
        <w:rPr>
          <w:rFonts w:ascii="Times New Roman" w:hAnsi="Times New Roman" w:cs="Times New Roman"/>
          <w:caps/>
          <w:kern w:val="22"/>
          <w:sz w:val="22"/>
          <w:szCs w:val="22"/>
          <w:lang w:eastAsia="ko-KR"/>
        </w:rPr>
      </w:pPr>
      <w:bookmarkStart w:id="1" w:name="_Hlk2766040"/>
      <w:r>
        <w:rPr>
          <w:rFonts w:ascii="Times New Roman" w:eastAsia="Malgun Gothic" w:hAnsi="Times New Roman" w:cs="Times New Roman"/>
          <w:caps/>
          <w:sz w:val="22"/>
          <w:szCs w:val="22"/>
        </w:rPr>
        <w:t>ÓRGANO SUBSIDIARIO SOBRE LA APLICACIÓN</w:t>
      </w:r>
    </w:p>
    <w:p w:rsidR="00775B5A" w:rsidRPr="00D04ED4" w:rsidRDefault="00775B5A">
      <w:pPr>
        <w:pStyle w:val="Cornernotation"/>
        <w:suppressLineNumbers/>
        <w:suppressAutoHyphens/>
        <w:kinsoku w:val="0"/>
        <w:overflowPunct w:val="0"/>
        <w:autoSpaceDE w:val="0"/>
        <w:autoSpaceDN w:val="0"/>
        <w:ind w:left="227" w:right="3831" w:hanging="227"/>
        <w:rPr>
          <w:rFonts w:ascii="Times New Roman" w:hAnsi="Times New Roman" w:cs="Times New Roman"/>
          <w:kern w:val="22"/>
          <w:sz w:val="22"/>
          <w:szCs w:val="22"/>
          <w:lang w:eastAsia="ko-KR"/>
        </w:rPr>
      </w:pPr>
      <w:bookmarkStart w:id="2" w:name="_Hlk2766324"/>
      <w:bookmarkEnd w:id="1"/>
      <w:r w:rsidRPr="00D04ED4">
        <w:rPr>
          <w:rFonts w:ascii="Times New Roman" w:hAnsi="Times New Roman" w:cs="Times New Roman"/>
          <w:kern w:val="22"/>
          <w:sz w:val="22"/>
          <w:szCs w:val="22"/>
          <w:lang w:eastAsia="ko-KR"/>
        </w:rPr>
        <w:t>Tercera reuni</w:t>
      </w:r>
      <w:r w:rsidR="00D04ED4" w:rsidRPr="00D04ED4">
        <w:rPr>
          <w:rFonts w:ascii="Times New Roman" w:hAnsi="Times New Roman" w:cs="Times New Roman"/>
          <w:kern w:val="22"/>
          <w:sz w:val="22"/>
          <w:szCs w:val="22"/>
          <w:lang w:eastAsia="ko-KR"/>
        </w:rPr>
        <w:t>ón</w:t>
      </w:r>
    </w:p>
    <w:p w:rsidR="00775B5A" w:rsidRPr="00D04ED4" w:rsidRDefault="00775B5A">
      <w:pPr>
        <w:pStyle w:val="Cornernotation"/>
        <w:suppressLineNumbers/>
        <w:suppressAutoHyphens/>
        <w:kinsoku w:val="0"/>
        <w:overflowPunct w:val="0"/>
        <w:autoSpaceDE w:val="0"/>
        <w:autoSpaceDN w:val="0"/>
        <w:ind w:left="227" w:right="3831" w:hanging="227"/>
        <w:rPr>
          <w:rFonts w:ascii="Times New Roman" w:hAnsi="Times New Roman" w:cs="Times New Roman"/>
          <w:kern w:val="22"/>
          <w:sz w:val="22"/>
          <w:szCs w:val="22"/>
          <w:lang w:eastAsia="ko-KR"/>
        </w:rPr>
      </w:pPr>
      <w:r w:rsidRPr="00D04ED4">
        <w:rPr>
          <w:rFonts w:ascii="Times New Roman" w:hAnsi="Times New Roman" w:cs="Times New Roman"/>
          <w:kern w:val="22"/>
          <w:sz w:val="22"/>
          <w:szCs w:val="22"/>
          <w:lang w:eastAsia="ko-KR"/>
        </w:rPr>
        <w:t>Lugar y fecha por determinar</w:t>
      </w:r>
    </w:p>
    <w:p w:rsidR="00775B5A" w:rsidRPr="00D04ED4" w:rsidRDefault="00775B5A">
      <w:pPr>
        <w:pStyle w:val="Cornernotation"/>
        <w:suppressLineNumbers/>
        <w:suppressAutoHyphens/>
        <w:kinsoku w:val="0"/>
        <w:overflowPunct w:val="0"/>
        <w:autoSpaceDE w:val="0"/>
        <w:autoSpaceDN w:val="0"/>
        <w:ind w:left="227" w:right="3831" w:hanging="227"/>
        <w:rPr>
          <w:rFonts w:ascii="Times New Roman" w:hAnsi="Times New Roman" w:cs="Times New Roman"/>
          <w:kern w:val="22"/>
          <w:sz w:val="22"/>
          <w:szCs w:val="22"/>
          <w:lang w:eastAsia="ko-KR"/>
        </w:rPr>
      </w:pPr>
      <w:r w:rsidRPr="00D04ED4">
        <w:rPr>
          <w:rFonts w:ascii="Times New Roman" w:hAnsi="Times New Roman" w:cs="Times New Roman"/>
          <w:kern w:val="22"/>
          <w:sz w:val="22"/>
          <w:szCs w:val="22"/>
          <w:lang w:eastAsia="ko-KR"/>
        </w:rPr>
        <w:t>Tema 4 del programa provisional</w:t>
      </w:r>
      <w:r w:rsidRPr="00D04ED4">
        <w:rPr>
          <w:rStyle w:val="FootnoteReference"/>
          <w:kern w:val="22"/>
          <w:sz w:val="22"/>
          <w:szCs w:val="22"/>
          <w:lang w:eastAsia="ko-KR"/>
        </w:rPr>
        <w:footnoteReference w:customMarkFollows="1" w:id="2"/>
        <w:t>*</w:t>
      </w:r>
    </w:p>
    <w:bookmarkEnd w:id="2"/>
    <w:p w:rsidR="00775B5A" w:rsidRPr="00EC2231" w:rsidRDefault="00775B5A">
      <w:pPr>
        <w:pStyle w:val="HEADINGNOTFORTOC"/>
        <w:rPr>
          <w:rFonts w:ascii="Angsana New" w:hAnsi="Angsana New" w:cs="Angsana New"/>
          <w:snapToGrid w:val="0"/>
          <w:lang w:val="es-ES"/>
        </w:rPr>
      </w:pPr>
      <w:r w:rsidRPr="00EC2231">
        <w:rPr>
          <w:snapToGrid w:val="0"/>
          <w:lang w:val="es-ES"/>
        </w:rPr>
        <w:t>AnÁLISIS DE LA INFORMACIÓN PARA LA EVALUACIÓN Y REVISIÓN DE LA EFICACIA DEL PROTOCOLO DE Cartagena SOBRE SEGURIDAD DE LA BIOTECNOLOGÍA Y EVALUACIÓN FINAL DEL PLAN ESTRATÉGICO PARA EL PROTOCOLO DE CArtagena EN EL PERÍODO 2011-2020</w:t>
      </w:r>
    </w:p>
    <w:p w:rsidR="00775B5A" w:rsidRDefault="00775B5A">
      <w:pPr>
        <w:keepNext/>
        <w:tabs>
          <w:tab w:val="left" w:pos="8364"/>
        </w:tabs>
        <w:spacing w:before="120" w:after="120"/>
        <w:jc w:val="center"/>
        <w:rPr>
          <w:i/>
          <w:iCs/>
          <w:snapToGrid w:val="0"/>
          <w:kern w:val="22"/>
        </w:rPr>
      </w:pPr>
      <w:r>
        <w:rPr>
          <w:i/>
          <w:iCs/>
          <w:snapToGrid w:val="0"/>
          <w:kern w:val="22"/>
        </w:rPr>
        <w:t>Nota de la Secretaria Ejecutiva</w:t>
      </w:r>
    </w:p>
    <w:p w:rsidR="00775B5A" w:rsidRDefault="00775B5A" w:rsidP="001D4EEE">
      <w:pPr>
        <w:keepNext/>
        <w:numPr>
          <w:ilvl w:val="0"/>
          <w:numId w:val="1"/>
        </w:numPr>
        <w:spacing w:before="120" w:after="120"/>
        <w:ind w:left="0" w:firstLine="0"/>
        <w:jc w:val="center"/>
        <w:outlineLvl w:val="0"/>
        <w:rPr>
          <w:b/>
          <w:bCs/>
          <w:caps/>
          <w:snapToGrid w:val="0"/>
          <w:kern w:val="22"/>
        </w:rPr>
      </w:pPr>
      <w:r>
        <w:rPr>
          <w:b/>
          <w:bCs/>
          <w:caps/>
          <w:snapToGrid w:val="0"/>
          <w:kern w:val="22"/>
        </w:rPr>
        <w:t>INTRODUCCIÓN</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C2231">
        <w:rPr>
          <w:snapToGrid w:val="0"/>
          <w:kern w:val="22"/>
          <w:lang w:val="es-ES"/>
        </w:rPr>
        <w:t>El artículo 35 del Protocolo de Cartagena sobre Seguridad de la Biotecnología requiere que la Conferencia de las Partes que actúa como reunión de las Partes en el Protocolo lleve a cabo, cinco años después de la entrada en vigor del Protocolo, y en lo sucesivo al menos cada cinco años, una evaluación de la eficacia del Protocolo, incluida una evaluación de sus procedimientos y anexos.</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C2231">
        <w:rPr>
          <w:snapToGrid w:val="0"/>
          <w:kern w:val="22"/>
          <w:lang w:val="es-ES"/>
        </w:rPr>
        <w:t>El Plan Estratégico para el Protocolo de Cartagena sobre Seguridad de la Biotecnología</w:t>
      </w:r>
      <w:r w:rsidR="00617C12">
        <w:rPr>
          <w:snapToGrid w:val="0"/>
          <w:kern w:val="22"/>
          <w:lang w:val="es-ES"/>
        </w:rPr>
        <w:t xml:space="preserve"> en el período 2011-2020 (Plan E</w:t>
      </w:r>
      <w:r w:rsidRPr="00EC2231">
        <w:rPr>
          <w:snapToGrid w:val="0"/>
          <w:kern w:val="22"/>
          <w:lang w:val="es-ES"/>
        </w:rPr>
        <w:t xml:space="preserve">stratégico) fue adoptado por la Conferencia de las Partes que actúa como reunión de las Partes en 2010 en su </w:t>
      </w:r>
      <w:hyperlink r:id="rId11" w:history="1">
        <w:r w:rsidRPr="00EC2231">
          <w:rPr>
            <w:rStyle w:val="Hyperlink"/>
            <w:snapToGrid w:val="0"/>
            <w:kern w:val="22"/>
            <w:lang w:val="es-ES"/>
          </w:rPr>
          <w:t>decisión BS</w:t>
        </w:r>
        <w:r w:rsidRPr="00EC2231">
          <w:rPr>
            <w:rStyle w:val="Hyperlink"/>
            <w:snapToGrid w:val="0"/>
            <w:kern w:val="22"/>
            <w:lang w:val="es-ES"/>
          </w:rPr>
          <w:noBreakHyphen/>
          <w:t>V/16</w:t>
        </w:r>
      </w:hyperlink>
      <w:r w:rsidRPr="00EC2231">
        <w:rPr>
          <w:snapToGrid w:val="0"/>
          <w:kern w:val="22"/>
          <w:lang w:val="es-ES"/>
        </w:rPr>
        <w:t xml:space="preserve">. La tercera evaluación a mitad del período del Plan Estratégico realizada conjuntamente con la tercera evaluación y revisión de la eficacia del Protocolo y examinada por la Conferencia de las Partes que actúa como reunión de las Partes en el Protocolo, en su octava reunión (decisión </w:t>
      </w:r>
      <w:hyperlink r:id="rId12" w:history="1">
        <w:r w:rsidRPr="00EC2231">
          <w:rPr>
            <w:rStyle w:val="Hyperlink"/>
            <w:snapToGrid w:val="0"/>
            <w:kern w:val="22"/>
            <w:lang w:val="es-ES"/>
          </w:rPr>
          <w:t>CP-VIII/15</w:t>
        </w:r>
      </w:hyperlink>
      <w:r w:rsidRPr="00EC2231">
        <w:rPr>
          <w:snapToGrid w:val="0"/>
          <w:kern w:val="22"/>
          <w:lang w:val="es-ES"/>
        </w:rPr>
        <w:t xml:space="preserve">). </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C2231">
        <w:rPr>
          <w:snapToGrid w:val="0"/>
          <w:kern w:val="22"/>
          <w:lang w:val="es-ES"/>
        </w:rPr>
        <w:t xml:space="preserve">La Conferencia de las Partes que actúa como reunión de las Partes en el Protocolo, en su novena reunión, mediante la decisión </w:t>
      </w:r>
      <w:hyperlink r:id="rId13" w:history="1">
        <w:r w:rsidRPr="00EC2231">
          <w:rPr>
            <w:rStyle w:val="Hyperlink"/>
            <w:snapToGrid w:val="0"/>
            <w:kern w:val="22"/>
            <w:lang w:val="es-ES"/>
          </w:rPr>
          <w:t>CP-9/6</w:t>
        </w:r>
      </w:hyperlink>
      <w:r w:rsidRPr="00EC2231">
        <w:rPr>
          <w:snapToGrid w:val="0"/>
          <w:kern w:val="22"/>
          <w:lang w:val="es-ES"/>
        </w:rPr>
        <w:t xml:space="preserve">, decidió que la cuarta evaluación y revisión del Protocolo de Cartagena se combinaría con la evaluación final del Plan Estratégico para el Protocolo de Cartagena y esbozó un proceso a este respecto, con las contribuciones del Grupo de Enlace del Protocolo de Cartagena sobre Seguridad de la Biotecnología y el Comité de Cumplimiento, para someterlas al examen del Órgano Subsidiario sobre la Aplicación en su tercera reunión, y a la Conferencia de las Partes que actúa como reunión de las Partes en el Protocolo, en su décima reunión. </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C2231">
        <w:rPr>
          <w:snapToGrid w:val="0"/>
          <w:kern w:val="22"/>
          <w:lang w:val="es-ES"/>
        </w:rPr>
        <w:t>La Conferencia de las Partes que actúa como reunión de las Partes en el Protocolo pidió a la Secretaria Ejecutiva que analizara y sintetizara la información sobre la aplicación del Protocolo, utilizando, entre otras cosas, los cuartos informes nacionales como fuente principal</w:t>
      </w:r>
      <w:r>
        <w:rPr>
          <w:rStyle w:val="FootnoteReference"/>
          <w:rFonts w:ascii="Angsana New" w:hAnsi="Angsana New" w:cs="Angsana New"/>
          <w:snapToGrid w:val="0"/>
          <w:kern w:val="22"/>
        </w:rPr>
        <w:footnoteReference w:id="3"/>
      </w:r>
      <w:r w:rsidRPr="00EC2231">
        <w:rPr>
          <w:snapToGrid w:val="0"/>
          <w:kern w:val="22"/>
          <w:lang w:val="es-ES"/>
        </w:rPr>
        <w:t xml:space="preserve">, el Centro de Intercambio de Información sobre Seguridad de la Biotecnología (CIISB) y experiencia adquirida en proyectos de creación de capacidad y el Comité de Cumplimiento, según proceda, a fin de facilitar la cuarta evaluación y revisión del Protocolo conjuntamente con la evaluación final del Plan Estratégico, y </w:t>
      </w:r>
      <w:r w:rsidRPr="00EC2231">
        <w:rPr>
          <w:snapToGrid w:val="0"/>
          <w:kern w:val="22"/>
          <w:lang w:val="es-ES"/>
        </w:rPr>
        <w:lastRenderedPageBreak/>
        <w:t>que pusiera esa información a disposición del Grupo de Enlace y, según proceda, del Comité de Cumplimiento.</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EC2231">
        <w:rPr>
          <w:snapToGrid w:val="0"/>
          <w:kern w:val="22"/>
          <w:lang w:val="es-ES"/>
        </w:rPr>
        <w:t>En la presente nota se presenta el análisis y la síntesis de la información para la cuarta evaluación y revisión de la eficacia del Protocolo y la evaluación final del Plan Estratégico. Una versión preliminar de este documento se puso a disposición del Comité de Cumplimiento en su 17ª reunión, así como del Grupo de Enlace en su 14ª reunión</w:t>
      </w:r>
      <w:r>
        <w:rPr>
          <w:rStyle w:val="FootnoteReference"/>
          <w:rFonts w:ascii="Angsana New" w:hAnsi="Angsana New" w:cs="Angsana New"/>
          <w:snapToGrid w:val="0"/>
          <w:kern w:val="22"/>
        </w:rPr>
        <w:footnoteReference w:id="4"/>
      </w:r>
      <w:r w:rsidRPr="00EC2231">
        <w:rPr>
          <w:snapToGrid w:val="0"/>
          <w:kern w:val="22"/>
          <w:lang w:val="es-ES"/>
        </w:rPr>
        <w:t>.</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EC2231">
        <w:rPr>
          <w:snapToGrid w:val="0"/>
          <w:kern w:val="22"/>
          <w:lang w:val="es-ES"/>
        </w:rPr>
        <w:t>En la sección II se describe la metodología empleada para la preparación del análisis de la información. En la sección III se ofrece un análisis y una síntesis de la información sobre los progresos realizados en la consecución de los objetivos operativos del Plan Estratégico y sobre el estado y las tendencias en la aplicación del Protocolo de Cartagena sobre Seguridad de la Biotecnología.</w:t>
      </w:r>
    </w:p>
    <w:p w:rsidR="00775B5A" w:rsidRDefault="00775B5A" w:rsidP="001D4EEE">
      <w:pPr>
        <w:keepNext/>
        <w:numPr>
          <w:ilvl w:val="0"/>
          <w:numId w:val="1"/>
        </w:numPr>
        <w:suppressLineNumbers/>
        <w:suppressAutoHyphens/>
        <w:spacing w:before="120" w:after="120"/>
        <w:ind w:left="0" w:firstLine="0"/>
        <w:jc w:val="center"/>
        <w:outlineLvl w:val="0"/>
        <w:rPr>
          <w:b/>
          <w:bCs/>
          <w:caps/>
          <w:snapToGrid w:val="0"/>
          <w:kern w:val="22"/>
        </w:rPr>
      </w:pPr>
      <w:r>
        <w:rPr>
          <w:b/>
          <w:bCs/>
          <w:caps/>
          <w:snapToGrid w:val="0"/>
          <w:kern w:val="22"/>
        </w:rPr>
        <w:t>METODOLOGÍA</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C2231">
        <w:rPr>
          <w:snapToGrid w:val="0"/>
          <w:kern w:val="22"/>
          <w:lang w:val="es-ES"/>
        </w:rPr>
        <w:t xml:space="preserve">De conformidad con el párrafo 3 b) de la decisión CP-9/6, este documento analiza y sintetiza la información sobre la aplicación del Protocolo relacionada con el cuarto ciclo de presentación de informes, en comparación con los datos de referencia. </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EC2231">
        <w:rPr>
          <w:snapToGrid w:val="0"/>
          <w:kern w:val="22"/>
          <w:lang w:val="es-ES"/>
        </w:rPr>
        <w:t xml:space="preserve">La información para el presente análisis se obtuvo de los cuartos informes </w:t>
      </w:r>
      <w:r w:rsidRPr="00617C12">
        <w:rPr>
          <w:snapToGrid w:val="0"/>
          <w:kern w:val="22"/>
          <w:lang w:val="es-ES"/>
        </w:rPr>
        <w:t xml:space="preserve">nacionales </w:t>
      </w:r>
      <w:r w:rsidR="00617C12" w:rsidRPr="00617C12">
        <w:rPr>
          <w:snapToGrid w:val="0"/>
          <w:kern w:val="22"/>
          <w:lang w:val="es-ES"/>
        </w:rPr>
        <w:t xml:space="preserve">que se </w:t>
      </w:r>
      <w:r w:rsidRPr="00617C12">
        <w:rPr>
          <w:snapToGrid w:val="0"/>
          <w:kern w:val="22"/>
          <w:lang w:val="es-ES"/>
        </w:rPr>
        <w:t>presentaron antes del 15 de enero de 2020</w:t>
      </w:r>
      <w:r w:rsidRPr="00617C12">
        <w:rPr>
          <w:rStyle w:val="FootnoteReference"/>
          <w:rFonts w:ascii="Angsana New" w:hAnsi="Angsana New" w:cs="Angsana New"/>
          <w:snapToGrid w:val="0"/>
          <w:kern w:val="22"/>
        </w:rPr>
        <w:footnoteReference w:id="5"/>
      </w:r>
      <w:r w:rsidRPr="00617C12">
        <w:rPr>
          <w:snapToGrid w:val="0"/>
          <w:kern w:val="22"/>
          <w:lang w:val="es-ES"/>
        </w:rPr>
        <w:t>, información del CIISB y experiencia adquirida en proyectos de creación de capacidad</w:t>
      </w:r>
      <w:r w:rsidRPr="00EC2231">
        <w:rPr>
          <w:snapToGrid w:val="0"/>
          <w:kern w:val="22"/>
          <w:lang w:val="es-ES"/>
        </w:rPr>
        <w:t xml:space="preserve"> y el Comité de Cumplimiento</w:t>
      </w:r>
      <w:r>
        <w:rPr>
          <w:rStyle w:val="FootnoteReference"/>
          <w:rFonts w:ascii="Angsana New" w:hAnsi="Angsana New" w:cs="Angsana New"/>
          <w:snapToGrid w:val="0"/>
          <w:kern w:val="22"/>
        </w:rPr>
        <w:footnoteReference w:id="6"/>
      </w:r>
      <w:r w:rsidRPr="00EC2231">
        <w:rPr>
          <w:snapToGrid w:val="0"/>
          <w:kern w:val="22"/>
          <w:lang w:val="es-ES"/>
        </w:rPr>
        <w:t>.</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EC2231">
        <w:rPr>
          <w:snapToGrid w:val="0"/>
          <w:kern w:val="22"/>
          <w:lang w:val="es-ES"/>
        </w:rPr>
        <w:t xml:space="preserve">La base de referencia utilizada para medir los progresos se estableció mediante la decisión BS-VI/15. La base de referencia incluye información principalmente de los segundos informes nacionales, el CIISB y una encuesta específica para recopilar información correspondiente a los indicadores del Plan Estratégico que no se hayan podido obtener a partir de los segundos informes nacionales ni a través de otros mecanismos existentes (mencionada más adelante como </w:t>
      </w:r>
      <w:r w:rsidR="00F077D3">
        <w:rPr>
          <w:snapToGrid w:val="0"/>
          <w:kern w:val="22"/>
          <w:lang w:val="es-ES"/>
        </w:rPr>
        <w:t xml:space="preserve">la </w:t>
      </w:r>
      <w:r w:rsidRPr="00EC2231">
        <w:rPr>
          <w:snapToGrid w:val="0"/>
          <w:kern w:val="22"/>
          <w:lang w:val="es-ES"/>
        </w:rPr>
        <w:t>“Encuesta”)</w:t>
      </w:r>
      <w:r>
        <w:rPr>
          <w:rFonts w:ascii="Angsana New" w:hAnsi="Angsana New" w:cs="Angsana New"/>
          <w:kern w:val="22"/>
          <w:vertAlign w:val="superscript"/>
        </w:rPr>
        <w:footnoteReference w:id="7"/>
      </w:r>
      <w:r w:rsidRPr="00EC2231">
        <w:rPr>
          <w:snapToGrid w:val="0"/>
          <w:kern w:val="22"/>
          <w:lang w:val="es-ES"/>
        </w:rPr>
        <w:t>.</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EC2231">
        <w:rPr>
          <w:snapToGrid w:val="0"/>
          <w:kern w:val="22"/>
          <w:lang w:val="es-ES"/>
        </w:rPr>
        <w:t>La información proporcionada en los cuartos informes nacionales se comparó con la información de la base de referencia. La comparación de estos datos se realizó utilizando la herramienta de análisis de informes nacionales en línea</w:t>
      </w:r>
      <w:r>
        <w:rPr>
          <w:rFonts w:ascii="Angsana New" w:hAnsi="Angsana New" w:cs="Angsana New"/>
          <w:snapToGrid w:val="0"/>
          <w:kern w:val="22"/>
          <w:vertAlign w:val="superscript"/>
        </w:rPr>
        <w:footnoteReference w:id="8"/>
      </w:r>
      <w:r w:rsidRPr="00EC2231">
        <w:rPr>
          <w:snapToGrid w:val="0"/>
          <w:kern w:val="22"/>
          <w:lang w:val="es-ES"/>
        </w:rPr>
        <w:t>. La información del CIISB relativa al cuarto ciclo de presentación de informes se comparó con información similar de la base de referencia. Para cada indicador, la fuente de información utilizada figura en la matriz de fuentes de información</w:t>
      </w:r>
      <w:r>
        <w:rPr>
          <w:rStyle w:val="FootnoteReference"/>
          <w:rFonts w:ascii="Angsana New" w:hAnsi="Angsana New" w:cs="Angsana New"/>
          <w:snapToGrid w:val="0"/>
          <w:kern w:val="22"/>
        </w:rPr>
        <w:footnoteReference w:id="9"/>
      </w:r>
      <w:r w:rsidRPr="00EC2231">
        <w:rPr>
          <w:snapToGrid w:val="0"/>
          <w:kern w:val="22"/>
          <w:lang w:val="es-ES"/>
        </w:rPr>
        <w:t>.</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617C12">
        <w:rPr>
          <w:snapToGrid w:val="0"/>
          <w:kern w:val="22"/>
          <w:lang w:val="es-ES"/>
        </w:rPr>
        <w:t>Asimismo, el análisis</w:t>
      </w:r>
      <w:r w:rsidRPr="00EC2231">
        <w:rPr>
          <w:snapToGrid w:val="0"/>
          <w:kern w:val="22"/>
          <w:lang w:val="es-ES"/>
        </w:rPr>
        <w:t xml:space="preserve"> se basa únicamente en datos de las Partes que presentaron sus cuartos informes nacionales antes del 15 de enero de 2020</w:t>
      </w:r>
      <w:r w:rsidR="00617C12">
        <w:rPr>
          <w:snapToGrid w:val="0"/>
          <w:kern w:val="22"/>
          <w:lang w:val="es-ES"/>
        </w:rPr>
        <w:t xml:space="preserve"> y </w:t>
      </w:r>
      <w:r w:rsidRPr="00EC2231">
        <w:rPr>
          <w:snapToGrid w:val="0"/>
          <w:kern w:val="22"/>
          <w:lang w:val="es-ES"/>
        </w:rPr>
        <w:t xml:space="preserve">que también habían proporcionado datos correspondientes en la base de referencia. Este enfoque tiene por objeto permitir un examen coherente y </w:t>
      </w:r>
      <w:r w:rsidRPr="00EC2231">
        <w:rPr>
          <w:snapToGrid w:val="0"/>
          <w:kern w:val="22"/>
          <w:lang w:val="es-ES"/>
        </w:rPr>
        <w:lastRenderedPageBreak/>
        <w:t>comparable de los progresos realizados a lo largo del tiempo y sigue el enfoque adoptado para la tercera evaluación y revisión del Protocolo y la evaluación a mitad de período del Plan Estratégico</w:t>
      </w:r>
      <w:r>
        <w:rPr>
          <w:rStyle w:val="FootnoteReference"/>
          <w:rFonts w:ascii="Angsana New" w:hAnsi="Angsana New" w:cs="Angsana New"/>
          <w:snapToGrid w:val="0"/>
          <w:kern w:val="22"/>
        </w:rPr>
        <w:footnoteReference w:id="10"/>
      </w:r>
      <w:r w:rsidRPr="00EC2231">
        <w:rPr>
          <w:snapToGrid w:val="0"/>
          <w:kern w:val="22"/>
          <w:lang w:val="es-ES"/>
        </w:rPr>
        <w:t>.</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EC2231">
        <w:rPr>
          <w:snapToGrid w:val="0"/>
          <w:kern w:val="22"/>
          <w:lang w:val="es-ES"/>
        </w:rPr>
        <w:t>De las 99 Partes que habían presentado un cuarto informe nacional completo hasta el 15 de enero de 2020, un total de 94 de esas Partes también había presentado un segundo informe nacional y 71 habían respondido a la Encuesta. No todas las Partes respondieron a todas las preguntas que figuraban en los informes nacionales ni en la Encuesta. En consecuencia, el número total de Partes a las que se hace referencia en el análisis varía</w:t>
      </w:r>
      <w:r w:rsidR="00617C12">
        <w:rPr>
          <w:snapToGrid w:val="0"/>
          <w:kern w:val="22"/>
          <w:lang w:val="es-ES"/>
        </w:rPr>
        <w:t xml:space="preserve"> en</w:t>
      </w:r>
      <w:r w:rsidRPr="00EC2231">
        <w:rPr>
          <w:snapToGrid w:val="0"/>
          <w:kern w:val="22"/>
          <w:lang w:val="es-ES"/>
        </w:rPr>
        <w:t xml:space="preserve"> los distintos indicadores. </w:t>
      </w:r>
    </w:p>
    <w:p w:rsidR="00775B5A" w:rsidRPr="00EC2231" w:rsidRDefault="00F077D3"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Pr>
          <w:snapToGrid w:val="0"/>
          <w:kern w:val="22"/>
          <w:lang w:val="es-ES"/>
        </w:rPr>
        <w:t>La presente nota</w:t>
      </w:r>
      <w:r w:rsidR="00775B5A" w:rsidRPr="00EC2231">
        <w:rPr>
          <w:snapToGrid w:val="0"/>
          <w:kern w:val="22"/>
          <w:lang w:val="es-ES"/>
        </w:rPr>
        <w:t xml:space="preserve"> proporciona un </w:t>
      </w:r>
      <w:r>
        <w:rPr>
          <w:snapToGrid w:val="0"/>
          <w:kern w:val="22"/>
          <w:lang w:val="es-ES"/>
        </w:rPr>
        <w:t>análisis</w:t>
      </w:r>
      <w:r w:rsidR="00775B5A" w:rsidRPr="00EC2231">
        <w:rPr>
          <w:snapToGrid w:val="0"/>
          <w:kern w:val="22"/>
          <w:lang w:val="es-ES"/>
        </w:rPr>
        <w:t xml:space="preserve"> de la información obtenida en el cuarto ciclo de presentación de informes (situación actual) y de los cambios notificados desde la base de referencia. Los cambios se presentan como “aumento” (“(+x %)”) o “disminución” (“(-x %)”) y reflejan los cambios netos, no los notific</w:t>
      </w:r>
      <w:r w:rsidR="00775B5A" w:rsidRPr="00617C12">
        <w:rPr>
          <w:snapToGrid w:val="0"/>
          <w:kern w:val="22"/>
          <w:lang w:val="es-ES"/>
        </w:rPr>
        <w:t xml:space="preserve">ados </w:t>
      </w:r>
      <w:r w:rsidR="00617C12" w:rsidRPr="00617C12">
        <w:rPr>
          <w:snapToGrid w:val="0"/>
          <w:kern w:val="22"/>
          <w:lang w:val="es-ES"/>
        </w:rPr>
        <w:t>por las distintas Parte</w:t>
      </w:r>
      <w:r w:rsidR="00775B5A" w:rsidRPr="00617C12">
        <w:rPr>
          <w:snapToGrid w:val="0"/>
          <w:kern w:val="22"/>
          <w:lang w:val="es-ES"/>
        </w:rPr>
        <w:t>s</w:t>
      </w:r>
      <w:r w:rsidR="00775B5A" w:rsidRPr="00617C12">
        <w:rPr>
          <w:rStyle w:val="FootnoteReference"/>
          <w:rFonts w:ascii="Angsana New" w:hAnsi="Angsana New" w:cs="Angsana New"/>
          <w:snapToGrid w:val="0"/>
          <w:kern w:val="22"/>
        </w:rPr>
        <w:footnoteReference w:id="11"/>
      </w:r>
      <w:r w:rsidR="00775B5A" w:rsidRPr="00617C12">
        <w:rPr>
          <w:rFonts w:ascii="Angsana New" w:hAnsi="Angsana New" w:cs="Angsana New"/>
          <w:snapToGrid w:val="0"/>
          <w:kern w:val="22"/>
          <w:lang w:val="es-ES"/>
        </w:rPr>
        <w:t>.</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C2231">
        <w:rPr>
          <w:snapToGrid w:val="0"/>
          <w:kern w:val="22"/>
          <w:lang w:val="es-ES"/>
        </w:rPr>
        <w:t xml:space="preserve">Además de proporcionar información sobre la situación actual y los cambios respecto de la base de referencia a nivel mundial, se proporcionan desgloses regionales de varios indicadores para ayudar a aclarar la situación comunicada o los cambios respecto de la base de referencia a nivel mundial. Como el número de Partes en algunos grupos regionales es limitado, los pequeños cambios pueden dar lugar a grandes diferencias cuando se expresan en porcentajes. </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EC2231">
        <w:rPr>
          <w:snapToGrid w:val="0"/>
          <w:kern w:val="22"/>
          <w:lang w:val="es-ES"/>
        </w:rPr>
        <w:t>El análisis abarca cada uno de los objetivos</w:t>
      </w:r>
      <w:r w:rsidR="00617C12">
        <w:rPr>
          <w:snapToGrid w:val="0"/>
          <w:kern w:val="22"/>
          <w:lang w:val="es-ES"/>
        </w:rPr>
        <w:t xml:space="preserve"> operacionales</w:t>
      </w:r>
      <w:r w:rsidRPr="00EC2231">
        <w:rPr>
          <w:snapToGrid w:val="0"/>
          <w:kern w:val="22"/>
          <w:lang w:val="es-ES"/>
        </w:rPr>
        <w:t xml:space="preserve"> del Plan Estratégico y utiliza los</w:t>
      </w:r>
      <w:r w:rsidR="00617C12">
        <w:rPr>
          <w:snapToGrid w:val="0"/>
          <w:kern w:val="22"/>
          <w:lang w:val="es-ES"/>
        </w:rPr>
        <w:t xml:space="preserve"> </w:t>
      </w:r>
      <w:r w:rsidRPr="00EC2231">
        <w:rPr>
          <w:snapToGrid w:val="0"/>
          <w:kern w:val="22"/>
          <w:lang w:val="es-ES"/>
        </w:rPr>
        <w:t xml:space="preserve">indicadores </w:t>
      </w:r>
      <w:r w:rsidR="00617C12">
        <w:rPr>
          <w:snapToGrid w:val="0"/>
          <w:kern w:val="22"/>
          <w:lang w:val="es-ES"/>
        </w:rPr>
        <w:t>correspondientes</w:t>
      </w:r>
      <w:r w:rsidRPr="00EC2231">
        <w:rPr>
          <w:snapToGrid w:val="0"/>
          <w:kern w:val="22"/>
          <w:lang w:val="es-ES"/>
        </w:rPr>
        <w:t xml:space="preserve"> para evaluar los progresos realizados para el logro de dichos objetivos</w:t>
      </w:r>
      <w:r>
        <w:rPr>
          <w:rStyle w:val="FootnoteReference"/>
          <w:rFonts w:ascii="Angsana New" w:hAnsi="Angsana New" w:cs="Angsana New"/>
          <w:snapToGrid w:val="0"/>
          <w:kern w:val="22"/>
        </w:rPr>
        <w:footnoteReference w:id="12"/>
      </w:r>
      <w:r w:rsidRPr="00EC2231">
        <w:rPr>
          <w:snapToGrid w:val="0"/>
          <w:kern w:val="22"/>
          <w:lang w:val="es-ES"/>
        </w:rPr>
        <w:t>. Algunos indicadores se refieren al “porcentaje de Partes”, mientras que otros</w:t>
      </w:r>
      <w:r w:rsidR="00617C12">
        <w:rPr>
          <w:snapToGrid w:val="0"/>
          <w:kern w:val="22"/>
          <w:lang w:val="es-ES"/>
        </w:rPr>
        <w:t xml:space="preserve"> aluden </w:t>
      </w:r>
      <w:r w:rsidRPr="00EC2231">
        <w:rPr>
          <w:snapToGrid w:val="0"/>
          <w:kern w:val="22"/>
          <w:lang w:val="es-ES"/>
        </w:rPr>
        <w:t>al “número de Partes”</w:t>
      </w:r>
      <w:r w:rsidRPr="00617C12">
        <w:rPr>
          <w:snapToGrid w:val="0"/>
          <w:kern w:val="22"/>
          <w:lang w:val="es-ES"/>
        </w:rPr>
        <w:t>. En consonancia con e</w:t>
      </w:r>
      <w:r w:rsidRPr="00EC2231">
        <w:rPr>
          <w:snapToGrid w:val="0"/>
          <w:kern w:val="22"/>
          <w:lang w:val="es-ES"/>
        </w:rPr>
        <w:t>l análisis preparado para la tercera evaluación y revisión del Protocolo y la evaluación a mitad de período del Plan Estratégico, el presente análisis hace referencia a los porcentajes y también proporciona el número de Partes entre</w:t>
      </w:r>
      <w:r w:rsidR="00617C12">
        <w:rPr>
          <w:snapToGrid w:val="0"/>
          <w:kern w:val="22"/>
          <w:lang w:val="es-ES"/>
        </w:rPr>
        <w:t xml:space="preserve"> paréntesis</w:t>
      </w:r>
      <w:r w:rsidRPr="00EC2231">
        <w:rPr>
          <w:snapToGrid w:val="0"/>
          <w:kern w:val="22"/>
          <w:lang w:val="es-ES"/>
        </w:rPr>
        <w:t xml:space="preserve"> para las cifras a nivel mundia</w:t>
      </w:r>
      <w:r w:rsidRPr="00EC2231">
        <w:rPr>
          <w:kern w:val="22"/>
          <w:lang w:val="es-ES"/>
        </w:rPr>
        <w:t>l. Para los desgloses y tendencias regionales solo se proporcionan porcentajes.</w:t>
      </w:r>
      <w:r w:rsidRPr="00EC2231">
        <w:rPr>
          <w:snapToGrid w:val="0"/>
          <w:kern w:val="22"/>
          <w:lang w:val="es-ES"/>
        </w:rPr>
        <w:t xml:space="preserve"> </w:t>
      </w:r>
    </w:p>
    <w:p w:rsidR="00775B5A" w:rsidRPr="00EC2231" w:rsidRDefault="00775B5A" w:rsidP="001D4EEE">
      <w:pPr>
        <w:keepNext/>
        <w:numPr>
          <w:ilvl w:val="0"/>
          <w:numId w:val="1"/>
        </w:numPr>
        <w:suppressLineNumbers/>
        <w:tabs>
          <w:tab w:val="left" w:pos="993"/>
        </w:tabs>
        <w:suppressAutoHyphens/>
        <w:spacing w:before="120" w:after="120"/>
        <w:ind w:left="993" w:hanging="720"/>
        <w:jc w:val="left"/>
        <w:outlineLvl w:val="0"/>
        <w:rPr>
          <w:b/>
          <w:bCs/>
          <w:caps/>
          <w:snapToGrid w:val="0"/>
          <w:kern w:val="22"/>
          <w:lang w:val="es-ES"/>
        </w:rPr>
      </w:pPr>
      <w:r w:rsidRPr="00EC2231">
        <w:rPr>
          <w:b/>
          <w:bCs/>
          <w:caps/>
          <w:snapToGrid w:val="0"/>
          <w:kern w:val="22"/>
          <w:lang w:val="es-ES"/>
        </w:rPr>
        <w:t>AnÁLISIS DE LA SITUACIÓN Y LAS TENDENCIAS EN LA APLICACIÓN DEL PROTOCOLO DE CARTAGENA SOBRE SEGURIDAD DE LA BIOTECNOLOGÍA</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C2231">
        <w:rPr>
          <w:snapToGrid w:val="0"/>
          <w:kern w:val="22"/>
          <w:lang w:val="es-ES"/>
        </w:rPr>
        <w:t xml:space="preserve">En esta sección se presenta un análisis comparativo de la situación y las tendencias en la aplicación del Protocolo de Cartagena sobre Seguridad de la Biotecnología. </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C2231">
        <w:rPr>
          <w:snapToGrid w:val="0"/>
          <w:kern w:val="22"/>
          <w:lang w:val="es-ES"/>
        </w:rPr>
        <w:t xml:space="preserve">Con el fin de facilitar una evaluación integrada de las tendencias emergentes en la aplicación del Protocolo de Cartagena sobre Seguridad de la Biotecnología y para evitar la duplicación de la información, los </w:t>
      </w:r>
      <w:r w:rsidRPr="00617C12">
        <w:rPr>
          <w:snapToGrid w:val="0"/>
          <w:kern w:val="22"/>
          <w:lang w:val="es-ES"/>
        </w:rPr>
        <w:t>objetivos operacionales conexos del Plan Estratégico se analizan y examinan en 12 ámbitos generales, concretamente:</w:t>
      </w:r>
      <w:r w:rsidRPr="00EC2231">
        <w:rPr>
          <w:snapToGrid w:val="0"/>
          <w:kern w:val="22"/>
          <w:lang w:val="es-ES"/>
        </w:rPr>
        <w:t xml:space="preserve"> marcos nacionales de seguridad de la biotecnología; coordinación y apoyo; evaluación del riesgo y gestión del riesgo; organismos vivos modificados (OVM) o rasgos que puedan tener efectos adversos; responsabilidad y compensación; manipulación, transporte, envasado e identificación; consideraciones socioeconómicas; tránsito, uso confinado, movimientos transfronterizos involuntarios y medidas de emergencia; intercambio de información; cumplimiento y revisión; concienciación y participación del público, educación y capacitación en seguridad de la biotecnología; y divulgación y cooperación.</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EC2231">
        <w:rPr>
          <w:snapToGrid w:val="0"/>
          <w:kern w:val="22"/>
          <w:lang w:val="es-ES"/>
        </w:rPr>
        <w:t>Sobre la base del análisis que figura a continuación, en el documento CBD/SBI/3/3 se incluye un breve resumen de los progresos realizados en cada un</w:t>
      </w:r>
      <w:r w:rsidR="00617C12">
        <w:rPr>
          <w:snapToGrid w:val="0"/>
          <w:kern w:val="22"/>
          <w:lang w:val="es-ES"/>
        </w:rPr>
        <w:t>o</w:t>
      </w:r>
      <w:r w:rsidRPr="00617C12">
        <w:rPr>
          <w:snapToGrid w:val="0"/>
          <w:kern w:val="22"/>
          <w:lang w:val="es-ES"/>
        </w:rPr>
        <w:t xml:space="preserve"> de estos ámbitos.</w:t>
      </w:r>
    </w:p>
    <w:p w:rsidR="00775B5A" w:rsidRPr="00EC2231" w:rsidRDefault="00775B5A" w:rsidP="001D4EEE">
      <w:pPr>
        <w:keepNext/>
        <w:numPr>
          <w:ilvl w:val="0"/>
          <w:numId w:val="3"/>
        </w:numPr>
        <w:suppressLineNumbers/>
        <w:tabs>
          <w:tab w:val="clear" w:pos="2070"/>
          <w:tab w:val="left" w:pos="2340"/>
        </w:tabs>
        <w:suppressAutoHyphens/>
        <w:spacing w:before="120" w:after="120"/>
        <w:ind w:left="2552" w:hanging="709"/>
        <w:jc w:val="left"/>
        <w:outlineLvl w:val="1"/>
        <w:rPr>
          <w:b/>
          <w:bCs/>
          <w:snapToGrid w:val="0"/>
          <w:kern w:val="22"/>
          <w:lang w:val="es-ES"/>
        </w:rPr>
      </w:pPr>
      <w:r w:rsidRPr="00EC2231">
        <w:rPr>
          <w:b/>
          <w:bCs/>
          <w:snapToGrid w:val="0"/>
          <w:kern w:val="22"/>
          <w:lang w:val="es-ES"/>
        </w:rPr>
        <w:lastRenderedPageBreak/>
        <w:t>Marcos nacionales de seguridad de la biotecnología (objetivos operacionales 1.1 y 2.1)</w:t>
      </w:r>
    </w:p>
    <w:p w:rsidR="00775B5A" w:rsidRPr="00EC2231" w:rsidRDefault="00775B5A">
      <w:pPr>
        <w:keepNext/>
        <w:suppressLineNumbers/>
        <w:suppressAutoHyphens/>
        <w:spacing w:before="120" w:after="120"/>
        <w:textAlignment w:val="baseline"/>
        <w:outlineLvl w:val="2"/>
        <w:rPr>
          <w:b/>
          <w:bCs/>
          <w:snapToGrid w:val="0"/>
          <w:kern w:val="22"/>
          <w:lang w:val="es-ES"/>
        </w:rPr>
      </w:pPr>
      <w:r w:rsidRPr="00EC2231">
        <w:rPr>
          <w:b/>
          <w:bCs/>
          <w:snapToGrid w:val="0"/>
          <w:kern w:val="22"/>
          <w:lang w:val="es-ES"/>
        </w:rPr>
        <w:t>Objetivo operacional 1.1: Marcos nacionales de seguridad de la biotecnología</w:t>
      </w:r>
    </w:p>
    <w:p w:rsidR="00775B5A" w:rsidRPr="0095007E" w:rsidRDefault="00775B5A"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C2231">
        <w:rPr>
          <w:snapToGrid w:val="0"/>
          <w:kern w:val="22"/>
          <w:lang w:val="es-ES"/>
        </w:rPr>
        <w:t>La finalidad</w:t>
      </w:r>
      <w:r w:rsidRPr="00EC2231">
        <w:rPr>
          <w:lang w:val="es-ES"/>
        </w:rPr>
        <w:t xml:space="preserve"> del objetivo operacional 1.1 es habilitar a todas las Partes a disponer y tener vigentes marcos nacionales de seguridad de la biotecnología para la aplicación del Protocolo. Se establecieron cinco indicadores para medir el avance hacia la consecución de este objetivo operacional</w:t>
      </w:r>
      <w:r w:rsidRPr="00EC2231">
        <w:rPr>
          <w:snapToGrid w:val="0"/>
          <w:kern w:val="22"/>
          <w:lang w:val="es-ES"/>
        </w:rPr>
        <w:t>.</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C2231">
        <w:rPr>
          <w:snapToGrid w:val="0"/>
          <w:kern w:val="22"/>
          <w:lang w:val="es-ES"/>
        </w:rPr>
        <w:t xml:space="preserve">En lo tocante al </w:t>
      </w:r>
      <w:r w:rsidRPr="00EC2231">
        <w:rPr>
          <w:b/>
          <w:bCs/>
          <w:snapToGrid w:val="0"/>
          <w:kern w:val="22"/>
          <w:lang w:val="es-ES"/>
        </w:rPr>
        <w:t>indicador 1.1.1</w:t>
      </w:r>
      <w:r w:rsidRPr="00EC2231">
        <w:rPr>
          <w:snapToGrid w:val="0"/>
          <w:kern w:val="22"/>
          <w:lang w:val="es-ES"/>
        </w:rPr>
        <w:t xml:space="preserve"> </w:t>
      </w:r>
      <w:r w:rsidRPr="00EC2231">
        <w:rPr>
          <w:lang w:val="es-ES"/>
        </w:rPr>
        <w:t>(el número de Partes, en particular centros de origen, que tienen en vigencia legislación nacional sobre seguridad de la biotecnología y directrices de aplicación a más tardar 6 años después de la adhesión al Protocolo o la ratificación de este),</w:t>
      </w:r>
      <w:r w:rsidRPr="00EC2231">
        <w:rPr>
          <w:snapToGrid w:val="0"/>
          <w:kern w:val="22"/>
          <w:lang w:val="es-ES"/>
        </w:rPr>
        <w:t xml:space="preserve"> el 55 % de las Partes (51 Partes) notific</w:t>
      </w:r>
      <w:r w:rsidR="00617C12">
        <w:rPr>
          <w:snapToGrid w:val="0"/>
          <w:kern w:val="22"/>
          <w:lang w:val="es-ES"/>
        </w:rPr>
        <w:t>ó</w:t>
      </w:r>
      <w:r w:rsidRPr="00EC2231">
        <w:rPr>
          <w:snapToGrid w:val="0"/>
          <w:kern w:val="22"/>
          <w:lang w:val="es-ES"/>
        </w:rPr>
        <w:t xml:space="preserve"> </w:t>
      </w:r>
      <w:r w:rsidRPr="00EC2231">
        <w:rPr>
          <w:lang w:val="es-ES"/>
        </w:rPr>
        <w:t xml:space="preserve">que había introducido plenamente las medidas jurídicas, administrativas y de otro tipo necesarias para la aplicación del </w:t>
      </w:r>
      <w:r w:rsidRPr="00EC2231">
        <w:rPr>
          <w:snapToGrid w:val="0"/>
          <w:kern w:val="22"/>
          <w:lang w:val="es-ES"/>
        </w:rPr>
        <w:t xml:space="preserve">Protocolo, </w:t>
      </w:r>
      <w:r w:rsidRPr="00EC2231">
        <w:rPr>
          <w:lang w:val="es-ES"/>
        </w:rPr>
        <w:t xml:space="preserve">lo que representa un incremento de un </w:t>
      </w:r>
      <w:r w:rsidRPr="00EC2231">
        <w:rPr>
          <w:snapToGrid w:val="0"/>
          <w:kern w:val="22"/>
          <w:lang w:val="es-ES"/>
        </w:rPr>
        <w:t xml:space="preserve">8 % (7 Partes) desde los datos básicos de referencia. Hay diferencias regionales sustanciales. Todas </w:t>
      </w:r>
      <w:r w:rsidRPr="00EC2231">
        <w:rPr>
          <w:lang w:val="es-ES"/>
        </w:rPr>
        <w:t>las partes del grupo de Estados de Europa Occidental y otros</w:t>
      </w:r>
      <w:r w:rsidRPr="00EC2231">
        <w:rPr>
          <w:snapToGrid w:val="0"/>
          <w:kern w:val="22"/>
          <w:lang w:val="es-ES"/>
        </w:rPr>
        <w:t xml:space="preserve"> (+ 6 %)</w:t>
      </w:r>
      <w:r w:rsidR="00617C12">
        <w:rPr>
          <w:snapToGrid w:val="0"/>
          <w:kern w:val="22"/>
          <w:lang w:val="es-ES"/>
        </w:rPr>
        <w:t>,</w:t>
      </w:r>
      <w:r w:rsidRPr="00EC2231">
        <w:rPr>
          <w:snapToGrid w:val="0"/>
          <w:kern w:val="22"/>
          <w:lang w:val="es-ES"/>
        </w:rPr>
        <w:t xml:space="preserve"> el 81 % de las Partes en la región de Europa Central y Oriental (ECO) (+ 6 %)</w:t>
      </w:r>
      <w:r w:rsidR="00617C12">
        <w:rPr>
          <w:snapToGrid w:val="0"/>
          <w:kern w:val="22"/>
          <w:lang w:val="es-ES"/>
        </w:rPr>
        <w:t>,</w:t>
      </w:r>
      <w:r w:rsidRPr="00EC2231">
        <w:rPr>
          <w:snapToGrid w:val="0"/>
          <w:kern w:val="22"/>
          <w:lang w:val="es-ES"/>
        </w:rPr>
        <w:t xml:space="preserve"> el 63 % de las Partes en la región de Asia</w:t>
      </w:r>
      <w:r w:rsidRPr="00EC2231">
        <w:rPr>
          <w:rFonts w:ascii="Angsana New" w:hAnsi="Angsana New" w:cs="Angsana New"/>
          <w:snapToGrid w:val="0"/>
          <w:kern w:val="22"/>
          <w:lang w:val="es-ES"/>
        </w:rPr>
        <w:t>-</w:t>
      </w:r>
      <w:r w:rsidRPr="00EC2231">
        <w:rPr>
          <w:snapToGrid w:val="0"/>
          <w:kern w:val="22"/>
          <w:lang w:val="es-ES"/>
        </w:rPr>
        <w:t>Pacífico (+ 6 %)</w:t>
      </w:r>
      <w:r w:rsidR="00617C12">
        <w:rPr>
          <w:snapToGrid w:val="0"/>
          <w:kern w:val="22"/>
          <w:lang w:val="es-ES"/>
        </w:rPr>
        <w:t>,</w:t>
      </w:r>
      <w:r w:rsidRPr="00EC2231">
        <w:rPr>
          <w:snapToGrid w:val="0"/>
          <w:kern w:val="22"/>
          <w:lang w:val="es-ES"/>
        </w:rPr>
        <w:t xml:space="preserve"> el 30 % de las Partes en la región de África (+ 10 %) y el 8 % de las Partes de América Latina y el Caribe (GRULAC) (+ 8 %) </w:t>
      </w:r>
      <w:r w:rsidRPr="00EC2231">
        <w:rPr>
          <w:lang w:val="es-ES"/>
        </w:rPr>
        <w:t>notificaron que habían introducido plenamente las medidas</w:t>
      </w:r>
      <w:r w:rsidRPr="00EC2231">
        <w:rPr>
          <w:snapToGrid w:val="0"/>
          <w:kern w:val="22"/>
          <w:lang w:val="es-ES"/>
        </w:rPr>
        <w:t xml:space="preserve">. </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EC2231">
        <w:rPr>
          <w:snapToGrid w:val="0"/>
          <w:kern w:val="22"/>
          <w:lang w:val="es-ES"/>
        </w:rPr>
        <w:t xml:space="preserve">Un total del 39 % de las Partes (36 Partes) notificó que las medidas nacionales </w:t>
      </w:r>
      <w:r w:rsidRPr="00EC2231">
        <w:rPr>
          <w:lang w:val="es-ES"/>
        </w:rPr>
        <w:t>se encuentran parcialmente en vigor</w:t>
      </w:r>
      <w:r w:rsidRPr="00EC2231">
        <w:rPr>
          <w:snapToGrid w:val="0"/>
          <w:kern w:val="22"/>
          <w:lang w:val="es-ES"/>
        </w:rPr>
        <w:t xml:space="preserve">, una disminución del 1 % con respecto a los datos básicos de referencia. A nivel regional, el 77 % de las Partes en la región del </w:t>
      </w:r>
      <w:r w:rsidR="007A67EE">
        <w:rPr>
          <w:snapToGrid w:val="0"/>
          <w:kern w:val="22"/>
          <w:lang w:val="es-ES"/>
        </w:rPr>
        <w:t xml:space="preserve">grupo de países de América Latina y el Caribe </w:t>
      </w:r>
      <w:r w:rsidRPr="00EC2231">
        <w:rPr>
          <w:snapToGrid w:val="0"/>
          <w:kern w:val="22"/>
          <w:lang w:val="es-ES"/>
        </w:rPr>
        <w:t>(+ 8 %), el 57 % de las Partes en África (sin cambios respecto de los datos básicos de referencia), el 38 % de las Partes en Asia</w:t>
      </w:r>
      <w:r w:rsidR="00F077D3">
        <w:rPr>
          <w:snapToGrid w:val="0"/>
          <w:kern w:val="22"/>
          <w:lang w:val="es-ES"/>
        </w:rPr>
        <w:t xml:space="preserve"> y el Pacífico</w:t>
      </w:r>
      <w:r w:rsidRPr="00EC2231">
        <w:rPr>
          <w:snapToGrid w:val="0"/>
          <w:kern w:val="22"/>
          <w:lang w:val="es-ES"/>
        </w:rPr>
        <w:t xml:space="preserve"> (</w:t>
      </w:r>
      <w:r w:rsidRPr="00EC2231">
        <w:rPr>
          <w:rFonts w:ascii="Angsana New" w:hAnsi="Angsana New" w:cs="Angsana New"/>
          <w:snapToGrid w:val="0"/>
          <w:kern w:val="22"/>
          <w:lang w:val="es-ES"/>
        </w:rPr>
        <w:t xml:space="preserve">- </w:t>
      </w:r>
      <w:r w:rsidRPr="00EC2231">
        <w:rPr>
          <w:snapToGrid w:val="0"/>
          <w:kern w:val="22"/>
          <w:lang w:val="es-ES"/>
        </w:rPr>
        <w:t xml:space="preserve">6 %), el 19 % de las Partes en </w:t>
      </w:r>
      <w:r w:rsidR="00EA78DC">
        <w:rPr>
          <w:snapToGrid w:val="0"/>
          <w:kern w:val="22"/>
          <w:lang w:val="es-ES"/>
        </w:rPr>
        <w:t>el grupo de países de Europa Central y Oriental</w:t>
      </w:r>
      <w:r w:rsidRPr="00EC2231">
        <w:rPr>
          <w:snapToGrid w:val="0"/>
          <w:kern w:val="22"/>
          <w:lang w:val="es-ES"/>
        </w:rPr>
        <w:t xml:space="preserve"> (sin cambios respecto de los datos básicos de referencia) y ninguna de las Partes del </w:t>
      </w:r>
      <w:r w:rsidRPr="00EC2231">
        <w:rPr>
          <w:lang w:val="es-ES"/>
        </w:rPr>
        <w:t>grupo de Estados de Europa Occidental y otros</w:t>
      </w:r>
      <w:r w:rsidRPr="00EC2231">
        <w:rPr>
          <w:snapToGrid w:val="0"/>
          <w:kern w:val="22"/>
          <w:lang w:val="es-ES"/>
        </w:rPr>
        <w:t xml:space="preserve"> (- 6 %) comunicaron que habían introducido parcialmente las medidas. Se proporciona información más detallada en la esfera J (cumplimiento), en el contexto del indicador 3.1.2, incluid</w:t>
      </w:r>
      <w:r w:rsidR="00030FC1">
        <w:rPr>
          <w:snapToGrid w:val="0"/>
          <w:kern w:val="22"/>
          <w:lang w:val="es-ES"/>
        </w:rPr>
        <w:t>o el gráfico</w:t>
      </w:r>
      <w:r w:rsidRPr="00EC2231">
        <w:rPr>
          <w:snapToGrid w:val="0"/>
          <w:kern w:val="22"/>
          <w:lang w:val="es-ES"/>
        </w:rPr>
        <w:t xml:space="preserve"> 8.</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i/>
          <w:iCs/>
          <w:snapToGrid w:val="0"/>
          <w:kern w:val="22"/>
          <w:lang w:val="es-ES"/>
        </w:rPr>
      </w:pPr>
      <w:r w:rsidRPr="00EC2231">
        <w:rPr>
          <w:snapToGrid w:val="0"/>
          <w:kern w:val="22"/>
          <w:lang w:val="es-ES"/>
        </w:rPr>
        <w:t xml:space="preserve">El </w:t>
      </w:r>
      <w:r w:rsidRPr="00EC2231">
        <w:rPr>
          <w:b/>
          <w:bCs/>
          <w:snapToGrid w:val="0"/>
          <w:kern w:val="22"/>
          <w:lang w:val="es-ES"/>
        </w:rPr>
        <w:t>indicador 1.1.1</w:t>
      </w:r>
      <w:r w:rsidRPr="00EC2231">
        <w:rPr>
          <w:snapToGrid w:val="0"/>
          <w:kern w:val="22"/>
          <w:lang w:val="es-ES"/>
        </w:rPr>
        <w:t xml:space="preserve"> se refiere a las Partes que han adoptado medidas no más de seis años después de haberse convertido en una Parte en el Protocolo. Desde diciembre de 2013, un total de cuatro países han pasado a ser Partes en el Protocolo</w:t>
      </w:r>
      <w:r>
        <w:rPr>
          <w:rStyle w:val="FootnoteReference"/>
          <w:rFonts w:ascii="Angsana New" w:hAnsi="Angsana New" w:cs="Angsana New"/>
          <w:snapToGrid w:val="0"/>
          <w:kern w:val="22"/>
        </w:rPr>
        <w:footnoteReference w:id="13"/>
      </w:r>
      <w:r w:rsidRPr="00EC2231">
        <w:rPr>
          <w:snapToGrid w:val="0"/>
          <w:kern w:val="22"/>
          <w:lang w:val="es-ES"/>
        </w:rPr>
        <w:t>. Otro Estado depositó su instrumento de adhesión al Protocolo y pasó a ser una Parte el 23 de enero de 2020</w:t>
      </w:r>
      <w:r>
        <w:rPr>
          <w:rStyle w:val="FootnoteReference"/>
          <w:rFonts w:ascii="Angsana New" w:hAnsi="Angsana New" w:cs="Angsana New"/>
          <w:snapToGrid w:val="0"/>
          <w:kern w:val="22"/>
        </w:rPr>
        <w:footnoteReference w:id="14"/>
      </w:r>
      <w:r w:rsidRPr="00EC2231">
        <w:rPr>
          <w:snapToGrid w:val="0"/>
          <w:kern w:val="22"/>
          <w:lang w:val="es-ES"/>
        </w:rPr>
        <w:t>. El análisis comparativo no refleja los datos proporcionados por estas Partes</w:t>
      </w:r>
      <w:r>
        <w:rPr>
          <w:rStyle w:val="FootnoteReference"/>
          <w:rFonts w:ascii="Angsana New" w:hAnsi="Angsana New" w:cs="Angsana New"/>
          <w:snapToGrid w:val="0"/>
          <w:kern w:val="22"/>
        </w:rPr>
        <w:footnoteReference w:id="15"/>
      </w:r>
      <w:r w:rsidRPr="00EC2231">
        <w:rPr>
          <w:snapToGrid w:val="0"/>
          <w:kern w:val="22"/>
          <w:lang w:val="es-ES"/>
        </w:rPr>
        <w:t>.</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b/>
          <w:bCs/>
          <w:i/>
          <w:iCs/>
          <w:snapToGrid w:val="0"/>
          <w:kern w:val="22"/>
          <w:lang w:val="es-ES"/>
        </w:rPr>
      </w:pPr>
      <w:r w:rsidRPr="00EC2231">
        <w:rPr>
          <w:lang w:val="es-ES"/>
        </w:rPr>
        <w:t xml:space="preserve">De entre las Partes que han comunicado haber introducido plena o parcialmente las medidas jurídicas, administrativas y de otro tipo necesarias para la aplicación del </w:t>
      </w:r>
      <w:r w:rsidRPr="00EC2231">
        <w:rPr>
          <w:snapToGrid w:val="0"/>
          <w:kern w:val="22"/>
          <w:lang w:val="es-ES"/>
        </w:rPr>
        <w:t>Protocolo, 24 pertenecen a centros de origen (sin cambios respecto de los datos básicos de referencia)</w:t>
      </w:r>
      <w:r>
        <w:rPr>
          <w:rStyle w:val="FootnoteReference"/>
          <w:rFonts w:ascii="Angsana New" w:hAnsi="Angsana New" w:cs="Angsana New"/>
          <w:snapToGrid w:val="0"/>
          <w:kern w:val="22"/>
        </w:rPr>
        <w:footnoteReference w:id="16"/>
      </w:r>
      <w:r w:rsidRPr="00EC2231">
        <w:rPr>
          <w:snapToGrid w:val="0"/>
          <w:kern w:val="22"/>
          <w:lang w:val="es-ES"/>
        </w:rPr>
        <w:t xml:space="preserve">. Un total de 13 de estas Partes notificaron que </w:t>
      </w:r>
      <w:r w:rsidRPr="00EC2231">
        <w:rPr>
          <w:lang w:val="es-ES"/>
        </w:rPr>
        <w:t>disponen de plenas medidas en vigor y en funcionamiento</w:t>
      </w:r>
      <w:r w:rsidRPr="00EC2231">
        <w:rPr>
          <w:snapToGrid w:val="0"/>
          <w:kern w:val="22"/>
          <w:lang w:val="es-ES"/>
        </w:rPr>
        <w:t>, un aumento de 1 Parte, en comparación con los datos básicos de referencia.</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C2231">
        <w:rPr>
          <w:snapToGrid w:val="0"/>
          <w:kern w:val="22"/>
          <w:lang w:val="es-ES"/>
        </w:rPr>
        <w:t xml:space="preserve">Con respecto a los tipos específicos de instrumentos que las Partes han notificado que tienen en vigor para la aplicación del Protocolo, 80 Partes comunicaron que contaban con una o más leyes, reglamentos o directrices sobre seguridad de la biotecnología. En comparación con los datos básicos de referencia, 10 Partes más comunicaron que tenían una o más leyes de seguridad de la biotecnología, 12 </w:t>
      </w:r>
      <w:r w:rsidRPr="00EC2231">
        <w:rPr>
          <w:snapToGrid w:val="0"/>
          <w:kern w:val="22"/>
          <w:lang w:val="es-ES"/>
        </w:rPr>
        <w:lastRenderedPageBreak/>
        <w:t>Partes más informaron que tenían uno o más reglamentos en materia de seguridad de la biotecnología y 12 Partes más notificaron que tenían uno o más conjuntos de directrices sobre seguridad de la biotecnología</w:t>
      </w:r>
      <w:r>
        <w:rPr>
          <w:rStyle w:val="FootnoteReference"/>
          <w:rFonts w:ascii="Angsana New" w:hAnsi="Angsana New" w:cs="Angsana New"/>
          <w:snapToGrid w:val="0"/>
          <w:kern w:val="22"/>
        </w:rPr>
        <w:footnoteReference w:id="17"/>
      </w:r>
      <w:r w:rsidRPr="00EC2231">
        <w:rPr>
          <w:snapToGrid w:val="0"/>
          <w:kern w:val="22"/>
          <w:lang w:val="es-ES"/>
        </w:rPr>
        <w:t xml:space="preserve">. Un total de 55 Partes informaron que contaban con otras leyes, reglamentos o directrices vigentes que se aplican indirectamente a la seguridad de la biotecnología (1 Parte menos que en los datos básicos de referencia). Un total de 5 Partes </w:t>
      </w:r>
      <w:r w:rsidR="00C97D71">
        <w:rPr>
          <w:snapToGrid w:val="0"/>
          <w:kern w:val="22"/>
          <w:lang w:val="es-ES"/>
        </w:rPr>
        <w:t>indicaron</w:t>
      </w:r>
      <w:r w:rsidRPr="00EC2231">
        <w:rPr>
          <w:snapToGrid w:val="0"/>
          <w:color w:val="FF0000"/>
          <w:kern w:val="22"/>
          <w:lang w:val="es-ES"/>
        </w:rPr>
        <w:t xml:space="preserve"> </w:t>
      </w:r>
      <w:r w:rsidRPr="00EC2231">
        <w:rPr>
          <w:snapToGrid w:val="0"/>
          <w:kern w:val="22"/>
          <w:lang w:val="es-ES"/>
        </w:rPr>
        <w:t xml:space="preserve">que no disponían de ningún instrumento, lo que no representa ningún cambio con respecto a los datos básicos de referencia. Muchas Partes que comunicaron que contaban con instrumentos específicos en materia de seguridad de la biotecnología también </w:t>
      </w:r>
      <w:r w:rsidR="00C97D71">
        <w:rPr>
          <w:snapToGrid w:val="0"/>
          <w:kern w:val="22"/>
          <w:lang w:val="es-ES"/>
        </w:rPr>
        <w:t xml:space="preserve">señalaron </w:t>
      </w:r>
      <w:r w:rsidRPr="00EC2231">
        <w:rPr>
          <w:snapToGrid w:val="0"/>
          <w:kern w:val="22"/>
          <w:lang w:val="es-ES"/>
        </w:rPr>
        <w:t>que existían otros instrumentos que se aplicaban indirectamente a la seguridad de la biotecnología.</w:t>
      </w:r>
    </w:p>
    <w:p w:rsidR="00775B5A" w:rsidRPr="009E2687" w:rsidRDefault="00775B5A" w:rsidP="001D4EEE">
      <w:pPr>
        <w:pStyle w:val="ListParagraph"/>
        <w:numPr>
          <w:ilvl w:val="0"/>
          <w:numId w:val="2"/>
        </w:numPr>
        <w:tabs>
          <w:tab w:val="clear" w:pos="3240"/>
        </w:tabs>
        <w:snapToGrid w:val="0"/>
        <w:spacing w:before="120" w:after="120"/>
        <w:ind w:left="0" w:firstLine="0"/>
        <w:rPr>
          <w:rFonts w:ascii="Angsana New" w:hAnsi="Angsana New" w:cs="Angsana New"/>
          <w:snapToGrid w:val="0"/>
          <w:kern w:val="22"/>
          <w:lang w:val="es-ES"/>
        </w:rPr>
      </w:pPr>
      <w:r w:rsidRPr="00EC2231">
        <w:rPr>
          <w:snapToGrid w:val="0"/>
          <w:kern w:val="22"/>
          <w:lang w:val="es-ES"/>
        </w:rPr>
        <w:t xml:space="preserve">En sus </w:t>
      </w:r>
      <w:r w:rsidRPr="00C97D71">
        <w:rPr>
          <w:snapToGrid w:val="0"/>
          <w:kern w:val="22"/>
          <w:lang w:val="es-ES"/>
        </w:rPr>
        <w:t>contribuciones</w:t>
      </w:r>
      <w:r w:rsidR="00C97D71" w:rsidRPr="00C97D71">
        <w:rPr>
          <w:snapToGrid w:val="0"/>
          <w:kern w:val="22"/>
          <w:lang w:val="es-ES"/>
        </w:rPr>
        <w:t xml:space="preserve"> </w:t>
      </w:r>
      <w:r w:rsidRPr="00C97D71">
        <w:rPr>
          <w:snapToGrid w:val="0"/>
          <w:kern w:val="22"/>
          <w:lang w:val="es-ES"/>
        </w:rPr>
        <w:t>presentadas por escrito, varias Partes explicaron las dificultades a las que se enfrentan para adoptar medidas jurídicas, administrativas y de</w:t>
      </w:r>
      <w:r w:rsidR="00C97D71" w:rsidRPr="00C97D71">
        <w:rPr>
          <w:snapToGrid w:val="0"/>
          <w:kern w:val="22"/>
          <w:lang w:val="es-ES"/>
        </w:rPr>
        <w:t xml:space="preserve"> </w:t>
      </w:r>
      <w:r w:rsidRPr="00C97D71">
        <w:rPr>
          <w:snapToGrid w:val="0"/>
          <w:kern w:val="22"/>
          <w:lang w:val="es-ES"/>
        </w:rPr>
        <w:t>otro tipo para aplicar</w:t>
      </w:r>
      <w:r w:rsidRPr="00EC2231">
        <w:rPr>
          <w:snapToGrid w:val="0"/>
          <w:kern w:val="22"/>
          <w:lang w:val="es-ES"/>
        </w:rPr>
        <w:t xml:space="preserve"> el Protocolo. Varias Partes indicaron que se estaban elaborando o se habían elaborado instrumentos jurídicos, pero que estaban pendientes de aprobación. Algunas de esas Partes indicaron que se espera que la adopción de esos instrumentos fortalezca las estructuras institucionales y mejore la disponibilidad de recursos. Algunas Partes mencionaron la importancia de la integración de la seguridad de la biotecnología en una serie de políticas sectoriales e intersectoriales e instrumentos jurídicos. </w:t>
      </w:r>
      <w:r w:rsidR="009E2687" w:rsidRPr="009E2687">
        <w:rPr>
          <w:snapToGrid w:val="0"/>
          <w:kern w:val="22"/>
          <w:lang w:val="es-ES"/>
        </w:rPr>
        <w:t>Algunas Partes comunicaron que habían abordado eficazmente la seguridad de la biotecnolog</w:t>
      </w:r>
      <w:r w:rsidR="009E2687">
        <w:rPr>
          <w:snapToGrid w:val="0"/>
          <w:kern w:val="22"/>
          <w:lang w:val="es-ES"/>
        </w:rPr>
        <w:t xml:space="preserve">ía en sus políticas o leyes sectoriales o intersectoriales. </w:t>
      </w:r>
      <w:r w:rsidR="009E2687" w:rsidRPr="009E2687">
        <w:rPr>
          <w:snapToGrid w:val="0"/>
          <w:kern w:val="22"/>
          <w:lang w:val="es-ES"/>
        </w:rPr>
        <w:t xml:space="preserve">Varias </w:t>
      </w:r>
      <w:r w:rsidRPr="009E2687">
        <w:rPr>
          <w:snapToGrid w:val="0"/>
          <w:kern w:val="22"/>
          <w:lang w:val="es-ES"/>
        </w:rPr>
        <w:t xml:space="preserve">Partes </w:t>
      </w:r>
      <w:r w:rsidR="009E2687" w:rsidRPr="009E2687">
        <w:rPr>
          <w:snapToGrid w:val="0"/>
          <w:kern w:val="22"/>
          <w:lang w:val="es-ES"/>
        </w:rPr>
        <w:t>indicaron que la falta de recursos y capacidades había afectado negativamente la aplicaci</w:t>
      </w:r>
      <w:r w:rsidR="009E2687">
        <w:rPr>
          <w:snapToGrid w:val="0"/>
          <w:kern w:val="22"/>
          <w:lang w:val="es-ES"/>
        </w:rPr>
        <w:t xml:space="preserve">ón del </w:t>
      </w:r>
      <w:r w:rsidRPr="009E2687">
        <w:rPr>
          <w:snapToGrid w:val="0"/>
          <w:kern w:val="22"/>
          <w:lang w:val="es-ES"/>
        </w:rPr>
        <w:t>Protocol</w:t>
      </w:r>
      <w:r w:rsidR="009E2687">
        <w:rPr>
          <w:snapToGrid w:val="0"/>
          <w:kern w:val="22"/>
          <w:lang w:val="es-ES"/>
        </w:rPr>
        <w:t>o</w:t>
      </w:r>
      <w:r w:rsidRPr="009E2687">
        <w:rPr>
          <w:snapToGrid w:val="0"/>
          <w:kern w:val="22"/>
          <w:lang w:val="es-ES"/>
        </w:rPr>
        <w:t>.</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C2231">
        <w:rPr>
          <w:snapToGrid w:val="0"/>
          <w:kern w:val="22"/>
          <w:lang w:val="es-ES"/>
        </w:rPr>
        <w:t xml:space="preserve">En lo tocante al </w:t>
      </w:r>
      <w:r w:rsidRPr="00EC2231">
        <w:rPr>
          <w:b/>
          <w:bCs/>
          <w:snapToGrid w:val="0"/>
          <w:kern w:val="22"/>
          <w:lang w:val="es-ES"/>
        </w:rPr>
        <w:t>indicador 1.1.2</w:t>
      </w:r>
      <w:r w:rsidRPr="00EC2231">
        <w:rPr>
          <w:snapToGrid w:val="0"/>
          <w:kern w:val="22"/>
          <w:lang w:val="es-ES"/>
        </w:rPr>
        <w:t xml:space="preserve"> (el porcentaje de Partes que han establecido normas y procedimientos administrativos para tramitar las notificaciones y solicitudes de aprobación de importación de OVM destinados para el uso directo como alimento humano o animal, o para procesamiento </w:t>
      </w:r>
      <w:r w:rsidRPr="00EC2231">
        <w:rPr>
          <w:lang w:val="es-ES"/>
        </w:rPr>
        <w:t>(OVM-AHAP</w:t>
      </w:r>
      <w:r w:rsidRPr="00EC2231">
        <w:rPr>
          <w:snapToGrid w:val="0"/>
          <w:kern w:val="22"/>
          <w:lang w:val="es-ES"/>
        </w:rPr>
        <w:t>); uso confinado y para introducción en el medio ambiente), un total de un 83 % de las Partes (77 P</w:t>
      </w:r>
      <w:r w:rsidR="00C97D71">
        <w:rPr>
          <w:snapToGrid w:val="0"/>
          <w:kern w:val="22"/>
          <w:lang w:val="es-ES"/>
        </w:rPr>
        <w:t xml:space="preserve">artes) comunicó </w:t>
      </w:r>
      <w:r w:rsidRPr="00EC2231">
        <w:rPr>
          <w:snapToGrid w:val="0"/>
          <w:kern w:val="22"/>
          <w:lang w:val="es-ES"/>
        </w:rPr>
        <w:t>que contaba con leyes, reglamentos o medidas administrativas para la toma de decisiones relativas a la importación de OVM para el uso directo como alimento humano o animal, o para procesamiento, lo que representa un aumento de un 13 % con respecto a los datos básicos de referencia. Se informó de aumentos en todas las regiones (</w:t>
      </w:r>
      <w:r w:rsidR="007A67EE">
        <w:rPr>
          <w:snapToGrid w:val="0"/>
          <w:kern w:val="22"/>
          <w:lang w:val="es-ES"/>
        </w:rPr>
        <w:t>grupo de países de América Latina y el Caribe</w:t>
      </w:r>
      <w:r w:rsidR="007A67EE" w:rsidRPr="00EC2231">
        <w:rPr>
          <w:snapToGrid w:val="0"/>
          <w:kern w:val="22"/>
          <w:lang w:val="es-ES"/>
        </w:rPr>
        <w:t xml:space="preserve"> </w:t>
      </w:r>
      <w:r w:rsidRPr="00EC2231">
        <w:rPr>
          <w:snapToGrid w:val="0"/>
          <w:kern w:val="22"/>
          <w:lang w:val="es-ES"/>
        </w:rPr>
        <w:t>+ 31 %</w:t>
      </w:r>
      <w:r w:rsidR="00C97D71">
        <w:rPr>
          <w:snapToGrid w:val="0"/>
          <w:kern w:val="22"/>
          <w:lang w:val="es-ES"/>
        </w:rPr>
        <w:t>,</w:t>
      </w:r>
      <w:r w:rsidRPr="00EC2231">
        <w:rPr>
          <w:snapToGrid w:val="0"/>
          <w:kern w:val="22"/>
          <w:lang w:val="es-ES"/>
        </w:rPr>
        <w:t xml:space="preserve"> Asia</w:t>
      </w:r>
      <w:r w:rsidR="004A084B">
        <w:rPr>
          <w:snapToGrid w:val="0"/>
          <w:kern w:val="22"/>
          <w:lang w:val="es-ES"/>
        </w:rPr>
        <w:t xml:space="preserve"> y el </w:t>
      </w:r>
      <w:r w:rsidR="00C97D71">
        <w:rPr>
          <w:snapToGrid w:val="0"/>
          <w:kern w:val="22"/>
          <w:lang w:val="es-ES"/>
        </w:rPr>
        <w:t>Pacífico + 19 %,</w:t>
      </w:r>
      <w:r w:rsidRPr="00EC2231">
        <w:rPr>
          <w:snapToGrid w:val="0"/>
          <w:kern w:val="22"/>
          <w:lang w:val="es-ES"/>
        </w:rPr>
        <w:t xml:space="preserve"> </w:t>
      </w:r>
      <w:r w:rsidRPr="00EC2231">
        <w:rPr>
          <w:lang w:val="es-ES"/>
        </w:rPr>
        <w:t>grupo de Estados de Europa Occidental y otros</w:t>
      </w:r>
      <w:r w:rsidR="00C97D71">
        <w:rPr>
          <w:snapToGrid w:val="0"/>
          <w:kern w:val="22"/>
          <w:lang w:val="es-ES"/>
        </w:rPr>
        <w:t xml:space="preserve"> + 11 %,</w:t>
      </w:r>
      <w:r w:rsidRPr="00EC2231">
        <w:rPr>
          <w:snapToGrid w:val="0"/>
          <w:kern w:val="22"/>
          <w:lang w:val="es-ES"/>
        </w:rPr>
        <w:t xml:space="preserve"> África + 7 %</w:t>
      </w:r>
      <w:r w:rsidR="00C97D71">
        <w:rPr>
          <w:snapToGrid w:val="0"/>
          <w:kern w:val="22"/>
          <w:lang w:val="es-ES"/>
        </w:rPr>
        <w:t>,</w:t>
      </w:r>
      <w:r w:rsidRPr="00EC2231">
        <w:rPr>
          <w:snapToGrid w:val="0"/>
          <w:kern w:val="22"/>
          <w:lang w:val="es-ES"/>
        </w:rPr>
        <w:t xml:space="preserve"> </w:t>
      </w:r>
      <w:r w:rsidR="00EA78DC">
        <w:rPr>
          <w:snapToGrid w:val="0"/>
          <w:kern w:val="22"/>
          <w:lang w:val="es-ES"/>
        </w:rPr>
        <w:t>grupo de Estados de Europa Central y Oriental</w:t>
      </w:r>
      <w:r w:rsidRPr="00EC2231">
        <w:rPr>
          <w:snapToGrid w:val="0"/>
          <w:kern w:val="22"/>
          <w:lang w:val="es-ES"/>
        </w:rPr>
        <w:t xml:space="preserve"> + 6 %).</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C2231">
        <w:rPr>
          <w:snapToGrid w:val="0"/>
          <w:kern w:val="22"/>
          <w:lang w:val="es-ES"/>
        </w:rPr>
        <w:t>Un total de un 80 % de las Partes (74 Partes</w:t>
      </w:r>
      <w:r w:rsidR="00C97D71">
        <w:rPr>
          <w:snapToGrid w:val="0"/>
          <w:kern w:val="22"/>
          <w:lang w:val="es-ES"/>
        </w:rPr>
        <w:t>) comunicó</w:t>
      </w:r>
      <w:r w:rsidRPr="00EC2231">
        <w:rPr>
          <w:snapToGrid w:val="0"/>
          <w:kern w:val="22"/>
          <w:lang w:val="es-ES"/>
        </w:rPr>
        <w:t xml:space="preserve"> que regula el uso confinado, un aumento del 7 % con respecto a los datos básicos de referencia. Se ha informado de aumentos en Asia</w:t>
      </w:r>
      <w:r w:rsidR="004A084B">
        <w:rPr>
          <w:snapToGrid w:val="0"/>
          <w:kern w:val="22"/>
          <w:lang w:val="es-ES"/>
        </w:rPr>
        <w:t xml:space="preserve"> y el </w:t>
      </w:r>
      <w:r w:rsidRPr="00EC2231">
        <w:rPr>
          <w:snapToGrid w:val="0"/>
          <w:kern w:val="22"/>
          <w:lang w:val="es-ES"/>
        </w:rPr>
        <w:t xml:space="preserve">Pacífico (+ 19 %), </w:t>
      </w:r>
      <w:r w:rsidR="00EA78DC">
        <w:rPr>
          <w:snapToGrid w:val="0"/>
          <w:kern w:val="22"/>
          <w:lang w:val="es-ES"/>
        </w:rPr>
        <w:t>grupo de Estados de Europa Central y Oriental</w:t>
      </w:r>
      <w:r w:rsidRPr="00EC2231">
        <w:rPr>
          <w:snapToGrid w:val="0"/>
          <w:kern w:val="22"/>
          <w:lang w:val="es-ES"/>
        </w:rPr>
        <w:t xml:space="preserve"> (+ 13 %) y </w:t>
      </w:r>
      <w:r w:rsidR="007A67EE">
        <w:rPr>
          <w:snapToGrid w:val="0"/>
          <w:kern w:val="22"/>
          <w:lang w:val="es-ES"/>
        </w:rPr>
        <w:t>el grupo de países de América Latina y el Caribe</w:t>
      </w:r>
      <w:r w:rsidR="007A67EE" w:rsidRPr="00EC2231">
        <w:rPr>
          <w:snapToGrid w:val="0"/>
          <w:kern w:val="22"/>
          <w:lang w:val="es-ES"/>
        </w:rPr>
        <w:t xml:space="preserve"> </w:t>
      </w:r>
      <w:r w:rsidRPr="00EC2231">
        <w:rPr>
          <w:snapToGrid w:val="0"/>
          <w:kern w:val="22"/>
          <w:lang w:val="es-ES"/>
        </w:rPr>
        <w:t xml:space="preserve">(+ 7 %), mientras que en África y el grupo de Estados de Europa Occidental y otros no se registró ningún cambio con respecto a los datos básicos de referencia. </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C2231">
        <w:rPr>
          <w:snapToGrid w:val="0"/>
          <w:kern w:val="22"/>
          <w:lang w:val="es-ES"/>
        </w:rPr>
        <w:t>Asimismo, el 66 % de las Partes (61 Partes) comunic</w:t>
      </w:r>
      <w:r w:rsidR="00C97D71">
        <w:rPr>
          <w:snapToGrid w:val="0"/>
          <w:kern w:val="22"/>
          <w:lang w:val="es-ES"/>
        </w:rPr>
        <w:t>ó</w:t>
      </w:r>
      <w:r w:rsidRPr="00EC2231">
        <w:rPr>
          <w:snapToGrid w:val="0"/>
          <w:kern w:val="22"/>
          <w:lang w:val="es-ES"/>
        </w:rPr>
        <w:t xml:space="preserve"> que ha establecido requisitos legales para que los exportadores, con arreglo a su marco nacional, notifiquen por escrito a la autoridad nacional competente de la Parte de importación antes del movimiento transfronterizo intencional de un OVM que </w:t>
      </w:r>
      <w:r w:rsidRPr="00C97D71">
        <w:rPr>
          <w:snapToGrid w:val="0"/>
          <w:kern w:val="22"/>
          <w:lang w:val="es-ES"/>
        </w:rPr>
        <w:t>entre dentro del ámbito</w:t>
      </w:r>
      <w:r w:rsidRPr="00EC2231">
        <w:rPr>
          <w:snapToGrid w:val="0"/>
          <w:kern w:val="22"/>
          <w:lang w:val="es-ES"/>
        </w:rPr>
        <w:t xml:space="preserve"> del procedimiento del Acuerdo fundamentado previo (AFP), un aumento del 5 % con respecto a los datos básicos de referencia. Además, el 10 % de las Partes (9 Partes) comunic</w:t>
      </w:r>
      <w:r w:rsidR="00C97D71">
        <w:rPr>
          <w:snapToGrid w:val="0"/>
          <w:kern w:val="22"/>
          <w:lang w:val="es-ES"/>
        </w:rPr>
        <w:t>ó</w:t>
      </w:r>
      <w:r w:rsidRPr="00EC2231">
        <w:rPr>
          <w:snapToGrid w:val="0"/>
          <w:kern w:val="22"/>
          <w:lang w:val="es-ES"/>
        </w:rPr>
        <w:t xml:space="preserve"> haber establecido dichos requisitos legales para</w:t>
      </w:r>
      <w:r w:rsidR="00C97D71">
        <w:rPr>
          <w:snapToGrid w:val="0"/>
          <w:kern w:val="22"/>
          <w:lang w:val="es-ES"/>
        </w:rPr>
        <w:t xml:space="preserve"> los</w:t>
      </w:r>
      <w:r w:rsidRPr="00EC2231">
        <w:rPr>
          <w:snapToGrid w:val="0"/>
          <w:kern w:val="22"/>
          <w:lang w:val="es-ES"/>
        </w:rPr>
        <w:t xml:space="preserve"> exportadores</w:t>
      </w:r>
      <w:r w:rsidR="00C97D71">
        <w:rPr>
          <w:snapToGrid w:val="0"/>
          <w:kern w:val="22"/>
          <w:lang w:val="es-ES"/>
        </w:rPr>
        <w:t xml:space="preserve"> en cierta medida</w:t>
      </w:r>
      <w:r>
        <w:rPr>
          <w:rStyle w:val="FootnoteReference"/>
          <w:rFonts w:ascii="Angsana New" w:hAnsi="Angsana New" w:cs="Angsana New"/>
          <w:snapToGrid w:val="0"/>
          <w:kern w:val="22"/>
        </w:rPr>
        <w:footnoteReference w:id="18"/>
      </w:r>
      <w:r w:rsidRPr="00EC2231">
        <w:rPr>
          <w:snapToGrid w:val="0"/>
          <w:kern w:val="22"/>
          <w:lang w:val="es-ES"/>
        </w:rPr>
        <w:t>. En conjunto, el 76 % de las Partes inform</w:t>
      </w:r>
      <w:r w:rsidR="00C97D71">
        <w:rPr>
          <w:snapToGrid w:val="0"/>
          <w:kern w:val="22"/>
          <w:lang w:val="es-ES"/>
        </w:rPr>
        <w:t xml:space="preserve">ó </w:t>
      </w:r>
      <w:r w:rsidRPr="00EC2231">
        <w:rPr>
          <w:snapToGrid w:val="0"/>
          <w:kern w:val="22"/>
          <w:lang w:val="es-ES"/>
        </w:rPr>
        <w:t>que había establecido dichos requisitos legales, lo que supone un aumento del 14 %</w:t>
      </w:r>
      <w:r>
        <w:rPr>
          <w:rStyle w:val="FootnoteReference"/>
          <w:rFonts w:ascii="Angsana New" w:hAnsi="Angsana New" w:cs="Angsana New"/>
          <w:snapToGrid w:val="0"/>
          <w:kern w:val="22"/>
        </w:rPr>
        <w:footnoteReference w:id="19"/>
      </w:r>
      <w:r w:rsidRPr="00EC2231">
        <w:rPr>
          <w:snapToGrid w:val="0"/>
          <w:kern w:val="22"/>
          <w:lang w:val="es-ES"/>
        </w:rPr>
        <w:t xml:space="preserve"> con respecto a los datos básicos de referencia (con los cambios regionales siguientes: Asia</w:t>
      </w:r>
      <w:r w:rsidR="004A084B">
        <w:rPr>
          <w:snapToGrid w:val="0"/>
          <w:kern w:val="22"/>
          <w:lang w:val="es-ES"/>
        </w:rPr>
        <w:t xml:space="preserve"> y el </w:t>
      </w:r>
      <w:r w:rsidR="00C97D71">
        <w:rPr>
          <w:snapToGrid w:val="0"/>
          <w:kern w:val="22"/>
          <w:lang w:val="es-ES"/>
        </w:rPr>
        <w:t>Pacífico + 38 %,</w:t>
      </w:r>
      <w:r w:rsidRPr="00EC2231">
        <w:rPr>
          <w:snapToGrid w:val="0"/>
          <w:kern w:val="22"/>
          <w:lang w:val="es-ES"/>
        </w:rPr>
        <w:t xml:space="preserve"> </w:t>
      </w:r>
      <w:r w:rsidR="007A67EE">
        <w:rPr>
          <w:snapToGrid w:val="0"/>
          <w:kern w:val="22"/>
          <w:lang w:val="es-ES"/>
        </w:rPr>
        <w:t>grupo de países de América Latina y el Caribe</w:t>
      </w:r>
      <w:r w:rsidR="007A67EE" w:rsidRPr="00EC2231">
        <w:rPr>
          <w:snapToGrid w:val="0"/>
          <w:kern w:val="22"/>
          <w:lang w:val="es-ES"/>
        </w:rPr>
        <w:t xml:space="preserve"> </w:t>
      </w:r>
      <w:r w:rsidRPr="00EC2231">
        <w:rPr>
          <w:snapToGrid w:val="0"/>
          <w:kern w:val="22"/>
          <w:lang w:val="es-ES"/>
        </w:rPr>
        <w:t>+ 31 %</w:t>
      </w:r>
      <w:r w:rsidR="00C97D71">
        <w:rPr>
          <w:snapToGrid w:val="0"/>
          <w:kern w:val="22"/>
          <w:lang w:val="es-ES"/>
        </w:rPr>
        <w:t>, África + 7 %,</w:t>
      </w:r>
      <w:r w:rsidRPr="00EC2231">
        <w:rPr>
          <w:snapToGrid w:val="0"/>
          <w:kern w:val="22"/>
          <w:lang w:val="es-ES"/>
        </w:rPr>
        <w:t xml:space="preserve"> grupo de Estados de Europa Occidental y otros + 6 %</w:t>
      </w:r>
      <w:r w:rsidR="00C97D71">
        <w:rPr>
          <w:snapToGrid w:val="0"/>
          <w:kern w:val="22"/>
          <w:lang w:val="es-ES"/>
        </w:rPr>
        <w:t>,</w:t>
      </w:r>
      <w:r w:rsidRPr="00EC2231">
        <w:rPr>
          <w:snapToGrid w:val="0"/>
          <w:kern w:val="22"/>
          <w:lang w:val="es-ES"/>
        </w:rPr>
        <w:t xml:space="preserve"> </w:t>
      </w:r>
      <w:r w:rsidR="00EA78DC">
        <w:rPr>
          <w:snapToGrid w:val="0"/>
          <w:kern w:val="22"/>
          <w:lang w:val="es-ES"/>
        </w:rPr>
        <w:t>el grupo de Estados de Europa Central y Oriental</w:t>
      </w:r>
      <w:r w:rsidRPr="00EC2231">
        <w:rPr>
          <w:snapToGrid w:val="0"/>
          <w:kern w:val="22"/>
          <w:lang w:val="es-ES"/>
        </w:rPr>
        <w:t xml:space="preserve"> sin cambios con respecto a los datos básicos de referencia). Un total del 25 % de las Partes (23 Partes) comunic</w:t>
      </w:r>
      <w:r w:rsidR="00C97D71">
        <w:rPr>
          <w:snapToGrid w:val="0"/>
          <w:kern w:val="22"/>
          <w:lang w:val="es-ES"/>
        </w:rPr>
        <w:t>ó</w:t>
      </w:r>
      <w:r w:rsidRPr="00EC2231">
        <w:rPr>
          <w:snapToGrid w:val="0"/>
          <w:kern w:val="22"/>
          <w:lang w:val="es-ES"/>
        </w:rPr>
        <w:t xml:space="preserve"> que no había establecido dichos requisitos legales, lo que representa una disminución del 14 %.</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EC2231">
        <w:rPr>
          <w:snapToGrid w:val="0"/>
          <w:kern w:val="22"/>
          <w:lang w:val="es-ES"/>
        </w:rPr>
        <w:lastRenderedPageBreak/>
        <w:t xml:space="preserve">En lo que al </w:t>
      </w:r>
      <w:r w:rsidRPr="00EC2231">
        <w:rPr>
          <w:b/>
          <w:bCs/>
          <w:snapToGrid w:val="0"/>
          <w:kern w:val="22"/>
          <w:lang w:val="es-ES"/>
        </w:rPr>
        <w:t>indicador 1.1.3</w:t>
      </w:r>
      <w:r w:rsidRPr="00EC2231">
        <w:rPr>
          <w:snapToGrid w:val="0"/>
          <w:kern w:val="22"/>
          <w:lang w:val="es-ES"/>
        </w:rPr>
        <w:t xml:space="preserve"> respecta (el porcentaje de Partes que</w:t>
      </w:r>
      <w:r w:rsidR="00C97D71">
        <w:rPr>
          <w:snapToGrid w:val="0"/>
          <w:kern w:val="22"/>
          <w:lang w:val="es-ES"/>
        </w:rPr>
        <w:t xml:space="preserve"> ha</w:t>
      </w:r>
      <w:r w:rsidRPr="00EC2231">
        <w:rPr>
          <w:snapToGrid w:val="0"/>
          <w:kern w:val="22"/>
          <w:lang w:val="es-ES"/>
        </w:rPr>
        <w:t xml:space="preserve"> designado puntos focales nacionales y autoridades nacionales competentes), el 98 % de todas las Partes en el Protocolo (168 de 171 Partes) ha designado a su punto focal nacional para el Protocolo de Cartagena. Esto representa una disminución del 1 % con respecto a los datos básicos de referencia, cuando era del 99 % (159 de las 161 Partes en ese momento). Un total del 99 % de todas las Partes en el Protocolo (169 Partes) ha designado a su punto focal para el CIISB. Esta cifra no ha variado con respecto a los datos básicos de referencia, cuando era del 99 % (160 de las 161 Partes en ese momento). Un total del 89 % de todas las Partes en el Protocolo (152 Partes) ha designado una o más autoridades nacionales competentes. Esto representa un aumento del 1 % con respecto a los datos básicos de referencia, cuando era del 88 % (142 de las 161 Partes en ese momento). Asimismo, un total del 78 % de todas las Partes en el Protocolo (133 Partes) ha puesto a disposición del CIISB información relativa a su punto de contacto para recibir notificaciones según lo establecido en el artículo 17. Esto supone un aumento del 34 % con respecto a los datos básicos de referencia, cuando era del 44 % (71 de las 161 Partes en ese momento). </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C2231">
        <w:rPr>
          <w:snapToGrid w:val="0"/>
          <w:kern w:val="22"/>
          <w:lang w:val="es-ES"/>
        </w:rPr>
        <w:t xml:space="preserve">En relación con el </w:t>
      </w:r>
      <w:r w:rsidRPr="00EC2231">
        <w:rPr>
          <w:b/>
          <w:bCs/>
          <w:snapToGrid w:val="0"/>
          <w:kern w:val="22"/>
          <w:lang w:val="es-ES"/>
        </w:rPr>
        <w:t xml:space="preserve">indicador 1.1.4 </w:t>
      </w:r>
      <w:r w:rsidRPr="00EC2231">
        <w:rPr>
          <w:snapToGrid w:val="0"/>
          <w:kern w:val="22"/>
          <w:lang w:val="es-ES"/>
        </w:rPr>
        <w:t>(el porcentaje de Partes que han recibido notificaciones de conformidad con el artículo 8 del Protocolo o la legislación nacional pertinente), el 21 % de las Partes (19</w:t>
      </w:r>
      <w:r w:rsidRPr="00EC2231">
        <w:rPr>
          <w:rFonts w:ascii="Angsana New" w:hAnsi="Angsana New" w:cs="Angsana New"/>
          <w:snapToGrid w:val="0"/>
          <w:kern w:val="22"/>
          <w:lang w:val="es-ES"/>
        </w:rPr>
        <w:t> </w:t>
      </w:r>
      <w:r w:rsidRPr="00EC2231">
        <w:rPr>
          <w:snapToGrid w:val="0"/>
          <w:kern w:val="22"/>
          <w:lang w:val="es-ES"/>
        </w:rPr>
        <w:t>Partes) comunic</w:t>
      </w:r>
      <w:r w:rsidR="00C97D71">
        <w:rPr>
          <w:snapToGrid w:val="0"/>
          <w:kern w:val="22"/>
          <w:lang w:val="es-ES"/>
        </w:rPr>
        <w:t>ó</w:t>
      </w:r>
      <w:r w:rsidRPr="00EC2231">
        <w:rPr>
          <w:snapToGrid w:val="0"/>
          <w:kern w:val="22"/>
          <w:lang w:val="es-ES"/>
        </w:rPr>
        <w:t xml:space="preserve"> haber recibido una notificación relativa a movimientos transfronterizos intencionales de OVM para la introducción intencional en el medio ambiente, lo que supone una disminución del 13 % con respecto a los datos básicos de referencia (con los siguientes cambios por región: grupo de Estados de Europa Occidental y otros - 44 %</w:t>
      </w:r>
      <w:r w:rsidR="00C97D71">
        <w:rPr>
          <w:snapToGrid w:val="0"/>
          <w:kern w:val="22"/>
          <w:lang w:val="es-ES"/>
        </w:rPr>
        <w:t>,</w:t>
      </w:r>
      <w:r w:rsidRPr="00EC2231">
        <w:rPr>
          <w:snapToGrid w:val="0"/>
          <w:kern w:val="22"/>
          <w:lang w:val="es-ES"/>
        </w:rPr>
        <w:t xml:space="preserve"> </w:t>
      </w:r>
      <w:r w:rsidR="00EA78DC">
        <w:rPr>
          <w:snapToGrid w:val="0"/>
          <w:kern w:val="22"/>
          <w:lang w:val="es-ES"/>
        </w:rPr>
        <w:t>grupo de Estados de Europa Central y Oriental</w:t>
      </w:r>
      <w:r w:rsidR="00EA78DC" w:rsidRPr="00EC2231">
        <w:rPr>
          <w:snapToGrid w:val="0"/>
          <w:kern w:val="22"/>
          <w:lang w:val="es-ES"/>
        </w:rPr>
        <w:t xml:space="preserve"> </w:t>
      </w:r>
      <w:r w:rsidRPr="00EC2231">
        <w:rPr>
          <w:snapToGrid w:val="0"/>
          <w:kern w:val="22"/>
          <w:lang w:val="es-ES"/>
        </w:rPr>
        <w:t>- 19 %</w:t>
      </w:r>
      <w:r w:rsidR="00C97D71">
        <w:rPr>
          <w:snapToGrid w:val="0"/>
          <w:kern w:val="22"/>
          <w:lang w:val="es-ES"/>
        </w:rPr>
        <w:t>,</w:t>
      </w:r>
      <w:r w:rsidRPr="00EC2231">
        <w:rPr>
          <w:snapToGrid w:val="0"/>
          <w:kern w:val="22"/>
          <w:lang w:val="es-ES"/>
        </w:rPr>
        <w:t xml:space="preserve"> </w:t>
      </w:r>
      <w:r w:rsidR="007A67EE">
        <w:rPr>
          <w:snapToGrid w:val="0"/>
          <w:kern w:val="22"/>
          <w:lang w:val="es-ES"/>
        </w:rPr>
        <w:t>grupo de países de América Latina y el Caribe</w:t>
      </w:r>
      <w:r w:rsidRPr="00EC2231">
        <w:rPr>
          <w:snapToGrid w:val="0"/>
          <w:kern w:val="22"/>
          <w:lang w:val="es-ES"/>
        </w:rPr>
        <w:t xml:space="preserve"> - 8 %</w:t>
      </w:r>
      <w:r w:rsidR="00C97D71">
        <w:rPr>
          <w:snapToGrid w:val="0"/>
          <w:kern w:val="22"/>
          <w:lang w:val="es-ES"/>
        </w:rPr>
        <w:t>,</w:t>
      </w:r>
      <w:r w:rsidRPr="00EC2231">
        <w:rPr>
          <w:snapToGrid w:val="0"/>
          <w:kern w:val="22"/>
          <w:lang w:val="es-ES"/>
        </w:rPr>
        <w:t xml:space="preserve"> África y Asia</w:t>
      </w:r>
      <w:r w:rsidR="004A084B">
        <w:rPr>
          <w:snapToGrid w:val="0"/>
          <w:kern w:val="22"/>
          <w:lang w:val="es-ES"/>
        </w:rPr>
        <w:t xml:space="preserve"> y el </w:t>
      </w:r>
      <w:r w:rsidRPr="00EC2231">
        <w:rPr>
          <w:snapToGrid w:val="0"/>
          <w:kern w:val="22"/>
          <w:lang w:val="es-ES"/>
        </w:rPr>
        <w:t xml:space="preserve">Pacífico: sin cambios con respecto a los datos básicos de referencia). Algunos de estos cambios pueden estar relacionados con la revisión de la pregunta en el formato para el cuarto informe nacional, que se limitó al período de presentación de informes, mientras que fue de composición abierta en el segundo informe nacional. </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C2231">
        <w:rPr>
          <w:snapToGrid w:val="0"/>
          <w:kern w:val="22"/>
          <w:lang w:val="es-ES"/>
        </w:rPr>
        <w:t xml:space="preserve">Por último, con respecto al </w:t>
      </w:r>
      <w:r w:rsidRPr="00EC2231">
        <w:rPr>
          <w:b/>
          <w:bCs/>
          <w:snapToGrid w:val="0"/>
          <w:kern w:val="22"/>
          <w:lang w:val="es-ES"/>
        </w:rPr>
        <w:t>indicador 1.1.5</w:t>
      </w:r>
      <w:r w:rsidRPr="00EC2231">
        <w:rPr>
          <w:snapToGrid w:val="0"/>
          <w:kern w:val="22"/>
          <w:lang w:val="es-ES"/>
        </w:rPr>
        <w:t xml:space="preserve"> (el porcentaje de Partes que han tomado decisiones sobre importaciones de conformidad con el artículo 10 del Protocolo o la legislación nacional pertinente) el 19 % </w:t>
      </w:r>
      <w:r w:rsidR="00C97D71">
        <w:rPr>
          <w:snapToGrid w:val="0"/>
          <w:kern w:val="22"/>
          <w:lang w:val="es-ES"/>
        </w:rPr>
        <w:t xml:space="preserve">de las Partes (15 Partes) indicó </w:t>
      </w:r>
      <w:r w:rsidRPr="00EC2231">
        <w:rPr>
          <w:snapToGrid w:val="0"/>
          <w:kern w:val="22"/>
          <w:lang w:val="es-ES"/>
        </w:rPr>
        <w:t>que habían tomado decisiones en respuesta a una notificación relativa a movimientos transfronterizos intencionales de OVM para la introducción intencional durante este ciclo de presentación de informes, lo que supone una disminución del 14 % (con las siguientes diferencias regionales: grupo de Estados de Europa Occidental y otros - 41 %</w:t>
      </w:r>
      <w:r w:rsidR="00C97D71">
        <w:rPr>
          <w:snapToGrid w:val="0"/>
          <w:kern w:val="22"/>
          <w:lang w:val="es-ES"/>
        </w:rPr>
        <w:t>,</w:t>
      </w:r>
      <w:r w:rsidRPr="00EC2231">
        <w:rPr>
          <w:snapToGrid w:val="0"/>
          <w:kern w:val="22"/>
          <w:lang w:val="es-ES"/>
        </w:rPr>
        <w:t xml:space="preserve"> </w:t>
      </w:r>
      <w:r w:rsidR="00EA78DC">
        <w:rPr>
          <w:snapToGrid w:val="0"/>
          <w:kern w:val="22"/>
          <w:lang w:val="es-ES"/>
        </w:rPr>
        <w:t>grupo de Estados de Europa Central y Oriental</w:t>
      </w:r>
      <w:r w:rsidR="00EA78DC" w:rsidRPr="00EC2231">
        <w:rPr>
          <w:snapToGrid w:val="0"/>
          <w:kern w:val="22"/>
          <w:lang w:val="es-ES"/>
        </w:rPr>
        <w:t xml:space="preserve"> </w:t>
      </w:r>
      <w:r w:rsidRPr="00EC2231">
        <w:rPr>
          <w:snapToGrid w:val="0"/>
          <w:kern w:val="22"/>
          <w:lang w:val="es-ES"/>
        </w:rPr>
        <w:t>- 20 %</w:t>
      </w:r>
      <w:r w:rsidR="00C97D71">
        <w:rPr>
          <w:snapToGrid w:val="0"/>
          <w:kern w:val="22"/>
          <w:lang w:val="es-ES"/>
        </w:rPr>
        <w:t>,</w:t>
      </w:r>
      <w:r w:rsidRPr="00EC2231">
        <w:rPr>
          <w:snapToGrid w:val="0"/>
          <w:kern w:val="22"/>
          <w:lang w:val="es-ES"/>
        </w:rPr>
        <w:t xml:space="preserve"> </w:t>
      </w:r>
      <w:r w:rsidR="007A67EE">
        <w:rPr>
          <w:snapToGrid w:val="0"/>
          <w:kern w:val="22"/>
          <w:lang w:val="es-ES"/>
        </w:rPr>
        <w:t>grupo de países de América Latina y el Caribe</w:t>
      </w:r>
      <w:r w:rsidR="007A67EE" w:rsidRPr="00EC2231">
        <w:rPr>
          <w:snapToGrid w:val="0"/>
          <w:kern w:val="22"/>
          <w:lang w:val="es-ES"/>
        </w:rPr>
        <w:t xml:space="preserve"> </w:t>
      </w:r>
      <w:r w:rsidRPr="00EC2231">
        <w:rPr>
          <w:snapToGrid w:val="0"/>
          <w:kern w:val="22"/>
          <w:lang w:val="es-ES"/>
        </w:rPr>
        <w:t>- 10 %; Asia</w:t>
      </w:r>
      <w:r w:rsidR="004A084B">
        <w:rPr>
          <w:snapToGrid w:val="0"/>
          <w:kern w:val="22"/>
          <w:lang w:val="es-ES"/>
        </w:rPr>
        <w:t xml:space="preserve"> y el </w:t>
      </w:r>
      <w:r w:rsidRPr="00EC2231">
        <w:rPr>
          <w:snapToGrid w:val="0"/>
          <w:kern w:val="22"/>
          <w:lang w:val="es-ES"/>
        </w:rPr>
        <w:t>Pacífico - 8 %</w:t>
      </w:r>
      <w:r w:rsidR="00C97D71">
        <w:rPr>
          <w:snapToGrid w:val="0"/>
          <w:kern w:val="22"/>
          <w:lang w:val="es-ES"/>
        </w:rPr>
        <w:t>,</w:t>
      </w:r>
      <w:r w:rsidRPr="00EC2231">
        <w:rPr>
          <w:snapToGrid w:val="0"/>
          <w:kern w:val="22"/>
          <w:lang w:val="es-ES"/>
        </w:rPr>
        <w:t xml:space="preserve"> África</w:t>
      </w:r>
      <w:r w:rsidR="004A084B">
        <w:rPr>
          <w:snapToGrid w:val="0"/>
          <w:kern w:val="22"/>
          <w:lang w:val="es-ES"/>
        </w:rPr>
        <w:t>,</w:t>
      </w:r>
      <w:r w:rsidRPr="00EC2231">
        <w:rPr>
          <w:snapToGrid w:val="0"/>
          <w:kern w:val="22"/>
          <w:lang w:val="es-ES"/>
        </w:rPr>
        <w:t xml:space="preserve"> sin cambios con respecto a los datos básicos de referencia). Un total de 7 Partes que habían tomado dicha decisión comunicaron que la decisión se refería a la aprobación de la importación con condiciones, mientras que 2 Partes informaron de que las decisiones estaban relacionadas con la aprobación sin condiciones. Otras 2 Partes comunicaron que la decisión guardaba relación con una prohibición de importación. </w:t>
      </w:r>
    </w:p>
    <w:p w:rsidR="00775B5A" w:rsidRPr="00EC2231" w:rsidRDefault="00775B5A">
      <w:pPr>
        <w:pStyle w:val="ListParagraph"/>
        <w:suppressLineNumbers/>
        <w:suppressAutoHyphens/>
        <w:snapToGrid w:val="0"/>
        <w:spacing w:before="120" w:after="120"/>
        <w:ind w:left="0"/>
        <w:outlineLvl w:val="2"/>
        <w:rPr>
          <w:rFonts w:ascii="Angsana New" w:hAnsi="Angsana New" w:cs="Angsana New"/>
          <w:snapToGrid w:val="0"/>
          <w:kern w:val="22"/>
          <w:lang w:val="es-ES"/>
        </w:rPr>
      </w:pPr>
      <w:r w:rsidRPr="00EC2231">
        <w:rPr>
          <w:b/>
          <w:bCs/>
          <w:snapToGrid w:val="0"/>
          <w:kern w:val="22"/>
          <w:lang w:val="es-ES"/>
        </w:rPr>
        <w:t xml:space="preserve">Objetivo operacional 2.1: Marcos nacionales de seguridad de la biotecnología </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C2231">
        <w:rPr>
          <w:snapToGrid w:val="0"/>
          <w:kern w:val="22"/>
          <w:lang w:val="es-ES"/>
        </w:rPr>
        <w:t>Respecto al objetivo operacional 2.1, las Partes</w:t>
      </w:r>
      <w:r w:rsidR="00C97D71">
        <w:rPr>
          <w:snapToGrid w:val="0"/>
          <w:kern w:val="22"/>
          <w:lang w:val="es-ES"/>
        </w:rPr>
        <w:t xml:space="preserve"> pretenden</w:t>
      </w:r>
      <w:r w:rsidRPr="00EC2231">
        <w:rPr>
          <w:snapToGrid w:val="0"/>
          <w:kern w:val="22"/>
          <w:lang w:val="es-ES"/>
        </w:rPr>
        <w:t xml:space="preserve"> respaldar ulteriormente el desarrollo e implantación de sistemas reglamentarios y administrativos nacionales. La información relativa al </w:t>
      </w:r>
      <w:r w:rsidRPr="00EC2231">
        <w:rPr>
          <w:b/>
          <w:bCs/>
          <w:snapToGrid w:val="0"/>
          <w:kern w:val="22"/>
          <w:lang w:val="es-ES"/>
        </w:rPr>
        <w:t>indicador 2.1.1</w:t>
      </w:r>
      <w:r w:rsidRPr="00EC2231">
        <w:rPr>
          <w:snapToGrid w:val="0"/>
          <w:kern w:val="22"/>
          <w:lang w:val="es-ES"/>
        </w:rPr>
        <w:t xml:space="preserve"> (número de Partes con marcos reglamentarios</w:t>
      </w:r>
      <w:r w:rsidR="00C97D71">
        <w:rPr>
          <w:snapToGrid w:val="0"/>
          <w:kern w:val="22"/>
          <w:lang w:val="es-ES"/>
        </w:rPr>
        <w:t xml:space="preserve"> operativos</w:t>
      </w:r>
      <w:r w:rsidRPr="00EC2231">
        <w:rPr>
          <w:snapToGrid w:val="0"/>
          <w:kern w:val="22"/>
          <w:lang w:val="es-ES"/>
        </w:rPr>
        <w:t>) se presenta más arriba en el contexto del objetivo operacional 1.1.</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EC2231">
        <w:rPr>
          <w:snapToGrid w:val="0"/>
          <w:kern w:val="22"/>
          <w:lang w:val="es-ES"/>
        </w:rPr>
        <w:t xml:space="preserve">En lo tocante al </w:t>
      </w:r>
      <w:r w:rsidRPr="00EC2231">
        <w:rPr>
          <w:b/>
          <w:bCs/>
          <w:snapToGrid w:val="0"/>
          <w:kern w:val="22"/>
          <w:lang w:val="es-ES"/>
        </w:rPr>
        <w:t>indicador 2.1.2</w:t>
      </w:r>
      <w:r w:rsidRPr="00EC2231">
        <w:rPr>
          <w:snapToGrid w:val="0"/>
          <w:kern w:val="22"/>
          <w:lang w:val="es-ES"/>
        </w:rPr>
        <w:t xml:space="preserve"> (el número de Partes con disposiciones administrativas funcionales), el cuarto formato de presentación de informes nacionales recoge un número de cuestiones pertinentes</w:t>
      </w:r>
      <w:r>
        <w:rPr>
          <w:rFonts w:ascii="Angsana New" w:hAnsi="Angsana New" w:cs="Angsana New"/>
          <w:snapToGrid w:val="0"/>
          <w:kern w:val="22"/>
          <w:vertAlign w:val="superscript"/>
        </w:rPr>
        <w:footnoteReference w:id="20"/>
      </w:r>
      <w:r w:rsidRPr="00EC2231">
        <w:rPr>
          <w:snapToGrid w:val="0"/>
          <w:kern w:val="22"/>
          <w:lang w:val="es-ES"/>
        </w:rPr>
        <w:t xml:space="preserve">, aunque ninguna de ellas aborda directamente la funcionalidad de las disposiciones administrativas. </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EC2231">
        <w:rPr>
          <w:snapToGrid w:val="0"/>
          <w:kern w:val="22"/>
          <w:lang w:val="es-ES"/>
        </w:rPr>
        <w:lastRenderedPageBreak/>
        <w:t>Un total del 58 % de las Partes (53 Partes) comunic</w:t>
      </w:r>
      <w:r w:rsidR="00C97D71">
        <w:rPr>
          <w:snapToGrid w:val="0"/>
          <w:kern w:val="22"/>
          <w:lang w:val="es-ES"/>
        </w:rPr>
        <w:t>ó</w:t>
      </w:r>
      <w:r w:rsidRPr="00EC2231">
        <w:rPr>
          <w:snapToGrid w:val="0"/>
          <w:kern w:val="22"/>
          <w:lang w:val="es-ES"/>
        </w:rPr>
        <w:t xml:space="preserve"> que se había establecido un mecanismo destinado a las asignaciones presupuestarias para el funcionamiento de sus medidas nacionales en materia de seguridad de la biotecnología (una disminución del 10 % con respecto a los datos básicos de referencia), mientras que el 23 % de las Partes (21 Partes) inform</w:t>
      </w:r>
      <w:r w:rsidR="00C97D71">
        <w:rPr>
          <w:snapToGrid w:val="0"/>
          <w:kern w:val="22"/>
          <w:lang w:val="es-ES"/>
        </w:rPr>
        <w:t>ó</w:t>
      </w:r>
      <w:r w:rsidRPr="00EC2231">
        <w:rPr>
          <w:snapToGrid w:val="0"/>
          <w:kern w:val="22"/>
          <w:lang w:val="es-ES"/>
        </w:rPr>
        <w:t xml:space="preserve"> de que lo había hecho en cierta medida. En conjunto, esto constituye un aumento del 13 % (12 Partes), en comparación con los datos básicos de referencia (con los siguientes cambios regionales: Asia</w:t>
      </w:r>
      <w:r w:rsidR="004A084B">
        <w:rPr>
          <w:snapToGrid w:val="0"/>
          <w:kern w:val="22"/>
          <w:lang w:val="es-ES"/>
        </w:rPr>
        <w:t xml:space="preserve"> y el </w:t>
      </w:r>
      <w:r w:rsidR="00C97D71">
        <w:rPr>
          <w:snapToGrid w:val="0"/>
          <w:kern w:val="22"/>
          <w:lang w:val="es-ES"/>
        </w:rPr>
        <w:t>Pacífico + 25 %,</w:t>
      </w:r>
      <w:r w:rsidRPr="00EC2231">
        <w:rPr>
          <w:snapToGrid w:val="0"/>
          <w:kern w:val="22"/>
          <w:lang w:val="es-ES"/>
        </w:rPr>
        <w:t xml:space="preserve"> </w:t>
      </w:r>
      <w:r w:rsidR="00EA78DC">
        <w:rPr>
          <w:snapToGrid w:val="0"/>
          <w:kern w:val="22"/>
          <w:lang w:val="es-ES"/>
        </w:rPr>
        <w:t>grupo de Estados de Europa Central y Oriental</w:t>
      </w:r>
      <w:r w:rsidR="00EA78DC" w:rsidRPr="00EC2231">
        <w:rPr>
          <w:snapToGrid w:val="0"/>
          <w:kern w:val="22"/>
          <w:lang w:val="es-ES"/>
        </w:rPr>
        <w:t xml:space="preserve"> </w:t>
      </w:r>
      <w:r w:rsidRPr="00EC2231">
        <w:rPr>
          <w:snapToGrid w:val="0"/>
          <w:kern w:val="22"/>
          <w:lang w:val="es-ES"/>
        </w:rPr>
        <w:t>+ 24 %</w:t>
      </w:r>
      <w:r w:rsidR="00C97D71">
        <w:rPr>
          <w:snapToGrid w:val="0"/>
          <w:kern w:val="22"/>
          <w:lang w:val="es-ES"/>
        </w:rPr>
        <w:t>,</w:t>
      </w:r>
      <w:r w:rsidRPr="00EC2231">
        <w:rPr>
          <w:snapToGrid w:val="0"/>
          <w:kern w:val="22"/>
          <w:lang w:val="es-ES"/>
        </w:rPr>
        <w:t xml:space="preserve"> África + 13 %</w:t>
      </w:r>
      <w:r w:rsidR="00C97D71">
        <w:rPr>
          <w:snapToGrid w:val="0"/>
          <w:kern w:val="22"/>
          <w:lang w:val="es-ES"/>
        </w:rPr>
        <w:t>,</w:t>
      </w:r>
      <w:r w:rsidRPr="00EC2231">
        <w:rPr>
          <w:snapToGrid w:val="0"/>
          <w:kern w:val="22"/>
          <w:lang w:val="es-ES"/>
        </w:rPr>
        <w:t xml:space="preserve"> </w:t>
      </w:r>
      <w:r w:rsidR="007A67EE">
        <w:rPr>
          <w:snapToGrid w:val="0"/>
          <w:kern w:val="22"/>
          <w:lang w:val="es-ES"/>
        </w:rPr>
        <w:t>grupo de países de América Latina y el Caribe</w:t>
      </w:r>
      <w:r w:rsidRPr="00EC2231">
        <w:rPr>
          <w:snapToGrid w:val="0"/>
          <w:kern w:val="22"/>
          <w:lang w:val="es-ES"/>
        </w:rPr>
        <w:t xml:space="preserve"> - 1 %</w:t>
      </w:r>
      <w:r w:rsidR="00C97D71">
        <w:rPr>
          <w:snapToGrid w:val="0"/>
          <w:kern w:val="22"/>
          <w:lang w:val="es-ES"/>
        </w:rPr>
        <w:t>,</w:t>
      </w:r>
      <w:r w:rsidRPr="00EC2231">
        <w:rPr>
          <w:snapToGrid w:val="0"/>
          <w:kern w:val="22"/>
          <w:lang w:val="es-ES"/>
        </w:rPr>
        <w:t xml:space="preserve"> grupo de Estados de Europa Occidental y otros sin cambios)</w:t>
      </w:r>
      <w:r>
        <w:rPr>
          <w:rStyle w:val="FootnoteReference"/>
          <w:rFonts w:ascii="Angsana New" w:hAnsi="Angsana New" w:cs="Angsana New"/>
          <w:snapToGrid w:val="0"/>
          <w:kern w:val="22"/>
        </w:rPr>
        <w:footnoteReference w:id="21"/>
      </w:r>
      <w:r w:rsidRPr="00EC2231">
        <w:rPr>
          <w:snapToGrid w:val="0"/>
          <w:kern w:val="22"/>
          <w:lang w:val="es-ES"/>
        </w:rPr>
        <w:t>.</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EC2231">
        <w:rPr>
          <w:snapToGrid w:val="0"/>
          <w:kern w:val="22"/>
          <w:lang w:val="es-ES"/>
        </w:rPr>
        <w:t>Un total del 94 % de las Partes (87 Partes) indic</w:t>
      </w:r>
      <w:r w:rsidR="00C97D71">
        <w:rPr>
          <w:snapToGrid w:val="0"/>
          <w:kern w:val="22"/>
          <w:lang w:val="es-ES"/>
        </w:rPr>
        <w:t>ó</w:t>
      </w:r>
      <w:r w:rsidRPr="00EC2231">
        <w:rPr>
          <w:snapToGrid w:val="0"/>
          <w:kern w:val="22"/>
          <w:lang w:val="es-ES"/>
        </w:rPr>
        <w:t xml:space="preserve"> que dispone de una plantilla permanente para administrar funciones relacionadas con la seguridad de la biotecnología, lo que supone un aumento del 8 % con respecto a los datos básicos de referencia (con los siguientes cambios regionales: África + 17 %</w:t>
      </w:r>
      <w:r w:rsidR="00C97D71">
        <w:rPr>
          <w:snapToGrid w:val="0"/>
          <w:kern w:val="22"/>
          <w:lang w:val="es-ES"/>
        </w:rPr>
        <w:t>,</w:t>
      </w:r>
      <w:r w:rsidRPr="00EC2231">
        <w:rPr>
          <w:snapToGrid w:val="0"/>
          <w:kern w:val="22"/>
          <w:lang w:val="es-ES"/>
        </w:rPr>
        <w:t xml:space="preserve"> </w:t>
      </w:r>
      <w:r w:rsidR="007A67EE">
        <w:rPr>
          <w:snapToGrid w:val="0"/>
          <w:kern w:val="22"/>
          <w:lang w:val="es-ES"/>
        </w:rPr>
        <w:t>grupo de países de América Latina y el Caribe</w:t>
      </w:r>
      <w:r w:rsidR="007A67EE" w:rsidRPr="00EC2231">
        <w:rPr>
          <w:snapToGrid w:val="0"/>
          <w:kern w:val="22"/>
          <w:lang w:val="es-ES"/>
        </w:rPr>
        <w:t xml:space="preserve"> </w:t>
      </w:r>
      <w:r w:rsidRPr="00EC2231">
        <w:rPr>
          <w:snapToGrid w:val="0"/>
          <w:kern w:val="22"/>
          <w:lang w:val="es-ES"/>
        </w:rPr>
        <w:t>+ 7 %</w:t>
      </w:r>
      <w:r w:rsidR="00C97D71">
        <w:rPr>
          <w:snapToGrid w:val="0"/>
          <w:kern w:val="22"/>
          <w:lang w:val="es-ES"/>
        </w:rPr>
        <w:t>,</w:t>
      </w:r>
      <w:r w:rsidRPr="00EC2231">
        <w:rPr>
          <w:snapToGrid w:val="0"/>
          <w:kern w:val="22"/>
          <w:lang w:val="es-ES"/>
        </w:rPr>
        <w:t xml:space="preserve"> </w:t>
      </w:r>
      <w:r w:rsidR="00EA78DC">
        <w:rPr>
          <w:snapToGrid w:val="0"/>
          <w:kern w:val="22"/>
          <w:lang w:val="es-ES"/>
        </w:rPr>
        <w:t>grupo de Estados de Europa Central y Oriental</w:t>
      </w:r>
      <w:r w:rsidR="00EA78DC" w:rsidRPr="00EC2231">
        <w:rPr>
          <w:snapToGrid w:val="0"/>
          <w:kern w:val="22"/>
          <w:lang w:val="es-ES"/>
        </w:rPr>
        <w:t xml:space="preserve"> </w:t>
      </w:r>
      <w:r w:rsidRPr="00EC2231">
        <w:rPr>
          <w:snapToGrid w:val="0"/>
          <w:kern w:val="22"/>
          <w:lang w:val="es-ES"/>
        </w:rPr>
        <w:t>+ 6 %</w:t>
      </w:r>
      <w:r w:rsidR="00C97D71">
        <w:rPr>
          <w:snapToGrid w:val="0"/>
          <w:kern w:val="22"/>
          <w:lang w:val="es-ES"/>
        </w:rPr>
        <w:t>,</w:t>
      </w:r>
      <w:r w:rsidRPr="00EC2231">
        <w:rPr>
          <w:snapToGrid w:val="0"/>
          <w:kern w:val="22"/>
          <w:lang w:val="es-ES"/>
        </w:rPr>
        <w:t xml:space="preserve"> Asia</w:t>
      </w:r>
      <w:r w:rsidR="004A084B">
        <w:rPr>
          <w:snapToGrid w:val="0"/>
          <w:kern w:val="22"/>
          <w:lang w:val="es-ES"/>
        </w:rPr>
        <w:t xml:space="preserve"> y el </w:t>
      </w:r>
      <w:r w:rsidRPr="00EC2231">
        <w:rPr>
          <w:snapToGrid w:val="0"/>
          <w:kern w:val="22"/>
          <w:lang w:val="es-ES"/>
        </w:rPr>
        <w:t>Pacífico y grupo de Estados de Europa Occidental y otros: sin cambios con respecto a los datos básicos de referencia). En sus cuartos informes nacionales, un total del 47 % de las Partes comunic</w:t>
      </w:r>
      <w:r w:rsidR="00C97D71">
        <w:rPr>
          <w:snapToGrid w:val="0"/>
          <w:kern w:val="22"/>
          <w:lang w:val="es-ES"/>
        </w:rPr>
        <w:t>ó</w:t>
      </w:r>
      <w:r w:rsidRPr="00EC2231">
        <w:rPr>
          <w:snapToGrid w:val="0"/>
          <w:kern w:val="22"/>
          <w:lang w:val="es-ES"/>
        </w:rPr>
        <w:t xml:space="preserve"> que el número de personal era </w:t>
      </w:r>
      <w:r w:rsidR="00C97D71">
        <w:rPr>
          <w:snapToGrid w:val="0"/>
          <w:kern w:val="22"/>
          <w:lang w:val="es-ES"/>
        </w:rPr>
        <w:t>suficiente</w:t>
      </w:r>
      <w:r>
        <w:rPr>
          <w:rStyle w:val="FootnoteReference"/>
          <w:rFonts w:ascii="Angsana New" w:hAnsi="Angsana New" w:cs="Angsana New"/>
          <w:snapToGrid w:val="0"/>
          <w:kern w:val="22"/>
        </w:rPr>
        <w:footnoteReference w:id="22"/>
      </w:r>
      <w:r w:rsidRPr="00EC2231">
        <w:rPr>
          <w:rFonts w:ascii="Angsana New" w:hAnsi="Angsana New" w:cs="Angsana New"/>
          <w:snapToGrid w:val="0"/>
          <w:kern w:val="22"/>
          <w:lang w:val="es-ES"/>
        </w:rPr>
        <w:t>.</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C2231">
        <w:rPr>
          <w:snapToGrid w:val="0"/>
          <w:kern w:val="22"/>
          <w:lang w:val="es-ES"/>
        </w:rPr>
        <w:t>Un total del 65 % de</w:t>
      </w:r>
      <w:r w:rsidR="00C97D71">
        <w:rPr>
          <w:snapToGrid w:val="0"/>
          <w:kern w:val="22"/>
          <w:lang w:val="es-ES"/>
        </w:rPr>
        <w:t xml:space="preserve"> las Partes (60 Partes) indicó que</w:t>
      </w:r>
      <w:r w:rsidRPr="00EC2231">
        <w:rPr>
          <w:snapToGrid w:val="0"/>
          <w:kern w:val="22"/>
          <w:lang w:val="es-ES"/>
        </w:rPr>
        <w:t xml:space="preserve"> había creado capacidad institucional adecuada para permitir a la autoridad competente desempeñar las funciones administrativas exigidas por el Protocolo de Cartagena (lo que representa un aumento del 20 % con respecto a los datos básicos de referencia), mientras que un total del 26 % de las Partes (24 Partes) comunic</w:t>
      </w:r>
      <w:r w:rsidR="00C97D71">
        <w:rPr>
          <w:snapToGrid w:val="0"/>
          <w:kern w:val="22"/>
          <w:lang w:val="es-ES"/>
        </w:rPr>
        <w:t>ó</w:t>
      </w:r>
      <w:r w:rsidRPr="00EC2231">
        <w:rPr>
          <w:snapToGrid w:val="0"/>
          <w:kern w:val="22"/>
          <w:lang w:val="es-ES"/>
        </w:rPr>
        <w:t xml:space="preserve"> que se había creado la capacidad institucional adecuada en cierta medida (lo que supone una disminución del 14 % respecto de los datos básicos de referencia).</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C2231">
        <w:rPr>
          <w:snapToGrid w:val="0"/>
          <w:kern w:val="22"/>
          <w:lang w:val="es-ES"/>
        </w:rPr>
        <w:t xml:space="preserve">En sus contribuciones presentadas por escrito, varios países indicaron que aunque se habían establecido marcos institucionales, las capacidades y los niveles de dotación de personal necesarios siguen siendo insuficientes. Algunas Partes indicaron que es preciso mejorar la cooperación interinstitucional. Algunas Partes mencionaron que es necesario seguir fortaleciendo los mandatos mediante la legislación. </w:t>
      </w:r>
    </w:p>
    <w:p w:rsidR="00775B5A" w:rsidRPr="00EC2231" w:rsidRDefault="00775B5A" w:rsidP="001D4EEE">
      <w:pPr>
        <w:keepNext/>
        <w:numPr>
          <w:ilvl w:val="0"/>
          <w:numId w:val="3"/>
        </w:numPr>
        <w:suppressLineNumbers/>
        <w:tabs>
          <w:tab w:val="clear" w:pos="2070"/>
          <w:tab w:val="left" w:pos="2552"/>
        </w:tabs>
        <w:suppressAutoHyphens/>
        <w:spacing w:before="120" w:after="120"/>
        <w:ind w:left="2552" w:hanging="709"/>
        <w:jc w:val="left"/>
        <w:outlineLvl w:val="1"/>
        <w:rPr>
          <w:b/>
          <w:bCs/>
          <w:snapToGrid w:val="0"/>
          <w:kern w:val="22"/>
          <w:lang w:val="es-ES"/>
        </w:rPr>
      </w:pPr>
      <w:r w:rsidRPr="00EC2231">
        <w:rPr>
          <w:b/>
          <w:bCs/>
          <w:snapToGrid w:val="0"/>
          <w:kern w:val="22"/>
          <w:lang w:val="es-ES"/>
        </w:rPr>
        <w:t>Coordinación y apoyo (objetivo operacional 1.2)</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C2231">
        <w:rPr>
          <w:snapToGrid w:val="0"/>
          <w:kern w:val="22"/>
          <w:lang w:val="es-ES"/>
        </w:rPr>
        <w:t xml:space="preserve">El objetivo operacional 1.2 se centra en establecer mecanismos eficaces para desarrollar sistemas de seguridad de la biotecnología con el necesario apoyo de coordinación, financiación y supervisión. Se </w:t>
      </w:r>
      <w:r w:rsidR="00C97D71">
        <w:rPr>
          <w:snapToGrid w:val="0"/>
          <w:kern w:val="22"/>
          <w:lang w:val="es-ES"/>
        </w:rPr>
        <w:t xml:space="preserve">desarrollaron </w:t>
      </w:r>
      <w:r w:rsidRPr="00EC2231">
        <w:rPr>
          <w:snapToGrid w:val="0"/>
          <w:kern w:val="22"/>
          <w:lang w:val="es-ES"/>
        </w:rPr>
        <w:t>ocho indicadores para medir los avances hacia la consecución de este objetivo operacional.</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EC2231">
        <w:rPr>
          <w:snapToGrid w:val="0"/>
          <w:kern w:val="22"/>
          <w:lang w:val="es-ES"/>
        </w:rPr>
        <w:t xml:space="preserve">En lo tocante al </w:t>
      </w:r>
      <w:r w:rsidRPr="00EC2231">
        <w:rPr>
          <w:b/>
          <w:bCs/>
          <w:snapToGrid w:val="0"/>
          <w:kern w:val="22"/>
          <w:lang w:val="es-ES"/>
        </w:rPr>
        <w:t>indicador 1.2.1</w:t>
      </w:r>
      <w:r w:rsidRPr="00EC2231">
        <w:rPr>
          <w:snapToGrid w:val="0"/>
          <w:kern w:val="22"/>
          <w:lang w:val="es-ES"/>
        </w:rPr>
        <w:t xml:space="preserve"> (el número de Partes que han evaluado sus necesidades de creación de capacidad, incluidas las necesidades institucionales y de capacitación, y que han enviado la información al CIISB), el 45 % de las Partes (42 Partes) notific</w:t>
      </w:r>
      <w:r w:rsidR="00A86571">
        <w:rPr>
          <w:snapToGrid w:val="0"/>
          <w:kern w:val="22"/>
          <w:lang w:val="es-ES"/>
        </w:rPr>
        <w:t>ó</w:t>
      </w:r>
      <w:r w:rsidRPr="00EC2231">
        <w:rPr>
          <w:snapToGrid w:val="0"/>
          <w:kern w:val="22"/>
          <w:lang w:val="es-ES"/>
        </w:rPr>
        <w:t xml:space="preserve"> que había llevado a cabo una evaluación de las necesidades de creación de capacidad, lo que representa una disminución del 4 % con respecto a los datos básicos de referencia. A nivel regional, estas cifras son las siguientes: 69 % en Asia</w:t>
      </w:r>
      <w:r w:rsidR="004A084B">
        <w:rPr>
          <w:snapToGrid w:val="0"/>
          <w:kern w:val="22"/>
          <w:lang w:val="es-ES"/>
        </w:rPr>
        <w:t xml:space="preserve"> y el </w:t>
      </w:r>
      <w:r w:rsidRPr="00EC2231">
        <w:rPr>
          <w:snapToGrid w:val="0"/>
          <w:kern w:val="22"/>
          <w:lang w:val="es-ES"/>
        </w:rPr>
        <w:t>Pacífico (+ 19 %)</w:t>
      </w:r>
      <w:r w:rsidR="00A86571">
        <w:rPr>
          <w:snapToGrid w:val="0"/>
          <w:kern w:val="22"/>
          <w:lang w:val="es-ES"/>
        </w:rPr>
        <w:t>,</w:t>
      </w:r>
      <w:r w:rsidRPr="00EC2231">
        <w:rPr>
          <w:snapToGrid w:val="0"/>
          <w:kern w:val="22"/>
          <w:lang w:val="es-ES"/>
        </w:rPr>
        <w:t xml:space="preserve"> 63 % en África (+ 7 %)</w:t>
      </w:r>
      <w:r w:rsidR="00A86571">
        <w:rPr>
          <w:snapToGrid w:val="0"/>
          <w:kern w:val="22"/>
          <w:lang w:val="es-ES"/>
        </w:rPr>
        <w:t>,</w:t>
      </w:r>
      <w:r w:rsidRPr="00EC2231">
        <w:rPr>
          <w:snapToGrid w:val="0"/>
          <w:kern w:val="22"/>
          <w:lang w:val="es-ES"/>
        </w:rPr>
        <w:t xml:space="preserve"> 54 % en </w:t>
      </w:r>
      <w:r w:rsidR="007A67EE">
        <w:rPr>
          <w:snapToGrid w:val="0"/>
          <w:kern w:val="22"/>
          <w:lang w:val="es-ES"/>
        </w:rPr>
        <w:t>el grupo de países de América Latina y el Caribe</w:t>
      </w:r>
      <w:r w:rsidR="007A67EE" w:rsidRPr="00EC2231">
        <w:rPr>
          <w:snapToGrid w:val="0"/>
          <w:kern w:val="22"/>
          <w:lang w:val="es-ES"/>
        </w:rPr>
        <w:t xml:space="preserve"> </w:t>
      </w:r>
      <w:r w:rsidR="007A67EE">
        <w:rPr>
          <w:snapToGrid w:val="0"/>
          <w:kern w:val="22"/>
          <w:lang w:val="es-ES"/>
        </w:rPr>
        <w:t>(</w:t>
      </w:r>
      <w:r w:rsidRPr="00EC2231">
        <w:rPr>
          <w:snapToGrid w:val="0"/>
          <w:kern w:val="22"/>
          <w:lang w:val="es-ES"/>
        </w:rPr>
        <w:t>- 8 %)</w:t>
      </w:r>
      <w:r w:rsidR="00A86571">
        <w:rPr>
          <w:snapToGrid w:val="0"/>
          <w:kern w:val="22"/>
          <w:lang w:val="es-ES"/>
        </w:rPr>
        <w:t>,</w:t>
      </w:r>
      <w:r w:rsidRPr="00EC2231">
        <w:rPr>
          <w:snapToGrid w:val="0"/>
          <w:kern w:val="22"/>
          <w:lang w:val="es-ES"/>
        </w:rPr>
        <w:t xml:space="preserve"> 19 % en </w:t>
      </w:r>
      <w:r w:rsidR="00EA78DC">
        <w:rPr>
          <w:snapToGrid w:val="0"/>
          <w:kern w:val="22"/>
          <w:lang w:val="es-ES"/>
        </w:rPr>
        <w:t>grupo de Estados de Europa Central y Oriental</w:t>
      </w:r>
      <w:r w:rsidR="00EA78DC" w:rsidRPr="00EC2231">
        <w:rPr>
          <w:snapToGrid w:val="0"/>
          <w:kern w:val="22"/>
          <w:lang w:val="es-ES"/>
        </w:rPr>
        <w:t xml:space="preserve"> </w:t>
      </w:r>
      <w:r w:rsidRPr="00EC2231">
        <w:rPr>
          <w:snapToGrid w:val="0"/>
          <w:kern w:val="22"/>
          <w:lang w:val="es-ES"/>
        </w:rPr>
        <w:t>(- 44 %)</w:t>
      </w:r>
      <w:r w:rsidR="00A86571">
        <w:rPr>
          <w:snapToGrid w:val="0"/>
          <w:kern w:val="22"/>
          <w:lang w:val="es-ES"/>
        </w:rPr>
        <w:t>,</w:t>
      </w:r>
      <w:r w:rsidRPr="00EC2231">
        <w:rPr>
          <w:snapToGrid w:val="0"/>
          <w:kern w:val="22"/>
          <w:lang w:val="es-ES"/>
        </w:rPr>
        <w:t xml:space="preserve"> grupo de Estados de Europa Occidental y otros 11 % (- 6 %). </w:t>
      </w:r>
    </w:p>
    <w:p w:rsidR="00775B5A" w:rsidRPr="00EC2231" w:rsidRDefault="00775B5A"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EC2231">
        <w:rPr>
          <w:snapToGrid w:val="0"/>
          <w:kern w:val="22"/>
          <w:lang w:val="es-ES"/>
        </w:rPr>
        <w:t xml:space="preserve">En cuanto al </w:t>
      </w:r>
      <w:r w:rsidRPr="00EC2231">
        <w:rPr>
          <w:b/>
          <w:bCs/>
          <w:snapToGrid w:val="0"/>
          <w:kern w:val="22"/>
          <w:lang w:val="es-ES"/>
        </w:rPr>
        <w:t>indica</w:t>
      </w:r>
      <w:r w:rsidR="005929A5">
        <w:rPr>
          <w:b/>
          <w:bCs/>
          <w:snapToGrid w:val="0"/>
          <w:kern w:val="22"/>
          <w:lang w:val="es-ES"/>
        </w:rPr>
        <w:t>d</w:t>
      </w:r>
      <w:r w:rsidRPr="00EC2231">
        <w:rPr>
          <w:b/>
          <w:bCs/>
          <w:snapToGrid w:val="0"/>
          <w:kern w:val="22"/>
          <w:lang w:val="es-ES"/>
        </w:rPr>
        <w:t>or 1.2.2</w:t>
      </w:r>
      <w:r w:rsidRPr="00EC2231">
        <w:rPr>
          <w:snapToGrid w:val="0"/>
          <w:kern w:val="22"/>
          <w:lang w:val="es-ES"/>
        </w:rPr>
        <w:t xml:space="preserve"> (el porcentaje de las Partes que han elaborado planes de acción nacionales de creación de capacidad en materia de seguridad de la biotecnología para aplicar el Protocolo), el 33 % de las Partes (31 Partes) inform</w:t>
      </w:r>
      <w:r w:rsidR="00A86571">
        <w:rPr>
          <w:snapToGrid w:val="0"/>
          <w:kern w:val="22"/>
          <w:lang w:val="es-ES"/>
        </w:rPr>
        <w:t>ó</w:t>
      </w:r>
      <w:r w:rsidRPr="00EC2231">
        <w:rPr>
          <w:snapToGrid w:val="0"/>
          <w:kern w:val="22"/>
          <w:lang w:val="es-ES"/>
        </w:rPr>
        <w:t xml:space="preserve"> de que había elaborado una</w:t>
      </w:r>
      <w:r w:rsidR="00EC2231">
        <w:rPr>
          <w:snapToGrid w:val="0"/>
          <w:kern w:val="22"/>
          <w:lang w:val="es-ES"/>
        </w:rPr>
        <w:t xml:space="preserve"> estrategia o plan de acción en materia de creación de capacidad</w:t>
      </w:r>
      <w:r w:rsidRPr="00EC2231">
        <w:rPr>
          <w:snapToGrid w:val="0"/>
          <w:kern w:val="22"/>
          <w:lang w:val="es-ES"/>
        </w:rPr>
        <w:t xml:space="preserve">, </w:t>
      </w:r>
      <w:r w:rsidR="00EC2231">
        <w:rPr>
          <w:snapToGrid w:val="0"/>
          <w:kern w:val="22"/>
          <w:lang w:val="es-ES"/>
        </w:rPr>
        <w:t xml:space="preserve">lo que representa un aumento del </w:t>
      </w:r>
      <w:r w:rsidRPr="00EC2231">
        <w:rPr>
          <w:snapToGrid w:val="0"/>
          <w:kern w:val="22"/>
          <w:lang w:val="es-ES"/>
        </w:rPr>
        <w:t>2</w:t>
      </w:r>
      <w:r w:rsidR="00EC2231">
        <w:rPr>
          <w:snapToGrid w:val="0"/>
          <w:kern w:val="22"/>
          <w:lang w:val="es-ES"/>
        </w:rPr>
        <w:t xml:space="preserve"> </w:t>
      </w:r>
      <w:r w:rsidRPr="00EC2231">
        <w:rPr>
          <w:snapToGrid w:val="0"/>
          <w:kern w:val="22"/>
          <w:lang w:val="es-ES"/>
        </w:rPr>
        <w:t xml:space="preserve">% </w:t>
      </w:r>
      <w:r w:rsidR="00EC2231">
        <w:rPr>
          <w:snapToGrid w:val="0"/>
          <w:kern w:val="22"/>
          <w:lang w:val="es-ES"/>
        </w:rPr>
        <w:t>con respecto a los datos básicos de referencia</w:t>
      </w:r>
      <w:r w:rsidRPr="00EC2231">
        <w:rPr>
          <w:snapToGrid w:val="0"/>
          <w:kern w:val="22"/>
          <w:lang w:val="es-ES"/>
        </w:rPr>
        <w:t>. A</w:t>
      </w:r>
      <w:r w:rsidR="00EC2231" w:rsidRPr="00EC2231">
        <w:rPr>
          <w:snapToGrid w:val="0"/>
          <w:kern w:val="22"/>
          <w:lang w:val="es-ES"/>
        </w:rPr>
        <w:t xml:space="preserve"> nivel regional, las cifras son las siguientes:</w:t>
      </w:r>
      <w:r w:rsidRPr="00EC2231">
        <w:rPr>
          <w:snapToGrid w:val="0"/>
          <w:kern w:val="22"/>
          <w:lang w:val="es-ES"/>
        </w:rPr>
        <w:t xml:space="preserve"> Asia</w:t>
      </w:r>
      <w:r w:rsidR="004A084B">
        <w:rPr>
          <w:snapToGrid w:val="0"/>
          <w:kern w:val="22"/>
          <w:lang w:val="es-ES"/>
        </w:rPr>
        <w:t xml:space="preserve"> y el </w:t>
      </w:r>
      <w:r w:rsidRPr="00EC2231">
        <w:rPr>
          <w:snapToGrid w:val="0"/>
          <w:kern w:val="22"/>
          <w:lang w:val="es-ES"/>
        </w:rPr>
        <w:t>Pac</w:t>
      </w:r>
      <w:r w:rsidR="00EC2231">
        <w:rPr>
          <w:snapToGrid w:val="0"/>
          <w:kern w:val="22"/>
          <w:lang w:val="es-ES"/>
        </w:rPr>
        <w:t>ífico</w:t>
      </w:r>
      <w:r w:rsidRPr="00EC2231">
        <w:rPr>
          <w:snapToGrid w:val="0"/>
          <w:kern w:val="22"/>
          <w:lang w:val="es-ES"/>
        </w:rPr>
        <w:t>: 75</w:t>
      </w:r>
      <w:r w:rsidR="00EC2231">
        <w:rPr>
          <w:snapToGrid w:val="0"/>
          <w:kern w:val="22"/>
          <w:lang w:val="es-ES"/>
        </w:rPr>
        <w:t xml:space="preserve"> </w:t>
      </w:r>
      <w:r w:rsidRPr="00EC2231">
        <w:rPr>
          <w:snapToGrid w:val="0"/>
          <w:kern w:val="22"/>
          <w:lang w:val="es-ES"/>
        </w:rPr>
        <w:t>% (+</w:t>
      </w:r>
      <w:r w:rsidR="00EC2231">
        <w:rPr>
          <w:snapToGrid w:val="0"/>
          <w:kern w:val="22"/>
          <w:lang w:val="es-ES"/>
        </w:rPr>
        <w:t xml:space="preserve"> </w:t>
      </w:r>
      <w:r w:rsidRPr="00EC2231">
        <w:rPr>
          <w:snapToGrid w:val="0"/>
          <w:kern w:val="22"/>
          <w:lang w:val="es-ES"/>
        </w:rPr>
        <w:t>31</w:t>
      </w:r>
      <w:r w:rsidR="00EC2231">
        <w:rPr>
          <w:snapToGrid w:val="0"/>
          <w:kern w:val="22"/>
          <w:lang w:val="es-ES"/>
        </w:rPr>
        <w:t xml:space="preserve"> </w:t>
      </w:r>
      <w:r w:rsidRPr="00EC2231">
        <w:rPr>
          <w:snapToGrid w:val="0"/>
          <w:kern w:val="22"/>
          <w:lang w:val="es-ES"/>
        </w:rPr>
        <w:t>%)</w:t>
      </w:r>
      <w:r w:rsidR="00A86571">
        <w:rPr>
          <w:snapToGrid w:val="0"/>
          <w:kern w:val="22"/>
          <w:lang w:val="es-ES"/>
        </w:rPr>
        <w:t>,</w:t>
      </w:r>
      <w:r w:rsidRPr="00EC2231">
        <w:rPr>
          <w:snapToGrid w:val="0"/>
          <w:kern w:val="22"/>
          <w:lang w:val="es-ES"/>
        </w:rPr>
        <w:t xml:space="preserve"> </w:t>
      </w:r>
      <w:r w:rsidR="00EC2231">
        <w:rPr>
          <w:snapToGrid w:val="0"/>
          <w:kern w:val="22"/>
          <w:lang w:val="es-ES"/>
        </w:rPr>
        <w:t>Á</w:t>
      </w:r>
      <w:r w:rsidRPr="00EC2231">
        <w:rPr>
          <w:snapToGrid w:val="0"/>
          <w:kern w:val="22"/>
          <w:lang w:val="es-ES"/>
        </w:rPr>
        <w:t>frica: 33</w:t>
      </w:r>
      <w:r w:rsidR="00EC2231">
        <w:rPr>
          <w:snapToGrid w:val="0"/>
          <w:kern w:val="22"/>
          <w:lang w:val="es-ES"/>
        </w:rPr>
        <w:t xml:space="preserve"> </w:t>
      </w:r>
      <w:r w:rsidRPr="00EC2231">
        <w:rPr>
          <w:snapToGrid w:val="0"/>
          <w:kern w:val="22"/>
          <w:lang w:val="es-ES"/>
        </w:rPr>
        <w:t>% (+</w:t>
      </w:r>
      <w:r w:rsidR="00EC2231">
        <w:rPr>
          <w:snapToGrid w:val="0"/>
          <w:kern w:val="22"/>
          <w:lang w:val="es-ES"/>
        </w:rPr>
        <w:t xml:space="preserve"> </w:t>
      </w:r>
      <w:r w:rsidRPr="00EC2231">
        <w:rPr>
          <w:snapToGrid w:val="0"/>
          <w:kern w:val="22"/>
          <w:lang w:val="es-ES"/>
        </w:rPr>
        <w:t>3</w:t>
      </w:r>
      <w:r w:rsidR="00EC2231">
        <w:rPr>
          <w:snapToGrid w:val="0"/>
          <w:kern w:val="22"/>
          <w:lang w:val="es-ES"/>
        </w:rPr>
        <w:t xml:space="preserve"> </w:t>
      </w:r>
      <w:r w:rsidRPr="00EC2231">
        <w:rPr>
          <w:snapToGrid w:val="0"/>
          <w:kern w:val="22"/>
          <w:lang w:val="es-ES"/>
        </w:rPr>
        <w:t>%)</w:t>
      </w:r>
      <w:r w:rsidR="00A86571">
        <w:rPr>
          <w:snapToGrid w:val="0"/>
          <w:kern w:val="22"/>
          <w:lang w:val="es-ES"/>
        </w:rPr>
        <w:t>,</w:t>
      </w:r>
      <w:r w:rsidRPr="00EC2231">
        <w:rPr>
          <w:snapToGrid w:val="0"/>
          <w:kern w:val="22"/>
          <w:lang w:val="es-ES"/>
        </w:rPr>
        <w:t xml:space="preserve"> </w:t>
      </w:r>
      <w:r w:rsidR="00EA78DC">
        <w:rPr>
          <w:snapToGrid w:val="0"/>
          <w:kern w:val="22"/>
          <w:lang w:val="es-ES"/>
        </w:rPr>
        <w:t>grupo de Estados de Europa Central y Oriental</w:t>
      </w:r>
      <w:r w:rsidRPr="00EC2231">
        <w:rPr>
          <w:snapToGrid w:val="0"/>
          <w:kern w:val="22"/>
          <w:lang w:val="es-ES"/>
        </w:rPr>
        <w:t>: 13</w:t>
      </w:r>
      <w:r w:rsidR="00EC2231">
        <w:rPr>
          <w:snapToGrid w:val="0"/>
          <w:kern w:val="22"/>
          <w:lang w:val="es-ES"/>
        </w:rPr>
        <w:t xml:space="preserve"> </w:t>
      </w:r>
      <w:r w:rsidRPr="00EC2231">
        <w:rPr>
          <w:snapToGrid w:val="0"/>
          <w:kern w:val="22"/>
          <w:lang w:val="es-ES"/>
        </w:rPr>
        <w:t>% (-</w:t>
      </w:r>
      <w:r w:rsidR="00EC2231">
        <w:rPr>
          <w:snapToGrid w:val="0"/>
          <w:kern w:val="22"/>
          <w:lang w:val="es-ES"/>
        </w:rPr>
        <w:t xml:space="preserve"> </w:t>
      </w:r>
      <w:r w:rsidRPr="00EC2231">
        <w:rPr>
          <w:snapToGrid w:val="0"/>
          <w:kern w:val="22"/>
          <w:lang w:val="es-ES"/>
        </w:rPr>
        <w:t>25</w:t>
      </w:r>
      <w:r w:rsidR="00EC2231">
        <w:rPr>
          <w:snapToGrid w:val="0"/>
          <w:kern w:val="22"/>
          <w:lang w:val="es-ES"/>
        </w:rPr>
        <w:t xml:space="preserve"> </w:t>
      </w:r>
      <w:r w:rsidRPr="00EC2231">
        <w:rPr>
          <w:snapToGrid w:val="0"/>
          <w:kern w:val="22"/>
          <w:lang w:val="es-ES"/>
        </w:rPr>
        <w:t xml:space="preserve">%). </w:t>
      </w:r>
      <w:r w:rsidR="00EC2231">
        <w:rPr>
          <w:snapToGrid w:val="0"/>
          <w:kern w:val="22"/>
          <w:lang w:val="es-ES"/>
        </w:rPr>
        <w:t xml:space="preserve">Los porcentajes </w:t>
      </w:r>
      <w:r w:rsidR="00EC2231">
        <w:rPr>
          <w:snapToGrid w:val="0"/>
          <w:kern w:val="22"/>
          <w:lang w:val="es-ES"/>
        </w:rPr>
        <w:lastRenderedPageBreak/>
        <w:t xml:space="preserve">comunicados en el </w:t>
      </w:r>
      <w:r w:rsidR="007A67EE">
        <w:rPr>
          <w:snapToGrid w:val="0"/>
          <w:kern w:val="22"/>
          <w:lang w:val="es-ES"/>
        </w:rPr>
        <w:t>grupo de países de América Latina y el Caribe</w:t>
      </w:r>
      <w:r w:rsidR="007A67EE" w:rsidRPr="00EC2231">
        <w:rPr>
          <w:snapToGrid w:val="0"/>
          <w:kern w:val="22"/>
          <w:lang w:val="es-ES"/>
        </w:rPr>
        <w:t xml:space="preserve"> </w:t>
      </w:r>
      <w:r w:rsidRPr="00EC2231">
        <w:rPr>
          <w:snapToGrid w:val="0"/>
          <w:kern w:val="22"/>
          <w:lang w:val="es-ES"/>
        </w:rPr>
        <w:t>(38</w:t>
      </w:r>
      <w:r w:rsidR="00EC2231" w:rsidRPr="00EC2231">
        <w:rPr>
          <w:snapToGrid w:val="0"/>
          <w:kern w:val="22"/>
          <w:lang w:val="es-ES"/>
        </w:rPr>
        <w:t xml:space="preserve"> </w:t>
      </w:r>
      <w:r w:rsidRPr="00EC2231">
        <w:rPr>
          <w:snapToGrid w:val="0"/>
          <w:kern w:val="22"/>
          <w:lang w:val="es-ES"/>
        </w:rPr>
        <w:t xml:space="preserve">%) </w:t>
      </w:r>
      <w:r w:rsidR="00EC2231">
        <w:rPr>
          <w:snapToGrid w:val="0"/>
          <w:kern w:val="22"/>
          <w:lang w:val="es-ES"/>
        </w:rPr>
        <w:t>y el grupo de Estados de Europa Occidental y otros</w:t>
      </w:r>
      <w:r w:rsidRPr="00EC2231">
        <w:rPr>
          <w:snapToGrid w:val="0"/>
          <w:kern w:val="22"/>
          <w:lang w:val="es-ES"/>
        </w:rPr>
        <w:t xml:space="preserve"> (11</w:t>
      </w:r>
      <w:r w:rsidR="00EC2231">
        <w:rPr>
          <w:snapToGrid w:val="0"/>
          <w:kern w:val="22"/>
          <w:lang w:val="es-ES"/>
        </w:rPr>
        <w:t xml:space="preserve"> </w:t>
      </w:r>
      <w:r w:rsidRPr="00EC2231">
        <w:rPr>
          <w:snapToGrid w:val="0"/>
          <w:kern w:val="22"/>
          <w:lang w:val="es-ES"/>
        </w:rPr>
        <w:t xml:space="preserve">%) </w:t>
      </w:r>
      <w:r w:rsidR="00EC2231">
        <w:rPr>
          <w:snapToGrid w:val="0"/>
          <w:kern w:val="22"/>
          <w:lang w:val="es-ES"/>
        </w:rPr>
        <w:t>no constituyen ningún cambio con respecto a los datos básicos de referencia</w:t>
      </w:r>
      <w:r w:rsidRPr="00EC2231">
        <w:rPr>
          <w:snapToGrid w:val="0"/>
          <w:kern w:val="22"/>
          <w:lang w:val="es-ES"/>
        </w:rPr>
        <w:t xml:space="preserve">. </w:t>
      </w:r>
    </w:p>
    <w:p w:rsidR="00775B5A" w:rsidRPr="00A20286" w:rsidRDefault="00EC2231"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C2231">
        <w:rPr>
          <w:snapToGrid w:val="0"/>
          <w:kern w:val="22"/>
          <w:lang w:val="es-ES"/>
        </w:rPr>
        <w:t>En lo que respecta al</w:t>
      </w:r>
      <w:r w:rsidR="00775B5A" w:rsidRPr="00EC2231">
        <w:rPr>
          <w:snapToGrid w:val="0"/>
          <w:kern w:val="22"/>
          <w:lang w:val="es-ES"/>
        </w:rPr>
        <w:t xml:space="preserve"> </w:t>
      </w:r>
      <w:r w:rsidR="00775B5A" w:rsidRPr="00EC2231">
        <w:rPr>
          <w:b/>
          <w:bCs/>
          <w:snapToGrid w:val="0"/>
          <w:kern w:val="22"/>
          <w:lang w:val="es-ES"/>
        </w:rPr>
        <w:t>indica</w:t>
      </w:r>
      <w:r w:rsidRPr="00EC2231">
        <w:rPr>
          <w:b/>
          <w:bCs/>
          <w:snapToGrid w:val="0"/>
          <w:kern w:val="22"/>
          <w:lang w:val="es-ES"/>
        </w:rPr>
        <w:t>d</w:t>
      </w:r>
      <w:r w:rsidR="00775B5A" w:rsidRPr="00EC2231">
        <w:rPr>
          <w:b/>
          <w:bCs/>
          <w:snapToGrid w:val="0"/>
          <w:kern w:val="22"/>
          <w:lang w:val="es-ES"/>
        </w:rPr>
        <w:t>or 1.2.3</w:t>
      </w:r>
      <w:r w:rsidRPr="00EC2231">
        <w:rPr>
          <w:snapToGrid w:val="0"/>
          <w:kern w:val="22"/>
          <w:lang w:val="es-ES"/>
        </w:rPr>
        <w:t xml:space="preserve"> (el porcentaje de </w:t>
      </w:r>
      <w:r w:rsidR="00775B5A" w:rsidRPr="00EC2231">
        <w:rPr>
          <w:snapToGrid w:val="0"/>
          <w:kern w:val="22"/>
          <w:lang w:val="es-ES"/>
        </w:rPr>
        <w:t xml:space="preserve">Partes </w:t>
      </w:r>
      <w:r w:rsidRPr="00EC2231">
        <w:rPr>
          <w:snapToGrid w:val="0"/>
          <w:kern w:val="22"/>
          <w:lang w:val="es-ES"/>
        </w:rPr>
        <w:t xml:space="preserve">que tienen en vigor programas de capacitación para el personal que </w:t>
      </w:r>
      <w:r>
        <w:rPr>
          <w:snapToGrid w:val="0"/>
          <w:kern w:val="22"/>
          <w:lang w:val="es-ES"/>
        </w:rPr>
        <w:t xml:space="preserve">se ocupa de </w:t>
      </w:r>
      <w:r w:rsidRPr="00EC2231">
        <w:rPr>
          <w:snapToGrid w:val="0"/>
          <w:kern w:val="22"/>
          <w:lang w:val="es-ES"/>
        </w:rPr>
        <w:t>cuestiones de seguridad de la biotecnolog</w:t>
      </w:r>
      <w:r>
        <w:rPr>
          <w:snapToGrid w:val="0"/>
          <w:kern w:val="22"/>
          <w:lang w:val="es-ES"/>
        </w:rPr>
        <w:t>ía y para la capacitación a largo plazo de profesionales de la seguridad de la biotecnología</w:t>
      </w:r>
      <w:r w:rsidR="00775B5A" w:rsidRPr="00EC2231">
        <w:rPr>
          <w:snapToGrid w:val="0"/>
          <w:kern w:val="22"/>
          <w:lang w:val="es-ES"/>
        </w:rPr>
        <w:t xml:space="preserve">), </w:t>
      </w:r>
      <w:r>
        <w:rPr>
          <w:snapToGrid w:val="0"/>
          <w:kern w:val="22"/>
          <w:lang w:val="es-ES"/>
        </w:rPr>
        <w:t>el cuarto informe nacional no incluye una pregunta específica para este indicador</w:t>
      </w:r>
      <w:r w:rsidR="00775B5A" w:rsidRPr="00EC2231">
        <w:rPr>
          <w:snapToGrid w:val="0"/>
          <w:kern w:val="22"/>
          <w:lang w:val="es-ES"/>
        </w:rPr>
        <w:t xml:space="preserve">. </w:t>
      </w:r>
      <w:r w:rsidRPr="00A20286">
        <w:rPr>
          <w:snapToGrid w:val="0"/>
          <w:kern w:val="22"/>
          <w:lang w:val="es-ES"/>
        </w:rPr>
        <w:t xml:space="preserve">No obstante, el </w:t>
      </w:r>
      <w:r w:rsidR="00775B5A" w:rsidRPr="00A20286">
        <w:rPr>
          <w:snapToGrid w:val="0"/>
          <w:kern w:val="22"/>
          <w:lang w:val="es-ES"/>
        </w:rPr>
        <w:t>86</w:t>
      </w:r>
      <w:r w:rsidRPr="00A20286">
        <w:rPr>
          <w:snapToGrid w:val="0"/>
          <w:kern w:val="22"/>
          <w:lang w:val="es-ES"/>
        </w:rPr>
        <w:t xml:space="preserve"> </w:t>
      </w:r>
      <w:r w:rsidR="00775B5A" w:rsidRPr="00A20286">
        <w:rPr>
          <w:snapToGrid w:val="0"/>
          <w:kern w:val="22"/>
          <w:lang w:val="es-ES"/>
        </w:rPr>
        <w:t xml:space="preserve">% </w:t>
      </w:r>
      <w:r w:rsidRPr="00A20286">
        <w:rPr>
          <w:snapToGrid w:val="0"/>
          <w:kern w:val="22"/>
          <w:lang w:val="es-ES"/>
        </w:rPr>
        <w:t xml:space="preserve">de las </w:t>
      </w:r>
      <w:r w:rsidR="00775B5A" w:rsidRPr="00A20286">
        <w:rPr>
          <w:snapToGrid w:val="0"/>
          <w:kern w:val="22"/>
          <w:lang w:val="es-ES"/>
        </w:rPr>
        <w:t xml:space="preserve">Partes (61 Partes) </w:t>
      </w:r>
      <w:r w:rsidR="00A86571">
        <w:rPr>
          <w:snapToGrid w:val="0"/>
          <w:kern w:val="22"/>
          <w:lang w:val="es-ES"/>
        </w:rPr>
        <w:t>comunicó</w:t>
      </w:r>
      <w:r w:rsidR="00A20286" w:rsidRPr="00A20286">
        <w:rPr>
          <w:snapToGrid w:val="0"/>
          <w:kern w:val="22"/>
          <w:lang w:val="es-ES"/>
        </w:rPr>
        <w:t xml:space="preserve"> que las instituciones académicas</w:t>
      </w:r>
      <w:r w:rsidR="00A86571">
        <w:rPr>
          <w:snapToGrid w:val="0"/>
          <w:kern w:val="22"/>
          <w:lang w:val="es-ES"/>
        </w:rPr>
        <w:t xml:space="preserve"> en sus países</w:t>
      </w:r>
      <w:r w:rsidR="00A20286" w:rsidRPr="00A20286">
        <w:rPr>
          <w:snapToGrid w:val="0"/>
          <w:kern w:val="22"/>
          <w:lang w:val="es-ES"/>
        </w:rPr>
        <w:t xml:space="preserve"> </w:t>
      </w:r>
      <w:r w:rsidR="00775B5A" w:rsidRPr="00A20286">
        <w:rPr>
          <w:snapToGrid w:val="0"/>
          <w:kern w:val="22"/>
          <w:lang w:val="es-ES"/>
        </w:rPr>
        <w:t>of</w:t>
      </w:r>
      <w:r w:rsidR="00A20286">
        <w:rPr>
          <w:snapToGrid w:val="0"/>
          <w:kern w:val="22"/>
          <w:lang w:val="es-ES"/>
        </w:rPr>
        <w:t>recen cursos y programas de capacitación y educación en materia de seguridad de la biotecnología</w:t>
      </w:r>
      <w:r w:rsidR="00775B5A" w:rsidRPr="00A20286">
        <w:rPr>
          <w:snapToGrid w:val="0"/>
          <w:kern w:val="22"/>
          <w:lang w:val="es-ES"/>
        </w:rPr>
        <w:t xml:space="preserve">, </w:t>
      </w:r>
      <w:r w:rsidR="00A20286">
        <w:rPr>
          <w:snapToGrid w:val="0"/>
          <w:kern w:val="22"/>
          <w:lang w:val="es-ES"/>
        </w:rPr>
        <w:t xml:space="preserve">lo que supone un aumento del </w:t>
      </w:r>
      <w:r w:rsidR="00775B5A" w:rsidRPr="00A20286">
        <w:rPr>
          <w:snapToGrid w:val="0"/>
          <w:kern w:val="22"/>
          <w:lang w:val="es-ES"/>
        </w:rPr>
        <w:t>11</w:t>
      </w:r>
      <w:r w:rsidR="00A20286">
        <w:rPr>
          <w:snapToGrid w:val="0"/>
          <w:kern w:val="22"/>
          <w:lang w:val="es-ES"/>
        </w:rPr>
        <w:t xml:space="preserve"> </w:t>
      </w:r>
      <w:r w:rsidR="00775B5A" w:rsidRPr="00A20286">
        <w:rPr>
          <w:snapToGrid w:val="0"/>
          <w:kern w:val="22"/>
          <w:lang w:val="es-ES"/>
        </w:rPr>
        <w:t xml:space="preserve">% </w:t>
      </w:r>
      <w:r w:rsidR="00A20286">
        <w:rPr>
          <w:snapToGrid w:val="0"/>
          <w:kern w:val="22"/>
          <w:lang w:val="es-ES"/>
        </w:rPr>
        <w:t>con respecto a los datos básicos de referencia</w:t>
      </w:r>
      <w:r w:rsidR="00775B5A" w:rsidRPr="00A20286">
        <w:rPr>
          <w:snapToGrid w:val="0"/>
          <w:kern w:val="22"/>
          <w:lang w:val="es-ES"/>
        </w:rPr>
        <w:t xml:space="preserve">. </w:t>
      </w:r>
      <w:r w:rsidR="00A20286" w:rsidRPr="00A20286">
        <w:rPr>
          <w:snapToGrid w:val="0"/>
          <w:kern w:val="22"/>
          <w:lang w:val="es-ES"/>
        </w:rPr>
        <w:t xml:space="preserve">En sus contribuciones por escrito, varias </w:t>
      </w:r>
      <w:r w:rsidR="00775B5A" w:rsidRPr="00A20286">
        <w:rPr>
          <w:snapToGrid w:val="0"/>
          <w:kern w:val="22"/>
          <w:lang w:val="es-ES"/>
        </w:rPr>
        <w:t>Partes indica</w:t>
      </w:r>
      <w:r w:rsidR="00A20286" w:rsidRPr="00A20286">
        <w:rPr>
          <w:snapToGrid w:val="0"/>
          <w:kern w:val="22"/>
          <w:lang w:val="es-ES"/>
        </w:rPr>
        <w:t>ron que, además, se habían organizado seminarios y talleres de capacitaci</w:t>
      </w:r>
      <w:r w:rsidR="00A20286">
        <w:rPr>
          <w:snapToGrid w:val="0"/>
          <w:kern w:val="22"/>
          <w:lang w:val="es-ES"/>
        </w:rPr>
        <w:t>ón para los encargados de formular políticas, expertos y personal pertinente</w:t>
      </w:r>
      <w:r w:rsidR="00775B5A" w:rsidRPr="00A20286">
        <w:rPr>
          <w:snapToGrid w:val="0"/>
          <w:kern w:val="22"/>
          <w:lang w:val="es-ES"/>
        </w:rPr>
        <w:t>.</w:t>
      </w:r>
    </w:p>
    <w:p w:rsidR="00775B5A" w:rsidRPr="00BD43A8" w:rsidRDefault="004D75F4"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4D75F4">
        <w:rPr>
          <w:snapToGrid w:val="0"/>
          <w:kern w:val="22"/>
          <w:lang w:val="es-ES"/>
        </w:rPr>
        <w:t>En cuanto al</w:t>
      </w:r>
      <w:r w:rsidR="00775B5A" w:rsidRPr="004D75F4">
        <w:rPr>
          <w:snapToGrid w:val="0"/>
          <w:kern w:val="22"/>
          <w:lang w:val="es-ES"/>
        </w:rPr>
        <w:t xml:space="preserve"> </w:t>
      </w:r>
      <w:r w:rsidR="00775B5A" w:rsidRPr="004D75F4">
        <w:rPr>
          <w:b/>
          <w:bCs/>
          <w:snapToGrid w:val="0"/>
          <w:kern w:val="22"/>
          <w:lang w:val="es-ES"/>
        </w:rPr>
        <w:t>indica</w:t>
      </w:r>
      <w:r w:rsidRPr="004D75F4">
        <w:rPr>
          <w:b/>
          <w:bCs/>
          <w:snapToGrid w:val="0"/>
          <w:kern w:val="22"/>
          <w:lang w:val="es-ES"/>
        </w:rPr>
        <w:t>d</w:t>
      </w:r>
      <w:r w:rsidR="00775B5A" w:rsidRPr="004D75F4">
        <w:rPr>
          <w:b/>
          <w:bCs/>
          <w:snapToGrid w:val="0"/>
          <w:kern w:val="22"/>
          <w:lang w:val="es-ES"/>
        </w:rPr>
        <w:t>or 1.2.4</w:t>
      </w:r>
      <w:r w:rsidR="00775B5A" w:rsidRPr="004D75F4">
        <w:rPr>
          <w:snapToGrid w:val="0"/>
          <w:kern w:val="22"/>
          <w:lang w:val="es-ES"/>
        </w:rPr>
        <w:t xml:space="preserve"> (</w:t>
      </w:r>
      <w:r w:rsidRPr="004D75F4">
        <w:rPr>
          <w:snapToGrid w:val="0"/>
          <w:kern w:val="22"/>
          <w:lang w:val="es-ES"/>
        </w:rPr>
        <w:t xml:space="preserve">el porcentaje de </w:t>
      </w:r>
      <w:r w:rsidR="00775B5A" w:rsidRPr="004D75F4">
        <w:rPr>
          <w:snapToGrid w:val="0"/>
          <w:kern w:val="22"/>
          <w:lang w:val="es-ES"/>
        </w:rPr>
        <w:t xml:space="preserve">Partes </w:t>
      </w:r>
      <w:r w:rsidRPr="004D75F4">
        <w:rPr>
          <w:snapToGrid w:val="0"/>
          <w:kern w:val="22"/>
          <w:lang w:val="es-ES"/>
        </w:rPr>
        <w:t>que</w:t>
      </w:r>
      <w:r w:rsidR="00A86571">
        <w:rPr>
          <w:snapToGrid w:val="0"/>
          <w:kern w:val="22"/>
          <w:lang w:val="es-ES"/>
        </w:rPr>
        <w:t xml:space="preserve"> ha establecido</w:t>
      </w:r>
      <w:r>
        <w:rPr>
          <w:snapToGrid w:val="0"/>
          <w:kern w:val="22"/>
          <w:lang w:val="es-ES"/>
        </w:rPr>
        <w:t xml:space="preserve"> </w:t>
      </w:r>
      <w:r w:rsidRPr="004D75F4">
        <w:rPr>
          <w:snapToGrid w:val="0"/>
          <w:kern w:val="22"/>
          <w:lang w:val="es-ES"/>
        </w:rPr>
        <w:t xml:space="preserve">mecanismos </w:t>
      </w:r>
      <w:r>
        <w:rPr>
          <w:snapToGrid w:val="0"/>
          <w:kern w:val="22"/>
          <w:lang w:val="es-ES"/>
        </w:rPr>
        <w:t xml:space="preserve">nacionales </w:t>
      </w:r>
      <w:r w:rsidRPr="004D75F4">
        <w:rPr>
          <w:snapToGrid w:val="0"/>
          <w:kern w:val="22"/>
          <w:lang w:val="es-ES"/>
        </w:rPr>
        <w:t>de coordinación para las iniciativas de creaci</w:t>
      </w:r>
      <w:r>
        <w:rPr>
          <w:snapToGrid w:val="0"/>
          <w:kern w:val="22"/>
          <w:lang w:val="es-ES"/>
        </w:rPr>
        <w:t>ón de capacidad en materia de seguridad de la biotecnología</w:t>
      </w:r>
      <w:r w:rsidR="00775B5A" w:rsidRPr="004D75F4">
        <w:rPr>
          <w:snapToGrid w:val="0"/>
          <w:kern w:val="22"/>
          <w:lang w:val="es-ES"/>
        </w:rPr>
        <w:t>)</w:t>
      </w:r>
      <w:r w:rsidR="00775B5A" w:rsidRPr="004D75F4">
        <w:rPr>
          <w:rFonts w:ascii="Angsana New" w:hAnsi="Angsana New" w:cs="Angsana New"/>
          <w:snapToGrid w:val="0"/>
          <w:kern w:val="22"/>
          <w:lang w:val="es-ES"/>
        </w:rPr>
        <w:t>,</w:t>
      </w:r>
      <w:r w:rsidR="00775B5A" w:rsidRPr="004D75F4">
        <w:rPr>
          <w:snapToGrid w:val="0"/>
          <w:kern w:val="22"/>
          <w:lang w:val="es-ES"/>
        </w:rPr>
        <w:t xml:space="preserve"> </w:t>
      </w:r>
      <w:r>
        <w:rPr>
          <w:snapToGrid w:val="0"/>
          <w:kern w:val="22"/>
          <w:lang w:val="es-ES"/>
        </w:rPr>
        <w:t xml:space="preserve">el </w:t>
      </w:r>
      <w:r w:rsidR="00775B5A" w:rsidRPr="004D75F4">
        <w:rPr>
          <w:snapToGrid w:val="0"/>
          <w:kern w:val="22"/>
          <w:lang w:val="es-ES"/>
        </w:rPr>
        <w:t>44</w:t>
      </w:r>
      <w:r>
        <w:rPr>
          <w:snapToGrid w:val="0"/>
          <w:kern w:val="22"/>
          <w:lang w:val="es-ES"/>
        </w:rPr>
        <w:t xml:space="preserve"> </w:t>
      </w:r>
      <w:r w:rsidR="00775B5A" w:rsidRPr="004D75F4">
        <w:rPr>
          <w:snapToGrid w:val="0"/>
          <w:kern w:val="22"/>
          <w:lang w:val="es-ES"/>
        </w:rPr>
        <w:t xml:space="preserve">% </w:t>
      </w:r>
      <w:r>
        <w:rPr>
          <w:snapToGrid w:val="0"/>
          <w:kern w:val="22"/>
          <w:lang w:val="es-ES"/>
        </w:rPr>
        <w:t xml:space="preserve">de las </w:t>
      </w:r>
      <w:r w:rsidR="00775B5A" w:rsidRPr="004D75F4">
        <w:rPr>
          <w:snapToGrid w:val="0"/>
          <w:kern w:val="22"/>
          <w:lang w:val="es-ES"/>
        </w:rPr>
        <w:t xml:space="preserve">Partes (31 Partes) </w:t>
      </w:r>
      <w:r>
        <w:rPr>
          <w:snapToGrid w:val="0"/>
          <w:kern w:val="22"/>
          <w:lang w:val="es-ES"/>
        </w:rPr>
        <w:t>comunic</w:t>
      </w:r>
      <w:r w:rsidR="00A86571">
        <w:rPr>
          <w:snapToGrid w:val="0"/>
          <w:kern w:val="22"/>
          <w:lang w:val="es-ES"/>
        </w:rPr>
        <w:t>ó</w:t>
      </w:r>
      <w:r>
        <w:rPr>
          <w:snapToGrid w:val="0"/>
          <w:kern w:val="22"/>
          <w:lang w:val="es-ES"/>
        </w:rPr>
        <w:t xml:space="preserve"> que </w:t>
      </w:r>
      <w:r w:rsidR="00BD43A8">
        <w:rPr>
          <w:snapToGrid w:val="0"/>
          <w:kern w:val="22"/>
          <w:lang w:val="es-ES"/>
        </w:rPr>
        <w:t>contaba con un mecanismo nacional</w:t>
      </w:r>
      <w:r w:rsidR="00A86571">
        <w:rPr>
          <w:snapToGrid w:val="0"/>
          <w:kern w:val="22"/>
          <w:lang w:val="es-ES"/>
        </w:rPr>
        <w:t xml:space="preserve"> funcional </w:t>
      </w:r>
      <w:r w:rsidR="00BD43A8">
        <w:rPr>
          <w:snapToGrid w:val="0"/>
          <w:kern w:val="22"/>
          <w:lang w:val="es-ES"/>
        </w:rPr>
        <w:t>para coordinar las iniciativas de creación de capacidad en materia de seguridad de la biotecnología</w:t>
      </w:r>
      <w:r w:rsidR="00775B5A" w:rsidRPr="004D75F4">
        <w:rPr>
          <w:snapToGrid w:val="0"/>
          <w:kern w:val="22"/>
          <w:lang w:val="es-ES"/>
        </w:rPr>
        <w:t xml:space="preserve">, </w:t>
      </w:r>
      <w:r w:rsidR="00BD43A8">
        <w:rPr>
          <w:snapToGrid w:val="0"/>
          <w:kern w:val="22"/>
          <w:lang w:val="es-ES"/>
        </w:rPr>
        <w:t xml:space="preserve">lo que representa una disminución del </w:t>
      </w:r>
      <w:r w:rsidR="00775B5A" w:rsidRPr="004D75F4">
        <w:rPr>
          <w:snapToGrid w:val="0"/>
          <w:kern w:val="22"/>
          <w:lang w:val="es-ES"/>
        </w:rPr>
        <w:t>10</w:t>
      </w:r>
      <w:r w:rsidR="00BD43A8">
        <w:rPr>
          <w:snapToGrid w:val="0"/>
          <w:kern w:val="22"/>
          <w:lang w:val="es-ES"/>
        </w:rPr>
        <w:t xml:space="preserve"> </w:t>
      </w:r>
      <w:r w:rsidR="00775B5A" w:rsidRPr="004D75F4">
        <w:rPr>
          <w:snapToGrid w:val="0"/>
          <w:kern w:val="22"/>
          <w:lang w:val="es-ES"/>
        </w:rPr>
        <w:t xml:space="preserve">% </w:t>
      </w:r>
      <w:r w:rsidR="00BD43A8">
        <w:rPr>
          <w:snapToGrid w:val="0"/>
          <w:kern w:val="22"/>
          <w:lang w:val="es-ES"/>
        </w:rPr>
        <w:t>con respecto a los datos básicos de referencia</w:t>
      </w:r>
      <w:r w:rsidR="00775B5A" w:rsidRPr="004D75F4">
        <w:rPr>
          <w:snapToGrid w:val="0"/>
          <w:kern w:val="22"/>
          <w:lang w:val="es-ES"/>
        </w:rPr>
        <w:t xml:space="preserve">. </w:t>
      </w:r>
      <w:r w:rsidR="00BD43A8">
        <w:rPr>
          <w:snapToGrid w:val="0"/>
          <w:kern w:val="22"/>
          <w:lang w:val="es-ES"/>
        </w:rPr>
        <w:t xml:space="preserve">Las cifras a nivel </w:t>
      </w:r>
      <w:r w:rsidR="00775B5A" w:rsidRPr="00BD43A8">
        <w:rPr>
          <w:snapToGrid w:val="0"/>
          <w:kern w:val="22"/>
          <w:lang w:val="es-ES"/>
        </w:rPr>
        <w:t xml:space="preserve">regional </w:t>
      </w:r>
      <w:r w:rsidR="00BD43A8" w:rsidRPr="00BD43A8">
        <w:rPr>
          <w:snapToGrid w:val="0"/>
          <w:kern w:val="22"/>
          <w:lang w:val="es-ES"/>
        </w:rPr>
        <w:t>son las siguientes</w:t>
      </w:r>
      <w:r w:rsidR="00775B5A" w:rsidRPr="00BD43A8">
        <w:rPr>
          <w:snapToGrid w:val="0"/>
          <w:kern w:val="22"/>
          <w:lang w:val="es-ES"/>
        </w:rPr>
        <w:t xml:space="preserve">: </w:t>
      </w:r>
      <w:r w:rsidR="00BD43A8" w:rsidRPr="00BD43A8">
        <w:rPr>
          <w:snapToGrid w:val="0"/>
          <w:kern w:val="22"/>
          <w:lang w:val="es-ES"/>
        </w:rPr>
        <w:t>Á</w:t>
      </w:r>
      <w:r w:rsidR="00775B5A" w:rsidRPr="00BD43A8">
        <w:rPr>
          <w:snapToGrid w:val="0"/>
          <w:kern w:val="22"/>
          <w:lang w:val="es-ES"/>
        </w:rPr>
        <w:t>frica: 42</w:t>
      </w:r>
      <w:r w:rsidR="00BD43A8" w:rsidRPr="00BD43A8">
        <w:rPr>
          <w:snapToGrid w:val="0"/>
          <w:kern w:val="22"/>
          <w:lang w:val="es-ES"/>
        </w:rPr>
        <w:t xml:space="preserve"> </w:t>
      </w:r>
      <w:r w:rsidR="00775B5A" w:rsidRPr="00BD43A8">
        <w:rPr>
          <w:snapToGrid w:val="0"/>
          <w:kern w:val="22"/>
          <w:lang w:val="es-ES"/>
        </w:rPr>
        <w:t>% (+</w:t>
      </w:r>
      <w:r w:rsidR="00BD43A8">
        <w:rPr>
          <w:snapToGrid w:val="0"/>
          <w:kern w:val="22"/>
          <w:lang w:val="es-ES"/>
        </w:rPr>
        <w:t xml:space="preserve"> </w:t>
      </w:r>
      <w:r w:rsidR="00775B5A" w:rsidRPr="00BD43A8">
        <w:rPr>
          <w:snapToGrid w:val="0"/>
          <w:kern w:val="22"/>
          <w:lang w:val="es-ES"/>
        </w:rPr>
        <w:t>5</w:t>
      </w:r>
      <w:r w:rsidR="00BD43A8">
        <w:rPr>
          <w:snapToGrid w:val="0"/>
          <w:kern w:val="22"/>
          <w:lang w:val="es-ES"/>
        </w:rPr>
        <w:t xml:space="preserve"> </w:t>
      </w:r>
      <w:r w:rsidR="00775B5A" w:rsidRPr="00BD43A8">
        <w:rPr>
          <w:snapToGrid w:val="0"/>
          <w:kern w:val="22"/>
          <w:lang w:val="es-ES"/>
        </w:rPr>
        <w:t>%)</w:t>
      </w:r>
      <w:r w:rsidR="00A86571">
        <w:rPr>
          <w:snapToGrid w:val="0"/>
          <w:kern w:val="22"/>
          <w:lang w:val="es-ES"/>
        </w:rPr>
        <w:t>,</w:t>
      </w:r>
      <w:r w:rsidR="00775B5A" w:rsidRPr="00BD43A8">
        <w:rPr>
          <w:snapToGrid w:val="0"/>
          <w:kern w:val="22"/>
          <w:lang w:val="es-ES"/>
        </w:rPr>
        <w:t xml:space="preserve"> Asia</w:t>
      </w:r>
      <w:r w:rsidR="004A084B">
        <w:rPr>
          <w:snapToGrid w:val="0"/>
          <w:kern w:val="22"/>
          <w:lang w:val="es-ES"/>
        </w:rPr>
        <w:t xml:space="preserve"> y el </w:t>
      </w:r>
      <w:r w:rsidR="00775B5A" w:rsidRPr="00BD43A8">
        <w:rPr>
          <w:snapToGrid w:val="0"/>
          <w:kern w:val="22"/>
          <w:lang w:val="es-ES"/>
        </w:rPr>
        <w:t>Pac</w:t>
      </w:r>
      <w:r w:rsidR="00BD43A8">
        <w:rPr>
          <w:snapToGrid w:val="0"/>
          <w:kern w:val="22"/>
          <w:lang w:val="es-ES"/>
        </w:rPr>
        <w:t>ífico</w:t>
      </w:r>
      <w:r w:rsidR="00775B5A" w:rsidRPr="00BD43A8">
        <w:rPr>
          <w:snapToGrid w:val="0"/>
          <w:kern w:val="22"/>
          <w:lang w:val="es-ES"/>
        </w:rPr>
        <w:t>: 78</w:t>
      </w:r>
      <w:r w:rsidR="00BD43A8">
        <w:rPr>
          <w:snapToGrid w:val="0"/>
          <w:kern w:val="22"/>
          <w:lang w:val="es-ES"/>
        </w:rPr>
        <w:t xml:space="preserve"> </w:t>
      </w:r>
      <w:r w:rsidR="00775B5A" w:rsidRPr="00BD43A8">
        <w:rPr>
          <w:snapToGrid w:val="0"/>
          <w:kern w:val="22"/>
          <w:lang w:val="es-ES"/>
        </w:rPr>
        <w:t>% (+</w:t>
      </w:r>
      <w:r w:rsidR="00BD43A8">
        <w:rPr>
          <w:snapToGrid w:val="0"/>
          <w:kern w:val="22"/>
          <w:lang w:val="es-ES"/>
        </w:rPr>
        <w:t xml:space="preserve"> </w:t>
      </w:r>
      <w:r w:rsidR="00775B5A" w:rsidRPr="00BD43A8">
        <w:rPr>
          <w:snapToGrid w:val="0"/>
          <w:kern w:val="22"/>
          <w:lang w:val="es-ES"/>
        </w:rPr>
        <w:t>22</w:t>
      </w:r>
      <w:r w:rsidR="00BD43A8">
        <w:rPr>
          <w:snapToGrid w:val="0"/>
          <w:kern w:val="22"/>
          <w:lang w:val="es-ES"/>
        </w:rPr>
        <w:t xml:space="preserve"> </w:t>
      </w:r>
      <w:r w:rsidR="00775B5A" w:rsidRPr="00BD43A8">
        <w:rPr>
          <w:snapToGrid w:val="0"/>
          <w:kern w:val="22"/>
          <w:lang w:val="es-ES"/>
        </w:rPr>
        <w:t>%)</w:t>
      </w:r>
      <w:r w:rsidR="00A86571">
        <w:rPr>
          <w:snapToGrid w:val="0"/>
          <w:kern w:val="22"/>
          <w:lang w:val="es-ES"/>
        </w:rPr>
        <w:t>,</w:t>
      </w:r>
      <w:r w:rsidR="00775B5A" w:rsidRPr="00BD43A8">
        <w:rPr>
          <w:snapToGrid w:val="0"/>
          <w:kern w:val="22"/>
          <w:lang w:val="es-ES"/>
        </w:rPr>
        <w:t xml:space="preserve"> </w:t>
      </w:r>
      <w:r w:rsidR="00EA78DC">
        <w:rPr>
          <w:snapToGrid w:val="0"/>
          <w:kern w:val="22"/>
          <w:lang w:val="es-ES"/>
        </w:rPr>
        <w:t>grupo de Estados de Europa Central y Oriental</w:t>
      </w:r>
      <w:r w:rsidR="00775B5A" w:rsidRPr="00BD43A8">
        <w:rPr>
          <w:snapToGrid w:val="0"/>
          <w:kern w:val="22"/>
          <w:lang w:val="es-ES"/>
        </w:rPr>
        <w:t>: 43</w:t>
      </w:r>
      <w:r w:rsidR="00BD43A8">
        <w:rPr>
          <w:snapToGrid w:val="0"/>
          <w:kern w:val="22"/>
          <w:lang w:val="es-ES"/>
        </w:rPr>
        <w:t xml:space="preserve"> </w:t>
      </w:r>
      <w:r w:rsidR="00775B5A" w:rsidRPr="00BD43A8">
        <w:rPr>
          <w:snapToGrid w:val="0"/>
          <w:kern w:val="22"/>
          <w:lang w:val="es-ES"/>
        </w:rPr>
        <w:t>% (+</w:t>
      </w:r>
      <w:r w:rsidR="00BD43A8">
        <w:rPr>
          <w:snapToGrid w:val="0"/>
          <w:kern w:val="22"/>
          <w:lang w:val="es-ES"/>
        </w:rPr>
        <w:t xml:space="preserve"> </w:t>
      </w:r>
      <w:r w:rsidR="00775B5A" w:rsidRPr="00BD43A8">
        <w:rPr>
          <w:snapToGrid w:val="0"/>
          <w:kern w:val="22"/>
          <w:lang w:val="es-ES"/>
        </w:rPr>
        <w:t>7</w:t>
      </w:r>
      <w:r w:rsidR="00BD43A8">
        <w:rPr>
          <w:snapToGrid w:val="0"/>
          <w:kern w:val="22"/>
          <w:lang w:val="es-ES"/>
        </w:rPr>
        <w:t xml:space="preserve"> </w:t>
      </w:r>
      <w:r w:rsidR="00775B5A" w:rsidRPr="00BD43A8">
        <w:rPr>
          <w:snapToGrid w:val="0"/>
          <w:kern w:val="22"/>
          <w:lang w:val="es-ES"/>
        </w:rPr>
        <w:t>%)</w:t>
      </w:r>
      <w:r w:rsidR="00A86571">
        <w:rPr>
          <w:snapToGrid w:val="0"/>
          <w:kern w:val="22"/>
          <w:lang w:val="es-ES"/>
        </w:rPr>
        <w:t>,</w:t>
      </w:r>
      <w:r w:rsidR="00775B5A" w:rsidRPr="00BD43A8">
        <w:rPr>
          <w:snapToGrid w:val="0"/>
          <w:kern w:val="22"/>
          <w:lang w:val="es-ES"/>
        </w:rPr>
        <w:t xml:space="preserve"> </w:t>
      </w:r>
      <w:r w:rsidR="00BD43A8">
        <w:rPr>
          <w:snapToGrid w:val="0"/>
          <w:kern w:val="22"/>
          <w:lang w:val="es-ES"/>
        </w:rPr>
        <w:t>grupo de Estados de Europa Occidental y otros</w:t>
      </w:r>
      <w:r w:rsidR="00775B5A" w:rsidRPr="00BD43A8">
        <w:rPr>
          <w:snapToGrid w:val="0"/>
          <w:kern w:val="22"/>
          <w:lang w:val="es-ES"/>
        </w:rPr>
        <w:t>: 38</w:t>
      </w:r>
      <w:r w:rsidR="00BD43A8">
        <w:rPr>
          <w:snapToGrid w:val="0"/>
          <w:kern w:val="22"/>
          <w:lang w:val="es-ES"/>
        </w:rPr>
        <w:t xml:space="preserve"> </w:t>
      </w:r>
      <w:r w:rsidR="00775B5A" w:rsidRPr="00BD43A8">
        <w:rPr>
          <w:snapToGrid w:val="0"/>
          <w:kern w:val="22"/>
          <w:lang w:val="es-ES"/>
        </w:rPr>
        <w:t>% (-</w:t>
      </w:r>
      <w:r w:rsidR="00BD43A8">
        <w:rPr>
          <w:snapToGrid w:val="0"/>
          <w:kern w:val="22"/>
          <w:lang w:val="es-ES"/>
        </w:rPr>
        <w:t xml:space="preserve"> </w:t>
      </w:r>
      <w:r w:rsidR="00775B5A" w:rsidRPr="00BD43A8">
        <w:rPr>
          <w:snapToGrid w:val="0"/>
          <w:kern w:val="22"/>
          <w:lang w:val="es-ES"/>
        </w:rPr>
        <w:t>31</w:t>
      </w:r>
      <w:r w:rsidR="00BD43A8">
        <w:rPr>
          <w:snapToGrid w:val="0"/>
          <w:kern w:val="22"/>
          <w:lang w:val="es-ES"/>
        </w:rPr>
        <w:t xml:space="preserve"> </w:t>
      </w:r>
      <w:r w:rsidR="00775B5A" w:rsidRPr="00BD43A8">
        <w:rPr>
          <w:snapToGrid w:val="0"/>
          <w:kern w:val="22"/>
          <w:lang w:val="es-ES"/>
        </w:rPr>
        <w:t>%)</w:t>
      </w:r>
      <w:r w:rsidR="00A86571">
        <w:rPr>
          <w:snapToGrid w:val="0"/>
          <w:kern w:val="22"/>
          <w:lang w:val="es-ES"/>
        </w:rPr>
        <w:t>,</w:t>
      </w:r>
      <w:r w:rsidR="00775B5A" w:rsidRPr="00BD43A8">
        <w:rPr>
          <w:snapToGrid w:val="0"/>
          <w:kern w:val="22"/>
          <w:lang w:val="es-ES"/>
        </w:rPr>
        <w:t xml:space="preserve"> </w:t>
      </w:r>
      <w:r w:rsidR="007A67EE">
        <w:rPr>
          <w:snapToGrid w:val="0"/>
          <w:kern w:val="22"/>
          <w:lang w:val="es-ES"/>
        </w:rPr>
        <w:t>grupo de países de América Latina y el Caribe</w:t>
      </w:r>
      <w:r w:rsidR="00775B5A" w:rsidRPr="00BD43A8">
        <w:rPr>
          <w:snapToGrid w:val="0"/>
          <w:kern w:val="22"/>
          <w:lang w:val="es-ES"/>
        </w:rPr>
        <w:t>: 31</w:t>
      </w:r>
      <w:r w:rsidR="00BD43A8">
        <w:rPr>
          <w:snapToGrid w:val="0"/>
          <w:kern w:val="22"/>
          <w:lang w:val="es-ES"/>
        </w:rPr>
        <w:t xml:space="preserve"> </w:t>
      </w:r>
      <w:r w:rsidR="00775B5A" w:rsidRPr="00BD43A8">
        <w:rPr>
          <w:snapToGrid w:val="0"/>
          <w:kern w:val="22"/>
          <w:lang w:val="es-ES"/>
        </w:rPr>
        <w:t>% (-</w:t>
      </w:r>
      <w:r w:rsidR="00BD43A8">
        <w:rPr>
          <w:snapToGrid w:val="0"/>
          <w:kern w:val="22"/>
          <w:lang w:val="es-ES"/>
        </w:rPr>
        <w:t xml:space="preserve"> </w:t>
      </w:r>
      <w:r w:rsidR="00775B5A" w:rsidRPr="00BD43A8">
        <w:rPr>
          <w:snapToGrid w:val="0"/>
          <w:kern w:val="22"/>
          <w:lang w:val="es-ES"/>
        </w:rPr>
        <w:t>46</w:t>
      </w:r>
      <w:r w:rsidR="00BD43A8">
        <w:rPr>
          <w:snapToGrid w:val="0"/>
          <w:kern w:val="22"/>
          <w:lang w:val="es-ES"/>
        </w:rPr>
        <w:t xml:space="preserve"> </w:t>
      </w:r>
      <w:r w:rsidR="00775B5A" w:rsidRPr="00BD43A8">
        <w:rPr>
          <w:snapToGrid w:val="0"/>
          <w:kern w:val="22"/>
          <w:lang w:val="es-ES"/>
        </w:rPr>
        <w:t xml:space="preserve">%). </w:t>
      </w:r>
      <w:r w:rsidR="00BD43A8">
        <w:rPr>
          <w:snapToGrid w:val="0"/>
          <w:kern w:val="22"/>
          <w:lang w:val="es-ES"/>
        </w:rPr>
        <w:t xml:space="preserve">Varias </w:t>
      </w:r>
      <w:r w:rsidR="00775B5A" w:rsidRPr="00BD43A8">
        <w:rPr>
          <w:snapToGrid w:val="0"/>
          <w:kern w:val="22"/>
          <w:lang w:val="es-ES"/>
        </w:rPr>
        <w:t>Partes indica</w:t>
      </w:r>
      <w:r w:rsidR="00BD43A8" w:rsidRPr="00BD43A8">
        <w:rPr>
          <w:snapToGrid w:val="0"/>
          <w:kern w:val="22"/>
          <w:lang w:val="es-ES"/>
        </w:rPr>
        <w:t>ron en sus contribuciones por escrito que sus autoridades nacionales competentes son responsables de coordinar y</w:t>
      </w:r>
      <w:r w:rsidR="00A86571">
        <w:rPr>
          <w:snapToGrid w:val="0"/>
          <w:kern w:val="22"/>
          <w:lang w:val="es-ES"/>
        </w:rPr>
        <w:t xml:space="preserve"> aplicar</w:t>
      </w:r>
      <w:r w:rsidR="00BD43A8" w:rsidRPr="00BD43A8">
        <w:rPr>
          <w:snapToGrid w:val="0"/>
          <w:kern w:val="22"/>
          <w:lang w:val="es-ES"/>
        </w:rPr>
        <w:t xml:space="preserve"> in</w:t>
      </w:r>
      <w:r w:rsidR="00BD43A8">
        <w:rPr>
          <w:snapToGrid w:val="0"/>
          <w:kern w:val="22"/>
          <w:lang w:val="es-ES"/>
        </w:rPr>
        <w:t>i</w:t>
      </w:r>
      <w:r w:rsidR="00BD43A8" w:rsidRPr="00BD43A8">
        <w:rPr>
          <w:snapToGrid w:val="0"/>
          <w:kern w:val="22"/>
          <w:lang w:val="es-ES"/>
        </w:rPr>
        <w:t>ciativas de creaci</w:t>
      </w:r>
      <w:r w:rsidR="00BD43A8">
        <w:rPr>
          <w:snapToGrid w:val="0"/>
          <w:kern w:val="22"/>
          <w:lang w:val="es-ES"/>
        </w:rPr>
        <w:t>ón de capacidad en materia de seguridad de la biotecnología a nivel nacional</w:t>
      </w:r>
      <w:r w:rsidR="00775B5A" w:rsidRPr="00BD43A8">
        <w:rPr>
          <w:snapToGrid w:val="0"/>
          <w:kern w:val="22"/>
          <w:lang w:val="es-ES"/>
        </w:rPr>
        <w:t xml:space="preserve">. </w:t>
      </w:r>
    </w:p>
    <w:p w:rsidR="00775B5A" w:rsidRPr="00210A39" w:rsidRDefault="00BD43A8"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BD43A8">
        <w:rPr>
          <w:snapToGrid w:val="0"/>
          <w:kern w:val="22"/>
          <w:lang w:val="es-ES"/>
        </w:rPr>
        <w:t>En lo tocante al</w:t>
      </w:r>
      <w:r w:rsidR="00775B5A" w:rsidRPr="00BD43A8">
        <w:rPr>
          <w:snapToGrid w:val="0"/>
          <w:kern w:val="22"/>
          <w:lang w:val="es-ES"/>
        </w:rPr>
        <w:t xml:space="preserve"> </w:t>
      </w:r>
      <w:r w:rsidR="00775B5A" w:rsidRPr="00BD43A8">
        <w:rPr>
          <w:b/>
          <w:bCs/>
          <w:snapToGrid w:val="0"/>
          <w:kern w:val="22"/>
          <w:lang w:val="es-ES"/>
        </w:rPr>
        <w:t>indica</w:t>
      </w:r>
      <w:r w:rsidRPr="00BD43A8">
        <w:rPr>
          <w:b/>
          <w:bCs/>
          <w:snapToGrid w:val="0"/>
          <w:kern w:val="22"/>
          <w:lang w:val="es-ES"/>
        </w:rPr>
        <w:t>d</w:t>
      </w:r>
      <w:r w:rsidR="00775B5A" w:rsidRPr="00BD43A8">
        <w:rPr>
          <w:b/>
          <w:bCs/>
          <w:snapToGrid w:val="0"/>
          <w:kern w:val="22"/>
          <w:lang w:val="es-ES"/>
        </w:rPr>
        <w:t>or 1.2.5</w:t>
      </w:r>
      <w:r w:rsidR="00775B5A" w:rsidRPr="00BD43A8">
        <w:rPr>
          <w:snapToGrid w:val="0"/>
          <w:kern w:val="22"/>
          <w:lang w:val="es-ES"/>
        </w:rPr>
        <w:t xml:space="preserve"> (</w:t>
      </w:r>
      <w:r>
        <w:rPr>
          <w:snapToGrid w:val="0"/>
          <w:kern w:val="22"/>
          <w:lang w:val="es-ES"/>
        </w:rPr>
        <w:t>el volumen</w:t>
      </w:r>
      <w:r w:rsidRPr="00BD43A8">
        <w:rPr>
          <w:snapToGrid w:val="0"/>
          <w:kern w:val="22"/>
          <w:lang w:val="es-ES"/>
        </w:rPr>
        <w:t xml:space="preserve"> de recursos financieros nuevos y adicionales movilizados para la aplicaci</w:t>
      </w:r>
      <w:r>
        <w:rPr>
          <w:snapToGrid w:val="0"/>
          <w:kern w:val="22"/>
          <w:lang w:val="es-ES"/>
        </w:rPr>
        <w:t>ón del Protocolo</w:t>
      </w:r>
      <w:r w:rsidR="00775B5A" w:rsidRPr="00BD43A8">
        <w:rPr>
          <w:snapToGrid w:val="0"/>
          <w:kern w:val="22"/>
          <w:lang w:val="es-ES"/>
        </w:rPr>
        <w:t xml:space="preserve">) 31 Partes </w:t>
      </w:r>
      <w:r w:rsidR="00DF02C9">
        <w:rPr>
          <w:snapToGrid w:val="0"/>
          <w:kern w:val="22"/>
          <w:lang w:val="es-ES"/>
        </w:rPr>
        <w:t xml:space="preserve">informaron de que habían movilizado recursos financieros adicionales más allá de su asignación </w:t>
      </w:r>
      <w:r w:rsidR="00210A39">
        <w:rPr>
          <w:snapToGrid w:val="0"/>
          <w:kern w:val="22"/>
          <w:lang w:val="es-ES"/>
        </w:rPr>
        <w:t>presupuestaria nacional</w:t>
      </w:r>
      <w:r w:rsidR="00DF02C9">
        <w:rPr>
          <w:snapToGrid w:val="0"/>
          <w:kern w:val="22"/>
          <w:lang w:val="es-ES"/>
        </w:rPr>
        <w:t xml:space="preserve"> ordinari</w:t>
      </w:r>
      <w:r w:rsidR="00210A39">
        <w:rPr>
          <w:snapToGrid w:val="0"/>
          <w:kern w:val="22"/>
          <w:lang w:val="es-ES"/>
        </w:rPr>
        <w:t>a</w:t>
      </w:r>
      <w:r w:rsidR="00DF02C9">
        <w:rPr>
          <w:snapToGrid w:val="0"/>
          <w:kern w:val="22"/>
          <w:lang w:val="es-ES"/>
        </w:rPr>
        <w:t>, lo que supone una disminución de</w:t>
      </w:r>
      <w:r w:rsidR="00775B5A" w:rsidRPr="00BD43A8">
        <w:rPr>
          <w:snapToGrid w:val="0"/>
          <w:kern w:val="22"/>
          <w:lang w:val="es-ES"/>
        </w:rPr>
        <w:t xml:space="preserve"> 13 Partes, </w:t>
      </w:r>
      <w:r w:rsidR="00DF02C9">
        <w:rPr>
          <w:snapToGrid w:val="0"/>
          <w:kern w:val="22"/>
          <w:lang w:val="es-ES"/>
        </w:rPr>
        <w:t>en comparación con los datos básicos de referencia</w:t>
      </w:r>
      <w:r w:rsidR="00775B5A" w:rsidRPr="00BD43A8">
        <w:rPr>
          <w:snapToGrid w:val="0"/>
          <w:kern w:val="22"/>
          <w:lang w:val="es-ES"/>
        </w:rPr>
        <w:t xml:space="preserve">. </w:t>
      </w:r>
      <w:r w:rsidR="00DF02C9" w:rsidRPr="00DF02C9">
        <w:rPr>
          <w:snapToGrid w:val="0"/>
          <w:kern w:val="22"/>
          <w:lang w:val="es-ES"/>
        </w:rPr>
        <w:t xml:space="preserve">De estas Partes, el </w:t>
      </w:r>
      <w:r w:rsidR="00775B5A" w:rsidRPr="00DF02C9">
        <w:rPr>
          <w:snapToGrid w:val="0"/>
          <w:kern w:val="22"/>
          <w:lang w:val="es-ES"/>
        </w:rPr>
        <w:t>35</w:t>
      </w:r>
      <w:r w:rsidR="00DF02C9" w:rsidRPr="00DF02C9">
        <w:rPr>
          <w:snapToGrid w:val="0"/>
          <w:kern w:val="22"/>
          <w:lang w:val="es-ES"/>
        </w:rPr>
        <w:t xml:space="preserve"> </w:t>
      </w:r>
      <w:r w:rsidR="00775B5A" w:rsidRPr="00DF02C9">
        <w:rPr>
          <w:snapToGrid w:val="0"/>
          <w:kern w:val="22"/>
          <w:lang w:val="es-ES"/>
        </w:rPr>
        <w:t xml:space="preserve">% </w:t>
      </w:r>
      <w:r w:rsidR="00DF02C9" w:rsidRPr="00DF02C9">
        <w:rPr>
          <w:snapToGrid w:val="0"/>
          <w:kern w:val="22"/>
          <w:lang w:val="es-ES"/>
        </w:rPr>
        <w:t xml:space="preserve">comunicó que había recibido entre </w:t>
      </w:r>
      <w:r w:rsidR="00775B5A" w:rsidRPr="00DF02C9">
        <w:rPr>
          <w:snapToGrid w:val="0"/>
          <w:kern w:val="22"/>
          <w:lang w:val="es-ES"/>
        </w:rPr>
        <w:t xml:space="preserve">5000 </w:t>
      </w:r>
      <w:r w:rsidR="00DF02C9" w:rsidRPr="00DF02C9">
        <w:rPr>
          <w:snapToGrid w:val="0"/>
          <w:kern w:val="22"/>
          <w:lang w:val="es-ES"/>
        </w:rPr>
        <w:t>y</w:t>
      </w:r>
      <w:r w:rsidR="00775B5A" w:rsidRPr="00DF02C9">
        <w:rPr>
          <w:snapToGrid w:val="0"/>
          <w:kern w:val="22"/>
          <w:lang w:val="es-ES"/>
        </w:rPr>
        <w:t xml:space="preserve"> 49</w:t>
      </w:r>
      <w:r w:rsidR="00DF02C9" w:rsidRPr="00DF02C9">
        <w:rPr>
          <w:snapToGrid w:val="0"/>
          <w:kern w:val="22"/>
          <w:lang w:val="es-ES"/>
        </w:rPr>
        <w:t xml:space="preserve"> </w:t>
      </w:r>
      <w:r w:rsidR="00775B5A" w:rsidRPr="00DF02C9">
        <w:rPr>
          <w:snapToGrid w:val="0"/>
          <w:kern w:val="22"/>
          <w:lang w:val="es-ES"/>
        </w:rPr>
        <w:t xml:space="preserve">999 US$; </w:t>
      </w:r>
      <w:r w:rsidR="00DF02C9" w:rsidRPr="00DF02C9">
        <w:rPr>
          <w:snapToGrid w:val="0"/>
          <w:kern w:val="22"/>
          <w:lang w:val="es-ES"/>
        </w:rPr>
        <w:t xml:space="preserve">el </w:t>
      </w:r>
      <w:r w:rsidR="00775B5A" w:rsidRPr="00DF02C9">
        <w:rPr>
          <w:snapToGrid w:val="0"/>
          <w:kern w:val="22"/>
          <w:lang w:val="es-ES"/>
        </w:rPr>
        <w:t>16</w:t>
      </w:r>
      <w:r w:rsidR="00DF02C9">
        <w:rPr>
          <w:snapToGrid w:val="0"/>
          <w:kern w:val="22"/>
          <w:lang w:val="es-ES"/>
        </w:rPr>
        <w:t xml:space="preserve"> </w:t>
      </w:r>
      <w:r w:rsidR="00775B5A" w:rsidRPr="00DF02C9">
        <w:rPr>
          <w:snapToGrid w:val="0"/>
          <w:kern w:val="22"/>
          <w:lang w:val="es-ES"/>
        </w:rPr>
        <w:t xml:space="preserve">% </w:t>
      </w:r>
      <w:r w:rsidR="00DF02C9">
        <w:rPr>
          <w:snapToGrid w:val="0"/>
          <w:kern w:val="22"/>
          <w:lang w:val="es-ES"/>
        </w:rPr>
        <w:t xml:space="preserve">entre </w:t>
      </w:r>
      <w:r w:rsidR="00775B5A" w:rsidRPr="00DF02C9">
        <w:rPr>
          <w:snapToGrid w:val="0"/>
          <w:kern w:val="22"/>
          <w:lang w:val="es-ES"/>
        </w:rPr>
        <w:t>50</w:t>
      </w:r>
      <w:r w:rsidR="00DF02C9">
        <w:rPr>
          <w:snapToGrid w:val="0"/>
          <w:kern w:val="22"/>
          <w:lang w:val="es-ES"/>
        </w:rPr>
        <w:t xml:space="preserve"> </w:t>
      </w:r>
      <w:r w:rsidR="00775B5A" w:rsidRPr="00DF02C9">
        <w:rPr>
          <w:snapToGrid w:val="0"/>
          <w:kern w:val="22"/>
          <w:lang w:val="es-ES"/>
        </w:rPr>
        <w:t xml:space="preserve">000 </w:t>
      </w:r>
      <w:r w:rsidR="00DF02C9">
        <w:rPr>
          <w:snapToGrid w:val="0"/>
          <w:kern w:val="22"/>
          <w:lang w:val="es-ES"/>
        </w:rPr>
        <w:t>y</w:t>
      </w:r>
      <w:r w:rsidR="00775B5A" w:rsidRPr="00DF02C9">
        <w:rPr>
          <w:snapToGrid w:val="0"/>
          <w:kern w:val="22"/>
          <w:lang w:val="es-ES"/>
        </w:rPr>
        <w:t xml:space="preserve"> 99</w:t>
      </w:r>
      <w:r w:rsidR="00DF02C9">
        <w:rPr>
          <w:snapToGrid w:val="0"/>
          <w:kern w:val="22"/>
          <w:lang w:val="es-ES"/>
        </w:rPr>
        <w:t xml:space="preserve"> </w:t>
      </w:r>
      <w:r w:rsidR="00775B5A" w:rsidRPr="00DF02C9">
        <w:rPr>
          <w:snapToGrid w:val="0"/>
          <w:kern w:val="22"/>
          <w:lang w:val="es-ES"/>
        </w:rPr>
        <w:t xml:space="preserve">999 US$; </w:t>
      </w:r>
      <w:r w:rsidR="00DF02C9">
        <w:rPr>
          <w:snapToGrid w:val="0"/>
          <w:kern w:val="22"/>
          <w:lang w:val="es-ES"/>
        </w:rPr>
        <w:t xml:space="preserve">el </w:t>
      </w:r>
      <w:r w:rsidR="00775B5A" w:rsidRPr="00DF02C9">
        <w:rPr>
          <w:snapToGrid w:val="0"/>
          <w:kern w:val="22"/>
          <w:lang w:val="es-ES"/>
        </w:rPr>
        <w:t>23</w:t>
      </w:r>
      <w:r w:rsidR="00DF02C9">
        <w:rPr>
          <w:snapToGrid w:val="0"/>
          <w:kern w:val="22"/>
          <w:lang w:val="es-ES"/>
        </w:rPr>
        <w:t xml:space="preserve"> </w:t>
      </w:r>
      <w:r w:rsidR="00775B5A" w:rsidRPr="00DF02C9">
        <w:rPr>
          <w:snapToGrid w:val="0"/>
          <w:kern w:val="22"/>
          <w:lang w:val="es-ES"/>
        </w:rPr>
        <w:t xml:space="preserve">% </w:t>
      </w:r>
      <w:r w:rsidR="00DF02C9">
        <w:rPr>
          <w:snapToGrid w:val="0"/>
          <w:kern w:val="22"/>
          <w:lang w:val="es-ES"/>
        </w:rPr>
        <w:t>entre</w:t>
      </w:r>
      <w:r w:rsidR="00775B5A" w:rsidRPr="00DF02C9">
        <w:rPr>
          <w:snapToGrid w:val="0"/>
          <w:kern w:val="22"/>
          <w:lang w:val="es-ES"/>
        </w:rPr>
        <w:t xml:space="preserve"> 100</w:t>
      </w:r>
      <w:r w:rsidR="00DF02C9">
        <w:rPr>
          <w:snapToGrid w:val="0"/>
          <w:kern w:val="22"/>
          <w:lang w:val="es-ES"/>
        </w:rPr>
        <w:t xml:space="preserve"> </w:t>
      </w:r>
      <w:r w:rsidR="00775B5A" w:rsidRPr="00DF02C9">
        <w:rPr>
          <w:snapToGrid w:val="0"/>
          <w:kern w:val="22"/>
          <w:lang w:val="es-ES"/>
        </w:rPr>
        <w:t xml:space="preserve">000 </w:t>
      </w:r>
      <w:r w:rsidR="00DF02C9">
        <w:rPr>
          <w:snapToGrid w:val="0"/>
          <w:kern w:val="22"/>
          <w:lang w:val="es-ES"/>
        </w:rPr>
        <w:t>y</w:t>
      </w:r>
      <w:r w:rsidR="00775B5A" w:rsidRPr="00DF02C9">
        <w:rPr>
          <w:snapToGrid w:val="0"/>
          <w:kern w:val="22"/>
          <w:lang w:val="es-ES"/>
        </w:rPr>
        <w:t xml:space="preserve"> 499</w:t>
      </w:r>
      <w:r w:rsidR="00DF02C9">
        <w:rPr>
          <w:snapToGrid w:val="0"/>
          <w:kern w:val="22"/>
          <w:lang w:val="es-ES"/>
        </w:rPr>
        <w:t xml:space="preserve"> </w:t>
      </w:r>
      <w:r w:rsidR="00775B5A" w:rsidRPr="00DF02C9">
        <w:rPr>
          <w:snapToGrid w:val="0"/>
          <w:kern w:val="22"/>
          <w:lang w:val="es-ES"/>
        </w:rPr>
        <w:t xml:space="preserve">999 US$; </w:t>
      </w:r>
      <w:r w:rsidR="00DF02C9">
        <w:rPr>
          <w:snapToGrid w:val="0"/>
          <w:kern w:val="22"/>
          <w:lang w:val="es-ES"/>
        </w:rPr>
        <w:t xml:space="preserve">y el </w:t>
      </w:r>
      <w:r w:rsidR="00775B5A" w:rsidRPr="00DF02C9">
        <w:rPr>
          <w:snapToGrid w:val="0"/>
          <w:kern w:val="22"/>
          <w:lang w:val="es-ES"/>
        </w:rPr>
        <w:t>23</w:t>
      </w:r>
      <w:r w:rsidR="00DF02C9">
        <w:rPr>
          <w:snapToGrid w:val="0"/>
          <w:kern w:val="22"/>
          <w:lang w:val="es-ES"/>
        </w:rPr>
        <w:t xml:space="preserve"> % más de</w:t>
      </w:r>
      <w:r w:rsidR="00775B5A" w:rsidRPr="00DF02C9">
        <w:rPr>
          <w:snapToGrid w:val="0"/>
          <w:kern w:val="22"/>
          <w:lang w:val="es-ES"/>
        </w:rPr>
        <w:t xml:space="preserve"> 500</w:t>
      </w:r>
      <w:r w:rsidR="00DF02C9">
        <w:rPr>
          <w:snapToGrid w:val="0"/>
          <w:kern w:val="22"/>
          <w:lang w:val="es-ES"/>
        </w:rPr>
        <w:t xml:space="preserve"> </w:t>
      </w:r>
      <w:r w:rsidR="00775B5A" w:rsidRPr="00DF02C9">
        <w:rPr>
          <w:snapToGrid w:val="0"/>
          <w:kern w:val="22"/>
          <w:lang w:val="es-ES"/>
        </w:rPr>
        <w:t xml:space="preserve">000 US$. </w:t>
      </w:r>
      <w:r w:rsidR="00210A39" w:rsidRPr="00210A39">
        <w:rPr>
          <w:snapToGrid w:val="0"/>
          <w:kern w:val="22"/>
          <w:lang w:val="es-ES"/>
        </w:rPr>
        <w:t xml:space="preserve">Como se indica más adelante en la información proporcionada para el </w:t>
      </w:r>
      <w:r w:rsidR="00210A39" w:rsidRPr="00210A39">
        <w:rPr>
          <w:b/>
          <w:bCs/>
          <w:snapToGrid w:val="0"/>
          <w:kern w:val="22"/>
          <w:lang w:val="es-ES"/>
        </w:rPr>
        <w:t>in</w:t>
      </w:r>
      <w:r w:rsidR="00775B5A" w:rsidRPr="00210A39">
        <w:rPr>
          <w:b/>
          <w:bCs/>
          <w:snapToGrid w:val="0"/>
          <w:kern w:val="22"/>
          <w:lang w:val="es-ES"/>
        </w:rPr>
        <w:t>dica</w:t>
      </w:r>
      <w:r w:rsidR="00210A39">
        <w:rPr>
          <w:b/>
          <w:bCs/>
          <w:snapToGrid w:val="0"/>
          <w:kern w:val="22"/>
          <w:lang w:val="es-ES"/>
        </w:rPr>
        <w:t>d</w:t>
      </w:r>
      <w:r w:rsidR="00775B5A" w:rsidRPr="00210A39">
        <w:rPr>
          <w:b/>
          <w:bCs/>
          <w:snapToGrid w:val="0"/>
          <w:kern w:val="22"/>
          <w:lang w:val="es-ES"/>
        </w:rPr>
        <w:t>or 3.1.8</w:t>
      </w:r>
      <w:r w:rsidR="00775B5A" w:rsidRPr="00210A39">
        <w:rPr>
          <w:snapToGrid w:val="0"/>
          <w:kern w:val="22"/>
          <w:lang w:val="es-ES"/>
        </w:rPr>
        <w:t xml:space="preserve">, </w:t>
      </w:r>
      <w:r w:rsidR="00210A39">
        <w:rPr>
          <w:snapToGrid w:val="0"/>
          <w:kern w:val="22"/>
          <w:lang w:val="es-ES"/>
        </w:rPr>
        <w:t>se notificaron disminuciones en las cantidades recibidas en comparación con los datos básicos de referencia</w:t>
      </w:r>
      <w:r w:rsidR="00775B5A" w:rsidRPr="00210A39">
        <w:rPr>
          <w:snapToGrid w:val="0"/>
          <w:kern w:val="22"/>
          <w:lang w:val="es-ES"/>
        </w:rPr>
        <w:t xml:space="preserve">. </w:t>
      </w:r>
    </w:p>
    <w:p w:rsidR="00775B5A" w:rsidRPr="000C3FA0" w:rsidRDefault="00210A39"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210A39">
        <w:rPr>
          <w:snapToGrid w:val="0"/>
          <w:kern w:val="22"/>
          <w:lang w:val="es-ES"/>
        </w:rPr>
        <w:t>En relación con el</w:t>
      </w:r>
      <w:r w:rsidR="00775B5A" w:rsidRPr="00210A39">
        <w:rPr>
          <w:snapToGrid w:val="0"/>
          <w:kern w:val="22"/>
          <w:lang w:val="es-ES"/>
        </w:rPr>
        <w:t xml:space="preserve"> </w:t>
      </w:r>
      <w:r w:rsidR="00775B5A" w:rsidRPr="00210A39">
        <w:rPr>
          <w:b/>
          <w:bCs/>
          <w:snapToGrid w:val="0"/>
          <w:kern w:val="22"/>
          <w:lang w:val="es-ES"/>
        </w:rPr>
        <w:t>indica</w:t>
      </w:r>
      <w:r w:rsidRPr="00210A39">
        <w:rPr>
          <w:b/>
          <w:bCs/>
          <w:snapToGrid w:val="0"/>
          <w:kern w:val="22"/>
          <w:lang w:val="es-ES"/>
        </w:rPr>
        <w:t>d</w:t>
      </w:r>
      <w:r w:rsidR="00775B5A" w:rsidRPr="00210A39">
        <w:rPr>
          <w:b/>
          <w:bCs/>
          <w:snapToGrid w:val="0"/>
          <w:kern w:val="22"/>
          <w:lang w:val="es-ES"/>
        </w:rPr>
        <w:t>or 1.2.6</w:t>
      </w:r>
      <w:r w:rsidR="00775B5A" w:rsidRPr="00210A39">
        <w:rPr>
          <w:snapToGrid w:val="0"/>
          <w:kern w:val="22"/>
          <w:lang w:val="es-ES"/>
        </w:rPr>
        <w:t xml:space="preserve"> (</w:t>
      </w:r>
      <w:r w:rsidRPr="00210A39">
        <w:rPr>
          <w:snapToGrid w:val="0"/>
          <w:kern w:val="22"/>
          <w:lang w:val="es-ES"/>
        </w:rPr>
        <w:t xml:space="preserve">el número de </w:t>
      </w:r>
      <w:r w:rsidR="00775B5A" w:rsidRPr="00210A39">
        <w:rPr>
          <w:snapToGrid w:val="0"/>
          <w:kern w:val="22"/>
          <w:lang w:val="es-ES"/>
        </w:rPr>
        <w:t xml:space="preserve">Partes </w:t>
      </w:r>
      <w:r w:rsidRPr="00210A39">
        <w:rPr>
          <w:snapToGrid w:val="0"/>
          <w:kern w:val="22"/>
          <w:lang w:val="es-ES"/>
        </w:rPr>
        <w:t>que disponen de financiación pre</w:t>
      </w:r>
      <w:r w:rsidR="00A76566">
        <w:rPr>
          <w:snapToGrid w:val="0"/>
          <w:kern w:val="22"/>
          <w:lang w:val="es-ES"/>
        </w:rPr>
        <w:t>visible</w:t>
      </w:r>
      <w:r w:rsidRPr="00210A39">
        <w:rPr>
          <w:snapToGrid w:val="0"/>
          <w:kern w:val="22"/>
          <w:lang w:val="es-ES"/>
        </w:rPr>
        <w:t xml:space="preserve"> y segura para fortalecer su capacidad para la aplicación del </w:t>
      </w:r>
      <w:r w:rsidR="00775B5A" w:rsidRPr="00210A39">
        <w:rPr>
          <w:snapToGrid w:val="0"/>
          <w:kern w:val="22"/>
          <w:lang w:val="es-ES"/>
        </w:rPr>
        <w:t>Protocol</w:t>
      </w:r>
      <w:r w:rsidRPr="00210A39">
        <w:rPr>
          <w:snapToGrid w:val="0"/>
          <w:kern w:val="22"/>
          <w:lang w:val="es-ES"/>
        </w:rPr>
        <w:t>o</w:t>
      </w:r>
      <w:r w:rsidR="00775B5A" w:rsidRPr="00210A39">
        <w:rPr>
          <w:snapToGrid w:val="0"/>
          <w:kern w:val="22"/>
          <w:lang w:val="es-ES"/>
        </w:rPr>
        <w:t xml:space="preserve">), </w:t>
      </w:r>
      <w:r>
        <w:rPr>
          <w:snapToGrid w:val="0"/>
          <w:kern w:val="22"/>
          <w:lang w:val="es-ES"/>
        </w:rPr>
        <w:t xml:space="preserve">el </w:t>
      </w:r>
      <w:r w:rsidR="00775B5A" w:rsidRPr="00210A39">
        <w:rPr>
          <w:snapToGrid w:val="0"/>
          <w:kern w:val="22"/>
          <w:lang w:val="es-ES"/>
        </w:rPr>
        <w:t>35</w:t>
      </w:r>
      <w:r>
        <w:rPr>
          <w:snapToGrid w:val="0"/>
          <w:kern w:val="22"/>
          <w:lang w:val="es-ES"/>
        </w:rPr>
        <w:t xml:space="preserve"> </w:t>
      </w:r>
      <w:r w:rsidR="00775B5A" w:rsidRPr="00210A39">
        <w:rPr>
          <w:snapToGrid w:val="0"/>
          <w:kern w:val="22"/>
          <w:lang w:val="es-ES"/>
        </w:rPr>
        <w:t xml:space="preserve">% </w:t>
      </w:r>
      <w:r>
        <w:rPr>
          <w:snapToGrid w:val="0"/>
          <w:kern w:val="22"/>
          <w:lang w:val="es-ES"/>
        </w:rPr>
        <w:t>de las Part</w:t>
      </w:r>
      <w:r w:rsidR="00775B5A" w:rsidRPr="00210A39">
        <w:rPr>
          <w:snapToGrid w:val="0"/>
          <w:kern w:val="22"/>
          <w:lang w:val="es-ES"/>
        </w:rPr>
        <w:t xml:space="preserve">es (25 Partes) </w:t>
      </w:r>
      <w:r>
        <w:rPr>
          <w:snapToGrid w:val="0"/>
          <w:kern w:val="22"/>
          <w:lang w:val="es-ES"/>
        </w:rPr>
        <w:t>notificaron que cuentan con financiación pre</w:t>
      </w:r>
      <w:r w:rsidR="00A76566">
        <w:rPr>
          <w:snapToGrid w:val="0"/>
          <w:kern w:val="22"/>
          <w:lang w:val="es-ES"/>
        </w:rPr>
        <w:t>visible</w:t>
      </w:r>
      <w:r>
        <w:rPr>
          <w:snapToGrid w:val="0"/>
          <w:kern w:val="22"/>
          <w:lang w:val="es-ES"/>
        </w:rPr>
        <w:t xml:space="preserve"> y segura </w:t>
      </w:r>
      <w:r w:rsidR="00775B5A" w:rsidRPr="00210A39">
        <w:rPr>
          <w:snapToGrid w:val="0"/>
          <w:kern w:val="22"/>
          <w:lang w:val="es-ES"/>
        </w:rPr>
        <w:t>(</w:t>
      </w:r>
      <w:r>
        <w:rPr>
          <w:snapToGrid w:val="0"/>
          <w:kern w:val="22"/>
          <w:lang w:val="es-ES"/>
        </w:rPr>
        <w:t xml:space="preserve">una disminución del </w:t>
      </w:r>
      <w:r w:rsidR="00775B5A" w:rsidRPr="00210A39">
        <w:rPr>
          <w:snapToGrid w:val="0"/>
          <w:kern w:val="22"/>
          <w:lang w:val="es-ES"/>
        </w:rPr>
        <w:t>7</w:t>
      </w:r>
      <w:r>
        <w:rPr>
          <w:snapToGrid w:val="0"/>
          <w:kern w:val="22"/>
          <w:lang w:val="es-ES"/>
        </w:rPr>
        <w:t xml:space="preserve"> </w:t>
      </w:r>
      <w:r w:rsidR="00775B5A" w:rsidRPr="00210A39">
        <w:rPr>
          <w:snapToGrid w:val="0"/>
          <w:kern w:val="22"/>
          <w:lang w:val="es-ES"/>
        </w:rPr>
        <w:t xml:space="preserve">% </w:t>
      </w:r>
      <w:r>
        <w:rPr>
          <w:snapToGrid w:val="0"/>
          <w:kern w:val="22"/>
          <w:lang w:val="es-ES"/>
        </w:rPr>
        <w:t>con respecto a los datos básicos de referencia</w:t>
      </w:r>
      <w:r w:rsidR="00775B5A" w:rsidRPr="00210A39">
        <w:rPr>
          <w:snapToGrid w:val="0"/>
          <w:kern w:val="22"/>
          <w:lang w:val="es-ES"/>
        </w:rPr>
        <w:t xml:space="preserve">), </w:t>
      </w:r>
      <w:r>
        <w:rPr>
          <w:snapToGrid w:val="0"/>
          <w:kern w:val="22"/>
          <w:lang w:val="es-ES"/>
        </w:rPr>
        <w:t xml:space="preserve">mientras que el </w:t>
      </w:r>
      <w:r w:rsidR="00775B5A" w:rsidRPr="00210A39">
        <w:rPr>
          <w:snapToGrid w:val="0"/>
          <w:kern w:val="22"/>
          <w:lang w:val="es-ES"/>
        </w:rPr>
        <w:t>14</w:t>
      </w:r>
      <w:r>
        <w:rPr>
          <w:snapToGrid w:val="0"/>
          <w:kern w:val="22"/>
          <w:lang w:val="es-ES"/>
        </w:rPr>
        <w:t xml:space="preserve"> % de las</w:t>
      </w:r>
      <w:r w:rsidR="00775B5A" w:rsidRPr="00210A39">
        <w:rPr>
          <w:snapToGrid w:val="0"/>
          <w:kern w:val="22"/>
          <w:lang w:val="es-ES"/>
        </w:rPr>
        <w:t xml:space="preserve"> Partes (10 Partes) </w:t>
      </w:r>
      <w:r>
        <w:rPr>
          <w:snapToGrid w:val="0"/>
          <w:kern w:val="22"/>
          <w:lang w:val="es-ES"/>
        </w:rPr>
        <w:t>indicaron que disponen de financiación pre</w:t>
      </w:r>
      <w:r w:rsidR="00A76566">
        <w:rPr>
          <w:snapToGrid w:val="0"/>
          <w:kern w:val="22"/>
          <w:lang w:val="es-ES"/>
        </w:rPr>
        <w:t>visible</w:t>
      </w:r>
      <w:r>
        <w:rPr>
          <w:snapToGrid w:val="0"/>
          <w:kern w:val="22"/>
          <w:lang w:val="es-ES"/>
        </w:rPr>
        <w:t xml:space="preserve"> y segur</w:t>
      </w:r>
      <w:r w:rsidRPr="00A86571">
        <w:rPr>
          <w:snapToGrid w:val="0"/>
          <w:kern w:val="22"/>
          <w:lang w:val="es-ES"/>
        </w:rPr>
        <w:t>a hasta cierto punto</w:t>
      </w:r>
      <w:r w:rsidR="00775B5A" w:rsidRPr="00A86571">
        <w:rPr>
          <w:snapToGrid w:val="0"/>
          <w:kern w:val="22"/>
          <w:lang w:val="es-ES"/>
        </w:rPr>
        <w:t xml:space="preserve"> (</w:t>
      </w:r>
      <w:r w:rsidRPr="00A86571">
        <w:rPr>
          <w:snapToGrid w:val="0"/>
          <w:kern w:val="22"/>
          <w:lang w:val="es-ES"/>
        </w:rPr>
        <w:t>u</w:t>
      </w:r>
      <w:r>
        <w:rPr>
          <w:snapToGrid w:val="0"/>
          <w:kern w:val="22"/>
          <w:lang w:val="es-ES"/>
        </w:rPr>
        <w:t xml:space="preserve">n aumento del </w:t>
      </w:r>
      <w:r w:rsidR="00775B5A" w:rsidRPr="00210A39">
        <w:rPr>
          <w:snapToGrid w:val="0"/>
          <w:kern w:val="22"/>
          <w:lang w:val="es-ES"/>
        </w:rPr>
        <w:t>14</w:t>
      </w:r>
      <w:r>
        <w:rPr>
          <w:snapToGrid w:val="0"/>
          <w:kern w:val="22"/>
          <w:lang w:val="es-ES"/>
        </w:rPr>
        <w:t xml:space="preserve"> </w:t>
      </w:r>
      <w:r w:rsidR="00775B5A" w:rsidRPr="00210A39">
        <w:rPr>
          <w:snapToGrid w:val="0"/>
          <w:kern w:val="22"/>
          <w:lang w:val="es-ES"/>
        </w:rPr>
        <w:t xml:space="preserve">% </w:t>
      </w:r>
      <w:r>
        <w:rPr>
          <w:snapToGrid w:val="0"/>
          <w:kern w:val="22"/>
          <w:lang w:val="es-ES"/>
        </w:rPr>
        <w:t>con respecto a los datos básicos de referencia</w:t>
      </w:r>
      <w:r w:rsidR="00775B5A" w:rsidRPr="00210A39">
        <w:rPr>
          <w:snapToGrid w:val="0"/>
          <w:kern w:val="22"/>
          <w:lang w:val="es-ES"/>
        </w:rPr>
        <w:t xml:space="preserve">). </w:t>
      </w:r>
      <w:r w:rsidR="00A76566" w:rsidRPr="00A76566">
        <w:rPr>
          <w:snapToGrid w:val="0"/>
          <w:kern w:val="22"/>
          <w:lang w:val="es-ES"/>
        </w:rPr>
        <w:t xml:space="preserve">En conjunto, el </w:t>
      </w:r>
      <w:r w:rsidR="00775B5A" w:rsidRPr="00A76566">
        <w:rPr>
          <w:snapToGrid w:val="0"/>
          <w:kern w:val="22"/>
          <w:lang w:val="es-ES"/>
        </w:rPr>
        <w:t>49</w:t>
      </w:r>
      <w:r w:rsidR="00A76566" w:rsidRPr="00A76566">
        <w:rPr>
          <w:snapToGrid w:val="0"/>
          <w:kern w:val="22"/>
          <w:lang w:val="es-ES"/>
        </w:rPr>
        <w:t xml:space="preserve"> </w:t>
      </w:r>
      <w:r w:rsidR="00775B5A" w:rsidRPr="00A76566">
        <w:rPr>
          <w:snapToGrid w:val="0"/>
          <w:kern w:val="22"/>
          <w:lang w:val="es-ES"/>
        </w:rPr>
        <w:t xml:space="preserve">% </w:t>
      </w:r>
      <w:r w:rsidR="00A76566" w:rsidRPr="00A76566">
        <w:rPr>
          <w:snapToGrid w:val="0"/>
          <w:kern w:val="22"/>
          <w:lang w:val="es-ES"/>
        </w:rPr>
        <w:t xml:space="preserve">de las </w:t>
      </w:r>
      <w:r w:rsidR="00775B5A" w:rsidRPr="00A76566">
        <w:rPr>
          <w:snapToGrid w:val="0"/>
          <w:kern w:val="22"/>
          <w:lang w:val="es-ES"/>
        </w:rPr>
        <w:t xml:space="preserve">Partes (35 Partes) </w:t>
      </w:r>
      <w:r w:rsidR="00A76566" w:rsidRPr="00A76566">
        <w:rPr>
          <w:snapToGrid w:val="0"/>
          <w:kern w:val="22"/>
          <w:lang w:val="es-ES"/>
        </w:rPr>
        <w:t>in</w:t>
      </w:r>
      <w:r w:rsidR="00A86571">
        <w:rPr>
          <w:snapToGrid w:val="0"/>
          <w:kern w:val="22"/>
          <w:lang w:val="es-ES"/>
        </w:rPr>
        <w:t>dicó q</w:t>
      </w:r>
      <w:r w:rsidR="00A76566" w:rsidRPr="00A76566">
        <w:rPr>
          <w:snapToGrid w:val="0"/>
          <w:kern w:val="22"/>
          <w:lang w:val="es-ES"/>
        </w:rPr>
        <w:t>ue cuenta con financiaci</w:t>
      </w:r>
      <w:r w:rsidR="00A76566">
        <w:rPr>
          <w:snapToGrid w:val="0"/>
          <w:kern w:val="22"/>
          <w:lang w:val="es-ES"/>
        </w:rPr>
        <w:t>ón previsible y segura al menos en cierta medida</w:t>
      </w:r>
      <w:r w:rsidR="00775B5A" w:rsidRPr="00A76566">
        <w:rPr>
          <w:snapToGrid w:val="0"/>
          <w:kern w:val="22"/>
          <w:lang w:val="es-ES"/>
        </w:rPr>
        <w:t xml:space="preserve">, </w:t>
      </w:r>
      <w:r w:rsidR="00A76566">
        <w:rPr>
          <w:snapToGrid w:val="0"/>
          <w:kern w:val="22"/>
          <w:lang w:val="es-ES"/>
        </w:rPr>
        <w:t xml:space="preserve">lo que supone un aumento del </w:t>
      </w:r>
      <w:r w:rsidR="00775B5A" w:rsidRPr="00A76566">
        <w:rPr>
          <w:snapToGrid w:val="0"/>
          <w:kern w:val="22"/>
          <w:lang w:val="es-ES"/>
        </w:rPr>
        <w:t>7</w:t>
      </w:r>
      <w:r w:rsidR="00A76566">
        <w:rPr>
          <w:snapToGrid w:val="0"/>
          <w:kern w:val="22"/>
          <w:lang w:val="es-ES"/>
        </w:rPr>
        <w:t xml:space="preserve"> </w:t>
      </w:r>
      <w:r w:rsidR="00775B5A" w:rsidRPr="00A76566">
        <w:rPr>
          <w:snapToGrid w:val="0"/>
          <w:kern w:val="22"/>
          <w:lang w:val="es-ES"/>
        </w:rPr>
        <w:t xml:space="preserve">% </w:t>
      </w:r>
      <w:r w:rsidR="00A76566">
        <w:rPr>
          <w:snapToGrid w:val="0"/>
          <w:kern w:val="22"/>
          <w:lang w:val="es-ES"/>
        </w:rPr>
        <w:t>con respecto a los datos básicos de referencia</w:t>
      </w:r>
      <w:r w:rsidR="00775B5A" w:rsidRPr="00A76566">
        <w:rPr>
          <w:snapToGrid w:val="0"/>
          <w:kern w:val="22"/>
          <w:lang w:val="es-ES"/>
        </w:rPr>
        <w:t>. A</w:t>
      </w:r>
      <w:r w:rsidR="00A76566" w:rsidRPr="00A76566">
        <w:rPr>
          <w:snapToGrid w:val="0"/>
          <w:kern w:val="22"/>
          <w:lang w:val="es-ES"/>
        </w:rPr>
        <w:t xml:space="preserve"> nivel </w:t>
      </w:r>
      <w:r w:rsidR="00775B5A" w:rsidRPr="00A76566">
        <w:rPr>
          <w:snapToGrid w:val="0"/>
          <w:kern w:val="22"/>
          <w:lang w:val="es-ES"/>
        </w:rPr>
        <w:t xml:space="preserve">regional, </w:t>
      </w:r>
      <w:r w:rsidR="00A76566" w:rsidRPr="00A76566">
        <w:rPr>
          <w:snapToGrid w:val="0"/>
          <w:kern w:val="22"/>
          <w:lang w:val="es-ES"/>
        </w:rPr>
        <w:t xml:space="preserve">se </w:t>
      </w:r>
      <w:r w:rsidR="000C3FA0">
        <w:rPr>
          <w:snapToGrid w:val="0"/>
          <w:kern w:val="22"/>
          <w:lang w:val="es-ES"/>
        </w:rPr>
        <w:t xml:space="preserve">informa de </w:t>
      </w:r>
      <w:r w:rsidR="00A76566" w:rsidRPr="00A76566">
        <w:rPr>
          <w:snapToGrid w:val="0"/>
          <w:kern w:val="22"/>
          <w:lang w:val="es-ES"/>
        </w:rPr>
        <w:t xml:space="preserve">aumentos </w:t>
      </w:r>
      <w:r w:rsidR="000C3FA0">
        <w:rPr>
          <w:snapToGrid w:val="0"/>
          <w:kern w:val="22"/>
          <w:lang w:val="es-ES"/>
        </w:rPr>
        <w:t>en</w:t>
      </w:r>
      <w:r w:rsidR="00A76566" w:rsidRPr="00A76566">
        <w:rPr>
          <w:snapToGrid w:val="0"/>
          <w:kern w:val="22"/>
          <w:lang w:val="es-ES"/>
        </w:rPr>
        <w:t xml:space="preserve"> Á</w:t>
      </w:r>
      <w:r w:rsidR="00775B5A" w:rsidRPr="00A76566">
        <w:rPr>
          <w:snapToGrid w:val="0"/>
          <w:kern w:val="22"/>
          <w:lang w:val="es-ES"/>
        </w:rPr>
        <w:t>frica (+</w:t>
      </w:r>
      <w:r w:rsidR="00A76566" w:rsidRPr="00A76566">
        <w:rPr>
          <w:snapToGrid w:val="0"/>
          <w:kern w:val="22"/>
          <w:lang w:val="es-ES"/>
        </w:rPr>
        <w:t xml:space="preserve"> </w:t>
      </w:r>
      <w:r w:rsidR="00775B5A" w:rsidRPr="00A76566">
        <w:rPr>
          <w:snapToGrid w:val="0"/>
          <w:kern w:val="22"/>
          <w:lang w:val="es-ES"/>
        </w:rPr>
        <w:t>21</w:t>
      </w:r>
      <w:r w:rsidR="00A76566">
        <w:rPr>
          <w:snapToGrid w:val="0"/>
          <w:kern w:val="22"/>
          <w:lang w:val="es-ES"/>
        </w:rPr>
        <w:t xml:space="preserve"> </w:t>
      </w:r>
      <w:r w:rsidR="00775B5A" w:rsidRPr="00A76566">
        <w:rPr>
          <w:snapToGrid w:val="0"/>
          <w:kern w:val="22"/>
          <w:lang w:val="es-ES"/>
        </w:rPr>
        <w:t>%), Asia</w:t>
      </w:r>
      <w:r w:rsidR="0087255D">
        <w:rPr>
          <w:snapToGrid w:val="0"/>
          <w:kern w:val="22"/>
          <w:lang w:val="es-ES"/>
        </w:rPr>
        <w:t xml:space="preserve"> y el </w:t>
      </w:r>
      <w:r w:rsidR="00775B5A" w:rsidRPr="00A76566">
        <w:rPr>
          <w:snapToGrid w:val="0"/>
          <w:kern w:val="22"/>
          <w:lang w:val="es-ES"/>
        </w:rPr>
        <w:t>Pac</w:t>
      </w:r>
      <w:r w:rsidR="00A76566">
        <w:rPr>
          <w:snapToGrid w:val="0"/>
          <w:kern w:val="22"/>
          <w:lang w:val="es-ES"/>
        </w:rPr>
        <w:t>ífico</w:t>
      </w:r>
      <w:r w:rsidR="00775B5A" w:rsidRPr="00A76566">
        <w:rPr>
          <w:snapToGrid w:val="0"/>
          <w:kern w:val="22"/>
          <w:lang w:val="es-ES"/>
        </w:rPr>
        <w:t xml:space="preserve"> (+</w:t>
      </w:r>
      <w:r w:rsidR="00A76566">
        <w:rPr>
          <w:snapToGrid w:val="0"/>
          <w:kern w:val="22"/>
          <w:lang w:val="es-ES"/>
        </w:rPr>
        <w:t xml:space="preserve"> </w:t>
      </w:r>
      <w:r w:rsidR="00775B5A" w:rsidRPr="00A76566">
        <w:rPr>
          <w:snapToGrid w:val="0"/>
          <w:kern w:val="22"/>
          <w:lang w:val="es-ES"/>
        </w:rPr>
        <w:t>11</w:t>
      </w:r>
      <w:r w:rsidR="00A76566">
        <w:rPr>
          <w:snapToGrid w:val="0"/>
          <w:kern w:val="22"/>
          <w:lang w:val="es-ES"/>
        </w:rPr>
        <w:t xml:space="preserve"> </w:t>
      </w:r>
      <w:r w:rsidR="00775B5A" w:rsidRPr="00A76566">
        <w:rPr>
          <w:snapToGrid w:val="0"/>
          <w:kern w:val="22"/>
          <w:lang w:val="es-ES"/>
        </w:rPr>
        <w:t xml:space="preserve">%) </w:t>
      </w:r>
      <w:r w:rsidR="00A76566">
        <w:rPr>
          <w:snapToGrid w:val="0"/>
          <w:kern w:val="22"/>
          <w:lang w:val="es-ES"/>
        </w:rPr>
        <w:t xml:space="preserve">y </w:t>
      </w:r>
      <w:r w:rsidR="007A67EE">
        <w:rPr>
          <w:snapToGrid w:val="0"/>
          <w:kern w:val="22"/>
          <w:lang w:val="es-ES"/>
        </w:rPr>
        <w:t>el grupo de países de América Latina y el Caribe</w:t>
      </w:r>
      <w:r w:rsidR="007A67EE" w:rsidRPr="00A76566">
        <w:rPr>
          <w:snapToGrid w:val="0"/>
          <w:kern w:val="22"/>
          <w:lang w:val="es-ES"/>
        </w:rPr>
        <w:t xml:space="preserve"> </w:t>
      </w:r>
      <w:r w:rsidR="00775B5A" w:rsidRPr="00A76566">
        <w:rPr>
          <w:snapToGrid w:val="0"/>
          <w:kern w:val="22"/>
          <w:lang w:val="es-ES"/>
        </w:rPr>
        <w:t>(+</w:t>
      </w:r>
      <w:r w:rsidR="00A76566">
        <w:rPr>
          <w:snapToGrid w:val="0"/>
          <w:kern w:val="22"/>
          <w:lang w:val="es-ES"/>
        </w:rPr>
        <w:t xml:space="preserve"> </w:t>
      </w:r>
      <w:r w:rsidR="00775B5A" w:rsidRPr="00A76566">
        <w:rPr>
          <w:snapToGrid w:val="0"/>
          <w:kern w:val="22"/>
          <w:lang w:val="es-ES"/>
        </w:rPr>
        <w:t>8</w:t>
      </w:r>
      <w:r w:rsidR="00A76566">
        <w:rPr>
          <w:snapToGrid w:val="0"/>
          <w:kern w:val="22"/>
          <w:lang w:val="es-ES"/>
        </w:rPr>
        <w:t xml:space="preserve"> </w:t>
      </w:r>
      <w:r w:rsidR="00775B5A" w:rsidRPr="00A76566">
        <w:rPr>
          <w:snapToGrid w:val="0"/>
          <w:kern w:val="22"/>
          <w:lang w:val="es-ES"/>
        </w:rPr>
        <w:t xml:space="preserve">%). </w:t>
      </w:r>
      <w:r w:rsidR="000C3FA0" w:rsidRPr="000C3FA0">
        <w:rPr>
          <w:snapToGrid w:val="0"/>
          <w:kern w:val="22"/>
          <w:lang w:val="es-ES"/>
        </w:rPr>
        <w:t xml:space="preserve">Se notifican disminuciones en </w:t>
      </w:r>
      <w:r w:rsidR="00EA78DC">
        <w:rPr>
          <w:snapToGrid w:val="0"/>
          <w:kern w:val="22"/>
          <w:lang w:val="es-ES"/>
        </w:rPr>
        <w:t>el grupo de Estados de Europa Central y Oriental</w:t>
      </w:r>
      <w:r w:rsidR="00EA78DC" w:rsidRPr="00EC2231">
        <w:rPr>
          <w:snapToGrid w:val="0"/>
          <w:kern w:val="22"/>
          <w:lang w:val="es-ES"/>
        </w:rPr>
        <w:t xml:space="preserve"> </w:t>
      </w:r>
      <w:r w:rsidR="00775B5A" w:rsidRPr="000C3FA0">
        <w:rPr>
          <w:snapToGrid w:val="0"/>
          <w:kern w:val="22"/>
          <w:lang w:val="es-ES"/>
        </w:rPr>
        <w:t>(</w:t>
      </w:r>
      <w:r w:rsidR="00775B5A" w:rsidRPr="000C3FA0">
        <w:rPr>
          <w:rFonts w:ascii="Angsana New" w:hAnsi="Angsana New" w:cs="Angsana New"/>
          <w:snapToGrid w:val="0"/>
          <w:kern w:val="22"/>
          <w:lang w:val="es-ES"/>
        </w:rPr>
        <w:noBreakHyphen/>
      </w:r>
      <w:r w:rsidR="000C3FA0" w:rsidRPr="000C3FA0">
        <w:rPr>
          <w:rFonts w:ascii="Angsana New" w:hAnsi="Angsana New" w:cs="Angsana New"/>
          <w:snapToGrid w:val="0"/>
          <w:kern w:val="22"/>
          <w:lang w:val="es-ES"/>
        </w:rPr>
        <w:t xml:space="preserve"> </w:t>
      </w:r>
      <w:r w:rsidR="00775B5A" w:rsidRPr="000C3FA0">
        <w:rPr>
          <w:snapToGrid w:val="0"/>
          <w:kern w:val="22"/>
          <w:lang w:val="es-ES"/>
        </w:rPr>
        <w:t>7</w:t>
      </w:r>
      <w:r w:rsidR="000C3FA0" w:rsidRPr="000C3FA0">
        <w:rPr>
          <w:snapToGrid w:val="0"/>
          <w:kern w:val="22"/>
          <w:lang w:val="es-ES"/>
        </w:rPr>
        <w:t xml:space="preserve"> </w:t>
      </w:r>
      <w:r w:rsidR="00775B5A" w:rsidRPr="000C3FA0">
        <w:rPr>
          <w:snapToGrid w:val="0"/>
          <w:kern w:val="22"/>
          <w:lang w:val="es-ES"/>
        </w:rPr>
        <w:t xml:space="preserve">%) </w:t>
      </w:r>
      <w:r w:rsidR="000C3FA0" w:rsidRPr="000C3FA0">
        <w:rPr>
          <w:snapToGrid w:val="0"/>
          <w:kern w:val="22"/>
          <w:lang w:val="es-ES"/>
        </w:rPr>
        <w:t xml:space="preserve">y no se informa de </w:t>
      </w:r>
      <w:r w:rsidR="000C3FA0">
        <w:rPr>
          <w:snapToGrid w:val="0"/>
          <w:kern w:val="22"/>
          <w:lang w:val="es-ES"/>
        </w:rPr>
        <w:t>ningún cambio con respecto de los datos básicos de referencia en el grupo de Estados de Europa Occidental y otros</w:t>
      </w:r>
      <w:r w:rsidR="00775B5A" w:rsidRPr="000C3FA0">
        <w:rPr>
          <w:snapToGrid w:val="0"/>
          <w:kern w:val="22"/>
          <w:lang w:val="es-ES"/>
        </w:rPr>
        <w:t xml:space="preserve">. </w:t>
      </w:r>
      <w:r w:rsidR="000C3FA0" w:rsidRPr="00A86571">
        <w:rPr>
          <w:snapToGrid w:val="0"/>
          <w:kern w:val="22"/>
          <w:lang w:val="es-ES"/>
        </w:rPr>
        <w:t>Hasta cierto punto,</w:t>
      </w:r>
      <w:r w:rsidR="000C3FA0" w:rsidRPr="000C3FA0">
        <w:rPr>
          <w:snapToGrid w:val="0"/>
          <w:kern w:val="22"/>
          <w:lang w:val="es-ES"/>
        </w:rPr>
        <w:t xml:space="preserve"> los cambios notificados desde la base de referencia pueden estar relacionados con un cambio en el formato de presentaci</w:t>
      </w:r>
      <w:r w:rsidR="000C3FA0">
        <w:rPr>
          <w:snapToGrid w:val="0"/>
          <w:kern w:val="22"/>
          <w:lang w:val="es-ES"/>
        </w:rPr>
        <w:t>ón de informes para el cuarto informe nacional</w:t>
      </w:r>
      <w:r w:rsidR="00775B5A">
        <w:rPr>
          <w:rStyle w:val="FootnoteReference"/>
          <w:rFonts w:ascii="Angsana New" w:hAnsi="Angsana New" w:cs="Angsana New"/>
          <w:snapToGrid w:val="0"/>
          <w:kern w:val="22"/>
        </w:rPr>
        <w:footnoteReference w:id="23"/>
      </w:r>
      <w:r w:rsidR="000C3FA0" w:rsidRPr="000C3FA0">
        <w:rPr>
          <w:snapToGrid w:val="0"/>
          <w:kern w:val="22"/>
          <w:lang w:val="es-ES"/>
        </w:rPr>
        <w:t>.</w:t>
      </w:r>
    </w:p>
    <w:p w:rsidR="00775B5A" w:rsidRPr="00124DDF" w:rsidRDefault="00524090"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F70349">
        <w:rPr>
          <w:snapToGrid w:val="0"/>
          <w:kern w:val="22"/>
          <w:lang w:val="es-ES"/>
        </w:rPr>
        <w:t xml:space="preserve">En lo tocante al </w:t>
      </w:r>
      <w:r w:rsidR="00775B5A" w:rsidRPr="00F70349">
        <w:rPr>
          <w:b/>
          <w:bCs/>
          <w:snapToGrid w:val="0"/>
          <w:kern w:val="22"/>
          <w:lang w:val="es-ES"/>
        </w:rPr>
        <w:t>indica</w:t>
      </w:r>
      <w:r w:rsidRPr="00F70349">
        <w:rPr>
          <w:b/>
          <w:bCs/>
          <w:snapToGrid w:val="0"/>
          <w:kern w:val="22"/>
          <w:lang w:val="es-ES"/>
        </w:rPr>
        <w:t>d</w:t>
      </w:r>
      <w:r w:rsidR="00775B5A" w:rsidRPr="00F70349">
        <w:rPr>
          <w:b/>
          <w:bCs/>
          <w:snapToGrid w:val="0"/>
          <w:kern w:val="22"/>
          <w:lang w:val="es-ES"/>
        </w:rPr>
        <w:t>or 1.2.7</w:t>
      </w:r>
      <w:r w:rsidR="00775B5A" w:rsidRPr="00F70349">
        <w:rPr>
          <w:snapToGrid w:val="0"/>
          <w:kern w:val="22"/>
          <w:lang w:val="es-ES"/>
        </w:rPr>
        <w:t xml:space="preserve"> (</w:t>
      </w:r>
      <w:r w:rsidRPr="00F70349">
        <w:rPr>
          <w:snapToGrid w:val="0"/>
          <w:kern w:val="22"/>
          <w:lang w:val="es-ES"/>
        </w:rPr>
        <w:t>el número de P</w:t>
      </w:r>
      <w:r w:rsidR="00775B5A" w:rsidRPr="00F70349">
        <w:rPr>
          <w:snapToGrid w:val="0"/>
          <w:kern w:val="22"/>
          <w:lang w:val="es-ES"/>
        </w:rPr>
        <w:t xml:space="preserve">artes </w:t>
      </w:r>
      <w:r w:rsidR="00F70349" w:rsidRPr="00F70349">
        <w:rPr>
          <w:snapToGrid w:val="0"/>
          <w:kern w:val="22"/>
          <w:lang w:val="es-ES"/>
        </w:rPr>
        <w:t>que notifican que sus necesidades de creación de capacidad han sido</w:t>
      </w:r>
      <w:r w:rsidR="00A86571">
        <w:rPr>
          <w:snapToGrid w:val="0"/>
          <w:kern w:val="22"/>
          <w:lang w:val="es-ES"/>
        </w:rPr>
        <w:t xml:space="preserve"> satisfechas</w:t>
      </w:r>
      <w:r w:rsidR="00775B5A" w:rsidRPr="00F70349">
        <w:rPr>
          <w:snapToGrid w:val="0"/>
          <w:kern w:val="22"/>
          <w:lang w:val="es-ES"/>
        </w:rPr>
        <w:t>)</w:t>
      </w:r>
      <w:r w:rsidR="00775B5A" w:rsidRPr="00F70349">
        <w:rPr>
          <w:rFonts w:ascii="Angsana New" w:hAnsi="Angsana New" w:cs="Angsana New"/>
          <w:snapToGrid w:val="0"/>
          <w:kern w:val="22"/>
          <w:lang w:val="es-ES"/>
        </w:rPr>
        <w:t>,</w:t>
      </w:r>
      <w:r w:rsidR="00775B5A" w:rsidRPr="00F70349">
        <w:rPr>
          <w:snapToGrid w:val="0"/>
          <w:kern w:val="22"/>
          <w:lang w:val="es-ES"/>
        </w:rPr>
        <w:t xml:space="preserve"> </w:t>
      </w:r>
      <w:r w:rsidR="00F70349" w:rsidRPr="00F70349">
        <w:rPr>
          <w:snapToGrid w:val="0"/>
          <w:kern w:val="22"/>
          <w:lang w:val="es-ES"/>
        </w:rPr>
        <w:t xml:space="preserve">el </w:t>
      </w:r>
      <w:r w:rsidR="00775B5A" w:rsidRPr="00F70349">
        <w:rPr>
          <w:snapToGrid w:val="0"/>
          <w:kern w:val="22"/>
          <w:lang w:val="es-ES"/>
        </w:rPr>
        <w:t>20</w:t>
      </w:r>
      <w:r w:rsidR="00F70349">
        <w:rPr>
          <w:snapToGrid w:val="0"/>
          <w:kern w:val="22"/>
          <w:lang w:val="es-ES"/>
        </w:rPr>
        <w:t xml:space="preserve"> % de las </w:t>
      </w:r>
      <w:r w:rsidR="00775B5A" w:rsidRPr="00F70349">
        <w:rPr>
          <w:snapToGrid w:val="0"/>
          <w:kern w:val="22"/>
          <w:lang w:val="es-ES"/>
        </w:rPr>
        <w:t xml:space="preserve">Partes (19 Partes) </w:t>
      </w:r>
      <w:r w:rsidR="00F70349">
        <w:rPr>
          <w:snapToGrid w:val="0"/>
          <w:kern w:val="22"/>
          <w:lang w:val="es-ES"/>
        </w:rPr>
        <w:t>notific</w:t>
      </w:r>
      <w:r w:rsidR="00A86571">
        <w:rPr>
          <w:snapToGrid w:val="0"/>
          <w:kern w:val="22"/>
          <w:lang w:val="es-ES"/>
        </w:rPr>
        <w:t>ó</w:t>
      </w:r>
      <w:r w:rsidR="00F70349">
        <w:rPr>
          <w:snapToGrid w:val="0"/>
          <w:kern w:val="22"/>
          <w:lang w:val="es-ES"/>
        </w:rPr>
        <w:t xml:space="preserve"> que no tiene necesidades de creación de capacidad</w:t>
      </w:r>
      <w:r w:rsidR="00775B5A" w:rsidRPr="00F70349">
        <w:rPr>
          <w:snapToGrid w:val="0"/>
          <w:kern w:val="22"/>
          <w:lang w:val="es-ES"/>
        </w:rPr>
        <w:t xml:space="preserve">, </w:t>
      </w:r>
      <w:r w:rsidR="00F70349">
        <w:rPr>
          <w:snapToGrid w:val="0"/>
          <w:kern w:val="22"/>
          <w:lang w:val="es-ES"/>
        </w:rPr>
        <w:t xml:space="preserve">lo que representa un ligero aumento del </w:t>
      </w:r>
      <w:r w:rsidR="00775B5A" w:rsidRPr="00F70349">
        <w:rPr>
          <w:snapToGrid w:val="0"/>
          <w:kern w:val="22"/>
          <w:lang w:val="es-ES"/>
        </w:rPr>
        <w:t>2</w:t>
      </w:r>
      <w:r w:rsidR="00F70349">
        <w:rPr>
          <w:snapToGrid w:val="0"/>
          <w:kern w:val="22"/>
          <w:lang w:val="es-ES"/>
        </w:rPr>
        <w:t xml:space="preserve"> </w:t>
      </w:r>
      <w:r w:rsidR="00775B5A" w:rsidRPr="00F70349">
        <w:rPr>
          <w:snapToGrid w:val="0"/>
          <w:kern w:val="22"/>
          <w:lang w:val="es-ES"/>
        </w:rPr>
        <w:t xml:space="preserve">%. </w:t>
      </w:r>
      <w:r w:rsidR="00F70349" w:rsidRPr="00F70349">
        <w:rPr>
          <w:snapToGrid w:val="0"/>
          <w:kern w:val="22"/>
          <w:lang w:val="es-ES"/>
        </w:rPr>
        <w:t xml:space="preserve">Mientras que el </w:t>
      </w:r>
      <w:r w:rsidR="00775B5A" w:rsidRPr="00F70349">
        <w:rPr>
          <w:snapToGrid w:val="0"/>
          <w:kern w:val="22"/>
          <w:lang w:val="es-ES"/>
        </w:rPr>
        <w:t>83</w:t>
      </w:r>
      <w:r w:rsidR="00F70349" w:rsidRPr="00F70349">
        <w:rPr>
          <w:snapToGrid w:val="0"/>
          <w:kern w:val="22"/>
          <w:lang w:val="es-ES"/>
        </w:rPr>
        <w:t xml:space="preserve"> </w:t>
      </w:r>
      <w:r w:rsidR="00775B5A" w:rsidRPr="00F70349">
        <w:rPr>
          <w:snapToGrid w:val="0"/>
          <w:kern w:val="22"/>
          <w:lang w:val="es-ES"/>
        </w:rPr>
        <w:t xml:space="preserve">% </w:t>
      </w:r>
      <w:r w:rsidR="00F70349" w:rsidRPr="00F70349">
        <w:rPr>
          <w:snapToGrid w:val="0"/>
          <w:kern w:val="22"/>
          <w:lang w:val="es-ES"/>
        </w:rPr>
        <w:t xml:space="preserve">de las Partes en la </w:t>
      </w:r>
      <w:r w:rsidR="00F70349">
        <w:rPr>
          <w:snapToGrid w:val="0"/>
          <w:kern w:val="22"/>
          <w:lang w:val="es-ES"/>
        </w:rPr>
        <w:t>regió</w:t>
      </w:r>
      <w:r w:rsidR="00F70349" w:rsidRPr="00F70349">
        <w:rPr>
          <w:snapToGrid w:val="0"/>
          <w:kern w:val="22"/>
          <w:lang w:val="es-ES"/>
        </w:rPr>
        <w:t>n del grupo de Estados de Europa Oc</w:t>
      </w:r>
      <w:r w:rsidR="00F70349">
        <w:rPr>
          <w:snapToGrid w:val="0"/>
          <w:kern w:val="22"/>
          <w:lang w:val="es-ES"/>
        </w:rPr>
        <w:t>c</w:t>
      </w:r>
      <w:r w:rsidR="00A86571">
        <w:rPr>
          <w:snapToGrid w:val="0"/>
          <w:kern w:val="22"/>
          <w:lang w:val="es-ES"/>
        </w:rPr>
        <w:t>idental y otros comunicó</w:t>
      </w:r>
      <w:r w:rsidR="00F70349" w:rsidRPr="00F70349">
        <w:rPr>
          <w:snapToGrid w:val="0"/>
          <w:kern w:val="22"/>
          <w:lang w:val="es-ES"/>
        </w:rPr>
        <w:t xml:space="preserve"> que sus </w:t>
      </w:r>
      <w:r w:rsidR="00F70349" w:rsidRPr="00F70349">
        <w:rPr>
          <w:snapToGrid w:val="0"/>
          <w:kern w:val="22"/>
          <w:lang w:val="es-ES"/>
        </w:rPr>
        <w:lastRenderedPageBreak/>
        <w:t>neces</w:t>
      </w:r>
      <w:r w:rsidR="00F70349">
        <w:rPr>
          <w:snapToGrid w:val="0"/>
          <w:kern w:val="22"/>
          <w:lang w:val="es-ES"/>
        </w:rPr>
        <w:t>idades de creación de capacidad habían sido satisfechas</w:t>
      </w:r>
      <w:r w:rsidR="00775B5A" w:rsidRPr="00F70349">
        <w:rPr>
          <w:snapToGrid w:val="0"/>
          <w:kern w:val="22"/>
          <w:lang w:val="es-ES"/>
        </w:rPr>
        <w:t xml:space="preserve"> (-</w:t>
      </w:r>
      <w:r w:rsidR="00F70349">
        <w:rPr>
          <w:snapToGrid w:val="0"/>
          <w:kern w:val="22"/>
          <w:lang w:val="es-ES"/>
        </w:rPr>
        <w:t xml:space="preserve"> </w:t>
      </w:r>
      <w:r w:rsidR="00775B5A" w:rsidRPr="00F70349">
        <w:rPr>
          <w:snapToGrid w:val="0"/>
          <w:kern w:val="22"/>
          <w:lang w:val="es-ES"/>
        </w:rPr>
        <w:t>4</w:t>
      </w:r>
      <w:r w:rsidR="00F70349">
        <w:rPr>
          <w:snapToGrid w:val="0"/>
          <w:kern w:val="22"/>
          <w:lang w:val="es-ES"/>
        </w:rPr>
        <w:t xml:space="preserve"> </w:t>
      </w:r>
      <w:r w:rsidR="00775B5A" w:rsidRPr="00F70349">
        <w:rPr>
          <w:snapToGrid w:val="0"/>
          <w:kern w:val="22"/>
          <w:lang w:val="es-ES"/>
        </w:rPr>
        <w:t xml:space="preserve">%), </w:t>
      </w:r>
      <w:r w:rsidR="00F70349">
        <w:rPr>
          <w:snapToGrid w:val="0"/>
          <w:kern w:val="22"/>
          <w:lang w:val="es-ES"/>
        </w:rPr>
        <w:t>en otras regiones</w:t>
      </w:r>
      <w:r w:rsidR="00775B5A" w:rsidRPr="00F70349">
        <w:rPr>
          <w:snapToGrid w:val="0"/>
          <w:kern w:val="22"/>
          <w:lang w:val="es-ES"/>
        </w:rPr>
        <w:t xml:space="preserve">, </w:t>
      </w:r>
      <w:r w:rsidR="00F70349">
        <w:rPr>
          <w:snapToGrid w:val="0"/>
          <w:kern w:val="22"/>
          <w:lang w:val="es-ES"/>
        </w:rPr>
        <w:t>los porcentajes fueron mucho más bajos</w:t>
      </w:r>
      <w:r w:rsidR="00775B5A" w:rsidRPr="00F70349">
        <w:rPr>
          <w:snapToGrid w:val="0"/>
          <w:kern w:val="22"/>
          <w:lang w:val="es-ES"/>
        </w:rPr>
        <w:t xml:space="preserve">. </w:t>
      </w:r>
      <w:r w:rsidR="000143AD" w:rsidRPr="000143AD">
        <w:rPr>
          <w:snapToGrid w:val="0"/>
          <w:kern w:val="22"/>
          <w:lang w:val="es-ES"/>
        </w:rPr>
        <w:t>No se informó de ningún cambio con respect</w:t>
      </w:r>
      <w:r w:rsidR="000143AD">
        <w:rPr>
          <w:snapToGrid w:val="0"/>
          <w:kern w:val="22"/>
          <w:lang w:val="es-ES"/>
        </w:rPr>
        <w:t>o</w:t>
      </w:r>
      <w:r w:rsidR="000143AD" w:rsidRPr="000143AD">
        <w:rPr>
          <w:snapToGrid w:val="0"/>
          <w:kern w:val="22"/>
          <w:lang w:val="es-ES"/>
        </w:rPr>
        <w:t xml:space="preserve"> a los datos básicos de referencia en tres regiones</w:t>
      </w:r>
      <w:r w:rsidR="00775B5A" w:rsidRPr="000143AD">
        <w:rPr>
          <w:snapToGrid w:val="0"/>
          <w:kern w:val="22"/>
          <w:lang w:val="es-ES"/>
        </w:rPr>
        <w:t xml:space="preserve">, </w:t>
      </w:r>
      <w:r w:rsidR="000143AD" w:rsidRPr="000143AD">
        <w:rPr>
          <w:snapToGrid w:val="0"/>
          <w:kern w:val="22"/>
          <w:lang w:val="es-ES"/>
        </w:rPr>
        <w:t xml:space="preserve">donde los porcentajes se </w:t>
      </w:r>
      <w:r w:rsidR="00124DDF">
        <w:rPr>
          <w:snapToGrid w:val="0"/>
          <w:kern w:val="22"/>
          <w:lang w:val="es-ES"/>
        </w:rPr>
        <w:t>mantuvieron</w:t>
      </w:r>
      <w:r w:rsidR="00124DDF" w:rsidRPr="00A86571">
        <w:rPr>
          <w:snapToGrid w:val="0"/>
          <w:kern w:val="22"/>
          <w:lang w:val="es-ES"/>
        </w:rPr>
        <w:t xml:space="preserve"> como se indica a continuación</w:t>
      </w:r>
      <w:r w:rsidR="00775B5A" w:rsidRPr="000143AD">
        <w:rPr>
          <w:snapToGrid w:val="0"/>
          <w:kern w:val="22"/>
          <w:lang w:val="es-ES"/>
        </w:rPr>
        <w:t xml:space="preserve">: </w:t>
      </w:r>
      <w:r w:rsidR="00124DDF">
        <w:rPr>
          <w:snapToGrid w:val="0"/>
          <w:kern w:val="22"/>
          <w:lang w:val="es-ES"/>
        </w:rPr>
        <w:t>Á</w:t>
      </w:r>
      <w:r w:rsidR="00775B5A" w:rsidRPr="000143AD">
        <w:rPr>
          <w:snapToGrid w:val="0"/>
          <w:kern w:val="22"/>
          <w:lang w:val="es-ES"/>
        </w:rPr>
        <w:t>frica 0</w:t>
      </w:r>
      <w:r w:rsidR="00124DDF">
        <w:rPr>
          <w:snapToGrid w:val="0"/>
          <w:kern w:val="22"/>
          <w:lang w:val="es-ES"/>
        </w:rPr>
        <w:t xml:space="preserve"> </w:t>
      </w:r>
      <w:r w:rsidR="00775B5A" w:rsidRPr="000143AD">
        <w:rPr>
          <w:snapToGrid w:val="0"/>
          <w:kern w:val="22"/>
          <w:lang w:val="es-ES"/>
        </w:rPr>
        <w:t>%</w:t>
      </w:r>
      <w:r w:rsidR="00A86571">
        <w:rPr>
          <w:snapToGrid w:val="0"/>
          <w:kern w:val="22"/>
          <w:lang w:val="es-ES"/>
        </w:rPr>
        <w:t>,</w:t>
      </w:r>
      <w:r w:rsidR="00775B5A" w:rsidRPr="000143AD">
        <w:rPr>
          <w:snapToGrid w:val="0"/>
          <w:kern w:val="22"/>
          <w:lang w:val="es-ES"/>
        </w:rPr>
        <w:t xml:space="preserve"> </w:t>
      </w:r>
      <w:r w:rsidR="007A67EE">
        <w:rPr>
          <w:snapToGrid w:val="0"/>
          <w:kern w:val="22"/>
          <w:lang w:val="es-ES"/>
        </w:rPr>
        <w:t>grupo de países de América Latina y el Caribe</w:t>
      </w:r>
      <w:r w:rsidR="00775B5A" w:rsidRPr="000143AD">
        <w:rPr>
          <w:snapToGrid w:val="0"/>
          <w:kern w:val="22"/>
          <w:lang w:val="es-ES"/>
        </w:rPr>
        <w:t xml:space="preserve"> 0</w:t>
      </w:r>
      <w:r w:rsidR="00124DDF">
        <w:rPr>
          <w:snapToGrid w:val="0"/>
          <w:kern w:val="22"/>
          <w:lang w:val="es-ES"/>
        </w:rPr>
        <w:t xml:space="preserve"> </w:t>
      </w:r>
      <w:r w:rsidR="00775B5A" w:rsidRPr="000143AD">
        <w:rPr>
          <w:snapToGrid w:val="0"/>
          <w:kern w:val="22"/>
          <w:lang w:val="es-ES"/>
        </w:rPr>
        <w:t>%</w:t>
      </w:r>
      <w:r w:rsidR="00A86571">
        <w:rPr>
          <w:snapToGrid w:val="0"/>
          <w:kern w:val="22"/>
          <w:lang w:val="es-ES"/>
        </w:rPr>
        <w:t>,</w:t>
      </w:r>
      <w:r w:rsidR="00775B5A" w:rsidRPr="000143AD">
        <w:rPr>
          <w:snapToGrid w:val="0"/>
          <w:kern w:val="22"/>
          <w:lang w:val="es-ES"/>
        </w:rPr>
        <w:t xml:space="preserve"> Asia</w:t>
      </w:r>
      <w:r w:rsidR="0087255D">
        <w:rPr>
          <w:snapToGrid w:val="0"/>
          <w:kern w:val="22"/>
          <w:lang w:val="es-ES"/>
        </w:rPr>
        <w:t xml:space="preserve"> y el </w:t>
      </w:r>
      <w:r w:rsidR="00775B5A" w:rsidRPr="000143AD">
        <w:rPr>
          <w:snapToGrid w:val="0"/>
          <w:kern w:val="22"/>
          <w:lang w:val="es-ES"/>
        </w:rPr>
        <w:t>Pac</w:t>
      </w:r>
      <w:r w:rsidR="00124DDF">
        <w:rPr>
          <w:snapToGrid w:val="0"/>
          <w:kern w:val="22"/>
          <w:lang w:val="es-ES"/>
        </w:rPr>
        <w:t>í</w:t>
      </w:r>
      <w:r w:rsidR="00775B5A" w:rsidRPr="000143AD">
        <w:rPr>
          <w:snapToGrid w:val="0"/>
          <w:kern w:val="22"/>
          <w:lang w:val="es-ES"/>
        </w:rPr>
        <w:t>fic</w:t>
      </w:r>
      <w:r w:rsidR="00124DDF">
        <w:rPr>
          <w:snapToGrid w:val="0"/>
          <w:kern w:val="22"/>
          <w:lang w:val="es-ES"/>
        </w:rPr>
        <w:t>o</w:t>
      </w:r>
      <w:r w:rsidR="00775B5A" w:rsidRPr="000143AD">
        <w:rPr>
          <w:snapToGrid w:val="0"/>
          <w:kern w:val="22"/>
          <w:lang w:val="es-ES"/>
        </w:rPr>
        <w:t xml:space="preserve"> 13</w:t>
      </w:r>
      <w:r w:rsidR="00124DDF">
        <w:rPr>
          <w:snapToGrid w:val="0"/>
          <w:kern w:val="22"/>
          <w:lang w:val="es-ES"/>
        </w:rPr>
        <w:t xml:space="preserve"> </w:t>
      </w:r>
      <w:r w:rsidR="00775B5A" w:rsidRPr="000143AD">
        <w:rPr>
          <w:snapToGrid w:val="0"/>
          <w:kern w:val="22"/>
          <w:lang w:val="es-ES"/>
        </w:rPr>
        <w:t xml:space="preserve">%. </w:t>
      </w:r>
      <w:r w:rsidR="00EA78DC">
        <w:rPr>
          <w:snapToGrid w:val="0"/>
          <w:kern w:val="22"/>
          <w:lang w:val="es-ES"/>
        </w:rPr>
        <w:t>El grupo de Estados de Europa Central y Oriental</w:t>
      </w:r>
      <w:r w:rsidR="00EA78DC" w:rsidRPr="00EC2231">
        <w:rPr>
          <w:snapToGrid w:val="0"/>
          <w:kern w:val="22"/>
          <w:lang w:val="es-ES"/>
        </w:rPr>
        <w:t xml:space="preserve"> </w:t>
      </w:r>
      <w:r w:rsidR="00124DDF" w:rsidRPr="00124DDF">
        <w:rPr>
          <w:snapToGrid w:val="0"/>
          <w:kern w:val="22"/>
          <w:lang w:val="es-ES"/>
        </w:rPr>
        <w:t>fue la única región donde</w:t>
      </w:r>
      <w:r w:rsidR="00A86571">
        <w:rPr>
          <w:snapToGrid w:val="0"/>
          <w:kern w:val="22"/>
          <w:lang w:val="es-ES"/>
        </w:rPr>
        <w:t xml:space="preserve"> se produjo</w:t>
      </w:r>
      <w:r w:rsidR="00124DDF" w:rsidRPr="00124DDF">
        <w:rPr>
          <w:snapToGrid w:val="0"/>
          <w:kern w:val="22"/>
          <w:lang w:val="es-ES"/>
        </w:rPr>
        <w:t xml:space="preserve"> una tendencia positiva en el número de Partes que </w:t>
      </w:r>
      <w:r w:rsidR="00A86571">
        <w:rPr>
          <w:snapToGrid w:val="0"/>
          <w:kern w:val="22"/>
          <w:lang w:val="es-ES"/>
        </w:rPr>
        <w:t xml:space="preserve">señaló </w:t>
      </w:r>
      <w:r w:rsidR="00124DDF" w:rsidRPr="00124DDF">
        <w:rPr>
          <w:snapToGrid w:val="0"/>
          <w:kern w:val="22"/>
          <w:lang w:val="es-ES"/>
        </w:rPr>
        <w:t xml:space="preserve">que </w:t>
      </w:r>
      <w:r w:rsidR="00124DDF">
        <w:rPr>
          <w:snapToGrid w:val="0"/>
          <w:kern w:val="22"/>
          <w:lang w:val="es-ES"/>
        </w:rPr>
        <w:t xml:space="preserve">se habían satisfecho </w:t>
      </w:r>
      <w:r w:rsidR="00124DDF" w:rsidRPr="00124DDF">
        <w:rPr>
          <w:snapToGrid w:val="0"/>
          <w:kern w:val="22"/>
          <w:lang w:val="es-ES"/>
        </w:rPr>
        <w:t xml:space="preserve">sus necesidades de creación de capacidad, lo que supone un aumento del </w:t>
      </w:r>
      <w:r w:rsidR="00775B5A" w:rsidRPr="00124DDF">
        <w:rPr>
          <w:snapToGrid w:val="0"/>
          <w:kern w:val="22"/>
          <w:lang w:val="es-ES"/>
        </w:rPr>
        <w:t>13</w:t>
      </w:r>
      <w:r w:rsidR="00124DDF">
        <w:rPr>
          <w:snapToGrid w:val="0"/>
          <w:kern w:val="22"/>
          <w:lang w:val="es-ES"/>
        </w:rPr>
        <w:t xml:space="preserve"> </w:t>
      </w:r>
      <w:r w:rsidR="00775B5A" w:rsidRPr="00124DDF">
        <w:rPr>
          <w:snapToGrid w:val="0"/>
          <w:kern w:val="22"/>
          <w:lang w:val="es-ES"/>
        </w:rPr>
        <w:t xml:space="preserve">%, </w:t>
      </w:r>
      <w:r w:rsidR="00124DDF">
        <w:rPr>
          <w:snapToGrid w:val="0"/>
          <w:kern w:val="22"/>
          <w:lang w:val="es-ES"/>
        </w:rPr>
        <w:t xml:space="preserve">con lo que el porcentaje correspondiente a esa región se elevó al </w:t>
      </w:r>
      <w:r w:rsidR="00775B5A" w:rsidRPr="00124DDF">
        <w:rPr>
          <w:snapToGrid w:val="0"/>
          <w:kern w:val="22"/>
          <w:lang w:val="es-ES"/>
        </w:rPr>
        <w:t>13</w:t>
      </w:r>
      <w:r w:rsidR="00124DDF">
        <w:rPr>
          <w:snapToGrid w:val="0"/>
          <w:kern w:val="22"/>
          <w:lang w:val="es-ES"/>
        </w:rPr>
        <w:t xml:space="preserve"> </w:t>
      </w:r>
      <w:r w:rsidR="00775B5A" w:rsidRPr="00124DDF">
        <w:rPr>
          <w:snapToGrid w:val="0"/>
          <w:kern w:val="22"/>
          <w:lang w:val="es-ES"/>
        </w:rPr>
        <w:t>%.</w:t>
      </w:r>
    </w:p>
    <w:p w:rsidR="00775B5A" w:rsidRPr="003B2C7E" w:rsidRDefault="00222A45"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222A45">
        <w:rPr>
          <w:snapToGrid w:val="0"/>
          <w:kern w:val="22"/>
          <w:lang w:val="es-ES"/>
        </w:rPr>
        <w:t xml:space="preserve">En sus contribuciones de texto libre, varias </w:t>
      </w:r>
      <w:r w:rsidR="00775B5A" w:rsidRPr="00222A45">
        <w:rPr>
          <w:snapToGrid w:val="0"/>
          <w:kern w:val="22"/>
          <w:lang w:val="es-ES"/>
        </w:rPr>
        <w:t>Partes indica</w:t>
      </w:r>
      <w:r w:rsidRPr="00222A45">
        <w:rPr>
          <w:snapToGrid w:val="0"/>
          <w:kern w:val="22"/>
          <w:lang w:val="es-ES"/>
        </w:rPr>
        <w:t>ron que los fondos para la creaci</w:t>
      </w:r>
      <w:r>
        <w:rPr>
          <w:snapToGrid w:val="0"/>
          <w:kern w:val="22"/>
          <w:lang w:val="es-ES"/>
        </w:rPr>
        <w:t>ón de capacidad a menudo son limitados e insuficientes para a</w:t>
      </w:r>
      <w:r w:rsidR="00FE63CB">
        <w:rPr>
          <w:snapToGrid w:val="0"/>
          <w:kern w:val="22"/>
          <w:lang w:val="es-ES"/>
        </w:rPr>
        <w:t>tender</w:t>
      </w:r>
      <w:r>
        <w:rPr>
          <w:snapToGrid w:val="0"/>
          <w:kern w:val="22"/>
          <w:lang w:val="es-ES"/>
        </w:rPr>
        <w:t xml:space="preserve"> </w:t>
      </w:r>
      <w:r w:rsidR="00FE63CB">
        <w:rPr>
          <w:snapToGrid w:val="0"/>
          <w:kern w:val="22"/>
          <w:lang w:val="es-ES"/>
        </w:rPr>
        <w:t xml:space="preserve">a </w:t>
      </w:r>
      <w:r>
        <w:rPr>
          <w:snapToGrid w:val="0"/>
          <w:kern w:val="22"/>
          <w:lang w:val="es-ES"/>
        </w:rPr>
        <w:t>todas sus necesidades de capacidad</w:t>
      </w:r>
      <w:r w:rsidR="00775B5A" w:rsidRPr="00222A45">
        <w:rPr>
          <w:snapToGrid w:val="0"/>
          <w:kern w:val="22"/>
          <w:lang w:val="es-ES"/>
        </w:rPr>
        <w:t xml:space="preserve">. </w:t>
      </w:r>
      <w:r w:rsidR="00775B5A" w:rsidRPr="00FE63CB">
        <w:rPr>
          <w:snapToGrid w:val="0"/>
          <w:kern w:val="22"/>
          <w:lang w:val="es-ES"/>
        </w:rPr>
        <w:t>M</w:t>
      </w:r>
      <w:r w:rsidR="00FE63CB" w:rsidRPr="00FE63CB">
        <w:rPr>
          <w:snapToGrid w:val="0"/>
          <w:kern w:val="22"/>
          <w:lang w:val="es-ES"/>
        </w:rPr>
        <w:t xml:space="preserve">uchas </w:t>
      </w:r>
      <w:r w:rsidR="00775B5A" w:rsidRPr="00FE63CB">
        <w:rPr>
          <w:snapToGrid w:val="0"/>
          <w:kern w:val="22"/>
          <w:lang w:val="es-ES"/>
        </w:rPr>
        <w:t>Partes</w:t>
      </w:r>
      <w:r w:rsidR="00A86571">
        <w:rPr>
          <w:snapToGrid w:val="0"/>
          <w:kern w:val="22"/>
          <w:lang w:val="es-ES"/>
        </w:rPr>
        <w:t xml:space="preserve"> señalaron </w:t>
      </w:r>
      <w:r w:rsidR="00FE63CB" w:rsidRPr="00FE63CB">
        <w:rPr>
          <w:snapToGrid w:val="0"/>
          <w:kern w:val="22"/>
          <w:lang w:val="es-ES"/>
        </w:rPr>
        <w:t xml:space="preserve">que se habían beneficiado de los fondos proporcionados por el Fondo para el Medio Ambiente Mundial </w:t>
      </w:r>
      <w:r w:rsidR="00775B5A" w:rsidRPr="00FE63CB">
        <w:rPr>
          <w:snapToGrid w:val="0"/>
          <w:kern w:val="22"/>
          <w:lang w:val="es-ES"/>
        </w:rPr>
        <w:t>(</w:t>
      </w:r>
      <w:r w:rsidR="00FE63CB" w:rsidRPr="00FE63CB">
        <w:rPr>
          <w:snapToGrid w:val="0"/>
          <w:kern w:val="22"/>
          <w:lang w:val="es-ES"/>
        </w:rPr>
        <w:t>FMAM</w:t>
      </w:r>
      <w:r w:rsidR="00775B5A" w:rsidRPr="00FE63CB">
        <w:rPr>
          <w:snapToGrid w:val="0"/>
          <w:kern w:val="22"/>
          <w:lang w:val="es-ES"/>
        </w:rPr>
        <w:t xml:space="preserve">). </w:t>
      </w:r>
      <w:r w:rsidR="00FE63CB" w:rsidRPr="00FE63CB">
        <w:rPr>
          <w:snapToGrid w:val="0"/>
          <w:kern w:val="22"/>
          <w:lang w:val="es-ES"/>
        </w:rPr>
        <w:t xml:space="preserve">Varias de esas </w:t>
      </w:r>
      <w:r w:rsidR="00775B5A" w:rsidRPr="00FE63CB">
        <w:rPr>
          <w:snapToGrid w:val="0"/>
          <w:kern w:val="22"/>
          <w:lang w:val="es-ES"/>
        </w:rPr>
        <w:t>Partes indica</w:t>
      </w:r>
      <w:r w:rsidR="00FE63CB" w:rsidRPr="00FE63CB">
        <w:rPr>
          <w:snapToGrid w:val="0"/>
          <w:kern w:val="22"/>
          <w:lang w:val="es-ES"/>
        </w:rPr>
        <w:t>ron que era difícil acceder a esos fondos y que los tiempos de preparaci</w:t>
      </w:r>
      <w:r w:rsidR="00FE63CB">
        <w:rPr>
          <w:snapToGrid w:val="0"/>
          <w:kern w:val="22"/>
          <w:lang w:val="es-ES"/>
        </w:rPr>
        <w:t>ón de los proyectos eran largos y complejos</w:t>
      </w:r>
      <w:r w:rsidR="00775B5A" w:rsidRPr="00FE63CB">
        <w:rPr>
          <w:snapToGrid w:val="0"/>
          <w:kern w:val="22"/>
          <w:lang w:val="es-ES"/>
        </w:rPr>
        <w:t>. Ot</w:t>
      </w:r>
      <w:r w:rsidR="00FE63CB" w:rsidRPr="00FE63CB">
        <w:rPr>
          <w:snapToGrid w:val="0"/>
          <w:kern w:val="22"/>
          <w:lang w:val="es-ES"/>
        </w:rPr>
        <w:t>ras</w:t>
      </w:r>
      <w:r w:rsidR="00775B5A" w:rsidRPr="00FE63CB">
        <w:rPr>
          <w:snapToGrid w:val="0"/>
          <w:kern w:val="22"/>
          <w:lang w:val="es-ES"/>
        </w:rPr>
        <w:t xml:space="preserve"> Part</w:t>
      </w:r>
      <w:r w:rsidR="00FE63CB" w:rsidRPr="00FE63CB">
        <w:rPr>
          <w:snapToGrid w:val="0"/>
          <w:kern w:val="22"/>
          <w:lang w:val="es-ES"/>
        </w:rPr>
        <w:t xml:space="preserve">es señalaron que no habían podido acceder a los fondos del FMAM para actividades relacionadas con </w:t>
      </w:r>
      <w:r w:rsidR="00FE63CB">
        <w:rPr>
          <w:snapToGrid w:val="0"/>
          <w:kern w:val="22"/>
          <w:lang w:val="es-ES"/>
        </w:rPr>
        <w:t>la seguridad de la biotecnología</w:t>
      </w:r>
      <w:r w:rsidR="00775B5A" w:rsidRPr="00FE63CB">
        <w:rPr>
          <w:snapToGrid w:val="0"/>
          <w:kern w:val="22"/>
          <w:lang w:val="es-ES"/>
        </w:rPr>
        <w:t xml:space="preserve">. </w:t>
      </w:r>
      <w:r w:rsidR="00FE63CB" w:rsidRPr="00FE63CB">
        <w:rPr>
          <w:snapToGrid w:val="0"/>
          <w:kern w:val="22"/>
          <w:lang w:val="es-ES"/>
        </w:rPr>
        <w:t xml:space="preserve">Varias </w:t>
      </w:r>
      <w:r w:rsidR="00775B5A" w:rsidRPr="00FE63CB">
        <w:rPr>
          <w:snapToGrid w:val="0"/>
          <w:kern w:val="22"/>
          <w:lang w:val="es-ES"/>
        </w:rPr>
        <w:t>Partes men</w:t>
      </w:r>
      <w:r w:rsidR="00FE63CB" w:rsidRPr="00FE63CB">
        <w:rPr>
          <w:snapToGrid w:val="0"/>
          <w:kern w:val="22"/>
          <w:lang w:val="es-ES"/>
        </w:rPr>
        <w:t>cionaron que reciben financiación de sus Gobiernos o que sus Gobiernos proporcionan cofinanciación para proyectos de creaci</w:t>
      </w:r>
      <w:r w:rsidR="00FE63CB">
        <w:rPr>
          <w:snapToGrid w:val="0"/>
          <w:kern w:val="22"/>
          <w:lang w:val="es-ES"/>
        </w:rPr>
        <w:t>ón de capacidad en materia de seguridad de la biotecnolog</w:t>
      </w:r>
      <w:r w:rsidR="003B2C7E">
        <w:rPr>
          <w:snapToGrid w:val="0"/>
          <w:kern w:val="22"/>
          <w:lang w:val="es-ES"/>
        </w:rPr>
        <w:t>ía</w:t>
      </w:r>
      <w:r w:rsidR="00775B5A" w:rsidRPr="00FE63CB">
        <w:rPr>
          <w:snapToGrid w:val="0"/>
          <w:kern w:val="22"/>
          <w:lang w:val="es-ES"/>
        </w:rPr>
        <w:t xml:space="preserve">. </w:t>
      </w:r>
      <w:r w:rsidR="003B2C7E" w:rsidRPr="003B2C7E">
        <w:rPr>
          <w:snapToGrid w:val="0"/>
          <w:kern w:val="22"/>
          <w:lang w:val="es-ES"/>
        </w:rPr>
        <w:t xml:space="preserve">Algunas Partes </w:t>
      </w:r>
      <w:r w:rsidR="009443E3">
        <w:rPr>
          <w:snapToGrid w:val="0"/>
          <w:kern w:val="22"/>
          <w:lang w:val="es-ES"/>
        </w:rPr>
        <w:t xml:space="preserve">indicaron </w:t>
      </w:r>
      <w:r w:rsidR="003B2C7E" w:rsidRPr="003B2C7E">
        <w:rPr>
          <w:snapToGrid w:val="0"/>
          <w:kern w:val="22"/>
          <w:lang w:val="es-ES"/>
        </w:rPr>
        <w:t xml:space="preserve">que los canales bilaterales y multilaterales también eran medios empleados para </w:t>
      </w:r>
      <w:r w:rsidR="009443E3">
        <w:rPr>
          <w:snapToGrid w:val="0"/>
          <w:kern w:val="22"/>
          <w:lang w:val="es-ES"/>
        </w:rPr>
        <w:t xml:space="preserve">obtener </w:t>
      </w:r>
      <w:r w:rsidR="003B2C7E" w:rsidRPr="003B2C7E">
        <w:rPr>
          <w:snapToGrid w:val="0"/>
          <w:kern w:val="22"/>
          <w:lang w:val="es-ES"/>
        </w:rPr>
        <w:t>apoyo financiero y t</w:t>
      </w:r>
      <w:r w:rsidR="003B2C7E">
        <w:rPr>
          <w:snapToGrid w:val="0"/>
          <w:kern w:val="22"/>
          <w:lang w:val="es-ES"/>
        </w:rPr>
        <w:t xml:space="preserve">écnico externo para fortalecer la capacidad </w:t>
      </w:r>
      <w:r w:rsidR="009443E3">
        <w:rPr>
          <w:snapToGrid w:val="0"/>
          <w:kern w:val="22"/>
          <w:lang w:val="es-ES"/>
        </w:rPr>
        <w:t>para aplicar el Protocolo</w:t>
      </w:r>
      <w:r w:rsidR="00775B5A" w:rsidRPr="003B2C7E">
        <w:rPr>
          <w:snapToGrid w:val="0"/>
          <w:kern w:val="22"/>
          <w:lang w:val="es-ES"/>
        </w:rPr>
        <w:t xml:space="preserve">. </w:t>
      </w:r>
    </w:p>
    <w:p w:rsidR="00775B5A" w:rsidRPr="00693475" w:rsidRDefault="009443E3"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9443E3">
        <w:rPr>
          <w:snapToGrid w:val="0"/>
          <w:kern w:val="22"/>
          <w:lang w:val="es-ES"/>
        </w:rPr>
        <w:t xml:space="preserve">En cuanto al </w:t>
      </w:r>
      <w:r w:rsidR="00775B5A" w:rsidRPr="009443E3">
        <w:rPr>
          <w:b/>
          <w:bCs/>
          <w:snapToGrid w:val="0"/>
          <w:kern w:val="22"/>
          <w:lang w:val="es-ES"/>
        </w:rPr>
        <w:t>indica</w:t>
      </w:r>
      <w:r w:rsidRPr="009443E3">
        <w:rPr>
          <w:b/>
          <w:bCs/>
          <w:snapToGrid w:val="0"/>
          <w:kern w:val="22"/>
          <w:lang w:val="es-ES"/>
        </w:rPr>
        <w:t>d</w:t>
      </w:r>
      <w:r w:rsidR="00775B5A" w:rsidRPr="009443E3">
        <w:rPr>
          <w:b/>
          <w:bCs/>
          <w:snapToGrid w:val="0"/>
          <w:kern w:val="22"/>
          <w:lang w:val="es-ES"/>
        </w:rPr>
        <w:t xml:space="preserve">or 1.2.8 </w:t>
      </w:r>
      <w:r w:rsidR="00775B5A" w:rsidRPr="009443E3">
        <w:rPr>
          <w:snapToGrid w:val="0"/>
          <w:kern w:val="22"/>
          <w:lang w:val="es-ES"/>
        </w:rPr>
        <w:t>(</w:t>
      </w:r>
      <w:r w:rsidRPr="009443E3">
        <w:rPr>
          <w:snapToGrid w:val="0"/>
          <w:kern w:val="22"/>
          <w:lang w:val="es-ES"/>
        </w:rPr>
        <w:t xml:space="preserve">el número de acuerdos de cooperación notificados </w:t>
      </w:r>
      <w:r>
        <w:rPr>
          <w:snapToGrid w:val="0"/>
          <w:kern w:val="22"/>
          <w:lang w:val="es-ES"/>
        </w:rPr>
        <w:t>en los que participan Partes exportadoras e importadoras de OVM</w:t>
      </w:r>
      <w:r w:rsidR="00775B5A" w:rsidRPr="009443E3">
        <w:rPr>
          <w:snapToGrid w:val="0"/>
          <w:kern w:val="22"/>
          <w:lang w:val="es-ES"/>
        </w:rPr>
        <w:t>),</w:t>
      </w:r>
      <w:r>
        <w:rPr>
          <w:snapToGrid w:val="0"/>
          <w:kern w:val="22"/>
          <w:lang w:val="es-ES"/>
        </w:rPr>
        <w:t xml:space="preserve"> el cuarto informe nacional y el CIISB</w:t>
      </w:r>
      <w:r w:rsidR="00775B5A" w:rsidRPr="009443E3">
        <w:rPr>
          <w:snapToGrid w:val="0"/>
          <w:kern w:val="22"/>
          <w:lang w:val="es-ES"/>
        </w:rPr>
        <w:t xml:space="preserve"> </w:t>
      </w:r>
      <w:r>
        <w:rPr>
          <w:snapToGrid w:val="0"/>
          <w:kern w:val="22"/>
          <w:lang w:val="es-ES"/>
        </w:rPr>
        <w:t>no proporcionan información relacionada con los acuerdos de cooperación en los que</w:t>
      </w:r>
      <w:r w:rsidR="00A86571">
        <w:rPr>
          <w:snapToGrid w:val="0"/>
          <w:kern w:val="22"/>
          <w:lang w:val="es-ES"/>
        </w:rPr>
        <w:t xml:space="preserve"> participan</w:t>
      </w:r>
      <w:r>
        <w:rPr>
          <w:snapToGrid w:val="0"/>
          <w:kern w:val="22"/>
          <w:lang w:val="es-ES"/>
        </w:rPr>
        <w:t xml:space="preserve"> específicamente las Partes exportadoras e importadoras de OVM</w:t>
      </w:r>
      <w:r w:rsidR="00775B5A" w:rsidRPr="009443E3">
        <w:rPr>
          <w:snapToGrid w:val="0"/>
          <w:kern w:val="22"/>
          <w:lang w:val="es-ES"/>
        </w:rPr>
        <w:t xml:space="preserve">. </w:t>
      </w:r>
      <w:r w:rsidR="00BC1C54" w:rsidRPr="00BC1C54">
        <w:rPr>
          <w:snapToGrid w:val="0"/>
          <w:kern w:val="22"/>
          <w:lang w:val="es-ES"/>
        </w:rPr>
        <w:t>Sin embargo, se proporciona información sobre acuerdos o arreglos bilaterales, regionales y multilatera</w:t>
      </w:r>
      <w:r w:rsidR="00BC1C54">
        <w:rPr>
          <w:snapToGrid w:val="0"/>
          <w:kern w:val="22"/>
          <w:lang w:val="es-ES"/>
        </w:rPr>
        <w:t xml:space="preserve">les </w:t>
      </w:r>
      <w:r w:rsidR="009F14C9">
        <w:rPr>
          <w:snapToGrid w:val="0"/>
          <w:kern w:val="22"/>
          <w:lang w:val="es-ES"/>
        </w:rPr>
        <w:t>relativos a</w:t>
      </w:r>
      <w:r w:rsidR="00BC1C54">
        <w:rPr>
          <w:snapToGrid w:val="0"/>
          <w:kern w:val="22"/>
          <w:lang w:val="es-ES"/>
        </w:rPr>
        <w:t xml:space="preserve"> la seguridad de la biotecnología</w:t>
      </w:r>
      <w:r w:rsidR="00775B5A" w:rsidRPr="00BC1C54">
        <w:rPr>
          <w:snapToGrid w:val="0"/>
          <w:kern w:val="22"/>
          <w:lang w:val="es-ES"/>
        </w:rPr>
        <w:t xml:space="preserve">. </w:t>
      </w:r>
      <w:r w:rsidR="009F14C9" w:rsidRPr="009F14C9">
        <w:rPr>
          <w:snapToGrid w:val="0"/>
          <w:kern w:val="22"/>
          <w:lang w:val="es-ES"/>
        </w:rPr>
        <w:t>Un</w:t>
      </w:r>
      <w:r w:rsidR="00775B5A" w:rsidRPr="009F14C9">
        <w:rPr>
          <w:snapToGrid w:val="0"/>
          <w:kern w:val="22"/>
          <w:lang w:val="es-ES"/>
        </w:rPr>
        <w:t xml:space="preserve"> total </w:t>
      </w:r>
      <w:r w:rsidR="009F14C9" w:rsidRPr="009F14C9">
        <w:rPr>
          <w:snapToGrid w:val="0"/>
          <w:kern w:val="22"/>
          <w:lang w:val="es-ES"/>
        </w:rPr>
        <w:t>del</w:t>
      </w:r>
      <w:r w:rsidR="00775B5A" w:rsidRPr="009F14C9">
        <w:rPr>
          <w:snapToGrid w:val="0"/>
          <w:kern w:val="22"/>
          <w:lang w:val="es-ES"/>
        </w:rPr>
        <w:t xml:space="preserve"> 27</w:t>
      </w:r>
      <w:r w:rsidR="009F14C9" w:rsidRPr="009F14C9">
        <w:rPr>
          <w:snapToGrid w:val="0"/>
          <w:kern w:val="22"/>
          <w:lang w:val="es-ES"/>
        </w:rPr>
        <w:t xml:space="preserve"> </w:t>
      </w:r>
      <w:r w:rsidR="00775B5A" w:rsidRPr="009F14C9">
        <w:rPr>
          <w:snapToGrid w:val="0"/>
          <w:kern w:val="22"/>
          <w:lang w:val="es-ES"/>
        </w:rPr>
        <w:t xml:space="preserve">% </w:t>
      </w:r>
      <w:r w:rsidR="009F14C9" w:rsidRPr="009F14C9">
        <w:rPr>
          <w:snapToGrid w:val="0"/>
          <w:kern w:val="22"/>
          <w:lang w:val="es-ES"/>
        </w:rPr>
        <w:t xml:space="preserve">de las </w:t>
      </w:r>
      <w:r w:rsidR="00775B5A" w:rsidRPr="009F14C9">
        <w:rPr>
          <w:snapToGrid w:val="0"/>
          <w:kern w:val="22"/>
          <w:lang w:val="es-ES"/>
        </w:rPr>
        <w:t xml:space="preserve">Partes (20 Partes) </w:t>
      </w:r>
      <w:r w:rsidR="009F14C9" w:rsidRPr="009F14C9">
        <w:rPr>
          <w:snapToGrid w:val="0"/>
          <w:kern w:val="22"/>
          <w:lang w:val="es-ES"/>
        </w:rPr>
        <w:t>comunic</w:t>
      </w:r>
      <w:r w:rsidR="00A86571">
        <w:rPr>
          <w:snapToGrid w:val="0"/>
          <w:kern w:val="22"/>
          <w:lang w:val="es-ES"/>
        </w:rPr>
        <w:t>ó</w:t>
      </w:r>
      <w:r w:rsidR="009F14C9" w:rsidRPr="009F14C9">
        <w:rPr>
          <w:snapToGrid w:val="0"/>
          <w:kern w:val="22"/>
          <w:lang w:val="es-ES"/>
        </w:rPr>
        <w:t xml:space="preserve"> que había </w:t>
      </w:r>
      <w:r w:rsidR="00A86571">
        <w:rPr>
          <w:snapToGrid w:val="0"/>
          <w:kern w:val="22"/>
          <w:lang w:val="es-ES"/>
        </w:rPr>
        <w:t>firmado</w:t>
      </w:r>
      <w:r w:rsidR="009F14C9" w:rsidRPr="009F14C9">
        <w:rPr>
          <w:snapToGrid w:val="0"/>
          <w:kern w:val="22"/>
          <w:lang w:val="es-ES"/>
        </w:rPr>
        <w:t xml:space="preserve"> uno o más de esos acuerdos o arreglos, lo que supone un aumento del </w:t>
      </w:r>
      <w:r w:rsidR="00775B5A" w:rsidRPr="009F14C9">
        <w:rPr>
          <w:snapToGrid w:val="0"/>
          <w:kern w:val="22"/>
          <w:lang w:val="es-ES"/>
        </w:rPr>
        <w:t>6</w:t>
      </w:r>
      <w:r w:rsidR="009F14C9" w:rsidRPr="009F14C9">
        <w:rPr>
          <w:snapToGrid w:val="0"/>
          <w:kern w:val="22"/>
          <w:lang w:val="es-ES"/>
        </w:rPr>
        <w:t xml:space="preserve"> </w:t>
      </w:r>
      <w:r w:rsidR="00775B5A" w:rsidRPr="009F14C9">
        <w:rPr>
          <w:snapToGrid w:val="0"/>
          <w:kern w:val="22"/>
          <w:lang w:val="es-ES"/>
        </w:rPr>
        <w:t xml:space="preserve">% </w:t>
      </w:r>
      <w:r w:rsidR="009F14C9">
        <w:rPr>
          <w:snapToGrid w:val="0"/>
          <w:kern w:val="22"/>
          <w:lang w:val="es-ES"/>
        </w:rPr>
        <w:t>con respecto a los datos básicos de referencia</w:t>
      </w:r>
      <w:r w:rsidR="00775B5A" w:rsidRPr="009F14C9">
        <w:rPr>
          <w:snapToGrid w:val="0"/>
          <w:kern w:val="22"/>
          <w:lang w:val="es-ES"/>
        </w:rPr>
        <w:t xml:space="preserve">. </w:t>
      </w:r>
      <w:r w:rsidR="009F14C9">
        <w:rPr>
          <w:snapToGrid w:val="0"/>
          <w:kern w:val="22"/>
          <w:lang w:val="es-ES"/>
        </w:rPr>
        <w:t xml:space="preserve">Los cambios regionales </w:t>
      </w:r>
      <w:r w:rsidR="00693475">
        <w:rPr>
          <w:snapToGrid w:val="0"/>
          <w:kern w:val="22"/>
          <w:lang w:val="es-ES"/>
        </w:rPr>
        <w:t xml:space="preserve">registrados </w:t>
      </w:r>
      <w:r w:rsidR="009F14C9">
        <w:rPr>
          <w:snapToGrid w:val="0"/>
          <w:kern w:val="22"/>
          <w:lang w:val="es-ES"/>
        </w:rPr>
        <w:t>desde la base de referencia son los siguientes</w:t>
      </w:r>
      <w:r w:rsidR="00775B5A" w:rsidRPr="009F14C9">
        <w:rPr>
          <w:snapToGrid w:val="0"/>
          <w:kern w:val="22"/>
          <w:lang w:val="es-ES"/>
        </w:rPr>
        <w:t>: Asia</w:t>
      </w:r>
      <w:r w:rsidR="0087255D">
        <w:rPr>
          <w:snapToGrid w:val="0"/>
          <w:kern w:val="22"/>
          <w:lang w:val="es-ES"/>
        </w:rPr>
        <w:t xml:space="preserve"> y el </w:t>
      </w:r>
      <w:r w:rsidR="00775B5A" w:rsidRPr="009F14C9">
        <w:rPr>
          <w:snapToGrid w:val="0"/>
          <w:kern w:val="22"/>
          <w:lang w:val="es-ES"/>
        </w:rPr>
        <w:t>Pac</w:t>
      </w:r>
      <w:r w:rsidR="009F14C9" w:rsidRPr="009F14C9">
        <w:rPr>
          <w:snapToGrid w:val="0"/>
          <w:kern w:val="22"/>
          <w:lang w:val="es-ES"/>
        </w:rPr>
        <w:t>ífico</w:t>
      </w:r>
      <w:r w:rsidR="00775B5A" w:rsidRPr="009F14C9">
        <w:rPr>
          <w:snapToGrid w:val="0"/>
          <w:kern w:val="22"/>
          <w:lang w:val="es-ES"/>
        </w:rPr>
        <w:t xml:space="preserve"> +</w:t>
      </w:r>
      <w:r w:rsidR="009F14C9" w:rsidRPr="009F14C9">
        <w:rPr>
          <w:snapToGrid w:val="0"/>
          <w:kern w:val="22"/>
          <w:lang w:val="es-ES"/>
        </w:rPr>
        <w:t xml:space="preserve"> </w:t>
      </w:r>
      <w:r w:rsidR="00775B5A" w:rsidRPr="009F14C9">
        <w:rPr>
          <w:snapToGrid w:val="0"/>
          <w:kern w:val="22"/>
          <w:lang w:val="es-ES"/>
        </w:rPr>
        <w:t>33</w:t>
      </w:r>
      <w:r w:rsidR="009F14C9">
        <w:rPr>
          <w:snapToGrid w:val="0"/>
          <w:kern w:val="22"/>
          <w:lang w:val="es-ES"/>
        </w:rPr>
        <w:t xml:space="preserve"> </w:t>
      </w:r>
      <w:r w:rsidR="00775B5A" w:rsidRPr="009F14C9">
        <w:rPr>
          <w:snapToGrid w:val="0"/>
          <w:kern w:val="22"/>
          <w:lang w:val="es-ES"/>
        </w:rPr>
        <w:t>%</w:t>
      </w:r>
      <w:r w:rsidR="00A86571">
        <w:rPr>
          <w:snapToGrid w:val="0"/>
          <w:kern w:val="22"/>
          <w:lang w:val="es-ES"/>
        </w:rPr>
        <w:t>,</w:t>
      </w:r>
      <w:r w:rsidR="00775B5A" w:rsidRPr="009F14C9">
        <w:rPr>
          <w:snapToGrid w:val="0"/>
          <w:kern w:val="22"/>
          <w:lang w:val="es-ES"/>
        </w:rPr>
        <w:t xml:space="preserve"> </w:t>
      </w:r>
      <w:r w:rsidR="00D74010">
        <w:rPr>
          <w:snapToGrid w:val="0"/>
          <w:kern w:val="22"/>
          <w:lang w:val="es-ES"/>
        </w:rPr>
        <w:t>grupo de países de América Latina y el Caribe</w:t>
      </w:r>
      <w:r w:rsidR="00775B5A" w:rsidRPr="009F14C9">
        <w:rPr>
          <w:snapToGrid w:val="0"/>
          <w:kern w:val="22"/>
          <w:lang w:val="es-ES"/>
        </w:rPr>
        <w:t xml:space="preserve"> +</w:t>
      </w:r>
      <w:r w:rsidR="009F14C9">
        <w:rPr>
          <w:snapToGrid w:val="0"/>
          <w:kern w:val="22"/>
          <w:lang w:val="es-ES"/>
        </w:rPr>
        <w:t xml:space="preserve"> </w:t>
      </w:r>
      <w:r w:rsidR="00775B5A" w:rsidRPr="009F14C9">
        <w:rPr>
          <w:snapToGrid w:val="0"/>
          <w:kern w:val="22"/>
          <w:lang w:val="es-ES"/>
        </w:rPr>
        <w:t>16</w:t>
      </w:r>
      <w:r w:rsidR="009F14C9">
        <w:rPr>
          <w:snapToGrid w:val="0"/>
          <w:kern w:val="22"/>
          <w:lang w:val="es-ES"/>
        </w:rPr>
        <w:t xml:space="preserve"> </w:t>
      </w:r>
      <w:r w:rsidR="00775B5A" w:rsidRPr="009F14C9">
        <w:rPr>
          <w:snapToGrid w:val="0"/>
          <w:kern w:val="22"/>
          <w:lang w:val="es-ES"/>
        </w:rPr>
        <w:t>%</w:t>
      </w:r>
      <w:r w:rsidR="00A86571">
        <w:rPr>
          <w:snapToGrid w:val="0"/>
          <w:kern w:val="22"/>
          <w:lang w:val="es-ES"/>
        </w:rPr>
        <w:t>,</w:t>
      </w:r>
      <w:r w:rsidR="00775B5A" w:rsidRPr="009F14C9">
        <w:rPr>
          <w:snapToGrid w:val="0"/>
          <w:kern w:val="22"/>
          <w:lang w:val="es-ES"/>
        </w:rPr>
        <w:t xml:space="preserve"> </w:t>
      </w:r>
      <w:r w:rsidR="009F14C9">
        <w:rPr>
          <w:snapToGrid w:val="0"/>
          <w:kern w:val="22"/>
          <w:lang w:val="es-ES"/>
        </w:rPr>
        <w:t>Á</w:t>
      </w:r>
      <w:r w:rsidR="00775B5A" w:rsidRPr="009F14C9">
        <w:rPr>
          <w:snapToGrid w:val="0"/>
          <w:kern w:val="22"/>
          <w:lang w:val="es-ES"/>
        </w:rPr>
        <w:t>frica +</w:t>
      </w:r>
      <w:r w:rsidR="009F14C9">
        <w:rPr>
          <w:snapToGrid w:val="0"/>
          <w:kern w:val="22"/>
          <w:lang w:val="es-ES"/>
        </w:rPr>
        <w:t xml:space="preserve"> </w:t>
      </w:r>
      <w:r w:rsidR="00775B5A" w:rsidRPr="009F14C9">
        <w:rPr>
          <w:snapToGrid w:val="0"/>
          <w:kern w:val="22"/>
          <w:lang w:val="es-ES"/>
        </w:rPr>
        <w:t>13</w:t>
      </w:r>
      <w:r w:rsidR="009F14C9">
        <w:rPr>
          <w:snapToGrid w:val="0"/>
          <w:kern w:val="22"/>
          <w:lang w:val="es-ES"/>
        </w:rPr>
        <w:t xml:space="preserve"> </w:t>
      </w:r>
      <w:r w:rsidR="00775B5A" w:rsidRPr="009F14C9">
        <w:rPr>
          <w:snapToGrid w:val="0"/>
          <w:kern w:val="22"/>
          <w:lang w:val="es-ES"/>
        </w:rPr>
        <w:t>%</w:t>
      </w:r>
      <w:r w:rsidR="00A86571">
        <w:rPr>
          <w:snapToGrid w:val="0"/>
          <w:kern w:val="22"/>
          <w:lang w:val="es-ES"/>
        </w:rPr>
        <w:t>,</w:t>
      </w:r>
      <w:r w:rsidR="00775B5A" w:rsidRPr="009F14C9">
        <w:rPr>
          <w:snapToGrid w:val="0"/>
          <w:kern w:val="22"/>
          <w:lang w:val="es-ES"/>
        </w:rPr>
        <w:t xml:space="preserve"> </w:t>
      </w:r>
      <w:r w:rsidR="00EA78DC">
        <w:rPr>
          <w:snapToGrid w:val="0"/>
          <w:kern w:val="22"/>
          <w:lang w:val="es-ES"/>
        </w:rPr>
        <w:t>grupo de Estados de Europa Central y Oriental</w:t>
      </w:r>
      <w:r w:rsidR="00EA78DC" w:rsidRPr="00EC2231">
        <w:rPr>
          <w:snapToGrid w:val="0"/>
          <w:kern w:val="22"/>
          <w:lang w:val="es-ES"/>
        </w:rPr>
        <w:t xml:space="preserve"> </w:t>
      </w:r>
      <w:r w:rsidR="009F14C9">
        <w:rPr>
          <w:snapToGrid w:val="0"/>
          <w:kern w:val="22"/>
          <w:lang w:val="es-ES"/>
        </w:rPr>
        <w:t xml:space="preserve">– </w:t>
      </w:r>
      <w:r w:rsidR="00775B5A" w:rsidRPr="009F14C9">
        <w:rPr>
          <w:snapToGrid w:val="0"/>
          <w:kern w:val="22"/>
          <w:lang w:val="es-ES"/>
        </w:rPr>
        <w:t>2</w:t>
      </w:r>
      <w:r w:rsidR="009F14C9">
        <w:rPr>
          <w:snapToGrid w:val="0"/>
          <w:kern w:val="22"/>
          <w:lang w:val="es-ES"/>
        </w:rPr>
        <w:t xml:space="preserve"> </w:t>
      </w:r>
      <w:r w:rsidR="00775B5A" w:rsidRPr="009F14C9">
        <w:rPr>
          <w:snapToGrid w:val="0"/>
          <w:kern w:val="22"/>
          <w:lang w:val="es-ES"/>
        </w:rPr>
        <w:t>%</w:t>
      </w:r>
      <w:r w:rsidR="00A86571">
        <w:rPr>
          <w:snapToGrid w:val="0"/>
          <w:kern w:val="22"/>
          <w:lang w:val="es-ES"/>
        </w:rPr>
        <w:t>,</w:t>
      </w:r>
      <w:r w:rsidR="00775B5A" w:rsidRPr="009F14C9">
        <w:rPr>
          <w:snapToGrid w:val="0"/>
          <w:kern w:val="22"/>
          <w:lang w:val="es-ES"/>
        </w:rPr>
        <w:t xml:space="preserve"> </w:t>
      </w:r>
      <w:r w:rsidR="009F14C9">
        <w:rPr>
          <w:snapToGrid w:val="0"/>
          <w:kern w:val="22"/>
          <w:lang w:val="es-ES"/>
        </w:rPr>
        <w:t xml:space="preserve">grupo de Estados de Europa Occidental y otros – </w:t>
      </w:r>
      <w:r w:rsidR="00775B5A" w:rsidRPr="009F14C9">
        <w:rPr>
          <w:snapToGrid w:val="0"/>
          <w:kern w:val="22"/>
          <w:lang w:val="es-ES"/>
        </w:rPr>
        <w:t>21</w:t>
      </w:r>
      <w:r w:rsidR="009F14C9">
        <w:rPr>
          <w:snapToGrid w:val="0"/>
          <w:kern w:val="22"/>
          <w:lang w:val="es-ES"/>
        </w:rPr>
        <w:t xml:space="preserve"> </w:t>
      </w:r>
      <w:r w:rsidR="00775B5A" w:rsidRPr="009F14C9">
        <w:rPr>
          <w:snapToGrid w:val="0"/>
          <w:kern w:val="22"/>
          <w:lang w:val="es-ES"/>
        </w:rPr>
        <w:t xml:space="preserve">%. </w:t>
      </w:r>
      <w:r w:rsidR="009F14C9" w:rsidRPr="00693475">
        <w:rPr>
          <w:snapToGrid w:val="0"/>
          <w:kern w:val="22"/>
          <w:lang w:val="es-ES"/>
        </w:rPr>
        <w:t xml:space="preserve">De esas Partes, </w:t>
      </w:r>
      <w:r w:rsidR="00775B5A" w:rsidRPr="00693475">
        <w:rPr>
          <w:snapToGrid w:val="0"/>
          <w:kern w:val="22"/>
          <w:lang w:val="es-ES"/>
        </w:rPr>
        <w:t xml:space="preserve">18 </w:t>
      </w:r>
      <w:r w:rsidR="009F14C9" w:rsidRPr="00693475">
        <w:rPr>
          <w:snapToGrid w:val="0"/>
          <w:kern w:val="22"/>
          <w:lang w:val="es-ES"/>
        </w:rPr>
        <w:t xml:space="preserve">informaron de que </w:t>
      </w:r>
      <w:r w:rsidR="00693475" w:rsidRPr="00693475">
        <w:rPr>
          <w:snapToGrid w:val="0"/>
          <w:kern w:val="22"/>
          <w:lang w:val="es-ES"/>
        </w:rPr>
        <w:t xml:space="preserve">habían </w:t>
      </w:r>
      <w:r w:rsidR="00A86571">
        <w:rPr>
          <w:snapToGrid w:val="0"/>
          <w:kern w:val="22"/>
          <w:lang w:val="es-ES"/>
        </w:rPr>
        <w:t>firmado</w:t>
      </w:r>
      <w:r w:rsidR="00693475" w:rsidRPr="00693475">
        <w:rPr>
          <w:snapToGrid w:val="0"/>
          <w:kern w:val="22"/>
          <w:lang w:val="es-ES"/>
        </w:rPr>
        <w:t xml:space="preserve"> entre </w:t>
      </w:r>
      <w:r w:rsidR="00775B5A" w:rsidRPr="00693475">
        <w:rPr>
          <w:snapToGrid w:val="0"/>
          <w:kern w:val="22"/>
          <w:lang w:val="es-ES"/>
        </w:rPr>
        <w:t xml:space="preserve">1 </w:t>
      </w:r>
      <w:r w:rsidR="00693475" w:rsidRPr="00693475">
        <w:rPr>
          <w:snapToGrid w:val="0"/>
          <w:kern w:val="22"/>
          <w:lang w:val="es-ES"/>
        </w:rPr>
        <w:t>y</w:t>
      </w:r>
      <w:r w:rsidR="00775B5A" w:rsidRPr="00693475">
        <w:rPr>
          <w:snapToGrid w:val="0"/>
          <w:kern w:val="22"/>
          <w:lang w:val="es-ES"/>
        </w:rPr>
        <w:t xml:space="preserve"> 4 a</w:t>
      </w:r>
      <w:r w:rsidR="00693475" w:rsidRPr="00693475">
        <w:rPr>
          <w:snapToGrid w:val="0"/>
          <w:kern w:val="22"/>
          <w:lang w:val="es-ES"/>
        </w:rPr>
        <w:t>cuerdos o arreglos</w:t>
      </w:r>
      <w:r w:rsidR="00A86571">
        <w:rPr>
          <w:snapToGrid w:val="0"/>
          <w:kern w:val="22"/>
          <w:lang w:val="es-ES"/>
        </w:rPr>
        <w:t>,</w:t>
      </w:r>
      <w:r w:rsidR="00775B5A" w:rsidRPr="00693475">
        <w:rPr>
          <w:snapToGrid w:val="0"/>
          <w:kern w:val="22"/>
          <w:lang w:val="es-ES"/>
        </w:rPr>
        <w:t xml:space="preserve"> 1 Part</w:t>
      </w:r>
      <w:r w:rsidR="00693475">
        <w:rPr>
          <w:snapToGrid w:val="0"/>
          <w:kern w:val="22"/>
          <w:lang w:val="es-ES"/>
        </w:rPr>
        <w:t>e comunicó que había</w:t>
      </w:r>
      <w:r w:rsidR="00A86571">
        <w:rPr>
          <w:snapToGrid w:val="0"/>
          <w:kern w:val="22"/>
          <w:lang w:val="es-ES"/>
        </w:rPr>
        <w:t xml:space="preserve"> firmado</w:t>
      </w:r>
      <w:r w:rsidR="00693475">
        <w:rPr>
          <w:snapToGrid w:val="0"/>
          <w:kern w:val="22"/>
          <w:lang w:val="es-ES"/>
        </w:rPr>
        <w:t xml:space="preserve"> entre </w:t>
      </w:r>
      <w:r w:rsidR="00775B5A" w:rsidRPr="00693475">
        <w:rPr>
          <w:snapToGrid w:val="0"/>
          <w:kern w:val="22"/>
          <w:lang w:val="es-ES"/>
        </w:rPr>
        <w:t xml:space="preserve">5 </w:t>
      </w:r>
      <w:r w:rsidR="00693475">
        <w:rPr>
          <w:snapToGrid w:val="0"/>
          <w:kern w:val="22"/>
          <w:lang w:val="es-ES"/>
        </w:rPr>
        <w:t>y</w:t>
      </w:r>
      <w:r w:rsidR="00775B5A" w:rsidRPr="00693475">
        <w:rPr>
          <w:snapToGrid w:val="0"/>
          <w:kern w:val="22"/>
          <w:lang w:val="es-ES"/>
        </w:rPr>
        <w:t xml:space="preserve"> 9, </w:t>
      </w:r>
      <w:r w:rsidR="00693475">
        <w:rPr>
          <w:snapToGrid w:val="0"/>
          <w:kern w:val="22"/>
          <w:lang w:val="es-ES"/>
        </w:rPr>
        <w:t xml:space="preserve">mientras que </w:t>
      </w:r>
      <w:r w:rsidR="00775B5A" w:rsidRPr="00693475">
        <w:rPr>
          <w:snapToGrid w:val="0"/>
          <w:kern w:val="22"/>
          <w:lang w:val="es-ES"/>
        </w:rPr>
        <w:t>1 Part</w:t>
      </w:r>
      <w:r w:rsidR="00693475">
        <w:rPr>
          <w:snapToGrid w:val="0"/>
          <w:kern w:val="22"/>
          <w:lang w:val="es-ES"/>
        </w:rPr>
        <w:t>e indicó que había</w:t>
      </w:r>
      <w:r w:rsidR="00A86571">
        <w:rPr>
          <w:snapToGrid w:val="0"/>
          <w:kern w:val="22"/>
          <w:lang w:val="es-ES"/>
        </w:rPr>
        <w:t xml:space="preserve"> firmado</w:t>
      </w:r>
      <w:r w:rsidR="00693475" w:rsidRPr="00693475">
        <w:rPr>
          <w:snapToGrid w:val="0"/>
          <w:color w:val="FF0000"/>
          <w:kern w:val="22"/>
          <w:lang w:val="es-ES"/>
        </w:rPr>
        <w:t xml:space="preserve"> </w:t>
      </w:r>
      <w:r w:rsidR="00693475">
        <w:rPr>
          <w:snapToGrid w:val="0"/>
          <w:kern w:val="22"/>
          <w:lang w:val="es-ES"/>
        </w:rPr>
        <w:t>diez o más acuerdos o arreglos</w:t>
      </w:r>
      <w:r w:rsidR="00775B5A" w:rsidRPr="00693475">
        <w:rPr>
          <w:snapToGrid w:val="0"/>
          <w:kern w:val="22"/>
          <w:lang w:val="es-ES"/>
        </w:rPr>
        <w:t>.</w:t>
      </w:r>
    </w:p>
    <w:p w:rsidR="00775B5A" w:rsidRPr="00A654E3" w:rsidRDefault="00A654E3" w:rsidP="001D4EEE">
      <w:pPr>
        <w:numPr>
          <w:ilvl w:val="0"/>
          <w:numId w:val="3"/>
        </w:numPr>
        <w:suppressLineNumbers/>
        <w:tabs>
          <w:tab w:val="clear" w:pos="2070"/>
          <w:tab w:val="num" w:pos="1530"/>
        </w:tabs>
        <w:suppressAutoHyphens/>
        <w:spacing w:before="120" w:after="120"/>
        <w:ind w:left="1531" w:hanging="629"/>
        <w:jc w:val="left"/>
        <w:outlineLvl w:val="1"/>
        <w:rPr>
          <w:b/>
          <w:bCs/>
          <w:snapToGrid w:val="0"/>
          <w:kern w:val="22"/>
          <w:lang w:val="es-ES"/>
        </w:rPr>
      </w:pPr>
      <w:bookmarkStart w:id="4" w:name="_Hlk30686166"/>
      <w:r w:rsidRPr="00A654E3">
        <w:rPr>
          <w:b/>
          <w:bCs/>
          <w:snapToGrid w:val="0"/>
          <w:kern w:val="22"/>
          <w:lang w:val="es-ES"/>
        </w:rPr>
        <w:t>Evaluación de</w:t>
      </w:r>
      <w:r w:rsidR="00A86571">
        <w:rPr>
          <w:b/>
          <w:bCs/>
          <w:snapToGrid w:val="0"/>
          <w:kern w:val="22"/>
          <w:lang w:val="es-ES"/>
        </w:rPr>
        <w:t>l</w:t>
      </w:r>
      <w:r w:rsidRPr="00A654E3">
        <w:rPr>
          <w:b/>
          <w:bCs/>
          <w:snapToGrid w:val="0"/>
          <w:kern w:val="22"/>
          <w:lang w:val="es-ES"/>
        </w:rPr>
        <w:t xml:space="preserve"> riesgo y gestión de</w:t>
      </w:r>
      <w:r w:rsidR="00A86571">
        <w:rPr>
          <w:b/>
          <w:bCs/>
          <w:snapToGrid w:val="0"/>
          <w:kern w:val="22"/>
          <w:lang w:val="es-ES"/>
        </w:rPr>
        <w:t>l</w:t>
      </w:r>
      <w:r w:rsidRPr="00A654E3">
        <w:rPr>
          <w:b/>
          <w:bCs/>
          <w:snapToGrid w:val="0"/>
          <w:kern w:val="22"/>
          <w:lang w:val="es-ES"/>
        </w:rPr>
        <w:t xml:space="preserve"> riesgo</w:t>
      </w:r>
      <w:r w:rsidR="00775B5A" w:rsidRPr="00A654E3">
        <w:rPr>
          <w:b/>
          <w:bCs/>
          <w:snapToGrid w:val="0"/>
          <w:kern w:val="22"/>
          <w:lang w:val="es-ES"/>
        </w:rPr>
        <w:t xml:space="preserve"> (o</w:t>
      </w:r>
      <w:r w:rsidRPr="00A654E3">
        <w:rPr>
          <w:b/>
          <w:bCs/>
          <w:snapToGrid w:val="0"/>
          <w:kern w:val="22"/>
          <w:lang w:val="es-ES"/>
        </w:rPr>
        <w:t>bjetivos operacionales</w:t>
      </w:r>
      <w:r w:rsidR="00775B5A" w:rsidRPr="00A654E3">
        <w:rPr>
          <w:b/>
          <w:bCs/>
          <w:snapToGrid w:val="0"/>
          <w:kern w:val="22"/>
          <w:lang w:val="es-ES"/>
        </w:rPr>
        <w:t xml:space="preserve"> 1.3 </w:t>
      </w:r>
      <w:r w:rsidRPr="00A654E3">
        <w:rPr>
          <w:b/>
          <w:bCs/>
          <w:snapToGrid w:val="0"/>
          <w:kern w:val="22"/>
          <w:lang w:val="es-ES"/>
        </w:rPr>
        <w:t>y</w:t>
      </w:r>
      <w:r w:rsidR="00775B5A" w:rsidRPr="00A654E3">
        <w:rPr>
          <w:b/>
          <w:bCs/>
          <w:snapToGrid w:val="0"/>
          <w:kern w:val="22"/>
          <w:lang w:val="es-ES"/>
        </w:rPr>
        <w:t xml:space="preserve"> 2.2)</w:t>
      </w:r>
    </w:p>
    <w:p w:rsidR="00775B5A" w:rsidRPr="00A654E3" w:rsidRDefault="00775B5A">
      <w:pPr>
        <w:suppressLineNumbers/>
        <w:suppressAutoHyphens/>
        <w:spacing w:before="120" w:after="120"/>
        <w:textAlignment w:val="baseline"/>
        <w:rPr>
          <w:b/>
          <w:bCs/>
          <w:snapToGrid w:val="0"/>
          <w:kern w:val="22"/>
          <w:lang w:val="es-ES"/>
        </w:rPr>
      </w:pPr>
      <w:r w:rsidRPr="00A654E3">
        <w:rPr>
          <w:b/>
          <w:bCs/>
          <w:snapToGrid w:val="0"/>
          <w:kern w:val="22"/>
          <w:lang w:val="es-ES"/>
        </w:rPr>
        <w:t>O</w:t>
      </w:r>
      <w:r w:rsidR="00A654E3" w:rsidRPr="00A654E3">
        <w:rPr>
          <w:b/>
          <w:bCs/>
          <w:snapToGrid w:val="0"/>
          <w:kern w:val="22"/>
          <w:lang w:val="es-ES"/>
        </w:rPr>
        <w:t>bjetivo operacional</w:t>
      </w:r>
      <w:r w:rsidRPr="00A654E3">
        <w:rPr>
          <w:b/>
          <w:bCs/>
          <w:snapToGrid w:val="0"/>
          <w:kern w:val="22"/>
          <w:lang w:val="es-ES"/>
        </w:rPr>
        <w:t xml:space="preserve"> 1.3: </w:t>
      </w:r>
      <w:r w:rsidR="00A654E3" w:rsidRPr="00A654E3">
        <w:rPr>
          <w:b/>
          <w:bCs/>
          <w:snapToGrid w:val="0"/>
          <w:kern w:val="22"/>
          <w:lang w:val="es-ES"/>
        </w:rPr>
        <w:t>Evaluación de</w:t>
      </w:r>
      <w:r w:rsidR="00A86571">
        <w:rPr>
          <w:b/>
          <w:bCs/>
          <w:snapToGrid w:val="0"/>
          <w:kern w:val="22"/>
          <w:lang w:val="es-ES"/>
        </w:rPr>
        <w:t xml:space="preserve">l </w:t>
      </w:r>
      <w:r w:rsidR="00A654E3" w:rsidRPr="00A654E3">
        <w:rPr>
          <w:b/>
          <w:bCs/>
          <w:snapToGrid w:val="0"/>
          <w:kern w:val="22"/>
          <w:lang w:val="es-ES"/>
        </w:rPr>
        <w:t>riesgo y gesti</w:t>
      </w:r>
      <w:r w:rsidR="00A654E3">
        <w:rPr>
          <w:b/>
          <w:bCs/>
          <w:snapToGrid w:val="0"/>
          <w:kern w:val="22"/>
          <w:lang w:val="es-ES"/>
        </w:rPr>
        <w:t>ón de</w:t>
      </w:r>
      <w:r w:rsidR="00A86571">
        <w:rPr>
          <w:b/>
          <w:bCs/>
          <w:snapToGrid w:val="0"/>
          <w:kern w:val="22"/>
          <w:lang w:val="es-ES"/>
        </w:rPr>
        <w:t>l</w:t>
      </w:r>
      <w:r w:rsidR="00A654E3">
        <w:rPr>
          <w:b/>
          <w:bCs/>
          <w:snapToGrid w:val="0"/>
          <w:kern w:val="22"/>
          <w:lang w:val="es-ES"/>
        </w:rPr>
        <w:t xml:space="preserve"> riesgo</w:t>
      </w:r>
    </w:p>
    <w:bookmarkEnd w:id="4"/>
    <w:p w:rsidR="00775B5A" w:rsidRPr="00E320C7" w:rsidRDefault="00E320C7"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320C7">
        <w:rPr>
          <w:snapToGrid w:val="0"/>
          <w:kern w:val="22"/>
          <w:lang w:val="es-ES"/>
        </w:rPr>
        <w:t>El objetivo operacional 1</w:t>
      </w:r>
      <w:r w:rsidR="00775B5A" w:rsidRPr="00E320C7">
        <w:rPr>
          <w:snapToGrid w:val="0"/>
          <w:kern w:val="22"/>
          <w:lang w:val="es-ES"/>
        </w:rPr>
        <w:t xml:space="preserve">.3 </w:t>
      </w:r>
      <w:r w:rsidRPr="00E320C7">
        <w:rPr>
          <w:snapToGrid w:val="0"/>
          <w:kern w:val="22"/>
          <w:lang w:val="es-ES"/>
        </w:rPr>
        <w:t>se centra en desarrollar más a fondo y apoyar la aplicación de instrumentos científicos sobre enfoques comunes de evaluaci</w:t>
      </w:r>
      <w:r>
        <w:rPr>
          <w:snapToGrid w:val="0"/>
          <w:kern w:val="22"/>
          <w:lang w:val="es-ES"/>
        </w:rPr>
        <w:t>ón del riesgo y gestión del riesgo</w:t>
      </w:r>
      <w:r w:rsidR="00775B5A" w:rsidRPr="00E320C7">
        <w:rPr>
          <w:snapToGrid w:val="0"/>
          <w:kern w:val="22"/>
          <w:lang w:val="es-ES"/>
        </w:rPr>
        <w:t xml:space="preserve">. </w:t>
      </w:r>
      <w:r>
        <w:rPr>
          <w:snapToGrid w:val="0"/>
          <w:kern w:val="22"/>
          <w:lang w:val="es-ES"/>
        </w:rPr>
        <w:t>Se establecieron cuatro indicadores para medir los avances hacia el logro de este objetivo operacional</w:t>
      </w:r>
      <w:r w:rsidR="00775B5A" w:rsidRPr="00E320C7">
        <w:rPr>
          <w:snapToGrid w:val="0"/>
          <w:kern w:val="22"/>
          <w:lang w:val="es-ES"/>
        </w:rPr>
        <w:t xml:space="preserve">. </w:t>
      </w:r>
    </w:p>
    <w:p w:rsidR="00775B5A" w:rsidRPr="00617D35" w:rsidRDefault="00A7604A"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A7604A">
        <w:rPr>
          <w:snapToGrid w:val="0"/>
          <w:kern w:val="22"/>
          <w:lang w:val="es-ES"/>
        </w:rPr>
        <w:t xml:space="preserve">En relación con el </w:t>
      </w:r>
      <w:r w:rsidRPr="00A7604A">
        <w:rPr>
          <w:b/>
          <w:bCs/>
          <w:snapToGrid w:val="0"/>
          <w:kern w:val="22"/>
          <w:lang w:val="es-ES"/>
        </w:rPr>
        <w:t>in</w:t>
      </w:r>
      <w:r w:rsidR="00775B5A" w:rsidRPr="00A7604A">
        <w:rPr>
          <w:b/>
          <w:bCs/>
          <w:snapToGrid w:val="0"/>
          <w:kern w:val="22"/>
          <w:lang w:val="es-ES"/>
        </w:rPr>
        <w:t>dica</w:t>
      </w:r>
      <w:r w:rsidRPr="00A7604A">
        <w:rPr>
          <w:b/>
          <w:bCs/>
          <w:snapToGrid w:val="0"/>
          <w:kern w:val="22"/>
          <w:lang w:val="es-ES"/>
        </w:rPr>
        <w:t>d</w:t>
      </w:r>
      <w:r w:rsidR="00775B5A" w:rsidRPr="00A7604A">
        <w:rPr>
          <w:b/>
          <w:bCs/>
          <w:snapToGrid w:val="0"/>
          <w:kern w:val="22"/>
          <w:lang w:val="es-ES"/>
        </w:rPr>
        <w:t>or 1.3.1(a)</w:t>
      </w:r>
      <w:r w:rsidR="00775B5A" w:rsidRPr="00A7604A">
        <w:rPr>
          <w:snapToGrid w:val="0"/>
          <w:kern w:val="22"/>
          <w:lang w:val="es-ES"/>
        </w:rPr>
        <w:t xml:space="preserve"> (p</w:t>
      </w:r>
      <w:r w:rsidRPr="00A7604A">
        <w:rPr>
          <w:snapToGrid w:val="0"/>
          <w:kern w:val="22"/>
          <w:lang w:val="es-ES"/>
        </w:rPr>
        <w:t xml:space="preserve">orcentaje de las </w:t>
      </w:r>
      <w:r w:rsidR="00775B5A" w:rsidRPr="00A7604A">
        <w:rPr>
          <w:snapToGrid w:val="0"/>
          <w:kern w:val="22"/>
          <w:lang w:val="es-ES"/>
        </w:rPr>
        <w:t xml:space="preserve">Partes </w:t>
      </w:r>
      <w:r w:rsidRPr="00A7604A">
        <w:rPr>
          <w:snapToGrid w:val="0"/>
          <w:kern w:val="22"/>
          <w:lang w:val="es-ES"/>
        </w:rPr>
        <w:t xml:space="preserve">que adoptan y utilizan documentos de orientación </w:t>
      </w:r>
      <w:r w:rsidR="00617D35">
        <w:rPr>
          <w:snapToGrid w:val="0"/>
          <w:kern w:val="22"/>
          <w:lang w:val="es-ES"/>
        </w:rPr>
        <w:t xml:space="preserve">con el fin de </w:t>
      </w:r>
      <w:r w:rsidRPr="00A7604A">
        <w:rPr>
          <w:snapToGrid w:val="0"/>
          <w:kern w:val="22"/>
          <w:lang w:val="es-ES"/>
        </w:rPr>
        <w:t>realiz</w:t>
      </w:r>
      <w:r w:rsidRPr="00A86571">
        <w:rPr>
          <w:snapToGrid w:val="0"/>
          <w:kern w:val="22"/>
          <w:lang w:val="es-ES"/>
        </w:rPr>
        <w:t xml:space="preserve">ar </w:t>
      </w:r>
      <w:r w:rsidR="00A86571" w:rsidRPr="00A86571">
        <w:rPr>
          <w:snapToGrid w:val="0"/>
          <w:kern w:val="22"/>
          <w:lang w:val="es-ES"/>
        </w:rPr>
        <w:t>su</w:t>
      </w:r>
      <w:r w:rsidRPr="00A86571">
        <w:rPr>
          <w:snapToGrid w:val="0"/>
          <w:kern w:val="22"/>
          <w:lang w:val="es-ES"/>
        </w:rPr>
        <w:t xml:space="preserve"> evaluación y gestión d</w:t>
      </w:r>
      <w:r w:rsidRPr="00A7604A">
        <w:rPr>
          <w:snapToGrid w:val="0"/>
          <w:kern w:val="22"/>
          <w:lang w:val="es-ES"/>
        </w:rPr>
        <w:t>e</w:t>
      </w:r>
      <w:r w:rsidR="00A86571">
        <w:rPr>
          <w:snapToGrid w:val="0"/>
          <w:kern w:val="22"/>
          <w:lang w:val="es-ES"/>
        </w:rPr>
        <w:t>l</w:t>
      </w:r>
      <w:r w:rsidRPr="00A7604A">
        <w:rPr>
          <w:snapToGrid w:val="0"/>
          <w:kern w:val="22"/>
          <w:lang w:val="es-ES"/>
        </w:rPr>
        <w:t xml:space="preserve"> riesgo</w:t>
      </w:r>
      <w:r w:rsidR="00A86571">
        <w:rPr>
          <w:snapToGrid w:val="0"/>
          <w:kern w:val="22"/>
          <w:lang w:val="es-ES"/>
        </w:rPr>
        <w:t xml:space="preserve"> propias)</w:t>
      </w:r>
      <w:r w:rsidR="00775B5A" w:rsidRPr="00A7604A">
        <w:rPr>
          <w:snapToGrid w:val="0"/>
          <w:kern w:val="22"/>
          <w:lang w:val="es-ES"/>
        </w:rPr>
        <w:t xml:space="preserve"> </w:t>
      </w:r>
      <w:r w:rsidRPr="00A7604A">
        <w:rPr>
          <w:snapToGrid w:val="0"/>
          <w:kern w:val="22"/>
          <w:lang w:val="es-ES"/>
        </w:rPr>
        <w:t xml:space="preserve">y el </w:t>
      </w:r>
      <w:r w:rsidR="00775B5A" w:rsidRPr="00A7604A">
        <w:rPr>
          <w:b/>
          <w:bCs/>
          <w:snapToGrid w:val="0"/>
          <w:kern w:val="22"/>
          <w:lang w:val="es-ES"/>
        </w:rPr>
        <w:t>indica</w:t>
      </w:r>
      <w:r w:rsidRPr="00A7604A">
        <w:rPr>
          <w:b/>
          <w:bCs/>
          <w:snapToGrid w:val="0"/>
          <w:kern w:val="22"/>
          <w:lang w:val="es-ES"/>
        </w:rPr>
        <w:t>d</w:t>
      </w:r>
      <w:r w:rsidR="00775B5A" w:rsidRPr="00A7604A">
        <w:rPr>
          <w:b/>
          <w:bCs/>
          <w:snapToGrid w:val="0"/>
          <w:kern w:val="22"/>
          <w:lang w:val="es-ES"/>
        </w:rPr>
        <w:t>or 1.3.1(b)</w:t>
      </w:r>
      <w:r w:rsidR="00775B5A" w:rsidRPr="00A7604A">
        <w:rPr>
          <w:snapToGrid w:val="0"/>
          <w:kern w:val="22"/>
          <w:lang w:val="es-ES"/>
        </w:rPr>
        <w:t xml:space="preserve"> (p</w:t>
      </w:r>
      <w:r w:rsidRPr="00A7604A">
        <w:rPr>
          <w:snapToGrid w:val="0"/>
          <w:kern w:val="22"/>
          <w:lang w:val="es-ES"/>
        </w:rPr>
        <w:t xml:space="preserve">orcentaje de las </w:t>
      </w:r>
      <w:r w:rsidR="00775B5A" w:rsidRPr="00A7604A">
        <w:rPr>
          <w:snapToGrid w:val="0"/>
          <w:kern w:val="22"/>
          <w:lang w:val="es-ES"/>
        </w:rPr>
        <w:t xml:space="preserve">Partes </w:t>
      </w:r>
      <w:r w:rsidRPr="00A7604A">
        <w:rPr>
          <w:snapToGrid w:val="0"/>
          <w:kern w:val="22"/>
          <w:lang w:val="es-ES"/>
        </w:rPr>
        <w:t>que adoptan y utilizan documentos de orientaci</w:t>
      </w:r>
      <w:r>
        <w:rPr>
          <w:snapToGrid w:val="0"/>
          <w:kern w:val="22"/>
          <w:lang w:val="es-ES"/>
        </w:rPr>
        <w:t>ón para evaluar los informes de evaluación de</w:t>
      </w:r>
      <w:r w:rsidR="007A67EE">
        <w:rPr>
          <w:snapToGrid w:val="0"/>
          <w:kern w:val="22"/>
          <w:lang w:val="es-ES"/>
        </w:rPr>
        <w:t>l</w:t>
      </w:r>
      <w:r>
        <w:rPr>
          <w:snapToGrid w:val="0"/>
          <w:kern w:val="22"/>
          <w:lang w:val="es-ES"/>
        </w:rPr>
        <w:t xml:space="preserve"> riesgo presentados por los notificantes</w:t>
      </w:r>
      <w:r w:rsidR="00775B5A" w:rsidRPr="00A7604A">
        <w:rPr>
          <w:snapToGrid w:val="0"/>
          <w:kern w:val="22"/>
          <w:lang w:val="es-ES"/>
        </w:rPr>
        <w:t xml:space="preserve">), </w:t>
      </w:r>
      <w:r>
        <w:rPr>
          <w:snapToGrid w:val="0"/>
          <w:kern w:val="22"/>
          <w:lang w:val="es-ES"/>
        </w:rPr>
        <w:t>la información disponible de los informes nacionales no permite</w:t>
      </w:r>
      <w:r w:rsidR="00A86571">
        <w:rPr>
          <w:snapToGrid w:val="0"/>
          <w:kern w:val="22"/>
          <w:lang w:val="es-ES"/>
        </w:rPr>
        <w:t xml:space="preserve"> distinguir</w:t>
      </w:r>
      <w:r>
        <w:rPr>
          <w:snapToGrid w:val="0"/>
          <w:kern w:val="22"/>
          <w:lang w:val="es-ES"/>
        </w:rPr>
        <w:t xml:space="preserve"> entre las orientaciones para </w:t>
      </w:r>
      <w:r w:rsidR="00BD6762">
        <w:rPr>
          <w:snapToGrid w:val="0"/>
          <w:kern w:val="22"/>
          <w:lang w:val="es-ES"/>
        </w:rPr>
        <w:t xml:space="preserve">realizar </w:t>
      </w:r>
      <w:r>
        <w:rPr>
          <w:snapToGrid w:val="0"/>
          <w:kern w:val="22"/>
          <w:lang w:val="es-ES"/>
        </w:rPr>
        <w:t xml:space="preserve">evaluaciones de riesgos y las orientaciones para </w:t>
      </w:r>
      <w:r w:rsidR="00BD6762">
        <w:rPr>
          <w:snapToGrid w:val="0"/>
          <w:kern w:val="22"/>
          <w:lang w:val="es-ES"/>
        </w:rPr>
        <w:t xml:space="preserve">evaluar </w:t>
      </w:r>
      <w:r>
        <w:rPr>
          <w:snapToGrid w:val="0"/>
          <w:kern w:val="22"/>
          <w:lang w:val="es-ES"/>
        </w:rPr>
        <w:t xml:space="preserve">las evaluaciones de riesgos presentadas por los </w:t>
      </w:r>
      <w:r w:rsidR="00B848BA">
        <w:rPr>
          <w:snapToGrid w:val="0"/>
          <w:kern w:val="22"/>
          <w:lang w:val="es-ES"/>
        </w:rPr>
        <w:t>notificantes</w:t>
      </w:r>
      <w:r w:rsidR="00775B5A" w:rsidRPr="00A7604A">
        <w:rPr>
          <w:snapToGrid w:val="0"/>
          <w:kern w:val="22"/>
          <w:lang w:val="es-ES"/>
        </w:rPr>
        <w:t xml:space="preserve">. </w:t>
      </w:r>
      <w:r w:rsidR="00617D35" w:rsidRPr="00617D35">
        <w:rPr>
          <w:snapToGrid w:val="0"/>
          <w:kern w:val="22"/>
          <w:lang w:val="es-ES"/>
        </w:rPr>
        <w:t>La información en los cu</w:t>
      </w:r>
      <w:r w:rsidR="00BD6762">
        <w:rPr>
          <w:snapToGrid w:val="0"/>
          <w:kern w:val="22"/>
          <w:lang w:val="es-ES"/>
        </w:rPr>
        <w:t>ar</w:t>
      </w:r>
      <w:r w:rsidR="00617D35" w:rsidRPr="00617D35">
        <w:rPr>
          <w:snapToGrid w:val="0"/>
          <w:kern w:val="22"/>
          <w:lang w:val="es-ES"/>
        </w:rPr>
        <w:t>tos informes nacionales incluye algun</w:t>
      </w:r>
      <w:r w:rsidR="00BD6762">
        <w:rPr>
          <w:snapToGrid w:val="0"/>
          <w:kern w:val="22"/>
          <w:lang w:val="es-ES"/>
        </w:rPr>
        <w:t xml:space="preserve">os datos </w:t>
      </w:r>
      <w:r w:rsidR="00617D35" w:rsidRPr="00617D35">
        <w:rPr>
          <w:snapToGrid w:val="0"/>
          <w:kern w:val="22"/>
          <w:lang w:val="es-ES"/>
        </w:rPr>
        <w:t>pertinente</w:t>
      </w:r>
      <w:r w:rsidR="00BD6762">
        <w:rPr>
          <w:snapToGrid w:val="0"/>
          <w:kern w:val="22"/>
          <w:lang w:val="es-ES"/>
        </w:rPr>
        <w:t>s</w:t>
      </w:r>
      <w:r w:rsidR="00617D35" w:rsidRPr="00617D35">
        <w:rPr>
          <w:snapToGrid w:val="0"/>
          <w:kern w:val="22"/>
          <w:lang w:val="es-ES"/>
        </w:rPr>
        <w:t xml:space="preserve"> que </w:t>
      </w:r>
      <w:r w:rsidR="00BD6762">
        <w:rPr>
          <w:snapToGrid w:val="0"/>
          <w:kern w:val="22"/>
          <w:lang w:val="es-ES"/>
        </w:rPr>
        <w:t>pueden a</w:t>
      </w:r>
      <w:r w:rsidR="00617D35" w:rsidRPr="00617D35">
        <w:rPr>
          <w:snapToGrid w:val="0"/>
          <w:kern w:val="22"/>
          <w:lang w:val="es-ES"/>
        </w:rPr>
        <w:t>yuda</w:t>
      </w:r>
      <w:r w:rsidR="00BD6762">
        <w:rPr>
          <w:snapToGrid w:val="0"/>
          <w:kern w:val="22"/>
          <w:lang w:val="es-ES"/>
        </w:rPr>
        <w:t>r</w:t>
      </w:r>
      <w:r w:rsidR="00617D35" w:rsidRPr="00617D35">
        <w:rPr>
          <w:snapToGrid w:val="0"/>
          <w:kern w:val="22"/>
          <w:lang w:val="es-ES"/>
        </w:rPr>
        <w:t xml:space="preserve"> a medir estos indicadores, tal y como se resume en los dos p</w:t>
      </w:r>
      <w:r w:rsidR="00617D35">
        <w:rPr>
          <w:snapToGrid w:val="0"/>
          <w:kern w:val="22"/>
          <w:lang w:val="es-ES"/>
        </w:rPr>
        <w:t>árrafos siguientes</w:t>
      </w:r>
      <w:r w:rsidR="00775B5A">
        <w:rPr>
          <w:rStyle w:val="FootnoteReference"/>
          <w:rFonts w:ascii="Angsana New" w:hAnsi="Angsana New" w:cs="Angsana New"/>
          <w:snapToGrid w:val="0"/>
          <w:kern w:val="22"/>
        </w:rPr>
        <w:footnoteReference w:id="24"/>
      </w:r>
      <w:bookmarkStart w:id="5" w:name="_Hlk33700693"/>
      <w:r w:rsidR="00617D35" w:rsidRPr="00617D35">
        <w:rPr>
          <w:rFonts w:ascii="Angsana New" w:hAnsi="Angsana New" w:cs="Angsana New"/>
          <w:snapToGrid w:val="0"/>
          <w:kern w:val="22"/>
          <w:lang w:val="es-ES"/>
        </w:rPr>
        <w:t>.</w:t>
      </w:r>
    </w:p>
    <w:p w:rsidR="00775B5A" w:rsidRPr="00587DCB" w:rsidRDefault="00BD6762"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8D6832">
        <w:rPr>
          <w:snapToGrid w:val="0"/>
          <w:kern w:val="22"/>
          <w:lang w:val="es-ES"/>
        </w:rPr>
        <w:t>En cuanto a la evaluación de</w:t>
      </w:r>
      <w:r w:rsidR="004540A2">
        <w:rPr>
          <w:snapToGrid w:val="0"/>
          <w:kern w:val="22"/>
          <w:lang w:val="es-ES"/>
        </w:rPr>
        <w:t>l</w:t>
      </w:r>
      <w:r w:rsidRPr="008D6832">
        <w:rPr>
          <w:snapToGrid w:val="0"/>
          <w:kern w:val="22"/>
          <w:lang w:val="es-ES"/>
        </w:rPr>
        <w:t xml:space="preserve"> riesgo</w:t>
      </w:r>
      <w:r w:rsidR="00775B5A" w:rsidRPr="008D6832">
        <w:rPr>
          <w:snapToGrid w:val="0"/>
          <w:kern w:val="22"/>
          <w:lang w:val="es-ES"/>
        </w:rPr>
        <w:t xml:space="preserve">, </w:t>
      </w:r>
      <w:r w:rsidRPr="008D6832">
        <w:rPr>
          <w:snapToGrid w:val="0"/>
          <w:kern w:val="22"/>
          <w:lang w:val="es-ES"/>
        </w:rPr>
        <w:t>un</w:t>
      </w:r>
      <w:r w:rsidR="00775B5A" w:rsidRPr="008D6832">
        <w:rPr>
          <w:snapToGrid w:val="0"/>
          <w:kern w:val="22"/>
          <w:lang w:val="es-ES"/>
        </w:rPr>
        <w:t xml:space="preserve"> total </w:t>
      </w:r>
      <w:r w:rsidRPr="008D6832">
        <w:rPr>
          <w:snapToGrid w:val="0"/>
          <w:kern w:val="22"/>
          <w:lang w:val="es-ES"/>
        </w:rPr>
        <w:t>del</w:t>
      </w:r>
      <w:r w:rsidR="00775B5A" w:rsidRPr="008D6832">
        <w:rPr>
          <w:snapToGrid w:val="0"/>
          <w:kern w:val="22"/>
          <w:lang w:val="es-ES"/>
        </w:rPr>
        <w:t xml:space="preserve"> 72</w:t>
      </w:r>
      <w:r w:rsidRPr="008D6832">
        <w:rPr>
          <w:snapToGrid w:val="0"/>
          <w:kern w:val="22"/>
          <w:lang w:val="es-ES"/>
        </w:rPr>
        <w:t xml:space="preserve"> </w:t>
      </w:r>
      <w:r w:rsidR="00775B5A" w:rsidRPr="008D6832">
        <w:rPr>
          <w:snapToGrid w:val="0"/>
          <w:kern w:val="22"/>
          <w:lang w:val="es-ES"/>
        </w:rPr>
        <w:t xml:space="preserve">% </w:t>
      </w:r>
      <w:r w:rsidRPr="008D6832">
        <w:rPr>
          <w:snapToGrid w:val="0"/>
          <w:kern w:val="22"/>
          <w:lang w:val="es-ES"/>
        </w:rPr>
        <w:t xml:space="preserve">de las </w:t>
      </w:r>
      <w:r w:rsidR="00775B5A" w:rsidRPr="008D6832">
        <w:rPr>
          <w:snapToGrid w:val="0"/>
          <w:kern w:val="22"/>
          <w:lang w:val="es-ES"/>
        </w:rPr>
        <w:t xml:space="preserve">Partes (51 Partes) </w:t>
      </w:r>
      <w:r w:rsidR="008D6832" w:rsidRPr="008D6832">
        <w:rPr>
          <w:snapToGrid w:val="0"/>
          <w:kern w:val="22"/>
          <w:lang w:val="es-ES"/>
        </w:rPr>
        <w:t>comunic</w:t>
      </w:r>
      <w:r w:rsidR="004540A2">
        <w:rPr>
          <w:snapToGrid w:val="0"/>
          <w:kern w:val="22"/>
          <w:lang w:val="es-ES"/>
        </w:rPr>
        <w:t>ó</w:t>
      </w:r>
      <w:r w:rsidR="008D6832" w:rsidRPr="008D6832">
        <w:rPr>
          <w:snapToGrid w:val="0"/>
          <w:kern w:val="22"/>
          <w:lang w:val="es-ES"/>
        </w:rPr>
        <w:t xml:space="preserve"> que había adoptado o utilizado documentos de orientaci</w:t>
      </w:r>
      <w:r w:rsidR="008D6832">
        <w:rPr>
          <w:snapToGrid w:val="0"/>
          <w:kern w:val="22"/>
          <w:lang w:val="es-ES"/>
        </w:rPr>
        <w:t>ón con el fin de realizar la evaluación de</w:t>
      </w:r>
      <w:r w:rsidR="004540A2">
        <w:rPr>
          <w:snapToGrid w:val="0"/>
          <w:kern w:val="22"/>
          <w:lang w:val="es-ES"/>
        </w:rPr>
        <w:t>l</w:t>
      </w:r>
      <w:r w:rsidR="008D6832">
        <w:rPr>
          <w:snapToGrid w:val="0"/>
          <w:kern w:val="22"/>
          <w:lang w:val="es-ES"/>
        </w:rPr>
        <w:t xml:space="preserve"> riesgo o para </w:t>
      </w:r>
      <w:r w:rsidR="008D6832">
        <w:rPr>
          <w:snapToGrid w:val="0"/>
          <w:kern w:val="22"/>
          <w:lang w:val="es-ES"/>
        </w:rPr>
        <w:lastRenderedPageBreak/>
        <w:t>evaluar los informes de evaluación de</w:t>
      </w:r>
      <w:r w:rsidR="004540A2">
        <w:rPr>
          <w:snapToGrid w:val="0"/>
          <w:kern w:val="22"/>
          <w:lang w:val="es-ES"/>
        </w:rPr>
        <w:t>l</w:t>
      </w:r>
      <w:r w:rsidR="008D6832">
        <w:rPr>
          <w:snapToGrid w:val="0"/>
          <w:kern w:val="22"/>
          <w:lang w:val="es-ES"/>
        </w:rPr>
        <w:t xml:space="preserve"> riesgo presentados por los notificantes</w:t>
      </w:r>
      <w:r w:rsidR="00775B5A" w:rsidRPr="008D6832">
        <w:rPr>
          <w:snapToGrid w:val="0"/>
          <w:kern w:val="22"/>
          <w:lang w:val="es-ES"/>
        </w:rPr>
        <w:t xml:space="preserve">. </w:t>
      </w:r>
      <w:r w:rsidR="008D6832" w:rsidRPr="008D6832">
        <w:rPr>
          <w:snapToGrid w:val="0"/>
          <w:kern w:val="22"/>
          <w:lang w:val="es-ES"/>
        </w:rPr>
        <w:t>Esto representa</w:t>
      </w:r>
      <w:r w:rsidR="008D6832" w:rsidRPr="004540A2">
        <w:rPr>
          <w:snapToGrid w:val="0"/>
          <w:kern w:val="22"/>
          <w:lang w:val="es-ES"/>
        </w:rPr>
        <w:t xml:space="preserve"> un modesto</w:t>
      </w:r>
      <w:r w:rsidR="008D6832" w:rsidRPr="008D6832">
        <w:rPr>
          <w:snapToGrid w:val="0"/>
          <w:kern w:val="22"/>
          <w:lang w:val="es-ES"/>
        </w:rPr>
        <w:t xml:space="preserve"> aumento del </w:t>
      </w:r>
      <w:r w:rsidR="00775B5A" w:rsidRPr="008D6832">
        <w:rPr>
          <w:snapToGrid w:val="0"/>
          <w:kern w:val="22"/>
          <w:lang w:val="es-ES"/>
        </w:rPr>
        <w:t>4</w:t>
      </w:r>
      <w:r w:rsidR="008D6832" w:rsidRPr="008D6832">
        <w:rPr>
          <w:snapToGrid w:val="0"/>
          <w:kern w:val="22"/>
          <w:lang w:val="es-ES"/>
        </w:rPr>
        <w:t xml:space="preserve"> </w:t>
      </w:r>
      <w:r w:rsidR="00775B5A" w:rsidRPr="008D6832">
        <w:rPr>
          <w:snapToGrid w:val="0"/>
          <w:kern w:val="22"/>
          <w:lang w:val="es-ES"/>
        </w:rPr>
        <w:t xml:space="preserve">% </w:t>
      </w:r>
      <w:r w:rsidR="008D6832" w:rsidRPr="008D6832">
        <w:rPr>
          <w:snapToGrid w:val="0"/>
          <w:kern w:val="22"/>
          <w:lang w:val="es-ES"/>
        </w:rPr>
        <w:t>con respecto a los datos b</w:t>
      </w:r>
      <w:r w:rsidR="008D6832">
        <w:rPr>
          <w:snapToGrid w:val="0"/>
          <w:kern w:val="22"/>
          <w:lang w:val="es-ES"/>
        </w:rPr>
        <w:t>ásicos de referencia</w:t>
      </w:r>
      <w:r w:rsidR="00775B5A" w:rsidRPr="008D6832">
        <w:rPr>
          <w:snapToGrid w:val="0"/>
          <w:kern w:val="22"/>
          <w:lang w:val="es-ES"/>
        </w:rPr>
        <w:t>.</w:t>
      </w:r>
      <w:bookmarkStart w:id="6" w:name="_Hlk30400740"/>
      <w:bookmarkEnd w:id="5"/>
      <w:bookmarkEnd w:id="6"/>
      <w:r w:rsidR="008D6832">
        <w:rPr>
          <w:snapToGrid w:val="0"/>
          <w:kern w:val="22"/>
          <w:lang w:val="es-ES"/>
        </w:rPr>
        <w:t xml:space="preserve"> A nivel regional, se observa una variación considerable</w:t>
      </w:r>
      <w:r w:rsidR="00775B5A" w:rsidRPr="008D6832">
        <w:rPr>
          <w:snapToGrid w:val="0"/>
          <w:kern w:val="22"/>
          <w:lang w:val="es-ES"/>
        </w:rPr>
        <w:t xml:space="preserve">: </w:t>
      </w:r>
      <w:r w:rsidR="008D6832">
        <w:rPr>
          <w:snapToGrid w:val="0"/>
          <w:kern w:val="22"/>
          <w:lang w:val="es-ES"/>
        </w:rPr>
        <w:t xml:space="preserve">grupo de Estados de Europa Occidental y otros </w:t>
      </w:r>
      <w:r w:rsidR="00775B5A" w:rsidRPr="008D6832">
        <w:rPr>
          <w:snapToGrid w:val="0"/>
          <w:kern w:val="22"/>
          <w:lang w:val="es-ES"/>
        </w:rPr>
        <w:t>100</w:t>
      </w:r>
      <w:r w:rsidR="008D6832">
        <w:rPr>
          <w:snapToGrid w:val="0"/>
          <w:kern w:val="22"/>
          <w:lang w:val="es-ES"/>
        </w:rPr>
        <w:t xml:space="preserve"> </w:t>
      </w:r>
      <w:r w:rsidR="00775B5A" w:rsidRPr="008D6832">
        <w:rPr>
          <w:snapToGrid w:val="0"/>
          <w:kern w:val="22"/>
          <w:lang w:val="es-ES"/>
        </w:rPr>
        <w:t>%</w:t>
      </w:r>
      <w:r w:rsidR="004540A2">
        <w:rPr>
          <w:snapToGrid w:val="0"/>
          <w:kern w:val="22"/>
          <w:lang w:val="es-ES"/>
        </w:rPr>
        <w:t>,</w:t>
      </w:r>
      <w:r w:rsidR="00775B5A" w:rsidRPr="008D6832">
        <w:rPr>
          <w:snapToGrid w:val="0"/>
          <w:kern w:val="22"/>
          <w:lang w:val="es-ES"/>
        </w:rPr>
        <w:t xml:space="preserve"> Asia</w:t>
      </w:r>
      <w:r w:rsidR="0087255D">
        <w:rPr>
          <w:snapToGrid w:val="0"/>
          <w:kern w:val="22"/>
          <w:lang w:val="es-ES"/>
        </w:rPr>
        <w:t xml:space="preserve"> y el </w:t>
      </w:r>
      <w:r w:rsidR="00775B5A" w:rsidRPr="008D6832">
        <w:rPr>
          <w:snapToGrid w:val="0"/>
          <w:kern w:val="22"/>
          <w:lang w:val="es-ES"/>
        </w:rPr>
        <w:t>Pac</w:t>
      </w:r>
      <w:r w:rsidR="008D6832">
        <w:rPr>
          <w:snapToGrid w:val="0"/>
          <w:kern w:val="22"/>
          <w:lang w:val="es-ES"/>
        </w:rPr>
        <w:t>ífico</w:t>
      </w:r>
      <w:r w:rsidR="00775B5A" w:rsidRPr="008D6832">
        <w:rPr>
          <w:snapToGrid w:val="0"/>
          <w:kern w:val="22"/>
          <w:lang w:val="es-ES"/>
        </w:rPr>
        <w:t>: 89</w:t>
      </w:r>
      <w:r w:rsidR="008D6832">
        <w:rPr>
          <w:snapToGrid w:val="0"/>
          <w:kern w:val="22"/>
          <w:lang w:val="es-ES"/>
        </w:rPr>
        <w:t xml:space="preserve"> </w:t>
      </w:r>
      <w:r w:rsidR="00775B5A" w:rsidRPr="008D6832">
        <w:rPr>
          <w:snapToGrid w:val="0"/>
          <w:kern w:val="22"/>
          <w:lang w:val="es-ES"/>
        </w:rPr>
        <w:t>%</w:t>
      </w:r>
      <w:r w:rsidR="004540A2">
        <w:rPr>
          <w:snapToGrid w:val="0"/>
          <w:kern w:val="22"/>
          <w:lang w:val="es-ES"/>
        </w:rPr>
        <w:t>,</w:t>
      </w:r>
      <w:r w:rsidR="00775B5A" w:rsidRPr="008D6832">
        <w:rPr>
          <w:snapToGrid w:val="0"/>
          <w:kern w:val="22"/>
          <w:lang w:val="es-ES"/>
        </w:rPr>
        <w:t xml:space="preserve"> </w:t>
      </w:r>
      <w:r w:rsidR="00EA78DC">
        <w:rPr>
          <w:snapToGrid w:val="0"/>
          <w:kern w:val="22"/>
          <w:lang w:val="es-ES"/>
        </w:rPr>
        <w:t xml:space="preserve">grupo de Estados de Europa Central y Oriental: </w:t>
      </w:r>
      <w:r w:rsidR="00775B5A" w:rsidRPr="008D6832">
        <w:rPr>
          <w:snapToGrid w:val="0"/>
          <w:kern w:val="22"/>
          <w:lang w:val="es-ES"/>
        </w:rPr>
        <w:t>86</w:t>
      </w:r>
      <w:r w:rsidR="008D6832">
        <w:rPr>
          <w:snapToGrid w:val="0"/>
          <w:kern w:val="22"/>
          <w:lang w:val="es-ES"/>
        </w:rPr>
        <w:t xml:space="preserve"> </w:t>
      </w:r>
      <w:r w:rsidR="00775B5A" w:rsidRPr="008D6832">
        <w:rPr>
          <w:snapToGrid w:val="0"/>
          <w:kern w:val="22"/>
          <w:lang w:val="es-ES"/>
        </w:rPr>
        <w:t>%</w:t>
      </w:r>
      <w:r w:rsidR="004540A2">
        <w:rPr>
          <w:snapToGrid w:val="0"/>
          <w:kern w:val="22"/>
          <w:lang w:val="es-ES"/>
        </w:rPr>
        <w:t>,</w:t>
      </w:r>
      <w:r w:rsidR="00775B5A" w:rsidRPr="008D6832">
        <w:rPr>
          <w:snapToGrid w:val="0"/>
          <w:kern w:val="22"/>
          <w:lang w:val="es-ES"/>
        </w:rPr>
        <w:t xml:space="preserve"> </w:t>
      </w:r>
      <w:r w:rsidR="008D6832">
        <w:rPr>
          <w:snapToGrid w:val="0"/>
          <w:kern w:val="22"/>
          <w:lang w:val="es-ES"/>
        </w:rPr>
        <w:t>Á</w:t>
      </w:r>
      <w:r w:rsidR="00775B5A" w:rsidRPr="008D6832">
        <w:rPr>
          <w:snapToGrid w:val="0"/>
          <w:kern w:val="22"/>
          <w:lang w:val="es-ES"/>
        </w:rPr>
        <w:t>frica: 58</w:t>
      </w:r>
      <w:r w:rsidR="008D6832">
        <w:rPr>
          <w:snapToGrid w:val="0"/>
          <w:kern w:val="22"/>
          <w:lang w:val="es-ES"/>
        </w:rPr>
        <w:t xml:space="preserve"> </w:t>
      </w:r>
      <w:r w:rsidR="00775B5A" w:rsidRPr="008D6832">
        <w:rPr>
          <w:snapToGrid w:val="0"/>
          <w:kern w:val="22"/>
          <w:lang w:val="es-ES"/>
        </w:rPr>
        <w:t>%</w:t>
      </w:r>
      <w:r w:rsidR="004540A2">
        <w:rPr>
          <w:snapToGrid w:val="0"/>
          <w:kern w:val="22"/>
          <w:lang w:val="es-ES"/>
        </w:rPr>
        <w:t>,</w:t>
      </w:r>
      <w:r w:rsidR="008D6832">
        <w:rPr>
          <w:snapToGrid w:val="0"/>
          <w:kern w:val="22"/>
          <w:lang w:val="es-ES"/>
        </w:rPr>
        <w:t xml:space="preserve"> </w:t>
      </w:r>
      <w:r w:rsidR="00D74010">
        <w:rPr>
          <w:snapToGrid w:val="0"/>
          <w:kern w:val="22"/>
          <w:lang w:val="es-ES"/>
        </w:rPr>
        <w:t>grupo de países de América Latina y el Caribe</w:t>
      </w:r>
      <w:r w:rsidR="00775B5A" w:rsidRPr="008D6832">
        <w:rPr>
          <w:snapToGrid w:val="0"/>
          <w:kern w:val="22"/>
          <w:lang w:val="es-ES"/>
        </w:rPr>
        <w:t>: 31</w:t>
      </w:r>
      <w:r w:rsidR="008D6832">
        <w:rPr>
          <w:snapToGrid w:val="0"/>
          <w:kern w:val="22"/>
          <w:lang w:val="es-ES"/>
        </w:rPr>
        <w:t xml:space="preserve"> </w:t>
      </w:r>
      <w:r w:rsidR="00775B5A" w:rsidRPr="008D6832">
        <w:rPr>
          <w:snapToGrid w:val="0"/>
          <w:kern w:val="22"/>
          <w:lang w:val="es-ES"/>
        </w:rPr>
        <w:t xml:space="preserve">%. </w:t>
      </w:r>
      <w:r w:rsidR="00C8591A">
        <w:rPr>
          <w:snapToGrid w:val="0"/>
          <w:kern w:val="22"/>
          <w:lang w:val="es-ES"/>
        </w:rPr>
        <w:t>Se informó de cambios en dos regiones</w:t>
      </w:r>
      <w:r w:rsidR="00775B5A" w:rsidRPr="00587DCB">
        <w:rPr>
          <w:snapToGrid w:val="0"/>
          <w:kern w:val="22"/>
          <w:lang w:val="es-ES"/>
        </w:rPr>
        <w:t xml:space="preserve">: </w:t>
      </w:r>
      <w:r w:rsidR="00C8591A" w:rsidRPr="00587DCB">
        <w:rPr>
          <w:snapToGrid w:val="0"/>
          <w:kern w:val="22"/>
          <w:lang w:val="es-ES"/>
        </w:rPr>
        <w:t>Á</w:t>
      </w:r>
      <w:r w:rsidR="00775B5A" w:rsidRPr="00587DCB">
        <w:rPr>
          <w:snapToGrid w:val="0"/>
          <w:kern w:val="22"/>
          <w:lang w:val="es-ES"/>
        </w:rPr>
        <w:t>frica (+</w:t>
      </w:r>
      <w:r w:rsidR="00C8591A" w:rsidRPr="00587DCB">
        <w:rPr>
          <w:snapToGrid w:val="0"/>
          <w:kern w:val="22"/>
          <w:lang w:val="es-ES"/>
        </w:rPr>
        <w:t xml:space="preserve"> </w:t>
      </w:r>
      <w:r w:rsidR="00775B5A" w:rsidRPr="00587DCB">
        <w:rPr>
          <w:snapToGrid w:val="0"/>
          <w:kern w:val="22"/>
          <w:lang w:val="es-ES"/>
        </w:rPr>
        <w:t>11</w:t>
      </w:r>
      <w:r w:rsidR="00C8591A" w:rsidRPr="00587DCB">
        <w:rPr>
          <w:snapToGrid w:val="0"/>
          <w:kern w:val="22"/>
          <w:lang w:val="es-ES"/>
        </w:rPr>
        <w:t xml:space="preserve"> </w:t>
      </w:r>
      <w:r w:rsidR="00775B5A" w:rsidRPr="00587DCB">
        <w:rPr>
          <w:snapToGrid w:val="0"/>
          <w:kern w:val="22"/>
          <w:lang w:val="es-ES"/>
        </w:rPr>
        <w:t>%)</w:t>
      </w:r>
      <w:r w:rsidR="004540A2">
        <w:rPr>
          <w:snapToGrid w:val="0"/>
          <w:kern w:val="22"/>
          <w:lang w:val="es-ES"/>
        </w:rPr>
        <w:t xml:space="preserve"> y</w:t>
      </w:r>
      <w:r w:rsidR="00775B5A" w:rsidRPr="00587DCB">
        <w:rPr>
          <w:snapToGrid w:val="0"/>
          <w:kern w:val="22"/>
          <w:lang w:val="es-ES"/>
        </w:rPr>
        <w:t xml:space="preserve"> </w:t>
      </w:r>
      <w:r w:rsidR="00EA78DC">
        <w:rPr>
          <w:snapToGrid w:val="0"/>
          <w:kern w:val="22"/>
          <w:lang w:val="es-ES"/>
        </w:rPr>
        <w:t>grupo de Estados de Europa Central y Oriental</w:t>
      </w:r>
      <w:r w:rsidR="00EA78DC" w:rsidRPr="00EC2231">
        <w:rPr>
          <w:snapToGrid w:val="0"/>
          <w:kern w:val="22"/>
          <w:lang w:val="es-ES"/>
        </w:rPr>
        <w:t xml:space="preserve"> </w:t>
      </w:r>
      <w:r w:rsidR="00775B5A" w:rsidRPr="00587DCB">
        <w:rPr>
          <w:snapToGrid w:val="0"/>
          <w:kern w:val="22"/>
          <w:lang w:val="es-ES"/>
        </w:rPr>
        <w:t>(+</w:t>
      </w:r>
      <w:r w:rsidR="00C8591A" w:rsidRPr="00587DCB">
        <w:rPr>
          <w:snapToGrid w:val="0"/>
          <w:kern w:val="22"/>
          <w:lang w:val="es-ES"/>
        </w:rPr>
        <w:t xml:space="preserve"> </w:t>
      </w:r>
      <w:r w:rsidR="00775B5A" w:rsidRPr="00587DCB">
        <w:rPr>
          <w:snapToGrid w:val="0"/>
          <w:kern w:val="22"/>
          <w:lang w:val="es-ES"/>
        </w:rPr>
        <w:t>7</w:t>
      </w:r>
      <w:r w:rsidR="00C8591A" w:rsidRPr="00587DCB">
        <w:rPr>
          <w:snapToGrid w:val="0"/>
          <w:kern w:val="22"/>
          <w:lang w:val="es-ES"/>
        </w:rPr>
        <w:t xml:space="preserve"> </w:t>
      </w:r>
      <w:r w:rsidR="00775B5A" w:rsidRPr="00587DCB">
        <w:rPr>
          <w:snapToGrid w:val="0"/>
          <w:kern w:val="22"/>
          <w:lang w:val="es-ES"/>
        </w:rPr>
        <w:t xml:space="preserve">%). </w:t>
      </w:r>
    </w:p>
    <w:p w:rsidR="00775B5A" w:rsidRPr="00587DCB" w:rsidRDefault="00587DCB"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587DCB">
        <w:rPr>
          <w:snapToGrid w:val="0"/>
          <w:kern w:val="22"/>
          <w:lang w:val="es-ES"/>
        </w:rPr>
        <w:t xml:space="preserve">En lo que respecta a la gestión de riesgos, un </w:t>
      </w:r>
      <w:bookmarkStart w:id="7" w:name="_Hlk33700772"/>
      <w:r w:rsidR="00775B5A" w:rsidRPr="00587DCB">
        <w:rPr>
          <w:snapToGrid w:val="0"/>
          <w:kern w:val="22"/>
          <w:lang w:val="es-ES"/>
        </w:rPr>
        <w:t xml:space="preserve">total </w:t>
      </w:r>
      <w:r w:rsidRPr="00587DCB">
        <w:rPr>
          <w:snapToGrid w:val="0"/>
          <w:kern w:val="22"/>
          <w:lang w:val="es-ES"/>
        </w:rPr>
        <w:t>del</w:t>
      </w:r>
      <w:r w:rsidR="00775B5A" w:rsidRPr="00587DCB">
        <w:rPr>
          <w:snapToGrid w:val="0"/>
          <w:kern w:val="22"/>
          <w:lang w:val="es-ES"/>
        </w:rPr>
        <w:t xml:space="preserve"> 71</w:t>
      </w:r>
      <w:r w:rsidRPr="00587DCB">
        <w:rPr>
          <w:snapToGrid w:val="0"/>
          <w:kern w:val="22"/>
          <w:lang w:val="es-ES"/>
        </w:rPr>
        <w:t xml:space="preserve"> </w:t>
      </w:r>
      <w:r w:rsidR="00775B5A" w:rsidRPr="00587DCB">
        <w:rPr>
          <w:snapToGrid w:val="0"/>
          <w:kern w:val="22"/>
          <w:lang w:val="es-ES"/>
        </w:rPr>
        <w:t xml:space="preserve">% </w:t>
      </w:r>
      <w:r w:rsidRPr="00587DCB">
        <w:rPr>
          <w:snapToGrid w:val="0"/>
          <w:kern w:val="22"/>
          <w:lang w:val="es-ES"/>
        </w:rPr>
        <w:t xml:space="preserve">de las </w:t>
      </w:r>
      <w:r w:rsidR="00775B5A" w:rsidRPr="00587DCB">
        <w:rPr>
          <w:snapToGrid w:val="0"/>
          <w:kern w:val="22"/>
          <w:lang w:val="es-ES"/>
        </w:rPr>
        <w:t>Partes (50 Partes),</w:t>
      </w:r>
      <w:r w:rsidRPr="00587DCB">
        <w:rPr>
          <w:snapToGrid w:val="0"/>
          <w:kern w:val="22"/>
          <w:lang w:val="es-ES"/>
        </w:rPr>
        <w:t xml:space="preserve"> informaron de que habían adoptado o utilizado documentos de orientaci</w:t>
      </w:r>
      <w:r>
        <w:rPr>
          <w:snapToGrid w:val="0"/>
          <w:kern w:val="22"/>
          <w:lang w:val="es-ES"/>
        </w:rPr>
        <w:t>ón con el fin de realizar evaluación de</w:t>
      </w:r>
      <w:r w:rsidR="007A67EE">
        <w:rPr>
          <w:snapToGrid w:val="0"/>
          <w:kern w:val="22"/>
          <w:lang w:val="es-ES"/>
        </w:rPr>
        <w:t>l</w:t>
      </w:r>
      <w:r>
        <w:rPr>
          <w:snapToGrid w:val="0"/>
          <w:kern w:val="22"/>
          <w:lang w:val="es-ES"/>
        </w:rPr>
        <w:t xml:space="preserve"> riesgo</w:t>
      </w:r>
      <w:r w:rsidR="00775B5A" w:rsidRPr="00587DCB">
        <w:rPr>
          <w:snapToGrid w:val="0"/>
          <w:kern w:val="22"/>
          <w:lang w:val="es-ES"/>
        </w:rPr>
        <w:t xml:space="preserve">, </w:t>
      </w:r>
      <w:r>
        <w:rPr>
          <w:snapToGrid w:val="0"/>
          <w:kern w:val="22"/>
          <w:lang w:val="es-ES"/>
        </w:rPr>
        <w:t xml:space="preserve">lo que representa un aumento de más del </w:t>
      </w:r>
      <w:r w:rsidR="00775B5A" w:rsidRPr="00587DCB">
        <w:rPr>
          <w:snapToGrid w:val="0"/>
          <w:kern w:val="22"/>
          <w:lang w:val="es-ES"/>
        </w:rPr>
        <w:t>5</w:t>
      </w:r>
      <w:r>
        <w:rPr>
          <w:snapToGrid w:val="0"/>
          <w:kern w:val="22"/>
          <w:lang w:val="es-ES"/>
        </w:rPr>
        <w:t xml:space="preserve"> </w:t>
      </w:r>
      <w:r w:rsidR="00775B5A" w:rsidRPr="00587DCB">
        <w:rPr>
          <w:snapToGrid w:val="0"/>
          <w:kern w:val="22"/>
          <w:lang w:val="es-ES"/>
        </w:rPr>
        <w:t xml:space="preserve">% </w:t>
      </w:r>
      <w:r>
        <w:rPr>
          <w:snapToGrid w:val="0"/>
          <w:kern w:val="22"/>
          <w:lang w:val="es-ES"/>
        </w:rPr>
        <w:t>con respecto a los datos básicos de referencia</w:t>
      </w:r>
      <w:r w:rsidR="00775B5A" w:rsidRPr="00587DCB">
        <w:rPr>
          <w:snapToGrid w:val="0"/>
          <w:kern w:val="22"/>
          <w:lang w:val="es-ES"/>
        </w:rPr>
        <w:t xml:space="preserve">. </w:t>
      </w:r>
      <w:bookmarkEnd w:id="7"/>
      <w:r w:rsidR="00775B5A" w:rsidRPr="00587DCB">
        <w:rPr>
          <w:snapToGrid w:val="0"/>
          <w:kern w:val="22"/>
          <w:lang w:val="es-ES"/>
        </w:rPr>
        <w:t>A</w:t>
      </w:r>
      <w:r w:rsidRPr="00587DCB">
        <w:rPr>
          <w:snapToGrid w:val="0"/>
          <w:kern w:val="22"/>
          <w:lang w:val="es-ES"/>
        </w:rPr>
        <w:t xml:space="preserve"> nivel </w:t>
      </w:r>
      <w:r w:rsidR="00775B5A" w:rsidRPr="00587DCB">
        <w:rPr>
          <w:snapToGrid w:val="0"/>
          <w:kern w:val="22"/>
          <w:lang w:val="es-ES"/>
        </w:rPr>
        <w:t xml:space="preserve">regional, </w:t>
      </w:r>
      <w:r w:rsidRPr="00587DCB">
        <w:rPr>
          <w:snapToGrid w:val="0"/>
          <w:kern w:val="22"/>
          <w:lang w:val="es-ES"/>
        </w:rPr>
        <w:t xml:space="preserve">se observa una variación </w:t>
      </w:r>
      <w:r w:rsidR="00775B5A" w:rsidRPr="00587DCB">
        <w:rPr>
          <w:snapToGrid w:val="0"/>
          <w:kern w:val="22"/>
          <w:lang w:val="es-ES"/>
        </w:rPr>
        <w:t xml:space="preserve">considerable: </w:t>
      </w:r>
      <w:r>
        <w:rPr>
          <w:snapToGrid w:val="0"/>
          <w:kern w:val="22"/>
          <w:lang w:val="es-ES"/>
        </w:rPr>
        <w:t xml:space="preserve">grupo de Estados de Europa Occidental y otros </w:t>
      </w:r>
      <w:r w:rsidR="00775B5A" w:rsidRPr="00587DCB">
        <w:rPr>
          <w:snapToGrid w:val="0"/>
          <w:kern w:val="22"/>
          <w:lang w:val="es-ES"/>
        </w:rPr>
        <w:t>100</w:t>
      </w:r>
      <w:r>
        <w:rPr>
          <w:snapToGrid w:val="0"/>
          <w:kern w:val="22"/>
          <w:lang w:val="es-ES"/>
        </w:rPr>
        <w:t xml:space="preserve"> </w:t>
      </w:r>
      <w:r w:rsidR="00775B5A" w:rsidRPr="00587DCB">
        <w:rPr>
          <w:snapToGrid w:val="0"/>
          <w:kern w:val="22"/>
          <w:lang w:val="es-ES"/>
        </w:rPr>
        <w:t>%</w:t>
      </w:r>
      <w:r w:rsidR="007A67EE">
        <w:rPr>
          <w:snapToGrid w:val="0"/>
          <w:kern w:val="22"/>
          <w:lang w:val="es-ES"/>
        </w:rPr>
        <w:t>,</w:t>
      </w:r>
      <w:r w:rsidR="00775B5A" w:rsidRPr="00587DCB">
        <w:rPr>
          <w:snapToGrid w:val="0"/>
          <w:kern w:val="22"/>
          <w:lang w:val="es-ES"/>
        </w:rPr>
        <w:t xml:space="preserve"> Asia</w:t>
      </w:r>
      <w:r w:rsidR="0087255D">
        <w:rPr>
          <w:snapToGrid w:val="0"/>
          <w:kern w:val="22"/>
          <w:lang w:val="es-ES"/>
        </w:rPr>
        <w:t xml:space="preserve"> y el </w:t>
      </w:r>
      <w:r w:rsidR="00775B5A" w:rsidRPr="00587DCB">
        <w:rPr>
          <w:snapToGrid w:val="0"/>
          <w:kern w:val="22"/>
          <w:lang w:val="es-ES"/>
        </w:rPr>
        <w:t>Pac</w:t>
      </w:r>
      <w:r>
        <w:rPr>
          <w:snapToGrid w:val="0"/>
          <w:kern w:val="22"/>
          <w:lang w:val="es-ES"/>
        </w:rPr>
        <w:t>ífico</w:t>
      </w:r>
      <w:r w:rsidR="00775B5A" w:rsidRPr="00587DCB">
        <w:rPr>
          <w:snapToGrid w:val="0"/>
          <w:kern w:val="22"/>
          <w:lang w:val="es-ES"/>
        </w:rPr>
        <w:t>: 88</w:t>
      </w:r>
      <w:r>
        <w:rPr>
          <w:snapToGrid w:val="0"/>
          <w:kern w:val="22"/>
          <w:lang w:val="es-ES"/>
        </w:rPr>
        <w:t xml:space="preserve"> </w:t>
      </w:r>
      <w:r w:rsidR="007A67EE">
        <w:rPr>
          <w:snapToGrid w:val="0"/>
          <w:kern w:val="22"/>
          <w:lang w:val="es-ES"/>
        </w:rPr>
        <w:t>%,</w:t>
      </w:r>
      <w:r w:rsidR="00775B5A" w:rsidRPr="00587DCB">
        <w:rPr>
          <w:snapToGrid w:val="0"/>
          <w:kern w:val="22"/>
          <w:lang w:val="es-ES"/>
        </w:rPr>
        <w:t xml:space="preserve"> </w:t>
      </w:r>
      <w:r w:rsidR="00EA78DC">
        <w:rPr>
          <w:snapToGrid w:val="0"/>
          <w:kern w:val="22"/>
          <w:lang w:val="es-ES"/>
        </w:rPr>
        <w:t>grupo de Estados de Europa Central y Oriental</w:t>
      </w:r>
      <w:r w:rsidR="00EA78DC" w:rsidRPr="00EC2231">
        <w:rPr>
          <w:snapToGrid w:val="0"/>
          <w:kern w:val="22"/>
          <w:lang w:val="es-ES"/>
        </w:rPr>
        <w:t xml:space="preserve"> </w:t>
      </w:r>
      <w:r w:rsidR="00775B5A" w:rsidRPr="00587DCB">
        <w:rPr>
          <w:snapToGrid w:val="0"/>
          <w:kern w:val="22"/>
          <w:lang w:val="es-ES"/>
        </w:rPr>
        <w:t>86</w:t>
      </w:r>
      <w:r>
        <w:rPr>
          <w:snapToGrid w:val="0"/>
          <w:kern w:val="22"/>
          <w:lang w:val="es-ES"/>
        </w:rPr>
        <w:t xml:space="preserve"> </w:t>
      </w:r>
      <w:r w:rsidR="00775B5A" w:rsidRPr="00587DCB">
        <w:rPr>
          <w:snapToGrid w:val="0"/>
          <w:kern w:val="22"/>
          <w:lang w:val="es-ES"/>
        </w:rPr>
        <w:t>%</w:t>
      </w:r>
      <w:r w:rsidR="007A67EE">
        <w:rPr>
          <w:snapToGrid w:val="0"/>
          <w:kern w:val="22"/>
          <w:lang w:val="es-ES"/>
        </w:rPr>
        <w:t>,</w:t>
      </w:r>
      <w:r w:rsidR="00775B5A" w:rsidRPr="00587DCB">
        <w:rPr>
          <w:snapToGrid w:val="0"/>
          <w:kern w:val="22"/>
          <w:lang w:val="es-ES"/>
        </w:rPr>
        <w:t xml:space="preserve"> </w:t>
      </w:r>
      <w:r>
        <w:rPr>
          <w:snapToGrid w:val="0"/>
          <w:kern w:val="22"/>
          <w:lang w:val="es-ES"/>
        </w:rPr>
        <w:t>Á</w:t>
      </w:r>
      <w:r w:rsidR="00775B5A" w:rsidRPr="00587DCB">
        <w:rPr>
          <w:snapToGrid w:val="0"/>
          <w:kern w:val="22"/>
          <w:lang w:val="es-ES"/>
        </w:rPr>
        <w:t>frica: 58</w:t>
      </w:r>
      <w:r>
        <w:rPr>
          <w:snapToGrid w:val="0"/>
          <w:kern w:val="22"/>
          <w:lang w:val="es-ES"/>
        </w:rPr>
        <w:t xml:space="preserve"> </w:t>
      </w:r>
      <w:r w:rsidR="00775B5A" w:rsidRPr="00587DCB">
        <w:rPr>
          <w:snapToGrid w:val="0"/>
          <w:kern w:val="22"/>
          <w:lang w:val="es-ES"/>
        </w:rPr>
        <w:t>%</w:t>
      </w:r>
      <w:r w:rsidR="007A67EE">
        <w:rPr>
          <w:snapToGrid w:val="0"/>
          <w:kern w:val="22"/>
          <w:lang w:val="es-ES"/>
        </w:rPr>
        <w:t>,</w:t>
      </w:r>
      <w:r w:rsidR="00775B5A" w:rsidRPr="00587DCB">
        <w:rPr>
          <w:snapToGrid w:val="0"/>
          <w:kern w:val="22"/>
          <w:lang w:val="es-ES"/>
        </w:rPr>
        <w:t xml:space="preserve"> </w:t>
      </w:r>
      <w:r w:rsidR="00D74010">
        <w:rPr>
          <w:snapToGrid w:val="0"/>
          <w:kern w:val="22"/>
          <w:lang w:val="es-ES"/>
        </w:rPr>
        <w:t>grupo de países de América Latina y el Caribe</w:t>
      </w:r>
      <w:r w:rsidR="00775B5A" w:rsidRPr="00587DCB">
        <w:rPr>
          <w:snapToGrid w:val="0"/>
          <w:kern w:val="22"/>
          <w:lang w:val="es-ES"/>
        </w:rPr>
        <w:t>: 31</w:t>
      </w:r>
      <w:r>
        <w:rPr>
          <w:snapToGrid w:val="0"/>
          <w:kern w:val="22"/>
          <w:lang w:val="es-ES"/>
        </w:rPr>
        <w:t xml:space="preserve"> </w:t>
      </w:r>
      <w:r w:rsidR="00775B5A" w:rsidRPr="00587DCB">
        <w:rPr>
          <w:snapToGrid w:val="0"/>
          <w:kern w:val="22"/>
          <w:lang w:val="es-ES"/>
        </w:rPr>
        <w:t xml:space="preserve">%. </w:t>
      </w:r>
      <w:r>
        <w:rPr>
          <w:snapToGrid w:val="0"/>
          <w:kern w:val="22"/>
          <w:lang w:val="es-ES"/>
        </w:rPr>
        <w:t>El desglose de los aumentos regionales es el siguiente</w:t>
      </w:r>
      <w:r w:rsidR="00775B5A" w:rsidRPr="00587DCB">
        <w:rPr>
          <w:snapToGrid w:val="0"/>
          <w:kern w:val="22"/>
          <w:lang w:val="es-ES"/>
        </w:rPr>
        <w:t>: Asia</w:t>
      </w:r>
      <w:r w:rsidR="0087255D">
        <w:rPr>
          <w:snapToGrid w:val="0"/>
          <w:kern w:val="22"/>
          <w:lang w:val="es-ES"/>
        </w:rPr>
        <w:t xml:space="preserve"> y el Pacífico</w:t>
      </w:r>
      <w:r w:rsidR="00775B5A" w:rsidRPr="00587DCB">
        <w:rPr>
          <w:snapToGrid w:val="0"/>
          <w:kern w:val="22"/>
          <w:lang w:val="es-ES"/>
        </w:rPr>
        <w:t xml:space="preserve"> (+</w:t>
      </w:r>
      <w:r w:rsidRPr="00587DCB">
        <w:rPr>
          <w:snapToGrid w:val="0"/>
          <w:kern w:val="22"/>
          <w:lang w:val="es-ES"/>
        </w:rPr>
        <w:t xml:space="preserve"> </w:t>
      </w:r>
      <w:r w:rsidR="00775B5A" w:rsidRPr="00587DCB">
        <w:rPr>
          <w:snapToGrid w:val="0"/>
          <w:kern w:val="22"/>
          <w:lang w:val="es-ES"/>
        </w:rPr>
        <w:t>13</w:t>
      </w:r>
      <w:r>
        <w:rPr>
          <w:snapToGrid w:val="0"/>
          <w:kern w:val="22"/>
          <w:lang w:val="es-ES"/>
        </w:rPr>
        <w:t xml:space="preserve"> </w:t>
      </w:r>
      <w:r w:rsidR="00775B5A" w:rsidRPr="00587DCB">
        <w:rPr>
          <w:snapToGrid w:val="0"/>
          <w:kern w:val="22"/>
          <w:lang w:val="es-ES"/>
        </w:rPr>
        <w:t xml:space="preserve">%), </w:t>
      </w:r>
      <w:r>
        <w:rPr>
          <w:snapToGrid w:val="0"/>
          <w:kern w:val="22"/>
          <w:lang w:val="es-ES"/>
        </w:rPr>
        <w:t>Á</w:t>
      </w:r>
      <w:r w:rsidR="00775B5A" w:rsidRPr="00587DCB">
        <w:rPr>
          <w:snapToGrid w:val="0"/>
          <w:kern w:val="22"/>
          <w:lang w:val="es-ES"/>
        </w:rPr>
        <w:t>frica (+</w:t>
      </w:r>
      <w:r>
        <w:rPr>
          <w:snapToGrid w:val="0"/>
          <w:kern w:val="22"/>
          <w:lang w:val="es-ES"/>
        </w:rPr>
        <w:t xml:space="preserve"> </w:t>
      </w:r>
      <w:r w:rsidR="00775B5A" w:rsidRPr="00587DCB">
        <w:rPr>
          <w:snapToGrid w:val="0"/>
          <w:kern w:val="22"/>
          <w:lang w:val="es-ES"/>
        </w:rPr>
        <w:t>11</w:t>
      </w:r>
      <w:r>
        <w:rPr>
          <w:snapToGrid w:val="0"/>
          <w:kern w:val="22"/>
          <w:lang w:val="es-ES"/>
        </w:rPr>
        <w:t xml:space="preserve"> </w:t>
      </w:r>
      <w:r w:rsidR="00775B5A" w:rsidRPr="00587DCB">
        <w:rPr>
          <w:snapToGrid w:val="0"/>
          <w:kern w:val="22"/>
          <w:lang w:val="es-ES"/>
        </w:rPr>
        <w:t xml:space="preserve">%), </w:t>
      </w:r>
      <w:r w:rsidR="00EA78DC">
        <w:rPr>
          <w:snapToGrid w:val="0"/>
          <w:kern w:val="22"/>
          <w:lang w:val="es-ES"/>
        </w:rPr>
        <w:t>grupo de Estados de Europa Central y Oriental</w:t>
      </w:r>
      <w:r w:rsidR="00EA78DC" w:rsidRPr="00EC2231">
        <w:rPr>
          <w:snapToGrid w:val="0"/>
          <w:kern w:val="22"/>
          <w:lang w:val="es-ES"/>
        </w:rPr>
        <w:t xml:space="preserve"> </w:t>
      </w:r>
      <w:r w:rsidR="00775B5A" w:rsidRPr="00587DCB">
        <w:rPr>
          <w:snapToGrid w:val="0"/>
          <w:kern w:val="22"/>
          <w:lang w:val="es-ES"/>
        </w:rPr>
        <w:t>(+</w:t>
      </w:r>
      <w:r>
        <w:rPr>
          <w:snapToGrid w:val="0"/>
          <w:kern w:val="22"/>
          <w:lang w:val="es-ES"/>
        </w:rPr>
        <w:t xml:space="preserve"> </w:t>
      </w:r>
      <w:r w:rsidR="00775B5A" w:rsidRPr="00587DCB">
        <w:rPr>
          <w:snapToGrid w:val="0"/>
          <w:kern w:val="22"/>
          <w:lang w:val="es-ES"/>
        </w:rPr>
        <w:t>7</w:t>
      </w:r>
      <w:r>
        <w:rPr>
          <w:snapToGrid w:val="0"/>
          <w:kern w:val="22"/>
          <w:lang w:val="es-ES"/>
        </w:rPr>
        <w:t xml:space="preserve"> </w:t>
      </w:r>
      <w:r w:rsidR="00775B5A" w:rsidRPr="00587DCB">
        <w:rPr>
          <w:snapToGrid w:val="0"/>
          <w:kern w:val="22"/>
          <w:lang w:val="es-ES"/>
        </w:rPr>
        <w:t>%). (</w:t>
      </w:r>
      <w:r>
        <w:rPr>
          <w:snapToGrid w:val="0"/>
          <w:kern w:val="22"/>
          <w:lang w:val="es-ES"/>
        </w:rPr>
        <w:t>Véase</w:t>
      </w:r>
      <w:r w:rsidR="00585883">
        <w:rPr>
          <w:snapToGrid w:val="0"/>
          <w:kern w:val="22"/>
          <w:lang w:val="es-ES"/>
        </w:rPr>
        <w:t xml:space="preserve"> </w:t>
      </w:r>
      <w:r w:rsidR="00030FC1">
        <w:rPr>
          <w:snapToGrid w:val="0"/>
          <w:kern w:val="22"/>
          <w:lang w:val="es-ES"/>
        </w:rPr>
        <w:t>el gráfico</w:t>
      </w:r>
      <w:r w:rsidR="00775B5A" w:rsidRPr="00587DCB">
        <w:rPr>
          <w:snapToGrid w:val="0"/>
          <w:kern w:val="22"/>
          <w:lang w:val="es-ES"/>
        </w:rPr>
        <w:t xml:space="preserve"> 1).</w:t>
      </w:r>
    </w:p>
    <w:p w:rsidR="00775B5A" w:rsidRPr="00980F0C" w:rsidRDefault="00587DCB"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587DCB">
        <w:rPr>
          <w:snapToGrid w:val="0"/>
          <w:kern w:val="22"/>
          <w:lang w:val="es-ES"/>
        </w:rPr>
        <w:t>De las Partes que comunicaron que habían adoptado o utilizado documentos de orientación sobre la evaluación de</w:t>
      </w:r>
      <w:r w:rsidR="007A67EE">
        <w:rPr>
          <w:snapToGrid w:val="0"/>
          <w:kern w:val="22"/>
          <w:lang w:val="es-ES"/>
        </w:rPr>
        <w:t>l</w:t>
      </w:r>
      <w:r w:rsidRPr="00587DCB">
        <w:rPr>
          <w:snapToGrid w:val="0"/>
          <w:kern w:val="22"/>
          <w:lang w:val="es-ES"/>
        </w:rPr>
        <w:t xml:space="preserve"> riesgo o la gestión de</w:t>
      </w:r>
      <w:r w:rsidR="007A67EE">
        <w:rPr>
          <w:snapToGrid w:val="0"/>
          <w:kern w:val="22"/>
          <w:lang w:val="es-ES"/>
        </w:rPr>
        <w:t>l</w:t>
      </w:r>
      <w:r w:rsidRPr="00587DCB">
        <w:rPr>
          <w:snapToGrid w:val="0"/>
          <w:kern w:val="22"/>
          <w:lang w:val="es-ES"/>
        </w:rPr>
        <w:t xml:space="preserve"> riesgo, el </w:t>
      </w:r>
      <w:r w:rsidR="00775B5A" w:rsidRPr="00587DCB">
        <w:rPr>
          <w:snapToGrid w:val="0"/>
          <w:kern w:val="22"/>
          <w:lang w:val="es-ES"/>
        </w:rPr>
        <w:t>41</w:t>
      </w:r>
      <w:r w:rsidRPr="00587DCB">
        <w:rPr>
          <w:snapToGrid w:val="0"/>
          <w:kern w:val="22"/>
          <w:lang w:val="es-ES"/>
        </w:rPr>
        <w:t xml:space="preserve"> </w:t>
      </w:r>
      <w:r w:rsidR="00775B5A" w:rsidRPr="00587DCB">
        <w:rPr>
          <w:snapToGrid w:val="0"/>
          <w:kern w:val="22"/>
          <w:lang w:val="es-ES"/>
        </w:rPr>
        <w:t xml:space="preserve">% (29 Partes) </w:t>
      </w:r>
      <w:r>
        <w:rPr>
          <w:snapToGrid w:val="0"/>
          <w:kern w:val="22"/>
          <w:lang w:val="es-ES"/>
        </w:rPr>
        <w:t>indicó que utilizaba la</w:t>
      </w:r>
      <w:r w:rsidR="00775B5A" w:rsidRPr="00587DCB">
        <w:rPr>
          <w:snapToGrid w:val="0"/>
          <w:kern w:val="22"/>
          <w:lang w:val="es-ES"/>
        </w:rPr>
        <w:t xml:space="preserve"> “</w:t>
      </w:r>
      <w:r>
        <w:rPr>
          <w:snapToGrid w:val="0"/>
          <w:kern w:val="22"/>
          <w:lang w:val="es-ES"/>
        </w:rPr>
        <w:t>Orientación sobre la evaluación de</w:t>
      </w:r>
      <w:r w:rsidR="007A67EE">
        <w:rPr>
          <w:snapToGrid w:val="0"/>
          <w:kern w:val="22"/>
          <w:lang w:val="es-ES"/>
        </w:rPr>
        <w:t>l</w:t>
      </w:r>
      <w:r>
        <w:rPr>
          <w:snapToGrid w:val="0"/>
          <w:kern w:val="22"/>
          <w:lang w:val="es-ES"/>
        </w:rPr>
        <w:t xml:space="preserve"> riesgo de los OVM</w:t>
      </w:r>
      <w:r w:rsidR="00775B5A" w:rsidRPr="00587DCB">
        <w:rPr>
          <w:snapToGrid w:val="0"/>
          <w:kern w:val="22"/>
          <w:lang w:val="es-ES"/>
        </w:rPr>
        <w:t>” (</w:t>
      </w:r>
      <w:r>
        <w:rPr>
          <w:snapToGrid w:val="0"/>
          <w:kern w:val="22"/>
          <w:lang w:val="es-ES"/>
        </w:rPr>
        <w:t>elaborada por el Foro en línea y el GEET sobre evaluación de</w:t>
      </w:r>
      <w:r w:rsidR="003C4142">
        <w:rPr>
          <w:snapToGrid w:val="0"/>
          <w:kern w:val="22"/>
          <w:lang w:val="es-ES"/>
        </w:rPr>
        <w:t xml:space="preserve">l riesgo </w:t>
      </w:r>
      <w:r>
        <w:rPr>
          <w:snapToGrid w:val="0"/>
          <w:kern w:val="22"/>
          <w:lang w:val="es-ES"/>
        </w:rPr>
        <w:t>y gestión de</w:t>
      </w:r>
      <w:r w:rsidR="003C4142">
        <w:rPr>
          <w:snapToGrid w:val="0"/>
          <w:kern w:val="22"/>
          <w:lang w:val="es-ES"/>
        </w:rPr>
        <w:t>l</w:t>
      </w:r>
      <w:r>
        <w:rPr>
          <w:snapToGrid w:val="0"/>
          <w:kern w:val="22"/>
          <w:lang w:val="es-ES"/>
        </w:rPr>
        <w:t xml:space="preserve"> riesgo</w:t>
      </w:r>
      <w:r w:rsidR="00775B5A" w:rsidRPr="00587DCB">
        <w:rPr>
          <w:snapToGrid w:val="0"/>
          <w:kern w:val="22"/>
          <w:lang w:val="es-ES"/>
        </w:rPr>
        <w:t xml:space="preserve">). </w:t>
      </w:r>
      <w:r w:rsidRPr="00587DCB">
        <w:rPr>
          <w:snapToGrid w:val="0"/>
          <w:kern w:val="22"/>
          <w:lang w:val="es-ES"/>
        </w:rPr>
        <w:t xml:space="preserve">Esto representa un aumento del </w:t>
      </w:r>
      <w:r w:rsidR="00775B5A" w:rsidRPr="00587DCB">
        <w:rPr>
          <w:snapToGrid w:val="0"/>
          <w:kern w:val="22"/>
          <w:lang w:val="es-ES"/>
        </w:rPr>
        <w:t>5</w:t>
      </w:r>
      <w:r w:rsidRPr="00587DCB">
        <w:rPr>
          <w:snapToGrid w:val="0"/>
          <w:kern w:val="22"/>
          <w:lang w:val="es-ES"/>
        </w:rPr>
        <w:t xml:space="preserve"> </w:t>
      </w:r>
      <w:r w:rsidR="00775B5A" w:rsidRPr="00587DCB">
        <w:rPr>
          <w:snapToGrid w:val="0"/>
          <w:kern w:val="22"/>
          <w:lang w:val="es-ES"/>
        </w:rPr>
        <w:t xml:space="preserve">% (35 Partes) </w:t>
      </w:r>
      <w:r w:rsidRPr="00587DCB">
        <w:rPr>
          <w:snapToGrid w:val="0"/>
          <w:kern w:val="22"/>
          <w:lang w:val="es-ES"/>
        </w:rPr>
        <w:t>en comparación c</w:t>
      </w:r>
      <w:r>
        <w:rPr>
          <w:snapToGrid w:val="0"/>
          <w:kern w:val="22"/>
          <w:lang w:val="es-ES"/>
        </w:rPr>
        <w:t>on la evaluación a mitad de periodo</w:t>
      </w:r>
      <w:r w:rsidR="00775B5A">
        <w:rPr>
          <w:rStyle w:val="FootnoteReference"/>
          <w:rFonts w:ascii="Angsana New" w:hAnsi="Angsana New" w:cs="Angsana New"/>
          <w:snapToGrid w:val="0"/>
          <w:kern w:val="22"/>
        </w:rPr>
        <w:footnoteReference w:id="25"/>
      </w:r>
      <w:r w:rsidRPr="00587DCB">
        <w:rPr>
          <w:snapToGrid w:val="0"/>
          <w:kern w:val="22"/>
          <w:lang w:val="es-ES"/>
        </w:rPr>
        <w:t>.</w:t>
      </w:r>
      <w:r w:rsidR="00775B5A" w:rsidRPr="00587DCB">
        <w:rPr>
          <w:snapToGrid w:val="0"/>
          <w:kern w:val="22"/>
          <w:lang w:val="es-ES"/>
        </w:rPr>
        <w:t xml:space="preserve"> </w:t>
      </w:r>
      <w:r w:rsidRPr="00585883">
        <w:rPr>
          <w:snapToGrid w:val="0"/>
          <w:kern w:val="22"/>
          <w:lang w:val="es-ES"/>
        </w:rPr>
        <w:t xml:space="preserve">El cambio más </w:t>
      </w:r>
      <w:r w:rsidR="00980F0C" w:rsidRPr="00585883">
        <w:rPr>
          <w:snapToGrid w:val="0"/>
          <w:kern w:val="22"/>
          <w:lang w:val="es-ES"/>
        </w:rPr>
        <w:t>importante se notificó</w:t>
      </w:r>
      <w:r w:rsidR="00980F0C" w:rsidRPr="00980F0C">
        <w:rPr>
          <w:snapToGrid w:val="0"/>
          <w:kern w:val="22"/>
          <w:lang w:val="es-ES"/>
        </w:rPr>
        <w:t xml:space="preserve"> en l</w:t>
      </w:r>
      <w:r w:rsidRPr="00980F0C">
        <w:rPr>
          <w:snapToGrid w:val="0"/>
          <w:kern w:val="22"/>
          <w:lang w:val="es-ES"/>
        </w:rPr>
        <w:t xml:space="preserve">a región de África </w:t>
      </w:r>
      <w:r w:rsidR="00775B5A" w:rsidRPr="00980F0C">
        <w:rPr>
          <w:snapToGrid w:val="0"/>
          <w:kern w:val="22"/>
          <w:lang w:val="es-ES"/>
        </w:rPr>
        <w:t>(+</w:t>
      </w:r>
      <w:r w:rsidR="00980F0C" w:rsidRPr="00980F0C">
        <w:rPr>
          <w:snapToGrid w:val="0"/>
          <w:kern w:val="22"/>
          <w:lang w:val="es-ES"/>
        </w:rPr>
        <w:t xml:space="preserve"> </w:t>
      </w:r>
      <w:r w:rsidR="00775B5A" w:rsidRPr="00980F0C">
        <w:rPr>
          <w:snapToGrid w:val="0"/>
          <w:kern w:val="22"/>
          <w:lang w:val="es-ES"/>
        </w:rPr>
        <w:t>28</w:t>
      </w:r>
      <w:r w:rsidR="00980F0C">
        <w:rPr>
          <w:snapToGrid w:val="0"/>
          <w:kern w:val="22"/>
          <w:lang w:val="es-ES"/>
        </w:rPr>
        <w:t xml:space="preserve"> </w:t>
      </w:r>
      <w:r w:rsidR="00775B5A" w:rsidRPr="00980F0C">
        <w:rPr>
          <w:snapToGrid w:val="0"/>
          <w:kern w:val="22"/>
          <w:lang w:val="es-ES"/>
        </w:rPr>
        <w:t xml:space="preserve">%), </w:t>
      </w:r>
      <w:r w:rsidR="00980F0C">
        <w:rPr>
          <w:snapToGrid w:val="0"/>
          <w:kern w:val="22"/>
          <w:lang w:val="es-ES"/>
        </w:rPr>
        <w:t xml:space="preserve">seguido de </w:t>
      </w:r>
      <w:r w:rsidR="00775B5A" w:rsidRPr="00980F0C">
        <w:rPr>
          <w:snapToGrid w:val="0"/>
          <w:kern w:val="22"/>
          <w:lang w:val="es-ES"/>
        </w:rPr>
        <w:t>Asia</w:t>
      </w:r>
      <w:r w:rsidR="0087255D">
        <w:rPr>
          <w:snapToGrid w:val="0"/>
          <w:kern w:val="22"/>
          <w:lang w:val="es-ES"/>
        </w:rPr>
        <w:t xml:space="preserve"> y el </w:t>
      </w:r>
      <w:r w:rsidR="00775B5A" w:rsidRPr="00980F0C">
        <w:rPr>
          <w:snapToGrid w:val="0"/>
          <w:kern w:val="22"/>
          <w:lang w:val="es-ES"/>
        </w:rPr>
        <w:t>Pac</w:t>
      </w:r>
      <w:r w:rsidR="00980F0C">
        <w:rPr>
          <w:snapToGrid w:val="0"/>
          <w:kern w:val="22"/>
          <w:lang w:val="es-ES"/>
        </w:rPr>
        <w:t>ífico</w:t>
      </w:r>
      <w:r w:rsidR="00775B5A" w:rsidRPr="00980F0C">
        <w:rPr>
          <w:snapToGrid w:val="0"/>
          <w:kern w:val="22"/>
          <w:lang w:val="es-ES"/>
        </w:rPr>
        <w:t xml:space="preserve"> (-</w:t>
      </w:r>
      <w:r w:rsidR="00980F0C">
        <w:rPr>
          <w:snapToGrid w:val="0"/>
          <w:kern w:val="22"/>
          <w:lang w:val="es-ES"/>
        </w:rPr>
        <w:t xml:space="preserve"> </w:t>
      </w:r>
      <w:r w:rsidR="00775B5A" w:rsidRPr="00980F0C">
        <w:rPr>
          <w:snapToGrid w:val="0"/>
          <w:kern w:val="22"/>
          <w:lang w:val="es-ES"/>
        </w:rPr>
        <w:t>6</w:t>
      </w:r>
      <w:r w:rsidR="00980F0C">
        <w:rPr>
          <w:snapToGrid w:val="0"/>
          <w:kern w:val="22"/>
          <w:lang w:val="es-ES"/>
        </w:rPr>
        <w:t xml:space="preserve"> </w:t>
      </w:r>
      <w:r w:rsidR="00775B5A" w:rsidRPr="00980F0C">
        <w:rPr>
          <w:snapToGrid w:val="0"/>
          <w:kern w:val="22"/>
          <w:lang w:val="es-ES"/>
        </w:rPr>
        <w:t xml:space="preserve">%) </w:t>
      </w:r>
      <w:r w:rsidR="00980F0C">
        <w:rPr>
          <w:snapToGrid w:val="0"/>
          <w:kern w:val="22"/>
          <w:lang w:val="es-ES"/>
        </w:rPr>
        <w:t xml:space="preserve">y </w:t>
      </w:r>
      <w:r w:rsidR="00EA78DC">
        <w:rPr>
          <w:snapToGrid w:val="0"/>
          <w:kern w:val="22"/>
          <w:lang w:val="es-ES"/>
        </w:rPr>
        <w:t>grupo de Estados de Europa Central y Oriental</w:t>
      </w:r>
      <w:r w:rsidR="00EA78DC" w:rsidRPr="00EC2231">
        <w:rPr>
          <w:snapToGrid w:val="0"/>
          <w:kern w:val="22"/>
          <w:lang w:val="es-ES"/>
        </w:rPr>
        <w:t xml:space="preserve"> </w:t>
      </w:r>
      <w:r w:rsidR="00775B5A" w:rsidRPr="00980F0C">
        <w:rPr>
          <w:snapToGrid w:val="0"/>
          <w:kern w:val="22"/>
          <w:lang w:val="es-ES"/>
        </w:rPr>
        <w:t>(-</w:t>
      </w:r>
      <w:r w:rsidR="00980F0C">
        <w:rPr>
          <w:snapToGrid w:val="0"/>
          <w:kern w:val="22"/>
          <w:lang w:val="es-ES"/>
        </w:rPr>
        <w:t xml:space="preserve"> </w:t>
      </w:r>
      <w:r w:rsidR="00775B5A" w:rsidRPr="00980F0C">
        <w:rPr>
          <w:snapToGrid w:val="0"/>
          <w:kern w:val="22"/>
          <w:lang w:val="es-ES"/>
        </w:rPr>
        <w:t>8</w:t>
      </w:r>
      <w:r w:rsidR="00980F0C">
        <w:rPr>
          <w:snapToGrid w:val="0"/>
          <w:kern w:val="22"/>
          <w:lang w:val="es-ES"/>
        </w:rPr>
        <w:t xml:space="preserve"> </w:t>
      </w:r>
      <w:r w:rsidR="00775B5A" w:rsidRPr="00980F0C">
        <w:rPr>
          <w:snapToGrid w:val="0"/>
          <w:kern w:val="22"/>
          <w:lang w:val="es-ES"/>
        </w:rPr>
        <w:t xml:space="preserve">%), </w:t>
      </w:r>
      <w:r w:rsidR="00980F0C">
        <w:rPr>
          <w:snapToGrid w:val="0"/>
          <w:kern w:val="22"/>
          <w:lang w:val="es-ES"/>
        </w:rPr>
        <w:t xml:space="preserve">mientras que no se informó de ningún cambio con respecto a los datos básicos de referencia en </w:t>
      </w:r>
      <w:r w:rsidR="00D74010">
        <w:rPr>
          <w:snapToGrid w:val="0"/>
          <w:kern w:val="22"/>
          <w:lang w:val="es-ES"/>
        </w:rPr>
        <w:t>el grupo de países de América Latina y el Caribe</w:t>
      </w:r>
      <w:r w:rsidR="00D74010" w:rsidRPr="00980F0C">
        <w:rPr>
          <w:snapToGrid w:val="0"/>
          <w:kern w:val="22"/>
          <w:lang w:val="es-ES"/>
        </w:rPr>
        <w:t xml:space="preserve"> </w:t>
      </w:r>
      <w:r w:rsidR="00980F0C">
        <w:rPr>
          <w:snapToGrid w:val="0"/>
          <w:kern w:val="22"/>
          <w:lang w:val="es-ES"/>
        </w:rPr>
        <w:t>y el grupo de Estados de Europa Occidental y otros</w:t>
      </w:r>
      <w:r w:rsidR="00775B5A" w:rsidRPr="00980F0C">
        <w:rPr>
          <w:rFonts w:ascii="Angsana New" w:hAnsi="Angsana New" w:cs="Angsana New"/>
          <w:snapToGrid w:val="0"/>
          <w:kern w:val="22"/>
          <w:lang w:val="es-ES"/>
        </w:rPr>
        <w:t>.</w:t>
      </w:r>
    </w:p>
    <w:p w:rsidR="00775B5A" w:rsidRPr="00980F0C" w:rsidRDefault="00980F0C"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Pr>
          <w:snapToGrid w:val="0"/>
          <w:kern w:val="22"/>
          <w:lang w:val="es-ES"/>
        </w:rPr>
        <w:t>En cuanto a</w:t>
      </w:r>
      <w:r w:rsidRPr="00980F0C">
        <w:rPr>
          <w:snapToGrid w:val="0"/>
          <w:kern w:val="22"/>
          <w:lang w:val="es-ES"/>
        </w:rPr>
        <w:t xml:space="preserve">l </w:t>
      </w:r>
      <w:r w:rsidR="00775B5A" w:rsidRPr="00980F0C">
        <w:rPr>
          <w:b/>
          <w:bCs/>
          <w:snapToGrid w:val="0"/>
          <w:kern w:val="22"/>
          <w:lang w:val="es-ES"/>
        </w:rPr>
        <w:t>indica</w:t>
      </w:r>
      <w:r w:rsidRPr="00980F0C">
        <w:rPr>
          <w:b/>
          <w:bCs/>
          <w:snapToGrid w:val="0"/>
          <w:kern w:val="22"/>
          <w:lang w:val="es-ES"/>
        </w:rPr>
        <w:t>d</w:t>
      </w:r>
      <w:r w:rsidR="00775B5A" w:rsidRPr="00980F0C">
        <w:rPr>
          <w:b/>
          <w:bCs/>
          <w:snapToGrid w:val="0"/>
          <w:kern w:val="22"/>
          <w:lang w:val="es-ES"/>
        </w:rPr>
        <w:t>or 1.3.2</w:t>
      </w:r>
      <w:r w:rsidR="00775B5A" w:rsidRPr="00980F0C">
        <w:rPr>
          <w:snapToGrid w:val="0"/>
          <w:kern w:val="22"/>
          <w:lang w:val="es-ES"/>
        </w:rPr>
        <w:t xml:space="preserve"> (</w:t>
      </w:r>
      <w:r w:rsidRPr="00980F0C">
        <w:rPr>
          <w:snapToGrid w:val="0"/>
          <w:kern w:val="22"/>
          <w:lang w:val="es-ES"/>
        </w:rPr>
        <w:t>el porcentaje de Partes que adoptan enfoques comunes para la evaluación de</w:t>
      </w:r>
      <w:r w:rsidR="00585883">
        <w:rPr>
          <w:snapToGrid w:val="0"/>
          <w:kern w:val="22"/>
          <w:lang w:val="es-ES"/>
        </w:rPr>
        <w:t>l</w:t>
      </w:r>
      <w:r w:rsidRPr="00980F0C">
        <w:rPr>
          <w:snapToGrid w:val="0"/>
          <w:kern w:val="22"/>
          <w:lang w:val="es-ES"/>
        </w:rPr>
        <w:t xml:space="preserve"> riesgo y gestión de</w:t>
      </w:r>
      <w:r w:rsidR="00585883">
        <w:rPr>
          <w:snapToGrid w:val="0"/>
          <w:kern w:val="22"/>
          <w:lang w:val="es-ES"/>
        </w:rPr>
        <w:t>l</w:t>
      </w:r>
      <w:r w:rsidRPr="00980F0C">
        <w:rPr>
          <w:snapToGrid w:val="0"/>
          <w:kern w:val="22"/>
          <w:lang w:val="es-ES"/>
        </w:rPr>
        <w:t xml:space="preserve"> riesgo</w:t>
      </w:r>
      <w:r w:rsidR="00775B5A" w:rsidRPr="00980F0C">
        <w:rPr>
          <w:snapToGrid w:val="0"/>
          <w:kern w:val="22"/>
          <w:lang w:val="es-ES"/>
        </w:rPr>
        <w:t xml:space="preserve">), </w:t>
      </w:r>
      <w:bookmarkStart w:id="8" w:name="_Hlk33700597"/>
      <w:r w:rsidRPr="00980F0C">
        <w:rPr>
          <w:snapToGrid w:val="0"/>
          <w:kern w:val="22"/>
          <w:lang w:val="es-ES"/>
        </w:rPr>
        <w:t xml:space="preserve">el </w:t>
      </w:r>
      <w:r w:rsidR="00775B5A" w:rsidRPr="00980F0C">
        <w:rPr>
          <w:snapToGrid w:val="0"/>
          <w:kern w:val="22"/>
          <w:lang w:val="es-ES"/>
        </w:rPr>
        <w:t>58</w:t>
      </w:r>
      <w:r>
        <w:rPr>
          <w:snapToGrid w:val="0"/>
          <w:kern w:val="22"/>
          <w:lang w:val="es-ES"/>
        </w:rPr>
        <w:t xml:space="preserve"> </w:t>
      </w:r>
      <w:r w:rsidR="00775B5A" w:rsidRPr="00980F0C">
        <w:rPr>
          <w:snapToGrid w:val="0"/>
          <w:kern w:val="22"/>
          <w:lang w:val="es-ES"/>
        </w:rPr>
        <w:t xml:space="preserve">% (41 Partes) </w:t>
      </w:r>
      <w:bookmarkEnd w:id="8"/>
      <w:r>
        <w:rPr>
          <w:snapToGrid w:val="0"/>
          <w:kern w:val="22"/>
          <w:lang w:val="es-ES"/>
        </w:rPr>
        <w:t>comunicó que había adoptado enfoques o metodologías comunes para la evaluación de</w:t>
      </w:r>
      <w:r w:rsidR="007A67EE">
        <w:rPr>
          <w:snapToGrid w:val="0"/>
          <w:kern w:val="22"/>
          <w:lang w:val="es-ES"/>
        </w:rPr>
        <w:t>l</w:t>
      </w:r>
      <w:r>
        <w:rPr>
          <w:snapToGrid w:val="0"/>
          <w:kern w:val="22"/>
          <w:lang w:val="es-ES"/>
        </w:rPr>
        <w:t xml:space="preserve"> riesgo en coordinación con otros países, lo que supone un aumento del </w:t>
      </w:r>
      <w:r w:rsidR="00775B5A" w:rsidRPr="00980F0C">
        <w:rPr>
          <w:snapToGrid w:val="0"/>
          <w:kern w:val="22"/>
          <w:lang w:val="es-ES"/>
        </w:rPr>
        <w:t>13</w:t>
      </w:r>
      <w:r>
        <w:rPr>
          <w:snapToGrid w:val="0"/>
          <w:kern w:val="22"/>
          <w:lang w:val="es-ES"/>
        </w:rPr>
        <w:t xml:space="preserve"> </w:t>
      </w:r>
      <w:r w:rsidR="00775B5A" w:rsidRPr="00980F0C">
        <w:rPr>
          <w:snapToGrid w:val="0"/>
          <w:kern w:val="22"/>
          <w:lang w:val="es-ES"/>
        </w:rPr>
        <w:t xml:space="preserve">% </w:t>
      </w:r>
      <w:r>
        <w:rPr>
          <w:snapToGrid w:val="0"/>
          <w:kern w:val="22"/>
          <w:lang w:val="es-ES"/>
        </w:rPr>
        <w:t>con respecto a los datos básicos de referencia</w:t>
      </w:r>
      <w:r w:rsidR="00775B5A" w:rsidRPr="00980F0C">
        <w:rPr>
          <w:snapToGrid w:val="0"/>
          <w:kern w:val="22"/>
          <w:lang w:val="es-ES"/>
        </w:rPr>
        <w:t xml:space="preserve">. </w:t>
      </w:r>
      <w:r w:rsidRPr="00980F0C">
        <w:rPr>
          <w:snapToGrid w:val="0"/>
          <w:kern w:val="22"/>
          <w:lang w:val="es-ES"/>
        </w:rPr>
        <w:t xml:space="preserve">Todas las regiones </w:t>
      </w:r>
      <w:r w:rsidR="00976ECC">
        <w:rPr>
          <w:snapToGrid w:val="0"/>
          <w:kern w:val="22"/>
          <w:lang w:val="es-ES"/>
        </w:rPr>
        <w:t>registraron</w:t>
      </w:r>
      <w:r w:rsidRPr="00980F0C">
        <w:rPr>
          <w:snapToGrid w:val="0"/>
          <w:kern w:val="22"/>
          <w:lang w:val="es-ES"/>
        </w:rPr>
        <w:t xml:space="preserve"> un aumento, que fue más pronunciado en el </w:t>
      </w:r>
      <w:r w:rsidR="00D74010">
        <w:rPr>
          <w:snapToGrid w:val="0"/>
          <w:kern w:val="22"/>
          <w:lang w:val="es-ES"/>
        </w:rPr>
        <w:t xml:space="preserve">grupo de países de América Latina y el Caribe </w:t>
      </w:r>
      <w:r w:rsidR="00775B5A" w:rsidRPr="00980F0C">
        <w:rPr>
          <w:snapToGrid w:val="0"/>
          <w:kern w:val="22"/>
          <w:lang w:val="es-ES"/>
        </w:rPr>
        <w:t>(+</w:t>
      </w:r>
      <w:r w:rsidR="00976ECC">
        <w:rPr>
          <w:snapToGrid w:val="0"/>
          <w:kern w:val="22"/>
          <w:lang w:val="es-ES"/>
        </w:rPr>
        <w:t xml:space="preserve"> </w:t>
      </w:r>
      <w:r w:rsidR="00775B5A" w:rsidRPr="00980F0C">
        <w:rPr>
          <w:snapToGrid w:val="0"/>
          <w:kern w:val="22"/>
          <w:lang w:val="es-ES"/>
        </w:rPr>
        <w:t>23</w:t>
      </w:r>
      <w:r w:rsidR="00976ECC">
        <w:rPr>
          <w:snapToGrid w:val="0"/>
          <w:kern w:val="22"/>
          <w:lang w:val="es-ES"/>
        </w:rPr>
        <w:t xml:space="preserve"> </w:t>
      </w:r>
      <w:r w:rsidR="00775B5A" w:rsidRPr="00980F0C">
        <w:rPr>
          <w:snapToGrid w:val="0"/>
          <w:kern w:val="22"/>
          <w:lang w:val="es-ES"/>
        </w:rPr>
        <w:t xml:space="preserve">%), </w:t>
      </w:r>
      <w:r w:rsidR="00976ECC">
        <w:rPr>
          <w:snapToGrid w:val="0"/>
          <w:kern w:val="22"/>
          <w:lang w:val="es-ES"/>
        </w:rPr>
        <w:t>seguido de</w:t>
      </w:r>
      <w:r w:rsidR="00EA78DC">
        <w:rPr>
          <w:snapToGrid w:val="0"/>
          <w:kern w:val="22"/>
          <w:lang w:val="es-ES"/>
        </w:rPr>
        <w:t>l grupo de Estados de Europa Central y Oriental</w:t>
      </w:r>
      <w:r w:rsidR="00775B5A" w:rsidRPr="00980F0C">
        <w:rPr>
          <w:snapToGrid w:val="0"/>
          <w:kern w:val="22"/>
          <w:lang w:val="es-ES"/>
        </w:rPr>
        <w:t xml:space="preserve"> (+</w:t>
      </w:r>
      <w:r w:rsidR="00976ECC">
        <w:rPr>
          <w:snapToGrid w:val="0"/>
          <w:kern w:val="22"/>
          <w:lang w:val="es-ES"/>
        </w:rPr>
        <w:t xml:space="preserve"> </w:t>
      </w:r>
      <w:r w:rsidR="00775B5A" w:rsidRPr="00980F0C">
        <w:rPr>
          <w:snapToGrid w:val="0"/>
          <w:kern w:val="22"/>
          <w:lang w:val="es-ES"/>
        </w:rPr>
        <w:t>14</w:t>
      </w:r>
      <w:r w:rsidR="00976ECC">
        <w:rPr>
          <w:snapToGrid w:val="0"/>
          <w:kern w:val="22"/>
          <w:lang w:val="es-ES"/>
        </w:rPr>
        <w:t xml:space="preserve"> </w:t>
      </w:r>
      <w:r w:rsidR="00775B5A" w:rsidRPr="00980F0C">
        <w:rPr>
          <w:snapToGrid w:val="0"/>
          <w:kern w:val="22"/>
          <w:lang w:val="es-ES"/>
        </w:rPr>
        <w:t xml:space="preserve">%), </w:t>
      </w:r>
      <w:r w:rsidR="00976ECC">
        <w:rPr>
          <w:snapToGrid w:val="0"/>
          <w:kern w:val="22"/>
          <w:lang w:val="es-ES"/>
        </w:rPr>
        <w:t>el grupo de Estados de Europa Occidental y otros</w:t>
      </w:r>
      <w:r w:rsidR="00775B5A" w:rsidRPr="00980F0C">
        <w:rPr>
          <w:snapToGrid w:val="0"/>
          <w:kern w:val="22"/>
          <w:lang w:val="es-ES"/>
        </w:rPr>
        <w:t xml:space="preserve"> (+</w:t>
      </w:r>
      <w:r w:rsidR="00976ECC">
        <w:rPr>
          <w:snapToGrid w:val="0"/>
          <w:kern w:val="22"/>
          <w:lang w:val="es-ES"/>
        </w:rPr>
        <w:t xml:space="preserve"> </w:t>
      </w:r>
      <w:r w:rsidR="00775B5A" w:rsidRPr="00980F0C">
        <w:rPr>
          <w:snapToGrid w:val="0"/>
          <w:kern w:val="22"/>
          <w:lang w:val="es-ES"/>
        </w:rPr>
        <w:t>13</w:t>
      </w:r>
      <w:r w:rsidR="00976ECC">
        <w:rPr>
          <w:snapToGrid w:val="0"/>
          <w:kern w:val="22"/>
          <w:lang w:val="es-ES"/>
        </w:rPr>
        <w:t xml:space="preserve"> </w:t>
      </w:r>
      <w:r w:rsidR="00775B5A" w:rsidRPr="00980F0C">
        <w:rPr>
          <w:snapToGrid w:val="0"/>
          <w:kern w:val="22"/>
          <w:lang w:val="es-ES"/>
        </w:rPr>
        <w:t>%)</w:t>
      </w:r>
      <w:r w:rsidR="00585883">
        <w:rPr>
          <w:snapToGrid w:val="0"/>
          <w:kern w:val="22"/>
          <w:lang w:val="es-ES"/>
        </w:rPr>
        <w:t>,</w:t>
      </w:r>
      <w:r w:rsidR="00775B5A" w:rsidRPr="00980F0C">
        <w:rPr>
          <w:snapToGrid w:val="0"/>
          <w:kern w:val="22"/>
          <w:lang w:val="es-ES"/>
        </w:rPr>
        <w:t xml:space="preserve"> Asia</w:t>
      </w:r>
      <w:r w:rsidR="0087255D">
        <w:rPr>
          <w:snapToGrid w:val="0"/>
          <w:kern w:val="22"/>
          <w:lang w:val="es-ES"/>
        </w:rPr>
        <w:t xml:space="preserve"> y el </w:t>
      </w:r>
      <w:r w:rsidR="00775B5A" w:rsidRPr="00980F0C">
        <w:rPr>
          <w:snapToGrid w:val="0"/>
          <w:kern w:val="22"/>
          <w:lang w:val="es-ES"/>
        </w:rPr>
        <w:t>Pac</w:t>
      </w:r>
      <w:r w:rsidR="00976ECC">
        <w:rPr>
          <w:snapToGrid w:val="0"/>
          <w:kern w:val="22"/>
          <w:lang w:val="es-ES"/>
        </w:rPr>
        <w:t>ífico</w:t>
      </w:r>
      <w:r w:rsidR="00775B5A" w:rsidRPr="00980F0C">
        <w:rPr>
          <w:snapToGrid w:val="0"/>
          <w:kern w:val="22"/>
          <w:lang w:val="es-ES"/>
        </w:rPr>
        <w:t xml:space="preserve"> (+</w:t>
      </w:r>
      <w:r w:rsidR="00976ECC">
        <w:rPr>
          <w:snapToGrid w:val="0"/>
          <w:kern w:val="22"/>
          <w:lang w:val="es-ES"/>
        </w:rPr>
        <w:t xml:space="preserve"> </w:t>
      </w:r>
      <w:r w:rsidR="00775B5A" w:rsidRPr="00980F0C">
        <w:rPr>
          <w:snapToGrid w:val="0"/>
          <w:kern w:val="22"/>
          <w:lang w:val="es-ES"/>
        </w:rPr>
        <w:t>11</w:t>
      </w:r>
      <w:r w:rsidR="00976ECC">
        <w:rPr>
          <w:snapToGrid w:val="0"/>
          <w:kern w:val="22"/>
          <w:lang w:val="es-ES"/>
        </w:rPr>
        <w:t xml:space="preserve"> </w:t>
      </w:r>
      <w:r w:rsidR="00775B5A" w:rsidRPr="00980F0C">
        <w:rPr>
          <w:snapToGrid w:val="0"/>
          <w:kern w:val="22"/>
          <w:lang w:val="es-ES"/>
        </w:rPr>
        <w:t xml:space="preserve">%) </w:t>
      </w:r>
      <w:r w:rsidR="00976ECC">
        <w:rPr>
          <w:snapToGrid w:val="0"/>
          <w:kern w:val="22"/>
          <w:lang w:val="es-ES"/>
        </w:rPr>
        <w:t>y</w:t>
      </w:r>
      <w:r w:rsidR="00775B5A" w:rsidRPr="00980F0C">
        <w:rPr>
          <w:snapToGrid w:val="0"/>
          <w:kern w:val="22"/>
          <w:lang w:val="es-ES"/>
        </w:rPr>
        <w:t xml:space="preserve"> </w:t>
      </w:r>
      <w:r w:rsidR="00976ECC">
        <w:rPr>
          <w:snapToGrid w:val="0"/>
          <w:kern w:val="22"/>
          <w:lang w:val="es-ES"/>
        </w:rPr>
        <w:t>Á</w:t>
      </w:r>
      <w:r w:rsidR="00775B5A" w:rsidRPr="00980F0C">
        <w:rPr>
          <w:snapToGrid w:val="0"/>
          <w:kern w:val="22"/>
          <w:lang w:val="es-ES"/>
        </w:rPr>
        <w:t>frica (+</w:t>
      </w:r>
      <w:r w:rsidR="00976ECC">
        <w:rPr>
          <w:snapToGrid w:val="0"/>
          <w:kern w:val="22"/>
          <w:lang w:val="es-ES"/>
        </w:rPr>
        <w:t xml:space="preserve"> </w:t>
      </w:r>
      <w:r w:rsidR="00775B5A" w:rsidRPr="00980F0C">
        <w:rPr>
          <w:snapToGrid w:val="0"/>
          <w:kern w:val="22"/>
          <w:lang w:val="es-ES"/>
        </w:rPr>
        <w:t>5</w:t>
      </w:r>
      <w:r w:rsidR="00976ECC">
        <w:rPr>
          <w:snapToGrid w:val="0"/>
          <w:kern w:val="22"/>
          <w:lang w:val="es-ES"/>
        </w:rPr>
        <w:t xml:space="preserve"> </w:t>
      </w:r>
      <w:r w:rsidR="00775B5A" w:rsidRPr="00980F0C">
        <w:rPr>
          <w:snapToGrid w:val="0"/>
          <w:kern w:val="22"/>
          <w:lang w:val="es-ES"/>
        </w:rPr>
        <w:t>%).</w:t>
      </w:r>
    </w:p>
    <w:p w:rsidR="00775B5A" w:rsidRPr="006767F9" w:rsidRDefault="00976ECC"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976ECC">
        <w:rPr>
          <w:snapToGrid w:val="0"/>
          <w:kern w:val="22"/>
          <w:lang w:val="es-ES"/>
        </w:rPr>
        <w:t xml:space="preserve">En relación con el </w:t>
      </w:r>
      <w:r w:rsidR="00775B5A" w:rsidRPr="00976ECC">
        <w:rPr>
          <w:b/>
          <w:bCs/>
          <w:snapToGrid w:val="0"/>
          <w:kern w:val="22"/>
          <w:lang w:val="es-ES"/>
        </w:rPr>
        <w:t>indica</w:t>
      </w:r>
      <w:r w:rsidRPr="00976ECC">
        <w:rPr>
          <w:b/>
          <w:bCs/>
          <w:snapToGrid w:val="0"/>
          <w:kern w:val="22"/>
          <w:lang w:val="es-ES"/>
        </w:rPr>
        <w:t>d</w:t>
      </w:r>
      <w:r w:rsidR="00775B5A" w:rsidRPr="00976ECC">
        <w:rPr>
          <w:b/>
          <w:bCs/>
          <w:snapToGrid w:val="0"/>
          <w:kern w:val="22"/>
          <w:lang w:val="es-ES"/>
        </w:rPr>
        <w:t>or 1.3.3</w:t>
      </w:r>
      <w:r w:rsidR="00775B5A" w:rsidRPr="00976ECC">
        <w:rPr>
          <w:snapToGrid w:val="0"/>
          <w:kern w:val="22"/>
          <w:lang w:val="es-ES"/>
        </w:rPr>
        <w:t xml:space="preserve"> (</w:t>
      </w:r>
      <w:r w:rsidRPr="00976ECC">
        <w:rPr>
          <w:snapToGrid w:val="0"/>
          <w:kern w:val="22"/>
          <w:lang w:val="es-ES"/>
        </w:rPr>
        <w:t xml:space="preserve">el porcentaje de Partes que </w:t>
      </w:r>
      <w:r>
        <w:rPr>
          <w:snapToGrid w:val="0"/>
          <w:kern w:val="22"/>
          <w:lang w:val="es-ES"/>
        </w:rPr>
        <w:t xml:space="preserve">realizan </w:t>
      </w:r>
      <w:r w:rsidRPr="00976ECC">
        <w:rPr>
          <w:snapToGrid w:val="0"/>
          <w:kern w:val="22"/>
          <w:lang w:val="es-ES"/>
        </w:rPr>
        <w:t>evaluaciones de riesgos reales en virtud del Protocolo</w:t>
      </w:r>
      <w:r w:rsidR="00775B5A" w:rsidRPr="00976ECC">
        <w:rPr>
          <w:snapToGrid w:val="0"/>
          <w:kern w:val="22"/>
          <w:lang w:val="es-ES"/>
        </w:rPr>
        <w:t xml:space="preserve">), </w:t>
      </w:r>
      <w:r w:rsidRPr="00976ECC">
        <w:rPr>
          <w:snapToGrid w:val="0"/>
          <w:kern w:val="22"/>
          <w:lang w:val="es-ES"/>
        </w:rPr>
        <w:t xml:space="preserve">el </w:t>
      </w:r>
      <w:r w:rsidR="00775B5A" w:rsidRPr="00976ECC">
        <w:rPr>
          <w:snapToGrid w:val="0"/>
          <w:kern w:val="22"/>
          <w:lang w:val="es-ES"/>
        </w:rPr>
        <w:t>61</w:t>
      </w:r>
      <w:r>
        <w:rPr>
          <w:snapToGrid w:val="0"/>
          <w:kern w:val="22"/>
          <w:lang w:val="es-ES"/>
        </w:rPr>
        <w:t xml:space="preserve"> </w:t>
      </w:r>
      <w:r w:rsidR="00775B5A" w:rsidRPr="00976ECC">
        <w:rPr>
          <w:snapToGrid w:val="0"/>
          <w:kern w:val="22"/>
          <w:lang w:val="es-ES"/>
        </w:rPr>
        <w:t xml:space="preserve">% </w:t>
      </w:r>
      <w:r>
        <w:rPr>
          <w:snapToGrid w:val="0"/>
          <w:kern w:val="22"/>
          <w:lang w:val="es-ES"/>
        </w:rPr>
        <w:t xml:space="preserve">de las </w:t>
      </w:r>
      <w:r w:rsidR="00775B5A" w:rsidRPr="00976ECC">
        <w:rPr>
          <w:snapToGrid w:val="0"/>
          <w:kern w:val="22"/>
          <w:lang w:val="es-ES"/>
        </w:rPr>
        <w:t xml:space="preserve">Partes (43 Partes) </w:t>
      </w:r>
      <w:r>
        <w:rPr>
          <w:snapToGrid w:val="0"/>
          <w:kern w:val="22"/>
          <w:lang w:val="es-ES"/>
        </w:rPr>
        <w:t>comunic</w:t>
      </w:r>
      <w:r w:rsidR="00585883">
        <w:rPr>
          <w:snapToGrid w:val="0"/>
          <w:kern w:val="22"/>
          <w:lang w:val="es-ES"/>
        </w:rPr>
        <w:t>ó</w:t>
      </w:r>
      <w:r>
        <w:rPr>
          <w:snapToGrid w:val="0"/>
          <w:kern w:val="22"/>
          <w:lang w:val="es-ES"/>
        </w:rPr>
        <w:t xml:space="preserve"> que había realizado evaluaciones de</w:t>
      </w:r>
      <w:r w:rsidR="00585883">
        <w:rPr>
          <w:snapToGrid w:val="0"/>
          <w:kern w:val="22"/>
          <w:lang w:val="es-ES"/>
        </w:rPr>
        <w:t>l</w:t>
      </w:r>
      <w:r>
        <w:rPr>
          <w:snapToGrid w:val="0"/>
          <w:kern w:val="22"/>
          <w:lang w:val="es-ES"/>
        </w:rPr>
        <w:t xml:space="preserve"> riesgo de los OVM en virtud del </w:t>
      </w:r>
      <w:r w:rsidR="00775B5A" w:rsidRPr="00976ECC">
        <w:rPr>
          <w:snapToGrid w:val="0"/>
          <w:kern w:val="22"/>
          <w:lang w:val="es-ES"/>
        </w:rPr>
        <w:t>Protocol</w:t>
      </w:r>
      <w:r>
        <w:rPr>
          <w:snapToGrid w:val="0"/>
          <w:kern w:val="22"/>
          <w:lang w:val="es-ES"/>
        </w:rPr>
        <w:t>o en el actual periodo de presentación de informes</w:t>
      </w:r>
      <w:r w:rsidR="00775B5A" w:rsidRPr="00976ECC">
        <w:rPr>
          <w:snapToGrid w:val="0"/>
          <w:kern w:val="22"/>
          <w:lang w:val="es-ES"/>
        </w:rPr>
        <w:t xml:space="preserve">. </w:t>
      </w:r>
      <w:r>
        <w:rPr>
          <w:snapToGrid w:val="0"/>
          <w:kern w:val="22"/>
          <w:lang w:val="es-ES"/>
        </w:rPr>
        <w:t xml:space="preserve">Esto representa un aumento del </w:t>
      </w:r>
      <w:r w:rsidR="00775B5A" w:rsidRPr="00976ECC">
        <w:rPr>
          <w:snapToGrid w:val="0"/>
          <w:kern w:val="22"/>
          <w:lang w:val="es-ES"/>
        </w:rPr>
        <w:t>9</w:t>
      </w:r>
      <w:r w:rsidRPr="00976ECC">
        <w:rPr>
          <w:snapToGrid w:val="0"/>
          <w:kern w:val="22"/>
          <w:lang w:val="es-ES"/>
        </w:rPr>
        <w:t xml:space="preserve"> </w:t>
      </w:r>
      <w:r w:rsidR="00775B5A" w:rsidRPr="00976ECC">
        <w:rPr>
          <w:snapToGrid w:val="0"/>
          <w:kern w:val="22"/>
          <w:lang w:val="es-ES"/>
        </w:rPr>
        <w:t xml:space="preserve">% </w:t>
      </w:r>
      <w:r w:rsidRPr="00976ECC">
        <w:rPr>
          <w:snapToGrid w:val="0"/>
          <w:kern w:val="22"/>
          <w:lang w:val="es-ES"/>
        </w:rPr>
        <w:t>con respecto a los datos b</w:t>
      </w:r>
      <w:r>
        <w:rPr>
          <w:snapToGrid w:val="0"/>
          <w:kern w:val="22"/>
          <w:lang w:val="es-ES"/>
        </w:rPr>
        <w:t>ásicos de referencia</w:t>
      </w:r>
      <w:r w:rsidR="00775B5A" w:rsidRPr="00976ECC">
        <w:rPr>
          <w:snapToGrid w:val="0"/>
          <w:kern w:val="22"/>
          <w:lang w:val="es-ES"/>
        </w:rPr>
        <w:t>. A</w:t>
      </w:r>
      <w:r w:rsidRPr="00976ECC">
        <w:rPr>
          <w:snapToGrid w:val="0"/>
          <w:kern w:val="22"/>
          <w:lang w:val="es-ES"/>
        </w:rPr>
        <w:t xml:space="preserve"> nivel regional, se registraron aumentos en </w:t>
      </w:r>
      <w:r w:rsidR="00EA78DC">
        <w:rPr>
          <w:snapToGrid w:val="0"/>
          <w:kern w:val="22"/>
          <w:lang w:val="es-ES"/>
        </w:rPr>
        <w:t>el grupo de Estados de Europa Central y Oriental</w:t>
      </w:r>
      <w:r w:rsidR="00EA78DC" w:rsidRPr="00EC2231">
        <w:rPr>
          <w:snapToGrid w:val="0"/>
          <w:kern w:val="22"/>
          <w:lang w:val="es-ES"/>
        </w:rPr>
        <w:t xml:space="preserve"> </w:t>
      </w:r>
      <w:r w:rsidR="00775B5A" w:rsidRPr="00976ECC">
        <w:rPr>
          <w:snapToGrid w:val="0"/>
          <w:kern w:val="22"/>
          <w:lang w:val="es-ES"/>
        </w:rPr>
        <w:t>(+</w:t>
      </w:r>
      <w:r w:rsidRPr="00976ECC">
        <w:rPr>
          <w:snapToGrid w:val="0"/>
          <w:kern w:val="22"/>
          <w:lang w:val="es-ES"/>
        </w:rPr>
        <w:t xml:space="preserve"> </w:t>
      </w:r>
      <w:r w:rsidR="00775B5A" w:rsidRPr="00976ECC">
        <w:rPr>
          <w:snapToGrid w:val="0"/>
          <w:kern w:val="22"/>
          <w:lang w:val="es-ES"/>
        </w:rPr>
        <w:t>36</w:t>
      </w:r>
      <w:r>
        <w:rPr>
          <w:snapToGrid w:val="0"/>
          <w:kern w:val="22"/>
          <w:lang w:val="es-ES"/>
        </w:rPr>
        <w:t xml:space="preserve"> </w:t>
      </w:r>
      <w:r w:rsidR="00775B5A" w:rsidRPr="00976ECC">
        <w:rPr>
          <w:snapToGrid w:val="0"/>
          <w:kern w:val="22"/>
          <w:lang w:val="es-ES"/>
        </w:rPr>
        <w:t>%)</w:t>
      </w:r>
      <w:r w:rsidR="00585883">
        <w:rPr>
          <w:snapToGrid w:val="0"/>
          <w:kern w:val="22"/>
          <w:lang w:val="es-ES"/>
        </w:rPr>
        <w:t>,</w:t>
      </w:r>
      <w:r w:rsidR="00775B5A" w:rsidRPr="00976ECC">
        <w:rPr>
          <w:snapToGrid w:val="0"/>
          <w:kern w:val="22"/>
          <w:lang w:val="es-ES"/>
        </w:rPr>
        <w:t xml:space="preserve"> Asia</w:t>
      </w:r>
      <w:r w:rsidR="0087255D">
        <w:rPr>
          <w:snapToGrid w:val="0"/>
          <w:kern w:val="22"/>
          <w:lang w:val="es-ES"/>
        </w:rPr>
        <w:t xml:space="preserve"> y el </w:t>
      </w:r>
      <w:r>
        <w:rPr>
          <w:snapToGrid w:val="0"/>
          <w:kern w:val="22"/>
          <w:lang w:val="es-ES"/>
        </w:rPr>
        <w:t>Pacífico</w:t>
      </w:r>
      <w:r w:rsidR="00775B5A" w:rsidRPr="00976ECC">
        <w:rPr>
          <w:snapToGrid w:val="0"/>
          <w:kern w:val="22"/>
          <w:lang w:val="es-ES"/>
        </w:rPr>
        <w:t xml:space="preserve"> (+</w:t>
      </w:r>
      <w:r>
        <w:rPr>
          <w:snapToGrid w:val="0"/>
          <w:kern w:val="22"/>
          <w:lang w:val="es-ES"/>
        </w:rPr>
        <w:t xml:space="preserve"> </w:t>
      </w:r>
      <w:r w:rsidR="00775B5A" w:rsidRPr="00976ECC">
        <w:rPr>
          <w:snapToGrid w:val="0"/>
          <w:kern w:val="22"/>
          <w:lang w:val="es-ES"/>
        </w:rPr>
        <w:t>22</w:t>
      </w:r>
      <w:r>
        <w:rPr>
          <w:snapToGrid w:val="0"/>
          <w:kern w:val="22"/>
          <w:lang w:val="es-ES"/>
        </w:rPr>
        <w:t xml:space="preserve"> </w:t>
      </w:r>
      <w:r w:rsidR="00775B5A" w:rsidRPr="00976ECC">
        <w:rPr>
          <w:snapToGrid w:val="0"/>
          <w:kern w:val="22"/>
          <w:lang w:val="es-ES"/>
        </w:rPr>
        <w:t xml:space="preserve">%) </w:t>
      </w:r>
      <w:r>
        <w:rPr>
          <w:snapToGrid w:val="0"/>
          <w:kern w:val="22"/>
          <w:lang w:val="es-ES"/>
        </w:rPr>
        <w:t xml:space="preserve">y el grupo de Estados de Europa Occidental y otros </w:t>
      </w:r>
      <w:r w:rsidR="00775B5A" w:rsidRPr="00976ECC">
        <w:rPr>
          <w:snapToGrid w:val="0"/>
          <w:kern w:val="22"/>
          <w:lang w:val="es-ES"/>
        </w:rPr>
        <w:t>(+</w:t>
      </w:r>
      <w:r>
        <w:rPr>
          <w:snapToGrid w:val="0"/>
          <w:kern w:val="22"/>
          <w:lang w:val="es-ES"/>
        </w:rPr>
        <w:t xml:space="preserve"> </w:t>
      </w:r>
      <w:r w:rsidR="00775B5A" w:rsidRPr="00976ECC">
        <w:rPr>
          <w:snapToGrid w:val="0"/>
          <w:kern w:val="22"/>
          <w:lang w:val="es-ES"/>
        </w:rPr>
        <w:t>6</w:t>
      </w:r>
      <w:r>
        <w:rPr>
          <w:snapToGrid w:val="0"/>
          <w:kern w:val="22"/>
          <w:lang w:val="es-ES"/>
        </w:rPr>
        <w:t xml:space="preserve"> </w:t>
      </w:r>
      <w:r w:rsidR="00775B5A" w:rsidRPr="00976ECC">
        <w:rPr>
          <w:snapToGrid w:val="0"/>
          <w:kern w:val="22"/>
          <w:lang w:val="es-ES"/>
        </w:rPr>
        <w:t xml:space="preserve">%). </w:t>
      </w:r>
      <w:r w:rsidRPr="00976ECC">
        <w:rPr>
          <w:snapToGrid w:val="0"/>
          <w:kern w:val="22"/>
          <w:lang w:val="es-ES"/>
        </w:rPr>
        <w:t xml:space="preserve">La región </w:t>
      </w:r>
      <w:r>
        <w:rPr>
          <w:snapToGrid w:val="0"/>
          <w:kern w:val="22"/>
          <w:lang w:val="es-ES"/>
        </w:rPr>
        <w:t xml:space="preserve">del </w:t>
      </w:r>
      <w:r w:rsidR="00D74010">
        <w:rPr>
          <w:snapToGrid w:val="0"/>
          <w:kern w:val="22"/>
          <w:lang w:val="es-ES"/>
        </w:rPr>
        <w:t>grupo de países de América Latina y el Caribe</w:t>
      </w:r>
      <w:r w:rsidR="00D74010" w:rsidRPr="00976ECC">
        <w:rPr>
          <w:snapToGrid w:val="0"/>
          <w:kern w:val="22"/>
          <w:lang w:val="es-ES"/>
        </w:rPr>
        <w:t xml:space="preserve"> </w:t>
      </w:r>
      <w:r w:rsidRPr="00976ECC">
        <w:rPr>
          <w:snapToGrid w:val="0"/>
          <w:kern w:val="22"/>
          <w:lang w:val="es-ES"/>
        </w:rPr>
        <w:t xml:space="preserve">mostró un descenso </w:t>
      </w:r>
      <w:r w:rsidR="00775B5A" w:rsidRPr="00976ECC">
        <w:rPr>
          <w:snapToGrid w:val="0"/>
          <w:kern w:val="22"/>
          <w:lang w:val="es-ES"/>
        </w:rPr>
        <w:t>(-</w:t>
      </w:r>
      <w:r w:rsidRPr="00976ECC">
        <w:rPr>
          <w:snapToGrid w:val="0"/>
          <w:kern w:val="22"/>
          <w:lang w:val="es-ES"/>
        </w:rPr>
        <w:t xml:space="preserve"> </w:t>
      </w:r>
      <w:r w:rsidR="00775B5A" w:rsidRPr="00976ECC">
        <w:rPr>
          <w:snapToGrid w:val="0"/>
          <w:kern w:val="22"/>
          <w:lang w:val="es-ES"/>
        </w:rPr>
        <w:t>15</w:t>
      </w:r>
      <w:r w:rsidRPr="00976ECC">
        <w:rPr>
          <w:snapToGrid w:val="0"/>
          <w:kern w:val="22"/>
          <w:lang w:val="es-ES"/>
        </w:rPr>
        <w:t xml:space="preserve"> </w:t>
      </w:r>
      <w:r w:rsidR="00775B5A" w:rsidRPr="00976ECC">
        <w:rPr>
          <w:snapToGrid w:val="0"/>
          <w:kern w:val="22"/>
          <w:lang w:val="es-ES"/>
        </w:rPr>
        <w:t xml:space="preserve">%), </w:t>
      </w:r>
      <w:r w:rsidRPr="00976ECC">
        <w:rPr>
          <w:snapToGrid w:val="0"/>
          <w:kern w:val="22"/>
          <w:lang w:val="es-ES"/>
        </w:rPr>
        <w:t xml:space="preserve">mientras que la región de </w:t>
      </w:r>
      <w:r>
        <w:rPr>
          <w:snapToGrid w:val="0"/>
          <w:kern w:val="22"/>
          <w:lang w:val="es-ES"/>
        </w:rPr>
        <w:t>Á</w:t>
      </w:r>
      <w:r w:rsidR="00775B5A" w:rsidRPr="00976ECC">
        <w:rPr>
          <w:snapToGrid w:val="0"/>
          <w:kern w:val="22"/>
          <w:lang w:val="es-ES"/>
        </w:rPr>
        <w:t>frica</w:t>
      </w:r>
      <w:r>
        <w:rPr>
          <w:snapToGrid w:val="0"/>
          <w:kern w:val="22"/>
          <w:lang w:val="es-ES"/>
        </w:rPr>
        <w:t xml:space="preserve"> no mostró cambios con respecto a los datos básicos de referencia</w:t>
      </w:r>
      <w:r w:rsidR="00775B5A" w:rsidRPr="00976ECC">
        <w:rPr>
          <w:snapToGrid w:val="0"/>
          <w:kern w:val="22"/>
          <w:lang w:val="es-ES"/>
        </w:rPr>
        <w:t xml:space="preserve">. </w:t>
      </w:r>
      <w:r w:rsidR="006767F9" w:rsidRPr="006767F9">
        <w:rPr>
          <w:snapToGrid w:val="0"/>
          <w:kern w:val="22"/>
          <w:lang w:val="es-ES"/>
        </w:rPr>
        <w:t>De las que indicaron haber realizado una evaluación de</w:t>
      </w:r>
      <w:r w:rsidR="007A67EE">
        <w:rPr>
          <w:snapToGrid w:val="0"/>
          <w:kern w:val="22"/>
          <w:lang w:val="es-ES"/>
        </w:rPr>
        <w:t>l</w:t>
      </w:r>
      <w:r w:rsidR="006767F9" w:rsidRPr="006767F9">
        <w:rPr>
          <w:snapToGrid w:val="0"/>
          <w:kern w:val="22"/>
          <w:lang w:val="es-ES"/>
        </w:rPr>
        <w:t xml:space="preserve"> riesgo, el </w:t>
      </w:r>
      <w:r w:rsidR="00775B5A" w:rsidRPr="006767F9">
        <w:rPr>
          <w:snapToGrid w:val="0"/>
          <w:kern w:val="22"/>
          <w:lang w:val="es-ES"/>
        </w:rPr>
        <w:t>25</w:t>
      </w:r>
      <w:r w:rsidR="006767F9" w:rsidRPr="006767F9">
        <w:rPr>
          <w:snapToGrid w:val="0"/>
          <w:kern w:val="22"/>
          <w:lang w:val="es-ES"/>
        </w:rPr>
        <w:t xml:space="preserve"> </w:t>
      </w:r>
      <w:r w:rsidR="00775B5A" w:rsidRPr="006767F9">
        <w:rPr>
          <w:snapToGrid w:val="0"/>
          <w:kern w:val="22"/>
          <w:lang w:val="es-ES"/>
        </w:rPr>
        <w:t xml:space="preserve">% </w:t>
      </w:r>
      <w:r w:rsidR="00F8524F">
        <w:rPr>
          <w:snapToGrid w:val="0"/>
          <w:kern w:val="22"/>
          <w:lang w:val="es-ES"/>
        </w:rPr>
        <w:t>notificó</w:t>
      </w:r>
      <w:r w:rsidR="006767F9" w:rsidRPr="006767F9">
        <w:rPr>
          <w:snapToGrid w:val="0"/>
          <w:kern w:val="22"/>
          <w:lang w:val="es-ES"/>
        </w:rPr>
        <w:t xml:space="preserve"> que había realizado </w:t>
      </w:r>
      <w:r w:rsidR="00775B5A" w:rsidRPr="006767F9">
        <w:rPr>
          <w:snapToGrid w:val="0"/>
          <w:kern w:val="22"/>
          <w:lang w:val="es-ES"/>
        </w:rPr>
        <w:t xml:space="preserve">100 </w:t>
      </w:r>
      <w:r w:rsidR="006767F9" w:rsidRPr="006767F9">
        <w:rPr>
          <w:snapToGrid w:val="0"/>
          <w:kern w:val="22"/>
          <w:lang w:val="es-ES"/>
        </w:rPr>
        <w:t>o más evaluaciones de riesgos en este ciclo de presentaci</w:t>
      </w:r>
      <w:r w:rsidR="006767F9">
        <w:rPr>
          <w:snapToGrid w:val="0"/>
          <w:kern w:val="22"/>
          <w:lang w:val="es-ES"/>
        </w:rPr>
        <w:t>ón de informes</w:t>
      </w:r>
      <w:r w:rsidR="00585883">
        <w:rPr>
          <w:snapToGrid w:val="0"/>
          <w:kern w:val="22"/>
          <w:lang w:val="es-ES"/>
        </w:rPr>
        <w:t>,</w:t>
      </w:r>
      <w:r w:rsidR="00775B5A" w:rsidRPr="006767F9">
        <w:rPr>
          <w:snapToGrid w:val="0"/>
          <w:kern w:val="22"/>
          <w:lang w:val="es-ES"/>
        </w:rPr>
        <w:t xml:space="preserve"> </w:t>
      </w:r>
      <w:r w:rsidR="006767F9">
        <w:rPr>
          <w:snapToGrid w:val="0"/>
          <w:kern w:val="22"/>
          <w:lang w:val="es-ES"/>
        </w:rPr>
        <w:t xml:space="preserve">el </w:t>
      </w:r>
      <w:r w:rsidR="00775B5A" w:rsidRPr="006767F9">
        <w:rPr>
          <w:snapToGrid w:val="0"/>
          <w:kern w:val="22"/>
          <w:lang w:val="es-ES"/>
        </w:rPr>
        <w:t>15</w:t>
      </w:r>
      <w:r w:rsidR="006767F9">
        <w:rPr>
          <w:snapToGrid w:val="0"/>
          <w:kern w:val="22"/>
          <w:lang w:val="es-ES"/>
        </w:rPr>
        <w:t xml:space="preserve"> </w:t>
      </w:r>
      <w:r w:rsidR="00775B5A" w:rsidRPr="006767F9">
        <w:rPr>
          <w:snapToGrid w:val="0"/>
          <w:kern w:val="22"/>
          <w:lang w:val="es-ES"/>
        </w:rPr>
        <w:t xml:space="preserve">% </w:t>
      </w:r>
      <w:r w:rsidR="00F8524F">
        <w:rPr>
          <w:snapToGrid w:val="0"/>
          <w:kern w:val="22"/>
          <w:lang w:val="es-ES"/>
        </w:rPr>
        <w:t xml:space="preserve">comunicó que había realizado entre </w:t>
      </w:r>
      <w:r w:rsidR="00775B5A" w:rsidRPr="006767F9">
        <w:rPr>
          <w:snapToGrid w:val="0"/>
          <w:kern w:val="22"/>
          <w:lang w:val="es-ES"/>
        </w:rPr>
        <w:t>50</w:t>
      </w:r>
      <w:r w:rsidR="00F8524F">
        <w:rPr>
          <w:snapToGrid w:val="0"/>
          <w:kern w:val="22"/>
          <w:lang w:val="es-ES"/>
        </w:rPr>
        <w:t xml:space="preserve"> y 99</w:t>
      </w:r>
      <w:r w:rsidR="00585883">
        <w:rPr>
          <w:snapToGrid w:val="0"/>
          <w:kern w:val="22"/>
          <w:lang w:val="es-ES"/>
        </w:rPr>
        <w:t>,</w:t>
      </w:r>
      <w:r w:rsidR="00775B5A" w:rsidRPr="006767F9">
        <w:rPr>
          <w:snapToGrid w:val="0"/>
          <w:kern w:val="22"/>
          <w:lang w:val="es-ES"/>
        </w:rPr>
        <w:t xml:space="preserve"> </w:t>
      </w:r>
      <w:r w:rsidR="00F8524F">
        <w:rPr>
          <w:snapToGrid w:val="0"/>
          <w:kern w:val="22"/>
          <w:lang w:val="es-ES"/>
        </w:rPr>
        <w:t xml:space="preserve">el </w:t>
      </w:r>
      <w:r w:rsidR="00775B5A" w:rsidRPr="006767F9">
        <w:rPr>
          <w:snapToGrid w:val="0"/>
          <w:kern w:val="22"/>
          <w:lang w:val="es-ES"/>
        </w:rPr>
        <w:t>31</w:t>
      </w:r>
      <w:r w:rsidR="00F8524F">
        <w:rPr>
          <w:snapToGrid w:val="0"/>
          <w:kern w:val="22"/>
          <w:lang w:val="es-ES"/>
        </w:rPr>
        <w:t xml:space="preserve"> </w:t>
      </w:r>
      <w:r w:rsidR="00775B5A" w:rsidRPr="006767F9">
        <w:rPr>
          <w:snapToGrid w:val="0"/>
          <w:kern w:val="22"/>
          <w:lang w:val="es-ES"/>
        </w:rPr>
        <w:t xml:space="preserve">% </w:t>
      </w:r>
      <w:r w:rsidR="00F8524F">
        <w:rPr>
          <w:snapToGrid w:val="0"/>
          <w:kern w:val="22"/>
          <w:lang w:val="es-ES"/>
        </w:rPr>
        <w:t xml:space="preserve">indicó que habían realizado entre </w:t>
      </w:r>
      <w:r w:rsidR="00775B5A" w:rsidRPr="006767F9">
        <w:rPr>
          <w:snapToGrid w:val="0"/>
          <w:kern w:val="22"/>
          <w:lang w:val="es-ES"/>
        </w:rPr>
        <w:t xml:space="preserve">10 </w:t>
      </w:r>
      <w:r w:rsidR="00F8524F">
        <w:rPr>
          <w:snapToGrid w:val="0"/>
          <w:kern w:val="22"/>
          <w:lang w:val="es-ES"/>
        </w:rPr>
        <w:t>y</w:t>
      </w:r>
      <w:r w:rsidR="00775B5A" w:rsidRPr="006767F9">
        <w:rPr>
          <w:snapToGrid w:val="0"/>
          <w:kern w:val="22"/>
          <w:lang w:val="es-ES"/>
        </w:rPr>
        <w:t xml:space="preserve"> 49</w:t>
      </w:r>
      <w:r w:rsidR="00F8524F">
        <w:rPr>
          <w:snapToGrid w:val="0"/>
          <w:kern w:val="22"/>
          <w:lang w:val="es-ES"/>
        </w:rPr>
        <w:t>, y el</w:t>
      </w:r>
      <w:r w:rsidR="00775B5A" w:rsidRPr="006767F9">
        <w:rPr>
          <w:snapToGrid w:val="0"/>
          <w:kern w:val="22"/>
          <w:lang w:val="es-ES"/>
        </w:rPr>
        <w:t xml:space="preserve"> 29</w:t>
      </w:r>
      <w:r w:rsidR="00F8524F">
        <w:rPr>
          <w:snapToGrid w:val="0"/>
          <w:kern w:val="22"/>
          <w:lang w:val="es-ES"/>
        </w:rPr>
        <w:t xml:space="preserve"> </w:t>
      </w:r>
      <w:r w:rsidR="00775B5A" w:rsidRPr="006767F9">
        <w:rPr>
          <w:snapToGrid w:val="0"/>
          <w:kern w:val="22"/>
          <w:lang w:val="es-ES"/>
        </w:rPr>
        <w:t xml:space="preserve">% </w:t>
      </w:r>
      <w:r w:rsidR="00F8524F">
        <w:rPr>
          <w:snapToGrid w:val="0"/>
          <w:kern w:val="22"/>
          <w:lang w:val="es-ES"/>
        </w:rPr>
        <w:t xml:space="preserve">comunicó que había realizado entre </w:t>
      </w:r>
      <w:r w:rsidR="00775B5A" w:rsidRPr="006767F9">
        <w:rPr>
          <w:snapToGrid w:val="0"/>
          <w:kern w:val="22"/>
          <w:lang w:val="es-ES"/>
        </w:rPr>
        <w:t>1</w:t>
      </w:r>
      <w:r w:rsidR="00F8524F">
        <w:rPr>
          <w:snapToGrid w:val="0"/>
          <w:kern w:val="22"/>
          <w:lang w:val="es-ES"/>
        </w:rPr>
        <w:t xml:space="preserve"> y </w:t>
      </w:r>
      <w:r w:rsidR="00775B5A" w:rsidRPr="006767F9">
        <w:rPr>
          <w:snapToGrid w:val="0"/>
          <w:kern w:val="22"/>
          <w:lang w:val="es-ES"/>
        </w:rPr>
        <w:t>9</w:t>
      </w:r>
      <w:r w:rsidR="00775B5A">
        <w:rPr>
          <w:rStyle w:val="FootnoteReference"/>
          <w:rFonts w:ascii="Angsana New" w:hAnsi="Angsana New" w:cs="Angsana New"/>
          <w:snapToGrid w:val="0"/>
          <w:kern w:val="22"/>
        </w:rPr>
        <w:footnoteReference w:id="26"/>
      </w:r>
      <w:r w:rsidR="00F8524F" w:rsidRPr="006767F9">
        <w:rPr>
          <w:snapToGrid w:val="0"/>
          <w:kern w:val="22"/>
          <w:lang w:val="es-ES"/>
        </w:rPr>
        <w:t>.</w:t>
      </w:r>
    </w:p>
    <w:p w:rsidR="00775B5A" w:rsidRPr="0095007E" w:rsidRDefault="001B3CE6">
      <w:pPr>
        <w:pStyle w:val="ListParagraph"/>
        <w:suppressLineNumbers/>
        <w:suppressAutoHyphens/>
        <w:snapToGrid w:val="0"/>
        <w:spacing w:before="120" w:after="120"/>
        <w:ind w:left="0"/>
        <w:rPr>
          <w:rFonts w:ascii="Angsana New" w:hAnsi="Angsana New" w:cs="Angsana New"/>
          <w:snapToGrid w:val="0"/>
          <w:kern w:val="22"/>
          <w:highlight w:val="lightGray"/>
        </w:rPr>
      </w:pPr>
      <w:r w:rsidRPr="001B3CE6">
        <w:rPr>
          <w:noProof/>
          <w:kern w:val="22"/>
        </w:rPr>
        <w:lastRenderedPageBreak/>
        <w:pict>
          <v:shape id="Picture 17" o:spid="_x0000_i1050" type="#_x0000_t75" style="width:473.25pt;height:260.25pt;visibility:visible;mso-wrap-style:square">
            <v:imagedata r:id="rId14" o:title=""/>
          </v:shape>
        </w:pict>
      </w:r>
    </w:p>
    <w:p w:rsidR="00775B5A" w:rsidRPr="000D0847" w:rsidRDefault="00775B5A">
      <w:pPr>
        <w:keepNext/>
        <w:suppressLineNumbers/>
        <w:suppressAutoHyphens/>
        <w:spacing w:before="120" w:after="120"/>
        <w:textAlignment w:val="baseline"/>
        <w:rPr>
          <w:rFonts w:ascii="Angsana New" w:hAnsi="Angsana New" w:cs="Angsana New"/>
          <w:snapToGrid w:val="0"/>
          <w:kern w:val="22"/>
          <w:lang w:val="es-ES"/>
        </w:rPr>
      </w:pPr>
      <w:r w:rsidRPr="000D0847">
        <w:rPr>
          <w:b/>
          <w:bCs/>
          <w:snapToGrid w:val="0"/>
          <w:kern w:val="22"/>
          <w:lang w:val="es-ES"/>
        </w:rPr>
        <w:t>O</w:t>
      </w:r>
      <w:r w:rsidR="000D0847" w:rsidRPr="000D0847">
        <w:rPr>
          <w:b/>
          <w:bCs/>
          <w:snapToGrid w:val="0"/>
          <w:kern w:val="22"/>
          <w:lang w:val="es-ES"/>
        </w:rPr>
        <w:t>bjetivo operacional</w:t>
      </w:r>
      <w:r w:rsidRPr="000D0847">
        <w:rPr>
          <w:b/>
          <w:bCs/>
          <w:snapToGrid w:val="0"/>
          <w:kern w:val="22"/>
          <w:lang w:val="es-ES"/>
        </w:rPr>
        <w:t xml:space="preserve"> 2.2: </w:t>
      </w:r>
      <w:r w:rsidR="000D0847" w:rsidRPr="00585883">
        <w:rPr>
          <w:b/>
          <w:bCs/>
          <w:snapToGrid w:val="0"/>
          <w:kern w:val="22"/>
          <w:lang w:val="es-ES"/>
        </w:rPr>
        <w:t>Evaluación del riesgo y gestión del riesgo</w:t>
      </w:r>
    </w:p>
    <w:p w:rsidR="00775B5A" w:rsidRPr="005D7267" w:rsidRDefault="005D7267"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Pr>
          <w:snapToGrid w:val="0"/>
          <w:kern w:val="22"/>
          <w:lang w:val="es-ES"/>
        </w:rPr>
        <w:t>Dentro de</w:t>
      </w:r>
      <w:r w:rsidR="000D0847">
        <w:rPr>
          <w:snapToGrid w:val="0"/>
          <w:kern w:val="22"/>
          <w:lang w:val="es-ES"/>
        </w:rPr>
        <w:t xml:space="preserve"> la esfera </w:t>
      </w:r>
      <w:r>
        <w:rPr>
          <w:snapToGrid w:val="0"/>
          <w:kern w:val="22"/>
          <w:lang w:val="es-ES"/>
        </w:rPr>
        <w:t>de actividad</w:t>
      </w:r>
      <w:r w:rsidR="000D0847">
        <w:rPr>
          <w:snapToGrid w:val="0"/>
          <w:kern w:val="22"/>
          <w:lang w:val="es-ES"/>
        </w:rPr>
        <w:t xml:space="preserve"> 2 sobre</w:t>
      </w:r>
      <w:r w:rsidR="00775B5A" w:rsidRPr="000D0847">
        <w:rPr>
          <w:snapToGrid w:val="0"/>
          <w:kern w:val="22"/>
          <w:lang w:val="es-ES"/>
        </w:rPr>
        <w:t xml:space="preserve"> “C</w:t>
      </w:r>
      <w:r w:rsidR="000D0847">
        <w:rPr>
          <w:snapToGrid w:val="0"/>
          <w:kern w:val="22"/>
          <w:lang w:val="es-ES"/>
        </w:rPr>
        <w:t>reación de capacidad</w:t>
      </w:r>
      <w:r w:rsidR="00775B5A" w:rsidRPr="000D0847">
        <w:rPr>
          <w:snapToGrid w:val="0"/>
          <w:kern w:val="22"/>
          <w:lang w:val="es-ES"/>
        </w:rPr>
        <w:t xml:space="preserve">”, </w:t>
      </w:r>
      <w:r w:rsidR="000D0847">
        <w:rPr>
          <w:snapToGrid w:val="0"/>
          <w:kern w:val="22"/>
          <w:lang w:val="es-ES"/>
        </w:rPr>
        <w:t xml:space="preserve">el objetivo operacional </w:t>
      </w:r>
      <w:r w:rsidR="00775B5A" w:rsidRPr="000D0847">
        <w:rPr>
          <w:snapToGrid w:val="0"/>
          <w:kern w:val="22"/>
          <w:lang w:val="es-ES"/>
        </w:rPr>
        <w:t xml:space="preserve">2.2 </w:t>
      </w:r>
      <w:r w:rsidR="00081F30">
        <w:rPr>
          <w:snapToGrid w:val="0"/>
          <w:kern w:val="22"/>
          <w:lang w:val="es-ES"/>
        </w:rPr>
        <w:t xml:space="preserve">tiene por objeto </w:t>
      </w:r>
      <w:r w:rsidR="000D0847" w:rsidRPr="000D0847">
        <w:rPr>
          <w:snapToGrid w:val="0"/>
          <w:kern w:val="22"/>
          <w:lang w:val="es-ES"/>
        </w:rPr>
        <w:t>dar capacidad a las Partes para evaluar, aplicar, compartir y llevar a cabo evaluaciones del riesgo y establecer en base a la ciencia local capacidades para regular</w:t>
      </w:r>
      <w:r w:rsidR="000D0847">
        <w:rPr>
          <w:snapToGrid w:val="0"/>
          <w:kern w:val="22"/>
          <w:lang w:val="es-ES"/>
        </w:rPr>
        <w:t>, gestionar, monitorear y controlar los riesgos de los OVM</w:t>
      </w:r>
      <w:r w:rsidR="00775B5A" w:rsidRPr="000D0847">
        <w:rPr>
          <w:snapToGrid w:val="0"/>
          <w:kern w:val="22"/>
          <w:lang w:val="es-ES"/>
        </w:rPr>
        <w:t>.</w:t>
      </w:r>
      <w:r w:rsidR="000D0847">
        <w:rPr>
          <w:snapToGrid w:val="0"/>
          <w:kern w:val="22"/>
          <w:lang w:val="es-ES"/>
        </w:rPr>
        <w:t xml:space="preserve"> </w:t>
      </w:r>
      <w:r>
        <w:rPr>
          <w:snapToGrid w:val="0"/>
          <w:kern w:val="22"/>
          <w:lang w:val="es-ES"/>
        </w:rPr>
        <w:t>En el marco de este objetivo operacional s</w:t>
      </w:r>
      <w:r w:rsidRPr="005D7267">
        <w:rPr>
          <w:snapToGrid w:val="0"/>
          <w:kern w:val="22"/>
          <w:lang w:val="es-ES"/>
        </w:rPr>
        <w:t>e proporcionan seis indicadores para medir los progresos</w:t>
      </w:r>
      <w:r w:rsidR="00775B5A" w:rsidRPr="005D7267">
        <w:rPr>
          <w:snapToGrid w:val="0"/>
          <w:kern w:val="22"/>
          <w:lang w:val="es-ES"/>
        </w:rPr>
        <w:t xml:space="preserve"> (</w:t>
      </w:r>
      <w:r w:rsidR="00030FC1">
        <w:rPr>
          <w:snapToGrid w:val="0"/>
          <w:kern w:val="22"/>
          <w:lang w:val="es-ES"/>
        </w:rPr>
        <w:t>gráfico</w:t>
      </w:r>
      <w:r w:rsidR="00775B5A" w:rsidRPr="005D7267">
        <w:rPr>
          <w:snapToGrid w:val="0"/>
          <w:kern w:val="22"/>
          <w:lang w:val="es-ES"/>
        </w:rPr>
        <w:t xml:space="preserve"> 2). </w:t>
      </w:r>
    </w:p>
    <w:p w:rsidR="00775B5A" w:rsidRPr="0042512B" w:rsidRDefault="00276AA5"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i/>
          <w:iCs/>
          <w:snapToGrid w:val="0"/>
          <w:kern w:val="22"/>
          <w:lang w:val="es-ES"/>
        </w:rPr>
      </w:pPr>
      <w:bookmarkStart w:id="9" w:name="_Hlk31037408"/>
      <w:r w:rsidRPr="00276AA5">
        <w:rPr>
          <w:snapToGrid w:val="0"/>
          <w:kern w:val="22"/>
          <w:lang w:val="es-ES"/>
        </w:rPr>
        <w:t xml:space="preserve">En cuanto al </w:t>
      </w:r>
      <w:r w:rsidR="00775B5A" w:rsidRPr="00276AA5">
        <w:rPr>
          <w:b/>
          <w:bCs/>
          <w:snapToGrid w:val="0"/>
          <w:kern w:val="22"/>
          <w:lang w:val="es-ES"/>
        </w:rPr>
        <w:t>indica</w:t>
      </w:r>
      <w:r w:rsidRPr="00276AA5">
        <w:rPr>
          <w:b/>
          <w:bCs/>
          <w:snapToGrid w:val="0"/>
          <w:kern w:val="22"/>
          <w:lang w:val="es-ES"/>
        </w:rPr>
        <w:t>d</w:t>
      </w:r>
      <w:r w:rsidR="00775B5A" w:rsidRPr="00276AA5">
        <w:rPr>
          <w:b/>
          <w:bCs/>
          <w:snapToGrid w:val="0"/>
          <w:kern w:val="22"/>
          <w:lang w:val="es-ES"/>
        </w:rPr>
        <w:t>or 2.2.1</w:t>
      </w:r>
      <w:r w:rsidR="00775B5A" w:rsidRPr="00276AA5">
        <w:rPr>
          <w:snapToGrid w:val="0"/>
          <w:kern w:val="22"/>
          <w:lang w:val="es-ES"/>
        </w:rPr>
        <w:t xml:space="preserve"> (</w:t>
      </w:r>
      <w:r w:rsidRPr="00276AA5">
        <w:rPr>
          <w:snapToGrid w:val="0"/>
          <w:kern w:val="22"/>
          <w:lang w:val="es-ES"/>
        </w:rPr>
        <w:t>la relación entre el número de informes resumen de evaluación del riesgo y el número de decisiones sobre OVM en el marco del CIISB</w:t>
      </w:r>
      <w:r w:rsidR="00775B5A" w:rsidRPr="00276AA5">
        <w:rPr>
          <w:snapToGrid w:val="0"/>
          <w:kern w:val="22"/>
          <w:lang w:val="es-ES"/>
        </w:rPr>
        <w:t xml:space="preserve">), </w:t>
      </w:r>
      <w:bookmarkStart w:id="10" w:name="_Hlk33701240"/>
      <w:r w:rsidRPr="00276AA5">
        <w:rPr>
          <w:snapToGrid w:val="0"/>
          <w:kern w:val="22"/>
          <w:lang w:val="es-ES"/>
        </w:rPr>
        <w:t>la relación entre los informes de evaluac</w:t>
      </w:r>
      <w:r>
        <w:rPr>
          <w:snapToGrid w:val="0"/>
          <w:kern w:val="22"/>
          <w:lang w:val="es-ES"/>
        </w:rPr>
        <w:t>ión del riesgo y el número de decisiones sobre OVM</w:t>
      </w:r>
      <w:r w:rsidR="00775B5A">
        <w:rPr>
          <w:rStyle w:val="FootnoteReference"/>
          <w:rFonts w:ascii="Angsana New" w:hAnsi="Angsana New" w:cs="Angsana New"/>
          <w:snapToGrid w:val="0"/>
          <w:kern w:val="22"/>
        </w:rPr>
        <w:footnoteReference w:id="27"/>
      </w:r>
      <w:r w:rsidR="00775B5A" w:rsidRPr="00276AA5">
        <w:rPr>
          <w:snapToGrid w:val="0"/>
          <w:kern w:val="22"/>
          <w:lang w:val="es-ES"/>
        </w:rPr>
        <w:t xml:space="preserve"> </w:t>
      </w:r>
      <w:r>
        <w:rPr>
          <w:snapToGrid w:val="0"/>
          <w:kern w:val="22"/>
          <w:lang w:val="es-ES"/>
        </w:rPr>
        <w:t xml:space="preserve">en el CIISB ha aumentado del </w:t>
      </w:r>
      <w:r w:rsidR="00775B5A" w:rsidRPr="00276AA5">
        <w:rPr>
          <w:snapToGrid w:val="0"/>
          <w:kern w:val="22"/>
          <w:lang w:val="es-ES"/>
        </w:rPr>
        <w:t>79</w:t>
      </w:r>
      <w:r>
        <w:rPr>
          <w:snapToGrid w:val="0"/>
          <w:kern w:val="22"/>
          <w:lang w:val="es-ES"/>
        </w:rPr>
        <w:t xml:space="preserve"> </w:t>
      </w:r>
      <w:r w:rsidR="00775B5A" w:rsidRPr="00276AA5">
        <w:rPr>
          <w:snapToGrid w:val="0"/>
          <w:kern w:val="22"/>
          <w:lang w:val="es-ES"/>
        </w:rPr>
        <w:t xml:space="preserve">% (514 </w:t>
      </w:r>
      <w:r>
        <w:rPr>
          <w:snapToGrid w:val="0"/>
          <w:kern w:val="22"/>
          <w:lang w:val="es-ES"/>
        </w:rPr>
        <w:t xml:space="preserve">evaluaciones del riesgo frente a </w:t>
      </w:r>
      <w:r w:rsidR="00775B5A" w:rsidRPr="00276AA5">
        <w:rPr>
          <w:snapToGrid w:val="0"/>
          <w:kern w:val="22"/>
          <w:lang w:val="es-ES"/>
        </w:rPr>
        <w:t>650</w:t>
      </w:r>
      <w:r>
        <w:rPr>
          <w:snapToGrid w:val="0"/>
          <w:kern w:val="22"/>
          <w:lang w:val="es-ES"/>
        </w:rPr>
        <w:t xml:space="preserve"> </w:t>
      </w:r>
      <w:r w:rsidR="00775B5A" w:rsidRPr="00276AA5">
        <w:rPr>
          <w:snapToGrid w:val="0"/>
          <w:kern w:val="22"/>
          <w:lang w:val="es-ES"/>
        </w:rPr>
        <w:t>decision</w:t>
      </w:r>
      <w:r>
        <w:rPr>
          <w:snapToGrid w:val="0"/>
          <w:kern w:val="22"/>
          <w:lang w:val="es-ES"/>
        </w:rPr>
        <w:t>e</w:t>
      </w:r>
      <w:r w:rsidR="00775B5A" w:rsidRPr="00276AA5">
        <w:rPr>
          <w:snapToGrid w:val="0"/>
          <w:kern w:val="22"/>
          <w:lang w:val="es-ES"/>
        </w:rPr>
        <w:t xml:space="preserve">s) </w:t>
      </w:r>
      <w:r>
        <w:rPr>
          <w:snapToGrid w:val="0"/>
          <w:kern w:val="22"/>
          <w:lang w:val="es-ES"/>
        </w:rPr>
        <w:t xml:space="preserve">en enero de </w:t>
      </w:r>
      <w:r w:rsidR="00775B5A" w:rsidRPr="00276AA5">
        <w:rPr>
          <w:snapToGrid w:val="0"/>
          <w:kern w:val="22"/>
          <w:lang w:val="es-ES"/>
        </w:rPr>
        <w:t xml:space="preserve">2012; </w:t>
      </w:r>
      <w:r w:rsidR="0042512B">
        <w:rPr>
          <w:snapToGrid w:val="0"/>
          <w:kern w:val="22"/>
          <w:lang w:val="es-ES"/>
        </w:rPr>
        <w:t>y del</w:t>
      </w:r>
      <w:r w:rsidR="00775B5A" w:rsidRPr="00276AA5">
        <w:rPr>
          <w:snapToGrid w:val="0"/>
          <w:kern w:val="22"/>
          <w:lang w:val="es-ES"/>
        </w:rPr>
        <w:t xml:space="preserve"> 92</w:t>
      </w:r>
      <w:r w:rsidR="0042512B">
        <w:rPr>
          <w:snapToGrid w:val="0"/>
          <w:kern w:val="22"/>
          <w:lang w:val="es-ES"/>
        </w:rPr>
        <w:t xml:space="preserve"> </w:t>
      </w:r>
      <w:r w:rsidR="00775B5A" w:rsidRPr="00276AA5">
        <w:rPr>
          <w:snapToGrid w:val="0"/>
          <w:kern w:val="22"/>
          <w:lang w:val="es-ES"/>
        </w:rPr>
        <w:t>% (1198</w:t>
      </w:r>
      <w:r w:rsidR="0042512B">
        <w:rPr>
          <w:snapToGrid w:val="0"/>
          <w:kern w:val="22"/>
          <w:lang w:val="es-ES"/>
        </w:rPr>
        <w:t xml:space="preserve"> evaluaciones del riesgo frente a </w:t>
      </w:r>
      <w:r w:rsidR="00775B5A" w:rsidRPr="00276AA5">
        <w:rPr>
          <w:snapToGrid w:val="0"/>
          <w:kern w:val="22"/>
          <w:lang w:val="es-ES"/>
        </w:rPr>
        <w:t>1299</w:t>
      </w:r>
      <w:r w:rsidR="0042512B">
        <w:rPr>
          <w:snapToGrid w:val="0"/>
          <w:kern w:val="22"/>
          <w:lang w:val="es-ES"/>
        </w:rPr>
        <w:t xml:space="preserve"> </w:t>
      </w:r>
      <w:r w:rsidR="00775B5A" w:rsidRPr="00276AA5">
        <w:rPr>
          <w:snapToGrid w:val="0"/>
          <w:kern w:val="22"/>
          <w:lang w:val="es-ES"/>
        </w:rPr>
        <w:t>decision</w:t>
      </w:r>
      <w:r w:rsidR="0042512B">
        <w:rPr>
          <w:snapToGrid w:val="0"/>
          <w:kern w:val="22"/>
          <w:lang w:val="es-ES"/>
        </w:rPr>
        <w:t>e</w:t>
      </w:r>
      <w:r w:rsidR="00775B5A" w:rsidRPr="00276AA5">
        <w:rPr>
          <w:snapToGrid w:val="0"/>
          <w:kern w:val="22"/>
          <w:lang w:val="es-ES"/>
        </w:rPr>
        <w:t xml:space="preserve">s) </w:t>
      </w:r>
      <w:r w:rsidR="0042512B">
        <w:rPr>
          <w:snapToGrid w:val="0"/>
          <w:kern w:val="22"/>
          <w:lang w:val="es-ES"/>
        </w:rPr>
        <w:t>en enero de 2016; hasta el</w:t>
      </w:r>
      <w:r w:rsidR="00775B5A" w:rsidRPr="00276AA5">
        <w:rPr>
          <w:snapToGrid w:val="0"/>
          <w:kern w:val="22"/>
          <w:lang w:val="es-ES"/>
        </w:rPr>
        <w:t xml:space="preserve"> 96</w:t>
      </w:r>
      <w:r w:rsidR="0042512B">
        <w:rPr>
          <w:snapToGrid w:val="0"/>
          <w:kern w:val="22"/>
          <w:lang w:val="es-ES"/>
        </w:rPr>
        <w:t xml:space="preserve"> </w:t>
      </w:r>
      <w:r w:rsidR="00775B5A" w:rsidRPr="00276AA5">
        <w:rPr>
          <w:snapToGrid w:val="0"/>
          <w:kern w:val="22"/>
          <w:lang w:val="es-ES"/>
        </w:rPr>
        <w:t>% (2055</w:t>
      </w:r>
      <w:r w:rsidR="0042512B">
        <w:rPr>
          <w:snapToGrid w:val="0"/>
          <w:kern w:val="22"/>
          <w:lang w:val="es-ES"/>
        </w:rPr>
        <w:t xml:space="preserve"> evaluaciones del riesgo frente a</w:t>
      </w:r>
      <w:r w:rsidR="00775B5A" w:rsidRPr="00276AA5">
        <w:rPr>
          <w:snapToGrid w:val="0"/>
          <w:kern w:val="22"/>
          <w:lang w:val="es-ES"/>
        </w:rPr>
        <w:t xml:space="preserve"> 2134</w:t>
      </w:r>
      <w:r w:rsidR="0042512B">
        <w:rPr>
          <w:snapToGrid w:val="0"/>
          <w:kern w:val="22"/>
          <w:lang w:val="es-ES"/>
        </w:rPr>
        <w:t xml:space="preserve"> </w:t>
      </w:r>
      <w:r w:rsidR="00775B5A" w:rsidRPr="00276AA5">
        <w:rPr>
          <w:snapToGrid w:val="0"/>
          <w:kern w:val="22"/>
          <w:lang w:val="es-ES"/>
        </w:rPr>
        <w:t>decision</w:t>
      </w:r>
      <w:r w:rsidR="0042512B">
        <w:rPr>
          <w:snapToGrid w:val="0"/>
          <w:kern w:val="22"/>
          <w:lang w:val="es-ES"/>
        </w:rPr>
        <w:t>e</w:t>
      </w:r>
      <w:r w:rsidR="00775B5A" w:rsidRPr="00276AA5">
        <w:rPr>
          <w:snapToGrid w:val="0"/>
          <w:kern w:val="22"/>
          <w:lang w:val="es-ES"/>
        </w:rPr>
        <w:t>s)</w:t>
      </w:r>
      <w:r w:rsidR="0042512B">
        <w:rPr>
          <w:snapToGrid w:val="0"/>
          <w:kern w:val="22"/>
          <w:lang w:val="es-ES"/>
        </w:rPr>
        <w:t xml:space="preserve"> en enero de</w:t>
      </w:r>
      <w:r w:rsidR="00775B5A" w:rsidRPr="00276AA5">
        <w:rPr>
          <w:snapToGrid w:val="0"/>
          <w:kern w:val="22"/>
          <w:lang w:val="es-ES"/>
        </w:rPr>
        <w:t xml:space="preserve"> 2020.</w:t>
      </w:r>
      <w:bookmarkEnd w:id="10"/>
      <w:r w:rsidR="00775B5A" w:rsidRPr="00276AA5">
        <w:rPr>
          <w:snapToGrid w:val="0"/>
          <w:kern w:val="22"/>
          <w:lang w:val="es-ES"/>
        </w:rPr>
        <w:t xml:space="preserve"> </w:t>
      </w:r>
      <w:r w:rsidR="0042512B">
        <w:rPr>
          <w:snapToGrid w:val="0"/>
          <w:kern w:val="22"/>
          <w:lang w:val="es-ES"/>
        </w:rPr>
        <w:t xml:space="preserve">Desde la base de referencia, esto representa un aumento del </w:t>
      </w:r>
      <w:r w:rsidR="00775B5A" w:rsidRPr="0042512B">
        <w:rPr>
          <w:snapToGrid w:val="0"/>
          <w:kern w:val="22"/>
          <w:lang w:val="es-ES"/>
        </w:rPr>
        <w:t>17</w:t>
      </w:r>
      <w:r w:rsidR="0042512B">
        <w:rPr>
          <w:snapToGrid w:val="0"/>
          <w:kern w:val="22"/>
          <w:lang w:val="es-ES"/>
        </w:rPr>
        <w:t xml:space="preserve"> </w:t>
      </w:r>
      <w:r w:rsidR="00775B5A" w:rsidRPr="0042512B">
        <w:rPr>
          <w:snapToGrid w:val="0"/>
          <w:kern w:val="22"/>
          <w:lang w:val="es-ES"/>
        </w:rPr>
        <w:t>%</w:t>
      </w:r>
      <w:r w:rsidR="00775B5A">
        <w:rPr>
          <w:rStyle w:val="FootnoteReference"/>
          <w:rFonts w:ascii="Angsana New" w:hAnsi="Angsana New" w:cs="Angsana New"/>
          <w:snapToGrid w:val="0"/>
          <w:kern w:val="22"/>
        </w:rPr>
        <w:footnoteReference w:id="28"/>
      </w:r>
      <w:bookmarkEnd w:id="9"/>
      <w:r w:rsidR="0042512B" w:rsidRPr="0042512B">
        <w:rPr>
          <w:snapToGrid w:val="0"/>
          <w:kern w:val="22"/>
          <w:lang w:val="es-ES"/>
        </w:rPr>
        <w:t>.</w:t>
      </w:r>
    </w:p>
    <w:p w:rsidR="00775B5A" w:rsidRPr="00256EB2" w:rsidRDefault="00256EB2"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256EB2">
        <w:rPr>
          <w:snapToGrid w:val="0"/>
          <w:kern w:val="22"/>
          <w:lang w:val="es-ES"/>
        </w:rPr>
        <w:t>En lo tocante al</w:t>
      </w:r>
      <w:r w:rsidR="0042512B" w:rsidRPr="00256EB2">
        <w:rPr>
          <w:snapToGrid w:val="0"/>
          <w:kern w:val="22"/>
          <w:lang w:val="es-ES"/>
        </w:rPr>
        <w:t xml:space="preserve"> </w:t>
      </w:r>
      <w:r w:rsidR="00775B5A" w:rsidRPr="00256EB2">
        <w:rPr>
          <w:b/>
          <w:bCs/>
          <w:snapToGrid w:val="0"/>
          <w:kern w:val="22"/>
          <w:lang w:val="es-ES"/>
        </w:rPr>
        <w:t>indica</w:t>
      </w:r>
      <w:r w:rsidR="0042512B" w:rsidRPr="00256EB2">
        <w:rPr>
          <w:b/>
          <w:bCs/>
          <w:snapToGrid w:val="0"/>
          <w:kern w:val="22"/>
          <w:lang w:val="es-ES"/>
        </w:rPr>
        <w:t>d</w:t>
      </w:r>
      <w:r w:rsidR="00775B5A" w:rsidRPr="00256EB2">
        <w:rPr>
          <w:b/>
          <w:bCs/>
          <w:snapToGrid w:val="0"/>
          <w:kern w:val="22"/>
          <w:lang w:val="es-ES"/>
        </w:rPr>
        <w:t>or</w:t>
      </w:r>
      <w:r w:rsidR="0042512B" w:rsidRPr="00256EB2">
        <w:rPr>
          <w:b/>
          <w:bCs/>
          <w:snapToGrid w:val="0"/>
          <w:kern w:val="22"/>
          <w:lang w:val="es-ES"/>
        </w:rPr>
        <w:t xml:space="preserve"> </w:t>
      </w:r>
      <w:r w:rsidR="00775B5A" w:rsidRPr="00256EB2">
        <w:rPr>
          <w:b/>
          <w:bCs/>
          <w:snapToGrid w:val="0"/>
          <w:kern w:val="22"/>
          <w:lang w:val="es-ES"/>
        </w:rPr>
        <w:t>2.2.3</w:t>
      </w:r>
      <w:r w:rsidR="00775B5A" w:rsidRPr="00256EB2">
        <w:rPr>
          <w:snapToGrid w:val="0"/>
          <w:kern w:val="22"/>
          <w:lang w:val="es-ES"/>
        </w:rPr>
        <w:t xml:space="preserve"> (n</w:t>
      </w:r>
      <w:r w:rsidRPr="00256EB2">
        <w:rPr>
          <w:snapToGrid w:val="0"/>
          <w:kern w:val="22"/>
          <w:lang w:val="es-ES"/>
        </w:rPr>
        <w:t xml:space="preserve">úmero de personas capacitadas en evaluación del riesgo, así como </w:t>
      </w:r>
      <w:r w:rsidRPr="00585883">
        <w:rPr>
          <w:snapToGrid w:val="0"/>
          <w:kern w:val="22"/>
          <w:lang w:val="es-ES"/>
        </w:rPr>
        <w:t>en vigilancia,</w:t>
      </w:r>
      <w:r w:rsidRPr="00256EB2">
        <w:rPr>
          <w:snapToGrid w:val="0"/>
          <w:kern w:val="22"/>
          <w:lang w:val="es-ES"/>
        </w:rPr>
        <w:t xml:space="preserve"> gestión y control de los OVM</w:t>
      </w:r>
      <w:r w:rsidR="00775B5A" w:rsidRPr="00256EB2">
        <w:rPr>
          <w:snapToGrid w:val="0"/>
          <w:kern w:val="22"/>
          <w:lang w:val="es-ES"/>
        </w:rPr>
        <w:t xml:space="preserve">), </w:t>
      </w:r>
      <w:r w:rsidRPr="00256EB2">
        <w:rPr>
          <w:snapToGrid w:val="0"/>
          <w:kern w:val="22"/>
          <w:lang w:val="es-ES"/>
        </w:rPr>
        <w:t xml:space="preserve">las </w:t>
      </w:r>
      <w:r>
        <w:rPr>
          <w:snapToGrid w:val="0"/>
          <w:kern w:val="22"/>
          <w:lang w:val="es-ES"/>
        </w:rPr>
        <w:t>Part</w:t>
      </w:r>
      <w:r w:rsidR="00775B5A" w:rsidRPr="00256EB2">
        <w:rPr>
          <w:snapToGrid w:val="0"/>
          <w:kern w:val="22"/>
          <w:lang w:val="es-ES"/>
        </w:rPr>
        <w:t xml:space="preserve">es </w:t>
      </w:r>
      <w:r>
        <w:rPr>
          <w:snapToGrid w:val="0"/>
          <w:kern w:val="22"/>
          <w:lang w:val="es-ES"/>
        </w:rPr>
        <w:t xml:space="preserve">informaron sobre el número de personas capacitadas en su país en materia de evaluación del riesgo, gestión del riesgo y </w:t>
      </w:r>
      <w:r w:rsidRPr="00585883">
        <w:rPr>
          <w:snapToGrid w:val="0"/>
          <w:kern w:val="22"/>
          <w:lang w:val="es-ES"/>
        </w:rPr>
        <w:t>vigilancia d</w:t>
      </w:r>
      <w:r>
        <w:rPr>
          <w:snapToGrid w:val="0"/>
          <w:kern w:val="22"/>
          <w:lang w:val="es-ES"/>
        </w:rPr>
        <w:t>e los OVM, como se indica a continuación</w:t>
      </w:r>
      <w:r w:rsidR="00775B5A" w:rsidRPr="00256EB2">
        <w:rPr>
          <w:snapToGrid w:val="0"/>
          <w:kern w:val="22"/>
          <w:lang w:val="es-ES"/>
        </w:rPr>
        <w:t>:</w:t>
      </w:r>
    </w:p>
    <w:p w:rsidR="00775B5A" w:rsidRDefault="00775B5A" w:rsidP="001D4EEE">
      <w:pPr>
        <w:pStyle w:val="ListParagraph"/>
        <w:numPr>
          <w:ilvl w:val="0"/>
          <w:numId w:val="6"/>
        </w:numPr>
        <w:suppressLineNumbers/>
        <w:suppressAutoHyphens/>
        <w:snapToGrid w:val="0"/>
        <w:spacing w:before="120" w:after="120"/>
        <w:ind w:left="0" w:firstLine="698"/>
        <w:rPr>
          <w:snapToGrid w:val="0"/>
          <w:kern w:val="22"/>
        </w:rPr>
      </w:pPr>
      <w:r w:rsidRPr="003501C0">
        <w:rPr>
          <w:snapToGrid w:val="0"/>
          <w:kern w:val="22"/>
          <w:lang w:val="es-ES"/>
        </w:rPr>
        <w:t>P</w:t>
      </w:r>
      <w:r w:rsidR="003501C0" w:rsidRPr="003501C0">
        <w:rPr>
          <w:snapToGrid w:val="0"/>
          <w:kern w:val="22"/>
          <w:lang w:val="es-ES"/>
        </w:rPr>
        <w:t>ersonas capacitadas en evaluación del riesgo</w:t>
      </w:r>
      <w:r w:rsidRPr="003501C0">
        <w:rPr>
          <w:snapToGrid w:val="0"/>
          <w:kern w:val="22"/>
          <w:lang w:val="es-ES"/>
        </w:rPr>
        <w:t xml:space="preserve">: </w:t>
      </w:r>
      <w:r w:rsidR="003501C0" w:rsidRPr="003501C0">
        <w:rPr>
          <w:snapToGrid w:val="0"/>
          <w:kern w:val="22"/>
          <w:lang w:val="es-ES"/>
        </w:rPr>
        <w:t xml:space="preserve">el </w:t>
      </w:r>
      <w:r w:rsidRPr="003501C0">
        <w:rPr>
          <w:snapToGrid w:val="0"/>
          <w:kern w:val="22"/>
          <w:lang w:val="es-ES"/>
        </w:rPr>
        <w:t>93</w:t>
      </w:r>
      <w:r w:rsidR="003501C0" w:rsidRPr="003501C0">
        <w:rPr>
          <w:snapToGrid w:val="0"/>
          <w:kern w:val="22"/>
          <w:lang w:val="es-ES"/>
        </w:rPr>
        <w:t xml:space="preserve"> </w:t>
      </w:r>
      <w:r w:rsidRPr="003501C0">
        <w:rPr>
          <w:snapToGrid w:val="0"/>
          <w:kern w:val="22"/>
          <w:lang w:val="es-ES"/>
        </w:rPr>
        <w:t xml:space="preserve">% </w:t>
      </w:r>
      <w:r w:rsidR="003501C0" w:rsidRPr="003501C0">
        <w:rPr>
          <w:snapToGrid w:val="0"/>
          <w:kern w:val="22"/>
          <w:lang w:val="es-ES"/>
        </w:rPr>
        <w:t xml:space="preserve">de las </w:t>
      </w:r>
      <w:r w:rsidRPr="003501C0">
        <w:rPr>
          <w:snapToGrid w:val="0"/>
          <w:kern w:val="22"/>
          <w:lang w:val="es-ES"/>
        </w:rPr>
        <w:t xml:space="preserve">Partes </w:t>
      </w:r>
      <w:r w:rsidR="003501C0" w:rsidRPr="003501C0">
        <w:rPr>
          <w:snapToGrid w:val="0"/>
          <w:kern w:val="22"/>
          <w:lang w:val="es-ES"/>
        </w:rPr>
        <w:t>comunicaron que las personas hab</w:t>
      </w:r>
      <w:r w:rsidR="003501C0">
        <w:rPr>
          <w:snapToGrid w:val="0"/>
          <w:kern w:val="22"/>
          <w:lang w:val="es-ES"/>
        </w:rPr>
        <w:t>ían sido capacitadas en su país en materia de evaluación del riesgo</w:t>
      </w:r>
      <w:r w:rsidRPr="003501C0">
        <w:rPr>
          <w:snapToGrid w:val="0"/>
          <w:kern w:val="22"/>
          <w:lang w:val="es-ES"/>
        </w:rPr>
        <w:t xml:space="preserve">. </w:t>
      </w:r>
      <w:r w:rsidR="003501C0">
        <w:rPr>
          <w:snapToGrid w:val="0"/>
          <w:kern w:val="22"/>
          <w:lang w:val="es-ES"/>
        </w:rPr>
        <w:t>Un</w:t>
      </w:r>
      <w:r>
        <w:rPr>
          <w:snapToGrid w:val="0"/>
          <w:kern w:val="22"/>
        </w:rPr>
        <w:t xml:space="preserve"> total </w:t>
      </w:r>
      <w:r w:rsidR="003501C0">
        <w:rPr>
          <w:snapToGrid w:val="0"/>
          <w:kern w:val="22"/>
        </w:rPr>
        <w:t>de</w:t>
      </w:r>
      <w:r>
        <w:rPr>
          <w:snapToGrid w:val="0"/>
          <w:kern w:val="22"/>
        </w:rPr>
        <w:t>:</w:t>
      </w:r>
    </w:p>
    <w:p w:rsidR="00775B5A" w:rsidRPr="003501C0" w:rsidRDefault="00775B5A" w:rsidP="00E67A3B">
      <w:pPr>
        <w:pStyle w:val="ListParagraph"/>
        <w:numPr>
          <w:ilvl w:val="1"/>
          <w:numId w:val="6"/>
        </w:numPr>
        <w:suppressLineNumbers/>
        <w:suppressAutoHyphens/>
        <w:snapToGrid w:val="0"/>
        <w:spacing w:before="120" w:after="120"/>
        <w:ind w:left="1418" w:hanging="709"/>
        <w:rPr>
          <w:rFonts w:ascii="Angsana New" w:hAnsi="Angsana New" w:cs="Angsana New"/>
          <w:snapToGrid w:val="0"/>
          <w:kern w:val="22"/>
          <w:lang w:val="es-ES"/>
        </w:rPr>
      </w:pPr>
      <w:r w:rsidRPr="003501C0">
        <w:rPr>
          <w:snapToGrid w:val="0"/>
          <w:kern w:val="22"/>
          <w:lang w:val="es-ES"/>
        </w:rPr>
        <w:lastRenderedPageBreak/>
        <w:t>31</w:t>
      </w:r>
      <w:r w:rsidR="00543777">
        <w:rPr>
          <w:snapToGrid w:val="0"/>
          <w:kern w:val="22"/>
          <w:lang w:val="es-ES"/>
        </w:rPr>
        <w:t xml:space="preserve"> </w:t>
      </w:r>
      <w:r w:rsidRPr="003501C0">
        <w:rPr>
          <w:snapToGrid w:val="0"/>
          <w:kern w:val="22"/>
          <w:lang w:val="es-ES"/>
        </w:rPr>
        <w:t xml:space="preserve">% </w:t>
      </w:r>
      <w:r w:rsidR="003501C0" w:rsidRPr="003501C0">
        <w:rPr>
          <w:snapToGrid w:val="0"/>
          <w:kern w:val="22"/>
          <w:lang w:val="es-ES"/>
        </w:rPr>
        <w:t>de las</w:t>
      </w:r>
      <w:r w:rsidRPr="003501C0">
        <w:rPr>
          <w:snapToGrid w:val="0"/>
          <w:kern w:val="22"/>
          <w:lang w:val="es-ES"/>
        </w:rPr>
        <w:t xml:space="preserve"> Partes (22 Partes)</w:t>
      </w:r>
      <w:r w:rsidR="003501C0" w:rsidRPr="003501C0">
        <w:rPr>
          <w:snapToGrid w:val="0"/>
          <w:kern w:val="22"/>
          <w:lang w:val="es-ES"/>
        </w:rPr>
        <w:t xml:space="preserve"> indic</w:t>
      </w:r>
      <w:r w:rsidR="00585883">
        <w:rPr>
          <w:snapToGrid w:val="0"/>
          <w:kern w:val="22"/>
          <w:lang w:val="es-ES"/>
        </w:rPr>
        <w:t>ó</w:t>
      </w:r>
      <w:r w:rsidR="003501C0" w:rsidRPr="003501C0">
        <w:rPr>
          <w:snapToGrid w:val="0"/>
          <w:kern w:val="22"/>
          <w:lang w:val="es-ES"/>
        </w:rPr>
        <w:t xml:space="preserve"> que entre </w:t>
      </w:r>
      <w:r w:rsidRPr="003501C0">
        <w:rPr>
          <w:snapToGrid w:val="0"/>
          <w:kern w:val="22"/>
          <w:lang w:val="es-ES"/>
        </w:rPr>
        <w:t xml:space="preserve">1 </w:t>
      </w:r>
      <w:r w:rsidR="003501C0" w:rsidRPr="003501C0">
        <w:rPr>
          <w:snapToGrid w:val="0"/>
          <w:kern w:val="22"/>
          <w:lang w:val="es-ES"/>
        </w:rPr>
        <w:t>y</w:t>
      </w:r>
      <w:r w:rsidRPr="003501C0">
        <w:rPr>
          <w:snapToGrid w:val="0"/>
          <w:kern w:val="22"/>
          <w:lang w:val="es-ES"/>
        </w:rPr>
        <w:t xml:space="preserve"> 9 pe</w:t>
      </w:r>
      <w:r w:rsidR="003501C0" w:rsidRPr="003501C0">
        <w:rPr>
          <w:snapToGrid w:val="0"/>
          <w:kern w:val="22"/>
          <w:lang w:val="es-ES"/>
        </w:rPr>
        <w:t>rsonas</w:t>
      </w:r>
      <w:r w:rsidRPr="003501C0">
        <w:rPr>
          <w:snapToGrid w:val="0"/>
          <w:kern w:val="22"/>
          <w:lang w:val="es-ES"/>
        </w:rPr>
        <w:t xml:space="preserve"> (</w:t>
      </w:r>
      <w:r w:rsidR="003501C0" w:rsidRPr="003501C0">
        <w:rPr>
          <w:snapToGrid w:val="0"/>
          <w:kern w:val="22"/>
          <w:lang w:val="es-ES"/>
        </w:rPr>
        <w:t>sin cambio con respect</w:t>
      </w:r>
      <w:r w:rsidR="00543777">
        <w:rPr>
          <w:snapToGrid w:val="0"/>
          <w:kern w:val="22"/>
          <w:lang w:val="es-ES"/>
        </w:rPr>
        <w:t>o</w:t>
      </w:r>
      <w:r w:rsidR="003501C0" w:rsidRPr="003501C0">
        <w:rPr>
          <w:snapToGrid w:val="0"/>
          <w:kern w:val="22"/>
          <w:lang w:val="es-ES"/>
        </w:rPr>
        <w:t xml:space="preserve"> a los datos b</w:t>
      </w:r>
      <w:r w:rsidR="003501C0">
        <w:rPr>
          <w:snapToGrid w:val="0"/>
          <w:kern w:val="22"/>
          <w:lang w:val="es-ES"/>
        </w:rPr>
        <w:t>ásicos de referencia</w:t>
      </w:r>
      <w:r w:rsidRPr="003501C0">
        <w:rPr>
          <w:snapToGrid w:val="0"/>
          <w:kern w:val="22"/>
          <w:lang w:val="es-ES"/>
        </w:rPr>
        <w:t xml:space="preserve">); </w:t>
      </w:r>
    </w:p>
    <w:p w:rsidR="00775B5A" w:rsidRPr="00543777" w:rsidRDefault="00775B5A" w:rsidP="0087255D">
      <w:pPr>
        <w:pStyle w:val="ListParagraph"/>
        <w:numPr>
          <w:ilvl w:val="1"/>
          <w:numId w:val="6"/>
        </w:numPr>
        <w:suppressLineNumbers/>
        <w:suppressAutoHyphens/>
        <w:snapToGrid w:val="0"/>
        <w:spacing w:before="120" w:after="120"/>
        <w:ind w:left="709" w:firstLine="0"/>
        <w:rPr>
          <w:rFonts w:ascii="Angsana New" w:hAnsi="Angsana New" w:cs="Angsana New"/>
          <w:snapToGrid w:val="0"/>
          <w:kern w:val="22"/>
          <w:lang w:val="es-ES"/>
        </w:rPr>
      </w:pPr>
      <w:r w:rsidRPr="00543777">
        <w:rPr>
          <w:snapToGrid w:val="0"/>
          <w:kern w:val="22"/>
          <w:lang w:val="es-ES"/>
        </w:rPr>
        <w:t>35</w:t>
      </w:r>
      <w:r w:rsidR="00543777" w:rsidRPr="00543777">
        <w:rPr>
          <w:snapToGrid w:val="0"/>
          <w:kern w:val="22"/>
          <w:lang w:val="es-ES"/>
        </w:rPr>
        <w:t xml:space="preserve"> </w:t>
      </w:r>
      <w:r w:rsidRPr="00543777">
        <w:rPr>
          <w:snapToGrid w:val="0"/>
          <w:kern w:val="22"/>
          <w:lang w:val="es-ES"/>
        </w:rPr>
        <w:t xml:space="preserve">% </w:t>
      </w:r>
      <w:r w:rsidR="00543777" w:rsidRPr="00543777">
        <w:rPr>
          <w:snapToGrid w:val="0"/>
          <w:kern w:val="22"/>
          <w:lang w:val="es-ES"/>
        </w:rPr>
        <w:t xml:space="preserve">de las </w:t>
      </w:r>
      <w:r w:rsidRPr="00543777">
        <w:rPr>
          <w:snapToGrid w:val="0"/>
          <w:kern w:val="22"/>
          <w:lang w:val="es-ES"/>
        </w:rPr>
        <w:t>Part</w:t>
      </w:r>
      <w:r w:rsidR="00543777" w:rsidRPr="00543777">
        <w:rPr>
          <w:snapToGrid w:val="0"/>
          <w:kern w:val="22"/>
          <w:lang w:val="es-ES"/>
        </w:rPr>
        <w:t>es (25 Part</w:t>
      </w:r>
      <w:r w:rsidRPr="00543777">
        <w:rPr>
          <w:snapToGrid w:val="0"/>
          <w:kern w:val="22"/>
          <w:lang w:val="es-ES"/>
        </w:rPr>
        <w:t>es)</w:t>
      </w:r>
      <w:r w:rsidR="00543777" w:rsidRPr="00543777">
        <w:rPr>
          <w:snapToGrid w:val="0"/>
          <w:kern w:val="22"/>
          <w:lang w:val="es-ES"/>
        </w:rPr>
        <w:t xml:space="preserve"> comunic</w:t>
      </w:r>
      <w:r w:rsidR="00585883">
        <w:rPr>
          <w:snapToGrid w:val="0"/>
          <w:kern w:val="22"/>
          <w:lang w:val="es-ES"/>
        </w:rPr>
        <w:t>ó</w:t>
      </w:r>
      <w:r w:rsidR="00543777" w:rsidRPr="00543777">
        <w:rPr>
          <w:snapToGrid w:val="0"/>
          <w:kern w:val="22"/>
          <w:lang w:val="es-ES"/>
        </w:rPr>
        <w:t xml:space="preserve"> que entre </w:t>
      </w:r>
      <w:r w:rsidRPr="00543777">
        <w:rPr>
          <w:snapToGrid w:val="0"/>
          <w:kern w:val="22"/>
          <w:lang w:val="es-ES"/>
        </w:rPr>
        <w:t xml:space="preserve">10 </w:t>
      </w:r>
      <w:r w:rsidR="00543777" w:rsidRPr="00543777">
        <w:rPr>
          <w:snapToGrid w:val="0"/>
          <w:kern w:val="22"/>
          <w:lang w:val="es-ES"/>
        </w:rPr>
        <w:t xml:space="preserve">y </w:t>
      </w:r>
      <w:r w:rsidRPr="00543777">
        <w:rPr>
          <w:snapToGrid w:val="0"/>
          <w:kern w:val="22"/>
          <w:lang w:val="es-ES"/>
        </w:rPr>
        <w:t>49 pe</w:t>
      </w:r>
      <w:r w:rsidR="00543777">
        <w:rPr>
          <w:snapToGrid w:val="0"/>
          <w:kern w:val="22"/>
          <w:lang w:val="es-ES"/>
        </w:rPr>
        <w:t>rsonas</w:t>
      </w:r>
      <w:r w:rsidRPr="00543777">
        <w:rPr>
          <w:snapToGrid w:val="0"/>
          <w:kern w:val="22"/>
          <w:lang w:val="es-ES"/>
        </w:rPr>
        <w:t xml:space="preserve"> (+</w:t>
      </w:r>
      <w:r w:rsidR="00543777">
        <w:rPr>
          <w:snapToGrid w:val="0"/>
          <w:kern w:val="22"/>
          <w:lang w:val="es-ES"/>
        </w:rPr>
        <w:t xml:space="preserve"> </w:t>
      </w:r>
      <w:r w:rsidRPr="00543777">
        <w:rPr>
          <w:snapToGrid w:val="0"/>
          <w:kern w:val="22"/>
          <w:lang w:val="es-ES"/>
        </w:rPr>
        <w:t>4</w:t>
      </w:r>
      <w:r w:rsidR="00543777">
        <w:rPr>
          <w:snapToGrid w:val="0"/>
          <w:kern w:val="22"/>
          <w:lang w:val="es-ES"/>
        </w:rPr>
        <w:t xml:space="preserve"> </w:t>
      </w:r>
      <w:r w:rsidRPr="00543777">
        <w:rPr>
          <w:snapToGrid w:val="0"/>
          <w:kern w:val="22"/>
          <w:lang w:val="es-ES"/>
        </w:rPr>
        <w:t xml:space="preserve">%); </w:t>
      </w:r>
    </w:p>
    <w:p w:rsidR="00775B5A" w:rsidRPr="00543777" w:rsidRDefault="00775B5A" w:rsidP="0087255D">
      <w:pPr>
        <w:pStyle w:val="ListParagraph"/>
        <w:numPr>
          <w:ilvl w:val="1"/>
          <w:numId w:val="6"/>
        </w:numPr>
        <w:suppressLineNumbers/>
        <w:suppressAutoHyphens/>
        <w:snapToGrid w:val="0"/>
        <w:spacing w:before="120" w:after="120"/>
        <w:ind w:left="709" w:firstLine="0"/>
        <w:rPr>
          <w:rFonts w:ascii="Angsana New" w:hAnsi="Angsana New" w:cs="Angsana New"/>
          <w:snapToGrid w:val="0"/>
          <w:kern w:val="22"/>
          <w:lang w:val="es-ES"/>
        </w:rPr>
      </w:pPr>
      <w:r w:rsidRPr="00543777">
        <w:rPr>
          <w:snapToGrid w:val="0"/>
          <w:kern w:val="22"/>
          <w:lang w:val="es-ES"/>
        </w:rPr>
        <w:t>14</w:t>
      </w:r>
      <w:r w:rsidR="00543777" w:rsidRPr="00543777">
        <w:rPr>
          <w:snapToGrid w:val="0"/>
          <w:kern w:val="22"/>
          <w:lang w:val="es-ES"/>
        </w:rPr>
        <w:t xml:space="preserve"> </w:t>
      </w:r>
      <w:r w:rsidRPr="00543777">
        <w:rPr>
          <w:snapToGrid w:val="0"/>
          <w:kern w:val="22"/>
          <w:lang w:val="es-ES"/>
        </w:rPr>
        <w:t xml:space="preserve">% </w:t>
      </w:r>
      <w:r w:rsidR="00543777" w:rsidRPr="00543777">
        <w:rPr>
          <w:snapToGrid w:val="0"/>
          <w:kern w:val="22"/>
          <w:lang w:val="es-ES"/>
        </w:rPr>
        <w:t xml:space="preserve">de las </w:t>
      </w:r>
      <w:r w:rsidRPr="00543777">
        <w:rPr>
          <w:snapToGrid w:val="0"/>
          <w:kern w:val="22"/>
          <w:lang w:val="es-ES"/>
        </w:rPr>
        <w:t xml:space="preserve">Partes (10 Partes) </w:t>
      </w:r>
      <w:r w:rsidR="00543777" w:rsidRPr="00543777">
        <w:rPr>
          <w:snapToGrid w:val="0"/>
          <w:kern w:val="22"/>
          <w:lang w:val="es-ES"/>
        </w:rPr>
        <w:t>señal</w:t>
      </w:r>
      <w:r w:rsidR="00585883">
        <w:rPr>
          <w:snapToGrid w:val="0"/>
          <w:kern w:val="22"/>
          <w:lang w:val="es-ES"/>
        </w:rPr>
        <w:t>ó</w:t>
      </w:r>
      <w:r w:rsidR="00543777" w:rsidRPr="00543777">
        <w:rPr>
          <w:snapToGrid w:val="0"/>
          <w:kern w:val="22"/>
          <w:lang w:val="es-ES"/>
        </w:rPr>
        <w:t xml:space="preserve"> que entre </w:t>
      </w:r>
      <w:r w:rsidRPr="00543777">
        <w:rPr>
          <w:snapToGrid w:val="0"/>
          <w:kern w:val="22"/>
          <w:lang w:val="es-ES"/>
        </w:rPr>
        <w:t xml:space="preserve">50 </w:t>
      </w:r>
      <w:r w:rsidR="00543777" w:rsidRPr="00543777">
        <w:rPr>
          <w:snapToGrid w:val="0"/>
          <w:kern w:val="22"/>
          <w:lang w:val="es-ES"/>
        </w:rPr>
        <w:t xml:space="preserve">y </w:t>
      </w:r>
      <w:r w:rsidR="00543777">
        <w:rPr>
          <w:snapToGrid w:val="0"/>
          <w:kern w:val="22"/>
          <w:lang w:val="es-ES"/>
        </w:rPr>
        <w:t xml:space="preserve">99 personas </w:t>
      </w:r>
      <w:r w:rsidRPr="00543777">
        <w:rPr>
          <w:snapToGrid w:val="0"/>
          <w:kern w:val="22"/>
          <w:lang w:val="es-ES"/>
        </w:rPr>
        <w:t>(-</w:t>
      </w:r>
      <w:r w:rsidR="00543777">
        <w:rPr>
          <w:snapToGrid w:val="0"/>
          <w:kern w:val="22"/>
          <w:lang w:val="es-ES"/>
        </w:rPr>
        <w:t xml:space="preserve"> </w:t>
      </w:r>
      <w:r w:rsidRPr="00543777">
        <w:rPr>
          <w:snapToGrid w:val="0"/>
          <w:kern w:val="22"/>
          <w:lang w:val="es-ES"/>
        </w:rPr>
        <w:t>10</w:t>
      </w:r>
      <w:r w:rsidR="00543777">
        <w:rPr>
          <w:snapToGrid w:val="0"/>
          <w:kern w:val="22"/>
          <w:lang w:val="es-ES"/>
        </w:rPr>
        <w:t xml:space="preserve"> </w:t>
      </w:r>
      <w:r w:rsidRPr="00543777">
        <w:rPr>
          <w:snapToGrid w:val="0"/>
          <w:kern w:val="22"/>
          <w:lang w:val="es-ES"/>
        </w:rPr>
        <w:t xml:space="preserve">%); </w:t>
      </w:r>
    </w:p>
    <w:p w:rsidR="00775B5A" w:rsidRPr="00543777" w:rsidRDefault="00775B5A" w:rsidP="00E67A3B">
      <w:pPr>
        <w:pStyle w:val="ListParagraph"/>
        <w:numPr>
          <w:ilvl w:val="1"/>
          <w:numId w:val="6"/>
        </w:numPr>
        <w:suppressLineNumbers/>
        <w:suppressAutoHyphens/>
        <w:snapToGrid w:val="0"/>
        <w:spacing w:before="120" w:after="120"/>
        <w:ind w:left="1418" w:hanging="709"/>
        <w:rPr>
          <w:snapToGrid w:val="0"/>
          <w:kern w:val="22"/>
          <w:lang w:val="es-ES"/>
        </w:rPr>
      </w:pPr>
      <w:r w:rsidRPr="00543777">
        <w:rPr>
          <w:snapToGrid w:val="0"/>
          <w:kern w:val="22"/>
          <w:lang w:val="es-ES"/>
        </w:rPr>
        <w:t>13</w:t>
      </w:r>
      <w:r w:rsidR="00543777" w:rsidRPr="00543777">
        <w:rPr>
          <w:snapToGrid w:val="0"/>
          <w:kern w:val="22"/>
          <w:lang w:val="es-ES"/>
        </w:rPr>
        <w:t xml:space="preserve"> % (9 Part</w:t>
      </w:r>
      <w:r w:rsidRPr="00543777">
        <w:rPr>
          <w:snapToGrid w:val="0"/>
          <w:kern w:val="22"/>
          <w:lang w:val="es-ES"/>
        </w:rPr>
        <w:t xml:space="preserve">es) </w:t>
      </w:r>
      <w:r w:rsidR="00543777" w:rsidRPr="00543777">
        <w:rPr>
          <w:snapToGrid w:val="0"/>
          <w:kern w:val="22"/>
          <w:lang w:val="es-ES"/>
        </w:rPr>
        <w:t>comunic</w:t>
      </w:r>
      <w:r w:rsidR="00585883">
        <w:rPr>
          <w:snapToGrid w:val="0"/>
          <w:kern w:val="22"/>
          <w:lang w:val="es-ES"/>
        </w:rPr>
        <w:t>ó</w:t>
      </w:r>
      <w:r w:rsidR="00543777" w:rsidRPr="00543777">
        <w:rPr>
          <w:snapToGrid w:val="0"/>
          <w:kern w:val="22"/>
          <w:lang w:val="es-ES"/>
        </w:rPr>
        <w:t xml:space="preserve"> qu</w:t>
      </w:r>
      <w:r w:rsidR="00543777" w:rsidRPr="00585883">
        <w:rPr>
          <w:snapToGrid w:val="0"/>
          <w:kern w:val="22"/>
          <w:lang w:val="es-ES"/>
        </w:rPr>
        <w:t xml:space="preserve">e </w:t>
      </w:r>
      <w:r w:rsidR="001D280E" w:rsidRPr="00585883">
        <w:rPr>
          <w:snapToGrid w:val="0"/>
          <w:kern w:val="22"/>
          <w:lang w:val="es-ES"/>
        </w:rPr>
        <w:t>100 personas o más</w:t>
      </w:r>
      <w:r w:rsidR="00543777" w:rsidRPr="00585883">
        <w:rPr>
          <w:snapToGrid w:val="0"/>
          <w:kern w:val="22"/>
          <w:lang w:val="es-ES"/>
        </w:rPr>
        <w:t xml:space="preserve"> </w:t>
      </w:r>
      <w:r w:rsidR="00543777" w:rsidRPr="00543777">
        <w:rPr>
          <w:snapToGrid w:val="0"/>
          <w:kern w:val="22"/>
          <w:lang w:val="es-ES"/>
        </w:rPr>
        <w:t>habían sido capacitadas en evaluaci</w:t>
      </w:r>
      <w:r w:rsidR="00543777">
        <w:rPr>
          <w:snapToGrid w:val="0"/>
          <w:kern w:val="22"/>
          <w:lang w:val="es-ES"/>
        </w:rPr>
        <w:t>ón del riesgo</w:t>
      </w:r>
      <w:r w:rsidRPr="00543777">
        <w:rPr>
          <w:snapToGrid w:val="0"/>
          <w:kern w:val="22"/>
          <w:lang w:val="es-ES"/>
        </w:rPr>
        <w:t xml:space="preserve"> (+</w:t>
      </w:r>
      <w:r w:rsidR="00543777">
        <w:rPr>
          <w:snapToGrid w:val="0"/>
          <w:kern w:val="22"/>
          <w:lang w:val="es-ES"/>
        </w:rPr>
        <w:t xml:space="preserve"> </w:t>
      </w:r>
      <w:r w:rsidRPr="00543777">
        <w:rPr>
          <w:snapToGrid w:val="0"/>
          <w:kern w:val="22"/>
          <w:lang w:val="es-ES"/>
        </w:rPr>
        <w:t>4</w:t>
      </w:r>
      <w:r w:rsidR="00543777">
        <w:rPr>
          <w:snapToGrid w:val="0"/>
          <w:kern w:val="22"/>
          <w:lang w:val="es-ES"/>
        </w:rPr>
        <w:t xml:space="preserve"> </w:t>
      </w:r>
      <w:r w:rsidRPr="00543777">
        <w:rPr>
          <w:snapToGrid w:val="0"/>
          <w:kern w:val="22"/>
          <w:lang w:val="es-ES"/>
        </w:rPr>
        <w:t>%);</w:t>
      </w:r>
    </w:p>
    <w:p w:rsidR="00775B5A" w:rsidRPr="00543777" w:rsidRDefault="00543777" w:rsidP="00E67A3B">
      <w:pPr>
        <w:pStyle w:val="ListParagraph"/>
        <w:numPr>
          <w:ilvl w:val="1"/>
          <w:numId w:val="6"/>
        </w:numPr>
        <w:suppressLineNumbers/>
        <w:suppressAutoHyphens/>
        <w:snapToGrid w:val="0"/>
        <w:spacing w:before="120" w:after="120"/>
        <w:ind w:left="1418" w:hanging="709"/>
        <w:rPr>
          <w:snapToGrid w:val="0"/>
          <w:kern w:val="22"/>
          <w:lang w:val="es-ES"/>
        </w:rPr>
      </w:pPr>
      <w:r w:rsidRPr="00543777">
        <w:rPr>
          <w:snapToGrid w:val="0"/>
          <w:kern w:val="22"/>
          <w:lang w:val="es-ES"/>
        </w:rPr>
        <w:t>Un</w:t>
      </w:r>
      <w:r w:rsidR="00775B5A" w:rsidRPr="00543777">
        <w:rPr>
          <w:snapToGrid w:val="0"/>
          <w:kern w:val="22"/>
          <w:lang w:val="es-ES"/>
        </w:rPr>
        <w:t xml:space="preserve"> total </w:t>
      </w:r>
      <w:r w:rsidRPr="00543777">
        <w:rPr>
          <w:snapToGrid w:val="0"/>
          <w:kern w:val="22"/>
          <w:lang w:val="es-ES"/>
        </w:rPr>
        <w:t xml:space="preserve">del </w:t>
      </w:r>
      <w:r w:rsidR="00775B5A" w:rsidRPr="00543777">
        <w:rPr>
          <w:snapToGrid w:val="0"/>
          <w:kern w:val="22"/>
          <w:lang w:val="es-ES"/>
        </w:rPr>
        <w:t>7</w:t>
      </w:r>
      <w:r w:rsidRPr="00543777">
        <w:rPr>
          <w:snapToGrid w:val="0"/>
          <w:kern w:val="22"/>
          <w:lang w:val="es-ES"/>
        </w:rPr>
        <w:t xml:space="preserve"> </w:t>
      </w:r>
      <w:r w:rsidR="00775B5A" w:rsidRPr="00543777">
        <w:rPr>
          <w:snapToGrid w:val="0"/>
          <w:kern w:val="22"/>
          <w:lang w:val="es-ES"/>
        </w:rPr>
        <w:t xml:space="preserve">% </w:t>
      </w:r>
      <w:r w:rsidRPr="00543777">
        <w:rPr>
          <w:snapToGrid w:val="0"/>
          <w:kern w:val="22"/>
          <w:lang w:val="es-ES"/>
        </w:rPr>
        <w:t xml:space="preserve">de las </w:t>
      </w:r>
      <w:r w:rsidR="00775B5A" w:rsidRPr="00543777">
        <w:rPr>
          <w:snapToGrid w:val="0"/>
          <w:kern w:val="22"/>
          <w:lang w:val="es-ES"/>
        </w:rPr>
        <w:t xml:space="preserve">Partes (5 Partes) </w:t>
      </w:r>
      <w:r>
        <w:rPr>
          <w:snapToGrid w:val="0"/>
          <w:kern w:val="22"/>
          <w:lang w:val="es-ES"/>
        </w:rPr>
        <w:t>indic</w:t>
      </w:r>
      <w:r w:rsidR="00585883">
        <w:rPr>
          <w:snapToGrid w:val="0"/>
          <w:kern w:val="22"/>
          <w:lang w:val="es-ES"/>
        </w:rPr>
        <w:t>ó</w:t>
      </w:r>
      <w:r>
        <w:rPr>
          <w:snapToGrid w:val="0"/>
          <w:kern w:val="22"/>
          <w:lang w:val="es-ES"/>
        </w:rPr>
        <w:t xml:space="preserve"> que nadie había recibido capacitación</w:t>
      </w:r>
      <w:r w:rsidR="00775B5A" w:rsidRPr="00543777">
        <w:rPr>
          <w:snapToGrid w:val="0"/>
          <w:kern w:val="22"/>
          <w:lang w:val="es-ES"/>
        </w:rPr>
        <w:t xml:space="preserve"> (+</w:t>
      </w:r>
      <w:r>
        <w:rPr>
          <w:snapToGrid w:val="0"/>
          <w:kern w:val="22"/>
          <w:lang w:val="es-ES"/>
        </w:rPr>
        <w:t xml:space="preserve"> </w:t>
      </w:r>
      <w:r w:rsidR="00775B5A" w:rsidRPr="00543777">
        <w:rPr>
          <w:snapToGrid w:val="0"/>
          <w:kern w:val="22"/>
          <w:lang w:val="es-ES"/>
        </w:rPr>
        <w:t>1</w:t>
      </w:r>
      <w:r>
        <w:rPr>
          <w:snapToGrid w:val="0"/>
          <w:kern w:val="22"/>
          <w:lang w:val="es-ES"/>
        </w:rPr>
        <w:t xml:space="preserve"> </w:t>
      </w:r>
      <w:r w:rsidR="00775B5A" w:rsidRPr="00543777">
        <w:rPr>
          <w:snapToGrid w:val="0"/>
          <w:kern w:val="22"/>
          <w:lang w:val="es-ES"/>
        </w:rPr>
        <w:t>%).</w:t>
      </w:r>
    </w:p>
    <w:p w:rsidR="00775B5A" w:rsidRPr="001D280E" w:rsidRDefault="001D280E" w:rsidP="001D4EEE">
      <w:pPr>
        <w:pStyle w:val="ListParagraph"/>
        <w:numPr>
          <w:ilvl w:val="0"/>
          <w:numId w:val="6"/>
        </w:numPr>
        <w:suppressLineNumbers/>
        <w:suppressAutoHyphens/>
        <w:snapToGrid w:val="0"/>
        <w:spacing w:before="120" w:after="120"/>
        <w:ind w:left="0" w:firstLine="698"/>
        <w:rPr>
          <w:snapToGrid w:val="0"/>
          <w:kern w:val="22"/>
          <w:lang w:val="es-ES"/>
        </w:rPr>
      </w:pPr>
      <w:r w:rsidRPr="001D280E">
        <w:rPr>
          <w:snapToGrid w:val="0"/>
          <w:kern w:val="22"/>
          <w:lang w:val="es-ES"/>
        </w:rPr>
        <w:t>Personas capacitadas en gestión del riesgo</w:t>
      </w:r>
      <w:r w:rsidR="00775B5A" w:rsidRPr="001D280E">
        <w:rPr>
          <w:snapToGrid w:val="0"/>
          <w:kern w:val="22"/>
          <w:lang w:val="es-ES"/>
        </w:rPr>
        <w:t xml:space="preserve">: </w:t>
      </w:r>
      <w:r w:rsidRPr="001D280E">
        <w:rPr>
          <w:snapToGrid w:val="0"/>
          <w:kern w:val="22"/>
          <w:lang w:val="es-ES"/>
        </w:rPr>
        <w:t xml:space="preserve">el </w:t>
      </w:r>
      <w:r w:rsidR="00775B5A" w:rsidRPr="001D280E">
        <w:rPr>
          <w:snapToGrid w:val="0"/>
          <w:kern w:val="22"/>
          <w:lang w:val="es-ES"/>
        </w:rPr>
        <w:t>90</w:t>
      </w:r>
      <w:r w:rsidRPr="001D280E">
        <w:rPr>
          <w:snapToGrid w:val="0"/>
          <w:kern w:val="22"/>
          <w:lang w:val="es-ES"/>
        </w:rPr>
        <w:t xml:space="preserve"> </w:t>
      </w:r>
      <w:r w:rsidR="00775B5A" w:rsidRPr="001D280E">
        <w:rPr>
          <w:snapToGrid w:val="0"/>
          <w:kern w:val="22"/>
          <w:lang w:val="es-ES"/>
        </w:rPr>
        <w:t xml:space="preserve">% </w:t>
      </w:r>
      <w:r w:rsidRPr="001D280E">
        <w:rPr>
          <w:snapToGrid w:val="0"/>
          <w:kern w:val="22"/>
          <w:lang w:val="es-ES"/>
        </w:rPr>
        <w:t xml:space="preserve">de las </w:t>
      </w:r>
      <w:r w:rsidR="00775B5A" w:rsidRPr="001D280E">
        <w:rPr>
          <w:snapToGrid w:val="0"/>
          <w:kern w:val="22"/>
          <w:lang w:val="es-ES"/>
        </w:rPr>
        <w:t xml:space="preserve">Partes </w:t>
      </w:r>
      <w:r w:rsidRPr="001D280E">
        <w:rPr>
          <w:snapToGrid w:val="0"/>
          <w:kern w:val="22"/>
          <w:lang w:val="es-ES"/>
        </w:rPr>
        <w:t>inform</w:t>
      </w:r>
      <w:r>
        <w:rPr>
          <w:snapToGrid w:val="0"/>
          <w:kern w:val="22"/>
          <w:lang w:val="es-ES"/>
        </w:rPr>
        <w:t>ó</w:t>
      </w:r>
      <w:r w:rsidRPr="001D280E">
        <w:rPr>
          <w:snapToGrid w:val="0"/>
          <w:kern w:val="22"/>
          <w:lang w:val="es-ES"/>
        </w:rPr>
        <w:t xml:space="preserve"> de que </w:t>
      </w:r>
      <w:r>
        <w:rPr>
          <w:snapToGrid w:val="0"/>
          <w:kern w:val="22"/>
          <w:lang w:val="es-ES"/>
        </w:rPr>
        <w:t xml:space="preserve">en su país se había capacitado a </w:t>
      </w:r>
      <w:r w:rsidRPr="001D280E">
        <w:rPr>
          <w:snapToGrid w:val="0"/>
          <w:kern w:val="22"/>
          <w:lang w:val="es-ES"/>
        </w:rPr>
        <w:t xml:space="preserve">personas </w:t>
      </w:r>
      <w:r>
        <w:rPr>
          <w:snapToGrid w:val="0"/>
          <w:kern w:val="22"/>
          <w:lang w:val="es-ES"/>
        </w:rPr>
        <w:t>en gestión del riesgo</w:t>
      </w:r>
      <w:r w:rsidR="00775B5A" w:rsidRPr="001D280E">
        <w:rPr>
          <w:snapToGrid w:val="0"/>
          <w:kern w:val="22"/>
          <w:lang w:val="es-ES"/>
        </w:rPr>
        <w:t xml:space="preserve">. </w:t>
      </w:r>
      <w:r>
        <w:rPr>
          <w:snapToGrid w:val="0"/>
          <w:kern w:val="22"/>
          <w:lang w:val="es-ES"/>
        </w:rPr>
        <w:t xml:space="preserve">Un </w:t>
      </w:r>
      <w:r w:rsidR="00775B5A" w:rsidRPr="001D280E">
        <w:rPr>
          <w:snapToGrid w:val="0"/>
          <w:kern w:val="22"/>
          <w:lang w:val="es-ES"/>
        </w:rPr>
        <w:t xml:space="preserve">total </w:t>
      </w:r>
      <w:r w:rsidRPr="001D280E">
        <w:rPr>
          <w:snapToGrid w:val="0"/>
          <w:kern w:val="22"/>
          <w:lang w:val="es-ES"/>
        </w:rPr>
        <w:t>de</w:t>
      </w:r>
      <w:r w:rsidR="00775B5A" w:rsidRPr="001D280E">
        <w:rPr>
          <w:snapToGrid w:val="0"/>
          <w:kern w:val="22"/>
          <w:lang w:val="es-ES"/>
        </w:rPr>
        <w:t>:</w:t>
      </w:r>
    </w:p>
    <w:p w:rsidR="00775B5A" w:rsidRPr="001D280E" w:rsidRDefault="00775B5A" w:rsidP="00E67A3B">
      <w:pPr>
        <w:pStyle w:val="ListParagraph"/>
        <w:numPr>
          <w:ilvl w:val="1"/>
          <w:numId w:val="6"/>
        </w:numPr>
        <w:suppressLineNumbers/>
        <w:suppressAutoHyphens/>
        <w:snapToGrid w:val="0"/>
        <w:spacing w:before="120" w:after="120"/>
        <w:ind w:left="709" w:firstLine="0"/>
        <w:rPr>
          <w:rFonts w:ascii="Angsana New" w:hAnsi="Angsana New" w:cs="Angsana New"/>
          <w:snapToGrid w:val="0"/>
          <w:kern w:val="22"/>
          <w:lang w:val="es-ES"/>
        </w:rPr>
      </w:pPr>
      <w:r w:rsidRPr="001D280E">
        <w:rPr>
          <w:snapToGrid w:val="0"/>
          <w:kern w:val="22"/>
          <w:lang w:val="es-ES"/>
        </w:rPr>
        <w:t>38</w:t>
      </w:r>
      <w:r w:rsidR="001D280E" w:rsidRPr="001D280E">
        <w:rPr>
          <w:snapToGrid w:val="0"/>
          <w:kern w:val="22"/>
          <w:lang w:val="es-ES"/>
        </w:rPr>
        <w:t xml:space="preserve"> </w:t>
      </w:r>
      <w:r w:rsidRPr="001D280E">
        <w:rPr>
          <w:snapToGrid w:val="0"/>
          <w:kern w:val="22"/>
          <w:lang w:val="es-ES"/>
        </w:rPr>
        <w:t xml:space="preserve">% (27 Partes) </w:t>
      </w:r>
      <w:r w:rsidR="001D280E" w:rsidRPr="001D280E">
        <w:rPr>
          <w:snapToGrid w:val="0"/>
          <w:kern w:val="22"/>
          <w:lang w:val="es-ES"/>
        </w:rPr>
        <w:t>inform</w:t>
      </w:r>
      <w:r w:rsidR="00585883">
        <w:rPr>
          <w:snapToGrid w:val="0"/>
          <w:kern w:val="22"/>
          <w:lang w:val="es-ES"/>
        </w:rPr>
        <w:t>ó</w:t>
      </w:r>
      <w:r w:rsidR="001D280E" w:rsidRPr="001D280E">
        <w:rPr>
          <w:snapToGrid w:val="0"/>
          <w:kern w:val="22"/>
          <w:lang w:val="es-ES"/>
        </w:rPr>
        <w:t xml:space="preserve"> de entre </w:t>
      </w:r>
      <w:r w:rsidRPr="001D280E">
        <w:rPr>
          <w:snapToGrid w:val="0"/>
          <w:kern w:val="22"/>
          <w:lang w:val="es-ES"/>
        </w:rPr>
        <w:t xml:space="preserve">1 </w:t>
      </w:r>
      <w:r w:rsidR="001D280E" w:rsidRPr="001D280E">
        <w:rPr>
          <w:snapToGrid w:val="0"/>
          <w:kern w:val="22"/>
          <w:lang w:val="es-ES"/>
        </w:rPr>
        <w:t>y</w:t>
      </w:r>
      <w:r w:rsidRPr="001D280E">
        <w:rPr>
          <w:snapToGrid w:val="0"/>
          <w:kern w:val="22"/>
          <w:lang w:val="es-ES"/>
        </w:rPr>
        <w:t xml:space="preserve"> 9 pe</w:t>
      </w:r>
      <w:r w:rsidR="001D280E" w:rsidRPr="001D280E">
        <w:rPr>
          <w:snapToGrid w:val="0"/>
          <w:kern w:val="22"/>
          <w:lang w:val="es-ES"/>
        </w:rPr>
        <w:t>rsonas</w:t>
      </w:r>
      <w:r w:rsidRPr="001D280E">
        <w:rPr>
          <w:snapToGrid w:val="0"/>
          <w:kern w:val="22"/>
          <w:lang w:val="es-ES"/>
        </w:rPr>
        <w:t xml:space="preserve"> (+</w:t>
      </w:r>
      <w:r w:rsidR="001D280E" w:rsidRPr="001D280E">
        <w:rPr>
          <w:snapToGrid w:val="0"/>
          <w:kern w:val="22"/>
          <w:lang w:val="es-ES"/>
        </w:rPr>
        <w:t xml:space="preserve"> </w:t>
      </w:r>
      <w:r w:rsidRPr="001D280E">
        <w:rPr>
          <w:snapToGrid w:val="0"/>
          <w:kern w:val="22"/>
          <w:lang w:val="es-ES"/>
        </w:rPr>
        <w:t>8</w:t>
      </w:r>
      <w:r w:rsidR="001D280E" w:rsidRPr="001D280E">
        <w:rPr>
          <w:snapToGrid w:val="0"/>
          <w:kern w:val="22"/>
          <w:lang w:val="es-ES"/>
        </w:rPr>
        <w:t xml:space="preserve"> </w:t>
      </w:r>
      <w:r w:rsidRPr="001D280E">
        <w:rPr>
          <w:snapToGrid w:val="0"/>
          <w:kern w:val="22"/>
          <w:lang w:val="es-ES"/>
        </w:rPr>
        <w:t xml:space="preserve">%); </w:t>
      </w:r>
    </w:p>
    <w:p w:rsidR="00775B5A" w:rsidRPr="001D280E" w:rsidRDefault="00775B5A" w:rsidP="00E67A3B">
      <w:pPr>
        <w:pStyle w:val="ListParagraph"/>
        <w:numPr>
          <w:ilvl w:val="1"/>
          <w:numId w:val="6"/>
        </w:numPr>
        <w:suppressLineNumbers/>
        <w:suppressAutoHyphens/>
        <w:snapToGrid w:val="0"/>
        <w:spacing w:before="120" w:after="120"/>
        <w:ind w:left="709" w:firstLine="0"/>
        <w:rPr>
          <w:rFonts w:ascii="Angsana New" w:hAnsi="Angsana New" w:cs="Angsana New"/>
          <w:snapToGrid w:val="0"/>
          <w:kern w:val="22"/>
          <w:lang w:val="es-ES"/>
        </w:rPr>
      </w:pPr>
      <w:r w:rsidRPr="001D280E">
        <w:rPr>
          <w:snapToGrid w:val="0"/>
          <w:kern w:val="22"/>
          <w:lang w:val="es-ES"/>
        </w:rPr>
        <w:t>28</w:t>
      </w:r>
      <w:r w:rsidR="001D280E" w:rsidRPr="001D280E">
        <w:rPr>
          <w:snapToGrid w:val="0"/>
          <w:kern w:val="22"/>
          <w:lang w:val="es-ES"/>
        </w:rPr>
        <w:t xml:space="preserve"> </w:t>
      </w:r>
      <w:r w:rsidRPr="001D280E">
        <w:rPr>
          <w:snapToGrid w:val="0"/>
          <w:kern w:val="22"/>
          <w:lang w:val="es-ES"/>
        </w:rPr>
        <w:t xml:space="preserve">% (20 Partes) </w:t>
      </w:r>
      <w:r w:rsidR="007F7D6B">
        <w:rPr>
          <w:snapToGrid w:val="0"/>
          <w:kern w:val="22"/>
          <w:lang w:val="es-ES"/>
        </w:rPr>
        <w:t>notific</w:t>
      </w:r>
      <w:r w:rsidR="00585883">
        <w:rPr>
          <w:snapToGrid w:val="0"/>
          <w:kern w:val="22"/>
          <w:lang w:val="es-ES"/>
        </w:rPr>
        <w:t>ó</w:t>
      </w:r>
      <w:r w:rsidR="007F7D6B">
        <w:rPr>
          <w:snapToGrid w:val="0"/>
          <w:kern w:val="22"/>
          <w:lang w:val="es-ES"/>
        </w:rPr>
        <w:t xml:space="preserve"> </w:t>
      </w:r>
      <w:r w:rsidR="001D280E" w:rsidRPr="001D280E">
        <w:rPr>
          <w:snapToGrid w:val="0"/>
          <w:kern w:val="22"/>
          <w:lang w:val="es-ES"/>
        </w:rPr>
        <w:t xml:space="preserve">entre </w:t>
      </w:r>
      <w:r w:rsidRPr="001D280E">
        <w:rPr>
          <w:snapToGrid w:val="0"/>
          <w:kern w:val="22"/>
          <w:lang w:val="es-ES"/>
        </w:rPr>
        <w:t xml:space="preserve">10 </w:t>
      </w:r>
      <w:r w:rsidR="001D280E" w:rsidRPr="001D280E">
        <w:rPr>
          <w:snapToGrid w:val="0"/>
          <w:kern w:val="22"/>
          <w:lang w:val="es-ES"/>
        </w:rPr>
        <w:t xml:space="preserve">y </w:t>
      </w:r>
      <w:r w:rsidRPr="001D280E">
        <w:rPr>
          <w:snapToGrid w:val="0"/>
          <w:kern w:val="22"/>
          <w:lang w:val="es-ES"/>
        </w:rPr>
        <w:t>49 pe</w:t>
      </w:r>
      <w:r w:rsidR="001D280E" w:rsidRPr="001D280E">
        <w:rPr>
          <w:snapToGrid w:val="0"/>
          <w:kern w:val="22"/>
          <w:lang w:val="es-ES"/>
        </w:rPr>
        <w:t>rsonas</w:t>
      </w:r>
      <w:r w:rsidRPr="001D280E">
        <w:rPr>
          <w:snapToGrid w:val="0"/>
          <w:kern w:val="22"/>
          <w:lang w:val="es-ES"/>
        </w:rPr>
        <w:t xml:space="preserve"> (-</w:t>
      </w:r>
      <w:r w:rsidR="001D280E" w:rsidRPr="001D280E">
        <w:rPr>
          <w:snapToGrid w:val="0"/>
          <w:kern w:val="22"/>
          <w:lang w:val="es-ES"/>
        </w:rPr>
        <w:t xml:space="preserve"> </w:t>
      </w:r>
      <w:r w:rsidRPr="001D280E">
        <w:rPr>
          <w:snapToGrid w:val="0"/>
          <w:kern w:val="22"/>
          <w:lang w:val="es-ES"/>
        </w:rPr>
        <w:t>3</w:t>
      </w:r>
      <w:r w:rsidR="001D280E" w:rsidRPr="001D280E">
        <w:rPr>
          <w:snapToGrid w:val="0"/>
          <w:kern w:val="22"/>
          <w:lang w:val="es-ES"/>
        </w:rPr>
        <w:t xml:space="preserve"> </w:t>
      </w:r>
      <w:r w:rsidRPr="001D280E">
        <w:rPr>
          <w:snapToGrid w:val="0"/>
          <w:kern w:val="22"/>
          <w:lang w:val="es-ES"/>
        </w:rPr>
        <w:t xml:space="preserve">%); </w:t>
      </w:r>
    </w:p>
    <w:p w:rsidR="00775B5A" w:rsidRPr="001D280E" w:rsidRDefault="00775B5A" w:rsidP="00E67A3B">
      <w:pPr>
        <w:pStyle w:val="ListParagraph"/>
        <w:numPr>
          <w:ilvl w:val="1"/>
          <w:numId w:val="6"/>
        </w:numPr>
        <w:suppressLineNumbers/>
        <w:suppressAutoHyphens/>
        <w:snapToGrid w:val="0"/>
        <w:spacing w:before="120" w:after="120"/>
        <w:ind w:left="709" w:firstLine="0"/>
        <w:rPr>
          <w:rFonts w:ascii="Angsana New" w:hAnsi="Angsana New" w:cs="Angsana New"/>
          <w:snapToGrid w:val="0"/>
          <w:kern w:val="22"/>
          <w:lang w:val="es-ES"/>
        </w:rPr>
      </w:pPr>
      <w:r w:rsidRPr="001D280E">
        <w:rPr>
          <w:snapToGrid w:val="0"/>
          <w:kern w:val="22"/>
          <w:lang w:val="es-ES"/>
        </w:rPr>
        <w:t>13</w:t>
      </w:r>
      <w:r w:rsidR="001D280E" w:rsidRPr="001D280E">
        <w:rPr>
          <w:snapToGrid w:val="0"/>
          <w:kern w:val="22"/>
          <w:lang w:val="es-ES"/>
        </w:rPr>
        <w:t xml:space="preserve"> </w:t>
      </w:r>
      <w:r w:rsidRPr="001D280E">
        <w:rPr>
          <w:snapToGrid w:val="0"/>
          <w:kern w:val="22"/>
          <w:lang w:val="es-ES"/>
        </w:rPr>
        <w:t xml:space="preserve">% (9 Partes) </w:t>
      </w:r>
      <w:r w:rsidR="001D280E" w:rsidRPr="001D280E">
        <w:rPr>
          <w:snapToGrid w:val="0"/>
          <w:kern w:val="22"/>
          <w:lang w:val="es-ES"/>
        </w:rPr>
        <w:t>indic</w:t>
      </w:r>
      <w:r w:rsidR="00585883">
        <w:rPr>
          <w:snapToGrid w:val="0"/>
          <w:kern w:val="22"/>
          <w:lang w:val="es-ES"/>
        </w:rPr>
        <w:t>ó</w:t>
      </w:r>
      <w:r w:rsidR="001D280E" w:rsidRPr="001D280E">
        <w:rPr>
          <w:snapToGrid w:val="0"/>
          <w:kern w:val="22"/>
          <w:lang w:val="es-ES"/>
        </w:rPr>
        <w:t xml:space="preserve"> entre </w:t>
      </w:r>
      <w:r w:rsidRPr="001D280E">
        <w:rPr>
          <w:snapToGrid w:val="0"/>
          <w:kern w:val="22"/>
          <w:lang w:val="es-ES"/>
        </w:rPr>
        <w:t xml:space="preserve">50 </w:t>
      </w:r>
      <w:r w:rsidR="001D280E" w:rsidRPr="001D280E">
        <w:rPr>
          <w:snapToGrid w:val="0"/>
          <w:kern w:val="22"/>
          <w:lang w:val="es-ES"/>
        </w:rPr>
        <w:t xml:space="preserve">y </w:t>
      </w:r>
      <w:r w:rsidRPr="001D280E">
        <w:rPr>
          <w:snapToGrid w:val="0"/>
          <w:kern w:val="22"/>
          <w:lang w:val="es-ES"/>
        </w:rPr>
        <w:t>99 pe</w:t>
      </w:r>
      <w:r w:rsidR="001D280E" w:rsidRPr="001D280E">
        <w:rPr>
          <w:snapToGrid w:val="0"/>
          <w:kern w:val="22"/>
          <w:lang w:val="es-ES"/>
        </w:rPr>
        <w:t>rsonas</w:t>
      </w:r>
      <w:r w:rsidRPr="001D280E">
        <w:rPr>
          <w:snapToGrid w:val="0"/>
          <w:kern w:val="22"/>
          <w:lang w:val="es-ES"/>
        </w:rPr>
        <w:t xml:space="preserve"> (-</w:t>
      </w:r>
      <w:r w:rsidR="001D280E" w:rsidRPr="001D280E">
        <w:rPr>
          <w:snapToGrid w:val="0"/>
          <w:kern w:val="22"/>
          <w:lang w:val="es-ES"/>
        </w:rPr>
        <w:t xml:space="preserve"> </w:t>
      </w:r>
      <w:r w:rsidRPr="001D280E">
        <w:rPr>
          <w:snapToGrid w:val="0"/>
          <w:kern w:val="22"/>
          <w:lang w:val="es-ES"/>
        </w:rPr>
        <w:t>10</w:t>
      </w:r>
      <w:r w:rsidR="001D280E" w:rsidRPr="001D280E">
        <w:rPr>
          <w:snapToGrid w:val="0"/>
          <w:kern w:val="22"/>
          <w:lang w:val="es-ES"/>
        </w:rPr>
        <w:t xml:space="preserve"> </w:t>
      </w:r>
      <w:r w:rsidRPr="001D280E">
        <w:rPr>
          <w:snapToGrid w:val="0"/>
          <w:kern w:val="22"/>
          <w:lang w:val="es-ES"/>
        </w:rPr>
        <w:t xml:space="preserve">%); </w:t>
      </w:r>
    </w:p>
    <w:p w:rsidR="00775B5A" w:rsidRPr="001D280E" w:rsidRDefault="00775B5A" w:rsidP="00E67A3B">
      <w:pPr>
        <w:pStyle w:val="ListParagraph"/>
        <w:numPr>
          <w:ilvl w:val="1"/>
          <w:numId w:val="6"/>
        </w:numPr>
        <w:suppressLineNumbers/>
        <w:suppressAutoHyphens/>
        <w:snapToGrid w:val="0"/>
        <w:spacing w:before="120" w:after="120"/>
        <w:ind w:left="1418" w:hanging="709"/>
        <w:rPr>
          <w:snapToGrid w:val="0"/>
          <w:kern w:val="22"/>
          <w:lang w:val="es-ES"/>
        </w:rPr>
      </w:pPr>
      <w:r w:rsidRPr="001D280E">
        <w:rPr>
          <w:snapToGrid w:val="0"/>
          <w:kern w:val="22"/>
          <w:lang w:val="es-ES"/>
        </w:rPr>
        <w:t>11</w:t>
      </w:r>
      <w:r w:rsidR="001D280E" w:rsidRPr="001D280E">
        <w:rPr>
          <w:snapToGrid w:val="0"/>
          <w:kern w:val="22"/>
          <w:lang w:val="es-ES"/>
        </w:rPr>
        <w:t xml:space="preserve"> </w:t>
      </w:r>
      <w:r w:rsidRPr="001D280E">
        <w:rPr>
          <w:snapToGrid w:val="0"/>
          <w:kern w:val="22"/>
          <w:lang w:val="es-ES"/>
        </w:rPr>
        <w:t xml:space="preserve">% (8 Partes) </w:t>
      </w:r>
      <w:r w:rsidR="001D280E" w:rsidRPr="001D280E">
        <w:rPr>
          <w:snapToGrid w:val="0"/>
          <w:kern w:val="22"/>
          <w:lang w:val="es-ES"/>
        </w:rPr>
        <w:t>comunic</w:t>
      </w:r>
      <w:r w:rsidR="00585883">
        <w:rPr>
          <w:snapToGrid w:val="0"/>
          <w:kern w:val="22"/>
          <w:lang w:val="es-ES"/>
        </w:rPr>
        <w:t>ó</w:t>
      </w:r>
      <w:r w:rsidR="001D280E" w:rsidRPr="001D280E">
        <w:rPr>
          <w:snapToGrid w:val="0"/>
          <w:kern w:val="22"/>
          <w:lang w:val="es-ES"/>
        </w:rPr>
        <w:t xml:space="preserve"> q</w:t>
      </w:r>
      <w:r w:rsidR="001D280E" w:rsidRPr="00585883">
        <w:rPr>
          <w:snapToGrid w:val="0"/>
          <w:kern w:val="22"/>
          <w:lang w:val="es-ES"/>
        </w:rPr>
        <w:t>ue 1</w:t>
      </w:r>
      <w:r w:rsidRPr="00585883">
        <w:rPr>
          <w:snapToGrid w:val="0"/>
          <w:kern w:val="22"/>
          <w:lang w:val="es-ES"/>
        </w:rPr>
        <w:t xml:space="preserve">00 </w:t>
      </w:r>
      <w:r w:rsidR="001D280E" w:rsidRPr="00585883">
        <w:rPr>
          <w:snapToGrid w:val="0"/>
          <w:kern w:val="22"/>
          <w:lang w:val="es-ES"/>
        </w:rPr>
        <w:t xml:space="preserve">personas o más </w:t>
      </w:r>
      <w:r w:rsidR="001D280E" w:rsidRPr="001D280E">
        <w:rPr>
          <w:snapToGrid w:val="0"/>
          <w:kern w:val="22"/>
          <w:lang w:val="es-ES"/>
        </w:rPr>
        <w:t>habían recibido capacitaci</w:t>
      </w:r>
      <w:r w:rsidR="001D280E">
        <w:rPr>
          <w:snapToGrid w:val="0"/>
          <w:kern w:val="22"/>
          <w:lang w:val="es-ES"/>
        </w:rPr>
        <w:t>ón en gestión del riesgo</w:t>
      </w:r>
      <w:r w:rsidRPr="001D280E">
        <w:rPr>
          <w:snapToGrid w:val="0"/>
          <w:kern w:val="22"/>
          <w:lang w:val="es-ES"/>
        </w:rPr>
        <w:t xml:space="preserve"> (+ 3</w:t>
      </w:r>
      <w:r w:rsidR="001D280E">
        <w:rPr>
          <w:snapToGrid w:val="0"/>
          <w:kern w:val="22"/>
          <w:lang w:val="es-ES"/>
        </w:rPr>
        <w:t xml:space="preserve"> </w:t>
      </w:r>
      <w:r w:rsidRPr="001D280E">
        <w:rPr>
          <w:snapToGrid w:val="0"/>
          <w:kern w:val="22"/>
          <w:lang w:val="es-ES"/>
        </w:rPr>
        <w:t xml:space="preserve">%); </w:t>
      </w:r>
    </w:p>
    <w:p w:rsidR="00775B5A" w:rsidRPr="001D280E" w:rsidRDefault="00775B5A" w:rsidP="00E67A3B">
      <w:pPr>
        <w:pStyle w:val="ListParagraph"/>
        <w:numPr>
          <w:ilvl w:val="1"/>
          <w:numId w:val="6"/>
        </w:numPr>
        <w:suppressLineNumbers/>
        <w:suppressAutoHyphens/>
        <w:snapToGrid w:val="0"/>
        <w:spacing w:before="120" w:after="120"/>
        <w:ind w:left="709" w:firstLine="0"/>
        <w:rPr>
          <w:snapToGrid w:val="0"/>
          <w:kern w:val="22"/>
          <w:lang w:val="es-ES"/>
        </w:rPr>
      </w:pPr>
      <w:r w:rsidRPr="001D280E">
        <w:rPr>
          <w:snapToGrid w:val="0"/>
          <w:kern w:val="22"/>
          <w:lang w:val="es-ES"/>
        </w:rPr>
        <w:t>10</w:t>
      </w:r>
      <w:r w:rsidR="001D280E" w:rsidRPr="001D280E">
        <w:rPr>
          <w:snapToGrid w:val="0"/>
          <w:kern w:val="22"/>
          <w:lang w:val="es-ES"/>
        </w:rPr>
        <w:t xml:space="preserve"> </w:t>
      </w:r>
      <w:r w:rsidRPr="001D280E">
        <w:rPr>
          <w:snapToGrid w:val="0"/>
          <w:kern w:val="22"/>
          <w:lang w:val="es-ES"/>
        </w:rPr>
        <w:t xml:space="preserve">% (7 Partes) </w:t>
      </w:r>
      <w:r w:rsidR="001D280E" w:rsidRPr="001D280E">
        <w:rPr>
          <w:snapToGrid w:val="0"/>
          <w:kern w:val="22"/>
          <w:lang w:val="es-ES"/>
        </w:rPr>
        <w:t>indic</w:t>
      </w:r>
      <w:r w:rsidR="00585883">
        <w:rPr>
          <w:snapToGrid w:val="0"/>
          <w:kern w:val="22"/>
          <w:lang w:val="es-ES"/>
        </w:rPr>
        <w:t>ó</w:t>
      </w:r>
      <w:r w:rsidR="001D280E" w:rsidRPr="001D280E">
        <w:rPr>
          <w:snapToGrid w:val="0"/>
          <w:kern w:val="22"/>
          <w:lang w:val="es-ES"/>
        </w:rPr>
        <w:t xml:space="preserve"> que nadie había recibido capacitaci</w:t>
      </w:r>
      <w:r w:rsidR="001D280E">
        <w:rPr>
          <w:snapToGrid w:val="0"/>
          <w:kern w:val="22"/>
          <w:lang w:val="es-ES"/>
        </w:rPr>
        <w:t>ón</w:t>
      </w:r>
      <w:r w:rsidRPr="001D280E">
        <w:rPr>
          <w:snapToGrid w:val="0"/>
          <w:kern w:val="22"/>
          <w:lang w:val="es-ES"/>
        </w:rPr>
        <w:t xml:space="preserve"> (+</w:t>
      </w:r>
      <w:r w:rsidR="001D280E">
        <w:rPr>
          <w:snapToGrid w:val="0"/>
          <w:kern w:val="22"/>
          <w:lang w:val="es-ES"/>
        </w:rPr>
        <w:t xml:space="preserve"> </w:t>
      </w:r>
      <w:r w:rsidRPr="001D280E">
        <w:rPr>
          <w:snapToGrid w:val="0"/>
          <w:kern w:val="22"/>
          <w:lang w:val="es-ES"/>
        </w:rPr>
        <w:t>2</w:t>
      </w:r>
      <w:r w:rsidR="001D280E">
        <w:rPr>
          <w:snapToGrid w:val="0"/>
          <w:kern w:val="22"/>
          <w:lang w:val="es-ES"/>
        </w:rPr>
        <w:t xml:space="preserve"> </w:t>
      </w:r>
      <w:r w:rsidRPr="001D280E">
        <w:rPr>
          <w:snapToGrid w:val="0"/>
          <w:kern w:val="22"/>
          <w:lang w:val="es-ES"/>
        </w:rPr>
        <w:t>%).</w:t>
      </w:r>
    </w:p>
    <w:p w:rsidR="00775B5A" w:rsidRPr="00585883" w:rsidRDefault="00775B5A" w:rsidP="001D4EEE">
      <w:pPr>
        <w:pStyle w:val="ListParagraph"/>
        <w:numPr>
          <w:ilvl w:val="0"/>
          <w:numId w:val="6"/>
        </w:numPr>
        <w:suppressLineNumbers/>
        <w:suppressAutoHyphens/>
        <w:snapToGrid w:val="0"/>
        <w:spacing w:before="120" w:after="120"/>
        <w:ind w:left="0" w:firstLine="698"/>
        <w:rPr>
          <w:snapToGrid w:val="0"/>
          <w:kern w:val="22"/>
          <w:lang w:val="es-ES"/>
        </w:rPr>
      </w:pPr>
      <w:r w:rsidRPr="001D280E">
        <w:rPr>
          <w:snapToGrid w:val="0"/>
          <w:kern w:val="22"/>
          <w:lang w:val="es-ES"/>
        </w:rPr>
        <w:t>Pe</w:t>
      </w:r>
      <w:r w:rsidR="001D280E" w:rsidRPr="001D280E">
        <w:rPr>
          <w:snapToGrid w:val="0"/>
          <w:kern w:val="22"/>
          <w:lang w:val="es-ES"/>
        </w:rPr>
        <w:t>rsonas capacitadas en vigilancia de OVM</w:t>
      </w:r>
      <w:r w:rsidRPr="001D280E">
        <w:rPr>
          <w:snapToGrid w:val="0"/>
          <w:kern w:val="22"/>
          <w:lang w:val="es-ES"/>
        </w:rPr>
        <w:t>: 87</w:t>
      </w:r>
      <w:r w:rsidR="001D280E" w:rsidRPr="001D280E">
        <w:rPr>
          <w:snapToGrid w:val="0"/>
          <w:kern w:val="22"/>
          <w:lang w:val="es-ES"/>
        </w:rPr>
        <w:t xml:space="preserve"> </w:t>
      </w:r>
      <w:r w:rsidRPr="001D280E">
        <w:rPr>
          <w:snapToGrid w:val="0"/>
          <w:kern w:val="22"/>
          <w:lang w:val="es-ES"/>
        </w:rPr>
        <w:t xml:space="preserve">% </w:t>
      </w:r>
      <w:r w:rsidR="001D280E" w:rsidRPr="001D280E">
        <w:rPr>
          <w:snapToGrid w:val="0"/>
          <w:kern w:val="22"/>
          <w:lang w:val="es-ES"/>
        </w:rPr>
        <w:t>de las Partes inform</w:t>
      </w:r>
      <w:r w:rsidR="00585883">
        <w:rPr>
          <w:snapToGrid w:val="0"/>
          <w:kern w:val="22"/>
          <w:lang w:val="es-ES"/>
        </w:rPr>
        <w:t>ó</w:t>
      </w:r>
      <w:r w:rsidR="001D280E" w:rsidRPr="001D280E">
        <w:rPr>
          <w:snapToGrid w:val="0"/>
          <w:kern w:val="22"/>
          <w:lang w:val="es-ES"/>
        </w:rPr>
        <w:t xml:space="preserve"> de que en su pa</w:t>
      </w:r>
      <w:r w:rsidR="001D280E">
        <w:rPr>
          <w:snapToGrid w:val="0"/>
          <w:kern w:val="22"/>
          <w:lang w:val="es-ES"/>
        </w:rPr>
        <w:t>ís se había capacitado a personas en vigilancia de OVM</w:t>
      </w:r>
      <w:r w:rsidRPr="001D280E">
        <w:rPr>
          <w:snapToGrid w:val="0"/>
          <w:kern w:val="22"/>
          <w:lang w:val="es-ES"/>
        </w:rPr>
        <w:t xml:space="preserve">. </w:t>
      </w:r>
      <w:r w:rsidR="001D280E">
        <w:rPr>
          <w:snapToGrid w:val="0"/>
          <w:kern w:val="22"/>
          <w:lang w:val="es-ES"/>
        </w:rPr>
        <w:t>Un</w:t>
      </w:r>
      <w:r w:rsidRPr="00585883">
        <w:rPr>
          <w:snapToGrid w:val="0"/>
          <w:kern w:val="22"/>
          <w:lang w:val="es-ES"/>
        </w:rPr>
        <w:t xml:space="preserve"> total </w:t>
      </w:r>
      <w:r w:rsidR="001D280E" w:rsidRPr="00585883">
        <w:rPr>
          <w:snapToGrid w:val="0"/>
          <w:kern w:val="22"/>
          <w:lang w:val="es-ES"/>
        </w:rPr>
        <w:t>de</w:t>
      </w:r>
      <w:r w:rsidRPr="00585883">
        <w:rPr>
          <w:snapToGrid w:val="0"/>
          <w:kern w:val="22"/>
          <w:lang w:val="es-ES"/>
        </w:rPr>
        <w:t>:</w:t>
      </w:r>
    </w:p>
    <w:p w:rsidR="00775B5A" w:rsidRPr="007F7D6B" w:rsidRDefault="00775B5A" w:rsidP="00E67A3B">
      <w:pPr>
        <w:pStyle w:val="ListParagraph"/>
        <w:numPr>
          <w:ilvl w:val="1"/>
          <w:numId w:val="6"/>
        </w:numPr>
        <w:suppressLineNumbers/>
        <w:suppressAutoHyphens/>
        <w:snapToGrid w:val="0"/>
        <w:spacing w:before="120" w:after="120"/>
        <w:ind w:left="709" w:firstLine="0"/>
        <w:rPr>
          <w:rFonts w:ascii="Angsana New" w:hAnsi="Angsana New" w:cs="Angsana New"/>
          <w:snapToGrid w:val="0"/>
          <w:kern w:val="22"/>
          <w:lang w:val="es-ES"/>
        </w:rPr>
      </w:pPr>
      <w:r w:rsidRPr="007F7D6B">
        <w:rPr>
          <w:snapToGrid w:val="0"/>
          <w:kern w:val="22"/>
          <w:lang w:val="es-ES"/>
        </w:rPr>
        <w:t>41</w:t>
      </w:r>
      <w:r w:rsidR="007F7D6B" w:rsidRPr="007F7D6B">
        <w:rPr>
          <w:snapToGrid w:val="0"/>
          <w:kern w:val="22"/>
          <w:lang w:val="es-ES"/>
        </w:rPr>
        <w:t xml:space="preserve"> </w:t>
      </w:r>
      <w:r w:rsidRPr="007F7D6B">
        <w:rPr>
          <w:snapToGrid w:val="0"/>
          <w:kern w:val="22"/>
          <w:lang w:val="es-ES"/>
        </w:rPr>
        <w:t xml:space="preserve">% (29 Partes) </w:t>
      </w:r>
      <w:r w:rsidR="007F7D6B" w:rsidRPr="007F7D6B">
        <w:rPr>
          <w:snapToGrid w:val="0"/>
          <w:kern w:val="22"/>
          <w:lang w:val="es-ES"/>
        </w:rPr>
        <w:t>inform</w:t>
      </w:r>
      <w:r w:rsidR="00585883">
        <w:rPr>
          <w:snapToGrid w:val="0"/>
          <w:kern w:val="22"/>
          <w:lang w:val="es-ES"/>
        </w:rPr>
        <w:t>ó</w:t>
      </w:r>
      <w:r w:rsidR="007F7D6B" w:rsidRPr="007F7D6B">
        <w:rPr>
          <w:snapToGrid w:val="0"/>
          <w:kern w:val="22"/>
          <w:lang w:val="es-ES"/>
        </w:rPr>
        <w:t xml:space="preserve"> de entre </w:t>
      </w:r>
      <w:r w:rsidRPr="007F7D6B">
        <w:rPr>
          <w:snapToGrid w:val="0"/>
          <w:kern w:val="22"/>
          <w:lang w:val="es-ES"/>
        </w:rPr>
        <w:t xml:space="preserve">1 </w:t>
      </w:r>
      <w:r w:rsidR="007F7D6B" w:rsidRPr="007F7D6B">
        <w:rPr>
          <w:snapToGrid w:val="0"/>
          <w:kern w:val="22"/>
          <w:lang w:val="es-ES"/>
        </w:rPr>
        <w:t>y</w:t>
      </w:r>
      <w:r w:rsidRPr="007F7D6B">
        <w:rPr>
          <w:snapToGrid w:val="0"/>
          <w:kern w:val="22"/>
          <w:lang w:val="es-ES"/>
        </w:rPr>
        <w:t xml:space="preserve"> 9 pe</w:t>
      </w:r>
      <w:r w:rsidR="007F7D6B" w:rsidRPr="007F7D6B">
        <w:rPr>
          <w:snapToGrid w:val="0"/>
          <w:kern w:val="22"/>
          <w:lang w:val="es-ES"/>
        </w:rPr>
        <w:t>rsonas</w:t>
      </w:r>
      <w:r w:rsidRPr="007F7D6B">
        <w:rPr>
          <w:snapToGrid w:val="0"/>
          <w:kern w:val="22"/>
          <w:lang w:val="es-ES"/>
        </w:rPr>
        <w:t xml:space="preserve"> (+</w:t>
      </w:r>
      <w:r w:rsidR="007F7D6B" w:rsidRPr="007F7D6B">
        <w:rPr>
          <w:snapToGrid w:val="0"/>
          <w:kern w:val="22"/>
          <w:lang w:val="es-ES"/>
        </w:rPr>
        <w:t xml:space="preserve"> </w:t>
      </w:r>
      <w:r w:rsidRPr="007F7D6B">
        <w:rPr>
          <w:snapToGrid w:val="0"/>
          <w:kern w:val="22"/>
          <w:lang w:val="es-ES"/>
        </w:rPr>
        <w:t>14</w:t>
      </w:r>
      <w:r w:rsidR="007F7D6B" w:rsidRPr="007F7D6B">
        <w:rPr>
          <w:snapToGrid w:val="0"/>
          <w:kern w:val="22"/>
          <w:lang w:val="es-ES"/>
        </w:rPr>
        <w:t xml:space="preserve"> </w:t>
      </w:r>
      <w:r w:rsidRPr="007F7D6B">
        <w:rPr>
          <w:snapToGrid w:val="0"/>
          <w:kern w:val="22"/>
          <w:lang w:val="es-ES"/>
        </w:rPr>
        <w:t xml:space="preserve">%); </w:t>
      </w:r>
    </w:p>
    <w:p w:rsidR="00775B5A" w:rsidRPr="007F7D6B" w:rsidRDefault="00775B5A" w:rsidP="00E67A3B">
      <w:pPr>
        <w:pStyle w:val="ListParagraph"/>
        <w:numPr>
          <w:ilvl w:val="1"/>
          <w:numId w:val="6"/>
        </w:numPr>
        <w:suppressLineNumbers/>
        <w:suppressAutoHyphens/>
        <w:snapToGrid w:val="0"/>
        <w:spacing w:before="120" w:after="120"/>
        <w:ind w:left="709" w:firstLine="0"/>
        <w:rPr>
          <w:rFonts w:ascii="Angsana New" w:hAnsi="Angsana New" w:cs="Angsana New"/>
          <w:snapToGrid w:val="0"/>
          <w:kern w:val="22"/>
          <w:lang w:val="es-ES"/>
        </w:rPr>
      </w:pPr>
      <w:r w:rsidRPr="007F7D6B">
        <w:rPr>
          <w:snapToGrid w:val="0"/>
          <w:kern w:val="22"/>
          <w:lang w:val="es-ES"/>
        </w:rPr>
        <w:t>28</w:t>
      </w:r>
      <w:r w:rsidR="007F7D6B" w:rsidRPr="007F7D6B">
        <w:rPr>
          <w:snapToGrid w:val="0"/>
          <w:kern w:val="22"/>
          <w:lang w:val="es-ES"/>
        </w:rPr>
        <w:t xml:space="preserve"> </w:t>
      </w:r>
      <w:r w:rsidRPr="007F7D6B">
        <w:rPr>
          <w:snapToGrid w:val="0"/>
          <w:kern w:val="22"/>
          <w:lang w:val="es-ES"/>
        </w:rPr>
        <w:t xml:space="preserve">% (20 Partes) </w:t>
      </w:r>
      <w:r w:rsidR="007F7D6B" w:rsidRPr="007F7D6B">
        <w:rPr>
          <w:snapToGrid w:val="0"/>
          <w:kern w:val="22"/>
          <w:lang w:val="es-ES"/>
        </w:rPr>
        <w:t>indic</w:t>
      </w:r>
      <w:r w:rsidR="00585883">
        <w:rPr>
          <w:snapToGrid w:val="0"/>
          <w:kern w:val="22"/>
          <w:lang w:val="es-ES"/>
        </w:rPr>
        <w:t>ó</w:t>
      </w:r>
      <w:r w:rsidR="007F7D6B" w:rsidRPr="007F7D6B">
        <w:rPr>
          <w:snapToGrid w:val="0"/>
          <w:kern w:val="22"/>
          <w:lang w:val="es-ES"/>
        </w:rPr>
        <w:t xml:space="preserve"> entre </w:t>
      </w:r>
      <w:r w:rsidRPr="007F7D6B">
        <w:rPr>
          <w:snapToGrid w:val="0"/>
          <w:kern w:val="22"/>
          <w:lang w:val="es-ES"/>
        </w:rPr>
        <w:t xml:space="preserve">10 </w:t>
      </w:r>
      <w:r w:rsidR="007F7D6B" w:rsidRPr="007F7D6B">
        <w:rPr>
          <w:snapToGrid w:val="0"/>
          <w:kern w:val="22"/>
          <w:lang w:val="es-ES"/>
        </w:rPr>
        <w:t xml:space="preserve">y </w:t>
      </w:r>
      <w:r w:rsidRPr="007F7D6B">
        <w:rPr>
          <w:snapToGrid w:val="0"/>
          <w:kern w:val="22"/>
          <w:lang w:val="es-ES"/>
        </w:rPr>
        <w:t>49 pe</w:t>
      </w:r>
      <w:r w:rsidR="007F7D6B" w:rsidRPr="007F7D6B">
        <w:rPr>
          <w:snapToGrid w:val="0"/>
          <w:kern w:val="22"/>
          <w:lang w:val="es-ES"/>
        </w:rPr>
        <w:t>rsonas</w:t>
      </w:r>
      <w:r w:rsidRPr="007F7D6B">
        <w:rPr>
          <w:snapToGrid w:val="0"/>
          <w:kern w:val="22"/>
          <w:lang w:val="es-ES"/>
        </w:rPr>
        <w:t xml:space="preserve"> (-</w:t>
      </w:r>
      <w:r w:rsidR="007F7D6B" w:rsidRPr="007F7D6B">
        <w:rPr>
          <w:snapToGrid w:val="0"/>
          <w:kern w:val="22"/>
          <w:lang w:val="es-ES"/>
        </w:rPr>
        <w:t xml:space="preserve"> </w:t>
      </w:r>
      <w:r w:rsidRPr="007F7D6B">
        <w:rPr>
          <w:snapToGrid w:val="0"/>
          <w:kern w:val="22"/>
          <w:lang w:val="es-ES"/>
        </w:rPr>
        <w:t>10</w:t>
      </w:r>
      <w:r w:rsidR="007F7D6B" w:rsidRPr="007F7D6B">
        <w:rPr>
          <w:snapToGrid w:val="0"/>
          <w:kern w:val="22"/>
          <w:lang w:val="es-ES"/>
        </w:rPr>
        <w:t xml:space="preserve"> </w:t>
      </w:r>
      <w:r w:rsidRPr="007F7D6B">
        <w:rPr>
          <w:snapToGrid w:val="0"/>
          <w:kern w:val="22"/>
          <w:lang w:val="es-ES"/>
        </w:rPr>
        <w:t xml:space="preserve">%); </w:t>
      </w:r>
    </w:p>
    <w:p w:rsidR="00775B5A" w:rsidRPr="007F7D6B" w:rsidRDefault="00775B5A" w:rsidP="00E67A3B">
      <w:pPr>
        <w:pStyle w:val="ListParagraph"/>
        <w:numPr>
          <w:ilvl w:val="1"/>
          <w:numId w:val="6"/>
        </w:numPr>
        <w:suppressLineNumbers/>
        <w:suppressAutoHyphens/>
        <w:snapToGrid w:val="0"/>
        <w:spacing w:before="120" w:after="120"/>
        <w:ind w:left="709" w:firstLine="0"/>
        <w:rPr>
          <w:rFonts w:ascii="Angsana New" w:hAnsi="Angsana New" w:cs="Angsana New"/>
          <w:snapToGrid w:val="0"/>
          <w:kern w:val="22"/>
          <w:lang w:val="es-ES"/>
        </w:rPr>
      </w:pPr>
      <w:r w:rsidRPr="007F7D6B">
        <w:rPr>
          <w:snapToGrid w:val="0"/>
          <w:kern w:val="22"/>
          <w:lang w:val="es-ES"/>
        </w:rPr>
        <w:t>11</w:t>
      </w:r>
      <w:r w:rsidR="007F7D6B" w:rsidRPr="007F7D6B">
        <w:rPr>
          <w:snapToGrid w:val="0"/>
          <w:kern w:val="22"/>
          <w:lang w:val="es-ES"/>
        </w:rPr>
        <w:t xml:space="preserve"> </w:t>
      </w:r>
      <w:r w:rsidRPr="007F7D6B">
        <w:rPr>
          <w:snapToGrid w:val="0"/>
          <w:kern w:val="22"/>
          <w:lang w:val="es-ES"/>
        </w:rPr>
        <w:t xml:space="preserve">% (8 Partes) </w:t>
      </w:r>
      <w:r w:rsidR="007F7D6B" w:rsidRPr="007F7D6B">
        <w:rPr>
          <w:snapToGrid w:val="0"/>
          <w:kern w:val="22"/>
          <w:lang w:val="es-ES"/>
        </w:rPr>
        <w:t>notific</w:t>
      </w:r>
      <w:r w:rsidR="00585883">
        <w:rPr>
          <w:snapToGrid w:val="0"/>
          <w:kern w:val="22"/>
          <w:lang w:val="es-ES"/>
        </w:rPr>
        <w:t>ó</w:t>
      </w:r>
      <w:r w:rsidR="007F7D6B" w:rsidRPr="007F7D6B">
        <w:rPr>
          <w:snapToGrid w:val="0"/>
          <w:kern w:val="22"/>
          <w:lang w:val="es-ES"/>
        </w:rPr>
        <w:t xml:space="preserve"> entre </w:t>
      </w:r>
      <w:r w:rsidRPr="007F7D6B">
        <w:rPr>
          <w:snapToGrid w:val="0"/>
          <w:kern w:val="22"/>
          <w:lang w:val="es-ES"/>
        </w:rPr>
        <w:t xml:space="preserve">50 </w:t>
      </w:r>
      <w:r w:rsidR="007F7D6B" w:rsidRPr="007F7D6B">
        <w:rPr>
          <w:snapToGrid w:val="0"/>
          <w:kern w:val="22"/>
          <w:lang w:val="es-ES"/>
        </w:rPr>
        <w:t>y 99 personas</w:t>
      </w:r>
      <w:r w:rsidRPr="007F7D6B">
        <w:rPr>
          <w:snapToGrid w:val="0"/>
          <w:kern w:val="22"/>
          <w:lang w:val="es-ES"/>
        </w:rPr>
        <w:t xml:space="preserve"> (-</w:t>
      </w:r>
      <w:r w:rsidR="007F7D6B" w:rsidRPr="007F7D6B">
        <w:rPr>
          <w:snapToGrid w:val="0"/>
          <w:kern w:val="22"/>
          <w:lang w:val="es-ES"/>
        </w:rPr>
        <w:t xml:space="preserve"> </w:t>
      </w:r>
      <w:r w:rsidRPr="007F7D6B">
        <w:rPr>
          <w:snapToGrid w:val="0"/>
          <w:kern w:val="22"/>
          <w:lang w:val="es-ES"/>
        </w:rPr>
        <w:t>6</w:t>
      </w:r>
      <w:r w:rsidR="007F7D6B" w:rsidRPr="007F7D6B">
        <w:rPr>
          <w:snapToGrid w:val="0"/>
          <w:kern w:val="22"/>
          <w:lang w:val="es-ES"/>
        </w:rPr>
        <w:t xml:space="preserve"> </w:t>
      </w:r>
      <w:r w:rsidRPr="007F7D6B">
        <w:rPr>
          <w:snapToGrid w:val="0"/>
          <w:kern w:val="22"/>
          <w:lang w:val="es-ES"/>
        </w:rPr>
        <w:t xml:space="preserve">%); </w:t>
      </w:r>
    </w:p>
    <w:p w:rsidR="00775B5A" w:rsidRPr="007F7D6B" w:rsidRDefault="00775B5A" w:rsidP="00E67A3B">
      <w:pPr>
        <w:pStyle w:val="ListParagraph"/>
        <w:numPr>
          <w:ilvl w:val="1"/>
          <w:numId w:val="6"/>
        </w:numPr>
        <w:suppressLineNumbers/>
        <w:suppressAutoHyphens/>
        <w:snapToGrid w:val="0"/>
        <w:spacing w:before="120" w:after="120"/>
        <w:ind w:left="1418" w:hanging="709"/>
        <w:rPr>
          <w:snapToGrid w:val="0"/>
          <w:kern w:val="22"/>
          <w:lang w:val="es-ES"/>
        </w:rPr>
      </w:pPr>
      <w:r w:rsidRPr="007F7D6B">
        <w:rPr>
          <w:snapToGrid w:val="0"/>
          <w:kern w:val="22"/>
          <w:lang w:val="es-ES"/>
        </w:rPr>
        <w:t>7</w:t>
      </w:r>
      <w:r w:rsidR="007F7D6B" w:rsidRPr="007F7D6B">
        <w:rPr>
          <w:snapToGrid w:val="0"/>
          <w:kern w:val="22"/>
          <w:lang w:val="es-ES"/>
        </w:rPr>
        <w:t xml:space="preserve"> </w:t>
      </w:r>
      <w:r w:rsidRPr="007F7D6B">
        <w:rPr>
          <w:snapToGrid w:val="0"/>
          <w:kern w:val="22"/>
          <w:lang w:val="es-ES"/>
        </w:rPr>
        <w:t xml:space="preserve">% (5 Partes) </w:t>
      </w:r>
      <w:r w:rsidR="007F7D6B" w:rsidRPr="007F7D6B">
        <w:rPr>
          <w:snapToGrid w:val="0"/>
          <w:kern w:val="22"/>
          <w:lang w:val="es-ES"/>
        </w:rPr>
        <w:t>comunic</w:t>
      </w:r>
      <w:r w:rsidR="00585883">
        <w:rPr>
          <w:snapToGrid w:val="0"/>
          <w:kern w:val="22"/>
          <w:lang w:val="es-ES"/>
        </w:rPr>
        <w:t>ó</w:t>
      </w:r>
      <w:r w:rsidR="007F7D6B" w:rsidRPr="007F7D6B">
        <w:rPr>
          <w:snapToGrid w:val="0"/>
          <w:kern w:val="22"/>
          <w:lang w:val="es-ES"/>
        </w:rPr>
        <w:t xml:space="preserve"> qu</w:t>
      </w:r>
      <w:r w:rsidR="007F7D6B" w:rsidRPr="00585883">
        <w:rPr>
          <w:snapToGrid w:val="0"/>
          <w:kern w:val="22"/>
          <w:lang w:val="es-ES"/>
        </w:rPr>
        <w:t>e 100 personas o más</w:t>
      </w:r>
      <w:r w:rsidR="00585883" w:rsidRPr="00585883">
        <w:rPr>
          <w:snapToGrid w:val="0"/>
          <w:kern w:val="22"/>
          <w:lang w:val="es-ES"/>
        </w:rPr>
        <w:t xml:space="preserve"> </w:t>
      </w:r>
      <w:r w:rsidR="007F7D6B" w:rsidRPr="00585883">
        <w:rPr>
          <w:snapToGrid w:val="0"/>
          <w:kern w:val="22"/>
          <w:lang w:val="es-ES"/>
        </w:rPr>
        <w:t>hab</w:t>
      </w:r>
      <w:r w:rsidR="007F7D6B">
        <w:rPr>
          <w:snapToGrid w:val="0"/>
          <w:kern w:val="22"/>
          <w:lang w:val="es-ES"/>
        </w:rPr>
        <w:t xml:space="preserve">ían recibido capacitación en </w:t>
      </w:r>
      <w:r w:rsidR="00B94FD3">
        <w:rPr>
          <w:snapToGrid w:val="0"/>
          <w:kern w:val="22"/>
          <w:lang w:val="es-ES"/>
        </w:rPr>
        <w:t>vigilancia de OVM</w:t>
      </w:r>
      <w:r w:rsidRPr="007F7D6B">
        <w:rPr>
          <w:snapToGrid w:val="0"/>
          <w:kern w:val="22"/>
          <w:lang w:val="es-ES"/>
        </w:rPr>
        <w:t xml:space="preserve"> (+</w:t>
      </w:r>
      <w:r w:rsidR="00B94FD3">
        <w:rPr>
          <w:snapToGrid w:val="0"/>
          <w:kern w:val="22"/>
          <w:lang w:val="es-ES"/>
        </w:rPr>
        <w:t xml:space="preserve"> </w:t>
      </w:r>
      <w:r w:rsidRPr="007F7D6B">
        <w:rPr>
          <w:snapToGrid w:val="0"/>
          <w:kern w:val="22"/>
          <w:lang w:val="es-ES"/>
        </w:rPr>
        <w:t>1</w:t>
      </w:r>
      <w:r w:rsidR="00B94FD3">
        <w:rPr>
          <w:snapToGrid w:val="0"/>
          <w:kern w:val="22"/>
          <w:lang w:val="es-ES"/>
        </w:rPr>
        <w:t xml:space="preserve"> </w:t>
      </w:r>
      <w:r w:rsidRPr="007F7D6B">
        <w:rPr>
          <w:snapToGrid w:val="0"/>
          <w:kern w:val="22"/>
          <w:lang w:val="es-ES"/>
        </w:rPr>
        <w:t xml:space="preserve">%); </w:t>
      </w:r>
    </w:p>
    <w:p w:rsidR="00775B5A" w:rsidRPr="00B94FD3" w:rsidRDefault="00775B5A" w:rsidP="00E67A3B">
      <w:pPr>
        <w:pStyle w:val="ListParagraph"/>
        <w:numPr>
          <w:ilvl w:val="1"/>
          <w:numId w:val="6"/>
        </w:numPr>
        <w:suppressLineNumbers/>
        <w:suppressAutoHyphens/>
        <w:snapToGrid w:val="0"/>
        <w:spacing w:before="120" w:after="120"/>
        <w:ind w:left="1418" w:hanging="709"/>
        <w:rPr>
          <w:snapToGrid w:val="0"/>
          <w:kern w:val="22"/>
          <w:lang w:val="es-ES"/>
        </w:rPr>
      </w:pPr>
      <w:r w:rsidRPr="00B94FD3">
        <w:rPr>
          <w:snapToGrid w:val="0"/>
          <w:kern w:val="22"/>
          <w:lang w:val="es-ES"/>
        </w:rPr>
        <w:t>13</w:t>
      </w:r>
      <w:r w:rsidR="00B94FD3" w:rsidRPr="00B94FD3">
        <w:rPr>
          <w:snapToGrid w:val="0"/>
          <w:kern w:val="22"/>
          <w:lang w:val="es-ES"/>
        </w:rPr>
        <w:t xml:space="preserve"> </w:t>
      </w:r>
      <w:r w:rsidRPr="00B94FD3">
        <w:rPr>
          <w:snapToGrid w:val="0"/>
          <w:kern w:val="22"/>
          <w:lang w:val="es-ES"/>
        </w:rPr>
        <w:t xml:space="preserve">% (9 Partes) </w:t>
      </w:r>
      <w:r w:rsidR="00B94FD3" w:rsidRPr="00B94FD3">
        <w:rPr>
          <w:snapToGrid w:val="0"/>
          <w:kern w:val="22"/>
          <w:lang w:val="es-ES"/>
        </w:rPr>
        <w:t>indic</w:t>
      </w:r>
      <w:r w:rsidR="00585883">
        <w:rPr>
          <w:snapToGrid w:val="0"/>
          <w:kern w:val="22"/>
          <w:lang w:val="es-ES"/>
        </w:rPr>
        <w:t>ó</w:t>
      </w:r>
      <w:r w:rsidR="00B94FD3" w:rsidRPr="00B94FD3">
        <w:rPr>
          <w:snapToGrid w:val="0"/>
          <w:kern w:val="22"/>
          <w:lang w:val="es-ES"/>
        </w:rPr>
        <w:t xml:space="preserve"> que nadie había recibido capacitación </w:t>
      </w:r>
      <w:r w:rsidRPr="00B94FD3">
        <w:rPr>
          <w:snapToGrid w:val="0"/>
          <w:kern w:val="22"/>
          <w:lang w:val="es-ES"/>
        </w:rPr>
        <w:t>(</w:t>
      </w:r>
      <w:r w:rsidR="00B94FD3" w:rsidRPr="00B94FD3">
        <w:rPr>
          <w:snapToGrid w:val="0"/>
          <w:kern w:val="22"/>
          <w:lang w:val="es-ES"/>
        </w:rPr>
        <w:t>sin cambios con respecto a los datos b</w:t>
      </w:r>
      <w:r w:rsidR="00B94FD3">
        <w:rPr>
          <w:snapToGrid w:val="0"/>
          <w:kern w:val="22"/>
          <w:lang w:val="es-ES"/>
        </w:rPr>
        <w:t>ásicos de referencia</w:t>
      </w:r>
      <w:r w:rsidRPr="00B94FD3">
        <w:rPr>
          <w:snapToGrid w:val="0"/>
          <w:kern w:val="22"/>
          <w:lang w:val="es-ES"/>
        </w:rPr>
        <w:t>).</w:t>
      </w:r>
    </w:p>
    <w:p w:rsidR="00775B5A" w:rsidRPr="00B94FD3" w:rsidRDefault="00775B5A">
      <w:pPr>
        <w:pStyle w:val="ListParagraph"/>
        <w:suppressLineNumbers/>
        <w:suppressAutoHyphens/>
        <w:snapToGrid w:val="0"/>
        <w:spacing w:before="120" w:after="120"/>
        <w:rPr>
          <w:rFonts w:ascii="Angsana New" w:hAnsi="Angsana New" w:cs="Angsana New"/>
          <w:snapToGrid w:val="0"/>
          <w:kern w:val="22"/>
          <w:lang w:val="es-ES"/>
        </w:rPr>
      </w:pPr>
    </w:p>
    <w:p w:rsidR="00775B5A" w:rsidRPr="00913A4B" w:rsidRDefault="007C2013"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7C2013">
        <w:rPr>
          <w:snapToGrid w:val="0"/>
          <w:kern w:val="22"/>
          <w:lang w:val="es-ES"/>
        </w:rPr>
        <w:t>En cuanto al</w:t>
      </w:r>
      <w:r w:rsidR="00775B5A" w:rsidRPr="007C2013">
        <w:rPr>
          <w:snapToGrid w:val="0"/>
          <w:kern w:val="22"/>
          <w:lang w:val="es-ES"/>
        </w:rPr>
        <w:t xml:space="preserve"> </w:t>
      </w:r>
      <w:r w:rsidR="00775B5A" w:rsidRPr="007C2013">
        <w:rPr>
          <w:b/>
          <w:bCs/>
          <w:snapToGrid w:val="0"/>
          <w:kern w:val="22"/>
          <w:lang w:val="es-ES"/>
        </w:rPr>
        <w:t>indica</w:t>
      </w:r>
      <w:r w:rsidRPr="007C2013">
        <w:rPr>
          <w:b/>
          <w:bCs/>
          <w:snapToGrid w:val="0"/>
          <w:kern w:val="22"/>
          <w:lang w:val="es-ES"/>
        </w:rPr>
        <w:t>d</w:t>
      </w:r>
      <w:r w:rsidR="00775B5A" w:rsidRPr="007C2013">
        <w:rPr>
          <w:b/>
          <w:bCs/>
          <w:snapToGrid w:val="0"/>
          <w:kern w:val="22"/>
          <w:lang w:val="es-ES"/>
        </w:rPr>
        <w:t xml:space="preserve">or 2.2.4 </w:t>
      </w:r>
      <w:r w:rsidR="00775B5A" w:rsidRPr="007C2013">
        <w:rPr>
          <w:snapToGrid w:val="0"/>
          <w:kern w:val="22"/>
          <w:lang w:val="es-ES"/>
        </w:rPr>
        <w:t>(</w:t>
      </w:r>
      <w:r w:rsidRPr="007C2013">
        <w:rPr>
          <w:snapToGrid w:val="0"/>
          <w:kern w:val="22"/>
          <w:lang w:val="es-ES"/>
        </w:rPr>
        <w:t xml:space="preserve">número de </w:t>
      </w:r>
      <w:r w:rsidR="00775B5A" w:rsidRPr="007C2013">
        <w:rPr>
          <w:snapToGrid w:val="0"/>
          <w:kern w:val="22"/>
          <w:lang w:val="es-ES"/>
        </w:rPr>
        <w:t xml:space="preserve">Partes </w:t>
      </w:r>
      <w:r w:rsidRPr="007C2013">
        <w:rPr>
          <w:snapToGrid w:val="0"/>
          <w:kern w:val="22"/>
          <w:lang w:val="es-ES"/>
        </w:rPr>
        <w:t>que disponen de infraestructura</w:t>
      </w:r>
      <w:r w:rsidR="00775B5A" w:rsidRPr="007C2013">
        <w:rPr>
          <w:snapToGrid w:val="0"/>
          <w:kern w:val="22"/>
          <w:lang w:val="es-ES"/>
        </w:rPr>
        <w:t>, inclu</w:t>
      </w:r>
      <w:r w:rsidRPr="007C2013">
        <w:rPr>
          <w:snapToGrid w:val="0"/>
          <w:kern w:val="22"/>
          <w:lang w:val="es-ES"/>
        </w:rPr>
        <w:t>idos laboratorios para supervisar, gestionar y controlar</w:t>
      </w:r>
      <w:r w:rsidR="00775B5A" w:rsidRPr="007C2013">
        <w:rPr>
          <w:snapToGrid w:val="0"/>
          <w:kern w:val="22"/>
          <w:lang w:val="es-ES"/>
        </w:rPr>
        <w:t xml:space="preserve">), </w:t>
      </w:r>
      <w:bookmarkStart w:id="11" w:name="_Hlk33701204"/>
      <w:r w:rsidRPr="007C2013">
        <w:rPr>
          <w:snapToGrid w:val="0"/>
          <w:kern w:val="22"/>
          <w:lang w:val="es-ES"/>
        </w:rPr>
        <w:t xml:space="preserve">el </w:t>
      </w:r>
      <w:r w:rsidR="00775B5A" w:rsidRPr="007C2013">
        <w:rPr>
          <w:snapToGrid w:val="0"/>
          <w:kern w:val="22"/>
          <w:lang w:val="es-ES"/>
        </w:rPr>
        <w:t>77</w:t>
      </w:r>
      <w:r>
        <w:rPr>
          <w:snapToGrid w:val="0"/>
          <w:kern w:val="22"/>
          <w:lang w:val="es-ES"/>
        </w:rPr>
        <w:t xml:space="preserve"> % de las P</w:t>
      </w:r>
      <w:r w:rsidR="00775B5A" w:rsidRPr="007C2013">
        <w:rPr>
          <w:snapToGrid w:val="0"/>
          <w:kern w:val="22"/>
          <w:lang w:val="es-ES"/>
        </w:rPr>
        <w:t xml:space="preserve">artes (55 Partes) </w:t>
      </w:r>
      <w:r w:rsidR="00F546D1">
        <w:rPr>
          <w:snapToGrid w:val="0"/>
          <w:kern w:val="22"/>
          <w:lang w:val="es-ES"/>
        </w:rPr>
        <w:t>comunic</w:t>
      </w:r>
      <w:r w:rsidR="00585883">
        <w:rPr>
          <w:snapToGrid w:val="0"/>
          <w:kern w:val="22"/>
          <w:lang w:val="es-ES"/>
        </w:rPr>
        <w:t>ó</w:t>
      </w:r>
      <w:r w:rsidR="00F546D1">
        <w:rPr>
          <w:snapToGrid w:val="0"/>
          <w:kern w:val="22"/>
          <w:lang w:val="es-ES"/>
        </w:rPr>
        <w:t xml:space="preserve"> que tiene la infraestructura necesaria para vigilar o gestionar los OVM</w:t>
      </w:r>
      <w:r w:rsidR="00775B5A" w:rsidRPr="007C2013">
        <w:rPr>
          <w:snapToGrid w:val="0"/>
          <w:kern w:val="22"/>
          <w:lang w:val="es-ES"/>
        </w:rPr>
        <w:t xml:space="preserve">. </w:t>
      </w:r>
      <w:r w:rsidR="00F546D1">
        <w:rPr>
          <w:snapToGrid w:val="0"/>
          <w:kern w:val="22"/>
          <w:lang w:val="es-ES"/>
        </w:rPr>
        <w:t>No hubo cambios con respecto a los datos básicos de referencia</w:t>
      </w:r>
      <w:r w:rsidR="00775B5A" w:rsidRPr="00F546D1">
        <w:rPr>
          <w:snapToGrid w:val="0"/>
          <w:kern w:val="22"/>
          <w:lang w:val="es-ES"/>
        </w:rPr>
        <w:t xml:space="preserve">. </w:t>
      </w:r>
      <w:bookmarkEnd w:id="11"/>
      <w:r w:rsidR="00F546D1">
        <w:rPr>
          <w:snapToGrid w:val="0"/>
          <w:kern w:val="22"/>
          <w:lang w:val="es-ES"/>
        </w:rPr>
        <w:t>Dentro de las regiones, se notificaron cambios en Á</w:t>
      </w:r>
      <w:r w:rsidR="00775B5A" w:rsidRPr="00F546D1">
        <w:rPr>
          <w:snapToGrid w:val="0"/>
          <w:kern w:val="22"/>
          <w:lang w:val="es-ES"/>
        </w:rPr>
        <w:t>frica (+</w:t>
      </w:r>
      <w:r w:rsidR="00F546D1" w:rsidRPr="00F546D1">
        <w:rPr>
          <w:snapToGrid w:val="0"/>
          <w:kern w:val="22"/>
          <w:lang w:val="es-ES"/>
        </w:rPr>
        <w:t xml:space="preserve"> </w:t>
      </w:r>
      <w:r w:rsidR="00775B5A" w:rsidRPr="00F546D1">
        <w:rPr>
          <w:snapToGrid w:val="0"/>
          <w:kern w:val="22"/>
          <w:lang w:val="es-ES"/>
        </w:rPr>
        <w:t>5</w:t>
      </w:r>
      <w:r w:rsidR="00F546D1">
        <w:rPr>
          <w:snapToGrid w:val="0"/>
          <w:kern w:val="22"/>
          <w:lang w:val="es-ES"/>
        </w:rPr>
        <w:t xml:space="preserve"> </w:t>
      </w:r>
      <w:r w:rsidR="00775B5A" w:rsidRPr="00F546D1">
        <w:rPr>
          <w:snapToGrid w:val="0"/>
          <w:kern w:val="22"/>
          <w:lang w:val="es-ES"/>
        </w:rPr>
        <w:t xml:space="preserve">%) </w:t>
      </w:r>
      <w:r w:rsidR="00F546D1">
        <w:rPr>
          <w:snapToGrid w:val="0"/>
          <w:kern w:val="22"/>
          <w:lang w:val="es-ES"/>
        </w:rPr>
        <w:t xml:space="preserve">y en el </w:t>
      </w:r>
      <w:r w:rsidR="00D74010">
        <w:rPr>
          <w:snapToGrid w:val="0"/>
          <w:kern w:val="22"/>
          <w:lang w:val="es-ES"/>
        </w:rPr>
        <w:t>grupo de países de América Latina y el Caribe</w:t>
      </w:r>
      <w:r w:rsidR="00775B5A" w:rsidRPr="00F546D1">
        <w:rPr>
          <w:snapToGrid w:val="0"/>
          <w:kern w:val="22"/>
          <w:lang w:val="es-ES"/>
        </w:rPr>
        <w:t xml:space="preserve"> (-</w:t>
      </w:r>
      <w:r w:rsidR="00F546D1">
        <w:rPr>
          <w:snapToGrid w:val="0"/>
          <w:kern w:val="22"/>
          <w:lang w:val="es-ES"/>
        </w:rPr>
        <w:t xml:space="preserve"> </w:t>
      </w:r>
      <w:r w:rsidR="00775B5A" w:rsidRPr="00F546D1">
        <w:rPr>
          <w:snapToGrid w:val="0"/>
          <w:kern w:val="22"/>
          <w:lang w:val="es-ES"/>
        </w:rPr>
        <w:t>8</w:t>
      </w:r>
      <w:r w:rsidR="00F546D1">
        <w:rPr>
          <w:snapToGrid w:val="0"/>
          <w:kern w:val="22"/>
          <w:lang w:val="es-ES"/>
        </w:rPr>
        <w:t xml:space="preserve"> </w:t>
      </w:r>
      <w:r w:rsidR="00775B5A" w:rsidRPr="00F546D1">
        <w:rPr>
          <w:snapToGrid w:val="0"/>
          <w:kern w:val="22"/>
          <w:lang w:val="es-ES"/>
        </w:rPr>
        <w:t xml:space="preserve">%) </w:t>
      </w:r>
      <w:r w:rsidR="00F546D1">
        <w:rPr>
          <w:snapToGrid w:val="0"/>
          <w:kern w:val="22"/>
          <w:lang w:val="es-ES"/>
        </w:rPr>
        <w:t xml:space="preserve">en </w:t>
      </w:r>
      <w:r w:rsidR="00585883">
        <w:rPr>
          <w:snapToGrid w:val="0"/>
          <w:kern w:val="22"/>
          <w:lang w:val="es-ES"/>
        </w:rPr>
        <w:t xml:space="preserve">las </w:t>
      </w:r>
      <w:r w:rsidR="00F546D1">
        <w:rPr>
          <w:snapToGrid w:val="0"/>
          <w:kern w:val="22"/>
          <w:lang w:val="es-ES"/>
        </w:rPr>
        <w:t>Partes que informaron que disponen de infraestructura para la vigilancia y el control</w:t>
      </w:r>
      <w:r w:rsidR="00775B5A" w:rsidRPr="00F546D1">
        <w:rPr>
          <w:snapToGrid w:val="0"/>
          <w:kern w:val="22"/>
          <w:lang w:val="es-ES"/>
        </w:rPr>
        <w:t xml:space="preserve">. </w:t>
      </w:r>
      <w:r w:rsidR="00F546D1">
        <w:rPr>
          <w:snapToGrid w:val="0"/>
          <w:kern w:val="22"/>
          <w:lang w:val="es-ES"/>
        </w:rPr>
        <w:t xml:space="preserve">En sus contribuciones por escrito, varias </w:t>
      </w:r>
      <w:r w:rsidR="00775B5A" w:rsidRPr="00F546D1">
        <w:rPr>
          <w:snapToGrid w:val="0"/>
          <w:kern w:val="22"/>
          <w:lang w:val="es-ES"/>
        </w:rPr>
        <w:t xml:space="preserve">Partes </w:t>
      </w:r>
      <w:r w:rsidR="00F546D1" w:rsidRPr="00F546D1">
        <w:rPr>
          <w:snapToGrid w:val="0"/>
          <w:kern w:val="22"/>
          <w:lang w:val="es-ES"/>
        </w:rPr>
        <w:t xml:space="preserve">destacaron la </w:t>
      </w:r>
      <w:r w:rsidR="00F546D1" w:rsidRPr="00585883">
        <w:rPr>
          <w:snapToGrid w:val="0"/>
          <w:kern w:val="22"/>
          <w:lang w:val="es-ES"/>
        </w:rPr>
        <w:t>necesidad continua de apoy</w:t>
      </w:r>
      <w:r w:rsidR="00F546D1" w:rsidRPr="00F546D1">
        <w:rPr>
          <w:snapToGrid w:val="0"/>
          <w:kern w:val="22"/>
          <w:lang w:val="es-ES"/>
        </w:rPr>
        <w:t>o para</w:t>
      </w:r>
      <w:r w:rsidR="00585883">
        <w:rPr>
          <w:snapToGrid w:val="0"/>
          <w:kern w:val="22"/>
          <w:lang w:val="es-ES"/>
        </w:rPr>
        <w:t xml:space="preserve"> crear </w:t>
      </w:r>
      <w:r w:rsidR="00F546D1" w:rsidRPr="00F546D1">
        <w:rPr>
          <w:snapToGrid w:val="0"/>
          <w:kern w:val="22"/>
          <w:lang w:val="es-ES"/>
        </w:rPr>
        <w:t>la infraestructura necesaria</w:t>
      </w:r>
      <w:r w:rsidR="00775B5A" w:rsidRPr="00F546D1">
        <w:rPr>
          <w:snapToGrid w:val="0"/>
          <w:kern w:val="22"/>
          <w:lang w:val="es-ES"/>
        </w:rPr>
        <w:t xml:space="preserve">. </w:t>
      </w:r>
      <w:r w:rsidR="00913A4B" w:rsidRPr="00913A4B">
        <w:rPr>
          <w:snapToGrid w:val="0"/>
          <w:kern w:val="22"/>
          <w:lang w:val="es-ES"/>
        </w:rPr>
        <w:t>Algunas P</w:t>
      </w:r>
      <w:r w:rsidR="00775B5A" w:rsidRPr="00913A4B">
        <w:rPr>
          <w:snapToGrid w:val="0"/>
          <w:kern w:val="22"/>
          <w:lang w:val="es-ES"/>
        </w:rPr>
        <w:t xml:space="preserve">artes </w:t>
      </w:r>
      <w:r w:rsidR="00913A4B" w:rsidRPr="00913A4B">
        <w:rPr>
          <w:snapToGrid w:val="0"/>
          <w:kern w:val="22"/>
          <w:lang w:val="es-ES"/>
        </w:rPr>
        <w:t xml:space="preserve">indicaron que se benefician de actividades de creación de capacidad en esta esfera, incluidos proyectos </w:t>
      </w:r>
      <w:r w:rsidR="00913A4B">
        <w:rPr>
          <w:snapToGrid w:val="0"/>
          <w:kern w:val="22"/>
          <w:lang w:val="es-ES"/>
        </w:rPr>
        <w:t xml:space="preserve">apoyados por el </w:t>
      </w:r>
      <w:r w:rsidR="00913A4B" w:rsidRPr="00913A4B">
        <w:rPr>
          <w:snapToGrid w:val="0"/>
          <w:kern w:val="22"/>
          <w:lang w:val="es-ES"/>
        </w:rPr>
        <w:t>PNUMA-FMAM</w:t>
      </w:r>
      <w:r w:rsidR="00775B5A" w:rsidRPr="00913A4B">
        <w:rPr>
          <w:snapToGrid w:val="0"/>
          <w:kern w:val="22"/>
          <w:lang w:val="es-ES"/>
        </w:rPr>
        <w:t>.</w:t>
      </w:r>
    </w:p>
    <w:p w:rsidR="00775B5A" w:rsidRPr="003204B7" w:rsidRDefault="008C1F8B"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8C1F8B">
        <w:rPr>
          <w:snapToGrid w:val="0"/>
          <w:kern w:val="22"/>
          <w:lang w:val="es-ES"/>
        </w:rPr>
        <w:t xml:space="preserve">En lo tocante al </w:t>
      </w:r>
      <w:r w:rsidR="00775B5A" w:rsidRPr="008C1F8B">
        <w:rPr>
          <w:b/>
          <w:bCs/>
          <w:snapToGrid w:val="0"/>
          <w:kern w:val="22"/>
          <w:lang w:val="es-ES"/>
        </w:rPr>
        <w:t>indica</w:t>
      </w:r>
      <w:r w:rsidRPr="008C1F8B">
        <w:rPr>
          <w:b/>
          <w:bCs/>
          <w:snapToGrid w:val="0"/>
          <w:kern w:val="22"/>
          <w:lang w:val="es-ES"/>
        </w:rPr>
        <w:t>d</w:t>
      </w:r>
      <w:r w:rsidR="00775B5A" w:rsidRPr="008C1F8B">
        <w:rPr>
          <w:b/>
          <w:bCs/>
          <w:snapToGrid w:val="0"/>
          <w:kern w:val="22"/>
          <w:lang w:val="es-ES"/>
        </w:rPr>
        <w:t>or 2.2.5</w:t>
      </w:r>
      <w:r w:rsidR="00775B5A" w:rsidRPr="008C1F8B">
        <w:rPr>
          <w:snapToGrid w:val="0"/>
          <w:kern w:val="22"/>
          <w:lang w:val="es-ES"/>
        </w:rPr>
        <w:t xml:space="preserve"> (</w:t>
      </w:r>
      <w:r w:rsidRPr="008C1F8B">
        <w:rPr>
          <w:snapToGrid w:val="0"/>
          <w:kern w:val="22"/>
          <w:lang w:val="es-ES"/>
        </w:rPr>
        <w:t xml:space="preserve">número de </w:t>
      </w:r>
      <w:r w:rsidR="00775B5A" w:rsidRPr="008C1F8B">
        <w:rPr>
          <w:snapToGrid w:val="0"/>
          <w:kern w:val="22"/>
          <w:lang w:val="es-ES"/>
        </w:rPr>
        <w:t xml:space="preserve">Partes </w:t>
      </w:r>
      <w:r w:rsidRPr="008C1F8B">
        <w:rPr>
          <w:snapToGrid w:val="0"/>
          <w:kern w:val="22"/>
          <w:lang w:val="es-ES"/>
        </w:rPr>
        <w:t>que están utilizando materiales de capacitaci</w:t>
      </w:r>
      <w:r>
        <w:rPr>
          <w:snapToGrid w:val="0"/>
          <w:kern w:val="22"/>
          <w:lang w:val="es-ES"/>
        </w:rPr>
        <w:t>ón y orientación técnica desarrollados</w:t>
      </w:r>
      <w:r w:rsidR="00775B5A" w:rsidRPr="008C1F8B">
        <w:rPr>
          <w:snapToGrid w:val="0"/>
          <w:kern w:val="22"/>
          <w:lang w:val="es-ES"/>
        </w:rPr>
        <w:t xml:space="preserve">), </w:t>
      </w:r>
      <w:r>
        <w:rPr>
          <w:snapToGrid w:val="0"/>
          <w:kern w:val="22"/>
          <w:lang w:val="es-ES"/>
        </w:rPr>
        <w:t xml:space="preserve">el </w:t>
      </w:r>
      <w:r w:rsidR="00775B5A" w:rsidRPr="008C1F8B">
        <w:rPr>
          <w:snapToGrid w:val="0"/>
          <w:kern w:val="22"/>
          <w:lang w:val="es-ES"/>
        </w:rPr>
        <w:t>77</w:t>
      </w:r>
      <w:r>
        <w:rPr>
          <w:snapToGrid w:val="0"/>
          <w:kern w:val="22"/>
          <w:lang w:val="es-ES"/>
        </w:rPr>
        <w:t xml:space="preserve"> % de las </w:t>
      </w:r>
      <w:r w:rsidR="00775B5A" w:rsidRPr="008C1F8B">
        <w:rPr>
          <w:snapToGrid w:val="0"/>
          <w:kern w:val="22"/>
          <w:lang w:val="es-ES"/>
        </w:rPr>
        <w:t xml:space="preserve">Partes (55 Partes) </w:t>
      </w:r>
      <w:r w:rsidR="00B533AE">
        <w:rPr>
          <w:snapToGrid w:val="0"/>
          <w:kern w:val="22"/>
          <w:lang w:val="es-ES"/>
        </w:rPr>
        <w:t>comunic</w:t>
      </w:r>
      <w:r w:rsidR="00585883">
        <w:rPr>
          <w:snapToGrid w:val="0"/>
          <w:kern w:val="22"/>
          <w:lang w:val="es-ES"/>
        </w:rPr>
        <w:t>ó</w:t>
      </w:r>
      <w:r w:rsidR="00B533AE">
        <w:rPr>
          <w:snapToGrid w:val="0"/>
          <w:kern w:val="22"/>
          <w:lang w:val="es-ES"/>
        </w:rPr>
        <w:t xml:space="preserve"> que utiliza material de capacitación y orientación técnica para la capacitación en evaluación del riesgo y gestión del riesgo de los OVM</w:t>
      </w:r>
      <w:r w:rsidR="00775B5A" w:rsidRPr="008C1F8B">
        <w:rPr>
          <w:snapToGrid w:val="0"/>
          <w:kern w:val="22"/>
          <w:lang w:val="es-ES"/>
        </w:rPr>
        <w:t xml:space="preserve">. </w:t>
      </w:r>
      <w:r w:rsidR="003C4142">
        <w:rPr>
          <w:snapToGrid w:val="0"/>
          <w:kern w:val="22"/>
          <w:lang w:val="es-ES"/>
        </w:rPr>
        <w:t xml:space="preserve">Esto representa un aumento del </w:t>
      </w:r>
      <w:r w:rsidR="00775B5A" w:rsidRPr="003C4142">
        <w:rPr>
          <w:snapToGrid w:val="0"/>
          <w:kern w:val="22"/>
          <w:lang w:val="es-ES"/>
        </w:rPr>
        <w:t>1</w:t>
      </w:r>
      <w:r w:rsidR="003C4142" w:rsidRPr="003C4142">
        <w:rPr>
          <w:snapToGrid w:val="0"/>
          <w:kern w:val="22"/>
          <w:lang w:val="es-ES"/>
        </w:rPr>
        <w:t xml:space="preserve"> </w:t>
      </w:r>
      <w:r w:rsidR="00775B5A" w:rsidRPr="003C4142">
        <w:rPr>
          <w:snapToGrid w:val="0"/>
          <w:kern w:val="22"/>
          <w:lang w:val="es-ES"/>
        </w:rPr>
        <w:t xml:space="preserve">% </w:t>
      </w:r>
      <w:r w:rsidR="003C4142" w:rsidRPr="003C4142">
        <w:rPr>
          <w:snapToGrid w:val="0"/>
          <w:kern w:val="22"/>
          <w:lang w:val="es-ES"/>
        </w:rPr>
        <w:t>con respecto a los datos b</w:t>
      </w:r>
      <w:r w:rsidR="003C4142">
        <w:rPr>
          <w:snapToGrid w:val="0"/>
          <w:kern w:val="22"/>
          <w:lang w:val="es-ES"/>
        </w:rPr>
        <w:t>ásicos de referencia</w:t>
      </w:r>
      <w:r w:rsidR="00775B5A" w:rsidRPr="003C4142">
        <w:rPr>
          <w:snapToGrid w:val="0"/>
          <w:kern w:val="22"/>
          <w:lang w:val="es-ES"/>
        </w:rPr>
        <w:t xml:space="preserve">. </w:t>
      </w:r>
      <w:r w:rsidR="003C4142" w:rsidRPr="003C4142">
        <w:rPr>
          <w:snapToGrid w:val="0"/>
          <w:kern w:val="22"/>
          <w:lang w:val="es-ES"/>
        </w:rPr>
        <w:t xml:space="preserve">De esas </w:t>
      </w:r>
      <w:r w:rsidR="00775B5A" w:rsidRPr="003C4142">
        <w:rPr>
          <w:snapToGrid w:val="0"/>
          <w:kern w:val="22"/>
          <w:lang w:val="es-ES"/>
        </w:rPr>
        <w:t xml:space="preserve">Partes, </w:t>
      </w:r>
      <w:r w:rsidR="003C4142" w:rsidRPr="003C4142">
        <w:rPr>
          <w:snapToGrid w:val="0"/>
          <w:kern w:val="22"/>
          <w:lang w:val="es-ES"/>
        </w:rPr>
        <w:t xml:space="preserve">el </w:t>
      </w:r>
      <w:r w:rsidR="00775B5A" w:rsidRPr="003C4142">
        <w:rPr>
          <w:snapToGrid w:val="0"/>
          <w:kern w:val="22"/>
          <w:lang w:val="es-ES"/>
        </w:rPr>
        <w:t>50</w:t>
      </w:r>
      <w:r w:rsidR="003C4142" w:rsidRPr="003C4142">
        <w:rPr>
          <w:snapToGrid w:val="0"/>
          <w:kern w:val="22"/>
          <w:lang w:val="es-ES"/>
        </w:rPr>
        <w:t xml:space="preserve"> </w:t>
      </w:r>
      <w:r w:rsidR="00775B5A" w:rsidRPr="003C4142">
        <w:rPr>
          <w:snapToGrid w:val="0"/>
          <w:kern w:val="22"/>
          <w:lang w:val="es-ES"/>
        </w:rPr>
        <w:t xml:space="preserve">% </w:t>
      </w:r>
      <w:r w:rsidR="00585883">
        <w:rPr>
          <w:snapToGrid w:val="0"/>
          <w:kern w:val="22"/>
          <w:lang w:val="es-ES"/>
        </w:rPr>
        <w:t>indicó</w:t>
      </w:r>
      <w:r w:rsidR="003C4142" w:rsidRPr="003C4142">
        <w:rPr>
          <w:snapToGrid w:val="0"/>
          <w:kern w:val="22"/>
          <w:lang w:val="es-ES"/>
        </w:rPr>
        <w:t xml:space="preserve"> que utiliza el </w:t>
      </w:r>
      <w:r w:rsidR="00775B5A" w:rsidRPr="003C4142">
        <w:rPr>
          <w:snapToGrid w:val="0"/>
          <w:kern w:val="22"/>
          <w:lang w:val="es-ES"/>
        </w:rPr>
        <w:t xml:space="preserve">“Manual </w:t>
      </w:r>
      <w:r w:rsidR="003C4142" w:rsidRPr="003C4142">
        <w:rPr>
          <w:snapToGrid w:val="0"/>
          <w:kern w:val="22"/>
          <w:lang w:val="es-ES"/>
        </w:rPr>
        <w:t>sobre la evaluación del riesgo de los OVM</w:t>
      </w:r>
      <w:r w:rsidR="00775B5A" w:rsidRPr="003C4142">
        <w:rPr>
          <w:snapToGrid w:val="0"/>
          <w:kern w:val="22"/>
          <w:lang w:val="es-ES"/>
        </w:rPr>
        <w:t>” (</w:t>
      </w:r>
      <w:r w:rsidR="003C4142" w:rsidRPr="003C4142">
        <w:rPr>
          <w:snapToGrid w:val="0"/>
          <w:kern w:val="22"/>
          <w:lang w:val="es-ES"/>
        </w:rPr>
        <w:t>elaborado por la Secretaría del CDB</w:t>
      </w:r>
      <w:r w:rsidR="00775B5A" w:rsidRPr="003C4142">
        <w:rPr>
          <w:snapToGrid w:val="0"/>
          <w:kern w:val="22"/>
          <w:lang w:val="es-ES"/>
        </w:rPr>
        <w:t xml:space="preserve">), </w:t>
      </w:r>
      <w:r w:rsidR="003C4142" w:rsidRPr="003C4142">
        <w:rPr>
          <w:snapToGrid w:val="0"/>
          <w:kern w:val="22"/>
          <w:lang w:val="es-ES"/>
        </w:rPr>
        <w:t xml:space="preserve">y el </w:t>
      </w:r>
      <w:r w:rsidR="00775B5A" w:rsidRPr="003C4142">
        <w:rPr>
          <w:snapToGrid w:val="0"/>
          <w:kern w:val="22"/>
          <w:lang w:val="es-ES"/>
        </w:rPr>
        <w:t>49</w:t>
      </w:r>
      <w:r w:rsidR="003C4142" w:rsidRPr="003C4142">
        <w:rPr>
          <w:snapToGrid w:val="0"/>
          <w:kern w:val="22"/>
          <w:lang w:val="es-ES"/>
        </w:rPr>
        <w:t xml:space="preserve"> </w:t>
      </w:r>
      <w:r w:rsidR="00775B5A" w:rsidRPr="003C4142">
        <w:rPr>
          <w:snapToGrid w:val="0"/>
          <w:kern w:val="22"/>
          <w:lang w:val="es-ES"/>
        </w:rPr>
        <w:t xml:space="preserve">% </w:t>
      </w:r>
      <w:r w:rsidR="003C4142">
        <w:rPr>
          <w:snapToGrid w:val="0"/>
          <w:kern w:val="22"/>
          <w:lang w:val="es-ES"/>
        </w:rPr>
        <w:t xml:space="preserve">comunicó que usaba la </w:t>
      </w:r>
      <w:r w:rsidR="00775B5A" w:rsidRPr="003C4142">
        <w:rPr>
          <w:snapToGrid w:val="0"/>
          <w:kern w:val="22"/>
          <w:lang w:val="es-ES"/>
        </w:rPr>
        <w:t>“</w:t>
      </w:r>
      <w:r w:rsidR="003C4142">
        <w:rPr>
          <w:snapToGrid w:val="0"/>
          <w:kern w:val="22"/>
          <w:lang w:val="es-ES"/>
        </w:rPr>
        <w:t>Orientación sobre la evaluación del riesgo de los OVM</w:t>
      </w:r>
      <w:r w:rsidR="00775B5A" w:rsidRPr="003C4142">
        <w:rPr>
          <w:snapToGrid w:val="0"/>
          <w:kern w:val="22"/>
          <w:lang w:val="es-ES"/>
        </w:rPr>
        <w:t>” (</w:t>
      </w:r>
      <w:r w:rsidR="003C4142">
        <w:rPr>
          <w:snapToGrid w:val="0"/>
          <w:kern w:val="22"/>
          <w:lang w:val="es-ES"/>
        </w:rPr>
        <w:t>elaborada por el Foro en línea y el GEET sobre evaluación del riesgo y gestión del riesgo</w:t>
      </w:r>
      <w:r w:rsidR="00775B5A" w:rsidRPr="003C4142">
        <w:rPr>
          <w:snapToGrid w:val="0"/>
          <w:kern w:val="22"/>
          <w:lang w:val="es-ES"/>
        </w:rPr>
        <w:t xml:space="preserve">). </w:t>
      </w:r>
      <w:r w:rsidR="003C4142" w:rsidRPr="003204B7">
        <w:rPr>
          <w:snapToGrid w:val="0"/>
          <w:kern w:val="22"/>
          <w:lang w:val="es-ES"/>
        </w:rPr>
        <w:t xml:space="preserve">En ambos casos, la región de África </w:t>
      </w:r>
      <w:r w:rsidR="003204B7" w:rsidRPr="003204B7">
        <w:rPr>
          <w:snapToGrid w:val="0"/>
          <w:kern w:val="22"/>
          <w:lang w:val="es-ES"/>
        </w:rPr>
        <w:t xml:space="preserve">tenía el mayor porcentaje de </w:t>
      </w:r>
      <w:r w:rsidR="00775B5A" w:rsidRPr="003204B7">
        <w:rPr>
          <w:snapToGrid w:val="0"/>
          <w:kern w:val="22"/>
          <w:lang w:val="es-ES"/>
        </w:rPr>
        <w:t xml:space="preserve">Partes </w:t>
      </w:r>
      <w:r w:rsidR="003204B7" w:rsidRPr="003204B7">
        <w:rPr>
          <w:snapToGrid w:val="0"/>
          <w:kern w:val="22"/>
          <w:lang w:val="es-ES"/>
        </w:rPr>
        <w:t>que comunic</w:t>
      </w:r>
      <w:r w:rsidR="008C6498">
        <w:rPr>
          <w:snapToGrid w:val="0"/>
          <w:kern w:val="22"/>
          <w:lang w:val="es-ES"/>
        </w:rPr>
        <w:t>ó</w:t>
      </w:r>
      <w:r w:rsidR="003204B7" w:rsidRPr="003204B7">
        <w:rPr>
          <w:snapToGrid w:val="0"/>
          <w:kern w:val="22"/>
          <w:lang w:val="es-ES"/>
        </w:rPr>
        <w:t xml:space="preserve"> haber utilizado el Manual y la Orientación </w:t>
      </w:r>
      <w:r w:rsidR="00775B5A" w:rsidRPr="003204B7">
        <w:rPr>
          <w:snapToGrid w:val="0"/>
          <w:kern w:val="22"/>
          <w:lang w:val="es-ES"/>
        </w:rPr>
        <w:t>(78</w:t>
      </w:r>
      <w:r w:rsidR="003204B7" w:rsidRPr="003204B7">
        <w:rPr>
          <w:snapToGrid w:val="0"/>
          <w:kern w:val="22"/>
          <w:lang w:val="es-ES"/>
        </w:rPr>
        <w:t xml:space="preserve"> </w:t>
      </w:r>
      <w:r w:rsidR="00775B5A" w:rsidRPr="003204B7">
        <w:rPr>
          <w:snapToGrid w:val="0"/>
          <w:kern w:val="22"/>
          <w:lang w:val="es-ES"/>
        </w:rPr>
        <w:t>%).</w:t>
      </w:r>
      <w:r w:rsidR="003204B7" w:rsidRPr="003204B7">
        <w:rPr>
          <w:snapToGrid w:val="0"/>
          <w:kern w:val="22"/>
          <w:lang w:val="es-ES"/>
        </w:rPr>
        <w:t xml:space="preserve"> En comparación con la evaluación a mitad de periodo, se ha </w:t>
      </w:r>
      <w:r w:rsidR="003204B7" w:rsidRPr="003204B7">
        <w:rPr>
          <w:snapToGrid w:val="0"/>
          <w:kern w:val="22"/>
          <w:lang w:val="es-ES"/>
        </w:rPr>
        <w:lastRenderedPageBreak/>
        <w:t>registrado un aumento en el porcentaje de Partes que utiliza la Orientaci</w:t>
      </w:r>
      <w:r w:rsidR="003204B7">
        <w:rPr>
          <w:snapToGrid w:val="0"/>
          <w:kern w:val="22"/>
          <w:lang w:val="es-ES"/>
        </w:rPr>
        <w:t xml:space="preserve">ón sobre la evaluación del riesgo </w:t>
      </w:r>
      <w:r w:rsidR="00775B5A" w:rsidRPr="003204B7">
        <w:rPr>
          <w:snapToGrid w:val="0"/>
          <w:kern w:val="22"/>
          <w:lang w:val="es-ES"/>
        </w:rPr>
        <w:t>(+</w:t>
      </w:r>
      <w:r w:rsidR="003204B7">
        <w:rPr>
          <w:snapToGrid w:val="0"/>
          <w:kern w:val="22"/>
          <w:lang w:val="es-ES"/>
        </w:rPr>
        <w:t xml:space="preserve"> </w:t>
      </w:r>
      <w:r w:rsidR="00775B5A" w:rsidRPr="003204B7">
        <w:rPr>
          <w:snapToGrid w:val="0"/>
          <w:kern w:val="22"/>
          <w:lang w:val="es-ES"/>
        </w:rPr>
        <w:t>4</w:t>
      </w:r>
      <w:r w:rsidR="003204B7">
        <w:rPr>
          <w:snapToGrid w:val="0"/>
          <w:kern w:val="22"/>
          <w:lang w:val="es-ES"/>
        </w:rPr>
        <w:t xml:space="preserve"> </w:t>
      </w:r>
      <w:r w:rsidR="00775B5A" w:rsidRPr="003204B7">
        <w:rPr>
          <w:snapToGrid w:val="0"/>
          <w:kern w:val="22"/>
          <w:lang w:val="es-ES"/>
        </w:rPr>
        <w:t xml:space="preserve">%), </w:t>
      </w:r>
      <w:r w:rsidR="003204B7">
        <w:rPr>
          <w:snapToGrid w:val="0"/>
          <w:kern w:val="22"/>
          <w:lang w:val="es-ES"/>
        </w:rPr>
        <w:t xml:space="preserve">mientras que no se ha informado de ningún cambio desde la evaluación de mitad de periodo en el uso del </w:t>
      </w:r>
      <w:r w:rsidR="00775B5A" w:rsidRPr="003204B7">
        <w:rPr>
          <w:snapToGrid w:val="0"/>
          <w:kern w:val="22"/>
          <w:lang w:val="es-ES"/>
        </w:rPr>
        <w:t>Manual</w:t>
      </w:r>
      <w:r w:rsidR="00775B5A">
        <w:rPr>
          <w:rStyle w:val="FootnoteReference"/>
          <w:rFonts w:ascii="Angsana New" w:hAnsi="Angsana New" w:cs="Angsana New"/>
          <w:snapToGrid w:val="0"/>
          <w:kern w:val="22"/>
        </w:rPr>
        <w:footnoteReference w:id="29"/>
      </w:r>
      <w:r w:rsidR="003204B7" w:rsidRPr="003204B7">
        <w:rPr>
          <w:snapToGrid w:val="0"/>
          <w:kern w:val="22"/>
          <w:lang w:val="es-ES"/>
        </w:rPr>
        <w:t>.</w:t>
      </w:r>
    </w:p>
    <w:p w:rsidR="00775B5A" w:rsidRPr="009E349C" w:rsidRDefault="004B3154"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2544F2">
        <w:rPr>
          <w:snapToGrid w:val="0"/>
          <w:kern w:val="22"/>
          <w:lang w:val="es-ES"/>
        </w:rPr>
        <w:t xml:space="preserve">En lo que respecta al </w:t>
      </w:r>
      <w:r w:rsidR="00775B5A" w:rsidRPr="002544F2">
        <w:rPr>
          <w:b/>
          <w:bCs/>
          <w:snapToGrid w:val="0"/>
          <w:kern w:val="22"/>
          <w:lang w:val="es-ES"/>
        </w:rPr>
        <w:t>indica</w:t>
      </w:r>
      <w:r w:rsidRPr="002544F2">
        <w:rPr>
          <w:b/>
          <w:bCs/>
          <w:snapToGrid w:val="0"/>
          <w:kern w:val="22"/>
          <w:lang w:val="es-ES"/>
        </w:rPr>
        <w:t>d</w:t>
      </w:r>
      <w:r w:rsidR="00775B5A" w:rsidRPr="002544F2">
        <w:rPr>
          <w:b/>
          <w:bCs/>
          <w:snapToGrid w:val="0"/>
          <w:kern w:val="22"/>
          <w:lang w:val="es-ES"/>
        </w:rPr>
        <w:t xml:space="preserve">or 2.2.6 </w:t>
      </w:r>
      <w:r w:rsidR="00775B5A" w:rsidRPr="002544F2">
        <w:rPr>
          <w:snapToGrid w:val="0"/>
          <w:kern w:val="22"/>
          <w:lang w:val="es-ES"/>
        </w:rPr>
        <w:t>(</w:t>
      </w:r>
      <w:r w:rsidRPr="002544F2">
        <w:rPr>
          <w:snapToGrid w:val="0"/>
          <w:kern w:val="22"/>
          <w:lang w:val="es-ES"/>
        </w:rPr>
        <w:t xml:space="preserve">número de Partes que </w:t>
      </w:r>
      <w:r w:rsidR="002544F2" w:rsidRPr="002544F2">
        <w:rPr>
          <w:snapToGrid w:val="0"/>
          <w:kern w:val="22"/>
          <w:lang w:val="es-ES"/>
        </w:rPr>
        <w:t>considera</w:t>
      </w:r>
      <w:r w:rsidR="008C6498">
        <w:rPr>
          <w:snapToGrid w:val="0"/>
          <w:kern w:val="22"/>
          <w:lang w:val="es-ES"/>
        </w:rPr>
        <w:t>n</w:t>
      </w:r>
      <w:r w:rsidR="002544F2" w:rsidRPr="002544F2">
        <w:rPr>
          <w:snapToGrid w:val="0"/>
          <w:kern w:val="22"/>
          <w:lang w:val="es-ES"/>
        </w:rPr>
        <w:t xml:space="preserve"> </w:t>
      </w:r>
      <w:r w:rsidRPr="002544F2">
        <w:rPr>
          <w:snapToGrid w:val="0"/>
          <w:kern w:val="22"/>
          <w:lang w:val="es-ES"/>
        </w:rPr>
        <w:t>que los materiales de capacitación y la orientación técnica son suficientes y eficaces</w:t>
      </w:r>
      <w:r w:rsidR="00775B5A" w:rsidRPr="002544F2">
        <w:rPr>
          <w:snapToGrid w:val="0"/>
          <w:kern w:val="22"/>
          <w:lang w:val="es-ES"/>
        </w:rPr>
        <w:t xml:space="preserve">), </w:t>
      </w:r>
      <w:r w:rsidR="002544F2" w:rsidRPr="002544F2">
        <w:rPr>
          <w:snapToGrid w:val="0"/>
          <w:kern w:val="22"/>
          <w:lang w:val="es-ES"/>
        </w:rPr>
        <w:t xml:space="preserve">el </w:t>
      </w:r>
      <w:r w:rsidR="00775B5A" w:rsidRPr="002544F2">
        <w:rPr>
          <w:snapToGrid w:val="0"/>
          <w:kern w:val="22"/>
          <w:lang w:val="es-ES"/>
        </w:rPr>
        <w:t>65</w:t>
      </w:r>
      <w:r w:rsidR="002544F2">
        <w:rPr>
          <w:snapToGrid w:val="0"/>
          <w:kern w:val="22"/>
          <w:lang w:val="es-ES"/>
        </w:rPr>
        <w:t xml:space="preserve"> </w:t>
      </w:r>
      <w:r w:rsidR="00775B5A" w:rsidRPr="002544F2">
        <w:rPr>
          <w:snapToGrid w:val="0"/>
          <w:kern w:val="22"/>
          <w:lang w:val="es-ES"/>
        </w:rPr>
        <w:t xml:space="preserve">% </w:t>
      </w:r>
      <w:r w:rsidR="002544F2">
        <w:rPr>
          <w:snapToGrid w:val="0"/>
          <w:kern w:val="22"/>
          <w:lang w:val="es-ES"/>
        </w:rPr>
        <w:t xml:space="preserve">de las </w:t>
      </w:r>
      <w:r w:rsidR="00775B5A" w:rsidRPr="002544F2">
        <w:rPr>
          <w:snapToGrid w:val="0"/>
          <w:kern w:val="22"/>
          <w:lang w:val="es-ES"/>
        </w:rPr>
        <w:t>Partes (64 Partes)</w:t>
      </w:r>
      <w:r w:rsidR="00775B5A">
        <w:rPr>
          <w:rStyle w:val="FootnoteReference"/>
          <w:rFonts w:ascii="Angsana New" w:hAnsi="Angsana New" w:cs="Angsana New"/>
          <w:snapToGrid w:val="0"/>
          <w:kern w:val="22"/>
        </w:rPr>
        <w:footnoteReference w:id="30"/>
      </w:r>
      <w:r w:rsidR="00775B5A" w:rsidRPr="002544F2">
        <w:rPr>
          <w:snapToGrid w:val="0"/>
          <w:kern w:val="22"/>
          <w:lang w:val="es-ES"/>
        </w:rPr>
        <w:t xml:space="preserve"> indic</w:t>
      </w:r>
      <w:r w:rsidR="008C6498">
        <w:rPr>
          <w:snapToGrid w:val="0"/>
          <w:kern w:val="22"/>
          <w:lang w:val="es-ES"/>
        </w:rPr>
        <w:t>ó que sus países</w:t>
      </w:r>
      <w:r w:rsidR="002544F2">
        <w:rPr>
          <w:snapToGrid w:val="0"/>
          <w:kern w:val="22"/>
          <w:lang w:val="es-ES"/>
        </w:rPr>
        <w:t xml:space="preserve"> tiene</w:t>
      </w:r>
      <w:r w:rsidR="008C6498">
        <w:rPr>
          <w:snapToGrid w:val="0"/>
          <w:kern w:val="22"/>
          <w:lang w:val="es-ES"/>
        </w:rPr>
        <w:t>n</w:t>
      </w:r>
      <w:r w:rsidR="002544F2">
        <w:rPr>
          <w:snapToGrid w:val="0"/>
          <w:kern w:val="22"/>
          <w:lang w:val="es-ES"/>
        </w:rPr>
        <w:t xml:space="preserve"> necesidades específicas de orientación adicional sobre temas concretos de la evaluación del riesgo de los OVM</w:t>
      </w:r>
      <w:r w:rsidR="00775B5A" w:rsidRPr="002544F2">
        <w:rPr>
          <w:snapToGrid w:val="0"/>
          <w:kern w:val="22"/>
          <w:lang w:val="es-ES"/>
        </w:rPr>
        <w:t xml:space="preserve">. </w:t>
      </w:r>
      <w:r w:rsidR="00775B5A" w:rsidRPr="009E349C">
        <w:rPr>
          <w:snapToGrid w:val="0"/>
          <w:kern w:val="22"/>
          <w:lang w:val="es-ES"/>
        </w:rPr>
        <w:t>A</w:t>
      </w:r>
      <w:r w:rsidR="002544F2" w:rsidRPr="009E349C">
        <w:rPr>
          <w:snapToGrid w:val="0"/>
          <w:kern w:val="22"/>
          <w:lang w:val="es-ES"/>
        </w:rPr>
        <w:t xml:space="preserve"> nivel </w:t>
      </w:r>
      <w:r w:rsidR="00775B5A" w:rsidRPr="009E349C">
        <w:rPr>
          <w:snapToGrid w:val="0"/>
          <w:kern w:val="22"/>
          <w:lang w:val="es-ES"/>
        </w:rPr>
        <w:t xml:space="preserve">regional, </w:t>
      </w:r>
      <w:r w:rsidR="002544F2" w:rsidRPr="009E349C">
        <w:rPr>
          <w:snapToGrid w:val="0"/>
          <w:kern w:val="22"/>
          <w:lang w:val="es-ES"/>
        </w:rPr>
        <w:t xml:space="preserve">el porcentaje de </w:t>
      </w:r>
      <w:r w:rsidR="00775B5A" w:rsidRPr="009E349C">
        <w:rPr>
          <w:snapToGrid w:val="0"/>
          <w:kern w:val="22"/>
          <w:lang w:val="es-ES"/>
        </w:rPr>
        <w:t xml:space="preserve">Partes </w:t>
      </w:r>
      <w:r w:rsidR="009E349C" w:rsidRPr="009E349C">
        <w:rPr>
          <w:snapToGrid w:val="0"/>
          <w:kern w:val="22"/>
          <w:lang w:val="es-ES"/>
        </w:rPr>
        <w:t>que comunicó que tiene necesidades espec</w:t>
      </w:r>
      <w:r w:rsidR="009E349C">
        <w:rPr>
          <w:snapToGrid w:val="0"/>
          <w:kern w:val="22"/>
          <w:lang w:val="es-ES"/>
        </w:rPr>
        <w:t>íficas de orientación adicional es el siguiente:</w:t>
      </w:r>
      <w:r w:rsidR="00775B5A" w:rsidRPr="009E349C">
        <w:rPr>
          <w:snapToGrid w:val="0"/>
          <w:kern w:val="22"/>
          <w:lang w:val="es-ES"/>
        </w:rPr>
        <w:t xml:space="preserve"> </w:t>
      </w:r>
      <w:r w:rsidR="001B1D21">
        <w:rPr>
          <w:snapToGrid w:val="0"/>
          <w:kern w:val="22"/>
          <w:lang w:val="es-ES"/>
        </w:rPr>
        <w:t>Á</w:t>
      </w:r>
      <w:r w:rsidR="00775B5A" w:rsidRPr="009E349C">
        <w:rPr>
          <w:snapToGrid w:val="0"/>
          <w:kern w:val="22"/>
          <w:lang w:val="es-ES"/>
        </w:rPr>
        <w:t>frica: 97</w:t>
      </w:r>
      <w:r w:rsidR="001B1D21">
        <w:rPr>
          <w:snapToGrid w:val="0"/>
          <w:kern w:val="22"/>
          <w:lang w:val="es-ES"/>
        </w:rPr>
        <w:t xml:space="preserve"> </w:t>
      </w:r>
      <w:r w:rsidR="00775B5A" w:rsidRPr="009E349C">
        <w:rPr>
          <w:snapToGrid w:val="0"/>
          <w:kern w:val="22"/>
          <w:lang w:val="es-ES"/>
        </w:rPr>
        <w:t>%</w:t>
      </w:r>
      <w:r w:rsidR="008C6498">
        <w:rPr>
          <w:snapToGrid w:val="0"/>
          <w:kern w:val="22"/>
          <w:lang w:val="es-ES"/>
        </w:rPr>
        <w:t>,</w:t>
      </w:r>
      <w:r w:rsidR="00775B5A" w:rsidRPr="009E349C">
        <w:rPr>
          <w:snapToGrid w:val="0"/>
          <w:kern w:val="22"/>
          <w:lang w:val="es-ES"/>
        </w:rPr>
        <w:t xml:space="preserve"> </w:t>
      </w:r>
      <w:r w:rsidR="00D74010">
        <w:rPr>
          <w:snapToGrid w:val="0"/>
          <w:kern w:val="22"/>
          <w:lang w:val="es-ES"/>
        </w:rPr>
        <w:t>grupo de países de América Latina y el Caribe</w:t>
      </w:r>
      <w:r w:rsidR="00775B5A" w:rsidRPr="009E349C">
        <w:rPr>
          <w:snapToGrid w:val="0"/>
          <w:kern w:val="22"/>
          <w:lang w:val="es-ES"/>
        </w:rPr>
        <w:t>: 87</w:t>
      </w:r>
      <w:r w:rsidR="001B1D21">
        <w:rPr>
          <w:snapToGrid w:val="0"/>
          <w:kern w:val="22"/>
          <w:lang w:val="es-ES"/>
        </w:rPr>
        <w:t xml:space="preserve"> </w:t>
      </w:r>
      <w:r w:rsidR="00775B5A" w:rsidRPr="009E349C">
        <w:rPr>
          <w:snapToGrid w:val="0"/>
          <w:kern w:val="22"/>
          <w:lang w:val="es-ES"/>
        </w:rPr>
        <w:t>%</w:t>
      </w:r>
      <w:r w:rsidR="008C6498">
        <w:rPr>
          <w:snapToGrid w:val="0"/>
          <w:kern w:val="22"/>
          <w:lang w:val="es-ES"/>
        </w:rPr>
        <w:t>,</w:t>
      </w:r>
      <w:r w:rsidR="00775B5A" w:rsidRPr="009E349C">
        <w:rPr>
          <w:snapToGrid w:val="0"/>
          <w:kern w:val="22"/>
          <w:lang w:val="es-ES"/>
        </w:rPr>
        <w:t xml:space="preserve"> Asia</w:t>
      </w:r>
      <w:r w:rsidR="00FD6528">
        <w:rPr>
          <w:snapToGrid w:val="0"/>
          <w:kern w:val="22"/>
          <w:lang w:val="es-ES"/>
        </w:rPr>
        <w:t xml:space="preserve"> y el Pacífico</w:t>
      </w:r>
      <w:r w:rsidR="00775B5A" w:rsidRPr="009E349C">
        <w:rPr>
          <w:snapToGrid w:val="0"/>
          <w:kern w:val="22"/>
          <w:lang w:val="es-ES"/>
        </w:rPr>
        <w:t>: 56</w:t>
      </w:r>
      <w:r w:rsidR="001B1D21">
        <w:rPr>
          <w:snapToGrid w:val="0"/>
          <w:kern w:val="22"/>
          <w:lang w:val="es-ES"/>
        </w:rPr>
        <w:t xml:space="preserve"> </w:t>
      </w:r>
      <w:r w:rsidR="00775B5A" w:rsidRPr="009E349C">
        <w:rPr>
          <w:snapToGrid w:val="0"/>
          <w:kern w:val="22"/>
          <w:lang w:val="es-ES"/>
        </w:rPr>
        <w:t>%</w:t>
      </w:r>
      <w:r w:rsidR="008C6498">
        <w:rPr>
          <w:snapToGrid w:val="0"/>
          <w:kern w:val="22"/>
          <w:lang w:val="es-ES"/>
        </w:rPr>
        <w:t>,</w:t>
      </w:r>
      <w:r w:rsidR="00775B5A" w:rsidRPr="009E349C">
        <w:rPr>
          <w:snapToGrid w:val="0"/>
          <w:kern w:val="22"/>
          <w:lang w:val="es-ES"/>
        </w:rPr>
        <w:t xml:space="preserve"> </w:t>
      </w:r>
      <w:r w:rsidR="00EA78DC">
        <w:rPr>
          <w:snapToGrid w:val="0"/>
          <w:kern w:val="22"/>
          <w:lang w:val="es-ES"/>
        </w:rPr>
        <w:t>grupo de Estados de Europa Central y Oriental</w:t>
      </w:r>
      <w:r w:rsidR="00775B5A" w:rsidRPr="009E349C">
        <w:rPr>
          <w:snapToGrid w:val="0"/>
          <w:kern w:val="22"/>
          <w:lang w:val="es-ES"/>
        </w:rPr>
        <w:t>: 44</w:t>
      </w:r>
      <w:r w:rsidR="001B1D21">
        <w:rPr>
          <w:snapToGrid w:val="0"/>
          <w:kern w:val="22"/>
          <w:lang w:val="es-ES"/>
        </w:rPr>
        <w:t xml:space="preserve"> </w:t>
      </w:r>
      <w:r w:rsidR="00775B5A" w:rsidRPr="009E349C">
        <w:rPr>
          <w:snapToGrid w:val="0"/>
          <w:kern w:val="22"/>
          <w:lang w:val="es-ES"/>
        </w:rPr>
        <w:t>%</w:t>
      </w:r>
      <w:r w:rsidR="008C6498">
        <w:rPr>
          <w:snapToGrid w:val="0"/>
          <w:kern w:val="22"/>
          <w:lang w:val="es-ES"/>
        </w:rPr>
        <w:t>,</w:t>
      </w:r>
      <w:r w:rsidR="00775B5A" w:rsidRPr="009E349C">
        <w:rPr>
          <w:snapToGrid w:val="0"/>
          <w:kern w:val="22"/>
          <w:lang w:val="es-ES"/>
        </w:rPr>
        <w:t xml:space="preserve"> </w:t>
      </w:r>
      <w:r w:rsidR="001B1D21">
        <w:rPr>
          <w:snapToGrid w:val="0"/>
          <w:kern w:val="22"/>
          <w:lang w:val="es-ES"/>
        </w:rPr>
        <w:t>grupo de Estados de Europa Occidental y otros</w:t>
      </w:r>
      <w:r w:rsidR="00775B5A" w:rsidRPr="009E349C">
        <w:rPr>
          <w:snapToGrid w:val="0"/>
          <w:kern w:val="22"/>
          <w:lang w:val="es-ES"/>
        </w:rPr>
        <w:t>: 21</w:t>
      </w:r>
      <w:r w:rsidR="001B1D21">
        <w:rPr>
          <w:snapToGrid w:val="0"/>
          <w:kern w:val="22"/>
          <w:lang w:val="es-ES"/>
        </w:rPr>
        <w:t xml:space="preserve"> </w:t>
      </w:r>
      <w:r w:rsidR="00775B5A" w:rsidRPr="009E349C">
        <w:rPr>
          <w:snapToGrid w:val="0"/>
          <w:kern w:val="22"/>
          <w:lang w:val="es-ES"/>
        </w:rPr>
        <w:t>%.</w:t>
      </w:r>
    </w:p>
    <w:p w:rsidR="00775B5A" w:rsidRDefault="00E55D66"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55D66">
        <w:rPr>
          <w:snapToGrid w:val="0"/>
          <w:kern w:val="22"/>
          <w:lang w:val="es-ES"/>
        </w:rPr>
        <w:t xml:space="preserve">En </w:t>
      </w:r>
      <w:r w:rsidR="00030FC1">
        <w:rPr>
          <w:snapToGrid w:val="0"/>
          <w:kern w:val="22"/>
          <w:lang w:val="es-ES"/>
        </w:rPr>
        <w:t>el gráfico</w:t>
      </w:r>
      <w:r w:rsidR="00775B5A" w:rsidRPr="00E55D66">
        <w:rPr>
          <w:snapToGrid w:val="0"/>
          <w:kern w:val="22"/>
          <w:lang w:val="es-ES"/>
        </w:rPr>
        <w:t xml:space="preserve"> 2</w:t>
      </w:r>
      <w:r w:rsidR="008C6498">
        <w:rPr>
          <w:snapToGrid w:val="0"/>
          <w:kern w:val="22"/>
          <w:lang w:val="es-ES"/>
        </w:rPr>
        <w:t xml:space="preserve"> se muestra</w:t>
      </w:r>
      <w:r w:rsidRPr="00E55D66">
        <w:rPr>
          <w:snapToGrid w:val="0"/>
          <w:kern w:val="22"/>
          <w:lang w:val="es-ES"/>
        </w:rPr>
        <w:t xml:space="preserve"> una visión general de la información relacionada con varios indicadores en relación con el objetivo operacional </w:t>
      </w:r>
      <w:r w:rsidR="00775B5A" w:rsidRPr="00E55D66">
        <w:rPr>
          <w:snapToGrid w:val="0"/>
          <w:kern w:val="22"/>
          <w:lang w:val="es-ES"/>
        </w:rPr>
        <w:t xml:space="preserve">2.2, </w:t>
      </w:r>
      <w:r w:rsidRPr="00E55D66">
        <w:rPr>
          <w:snapToGrid w:val="0"/>
          <w:kern w:val="22"/>
          <w:lang w:val="es-ES"/>
        </w:rPr>
        <w:t>como la capacitaci</w:t>
      </w:r>
      <w:r>
        <w:rPr>
          <w:snapToGrid w:val="0"/>
          <w:kern w:val="22"/>
          <w:lang w:val="es-ES"/>
        </w:rPr>
        <w:t>ón en materia de evaluación, gestión y vigilancia de los OVM</w:t>
      </w:r>
      <w:r w:rsidR="00775B5A" w:rsidRPr="00E55D66">
        <w:rPr>
          <w:snapToGrid w:val="0"/>
          <w:kern w:val="22"/>
          <w:lang w:val="es-ES"/>
        </w:rPr>
        <w:t>, as</w:t>
      </w:r>
      <w:r>
        <w:rPr>
          <w:snapToGrid w:val="0"/>
          <w:kern w:val="22"/>
          <w:lang w:val="es-ES"/>
        </w:rPr>
        <w:t>í como la infraestructura de laboratorios y el uso de materiales de capacitación y orientación</w:t>
      </w:r>
      <w:r w:rsidR="00775B5A" w:rsidRPr="00E55D66">
        <w:rPr>
          <w:snapToGrid w:val="0"/>
          <w:kern w:val="22"/>
          <w:lang w:val="es-ES"/>
        </w:rPr>
        <w:t>.</w:t>
      </w:r>
    </w:p>
    <w:p w:rsidR="001B3CE6" w:rsidRPr="00E55D66" w:rsidRDefault="001B3CE6" w:rsidP="001B3CE6">
      <w:pPr>
        <w:pStyle w:val="ListParagraph"/>
        <w:suppressLineNumbers/>
        <w:suppressAutoHyphens/>
        <w:snapToGrid w:val="0"/>
        <w:spacing w:before="120" w:after="120"/>
        <w:ind w:left="0"/>
        <w:rPr>
          <w:snapToGrid w:val="0"/>
          <w:kern w:val="22"/>
          <w:lang w:val="es-ES"/>
        </w:rPr>
      </w:pPr>
    </w:p>
    <w:p w:rsidR="00775B5A" w:rsidRDefault="001B3CE6">
      <w:pPr>
        <w:pStyle w:val="ListParagraph"/>
        <w:suppressLineNumbers/>
        <w:suppressAutoHyphens/>
        <w:snapToGrid w:val="0"/>
        <w:spacing w:before="120" w:after="120"/>
        <w:ind w:left="0"/>
        <w:rPr>
          <w:rFonts w:ascii="Angsana New" w:hAnsi="Angsana New" w:cs="Angsana New"/>
          <w:snapToGrid w:val="0"/>
          <w:kern w:val="22"/>
        </w:rPr>
      </w:pPr>
      <w:r>
        <w:rPr>
          <w:noProof/>
        </w:rPr>
      </w:r>
      <w:r>
        <w:rPr>
          <w:noProof/>
        </w:rPr>
        <w:pict w14:anchorId="212E1A9D">
          <v:shape id="_x0000_s1038" type="#_x0000_t75" style="width:473.25pt;height:334.9pt;mso-left-percent:-10001;mso-top-percent:-10001;mso-position-horizontal:absolute;mso-position-horizontal-relative:char;mso-position-vertical:absolute;mso-position-vertical-relative:line;mso-left-percent:-10001;mso-top-percent:-10001">
            <v:imagedata r:id="rId15" o:title=""/>
            <w10:anchorlock/>
          </v:shape>
        </w:pict>
      </w:r>
    </w:p>
    <w:p w:rsidR="00775B5A" w:rsidRDefault="00775B5A">
      <w:pPr>
        <w:pStyle w:val="ListParagraph"/>
        <w:suppressLineNumbers/>
        <w:suppressAutoHyphens/>
        <w:snapToGrid w:val="0"/>
        <w:spacing w:before="120" w:after="120"/>
        <w:rPr>
          <w:rFonts w:ascii="Angsana New" w:hAnsi="Angsana New" w:cs="Angsana New"/>
          <w:snapToGrid w:val="0"/>
          <w:kern w:val="22"/>
        </w:rPr>
      </w:pPr>
    </w:p>
    <w:p w:rsidR="00775B5A" w:rsidRPr="00B5060C" w:rsidRDefault="00B5060C" w:rsidP="001D4EEE">
      <w:pPr>
        <w:numPr>
          <w:ilvl w:val="0"/>
          <w:numId w:val="3"/>
        </w:numPr>
        <w:suppressLineNumbers/>
        <w:tabs>
          <w:tab w:val="clear" w:pos="2070"/>
          <w:tab w:val="num" w:pos="1530"/>
        </w:tabs>
        <w:suppressAutoHyphens/>
        <w:spacing w:before="120" w:after="120"/>
        <w:ind w:left="1531" w:hanging="629"/>
        <w:jc w:val="left"/>
        <w:outlineLvl w:val="1"/>
        <w:rPr>
          <w:b/>
          <w:bCs/>
          <w:snapToGrid w:val="0"/>
          <w:kern w:val="22"/>
          <w:lang w:val="es-ES"/>
        </w:rPr>
      </w:pPr>
      <w:r w:rsidRPr="00B5060C">
        <w:rPr>
          <w:b/>
          <w:bCs/>
          <w:snapToGrid w:val="0"/>
          <w:kern w:val="22"/>
          <w:lang w:val="es-ES"/>
        </w:rPr>
        <w:lastRenderedPageBreak/>
        <w:t xml:space="preserve">OVM o rasgos que puedan tener efectos adversos </w:t>
      </w:r>
      <w:r w:rsidR="00775B5A" w:rsidRPr="00B5060C">
        <w:rPr>
          <w:b/>
          <w:bCs/>
          <w:snapToGrid w:val="0"/>
          <w:kern w:val="22"/>
          <w:lang w:val="es-ES"/>
        </w:rPr>
        <w:t>(</w:t>
      </w:r>
      <w:r w:rsidRPr="00B5060C">
        <w:rPr>
          <w:b/>
          <w:bCs/>
          <w:snapToGrid w:val="0"/>
          <w:kern w:val="22"/>
          <w:lang w:val="es-ES"/>
        </w:rPr>
        <w:t>objetivo operacional</w:t>
      </w:r>
      <w:r w:rsidR="00775B5A" w:rsidRPr="00B5060C">
        <w:rPr>
          <w:b/>
          <w:bCs/>
          <w:snapToGrid w:val="0"/>
          <w:kern w:val="22"/>
          <w:lang w:val="es-ES"/>
        </w:rPr>
        <w:t xml:space="preserve"> 1.4)</w:t>
      </w:r>
    </w:p>
    <w:p w:rsidR="00775B5A" w:rsidRPr="00644667" w:rsidRDefault="00E717F8"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bookmarkStart w:id="12" w:name="_Hlk33701337"/>
      <w:r w:rsidRPr="00644667">
        <w:rPr>
          <w:snapToGrid w:val="0"/>
          <w:kern w:val="22"/>
          <w:lang w:val="es-ES"/>
        </w:rPr>
        <w:t xml:space="preserve">El objetivo operacional </w:t>
      </w:r>
      <w:r w:rsidR="00775B5A" w:rsidRPr="00644667">
        <w:rPr>
          <w:snapToGrid w:val="0"/>
          <w:kern w:val="22"/>
          <w:lang w:val="es-ES"/>
        </w:rPr>
        <w:t xml:space="preserve">1.4 </w:t>
      </w:r>
      <w:r w:rsidR="00644667" w:rsidRPr="00644667">
        <w:rPr>
          <w:snapToGrid w:val="0"/>
          <w:kern w:val="22"/>
          <w:lang w:val="es-ES"/>
        </w:rPr>
        <w:t xml:space="preserve">tiene por objetivo desarrollar modalidades de cooperación y orientación para la identificación de OVM </w:t>
      </w:r>
      <w:r w:rsidR="00775B5A" w:rsidRPr="00644667">
        <w:rPr>
          <w:snapToGrid w:val="0"/>
          <w:kern w:val="22"/>
          <w:lang w:val="es-ES"/>
        </w:rPr>
        <w:t>o</w:t>
      </w:r>
      <w:r w:rsidR="00644667">
        <w:rPr>
          <w:snapToGrid w:val="0"/>
          <w:kern w:val="22"/>
          <w:lang w:val="es-ES"/>
        </w:rPr>
        <w:t xml:space="preserve"> rasgos específicos que puedan tener efectos adversos para la conservación y utilización sostenible de la diversidad biológica</w:t>
      </w:r>
      <w:r w:rsidR="00775B5A" w:rsidRPr="00644667">
        <w:rPr>
          <w:snapToGrid w:val="0"/>
          <w:kern w:val="22"/>
          <w:lang w:val="es-ES"/>
        </w:rPr>
        <w:t xml:space="preserve">, </w:t>
      </w:r>
      <w:r w:rsidR="00644667">
        <w:rPr>
          <w:snapToGrid w:val="0"/>
          <w:kern w:val="22"/>
          <w:lang w:val="es-ES"/>
        </w:rPr>
        <w:t>teniendo también en cuenta los riesgos para la salud humana</w:t>
      </w:r>
      <w:r w:rsidR="00775B5A" w:rsidRPr="00644667">
        <w:rPr>
          <w:snapToGrid w:val="0"/>
          <w:kern w:val="22"/>
          <w:lang w:val="es-ES"/>
        </w:rPr>
        <w:t xml:space="preserve">. </w:t>
      </w:r>
      <w:bookmarkEnd w:id="12"/>
      <w:r w:rsidR="00644667" w:rsidRPr="00644667">
        <w:rPr>
          <w:snapToGrid w:val="0"/>
          <w:kern w:val="22"/>
          <w:lang w:val="es-ES"/>
        </w:rPr>
        <w:t xml:space="preserve">El Plan Estratégico incluye dos indicadores destinados a medir los avances hacia la </w:t>
      </w:r>
      <w:r w:rsidR="00644667">
        <w:rPr>
          <w:snapToGrid w:val="0"/>
          <w:kern w:val="22"/>
          <w:lang w:val="es-ES"/>
        </w:rPr>
        <w:t>consecución de este objetivo operacional</w:t>
      </w:r>
      <w:r w:rsidR="00775B5A" w:rsidRPr="00644667">
        <w:rPr>
          <w:snapToGrid w:val="0"/>
          <w:kern w:val="22"/>
          <w:lang w:val="es-ES"/>
        </w:rPr>
        <w:t>.</w:t>
      </w:r>
    </w:p>
    <w:p w:rsidR="00775B5A" w:rsidRPr="00273B7F" w:rsidRDefault="004A1141"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4A1141">
        <w:rPr>
          <w:snapToGrid w:val="0"/>
          <w:kern w:val="22"/>
          <w:lang w:val="es-ES"/>
        </w:rPr>
        <w:t xml:space="preserve">En cuanto al </w:t>
      </w:r>
      <w:r w:rsidR="00775B5A" w:rsidRPr="004A1141">
        <w:rPr>
          <w:b/>
          <w:bCs/>
          <w:snapToGrid w:val="0"/>
          <w:kern w:val="22"/>
          <w:lang w:val="es-ES"/>
        </w:rPr>
        <w:t>indica</w:t>
      </w:r>
      <w:r w:rsidRPr="004A1141">
        <w:rPr>
          <w:b/>
          <w:bCs/>
          <w:snapToGrid w:val="0"/>
          <w:kern w:val="22"/>
          <w:lang w:val="es-ES"/>
        </w:rPr>
        <w:t>d</w:t>
      </w:r>
      <w:r w:rsidR="00775B5A" w:rsidRPr="004A1141">
        <w:rPr>
          <w:b/>
          <w:bCs/>
          <w:snapToGrid w:val="0"/>
          <w:kern w:val="22"/>
          <w:lang w:val="es-ES"/>
        </w:rPr>
        <w:t>or 1.4.1</w:t>
      </w:r>
      <w:r w:rsidR="00775B5A" w:rsidRPr="004A1141">
        <w:rPr>
          <w:snapToGrid w:val="0"/>
          <w:kern w:val="22"/>
          <w:lang w:val="es-ES"/>
        </w:rPr>
        <w:t xml:space="preserve"> (</w:t>
      </w:r>
      <w:r w:rsidRPr="004A1141">
        <w:rPr>
          <w:snapToGrid w:val="0"/>
          <w:kern w:val="22"/>
          <w:lang w:val="es-ES"/>
        </w:rPr>
        <w:t xml:space="preserve">orientación sobre los organismos vivos modificados o rasgos específicos que puedan tener </w:t>
      </w:r>
      <w:r>
        <w:rPr>
          <w:snapToGrid w:val="0"/>
          <w:kern w:val="22"/>
          <w:lang w:val="es-ES"/>
        </w:rPr>
        <w:t>efectos adverso</w:t>
      </w:r>
      <w:r w:rsidRPr="004A1141">
        <w:rPr>
          <w:snapToGrid w:val="0"/>
          <w:kern w:val="22"/>
          <w:lang w:val="es-ES"/>
        </w:rPr>
        <w:t xml:space="preserve">s </w:t>
      </w:r>
      <w:r>
        <w:rPr>
          <w:snapToGrid w:val="0"/>
          <w:kern w:val="22"/>
          <w:lang w:val="es-ES"/>
        </w:rPr>
        <w:t>para</w:t>
      </w:r>
      <w:r w:rsidRPr="004A1141">
        <w:rPr>
          <w:snapToGrid w:val="0"/>
          <w:kern w:val="22"/>
          <w:lang w:val="es-ES"/>
        </w:rPr>
        <w:t xml:space="preserve"> la conservaci</w:t>
      </w:r>
      <w:r>
        <w:rPr>
          <w:snapToGrid w:val="0"/>
          <w:kern w:val="22"/>
          <w:lang w:val="es-ES"/>
        </w:rPr>
        <w:t>ón y utilización sostenible de la diversidad biológica</w:t>
      </w:r>
      <w:r w:rsidR="00775B5A" w:rsidRPr="004A1141">
        <w:rPr>
          <w:snapToGrid w:val="0"/>
          <w:kern w:val="22"/>
          <w:lang w:val="es-ES"/>
        </w:rPr>
        <w:t>, t</w:t>
      </w:r>
      <w:r>
        <w:rPr>
          <w:snapToGrid w:val="0"/>
          <w:kern w:val="22"/>
          <w:lang w:val="es-ES"/>
        </w:rPr>
        <w:t>eniendo también en cuenta los riesgos para la salud humana</w:t>
      </w:r>
      <w:r w:rsidR="00775B5A" w:rsidRPr="004A1141">
        <w:rPr>
          <w:snapToGrid w:val="0"/>
          <w:kern w:val="22"/>
          <w:lang w:val="es-ES"/>
        </w:rPr>
        <w:t>,</w:t>
      </w:r>
      <w:r w:rsidR="00212001">
        <w:rPr>
          <w:snapToGrid w:val="0"/>
          <w:kern w:val="22"/>
          <w:lang w:val="es-ES"/>
        </w:rPr>
        <w:t xml:space="preserve"> elaborada</w:t>
      </w:r>
      <w:r>
        <w:rPr>
          <w:snapToGrid w:val="0"/>
          <w:kern w:val="22"/>
          <w:lang w:val="es-ES"/>
        </w:rPr>
        <w:t xml:space="preserve"> por las Partes y que esté disponible</w:t>
      </w:r>
      <w:r w:rsidR="00775B5A" w:rsidRPr="004A1141">
        <w:rPr>
          <w:snapToGrid w:val="0"/>
          <w:kern w:val="22"/>
          <w:lang w:val="es-ES"/>
        </w:rPr>
        <w:t xml:space="preserve">), </w:t>
      </w:r>
      <w:r>
        <w:rPr>
          <w:snapToGrid w:val="0"/>
          <w:kern w:val="22"/>
          <w:lang w:val="es-ES"/>
        </w:rPr>
        <w:t>no se dispone de información específica sobre este indicador</w:t>
      </w:r>
      <w:r w:rsidR="00775B5A" w:rsidRPr="004A1141">
        <w:rPr>
          <w:snapToGrid w:val="0"/>
          <w:kern w:val="22"/>
          <w:lang w:val="es-ES"/>
        </w:rPr>
        <w:t xml:space="preserve">. </w:t>
      </w:r>
      <w:r w:rsidRPr="004A1141">
        <w:rPr>
          <w:snapToGrid w:val="0"/>
          <w:kern w:val="22"/>
          <w:lang w:val="es-ES"/>
        </w:rPr>
        <w:t>Sin embargo, en el cuarto informe nacional se proporciona alguna informaci</w:t>
      </w:r>
      <w:r>
        <w:rPr>
          <w:snapToGrid w:val="0"/>
          <w:kern w:val="22"/>
          <w:lang w:val="es-ES"/>
        </w:rPr>
        <w:t>ón sobre la cooperación</w:t>
      </w:r>
      <w:r w:rsidR="00273B7F">
        <w:rPr>
          <w:snapToGrid w:val="0"/>
          <w:kern w:val="22"/>
          <w:lang w:val="es-ES"/>
        </w:rPr>
        <w:t xml:space="preserve"> en esta esfera</w:t>
      </w:r>
      <w:r w:rsidR="00775B5A">
        <w:rPr>
          <w:rStyle w:val="FootnoteReference"/>
          <w:rFonts w:ascii="Angsana New" w:hAnsi="Angsana New" w:cs="Angsana New"/>
          <w:snapToGrid w:val="0"/>
          <w:kern w:val="22"/>
        </w:rPr>
        <w:footnoteReference w:id="31"/>
      </w:r>
      <w:r w:rsidR="00273B7F" w:rsidRPr="004A1141">
        <w:rPr>
          <w:snapToGrid w:val="0"/>
          <w:kern w:val="22"/>
          <w:lang w:val="es-ES"/>
        </w:rPr>
        <w:t>.</w:t>
      </w:r>
      <w:r w:rsidR="00775B5A" w:rsidRPr="004A1141">
        <w:rPr>
          <w:snapToGrid w:val="0"/>
          <w:kern w:val="22"/>
          <w:lang w:val="es-ES"/>
        </w:rPr>
        <w:t xml:space="preserve"> </w:t>
      </w:r>
      <w:r w:rsidR="00273B7F" w:rsidRPr="00273B7F">
        <w:rPr>
          <w:snapToGrid w:val="0"/>
          <w:kern w:val="22"/>
          <w:lang w:val="es-ES"/>
        </w:rPr>
        <w:t>Un</w:t>
      </w:r>
      <w:r w:rsidR="00775B5A" w:rsidRPr="00273B7F">
        <w:rPr>
          <w:snapToGrid w:val="0"/>
          <w:kern w:val="22"/>
          <w:lang w:val="es-ES"/>
        </w:rPr>
        <w:t xml:space="preserve"> total </w:t>
      </w:r>
      <w:r w:rsidR="00273B7F" w:rsidRPr="00273B7F">
        <w:rPr>
          <w:snapToGrid w:val="0"/>
          <w:kern w:val="22"/>
          <w:lang w:val="es-ES"/>
        </w:rPr>
        <w:t xml:space="preserve">del </w:t>
      </w:r>
      <w:r w:rsidR="00775B5A" w:rsidRPr="00273B7F">
        <w:rPr>
          <w:snapToGrid w:val="0"/>
          <w:kern w:val="22"/>
          <w:lang w:val="es-ES"/>
        </w:rPr>
        <w:t>43</w:t>
      </w:r>
      <w:r w:rsidR="00273B7F" w:rsidRPr="00273B7F">
        <w:rPr>
          <w:snapToGrid w:val="0"/>
          <w:kern w:val="22"/>
          <w:lang w:val="es-ES"/>
        </w:rPr>
        <w:t xml:space="preserve"> </w:t>
      </w:r>
      <w:r w:rsidR="00775B5A" w:rsidRPr="00273B7F">
        <w:rPr>
          <w:snapToGrid w:val="0"/>
          <w:kern w:val="22"/>
          <w:lang w:val="es-ES"/>
        </w:rPr>
        <w:t xml:space="preserve">% </w:t>
      </w:r>
      <w:r w:rsidR="00273B7F" w:rsidRPr="00273B7F">
        <w:rPr>
          <w:snapToGrid w:val="0"/>
          <w:kern w:val="22"/>
          <w:lang w:val="es-ES"/>
        </w:rPr>
        <w:t xml:space="preserve">de las </w:t>
      </w:r>
      <w:r w:rsidR="00775B5A" w:rsidRPr="00273B7F">
        <w:rPr>
          <w:snapToGrid w:val="0"/>
          <w:kern w:val="22"/>
          <w:lang w:val="es-ES"/>
        </w:rPr>
        <w:t xml:space="preserve">Partes (40 Partes) </w:t>
      </w:r>
      <w:r w:rsidR="00273B7F" w:rsidRPr="00273B7F">
        <w:rPr>
          <w:snapToGrid w:val="0"/>
          <w:kern w:val="22"/>
          <w:lang w:val="es-ES"/>
        </w:rPr>
        <w:t>inform</w:t>
      </w:r>
      <w:r w:rsidR="00212001">
        <w:rPr>
          <w:snapToGrid w:val="0"/>
          <w:kern w:val="22"/>
          <w:lang w:val="es-ES"/>
        </w:rPr>
        <w:t>ó haber coo</w:t>
      </w:r>
      <w:r w:rsidR="00273B7F" w:rsidRPr="00273B7F">
        <w:rPr>
          <w:snapToGrid w:val="0"/>
          <w:kern w:val="22"/>
          <w:lang w:val="es-ES"/>
        </w:rPr>
        <w:t xml:space="preserve">perado con otras Partes con miras a identificar </w:t>
      </w:r>
      <w:bookmarkStart w:id="13" w:name="_Hlk33701388"/>
      <w:r w:rsidR="00273B7F" w:rsidRPr="00273B7F">
        <w:rPr>
          <w:snapToGrid w:val="0"/>
          <w:kern w:val="22"/>
          <w:lang w:val="es-ES"/>
        </w:rPr>
        <w:t>OVM o rasgos espec</w:t>
      </w:r>
      <w:r w:rsidR="00273B7F">
        <w:rPr>
          <w:snapToGrid w:val="0"/>
          <w:kern w:val="22"/>
          <w:lang w:val="es-ES"/>
        </w:rPr>
        <w:t>íficos que puedan tener efectos adversos para la conservación y utilización sostenible de la diversidad biológica</w:t>
      </w:r>
      <w:r w:rsidR="00775B5A" w:rsidRPr="00273B7F">
        <w:rPr>
          <w:snapToGrid w:val="0"/>
          <w:kern w:val="22"/>
          <w:lang w:val="es-ES"/>
        </w:rPr>
        <w:t xml:space="preserve">. </w:t>
      </w:r>
      <w:bookmarkEnd w:id="13"/>
      <w:r w:rsidR="00273B7F" w:rsidRPr="00273B7F">
        <w:rPr>
          <w:snapToGrid w:val="0"/>
          <w:kern w:val="22"/>
          <w:lang w:val="es-ES"/>
        </w:rPr>
        <w:t xml:space="preserve">Con respecto a los datos básicos de referencia, ha habido un aumento del </w:t>
      </w:r>
      <w:r w:rsidR="00775B5A" w:rsidRPr="00273B7F">
        <w:rPr>
          <w:snapToGrid w:val="0"/>
          <w:kern w:val="22"/>
          <w:lang w:val="es-ES"/>
        </w:rPr>
        <w:t>6</w:t>
      </w:r>
      <w:r w:rsidR="00273B7F" w:rsidRPr="00273B7F">
        <w:rPr>
          <w:snapToGrid w:val="0"/>
          <w:kern w:val="22"/>
          <w:lang w:val="es-ES"/>
        </w:rPr>
        <w:t xml:space="preserve"> </w:t>
      </w:r>
      <w:r w:rsidR="00775B5A" w:rsidRPr="00273B7F">
        <w:rPr>
          <w:snapToGrid w:val="0"/>
          <w:kern w:val="22"/>
          <w:lang w:val="es-ES"/>
        </w:rPr>
        <w:t>%</w:t>
      </w:r>
      <w:r w:rsidR="00273B7F">
        <w:rPr>
          <w:snapToGrid w:val="0"/>
          <w:kern w:val="22"/>
          <w:lang w:val="es-ES"/>
        </w:rPr>
        <w:t xml:space="preserve"> con los siguientes cambios a nivel regional</w:t>
      </w:r>
      <w:r w:rsidR="00775B5A" w:rsidRPr="00273B7F">
        <w:rPr>
          <w:snapToGrid w:val="0"/>
          <w:kern w:val="22"/>
          <w:lang w:val="es-ES"/>
        </w:rPr>
        <w:t xml:space="preserve">: </w:t>
      </w:r>
      <w:r w:rsidR="00EA78DC">
        <w:rPr>
          <w:snapToGrid w:val="0"/>
          <w:kern w:val="22"/>
          <w:lang w:val="es-ES"/>
        </w:rPr>
        <w:t>grupo de Estados de Europa Central y Oriental</w:t>
      </w:r>
      <w:r w:rsidR="00EA78DC" w:rsidRPr="00EC2231">
        <w:rPr>
          <w:snapToGrid w:val="0"/>
          <w:kern w:val="22"/>
          <w:lang w:val="es-ES"/>
        </w:rPr>
        <w:t xml:space="preserve"> </w:t>
      </w:r>
      <w:r w:rsidR="00775B5A" w:rsidRPr="00273B7F">
        <w:rPr>
          <w:snapToGrid w:val="0"/>
          <w:kern w:val="22"/>
          <w:lang w:val="es-ES"/>
        </w:rPr>
        <w:t>(+</w:t>
      </w:r>
      <w:r w:rsidR="00273B7F">
        <w:rPr>
          <w:snapToGrid w:val="0"/>
          <w:kern w:val="22"/>
          <w:lang w:val="es-ES"/>
        </w:rPr>
        <w:t xml:space="preserve"> </w:t>
      </w:r>
      <w:r w:rsidR="00775B5A" w:rsidRPr="00273B7F">
        <w:rPr>
          <w:snapToGrid w:val="0"/>
          <w:kern w:val="22"/>
          <w:lang w:val="es-ES"/>
        </w:rPr>
        <w:t>19</w:t>
      </w:r>
      <w:r w:rsidR="00273B7F">
        <w:rPr>
          <w:snapToGrid w:val="0"/>
          <w:kern w:val="22"/>
          <w:lang w:val="es-ES"/>
        </w:rPr>
        <w:t xml:space="preserve"> </w:t>
      </w:r>
      <w:r w:rsidR="00775B5A" w:rsidRPr="00273B7F">
        <w:rPr>
          <w:snapToGrid w:val="0"/>
          <w:kern w:val="22"/>
          <w:lang w:val="es-ES"/>
        </w:rPr>
        <w:t>%), Asia</w:t>
      </w:r>
      <w:r w:rsidR="00FD6528">
        <w:rPr>
          <w:snapToGrid w:val="0"/>
          <w:kern w:val="22"/>
          <w:lang w:val="es-ES"/>
        </w:rPr>
        <w:t xml:space="preserve"> y el Pacífico</w:t>
      </w:r>
      <w:r w:rsidR="00775B5A" w:rsidRPr="00273B7F">
        <w:rPr>
          <w:snapToGrid w:val="0"/>
          <w:kern w:val="22"/>
          <w:lang w:val="es-ES"/>
        </w:rPr>
        <w:t xml:space="preserve"> (+</w:t>
      </w:r>
      <w:r w:rsidR="00273B7F">
        <w:rPr>
          <w:snapToGrid w:val="0"/>
          <w:kern w:val="22"/>
          <w:lang w:val="es-ES"/>
        </w:rPr>
        <w:t xml:space="preserve"> </w:t>
      </w:r>
      <w:r w:rsidR="00775B5A" w:rsidRPr="00273B7F">
        <w:rPr>
          <w:snapToGrid w:val="0"/>
          <w:kern w:val="22"/>
          <w:lang w:val="es-ES"/>
        </w:rPr>
        <w:t>13</w:t>
      </w:r>
      <w:r w:rsidR="00273B7F">
        <w:rPr>
          <w:snapToGrid w:val="0"/>
          <w:kern w:val="22"/>
          <w:lang w:val="es-ES"/>
        </w:rPr>
        <w:t xml:space="preserve"> </w:t>
      </w:r>
      <w:r w:rsidR="00775B5A" w:rsidRPr="00273B7F">
        <w:rPr>
          <w:snapToGrid w:val="0"/>
          <w:kern w:val="22"/>
          <w:lang w:val="es-ES"/>
        </w:rPr>
        <w:t xml:space="preserve">%), </w:t>
      </w:r>
      <w:r w:rsidR="00273B7F">
        <w:rPr>
          <w:snapToGrid w:val="0"/>
          <w:kern w:val="22"/>
          <w:lang w:val="es-ES"/>
        </w:rPr>
        <w:t>Á</w:t>
      </w:r>
      <w:r w:rsidR="00775B5A" w:rsidRPr="00273B7F">
        <w:rPr>
          <w:snapToGrid w:val="0"/>
          <w:kern w:val="22"/>
          <w:lang w:val="es-ES"/>
        </w:rPr>
        <w:t>frica (+</w:t>
      </w:r>
      <w:r w:rsidR="00273B7F">
        <w:rPr>
          <w:snapToGrid w:val="0"/>
          <w:kern w:val="22"/>
          <w:lang w:val="es-ES"/>
        </w:rPr>
        <w:t xml:space="preserve"> </w:t>
      </w:r>
      <w:r w:rsidR="00775B5A" w:rsidRPr="00273B7F">
        <w:rPr>
          <w:snapToGrid w:val="0"/>
          <w:kern w:val="22"/>
          <w:lang w:val="es-ES"/>
        </w:rPr>
        <w:t>7</w:t>
      </w:r>
      <w:r w:rsidR="00273B7F">
        <w:rPr>
          <w:snapToGrid w:val="0"/>
          <w:kern w:val="22"/>
          <w:lang w:val="es-ES"/>
        </w:rPr>
        <w:t xml:space="preserve"> </w:t>
      </w:r>
      <w:r w:rsidR="00775B5A" w:rsidRPr="00273B7F">
        <w:rPr>
          <w:snapToGrid w:val="0"/>
          <w:kern w:val="22"/>
          <w:lang w:val="es-ES"/>
        </w:rPr>
        <w:t xml:space="preserve">%), </w:t>
      </w:r>
      <w:r w:rsidR="00273B7F">
        <w:rPr>
          <w:snapToGrid w:val="0"/>
          <w:kern w:val="22"/>
          <w:lang w:val="es-ES"/>
        </w:rPr>
        <w:t>grupo de Estados de Europa Occidental y otros</w:t>
      </w:r>
      <w:r w:rsidR="00775B5A" w:rsidRPr="00273B7F">
        <w:rPr>
          <w:snapToGrid w:val="0"/>
          <w:kern w:val="22"/>
          <w:lang w:val="es-ES"/>
        </w:rPr>
        <w:t xml:space="preserve"> (+</w:t>
      </w:r>
      <w:r w:rsidR="00273B7F">
        <w:rPr>
          <w:snapToGrid w:val="0"/>
          <w:kern w:val="22"/>
          <w:lang w:val="es-ES"/>
        </w:rPr>
        <w:t xml:space="preserve"> </w:t>
      </w:r>
      <w:r w:rsidR="00775B5A" w:rsidRPr="00273B7F">
        <w:rPr>
          <w:snapToGrid w:val="0"/>
          <w:kern w:val="22"/>
          <w:lang w:val="es-ES"/>
        </w:rPr>
        <w:t>6</w:t>
      </w:r>
      <w:r w:rsidR="00273B7F">
        <w:rPr>
          <w:snapToGrid w:val="0"/>
          <w:kern w:val="22"/>
          <w:lang w:val="es-ES"/>
        </w:rPr>
        <w:t xml:space="preserve"> </w:t>
      </w:r>
      <w:r w:rsidR="00775B5A" w:rsidRPr="00273B7F">
        <w:rPr>
          <w:snapToGrid w:val="0"/>
          <w:kern w:val="22"/>
          <w:lang w:val="es-ES"/>
        </w:rPr>
        <w:t xml:space="preserve">%), </w:t>
      </w:r>
      <w:r w:rsidR="00D74010">
        <w:rPr>
          <w:snapToGrid w:val="0"/>
          <w:kern w:val="22"/>
          <w:lang w:val="es-ES"/>
        </w:rPr>
        <w:t>grupo de países de América Latina y el Caribe</w:t>
      </w:r>
      <w:r w:rsidR="00D74010" w:rsidRPr="00273B7F">
        <w:rPr>
          <w:snapToGrid w:val="0"/>
          <w:kern w:val="22"/>
          <w:lang w:val="es-ES"/>
        </w:rPr>
        <w:t xml:space="preserve"> </w:t>
      </w:r>
      <w:r w:rsidR="00775B5A" w:rsidRPr="00273B7F">
        <w:rPr>
          <w:snapToGrid w:val="0"/>
          <w:kern w:val="22"/>
          <w:lang w:val="es-ES"/>
        </w:rPr>
        <w:t>(-</w:t>
      </w:r>
      <w:r w:rsidR="00273B7F">
        <w:rPr>
          <w:snapToGrid w:val="0"/>
          <w:kern w:val="22"/>
          <w:lang w:val="es-ES"/>
        </w:rPr>
        <w:t xml:space="preserve"> </w:t>
      </w:r>
      <w:r w:rsidR="00775B5A" w:rsidRPr="00273B7F">
        <w:rPr>
          <w:snapToGrid w:val="0"/>
          <w:kern w:val="22"/>
          <w:lang w:val="es-ES"/>
        </w:rPr>
        <w:t>15</w:t>
      </w:r>
      <w:r w:rsidR="00273B7F">
        <w:rPr>
          <w:snapToGrid w:val="0"/>
          <w:kern w:val="22"/>
          <w:lang w:val="es-ES"/>
        </w:rPr>
        <w:t xml:space="preserve"> </w:t>
      </w:r>
      <w:r w:rsidR="00775B5A" w:rsidRPr="00273B7F">
        <w:rPr>
          <w:snapToGrid w:val="0"/>
          <w:kern w:val="22"/>
          <w:lang w:val="es-ES"/>
        </w:rPr>
        <w:t xml:space="preserve">%). </w:t>
      </w:r>
    </w:p>
    <w:p w:rsidR="00775B5A" w:rsidRPr="00513520" w:rsidRDefault="00273B7F"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513520">
        <w:rPr>
          <w:snapToGrid w:val="0"/>
          <w:kern w:val="22"/>
          <w:lang w:val="es-ES"/>
        </w:rPr>
        <w:t xml:space="preserve">En lo tocante al </w:t>
      </w:r>
      <w:r w:rsidR="00775B5A" w:rsidRPr="00513520">
        <w:rPr>
          <w:b/>
          <w:bCs/>
          <w:snapToGrid w:val="0"/>
          <w:kern w:val="22"/>
          <w:lang w:val="es-ES"/>
        </w:rPr>
        <w:t>indica</w:t>
      </w:r>
      <w:r w:rsidRPr="00513520">
        <w:rPr>
          <w:b/>
          <w:bCs/>
          <w:snapToGrid w:val="0"/>
          <w:kern w:val="22"/>
          <w:lang w:val="es-ES"/>
        </w:rPr>
        <w:t>d</w:t>
      </w:r>
      <w:r w:rsidR="00775B5A" w:rsidRPr="00513520">
        <w:rPr>
          <w:b/>
          <w:bCs/>
          <w:snapToGrid w:val="0"/>
          <w:kern w:val="22"/>
          <w:lang w:val="es-ES"/>
        </w:rPr>
        <w:t>or 1.4.2</w:t>
      </w:r>
      <w:r w:rsidR="00775B5A" w:rsidRPr="00513520">
        <w:rPr>
          <w:snapToGrid w:val="0"/>
          <w:kern w:val="22"/>
          <w:lang w:val="es-ES"/>
        </w:rPr>
        <w:t xml:space="preserve"> (</w:t>
      </w:r>
      <w:r w:rsidRPr="00513520">
        <w:rPr>
          <w:snapToGrid w:val="0"/>
          <w:kern w:val="22"/>
          <w:lang w:val="es-ES"/>
        </w:rPr>
        <w:t>el número de P</w:t>
      </w:r>
      <w:r w:rsidR="00775B5A" w:rsidRPr="00513520">
        <w:rPr>
          <w:snapToGrid w:val="0"/>
          <w:kern w:val="22"/>
          <w:lang w:val="es-ES"/>
        </w:rPr>
        <w:t xml:space="preserve">artes </w:t>
      </w:r>
      <w:r w:rsidR="00513520" w:rsidRPr="00513520">
        <w:rPr>
          <w:snapToGrid w:val="0"/>
          <w:kern w:val="22"/>
          <w:lang w:val="es-ES"/>
        </w:rPr>
        <w:t xml:space="preserve">que tienen la capacidad de </w:t>
      </w:r>
      <w:r w:rsidR="00775B5A" w:rsidRPr="00513520">
        <w:rPr>
          <w:snapToGrid w:val="0"/>
          <w:kern w:val="22"/>
          <w:lang w:val="es-ES"/>
        </w:rPr>
        <w:t>detect</w:t>
      </w:r>
      <w:r w:rsidR="00513520" w:rsidRPr="00513520">
        <w:rPr>
          <w:snapToGrid w:val="0"/>
          <w:kern w:val="22"/>
          <w:lang w:val="es-ES"/>
        </w:rPr>
        <w:t>ar</w:t>
      </w:r>
      <w:r w:rsidR="00775B5A" w:rsidRPr="00513520">
        <w:rPr>
          <w:snapToGrid w:val="0"/>
          <w:kern w:val="22"/>
          <w:lang w:val="es-ES"/>
        </w:rPr>
        <w:t>, identif</w:t>
      </w:r>
      <w:r w:rsidR="00513520" w:rsidRPr="00513520">
        <w:rPr>
          <w:snapToGrid w:val="0"/>
          <w:kern w:val="22"/>
          <w:lang w:val="es-ES"/>
        </w:rPr>
        <w:t>icar, evaluar y vigilar OVM</w:t>
      </w:r>
      <w:r w:rsidR="00775B5A" w:rsidRPr="00513520">
        <w:rPr>
          <w:snapToGrid w:val="0"/>
          <w:kern w:val="22"/>
          <w:lang w:val="es-ES"/>
        </w:rPr>
        <w:t xml:space="preserve"> </w:t>
      </w:r>
      <w:bookmarkStart w:id="14" w:name="_Hlk33701539"/>
      <w:r w:rsidR="00775B5A" w:rsidRPr="00513520">
        <w:rPr>
          <w:snapToGrid w:val="0"/>
          <w:kern w:val="22"/>
          <w:lang w:val="es-ES"/>
        </w:rPr>
        <w:t>o</w:t>
      </w:r>
      <w:r w:rsidR="00513520" w:rsidRPr="00513520">
        <w:rPr>
          <w:snapToGrid w:val="0"/>
          <w:kern w:val="22"/>
          <w:lang w:val="es-ES"/>
        </w:rPr>
        <w:t xml:space="preserve"> rasgos específicos que puedan tener efectos adversos para la conservaci</w:t>
      </w:r>
      <w:r w:rsidR="00513520">
        <w:rPr>
          <w:snapToGrid w:val="0"/>
          <w:kern w:val="22"/>
          <w:lang w:val="es-ES"/>
        </w:rPr>
        <w:t>ón y utilización sostenible de la diversidad biológica</w:t>
      </w:r>
      <w:r w:rsidR="00775B5A" w:rsidRPr="00513520">
        <w:rPr>
          <w:snapToGrid w:val="0"/>
          <w:kern w:val="22"/>
          <w:lang w:val="es-ES"/>
        </w:rPr>
        <w:t>, t</w:t>
      </w:r>
      <w:r w:rsidR="00513520">
        <w:rPr>
          <w:snapToGrid w:val="0"/>
          <w:kern w:val="22"/>
          <w:lang w:val="es-ES"/>
        </w:rPr>
        <w:t>eniendo en cuenta los riesgos para la salud humana</w:t>
      </w:r>
      <w:bookmarkEnd w:id="14"/>
      <w:r w:rsidR="00775B5A" w:rsidRPr="00513520">
        <w:rPr>
          <w:snapToGrid w:val="0"/>
          <w:kern w:val="22"/>
          <w:lang w:val="es-ES"/>
        </w:rPr>
        <w:t xml:space="preserve">), </w:t>
      </w:r>
      <w:r w:rsidR="00513520">
        <w:rPr>
          <w:snapToGrid w:val="0"/>
          <w:kern w:val="22"/>
          <w:lang w:val="es-ES"/>
        </w:rPr>
        <w:t>las Part</w:t>
      </w:r>
      <w:r w:rsidR="00775B5A" w:rsidRPr="00513520">
        <w:rPr>
          <w:snapToGrid w:val="0"/>
          <w:kern w:val="22"/>
          <w:lang w:val="es-ES"/>
        </w:rPr>
        <w:t xml:space="preserve">es </w:t>
      </w:r>
      <w:r w:rsidR="00513520">
        <w:rPr>
          <w:snapToGrid w:val="0"/>
          <w:kern w:val="22"/>
          <w:lang w:val="es-ES"/>
        </w:rPr>
        <w:t>comunicaron lo siguiente (véase también</w:t>
      </w:r>
      <w:r w:rsidR="00212001">
        <w:rPr>
          <w:snapToGrid w:val="0"/>
          <w:kern w:val="22"/>
          <w:lang w:val="es-ES"/>
        </w:rPr>
        <w:t xml:space="preserve"> </w:t>
      </w:r>
      <w:r w:rsidR="00030FC1">
        <w:rPr>
          <w:snapToGrid w:val="0"/>
          <w:kern w:val="22"/>
          <w:lang w:val="es-ES"/>
        </w:rPr>
        <w:t>el gráfico</w:t>
      </w:r>
      <w:r w:rsidR="00775B5A" w:rsidRPr="00513520">
        <w:rPr>
          <w:snapToGrid w:val="0"/>
          <w:kern w:val="22"/>
          <w:lang w:val="es-ES"/>
        </w:rPr>
        <w:t xml:space="preserve"> 3 </w:t>
      </w:r>
      <w:r w:rsidR="00513520">
        <w:rPr>
          <w:snapToGrid w:val="0"/>
          <w:kern w:val="22"/>
          <w:lang w:val="es-ES"/>
        </w:rPr>
        <w:t xml:space="preserve">para </w:t>
      </w:r>
      <w:r w:rsidR="00775B5A" w:rsidRPr="00513520">
        <w:rPr>
          <w:snapToGrid w:val="0"/>
          <w:kern w:val="22"/>
          <w:lang w:val="es-ES"/>
        </w:rPr>
        <w:t>b)-d)):</w:t>
      </w:r>
    </w:p>
    <w:p w:rsidR="00775B5A" w:rsidRPr="006275F6" w:rsidRDefault="00513520" w:rsidP="001D4EEE">
      <w:pPr>
        <w:pStyle w:val="ListParagraph"/>
        <w:numPr>
          <w:ilvl w:val="0"/>
          <w:numId w:val="5"/>
        </w:numPr>
        <w:suppressLineNumbers/>
        <w:suppressAutoHyphens/>
        <w:snapToGrid w:val="0"/>
        <w:spacing w:before="120" w:after="120"/>
        <w:ind w:left="0" w:firstLine="709"/>
        <w:rPr>
          <w:snapToGrid w:val="0"/>
          <w:kern w:val="22"/>
          <w:lang w:val="es-ES"/>
        </w:rPr>
      </w:pPr>
      <w:r w:rsidRPr="00513520">
        <w:rPr>
          <w:snapToGrid w:val="0"/>
          <w:kern w:val="22"/>
          <w:lang w:val="es-ES"/>
        </w:rPr>
        <w:t xml:space="preserve">El </w:t>
      </w:r>
      <w:r w:rsidR="00775B5A" w:rsidRPr="00513520">
        <w:rPr>
          <w:snapToGrid w:val="0"/>
          <w:kern w:val="22"/>
          <w:lang w:val="es-ES"/>
        </w:rPr>
        <w:t>79</w:t>
      </w:r>
      <w:r w:rsidRPr="00513520">
        <w:rPr>
          <w:snapToGrid w:val="0"/>
          <w:kern w:val="22"/>
          <w:lang w:val="es-ES"/>
        </w:rPr>
        <w:t xml:space="preserve"> </w:t>
      </w:r>
      <w:r w:rsidR="00775B5A" w:rsidRPr="00513520">
        <w:rPr>
          <w:snapToGrid w:val="0"/>
          <w:kern w:val="22"/>
          <w:lang w:val="es-ES"/>
        </w:rPr>
        <w:t xml:space="preserve">% </w:t>
      </w:r>
      <w:r w:rsidRPr="00513520">
        <w:rPr>
          <w:snapToGrid w:val="0"/>
          <w:kern w:val="22"/>
          <w:lang w:val="es-ES"/>
        </w:rPr>
        <w:t xml:space="preserve">de las </w:t>
      </w:r>
      <w:r w:rsidR="00775B5A" w:rsidRPr="00513520">
        <w:rPr>
          <w:snapToGrid w:val="0"/>
          <w:kern w:val="22"/>
          <w:lang w:val="es-ES"/>
        </w:rPr>
        <w:t xml:space="preserve">Partes (78 Partes) </w:t>
      </w:r>
      <w:r w:rsidRPr="00513520">
        <w:rPr>
          <w:snapToGrid w:val="0"/>
          <w:kern w:val="22"/>
          <w:lang w:val="es-ES"/>
        </w:rPr>
        <w:t>indic</w:t>
      </w:r>
      <w:r w:rsidR="006275F6">
        <w:rPr>
          <w:snapToGrid w:val="0"/>
          <w:kern w:val="22"/>
          <w:lang w:val="es-ES"/>
        </w:rPr>
        <w:t>ó</w:t>
      </w:r>
      <w:r w:rsidRPr="00513520">
        <w:rPr>
          <w:snapToGrid w:val="0"/>
          <w:kern w:val="22"/>
          <w:lang w:val="es-ES"/>
        </w:rPr>
        <w:t xml:space="preserve"> que tiene la capacidad de detect</w:t>
      </w:r>
      <w:r w:rsidR="006275F6">
        <w:rPr>
          <w:snapToGrid w:val="0"/>
          <w:kern w:val="22"/>
          <w:lang w:val="es-ES"/>
        </w:rPr>
        <w:t>a</w:t>
      </w:r>
      <w:r w:rsidRPr="00513520">
        <w:rPr>
          <w:snapToGrid w:val="0"/>
          <w:kern w:val="22"/>
          <w:lang w:val="es-ES"/>
        </w:rPr>
        <w:t>r dichos OVM</w:t>
      </w:r>
      <w:r w:rsidR="00775B5A" w:rsidRPr="00513520">
        <w:rPr>
          <w:snapToGrid w:val="0"/>
          <w:kern w:val="22"/>
          <w:lang w:val="es-ES"/>
        </w:rPr>
        <w:t xml:space="preserve">. </w:t>
      </w:r>
      <w:r w:rsidR="00775B5A" w:rsidRPr="006275F6">
        <w:rPr>
          <w:snapToGrid w:val="0"/>
          <w:kern w:val="22"/>
          <w:lang w:val="es-ES"/>
        </w:rPr>
        <w:t xml:space="preserve">No </w:t>
      </w:r>
      <w:r w:rsidR="006275F6" w:rsidRPr="006275F6">
        <w:rPr>
          <w:snapToGrid w:val="0"/>
          <w:kern w:val="22"/>
          <w:lang w:val="es-ES"/>
        </w:rPr>
        <w:t xml:space="preserve">se dispone de datos básicos de referencia relacionados con la detección, pero se trata de un aumento del </w:t>
      </w:r>
      <w:r w:rsidR="00775B5A" w:rsidRPr="006275F6">
        <w:rPr>
          <w:snapToGrid w:val="0"/>
          <w:kern w:val="22"/>
          <w:lang w:val="es-ES"/>
        </w:rPr>
        <w:t>1</w:t>
      </w:r>
      <w:r w:rsidR="006275F6" w:rsidRPr="006275F6">
        <w:rPr>
          <w:snapToGrid w:val="0"/>
          <w:kern w:val="22"/>
          <w:lang w:val="es-ES"/>
        </w:rPr>
        <w:t xml:space="preserve"> </w:t>
      </w:r>
      <w:r w:rsidR="00775B5A" w:rsidRPr="006275F6">
        <w:rPr>
          <w:snapToGrid w:val="0"/>
          <w:kern w:val="22"/>
          <w:lang w:val="es-ES"/>
        </w:rPr>
        <w:t xml:space="preserve">% </w:t>
      </w:r>
      <w:r w:rsidR="006275F6">
        <w:rPr>
          <w:snapToGrid w:val="0"/>
          <w:kern w:val="22"/>
          <w:lang w:val="es-ES"/>
        </w:rPr>
        <w:t>desde el tercer ciclo de presentación de informes</w:t>
      </w:r>
      <w:r w:rsidR="00FD6528">
        <w:rPr>
          <w:snapToGrid w:val="0"/>
          <w:kern w:val="22"/>
          <w:lang w:val="es-ES"/>
        </w:rPr>
        <w:t>;</w:t>
      </w:r>
      <w:r w:rsidR="00775B5A" w:rsidRPr="006275F6">
        <w:rPr>
          <w:snapToGrid w:val="0"/>
          <w:kern w:val="22"/>
          <w:lang w:val="es-ES"/>
        </w:rPr>
        <w:t xml:space="preserve"> </w:t>
      </w:r>
    </w:p>
    <w:p w:rsidR="00775B5A" w:rsidRPr="006275F6" w:rsidRDefault="006275F6" w:rsidP="001D4EEE">
      <w:pPr>
        <w:pStyle w:val="ListParagraph"/>
        <w:numPr>
          <w:ilvl w:val="0"/>
          <w:numId w:val="5"/>
        </w:numPr>
        <w:suppressLineNumbers/>
        <w:suppressAutoHyphens/>
        <w:snapToGrid w:val="0"/>
        <w:spacing w:before="120" w:after="120"/>
        <w:ind w:left="0" w:firstLine="709"/>
        <w:rPr>
          <w:snapToGrid w:val="0"/>
          <w:kern w:val="22"/>
          <w:lang w:val="es-ES"/>
        </w:rPr>
      </w:pPr>
      <w:r w:rsidRPr="006275F6">
        <w:rPr>
          <w:snapToGrid w:val="0"/>
          <w:kern w:val="22"/>
          <w:lang w:val="es-ES"/>
        </w:rPr>
        <w:t xml:space="preserve">El </w:t>
      </w:r>
      <w:r w:rsidR="00775B5A" w:rsidRPr="006275F6">
        <w:rPr>
          <w:snapToGrid w:val="0"/>
          <w:kern w:val="22"/>
          <w:lang w:val="es-ES"/>
        </w:rPr>
        <w:t>77</w:t>
      </w:r>
      <w:r w:rsidRPr="006275F6">
        <w:rPr>
          <w:snapToGrid w:val="0"/>
          <w:kern w:val="22"/>
          <w:lang w:val="es-ES"/>
        </w:rPr>
        <w:t xml:space="preserve"> </w:t>
      </w:r>
      <w:r w:rsidR="00775B5A" w:rsidRPr="006275F6">
        <w:rPr>
          <w:snapToGrid w:val="0"/>
          <w:kern w:val="22"/>
          <w:lang w:val="es-ES"/>
        </w:rPr>
        <w:t xml:space="preserve">% (55 Partes) </w:t>
      </w:r>
      <w:r w:rsidRPr="006275F6">
        <w:rPr>
          <w:snapToGrid w:val="0"/>
          <w:kern w:val="22"/>
          <w:lang w:val="es-ES"/>
        </w:rPr>
        <w:t>comunic</w:t>
      </w:r>
      <w:r>
        <w:rPr>
          <w:snapToGrid w:val="0"/>
          <w:kern w:val="22"/>
          <w:lang w:val="es-ES"/>
        </w:rPr>
        <w:t>ó</w:t>
      </w:r>
      <w:r w:rsidRPr="006275F6">
        <w:rPr>
          <w:snapToGrid w:val="0"/>
          <w:kern w:val="22"/>
          <w:lang w:val="es-ES"/>
        </w:rPr>
        <w:t xml:space="preserve"> que tiene la capacidad de identificar dichos OVM</w:t>
      </w:r>
      <w:r w:rsidR="00775B5A" w:rsidRPr="006275F6">
        <w:rPr>
          <w:snapToGrid w:val="0"/>
          <w:kern w:val="22"/>
          <w:lang w:val="es-ES"/>
        </w:rPr>
        <w:t xml:space="preserve">, </w:t>
      </w:r>
      <w:r>
        <w:rPr>
          <w:snapToGrid w:val="0"/>
          <w:kern w:val="22"/>
          <w:lang w:val="es-ES"/>
        </w:rPr>
        <w:t xml:space="preserve">lo que supone una disminución del </w:t>
      </w:r>
      <w:r w:rsidR="00775B5A" w:rsidRPr="006275F6">
        <w:rPr>
          <w:snapToGrid w:val="0"/>
          <w:kern w:val="22"/>
          <w:lang w:val="es-ES"/>
        </w:rPr>
        <w:t>6</w:t>
      </w:r>
      <w:r>
        <w:rPr>
          <w:snapToGrid w:val="0"/>
          <w:kern w:val="22"/>
          <w:lang w:val="es-ES"/>
        </w:rPr>
        <w:t xml:space="preserve"> %</w:t>
      </w:r>
      <w:r w:rsidR="00FD6528">
        <w:rPr>
          <w:snapToGrid w:val="0"/>
          <w:kern w:val="22"/>
          <w:lang w:val="es-ES"/>
        </w:rPr>
        <w:t>;</w:t>
      </w:r>
    </w:p>
    <w:p w:rsidR="00775B5A" w:rsidRPr="006275F6" w:rsidRDefault="006275F6" w:rsidP="001D4EEE">
      <w:pPr>
        <w:pStyle w:val="ListParagraph"/>
        <w:numPr>
          <w:ilvl w:val="0"/>
          <w:numId w:val="5"/>
        </w:numPr>
        <w:suppressLineNumbers/>
        <w:suppressAutoHyphens/>
        <w:snapToGrid w:val="0"/>
        <w:spacing w:before="120" w:after="120"/>
        <w:ind w:left="0" w:firstLine="709"/>
        <w:rPr>
          <w:snapToGrid w:val="0"/>
          <w:kern w:val="22"/>
          <w:lang w:val="es-ES"/>
        </w:rPr>
      </w:pPr>
      <w:bookmarkStart w:id="15" w:name="_Hlk33701469"/>
      <w:r w:rsidRPr="006275F6">
        <w:rPr>
          <w:snapToGrid w:val="0"/>
          <w:kern w:val="22"/>
          <w:lang w:val="es-ES"/>
        </w:rPr>
        <w:t xml:space="preserve">El </w:t>
      </w:r>
      <w:r w:rsidR="00775B5A" w:rsidRPr="006275F6">
        <w:rPr>
          <w:snapToGrid w:val="0"/>
          <w:kern w:val="22"/>
          <w:lang w:val="es-ES"/>
        </w:rPr>
        <w:t>77</w:t>
      </w:r>
      <w:r w:rsidRPr="006275F6">
        <w:rPr>
          <w:snapToGrid w:val="0"/>
          <w:kern w:val="22"/>
          <w:lang w:val="es-ES"/>
        </w:rPr>
        <w:t xml:space="preserve"> </w:t>
      </w:r>
      <w:r w:rsidR="00775B5A" w:rsidRPr="006275F6">
        <w:rPr>
          <w:snapToGrid w:val="0"/>
          <w:kern w:val="22"/>
          <w:lang w:val="es-ES"/>
        </w:rPr>
        <w:t xml:space="preserve">% (54 Partes) </w:t>
      </w:r>
      <w:bookmarkEnd w:id="15"/>
      <w:r w:rsidRPr="006275F6">
        <w:rPr>
          <w:snapToGrid w:val="0"/>
          <w:kern w:val="22"/>
          <w:lang w:val="es-ES"/>
        </w:rPr>
        <w:t>inform</w:t>
      </w:r>
      <w:r>
        <w:rPr>
          <w:snapToGrid w:val="0"/>
          <w:kern w:val="22"/>
          <w:lang w:val="es-ES"/>
        </w:rPr>
        <w:t>ó</w:t>
      </w:r>
      <w:r w:rsidRPr="006275F6">
        <w:rPr>
          <w:snapToGrid w:val="0"/>
          <w:kern w:val="22"/>
          <w:lang w:val="es-ES"/>
        </w:rPr>
        <w:t xml:space="preserve"> de que tiene la capacidad de evaluar dichos OVM</w:t>
      </w:r>
      <w:r w:rsidR="00775B5A" w:rsidRPr="006275F6">
        <w:rPr>
          <w:snapToGrid w:val="0"/>
          <w:kern w:val="22"/>
          <w:lang w:val="es-ES"/>
        </w:rPr>
        <w:t xml:space="preserve">, </w:t>
      </w:r>
      <w:r w:rsidRPr="006275F6">
        <w:rPr>
          <w:snapToGrid w:val="0"/>
          <w:kern w:val="22"/>
          <w:lang w:val="es-ES"/>
        </w:rPr>
        <w:t xml:space="preserve">lo que </w:t>
      </w:r>
      <w:r>
        <w:rPr>
          <w:snapToGrid w:val="0"/>
          <w:kern w:val="22"/>
          <w:lang w:val="es-ES"/>
        </w:rPr>
        <w:t xml:space="preserve">no </w:t>
      </w:r>
      <w:r w:rsidRPr="006275F6">
        <w:rPr>
          <w:snapToGrid w:val="0"/>
          <w:kern w:val="22"/>
          <w:lang w:val="es-ES"/>
        </w:rPr>
        <w:t xml:space="preserve">representa </w:t>
      </w:r>
      <w:r>
        <w:rPr>
          <w:snapToGrid w:val="0"/>
          <w:kern w:val="22"/>
          <w:lang w:val="es-ES"/>
        </w:rPr>
        <w:t>ningún cambio con respecto a los datos básicos de referencia</w:t>
      </w:r>
      <w:r w:rsidR="00FD6528">
        <w:rPr>
          <w:snapToGrid w:val="0"/>
          <w:kern w:val="22"/>
          <w:lang w:val="es-ES"/>
        </w:rPr>
        <w:t>;</w:t>
      </w:r>
      <w:r w:rsidR="00775B5A" w:rsidRPr="006275F6">
        <w:rPr>
          <w:snapToGrid w:val="0"/>
          <w:kern w:val="22"/>
          <w:lang w:val="es-ES"/>
        </w:rPr>
        <w:t xml:space="preserve"> </w:t>
      </w:r>
    </w:p>
    <w:p w:rsidR="00775B5A" w:rsidRPr="006275F6" w:rsidRDefault="006275F6" w:rsidP="001D4EEE">
      <w:pPr>
        <w:pStyle w:val="ListParagraph"/>
        <w:numPr>
          <w:ilvl w:val="0"/>
          <w:numId w:val="5"/>
        </w:numPr>
        <w:suppressLineNumbers/>
        <w:suppressAutoHyphens/>
        <w:snapToGrid w:val="0"/>
        <w:spacing w:before="120" w:after="120"/>
        <w:ind w:left="0" w:firstLine="709"/>
        <w:rPr>
          <w:snapToGrid w:val="0"/>
          <w:kern w:val="22"/>
          <w:lang w:val="es-ES"/>
        </w:rPr>
      </w:pPr>
      <w:bookmarkStart w:id="16" w:name="_Hlk33701503"/>
      <w:r w:rsidRPr="006275F6">
        <w:rPr>
          <w:snapToGrid w:val="0"/>
          <w:kern w:val="22"/>
          <w:lang w:val="es-ES"/>
        </w:rPr>
        <w:t xml:space="preserve">El </w:t>
      </w:r>
      <w:r w:rsidR="00775B5A" w:rsidRPr="006275F6">
        <w:rPr>
          <w:snapToGrid w:val="0"/>
          <w:kern w:val="22"/>
          <w:lang w:val="es-ES"/>
        </w:rPr>
        <w:t>71</w:t>
      </w:r>
      <w:r w:rsidRPr="006275F6">
        <w:rPr>
          <w:snapToGrid w:val="0"/>
          <w:kern w:val="22"/>
          <w:lang w:val="es-ES"/>
        </w:rPr>
        <w:t xml:space="preserve"> </w:t>
      </w:r>
      <w:r w:rsidR="00775B5A" w:rsidRPr="006275F6">
        <w:rPr>
          <w:snapToGrid w:val="0"/>
          <w:kern w:val="22"/>
          <w:lang w:val="es-ES"/>
        </w:rPr>
        <w:t xml:space="preserve">% (50 Partes) </w:t>
      </w:r>
      <w:bookmarkEnd w:id="16"/>
      <w:r w:rsidRPr="006275F6">
        <w:rPr>
          <w:snapToGrid w:val="0"/>
          <w:kern w:val="22"/>
          <w:lang w:val="es-ES"/>
        </w:rPr>
        <w:t xml:space="preserve">indicó que tiene la capacidad de vigilar dichos OVM, lo que constituye un aumento del </w:t>
      </w:r>
      <w:r w:rsidR="00775B5A" w:rsidRPr="006275F6">
        <w:rPr>
          <w:snapToGrid w:val="0"/>
          <w:kern w:val="22"/>
          <w:lang w:val="es-ES"/>
        </w:rPr>
        <w:t>5</w:t>
      </w:r>
      <w:r w:rsidRPr="006275F6">
        <w:rPr>
          <w:snapToGrid w:val="0"/>
          <w:kern w:val="22"/>
          <w:lang w:val="es-ES"/>
        </w:rPr>
        <w:t xml:space="preserve"> </w:t>
      </w:r>
      <w:r>
        <w:rPr>
          <w:snapToGrid w:val="0"/>
          <w:kern w:val="22"/>
          <w:lang w:val="es-ES"/>
        </w:rPr>
        <w:t>% con respecto a los datos básicos de referencia</w:t>
      </w:r>
      <w:r w:rsidR="00775B5A" w:rsidRPr="006275F6">
        <w:rPr>
          <w:snapToGrid w:val="0"/>
          <w:kern w:val="22"/>
          <w:lang w:val="es-ES"/>
        </w:rPr>
        <w:t xml:space="preserve">. </w:t>
      </w:r>
    </w:p>
    <w:p w:rsidR="00775B5A" w:rsidRPr="007D3F28" w:rsidRDefault="00775B5A"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3D1104">
        <w:rPr>
          <w:snapToGrid w:val="0"/>
          <w:kern w:val="22"/>
          <w:lang w:val="es-ES"/>
        </w:rPr>
        <w:t>M</w:t>
      </w:r>
      <w:r w:rsidR="003D1104" w:rsidRPr="003D1104">
        <w:rPr>
          <w:snapToGrid w:val="0"/>
          <w:kern w:val="22"/>
          <w:lang w:val="es-ES"/>
        </w:rPr>
        <w:t>ás</w:t>
      </w:r>
      <w:r w:rsidRPr="003D1104">
        <w:rPr>
          <w:snapToGrid w:val="0"/>
          <w:kern w:val="22"/>
          <w:lang w:val="es-ES"/>
        </w:rPr>
        <w:t xml:space="preserve"> Partes </w:t>
      </w:r>
      <w:r w:rsidR="003D1104" w:rsidRPr="003D1104">
        <w:rPr>
          <w:snapToGrid w:val="0"/>
          <w:kern w:val="22"/>
          <w:lang w:val="es-ES"/>
        </w:rPr>
        <w:t xml:space="preserve">en las regiones del grupo de Estados de Europa Occidental y otros y de Europa Central y Oriental </w:t>
      </w:r>
      <w:r w:rsidR="007D3F28">
        <w:rPr>
          <w:snapToGrid w:val="0"/>
          <w:kern w:val="22"/>
          <w:lang w:val="es-ES"/>
        </w:rPr>
        <w:t xml:space="preserve">(ECO) </w:t>
      </w:r>
      <w:r w:rsidR="003D1104" w:rsidRPr="003D1104">
        <w:rPr>
          <w:snapToGrid w:val="0"/>
          <w:kern w:val="22"/>
          <w:lang w:val="es-ES"/>
        </w:rPr>
        <w:t>que de ninguna otra regi</w:t>
      </w:r>
      <w:r w:rsidR="003D1104">
        <w:rPr>
          <w:snapToGrid w:val="0"/>
          <w:kern w:val="22"/>
          <w:lang w:val="es-ES"/>
        </w:rPr>
        <w:t>ón comunicaron que tienen la capacidad</w:t>
      </w:r>
      <w:r w:rsidR="003122A1">
        <w:rPr>
          <w:snapToGrid w:val="0"/>
          <w:kern w:val="22"/>
          <w:lang w:val="es-ES"/>
        </w:rPr>
        <w:t xml:space="preserve"> de</w:t>
      </w:r>
      <w:r w:rsidR="003D1104">
        <w:rPr>
          <w:snapToGrid w:val="0"/>
          <w:kern w:val="22"/>
          <w:lang w:val="es-ES"/>
        </w:rPr>
        <w:t xml:space="preserve"> detectar, evaluar y vigilar en esta esfera</w:t>
      </w:r>
      <w:r w:rsidRPr="003D1104">
        <w:rPr>
          <w:snapToGrid w:val="0"/>
          <w:kern w:val="22"/>
          <w:lang w:val="es-ES"/>
        </w:rPr>
        <w:t xml:space="preserve"> (</w:t>
      </w:r>
      <w:r w:rsidR="003D1104">
        <w:rPr>
          <w:snapToGrid w:val="0"/>
          <w:kern w:val="22"/>
          <w:lang w:val="es-ES"/>
        </w:rPr>
        <w:t xml:space="preserve">entre el </w:t>
      </w:r>
      <w:r w:rsidRPr="003D1104">
        <w:rPr>
          <w:snapToGrid w:val="0"/>
          <w:kern w:val="22"/>
          <w:lang w:val="es-ES"/>
        </w:rPr>
        <w:t>85</w:t>
      </w:r>
      <w:r w:rsidR="003D1104">
        <w:rPr>
          <w:snapToGrid w:val="0"/>
          <w:kern w:val="22"/>
          <w:lang w:val="es-ES"/>
        </w:rPr>
        <w:t xml:space="preserve"> </w:t>
      </w:r>
      <w:r w:rsidRPr="003D1104">
        <w:rPr>
          <w:snapToGrid w:val="0"/>
          <w:kern w:val="22"/>
          <w:lang w:val="es-ES"/>
        </w:rPr>
        <w:t xml:space="preserve">% </w:t>
      </w:r>
      <w:r w:rsidR="003D1104">
        <w:rPr>
          <w:snapToGrid w:val="0"/>
          <w:kern w:val="22"/>
          <w:lang w:val="es-ES"/>
        </w:rPr>
        <w:t xml:space="preserve">y el </w:t>
      </w:r>
      <w:r w:rsidRPr="003D1104">
        <w:rPr>
          <w:snapToGrid w:val="0"/>
          <w:kern w:val="22"/>
          <w:lang w:val="es-ES"/>
        </w:rPr>
        <w:t>100</w:t>
      </w:r>
      <w:r w:rsidR="003D1104">
        <w:rPr>
          <w:snapToGrid w:val="0"/>
          <w:kern w:val="22"/>
          <w:lang w:val="es-ES"/>
        </w:rPr>
        <w:t xml:space="preserve"> </w:t>
      </w:r>
      <w:r w:rsidRPr="003D1104">
        <w:rPr>
          <w:snapToGrid w:val="0"/>
          <w:kern w:val="22"/>
          <w:lang w:val="es-ES"/>
        </w:rPr>
        <w:t xml:space="preserve">%). </w:t>
      </w:r>
      <w:r w:rsidR="003D1104">
        <w:rPr>
          <w:snapToGrid w:val="0"/>
          <w:kern w:val="22"/>
          <w:lang w:val="es-ES"/>
        </w:rPr>
        <w:t xml:space="preserve">El grupo de Estados de Europa Occidental y otros y </w:t>
      </w:r>
      <w:r w:rsidRPr="003D1104">
        <w:rPr>
          <w:snapToGrid w:val="0"/>
          <w:kern w:val="22"/>
          <w:lang w:val="es-ES"/>
        </w:rPr>
        <w:t xml:space="preserve">Asia </w:t>
      </w:r>
      <w:r w:rsidR="00FD6528">
        <w:rPr>
          <w:snapToGrid w:val="0"/>
          <w:kern w:val="22"/>
          <w:lang w:val="es-ES"/>
        </w:rPr>
        <w:t xml:space="preserve">y el Pacífico </w:t>
      </w:r>
      <w:r w:rsidR="003D1104" w:rsidRPr="003D1104">
        <w:rPr>
          <w:snapToGrid w:val="0"/>
          <w:kern w:val="22"/>
          <w:lang w:val="es-ES"/>
        </w:rPr>
        <w:t>son las dos regiones con mayor capacidad para la identificaci</w:t>
      </w:r>
      <w:r w:rsidR="003D1104">
        <w:rPr>
          <w:snapToGrid w:val="0"/>
          <w:kern w:val="22"/>
          <w:lang w:val="es-ES"/>
        </w:rPr>
        <w:t xml:space="preserve">ón </w:t>
      </w:r>
      <w:r w:rsidR="007D3F28">
        <w:rPr>
          <w:snapToGrid w:val="0"/>
          <w:kern w:val="22"/>
          <w:lang w:val="es-ES"/>
        </w:rPr>
        <w:t>(</w:t>
      </w:r>
      <w:r w:rsidRPr="003D1104">
        <w:rPr>
          <w:snapToGrid w:val="0"/>
          <w:kern w:val="22"/>
          <w:lang w:val="es-ES"/>
        </w:rPr>
        <w:t>100</w:t>
      </w:r>
      <w:r w:rsidR="007D3F28">
        <w:rPr>
          <w:snapToGrid w:val="0"/>
          <w:kern w:val="22"/>
          <w:lang w:val="es-ES"/>
        </w:rPr>
        <w:t xml:space="preserve"> </w:t>
      </w:r>
      <w:r w:rsidRPr="003D1104">
        <w:rPr>
          <w:snapToGrid w:val="0"/>
          <w:kern w:val="22"/>
          <w:lang w:val="es-ES"/>
        </w:rPr>
        <w:t xml:space="preserve">% </w:t>
      </w:r>
      <w:r w:rsidR="007D3F28">
        <w:rPr>
          <w:snapToGrid w:val="0"/>
          <w:kern w:val="22"/>
          <w:lang w:val="es-ES"/>
        </w:rPr>
        <w:t>y</w:t>
      </w:r>
      <w:r w:rsidRPr="003D1104">
        <w:rPr>
          <w:snapToGrid w:val="0"/>
          <w:kern w:val="22"/>
          <w:lang w:val="es-ES"/>
        </w:rPr>
        <w:t xml:space="preserve"> 89</w:t>
      </w:r>
      <w:r w:rsidR="007D3F28">
        <w:rPr>
          <w:snapToGrid w:val="0"/>
          <w:kern w:val="22"/>
          <w:lang w:val="es-ES"/>
        </w:rPr>
        <w:t xml:space="preserve"> </w:t>
      </w:r>
      <w:r w:rsidRPr="003D1104">
        <w:rPr>
          <w:snapToGrid w:val="0"/>
          <w:kern w:val="22"/>
          <w:lang w:val="es-ES"/>
        </w:rPr>
        <w:t>%</w:t>
      </w:r>
      <w:r w:rsidR="007D3F28">
        <w:rPr>
          <w:snapToGrid w:val="0"/>
          <w:kern w:val="22"/>
          <w:lang w:val="es-ES"/>
        </w:rPr>
        <w:t>, respectivamente</w:t>
      </w:r>
      <w:r w:rsidRPr="003D1104">
        <w:rPr>
          <w:snapToGrid w:val="0"/>
          <w:kern w:val="22"/>
          <w:lang w:val="es-ES"/>
        </w:rPr>
        <w:t xml:space="preserve">), </w:t>
      </w:r>
      <w:r w:rsidR="007D3F28">
        <w:rPr>
          <w:snapToGrid w:val="0"/>
          <w:kern w:val="22"/>
          <w:lang w:val="es-ES"/>
        </w:rPr>
        <w:t>seguidas de</w:t>
      </w:r>
      <w:r w:rsidR="00EA78DC">
        <w:rPr>
          <w:snapToGrid w:val="0"/>
          <w:kern w:val="22"/>
          <w:lang w:val="es-ES"/>
        </w:rPr>
        <w:t>l grupo de Estados de Europa Central y Oriental</w:t>
      </w:r>
      <w:r w:rsidRPr="003D1104">
        <w:rPr>
          <w:snapToGrid w:val="0"/>
          <w:kern w:val="22"/>
          <w:lang w:val="es-ES"/>
        </w:rPr>
        <w:t xml:space="preserve"> (86</w:t>
      </w:r>
      <w:r w:rsidR="007D3F28">
        <w:rPr>
          <w:snapToGrid w:val="0"/>
          <w:kern w:val="22"/>
          <w:lang w:val="es-ES"/>
        </w:rPr>
        <w:t xml:space="preserve"> </w:t>
      </w:r>
      <w:r w:rsidRPr="003D1104">
        <w:rPr>
          <w:snapToGrid w:val="0"/>
          <w:kern w:val="22"/>
          <w:lang w:val="es-ES"/>
        </w:rPr>
        <w:t xml:space="preserve">%). </w:t>
      </w:r>
      <w:r w:rsidR="007D3F28" w:rsidRPr="007D3F28">
        <w:rPr>
          <w:snapToGrid w:val="0"/>
          <w:kern w:val="22"/>
          <w:lang w:val="es-ES"/>
        </w:rPr>
        <w:t xml:space="preserve">Los porcentajes generales para el </w:t>
      </w:r>
      <w:r w:rsidR="00D74010">
        <w:rPr>
          <w:snapToGrid w:val="0"/>
          <w:kern w:val="22"/>
          <w:lang w:val="es-ES"/>
        </w:rPr>
        <w:t>grupo de países de América Latina y el Caribe</w:t>
      </w:r>
      <w:r w:rsidRPr="007D3F28">
        <w:rPr>
          <w:snapToGrid w:val="0"/>
          <w:kern w:val="22"/>
          <w:lang w:val="es-ES"/>
        </w:rPr>
        <w:t xml:space="preserve"> </w:t>
      </w:r>
      <w:r w:rsidR="007D3F28" w:rsidRPr="007D3F28">
        <w:rPr>
          <w:snapToGrid w:val="0"/>
          <w:kern w:val="22"/>
          <w:lang w:val="es-ES"/>
        </w:rPr>
        <w:t>y Á</w:t>
      </w:r>
      <w:r w:rsidRPr="007D3F28">
        <w:rPr>
          <w:snapToGrid w:val="0"/>
          <w:kern w:val="22"/>
          <w:lang w:val="es-ES"/>
        </w:rPr>
        <w:t xml:space="preserve">frica </w:t>
      </w:r>
      <w:r w:rsidR="007D3F28" w:rsidRPr="007D3F28">
        <w:rPr>
          <w:snapToGrid w:val="0"/>
          <w:kern w:val="22"/>
          <w:lang w:val="es-ES"/>
        </w:rPr>
        <w:t>son más bajos</w:t>
      </w:r>
      <w:r w:rsidRPr="007D3F28">
        <w:rPr>
          <w:snapToGrid w:val="0"/>
          <w:kern w:val="22"/>
          <w:lang w:val="es-ES"/>
        </w:rPr>
        <w:t xml:space="preserve"> (</w:t>
      </w:r>
      <w:r w:rsidR="007D3F28" w:rsidRPr="007D3F28">
        <w:rPr>
          <w:snapToGrid w:val="0"/>
          <w:kern w:val="22"/>
          <w:lang w:val="es-ES"/>
        </w:rPr>
        <w:t xml:space="preserve">entre el </w:t>
      </w:r>
      <w:r w:rsidRPr="007D3F28">
        <w:rPr>
          <w:snapToGrid w:val="0"/>
          <w:kern w:val="22"/>
          <w:lang w:val="es-ES"/>
        </w:rPr>
        <w:t>56</w:t>
      </w:r>
      <w:r w:rsidR="007D3F28" w:rsidRPr="007D3F28">
        <w:rPr>
          <w:snapToGrid w:val="0"/>
          <w:kern w:val="22"/>
          <w:lang w:val="es-ES"/>
        </w:rPr>
        <w:t xml:space="preserve"> </w:t>
      </w:r>
      <w:r w:rsidRPr="007D3F28">
        <w:rPr>
          <w:snapToGrid w:val="0"/>
          <w:kern w:val="22"/>
          <w:lang w:val="es-ES"/>
        </w:rPr>
        <w:t xml:space="preserve">% </w:t>
      </w:r>
      <w:r w:rsidR="007D3F28">
        <w:rPr>
          <w:snapToGrid w:val="0"/>
          <w:kern w:val="22"/>
          <w:lang w:val="es-ES"/>
        </w:rPr>
        <w:t xml:space="preserve">y el </w:t>
      </w:r>
      <w:r w:rsidRPr="007D3F28">
        <w:rPr>
          <w:snapToGrid w:val="0"/>
          <w:kern w:val="22"/>
          <w:lang w:val="es-ES"/>
        </w:rPr>
        <w:t>68</w:t>
      </w:r>
      <w:r w:rsidR="007D3F28">
        <w:rPr>
          <w:snapToGrid w:val="0"/>
          <w:kern w:val="22"/>
          <w:lang w:val="es-ES"/>
        </w:rPr>
        <w:t xml:space="preserve"> % e</w:t>
      </w:r>
      <w:r w:rsidRPr="007D3F28">
        <w:rPr>
          <w:snapToGrid w:val="0"/>
          <w:kern w:val="22"/>
          <w:lang w:val="es-ES"/>
        </w:rPr>
        <w:t xml:space="preserve">n </w:t>
      </w:r>
      <w:r w:rsidR="007D3F28">
        <w:rPr>
          <w:snapToGrid w:val="0"/>
          <w:kern w:val="22"/>
          <w:lang w:val="es-ES"/>
        </w:rPr>
        <w:t>Á</w:t>
      </w:r>
      <w:r w:rsidRPr="007D3F28">
        <w:rPr>
          <w:snapToGrid w:val="0"/>
          <w:kern w:val="22"/>
          <w:lang w:val="es-ES"/>
        </w:rPr>
        <w:t>frica</w:t>
      </w:r>
      <w:r w:rsidR="00FD6528">
        <w:rPr>
          <w:snapToGrid w:val="0"/>
          <w:kern w:val="22"/>
          <w:lang w:val="es-ES"/>
        </w:rPr>
        <w:t>,</w:t>
      </w:r>
      <w:r w:rsidRPr="007D3F28">
        <w:rPr>
          <w:snapToGrid w:val="0"/>
          <w:kern w:val="22"/>
          <w:lang w:val="es-ES"/>
        </w:rPr>
        <w:t xml:space="preserve"> </w:t>
      </w:r>
      <w:r w:rsidR="007D3F28">
        <w:rPr>
          <w:snapToGrid w:val="0"/>
          <w:kern w:val="22"/>
          <w:lang w:val="es-ES"/>
        </w:rPr>
        <w:t xml:space="preserve">entre el </w:t>
      </w:r>
      <w:r w:rsidRPr="007D3F28">
        <w:rPr>
          <w:snapToGrid w:val="0"/>
          <w:kern w:val="22"/>
          <w:lang w:val="es-ES"/>
        </w:rPr>
        <w:t>46</w:t>
      </w:r>
      <w:r w:rsidR="007D3F28">
        <w:rPr>
          <w:snapToGrid w:val="0"/>
          <w:kern w:val="22"/>
          <w:lang w:val="es-ES"/>
        </w:rPr>
        <w:t xml:space="preserve"> </w:t>
      </w:r>
      <w:r w:rsidRPr="007D3F28">
        <w:rPr>
          <w:snapToGrid w:val="0"/>
          <w:kern w:val="22"/>
          <w:lang w:val="es-ES"/>
        </w:rPr>
        <w:t xml:space="preserve">% </w:t>
      </w:r>
      <w:r w:rsidR="007D3F28">
        <w:rPr>
          <w:snapToGrid w:val="0"/>
          <w:kern w:val="22"/>
          <w:lang w:val="es-ES"/>
        </w:rPr>
        <w:t xml:space="preserve">y el </w:t>
      </w:r>
      <w:r w:rsidRPr="007D3F28">
        <w:rPr>
          <w:snapToGrid w:val="0"/>
          <w:kern w:val="22"/>
          <w:lang w:val="es-ES"/>
        </w:rPr>
        <w:t>62</w:t>
      </w:r>
      <w:r w:rsidR="007D3F28">
        <w:rPr>
          <w:snapToGrid w:val="0"/>
          <w:kern w:val="22"/>
          <w:lang w:val="es-ES"/>
        </w:rPr>
        <w:t xml:space="preserve"> </w:t>
      </w:r>
      <w:r w:rsidRPr="007D3F28">
        <w:rPr>
          <w:snapToGrid w:val="0"/>
          <w:kern w:val="22"/>
          <w:lang w:val="es-ES"/>
        </w:rPr>
        <w:t xml:space="preserve">% </w:t>
      </w:r>
      <w:r w:rsidR="007D3F28">
        <w:rPr>
          <w:snapToGrid w:val="0"/>
          <w:kern w:val="22"/>
          <w:lang w:val="es-ES"/>
        </w:rPr>
        <w:t xml:space="preserve">en el </w:t>
      </w:r>
      <w:r w:rsidR="00D74010">
        <w:rPr>
          <w:snapToGrid w:val="0"/>
          <w:kern w:val="22"/>
          <w:lang w:val="es-ES"/>
        </w:rPr>
        <w:t>grupo de países de América Latina y el Caribe</w:t>
      </w:r>
      <w:r w:rsidRPr="007D3F28">
        <w:rPr>
          <w:snapToGrid w:val="0"/>
          <w:kern w:val="22"/>
          <w:lang w:val="es-ES"/>
        </w:rPr>
        <w:t>).</w:t>
      </w:r>
    </w:p>
    <w:p w:rsidR="00775B5A" w:rsidRPr="0095007E" w:rsidRDefault="002E21F4">
      <w:pPr>
        <w:pStyle w:val="ListParagraph"/>
        <w:suppressLineNumbers/>
        <w:suppressAutoHyphens/>
        <w:snapToGrid w:val="0"/>
        <w:spacing w:before="120" w:after="120"/>
        <w:ind w:left="0"/>
        <w:rPr>
          <w:rFonts w:ascii="Angsana New" w:hAnsi="Angsana New" w:cs="Angsana New"/>
          <w:snapToGrid w:val="0"/>
          <w:kern w:val="22"/>
          <w:highlight w:val="lightGray"/>
        </w:rPr>
      </w:pPr>
      <w:r>
        <w:rPr>
          <w:noProof/>
        </w:rPr>
      </w:r>
      <w:r>
        <w:rPr>
          <w:noProof/>
        </w:rPr>
        <w:pict w14:anchorId="035B3E65">
          <v:shape id="_x0000_s1039" type="#_x0000_t75" style="width:476.8pt;height:306.15pt;mso-left-percent:-10001;mso-top-percent:-10001;mso-position-horizontal:absolute;mso-position-horizontal-relative:char;mso-position-vertical:absolute;mso-position-vertical-relative:line;mso-left-percent:-10001;mso-top-percent:-10001">
            <v:imagedata r:id="rId16" o:title=""/>
            <w10:anchorlock/>
          </v:shape>
        </w:pict>
      </w:r>
    </w:p>
    <w:p w:rsidR="00775B5A" w:rsidRPr="0095007E" w:rsidRDefault="00775B5A">
      <w:pPr>
        <w:pStyle w:val="ListParagraph"/>
        <w:suppressLineNumbers/>
        <w:suppressAutoHyphens/>
        <w:snapToGrid w:val="0"/>
        <w:spacing w:before="120" w:after="120"/>
        <w:ind w:left="0"/>
        <w:rPr>
          <w:rFonts w:ascii="Angsana New" w:hAnsi="Angsana New" w:cs="Angsana New"/>
          <w:snapToGrid w:val="0"/>
          <w:kern w:val="22"/>
          <w:highlight w:val="lightGray"/>
        </w:rPr>
      </w:pPr>
    </w:p>
    <w:p w:rsidR="00775B5A" w:rsidRPr="003122A1" w:rsidRDefault="00FC1B85" w:rsidP="001D4EEE">
      <w:pPr>
        <w:keepNext/>
        <w:numPr>
          <w:ilvl w:val="0"/>
          <w:numId w:val="3"/>
        </w:numPr>
        <w:suppressLineNumbers/>
        <w:tabs>
          <w:tab w:val="clear" w:pos="2070"/>
          <w:tab w:val="left" w:pos="2552"/>
        </w:tabs>
        <w:suppressAutoHyphens/>
        <w:spacing w:before="120" w:after="120"/>
        <w:ind w:left="2549" w:hanging="706"/>
        <w:jc w:val="left"/>
        <w:rPr>
          <w:b/>
          <w:bCs/>
          <w:snapToGrid w:val="0"/>
          <w:kern w:val="22"/>
          <w:lang w:val="es-ES"/>
        </w:rPr>
      </w:pPr>
      <w:r w:rsidRPr="003122A1">
        <w:rPr>
          <w:b/>
          <w:bCs/>
          <w:snapToGrid w:val="0"/>
          <w:kern w:val="22"/>
          <w:lang w:val="es-ES"/>
        </w:rPr>
        <w:t>Responsabilidad y compensación</w:t>
      </w:r>
      <w:r w:rsidR="00775B5A" w:rsidRPr="003122A1">
        <w:rPr>
          <w:b/>
          <w:bCs/>
          <w:snapToGrid w:val="0"/>
          <w:kern w:val="22"/>
          <w:lang w:val="es-ES"/>
        </w:rPr>
        <w:t xml:space="preserve"> (o</w:t>
      </w:r>
      <w:r w:rsidRPr="003122A1">
        <w:rPr>
          <w:b/>
          <w:bCs/>
          <w:snapToGrid w:val="0"/>
          <w:kern w:val="22"/>
          <w:lang w:val="es-ES"/>
        </w:rPr>
        <w:t>bjetivos operacionales</w:t>
      </w:r>
      <w:r w:rsidR="00775B5A" w:rsidRPr="003122A1">
        <w:rPr>
          <w:b/>
          <w:bCs/>
          <w:snapToGrid w:val="0"/>
          <w:kern w:val="22"/>
          <w:lang w:val="es-ES"/>
        </w:rPr>
        <w:t xml:space="preserve"> 1.5 </w:t>
      </w:r>
      <w:r w:rsidRPr="003122A1">
        <w:rPr>
          <w:b/>
          <w:bCs/>
          <w:snapToGrid w:val="0"/>
          <w:kern w:val="22"/>
          <w:lang w:val="es-ES"/>
        </w:rPr>
        <w:t>y</w:t>
      </w:r>
      <w:r w:rsidR="00775B5A" w:rsidRPr="003122A1">
        <w:rPr>
          <w:b/>
          <w:bCs/>
          <w:snapToGrid w:val="0"/>
          <w:kern w:val="22"/>
          <w:lang w:val="es-ES"/>
        </w:rPr>
        <w:t xml:space="preserve"> 2.4)</w:t>
      </w:r>
    </w:p>
    <w:p w:rsidR="00775B5A" w:rsidRPr="003122A1" w:rsidRDefault="00775B5A">
      <w:pPr>
        <w:keepNext/>
        <w:suppressLineNumbers/>
        <w:tabs>
          <w:tab w:val="left" w:pos="720"/>
        </w:tabs>
        <w:suppressAutoHyphens/>
        <w:spacing w:before="120" w:after="120"/>
        <w:textAlignment w:val="baseline"/>
        <w:rPr>
          <w:rFonts w:ascii="Angsana New" w:hAnsi="Angsana New" w:cs="Angsana New"/>
          <w:snapToGrid w:val="0"/>
          <w:kern w:val="22"/>
          <w:lang w:val="es-ES"/>
        </w:rPr>
      </w:pPr>
      <w:bookmarkStart w:id="17" w:name="_Hlk30690530"/>
      <w:r w:rsidRPr="003122A1">
        <w:rPr>
          <w:b/>
          <w:bCs/>
          <w:snapToGrid w:val="0"/>
          <w:kern w:val="22"/>
          <w:lang w:val="es-ES"/>
        </w:rPr>
        <w:t>O</w:t>
      </w:r>
      <w:r w:rsidR="00FC1B85" w:rsidRPr="003122A1">
        <w:rPr>
          <w:b/>
          <w:bCs/>
          <w:snapToGrid w:val="0"/>
          <w:kern w:val="22"/>
          <w:lang w:val="es-ES"/>
        </w:rPr>
        <w:t>bjetivos operacionales</w:t>
      </w:r>
      <w:r w:rsidRPr="003122A1">
        <w:rPr>
          <w:b/>
          <w:bCs/>
          <w:snapToGrid w:val="0"/>
          <w:kern w:val="22"/>
          <w:lang w:val="es-ES"/>
        </w:rPr>
        <w:t xml:space="preserve"> 1.5 </w:t>
      </w:r>
      <w:r w:rsidR="00FC1B85" w:rsidRPr="003122A1">
        <w:rPr>
          <w:b/>
          <w:bCs/>
          <w:snapToGrid w:val="0"/>
          <w:kern w:val="22"/>
          <w:lang w:val="es-ES"/>
        </w:rPr>
        <w:t>y</w:t>
      </w:r>
      <w:r w:rsidRPr="003122A1">
        <w:rPr>
          <w:b/>
          <w:bCs/>
          <w:snapToGrid w:val="0"/>
          <w:kern w:val="22"/>
          <w:lang w:val="es-ES"/>
        </w:rPr>
        <w:t xml:space="preserve"> 2.4: </w:t>
      </w:r>
      <w:r w:rsidR="00FC1B85" w:rsidRPr="003122A1">
        <w:rPr>
          <w:b/>
          <w:bCs/>
          <w:snapToGrid w:val="0"/>
          <w:kern w:val="22"/>
          <w:lang w:val="es-ES"/>
        </w:rPr>
        <w:t>Responsabilidad y compensación</w:t>
      </w:r>
    </w:p>
    <w:bookmarkEnd w:id="17"/>
    <w:p w:rsidR="00775B5A" w:rsidRPr="003122A1" w:rsidRDefault="00906FD7"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3122A1">
        <w:rPr>
          <w:snapToGrid w:val="0"/>
          <w:kern w:val="22"/>
          <w:lang w:val="es-ES"/>
        </w:rPr>
        <w:t xml:space="preserve">El Protocolo de Nagoya-Kuala Lumpur sobre responsabilidad y compensación </w:t>
      </w:r>
      <w:r w:rsidR="0098120E" w:rsidRPr="003122A1">
        <w:rPr>
          <w:snapToGrid w:val="0"/>
          <w:kern w:val="22"/>
          <w:lang w:val="es-ES"/>
        </w:rPr>
        <w:t>S</w:t>
      </w:r>
      <w:r w:rsidRPr="003122A1">
        <w:rPr>
          <w:snapToGrid w:val="0"/>
          <w:kern w:val="22"/>
          <w:lang w:val="es-ES"/>
        </w:rPr>
        <w:t>uplementario al Protocolo de Cartagena sobre Seguridad de la Biotecnología todavía no había entrado en vigor y en funcionamiento durante la tercera evaluación y revisión del Protocolo y la evaluación a mitad de periodo del Plan Estratégico en 2016</w:t>
      </w:r>
      <w:r w:rsidR="00775B5A" w:rsidRPr="003122A1">
        <w:rPr>
          <w:snapToGrid w:val="0"/>
          <w:kern w:val="22"/>
          <w:lang w:val="es-ES"/>
        </w:rPr>
        <w:t xml:space="preserve">. </w:t>
      </w:r>
      <w:r w:rsidR="008B0665" w:rsidRPr="003122A1">
        <w:rPr>
          <w:snapToGrid w:val="0"/>
          <w:kern w:val="22"/>
          <w:lang w:val="es-ES"/>
        </w:rPr>
        <w:t xml:space="preserve">El Protocolo Suplementario requería </w:t>
      </w:r>
      <w:r w:rsidR="00775B5A" w:rsidRPr="003122A1">
        <w:rPr>
          <w:snapToGrid w:val="0"/>
          <w:kern w:val="22"/>
          <w:lang w:val="es-ES"/>
        </w:rPr>
        <w:t>40 ratifica</w:t>
      </w:r>
      <w:r w:rsidR="008B0665" w:rsidRPr="003122A1">
        <w:rPr>
          <w:snapToGrid w:val="0"/>
          <w:kern w:val="22"/>
          <w:lang w:val="es-ES"/>
        </w:rPr>
        <w:t>c</w:t>
      </w:r>
      <w:r w:rsidR="00775B5A" w:rsidRPr="003122A1">
        <w:rPr>
          <w:snapToGrid w:val="0"/>
          <w:kern w:val="22"/>
          <w:lang w:val="es-ES"/>
        </w:rPr>
        <w:t>ion</w:t>
      </w:r>
      <w:r w:rsidR="008B0665" w:rsidRPr="003122A1">
        <w:rPr>
          <w:snapToGrid w:val="0"/>
          <w:kern w:val="22"/>
          <w:lang w:val="es-ES"/>
        </w:rPr>
        <w:t>e</w:t>
      </w:r>
      <w:r w:rsidR="00775B5A" w:rsidRPr="003122A1">
        <w:rPr>
          <w:snapToGrid w:val="0"/>
          <w:kern w:val="22"/>
          <w:lang w:val="es-ES"/>
        </w:rPr>
        <w:t xml:space="preserve">s </w:t>
      </w:r>
      <w:r w:rsidR="008B0665" w:rsidRPr="003122A1">
        <w:rPr>
          <w:snapToGrid w:val="0"/>
          <w:kern w:val="22"/>
          <w:lang w:val="es-ES"/>
        </w:rPr>
        <w:t>para entrar en vigor</w:t>
      </w:r>
      <w:r w:rsidR="00775B5A" w:rsidRPr="003122A1">
        <w:rPr>
          <w:snapToGrid w:val="0"/>
          <w:kern w:val="22"/>
          <w:lang w:val="es-ES"/>
        </w:rPr>
        <w:t xml:space="preserve">; </w:t>
      </w:r>
      <w:r w:rsidR="008B0665" w:rsidRPr="003122A1">
        <w:rPr>
          <w:snapToGrid w:val="0"/>
          <w:kern w:val="22"/>
          <w:lang w:val="es-ES"/>
        </w:rPr>
        <w:t xml:space="preserve">a 1 de marzo de 2016 se habían recibido </w:t>
      </w:r>
      <w:r w:rsidR="00775B5A" w:rsidRPr="003122A1">
        <w:rPr>
          <w:snapToGrid w:val="0"/>
          <w:kern w:val="22"/>
          <w:lang w:val="es-ES"/>
        </w:rPr>
        <w:t>34 ratifica</w:t>
      </w:r>
      <w:r w:rsidR="008B0665" w:rsidRPr="003122A1">
        <w:rPr>
          <w:snapToGrid w:val="0"/>
          <w:kern w:val="22"/>
          <w:lang w:val="es-ES"/>
        </w:rPr>
        <w:t>c</w:t>
      </w:r>
      <w:r w:rsidR="00775B5A" w:rsidRPr="003122A1">
        <w:rPr>
          <w:snapToGrid w:val="0"/>
          <w:kern w:val="22"/>
          <w:lang w:val="es-ES"/>
        </w:rPr>
        <w:t>ion</w:t>
      </w:r>
      <w:r w:rsidR="008B0665" w:rsidRPr="003122A1">
        <w:rPr>
          <w:snapToGrid w:val="0"/>
          <w:kern w:val="22"/>
          <w:lang w:val="es-ES"/>
        </w:rPr>
        <w:t>e</w:t>
      </w:r>
      <w:r w:rsidR="00775B5A" w:rsidRPr="003122A1">
        <w:rPr>
          <w:snapToGrid w:val="0"/>
          <w:kern w:val="22"/>
          <w:lang w:val="es-ES"/>
        </w:rPr>
        <w:t xml:space="preserve">s. </w:t>
      </w:r>
      <w:r w:rsidR="0098120E" w:rsidRPr="003122A1">
        <w:rPr>
          <w:snapToGrid w:val="0"/>
          <w:kern w:val="22"/>
          <w:lang w:val="es-ES"/>
        </w:rPr>
        <w:t>Por lo tanto, e</w:t>
      </w:r>
      <w:r w:rsidR="008B0665" w:rsidRPr="003122A1">
        <w:rPr>
          <w:snapToGrid w:val="0"/>
          <w:kern w:val="22"/>
          <w:lang w:val="es-ES"/>
        </w:rPr>
        <w:t xml:space="preserve">l </w:t>
      </w:r>
      <w:r w:rsidR="008B0665" w:rsidRPr="003122A1">
        <w:rPr>
          <w:b/>
          <w:bCs/>
          <w:snapToGrid w:val="0"/>
          <w:kern w:val="22"/>
          <w:lang w:val="es-ES"/>
        </w:rPr>
        <w:t>i</w:t>
      </w:r>
      <w:r w:rsidR="00775B5A" w:rsidRPr="003122A1">
        <w:rPr>
          <w:b/>
          <w:bCs/>
          <w:snapToGrid w:val="0"/>
          <w:kern w:val="22"/>
          <w:lang w:val="es-ES"/>
        </w:rPr>
        <w:t>ndica</w:t>
      </w:r>
      <w:r w:rsidR="008B0665" w:rsidRPr="003122A1">
        <w:rPr>
          <w:b/>
          <w:bCs/>
          <w:snapToGrid w:val="0"/>
          <w:kern w:val="22"/>
          <w:lang w:val="es-ES"/>
        </w:rPr>
        <w:t>d</w:t>
      </w:r>
      <w:r w:rsidR="00775B5A" w:rsidRPr="003122A1">
        <w:rPr>
          <w:b/>
          <w:bCs/>
          <w:snapToGrid w:val="0"/>
          <w:kern w:val="22"/>
          <w:lang w:val="es-ES"/>
        </w:rPr>
        <w:t>or 1.5.1</w:t>
      </w:r>
      <w:r w:rsidR="00775B5A" w:rsidRPr="003122A1">
        <w:rPr>
          <w:snapToGrid w:val="0"/>
          <w:kern w:val="22"/>
          <w:lang w:val="es-ES"/>
        </w:rPr>
        <w:t xml:space="preserve"> (</w:t>
      </w:r>
      <w:r w:rsidR="0098120E" w:rsidRPr="003122A1">
        <w:rPr>
          <w:snapToGrid w:val="0"/>
          <w:kern w:val="22"/>
          <w:lang w:val="es-ES"/>
        </w:rPr>
        <w:t xml:space="preserve">entrada en vigor del Protocolo de </w:t>
      </w:r>
      <w:r w:rsidR="00775B5A" w:rsidRPr="003122A1">
        <w:rPr>
          <w:snapToGrid w:val="0"/>
          <w:kern w:val="22"/>
          <w:lang w:val="es-ES"/>
        </w:rPr>
        <w:t xml:space="preserve">Nagoya-Kuala Lumpur </w:t>
      </w:r>
      <w:r w:rsidR="0098120E" w:rsidRPr="003122A1">
        <w:rPr>
          <w:snapToGrid w:val="0"/>
          <w:kern w:val="22"/>
          <w:lang w:val="es-ES"/>
        </w:rPr>
        <w:t xml:space="preserve">sobre responsabilidad y compensación Suplementario al Protocolo de </w:t>
      </w:r>
      <w:r w:rsidR="00775B5A" w:rsidRPr="003122A1">
        <w:rPr>
          <w:snapToGrid w:val="0"/>
          <w:kern w:val="22"/>
          <w:lang w:val="es-ES"/>
        </w:rPr>
        <w:t xml:space="preserve">Cartagena </w:t>
      </w:r>
      <w:r w:rsidR="0098120E" w:rsidRPr="003122A1">
        <w:rPr>
          <w:snapToGrid w:val="0"/>
          <w:kern w:val="22"/>
          <w:lang w:val="es-ES"/>
        </w:rPr>
        <w:t xml:space="preserve">sobre Seguridad de la Biotecnología antes de la séptima reunión de la Conferencia de las Partes que actúa como reunión de las </w:t>
      </w:r>
      <w:r w:rsidR="00775B5A" w:rsidRPr="003122A1">
        <w:rPr>
          <w:snapToGrid w:val="0"/>
          <w:kern w:val="22"/>
          <w:lang w:val="es-ES"/>
        </w:rPr>
        <w:t xml:space="preserve">Partes </w:t>
      </w:r>
      <w:r w:rsidR="0098120E" w:rsidRPr="003122A1">
        <w:rPr>
          <w:snapToGrid w:val="0"/>
          <w:kern w:val="22"/>
          <w:lang w:val="es-ES"/>
        </w:rPr>
        <w:t xml:space="preserve">en el </w:t>
      </w:r>
      <w:r w:rsidR="00775B5A" w:rsidRPr="003122A1">
        <w:rPr>
          <w:snapToGrid w:val="0"/>
          <w:kern w:val="22"/>
          <w:lang w:val="es-ES"/>
        </w:rPr>
        <w:t>Protocol</w:t>
      </w:r>
      <w:r w:rsidR="0098120E" w:rsidRPr="003122A1">
        <w:rPr>
          <w:snapToGrid w:val="0"/>
          <w:kern w:val="22"/>
          <w:lang w:val="es-ES"/>
        </w:rPr>
        <w:t>o</w:t>
      </w:r>
      <w:r w:rsidR="00775B5A" w:rsidRPr="003122A1">
        <w:rPr>
          <w:snapToGrid w:val="0"/>
          <w:kern w:val="22"/>
          <w:lang w:val="es-ES"/>
        </w:rPr>
        <w:t xml:space="preserve"> (2014)) </w:t>
      </w:r>
      <w:r w:rsidR="0098120E" w:rsidRPr="003122A1">
        <w:rPr>
          <w:snapToGrid w:val="0"/>
          <w:kern w:val="22"/>
          <w:lang w:val="es-ES"/>
        </w:rPr>
        <w:t>no se cumplió</w:t>
      </w:r>
      <w:r w:rsidR="00775B5A" w:rsidRPr="003122A1">
        <w:rPr>
          <w:snapToGrid w:val="0"/>
          <w:kern w:val="22"/>
          <w:lang w:val="es-ES"/>
        </w:rPr>
        <w:t>.</w:t>
      </w:r>
    </w:p>
    <w:p w:rsidR="00775B5A" w:rsidRPr="0098120E" w:rsidRDefault="0098120E"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bookmarkStart w:id="18" w:name="_Hlk30682349"/>
      <w:r w:rsidRPr="0098120E">
        <w:rPr>
          <w:snapToGrid w:val="0"/>
          <w:kern w:val="22"/>
          <w:lang w:val="es-ES"/>
        </w:rPr>
        <w:t xml:space="preserve">El Protocolo Suplementario entró en vigor el </w:t>
      </w:r>
      <w:r w:rsidR="00775B5A" w:rsidRPr="0098120E">
        <w:rPr>
          <w:snapToGrid w:val="0"/>
          <w:kern w:val="22"/>
          <w:lang w:val="es-ES"/>
        </w:rPr>
        <w:t xml:space="preserve">5 </w:t>
      </w:r>
      <w:r w:rsidRPr="0098120E">
        <w:rPr>
          <w:snapToGrid w:val="0"/>
          <w:kern w:val="22"/>
          <w:lang w:val="es-ES"/>
        </w:rPr>
        <w:t xml:space="preserve">de marzo de </w:t>
      </w:r>
      <w:r w:rsidR="00775B5A" w:rsidRPr="0098120E">
        <w:rPr>
          <w:snapToGrid w:val="0"/>
          <w:kern w:val="22"/>
          <w:lang w:val="es-ES"/>
        </w:rPr>
        <w:t>2018. A</w:t>
      </w:r>
      <w:r w:rsidRPr="0098120E">
        <w:rPr>
          <w:snapToGrid w:val="0"/>
          <w:kern w:val="22"/>
          <w:lang w:val="es-ES"/>
        </w:rPr>
        <w:t xml:space="preserve"> fecha </w:t>
      </w:r>
      <w:r w:rsidR="00775B5A" w:rsidRPr="0098120E">
        <w:rPr>
          <w:snapToGrid w:val="0"/>
          <w:kern w:val="22"/>
          <w:lang w:val="es-ES"/>
        </w:rPr>
        <w:t xml:space="preserve">16 </w:t>
      </w:r>
      <w:r w:rsidRPr="0098120E">
        <w:rPr>
          <w:snapToGrid w:val="0"/>
          <w:kern w:val="22"/>
          <w:lang w:val="es-ES"/>
        </w:rPr>
        <w:t xml:space="preserve">de enero de </w:t>
      </w:r>
      <w:r w:rsidR="00775B5A" w:rsidRPr="0098120E">
        <w:rPr>
          <w:snapToGrid w:val="0"/>
          <w:kern w:val="22"/>
          <w:lang w:val="es-ES"/>
        </w:rPr>
        <w:t xml:space="preserve">2020, </w:t>
      </w:r>
      <w:r w:rsidRPr="0098120E">
        <w:rPr>
          <w:snapToGrid w:val="0"/>
          <w:kern w:val="22"/>
          <w:lang w:val="es-ES"/>
        </w:rPr>
        <w:t>había 4</w:t>
      </w:r>
      <w:r w:rsidR="00775B5A" w:rsidRPr="0098120E">
        <w:rPr>
          <w:snapToGrid w:val="0"/>
          <w:kern w:val="22"/>
          <w:lang w:val="es-ES"/>
        </w:rPr>
        <w:t xml:space="preserve">7 Partes </w:t>
      </w:r>
      <w:r w:rsidRPr="0098120E">
        <w:rPr>
          <w:snapToGrid w:val="0"/>
          <w:kern w:val="22"/>
          <w:lang w:val="es-ES"/>
        </w:rPr>
        <w:t xml:space="preserve">en el Protocolo Suplementario, un aumento del </w:t>
      </w:r>
      <w:r w:rsidR="00775B5A" w:rsidRPr="0098120E">
        <w:rPr>
          <w:snapToGrid w:val="0"/>
          <w:kern w:val="22"/>
          <w:lang w:val="es-ES"/>
        </w:rPr>
        <w:t>38</w:t>
      </w:r>
      <w:r w:rsidRPr="0098120E">
        <w:rPr>
          <w:snapToGrid w:val="0"/>
          <w:kern w:val="22"/>
          <w:lang w:val="es-ES"/>
        </w:rPr>
        <w:t xml:space="preserve"> </w:t>
      </w:r>
      <w:r w:rsidR="00775B5A" w:rsidRPr="0098120E">
        <w:rPr>
          <w:snapToGrid w:val="0"/>
          <w:kern w:val="22"/>
          <w:lang w:val="es-ES"/>
        </w:rPr>
        <w:t xml:space="preserve">% </w:t>
      </w:r>
      <w:r>
        <w:rPr>
          <w:snapToGrid w:val="0"/>
          <w:kern w:val="22"/>
          <w:lang w:val="es-ES"/>
        </w:rPr>
        <w:t xml:space="preserve">desde la </w:t>
      </w:r>
      <w:r w:rsidRPr="003122A1">
        <w:rPr>
          <w:snapToGrid w:val="0"/>
          <w:kern w:val="22"/>
          <w:lang w:val="es-ES"/>
        </w:rPr>
        <w:t>tercera evaluación y revisión</w:t>
      </w:r>
      <w:r w:rsidR="00775B5A" w:rsidRPr="003122A1">
        <w:rPr>
          <w:snapToGrid w:val="0"/>
          <w:kern w:val="22"/>
          <w:lang w:val="es-ES"/>
        </w:rPr>
        <w:t xml:space="preserve">. </w:t>
      </w:r>
      <w:r w:rsidRPr="003122A1">
        <w:rPr>
          <w:snapToGrid w:val="0"/>
          <w:kern w:val="22"/>
          <w:lang w:val="es-ES"/>
        </w:rPr>
        <w:t xml:space="preserve">De las </w:t>
      </w:r>
      <w:r w:rsidR="00775B5A" w:rsidRPr="003122A1">
        <w:rPr>
          <w:snapToGrid w:val="0"/>
          <w:kern w:val="22"/>
          <w:lang w:val="es-ES"/>
        </w:rPr>
        <w:t>13 n</w:t>
      </w:r>
      <w:r w:rsidRPr="003122A1">
        <w:rPr>
          <w:snapToGrid w:val="0"/>
          <w:kern w:val="22"/>
          <w:lang w:val="es-ES"/>
        </w:rPr>
        <w:t xml:space="preserve">uevas ratificaciones recibidas entre el </w:t>
      </w:r>
      <w:r w:rsidR="00775B5A" w:rsidRPr="003122A1">
        <w:rPr>
          <w:snapToGrid w:val="0"/>
          <w:kern w:val="22"/>
          <w:lang w:val="es-ES"/>
        </w:rPr>
        <w:t xml:space="preserve">17 </w:t>
      </w:r>
      <w:r w:rsidRPr="003122A1">
        <w:rPr>
          <w:snapToGrid w:val="0"/>
          <w:kern w:val="22"/>
          <w:lang w:val="es-ES"/>
        </w:rPr>
        <w:t xml:space="preserve">de febrero de </w:t>
      </w:r>
      <w:r w:rsidR="00775B5A" w:rsidRPr="003122A1">
        <w:rPr>
          <w:snapToGrid w:val="0"/>
          <w:kern w:val="22"/>
          <w:lang w:val="es-ES"/>
        </w:rPr>
        <w:t>2016</w:t>
      </w:r>
      <w:r w:rsidR="00775B5A" w:rsidRPr="0098120E">
        <w:rPr>
          <w:snapToGrid w:val="0"/>
          <w:kern w:val="22"/>
          <w:lang w:val="es-ES"/>
        </w:rPr>
        <w:t xml:space="preserve"> </w:t>
      </w:r>
      <w:r w:rsidRPr="0098120E">
        <w:rPr>
          <w:snapToGrid w:val="0"/>
          <w:kern w:val="22"/>
          <w:lang w:val="es-ES"/>
        </w:rPr>
        <w:t xml:space="preserve">y el </w:t>
      </w:r>
      <w:r w:rsidR="00775B5A" w:rsidRPr="0098120E">
        <w:rPr>
          <w:snapToGrid w:val="0"/>
          <w:kern w:val="22"/>
          <w:lang w:val="es-ES"/>
        </w:rPr>
        <w:t xml:space="preserve">16 </w:t>
      </w:r>
      <w:r>
        <w:rPr>
          <w:snapToGrid w:val="0"/>
          <w:kern w:val="22"/>
          <w:lang w:val="es-ES"/>
        </w:rPr>
        <w:t xml:space="preserve">de enero de </w:t>
      </w:r>
      <w:r w:rsidR="00775B5A" w:rsidRPr="0098120E">
        <w:rPr>
          <w:snapToGrid w:val="0"/>
          <w:kern w:val="22"/>
          <w:lang w:val="es-ES"/>
        </w:rPr>
        <w:t>2020, 5 (38</w:t>
      </w:r>
      <w:r>
        <w:rPr>
          <w:snapToGrid w:val="0"/>
          <w:kern w:val="22"/>
          <w:lang w:val="es-ES"/>
        </w:rPr>
        <w:t xml:space="preserve"> </w:t>
      </w:r>
      <w:r w:rsidR="00775B5A" w:rsidRPr="0098120E">
        <w:rPr>
          <w:snapToGrid w:val="0"/>
          <w:kern w:val="22"/>
          <w:lang w:val="es-ES"/>
        </w:rPr>
        <w:t>%)</w:t>
      </w:r>
      <w:r w:rsidR="003122A1">
        <w:rPr>
          <w:snapToGrid w:val="0"/>
          <w:kern w:val="22"/>
          <w:lang w:val="es-ES"/>
        </w:rPr>
        <w:t xml:space="preserve"> procedían </w:t>
      </w:r>
      <w:r>
        <w:rPr>
          <w:snapToGrid w:val="0"/>
          <w:kern w:val="22"/>
          <w:lang w:val="es-ES"/>
        </w:rPr>
        <w:t>de países de Á</w:t>
      </w:r>
      <w:r w:rsidR="00775B5A" w:rsidRPr="0098120E">
        <w:rPr>
          <w:snapToGrid w:val="0"/>
          <w:kern w:val="22"/>
          <w:lang w:val="es-ES"/>
        </w:rPr>
        <w:t xml:space="preserve">frica </w:t>
      </w:r>
      <w:r>
        <w:rPr>
          <w:snapToGrid w:val="0"/>
          <w:kern w:val="22"/>
          <w:lang w:val="es-ES"/>
        </w:rPr>
        <w:t xml:space="preserve">y 8 de países de otras regiones, </w:t>
      </w:r>
      <w:r w:rsidR="00775B5A" w:rsidRPr="0098120E">
        <w:rPr>
          <w:snapToGrid w:val="0"/>
          <w:kern w:val="22"/>
          <w:lang w:val="es-ES"/>
        </w:rPr>
        <w:t>divid</w:t>
      </w:r>
      <w:r>
        <w:rPr>
          <w:snapToGrid w:val="0"/>
          <w:kern w:val="22"/>
          <w:lang w:val="es-ES"/>
        </w:rPr>
        <w:t xml:space="preserve">idas a partes iguales en </w:t>
      </w:r>
      <w:r w:rsidR="00775B5A" w:rsidRPr="0098120E">
        <w:rPr>
          <w:snapToGrid w:val="0"/>
          <w:kern w:val="22"/>
          <w:lang w:val="es-ES"/>
        </w:rPr>
        <w:t>2 ratifica</w:t>
      </w:r>
      <w:r>
        <w:rPr>
          <w:snapToGrid w:val="0"/>
          <w:kern w:val="22"/>
          <w:lang w:val="es-ES"/>
        </w:rPr>
        <w:t>c</w:t>
      </w:r>
      <w:r w:rsidR="00775B5A" w:rsidRPr="0098120E">
        <w:rPr>
          <w:snapToGrid w:val="0"/>
          <w:kern w:val="22"/>
          <w:lang w:val="es-ES"/>
        </w:rPr>
        <w:t>ion</w:t>
      </w:r>
      <w:r>
        <w:rPr>
          <w:snapToGrid w:val="0"/>
          <w:kern w:val="22"/>
          <w:lang w:val="es-ES"/>
        </w:rPr>
        <w:t>e</w:t>
      </w:r>
      <w:r w:rsidR="00775B5A" w:rsidRPr="0098120E">
        <w:rPr>
          <w:snapToGrid w:val="0"/>
          <w:kern w:val="22"/>
          <w:lang w:val="es-ES"/>
        </w:rPr>
        <w:t>s (15</w:t>
      </w:r>
      <w:r>
        <w:rPr>
          <w:snapToGrid w:val="0"/>
          <w:kern w:val="22"/>
          <w:lang w:val="es-ES"/>
        </w:rPr>
        <w:t xml:space="preserve"> </w:t>
      </w:r>
      <w:r w:rsidR="00775B5A" w:rsidRPr="0098120E">
        <w:rPr>
          <w:snapToGrid w:val="0"/>
          <w:kern w:val="22"/>
          <w:lang w:val="es-ES"/>
        </w:rPr>
        <w:t>%) p</w:t>
      </w:r>
      <w:r>
        <w:rPr>
          <w:snapToGrid w:val="0"/>
          <w:kern w:val="22"/>
          <w:lang w:val="es-ES"/>
        </w:rPr>
        <w:t>or región</w:t>
      </w:r>
      <w:r w:rsidR="00775B5A" w:rsidRPr="0098120E">
        <w:rPr>
          <w:snapToGrid w:val="0"/>
          <w:kern w:val="22"/>
          <w:lang w:val="es-ES"/>
        </w:rPr>
        <w:t>.</w:t>
      </w:r>
    </w:p>
    <w:p w:rsidR="00775B5A" w:rsidRPr="00265720" w:rsidRDefault="00265720"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265720">
        <w:rPr>
          <w:snapToGrid w:val="0"/>
          <w:kern w:val="22"/>
          <w:lang w:val="es-ES"/>
        </w:rPr>
        <w:t xml:space="preserve">En el cuarto informe nacional, el </w:t>
      </w:r>
      <w:r w:rsidR="00775B5A" w:rsidRPr="00265720">
        <w:rPr>
          <w:snapToGrid w:val="0"/>
          <w:kern w:val="22"/>
          <w:lang w:val="es-ES"/>
        </w:rPr>
        <w:t>57</w:t>
      </w:r>
      <w:r w:rsidRPr="00265720">
        <w:rPr>
          <w:snapToGrid w:val="0"/>
          <w:kern w:val="22"/>
          <w:lang w:val="es-ES"/>
        </w:rPr>
        <w:t xml:space="preserve"> </w:t>
      </w:r>
      <w:r w:rsidR="00775B5A" w:rsidRPr="00265720">
        <w:rPr>
          <w:snapToGrid w:val="0"/>
          <w:kern w:val="22"/>
          <w:lang w:val="es-ES"/>
        </w:rPr>
        <w:t xml:space="preserve">% </w:t>
      </w:r>
      <w:r w:rsidRPr="00265720">
        <w:rPr>
          <w:snapToGrid w:val="0"/>
          <w:kern w:val="22"/>
          <w:lang w:val="es-ES"/>
        </w:rPr>
        <w:t xml:space="preserve">de las </w:t>
      </w:r>
      <w:r w:rsidR="00775B5A" w:rsidRPr="00265720">
        <w:rPr>
          <w:snapToGrid w:val="0"/>
          <w:kern w:val="22"/>
          <w:lang w:val="es-ES"/>
        </w:rPr>
        <w:t xml:space="preserve">Partes (32 Partes) </w:t>
      </w:r>
      <w:r w:rsidRPr="00265720">
        <w:rPr>
          <w:snapToGrid w:val="0"/>
          <w:kern w:val="22"/>
          <w:lang w:val="es-ES"/>
        </w:rPr>
        <w:t xml:space="preserve">en el Protocolo de </w:t>
      </w:r>
      <w:r w:rsidR="00775B5A" w:rsidRPr="00265720">
        <w:rPr>
          <w:snapToGrid w:val="0"/>
          <w:kern w:val="22"/>
          <w:lang w:val="es-ES"/>
        </w:rPr>
        <w:t>Cartagena</w:t>
      </w:r>
      <w:r w:rsidRPr="00265720">
        <w:rPr>
          <w:snapToGrid w:val="0"/>
          <w:kern w:val="22"/>
          <w:lang w:val="es-ES"/>
        </w:rPr>
        <w:t xml:space="preserve"> que aún no ha ratificado el </w:t>
      </w:r>
      <w:r w:rsidR="00775B5A" w:rsidRPr="00265720">
        <w:rPr>
          <w:snapToGrid w:val="0"/>
          <w:kern w:val="22"/>
          <w:lang w:val="es-ES"/>
        </w:rPr>
        <w:t>Protocol</w:t>
      </w:r>
      <w:r>
        <w:rPr>
          <w:snapToGrid w:val="0"/>
          <w:kern w:val="22"/>
          <w:lang w:val="es-ES"/>
        </w:rPr>
        <w:t>o Suplementario indic</w:t>
      </w:r>
      <w:r w:rsidR="003122A1">
        <w:rPr>
          <w:snapToGrid w:val="0"/>
          <w:kern w:val="22"/>
          <w:lang w:val="es-ES"/>
        </w:rPr>
        <w:t>ó</w:t>
      </w:r>
      <w:r>
        <w:rPr>
          <w:snapToGrid w:val="0"/>
          <w:kern w:val="22"/>
          <w:lang w:val="es-ES"/>
        </w:rPr>
        <w:t xml:space="preserve"> que contaba con un proceso nacional para pasar a ser Parte en el Protocolo Suplementario</w:t>
      </w:r>
      <w:r w:rsidR="00775B5A" w:rsidRPr="00265720">
        <w:rPr>
          <w:snapToGrid w:val="0"/>
          <w:kern w:val="22"/>
          <w:lang w:val="es-ES"/>
        </w:rPr>
        <w:t>.</w:t>
      </w:r>
    </w:p>
    <w:p w:rsidR="00775B5A" w:rsidRPr="0091618F" w:rsidRDefault="00265720"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bookmarkStart w:id="19" w:name="_Hlk30412647"/>
      <w:bookmarkEnd w:id="18"/>
      <w:r w:rsidRPr="00265720">
        <w:rPr>
          <w:snapToGrid w:val="0"/>
          <w:kern w:val="22"/>
          <w:lang w:val="es-ES"/>
        </w:rPr>
        <w:t xml:space="preserve">En lo que respecta al </w:t>
      </w:r>
      <w:r w:rsidR="00775B5A" w:rsidRPr="00265720">
        <w:rPr>
          <w:b/>
          <w:bCs/>
          <w:snapToGrid w:val="0"/>
          <w:kern w:val="22"/>
          <w:lang w:val="es-ES"/>
        </w:rPr>
        <w:t>indica</w:t>
      </w:r>
      <w:r w:rsidRPr="00265720">
        <w:rPr>
          <w:b/>
          <w:bCs/>
          <w:snapToGrid w:val="0"/>
          <w:kern w:val="22"/>
          <w:lang w:val="es-ES"/>
        </w:rPr>
        <w:t>d</w:t>
      </w:r>
      <w:r w:rsidR="00775B5A" w:rsidRPr="00265720">
        <w:rPr>
          <w:b/>
          <w:bCs/>
          <w:snapToGrid w:val="0"/>
          <w:kern w:val="22"/>
          <w:lang w:val="es-ES"/>
        </w:rPr>
        <w:t>or 1.5.2</w:t>
      </w:r>
      <w:r w:rsidR="00775B5A" w:rsidRPr="00265720">
        <w:rPr>
          <w:snapToGrid w:val="0"/>
          <w:kern w:val="22"/>
          <w:lang w:val="es-ES"/>
        </w:rPr>
        <w:t xml:space="preserve"> (</w:t>
      </w:r>
      <w:r w:rsidRPr="00265720">
        <w:rPr>
          <w:snapToGrid w:val="0"/>
          <w:kern w:val="22"/>
          <w:lang w:val="es-ES"/>
        </w:rPr>
        <w:t>el porcentaje de Partes en el Protocolo Suplementario que ha establecido marcos nacionales administrativos y legales incorporando normas y procedimientos sobre responsabilidad y compensaci</w:t>
      </w:r>
      <w:r>
        <w:rPr>
          <w:snapToGrid w:val="0"/>
          <w:kern w:val="22"/>
          <w:lang w:val="es-ES"/>
        </w:rPr>
        <w:t>ón por daños provenientes de OVM</w:t>
      </w:r>
      <w:r w:rsidR="00775B5A" w:rsidRPr="00265720">
        <w:rPr>
          <w:snapToGrid w:val="0"/>
          <w:kern w:val="22"/>
          <w:lang w:val="es-ES"/>
        </w:rPr>
        <w:t xml:space="preserve">), </w:t>
      </w:r>
      <w:r>
        <w:rPr>
          <w:snapToGrid w:val="0"/>
          <w:kern w:val="22"/>
          <w:lang w:val="es-ES"/>
        </w:rPr>
        <w:t xml:space="preserve">de las </w:t>
      </w:r>
      <w:r w:rsidR="00775B5A" w:rsidRPr="00265720">
        <w:rPr>
          <w:snapToGrid w:val="0"/>
          <w:kern w:val="22"/>
          <w:lang w:val="es-ES"/>
        </w:rPr>
        <w:t xml:space="preserve">Partes </w:t>
      </w:r>
      <w:r>
        <w:rPr>
          <w:snapToGrid w:val="0"/>
          <w:kern w:val="22"/>
          <w:lang w:val="es-ES"/>
        </w:rPr>
        <w:t xml:space="preserve">en el Protocolo </w:t>
      </w:r>
      <w:r w:rsidR="00775B5A" w:rsidRPr="00265720">
        <w:rPr>
          <w:snapToGrid w:val="0"/>
          <w:kern w:val="22"/>
          <w:lang w:val="es-ES"/>
        </w:rPr>
        <w:t>Sup</w:t>
      </w:r>
      <w:r>
        <w:rPr>
          <w:snapToGrid w:val="0"/>
          <w:kern w:val="22"/>
          <w:lang w:val="es-ES"/>
        </w:rPr>
        <w:t>lementario, el 6</w:t>
      </w:r>
      <w:r w:rsidR="00775B5A" w:rsidRPr="00265720">
        <w:rPr>
          <w:snapToGrid w:val="0"/>
          <w:kern w:val="22"/>
          <w:lang w:val="es-ES"/>
        </w:rPr>
        <w:t>0</w:t>
      </w:r>
      <w:r>
        <w:rPr>
          <w:snapToGrid w:val="0"/>
          <w:kern w:val="22"/>
          <w:lang w:val="es-ES"/>
        </w:rPr>
        <w:t xml:space="preserve"> </w:t>
      </w:r>
      <w:r w:rsidR="00775B5A" w:rsidRPr="00265720">
        <w:rPr>
          <w:snapToGrid w:val="0"/>
          <w:kern w:val="22"/>
          <w:lang w:val="es-ES"/>
        </w:rPr>
        <w:t xml:space="preserve">% (23 Partes) </w:t>
      </w:r>
      <w:r>
        <w:rPr>
          <w:snapToGrid w:val="0"/>
          <w:kern w:val="22"/>
          <w:lang w:val="es-ES"/>
        </w:rPr>
        <w:t xml:space="preserve">informó de que había adoptado medidas para aplicar plenamente el Protocolo Suplementario y el </w:t>
      </w:r>
      <w:r w:rsidR="00775B5A" w:rsidRPr="00265720">
        <w:rPr>
          <w:snapToGrid w:val="0"/>
          <w:kern w:val="22"/>
          <w:lang w:val="es-ES"/>
        </w:rPr>
        <w:t>15</w:t>
      </w:r>
      <w:r>
        <w:rPr>
          <w:snapToGrid w:val="0"/>
          <w:kern w:val="22"/>
          <w:lang w:val="es-ES"/>
        </w:rPr>
        <w:t xml:space="preserve"> </w:t>
      </w:r>
      <w:r w:rsidR="00775B5A" w:rsidRPr="00265720">
        <w:rPr>
          <w:snapToGrid w:val="0"/>
          <w:kern w:val="22"/>
          <w:lang w:val="es-ES"/>
        </w:rPr>
        <w:t xml:space="preserve">% (6 Partes) </w:t>
      </w:r>
      <w:r>
        <w:rPr>
          <w:snapToGrid w:val="0"/>
          <w:kern w:val="22"/>
          <w:lang w:val="es-ES"/>
        </w:rPr>
        <w:t>comunicó que había adoptado medidas nacionales en parte</w:t>
      </w:r>
      <w:r w:rsidR="00775B5A" w:rsidRPr="00265720">
        <w:rPr>
          <w:snapToGrid w:val="0"/>
          <w:kern w:val="22"/>
          <w:lang w:val="es-ES"/>
        </w:rPr>
        <w:t xml:space="preserve">. </w:t>
      </w:r>
      <w:r w:rsidRPr="0091618F">
        <w:rPr>
          <w:snapToGrid w:val="0"/>
          <w:kern w:val="22"/>
          <w:lang w:val="es-ES"/>
        </w:rPr>
        <w:lastRenderedPageBreak/>
        <w:t xml:space="preserve">Un total del </w:t>
      </w:r>
      <w:r w:rsidR="00775B5A" w:rsidRPr="0091618F">
        <w:rPr>
          <w:snapToGrid w:val="0"/>
          <w:kern w:val="22"/>
          <w:lang w:val="es-ES"/>
        </w:rPr>
        <w:t>13</w:t>
      </w:r>
      <w:r w:rsidRPr="0091618F">
        <w:rPr>
          <w:snapToGrid w:val="0"/>
          <w:kern w:val="22"/>
          <w:lang w:val="es-ES"/>
        </w:rPr>
        <w:t xml:space="preserve"> % de las </w:t>
      </w:r>
      <w:r w:rsidR="00775B5A" w:rsidRPr="0091618F">
        <w:rPr>
          <w:snapToGrid w:val="0"/>
          <w:kern w:val="22"/>
          <w:lang w:val="es-ES"/>
        </w:rPr>
        <w:t xml:space="preserve">Partes (5 Partes) </w:t>
      </w:r>
      <w:r w:rsidRPr="0091618F">
        <w:rPr>
          <w:snapToGrid w:val="0"/>
          <w:kern w:val="22"/>
          <w:lang w:val="es-ES"/>
        </w:rPr>
        <w:t>indic</w:t>
      </w:r>
      <w:r w:rsidR="003122A1">
        <w:rPr>
          <w:snapToGrid w:val="0"/>
          <w:kern w:val="22"/>
          <w:lang w:val="es-ES"/>
        </w:rPr>
        <w:t>ó</w:t>
      </w:r>
      <w:r w:rsidRPr="0091618F">
        <w:rPr>
          <w:snapToGrid w:val="0"/>
          <w:kern w:val="22"/>
          <w:lang w:val="es-ES"/>
        </w:rPr>
        <w:t xml:space="preserve"> que </w:t>
      </w:r>
      <w:r w:rsidR="0091618F" w:rsidRPr="0091618F">
        <w:rPr>
          <w:snapToGrid w:val="0"/>
          <w:kern w:val="22"/>
          <w:lang w:val="es-ES"/>
        </w:rPr>
        <w:t>solo exist</w:t>
      </w:r>
      <w:r w:rsidR="0091618F">
        <w:rPr>
          <w:snapToGrid w:val="0"/>
          <w:kern w:val="22"/>
          <w:lang w:val="es-ES"/>
        </w:rPr>
        <w:t xml:space="preserve">en proyectos de medidas, y otro </w:t>
      </w:r>
      <w:r w:rsidR="00775B5A" w:rsidRPr="0091618F">
        <w:rPr>
          <w:snapToGrid w:val="0"/>
          <w:kern w:val="22"/>
          <w:lang w:val="es-ES"/>
        </w:rPr>
        <w:t>13</w:t>
      </w:r>
      <w:r w:rsidR="0091618F">
        <w:rPr>
          <w:snapToGrid w:val="0"/>
          <w:kern w:val="22"/>
          <w:lang w:val="es-ES"/>
        </w:rPr>
        <w:t xml:space="preserve"> </w:t>
      </w:r>
      <w:r w:rsidR="00775B5A" w:rsidRPr="0091618F">
        <w:rPr>
          <w:snapToGrid w:val="0"/>
          <w:kern w:val="22"/>
          <w:lang w:val="es-ES"/>
        </w:rPr>
        <w:t xml:space="preserve">% (5 Partes) </w:t>
      </w:r>
      <w:r w:rsidR="0091618F">
        <w:rPr>
          <w:snapToGrid w:val="0"/>
          <w:kern w:val="22"/>
          <w:lang w:val="es-ES"/>
        </w:rPr>
        <w:t>informó de que aún no se habían adoptado medidas</w:t>
      </w:r>
      <w:r w:rsidR="00775B5A">
        <w:rPr>
          <w:rStyle w:val="FootnoteReference"/>
          <w:rFonts w:ascii="Angsana New" w:hAnsi="Angsana New" w:cs="Angsana New"/>
          <w:snapToGrid w:val="0"/>
          <w:kern w:val="22"/>
        </w:rPr>
        <w:footnoteReference w:id="32"/>
      </w:r>
      <w:r w:rsidR="0091618F" w:rsidRPr="0091618F">
        <w:rPr>
          <w:snapToGrid w:val="0"/>
          <w:kern w:val="22"/>
          <w:lang w:val="es-ES"/>
        </w:rPr>
        <w:t>.</w:t>
      </w:r>
    </w:p>
    <w:p w:rsidR="00775B5A" w:rsidRPr="002D1D0E" w:rsidRDefault="002D1D0E"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2D1D0E">
        <w:rPr>
          <w:snapToGrid w:val="0"/>
          <w:kern w:val="22"/>
          <w:lang w:val="es-ES"/>
        </w:rPr>
        <w:t>Además, se proporcionó información sobre la aplicación del Protocolo Suplementario y sobre la responsabilidad y compensaci</w:t>
      </w:r>
      <w:r>
        <w:rPr>
          <w:snapToGrid w:val="0"/>
          <w:kern w:val="22"/>
          <w:lang w:val="es-ES"/>
        </w:rPr>
        <w:t xml:space="preserve">ón de los países que son </w:t>
      </w:r>
      <w:r w:rsidR="00775B5A" w:rsidRPr="002D1D0E">
        <w:rPr>
          <w:snapToGrid w:val="0"/>
          <w:kern w:val="22"/>
          <w:lang w:val="es-ES"/>
        </w:rPr>
        <w:t xml:space="preserve">Partes </w:t>
      </w:r>
      <w:r>
        <w:rPr>
          <w:snapToGrid w:val="0"/>
          <w:kern w:val="22"/>
          <w:lang w:val="es-ES"/>
        </w:rPr>
        <w:t xml:space="preserve">en el Protocolo de </w:t>
      </w:r>
      <w:r w:rsidR="00775B5A" w:rsidRPr="002D1D0E">
        <w:rPr>
          <w:snapToGrid w:val="0"/>
          <w:kern w:val="22"/>
          <w:lang w:val="es-ES"/>
        </w:rPr>
        <w:t>Cartagena</w:t>
      </w:r>
      <w:r>
        <w:rPr>
          <w:snapToGrid w:val="0"/>
          <w:kern w:val="22"/>
          <w:lang w:val="es-ES"/>
        </w:rPr>
        <w:t xml:space="preserve"> pero que todavía no han ratificado el Protocolo Suplementario</w:t>
      </w:r>
      <w:r w:rsidR="00775B5A" w:rsidRPr="002D1D0E">
        <w:rPr>
          <w:snapToGrid w:val="0"/>
          <w:kern w:val="22"/>
          <w:lang w:val="es-ES"/>
        </w:rPr>
        <w:t xml:space="preserve">. </w:t>
      </w:r>
      <w:r w:rsidRPr="002D1D0E">
        <w:rPr>
          <w:snapToGrid w:val="0"/>
          <w:kern w:val="22"/>
          <w:lang w:val="es-ES"/>
        </w:rPr>
        <w:t xml:space="preserve">Más abajo se resume la información proporcionada por esas Partes y por las </w:t>
      </w:r>
      <w:r w:rsidR="003122A1">
        <w:rPr>
          <w:snapToGrid w:val="0"/>
          <w:kern w:val="22"/>
          <w:lang w:val="es-ES"/>
        </w:rPr>
        <w:t>d</w:t>
      </w:r>
      <w:r w:rsidRPr="002D1D0E">
        <w:rPr>
          <w:snapToGrid w:val="0"/>
          <w:kern w:val="22"/>
          <w:lang w:val="es-ES"/>
        </w:rPr>
        <w:t xml:space="preserve">el Protocolo Suplementario </w:t>
      </w:r>
      <w:r>
        <w:rPr>
          <w:snapToGrid w:val="0"/>
          <w:kern w:val="22"/>
          <w:lang w:val="es-ES"/>
        </w:rPr>
        <w:t>en sus cuartos informes nacionales</w:t>
      </w:r>
      <w:r w:rsidR="00775B5A" w:rsidRPr="002D1D0E">
        <w:rPr>
          <w:snapToGrid w:val="0"/>
          <w:kern w:val="22"/>
          <w:lang w:val="es-ES"/>
        </w:rPr>
        <w:t xml:space="preserve">. </w:t>
      </w:r>
    </w:p>
    <w:p w:rsidR="00775B5A" w:rsidRPr="00A47FC4" w:rsidRDefault="002D1D0E"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A47FC4">
        <w:rPr>
          <w:snapToGrid w:val="0"/>
          <w:kern w:val="22"/>
          <w:lang w:val="es-ES"/>
        </w:rPr>
        <w:t>Un total del</w:t>
      </w:r>
      <w:r w:rsidR="00775B5A" w:rsidRPr="00A47FC4">
        <w:rPr>
          <w:snapToGrid w:val="0"/>
          <w:kern w:val="22"/>
          <w:lang w:val="es-ES"/>
        </w:rPr>
        <w:t xml:space="preserve"> 67</w:t>
      </w:r>
      <w:r w:rsidRPr="00A47FC4">
        <w:rPr>
          <w:snapToGrid w:val="0"/>
          <w:kern w:val="22"/>
          <w:lang w:val="es-ES"/>
        </w:rPr>
        <w:t xml:space="preserve"> </w:t>
      </w:r>
      <w:r w:rsidR="00775B5A" w:rsidRPr="00A47FC4">
        <w:rPr>
          <w:snapToGrid w:val="0"/>
          <w:kern w:val="22"/>
          <w:lang w:val="es-ES"/>
        </w:rPr>
        <w:t xml:space="preserve">% </w:t>
      </w:r>
      <w:r w:rsidRPr="00A47FC4">
        <w:rPr>
          <w:snapToGrid w:val="0"/>
          <w:kern w:val="22"/>
          <w:lang w:val="es-ES"/>
        </w:rPr>
        <w:t xml:space="preserve">de las </w:t>
      </w:r>
      <w:r w:rsidR="00775B5A" w:rsidRPr="00A47FC4">
        <w:rPr>
          <w:snapToGrid w:val="0"/>
          <w:kern w:val="22"/>
          <w:lang w:val="es-ES"/>
        </w:rPr>
        <w:t xml:space="preserve">Partes (66 Partes) </w:t>
      </w:r>
      <w:r w:rsidR="00A47FC4" w:rsidRPr="00A47FC4">
        <w:rPr>
          <w:snapToGrid w:val="0"/>
          <w:kern w:val="22"/>
          <w:lang w:val="es-ES"/>
        </w:rPr>
        <w:t>informó de que t</w:t>
      </w:r>
      <w:r w:rsidR="00A47FC4">
        <w:rPr>
          <w:snapToGrid w:val="0"/>
          <w:kern w:val="22"/>
          <w:lang w:val="es-ES"/>
        </w:rPr>
        <w:t>iene</w:t>
      </w:r>
      <w:r w:rsidR="00A47FC4" w:rsidRPr="00A47FC4">
        <w:rPr>
          <w:snapToGrid w:val="0"/>
          <w:kern w:val="22"/>
          <w:lang w:val="es-ES"/>
        </w:rPr>
        <w:t xml:space="preserve"> instrumentos administrativos o jurídicos que exigen la adopci</w:t>
      </w:r>
      <w:r w:rsidR="00A47FC4">
        <w:rPr>
          <w:snapToGrid w:val="0"/>
          <w:kern w:val="22"/>
          <w:lang w:val="es-ES"/>
        </w:rPr>
        <w:t>ón de medidas de respuesta en caso de daños causados por OVM</w:t>
      </w:r>
      <w:r w:rsidR="00775B5A" w:rsidRPr="00A47FC4">
        <w:rPr>
          <w:snapToGrid w:val="0"/>
          <w:kern w:val="22"/>
          <w:lang w:val="es-ES"/>
        </w:rPr>
        <w:t xml:space="preserve">. </w:t>
      </w:r>
      <w:r w:rsidR="00A47FC4">
        <w:rPr>
          <w:snapToGrid w:val="0"/>
          <w:kern w:val="22"/>
          <w:lang w:val="es-ES"/>
        </w:rPr>
        <w:t xml:space="preserve">Esto representa una disminución del </w:t>
      </w:r>
      <w:r w:rsidR="00775B5A" w:rsidRPr="00A47FC4">
        <w:rPr>
          <w:snapToGrid w:val="0"/>
          <w:kern w:val="22"/>
          <w:lang w:val="es-ES"/>
        </w:rPr>
        <w:t>3</w:t>
      </w:r>
      <w:r w:rsidR="00A47FC4" w:rsidRPr="00A47FC4">
        <w:rPr>
          <w:snapToGrid w:val="0"/>
          <w:kern w:val="22"/>
          <w:lang w:val="es-ES"/>
        </w:rPr>
        <w:t xml:space="preserve"> </w:t>
      </w:r>
      <w:r w:rsidR="00775B5A" w:rsidRPr="00A47FC4">
        <w:rPr>
          <w:snapToGrid w:val="0"/>
          <w:kern w:val="22"/>
          <w:lang w:val="es-ES"/>
        </w:rPr>
        <w:t xml:space="preserve">% </w:t>
      </w:r>
      <w:r w:rsidR="00A47FC4" w:rsidRPr="00A47FC4">
        <w:rPr>
          <w:snapToGrid w:val="0"/>
          <w:kern w:val="22"/>
          <w:lang w:val="es-ES"/>
        </w:rPr>
        <w:t>con respecto a los datos b</w:t>
      </w:r>
      <w:r w:rsidR="00A47FC4">
        <w:rPr>
          <w:snapToGrid w:val="0"/>
          <w:kern w:val="22"/>
          <w:lang w:val="es-ES"/>
        </w:rPr>
        <w:t>ásicos de referencia</w:t>
      </w:r>
      <w:r w:rsidR="00775B5A" w:rsidRPr="00A47FC4">
        <w:rPr>
          <w:snapToGrid w:val="0"/>
          <w:kern w:val="22"/>
          <w:lang w:val="es-ES"/>
        </w:rPr>
        <w:t xml:space="preserve">. </w:t>
      </w:r>
      <w:r w:rsidR="00A47FC4" w:rsidRPr="00A47FC4">
        <w:rPr>
          <w:snapToGrid w:val="0"/>
          <w:kern w:val="22"/>
          <w:lang w:val="es-ES"/>
        </w:rPr>
        <w:t>Un</w:t>
      </w:r>
      <w:r w:rsidR="00775B5A" w:rsidRPr="00A47FC4">
        <w:rPr>
          <w:snapToGrid w:val="0"/>
          <w:kern w:val="22"/>
          <w:lang w:val="es-ES"/>
        </w:rPr>
        <w:t xml:space="preserve"> total</w:t>
      </w:r>
      <w:r w:rsidR="00A47FC4" w:rsidRPr="00A47FC4">
        <w:rPr>
          <w:snapToGrid w:val="0"/>
          <w:kern w:val="22"/>
          <w:lang w:val="es-ES"/>
        </w:rPr>
        <w:t xml:space="preserve"> del</w:t>
      </w:r>
      <w:r w:rsidR="00775B5A" w:rsidRPr="00A47FC4">
        <w:rPr>
          <w:snapToGrid w:val="0"/>
          <w:kern w:val="22"/>
          <w:lang w:val="es-ES"/>
        </w:rPr>
        <w:t xml:space="preserve"> 62</w:t>
      </w:r>
      <w:r w:rsidR="00A47FC4" w:rsidRPr="00A47FC4">
        <w:rPr>
          <w:snapToGrid w:val="0"/>
          <w:kern w:val="22"/>
          <w:lang w:val="es-ES"/>
        </w:rPr>
        <w:t xml:space="preserve"> </w:t>
      </w:r>
      <w:r w:rsidR="00775B5A" w:rsidRPr="00A47FC4">
        <w:rPr>
          <w:snapToGrid w:val="0"/>
          <w:kern w:val="22"/>
          <w:lang w:val="es-ES"/>
        </w:rPr>
        <w:t xml:space="preserve">% </w:t>
      </w:r>
      <w:r w:rsidR="00A47FC4" w:rsidRPr="00A47FC4">
        <w:rPr>
          <w:snapToGrid w:val="0"/>
          <w:kern w:val="22"/>
          <w:lang w:val="es-ES"/>
        </w:rPr>
        <w:t>de las Partes</w:t>
      </w:r>
      <w:r w:rsidR="00775B5A" w:rsidRPr="00A47FC4">
        <w:rPr>
          <w:snapToGrid w:val="0"/>
          <w:kern w:val="22"/>
          <w:lang w:val="es-ES"/>
        </w:rPr>
        <w:t xml:space="preserve"> (61 Partes) </w:t>
      </w:r>
      <w:r w:rsidR="00A47FC4" w:rsidRPr="00A47FC4">
        <w:rPr>
          <w:snapToGrid w:val="0"/>
          <w:kern w:val="22"/>
          <w:lang w:val="es-ES"/>
        </w:rPr>
        <w:t xml:space="preserve">indicó que tiene instrumentos administrativos o jurídicos que exigen la adopción de medidas de respuesta en caso de </w:t>
      </w:r>
      <w:r w:rsidR="00724356">
        <w:rPr>
          <w:snapToGrid w:val="0"/>
          <w:kern w:val="22"/>
          <w:lang w:val="es-ES"/>
        </w:rPr>
        <w:t>que haya</w:t>
      </w:r>
      <w:r w:rsidR="00A47FC4" w:rsidRPr="00A47FC4">
        <w:rPr>
          <w:snapToGrid w:val="0"/>
          <w:kern w:val="22"/>
          <w:lang w:val="es-ES"/>
        </w:rPr>
        <w:t xml:space="preserve"> suficiente probabilidad de que se produ</w:t>
      </w:r>
      <w:r w:rsidR="00724356">
        <w:rPr>
          <w:snapToGrid w:val="0"/>
          <w:kern w:val="22"/>
          <w:lang w:val="es-ES"/>
        </w:rPr>
        <w:t>zcan</w:t>
      </w:r>
      <w:r w:rsidR="00A47FC4" w:rsidRPr="00A47FC4">
        <w:rPr>
          <w:snapToGrid w:val="0"/>
          <w:kern w:val="22"/>
          <w:lang w:val="es-ES"/>
        </w:rPr>
        <w:t xml:space="preserve"> daños si no se adoptan medidas de respuesta</w:t>
      </w:r>
      <w:r w:rsidR="00775B5A">
        <w:rPr>
          <w:rStyle w:val="FootnoteReference"/>
          <w:rFonts w:ascii="Angsana New" w:hAnsi="Angsana New" w:cs="Angsana New"/>
          <w:snapToGrid w:val="0"/>
          <w:kern w:val="22"/>
        </w:rPr>
        <w:footnoteReference w:id="33"/>
      </w:r>
      <w:r w:rsidR="00724356" w:rsidRPr="00A47FC4">
        <w:rPr>
          <w:snapToGrid w:val="0"/>
          <w:kern w:val="22"/>
          <w:lang w:val="es-ES"/>
        </w:rPr>
        <w:t>.</w:t>
      </w:r>
    </w:p>
    <w:p w:rsidR="00775B5A" w:rsidRPr="00F027F7" w:rsidRDefault="00E04531"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F027F7">
        <w:rPr>
          <w:snapToGrid w:val="0"/>
          <w:kern w:val="22"/>
          <w:lang w:val="es-ES"/>
        </w:rPr>
        <w:t>Asimismo</w:t>
      </w:r>
      <w:r w:rsidR="00775B5A" w:rsidRPr="00F027F7">
        <w:rPr>
          <w:snapToGrid w:val="0"/>
          <w:kern w:val="22"/>
          <w:lang w:val="es-ES"/>
        </w:rPr>
        <w:t xml:space="preserve">, </w:t>
      </w:r>
      <w:r w:rsidRPr="00F027F7">
        <w:rPr>
          <w:snapToGrid w:val="0"/>
          <w:kern w:val="22"/>
          <w:lang w:val="es-ES"/>
        </w:rPr>
        <w:t xml:space="preserve">el </w:t>
      </w:r>
      <w:r w:rsidR="00775B5A" w:rsidRPr="00F027F7">
        <w:rPr>
          <w:snapToGrid w:val="0"/>
          <w:kern w:val="22"/>
          <w:lang w:val="es-ES"/>
        </w:rPr>
        <w:t>55</w:t>
      </w:r>
      <w:r w:rsidRPr="00F027F7">
        <w:rPr>
          <w:snapToGrid w:val="0"/>
          <w:kern w:val="22"/>
          <w:lang w:val="es-ES"/>
        </w:rPr>
        <w:t xml:space="preserve"> </w:t>
      </w:r>
      <w:r w:rsidR="00775B5A" w:rsidRPr="00F027F7">
        <w:rPr>
          <w:snapToGrid w:val="0"/>
          <w:kern w:val="22"/>
          <w:lang w:val="es-ES"/>
        </w:rPr>
        <w:t xml:space="preserve">% </w:t>
      </w:r>
      <w:r w:rsidRPr="00F027F7">
        <w:rPr>
          <w:snapToGrid w:val="0"/>
          <w:kern w:val="22"/>
          <w:lang w:val="es-ES"/>
        </w:rPr>
        <w:t xml:space="preserve">de las </w:t>
      </w:r>
      <w:r w:rsidR="00775B5A" w:rsidRPr="00F027F7">
        <w:rPr>
          <w:snapToGrid w:val="0"/>
          <w:kern w:val="22"/>
          <w:lang w:val="es-ES"/>
        </w:rPr>
        <w:t xml:space="preserve">Partes (54 Partes) </w:t>
      </w:r>
      <w:r w:rsidR="00F027F7" w:rsidRPr="00F027F7">
        <w:rPr>
          <w:snapToGrid w:val="0"/>
          <w:kern w:val="22"/>
          <w:lang w:val="es-ES"/>
        </w:rPr>
        <w:t>informó de que había identificado una autoridad competente  para desempeñar las funciones es</w:t>
      </w:r>
      <w:r w:rsidR="00F027F7">
        <w:rPr>
          <w:snapToGrid w:val="0"/>
          <w:kern w:val="22"/>
          <w:lang w:val="es-ES"/>
        </w:rPr>
        <w:t xml:space="preserve">tablecidas en el Protocolo Suplementario, mientras que el </w:t>
      </w:r>
      <w:r w:rsidR="00775B5A" w:rsidRPr="00F027F7">
        <w:rPr>
          <w:snapToGrid w:val="0"/>
          <w:kern w:val="22"/>
          <w:lang w:val="es-ES"/>
        </w:rPr>
        <w:t>45</w:t>
      </w:r>
      <w:r w:rsidR="00F027F7">
        <w:rPr>
          <w:snapToGrid w:val="0"/>
          <w:kern w:val="22"/>
          <w:lang w:val="es-ES"/>
        </w:rPr>
        <w:t xml:space="preserve"> </w:t>
      </w:r>
      <w:r w:rsidR="00775B5A" w:rsidRPr="00F027F7">
        <w:rPr>
          <w:snapToGrid w:val="0"/>
          <w:kern w:val="22"/>
          <w:lang w:val="es-ES"/>
        </w:rPr>
        <w:t xml:space="preserve">% (44 Partes) </w:t>
      </w:r>
      <w:r w:rsidR="00F027F7">
        <w:rPr>
          <w:snapToGrid w:val="0"/>
          <w:kern w:val="22"/>
          <w:lang w:val="es-ES"/>
        </w:rPr>
        <w:t>comunicó que no había identificado una autoridad competente</w:t>
      </w:r>
      <w:r w:rsidR="00775B5A" w:rsidRPr="00F027F7">
        <w:rPr>
          <w:snapToGrid w:val="0"/>
          <w:kern w:val="22"/>
          <w:lang w:val="es-ES"/>
        </w:rPr>
        <w:t>.</w:t>
      </w:r>
    </w:p>
    <w:p w:rsidR="00775B5A" w:rsidRPr="00804B83" w:rsidRDefault="00F027F7"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F027F7">
        <w:rPr>
          <w:snapToGrid w:val="0"/>
          <w:kern w:val="22"/>
          <w:lang w:val="es-ES"/>
        </w:rPr>
        <w:t xml:space="preserve">En lo tocante al </w:t>
      </w:r>
      <w:r w:rsidR="00775B5A" w:rsidRPr="00F027F7">
        <w:rPr>
          <w:b/>
          <w:bCs/>
          <w:snapToGrid w:val="0"/>
          <w:kern w:val="22"/>
          <w:lang w:val="es-ES"/>
        </w:rPr>
        <w:t>indica</w:t>
      </w:r>
      <w:r w:rsidRPr="00F027F7">
        <w:rPr>
          <w:b/>
          <w:bCs/>
          <w:snapToGrid w:val="0"/>
          <w:kern w:val="22"/>
          <w:lang w:val="es-ES"/>
        </w:rPr>
        <w:t>d</w:t>
      </w:r>
      <w:r w:rsidR="00775B5A" w:rsidRPr="00F027F7">
        <w:rPr>
          <w:b/>
          <w:bCs/>
          <w:snapToGrid w:val="0"/>
          <w:kern w:val="22"/>
          <w:lang w:val="es-ES"/>
        </w:rPr>
        <w:t xml:space="preserve">or 2.4.1 </w:t>
      </w:r>
      <w:r w:rsidR="00775B5A" w:rsidRPr="00F027F7">
        <w:rPr>
          <w:snapToGrid w:val="0"/>
          <w:kern w:val="22"/>
          <w:lang w:val="es-ES"/>
        </w:rPr>
        <w:t>(</w:t>
      </w:r>
      <w:r w:rsidRPr="00F027F7">
        <w:rPr>
          <w:snapToGrid w:val="0"/>
          <w:kern w:val="22"/>
          <w:lang w:val="es-ES"/>
        </w:rPr>
        <w:t>número de Partes admisibles que recibieron apoyo para creación de capacidad en la esfera de responsabilidad y compensación relacionada con los organismos vivos modificados</w:t>
      </w:r>
      <w:r w:rsidR="00775B5A" w:rsidRPr="00F027F7">
        <w:rPr>
          <w:snapToGrid w:val="0"/>
          <w:kern w:val="22"/>
          <w:lang w:val="es-ES"/>
        </w:rPr>
        <w:t xml:space="preserve">), </w:t>
      </w:r>
      <w:r w:rsidRPr="00F027F7">
        <w:rPr>
          <w:snapToGrid w:val="0"/>
          <w:kern w:val="22"/>
          <w:lang w:val="es-ES"/>
        </w:rPr>
        <w:t xml:space="preserve">un total de </w:t>
      </w:r>
      <w:r w:rsidR="00775B5A" w:rsidRPr="00F027F7">
        <w:rPr>
          <w:snapToGrid w:val="0"/>
          <w:kern w:val="22"/>
          <w:lang w:val="es-ES"/>
        </w:rPr>
        <w:t xml:space="preserve">17 Partes </w:t>
      </w:r>
      <w:r w:rsidRPr="00F027F7">
        <w:rPr>
          <w:snapToGrid w:val="0"/>
          <w:kern w:val="22"/>
          <w:lang w:val="es-ES"/>
        </w:rPr>
        <w:t>info</w:t>
      </w:r>
      <w:r w:rsidR="003122A1">
        <w:rPr>
          <w:snapToGrid w:val="0"/>
          <w:kern w:val="22"/>
          <w:lang w:val="es-ES"/>
        </w:rPr>
        <w:t>rmó</w:t>
      </w:r>
      <w:r w:rsidRPr="00F027F7">
        <w:rPr>
          <w:snapToGrid w:val="0"/>
          <w:kern w:val="22"/>
          <w:lang w:val="es-ES"/>
        </w:rPr>
        <w:t xml:space="preserve"> que en el periodo actual de presentaci</w:t>
      </w:r>
      <w:r>
        <w:rPr>
          <w:snapToGrid w:val="0"/>
          <w:kern w:val="22"/>
          <w:lang w:val="es-ES"/>
        </w:rPr>
        <w:t xml:space="preserve">ón de informes se habían llevado a cabo actividades para el </w:t>
      </w:r>
      <w:r w:rsidR="00804B83">
        <w:rPr>
          <w:snapToGrid w:val="0"/>
          <w:kern w:val="22"/>
          <w:lang w:val="es-ES"/>
        </w:rPr>
        <w:t>desarrollo o fortalecimiento de los recursos humanos y la capacidad institucional en la esfera de responsabilidad y compensación</w:t>
      </w:r>
      <w:r w:rsidR="00775B5A" w:rsidRPr="00F027F7">
        <w:rPr>
          <w:snapToGrid w:val="0"/>
          <w:kern w:val="22"/>
          <w:lang w:val="es-ES"/>
        </w:rPr>
        <w:t xml:space="preserve">. </w:t>
      </w:r>
      <w:r w:rsidR="00804B83" w:rsidRPr="00804B83">
        <w:rPr>
          <w:snapToGrid w:val="0"/>
          <w:kern w:val="22"/>
          <w:lang w:val="es-ES"/>
        </w:rPr>
        <w:t xml:space="preserve">En comparación con el tercer ciclo de presentación de informes, en </w:t>
      </w:r>
      <w:r w:rsidR="003122A1">
        <w:rPr>
          <w:snapToGrid w:val="0"/>
          <w:kern w:val="22"/>
          <w:lang w:val="es-ES"/>
        </w:rPr>
        <w:t xml:space="preserve">el </w:t>
      </w:r>
      <w:r w:rsidR="00804B83" w:rsidRPr="00804B83">
        <w:rPr>
          <w:snapToGrid w:val="0"/>
          <w:kern w:val="22"/>
          <w:lang w:val="es-ES"/>
        </w:rPr>
        <w:t xml:space="preserve">que </w:t>
      </w:r>
      <w:r w:rsidR="00775B5A" w:rsidRPr="00804B83">
        <w:rPr>
          <w:snapToGrid w:val="0"/>
          <w:kern w:val="22"/>
          <w:lang w:val="es-ES"/>
        </w:rPr>
        <w:t xml:space="preserve">12 Partes </w:t>
      </w:r>
      <w:r w:rsidR="00804B83" w:rsidRPr="00804B83">
        <w:rPr>
          <w:snapToGrid w:val="0"/>
          <w:kern w:val="22"/>
          <w:lang w:val="es-ES"/>
        </w:rPr>
        <w:t>indicaron que habían recibido asistencia financier</w:t>
      </w:r>
      <w:r w:rsidR="00804B83">
        <w:rPr>
          <w:snapToGrid w:val="0"/>
          <w:kern w:val="22"/>
          <w:lang w:val="es-ES"/>
        </w:rPr>
        <w:t xml:space="preserve">a </w:t>
      </w:r>
      <w:r w:rsidR="00804B83" w:rsidRPr="00804B83">
        <w:rPr>
          <w:snapToGrid w:val="0"/>
          <w:kern w:val="22"/>
          <w:lang w:val="es-ES"/>
        </w:rPr>
        <w:t>o técnica para la creaci</w:t>
      </w:r>
      <w:r w:rsidR="00804B83">
        <w:rPr>
          <w:snapToGrid w:val="0"/>
          <w:kern w:val="22"/>
          <w:lang w:val="es-ES"/>
        </w:rPr>
        <w:t>ón de capacidad en la esfera de responsabilidad y compensación relativa a los OVM</w:t>
      </w:r>
      <w:r w:rsidR="00775B5A" w:rsidRPr="00804B83">
        <w:rPr>
          <w:snapToGrid w:val="0"/>
          <w:kern w:val="22"/>
          <w:lang w:val="es-ES"/>
        </w:rPr>
        <w:t xml:space="preserve">, </w:t>
      </w:r>
      <w:r w:rsidR="00804B83">
        <w:rPr>
          <w:snapToGrid w:val="0"/>
          <w:kern w:val="22"/>
          <w:lang w:val="es-ES"/>
        </w:rPr>
        <w:t xml:space="preserve">esto constituye un aumento de </w:t>
      </w:r>
      <w:r w:rsidR="00775B5A" w:rsidRPr="00804B83">
        <w:rPr>
          <w:snapToGrid w:val="0"/>
          <w:kern w:val="22"/>
          <w:lang w:val="es-ES"/>
        </w:rPr>
        <w:t xml:space="preserve">5 Partes, </w:t>
      </w:r>
      <w:r w:rsidR="00804B83">
        <w:rPr>
          <w:snapToGrid w:val="0"/>
          <w:kern w:val="22"/>
          <w:lang w:val="es-ES"/>
        </w:rPr>
        <w:t>con un aumento registrado especialmente en la región de África</w:t>
      </w:r>
      <w:r w:rsidR="00775B5A" w:rsidRPr="00804B83">
        <w:rPr>
          <w:snapToGrid w:val="0"/>
          <w:kern w:val="22"/>
          <w:lang w:val="es-ES"/>
        </w:rPr>
        <w:t xml:space="preserve">. </w:t>
      </w:r>
    </w:p>
    <w:p w:rsidR="00775B5A" w:rsidRPr="00C236BF" w:rsidRDefault="00C236BF"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C236BF">
        <w:rPr>
          <w:snapToGrid w:val="0"/>
          <w:kern w:val="22"/>
          <w:lang w:val="es-ES"/>
        </w:rPr>
        <w:t xml:space="preserve">No hay información disponible en relación con el </w:t>
      </w:r>
      <w:r w:rsidR="00775B5A" w:rsidRPr="00C236BF">
        <w:rPr>
          <w:b/>
          <w:bCs/>
          <w:snapToGrid w:val="0"/>
          <w:kern w:val="22"/>
          <w:lang w:val="es-ES"/>
        </w:rPr>
        <w:t>indica</w:t>
      </w:r>
      <w:r w:rsidRPr="00C236BF">
        <w:rPr>
          <w:b/>
          <w:bCs/>
          <w:snapToGrid w:val="0"/>
          <w:kern w:val="22"/>
          <w:lang w:val="es-ES"/>
        </w:rPr>
        <w:t>d</w:t>
      </w:r>
      <w:r w:rsidR="00775B5A" w:rsidRPr="00C236BF">
        <w:rPr>
          <w:b/>
          <w:bCs/>
          <w:snapToGrid w:val="0"/>
          <w:kern w:val="22"/>
          <w:lang w:val="es-ES"/>
        </w:rPr>
        <w:t>or 2.4.2</w:t>
      </w:r>
      <w:r w:rsidR="00775B5A" w:rsidRPr="00C236BF">
        <w:rPr>
          <w:snapToGrid w:val="0"/>
          <w:kern w:val="22"/>
          <w:lang w:val="es-ES"/>
        </w:rPr>
        <w:t xml:space="preserve"> (</w:t>
      </w:r>
      <w:r w:rsidRPr="00C236BF">
        <w:rPr>
          <w:snapToGrid w:val="0"/>
          <w:kern w:val="22"/>
          <w:lang w:val="es-ES"/>
        </w:rPr>
        <w:t xml:space="preserve">número de instrumentos administrativos o jurídicos nacionales </w:t>
      </w:r>
      <w:r w:rsidR="00775B5A" w:rsidRPr="00C236BF">
        <w:rPr>
          <w:snapToGrid w:val="0"/>
          <w:kern w:val="22"/>
          <w:lang w:val="es-ES"/>
        </w:rPr>
        <w:t>identifi</w:t>
      </w:r>
      <w:r w:rsidRPr="00C236BF">
        <w:rPr>
          <w:snapToGrid w:val="0"/>
          <w:kern w:val="22"/>
          <w:lang w:val="es-ES"/>
        </w:rPr>
        <w:t>cados</w:t>
      </w:r>
      <w:r w:rsidR="00775B5A" w:rsidRPr="00C236BF">
        <w:rPr>
          <w:snapToGrid w:val="0"/>
          <w:kern w:val="22"/>
          <w:lang w:val="es-ES"/>
        </w:rPr>
        <w:t xml:space="preserve">, </w:t>
      </w:r>
      <w:r w:rsidRPr="00C236BF">
        <w:rPr>
          <w:snapToGrid w:val="0"/>
          <w:kern w:val="22"/>
          <w:lang w:val="es-ES"/>
        </w:rPr>
        <w:t xml:space="preserve">enmendados o recientemente </w:t>
      </w:r>
      <w:r>
        <w:rPr>
          <w:snapToGrid w:val="0"/>
          <w:kern w:val="22"/>
          <w:lang w:val="es-ES"/>
        </w:rPr>
        <w:t>adoptados</w:t>
      </w:r>
      <w:r w:rsidRPr="00C236BF">
        <w:rPr>
          <w:snapToGrid w:val="0"/>
          <w:kern w:val="22"/>
          <w:lang w:val="es-ES"/>
        </w:rPr>
        <w:t xml:space="preserve"> que cumplen con el objetivo de las normas y procedimientos internacionales en la esfera de responsabilidad y compensaci</w:t>
      </w:r>
      <w:r>
        <w:rPr>
          <w:snapToGrid w:val="0"/>
          <w:kern w:val="22"/>
          <w:lang w:val="es-ES"/>
        </w:rPr>
        <w:t>ón</w:t>
      </w:r>
      <w:r w:rsidR="00775B5A" w:rsidRPr="00C236BF">
        <w:rPr>
          <w:snapToGrid w:val="0"/>
          <w:kern w:val="22"/>
          <w:lang w:val="es-ES"/>
        </w:rPr>
        <w:t xml:space="preserve">), </w:t>
      </w:r>
      <w:r>
        <w:rPr>
          <w:snapToGrid w:val="0"/>
          <w:kern w:val="22"/>
          <w:lang w:val="es-ES"/>
        </w:rPr>
        <w:t>y debe hacerse referencia al</w:t>
      </w:r>
      <w:r w:rsidR="00775B5A" w:rsidRPr="00C236BF">
        <w:rPr>
          <w:snapToGrid w:val="0"/>
          <w:kern w:val="22"/>
          <w:lang w:val="es-ES"/>
        </w:rPr>
        <w:t xml:space="preserve"> </w:t>
      </w:r>
      <w:r w:rsidR="00775B5A" w:rsidRPr="00C236BF">
        <w:rPr>
          <w:b/>
          <w:bCs/>
          <w:snapToGrid w:val="0"/>
          <w:kern w:val="22"/>
          <w:lang w:val="es-ES"/>
        </w:rPr>
        <w:t>indica</w:t>
      </w:r>
      <w:r>
        <w:rPr>
          <w:b/>
          <w:bCs/>
          <w:snapToGrid w:val="0"/>
          <w:kern w:val="22"/>
          <w:lang w:val="es-ES"/>
        </w:rPr>
        <w:t>d</w:t>
      </w:r>
      <w:r w:rsidR="00775B5A" w:rsidRPr="00C236BF">
        <w:rPr>
          <w:b/>
          <w:bCs/>
          <w:snapToGrid w:val="0"/>
          <w:kern w:val="22"/>
          <w:lang w:val="es-ES"/>
        </w:rPr>
        <w:t>or 1.5.2</w:t>
      </w:r>
      <w:r w:rsidR="00775B5A" w:rsidRPr="00C236BF">
        <w:rPr>
          <w:snapToGrid w:val="0"/>
          <w:kern w:val="22"/>
          <w:lang w:val="es-ES"/>
        </w:rPr>
        <w:t xml:space="preserve"> </w:t>
      </w:r>
      <w:r>
        <w:rPr>
          <w:snapToGrid w:val="0"/>
          <w:kern w:val="22"/>
          <w:lang w:val="es-ES"/>
        </w:rPr>
        <w:t>correspondiente anterior</w:t>
      </w:r>
      <w:r w:rsidR="00775B5A" w:rsidRPr="00C236BF">
        <w:rPr>
          <w:snapToGrid w:val="0"/>
          <w:kern w:val="22"/>
          <w:lang w:val="es-ES"/>
        </w:rPr>
        <w:t>.</w:t>
      </w:r>
      <w:bookmarkStart w:id="21" w:name="_Hlk30682099"/>
      <w:bookmarkEnd w:id="19"/>
    </w:p>
    <w:bookmarkEnd w:id="21"/>
    <w:p w:rsidR="00775B5A" w:rsidRPr="00C236BF" w:rsidRDefault="00C236BF" w:rsidP="001D4EEE">
      <w:pPr>
        <w:keepNext/>
        <w:numPr>
          <w:ilvl w:val="0"/>
          <w:numId w:val="3"/>
        </w:numPr>
        <w:suppressLineNumbers/>
        <w:tabs>
          <w:tab w:val="clear" w:pos="2070"/>
          <w:tab w:val="left" w:pos="360"/>
        </w:tabs>
        <w:suppressAutoHyphens/>
        <w:spacing w:before="120" w:after="120"/>
        <w:ind w:left="0" w:firstLine="0"/>
        <w:jc w:val="center"/>
        <w:outlineLvl w:val="1"/>
        <w:rPr>
          <w:b/>
          <w:bCs/>
          <w:snapToGrid w:val="0"/>
          <w:kern w:val="22"/>
          <w:lang w:val="es-ES"/>
        </w:rPr>
      </w:pPr>
      <w:r w:rsidRPr="00C236BF">
        <w:rPr>
          <w:b/>
          <w:bCs/>
          <w:snapToGrid w:val="0"/>
          <w:kern w:val="22"/>
          <w:lang w:val="es-ES"/>
        </w:rPr>
        <w:t>Manipulación, transporte, envasado e identificación</w:t>
      </w:r>
      <w:r w:rsidR="00775B5A" w:rsidRPr="00C236BF">
        <w:rPr>
          <w:b/>
          <w:bCs/>
          <w:snapToGrid w:val="0"/>
          <w:kern w:val="22"/>
          <w:lang w:val="es-ES"/>
        </w:rPr>
        <w:t xml:space="preserve"> (o</w:t>
      </w:r>
      <w:r w:rsidRPr="00C236BF">
        <w:rPr>
          <w:b/>
          <w:bCs/>
          <w:snapToGrid w:val="0"/>
          <w:kern w:val="22"/>
          <w:lang w:val="es-ES"/>
        </w:rPr>
        <w:t>bjetivos operacional</w:t>
      </w:r>
      <w:r w:rsidR="00775B5A" w:rsidRPr="00C236BF">
        <w:rPr>
          <w:b/>
          <w:bCs/>
          <w:snapToGrid w:val="0"/>
          <w:kern w:val="22"/>
          <w:lang w:val="es-ES"/>
        </w:rPr>
        <w:t xml:space="preserve">es 1.6 </w:t>
      </w:r>
      <w:r>
        <w:rPr>
          <w:b/>
          <w:bCs/>
          <w:snapToGrid w:val="0"/>
          <w:kern w:val="22"/>
          <w:lang w:val="es-ES"/>
        </w:rPr>
        <w:t>y</w:t>
      </w:r>
      <w:r w:rsidR="00775B5A" w:rsidRPr="00C236BF">
        <w:rPr>
          <w:b/>
          <w:bCs/>
          <w:snapToGrid w:val="0"/>
          <w:kern w:val="22"/>
          <w:lang w:val="es-ES"/>
        </w:rPr>
        <w:t xml:space="preserve"> 2.3)</w:t>
      </w:r>
    </w:p>
    <w:p w:rsidR="00775B5A" w:rsidRPr="00C236BF" w:rsidRDefault="00775B5A">
      <w:pPr>
        <w:keepNext/>
        <w:suppressLineNumbers/>
        <w:tabs>
          <w:tab w:val="left" w:pos="2552"/>
        </w:tabs>
        <w:suppressAutoHyphens/>
        <w:spacing w:before="120" w:after="120"/>
        <w:outlineLvl w:val="2"/>
        <w:rPr>
          <w:b/>
          <w:bCs/>
          <w:snapToGrid w:val="0"/>
          <w:kern w:val="22"/>
          <w:lang w:val="es-ES"/>
        </w:rPr>
      </w:pPr>
      <w:r w:rsidRPr="00C236BF">
        <w:rPr>
          <w:b/>
          <w:bCs/>
          <w:snapToGrid w:val="0"/>
          <w:kern w:val="22"/>
          <w:lang w:val="es-ES"/>
        </w:rPr>
        <w:t>O</w:t>
      </w:r>
      <w:r w:rsidR="00C236BF" w:rsidRPr="00C236BF">
        <w:rPr>
          <w:b/>
          <w:bCs/>
          <w:snapToGrid w:val="0"/>
          <w:kern w:val="22"/>
          <w:lang w:val="es-ES"/>
        </w:rPr>
        <w:t>bjetivo o</w:t>
      </w:r>
      <w:r w:rsidRPr="00C236BF">
        <w:rPr>
          <w:b/>
          <w:bCs/>
          <w:snapToGrid w:val="0"/>
          <w:kern w:val="22"/>
          <w:lang w:val="es-ES"/>
        </w:rPr>
        <w:t>pera</w:t>
      </w:r>
      <w:r w:rsidR="00C236BF" w:rsidRPr="00C236BF">
        <w:rPr>
          <w:b/>
          <w:bCs/>
          <w:snapToGrid w:val="0"/>
          <w:kern w:val="22"/>
          <w:lang w:val="es-ES"/>
        </w:rPr>
        <w:t>c</w:t>
      </w:r>
      <w:r w:rsidRPr="00C236BF">
        <w:rPr>
          <w:b/>
          <w:bCs/>
          <w:snapToGrid w:val="0"/>
          <w:kern w:val="22"/>
          <w:lang w:val="es-ES"/>
        </w:rPr>
        <w:t xml:space="preserve">ional 1.6: </w:t>
      </w:r>
      <w:r w:rsidR="00C236BF" w:rsidRPr="00C236BF">
        <w:rPr>
          <w:b/>
          <w:bCs/>
          <w:snapToGrid w:val="0"/>
          <w:kern w:val="22"/>
          <w:lang w:val="es-ES"/>
        </w:rPr>
        <w:t>Manipulación, transporte, envasado e identificac</w:t>
      </w:r>
      <w:r w:rsidR="00C236BF">
        <w:rPr>
          <w:b/>
          <w:bCs/>
          <w:snapToGrid w:val="0"/>
          <w:kern w:val="22"/>
          <w:lang w:val="es-ES"/>
        </w:rPr>
        <w:t>ión</w:t>
      </w:r>
    </w:p>
    <w:p w:rsidR="00775B5A" w:rsidRPr="00835E58" w:rsidRDefault="00C236BF" w:rsidP="001D4EEE">
      <w:pPr>
        <w:pStyle w:val="ListParagraph"/>
        <w:numPr>
          <w:ilvl w:val="0"/>
          <w:numId w:val="2"/>
        </w:numPr>
        <w:tabs>
          <w:tab w:val="clear" w:pos="3240"/>
        </w:tabs>
        <w:snapToGrid w:val="0"/>
        <w:ind w:left="0" w:firstLine="0"/>
        <w:rPr>
          <w:snapToGrid w:val="0"/>
          <w:kern w:val="22"/>
          <w:lang w:val="es-ES"/>
        </w:rPr>
      </w:pPr>
      <w:r w:rsidRPr="00C236BF">
        <w:rPr>
          <w:snapToGrid w:val="0"/>
          <w:kern w:val="22"/>
          <w:lang w:val="es-ES"/>
        </w:rPr>
        <w:t xml:space="preserve">En lo tocante al </w:t>
      </w:r>
      <w:r w:rsidR="00775B5A" w:rsidRPr="00C236BF">
        <w:rPr>
          <w:b/>
          <w:bCs/>
          <w:snapToGrid w:val="0"/>
          <w:kern w:val="22"/>
          <w:lang w:val="es-ES"/>
        </w:rPr>
        <w:t>indica</w:t>
      </w:r>
      <w:r w:rsidRPr="00C236BF">
        <w:rPr>
          <w:b/>
          <w:bCs/>
          <w:snapToGrid w:val="0"/>
          <w:kern w:val="22"/>
          <w:lang w:val="es-ES"/>
        </w:rPr>
        <w:t>d</w:t>
      </w:r>
      <w:r w:rsidR="00775B5A" w:rsidRPr="00C236BF">
        <w:rPr>
          <w:b/>
          <w:bCs/>
          <w:snapToGrid w:val="0"/>
          <w:kern w:val="22"/>
          <w:lang w:val="es-ES"/>
        </w:rPr>
        <w:t>or 1.6.1</w:t>
      </w:r>
      <w:r w:rsidR="00775B5A" w:rsidRPr="00C236BF">
        <w:rPr>
          <w:snapToGrid w:val="0"/>
          <w:kern w:val="22"/>
          <w:lang w:val="es-ES"/>
        </w:rPr>
        <w:t xml:space="preserve"> (</w:t>
      </w:r>
      <w:r w:rsidRPr="00C236BF">
        <w:rPr>
          <w:snapToGrid w:val="0"/>
          <w:kern w:val="22"/>
          <w:lang w:val="es-ES"/>
        </w:rPr>
        <w:t>el porcentaje de Partes que han establecido requisitos de documentación para los OVM destinados a uso directo como alimento humano o animal o para procesamiento</w:t>
      </w:r>
      <w:r w:rsidR="00775B5A" w:rsidRPr="00C236BF">
        <w:rPr>
          <w:snapToGrid w:val="0"/>
          <w:kern w:val="22"/>
          <w:lang w:val="es-ES"/>
        </w:rPr>
        <w:t>)</w:t>
      </w:r>
      <w:r w:rsidR="00775B5A" w:rsidRPr="00C236BF">
        <w:rPr>
          <w:rFonts w:ascii="Angsana New" w:hAnsi="Angsana New" w:cs="Angsana New"/>
          <w:snapToGrid w:val="0"/>
          <w:kern w:val="22"/>
          <w:lang w:val="es-ES"/>
        </w:rPr>
        <w:t>,</w:t>
      </w:r>
      <w:r>
        <w:rPr>
          <w:snapToGrid w:val="0"/>
          <w:kern w:val="22"/>
          <w:lang w:val="es-ES"/>
        </w:rPr>
        <w:t xml:space="preserve"> el 5</w:t>
      </w:r>
      <w:r w:rsidR="00775B5A" w:rsidRPr="00C236BF">
        <w:rPr>
          <w:snapToGrid w:val="0"/>
          <w:kern w:val="22"/>
          <w:lang w:val="es-ES"/>
        </w:rPr>
        <w:t>5</w:t>
      </w:r>
      <w:r>
        <w:rPr>
          <w:snapToGrid w:val="0"/>
          <w:kern w:val="22"/>
          <w:lang w:val="es-ES"/>
        </w:rPr>
        <w:t xml:space="preserve"> </w:t>
      </w:r>
      <w:r w:rsidR="00775B5A" w:rsidRPr="00C236BF">
        <w:rPr>
          <w:snapToGrid w:val="0"/>
          <w:kern w:val="22"/>
          <w:lang w:val="es-ES"/>
        </w:rPr>
        <w:t xml:space="preserve">% </w:t>
      </w:r>
      <w:r>
        <w:rPr>
          <w:snapToGrid w:val="0"/>
          <w:kern w:val="22"/>
          <w:lang w:val="es-ES"/>
        </w:rPr>
        <w:t>de las P</w:t>
      </w:r>
      <w:r w:rsidR="00775B5A" w:rsidRPr="00C236BF">
        <w:rPr>
          <w:snapToGrid w:val="0"/>
          <w:kern w:val="22"/>
          <w:lang w:val="es-ES"/>
        </w:rPr>
        <w:t xml:space="preserve">artes (51 Partes) </w:t>
      </w:r>
      <w:r w:rsidR="00DD5226">
        <w:rPr>
          <w:snapToGrid w:val="0"/>
          <w:kern w:val="22"/>
          <w:lang w:val="es-ES"/>
        </w:rPr>
        <w:t>notific</w:t>
      </w:r>
      <w:r w:rsidR="003122A1">
        <w:rPr>
          <w:snapToGrid w:val="0"/>
          <w:kern w:val="22"/>
          <w:lang w:val="es-ES"/>
        </w:rPr>
        <w:t>ó</w:t>
      </w:r>
      <w:r w:rsidR="00DD5226">
        <w:rPr>
          <w:snapToGrid w:val="0"/>
          <w:kern w:val="22"/>
          <w:lang w:val="es-ES"/>
        </w:rPr>
        <w:t xml:space="preserve"> que ha tomado medidas para </w:t>
      </w:r>
      <w:r w:rsidR="003122A1">
        <w:rPr>
          <w:snapToGrid w:val="0"/>
          <w:kern w:val="22"/>
          <w:lang w:val="es-ES"/>
        </w:rPr>
        <w:t xml:space="preserve">exigir </w:t>
      </w:r>
      <w:r w:rsidR="00DD5226">
        <w:rPr>
          <w:snapToGrid w:val="0"/>
          <w:kern w:val="22"/>
          <w:lang w:val="es-ES"/>
        </w:rPr>
        <w:t>que la documentación que acompaña a los OVM-AHAP, en los casos en los que se desconozca la identidad de tales OVM</w:t>
      </w:r>
      <w:r w:rsidR="00775B5A" w:rsidRPr="00C236BF">
        <w:rPr>
          <w:snapToGrid w:val="0"/>
          <w:kern w:val="22"/>
          <w:lang w:val="es-ES"/>
        </w:rPr>
        <w:t xml:space="preserve">, </w:t>
      </w:r>
      <w:r w:rsidR="00DD5226">
        <w:rPr>
          <w:snapToGrid w:val="0"/>
          <w:kern w:val="22"/>
          <w:lang w:val="es-ES"/>
        </w:rPr>
        <w:t>indique claramente que pueden contener OVM y que no están destinados a su introducción intencional en el medio ambiente</w:t>
      </w:r>
      <w:r w:rsidR="00775B5A" w:rsidRPr="00C236BF">
        <w:rPr>
          <w:snapToGrid w:val="0"/>
          <w:kern w:val="22"/>
          <w:lang w:val="es-ES"/>
        </w:rPr>
        <w:t xml:space="preserve">. </w:t>
      </w:r>
      <w:r w:rsidR="00DD5226" w:rsidRPr="00DD5226">
        <w:rPr>
          <w:snapToGrid w:val="0"/>
          <w:kern w:val="22"/>
          <w:lang w:val="es-ES"/>
        </w:rPr>
        <w:t xml:space="preserve">Esto representa un aumento del </w:t>
      </w:r>
      <w:r w:rsidR="00775B5A" w:rsidRPr="00DD5226">
        <w:rPr>
          <w:snapToGrid w:val="0"/>
          <w:kern w:val="22"/>
          <w:lang w:val="es-ES"/>
        </w:rPr>
        <w:t>11</w:t>
      </w:r>
      <w:r w:rsidR="00DD5226" w:rsidRPr="00DD5226">
        <w:rPr>
          <w:snapToGrid w:val="0"/>
          <w:kern w:val="22"/>
          <w:lang w:val="es-ES"/>
        </w:rPr>
        <w:t xml:space="preserve"> </w:t>
      </w:r>
      <w:r w:rsidR="00775B5A" w:rsidRPr="00DD5226">
        <w:rPr>
          <w:snapToGrid w:val="0"/>
          <w:kern w:val="22"/>
          <w:lang w:val="es-ES"/>
        </w:rPr>
        <w:t xml:space="preserve">% </w:t>
      </w:r>
      <w:r w:rsidR="00DD5226" w:rsidRPr="00DD5226">
        <w:rPr>
          <w:snapToGrid w:val="0"/>
          <w:kern w:val="22"/>
          <w:lang w:val="es-ES"/>
        </w:rPr>
        <w:t>con respecto a los datos básicos de referencia</w:t>
      </w:r>
      <w:r w:rsidR="00775B5A" w:rsidRPr="00DD5226">
        <w:rPr>
          <w:snapToGrid w:val="0"/>
          <w:kern w:val="22"/>
          <w:lang w:val="es-ES"/>
        </w:rPr>
        <w:t xml:space="preserve"> (</w:t>
      </w:r>
      <w:r w:rsidR="00DD5226" w:rsidRPr="00DD5226">
        <w:rPr>
          <w:snapToGrid w:val="0"/>
          <w:kern w:val="22"/>
          <w:lang w:val="es-ES"/>
        </w:rPr>
        <w:t>con los siguientes cambios regionales</w:t>
      </w:r>
      <w:r w:rsidR="00775B5A" w:rsidRPr="00DD5226">
        <w:rPr>
          <w:snapToGrid w:val="0"/>
          <w:kern w:val="22"/>
          <w:lang w:val="es-ES"/>
        </w:rPr>
        <w:t xml:space="preserve">: </w:t>
      </w:r>
      <w:r w:rsidR="00DD5226" w:rsidRPr="00DD5226">
        <w:rPr>
          <w:snapToGrid w:val="0"/>
          <w:kern w:val="22"/>
          <w:lang w:val="es-ES"/>
        </w:rPr>
        <w:t>Á</w:t>
      </w:r>
      <w:r w:rsidR="00775B5A" w:rsidRPr="00DD5226">
        <w:rPr>
          <w:snapToGrid w:val="0"/>
          <w:kern w:val="22"/>
          <w:lang w:val="es-ES"/>
        </w:rPr>
        <w:t>frica +</w:t>
      </w:r>
      <w:r w:rsidR="00DD5226" w:rsidRPr="00DD5226">
        <w:rPr>
          <w:snapToGrid w:val="0"/>
          <w:kern w:val="22"/>
          <w:lang w:val="es-ES"/>
        </w:rPr>
        <w:t xml:space="preserve"> </w:t>
      </w:r>
      <w:r w:rsidR="00775B5A" w:rsidRPr="00DD5226">
        <w:rPr>
          <w:snapToGrid w:val="0"/>
          <w:kern w:val="22"/>
          <w:lang w:val="es-ES"/>
        </w:rPr>
        <w:t>23</w:t>
      </w:r>
      <w:r w:rsidR="00DD5226">
        <w:rPr>
          <w:snapToGrid w:val="0"/>
          <w:kern w:val="22"/>
          <w:lang w:val="es-ES"/>
        </w:rPr>
        <w:t xml:space="preserve"> </w:t>
      </w:r>
      <w:r w:rsidR="00775B5A" w:rsidRPr="00DD5226">
        <w:rPr>
          <w:snapToGrid w:val="0"/>
          <w:kern w:val="22"/>
          <w:lang w:val="es-ES"/>
        </w:rPr>
        <w:t>%</w:t>
      </w:r>
      <w:r w:rsidR="003122A1">
        <w:rPr>
          <w:snapToGrid w:val="0"/>
          <w:kern w:val="22"/>
          <w:lang w:val="es-ES"/>
        </w:rPr>
        <w:t>,</w:t>
      </w:r>
      <w:r w:rsidR="00775B5A" w:rsidRPr="00DD5226">
        <w:rPr>
          <w:snapToGrid w:val="0"/>
          <w:kern w:val="22"/>
          <w:lang w:val="es-ES"/>
        </w:rPr>
        <w:t xml:space="preserve"> </w:t>
      </w:r>
      <w:r w:rsidR="00D74010">
        <w:rPr>
          <w:snapToGrid w:val="0"/>
          <w:kern w:val="22"/>
          <w:lang w:val="es-ES"/>
        </w:rPr>
        <w:t>grupo de países de América Latina y el Caribe</w:t>
      </w:r>
      <w:r w:rsidR="00775B5A" w:rsidRPr="00DD5226">
        <w:rPr>
          <w:snapToGrid w:val="0"/>
          <w:kern w:val="22"/>
          <w:lang w:val="es-ES"/>
        </w:rPr>
        <w:t xml:space="preserve"> +</w:t>
      </w:r>
      <w:r w:rsidR="00DD5226">
        <w:rPr>
          <w:snapToGrid w:val="0"/>
          <w:kern w:val="22"/>
          <w:lang w:val="es-ES"/>
        </w:rPr>
        <w:t xml:space="preserve"> </w:t>
      </w:r>
      <w:r w:rsidR="00775B5A" w:rsidRPr="00DD5226">
        <w:rPr>
          <w:snapToGrid w:val="0"/>
          <w:kern w:val="22"/>
          <w:lang w:val="es-ES"/>
        </w:rPr>
        <w:t>8</w:t>
      </w:r>
      <w:r w:rsidR="00DD5226">
        <w:rPr>
          <w:snapToGrid w:val="0"/>
          <w:kern w:val="22"/>
          <w:lang w:val="es-ES"/>
        </w:rPr>
        <w:t xml:space="preserve"> </w:t>
      </w:r>
      <w:r w:rsidR="00775B5A" w:rsidRPr="00DD5226">
        <w:rPr>
          <w:snapToGrid w:val="0"/>
          <w:kern w:val="22"/>
          <w:lang w:val="es-ES"/>
        </w:rPr>
        <w:t>%</w:t>
      </w:r>
      <w:r w:rsidR="003122A1">
        <w:rPr>
          <w:snapToGrid w:val="0"/>
          <w:kern w:val="22"/>
          <w:lang w:val="es-ES"/>
        </w:rPr>
        <w:t>,</w:t>
      </w:r>
      <w:r w:rsidR="00775B5A" w:rsidRPr="00DD5226">
        <w:rPr>
          <w:snapToGrid w:val="0"/>
          <w:kern w:val="22"/>
          <w:lang w:val="es-ES"/>
        </w:rPr>
        <w:t xml:space="preserve"> Asia</w:t>
      </w:r>
      <w:r w:rsidR="00FD6528">
        <w:rPr>
          <w:snapToGrid w:val="0"/>
          <w:kern w:val="22"/>
          <w:lang w:val="es-ES"/>
        </w:rPr>
        <w:t xml:space="preserve"> y el </w:t>
      </w:r>
      <w:r w:rsidR="00775B5A" w:rsidRPr="00DD5226">
        <w:rPr>
          <w:snapToGrid w:val="0"/>
          <w:kern w:val="22"/>
          <w:lang w:val="es-ES"/>
        </w:rPr>
        <w:t>Pac</w:t>
      </w:r>
      <w:r w:rsidR="00DD5226">
        <w:rPr>
          <w:snapToGrid w:val="0"/>
          <w:kern w:val="22"/>
          <w:lang w:val="es-ES"/>
        </w:rPr>
        <w:t>í</w:t>
      </w:r>
      <w:r w:rsidR="00775B5A" w:rsidRPr="00DD5226">
        <w:rPr>
          <w:snapToGrid w:val="0"/>
          <w:kern w:val="22"/>
          <w:lang w:val="es-ES"/>
        </w:rPr>
        <w:t>fic</w:t>
      </w:r>
      <w:r w:rsidR="00DD5226">
        <w:rPr>
          <w:snapToGrid w:val="0"/>
          <w:kern w:val="22"/>
          <w:lang w:val="es-ES"/>
        </w:rPr>
        <w:t>o</w:t>
      </w:r>
      <w:r w:rsidR="00775B5A" w:rsidRPr="00DD5226">
        <w:rPr>
          <w:snapToGrid w:val="0"/>
          <w:kern w:val="22"/>
          <w:lang w:val="es-ES"/>
        </w:rPr>
        <w:t xml:space="preserve"> +</w:t>
      </w:r>
      <w:r w:rsidR="00DD5226">
        <w:rPr>
          <w:snapToGrid w:val="0"/>
          <w:kern w:val="22"/>
          <w:lang w:val="es-ES"/>
        </w:rPr>
        <w:t xml:space="preserve"> </w:t>
      </w:r>
      <w:r w:rsidR="00775B5A" w:rsidRPr="00DD5226">
        <w:rPr>
          <w:snapToGrid w:val="0"/>
          <w:kern w:val="22"/>
          <w:lang w:val="es-ES"/>
        </w:rPr>
        <w:t>6</w:t>
      </w:r>
      <w:r w:rsidR="00DD5226">
        <w:rPr>
          <w:snapToGrid w:val="0"/>
          <w:kern w:val="22"/>
          <w:lang w:val="es-ES"/>
        </w:rPr>
        <w:t xml:space="preserve"> </w:t>
      </w:r>
      <w:r w:rsidR="00775B5A" w:rsidRPr="00DD5226">
        <w:rPr>
          <w:snapToGrid w:val="0"/>
          <w:kern w:val="22"/>
          <w:lang w:val="es-ES"/>
        </w:rPr>
        <w:t>%</w:t>
      </w:r>
      <w:r w:rsidR="003122A1">
        <w:rPr>
          <w:snapToGrid w:val="0"/>
          <w:kern w:val="22"/>
          <w:lang w:val="es-ES"/>
        </w:rPr>
        <w:t>,</w:t>
      </w:r>
      <w:r w:rsidR="00775B5A" w:rsidRPr="00DD5226">
        <w:rPr>
          <w:snapToGrid w:val="0"/>
          <w:kern w:val="22"/>
          <w:lang w:val="es-ES"/>
        </w:rPr>
        <w:t xml:space="preserve"> </w:t>
      </w:r>
      <w:r w:rsidR="00EA78DC">
        <w:rPr>
          <w:snapToGrid w:val="0"/>
          <w:kern w:val="22"/>
          <w:lang w:val="es-ES"/>
        </w:rPr>
        <w:t>grupo de Estados de Europa Central y Oriental</w:t>
      </w:r>
      <w:r w:rsidR="00EA78DC" w:rsidRPr="00EC2231">
        <w:rPr>
          <w:snapToGrid w:val="0"/>
          <w:kern w:val="22"/>
          <w:lang w:val="es-ES"/>
        </w:rPr>
        <w:t xml:space="preserve"> </w:t>
      </w:r>
      <w:r w:rsidR="00775B5A" w:rsidRPr="00DD5226">
        <w:rPr>
          <w:snapToGrid w:val="0"/>
          <w:kern w:val="22"/>
          <w:lang w:val="es-ES"/>
        </w:rPr>
        <w:t>+</w:t>
      </w:r>
      <w:r w:rsidR="00DD5226">
        <w:rPr>
          <w:snapToGrid w:val="0"/>
          <w:kern w:val="22"/>
          <w:lang w:val="es-ES"/>
        </w:rPr>
        <w:t xml:space="preserve"> </w:t>
      </w:r>
      <w:r w:rsidR="00775B5A" w:rsidRPr="00DD5226">
        <w:rPr>
          <w:snapToGrid w:val="0"/>
          <w:kern w:val="22"/>
          <w:lang w:val="es-ES"/>
        </w:rPr>
        <w:t>6</w:t>
      </w:r>
      <w:r w:rsidR="00DD5226">
        <w:rPr>
          <w:snapToGrid w:val="0"/>
          <w:kern w:val="22"/>
          <w:lang w:val="es-ES"/>
        </w:rPr>
        <w:t xml:space="preserve"> </w:t>
      </w:r>
      <w:r w:rsidR="00775B5A" w:rsidRPr="00DD5226">
        <w:rPr>
          <w:snapToGrid w:val="0"/>
          <w:kern w:val="22"/>
          <w:lang w:val="es-ES"/>
        </w:rPr>
        <w:t>%</w:t>
      </w:r>
      <w:r w:rsidR="00477624">
        <w:rPr>
          <w:snapToGrid w:val="0"/>
          <w:kern w:val="22"/>
          <w:lang w:val="es-ES"/>
        </w:rPr>
        <w:t>,</w:t>
      </w:r>
      <w:r w:rsidR="00775B5A" w:rsidRPr="00DD5226">
        <w:rPr>
          <w:snapToGrid w:val="0"/>
          <w:kern w:val="22"/>
          <w:lang w:val="es-ES"/>
        </w:rPr>
        <w:t xml:space="preserve"> </w:t>
      </w:r>
      <w:r w:rsidR="00DD5226">
        <w:rPr>
          <w:snapToGrid w:val="0"/>
          <w:kern w:val="22"/>
          <w:lang w:val="es-ES"/>
        </w:rPr>
        <w:t>grupo de Estados de Europa Occidental y otros</w:t>
      </w:r>
      <w:r w:rsidR="00775B5A" w:rsidRPr="00DD5226">
        <w:rPr>
          <w:snapToGrid w:val="0"/>
          <w:kern w:val="22"/>
          <w:lang w:val="es-ES"/>
        </w:rPr>
        <w:t xml:space="preserve">: </w:t>
      </w:r>
      <w:r w:rsidR="00835E58">
        <w:rPr>
          <w:snapToGrid w:val="0"/>
          <w:kern w:val="22"/>
          <w:lang w:val="es-ES"/>
        </w:rPr>
        <w:t>sin cambios con respecto a los datos básicos de referencia</w:t>
      </w:r>
      <w:r w:rsidR="00775B5A" w:rsidRPr="00DD5226">
        <w:rPr>
          <w:snapToGrid w:val="0"/>
          <w:kern w:val="22"/>
          <w:lang w:val="es-ES"/>
        </w:rPr>
        <w:t xml:space="preserve">). </w:t>
      </w:r>
      <w:r w:rsidR="00835E58" w:rsidRPr="00835E58">
        <w:rPr>
          <w:snapToGrid w:val="0"/>
          <w:kern w:val="22"/>
          <w:lang w:val="es-ES"/>
        </w:rPr>
        <w:t>Además</w:t>
      </w:r>
      <w:r w:rsidR="00775B5A" w:rsidRPr="00835E58">
        <w:rPr>
          <w:snapToGrid w:val="0"/>
          <w:kern w:val="22"/>
          <w:lang w:val="es-ES"/>
        </w:rPr>
        <w:t xml:space="preserve">, </w:t>
      </w:r>
      <w:r w:rsidR="00835E58" w:rsidRPr="00835E58">
        <w:rPr>
          <w:snapToGrid w:val="0"/>
          <w:kern w:val="22"/>
          <w:lang w:val="es-ES"/>
        </w:rPr>
        <w:t xml:space="preserve">el </w:t>
      </w:r>
      <w:r w:rsidR="00775B5A" w:rsidRPr="00835E58">
        <w:rPr>
          <w:snapToGrid w:val="0"/>
          <w:kern w:val="22"/>
          <w:lang w:val="es-ES"/>
        </w:rPr>
        <w:t>16</w:t>
      </w:r>
      <w:r w:rsidR="00835E58" w:rsidRPr="00835E58">
        <w:rPr>
          <w:snapToGrid w:val="0"/>
          <w:kern w:val="22"/>
          <w:lang w:val="es-ES"/>
        </w:rPr>
        <w:t xml:space="preserve"> </w:t>
      </w:r>
      <w:r w:rsidR="00775B5A" w:rsidRPr="00835E58">
        <w:rPr>
          <w:snapToGrid w:val="0"/>
          <w:kern w:val="22"/>
          <w:lang w:val="es-ES"/>
        </w:rPr>
        <w:t xml:space="preserve">% </w:t>
      </w:r>
      <w:r w:rsidR="00835E58" w:rsidRPr="00835E58">
        <w:rPr>
          <w:snapToGrid w:val="0"/>
          <w:kern w:val="22"/>
          <w:lang w:val="es-ES"/>
        </w:rPr>
        <w:t>de las P</w:t>
      </w:r>
      <w:r w:rsidR="00775B5A" w:rsidRPr="00835E58">
        <w:rPr>
          <w:snapToGrid w:val="0"/>
          <w:kern w:val="22"/>
          <w:lang w:val="es-ES"/>
        </w:rPr>
        <w:t xml:space="preserve">artes (15 Partes) </w:t>
      </w:r>
      <w:r w:rsidR="00835E58" w:rsidRPr="00835E58">
        <w:rPr>
          <w:snapToGrid w:val="0"/>
          <w:kern w:val="22"/>
          <w:lang w:val="es-ES"/>
        </w:rPr>
        <w:t>comunic</w:t>
      </w:r>
      <w:r w:rsidR="003122A1">
        <w:rPr>
          <w:snapToGrid w:val="0"/>
          <w:kern w:val="22"/>
          <w:lang w:val="es-ES"/>
        </w:rPr>
        <w:t>ó</w:t>
      </w:r>
      <w:r w:rsidR="00835E58" w:rsidRPr="00835E58">
        <w:rPr>
          <w:snapToGrid w:val="0"/>
          <w:kern w:val="22"/>
          <w:lang w:val="es-ES"/>
        </w:rPr>
        <w:t xml:space="preserve"> que </w:t>
      </w:r>
      <w:r w:rsidR="00835E58">
        <w:rPr>
          <w:snapToGrid w:val="0"/>
          <w:kern w:val="22"/>
          <w:lang w:val="es-ES"/>
        </w:rPr>
        <w:t>había adoptado esas medidas hasta cierto punto (sin cambios respecto de los datos básicos de referencia</w:t>
      </w:r>
      <w:r w:rsidR="00775B5A" w:rsidRPr="00835E58">
        <w:rPr>
          <w:snapToGrid w:val="0"/>
          <w:kern w:val="22"/>
          <w:lang w:val="es-ES"/>
        </w:rPr>
        <w:t xml:space="preserve">). </w:t>
      </w:r>
    </w:p>
    <w:p w:rsidR="00775B5A" w:rsidRPr="00835E58" w:rsidRDefault="00775B5A">
      <w:pPr>
        <w:pStyle w:val="ListParagraph"/>
        <w:snapToGrid w:val="0"/>
        <w:ind w:left="0"/>
        <w:rPr>
          <w:rFonts w:ascii="Angsana New" w:hAnsi="Angsana New" w:cs="Angsana New"/>
          <w:snapToGrid w:val="0"/>
          <w:kern w:val="22"/>
          <w:lang w:val="es-ES"/>
        </w:rPr>
      </w:pPr>
    </w:p>
    <w:p w:rsidR="00775B5A" w:rsidRPr="009E78D5" w:rsidRDefault="00835E58" w:rsidP="001D4EEE">
      <w:pPr>
        <w:pStyle w:val="ListParagraph"/>
        <w:numPr>
          <w:ilvl w:val="0"/>
          <w:numId w:val="2"/>
        </w:numPr>
        <w:tabs>
          <w:tab w:val="clear" w:pos="3240"/>
        </w:tabs>
        <w:snapToGrid w:val="0"/>
        <w:spacing w:before="120" w:after="120"/>
        <w:ind w:left="0" w:firstLine="0"/>
        <w:rPr>
          <w:rFonts w:ascii="Angsana New" w:hAnsi="Angsana New" w:cs="Angsana New"/>
          <w:snapToGrid w:val="0"/>
          <w:kern w:val="22"/>
          <w:lang w:val="es-ES"/>
        </w:rPr>
      </w:pPr>
      <w:r w:rsidRPr="00835E58">
        <w:rPr>
          <w:snapToGrid w:val="0"/>
          <w:kern w:val="22"/>
          <w:lang w:val="es-ES"/>
        </w:rPr>
        <w:lastRenderedPageBreak/>
        <w:t>Un total del</w:t>
      </w:r>
      <w:r w:rsidR="00775B5A" w:rsidRPr="00835E58">
        <w:rPr>
          <w:snapToGrid w:val="0"/>
          <w:kern w:val="22"/>
          <w:lang w:val="es-ES"/>
        </w:rPr>
        <w:t xml:space="preserve"> 62</w:t>
      </w:r>
      <w:r w:rsidRPr="00835E58">
        <w:rPr>
          <w:snapToGrid w:val="0"/>
          <w:kern w:val="22"/>
          <w:lang w:val="es-ES"/>
        </w:rPr>
        <w:t xml:space="preserve"> % de las</w:t>
      </w:r>
      <w:r w:rsidR="00775B5A" w:rsidRPr="00835E58">
        <w:rPr>
          <w:snapToGrid w:val="0"/>
          <w:kern w:val="22"/>
          <w:lang w:val="es-ES"/>
        </w:rPr>
        <w:t xml:space="preserve"> Partes (58 Partes) </w:t>
      </w:r>
      <w:r w:rsidRPr="00835E58">
        <w:rPr>
          <w:snapToGrid w:val="0"/>
          <w:kern w:val="22"/>
          <w:lang w:val="es-ES"/>
        </w:rPr>
        <w:t>informó que ha adoptado medidas para exigir que la documentación que acompaña a los OVM-AHAP, en los casos en los que se desconozca la identidad de los OVM</w:t>
      </w:r>
      <w:r w:rsidR="00775B5A" w:rsidRPr="00835E58">
        <w:rPr>
          <w:snapToGrid w:val="0"/>
          <w:kern w:val="22"/>
          <w:lang w:val="es-ES"/>
        </w:rPr>
        <w:t xml:space="preserve">, </w:t>
      </w:r>
      <w:r w:rsidRPr="00835E58">
        <w:rPr>
          <w:snapToGrid w:val="0"/>
          <w:kern w:val="22"/>
          <w:lang w:val="es-ES"/>
        </w:rPr>
        <w:t>identifique claramente que contienen OVM y que no est</w:t>
      </w:r>
      <w:r>
        <w:rPr>
          <w:snapToGrid w:val="0"/>
          <w:kern w:val="22"/>
          <w:lang w:val="es-ES"/>
        </w:rPr>
        <w:t>án destinados a su introducción intencional en el medio ambiente</w:t>
      </w:r>
      <w:r w:rsidR="00775B5A" w:rsidRPr="00835E58">
        <w:rPr>
          <w:snapToGrid w:val="0"/>
          <w:kern w:val="22"/>
          <w:lang w:val="es-ES"/>
        </w:rPr>
        <w:t>, as</w:t>
      </w:r>
      <w:r>
        <w:rPr>
          <w:snapToGrid w:val="0"/>
          <w:kern w:val="22"/>
          <w:lang w:val="es-ES"/>
        </w:rPr>
        <w:t xml:space="preserve">í como un punto de contacto para </w:t>
      </w:r>
      <w:r w:rsidR="009E78D5">
        <w:rPr>
          <w:snapToGrid w:val="0"/>
          <w:kern w:val="22"/>
          <w:lang w:val="es-ES"/>
        </w:rPr>
        <w:t xml:space="preserve">obtener </w:t>
      </w:r>
      <w:r>
        <w:rPr>
          <w:snapToGrid w:val="0"/>
          <w:kern w:val="22"/>
          <w:lang w:val="es-ES"/>
        </w:rPr>
        <w:t>más información</w:t>
      </w:r>
      <w:r w:rsidR="00775B5A" w:rsidRPr="00835E58">
        <w:rPr>
          <w:snapToGrid w:val="0"/>
          <w:kern w:val="22"/>
          <w:lang w:val="es-ES"/>
        </w:rPr>
        <w:t xml:space="preserve">. </w:t>
      </w:r>
      <w:r w:rsidRPr="00835E58">
        <w:rPr>
          <w:snapToGrid w:val="0"/>
          <w:kern w:val="22"/>
          <w:lang w:val="es-ES"/>
        </w:rPr>
        <w:t>Esto representa un aumento de</w:t>
      </w:r>
      <w:r w:rsidR="002908AE">
        <w:rPr>
          <w:snapToGrid w:val="0"/>
          <w:kern w:val="22"/>
          <w:lang w:val="es-ES"/>
        </w:rPr>
        <w:t xml:space="preserve"> un</w:t>
      </w:r>
      <w:r w:rsidR="00775B5A" w:rsidRPr="00835E58">
        <w:rPr>
          <w:snapToGrid w:val="0"/>
          <w:kern w:val="22"/>
          <w:lang w:val="es-ES"/>
        </w:rPr>
        <w:t xml:space="preserve"> 15</w:t>
      </w:r>
      <w:r w:rsidRPr="00835E58">
        <w:rPr>
          <w:snapToGrid w:val="0"/>
          <w:kern w:val="22"/>
          <w:lang w:val="es-ES"/>
        </w:rPr>
        <w:t xml:space="preserve"> </w:t>
      </w:r>
      <w:r w:rsidR="00775B5A" w:rsidRPr="00835E58">
        <w:rPr>
          <w:snapToGrid w:val="0"/>
          <w:kern w:val="22"/>
          <w:lang w:val="es-ES"/>
        </w:rPr>
        <w:t xml:space="preserve">% </w:t>
      </w:r>
      <w:r w:rsidRPr="00835E58">
        <w:rPr>
          <w:snapToGrid w:val="0"/>
          <w:kern w:val="22"/>
          <w:lang w:val="es-ES"/>
        </w:rPr>
        <w:t xml:space="preserve">con respecto a los datos básicos de referencia </w:t>
      </w:r>
      <w:r w:rsidR="00775B5A" w:rsidRPr="00835E58">
        <w:rPr>
          <w:snapToGrid w:val="0"/>
          <w:kern w:val="22"/>
          <w:lang w:val="es-ES"/>
        </w:rPr>
        <w:t>(</w:t>
      </w:r>
      <w:r>
        <w:rPr>
          <w:snapToGrid w:val="0"/>
          <w:kern w:val="22"/>
          <w:lang w:val="es-ES"/>
        </w:rPr>
        <w:t>con los siguientes cambios regionales</w:t>
      </w:r>
      <w:r w:rsidR="00775B5A" w:rsidRPr="00835E58">
        <w:rPr>
          <w:snapToGrid w:val="0"/>
          <w:kern w:val="22"/>
          <w:lang w:val="es-ES"/>
        </w:rPr>
        <w:t xml:space="preserve">: </w:t>
      </w:r>
      <w:r>
        <w:rPr>
          <w:snapToGrid w:val="0"/>
          <w:kern w:val="22"/>
          <w:lang w:val="es-ES"/>
        </w:rPr>
        <w:t>Á</w:t>
      </w:r>
      <w:r w:rsidR="00775B5A" w:rsidRPr="00835E58">
        <w:rPr>
          <w:snapToGrid w:val="0"/>
          <w:kern w:val="22"/>
          <w:lang w:val="es-ES"/>
        </w:rPr>
        <w:t>frica +</w:t>
      </w:r>
      <w:r>
        <w:rPr>
          <w:snapToGrid w:val="0"/>
          <w:kern w:val="22"/>
          <w:lang w:val="es-ES"/>
        </w:rPr>
        <w:t xml:space="preserve"> </w:t>
      </w:r>
      <w:r w:rsidR="00775B5A" w:rsidRPr="00835E58">
        <w:rPr>
          <w:snapToGrid w:val="0"/>
          <w:kern w:val="22"/>
          <w:lang w:val="es-ES"/>
        </w:rPr>
        <w:t>30</w:t>
      </w:r>
      <w:r>
        <w:rPr>
          <w:snapToGrid w:val="0"/>
          <w:kern w:val="22"/>
          <w:lang w:val="es-ES"/>
        </w:rPr>
        <w:t xml:space="preserve"> </w:t>
      </w:r>
      <w:r w:rsidR="00775B5A" w:rsidRPr="00835E58">
        <w:rPr>
          <w:snapToGrid w:val="0"/>
          <w:kern w:val="22"/>
          <w:lang w:val="es-ES"/>
        </w:rPr>
        <w:t>%</w:t>
      </w:r>
      <w:r w:rsidR="003122A1">
        <w:rPr>
          <w:snapToGrid w:val="0"/>
          <w:kern w:val="22"/>
          <w:lang w:val="es-ES"/>
        </w:rPr>
        <w:t>,</w:t>
      </w:r>
      <w:r w:rsidR="00775B5A" w:rsidRPr="00835E58">
        <w:rPr>
          <w:snapToGrid w:val="0"/>
          <w:kern w:val="22"/>
          <w:lang w:val="es-ES"/>
        </w:rPr>
        <w:t xml:space="preserve"> </w:t>
      </w:r>
      <w:r w:rsidR="00D74010">
        <w:rPr>
          <w:snapToGrid w:val="0"/>
          <w:kern w:val="22"/>
          <w:lang w:val="es-ES"/>
        </w:rPr>
        <w:t>grupo de países de América Latina y el Caribe</w:t>
      </w:r>
      <w:r w:rsidR="00D74010" w:rsidRPr="00835E58">
        <w:rPr>
          <w:snapToGrid w:val="0"/>
          <w:kern w:val="22"/>
          <w:lang w:val="es-ES"/>
        </w:rPr>
        <w:t xml:space="preserve"> </w:t>
      </w:r>
      <w:r w:rsidR="00775B5A" w:rsidRPr="00835E58">
        <w:rPr>
          <w:snapToGrid w:val="0"/>
          <w:kern w:val="22"/>
          <w:lang w:val="es-ES"/>
        </w:rPr>
        <w:t>+</w:t>
      </w:r>
      <w:r>
        <w:rPr>
          <w:snapToGrid w:val="0"/>
          <w:kern w:val="22"/>
          <w:lang w:val="es-ES"/>
        </w:rPr>
        <w:t xml:space="preserve"> </w:t>
      </w:r>
      <w:r w:rsidR="00775B5A" w:rsidRPr="00835E58">
        <w:rPr>
          <w:snapToGrid w:val="0"/>
          <w:kern w:val="22"/>
          <w:lang w:val="es-ES"/>
        </w:rPr>
        <w:t>23</w:t>
      </w:r>
      <w:r>
        <w:rPr>
          <w:snapToGrid w:val="0"/>
          <w:kern w:val="22"/>
          <w:lang w:val="es-ES"/>
        </w:rPr>
        <w:t xml:space="preserve"> </w:t>
      </w:r>
      <w:r w:rsidR="00775B5A" w:rsidRPr="00835E58">
        <w:rPr>
          <w:snapToGrid w:val="0"/>
          <w:kern w:val="22"/>
          <w:lang w:val="es-ES"/>
        </w:rPr>
        <w:t>%</w:t>
      </w:r>
      <w:r w:rsidR="003122A1">
        <w:rPr>
          <w:snapToGrid w:val="0"/>
          <w:kern w:val="22"/>
          <w:lang w:val="es-ES"/>
        </w:rPr>
        <w:t>,</w:t>
      </w:r>
      <w:r w:rsidR="00775B5A" w:rsidRPr="00835E58">
        <w:rPr>
          <w:snapToGrid w:val="0"/>
          <w:kern w:val="22"/>
          <w:lang w:val="es-ES"/>
        </w:rPr>
        <w:t xml:space="preserve"> </w:t>
      </w:r>
      <w:r w:rsidR="00477624">
        <w:rPr>
          <w:snapToGrid w:val="0"/>
          <w:kern w:val="22"/>
          <w:lang w:val="es-ES"/>
        </w:rPr>
        <w:t>grupo de Estados de Europa Central y Oriental</w:t>
      </w:r>
      <w:r w:rsidR="00477624" w:rsidRPr="00EC2231">
        <w:rPr>
          <w:snapToGrid w:val="0"/>
          <w:kern w:val="22"/>
          <w:lang w:val="es-ES"/>
        </w:rPr>
        <w:t xml:space="preserve"> </w:t>
      </w:r>
      <w:r w:rsidR="00775B5A" w:rsidRPr="00835E58">
        <w:rPr>
          <w:snapToGrid w:val="0"/>
          <w:kern w:val="22"/>
          <w:lang w:val="es-ES"/>
        </w:rPr>
        <w:t>+</w:t>
      </w:r>
      <w:r>
        <w:rPr>
          <w:snapToGrid w:val="0"/>
          <w:kern w:val="22"/>
          <w:lang w:val="es-ES"/>
        </w:rPr>
        <w:t xml:space="preserve"> </w:t>
      </w:r>
      <w:r w:rsidR="00775B5A" w:rsidRPr="00835E58">
        <w:rPr>
          <w:snapToGrid w:val="0"/>
          <w:kern w:val="22"/>
          <w:lang w:val="es-ES"/>
        </w:rPr>
        <w:t>13</w:t>
      </w:r>
      <w:r>
        <w:rPr>
          <w:snapToGrid w:val="0"/>
          <w:kern w:val="22"/>
          <w:lang w:val="es-ES"/>
        </w:rPr>
        <w:t xml:space="preserve"> </w:t>
      </w:r>
      <w:r w:rsidR="00775B5A" w:rsidRPr="00835E58">
        <w:rPr>
          <w:snapToGrid w:val="0"/>
          <w:kern w:val="22"/>
          <w:lang w:val="es-ES"/>
        </w:rPr>
        <w:t>%</w:t>
      </w:r>
      <w:r w:rsidR="003122A1">
        <w:rPr>
          <w:snapToGrid w:val="0"/>
          <w:kern w:val="22"/>
          <w:lang w:val="es-ES"/>
        </w:rPr>
        <w:t>,</w:t>
      </w:r>
      <w:r w:rsidR="00775B5A" w:rsidRPr="00835E58">
        <w:rPr>
          <w:snapToGrid w:val="0"/>
          <w:kern w:val="22"/>
          <w:lang w:val="es-ES"/>
        </w:rPr>
        <w:t xml:space="preserve"> Asia</w:t>
      </w:r>
      <w:r w:rsidR="00FD6528">
        <w:rPr>
          <w:snapToGrid w:val="0"/>
          <w:kern w:val="22"/>
          <w:lang w:val="es-ES"/>
        </w:rPr>
        <w:t xml:space="preserve"> y el </w:t>
      </w:r>
      <w:r>
        <w:rPr>
          <w:snapToGrid w:val="0"/>
          <w:kern w:val="22"/>
          <w:lang w:val="es-ES"/>
        </w:rPr>
        <w:t>Pacífico</w:t>
      </w:r>
      <w:r w:rsidR="00775B5A" w:rsidRPr="00835E58">
        <w:rPr>
          <w:snapToGrid w:val="0"/>
          <w:kern w:val="22"/>
          <w:lang w:val="es-ES"/>
        </w:rPr>
        <w:t xml:space="preserve"> </w:t>
      </w:r>
      <w:r>
        <w:rPr>
          <w:snapToGrid w:val="0"/>
          <w:kern w:val="22"/>
          <w:lang w:val="es-ES"/>
        </w:rPr>
        <w:t>y</w:t>
      </w:r>
      <w:r w:rsidR="00775B5A" w:rsidRPr="00835E58">
        <w:rPr>
          <w:snapToGrid w:val="0"/>
          <w:kern w:val="22"/>
          <w:lang w:val="es-ES"/>
        </w:rPr>
        <w:t xml:space="preserve"> </w:t>
      </w:r>
      <w:r>
        <w:rPr>
          <w:snapToGrid w:val="0"/>
          <w:kern w:val="22"/>
          <w:lang w:val="es-ES"/>
        </w:rPr>
        <w:t>grupo de Estados de Europa Occidental y otros: sin cambios con respecto a los datos básicos de referencia</w:t>
      </w:r>
      <w:r w:rsidR="00775B5A" w:rsidRPr="00835E58">
        <w:rPr>
          <w:snapToGrid w:val="0"/>
          <w:kern w:val="22"/>
          <w:lang w:val="es-ES"/>
        </w:rPr>
        <w:t xml:space="preserve">). </w:t>
      </w:r>
      <w:r w:rsidR="009E78D5" w:rsidRPr="009E78D5">
        <w:rPr>
          <w:snapToGrid w:val="0"/>
          <w:kern w:val="22"/>
          <w:lang w:val="es-ES"/>
        </w:rPr>
        <w:t xml:space="preserve">Otro </w:t>
      </w:r>
      <w:r w:rsidR="00775B5A" w:rsidRPr="009E78D5">
        <w:rPr>
          <w:snapToGrid w:val="0"/>
          <w:kern w:val="22"/>
          <w:lang w:val="es-ES"/>
        </w:rPr>
        <w:t>16</w:t>
      </w:r>
      <w:r w:rsidR="009E78D5" w:rsidRPr="009E78D5">
        <w:rPr>
          <w:snapToGrid w:val="0"/>
          <w:kern w:val="22"/>
          <w:lang w:val="es-ES"/>
        </w:rPr>
        <w:t xml:space="preserve"> </w:t>
      </w:r>
      <w:r w:rsidR="00775B5A" w:rsidRPr="009E78D5">
        <w:rPr>
          <w:snapToGrid w:val="0"/>
          <w:kern w:val="22"/>
          <w:lang w:val="es-ES"/>
        </w:rPr>
        <w:t xml:space="preserve">% </w:t>
      </w:r>
      <w:r w:rsidR="009E78D5" w:rsidRPr="009E78D5">
        <w:rPr>
          <w:snapToGrid w:val="0"/>
          <w:kern w:val="22"/>
          <w:lang w:val="es-ES"/>
        </w:rPr>
        <w:t>de las</w:t>
      </w:r>
      <w:r w:rsidR="00775B5A" w:rsidRPr="009E78D5">
        <w:rPr>
          <w:snapToGrid w:val="0"/>
          <w:kern w:val="22"/>
          <w:lang w:val="es-ES"/>
        </w:rPr>
        <w:t xml:space="preserve"> Partes (15 Partes) </w:t>
      </w:r>
      <w:r w:rsidR="009E78D5" w:rsidRPr="009E78D5">
        <w:rPr>
          <w:snapToGrid w:val="0"/>
          <w:kern w:val="22"/>
          <w:lang w:val="es-ES"/>
        </w:rPr>
        <w:t>comunic</w:t>
      </w:r>
      <w:r w:rsidR="003122A1">
        <w:rPr>
          <w:snapToGrid w:val="0"/>
          <w:kern w:val="22"/>
          <w:lang w:val="es-ES"/>
        </w:rPr>
        <w:t>ó</w:t>
      </w:r>
      <w:r w:rsidR="009E78D5" w:rsidRPr="009E78D5">
        <w:rPr>
          <w:snapToGrid w:val="0"/>
          <w:kern w:val="22"/>
          <w:lang w:val="es-ES"/>
        </w:rPr>
        <w:t xml:space="preserve"> que había adoptado esas medidas hasta cierto punto, lo que supone una disminuci</w:t>
      </w:r>
      <w:r w:rsidR="009E78D5">
        <w:rPr>
          <w:snapToGrid w:val="0"/>
          <w:kern w:val="22"/>
          <w:lang w:val="es-ES"/>
        </w:rPr>
        <w:t xml:space="preserve">ón del </w:t>
      </w:r>
      <w:r w:rsidR="00775B5A" w:rsidRPr="009E78D5">
        <w:rPr>
          <w:snapToGrid w:val="0"/>
          <w:kern w:val="22"/>
          <w:lang w:val="es-ES"/>
        </w:rPr>
        <w:t>1</w:t>
      </w:r>
      <w:r w:rsidR="009E78D5">
        <w:rPr>
          <w:snapToGrid w:val="0"/>
          <w:kern w:val="22"/>
          <w:lang w:val="es-ES"/>
        </w:rPr>
        <w:t xml:space="preserve"> </w:t>
      </w:r>
      <w:r w:rsidR="00775B5A" w:rsidRPr="009E78D5">
        <w:rPr>
          <w:snapToGrid w:val="0"/>
          <w:kern w:val="22"/>
          <w:lang w:val="es-ES"/>
        </w:rPr>
        <w:t>% (</w:t>
      </w:r>
      <w:r w:rsidR="009E78D5">
        <w:rPr>
          <w:snapToGrid w:val="0"/>
          <w:kern w:val="22"/>
          <w:lang w:val="es-ES"/>
        </w:rPr>
        <w:t xml:space="preserve">véase </w:t>
      </w:r>
      <w:r w:rsidR="00030FC1">
        <w:rPr>
          <w:snapToGrid w:val="0"/>
          <w:kern w:val="22"/>
          <w:lang w:val="es-ES"/>
        </w:rPr>
        <w:t>el gráfico</w:t>
      </w:r>
      <w:r w:rsidR="00775B5A" w:rsidRPr="009E78D5">
        <w:rPr>
          <w:snapToGrid w:val="0"/>
          <w:kern w:val="22"/>
          <w:lang w:val="es-ES"/>
        </w:rPr>
        <w:t xml:space="preserve"> 4)</w:t>
      </w:r>
      <w:r w:rsidR="00775B5A" w:rsidRPr="009E78D5">
        <w:rPr>
          <w:rFonts w:ascii="Angsana New" w:hAnsi="Angsana New" w:cs="Angsana New"/>
          <w:snapToGrid w:val="0"/>
          <w:kern w:val="22"/>
          <w:lang w:val="es-ES"/>
        </w:rPr>
        <w:t>.</w:t>
      </w:r>
    </w:p>
    <w:p w:rsidR="00775B5A" w:rsidRPr="002908AE" w:rsidRDefault="00391FB3" w:rsidP="001D4EEE">
      <w:pPr>
        <w:pStyle w:val="ListParagraph"/>
        <w:numPr>
          <w:ilvl w:val="0"/>
          <w:numId w:val="2"/>
        </w:numPr>
        <w:tabs>
          <w:tab w:val="clear" w:pos="3240"/>
        </w:tabs>
        <w:snapToGrid w:val="0"/>
        <w:spacing w:before="120" w:after="120"/>
        <w:ind w:left="0" w:firstLine="0"/>
        <w:rPr>
          <w:rFonts w:ascii="Angsana New" w:hAnsi="Angsana New" w:cs="Angsana New"/>
          <w:snapToGrid w:val="0"/>
          <w:kern w:val="22"/>
          <w:lang w:val="es-ES"/>
        </w:rPr>
      </w:pPr>
      <w:r w:rsidRPr="00391FB3">
        <w:rPr>
          <w:snapToGrid w:val="0"/>
          <w:kern w:val="22"/>
          <w:lang w:val="es-ES"/>
        </w:rPr>
        <w:t xml:space="preserve">En cuanto al </w:t>
      </w:r>
      <w:r w:rsidR="00775B5A" w:rsidRPr="00391FB3">
        <w:rPr>
          <w:b/>
          <w:bCs/>
          <w:snapToGrid w:val="0"/>
          <w:kern w:val="22"/>
          <w:lang w:val="es-ES"/>
        </w:rPr>
        <w:t>indica</w:t>
      </w:r>
      <w:r w:rsidRPr="00391FB3">
        <w:rPr>
          <w:b/>
          <w:bCs/>
          <w:snapToGrid w:val="0"/>
          <w:kern w:val="22"/>
          <w:lang w:val="es-ES"/>
        </w:rPr>
        <w:t>d</w:t>
      </w:r>
      <w:r w:rsidR="00775B5A" w:rsidRPr="00391FB3">
        <w:rPr>
          <w:b/>
          <w:bCs/>
          <w:snapToGrid w:val="0"/>
          <w:kern w:val="22"/>
          <w:lang w:val="es-ES"/>
        </w:rPr>
        <w:t>or 1.6.2</w:t>
      </w:r>
      <w:r w:rsidR="00775B5A" w:rsidRPr="00391FB3">
        <w:rPr>
          <w:snapToGrid w:val="0"/>
          <w:kern w:val="22"/>
          <w:lang w:val="es-ES"/>
        </w:rPr>
        <w:t xml:space="preserve"> (</w:t>
      </w:r>
      <w:r w:rsidRPr="00391FB3">
        <w:rPr>
          <w:snapToGrid w:val="0"/>
          <w:kern w:val="22"/>
          <w:lang w:val="es-ES"/>
        </w:rPr>
        <w:t>el porcentaje de Partes que ha establecido requisitos de documentación para los OVM destinados a uso confinado y para introducción intencional en el medio ambiente</w:t>
      </w:r>
      <w:r w:rsidR="00775B5A" w:rsidRPr="00391FB3">
        <w:rPr>
          <w:snapToGrid w:val="0"/>
          <w:kern w:val="22"/>
          <w:lang w:val="es-ES"/>
        </w:rPr>
        <w:t xml:space="preserve">), </w:t>
      </w:r>
      <w:r w:rsidRPr="00391FB3">
        <w:rPr>
          <w:snapToGrid w:val="0"/>
          <w:kern w:val="22"/>
          <w:lang w:val="es-ES"/>
        </w:rPr>
        <w:t xml:space="preserve">el </w:t>
      </w:r>
      <w:r w:rsidR="00775B5A" w:rsidRPr="00391FB3">
        <w:rPr>
          <w:snapToGrid w:val="0"/>
          <w:kern w:val="22"/>
          <w:lang w:val="es-ES"/>
        </w:rPr>
        <w:t>63</w:t>
      </w:r>
      <w:r w:rsidRPr="00391FB3">
        <w:rPr>
          <w:snapToGrid w:val="0"/>
          <w:kern w:val="22"/>
          <w:lang w:val="es-ES"/>
        </w:rPr>
        <w:t xml:space="preserve"> </w:t>
      </w:r>
      <w:r w:rsidR="00775B5A" w:rsidRPr="00391FB3">
        <w:rPr>
          <w:snapToGrid w:val="0"/>
          <w:kern w:val="22"/>
          <w:lang w:val="es-ES"/>
        </w:rPr>
        <w:t xml:space="preserve">% </w:t>
      </w:r>
      <w:r w:rsidRPr="00391FB3">
        <w:rPr>
          <w:snapToGrid w:val="0"/>
          <w:kern w:val="22"/>
          <w:lang w:val="es-ES"/>
        </w:rPr>
        <w:t>de las Pa</w:t>
      </w:r>
      <w:r w:rsidR="00775B5A" w:rsidRPr="00391FB3">
        <w:rPr>
          <w:snapToGrid w:val="0"/>
          <w:kern w:val="22"/>
          <w:lang w:val="es-ES"/>
        </w:rPr>
        <w:t xml:space="preserve">rtes (59 Partes) </w:t>
      </w:r>
      <w:r w:rsidRPr="00391FB3">
        <w:rPr>
          <w:snapToGrid w:val="0"/>
          <w:kern w:val="22"/>
          <w:lang w:val="es-ES"/>
        </w:rPr>
        <w:t>inform</w:t>
      </w:r>
      <w:r w:rsidR="003122A1">
        <w:rPr>
          <w:snapToGrid w:val="0"/>
          <w:kern w:val="22"/>
          <w:lang w:val="es-ES"/>
        </w:rPr>
        <w:t>ó</w:t>
      </w:r>
      <w:r w:rsidRPr="00391FB3">
        <w:rPr>
          <w:snapToGrid w:val="0"/>
          <w:kern w:val="22"/>
          <w:lang w:val="es-ES"/>
        </w:rPr>
        <w:t xml:space="preserve"> que había tomado medidas para </w:t>
      </w:r>
      <w:r>
        <w:rPr>
          <w:snapToGrid w:val="0"/>
          <w:kern w:val="22"/>
          <w:lang w:val="es-ES"/>
        </w:rPr>
        <w:t>exigir</w:t>
      </w:r>
      <w:r w:rsidRPr="00391FB3">
        <w:rPr>
          <w:snapToGrid w:val="0"/>
          <w:kern w:val="22"/>
          <w:lang w:val="es-ES"/>
        </w:rPr>
        <w:t xml:space="preserve"> que la documentaci</w:t>
      </w:r>
      <w:r>
        <w:rPr>
          <w:snapToGrid w:val="0"/>
          <w:kern w:val="22"/>
          <w:lang w:val="es-ES"/>
        </w:rPr>
        <w:t>ón que acompaña a los OVM destinados al uso confinado los identifique claramente como OVM y especifique los requisitos para su manipulación, almacenamiento, transporte y uso seguros</w:t>
      </w:r>
      <w:r w:rsidR="00775B5A" w:rsidRPr="00391FB3">
        <w:rPr>
          <w:snapToGrid w:val="0"/>
          <w:kern w:val="22"/>
          <w:lang w:val="es-ES"/>
        </w:rPr>
        <w:t xml:space="preserve">, </w:t>
      </w:r>
      <w:r>
        <w:rPr>
          <w:snapToGrid w:val="0"/>
          <w:kern w:val="22"/>
          <w:lang w:val="es-ES"/>
        </w:rPr>
        <w:t>el punto de contacto para obtener más información, incluidos el nombre y la dirección de la persona y la institución a la que se envían los OVM</w:t>
      </w:r>
      <w:r w:rsidR="00775B5A" w:rsidRPr="00391FB3">
        <w:rPr>
          <w:snapToGrid w:val="0"/>
          <w:kern w:val="22"/>
          <w:lang w:val="es-ES"/>
        </w:rPr>
        <w:t xml:space="preserve">. </w:t>
      </w:r>
      <w:r w:rsidRPr="00391FB3">
        <w:rPr>
          <w:snapToGrid w:val="0"/>
          <w:kern w:val="22"/>
          <w:lang w:val="es-ES"/>
        </w:rPr>
        <w:t>Esto representa un aumento d</w:t>
      </w:r>
      <w:r w:rsidR="003122A1">
        <w:rPr>
          <w:snapToGrid w:val="0"/>
          <w:kern w:val="22"/>
          <w:lang w:val="es-ES"/>
        </w:rPr>
        <w:t>e un</w:t>
      </w:r>
      <w:r w:rsidRPr="00391FB3">
        <w:rPr>
          <w:snapToGrid w:val="0"/>
          <w:kern w:val="22"/>
          <w:lang w:val="es-ES"/>
        </w:rPr>
        <w:t xml:space="preserve"> </w:t>
      </w:r>
      <w:r w:rsidR="00775B5A" w:rsidRPr="00391FB3">
        <w:rPr>
          <w:snapToGrid w:val="0"/>
          <w:kern w:val="22"/>
          <w:lang w:val="es-ES"/>
        </w:rPr>
        <w:t>9</w:t>
      </w:r>
      <w:r w:rsidRPr="00391FB3">
        <w:rPr>
          <w:snapToGrid w:val="0"/>
          <w:kern w:val="22"/>
          <w:lang w:val="es-ES"/>
        </w:rPr>
        <w:t xml:space="preserve"> </w:t>
      </w:r>
      <w:r w:rsidR="00775B5A" w:rsidRPr="00391FB3">
        <w:rPr>
          <w:snapToGrid w:val="0"/>
          <w:kern w:val="22"/>
          <w:lang w:val="es-ES"/>
        </w:rPr>
        <w:t xml:space="preserve">% </w:t>
      </w:r>
      <w:r w:rsidRPr="00391FB3">
        <w:rPr>
          <w:snapToGrid w:val="0"/>
          <w:kern w:val="22"/>
          <w:lang w:val="es-ES"/>
        </w:rPr>
        <w:t>con respecto a los datos básicos de referencia</w:t>
      </w:r>
      <w:r w:rsidR="00775B5A" w:rsidRPr="00391FB3">
        <w:rPr>
          <w:snapToGrid w:val="0"/>
          <w:kern w:val="22"/>
          <w:lang w:val="es-ES"/>
        </w:rPr>
        <w:t xml:space="preserve"> (</w:t>
      </w:r>
      <w:r w:rsidRPr="00391FB3">
        <w:rPr>
          <w:snapToGrid w:val="0"/>
          <w:kern w:val="22"/>
          <w:lang w:val="es-ES"/>
        </w:rPr>
        <w:t>con los siguientes cambios regionales</w:t>
      </w:r>
      <w:r w:rsidR="00775B5A" w:rsidRPr="00391FB3">
        <w:rPr>
          <w:snapToGrid w:val="0"/>
          <w:kern w:val="22"/>
          <w:lang w:val="es-ES"/>
        </w:rPr>
        <w:t xml:space="preserve">: </w:t>
      </w:r>
      <w:r w:rsidRPr="00391FB3">
        <w:rPr>
          <w:snapToGrid w:val="0"/>
          <w:kern w:val="22"/>
          <w:lang w:val="es-ES"/>
        </w:rPr>
        <w:t>Á</w:t>
      </w:r>
      <w:r w:rsidR="00775B5A" w:rsidRPr="00391FB3">
        <w:rPr>
          <w:snapToGrid w:val="0"/>
          <w:kern w:val="22"/>
          <w:lang w:val="es-ES"/>
        </w:rPr>
        <w:t>frica +</w:t>
      </w:r>
      <w:r w:rsidRPr="00391FB3">
        <w:rPr>
          <w:snapToGrid w:val="0"/>
          <w:kern w:val="22"/>
          <w:lang w:val="es-ES"/>
        </w:rPr>
        <w:t xml:space="preserve"> </w:t>
      </w:r>
      <w:r w:rsidR="00775B5A" w:rsidRPr="00391FB3">
        <w:rPr>
          <w:snapToGrid w:val="0"/>
          <w:kern w:val="22"/>
          <w:lang w:val="es-ES"/>
        </w:rPr>
        <w:t>27</w:t>
      </w:r>
      <w:r>
        <w:rPr>
          <w:snapToGrid w:val="0"/>
          <w:kern w:val="22"/>
          <w:lang w:val="es-ES"/>
        </w:rPr>
        <w:t xml:space="preserve"> </w:t>
      </w:r>
      <w:r w:rsidR="00775B5A" w:rsidRPr="00391FB3">
        <w:rPr>
          <w:snapToGrid w:val="0"/>
          <w:kern w:val="22"/>
          <w:lang w:val="es-ES"/>
        </w:rPr>
        <w:t>%</w:t>
      </w:r>
      <w:r w:rsidR="003122A1">
        <w:rPr>
          <w:snapToGrid w:val="0"/>
          <w:kern w:val="22"/>
          <w:lang w:val="es-ES"/>
        </w:rPr>
        <w:t>,</w:t>
      </w:r>
      <w:r w:rsidR="00775B5A" w:rsidRPr="00391FB3">
        <w:rPr>
          <w:snapToGrid w:val="0"/>
          <w:kern w:val="22"/>
          <w:lang w:val="es-ES"/>
        </w:rPr>
        <w:t xml:space="preserve"> </w:t>
      </w:r>
      <w:r w:rsidR="00477624">
        <w:rPr>
          <w:snapToGrid w:val="0"/>
          <w:kern w:val="22"/>
          <w:lang w:val="es-ES"/>
        </w:rPr>
        <w:t>grupo de Estados de Europa Central y Oriental</w:t>
      </w:r>
      <w:r w:rsidR="00477624" w:rsidRPr="00EC2231">
        <w:rPr>
          <w:snapToGrid w:val="0"/>
          <w:kern w:val="22"/>
          <w:lang w:val="es-ES"/>
        </w:rPr>
        <w:t xml:space="preserve"> </w:t>
      </w:r>
      <w:r w:rsidR="00775B5A" w:rsidRPr="00391FB3">
        <w:rPr>
          <w:snapToGrid w:val="0"/>
          <w:kern w:val="22"/>
          <w:lang w:val="es-ES"/>
        </w:rPr>
        <w:t>+</w:t>
      </w:r>
      <w:r>
        <w:rPr>
          <w:snapToGrid w:val="0"/>
          <w:kern w:val="22"/>
          <w:lang w:val="es-ES"/>
        </w:rPr>
        <w:t xml:space="preserve"> </w:t>
      </w:r>
      <w:r w:rsidR="00775B5A" w:rsidRPr="00391FB3">
        <w:rPr>
          <w:snapToGrid w:val="0"/>
          <w:kern w:val="22"/>
          <w:lang w:val="es-ES"/>
        </w:rPr>
        <w:t>19</w:t>
      </w:r>
      <w:r>
        <w:rPr>
          <w:snapToGrid w:val="0"/>
          <w:kern w:val="22"/>
          <w:lang w:val="es-ES"/>
        </w:rPr>
        <w:t xml:space="preserve"> </w:t>
      </w:r>
      <w:r w:rsidR="00775B5A" w:rsidRPr="00391FB3">
        <w:rPr>
          <w:snapToGrid w:val="0"/>
          <w:kern w:val="22"/>
          <w:lang w:val="es-ES"/>
        </w:rPr>
        <w:t>%</w:t>
      </w:r>
      <w:r w:rsidR="003122A1">
        <w:rPr>
          <w:snapToGrid w:val="0"/>
          <w:kern w:val="22"/>
          <w:lang w:val="es-ES"/>
        </w:rPr>
        <w:t>,</w:t>
      </w:r>
      <w:r w:rsidR="00775B5A" w:rsidRPr="00391FB3">
        <w:rPr>
          <w:snapToGrid w:val="0"/>
          <w:kern w:val="22"/>
          <w:lang w:val="es-ES"/>
        </w:rPr>
        <w:t xml:space="preserve"> Asia</w:t>
      </w:r>
      <w:r w:rsidR="00FD6528">
        <w:rPr>
          <w:snapToGrid w:val="0"/>
          <w:kern w:val="22"/>
          <w:lang w:val="es-ES"/>
        </w:rPr>
        <w:t xml:space="preserve"> y el </w:t>
      </w:r>
      <w:r w:rsidR="00775B5A" w:rsidRPr="00391FB3">
        <w:rPr>
          <w:snapToGrid w:val="0"/>
          <w:kern w:val="22"/>
          <w:lang w:val="es-ES"/>
        </w:rPr>
        <w:t>Pac</w:t>
      </w:r>
      <w:r>
        <w:rPr>
          <w:snapToGrid w:val="0"/>
          <w:kern w:val="22"/>
          <w:lang w:val="es-ES"/>
        </w:rPr>
        <w:t>ífico</w:t>
      </w:r>
      <w:r w:rsidR="00775B5A" w:rsidRPr="00391FB3">
        <w:rPr>
          <w:snapToGrid w:val="0"/>
          <w:kern w:val="22"/>
          <w:lang w:val="es-ES"/>
        </w:rPr>
        <w:t xml:space="preserve"> +</w:t>
      </w:r>
      <w:r>
        <w:rPr>
          <w:snapToGrid w:val="0"/>
          <w:kern w:val="22"/>
          <w:lang w:val="es-ES"/>
        </w:rPr>
        <w:t xml:space="preserve"> </w:t>
      </w:r>
      <w:r w:rsidR="00775B5A" w:rsidRPr="00391FB3">
        <w:rPr>
          <w:snapToGrid w:val="0"/>
          <w:kern w:val="22"/>
          <w:lang w:val="es-ES"/>
        </w:rPr>
        <w:t>6</w:t>
      </w:r>
      <w:r>
        <w:rPr>
          <w:snapToGrid w:val="0"/>
          <w:kern w:val="22"/>
          <w:lang w:val="es-ES"/>
        </w:rPr>
        <w:t xml:space="preserve"> </w:t>
      </w:r>
      <w:r w:rsidR="00775B5A" w:rsidRPr="00391FB3">
        <w:rPr>
          <w:snapToGrid w:val="0"/>
          <w:kern w:val="22"/>
          <w:lang w:val="es-ES"/>
        </w:rPr>
        <w:t>%</w:t>
      </w:r>
      <w:r w:rsidR="003122A1">
        <w:rPr>
          <w:snapToGrid w:val="0"/>
          <w:kern w:val="22"/>
          <w:lang w:val="es-ES"/>
        </w:rPr>
        <w:t>,</w:t>
      </w:r>
      <w:r w:rsidR="00775B5A" w:rsidRPr="00391FB3">
        <w:rPr>
          <w:snapToGrid w:val="0"/>
          <w:kern w:val="22"/>
          <w:lang w:val="es-ES"/>
        </w:rPr>
        <w:t xml:space="preserve"> </w:t>
      </w:r>
      <w:r>
        <w:rPr>
          <w:snapToGrid w:val="0"/>
          <w:kern w:val="22"/>
          <w:lang w:val="es-ES"/>
        </w:rPr>
        <w:t>grupo de Estados de Europa Occidental y otros</w:t>
      </w:r>
      <w:r w:rsidR="00775B5A" w:rsidRPr="00391FB3">
        <w:rPr>
          <w:snapToGrid w:val="0"/>
          <w:kern w:val="22"/>
          <w:lang w:val="es-ES"/>
        </w:rPr>
        <w:t xml:space="preserve"> </w:t>
      </w:r>
      <w:r>
        <w:rPr>
          <w:snapToGrid w:val="0"/>
          <w:kern w:val="22"/>
          <w:lang w:val="es-ES"/>
        </w:rPr>
        <w:t>sin cambios con respecto a los datos básicos de referencia</w:t>
      </w:r>
      <w:r w:rsidR="003122A1">
        <w:rPr>
          <w:snapToGrid w:val="0"/>
          <w:kern w:val="22"/>
          <w:lang w:val="es-ES"/>
        </w:rPr>
        <w:t>,</w:t>
      </w:r>
      <w:r w:rsidR="00775B5A" w:rsidRPr="00391FB3">
        <w:rPr>
          <w:snapToGrid w:val="0"/>
          <w:kern w:val="22"/>
          <w:lang w:val="es-ES"/>
        </w:rPr>
        <w:t xml:space="preserve"> </w:t>
      </w:r>
      <w:r w:rsidR="00D74010">
        <w:rPr>
          <w:snapToGrid w:val="0"/>
          <w:kern w:val="22"/>
          <w:lang w:val="es-ES"/>
        </w:rPr>
        <w:t>grupo de países de América Latina y el Caribe</w:t>
      </w:r>
      <w:r w:rsidR="00D74010" w:rsidRPr="00391FB3">
        <w:rPr>
          <w:snapToGrid w:val="0"/>
          <w:kern w:val="22"/>
          <w:lang w:val="es-ES"/>
        </w:rPr>
        <w:t xml:space="preserve"> </w:t>
      </w:r>
      <w:r w:rsidR="00D74010">
        <w:rPr>
          <w:snapToGrid w:val="0"/>
          <w:kern w:val="22"/>
          <w:lang w:val="es-ES"/>
        </w:rPr>
        <w:t>-</w:t>
      </w:r>
      <w:r>
        <w:rPr>
          <w:snapToGrid w:val="0"/>
          <w:kern w:val="22"/>
          <w:lang w:val="es-ES"/>
        </w:rPr>
        <w:t xml:space="preserve"> </w:t>
      </w:r>
      <w:r w:rsidR="00775B5A" w:rsidRPr="00391FB3">
        <w:rPr>
          <w:snapToGrid w:val="0"/>
          <w:kern w:val="22"/>
          <w:lang w:val="es-ES"/>
        </w:rPr>
        <w:t>23</w:t>
      </w:r>
      <w:r>
        <w:rPr>
          <w:snapToGrid w:val="0"/>
          <w:kern w:val="22"/>
          <w:lang w:val="es-ES"/>
        </w:rPr>
        <w:t xml:space="preserve"> </w:t>
      </w:r>
      <w:r w:rsidR="00775B5A" w:rsidRPr="00391FB3">
        <w:rPr>
          <w:snapToGrid w:val="0"/>
          <w:kern w:val="22"/>
          <w:lang w:val="es-ES"/>
        </w:rPr>
        <w:t xml:space="preserve">%). </w:t>
      </w:r>
      <w:r w:rsidRPr="002908AE">
        <w:rPr>
          <w:snapToGrid w:val="0"/>
          <w:kern w:val="22"/>
          <w:lang w:val="es-ES"/>
        </w:rPr>
        <w:t>Un total</w:t>
      </w:r>
      <w:r w:rsidR="003122A1">
        <w:rPr>
          <w:snapToGrid w:val="0"/>
          <w:kern w:val="22"/>
          <w:lang w:val="es-ES"/>
        </w:rPr>
        <w:t xml:space="preserve"> del </w:t>
      </w:r>
      <w:r w:rsidR="00775B5A" w:rsidRPr="002908AE">
        <w:rPr>
          <w:snapToGrid w:val="0"/>
          <w:kern w:val="22"/>
          <w:lang w:val="es-ES"/>
        </w:rPr>
        <w:t>13</w:t>
      </w:r>
      <w:r w:rsidRPr="002908AE">
        <w:rPr>
          <w:snapToGrid w:val="0"/>
          <w:kern w:val="22"/>
          <w:lang w:val="es-ES"/>
        </w:rPr>
        <w:t xml:space="preserve"> </w:t>
      </w:r>
      <w:r w:rsidR="00775B5A" w:rsidRPr="002908AE">
        <w:rPr>
          <w:snapToGrid w:val="0"/>
          <w:kern w:val="22"/>
          <w:lang w:val="es-ES"/>
        </w:rPr>
        <w:t xml:space="preserve">% </w:t>
      </w:r>
      <w:r w:rsidRPr="002908AE">
        <w:rPr>
          <w:snapToGrid w:val="0"/>
          <w:kern w:val="22"/>
          <w:lang w:val="es-ES"/>
        </w:rPr>
        <w:t xml:space="preserve">de las </w:t>
      </w:r>
      <w:r w:rsidR="00775B5A" w:rsidRPr="002908AE">
        <w:rPr>
          <w:snapToGrid w:val="0"/>
          <w:kern w:val="22"/>
          <w:lang w:val="es-ES"/>
        </w:rPr>
        <w:t xml:space="preserve">Partes (12 Partes) </w:t>
      </w:r>
      <w:r w:rsidR="002908AE">
        <w:rPr>
          <w:snapToGrid w:val="0"/>
          <w:kern w:val="22"/>
          <w:lang w:val="es-ES"/>
        </w:rPr>
        <w:t>comunic</w:t>
      </w:r>
      <w:r w:rsidR="003122A1">
        <w:rPr>
          <w:snapToGrid w:val="0"/>
          <w:kern w:val="22"/>
          <w:lang w:val="es-ES"/>
        </w:rPr>
        <w:t>ó que ha</w:t>
      </w:r>
      <w:r w:rsidR="002908AE">
        <w:rPr>
          <w:snapToGrid w:val="0"/>
          <w:kern w:val="22"/>
          <w:lang w:val="es-ES"/>
        </w:rPr>
        <w:t xml:space="preserve"> tomado dichas medidas hasta cierto punto, lo que supone una disminución de</w:t>
      </w:r>
      <w:r w:rsidR="003122A1">
        <w:rPr>
          <w:snapToGrid w:val="0"/>
          <w:kern w:val="22"/>
          <w:lang w:val="es-ES"/>
        </w:rPr>
        <w:t xml:space="preserve"> un</w:t>
      </w:r>
      <w:r w:rsidR="002908AE">
        <w:rPr>
          <w:snapToGrid w:val="0"/>
          <w:kern w:val="22"/>
          <w:lang w:val="es-ES"/>
        </w:rPr>
        <w:t xml:space="preserve"> </w:t>
      </w:r>
      <w:r w:rsidR="00775B5A" w:rsidRPr="002908AE">
        <w:rPr>
          <w:snapToGrid w:val="0"/>
          <w:kern w:val="22"/>
          <w:lang w:val="es-ES"/>
        </w:rPr>
        <w:t>5</w:t>
      </w:r>
      <w:r w:rsidR="002908AE">
        <w:rPr>
          <w:snapToGrid w:val="0"/>
          <w:kern w:val="22"/>
          <w:lang w:val="es-ES"/>
        </w:rPr>
        <w:t xml:space="preserve"> </w:t>
      </w:r>
      <w:r w:rsidR="00775B5A" w:rsidRPr="002908AE">
        <w:rPr>
          <w:snapToGrid w:val="0"/>
          <w:kern w:val="22"/>
          <w:lang w:val="es-ES"/>
        </w:rPr>
        <w:t xml:space="preserve">% </w:t>
      </w:r>
      <w:r w:rsidR="002908AE">
        <w:rPr>
          <w:snapToGrid w:val="0"/>
          <w:kern w:val="22"/>
          <w:lang w:val="es-ES"/>
        </w:rPr>
        <w:t>con respecto a los datos básicos de referencia</w:t>
      </w:r>
      <w:r w:rsidR="00775B5A" w:rsidRPr="002908AE">
        <w:rPr>
          <w:snapToGrid w:val="0"/>
          <w:kern w:val="22"/>
          <w:lang w:val="es-ES"/>
        </w:rPr>
        <w:t xml:space="preserve"> (</w:t>
      </w:r>
      <w:r w:rsidR="002908AE">
        <w:rPr>
          <w:snapToGrid w:val="0"/>
          <w:kern w:val="22"/>
          <w:lang w:val="es-ES"/>
        </w:rPr>
        <w:t>véase</w:t>
      </w:r>
      <w:r w:rsidR="003122A1">
        <w:rPr>
          <w:snapToGrid w:val="0"/>
          <w:kern w:val="22"/>
          <w:lang w:val="es-ES"/>
        </w:rPr>
        <w:t xml:space="preserve"> </w:t>
      </w:r>
      <w:r w:rsidR="00030FC1">
        <w:rPr>
          <w:snapToGrid w:val="0"/>
          <w:kern w:val="22"/>
          <w:lang w:val="es-ES"/>
        </w:rPr>
        <w:t>el gráfico</w:t>
      </w:r>
      <w:r w:rsidR="00775B5A" w:rsidRPr="002908AE">
        <w:rPr>
          <w:snapToGrid w:val="0"/>
          <w:kern w:val="22"/>
          <w:lang w:val="es-ES"/>
        </w:rPr>
        <w:t xml:space="preserve"> 4)</w:t>
      </w:r>
      <w:r w:rsidR="00775B5A" w:rsidRPr="002908AE">
        <w:rPr>
          <w:rFonts w:ascii="Angsana New" w:hAnsi="Angsana New" w:cs="Angsana New"/>
          <w:snapToGrid w:val="0"/>
          <w:kern w:val="22"/>
          <w:lang w:val="es-ES"/>
        </w:rPr>
        <w:t>.</w:t>
      </w:r>
    </w:p>
    <w:p w:rsidR="00775B5A" w:rsidRPr="002E21F4" w:rsidRDefault="002E21F4">
      <w:pPr>
        <w:pStyle w:val="ListParagraph"/>
        <w:suppressLineNumbers/>
        <w:suppressAutoHyphens/>
        <w:snapToGrid w:val="0"/>
        <w:spacing w:before="120" w:after="120"/>
        <w:ind w:left="0"/>
        <w:jc w:val="center"/>
        <w:rPr>
          <w:rFonts w:ascii="Angsana New" w:hAnsi="Angsana New" w:cs="Angsana New"/>
          <w:snapToGrid w:val="0"/>
          <w:kern w:val="22"/>
        </w:rPr>
      </w:pPr>
      <w:r>
        <w:rPr>
          <w:noProof/>
        </w:rPr>
      </w:r>
      <w:r>
        <w:rPr>
          <w:noProof/>
        </w:rPr>
        <w:pict w14:anchorId="4DCAD804">
          <v:shape id="_x0000_s1040" type="#_x0000_t75" style="width:474.85pt;height:276.3pt;mso-left-percent:-10001;mso-top-percent:-10001;mso-position-horizontal:absolute;mso-position-horizontal-relative:char;mso-position-vertical:absolute;mso-position-vertical-relative:line;mso-left-percent:-10001;mso-top-percent:-10001">
            <v:imagedata r:id="rId17" o:title=""/>
            <w10:anchorlock/>
          </v:shape>
        </w:pict>
      </w:r>
    </w:p>
    <w:p w:rsidR="00775B5A" w:rsidRPr="009F363A" w:rsidRDefault="002908AE"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2908AE">
        <w:rPr>
          <w:snapToGrid w:val="0"/>
          <w:kern w:val="22"/>
          <w:lang w:val="es-ES"/>
        </w:rPr>
        <w:t>En lo que respecta al</w:t>
      </w:r>
      <w:r w:rsidR="00775B5A" w:rsidRPr="002908AE">
        <w:rPr>
          <w:snapToGrid w:val="0"/>
          <w:kern w:val="22"/>
          <w:lang w:val="es-ES"/>
        </w:rPr>
        <w:t xml:space="preserve"> </w:t>
      </w:r>
      <w:r w:rsidR="00775B5A" w:rsidRPr="002908AE">
        <w:rPr>
          <w:b/>
          <w:bCs/>
          <w:snapToGrid w:val="0"/>
          <w:kern w:val="22"/>
          <w:lang w:val="es-ES"/>
        </w:rPr>
        <w:t>indica</w:t>
      </w:r>
      <w:r w:rsidRPr="002908AE">
        <w:rPr>
          <w:b/>
          <w:bCs/>
          <w:snapToGrid w:val="0"/>
          <w:kern w:val="22"/>
          <w:lang w:val="es-ES"/>
        </w:rPr>
        <w:t>d</w:t>
      </w:r>
      <w:r w:rsidR="00775B5A" w:rsidRPr="002908AE">
        <w:rPr>
          <w:b/>
          <w:bCs/>
          <w:snapToGrid w:val="0"/>
          <w:kern w:val="22"/>
          <w:lang w:val="es-ES"/>
        </w:rPr>
        <w:t>or 1.6.3</w:t>
      </w:r>
      <w:r w:rsidR="00775B5A" w:rsidRPr="002908AE">
        <w:rPr>
          <w:snapToGrid w:val="0"/>
          <w:kern w:val="22"/>
          <w:lang w:val="es-ES"/>
        </w:rPr>
        <w:t xml:space="preserve"> (</w:t>
      </w:r>
      <w:r w:rsidRPr="002908AE">
        <w:rPr>
          <w:snapToGrid w:val="0"/>
          <w:kern w:val="22"/>
          <w:lang w:val="es-ES"/>
        </w:rPr>
        <w:t xml:space="preserve">el número de </w:t>
      </w:r>
      <w:r w:rsidR="00775B5A" w:rsidRPr="002908AE">
        <w:rPr>
          <w:snapToGrid w:val="0"/>
          <w:kern w:val="22"/>
          <w:lang w:val="es-ES"/>
        </w:rPr>
        <w:t xml:space="preserve">Partes </w:t>
      </w:r>
      <w:r w:rsidRPr="002908AE">
        <w:rPr>
          <w:snapToGrid w:val="0"/>
          <w:kern w:val="22"/>
          <w:lang w:val="es-ES"/>
        </w:rPr>
        <w:t>con acceso a instrumentos capaces de detectar OVM no autorizados)</w:t>
      </w:r>
      <w:r w:rsidR="00775B5A" w:rsidRPr="002908AE">
        <w:rPr>
          <w:snapToGrid w:val="0"/>
          <w:kern w:val="22"/>
          <w:lang w:val="es-ES"/>
        </w:rPr>
        <w:t xml:space="preserve">, </w:t>
      </w:r>
      <w:r w:rsidRPr="002908AE">
        <w:rPr>
          <w:snapToGrid w:val="0"/>
          <w:kern w:val="22"/>
          <w:lang w:val="es-ES"/>
        </w:rPr>
        <w:t>la información más</w:t>
      </w:r>
      <w:r w:rsidR="009F363A">
        <w:rPr>
          <w:snapToGrid w:val="0"/>
          <w:kern w:val="22"/>
          <w:lang w:val="es-ES"/>
        </w:rPr>
        <w:t xml:space="preserve"> próxima</w:t>
      </w:r>
      <w:r w:rsidRPr="002908AE">
        <w:rPr>
          <w:snapToGrid w:val="0"/>
          <w:kern w:val="22"/>
          <w:lang w:val="es-ES"/>
        </w:rPr>
        <w:t xml:space="preserve"> de que se dispone para medir los progresos est</w:t>
      </w:r>
      <w:r>
        <w:rPr>
          <w:snapToGrid w:val="0"/>
          <w:kern w:val="22"/>
          <w:lang w:val="es-ES"/>
        </w:rPr>
        <w:t>á relacionada con las Partes que han establecido procedimientos para el muestreo y la detección de OVM</w:t>
      </w:r>
      <w:r w:rsidR="00775B5A" w:rsidRPr="002908AE">
        <w:rPr>
          <w:snapToGrid w:val="0"/>
          <w:kern w:val="22"/>
          <w:lang w:val="es-ES"/>
        </w:rPr>
        <w:t xml:space="preserve">. </w:t>
      </w:r>
      <w:r w:rsidRPr="002908AE">
        <w:rPr>
          <w:snapToGrid w:val="0"/>
          <w:kern w:val="22"/>
          <w:lang w:val="es-ES"/>
        </w:rPr>
        <w:t>Un</w:t>
      </w:r>
      <w:r w:rsidR="00775B5A" w:rsidRPr="002908AE">
        <w:rPr>
          <w:snapToGrid w:val="0"/>
          <w:kern w:val="22"/>
          <w:lang w:val="es-ES"/>
        </w:rPr>
        <w:t xml:space="preserve"> total </w:t>
      </w:r>
      <w:r w:rsidRPr="002908AE">
        <w:rPr>
          <w:snapToGrid w:val="0"/>
          <w:kern w:val="22"/>
          <w:lang w:val="es-ES"/>
        </w:rPr>
        <w:t>del</w:t>
      </w:r>
      <w:r w:rsidR="00775B5A" w:rsidRPr="002908AE">
        <w:rPr>
          <w:snapToGrid w:val="0"/>
          <w:kern w:val="22"/>
          <w:lang w:val="es-ES"/>
        </w:rPr>
        <w:t xml:space="preserve"> 56</w:t>
      </w:r>
      <w:r w:rsidRPr="002908AE">
        <w:rPr>
          <w:snapToGrid w:val="0"/>
          <w:kern w:val="22"/>
          <w:lang w:val="es-ES"/>
        </w:rPr>
        <w:t xml:space="preserve"> </w:t>
      </w:r>
      <w:r w:rsidR="00775B5A" w:rsidRPr="002908AE">
        <w:rPr>
          <w:snapToGrid w:val="0"/>
          <w:kern w:val="22"/>
          <w:lang w:val="es-ES"/>
        </w:rPr>
        <w:t xml:space="preserve">% </w:t>
      </w:r>
      <w:r w:rsidRPr="002908AE">
        <w:rPr>
          <w:snapToGrid w:val="0"/>
          <w:kern w:val="22"/>
          <w:lang w:val="es-ES"/>
        </w:rPr>
        <w:t>de las</w:t>
      </w:r>
      <w:r w:rsidR="00775B5A" w:rsidRPr="002908AE">
        <w:rPr>
          <w:snapToGrid w:val="0"/>
          <w:kern w:val="22"/>
          <w:lang w:val="es-ES"/>
        </w:rPr>
        <w:t xml:space="preserve"> Partes (52 Partes) </w:t>
      </w:r>
      <w:r w:rsidRPr="002908AE">
        <w:rPr>
          <w:snapToGrid w:val="0"/>
          <w:kern w:val="22"/>
          <w:lang w:val="es-ES"/>
        </w:rPr>
        <w:t>indic</w:t>
      </w:r>
      <w:r w:rsidR="009F363A">
        <w:rPr>
          <w:snapToGrid w:val="0"/>
          <w:kern w:val="22"/>
          <w:lang w:val="es-ES"/>
        </w:rPr>
        <w:t>ó</w:t>
      </w:r>
      <w:r w:rsidRPr="002908AE">
        <w:rPr>
          <w:snapToGrid w:val="0"/>
          <w:kern w:val="22"/>
          <w:lang w:val="es-ES"/>
        </w:rPr>
        <w:t xml:space="preserve"> que ha establecido dichos procedimientos, lo que representa un aumento de un </w:t>
      </w:r>
      <w:r w:rsidR="00775B5A" w:rsidRPr="002908AE">
        <w:rPr>
          <w:snapToGrid w:val="0"/>
          <w:kern w:val="22"/>
          <w:lang w:val="es-ES"/>
        </w:rPr>
        <w:t>21</w:t>
      </w:r>
      <w:r w:rsidRPr="002908AE">
        <w:rPr>
          <w:snapToGrid w:val="0"/>
          <w:kern w:val="22"/>
          <w:lang w:val="es-ES"/>
        </w:rPr>
        <w:t xml:space="preserve"> </w:t>
      </w:r>
      <w:r w:rsidR="00775B5A" w:rsidRPr="002908AE">
        <w:rPr>
          <w:snapToGrid w:val="0"/>
          <w:kern w:val="22"/>
          <w:lang w:val="es-ES"/>
        </w:rPr>
        <w:t xml:space="preserve">% </w:t>
      </w:r>
      <w:r>
        <w:rPr>
          <w:snapToGrid w:val="0"/>
          <w:kern w:val="22"/>
          <w:lang w:val="es-ES"/>
        </w:rPr>
        <w:t xml:space="preserve">con respecto a los datos básicos de referencia </w:t>
      </w:r>
      <w:r w:rsidR="00775B5A" w:rsidRPr="002908AE">
        <w:rPr>
          <w:snapToGrid w:val="0"/>
          <w:kern w:val="22"/>
          <w:lang w:val="es-ES"/>
        </w:rPr>
        <w:t>(</w:t>
      </w:r>
      <w:r>
        <w:rPr>
          <w:snapToGrid w:val="0"/>
          <w:kern w:val="22"/>
          <w:lang w:val="es-ES"/>
        </w:rPr>
        <w:t>con los siguientes cambios regionales</w:t>
      </w:r>
      <w:r w:rsidR="00775B5A" w:rsidRPr="002908AE">
        <w:rPr>
          <w:snapToGrid w:val="0"/>
          <w:kern w:val="22"/>
          <w:lang w:val="es-ES"/>
        </w:rPr>
        <w:t>: Asia</w:t>
      </w:r>
      <w:r w:rsidR="00FD6528">
        <w:rPr>
          <w:snapToGrid w:val="0"/>
          <w:kern w:val="22"/>
          <w:lang w:val="es-ES"/>
        </w:rPr>
        <w:t xml:space="preserve"> y el </w:t>
      </w:r>
      <w:r w:rsidR="00775B5A" w:rsidRPr="002908AE">
        <w:rPr>
          <w:snapToGrid w:val="0"/>
          <w:kern w:val="22"/>
          <w:lang w:val="es-ES"/>
        </w:rPr>
        <w:t>Pac</w:t>
      </w:r>
      <w:r>
        <w:rPr>
          <w:snapToGrid w:val="0"/>
          <w:kern w:val="22"/>
          <w:lang w:val="es-ES"/>
        </w:rPr>
        <w:t>ífico</w:t>
      </w:r>
      <w:r w:rsidR="00775B5A" w:rsidRPr="002908AE">
        <w:rPr>
          <w:snapToGrid w:val="0"/>
          <w:kern w:val="22"/>
          <w:lang w:val="es-ES"/>
        </w:rPr>
        <w:t xml:space="preserve"> +</w:t>
      </w:r>
      <w:r>
        <w:rPr>
          <w:snapToGrid w:val="0"/>
          <w:kern w:val="22"/>
          <w:lang w:val="es-ES"/>
        </w:rPr>
        <w:t xml:space="preserve"> </w:t>
      </w:r>
      <w:r w:rsidR="00775B5A" w:rsidRPr="002908AE">
        <w:rPr>
          <w:snapToGrid w:val="0"/>
          <w:kern w:val="22"/>
          <w:lang w:val="es-ES"/>
        </w:rPr>
        <w:t>50</w:t>
      </w:r>
      <w:r>
        <w:rPr>
          <w:snapToGrid w:val="0"/>
          <w:kern w:val="22"/>
          <w:lang w:val="es-ES"/>
        </w:rPr>
        <w:t xml:space="preserve"> </w:t>
      </w:r>
      <w:r w:rsidR="00775B5A" w:rsidRPr="002908AE">
        <w:rPr>
          <w:snapToGrid w:val="0"/>
          <w:kern w:val="22"/>
          <w:lang w:val="es-ES"/>
        </w:rPr>
        <w:t>%</w:t>
      </w:r>
      <w:r w:rsidR="009F363A">
        <w:rPr>
          <w:snapToGrid w:val="0"/>
          <w:kern w:val="22"/>
          <w:lang w:val="es-ES"/>
        </w:rPr>
        <w:t>,</w:t>
      </w:r>
      <w:r w:rsidR="00775B5A" w:rsidRPr="002908AE">
        <w:rPr>
          <w:snapToGrid w:val="0"/>
          <w:kern w:val="22"/>
          <w:lang w:val="es-ES"/>
        </w:rPr>
        <w:t xml:space="preserve"> </w:t>
      </w:r>
      <w:r>
        <w:rPr>
          <w:snapToGrid w:val="0"/>
          <w:kern w:val="22"/>
          <w:lang w:val="es-ES"/>
        </w:rPr>
        <w:t>Á</w:t>
      </w:r>
      <w:r w:rsidR="00775B5A" w:rsidRPr="002908AE">
        <w:rPr>
          <w:snapToGrid w:val="0"/>
          <w:kern w:val="22"/>
          <w:lang w:val="es-ES"/>
        </w:rPr>
        <w:t>frica +</w:t>
      </w:r>
      <w:r>
        <w:rPr>
          <w:snapToGrid w:val="0"/>
          <w:kern w:val="22"/>
          <w:lang w:val="es-ES"/>
        </w:rPr>
        <w:t xml:space="preserve"> </w:t>
      </w:r>
      <w:r w:rsidR="00775B5A" w:rsidRPr="002908AE">
        <w:rPr>
          <w:snapToGrid w:val="0"/>
          <w:kern w:val="22"/>
          <w:lang w:val="es-ES"/>
        </w:rPr>
        <w:t>20</w:t>
      </w:r>
      <w:r>
        <w:rPr>
          <w:snapToGrid w:val="0"/>
          <w:kern w:val="22"/>
          <w:lang w:val="es-ES"/>
        </w:rPr>
        <w:t xml:space="preserve"> </w:t>
      </w:r>
      <w:r w:rsidR="00775B5A" w:rsidRPr="002908AE">
        <w:rPr>
          <w:snapToGrid w:val="0"/>
          <w:kern w:val="22"/>
          <w:lang w:val="es-ES"/>
        </w:rPr>
        <w:t>%</w:t>
      </w:r>
      <w:r w:rsidR="009F363A">
        <w:rPr>
          <w:snapToGrid w:val="0"/>
          <w:kern w:val="22"/>
          <w:lang w:val="es-ES"/>
        </w:rPr>
        <w:t>,</w:t>
      </w:r>
      <w:r w:rsidR="00775B5A" w:rsidRPr="002908AE">
        <w:rPr>
          <w:snapToGrid w:val="0"/>
          <w:kern w:val="22"/>
          <w:lang w:val="es-ES"/>
        </w:rPr>
        <w:t xml:space="preserve"> </w:t>
      </w:r>
      <w:r>
        <w:rPr>
          <w:snapToGrid w:val="0"/>
          <w:kern w:val="22"/>
          <w:lang w:val="es-ES"/>
        </w:rPr>
        <w:t xml:space="preserve">grupo de Estados de Europa Occidental y </w:t>
      </w:r>
      <w:r>
        <w:rPr>
          <w:snapToGrid w:val="0"/>
          <w:kern w:val="22"/>
          <w:lang w:val="es-ES"/>
        </w:rPr>
        <w:lastRenderedPageBreak/>
        <w:t xml:space="preserve">otros </w:t>
      </w:r>
      <w:r w:rsidR="00775B5A" w:rsidRPr="002908AE">
        <w:rPr>
          <w:snapToGrid w:val="0"/>
          <w:kern w:val="22"/>
          <w:lang w:val="es-ES"/>
        </w:rPr>
        <w:t>+</w:t>
      </w:r>
      <w:r>
        <w:rPr>
          <w:snapToGrid w:val="0"/>
          <w:kern w:val="22"/>
          <w:lang w:val="es-ES"/>
        </w:rPr>
        <w:t xml:space="preserve"> </w:t>
      </w:r>
      <w:r w:rsidR="00775B5A" w:rsidRPr="002908AE">
        <w:rPr>
          <w:snapToGrid w:val="0"/>
          <w:kern w:val="22"/>
          <w:lang w:val="es-ES"/>
        </w:rPr>
        <w:t>17</w:t>
      </w:r>
      <w:r>
        <w:rPr>
          <w:snapToGrid w:val="0"/>
          <w:kern w:val="22"/>
          <w:lang w:val="es-ES"/>
        </w:rPr>
        <w:t xml:space="preserve"> </w:t>
      </w:r>
      <w:r w:rsidR="00775B5A" w:rsidRPr="002908AE">
        <w:rPr>
          <w:snapToGrid w:val="0"/>
          <w:kern w:val="22"/>
          <w:lang w:val="es-ES"/>
        </w:rPr>
        <w:t>%</w:t>
      </w:r>
      <w:r w:rsidR="009F363A">
        <w:rPr>
          <w:snapToGrid w:val="0"/>
          <w:kern w:val="22"/>
          <w:lang w:val="es-ES"/>
        </w:rPr>
        <w:t>,</w:t>
      </w:r>
      <w:r w:rsidR="00775B5A" w:rsidRPr="002908AE">
        <w:rPr>
          <w:snapToGrid w:val="0"/>
          <w:kern w:val="22"/>
          <w:lang w:val="es-ES"/>
        </w:rPr>
        <w:t xml:space="preserve"> </w:t>
      </w:r>
      <w:r w:rsidR="00D74010">
        <w:rPr>
          <w:snapToGrid w:val="0"/>
          <w:kern w:val="22"/>
          <w:lang w:val="es-ES"/>
        </w:rPr>
        <w:t>grupo de países de América Latina y el Caribe</w:t>
      </w:r>
      <w:r w:rsidR="00D74010" w:rsidRPr="002908AE">
        <w:rPr>
          <w:snapToGrid w:val="0"/>
          <w:kern w:val="22"/>
          <w:lang w:val="es-ES"/>
        </w:rPr>
        <w:t xml:space="preserve"> </w:t>
      </w:r>
      <w:r w:rsidR="00775B5A" w:rsidRPr="002908AE">
        <w:rPr>
          <w:snapToGrid w:val="0"/>
          <w:kern w:val="22"/>
          <w:lang w:val="es-ES"/>
        </w:rPr>
        <w:t>+</w:t>
      </w:r>
      <w:r>
        <w:rPr>
          <w:snapToGrid w:val="0"/>
          <w:kern w:val="22"/>
          <w:lang w:val="es-ES"/>
        </w:rPr>
        <w:t xml:space="preserve"> </w:t>
      </w:r>
      <w:r w:rsidR="00775B5A" w:rsidRPr="002908AE">
        <w:rPr>
          <w:snapToGrid w:val="0"/>
          <w:kern w:val="22"/>
          <w:lang w:val="es-ES"/>
        </w:rPr>
        <w:t>8</w:t>
      </w:r>
      <w:r>
        <w:rPr>
          <w:snapToGrid w:val="0"/>
          <w:kern w:val="22"/>
          <w:lang w:val="es-ES"/>
        </w:rPr>
        <w:t xml:space="preserve"> </w:t>
      </w:r>
      <w:r w:rsidR="00775B5A" w:rsidRPr="002908AE">
        <w:rPr>
          <w:snapToGrid w:val="0"/>
          <w:kern w:val="22"/>
          <w:lang w:val="es-ES"/>
        </w:rPr>
        <w:t>%</w:t>
      </w:r>
      <w:r w:rsidR="009F363A">
        <w:rPr>
          <w:snapToGrid w:val="0"/>
          <w:kern w:val="22"/>
          <w:lang w:val="es-ES"/>
        </w:rPr>
        <w:t>,</w:t>
      </w:r>
      <w:r w:rsidR="00775B5A" w:rsidRPr="002908AE">
        <w:rPr>
          <w:snapToGrid w:val="0"/>
          <w:kern w:val="22"/>
          <w:lang w:val="es-ES"/>
        </w:rPr>
        <w:t xml:space="preserve"> </w:t>
      </w:r>
      <w:r w:rsidR="00477624">
        <w:rPr>
          <w:snapToGrid w:val="0"/>
          <w:kern w:val="22"/>
          <w:lang w:val="es-ES"/>
        </w:rPr>
        <w:t>grupo de Estados de Europa Central y Oriental</w:t>
      </w:r>
      <w:r w:rsidR="00477624" w:rsidRPr="00EC2231">
        <w:rPr>
          <w:snapToGrid w:val="0"/>
          <w:kern w:val="22"/>
          <w:lang w:val="es-ES"/>
        </w:rPr>
        <w:t xml:space="preserve"> </w:t>
      </w:r>
      <w:r w:rsidR="00775B5A" w:rsidRPr="002908AE">
        <w:rPr>
          <w:snapToGrid w:val="0"/>
          <w:kern w:val="22"/>
          <w:lang w:val="es-ES"/>
        </w:rPr>
        <w:t>+</w:t>
      </w:r>
      <w:r>
        <w:rPr>
          <w:snapToGrid w:val="0"/>
          <w:kern w:val="22"/>
          <w:lang w:val="es-ES"/>
        </w:rPr>
        <w:t xml:space="preserve"> </w:t>
      </w:r>
      <w:r w:rsidR="00775B5A" w:rsidRPr="002908AE">
        <w:rPr>
          <w:snapToGrid w:val="0"/>
          <w:kern w:val="22"/>
          <w:lang w:val="es-ES"/>
        </w:rPr>
        <w:t>6</w:t>
      </w:r>
      <w:r>
        <w:rPr>
          <w:snapToGrid w:val="0"/>
          <w:kern w:val="22"/>
          <w:lang w:val="es-ES"/>
        </w:rPr>
        <w:t xml:space="preserve"> </w:t>
      </w:r>
      <w:r w:rsidR="009F363A">
        <w:rPr>
          <w:snapToGrid w:val="0"/>
          <w:kern w:val="22"/>
          <w:lang w:val="es-ES"/>
        </w:rPr>
        <w:t>%</w:t>
      </w:r>
      <w:r w:rsidR="00775B5A" w:rsidRPr="002908AE">
        <w:rPr>
          <w:snapToGrid w:val="0"/>
          <w:kern w:val="22"/>
          <w:lang w:val="es-ES"/>
        </w:rPr>
        <w:t xml:space="preserve">). </w:t>
      </w:r>
      <w:r w:rsidRPr="002908AE">
        <w:rPr>
          <w:snapToGrid w:val="0"/>
          <w:kern w:val="22"/>
          <w:lang w:val="es-ES"/>
        </w:rPr>
        <w:t>Un total del</w:t>
      </w:r>
      <w:r w:rsidR="00775B5A" w:rsidRPr="002908AE">
        <w:rPr>
          <w:snapToGrid w:val="0"/>
          <w:kern w:val="22"/>
          <w:lang w:val="es-ES"/>
        </w:rPr>
        <w:t xml:space="preserve"> 19</w:t>
      </w:r>
      <w:r w:rsidRPr="002908AE">
        <w:rPr>
          <w:snapToGrid w:val="0"/>
          <w:kern w:val="22"/>
          <w:lang w:val="es-ES"/>
        </w:rPr>
        <w:t xml:space="preserve"> % de las</w:t>
      </w:r>
      <w:r w:rsidR="00775B5A" w:rsidRPr="002908AE">
        <w:rPr>
          <w:snapToGrid w:val="0"/>
          <w:kern w:val="22"/>
          <w:lang w:val="es-ES"/>
        </w:rPr>
        <w:t xml:space="preserve"> Partes (18 Partes) </w:t>
      </w:r>
      <w:r w:rsidRPr="002908AE">
        <w:rPr>
          <w:snapToGrid w:val="0"/>
          <w:kern w:val="22"/>
          <w:lang w:val="es-ES"/>
        </w:rPr>
        <w:t>comunic</w:t>
      </w:r>
      <w:r w:rsidR="009F363A">
        <w:rPr>
          <w:snapToGrid w:val="0"/>
          <w:kern w:val="22"/>
          <w:lang w:val="es-ES"/>
        </w:rPr>
        <w:t>ó</w:t>
      </w:r>
      <w:r w:rsidRPr="002908AE">
        <w:rPr>
          <w:snapToGrid w:val="0"/>
          <w:kern w:val="22"/>
          <w:lang w:val="es-ES"/>
        </w:rPr>
        <w:t xml:space="preserve"> que ha establecido dichos procedimientos</w:t>
      </w:r>
      <w:r w:rsidR="009F363A">
        <w:rPr>
          <w:snapToGrid w:val="0"/>
          <w:kern w:val="22"/>
          <w:lang w:val="es-ES"/>
        </w:rPr>
        <w:t xml:space="preserve"> en cierta medida</w:t>
      </w:r>
      <w:r w:rsidR="00775B5A" w:rsidRPr="002908AE">
        <w:rPr>
          <w:snapToGrid w:val="0"/>
          <w:kern w:val="22"/>
          <w:lang w:val="es-ES"/>
        </w:rPr>
        <w:t xml:space="preserve">, </w:t>
      </w:r>
      <w:r>
        <w:rPr>
          <w:snapToGrid w:val="0"/>
          <w:kern w:val="22"/>
          <w:lang w:val="es-ES"/>
        </w:rPr>
        <w:t xml:space="preserve">lo que supone una disminución de un </w:t>
      </w:r>
      <w:r w:rsidR="00775B5A" w:rsidRPr="002908AE">
        <w:rPr>
          <w:snapToGrid w:val="0"/>
          <w:kern w:val="22"/>
          <w:lang w:val="es-ES"/>
        </w:rPr>
        <w:t>9</w:t>
      </w:r>
      <w:r>
        <w:rPr>
          <w:snapToGrid w:val="0"/>
          <w:kern w:val="22"/>
          <w:lang w:val="es-ES"/>
        </w:rPr>
        <w:t xml:space="preserve"> </w:t>
      </w:r>
      <w:r w:rsidR="00775B5A" w:rsidRPr="002908AE">
        <w:rPr>
          <w:snapToGrid w:val="0"/>
          <w:kern w:val="22"/>
          <w:lang w:val="es-ES"/>
        </w:rPr>
        <w:t xml:space="preserve">%. </w:t>
      </w:r>
      <w:r w:rsidR="00775B5A" w:rsidRPr="009F363A">
        <w:rPr>
          <w:snapToGrid w:val="0"/>
          <w:kern w:val="22"/>
          <w:lang w:val="es-ES"/>
        </w:rPr>
        <w:t>(</w:t>
      </w:r>
      <w:r w:rsidRPr="009F363A">
        <w:rPr>
          <w:snapToGrid w:val="0"/>
          <w:kern w:val="22"/>
          <w:lang w:val="es-ES"/>
        </w:rPr>
        <w:t>Véase también el</w:t>
      </w:r>
      <w:r w:rsidR="00775B5A" w:rsidRPr="009F363A">
        <w:rPr>
          <w:snapToGrid w:val="0"/>
          <w:kern w:val="22"/>
          <w:lang w:val="es-ES"/>
        </w:rPr>
        <w:t xml:space="preserve"> </w:t>
      </w:r>
      <w:r w:rsidR="00775B5A" w:rsidRPr="009F363A">
        <w:rPr>
          <w:b/>
          <w:bCs/>
          <w:snapToGrid w:val="0"/>
          <w:kern w:val="22"/>
          <w:lang w:val="es-ES"/>
        </w:rPr>
        <w:t>indica</w:t>
      </w:r>
      <w:r w:rsidRPr="009F363A">
        <w:rPr>
          <w:b/>
          <w:bCs/>
          <w:snapToGrid w:val="0"/>
          <w:kern w:val="22"/>
          <w:lang w:val="es-ES"/>
        </w:rPr>
        <w:t>d</w:t>
      </w:r>
      <w:r w:rsidR="00775B5A" w:rsidRPr="009F363A">
        <w:rPr>
          <w:b/>
          <w:bCs/>
          <w:snapToGrid w:val="0"/>
          <w:kern w:val="22"/>
          <w:lang w:val="es-ES"/>
        </w:rPr>
        <w:t xml:space="preserve">or 1.4.2 (a) </w:t>
      </w:r>
      <w:r w:rsidRPr="009F363A">
        <w:rPr>
          <w:i/>
          <w:snapToGrid w:val="0"/>
          <w:kern w:val="22"/>
          <w:lang w:val="es-ES"/>
        </w:rPr>
        <w:t>supra</w:t>
      </w:r>
      <w:r w:rsidR="00775B5A" w:rsidRPr="009F363A">
        <w:rPr>
          <w:snapToGrid w:val="0"/>
          <w:kern w:val="22"/>
          <w:lang w:val="es-ES"/>
        </w:rPr>
        <w:t xml:space="preserve">). </w:t>
      </w:r>
    </w:p>
    <w:p w:rsidR="00775B5A" w:rsidRPr="001372FF" w:rsidRDefault="002908AE"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380FED">
        <w:rPr>
          <w:snapToGrid w:val="0"/>
          <w:kern w:val="22"/>
          <w:lang w:val="es-ES"/>
        </w:rPr>
        <w:t xml:space="preserve">En lo tocante al </w:t>
      </w:r>
      <w:r w:rsidR="00775B5A" w:rsidRPr="00380FED">
        <w:rPr>
          <w:b/>
          <w:bCs/>
          <w:snapToGrid w:val="0"/>
          <w:kern w:val="22"/>
          <w:lang w:val="es-ES"/>
        </w:rPr>
        <w:t>indica</w:t>
      </w:r>
      <w:r w:rsidRPr="00380FED">
        <w:rPr>
          <w:b/>
          <w:bCs/>
          <w:snapToGrid w:val="0"/>
          <w:kern w:val="22"/>
          <w:lang w:val="es-ES"/>
        </w:rPr>
        <w:t>d</w:t>
      </w:r>
      <w:r w:rsidR="00775B5A" w:rsidRPr="00380FED">
        <w:rPr>
          <w:b/>
          <w:bCs/>
          <w:snapToGrid w:val="0"/>
          <w:kern w:val="22"/>
          <w:lang w:val="es-ES"/>
        </w:rPr>
        <w:t>or 1.6.4</w:t>
      </w:r>
      <w:r w:rsidR="00775B5A" w:rsidRPr="00380FED">
        <w:rPr>
          <w:snapToGrid w:val="0"/>
          <w:kern w:val="22"/>
          <w:lang w:val="es-ES"/>
        </w:rPr>
        <w:t xml:space="preserve"> (</w:t>
      </w:r>
      <w:r w:rsidR="00380FED" w:rsidRPr="00380FED">
        <w:rPr>
          <w:snapToGrid w:val="0"/>
          <w:kern w:val="22"/>
          <w:lang w:val="es-ES"/>
        </w:rPr>
        <w:t>el número de Part</w:t>
      </w:r>
      <w:r w:rsidR="00775B5A" w:rsidRPr="00380FED">
        <w:rPr>
          <w:snapToGrid w:val="0"/>
          <w:kern w:val="22"/>
          <w:lang w:val="es-ES"/>
        </w:rPr>
        <w:t xml:space="preserve">es </w:t>
      </w:r>
      <w:r w:rsidR="00380FED" w:rsidRPr="00380FED">
        <w:rPr>
          <w:snapToGrid w:val="0"/>
          <w:kern w:val="22"/>
          <w:lang w:val="es-ES"/>
        </w:rPr>
        <w:t>que utiliza las or</w:t>
      </w:r>
      <w:r w:rsidR="001372FF">
        <w:rPr>
          <w:snapToGrid w:val="0"/>
          <w:kern w:val="22"/>
          <w:lang w:val="es-ES"/>
        </w:rPr>
        <w:t>ienta</w:t>
      </w:r>
      <w:r w:rsidR="00380FED" w:rsidRPr="00380FED">
        <w:rPr>
          <w:snapToGrid w:val="0"/>
          <w:kern w:val="22"/>
          <w:lang w:val="es-ES"/>
        </w:rPr>
        <w:t>ciones establecidas para la manipulación, el transporte y</w:t>
      </w:r>
      <w:r w:rsidR="001372FF">
        <w:rPr>
          <w:snapToGrid w:val="0"/>
          <w:kern w:val="22"/>
          <w:lang w:val="es-ES"/>
        </w:rPr>
        <w:t xml:space="preserve"> envasado</w:t>
      </w:r>
      <w:r w:rsidR="00380FED" w:rsidRPr="00380FED">
        <w:rPr>
          <w:snapToGrid w:val="0"/>
          <w:kern w:val="22"/>
          <w:lang w:val="es-ES"/>
        </w:rPr>
        <w:t xml:space="preserve"> de OVM</w:t>
      </w:r>
      <w:r w:rsidR="00775B5A" w:rsidRPr="00380FED">
        <w:rPr>
          <w:snapToGrid w:val="0"/>
          <w:kern w:val="22"/>
          <w:lang w:val="es-ES"/>
        </w:rPr>
        <w:t>)</w:t>
      </w:r>
      <w:r w:rsidR="00775B5A" w:rsidRPr="00380FED">
        <w:rPr>
          <w:rFonts w:ascii="Angsana New" w:hAnsi="Angsana New" w:cs="Angsana New"/>
          <w:snapToGrid w:val="0"/>
          <w:kern w:val="22"/>
          <w:lang w:val="es-ES"/>
        </w:rPr>
        <w:t>,</w:t>
      </w:r>
      <w:r w:rsidR="00380FED">
        <w:rPr>
          <w:rFonts w:ascii="Angsana New" w:hAnsi="Angsana New" w:cs="Angsana New"/>
          <w:snapToGrid w:val="0"/>
          <w:kern w:val="22"/>
          <w:lang w:val="es-ES"/>
        </w:rPr>
        <w:t xml:space="preserve"> </w:t>
      </w:r>
      <w:r w:rsidR="00380FED">
        <w:rPr>
          <w:snapToGrid w:val="0"/>
          <w:kern w:val="22"/>
          <w:lang w:val="es-ES"/>
        </w:rPr>
        <w:t>el 6</w:t>
      </w:r>
      <w:r w:rsidR="00775B5A" w:rsidRPr="00380FED">
        <w:rPr>
          <w:snapToGrid w:val="0"/>
          <w:kern w:val="22"/>
          <w:lang w:val="es-ES"/>
        </w:rPr>
        <w:t>9</w:t>
      </w:r>
      <w:r w:rsidR="00380FED">
        <w:rPr>
          <w:snapToGrid w:val="0"/>
          <w:kern w:val="22"/>
          <w:lang w:val="es-ES"/>
        </w:rPr>
        <w:t xml:space="preserve"> </w:t>
      </w:r>
      <w:r w:rsidR="00775B5A" w:rsidRPr="00380FED">
        <w:rPr>
          <w:snapToGrid w:val="0"/>
          <w:kern w:val="22"/>
          <w:lang w:val="es-ES"/>
        </w:rPr>
        <w:t xml:space="preserve">% </w:t>
      </w:r>
      <w:r w:rsidR="00380FED">
        <w:rPr>
          <w:snapToGrid w:val="0"/>
          <w:kern w:val="22"/>
          <w:lang w:val="es-ES"/>
        </w:rPr>
        <w:t>de las</w:t>
      </w:r>
      <w:r w:rsidR="00775B5A" w:rsidRPr="00380FED">
        <w:rPr>
          <w:snapToGrid w:val="0"/>
          <w:kern w:val="22"/>
          <w:lang w:val="es-ES"/>
        </w:rPr>
        <w:t xml:space="preserve"> Partes (49 Partes) </w:t>
      </w:r>
      <w:r w:rsidR="001372FF">
        <w:rPr>
          <w:snapToGrid w:val="0"/>
          <w:kern w:val="22"/>
          <w:lang w:val="es-ES"/>
        </w:rPr>
        <w:t>inform</w:t>
      </w:r>
      <w:r w:rsidR="009F363A">
        <w:rPr>
          <w:snapToGrid w:val="0"/>
          <w:kern w:val="22"/>
          <w:lang w:val="es-ES"/>
        </w:rPr>
        <w:t>ó</w:t>
      </w:r>
      <w:r w:rsidR="001372FF">
        <w:rPr>
          <w:snapToGrid w:val="0"/>
          <w:kern w:val="22"/>
          <w:lang w:val="es-ES"/>
        </w:rPr>
        <w:t xml:space="preserve"> que dispone de orientaciones para garantizar la manipulación, el transporte y el envasado seguros de organismos vivos modificados</w:t>
      </w:r>
      <w:r w:rsidR="00775B5A" w:rsidRPr="00380FED">
        <w:rPr>
          <w:snapToGrid w:val="0"/>
          <w:kern w:val="22"/>
          <w:lang w:val="es-ES"/>
        </w:rPr>
        <w:t xml:space="preserve">. </w:t>
      </w:r>
      <w:r w:rsidR="001372FF" w:rsidRPr="00E240D0">
        <w:rPr>
          <w:snapToGrid w:val="0"/>
          <w:kern w:val="22"/>
          <w:lang w:val="es-ES"/>
        </w:rPr>
        <w:t xml:space="preserve">Esto representa un aumento de un </w:t>
      </w:r>
      <w:r w:rsidR="00775B5A" w:rsidRPr="00E240D0">
        <w:rPr>
          <w:snapToGrid w:val="0"/>
          <w:kern w:val="22"/>
          <w:lang w:val="es-ES"/>
        </w:rPr>
        <w:t>7</w:t>
      </w:r>
      <w:r w:rsidR="001372FF" w:rsidRPr="00E240D0">
        <w:rPr>
          <w:snapToGrid w:val="0"/>
          <w:kern w:val="22"/>
          <w:lang w:val="es-ES"/>
        </w:rPr>
        <w:t xml:space="preserve"> </w:t>
      </w:r>
      <w:r w:rsidR="00775B5A" w:rsidRPr="00E240D0">
        <w:rPr>
          <w:snapToGrid w:val="0"/>
          <w:kern w:val="22"/>
          <w:lang w:val="es-ES"/>
        </w:rPr>
        <w:t xml:space="preserve">%. </w:t>
      </w:r>
      <w:r w:rsidR="001372FF" w:rsidRPr="001372FF">
        <w:rPr>
          <w:snapToGrid w:val="0"/>
          <w:kern w:val="22"/>
          <w:lang w:val="es-ES"/>
        </w:rPr>
        <w:t>Se notificaron cambios a nivel regional en Áf</w:t>
      </w:r>
      <w:r w:rsidR="00775B5A" w:rsidRPr="001372FF">
        <w:rPr>
          <w:snapToGrid w:val="0"/>
          <w:kern w:val="22"/>
          <w:lang w:val="es-ES"/>
        </w:rPr>
        <w:t>rica (+</w:t>
      </w:r>
      <w:r w:rsidR="001372FF" w:rsidRPr="001372FF">
        <w:rPr>
          <w:snapToGrid w:val="0"/>
          <w:kern w:val="22"/>
          <w:lang w:val="es-ES"/>
        </w:rPr>
        <w:t xml:space="preserve"> </w:t>
      </w:r>
      <w:r w:rsidR="00775B5A" w:rsidRPr="001372FF">
        <w:rPr>
          <w:snapToGrid w:val="0"/>
          <w:kern w:val="22"/>
          <w:lang w:val="es-ES"/>
        </w:rPr>
        <w:t>4</w:t>
      </w:r>
      <w:r w:rsidR="001372FF" w:rsidRPr="001372FF">
        <w:rPr>
          <w:snapToGrid w:val="0"/>
          <w:kern w:val="22"/>
          <w:lang w:val="es-ES"/>
        </w:rPr>
        <w:t xml:space="preserve"> </w:t>
      </w:r>
      <w:r w:rsidR="00775B5A" w:rsidRPr="001372FF">
        <w:rPr>
          <w:snapToGrid w:val="0"/>
          <w:kern w:val="22"/>
          <w:lang w:val="es-ES"/>
        </w:rPr>
        <w:t xml:space="preserve">%) </w:t>
      </w:r>
      <w:r w:rsidR="001372FF" w:rsidRPr="001372FF">
        <w:rPr>
          <w:snapToGrid w:val="0"/>
          <w:kern w:val="22"/>
          <w:lang w:val="es-ES"/>
        </w:rPr>
        <w:t>y</w:t>
      </w:r>
      <w:r w:rsidR="00775B5A" w:rsidRPr="001372FF">
        <w:rPr>
          <w:snapToGrid w:val="0"/>
          <w:kern w:val="22"/>
          <w:lang w:val="es-ES"/>
        </w:rPr>
        <w:t xml:space="preserve"> Asia</w:t>
      </w:r>
      <w:r w:rsidR="00FD6528">
        <w:rPr>
          <w:snapToGrid w:val="0"/>
          <w:kern w:val="22"/>
          <w:lang w:val="es-ES"/>
        </w:rPr>
        <w:t xml:space="preserve"> y el </w:t>
      </w:r>
      <w:r w:rsidR="001372FF" w:rsidRPr="001372FF">
        <w:rPr>
          <w:snapToGrid w:val="0"/>
          <w:kern w:val="22"/>
          <w:lang w:val="es-ES"/>
        </w:rPr>
        <w:t>Pacífico</w:t>
      </w:r>
      <w:r w:rsidR="00775B5A" w:rsidRPr="001372FF">
        <w:rPr>
          <w:snapToGrid w:val="0"/>
          <w:kern w:val="22"/>
          <w:lang w:val="es-ES"/>
        </w:rPr>
        <w:t xml:space="preserve"> (+</w:t>
      </w:r>
      <w:r w:rsidR="001372FF" w:rsidRPr="001372FF">
        <w:rPr>
          <w:snapToGrid w:val="0"/>
          <w:kern w:val="22"/>
          <w:lang w:val="es-ES"/>
        </w:rPr>
        <w:t xml:space="preserve"> </w:t>
      </w:r>
      <w:r w:rsidR="00775B5A" w:rsidRPr="001372FF">
        <w:rPr>
          <w:snapToGrid w:val="0"/>
          <w:kern w:val="22"/>
          <w:lang w:val="es-ES"/>
        </w:rPr>
        <w:t>3</w:t>
      </w:r>
      <w:r w:rsidR="001372FF" w:rsidRPr="001372FF">
        <w:rPr>
          <w:snapToGrid w:val="0"/>
          <w:kern w:val="22"/>
          <w:lang w:val="es-ES"/>
        </w:rPr>
        <w:t xml:space="preserve"> </w:t>
      </w:r>
      <w:r w:rsidR="00775B5A" w:rsidRPr="001372FF">
        <w:rPr>
          <w:snapToGrid w:val="0"/>
          <w:kern w:val="22"/>
          <w:lang w:val="es-ES"/>
        </w:rPr>
        <w:t xml:space="preserve">%), </w:t>
      </w:r>
      <w:r w:rsidR="001372FF" w:rsidRPr="001372FF">
        <w:rPr>
          <w:snapToGrid w:val="0"/>
          <w:kern w:val="22"/>
          <w:lang w:val="es-ES"/>
        </w:rPr>
        <w:t>mientras que en las dem</w:t>
      </w:r>
      <w:r w:rsidR="001372FF">
        <w:rPr>
          <w:snapToGrid w:val="0"/>
          <w:kern w:val="22"/>
          <w:lang w:val="es-ES"/>
        </w:rPr>
        <w:t>ás regiones no se notificaron cambios con respecto a los datos básicos de referencia</w:t>
      </w:r>
      <w:r w:rsidR="00775B5A" w:rsidRPr="001372FF">
        <w:rPr>
          <w:snapToGrid w:val="0"/>
          <w:kern w:val="22"/>
          <w:lang w:val="es-ES"/>
        </w:rPr>
        <w:t xml:space="preserve">. </w:t>
      </w:r>
    </w:p>
    <w:p w:rsidR="00775B5A" w:rsidRPr="001372FF" w:rsidRDefault="00775B5A">
      <w:pPr>
        <w:keepNext/>
        <w:suppressLineNumbers/>
        <w:tabs>
          <w:tab w:val="left" w:pos="720"/>
        </w:tabs>
        <w:suppressAutoHyphens/>
        <w:spacing w:before="120" w:after="120"/>
        <w:textAlignment w:val="baseline"/>
        <w:outlineLvl w:val="2"/>
        <w:rPr>
          <w:b/>
          <w:bCs/>
          <w:snapToGrid w:val="0"/>
          <w:kern w:val="22"/>
          <w:lang w:val="es-ES"/>
        </w:rPr>
      </w:pPr>
      <w:r w:rsidRPr="001372FF">
        <w:rPr>
          <w:b/>
          <w:bCs/>
          <w:snapToGrid w:val="0"/>
          <w:kern w:val="22"/>
          <w:lang w:val="es-ES"/>
        </w:rPr>
        <w:t>O</w:t>
      </w:r>
      <w:r w:rsidR="001372FF" w:rsidRPr="001372FF">
        <w:rPr>
          <w:b/>
          <w:bCs/>
          <w:snapToGrid w:val="0"/>
          <w:kern w:val="22"/>
          <w:lang w:val="es-ES"/>
        </w:rPr>
        <w:t>bjetivo operacional</w:t>
      </w:r>
      <w:r w:rsidRPr="001372FF">
        <w:rPr>
          <w:b/>
          <w:bCs/>
          <w:snapToGrid w:val="0"/>
          <w:kern w:val="22"/>
          <w:lang w:val="es-ES"/>
        </w:rPr>
        <w:t xml:space="preserve"> 2.3: </w:t>
      </w:r>
      <w:r w:rsidR="001372FF" w:rsidRPr="001372FF">
        <w:rPr>
          <w:b/>
          <w:bCs/>
          <w:snapToGrid w:val="0"/>
          <w:kern w:val="22"/>
          <w:lang w:val="es-ES"/>
        </w:rPr>
        <w:t xml:space="preserve">Manipulación, </w:t>
      </w:r>
      <w:r w:rsidRPr="001372FF">
        <w:rPr>
          <w:b/>
          <w:bCs/>
          <w:snapToGrid w:val="0"/>
          <w:kern w:val="22"/>
          <w:lang w:val="es-ES"/>
        </w:rPr>
        <w:t>transport</w:t>
      </w:r>
      <w:r w:rsidR="001372FF" w:rsidRPr="001372FF">
        <w:rPr>
          <w:b/>
          <w:bCs/>
          <w:snapToGrid w:val="0"/>
          <w:kern w:val="22"/>
          <w:lang w:val="es-ES"/>
        </w:rPr>
        <w:t>e</w:t>
      </w:r>
      <w:r w:rsidRPr="001372FF">
        <w:rPr>
          <w:b/>
          <w:bCs/>
          <w:snapToGrid w:val="0"/>
          <w:kern w:val="22"/>
          <w:lang w:val="es-ES"/>
        </w:rPr>
        <w:t xml:space="preserve">, </w:t>
      </w:r>
      <w:r w:rsidR="001372FF">
        <w:rPr>
          <w:b/>
          <w:bCs/>
          <w:snapToGrid w:val="0"/>
          <w:kern w:val="22"/>
          <w:lang w:val="es-ES"/>
        </w:rPr>
        <w:t>envasado e identificación</w:t>
      </w:r>
    </w:p>
    <w:p w:rsidR="00775B5A" w:rsidRPr="001A75B2" w:rsidRDefault="00096C1E"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i/>
          <w:iCs/>
          <w:snapToGrid w:val="0"/>
          <w:kern w:val="22"/>
          <w:lang w:val="es-ES"/>
        </w:rPr>
      </w:pPr>
      <w:r w:rsidRPr="00F857E5">
        <w:rPr>
          <w:snapToGrid w:val="0"/>
          <w:kern w:val="22"/>
          <w:lang w:val="es-ES"/>
        </w:rPr>
        <w:t>Con respecto al</w:t>
      </w:r>
      <w:r w:rsidR="00775B5A" w:rsidRPr="00F857E5">
        <w:rPr>
          <w:snapToGrid w:val="0"/>
          <w:kern w:val="22"/>
          <w:lang w:val="es-ES"/>
        </w:rPr>
        <w:t xml:space="preserve"> </w:t>
      </w:r>
      <w:r w:rsidR="00775B5A" w:rsidRPr="00F857E5">
        <w:rPr>
          <w:b/>
          <w:bCs/>
          <w:snapToGrid w:val="0"/>
          <w:kern w:val="22"/>
          <w:lang w:val="es-ES"/>
        </w:rPr>
        <w:t>indica</w:t>
      </w:r>
      <w:r w:rsidRPr="00F857E5">
        <w:rPr>
          <w:b/>
          <w:bCs/>
          <w:snapToGrid w:val="0"/>
          <w:kern w:val="22"/>
          <w:lang w:val="es-ES"/>
        </w:rPr>
        <w:t>d</w:t>
      </w:r>
      <w:r w:rsidR="00775B5A" w:rsidRPr="00F857E5">
        <w:rPr>
          <w:b/>
          <w:bCs/>
          <w:snapToGrid w:val="0"/>
          <w:kern w:val="22"/>
          <w:lang w:val="es-ES"/>
        </w:rPr>
        <w:t>or 2.3.1</w:t>
      </w:r>
      <w:r w:rsidR="00775B5A" w:rsidRPr="00F857E5">
        <w:rPr>
          <w:snapToGrid w:val="0"/>
          <w:kern w:val="22"/>
          <w:lang w:val="es-ES"/>
        </w:rPr>
        <w:t xml:space="preserve"> (</w:t>
      </w:r>
      <w:r w:rsidR="00F857E5" w:rsidRPr="00F857E5">
        <w:rPr>
          <w:snapToGrid w:val="0"/>
          <w:kern w:val="22"/>
          <w:lang w:val="es-ES"/>
        </w:rPr>
        <w:t xml:space="preserve">el número de </w:t>
      </w:r>
      <w:r w:rsidR="00B9493D">
        <w:rPr>
          <w:snapToGrid w:val="0"/>
          <w:kern w:val="22"/>
          <w:lang w:val="es-ES"/>
        </w:rPr>
        <w:t>funcionarios</w:t>
      </w:r>
      <w:r w:rsidR="00F857E5" w:rsidRPr="00F857E5">
        <w:rPr>
          <w:snapToGrid w:val="0"/>
          <w:kern w:val="22"/>
          <w:lang w:val="es-ES"/>
        </w:rPr>
        <w:t xml:space="preserve"> de aduanas y personal de laboratorios capacitados</w:t>
      </w:r>
      <w:r w:rsidR="00775B5A" w:rsidRPr="00F857E5">
        <w:rPr>
          <w:snapToGrid w:val="0"/>
          <w:kern w:val="22"/>
          <w:lang w:val="es-ES"/>
        </w:rPr>
        <w:t>)</w:t>
      </w:r>
      <w:r w:rsidR="00F857E5">
        <w:rPr>
          <w:snapToGrid w:val="0"/>
          <w:kern w:val="22"/>
          <w:lang w:val="es-ES"/>
        </w:rPr>
        <w:t>, el</w:t>
      </w:r>
      <w:r w:rsidR="00775B5A" w:rsidRPr="00F857E5">
        <w:rPr>
          <w:snapToGrid w:val="0"/>
          <w:kern w:val="22"/>
          <w:lang w:val="es-ES"/>
        </w:rPr>
        <w:t xml:space="preserve"> 59</w:t>
      </w:r>
      <w:r w:rsidR="00F857E5">
        <w:rPr>
          <w:snapToGrid w:val="0"/>
          <w:kern w:val="22"/>
          <w:lang w:val="es-ES"/>
        </w:rPr>
        <w:t xml:space="preserve"> </w:t>
      </w:r>
      <w:r w:rsidR="00775B5A" w:rsidRPr="00F857E5">
        <w:rPr>
          <w:snapToGrid w:val="0"/>
          <w:kern w:val="22"/>
          <w:lang w:val="es-ES"/>
        </w:rPr>
        <w:t xml:space="preserve">% </w:t>
      </w:r>
      <w:r w:rsidR="00F857E5">
        <w:rPr>
          <w:snapToGrid w:val="0"/>
          <w:kern w:val="22"/>
          <w:lang w:val="es-ES"/>
        </w:rPr>
        <w:t xml:space="preserve">de las </w:t>
      </w:r>
      <w:r w:rsidR="00775B5A" w:rsidRPr="00F857E5">
        <w:rPr>
          <w:snapToGrid w:val="0"/>
          <w:kern w:val="22"/>
          <w:lang w:val="es-ES"/>
        </w:rPr>
        <w:t xml:space="preserve">Partes (42 Partes) </w:t>
      </w:r>
      <w:r w:rsidR="001A75B2">
        <w:rPr>
          <w:snapToGrid w:val="0"/>
          <w:kern w:val="22"/>
          <w:lang w:val="es-ES"/>
        </w:rPr>
        <w:t>inform</w:t>
      </w:r>
      <w:r w:rsidR="003016D8">
        <w:rPr>
          <w:snapToGrid w:val="0"/>
          <w:kern w:val="22"/>
          <w:lang w:val="es-ES"/>
        </w:rPr>
        <w:t xml:space="preserve">ó que había </w:t>
      </w:r>
      <w:r w:rsidR="001A75B2">
        <w:rPr>
          <w:snapToGrid w:val="0"/>
          <w:kern w:val="22"/>
          <w:lang w:val="es-ES"/>
        </w:rPr>
        <w:t xml:space="preserve">capacitado a los </w:t>
      </w:r>
      <w:r w:rsidR="00B9493D">
        <w:rPr>
          <w:snapToGrid w:val="0"/>
          <w:kern w:val="22"/>
          <w:lang w:val="es-ES"/>
        </w:rPr>
        <w:t>funcionarios</w:t>
      </w:r>
      <w:r w:rsidR="001A75B2">
        <w:rPr>
          <w:snapToGrid w:val="0"/>
          <w:kern w:val="22"/>
          <w:lang w:val="es-ES"/>
        </w:rPr>
        <w:t xml:space="preserve"> de aduanas, lo que representa un aumento de un </w:t>
      </w:r>
      <w:r w:rsidR="00775B5A" w:rsidRPr="00F857E5">
        <w:rPr>
          <w:snapToGrid w:val="0"/>
          <w:kern w:val="22"/>
          <w:lang w:val="es-ES"/>
        </w:rPr>
        <w:t>6</w:t>
      </w:r>
      <w:r w:rsidR="001A75B2">
        <w:rPr>
          <w:snapToGrid w:val="0"/>
          <w:kern w:val="22"/>
          <w:lang w:val="es-ES"/>
        </w:rPr>
        <w:t xml:space="preserve"> </w:t>
      </w:r>
      <w:r w:rsidR="00775B5A" w:rsidRPr="00F857E5">
        <w:rPr>
          <w:snapToGrid w:val="0"/>
          <w:kern w:val="22"/>
          <w:lang w:val="es-ES"/>
        </w:rPr>
        <w:t xml:space="preserve">% </w:t>
      </w:r>
      <w:r w:rsidR="001A75B2">
        <w:rPr>
          <w:snapToGrid w:val="0"/>
          <w:kern w:val="22"/>
          <w:lang w:val="es-ES"/>
        </w:rPr>
        <w:t>con respecto a los datos básicos de referencia</w:t>
      </w:r>
      <w:r w:rsidR="00775B5A" w:rsidRPr="00F857E5">
        <w:rPr>
          <w:snapToGrid w:val="0"/>
          <w:kern w:val="22"/>
          <w:lang w:val="es-ES"/>
        </w:rPr>
        <w:t xml:space="preserve">. </w:t>
      </w:r>
      <w:r w:rsidR="001A75B2" w:rsidRPr="001A75B2">
        <w:rPr>
          <w:snapToGrid w:val="0"/>
          <w:kern w:val="22"/>
          <w:lang w:val="es-ES"/>
        </w:rPr>
        <w:t xml:space="preserve">La mayoría de esas Partes </w:t>
      </w:r>
      <w:r w:rsidR="00775B5A" w:rsidRPr="001A75B2">
        <w:rPr>
          <w:snapToGrid w:val="0"/>
          <w:kern w:val="22"/>
          <w:lang w:val="es-ES"/>
        </w:rPr>
        <w:t xml:space="preserve">(23 Partes) </w:t>
      </w:r>
      <w:r w:rsidR="001A75B2" w:rsidRPr="001A75B2">
        <w:rPr>
          <w:snapToGrid w:val="0"/>
          <w:kern w:val="22"/>
          <w:lang w:val="es-ES"/>
        </w:rPr>
        <w:t>indic</w:t>
      </w:r>
      <w:r w:rsidR="003016D8">
        <w:rPr>
          <w:snapToGrid w:val="0"/>
          <w:kern w:val="22"/>
          <w:lang w:val="es-ES"/>
        </w:rPr>
        <w:t>ó que había</w:t>
      </w:r>
      <w:r w:rsidR="001A75B2" w:rsidRPr="001A75B2">
        <w:rPr>
          <w:snapToGrid w:val="0"/>
          <w:kern w:val="22"/>
          <w:lang w:val="es-ES"/>
        </w:rPr>
        <w:t xml:space="preserve"> capacitado</w:t>
      </w:r>
      <w:r w:rsidR="003016D8">
        <w:rPr>
          <w:snapToGrid w:val="0"/>
          <w:kern w:val="22"/>
          <w:lang w:val="es-ES"/>
        </w:rPr>
        <w:t xml:space="preserve"> hasta a</w:t>
      </w:r>
      <w:r w:rsidR="00775B5A" w:rsidRPr="001A75B2">
        <w:rPr>
          <w:snapToGrid w:val="0"/>
          <w:kern w:val="22"/>
          <w:lang w:val="es-ES"/>
        </w:rPr>
        <w:t xml:space="preserve"> 10 </w:t>
      </w:r>
      <w:r w:rsidR="00B9493D">
        <w:rPr>
          <w:snapToGrid w:val="0"/>
          <w:kern w:val="22"/>
          <w:lang w:val="es-ES"/>
        </w:rPr>
        <w:t>funcionarios</w:t>
      </w:r>
      <w:r w:rsidR="001A75B2">
        <w:rPr>
          <w:snapToGrid w:val="0"/>
          <w:kern w:val="22"/>
          <w:lang w:val="es-ES"/>
        </w:rPr>
        <w:t xml:space="preserve"> de aduanas</w:t>
      </w:r>
      <w:r w:rsidR="00775B5A" w:rsidRPr="001A75B2">
        <w:rPr>
          <w:snapToGrid w:val="0"/>
          <w:kern w:val="22"/>
          <w:lang w:val="es-ES"/>
        </w:rPr>
        <w:t xml:space="preserve"> (</w:t>
      </w:r>
      <w:r w:rsidR="001A75B2">
        <w:rPr>
          <w:snapToGrid w:val="0"/>
          <w:kern w:val="22"/>
          <w:lang w:val="es-ES"/>
        </w:rPr>
        <w:t xml:space="preserve">el </w:t>
      </w:r>
      <w:r w:rsidR="00775B5A" w:rsidRPr="001A75B2">
        <w:rPr>
          <w:snapToGrid w:val="0"/>
          <w:kern w:val="22"/>
          <w:lang w:val="es-ES"/>
        </w:rPr>
        <w:t>55</w:t>
      </w:r>
      <w:r w:rsidR="001A75B2">
        <w:rPr>
          <w:snapToGrid w:val="0"/>
          <w:kern w:val="22"/>
          <w:lang w:val="es-ES"/>
        </w:rPr>
        <w:t xml:space="preserve"> </w:t>
      </w:r>
      <w:r w:rsidR="00775B5A" w:rsidRPr="001A75B2">
        <w:rPr>
          <w:snapToGrid w:val="0"/>
          <w:kern w:val="22"/>
          <w:lang w:val="es-ES"/>
        </w:rPr>
        <w:t xml:space="preserve">% </w:t>
      </w:r>
      <w:r w:rsidR="001A75B2">
        <w:rPr>
          <w:snapToGrid w:val="0"/>
          <w:kern w:val="22"/>
          <w:lang w:val="es-ES"/>
        </w:rPr>
        <w:t>de ese grupo</w:t>
      </w:r>
      <w:r w:rsidR="00775B5A" w:rsidRPr="001A75B2">
        <w:rPr>
          <w:snapToGrid w:val="0"/>
          <w:kern w:val="22"/>
          <w:lang w:val="es-ES"/>
        </w:rPr>
        <w:t xml:space="preserve">), </w:t>
      </w:r>
      <w:r w:rsidR="001A75B2">
        <w:rPr>
          <w:snapToGrid w:val="0"/>
          <w:kern w:val="22"/>
          <w:lang w:val="es-ES"/>
        </w:rPr>
        <w:t xml:space="preserve">lo que supone un aumento de un </w:t>
      </w:r>
      <w:r w:rsidR="00775B5A" w:rsidRPr="001A75B2">
        <w:rPr>
          <w:snapToGrid w:val="0"/>
          <w:kern w:val="22"/>
          <w:lang w:val="es-ES"/>
        </w:rPr>
        <w:t>2</w:t>
      </w:r>
      <w:r w:rsidR="001A75B2">
        <w:rPr>
          <w:snapToGrid w:val="0"/>
          <w:kern w:val="22"/>
          <w:lang w:val="es-ES"/>
        </w:rPr>
        <w:t xml:space="preserve"> </w:t>
      </w:r>
      <w:r w:rsidR="00775B5A" w:rsidRPr="001A75B2">
        <w:rPr>
          <w:snapToGrid w:val="0"/>
          <w:kern w:val="22"/>
          <w:lang w:val="es-ES"/>
        </w:rPr>
        <w:t xml:space="preserve">% </w:t>
      </w:r>
      <w:r w:rsidR="001A75B2">
        <w:rPr>
          <w:snapToGrid w:val="0"/>
          <w:kern w:val="22"/>
          <w:lang w:val="es-ES"/>
        </w:rPr>
        <w:t>con respecto a los datos básicos de referencia</w:t>
      </w:r>
      <w:r w:rsidR="00775B5A" w:rsidRPr="001A75B2">
        <w:rPr>
          <w:snapToGrid w:val="0"/>
          <w:kern w:val="22"/>
          <w:lang w:val="es-ES"/>
        </w:rPr>
        <w:t xml:space="preserve">. </w:t>
      </w:r>
      <w:r w:rsidR="001A75B2" w:rsidRPr="001A75B2">
        <w:rPr>
          <w:snapToGrid w:val="0"/>
          <w:kern w:val="22"/>
          <w:lang w:val="es-ES"/>
        </w:rPr>
        <w:t>El número de Partes que comunic</w:t>
      </w:r>
      <w:r w:rsidR="003016D8">
        <w:rPr>
          <w:snapToGrid w:val="0"/>
          <w:kern w:val="22"/>
          <w:lang w:val="es-ES"/>
        </w:rPr>
        <w:t xml:space="preserve">ó que </w:t>
      </w:r>
      <w:r w:rsidR="001A75B2" w:rsidRPr="001A75B2">
        <w:rPr>
          <w:snapToGrid w:val="0"/>
          <w:kern w:val="22"/>
          <w:lang w:val="es-ES"/>
        </w:rPr>
        <w:t xml:space="preserve">había capacitado a </w:t>
      </w:r>
      <w:r w:rsidR="00775B5A" w:rsidRPr="001A75B2">
        <w:rPr>
          <w:snapToGrid w:val="0"/>
          <w:kern w:val="22"/>
          <w:lang w:val="es-ES"/>
        </w:rPr>
        <w:t>100 o</w:t>
      </w:r>
      <w:r w:rsidR="001A75B2" w:rsidRPr="001A75B2">
        <w:rPr>
          <w:snapToGrid w:val="0"/>
          <w:kern w:val="22"/>
          <w:lang w:val="es-ES"/>
        </w:rPr>
        <w:t xml:space="preserve"> más </w:t>
      </w:r>
      <w:r w:rsidR="00B9493D">
        <w:rPr>
          <w:snapToGrid w:val="0"/>
          <w:kern w:val="22"/>
          <w:lang w:val="es-ES"/>
        </w:rPr>
        <w:t>funcionarios</w:t>
      </w:r>
      <w:r w:rsidR="001A75B2" w:rsidRPr="001A75B2">
        <w:rPr>
          <w:snapToGrid w:val="0"/>
          <w:kern w:val="22"/>
          <w:lang w:val="es-ES"/>
        </w:rPr>
        <w:t xml:space="preserve"> de aduanas aumentó en un </w:t>
      </w:r>
      <w:r w:rsidR="00775B5A" w:rsidRPr="001A75B2">
        <w:rPr>
          <w:snapToGrid w:val="0"/>
          <w:kern w:val="22"/>
          <w:lang w:val="es-ES"/>
        </w:rPr>
        <w:t>7</w:t>
      </w:r>
      <w:r w:rsidR="001A75B2" w:rsidRPr="001A75B2">
        <w:rPr>
          <w:snapToGrid w:val="0"/>
          <w:kern w:val="22"/>
          <w:lang w:val="es-ES"/>
        </w:rPr>
        <w:t xml:space="preserve"> </w:t>
      </w:r>
      <w:r w:rsidR="00775B5A" w:rsidRPr="001A75B2">
        <w:rPr>
          <w:snapToGrid w:val="0"/>
          <w:kern w:val="22"/>
          <w:lang w:val="es-ES"/>
        </w:rPr>
        <w:t xml:space="preserve">% </w:t>
      </w:r>
      <w:r w:rsidR="003016D8">
        <w:rPr>
          <w:snapToGrid w:val="0"/>
          <w:kern w:val="22"/>
          <w:lang w:val="es-ES"/>
        </w:rPr>
        <w:t>hasta</w:t>
      </w:r>
      <w:r w:rsidR="00775B5A" w:rsidRPr="001A75B2">
        <w:rPr>
          <w:snapToGrid w:val="0"/>
          <w:kern w:val="22"/>
          <w:lang w:val="es-ES"/>
        </w:rPr>
        <w:t xml:space="preserve"> 6 Partes (</w:t>
      </w:r>
      <w:r w:rsidR="001A75B2">
        <w:rPr>
          <w:snapToGrid w:val="0"/>
          <w:kern w:val="22"/>
          <w:lang w:val="es-ES"/>
        </w:rPr>
        <w:t xml:space="preserve">el </w:t>
      </w:r>
      <w:r w:rsidR="00775B5A" w:rsidRPr="001A75B2">
        <w:rPr>
          <w:snapToGrid w:val="0"/>
          <w:kern w:val="22"/>
          <w:lang w:val="es-ES"/>
        </w:rPr>
        <w:t>14</w:t>
      </w:r>
      <w:r w:rsidR="001A75B2">
        <w:rPr>
          <w:snapToGrid w:val="0"/>
          <w:kern w:val="22"/>
          <w:lang w:val="es-ES"/>
        </w:rPr>
        <w:t xml:space="preserve"> </w:t>
      </w:r>
      <w:r w:rsidR="00775B5A" w:rsidRPr="001A75B2">
        <w:rPr>
          <w:snapToGrid w:val="0"/>
          <w:kern w:val="22"/>
          <w:lang w:val="es-ES"/>
        </w:rPr>
        <w:t xml:space="preserve">% </w:t>
      </w:r>
      <w:r w:rsidR="001A75B2">
        <w:rPr>
          <w:snapToGrid w:val="0"/>
          <w:kern w:val="22"/>
          <w:lang w:val="es-ES"/>
        </w:rPr>
        <w:t>de las Partes que in</w:t>
      </w:r>
      <w:r w:rsidR="003016D8">
        <w:rPr>
          <w:snapToGrid w:val="0"/>
          <w:kern w:val="22"/>
          <w:lang w:val="es-ES"/>
        </w:rPr>
        <w:t xml:space="preserve">dicó </w:t>
      </w:r>
      <w:r w:rsidR="001A75B2">
        <w:rPr>
          <w:snapToGrid w:val="0"/>
          <w:kern w:val="22"/>
          <w:lang w:val="es-ES"/>
        </w:rPr>
        <w:t xml:space="preserve">que había capacitado a los </w:t>
      </w:r>
      <w:r w:rsidR="00B9493D">
        <w:rPr>
          <w:snapToGrid w:val="0"/>
          <w:kern w:val="22"/>
          <w:lang w:val="es-ES"/>
        </w:rPr>
        <w:t>funcionarios</w:t>
      </w:r>
      <w:r w:rsidR="001A75B2">
        <w:rPr>
          <w:snapToGrid w:val="0"/>
          <w:kern w:val="22"/>
          <w:lang w:val="es-ES"/>
        </w:rPr>
        <w:t xml:space="preserve"> de aduanas</w:t>
      </w:r>
      <w:r w:rsidR="00775B5A" w:rsidRPr="001A75B2">
        <w:rPr>
          <w:snapToGrid w:val="0"/>
          <w:kern w:val="22"/>
          <w:lang w:val="es-ES"/>
        </w:rPr>
        <w:t xml:space="preserve">), </w:t>
      </w:r>
      <w:r w:rsidR="001A75B2">
        <w:rPr>
          <w:snapToGrid w:val="0"/>
          <w:kern w:val="22"/>
          <w:lang w:val="es-ES"/>
        </w:rPr>
        <w:t xml:space="preserve">debido a los aumentos en </w:t>
      </w:r>
      <w:r w:rsidR="00775B5A" w:rsidRPr="001A75B2">
        <w:rPr>
          <w:snapToGrid w:val="0"/>
          <w:kern w:val="22"/>
          <w:lang w:val="es-ES"/>
        </w:rPr>
        <w:t>Asia</w:t>
      </w:r>
      <w:r w:rsidR="00FD6528">
        <w:rPr>
          <w:snapToGrid w:val="0"/>
          <w:kern w:val="22"/>
          <w:lang w:val="es-ES"/>
        </w:rPr>
        <w:t xml:space="preserve"> y el </w:t>
      </w:r>
      <w:r w:rsidR="001A75B2">
        <w:rPr>
          <w:snapToGrid w:val="0"/>
          <w:kern w:val="22"/>
          <w:lang w:val="es-ES"/>
        </w:rPr>
        <w:t>Pacífico y el grupo de Estados de Europa Occidental y otros</w:t>
      </w:r>
      <w:r w:rsidR="00775B5A" w:rsidRPr="001A75B2">
        <w:rPr>
          <w:snapToGrid w:val="0"/>
          <w:kern w:val="22"/>
          <w:lang w:val="es-ES"/>
        </w:rPr>
        <w:t xml:space="preserve">. </w:t>
      </w:r>
      <w:r w:rsidR="001A75B2" w:rsidRPr="001A75B2">
        <w:rPr>
          <w:snapToGrid w:val="0"/>
          <w:kern w:val="22"/>
          <w:lang w:val="es-ES"/>
        </w:rPr>
        <w:t>Casi la mitad de las Partes</w:t>
      </w:r>
      <w:r w:rsidR="00775B5A" w:rsidRPr="001A75B2">
        <w:rPr>
          <w:snapToGrid w:val="0"/>
          <w:kern w:val="22"/>
          <w:lang w:val="es-ES"/>
        </w:rPr>
        <w:t xml:space="preserve"> (</w:t>
      </w:r>
      <w:r w:rsidR="001A75B2" w:rsidRPr="001A75B2">
        <w:rPr>
          <w:snapToGrid w:val="0"/>
          <w:kern w:val="22"/>
          <w:lang w:val="es-ES"/>
        </w:rPr>
        <w:t xml:space="preserve">el </w:t>
      </w:r>
      <w:r w:rsidR="00775B5A" w:rsidRPr="001A75B2">
        <w:rPr>
          <w:snapToGrid w:val="0"/>
          <w:kern w:val="22"/>
          <w:lang w:val="es-ES"/>
        </w:rPr>
        <w:t>41</w:t>
      </w:r>
      <w:r w:rsidR="001A75B2" w:rsidRPr="001A75B2">
        <w:rPr>
          <w:snapToGrid w:val="0"/>
          <w:kern w:val="22"/>
          <w:lang w:val="es-ES"/>
        </w:rPr>
        <w:t xml:space="preserve"> </w:t>
      </w:r>
      <w:r w:rsidR="00775B5A" w:rsidRPr="001A75B2">
        <w:rPr>
          <w:snapToGrid w:val="0"/>
          <w:kern w:val="22"/>
          <w:lang w:val="es-ES"/>
        </w:rPr>
        <w:t xml:space="preserve">%) </w:t>
      </w:r>
      <w:r w:rsidR="001A75B2" w:rsidRPr="001A75B2">
        <w:rPr>
          <w:snapToGrid w:val="0"/>
          <w:kern w:val="22"/>
          <w:lang w:val="es-ES"/>
        </w:rPr>
        <w:t>indic</w:t>
      </w:r>
      <w:r w:rsidR="003016D8">
        <w:rPr>
          <w:snapToGrid w:val="0"/>
          <w:kern w:val="22"/>
          <w:lang w:val="es-ES"/>
        </w:rPr>
        <w:t>ó</w:t>
      </w:r>
      <w:r w:rsidR="001A75B2" w:rsidRPr="001A75B2">
        <w:rPr>
          <w:snapToGrid w:val="0"/>
          <w:kern w:val="22"/>
          <w:lang w:val="es-ES"/>
        </w:rPr>
        <w:t xml:space="preserve"> que no hab</w:t>
      </w:r>
      <w:r w:rsidR="003016D8">
        <w:rPr>
          <w:snapToGrid w:val="0"/>
          <w:kern w:val="22"/>
          <w:lang w:val="es-ES"/>
        </w:rPr>
        <w:t>ía</w:t>
      </w:r>
      <w:r w:rsidR="001A75B2">
        <w:rPr>
          <w:snapToGrid w:val="0"/>
          <w:kern w:val="22"/>
          <w:lang w:val="es-ES"/>
        </w:rPr>
        <w:t xml:space="preserve"> capacitado a los </w:t>
      </w:r>
      <w:r w:rsidR="00B9493D">
        <w:rPr>
          <w:snapToGrid w:val="0"/>
          <w:kern w:val="22"/>
          <w:lang w:val="es-ES"/>
        </w:rPr>
        <w:t>funcionarios</w:t>
      </w:r>
      <w:r w:rsidR="001A75B2">
        <w:rPr>
          <w:snapToGrid w:val="0"/>
          <w:kern w:val="22"/>
          <w:lang w:val="es-ES"/>
        </w:rPr>
        <w:t xml:space="preserve"> de aduanas, lo que representa una disminución de un </w:t>
      </w:r>
      <w:r w:rsidR="00775B5A" w:rsidRPr="001A75B2">
        <w:rPr>
          <w:snapToGrid w:val="0"/>
          <w:kern w:val="22"/>
          <w:lang w:val="es-ES"/>
        </w:rPr>
        <w:t>6</w:t>
      </w:r>
      <w:r w:rsidR="001A75B2">
        <w:rPr>
          <w:snapToGrid w:val="0"/>
          <w:kern w:val="22"/>
          <w:lang w:val="es-ES"/>
        </w:rPr>
        <w:t xml:space="preserve"> </w:t>
      </w:r>
      <w:r w:rsidR="00775B5A" w:rsidRPr="001A75B2">
        <w:rPr>
          <w:snapToGrid w:val="0"/>
          <w:kern w:val="22"/>
          <w:lang w:val="es-ES"/>
        </w:rPr>
        <w:t xml:space="preserve">% </w:t>
      </w:r>
      <w:r w:rsidR="001A75B2">
        <w:rPr>
          <w:snapToGrid w:val="0"/>
          <w:kern w:val="22"/>
          <w:lang w:val="es-ES"/>
        </w:rPr>
        <w:t>con respecto a los datos básicos de referencia</w:t>
      </w:r>
      <w:r w:rsidR="00775B5A" w:rsidRPr="001A75B2">
        <w:rPr>
          <w:snapToGrid w:val="0"/>
          <w:kern w:val="22"/>
          <w:lang w:val="es-ES"/>
        </w:rPr>
        <w:t>.</w:t>
      </w:r>
    </w:p>
    <w:p w:rsidR="00775B5A" w:rsidRPr="001A75B2" w:rsidRDefault="001A75B2"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i/>
          <w:iCs/>
          <w:snapToGrid w:val="0"/>
          <w:kern w:val="22"/>
          <w:lang w:val="es-ES"/>
        </w:rPr>
      </w:pPr>
      <w:r w:rsidRPr="001A75B2">
        <w:rPr>
          <w:snapToGrid w:val="0"/>
          <w:kern w:val="22"/>
          <w:lang w:val="es-ES"/>
        </w:rPr>
        <w:t xml:space="preserve">Un total del </w:t>
      </w:r>
      <w:r w:rsidR="00775B5A" w:rsidRPr="001A75B2">
        <w:rPr>
          <w:snapToGrid w:val="0"/>
          <w:kern w:val="22"/>
          <w:lang w:val="es-ES"/>
        </w:rPr>
        <w:t>96</w:t>
      </w:r>
      <w:r w:rsidRPr="001A75B2">
        <w:rPr>
          <w:snapToGrid w:val="0"/>
          <w:kern w:val="22"/>
          <w:lang w:val="es-ES"/>
        </w:rPr>
        <w:t xml:space="preserve"> </w:t>
      </w:r>
      <w:r w:rsidR="00775B5A" w:rsidRPr="001A75B2">
        <w:rPr>
          <w:snapToGrid w:val="0"/>
          <w:kern w:val="22"/>
          <w:lang w:val="es-ES"/>
        </w:rPr>
        <w:t xml:space="preserve">% </w:t>
      </w:r>
      <w:r w:rsidRPr="001A75B2">
        <w:rPr>
          <w:snapToGrid w:val="0"/>
          <w:kern w:val="22"/>
          <w:lang w:val="es-ES"/>
        </w:rPr>
        <w:t xml:space="preserve">de las </w:t>
      </w:r>
      <w:r w:rsidR="00775B5A" w:rsidRPr="001A75B2">
        <w:rPr>
          <w:snapToGrid w:val="0"/>
          <w:kern w:val="22"/>
          <w:lang w:val="es-ES"/>
        </w:rPr>
        <w:t xml:space="preserve">Partes (68 Partes) </w:t>
      </w:r>
      <w:r w:rsidRPr="001A75B2">
        <w:rPr>
          <w:snapToGrid w:val="0"/>
          <w:kern w:val="22"/>
          <w:lang w:val="es-ES"/>
        </w:rPr>
        <w:t>comunic</w:t>
      </w:r>
      <w:r w:rsidR="003016D8">
        <w:rPr>
          <w:snapToGrid w:val="0"/>
          <w:kern w:val="22"/>
          <w:lang w:val="es-ES"/>
        </w:rPr>
        <w:t>ó</w:t>
      </w:r>
      <w:r w:rsidRPr="001A75B2">
        <w:rPr>
          <w:snapToGrid w:val="0"/>
          <w:kern w:val="22"/>
          <w:lang w:val="es-ES"/>
        </w:rPr>
        <w:t xml:space="preserve"> que el</w:t>
      </w:r>
      <w:r>
        <w:rPr>
          <w:snapToGrid w:val="0"/>
          <w:kern w:val="22"/>
          <w:lang w:val="es-ES"/>
        </w:rPr>
        <w:t xml:space="preserve"> personal de laboratorios había recibido capacitación sobre detección de OVM, lo que supone un aumento de un </w:t>
      </w:r>
      <w:r w:rsidR="00775B5A" w:rsidRPr="001A75B2">
        <w:rPr>
          <w:snapToGrid w:val="0"/>
          <w:kern w:val="22"/>
          <w:lang w:val="es-ES"/>
        </w:rPr>
        <w:t>9</w:t>
      </w:r>
      <w:r>
        <w:rPr>
          <w:snapToGrid w:val="0"/>
          <w:kern w:val="22"/>
          <w:lang w:val="es-ES"/>
        </w:rPr>
        <w:t xml:space="preserve"> </w:t>
      </w:r>
      <w:r w:rsidR="00775B5A" w:rsidRPr="001A75B2">
        <w:rPr>
          <w:snapToGrid w:val="0"/>
          <w:kern w:val="22"/>
          <w:lang w:val="es-ES"/>
        </w:rPr>
        <w:t xml:space="preserve">% </w:t>
      </w:r>
      <w:r>
        <w:rPr>
          <w:snapToGrid w:val="0"/>
          <w:kern w:val="22"/>
          <w:lang w:val="es-ES"/>
        </w:rPr>
        <w:t>con respecto a los datos básicos de referencia</w:t>
      </w:r>
      <w:r w:rsidR="00775B5A" w:rsidRPr="001A75B2">
        <w:rPr>
          <w:snapToGrid w:val="0"/>
          <w:kern w:val="22"/>
          <w:lang w:val="es-ES"/>
        </w:rPr>
        <w:t xml:space="preserve">. </w:t>
      </w:r>
      <w:r w:rsidRPr="001A75B2">
        <w:rPr>
          <w:snapToGrid w:val="0"/>
          <w:kern w:val="22"/>
          <w:lang w:val="es-ES"/>
        </w:rPr>
        <w:t xml:space="preserve">El aumento está relacionado principalmente con un aumento de un </w:t>
      </w:r>
      <w:r w:rsidR="00775B5A" w:rsidRPr="001A75B2">
        <w:rPr>
          <w:snapToGrid w:val="0"/>
          <w:kern w:val="22"/>
          <w:lang w:val="es-ES"/>
        </w:rPr>
        <w:t>12</w:t>
      </w:r>
      <w:r w:rsidRPr="001A75B2">
        <w:rPr>
          <w:snapToGrid w:val="0"/>
          <w:kern w:val="22"/>
          <w:lang w:val="es-ES"/>
        </w:rPr>
        <w:t xml:space="preserve"> </w:t>
      </w:r>
      <w:r w:rsidR="00775B5A" w:rsidRPr="001A75B2">
        <w:rPr>
          <w:snapToGrid w:val="0"/>
          <w:kern w:val="22"/>
          <w:lang w:val="es-ES"/>
        </w:rPr>
        <w:t xml:space="preserve">% </w:t>
      </w:r>
      <w:r w:rsidRPr="001A75B2">
        <w:rPr>
          <w:snapToGrid w:val="0"/>
          <w:kern w:val="22"/>
          <w:lang w:val="es-ES"/>
        </w:rPr>
        <w:t>con respecto a los datos básicos de referencia en el n</w:t>
      </w:r>
      <w:r>
        <w:rPr>
          <w:snapToGrid w:val="0"/>
          <w:kern w:val="22"/>
          <w:lang w:val="es-ES"/>
        </w:rPr>
        <w:t xml:space="preserve">úmero de </w:t>
      </w:r>
      <w:r w:rsidR="00775B5A" w:rsidRPr="001A75B2">
        <w:rPr>
          <w:snapToGrid w:val="0"/>
          <w:kern w:val="22"/>
          <w:lang w:val="es-ES"/>
        </w:rPr>
        <w:t xml:space="preserve">Partes </w:t>
      </w:r>
      <w:r>
        <w:rPr>
          <w:snapToGrid w:val="0"/>
          <w:kern w:val="22"/>
          <w:lang w:val="es-ES"/>
        </w:rPr>
        <w:t>que inform</w:t>
      </w:r>
      <w:r w:rsidR="003016D8">
        <w:rPr>
          <w:snapToGrid w:val="0"/>
          <w:kern w:val="22"/>
          <w:lang w:val="es-ES"/>
        </w:rPr>
        <w:t>ó</w:t>
      </w:r>
      <w:r>
        <w:rPr>
          <w:snapToGrid w:val="0"/>
          <w:kern w:val="22"/>
          <w:lang w:val="es-ES"/>
        </w:rPr>
        <w:t xml:space="preserve"> que se había capacitado hasta a </w:t>
      </w:r>
      <w:r w:rsidR="00775B5A" w:rsidRPr="001A75B2">
        <w:rPr>
          <w:snapToGrid w:val="0"/>
          <w:kern w:val="22"/>
          <w:lang w:val="es-ES"/>
        </w:rPr>
        <w:t xml:space="preserve">10 </w:t>
      </w:r>
      <w:r>
        <w:rPr>
          <w:snapToGrid w:val="0"/>
          <w:kern w:val="22"/>
          <w:lang w:val="es-ES"/>
        </w:rPr>
        <w:t xml:space="preserve">miembros del personal de laboratorios </w:t>
      </w:r>
      <w:r w:rsidR="00775B5A" w:rsidRPr="001A75B2">
        <w:rPr>
          <w:snapToGrid w:val="0"/>
          <w:kern w:val="22"/>
          <w:lang w:val="es-ES"/>
        </w:rPr>
        <w:t xml:space="preserve">(35 Partes </w:t>
      </w:r>
      <w:r>
        <w:rPr>
          <w:snapToGrid w:val="0"/>
          <w:kern w:val="22"/>
          <w:lang w:val="es-ES"/>
        </w:rPr>
        <w:t>e</w:t>
      </w:r>
      <w:r w:rsidR="00775B5A" w:rsidRPr="001A75B2">
        <w:rPr>
          <w:snapToGrid w:val="0"/>
          <w:kern w:val="22"/>
          <w:lang w:val="es-ES"/>
        </w:rPr>
        <w:t xml:space="preserve">n total). </w:t>
      </w:r>
    </w:p>
    <w:p w:rsidR="00775B5A" w:rsidRPr="00DE55EB" w:rsidRDefault="00A250CB"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i/>
          <w:iCs/>
          <w:snapToGrid w:val="0"/>
          <w:kern w:val="22"/>
          <w:lang w:val="es-ES"/>
        </w:rPr>
      </w:pPr>
      <w:r w:rsidRPr="00DE55EB">
        <w:rPr>
          <w:snapToGrid w:val="0"/>
          <w:kern w:val="22"/>
          <w:lang w:val="es-ES"/>
        </w:rPr>
        <w:t>En lo que respecta al</w:t>
      </w:r>
      <w:r w:rsidR="00775B5A" w:rsidRPr="00DE55EB">
        <w:rPr>
          <w:snapToGrid w:val="0"/>
          <w:kern w:val="22"/>
          <w:lang w:val="es-ES"/>
        </w:rPr>
        <w:t xml:space="preserve"> </w:t>
      </w:r>
      <w:r w:rsidR="00775B5A" w:rsidRPr="00DE55EB">
        <w:rPr>
          <w:b/>
          <w:bCs/>
          <w:snapToGrid w:val="0"/>
          <w:kern w:val="22"/>
          <w:lang w:val="es-ES"/>
        </w:rPr>
        <w:t>indica</w:t>
      </w:r>
      <w:r w:rsidRPr="00DE55EB">
        <w:rPr>
          <w:b/>
          <w:bCs/>
          <w:snapToGrid w:val="0"/>
          <w:kern w:val="22"/>
          <w:lang w:val="es-ES"/>
        </w:rPr>
        <w:t>d</w:t>
      </w:r>
      <w:r w:rsidR="00775B5A" w:rsidRPr="00DE55EB">
        <w:rPr>
          <w:b/>
          <w:bCs/>
          <w:snapToGrid w:val="0"/>
          <w:kern w:val="22"/>
          <w:lang w:val="es-ES"/>
        </w:rPr>
        <w:t>or 2.3.2</w:t>
      </w:r>
      <w:r w:rsidR="00775B5A" w:rsidRPr="00DE55EB">
        <w:rPr>
          <w:snapToGrid w:val="0"/>
          <w:kern w:val="22"/>
          <w:lang w:val="es-ES"/>
        </w:rPr>
        <w:t xml:space="preserve"> (</w:t>
      </w:r>
      <w:r w:rsidR="00DE55EB" w:rsidRPr="00DE55EB">
        <w:rPr>
          <w:snapToGrid w:val="0"/>
          <w:kern w:val="22"/>
          <w:lang w:val="es-ES"/>
        </w:rPr>
        <w:t xml:space="preserve">porcentaje de las </w:t>
      </w:r>
      <w:r w:rsidR="00775B5A" w:rsidRPr="00DE55EB">
        <w:rPr>
          <w:snapToGrid w:val="0"/>
          <w:kern w:val="22"/>
          <w:lang w:val="es-ES"/>
        </w:rPr>
        <w:t xml:space="preserve">Partes </w:t>
      </w:r>
      <w:r w:rsidR="00DE55EB" w:rsidRPr="00DE55EB">
        <w:rPr>
          <w:snapToGrid w:val="0"/>
          <w:kern w:val="22"/>
          <w:lang w:val="es-ES"/>
        </w:rPr>
        <w:t xml:space="preserve">que ha establecido </w:t>
      </w:r>
      <w:r w:rsidR="00DE55EB">
        <w:rPr>
          <w:snapToGrid w:val="0"/>
          <w:kern w:val="22"/>
          <w:lang w:val="es-ES"/>
        </w:rPr>
        <w:t>o tiene acceso fiable a l</w:t>
      </w:r>
      <w:r w:rsidR="00DE55EB" w:rsidRPr="00DE55EB">
        <w:rPr>
          <w:snapToGrid w:val="0"/>
          <w:kern w:val="22"/>
          <w:lang w:val="es-ES"/>
        </w:rPr>
        <w:t>aboratorios de detección</w:t>
      </w:r>
      <w:r w:rsidR="00775B5A" w:rsidRPr="00DE55EB">
        <w:rPr>
          <w:snapToGrid w:val="0"/>
          <w:kern w:val="22"/>
          <w:lang w:val="es-ES"/>
        </w:rPr>
        <w:t>)</w:t>
      </w:r>
      <w:r w:rsidR="00775B5A" w:rsidRPr="00DE55EB">
        <w:rPr>
          <w:rFonts w:ascii="Angsana New" w:hAnsi="Angsana New" w:cs="Angsana New"/>
          <w:snapToGrid w:val="0"/>
          <w:kern w:val="22"/>
          <w:lang w:val="es-ES"/>
        </w:rPr>
        <w:t>,</w:t>
      </w:r>
      <w:r w:rsidR="00775B5A" w:rsidRPr="00DE55EB">
        <w:rPr>
          <w:snapToGrid w:val="0"/>
          <w:kern w:val="22"/>
          <w:lang w:val="es-ES"/>
        </w:rPr>
        <w:t xml:space="preserve"> </w:t>
      </w:r>
      <w:r w:rsidR="00DE55EB">
        <w:rPr>
          <w:snapToGrid w:val="0"/>
          <w:kern w:val="22"/>
          <w:lang w:val="es-ES"/>
        </w:rPr>
        <w:t xml:space="preserve">el </w:t>
      </w:r>
      <w:r w:rsidR="00775B5A" w:rsidRPr="00DE55EB">
        <w:rPr>
          <w:snapToGrid w:val="0"/>
          <w:kern w:val="22"/>
          <w:lang w:val="es-ES"/>
        </w:rPr>
        <w:t>87</w:t>
      </w:r>
      <w:r w:rsidR="00DE55EB">
        <w:rPr>
          <w:snapToGrid w:val="0"/>
          <w:kern w:val="22"/>
          <w:lang w:val="es-ES"/>
        </w:rPr>
        <w:t xml:space="preserve"> </w:t>
      </w:r>
      <w:r w:rsidR="00775B5A" w:rsidRPr="00DE55EB">
        <w:rPr>
          <w:snapToGrid w:val="0"/>
          <w:kern w:val="22"/>
          <w:lang w:val="es-ES"/>
        </w:rPr>
        <w:t xml:space="preserve">% </w:t>
      </w:r>
      <w:r w:rsidR="00DE55EB">
        <w:rPr>
          <w:snapToGrid w:val="0"/>
          <w:kern w:val="22"/>
          <w:lang w:val="es-ES"/>
        </w:rPr>
        <w:t>de las Part</w:t>
      </w:r>
      <w:r w:rsidR="00775B5A" w:rsidRPr="00DE55EB">
        <w:rPr>
          <w:snapToGrid w:val="0"/>
          <w:kern w:val="22"/>
          <w:lang w:val="es-ES"/>
        </w:rPr>
        <w:t xml:space="preserve">es </w:t>
      </w:r>
      <w:r w:rsidR="00DE55EB">
        <w:rPr>
          <w:snapToGrid w:val="0"/>
          <w:kern w:val="22"/>
          <w:lang w:val="es-ES"/>
        </w:rPr>
        <w:t>inform</w:t>
      </w:r>
      <w:r w:rsidR="00197B16">
        <w:rPr>
          <w:snapToGrid w:val="0"/>
          <w:kern w:val="22"/>
          <w:lang w:val="es-ES"/>
        </w:rPr>
        <w:t>ó</w:t>
      </w:r>
      <w:r w:rsidR="00DE55EB">
        <w:rPr>
          <w:snapToGrid w:val="0"/>
          <w:kern w:val="22"/>
          <w:lang w:val="es-ES"/>
        </w:rPr>
        <w:t xml:space="preserve"> que tenía acceso fiable a instalaciones de laboratorio</w:t>
      </w:r>
      <w:r w:rsidR="00775B5A" w:rsidRPr="00DE55EB">
        <w:rPr>
          <w:snapToGrid w:val="0"/>
          <w:kern w:val="22"/>
          <w:lang w:val="es-ES"/>
        </w:rPr>
        <w:t xml:space="preserve">, </w:t>
      </w:r>
      <w:r w:rsidR="00DE55EB">
        <w:rPr>
          <w:snapToGrid w:val="0"/>
          <w:kern w:val="22"/>
          <w:lang w:val="es-ES"/>
        </w:rPr>
        <w:t xml:space="preserve">lo que supone un aumento de un </w:t>
      </w:r>
      <w:r w:rsidR="00775B5A" w:rsidRPr="00DE55EB">
        <w:rPr>
          <w:snapToGrid w:val="0"/>
          <w:kern w:val="22"/>
          <w:lang w:val="es-ES"/>
        </w:rPr>
        <w:t>10</w:t>
      </w:r>
      <w:r w:rsidR="00DE55EB">
        <w:rPr>
          <w:snapToGrid w:val="0"/>
          <w:kern w:val="22"/>
          <w:lang w:val="es-ES"/>
        </w:rPr>
        <w:t xml:space="preserve"> </w:t>
      </w:r>
      <w:r w:rsidR="00775B5A" w:rsidRPr="00DE55EB">
        <w:rPr>
          <w:snapToGrid w:val="0"/>
          <w:kern w:val="22"/>
          <w:lang w:val="es-ES"/>
        </w:rPr>
        <w:t xml:space="preserve">% </w:t>
      </w:r>
      <w:r w:rsidR="00DE55EB">
        <w:rPr>
          <w:snapToGrid w:val="0"/>
          <w:kern w:val="22"/>
          <w:lang w:val="es-ES"/>
        </w:rPr>
        <w:t>con respecto a los datos básicos de referencia</w:t>
      </w:r>
      <w:r w:rsidR="00775B5A" w:rsidRPr="00DE55EB">
        <w:rPr>
          <w:snapToGrid w:val="0"/>
          <w:kern w:val="22"/>
          <w:lang w:val="es-ES"/>
        </w:rPr>
        <w:t xml:space="preserve">, </w:t>
      </w:r>
      <w:r w:rsidR="00DE55EB">
        <w:rPr>
          <w:snapToGrid w:val="0"/>
          <w:kern w:val="22"/>
          <w:lang w:val="es-ES"/>
        </w:rPr>
        <w:t>con el siguiente desglose regional</w:t>
      </w:r>
      <w:r w:rsidR="00775B5A" w:rsidRPr="00DE55EB">
        <w:rPr>
          <w:snapToGrid w:val="0"/>
          <w:kern w:val="22"/>
          <w:lang w:val="es-ES"/>
        </w:rPr>
        <w:t xml:space="preserve">: </w:t>
      </w:r>
      <w:r w:rsidR="00DE55EB">
        <w:rPr>
          <w:snapToGrid w:val="0"/>
          <w:kern w:val="22"/>
          <w:lang w:val="es-ES"/>
        </w:rPr>
        <w:t>Á</w:t>
      </w:r>
      <w:r w:rsidR="00775B5A" w:rsidRPr="00DE55EB">
        <w:rPr>
          <w:snapToGrid w:val="0"/>
          <w:kern w:val="22"/>
          <w:lang w:val="es-ES"/>
        </w:rPr>
        <w:t>frica:</w:t>
      </w:r>
      <w:r w:rsidR="00DE55EB">
        <w:rPr>
          <w:snapToGrid w:val="0"/>
          <w:kern w:val="22"/>
          <w:lang w:val="es-ES"/>
        </w:rPr>
        <w:t xml:space="preserve"> </w:t>
      </w:r>
      <w:r w:rsidR="00775B5A" w:rsidRPr="00DE55EB">
        <w:rPr>
          <w:snapToGrid w:val="0"/>
          <w:kern w:val="22"/>
          <w:lang w:val="es-ES"/>
        </w:rPr>
        <w:t>79</w:t>
      </w:r>
      <w:r w:rsidR="00DE55EB">
        <w:rPr>
          <w:snapToGrid w:val="0"/>
          <w:kern w:val="22"/>
          <w:lang w:val="es-ES"/>
        </w:rPr>
        <w:t xml:space="preserve"> </w:t>
      </w:r>
      <w:r w:rsidR="00775B5A" w:rsidRPr="00DE55EB">
        <w:rPr>
          <w:snapToGrid w:val="0"/>
          <w:kern w:val="22"/>
          <w:lang w:val="es-ES"/>
        </w:rPr>
        <w:t>% (+</w:t>
      </w:r>
      <w:r w:rsidR="00DE55EB">
        <w:rPr>
          <w:snapToGrid w:val="0"/>
          <w:kern w:val="22"/>
          <w:lang w:val="es-ES"/>
        </w:rPr>
        <w:t xml:space="preserve"> </w:t>
      </w:r>
      <w:r w:rsidR="00775B5A" w:rsidRPr="00DE55EB">
        <w:rPr>
          <w:snapToGrid w:val="0"/>
          <w:kern w:val="22"/>
          <w:lang w:val="es-ES"/>
        </w:rPr>
        <w:t>11</w:t>
      </w:r>
      <w:r w:rsidR="00DE55EB">
        <w:rPr>
          <w:snapToGrid w:val="0"/>
          <w:kern w:val="22"/>
          <w:lang w:val="es-ES"/>
        </w:rPr>
        <w:t xml:space="preserve"> </w:t>
      </w:r>
      <w:r w:rsidR="00775B5A" w:rsidRPr="00DE55EB">
        <w:rPr>
          <w:snapToGrid w:val="0"/>
          <w:kern w:val="22"/>
          <w:lang w:val="es-ES"/>
        </w:rPr>
        <w:t>%)</w:t>
      </w:r>
      <w:r w:rsidR="00197B16">
        <w:rPr>
          <w:snapToGrid w:val="0"/>
          <w:kern w:val="22"/>
          <w:lang w:val="es-ES"/>
        </w:rPr>
        <w:t>,</w:t>
      </w:r>
      <w:r w:rsidR="00775B5A" w:rsidRPr="00DE55EB">
        <w:rPr>
          <w:snapToGrid w:val="0"/>
          <w:kern w:val="22"/>
          <w:lang w:val="es-ES"/>
        </w:rPr>
        <w:t xml:space="preserve"> Asia</w:t>
      </w:r>
      <w:r w:rsidR="00FD6528">
        <w:rPr>
          <w:snapToGrid w:val="0"/>
          <w:kern w:val="22"/>
          <w:lang w:val="es-ES"/>
        </w:rPr>
        <w:t xml:space="preserve"> y el </w:t>
      </w:r>
      <w:r w:rsidR="00DE55EB">
        <w:rPr>
          <w:snapToGrid w:val="0"/>
          <w:kern w:val="22"/>
          <w:lang w:val="es-ES"/>
        </w:rPr>
        <w:t>Pacífico</w:t>
      </w:r>
      <w:r w:rsidR="00775B5A" w:rsidRPr="00DE55EB">
        <w:rPr>
          <w:snapToGrid w:val="0"/>
          <w:kern w:val="22"/>
          <w:lang w:val="es-ES"/>
        </w:rPr>
        <w:t>: 89</w:t>
      </w:r>
      <w:r w:rsidR="00DE55EB">
        <w:rPr>
          <w:snapToGrid w:val="0"/>
          <w:kern w:val="22"/>
          <w:lang w:val="es-ES"/>
        </w:rPr>
        <w:t xml:space="preserve"> </w:t>
      </w:r>
      <w:r w:rsidR="00775B5A" w:rsidRPr="00DE55EB">
        <w:rPr>
          <w:snapToGrid w:val="0"/>
          <w:kern w:val="22"/>
          <w:lang w:val="es-ES"/>
        </w:rPr>
        <w:t>% (+</w:t>
      </w:r>
      <w:r w:rsidR="00DE55EB">
        <w:rPr>
          <w:snapToGrid w:val="0"/>
          <w:kern w:val="22"/>
          <w:lang w:val="es-ES"/>
        </w:rPr>
        <w:t xml:space="preserve"> </w:t>
      </w:r>
      <w:r w:rsidR="00775B5A" w:rsidRPr="00DE55EB">
        <w:rPr>
          <w:snapToGrid w:val="0"/>
          <w:kern w:val="22"/>
          <w:lang w:val="es-ES"/>
        </w:rPr>
        <w:t>11</w:t>
      </w:r>
      <w:r w:rsidR="00DE55EB">
        <w:rPr>
          <w:snapToGrid w:val="0"/>
          <w:kern w:val="22"/>
          <w:lang w:val="es-ES"/>
        </w:rPr>
        <w:t xml:space="preserve"> </w:t>
      </w:r>
      <w:r w:rsidR="00775B5A" w:rsidRPr="00DE55EB">
        <w:rPr>
          <w:snapToGrid w:val="0"/>
          <w:kern w:val="22"/>
          <w:lang w:val="es-ES"/>
        </w:rPr>
        <w:t>%)</w:t>
      </w:r>
      <w:r w:rsidR="00197B16">
        <w:rPr>
          <w:snapToGrid w:val="0"/>
          <w:kern w:val="22"/>
          <w:lang w:val="es-ES"/>
        </w:rPr>
        <w:t>,</w:t>
      </w:r>
      <w:r w:rsidR="00775B5A" w:rsidRPr="00DE55EB">
        <w:rPr>
          <w:snapToGrid w:val="0"/>
          <w:kern w:val="22"/>
          <w:lang w:val="es-ES"/>
        </w:rPr>
        <w:t xml:space="preserve"> </w:t>
      </w:r>
      <w:r w:rsidR="00477624">
        <w:rPr>
          <w:snapToGrid w:val="0"/>
          <w:kern w:val="22"/>
          <w:lang w:val="es-ES"/>
        </w:rPr>
        <w:t>grupo de Estados de Europa Central y Oriental</w:t>
      </w:r>
      <w:r w:rsidR="00775B5A" w:rsidRPr="00DE55EB">
        <w:rPr>
          <w:snapToGrid w:val="0"/>
          <w:kern w:val="22"/>
          <w:lang w:val="es-ES"/>
        </w:rPr>
        <w:t>: 100</w:t>
      </w:r>
      <w:r w:rsidR="00DE55EB">
        <w:rPr>
          <w:snapToGrid w:val="0"/>
          <w:kern w:val="22"/>
          <w:lang w:val="es-ES"/>
        </w:rPr>
        <w:t xml:space="preserve"> </w:t>
      </w:r>
      <w:r w:rsidR="00775B5A" w:rsidRPr="00DE55EB">
        <w:rPr>
          <w:snapToGrid w:val="0"/>
          <w:kern w:val="22"/>
          <w:lang w:val="es-ES"/>
        </w:rPr>
        <w:t>% (+</w:t>
      </w:r>
      <w:r w:rsidR="00DE55EB">
        <w:rPr>
          <w:snapToGrid w:val="0"/>
          <w:kern w:val="22"/>
          <w:lang w:val="es-ES"/>
        </w:rPr>
        <w:t xml:space="preserve"> </w:t>
      </w:r>
      <w:r w:rsidR="00775B5A" w:rsidRPr="00DE55EB">
        <w:rPr>
          <w:snapToGrid w:val="0"/>
          <w:kern w:val="22"/>
          <w:lang w:val="es-ES"/>
        </w:rPr>
        <w:t>14</w:t>
      </w:r>
      <w:r w:rsidR="00DE55EB">
        <w:rPr>
          <w:snapToGrid w:val="0"/>
          <w:kern w:val="22"/>
          <w:lang w:val="es-ES"/>
        </w:rPr>
        <w:t xml:space="preserve"> </w:t>
      </w:r>
      <w:r w:rsidR="00775B5A" w:rsidRPr="00DE55EB">
        <w:rPr>
          <w:snapToGrid w:val="0"/>
          <w:kern w:val="22"/>
          <w:lang w:val="es-ES"/>
        </w:rPr>
        <w:t>%)</w:t>
      </w:r>
      <w:r w:rsidR="00197B16">
        <w:rPr>
          <w:snapToGrid w:val="0"/>
          <w:kern w:val="22"/>
          <w:lang w:val="es-ES"/>
        </w:rPr>
        <w:t>,</w:t>
      </w:r>
      <w:r w:rsidR="00775B5A" w:rsidRPr="00DE55EB">
        <w:rPr>
          <w:snapToGrid w:val="0"/>
          <w:kern w:val="22"/>
          <w:lang w:val="es-ES"/>
        </w:rPr>
        <w:t xml:space="preserve"> </w:t>
      </w:r>
      <w:r w:rsidR="00D74010">
        <w:rPr>
          <w:snapToGrid w:val="0"/>
          <w:kern w:val="22"/>
          <w:lang w:val="es-ES"/>
        </w:rPr>
        <w:t>grupo de países de América Latina y el Caribe</w:t>
      </w:r>
      <w:r w:rsidR="00775B5A" w:rsidRPr="00DE55EB">
        <w:rPr>
          <w:snapToGrid w:val="0"/>
          <w:kern w:val="22"/>
          <w:lang w:val="es-ES"/>
        </w:rPr>
        <w:t>: 69</w:t>
      </w:r>
      <w:r w:rsidR="00DE55EB">
        <w:rPr>
          <w:snapToGrid w:val="0"/>
          <w:kern w:val="22"/>
          <w:lang w:val="es-ES"/>
        </w:rPr>
        <w:t xml:space="preserve"> </w:t>
      </w:r>
      <w:r w:rsidR="00775B5A" w:rsidRPr="00DE55EB">
        <w:rPr>
          <w:snapToGrid w:val="0"/>
          <w:kern w:val="22"/>
          <w:lang w:val="es-ES"/>
        </w:rPr>
        <w:t>%</w:t>
      </w:r>
      <w:r w:rsidR="00DE55EB">
        <w:rPr>
          <w:snapToGrid w:val="0"/>
          <w:kern w:val="22"/>
          <w:lang w:val="es-ES"/>
        </w:rPr>
        <w:t xml:space="preserve"> </w:t>
      </w:r>
      <w:r w:rsidR="00775B5A" w:rsidRPr="00DE55EB">
        <w:rPr>
          <w:snapToGrid w:val="0"/>
          <w:kern w:val="22"/>
          <w:lang w:val="es-ES"/>
        </w:rPr>
        <w:t>(+</w:t>
      </w:r>
      <w:r w:rsidR="00DE55EB">
        <w:rPr>
          <w:snapToGrid w:val="0"/>
          <w:kern w:val="22"/>
          <w:lang w:val="es-ES"/>
        </w:rPr>
        <w:t xml:space="preserve"> </w:t>
      </w:r>
      <w:r w:rsidR="00775B5A" w:rsidRPr="00DE55EB">
        <w:rPr>
          <w:snapToGrid w:val="0"/>
          <w:kern w:val="22"/>
          <w:lang w:val="es-ES"/>
        </w:rPr>
        <w:t>15</w:t>
      </w:r>
      <w:r w:rsidR="00DE55EB">
        <w:rPr>
          <w:snapToGrid w:val="0"/>
          <w:kern w:val="22"/>
          <w:lang w:val="es-ES"/>
        </w:rPr>
        <w:t xml:space="preserve"> </w:t>
      </w:r>
      <w:r w:rsidR="00775B5A" w:rsidRPr="00DE55EB">
        <w:rPr>
          <w:snapToGrid w:val="0"/>
          <w:kern w:val="22"/>
          <w:lang w:val="es-ES"/>
        </w:rPr>
        <w:t>%)</w:t>
      </w:r>
      <w:r w:rsidR="00197B16">
        <w:rPr>
          <w:snapToGrid w:val="0"/>
          <w:kern w:val="22"/>
          <w:lang w:val="es-ES"/>
        </w:rPr>
        <w:t>,</w:t>
      </w:r>
      <w:r w:rsidR="00775B5A" w:rsidRPr="00DE55EB">
        <w:rPr>
          <w:snapToGrid w:val="0"/>
          <w:kern w:val="22"/>
          <w:lang w:val="es-ES"/>
        </w:rPr>
        <w:t xml:space="preserve"> </w:t>
      </w:r>
      <w:r w:rsidR="00DE55EB">
        <w:rPr>
          <w:snapToGrid w:val="0"/>
          <w:kern w:val="22"/>
          <w:lang w:val="es-ES"/>
        </w:rPr>
        <w:t>grupo de Estados de Europa Occidental y otros</w:t>
      </w:r>
      <w:r w:rsidR="00775B5A" w:rsidRPr="00DE55EB">
        <w:rPr>
          <w:snapToGrid w:val="0"/>
          <w:kern w:val="22"/>
          <w:lang w:val="es-ES"/>
        </w:rPr>
        <w:t>: 100</w:t>
      </w:r>
      <w:r w:rsidR="00DE55EB">
        <w:rPr>
          <w:snapToGrid w:val="0"/>
          <w:kern w:val="22"/>
          <w:lang w:val="es-ES"/>
        </w:rPr>
        <w:t xml:space="preserve"> </w:t>
      </w:r>
      <w:r w:rsidR="00775B5A" w:rsidRPr="00DE55EB">
        <w:rPr>
          <w:snapToGrid w:val="0"/>
          <w:kern w:val="22"/>
          <w:lang w:val="es-ES"/>
        </w:rPr>
        <w:t>% (</w:t>
      </w:r>
      <w:r w:rsidR="00DE55EB">
        <w:rPr>
          <w:snapToGrid w:val="0"/>
          <w:kern w:val="22"/>
          <w:lang w:val="es-ES"/>
        </w:rPr>
        <w:t>sin cambios con respecto a los datos básicos de referencia</w:t>
      </w:r>
      <w:r w:rsidR="00775B5A" w:rsidRPr="00DE55EB">
        <w:rPr>
          <w:snapToGrid w:val="0"/>
          <w:kern w:val="22"/>
          <w:lang w:val="es-ES"/>
        </w:rPr>
        <w:t xml:space="preserve">). </w:t>
      </w:r>
    </w:p>
    <w:p w:rsidR="00775B5A" w:rsidRPr="00A153D0" w:rsidRDefault="00DE55EB"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i/>
          <w:iCs/>
          <w:snapToGrid w:val="0"/>
          <w:kern w:val="22"/>
          <w:lang w:val="es-ES"/>
        </w:rPr>
      </w:pPr>
      <w:r w:rsidRPr="00A153D0">
        <w:rPr>
          <w:snapToGrid w:val="0"/>
          <w:kern w:val="22"/>
          <w:lang w:val="es-ES"/>
        </w:rPr>
        <w:t xml:space="preserve">En lo tocante al </w:t>
      </w:r>
      <w:r w:rsidR="00775B5A" w:rsidRPr="00A153D0">
        <w:rPr>
          <w:b/>
          <w:bCs/>
          <w:snapToGrid w:val="0"/>
          <w:kern w:val="22"/>
          <w:lang w:val="es-ES"/>
        </w:rPr>
        <w:t>indica</w:t>
      </w:r>
      <w:r w:rsidRPr="00A153D0">
        <w:rPr>
          <w:b/>
          <w:bCs/>
          <w:snapToGrid w:val="0"/>
          <w:kern w:val="22"/>
          <w:lang w:val="es-ES"/>
        </w:rPr>
        <w:t>d</w:t>
      </w:r>
      <w:r w:rsidR="00775B5A" w:rsidRPr="00A153D0">
        <w:rPr>
          <w:b/>
          <w:bCs/>
          <w:snapToGrid w:val="0"/>
          <w:kern w:val="22"/>
          <w:lang w:val="es-ES"/>
        </w:rPr>
        <w:t xml:space="preserve">or 2.3.3 </w:t>
      </w:r>
      <w:r w:rsidR="00775B5A" w:rsidRPr="00A153D0">
        <w:rPr>
          <w:snapToGrid w:val="0"/>
          <w:kern w:val="22"/>
          <w:lang w:val="es-ES"/>
        </w:rPr>
        <w:t>(</w:t>
      </w:r>
      <w:r w:rsidR="00A153D0" w:rsidRPr="00A153D0">
        <w:rPr>
          <w:snapToGrid w:val="0"/>
          <w:kern w:val="22"/>
          <w:lang w:val="es-ES"/>
        </w:rPr>
        <w:t>el número de laboratorios nacionales y regionales certificados con capacidad para detectar OVM</w:t>
      </w:r>
      <w:r w:rsidR="00775B5A" w:rsidRPr="00A153D0">
        <w:rPr>
          <w:snapToGrid w:val="0"/>
          <w:kern w:val="22"/>
          <w:lang w:val="es-ES"/>
        </w:rPr>
        <w:t xml:space="preserve">), </w:t>
      </w:r>
      <w:r w:rsidR="00A153D0">
        <w:rPr>
          <w:snapToGrid w:val="0"/>
          <w:kern w:val="22"/>
          <w:lang w:val="es-ES"/>
        </w:rPr>
        <w:t>los informes nacionales proporcionan información sobre el número de Partes que notifican que existen laboratorios en su país que están certificados para la detección de OVM</w:t>
      </w:r>
      <w:r w:rsidR="00775B5A" w:rsidRPr="00A153D0">
        <w:rPr>
          <w:snapToGrid w:val="0"/>
          <w:kern w:val="22"/>
          <w:lang w:val="es-ES"/>
        </w:rPr>
        <w:t xml:space="preserve">. </w:t>
      </w:r>
      <w:r w:rsidR="00A153D0" w:rsidRPr="00A153D0">
        <w:rPr>
          <w:snapToGrid w:val="0"/>
          <w:kern w:val="22"/>
          <w:lang w:val="es-ES"/>
        </w:rPr>
        <w:t>Un total del</w:t>
      </w:r>
      <w:r w:rsidR="00775B5A" w:rsidRPr="00A153D0">
        <w:rPr>
          <w:snapToGrid w:val="0"/>
          <w:kern w:val="22"/>
          <w:lang w:val="es-ES"/>
        </w:rPr>
        <w:t xml:space="preserve"> 68</w:t>
      </w:r>
      <w:r w:rsidR="00A153D0" w:rsidRPr="00A153D0">
        <w:rPr>
          <w:snapToGrid w:val="0"/>
          <w:kern w:val="22"/>
          <w:lang w:val="es-ES"/>
        </w:rPr>
        <w:t xml:space="preserve"> </w:t>
      </w:r>
      <w:r w:rsidR="00775B5A" w:rsidRPr="00A153D0">
        <w:rPr>
          <w:snapToGrid w:val="0"/>
          <w:kern w:val="22"/>
          <w:lang w:val="es-ES"/>
        </w:rPr>
        <w:t xml:space="preserve">% </w:t>
      </w:r>
      <w:r w:rsidR="00A153D0" w:rsidRPr="00A153D0">
        <w:rPr>
          <w:snapToGrid w:val="0"/>
          <w:kern w:val="22"/>
          <w:lang w:val="es-ES"/>
        </w:rPr>
        <w:t xml:space="preserve">de las </w:t>
      </w:r>
      <w:r w:rsidR="00775B5A" w:rsidRPr="00A153D0">
        <w:rPr>
          <w:snapToGrid w:val="0"/>
          <w:kern w:val="22"/>
          <w:lang w:val="es-ES"/>
        </w:rPr>
        <w:t>Part</w:t>
      </w:r>
      <w:r w:rsidR="00A153D0" w:rsidRPr="00A153D0">
        <w:rPr>
          <w:snapToGrid w:val="0"/>
          <w:kern w:val="22"/>
          <w:lang w:val="es-ES"/>
        </w:rPr>
        <w:t>es (48 Part</w:t>
      </w:r>
      <w:r w:rsidR="00775B5A" w:rsidRPr="00A153D0">
        <w:rPr>
          <w:snapToGrid w:val="0"/>
          <w:kern w:val="22"/>
          <w:lang w:val="es-ES"/>
        </w:rPr>
        <w:t xml:space="preserve">es) </w:t>
      </w:r>
      <w:r w:rsidR="00A153D0" w:rsidRPr="00A153D0">
        <w:rPr>
          <w:snapToGrid w:val="0"/>
          <w:kern w:val="22"/>
          <w:lang w:val="es-ES"/>
        </w:rPr>
        <w:t>comunic</w:t>
      </w:r>
      <w:r w:rsidR="00197B16">
        <w:rPr>
          <w:snapToGrid w:val="0"/>
          <w:kern w:val="22"/>
          <w:lang w:val="es-ES"/>
        </w:rPr>
        <w:t>ó</w:t>
      </w:r>
      <w:r w:rsidR="00A153D0" w:rsidRPr="00A153D0">
        <w:rPr>
          <w:snapToGrid w:val="0"/>
          <w:kern w:val="22"/>
          <w:lang w:val="es-ES"/>
        </w:rPr>
        <w:t xml:space="preserve"> que uno o más laboratorios de su país están certificados para la detección de OVM</w:t>
      </w:r>
      <w:r w:rsidR="00775B5A" w:rsidRPr="00A153D0">
        <w:rPr>
          <w:snapToGrid w:val="0"/>
          <w:kern w:val="22"/>
          <w:lang w:val="es-ES"/>
        </w:rPr>
        <w:t xml:space="preserve">, 2 Partes </w:t>
      </w:r>
      <w:r w:rsidR="00A153D0" w:rsidRPr="00A153D0">
        <w:rPr>
          <w:snapToGrid w:val="0"/>
          <w:kern w:val="22"/>
          <w:lang w:val="es-ES"/>
        </w:rPr>
        <w:t>m</w:t>
      </w:r>
      <w:r w:rsidR="00A153D0">
        <w:rPr>
          <w:snapToGrid w:val="0"/>
          <w:kern w:val="22"/>
          <w:lang w:val="es-ES"/>
        </w:rPr>
        <w:t xml:space="preserve">ás que con respecto a los datos básicos de referencia, lo que representa un aumento de un </w:t>
      </w:r>
      <w:r w:rsidR="00775B5A" w:rsidRPr="00A153D0">
        <w:rPr>
          <w:snapToGrid w:val="0"/>
          <w:kern w:val="22"/>
          <w:lang w:val="es-ES"/>
        </w:rPr>
        <w:t>3</w:t>
      </w:r>
      <w:r w:rsidR="00A153D0">
        <w:rPr>
          <w:snapToGrid w:val="0"/>
          <w:kern w:val="22"/>
          <w:lang w:val="es-ES"/>
        </w:rPr>
        <w:t xml:space="preserve"> </w:t>
      </w:r>
      <w:r w:rsidR="00775B5A" w:rsidRPr="00A153D0">
        <w:rPr>
          <w:snapToGrid w:val="0"/>
          <w:kern w:val="22"/>
          <w:lang w:val="es-ES"/>
        </w:rPr>
        <w:t xml:space="preserve">%, </w:t>
      </w:r>
      <w:r w:rsidR="00A153D0">
        <w:rPr>
          <w:snapToGrid w:val="0"/>
          <w:kern w:val="22"/>
          <w:lang w:val="es-ES"/>
        </w:rPr>
        <w:t xml:space="preserve">atribuible principalmente a las regiones de </w:t>
      </w:r>
      <w:r w:rsidR="00775B5A" w:rsidRPr="00A153D0">
        <w:rPr>
          <w:snapToGrid w:val="0"/>
          <w:kern w:val="22"/>
          <w:lang w:val="es-ES"/>
        </w:rPr>
        <w:t>Asia</w:t>
      </w:r>
      <w:r w:rsidR="00FD6528">
        <w:rPr>
          <w:snapToGrid w:val="0"/>
          <w:kern w:val="22"/>
          <w:lang w:val="es-ES"/>
        </w:rPr>
        <w:t xml:space="preserve"> y el </w:t>
      </w:r>
      <w:r w:rsidR="00A153D0">
        <w:rPr>
          <w:snapToGrid w:val="0"/>
          <w:kern w:val="22"/>
          <w:lang w:val="es-ES"/>
        </w:rPr>
        <w:t>Pacífico</w:t>
      </w:r>
      <w:r w:rsidR="00775B5A" w:rsidRPr="00A153D0">
        <w:rPr>
          <w:snapToGrid w:val="0"/>
          <w:kern w:val="22"/>
          <w:lang w:val="es-ES"/>
        </w:rPr>
        <w:t xml:space="preserve"> (+</w:t>
      </w:r>
      <w:r w:rsidR="00A153D0">
        <w:rPr>
          <w:snapToGrid w:val="0"/>
          <w:kern w:val="22"/>
          <w:lang w:val="es-ES"/>
        </w:rPr>
        <w:t xml:space="preserve"> </w:t>
      </w:r>
      <w:r w:rsidR="00775B5A" w:rsidRPr="00A153D0">
        <w:rPr>
          <w:snapToGrid w:val="0"/>
          <w:kern w:val="22"/>
          <w:lang w:val="es-ES"/>
        </w:rPr>
        <w:t>22</w:t>
      </w:r>
      <w:r w:rsidR="00A153D0">
        <w:rPr>
          <w:snapToGrid w:val="0"/>
          <w:kern w:val="22"/>
          <w:lang w:val="es-ES"/>
        </w:rPr>
        <w:t xml:space="preserve"> </w:t>
      </w:r>
      <w:r w:rsidR="00775B5A" w:rsidRPr="00A153D0">
        <w:rPr>
          <w:snapToGrid w:val="0"/>
          <w:kern w:val="22"/>
          <w:lang w:val="es-ES"/>
        </w:rPr>
        <w:t xml:space="preserve">%) </w:t>
      </w:r>
      <w:r w:rsidR="00A153D0">
        <w:rPr>
          <w:snapToGrid w:val="0"/>
          <w:kern w:val="22"/>
          <w:lang w:val="es-ES"/>
        </w:rPr>
        <w:t xml:space="preserve">y </w:t>
      </w:r>
      <w:r w:rsidR="00477624">
        <w:rPr>
          <w:snapToGrid w:val="0"/>
          <w:kern w:val="22"/>
          <w:lang w:val="es-ES"/>
        </w:rPr>
        <w:t>del grupo de Estados de Europa Central y Oriental</w:t>
      </w:r>
      <w:r w:rsidR="00775B5A" w:rsidRPr="00A153D0">
        <w:rPr>
          <w:snapToGrid w:val="0"/>
          <w:kern w:val="22"/>
          <w:lang w:val="es-ES"/>
        </w:rPr>
        <w:t xml:space="preserve"> (+</w:t>
      </w:r>
      <w:r w:rsidR="00A153D0">
        <w:rPr>
          <w:snapToGrid w:val="0"/>
          <w:kern w:val="22"/>
          <w:lang w:val="es-ES"/>
        </w:rPr>
        <w:t xml:space="preserve"> </w:t>
      </w:r>
      <w:r w:rsidR="00775B5A" w:rsidRPr="00A153D0">
        <w:rPr>
          <w:snapToGrid w:val="0"/>
          <w:kern w:val="22"/>
          <w:lang w:val="es-ES"/>
        </w:rPr>
        <w:t>7</w:t>
      </w:r>
      <w:r w:rsidR="00A153D0">
        <w:rPr>
          <w:snapToGrid w:val="0"/>
          <w:kern w:val="22"/>
          <w:lang w:val="es-ES"/>
        </w:rPr>
        <w:t xml:space="preserve"> </w:t>
      </w:r>
      <w:r w:rsidR="00775B5A" w:rsidRPr="00A153D0">
        <w:rPr>
          <w:snapToGrid w:val="0"/>
          <w:kern w:val="22"/>
          <w:lang w:val="es-ES"/>
        </w:rPr>
        <w:t xml:space="preserve">%). </w:t>
      </w:r>
    </w:p>
    <w:p w:rsidR="00775B5A" w:rsidRPr="00BD5011" w:rsidRDefault="00A153D0"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i/>
          <w:iCs/>
          <w:snapToGrid w:val="0"/>
          <w:kern w:val="22"/>
          <w:lang w:val="es-ES"/>
        </w:rPr>
      </w:pPr>
      <w:r w:rsidRPr="00BD5011">
        <w:rPr>
          <w:snapToGrid w:val="0"/>
          <w:kern w:val="22"/>
          <w:lang w:val="es-ES"/>
        </w:rPr>
        <w:t xml:space="preserve">Con respecto al </w:t>
      </w:r>
      <w:r w:rsidRPr="00BD5011">
        <w:rPr>
          <w:b/>
          <w:bCs/>
          <w:snapToGrid w:val="0"/>
          <w:kern w:val="22"/>
          <w:lang w:val="es-ES"/>
        </w:rPr>
        <w:t>in</w:t>
      </w:r>
      <w:r w:rsidR="00775B5A" w:rsidRPr="00BD5011">
        <w:rPr>
          <w:b/>
          <w:bCs/>
          <w:snapToGrid w:val="0"/>
          <w:kern w:val="22"/>
          <w:lang w:val="es-ES"/>
        </w:rPr>
        <w:t>dica</w:t>
      </w:r>
      <w:r w:rsidRPr="00BD5011">
        <w:rPr>
          <w:b/>
          <w:bCs/>
          <w:snapToGrid w:val="0"/>
          <w:kern w:val="22"/>
          <w:lang w:val="es-ES"/>
        </w:rPr>
        <w:t>d</w:t>
      </w:r>
      <w:r w:rsidR="00775B5A" w:rsidRPr="00BD5011">
        <w:rPr>
          <w:b/>
          <w:bCs/>
          <w:snapToGrid w:val="0"/>
          <w:kern w:val="22"/>
          <w:lang w:val="es-ES"/>
        </w:rPr>
        <w:t xml:space="preserve">or 2.3.4 </w:t>
      </w:r>
      <w:r w:rsidR="00775B5A" w:rsidRPr="00BD5011">
        <w:rPr>
          <w:snapToGrid w:val="0"/>
          <w:kern w:val="22"/>
          <w:lang w:val="es-ES"/>
        </w:rPr>
        <w:t>(</w:t>
      </w:r>
      <w:r w:rsidRPr="00BD5011">
        <w:rPr>
          <w:snapToGrid w:val="0"/>
          <w:kern w:val="22"/>
          <w:lang w:val="es-ES"/>
        </w:rPr>
        <w:t>el número de laboratorios certificados en funcionamiento</w:t>
      </w:r>
      <w:r w:rsidR="00775B5A" w:rsidRPr="00BD5011">
        <w:rPr>
          <w:snapToGrid w:val="0"/>
          <w:kern w:val="22"/>
          <w:lang w:val="es-ES"/>
        </w:rPr>
        <w:t xml:space="preserve">), </w:t>
      </w:r>
      <w:r w:rsidRPr="00BD5011">
        <w:rPr>
          <w:snapToGrid w:val="0"/>
          <w:kern w:val="22"/>
          <w:lang w:val="es-ES"/>
        </w:rPr>
        <w:t xml:space="preserve">de las Partes que </w:t>
      </w:r>
      <w:r w:rsidR="00BD5011" w:rsidRPr="00BD5011">
        <w:rPr>
          <w:snapToGrid w:val="0"/>
          <w:kern w:val="22"/>
          <w:lang w:val="es-ES"/>
        </w:rPr>
        <w:t>informaron de la existencia de laboratorios certificados para la detecci</w:t>
      </w:r>
      <w:r w:rsidR="00BD5011">
        <w:rPr>
          <w:snapToGrid w:val="0"/>
          <w:kern w:val="22"/>
          <w:lang w:val="es-ES"/>
        </w:rPr>
        <w:t xml:space="preserve">ón de OVM en su país, el </w:t>
      </w:r>
      <w:r w:rsidR="00775B5A" w:rsidRPr="00BD5011">
        <w:rPr>
          <w:snapToGrid w:val="0"/>
          <w:kern w:val="22"/>
          <w:lang w:val="es-ES"/>
        </w:rPr>
        <w:t>96</w:t>
      </w:r>
      <w:r w:rsidR="00BD5011">
        <w:rPr>
          <w:snapToGrid w:val="0"/>
          <w:kern w:val="22"/>
          <w:lang w:val="es-ES"/>
        </w:rPr>
        <w:t xml:space="preserve"> </w:t>
      </w:r>
      <w:r w:rsidR="00775B5A" w:rsidRPr="00BD5011">
        <w:rPr>
          <w:snapToGrid w:val="0"/>
          <w:kern w:val="22"/>
          <w:lang w:val="es-ES"/>
        </w:rPr>
        <w:t xml:space="preserve">% (46 Partes) </w:t>
      </w:r>
      <w:r w:rsidR="00BD5011">
        <w:rPr>
          <w:snapToGrid w:val="0"/>
          <w:kern w:val="22"/>
          <w:lang w:val="es-ES"/>
        </w:rPr>
        <w:t>indicó que esos laboratorios están realizando actualmente actividades de detección de OVM</w:t>
      </w:r>
      <w:r w:rsidR="00775B5A" w:rsidRPr="00BD5011">
        <w:rPr>
          <w:snapToGrid w:val="0"/>
          <w:kern w:val="22"/>
          <w:lang w:val="es-ES"/>
        </w:rPr>
        <w:t xml:space="preserve">. </w:t>
      </w:r>
      <w:r w:rsidR="00BD5011" w:rsidRPr="00BD5011">
        <w:rPr>
          <w:snapToGrid w:val="0"/>
          <w:kern w:val="22"/>
          <w:lang w:val="es-ES"/>
        </w:rPr>
        <w:t xml:space="preserve">Esto representa un aumento de un </w:t>
      </w:r>
      <w:r w:rsidR="00775B5A" w:rsidRPr="00BD5011">
        <w:rPr>
          <w:snapToGrid w:val="0"/>
          <w:kern w:val="22"/>
          <w:lang w:val="es-ES"/>
        </w:rPr>
        <w:t>10</w:t>
      </w:r>
      <w:r w:rsidR="00BD5011" w:rsidRPr="00BD5011">
        <w:rPr>
          <w:snapToGrid w:val="0"/>
          <w:kern w:val="22"/>
          <w:lang w:val="es-ES"/>
        </w:rPr>
        <w:t xml:space="preserve"> </w:t>
      </w:r>
      <w:r w:rsidR="00775B5A" w:rsidRPr="00BD5011">
        <w:rPr>
          <w:snapToGrid w:val="0"/>
          <w:kern w:val="22"/>
          <w:lang w:val="es-ES"/>
        </w:rPr>
        <w:t xml:space="preserve">% </w:t>
      </w:r>
      <w:r w:rsidR="00BD5011" w:rsidRPr="00BD5011">
        <w:rPr>
          <w:snapToGrid w:val="0"/>
          <w:kern w:val="22"/>
          <w:lang w:val="es-ES"/>
        </w:rPr>
        <w:t>con respecto a los datos b</w:t>
      </w:r>
      <w:r w:rsidR="00BD5011">
        <w:rPr>
          <w:snapToGrid w:val="0"/>
          <w:kern w:val="22"/>
          <w:lang w:val="es-ES"/>
        </w:rPr>
        <w:t>ásicos de referencia, atribuible a las regiones de África</w:t>
      </w:r>
      <w:r w:rsidR="00775B5A" w:rsidRPr="00BD5011">
        <w:rPr>
          <w:snapToGrid w:val="0"/>
          <w:kern w:val="22"/>
          <w:lang w:val="es-ES"/>
        </w:rPr>
        <w:t xml:space="preserve"> (+</w:t>
      </w:r>
      <w:r w:rsidR="00BD5011">
        <w:rPr>
          <w:snapToGrid w:val="0"/>
          <w:kern w:val="22"/>
          <w:lang w:val="es-ES"/>
        </w:rPr>
        <w:t xml:space="preserve"> </w:t>
      </w:r>
      <w:r w:rsidR="00775B5A" w:rsidRPr="00BD5011">
        <w:rPr>
          <w:snapToGrid w:val="0"/>
          <w:kern w:val="22"/>
          <w:lang w:val="es-ES"/>
        </w:rPr>
        <w:t>33</w:t>
      </w:r>
      <w:r w:rsidR="00BD5011">
        <w:rPr>
          <w:snapToGrid w:val="0"/>
          <w:kern w:val="22"/>
          <w:lang w:val="es-ES"/>
        </w:rPr>
        <w:t xml:space="preserve"> </w:t>
      </w:r>
      <w:r w:rsidR="00775B5A" w:rsidRPr="00BD5011">
        <w:rPr>
          <w:snapToGrid w:val="0"/>
          <w:kern w:val="22"/>
          <w:lang w:val="es-ES"/>
        </w:rPr>
        <w:t xml:space="preserve">%) </w:t>
      </w:r>
      <w:r w:rsidR="00BD5011">
        <w:rPr>
          <w:snapToGrid w:val="0"/>
          <w:kern w:val="22"/>
          <w:lang w:val="es-ES"/>
        </w:rPr>
        <w:t xml:space="preserve">y </w:t>
      </w:r>
      <w:r w:rsidR="00477624">
        <w:rPr>
          <w:snapToGrid w:val="0"/>
          <w:kern w:val="22"/>
          <w:lang w:val="es-ES"/>
        </w:rPr>
        <w:t>del grupo de Estados de Europa Central y Oriental</w:t>
      </w:r>
      <w:r w:rsidR="00477624" w:rsidRPr="00EC2231">
        <w:rPr>
          <w:snapToGrid w:val="0"/>
          <w:kern w:val="22"/>
          <w:lang w:val="es-ES"/>
        </w:rPr>
        <w:t xml:space="preserve"> </w:t>
      </w:r>
      <w:r w:rsidR="00775B5A" w:rsidRPr="00BD5011">
        <w:rPr>
          <w:snapToGrid w:val="0"/>
          <w:kern w:val="22"/>
          <w:lang w:val="es-ES"/>
        </w:rPr>
        <w:t>(+</w:t>
      </w:r>
      <w:r w:rsidR="00BD5011">
        <w:rPr>
          <w:snapToGrid w:val="0"/>
          <w:kern w:val="22"/>
          <w:lang w:val="es-ES"/>
        </w:rPr>
        <w:t xml:space="preserve"> </w:t>
      </w:r>
      <w:r w:rsidR="00775B5A" w:rsidRPr="00BD5011">
        <w:rPr>
          <w:snapToGrid w:val="0"/>
          <w:kern w:val="22"/>
          <w:lang w:val="es-ES"/>
        </w:rPr>
        <w:t>15</w:t>
      </w:r>
      <w:r w:rsidR="00BD5011">
        <w:rPr>
          <w:snapToGrid w:val="0"/>
          <w:kern w:val="22"/>
          <w:lang w:val="es-ES"/>
        </w:rPr>
        <w:t xml:space="preserve"> </w:t>
      </w:r>
      <w:r w:rsidR="00775B5A" w:rsidRPr="00BD5011">
        <w:rPr>
          <w:snapToGrid w:val="0"/>
          <w:kern w:val="22"/>
          <w:lang w:val="es-ES"/>
        </w:rPr>
        <w:t xml:space="preserve">%). </w:t>
      </w:r>
    </w:p>
    <w:p w:rsidR="00775B5A" w:rsidRPr="002E21F4" w:rsidRDefault="002E21F4">
      <w:pPr>
        <w:suppressLineNumbers/>
        <w:tabs>
          <w:tab w:val="num" w:pos="0"/>
        </w:tabs>
        <w:suppressAutoHyphens/>
        <w:spacing w:before="120" w:after="120"/>
        <w:jc w:val="center"/>
        <w:textAlignment w:val="baseline"/>
        <w:rPr>
          <w:rFonts w:ascii="Angsana New" w:hAnsi="Angsana New" w:cs="Angsana New"/>
          <w:snapToGrid w:val="0"/>
          <w:kern w:val="22"/>
        </w:rPr>
      </w:pPr>
      <w:r>
        <w:rPr>
          <w:noProof/>
        </w:rPr>
      </w:r>
      <w:r>
        <w:rPr>
          <w:noProof/>
        </w:rPr>
        <w:pict w14:anchorId="7FE40C37">
          <v:shape id="_x0000_s1041" type="#_x0000_t75" style="width:466.65pt;height:254.75pt;mso-left-percent:-10001;mso-top-percent:-10001;mso-position-horizontal:absolute;mso-position-horizontal-relative:char;mso-position-vertical:absolute;mso-position-vertical-relative:line;mso-left-percent:-10001;mso-top-percent:-10001">
            <v:imagedata r:id="rId18" o:title=""/>
            <w10:anchorlock/>
          </v:shape>
        </w:pict>
      </w:r>
    </w:p>
    <w:p w:rsidR="00775B5A" w:rsidRPr="00B63CFC" w:rsidRDefault="00417545"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bookmarkStart w:id="22" w:name="_Hlk30609254"/>
      <w:r w:rsidRPr="00417545">
        <w:rPr>
          <w:snapToGrid w:val="0"/>
          <w:kern w:val="22"/>
          <w:lang w:val="es-ES"/>
        </w:rPr>
        <w:t xml:space="preserve">En </w:t>
      </w:r>
      <w:r w:rsidRPr="00197B16">
        <w:rPr>
          <w:snapToGrid w:val="0"/>
          <w:kern w:val="22"/>
          <w:lang w:val="es-ES"/>
        </w:rPr>
        <w:t>su contribuc</w:t>
      </w:r>
      <w:r w:rsidR="008258ED" w:rsidRPr="00197B16">
        <w:rPr>
          <w:snapToGrid w:val="0"/>
          <w:kern w:val="22"/>
          <w:lang w:val="es-ES"/>
        </w:rPr>
        <w:t>i</w:t>
      </w:r>
      <w:r w:rsidRPr="00197B16">
        <w:rPr>
          <w:snapToGrid w:val="0"/>
          <w:kern w:val="22"/>
          <w:lang w:val="es-ES"/>
        </w:rPr>
        <w:t xml:space="preserve">ón </w:t>
      </w:r>
      <w:r w:rsidR="006B74CE">
        <w:rPr>
          <w:snapToGrid w:val="0"/>
          <w:kern w:val="22"/>
          <w:lang w:val="es-ES"/>
        </w:rPr>
        <w:t>de</w:t>
      </w:r>
      <w:r w:rsidRPr="00197B16">
        <w:rPr>
          <w:snapToGrid w:val="0"/>
          <w:kern w:val="22"/>
          <w:lang w:val="es-ES"/>
        </w:rPr>
        <w:t xml:space="preserve"> texto libre</w:t>
      </w:r>
      <w:r w:rsidR="00775B5A" w:rsidRPr="00417545">
        <w:rPr>
          <w:snapToGrid w:val="0"/>
          <w:kern w:val="22"/>
          <w:lang w:val="es-ES"/>
        </w:rPr>
        <w:t>,</w:t>
      </w:r>
      <w:r w:rsidR="00197B16">
        <w:rPr>
          <w:snapToGrid w:val="0"/>
          <w:kern w:val="22"/>
          <w:lang w:val="es-ES"/>
        </w:rPr>
        <w:t xml:space="preserve"> varias </w:t>
      </w:r>
      <w:r w:rsidRPr="00417545">
        <w:rPr>
          <w:snapToGrid w:val="0"/>
          <w:kern w:val="22"/>
          <w:lang w:val="es-ES"/>
        </w:rPr>
        <w:t>Partes enumeraron una serie de laboratorios, así como redes nacionales, establecidos dentro de su jurisdicci</w:t>
      </w:r>
      <w:r>
        <w:rPr>
          <w:snapToGrid w:val="0"/>
          <w:kern w:val="22"/>
          <w:lang w:val="es-ES"/>
        </w:rPr>
        <w:t>ón</w:t>
      </w:r>
      <w:r w:rsidR="00775B5A" w:rsidRPr="00417545">
        <w:rPr>
          <w:snapToGrid w:val="0"/>
          <w:kern w:val="22"/>
          <w:lang w:val="es-ES"/>
        </w:rPr>
        <w:t xml:space="preserve">. </w:t>
      </w:r>
      <w:r w:rsidR="00197B16">
        <w:rPr>
          <w:snapToGrid w:val="0"/>
          <w:kern w:val="22"/>
          <w:lang w:val="es-ES"/>
        </w:rPr>
        <w:t xml:space="preserve">Varias </w:t>
      </w:r>
      <w:r w:rsidR="00775B5A" w:rsidRPr="00417545">
        <w:rPr>
          <w:snapToGrid w:val="0"/>
          <w:kern w:val="22"/>
          <w:lang w:val="es-ES"/>
        </w:rPr>
        <w:t xml:space="preserve">Partes </w:t>
      </w:r>
      <w:r w:rsidRPr="00417545">
        <w:rPr>
          <w:snapToGrid w:val="0"/>
          <w:kern w:val="22"/>
          <w:lang w:val="es-ES"/>
        </w:rPr>
        <w:t xml:space="preserve">mencionaron </w:t>
      </w:r>
      <w:r w:rsidRPr="00197B16">
        <w:rPr>
          <w:snapToGrid w:val="0"/>
          <w:kern w:val="22"/>
          <w:lang w:val="es-ES"/>
        </w:rPr>
        <w:t xml:space="preserve">la reciente creación </w:t>
      </w:r>
      <w:r>
        <w:rPr>
          <w:snapToGrid w:val="0"/>
          <w:kern w:val="22"/>
          <w:lang w:val="es-ES"/>
        </w:rPr>
        <w:t>de laboratorios nacionales</w:t>
      </w:r>
      <w:r w:rsidR="00775B5A" w:rsidRPr="00417545">
        <w:rPr>
          <w:snapToGrid w:val="0"/>
          <w:kern w:val="22"/>
          <w:lang w:val="es-ES"/>
        </w:rPr>
        <w:t xml:space="preserve">. </w:t>
      </w:r>
      <w:r w:rsidRPr="00417545">
        <w:rPr>
          <w:snapToGrid w:val="0"/>
          <w:kern w:val="22"/>
          <w:lang w:val="es-ES"/>
        </w:rPr>
        <w:t>Las Partes de la Unión Europea informaron de su participación en redes de laboratorios centradas en la detecci</w:t>
      </w:r>
      <w:r>
        <w:rPr>
          <w:snapToGrid w:val="0"/>
          <w:kern w:val="22"/>
          <w:lang w:val="es-ES"/>
        </w:rPr>
        <w:t>ón e identificación de OVM</w:t>
      </w:r>
      <w:r w:rsidR="00775B5A" w:rsidRPr="00417545">
        <w:rPr>
          <w:snapToGrid w:val="0"/>
          <w:kern w:val="22"/>
          <w:lang w:val="es-ES"/>
        </w:rPr>
        <w:t xml:space="preserve">. </w:t>
      </w:r>
      <w:r w:rsidR="00775B5A" w:rsidRPr="00B63CFC">
        <w:rPr>
          <w:snapToGrid w:val="0"/>
          <w:kern w:val="22"/>
          <w:lang w:val="es-ES"/>
        </w:rPr>
        <w:t>A</w:t>
      </w:r>
      <w:r w:rsidR="00B63CFC" w:rsidRPr="00B63CFC">
        <w:rPr>
          <w:snapToGrid w:val="0"/>
          <w:kern w:val="22"/>
          <w:lang w:val="es-ES"/>
        </w:rPr>
        <w:t xml:space="preserve">lgunas Partes mencionaron que tienen acceso </w:t>
      </w:r>
      <w:r w:rsidR="00B63CFC">
        <w:rPr>
          <w:snapToGrid w:val="0"/>
          <w:kern w:val="22"/>
          <w:lang w:val="es-ES"/>
        </w:rPr>
        <w:t xml:space="preserve">a </w:t>
      </w:r>
      <w:r w:rsidR="00B63CFC" w:rsidRPr="00B63CFC">
        <w:rPr>
          <w:snapToGrid w:val="0"/>
          <w:kern w:val="22"/>
          <w:lang w:val="es-ES"/>
        </w:rPr>
        <w:t xml:space="preserve">laboratorios internacionales </w:t>
      </w:r>
      <w:r w:rsidR="00B63CFC">
        <w:rPr>
          <w:snapToGrid w:val="0"/>
          <w:kern w:val="22"/>
          <w:lang w:val="es-ES"/>
        </w:rPr>
        <w:t>o extranjeros y los utilizan para sus actividades de detección</w:t>
      </w:r>
      <w:r w:rsidR="00775B5A" w:rsidRPr="00B63CFC">
        <w:rPr>
          <w:snapToGrid w:val="0"/>
          <w:kern w:val="22"/>
          <w:lang w:val="es-ES"/>
        </w:rPr>
        <w:t xml:space="preserve">. </w:t>
      </w:r>
      <w:r w:rsidR="00B63CFC" w:rsidRPr="00B63CFC">
        <w:rPr>
          <w:snapToGrid w:val="0"/>
          <w:kern w:val="22"/>
          <w:lang w:val="es-ES"/>
        </w:rPr>
        <w:t>Además, varias Partes indicaron que se estaba desarrollando la capacidad para</w:t>
      </w:r>
      <w:r w:rsidR="00197B16">
        <w:rPr>
          <w:snapToGrid w:val="0"/>
          <w:kern w:val="22"/>
          <w:lang w:val="es-ES"/>
        </w:rPr>
        <w:t xml:space="preserve"> crear </w:t>
      </w:r>
      <w:r w:rsidR="00B63CFC" w:rsidRPr="00B63CFC">
        <w:rPr>
          <w:snapToGrid w:val="0"/>
          <w:kern w:val="22"/>
          <w:lang w:val="es-ES"/>
        </w:rPr>
        <w:t xml:space="preserve">laboratorios </w:t>
      </w:r>
      <w:r w:rsidR="00B63CFC">
        <w:rPr>
          <w:snapToGrid w:val="0"/>
          <w:kern w:val="22"/>
          <w:lang w:val="es-ES"/>
        </w:rPr>
        <w:t>específicos para la detección de OVM o para obtener certificación internacional</w:t>
      </w:r>
      <w:r w:rsidR="00775B5A" w:rsidRPr="00B63CFC">
        <w:rPr>
          <w:snapToGrid w:val="0"/>
          <w:kern w:val="22"/>
          <w:lang w:val="es-ES"/>
        </w:rPr>
        <w:t xml:space="preserve">. </w:t>
      </w:r>
      <w:r w:rsidR="00B63CFC">
        <w:rPr>
          <w:snapToGrid w:val="0"/>
          <w:kern w:val="22"/>
          <w:lang w:val="es-ES"/>
        </w:rPr>
        <w:t>También se enumeraron v</w:t>
      </w:r>
      <w:r w:rsidR="00B63CFC" w:rsidRPr="00B63CFC">
        <w:rPr>
          <w:snapToGrid w:val="0"/>
          <w:kern w:val="22"/>
          <w:lang w:val="es-ES"/>
        </w:rPr>
        <w:t xml:space="preserve">arios cursos de capacitación recientes o futuros para </w:t>
      </w:r>
      <w:r w:rsidR="00B9493D">
        <w:rPr>
          <w:snapToGrid w:val="0"/>
          <w:kern w:val="22"/>
          <w:lang w:val="es-ES"/>
        </w:rPr>
        <w:t>funcionarios</w:t>
      </w:r>
      <w:r w:rsidR="00B63CFC" w:rsidRPr="00B63CFC">
        <w:rPr>
          <w:snapToGrid w:val="0"/>
          <w:kern w:val="22"/>
          <w:lang w:val="es-ES"/>
        </w:rPr>
        <w:t xml:space="preserve"> de aduanas y </w:t>
      </w:r>
      <w:r w:rsidR="00B63CFC">
        <w:rPr>
          <w:snapToGrid w:val="0"/>
          <w:kern w:val="22"/>
          <w:lang w:val="es-ES"/>
        </w:rPr>
        <w:t xml:space="preserve">la </w:t>
      </w:r>
      <w:r w:rsidR="00B63CFC" w:rsidRPr="00B63CFC">
        <w:rPr>
          <w:snapToGrid w:val="0"/>
          <w:kern w:val="22"/>
          <w:lang w:val="es-ES"/>
        </w:rPr>
        <w:t>legislaci</w:t>
      </w:r>
      <w:r w:rsidR="00B63CFC">
        <w:rPr>
          <w:snapToGrid w:val="0"/>
          <w:kern w:val="22"/>
          <w:lang w:val="es-ES"/>
        </w:rPr>
        <w:t>ón pertinente</w:t>
      </w:r>
      <w:r w:rsidR="00775B5A" w:rsidRPr="00B63CFC">
        <w:rPr>
          <w:snapToGrid w:val="0"/>
          <w:kern w:val="22"/>
          <w:lang w:val="es-ES"/>
        </w:rPr>
        <w:t>.</w:t>
      </w:r>
    </w:p>
    <w:p w:rsidR="00775B5A" w:rsidRPr="00651FC4" w:rsidRDefault="00775B5A"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82005E">
        <w:rPr>
          <w:snapToGrid w:val="0"/>
          <w:kern w:val="22"/>
          <w:lang w:val="es-ES"/>
        </w:rPr>
        <w:t>Ot</w:t>
      </w:r>
      <w:r w:rsidR="0082005E" w:rsidRPr="0082005E">
        <w:rPr>
          <w:snapToGrid w:val="0"/>
          <w:kern w:val="22"/>
          <w:lang w:val="es-ES"/>
        </w:rPr>
        <w:t>ras Partes mencionaron que no podían proceder a la detección e identificaci</w:t>
      </w:r>
      <w:r w:rsidR="0082005E">
        <w:rPr>
          <w:snapToGrid w:val="0"/>
          <w:kern w:val="22"/>
          <w:lang w:val="es-ES"/>
        </w:rPr>
        <w:t>ón de OVM</w:t>
      </w:r>
      <w:r w:rsidRPr="0082005E">
        <w:rPr>
          <w:snapToGrid w:val="0"/>
          <w:kern w:val="22"/>
          <w:lang w:val="es-ES"/>
        </w:rPr>
        <w:t xml:space="preserve">. </w:t>
      </w:r>
      <w:r w:rsidR="0082005E">
        <w:rPr>
          <w:snapToGrid w:val="0"/>
          <w:kern w:val="22"/>
          <w:lang w:val="es-ES"/>
        </w:rPr>
        <w:t>Algunas Partes citaron la falta de laboratorios, personal, equipo, certificación o capacidad para realizar actividades de detección de OVM</w:t>
      </w:r>
      <w:r w:rsidRPr="0082005E">
        <w:rPr>
          <w:snapToGrid w:val="0"/>
          <w:kern w:val="22"/>
          <w:lang w:val="es-ES"/>
        </w:rPr>
        <w:t xml:space="preserve">. </w:t>
      </w:r>
      <w:r w:rsidR="0082005E" w:rsidRPr="0082005E">
        <w:rPr>
          <w:snapToGrid w:val="0"/>
          <w:kern w:val="22"/>
          <w:lang w:val="es-ES"/>
        </w:rPr>
        <w:t>Unas pocas Partes carecían de las reglamentaciones de seguridad de la biotecnología necesarias para regular la detecci</w:t>
      </w:r>
      <w:r w:rsidR="0082005E">
        <w:rPr>
          <w:snapToGrid w:val="0"/>
          <w:kern w:val="22"/>
          <w:lang w:val="es-ES"/>
        </w:rPr>
        <w:t>ón de OVM, pero declararon que estaban elaborando esos instrumentos</w:t>
      </w:r>
      <w:r w:rsidRPr="0082005E">
        <w:rPr>
          <w:snapToGrid w:val="0"/>
          <w:kern w:val="22"/>
          <w:lang w:val="es-ES"/>
        </w:rPr>
        <w:t xml:space="preserve">. </w:t>
      </w:r>
      <w:r w:rsidR="0082005E" w:rsidRPr="0082005E">
        <w:rPr>
          <w:snapToGrid w:val="0"/>
          <w:kern w:val="22"/>
          <w:lang w:val="es-ES"/>
        </w:rPr>
        <w:t>Algunas Partes mencionaron que los funcionarios de aduanas no estaban específicamente capacitados en la detecc</w:t>
      </w:r>
      <w:r w:rsidR="0082005E">
        <w:rPr>
          <w:snapToGrid w:val="0"/>
          <w:kern w:val="22"/>
          <w:lang w:val="es-ES"/>
        </w:rPr>
        <w:t>ión de OVM y que podrían beneficiarse de una mayor capacitación</w:t>
      </w:r>
      <w:r w:rsidRPr="0082005E">
        <w:rPr>
          <w:snapToGrid w:val="0"/>
          <w:kern w:val="22"/>
          <w:lang w:val="es-ES"/>
        </w:rPr>
        <w:t xml:space="preserve">. </w:t>
      </w:r>
      <w:r w:rsidR="0082005E" w:rsidRPr="00651FC4">
        <w:rPr>
          <w:snapToGrid w:val="0"/>
          <w:kern w:val="22"/>
          <w:lang w:val="es-ES"/>
        </w:rPr>
        <w:t xml:space="preserve">Otras Partes mencionaron que </w:t>
      </w:r>
      <w:r w:rsidR="00651FC4" w:rsidRPr="00651FC4">
        <w:rPr>
          <w:snapToGrid w:val="0"/>
          <w:kern w:val="22"/>
          <w:lang w:val="es-ES"/>
        </w:rPr>
        <w:t xml:space="preserve">también era necesario </w:t>
      </w:r>
      <w:r w:rsidR="00651FC4">
        <w:rPr>
          <w:snapToGrid w:val="0"/>
          <w:kern w:val="22"/>
          <w:lang w:val="es-ES"/>
        </w:rPr>
        <w:t xml:space="preserve">un refuerzo a nivel de </w:t>
      </w:r>
      <w:r w:rsidR="00651FC4" w:rsidRPr="00651FC4">
        <w:rPr>
          <w:snapToGrid w:val="0"/>
          <w:kern w:val="22"/>
          <w:lang w:val="es-ES"/>
        </w:rPr>
        <w:t>personal y laboratorios para mejorar la capacidad en esta esfera</w:t>
      </w:r>
      <w:r w:rsidRPr="00651FC4">
        <w:rPr>
          <w:snapToGrid w:val="0"/>
          <w:kern w:val="22"/>
          <w:lang w:val="es-ES"/>
        </w:rPr>
        <w:t xml:space="preserve">. </w:t>
      </w:r>
      <w:r w:rsidR="00651FC4" w:rsidRPr="00651FC4">
        <w:rPr>
          <w:snapToGrid w:val="0"/>
          <w:kern w:val="22"/>
          <w:lang w:val="es-ES"/>
        </w:rPr>
        <w:t>Una Parte indicó que los cursos de capacitación son importantes y necesarios para mantener la capacidad</w:t>
      </w:r>
      <w:r w:rsidRPr="00651FC4">
        <w:rPr>
          <w:snapToGrid w:val="0"/>
          <w:kern w:val="22"/>
          <w:lang w:val="es-ES"/>
        </w:rPr>
        <w:t>.</w:t>
      </w:r>
    </w:p>
    <w:bookmarkEnd w:id="22"/>
    <w:p w:rsidR="00775B5A" w:rsidRDefault="000052BD" w:rsidP="001D4EEE">
      <w:pPr>
        <w:keepNext/>
        <w:numPr>
          <w:ilvl w:val="0"/>
          <w:numId w:val="3"/>
        </w:numPr>
        <w:suppressLineNumbers/>
        <w:tabs>
          <w:tab w:val="clear" w:pos="2070"/>
        </w:tabs>
        <w:suppressAutoHyphens/>
        <w:spacing w:before="120" w:after="120"/>
        <w:ind w:left="0" w:right="431" w:firstLine="0"/>
        <w:jc w:val="center"/>
        <w:outlineLvl w:val="1"/>
        <w:rPr>
          <w:b/>
          <w:bCs/>
          <w:snapToGrid w:val="0"/>
          <w:kern w:val="22"/>
        </w:rPr>
      </w:pPr>
      <w:r>
        <w:rPr>
          <w:b/>
          <w:bCs/>
          <w:snapToGrid w:val="0"/>
          <w:kern w:val="22"/>
        </w:rPr>
        <w:t>Consideraciones socioeconómicas</w:t>
      </w:r>
      <w:r w:rsidR="00775B5A">
        <w:rPr>
          <w:b/>
          <w:bCs/>
          <w:snapToGrid w:val="0"/>
          <w:kern w:val="22"/>
        </w:rPr>
        <w:t xml:space="preserve"> (</w:t>
      </w:r>
      <w:r>
        <w:rPr>
          <w:b/>
          <w:bCs/>
          <w:snapToGrid w:val="0"/>
          <w:kern w:val="22"/>
        </w:rPr>
        <w:t>objetivo operacional</w:t>
      </w:r>
      <w:r w:rsidR="00775B5A">
        <w:rPr>
          <w:b/>
          <w:bCs/>
          <w:snapToGrid w:val="0"/>
          <w:kern w:val="22"/>
        </w:rPr>
        <w:t xml:space="preserve"> 1.7)</w:t>
      </w:r>
    </w:p>
    <w:p w:rsidR="00775B5A" w:rsidRPr="00E240D0" w:rsidRDefault="00E240D0"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240D0">
        <w:rPr>
          <w:snapToGrid w:val="0"/>
          <w:kern w:val="22"/>
          <w:lang w:val="es-ES"/>
        </w:rPr>
        <w:t xml:space="preserve">El objetivo operacional </w:t>
      </w:r>
      <w:r w:rsidR="00775B5A" w:rsidRPr="00E240D0">
        <w:rPr>
          <w:snapToGrid w:val="0"/>
          <w:kern w:val="22"/>
          <w:lang w:val="es-ES"/>
        </w:rPr>
        <w:t xml:space="preserve">1.7 </w:t>
      </w:r>
      <w:r w:rsidRPr="00E240D0">
        <w:rPr>
          <w:snapToGrid w:val="0"/>
          <w:kern w:val="22"/>
          <w:lang w:val="es-ES"/>
        </w:rPr>
        <w:t>se centra en propo</w:t>
      </w:r>
      <w:r>
        <w:rPr>
          <w:snapToGrid w:val="0"/>
          <w:kern w:val="22"/>
          <w:lang w:val="es-ES"/>
        </w:rPr>
        <w:t>r</w:t>
      </w:r>
      <w:r w:rsidRPr="00E240D0">
        <w:rPr>
          <w:snapToGrid w:val="0"/>
          <w:kern w:val="22"/>
          <w:lang w:val="es-ES"/>
        </w:rPr>
        <w:t>cionar, sobre la base de las investigaciones y el intercambio de información pertinentes</w:t>
      </w:r>
      <w:r w:rsidR="00775B5A" w:rsidRPr="00E240D0">
        <w:rPr>
          <w:snapToGrid w:val="0"/>
          <w:kern w:val="22"/>
          <w:lang w:val="es-ES"/>
        </w:rPr>
        <w:t xml:space="preserve">, </w:t>
      </w:r>
      <w:r w:rsidRPr="00E240D0">
        <w:rPr>
          <w:snapToGrid w:val="0"/>
          <w:kern w:val="22"/>
          <w:lang w:val="es-ES"/>
        </w:rPr>
        <w:t>orientación sobre las consideraciones socioecon</w:t>
      </w:r>
      <w:r>
        <w:rPr>
          <w:snapToGrid w:val="0"/>
          <w:kern w:val="22"/>
          <w:lang w:val="es-ES"/>
        </w:rPr>
        <w:t>ómicas que pueden tenerse en cuenta al adoptar decisiones sobre la importación de organismos vivos modificados</w:t>
      </w:r>
      <w:r w:rsidR="00775B5A" w:rsidRPr="00E240D0">
        <w:rPr>
          <w:snapToGrid w:val="0"/>
          <w:kern w:val="22"/>
          <w:lang w:val="es-ES"/>
        </w:rPr>
        <w:t xml:space="preserve">. </w:t>
      </w:r>
      <w:r w:rsidRPr="00E240D0">
        <w:rPr>
          <w:snapToGrid w:val="0"/>
          <w:kern w:val="22"/>
          <w:lang w:val="es-ES"/>
        </w:rPr>
        <w:t xml:space="preserve">Las </w:t>
      </w:r>
      <w:r w:rsidR="00775B5A" w:rsidRPr="00E240D0">
        <w:rPr>
          <w:snapToGrid w:val="0"/>
          <w:kern w:val="22"/>
          <w:lang w:val="es-ES"/>
        </w:rPr>
        <w:t xml:space="preserve">Partes </w:t>
      </w:r>
      <w:r w:rsidRPr="00E240D0">
        <w:rPr>
          <w:snapToGrid w:val="0"/>
          <w:kern w:val="22"/>
          <w:lang w:val="es-ES"/>
        </w:rPr>
        <w:t>acordaron resultados que incluyen el desarrollo y uso de directrices y la aplicaci</w:t>
      </w:r>
      <w:r>
        <w:rPr>
          <w:snapToGrid w:val="0"/>
          <w:kern w:val="22"/>
          <w:lang w:val="es-ES"/>
        </w:rPr>
        <w:t>ón de consideraciones socioeconómicas, según corresponda</w:t>
      </w:r>
      <w:r w:rsidR="00775B5A" w:rsidRPr="00E240D0">
        <w:rPr>
          <w:snapToGrid w:val="0"/>
          <w:kern w:val="22"/>
          <w:lang w:val="es-ES"/>
        </w:rPr>
        <w:t xml:space="preserve">. </w:t>
      </w:r>
      <w:r w:rsidRPr="00E240D0">
        <w:rPr>
          <w:snapToGrid w:val="0"/>
          <w:kern w:val="22"/>
          <w:lang w:val="es-ES"/>
        </w:rPr>
        <w:t>Se establecieron cuatro indicadores para medir los progresos en la consecución de este objetivo operacional</w:t>
      </w:r>
      <w:r w:rsidR="00775B5A" w:rsidRPr="00E240D0">
        <w:rPr>
          <w:snapToGrid w:val="0"/>
          <w:kern w:val="22"/>
          <w:lang w:val="es-ES"/>
        </w:rPr>
        <w:t>.</w:t>
      </w:r>
    </w:p>
    <w:p w:rsidR="00775B5A" w:rsidRPr="00EE6F0C" w:rsidRDefault="00E240D0"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240D0">
        <w:rPr>
          <w:snapToGrid w:val="0"/>
          <w:kern w:val="22"/>
          <w:lang w:val="es-ES"/>
        </w:rPr>
        <w:t xml:space="preserve">En lo que respecta al </w:t>
      </w:r>
      <w:r w:rsidR="00775B5A" w:rsidRPr="00E240D0">
        <w:rPr>
          <w:b/>
          <w:bCs/>
          <w:snapToGrid w:val="0"/>
          <w:kern w:val="22"/>
          <w:lang w:val="es-ES"/>
        </w:rPr>
        <w:t>indica</w:t>
      </w:r>
      <w:r w:rsidRPr="00E240D0">
        <w:rPr>
          <w:b/>
          <w:bCs/>
          <w:snapToGrid w:val="0"/>
          <w:kern w:val="22"/>
          <w:lang w:val="es-ES"/>
        </w:rPr>
        <w:t>d</w:t>
      </w:r>
      <w:r w:rsidR="00775B5A" w:rsidRPr="00E240D0">
        <w:rPr>
          <w:b/>
          <w:bCs/>
          <w:snapToGrid w:val="0"/>
          <w:kern w:val="22"/>
          <w:lang w:val="es-ES"/>
        </w:rPr>
        <w:t>or 1.7.1</w:t>
      </w:r>
      <w:r w:rsidR="00775B5A" w:rsidRPr="00E240D0">
        <w:rPr>
          <w:snapToGrid w:val="0"/>
          <w:kern w:val="22"/>
          <w:lang w:val="es-ES"/>
        </w:rPr>
        <w:t xml:space="preserve"> (</w:t>
      </w:r>
      <w:r w:rsidRPr="00E240D0">
        <w:rPr>
          <w:snapToGrid w:val="0"/>
          <w:kern w:val="22"/>
          <w:lang w:val="es-ES"/>
        </w:rPr>
        <w:t xml:space="preserve">el número de </w:t>
      </w:r>
      <w:r w:rsidR="00EE6F0C">
        <w:rPr>
          <w:snapToGrid w:val="0"/>
          <w:kern w:val="22"/>
          <w:lang w:val="es-ES"/>
        </w:rPr>
        <w:t>artículos</w:t>
      </w:r>
      <w:r w:rsidRPr="00E240D0">
        <w:rPr>
          <w:snapToGrid w:val="0"/>
          <w:kern w:val="22"/>
          <w:lang w:val="es-ES"/>
        </w:rPr>
        <w:t xml:space="preserve"> de investigación </w:t>
      </w:r>
      <w:r w:rsidR="00EE6F0C">
        <w:rPr>
          <w:snapToGrid w:val="0"/>
          <w:kern w:val="22"/>
          <w:lang w:val="es-ES"/>
        </w:rPr>
        <w:t>revisados por</w:t>
      </w:r>
      <w:r w:rsidRPr="00E240D0">
        <w:rPr>
          <w:snapToGrid w:val="0"/>
          <w:kern w:val="22"/>
          <w:lang w:val="es-ES"/>
        </w:rPr>
        <w:t xml:space="preserve"> pares que se han publicado</w:t>
      </w:r>
      <w:r w:rsidR="00775B5A" w:rsidRPr="00E240D0">
        <w:rPr>
          <w:snapToGrid w:val="0"/>
          <w:kern w:val="22"/>
          <w:lang w:val="es-ES"/>
        </w:rPr>
        <w:t xml:space="preserve">, </w:t>
      </w:r>
      <w:r w:rsidRPr="00E240D0">
        <w:rPr>
          <w:snapToGrid w:val="0"/>
          <w:kern w:val="22"/>
          <w:lang w:val="es-ES"/>
        </w:rPr>
        <w:t>divulgado y utilizado por las Partes a la hora de considerar las repercusiones socioecon</w:t>
      </w:r>
      <w:r>
        <w:rPr>
          <w:snapToGrid w:val="0"/>
          <w:kern w:val="22"/>
          <w:lang w:val="es-ES"/>
        </w:rPr>
        <w:t>ómicas de los OVM</w:t>
      </w:r>
      <w:r w:rsidR="00775B5A" w:rsidRPr="00E240D0">
        <w:rPr>
          <w:snapToGrid w:val="0"/>
          <w:kern w:val="22"/>
          <w:lang w:val="es-ES"/>
        </w:rPr>
        <w:t xml:space="preserve">), </w:t>
      </w:r>
      <w:r>
        <w:rPr>
          <w:snapToGrid w:val="0"/>
          <w:kern w:val="22"/>
          <w:lang w:val="es-ES"/>
        </w:rPr>
        <w:t xml:space="preserve">el </w:t>
      </w:r>
      <w:r w:rsidR="00775B5A" w:rsidRPr="00E240D0">
        <w:rPr>
          <w:snapToGrid w:val="0"/>
          <w:kern w:val="22"/>
          <w:lang w:val="es-ES"/>
        </w:rPr>
        <w:t>34</w:t>
      </w:r>
      <w:r>
        <w:rPr>
          <w:snapToGrid w:val="0"/>
          <w:kern w:val="22"/>
          <w:lang w:val="es-ES"/>
        </w:rPr>
        <w:t xml:space="preserve"> </w:t>
      </w:r>
      <w:r w:rsidR="00775B5A" w:rsidRPr="00E240D0">
        <w:rPr>
          <w:snapToGrid w:val="0"/>
          <w:kern w:val="22"/>
          <w:lang w:val="es-ES"/>
        </w:rPr>
        <w:t xml:space="preserve">% </w:t>
      </w:r>
      <w:r>
        <w:rPr>
          <w:snapToGrid w:val="0"/>
          <w:kern w:val="22"/>
          <w:lang w:val="es-ES"/>
        </w:rPr>
        <w:t xml:space="preserve">de las </w:t>
      </w:r>
      <w:r w:rsidR="00775B5A" w:rsidRPr="00E240D0">
        <w:rPr>
          <w:snapToGrid w:val="0"/>
          <w:kern w:val="22"/>
          <w:lang w:val="es-ES"/>
        </w:rPr>
        <w:t>Partes (24 Partes)</w:t>
      </w:r>
      <w:r>
        <w:rPr>
          <w:snapToGrid w:val="0"/>
          <w:kern w:val="22"/>
          <w:lang w:val="es-ES"/>
        </w:rPr>
        <w:t xml:space="preserve"> notific</w:t>
      </w:r>
      <w:r w:rsidR="00197B16">
        <w:rPr>
          <w:snapToGrid w:val="0"/>
          <w:kern w:val="22"/>
          <w:lang w:val="es-ES"/>
        </w:rPr>
        <w:t>ó</w:t>
      </w:r>
      <w:r>
        <w:rPr>
          <w:snapToGrid w:val="0"/>
          <w:kern w:val="22"/>
          <w:lang w:val="es-ES"/>
        </w:rPr>
        <w:t xml:space="preserve"> que había utilizado materiales </w:t>
      </w:r>
      <w:r w:rsidR="00EE6F0C">
        <w:rPr>
          <w:snapToGrid w:val="0"/>
          <w:kern w:val="22"/>
          <w:lang w:val="es-ES"/>
        </w:rPr>
        <w:t xml:space="preserve">examinados por </w:t>
      </w:r>
      <w:r>
        <w:rPr>
          <w:snapToGrid w:val="0"/>
          <w:kern w:val="22"/>
          <w:lang w:val="es-ES"/>
        </w:rPr>
        <w:t>pares a efectos de redactar o determinar las medidas a tomar en el plano nacional en lo que a las consideraciones socioeconómicas respecta</w:t>
      </w:r>
      <w:r w:rsidR="00775B5A" w:rsidRPr="00E240D0">
        <w:rPr>
          <w:snapToGrid w:val="0"/>
          <w:kern w:val="22"/>
          <w:lang w:val="es-ES"/>
        </w:rPr>
        <w:t xml:space="preserve">, </w:t>
      </w:r>
      <w:r>
        <w:rPr>
          <w:snapToGrid w:val="0"/>
          <w:kern w:val="22"/>
          <w:lang w:val="es-ES"/>
        </w:rPr>
        <w:t xml:space="preserve">lo que constituye una disminución de un </w:t>
      </w:r>
      <w:r w:rsidR="00775B5A" w:rsidRPr="00E240D0">
        <w:rPr>
          <w:snapToGrid w:val="0"/>
          <w:kern w:val="22"/>
          <w:lang w:val="es-ES"/>
        </w:rPr>
        <w:t>8</w:t>
      </w:r>
      <w:r>
        <w:rPr>
          <w:snapToGrid w:val="0"/>
          <w:kern w:val="22"/>
          <w:lang w:val="es-ES"/>
        </w:rPr>
        <w:t xml:space="preserve"> </w:t>
      </w:r>
      <w:r w:rsidR="00775B5A" w:rsidRPr="00E240D0">
        <w:rPr>
          <w:snapToGrid w:val="0"/>
          <w:kern w:val="22"/>
          <w:lang w:val="es-ES"/>
        </w:rPr>
        <w:t xml:space="preserve">% </w:t>
      </w:r>
      <w:r>
        <w:rPr>
          <w:snapToGrid w:val="0"/>
          <w:kern w:val="22"/>
          <w:lang w:val="es-ES"/>
        </w:rPr>
        <w:t>con respecto a los datos básicos de referencia</w:t>
      </w:r>
      <w:r w:rsidR="00775B5A" w:rsidRPr="00E240D0">
        <w:rPr>
          <w:snapToGrid w:val="0"/>
          <w:kern w:val="22"/>
          <w:lang w:val="es-ES"/>
        </w:rPr>
        <w:t xml:space="preserve">. </w:t>
      </w:r>
      <w:r w:rsidRPr="00EE6F0C">
        <w:rPr>
          <w:snapToGrid w:val="0"/>
          <w:kern w:val="22"/>
          <w:lang w:val="es-ES"/>
        </w:rPr>
        <w:t>Un</w:t>
      </w:r>
      <w:r w:rsidR="00775B5A" w:rsidRPr="00EE6F0C">
        <w:rPr>
          <w:snapToGrid w:val="0"/>
          <w:kern w:val="22"/>
          <w:lang w:val="es-ES"/>
        </w:rPr>
        <w:t xml:space="preserve"> total </w:t>
      </w:r>
      <w:r w:rsidRPr="00EE6F0C">
        <w:rPr>
          <w:snapToGrid w:val="0"/>
          <w:kern w:val="22"/>
          <w:lang w:val="es-ES"/>
        </w:rPr>
        <w:t xml:space="preserve">del </w:t>
      </w:r>
      <w:r w:rsidR="00775B5A" w:rsidRPr="00EE6F0C">
        <w:rPr>
          <w:snapToGrid w:val="0"/>
          <w:kern w:val="22"/>
          <w:lang w:val="es-ES"/>
        </w:rPr>
        <w:t>14</w:t>
      </w:r>
      <w:r w:rsidRPr="00EE6F0C">
        <w:rPr>
          <w:snapToGrid w:val="0"/>
          <w:kern w:val="22"/>
          <w:lang w:val="es-ES"/>
        </w:rPr>
        <w:t xml:space="preserve"> </w:t>
      </w:r>
      <w:r w:rsidR="00775B5A" w:rsidRPr="00EE6F0C">
        <w:rPr>
          <w:snapToGrid w:val="0"/>
          <w:kern w:val="22"/>
          <w:lang w:val="es-ES"/>
        </w:rPr>
        <w:t xml:space="preserve">% </w:t>
      </w:r>
      <w:r w:rsidRPr="00EE6F0C">
        <w:rPr>
          <w:snapToGrid w:val="0"/>
          <w:kern w:val="22"/>
          <w:lang w:val="es-ES"/>
        </w:rPr>
        <w:t>de las Part</w:t>
      </w:r>
      <w:r w:rsidR="00775B5A" w:rsidRPr="00EE6F0C">
        <w:rPr>
          <w:snapToGrid w:val="0"/>
          <w:kern w:val="22"/>
          <w:lang w:val="es-ES"/>
        </w:rPr>
        <w:t xml:space="preserve">es </w:t>
      </w:r>
      <w:r w:rsidRPr="00EE6F0C">
        <w:rPr>
          <w:snapToGrid w:val="0"/>
          <w:kern w:val="22"/>
          <w:lang w:val="es-ES"/>
        </w:rPr>
        <w:t>comunic</w:t>
      </w:r>
      <w:r w:rsidR="00197B16">
        <w:rPr>
          <w:snapToGrid w:val="0"/>
          <w:kern w:val="22"/>
          <w:lang w:val="es-ES"/>
        </w:rPr>
        <w:t>ó</w:t>
      </w:r>
      <w:r w:rsidRPr="00EE6F0C">
        <w:rPr>
          <w:snapToGrid w:val="0"/>
          <w:kern w:val="22"/>
          <w:lang w:val="es-ES"/>
        </w:rPr>
        <w:t xml:space="preserve"> que había utilizado </w:t>
      </w:r>
      <w:r w:rsidR="00775B5A" w:rsidRPr="00EE6F0C">
        <w:rPr>
          <w:snapToGrid w:val="0"/>
          <w:kern w:val="22"/>
          <w:lang w:val="es-ES"/>
        </w:rPr>
        <w:t xml:space="preserve">50 </w:t>
      </w:r>
      <w:r w:rsidR="00E35A64" w:rsidRPr="00EE6F0C">
        <w:rPr>
          <w:snapToGrid w:val="0"/>
          <w:kern w:val="22"/>
          <w:lang w:val="es-ES"/>
        </w:rPr>
        <w:lastRenderedPageBreak/>
        <w:t xml:space="preserve">o más materiales </w:t>
      </w:r>
      <w:r w:rsidR="00EE6F0C" w:rsidRPr="00EE6F0C">
        <w:rPr>
          <w:snapToGrid w:val="0"/>
          <w:kern w:val="22"/>
          <w:lang w:val="es-ES"/>
        </w:rPr>
        <w:t xml:space="preserve">revisados por pares </w:t>
      </w:r>
      <w:r w:rsidR="00775B5A" w:rsidRPr="00EE6F0C">
        <w:rPr>
          <w:snapToGrid w:val="0"/>
          <w:kern w:val="22"/>
          <w:lang w:val="es-ES"/>
        </w:rPr>
        <w:t>(+</w:t>
      </w:r>
      <w:r w:rsidR="00E35A64" w:rsidRPr="00EE6F0C">
        <w:rPr>
          <w:snapToGrid w:val="0"/>
          <w:kern w:val="22"/>
          <w:lang w:val="es-ES"/>
        </w:rPr>
        <w:t xml:space="preserve"> </w:t>
      </w:r>
      <w:r w:rsidR="00775B5A" w:rsidRPr="00EE6F0C">
        <w:rPr>
          <w:snapToGrid w:val="0"/>
          <w:kern w:val="22"/>
          <w:lang w:val="es-ES"/>
        </w:rPr>
        <w:t>4</w:t>
      </w:r>
      <w:r w:rsidR="00E35A64" w:rsidRPr="00EE6F0C">
        <w:rPr>
          <w:snapToGrid w:val="0"/>
          <w:kern w:val="22"/>
          <w:lang w:val="es-ES"/>
        </w:rPr>
        <w:t xml:space="preserve"> </w:t>
      </w:r>
      <w:r w:rsidR="00775B5A" w:rsidRPr="00EE6F0C">
        <w:rPr>
          <w:snapToGrid w:val="0"/>
          <w:kern w:val="22"/>
          <w:lang w:val="es-ES"/>
        </w:rPr>
        <w:t xml:space="preserve">%); </w:t>
      </w:r>
      <w:r w:rsidR="00E35A64" w:rsidRPr="00EE6F0C">
        <w:rPr>
          <w:snapToGrid w:val="0"/>
          <w:kern w:val="22"/>
          <w:lang w:val="es-ES"/>
        </w:rPr>
        <w:t xml:space="preserve">el </w:t>
      </w:r>
      <w:r w:rsidR="00775B5A" w:rsidRPr="00EE6F0C">
        <w:rPr>
          <w:snapToGrid w:val="0"/>
          <w:kern w:val="22"/>
          <w:lang w:val="es-ES"/>
        </w:rPr>
        <w:t>6</w:t>
      </w:r>
      <w:r w:rsidR="00E35A64" w:rsidRPr="00EE6F0C">
        <w:rPr>
          <w:snapToGrid w:val="0"/>
          <w:kern w:val="22"/>
          <w:lang w:val="es-ES"/>
        </w:rPr>
        <w:t xml:space="preserve"> </w:t>
      </w:r>
      <w:r w:rsidR="00775B5A" w:rsidRPr="00EE6F0C">
        <w:rPr>
          <w:snapToGrid w:val="0"/>
          <w:kern w:val="22"/>
          <w:lang w:val="es-ES"/>
        </w:rPr>
        <w:t xml:space="preserve">% </w:t>
      </w:r>
      <w:r w:rsidR="00EE6F0C" w:rsidRPr="00EE6F0C">
        <w:rPr>
          <w:snapToGrid w:val="0"/>
          <w:kern w:val="22"/>
          <w:lang w:val="es-ES"/>
        </w:rPr>
        <w:t>inform</w:t>
      </w:r>
      <w:r w:rsidR="00197B16">
        <w:rPr>
          <w:snapToGrid w:val="0"/>
          <w:kern w:val="22"/>
          <w:lang w:val="es-ES"/>
        </w:rPr>
        <w:t>ó haber</w:t>
      </w:r>
      <w:r w:rsidR="00EE6F0C" w:rsidRPr="00EE6F0C">
        <w:rPr>
          <w:snapToGrid w:val="0"/>
          <w:kern w:val="22"/>
          <w:lang w:val="es-ES"/>
        </w:rPr>
        <w:t xml:space="preserve"> utilizado entre </w:t>
      </w:r>
      <w:r w:rsidR="00775B5A" w:rsidRPr="00EE6F0C">
        <w:rPr>
          <w:snapToGrid w:val="0"/>
          <w:kern w:val="22"/>
          <w:lang w:val="es-ES"/>
        </w:rPr>
        <w:t xml:space="preserve">10 </w:t>
      </w:r>
      <w:r w:rsidR="00EE6F0C" w:rsidRPr="00EE6F0C">
        <w:rPr>
          <w:snapToGrid w:val="0"/>
          <w:kern w:val="22"/>
          <w:lang w:val="es-ES"/>
        </w:rPr>
        <w:t>y</w:t>
      </w:r>
      <w:r w:rsidR="00775B5A" w:rsidRPr="00EE6F0C">
        <w:rPr>
          <w:snapToGrid w:val="0"/>
          <w:kern w:val="22"/>
          <w:lang w:val="es-ES"/>
        </w:rPr>
        <w:t xml:space="preserve"> 49 </w:t>
      </w:r>
      <w:r w:rsidR="00EE6F0C" w:rsidRPr="00EE6F0C">
        <w:rPr>
          <w:snapToGrid w:val="0"/>
          <w:kern w:val="22"/>
          <w:lang w:val="es-ES"/>
        </w:rPr>
        <w:t>de dichos materiales</w:t>
      </w:r>
      <w:r w:rsidR="00775B5A" w:rsidRPr="00EE6F0C">
        <w:rPr>
          <w:snapToGrid w:val="0"/>
          <w:kern w:val="22"/>
          <w:lang w:val="es-ES"/>
        </w:rPr>
        <w:t xml:space="preserve"> (-</w:t>
      </w:r>
      <w:r w:rsidR="00EE6F0C" w:rsidRPr="00EE6F0C">
        <w:rPr>
          <w:snapToGrid w:val="0"/>
          <w:kern w:val="22"/>
          <w:lang w:val="es-ES"/>
        </w:rPr>
        <w:t xml:space="preserve"> </w:t>
      </w:r>
      <w:r w:rsidR="00775B5A" w:rsidRPr="00EE6F0C">
        <w:rPr>
          <w:snapToGrid w:val="0"/>
          <w:kern w:val="22"/>
          <w:lang w:val="es-ES"/>
        </w:rPr>
        <w:t>1</w:t>
      </w:r>
      <w:r w:rsidR="00EE6F0C">
        <w:rPr>
          <w:snapToGrid w:val="0"/>
          <w:kern w:val="22"/>
          <w:lang w:val="es-ES"/>
        </w:rPr>
        <w:t xml:space="preserve"> </w:t>
      </w:r>
      <w:r w:rsidR="00775B5A" w:rsidRPr="00EE6F0C">
        <w:rPr>
          <w:snapToGrid w:val="0"/>
          <w:kern w:val="22"/>
          <w:lang w:val="es-ES"/>
        </w:rPr>
        <w:t xml:space="preserve">%); </w:t>
      </w:r>
      <w:r w:rsidR="00EE6F0C">
        <w:rPr>
          <w:snapToGrid w:val="0"/>
          <w:kern w:val="22"/>
          <w:lang w:val="es-ES"/>
        </w:rPr>
        <w:t xml:space="preserve">el </w:t>
      </w:r>
      <w:r w:rsidR="00775B5A" w:rsidRPr="00EE6F0C">
        <w:rPr>
          <w:snapToGrid w:val="0"/>
          <w:kern w:val="22"/>
          <w:lang w:val="es-ES"/>
        </w:rPr>
        <w:t>3</w:t>
      </w:r>
      <w:r w:rsidR="00EE6F0C">
        <w:rPr>
          <w:snapToGrid w:val="0"/>
          <w:kern w:val="22"/>
          <w:lang w:val="es-ES"/>
        </w:rPr>
        <w:t xml:space="preserve"> </w:t>
      </w:r>
      <w:r w:rsidR="00775B5A" w:rsidRPr="00EE6F0C">
        <w:rPr>
          <w:snapToGrid w:val="0"/>
          <w:kern w:val="22"/>
          <w:lang w:val="es-ES"/>
        </w:rPr>
        <w:t xml:space="preserve">% </w:t>
      </w:r>
      <w:r w:rsidR="00EE6F0C">
        <w:rPr>
          <w:snapToGrid w:val="0"/>
          <w:kern w:val="22"/>
          <w:lang w:val="es-ES"/>
        </w:rPr>
        <w:t>indic</w:t>
      </w:r>
      <w:r w:rsidR="00197B16">
        <w:rPr>
          <w:snapToGrid w:val="0"/>
          <w:kern w:val="22"/>
          <w:lang w:val="es-ES"/>
        </w:rPr>
        <w:t>ó</w:t>
      </w:r>
      <w:r w:rsidR="00EE6F0C">
        <w:rPr>
          <w:snapToGrid w:val="0"/>
          <w:kern w:val="22"/>
          <w:lang w:val="es-ES"/>
        </w:rPr>
        <w:t xml:space="preserve"> que había utilizado entre </w:t>
      </w:r>
      <w:r w:rsidR="00775B5A" w:rsidRPr="00EE6F0C">
        <w:rPr>
          <w:snapToGrid w:val="0"/>
          <w:kern w:val="22"/>
          <w:lang w:val="es-ES"/>
        </w:rPr>
        <w:t xml:space="preserve">5 </w:t>
      </w:r>
      <w:r w:rsidR="00EE6F0C">
        <w:rPr>
          <w:snapToGrid w:val="0"/>
          <w:kern w:val="22"/>
          <w:lang w:val="es-ES"/>
        </w:rPr>
        <w:t>y</w:t>
      </w:r>
      <w:r w:rsidR="00775B5A" w:rsidRPr="00EE6F0C">
        <w:rPr>
          <w:snapToGrid w:val="0"/>
          <w:kern w:val="22"/>
          <w:lang w:val="es-ES"/>
        </w:rPr>
        <w:t xml:space="preserve"> 9 material</w:t>
      </w:r>
      <w:r w:rsidR="00EE6F0C">
        <w:rPr>
          <w:snapToGrid w:val="0"/>
          <w:kern w:val="22"/>
          <w:lang w:val="es-ES"/>
        </w:rPr>
        <w:t>e</w:t>
      </w:r>
      <w:r w:rsidR="00775B5A" w:rsidRPr="00EE6F0C">
        <w:rPr>
          <w:snapToGrid w:val="0"/>
          <w:kern w:val="22"/>
          <w:lang w:val="es-ES"/>
        </w:rPr>
        <w:t>s (</w:t>
      </w:r>
      <w:r w:rsidR="00EE6F0C">
        <w:rPr>
          <w:snapToGrid w:val="0"/>
          <w:kern w:val="22"/>
          <w:lang w:val="es-ES"/>
        </w:rPr>
        <w:t>sin cambios con respecto a los datos básicos de referencia</w:t>
      </w:r>
      <w:r w:rsidR="00775B5A" w:rsidRPr="00EE6F0C">
        <w:rPr>
          <w:snapToGrid w:val="0"/>
          <w:kern w:val="22"/>
          <w:lang w:val="es-ES"/>
        </w:rPr>
        <w:t xml:space="preserve">); </w:t>
      </w:r>
      <w:r w:rsidR="00EE6F0C">
        <w:rPr>
          <w:snapToGrid w:val="0"/>
          <w:kern w:val="22"/>
          <w:lang w:val="es-ES"/>
        </w:rPr>
        <w:t xml:space="preserve">el </w:t>
      </w:r>
      <w:r w:rsidR="00775B5A" w:rsidRPr="00EE6F0C">
        <w:rPr>
          <w:snapToGrid w:val="0"/>
          <w:kern w:val="22"/>
          <w:lang w:val="es-ES"/>
        </w:rPr>
        <w:t>11</w:t>
      </w:r>
      <w:r w:rsidR="00EE6F0C">
        <w:rPr>
          <w:snapToGrid w:val="0"/>
          <w:kern w:val="22"/>
          <w:lang w:val="es-ES"/>
        </w:rPr>
        <w:t xml:space="preserve"> </w:t>
      </w:r>
      <w:r w:rsidR="00775B5A" w:rsidRPr="00EE6F0C">
        <w:rPr>
          <w:snapToGrid w:val="0"/>
          <w:kern w:val="22"/>
          <w:lang w:val="es-ES"/>
        </w:rPr>
        <w:t xml:space="preserve">% </w:t>
      </w:r>
      <w:r w:rsidR="00EE6F0C">
        <w:rPr>
          <w:snapToGrid w:val="0"/>
          <w:kern w:val="22"/>
          <w:lang w:val="es-ES"/>
        </w:rPr>
        <w:t>de las Partes notific</w:t>
      </w:r>
      <w:r w:rsidR="00197B16">
        <w:rPr>
          <w:snapToGrid w:val="0"/>
          <w:kern w:val="22"/>
          <w:lang w:val="es-ES"/>
        </w:rPr>
        <w:t>ó</w:t>
      </w:r>
      <w:r w:rsidR="00EE6F0C">
        <w:rPr>
          <w:snapToGrid w:val="0"/>
          <w:kern w:val="22"/>
          <w:lang w:val="es-ES"/>
        </w:rPr>
        <w:t xml:space="preserve"> que había utilizado entre </w:t>
      </w:r>
      <w:r w:rsidR="00775B5A" w:rsidRPr="00EE6F0C">
        <w:rPr>
          <w:snapToGrid w:val="0"/>
          <w:kern w:val="22"/>
          <w:lang w:val="es-ES"/>
        </w:rPr>
        <w:t xml:space="preserve">1 </w:t>
      </w:r>
      <w:r w:rsidR="00EE6F0C">
        <w:rPr>
          <w:snapToGrid w:val="0"/>
          <w:kern w:val="22"/>
          <w:lang w:val="es-ES"/>
        </w:rPr>
        <w:t>y</w:t>
      </w:r>
      <w:r w:rsidR="00775B5A" w:rsidRPr="00EE6F0C">
        <w:rPr>
          <w:snapToGrid w:val="0"/>
          <w:kern w:val="22"/>
          <w:lang w:val="es-ES"/>
        </w:rPr>
        <w:t xml:space="preserve"> 4 material</w:t>
      </w:r>
      <w:r w:rsidR="00EE6F0C">
        <w:rPr>
          <w:snapToGrid w:val="0"/>
          <w:kern w:val="22"/>
          <w:lang w:val="es-ES"/>
        </w:rPr>
        <w:t>e</w:t>
      </w:r>
      <w:r w:rsidR="00775B5A" w:rsidRPr="00EE6F0C">
        <w:rPr>
          <w:snapToGrid w:val="0"/>
          <w:kern w:val="22"/>
          <w:lang w:val="es-ES"/>
        </w:rPr>
        <w:t>s (-</w:t>
      </w:r>
      <w:r w:rsidR="00EE6F0C">
        <w:rPr>
          <w:snapToGrid w:val="0"/>
          <w:kern w:val="22"/>
          <w:lang w:val="es-ES"/>
        </w:rPr>
        <w:t xml:space="preserve"> </w:t>
      </w:r>
      <w:r w:rsidR="00775B5A" w:rsidRPr="00EE6F0C">
        <w:rPr>
          <w:snapToGrid w:val="0"/>
          <w:kern w:val="22"/>
          <w:lang w:val="es-ES"/>
        </w:rPr>
        <w:t>11</w:t>
      </w:r>
      <w:r w:rsidR="00EE6F0C">
        <w:rPr>
          <w:snapToGrid w:val="0"/>
          <w:kern w:val="22"/>
          <w:lang w:val="es-ES"/>
        </w:rPr>
        <w:t xml:space="preserve"> </w:t>
      </w:r>
      <w:r w:rsidR="00775B5A" w:rsidRPr="00EE6F0C">
        <w:rPr>
          <w:snapToGrid w:val="0"/>
          <w:kern w:val="22"/>
          <w:lang w:val="es-ES"/>
        </w:rPr>
        <w:t xml:space="preserve">%). </w:t>
      </w:r>
      <w:r w:rsidR="00EE6F0C" w:rsidRPr="00EE6F0C">
        <w:rPr>
          <w:snapToGrid w:val="0"/>
          <w:kern w:val="22"/>
          <w:lang w:val="es-ES"/>
        </w:rPr>
        <w:t xml:space="preserve">Todas las </w:t>
      </w:r>
      <w:r w:rsidR="00775B5A" w:rsidRPr="00EE6F0C">
        <w:rPr>
          <w:snapToGrid w:val="0"/>
          <w:kern w:val="22"/>
          <w:lang w:val="es-ES"/>
        </w:rPr>
        <w:t xml:space="preserve">Partes </w:t>
      </w:r>
      <w:r w:rsidR="00EE6F0C" w:rsidRPr="00EE6F0C">
        <w:rPr>
          <w:snapToGrid w:val="0"/>
          <w:kern w:val="22"/>
          <w:lang w:val="es-ES"/>
        </w:rPr>
        <w:t>que comunicaron que habían utilizado 5</w:t>
      </w:r>
      <w:r w:rsidR="00775B5A" w:rsidRPr="00EE6F0C">
        <w:rPr>
          <w:snapToGrid w:val="0"/>
          <w:kern w:val="22"/>
          <w:lang w:val="es-ES"/>
        </w:rPr>
        <w:t>0 o</w:t>
      </w:r>
      <w:r w:rsidR="00EE6F0C" w:rsidRPr="00EE6F0C">
        <w:rPr>
          <w:snapToGrid w:val="0"/>
          <w:kern w:val="22"/>
          <w:lang w:val="es-ES"/>
        </w:rPr>
        <w:t xml:space="preserve"> m</w:t>
      </w:r>
      <w:r w:rsidR="00EE6F0C">
        <w:rPr>
          <w:snapToGrid w:val="0"/>
          <w:kern w:val="22"/>
          <w:lang w:val="es-ES"/>
        </w:rPr>
        <w:t xml:space="preserve">ás materiales en el periodo de presentación de informes son de las regiones </w:t>
      </w:r>
      <w:r w:rsidR="00477624">
        <w:rPr>
          <w:snapToGrid w:val="0"/>
          <w:kern w:val="22"/>
          <w:lang w:val="es-ES"/>
        </w:rPr>
        <w:t>del grupo de Estados de Europa Central y Oriental</w:t>
      </w:r>
      <w:r w:rsidR="00477624" w:rsidRPr="00EC2231">
        <w:rPr>
          <w:snapToGrid w:val="0"/>
          <w:kern w:val="22"/>
          <w:lang w:val="es-ES"/>
        </w:rPr>
        <w:t xml:space="preserve"> </w:t>
      </w:r>
      <w:r w:rsidR="00EE6F0C">
        <w:rPr>
          <w:snapToGrid w:val="0"/>
          <w:kern w:val="22"/>
          <w:lang w:val="es-ES"/>
        </w:rPr>
        <w:t xml:space="preserve">y </w:t>
      </w:r>
      <w:r w:rsidR="00477624">
        <w:rPr>
          <w:snapToGrid w:val="0"/>
          <w:kern w:val="22"/>
          <w:lang w:val="es-ES"/>
        </w:rPr>
        <w:t xml:space="preserve">del </w:t>
      </w:r>
      <w:r w:rsidR="00EE6F0C">
        <w:rPr>
          <w:snapToGrid w:val="0"/>
          <w:kern w:val="22"/>
          <w:lang w:val="es-ES"/>
        </w:rPr>
        <w:t>grupo de Estados de Europa Occidental y otros</w:t>
      </w:r>
      <w:r w:rsidR="00775B5A" w:rsidRPr="00EE6F0C">
        <w:rPr>
          <w:snapToGrid w:val="0"/>
          <w:kern w:val="22"/>
          <w:lang w:val="es-ES"/>
        </w:rPr>
        <w:t xml:space="preserve">. </w:t>
      </w:r>
      <w:r w:rsidR="00EE6F0C" w:rsidRPr="00EE6F0C">
        <w:rPr>
          <w:snapToGrid w:val="0"/>
          <w:kern w:val="22"/>
          <w:lang w:val="es-ES"/>
        </w:rPr>
        <w:t>Un</w:t>
      </w:r>
      <w:r w:rsidR="00775B5A" w:rsidRPr="00EE6F0C">
        <w:rPr>
          <w:snapToGrid w:val="0"/>
          <w:kern w:val="22"/>
          <w:lang w:val="es-ES"/>
        </w:rPr>
        <w:t xml:space="preserve"> total </w:t>
      </w:r>
      <w:r w:rsidR="00EE6F0C" w:rsidRPr="00EE6F0C">
        <w:rPr>
          <w:snapToGrid w:val="0"/>
          <w:kern w:val="22"/>
          <w:lang w:val="es-ES"/>
        </w:rPr>
        <w:t>del</w:t>
      </w:r>
      <w:r w:rsidR="00775B5A" w:rsidRPr="00EE6F0C">
        <w:rPr>
          <w:snapToGrid w:val="0"/>
          <w:kern w:val="22"/>
          <w:lang w:val="es-ES"/>
        </w:rPr>
        <w:t xml:space="preserve"> 63</w:t>
      </w:r>
      <w:r w:rsidR="00EE6F0C" w:rsidRPr="00EE6F0C">
        <w:rPr>
          <w:snapToGrid w:val="0"/>
          <w:kern w:val="22"/>
          <w:lang w:val="es-ES"/>
        </w:rPr>
        <w:t xml:space="preserve"> </w:t>
      </w:r>
      <w:r w:rsidR="00775B5A" w:rsidRPr="00EE6F0C">
        <w:rPr>
          <w:snapToGrid w:val="0"/>
          <w:kern w:val="22"/>
          <w:lang w:val="es-ES"/>
        </w:rPr>
        <w:t xml:space="preserve">% </w:t>
      </w:r>
      <w:r w:rsidR="00EE6F0C" w:rsidRPr="00EE6F0C">
        <w:rPr>
          <w:snapToGrid w:val="0"/>
          <w:kern w:val="22"/>
          <w:lang w:val="es-ES"/>
        </w:rPr>
        <w:t xml:space="preserve">de las </w:t>
      </w:r>
      <w:r w:rsidR="00775B5A" w:rsidRPr="00EE6F0C">
        <w:rPr>
          <w:snapToGrid w:val="0"/>
          <w:kern w:val="22"/>
          <w:lang w:val="es-ES"/>
        </w:rPr>
        <w:t xml:space="preserve">Partes (17 Partes) </w:t>
      </w:r>
      <w:r w:rsidR="00EE6F0C" w:rsidRPr="00EE6F0C">
        <w:rPr>
          <w:snapToGrid w:val="0"/>
          <w:kern w:val="22"/>
          <w:lang w:val="es-ES"/>
        </w:rPr>
        <w:t>inform</w:t>
      </w:r>
      <w:r w:rsidR="00197B16">
        <w:rPr>
          <w:snapToGrid w:val="0"/>
          <w:kern w:val="22"/>
          <w:lang w:val="es-ES"/>
        </w:rPr>
        <w:t>aron</w:t>
      </w:r>
      <w:r w:rsidR="00EE6F0C" w:rsidRPr="00EE6F0C">
        <w:rPr>
          <w:snapToGrid w:val="0"/>
          <w:kern w:val="22"/>
          <w:lang w:val="es-ES"/>
        </w:rPr>
        <w:t xml:space="preserve"> en sus cuartos informes nacionales que </w:t>
      </w:r>
      <w:r w:rsidR="00EE6F0C">
        <w:rPr>
          <w:snapToGrid w:val="0"/>
          <w:kern w:val="22"/>
          <w:lang w:val="es-ES"/>
        </w:rPr>
        <w:t>consideraban que e</w:t>
      </w:r>
      <w:r w:rsidR="00EE6F0C" w:rsidRPr="00EE6F0C">
        <w:rPr>
          <w:snapToGrid w:val="0"/>
          <w:kern w:val="22"/>
          <w:lang w:val="es-ES"/>
        </w:rPr>
        <w:t>l n</w:t>
      </w:r>
      <w:r w:rsidR="00EE6F0C">
        <w:rPr>
          <w:snapToGrid w:val="0"/>
          <w:kern w:val="22"/>
          <w:lang w:val="es-ES"/>
        </w:rPr>
        <w:t>úmero de materiales publicados revisados por pares utilizados había sido el adecuado</w:t>
      </w:r>
      <w:r w:rsidR="00775B5A" w:rsidRPr="00EE6F0C">
        <w:rPr>
          <w:snapToGrid w:val="0"/>
          <w:kern w:val="22"/>
          <w:lang w:val="es-ES"/>
        </w:rPr>
        <w:t xml:space="preserve">.  </w:t>
      </w:r>
    </w:p>
    <w:p w:rsidR="00775B5A" w:rsidRPr="005E44F7" w:rsidRDefault="005E44F7"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5E44F7">
        <w:rPr>
          <w:snapToGrid w:val="0"/>
          <w:kern w:val="22"/>
          <w:lang w:val="es-ES"/>
        </w:rPr>
        <w:t xml:space="preserve">En cuanto al </w:t>
      </w:r>
      <w:r w:rsidR="00775B5A" w:rsidRPr="005E44F7">
        <w:rPr>
          <w:b/>
          <w:bCs/>
          <w:snapToGrid w:val="0"/>
          <w:kern w:val="22"/>
          <w:lang w:val="es-ES"/>
        </w:rPr>
        <w:t>indica</w:t>
      </w:r>
      <w:r w:rsidRPr="005E44F7">
        <w:rPr>
          <w:b/>
          <w:bCs/>
          <w:snapToGrid w:val="0"/>
          <w:kern w:val="22"/>
          <w:lang w:val="es-ES"/>
        </w:rPr>
        <w:t>d</w:t>
      </w:r>
      <w:r w:rsidR="00775B5A" w:rsidRPr="005E44F7">
        <w:rPr>
          <w:b/>
          <w:bCs/>
          <w:snapToGrid w:val="0"/>
          <w:kern w:val="22"/>
          <w:lang w:val="es-ES"/>
        </w:rPr>
        <w:t>or 1.7.2</w:t>
      </w:r>
      <w:r w:rsidR="00775B5A" w:rsidRPr="005E44F7">
        <w:rPr>
          <w:snapToGrid w:val="0"/>
          <w:kern w:val="22"/>
          <w:lang w:val="es-ES"/>
        </w:rPr>
        <w:t xml:space="preserve"> (</w:t>
      </w:r>
      <w:r w:rsidRPr="005E44F7">
        <w:rPr>
          <w:snapToGrid w:val="0"/>
          <w:kern w:val="22"/>
          <w:lang w:val="es-ES"/>
        </w:rPr>
        <w:t>el número de Partes que inform</w:t>
      </w:r>
      <w:r w:rsidR="00197B16">
        <w:rPr>
          <w:snapToGrid w:val="0"/>
          <w:kern w:val="22"/>
          <w:lang w:val="es-ES"/>
        </w:rPr>
        <w:t>ó</w:t>
      </w:r>
      <w:r w:rsidRPr="005E44F7">
        <w:rPr>
          <w:snapToGrid w:val="0"/>
          <w:kern w:val="22"/>
          <w:lang w:val="es-ES"/>
        </w:rPr>
        <w:t xml:space="preserve"> de sus planteamientos para tener en cuenta las consideraciones socioeconómicas</w:t>
      </w:r>
      <w:r w:rsidR="00775B5A" w:rsidRPr="005E44F7">
        <w:rPr>
          <w:snapToGrid w:val="0"/>
          <w:kern w:val="22"/>
          <w:lang w:val="es-ES"/>
        </w:rPr>
        <w:t xml:space="preserve">), </w:t>
      </w:r>
      <w:r w:rsidRPr="005E44F7">
        <w:rPr>
          <w:snapToGrid w:val="0"/>
          <w:kern w:val="22"/>
          <w:lang w:val="es-ES"/>
        </w:rPr>
        <w:t xml:space="preserve">el </w:t>
      </w:r>
      <w:r w:rsidR="00775B5A" w:rsidRPr="005E44F7">
        <w:rPr>
          <w:snapToGrid w:val="0"/>
          <w:kern w:val="22"/>
          <w:lang w:val="es-ES"/>
        </w:rPr>
        <w:t>52</w:t>
      </w:r>
      <w:r>
        <w:rPr>
          <w:snapToGrid w:val="0"/>
          <w:kern w:val="22"/>
          <w:lang w:val="es-ES"/>
        </w:rPr>
        <w:t xml:space="preserve"> </w:t>
      </w:r>
      <w:r w:rsidR="00775B5A" w:rsidRPr="005E44F7">
        <w:rPr>
          <w:snapToGrid w:val="0"/>
          <w:kern w:val="22"/>
          <w:lang w:val="es-ES"/>
        </w:rPr>
        <w:t xml:space="preserve">% </w:t>
      </w:r>
      <w:r>
        <w:rPr>
          <w:snapToGrid w:val="0"/>
          <w:kern w:val="22"/>
          <w:lang w:val="es-ES"/>
        </w:rPr>
        <w:t>de las P</w:t>
      </w:r>
      <w:r w:rsidR="00775B5A" w:rsidRPr="005E44F7">
        <w:rPr>
          <w:snapToGrid w:val="0"/>
          <w:kern w:val="22"/>
          <w:lang w:val="es-ES"/>
        </w:rPr>
        <w:t xml:space="preserve">artes (37 Partes) </w:t>
      </w:r>
      <w:r>
        <w:rPr>
          <w:snapToGrid w:val="0"/>
          <w:kern w:val="22"/>
          <w:lang w:val="es-ES"/>
        </w:rPr>
        <w:t>notific</w:t>
      </w:r>
      <w:r w:rsidR="00197B16">
        <w:rPr>
          <w:snapToGrid w:val="0"/>
          <w:kern w:val="22"/>
          <w:lang w:val="es-ES"/>
        </w:rPr>
        <w:t>ó</w:t>
      </w:r>
      <w:r>
        <w:rPr>
          <w:snapToGrid w:val="0"/>
          <w:kern w:val="22"/>
          <w:lang w:val="es-ES"/>
        </w:rPr>
        <w:t xml:space="preserve"> que cuenta con planteamientos o requisitos específicos que facilitan la forma en que deberían tenerse en cuenta las consideraciones socioeconómicas en la adopción de decisiones sobre los OVM</w:t>
      </w:r>
      <w:r w:rsidR="00775B5A" w:rsidRPr="005E44F7">
        <w:rPr>
          <w:snapToGrid w:val="0"/>
          <w:kern w:val="22"/>
          <w:lang w:val="es-ES"/>
        </w:rPr>
        <w:t xml:space="preserve">, </w:t>
      </w:r>
      <w:r>
        <w:rPr>
          <w:snapToGrid w:val="0"/>
          <w:kern w:val="22"/>
          <w:lang w:val="es-ES"/>
        </w:rPr>
        <w:t xml:space="preserve">lo que supone un aumento de un </w:t>
      </w:r>
      <w:r w:rsidR="00775B5A" w:rsidRPr="005E44F7">
        <w:rPr>
          <w:snapToGrid w:val="0"/>
          <w:kern w:val="22"/>
          <w:lang w:val="es-ES"/>
        </w:rPr>
        <w:t>10</w:t>
      </w:r>
      <w:r>
        <w:rPr>
          <w:snapToGrid w:val="0"/>
          <w:kern w:val="22"/>
          <w:lang w:val="es-ES"/>
        </w:rPr>
        <w:t xml:space="preserve"> </w:t>
      </w:r>
      <w:r w:rsidR="00775B5A" w:rsidRPr="005E44F7">
        <w:rPr>
          <w:snapToGrid w:val="0"/>
          <w:kern w:val="22"/>
          <w:lang w:val="es-ES"/>
        </w:rPr>
        <w:t xml:space="preserve">% </w:t>
      </w:r>
      <w:r>
        <w:rPr>
          <w:snapToGrid w:val="0"/>
          <w:kern w:val="22"/>
          <w:lang w:val="es-ES"/>
        </w:rPr>
        <w:t>con respecto a los datos básicos de referencia</w:t>
      </w:r>
      <w:r w:rsidR="00775B5A" w:rsidRPr="005E44F7">
        <w:rPr>
          <w:snapToGrid w:val="0"/>
          <w:kern w:val="22"/>
          <w:lang w:val="es-ES"/>
        </w:rPr>
        <w:t>. A</w:t>
      </w:r>
      <w:r w:rsidRPr="005E44F7">
        <w:rPr>
          <w:snapToGrid w:val="0"/>
          <w:kern w:val="22"/>
          <w:lang w:val="es-ES"/>
        </w:rPr>
        <w:t xml:space="preserve"> nivel regional</w:t>
      </w:r>
      <w:r w:rsidR="00775B5A" w:rsidRPr="005E44F7">
        <w:rPr>
          <w:snapToGrid w:val="0"/>
          <w:kern w:val="22"/>
          <w:lang w:val="es-ES"/>
        </w:rPr>
        <w:t xml:space="preserve">, </w:t>
      </w:r>
      <w:r w:rsidRPr="005E44F7">
        <w:rPr>
          <w:snapToGrid w:val="0"/>
          <w:kern w:val="22"/>
          <w:lang w:val="es-ES"/>
        </w:rPr>
        <w:t>los datos muestran variaciones pronunciadas</w:t>
      </w:r>
      <w:r w:rsidR="00775B5A" w:rsidRPr="005E44F7">
        <w:rPr>
          <w:snapToGrid w:val="0"/>
          <w:kern w:val="22"/>
          <w:lang w:val="es-ES"/>
        </w:rPr>
        <w:t xml:space="preserve">, </w:t>
      </w:r>
      <w:r w:rsidRPr="005E44F7">
        <w:rPr>
          <w:snapToGrid w:val="0"/>
          <w:kern w:val="22"/>
          <w:lang w:val="es-ES"/>
        </w:rPr>
        <w:t>tanto en las cifras total</w:t>
      </w:r>
      <w:r>
        <w:rPr>
          <w:snapToGrid w:val="0"/>
          <w:kern w:val="22"/>
          <w:lang w:val="es-ES"/>
        </w:rPr>
        <w:t>e</w:t>
      </w:r>
      <w:r w:rsidRPr="005E44F7">
        <w:rPr>
          <w:snapToGrid w:val="0"/>
          <w:kern w:val="22"/>
          <w:lang w:val="es-ES"/>
        </w:rPr>
        <w:t>s como en los cambios notificados desde los valores de referencia</w:t>
      </w:r>
      <w:r w:rsidR="00775B5A" w:rsidRPr="005E44F7">
        <w:rPr>
          <w:snapToGrid w:val="0"/>
          <w:kern w:val="22"/>
          <w:lang w:val="es-ES"/>
        </w:rPr>
        <w:t xml:space="preserve">: </w:t>
      </w:r>
      <w:r w:rsidRPr="005E44F7">
        <w:rPr>
          <w:snapToGrid w:val="0"/>
          <w:kern w:val="22"/>
          <w:lang w:val="es-ES"/>
        </w:rPr>
        <w:t>Á</w:t>
      </w:r>
      <w:r w:rsidR="00775B5A" w:rsidRPr="005E44F7">
        <w:rPr>
          <w:snapToGrid w:val="0"/>
          <w:kern w:val="22"/>
          <w:lang w:val="es-ES"/>
        </w:rPr>
        <w:t>frica: 63</w:t>
      </w:r>
      <w:r w:rsidRPr="005E44F7">
        <w:rPr>
          <w:snapToGrid w:val="0"/>
          <w:kern w:val="22"/>
          <w:lang w:val="es-ES"/>
        </w:rPr>
        <w:t xml:space="preserve"> </w:t>
      </w:r>
      <w:r w:rsidR="00775B5A" w:rsidRPr="005E44F7">
        <w:rPr>
          <w:snapToGrid w:val="0"/>
          <w:kern w:val="22"/>
          <w:lang w:val="es-ES"/>
        </w:rPr>
        <w:t>% (+</w:t>
      </w:r>
      <w:r>
        <w:rPr>
          <w:snapToGrid w:val="0"/>
          <w:kern w:val="22"/>
          <w:lang w:val="es-ES"/>
        </w:rPr>
        <w:t xml:space="preserve"> </w:t>
      </w:r>
      <w:r w:rsidR="00775B5A" w:rsidRPr="005E44F7">
        <w:rPr>
          <w:snapToGrid w:val="0"/>
          <w:kern w:val="22"/>
          <w:lang w:val="es-ES"/>
        </w:rPr>
        <w:t>32</w:t>
      </w:r>
      <w:r>
        <w:rPr>
          <w:snapToGrid w:val="0"/>
          <w:kern w:val="22"/>
          <w:lang w:val="es-ES"/>
        </w:rPr>
        <w:t xml:space="preserve"> </w:t>
      </w:r>
      <w:r w:rsidR="00775B5A" w:rsidRPr="005E44F7">
        <w:rPr>
          <w:snapToGrid w:val="0"/>
          <w:kern w:val="22"/>
          <w:lang w:val="es-ES"/>
        </w:rPr>
        <w:t>%)</w:t>
      </w:r>
      <w:r w:rsidR="00197B16">
        <w:rPr>
          <w:snapToGrid w:val="0"/>
          <w:kern w:val="22"/>
          <w:lang w:val="es-ES"/>
        </w:rPr>
        <w:t>,</w:t>
      </w:r>
      <w:r w:rsidR="00775B5A" w:rsidRPr="005E44F7">
        <w:rPr>
          <w:snapToGrid w:val="0"/>
          <w:kern w:val="22"/>
          <w:lang w:val="es-ES"/>
        </w:rPr>
        <w:t xml:space="preserve"> Asia</w:t>
      </w:r>
      <w:r w:rsidR="004F758D">
        <w:rPr>
          <w:snapToGrid w:val="0"/>
          <w:kern w:val="22"/>
          <w:lang w:val="es-ES"/>
        </w:rPr>
        <w:t xml:space="preserve"> y el </w:t>
      </w:r>
      <w:r>
        <w:rPr>
          <w:snapToGrid w:val="0"/>
          <w:kern w:val="22"/>
          <w:lang w:val="es-ES"/>
        </w:rPr>
        <w:t>Pacífico</w:t>
      </w:r>
      <w:r w:rsidR="00775B5A" w:rsidRPr="005E44F7">
        <w:rPr>
          <w:snapToGrid w:val="0"/>
          <w:kern w:val="22"/>
          <w:lang w:val="es-ES"/>
        </w:rPr>
        <w:t>: 44</w:t>
      </w:r>
      <w:r>
        <w:rPr>
          <w:snapToGrid w:val="0"/>
          <w:kern w:val="22"/>
          <w:lang w:val="es-ES"/>
        </w:rPr>
        <w:t xml:space="preserve"> </w:t>
      </w:r>
      <w:r w:rsidR="00775B5A" w:rsidRPr="005E44F7">
        <w:rPr>
          <w:snapToGrid w:val="0"/>
          <w:kern w:val="22"/>
          <w:lang w:val="es-ES"/>
        </w:rPr>
        <w:t>% (+</w:t>
      </w:r>
      <w:r>
        <w:rPr>
          <w:snapToGrid w:val="0"/>
          <w:kern w:val="22"/>
          <w:lang w:val="es-ES"/>
        </w:rPr>
        <w:t xml:space="preserve"> </w:t>
      </w:r>
      <w:r w:rsidR="00775B5A" w:rsidRPr="005E44F7">
        <w:rPr>
          <w:snapToGrid w:val="0"/>
          <w:kern w:val="22"/>
          <w:lang w:val="es-ES"/>
        </w:rPr>
        <w:t>22</w:t>
      </w:r>
      <w:r>
        <w:rPr>
          <w:snapToGrid w:val="0"/>
          <w:kern w:val="22"/>
          <w:lang w:val="es-ES"/>
        </w:rPr>
        <w:t xml:space="preserve"> </w:t>
      </w:r>
      <w:r w:rsidR="00775B5A" w:rsidRPr="005E44F7">
        <w:rPr>
          <w:snapToGrid w:val="0"/>
          <w:kern w:val="22"/>
          <w:lang w:val="es-ES"/>
        </w:rPr>
        <w:t>%)</w:t>
      </w:r>
      <w:r w:rsidR="00197B16">
        <w:rPr>
          <w:snapToGrid w:val="0"/>
          <w:kern w:val="22"/>
          <w:lang w:val="es-ES"/>
        </w:rPr>
        <w:t>,</w:t>
      </w:r>
      <w:r w:rsidR="00775B5A" w:rsidRPr="005E44F7">
        <w:rPr>
          <w:snapToGrid w:val="0"/>
          <w:kern w:val="22"/>
          <w:lang w:val="es-ES"/>
        </w:rPr>
        <w:t xml:space="preserve"> </w:t>
      </w:r>
      <w:r w:rsidR="00477624">
        <w:rPr>
          <w:snapToGrid w:val="0"/>
          <w:kern w:val="22"/>
          <w:lang w:val="es-ES"/>
        </w:rPr>
        <w:t>grupo de Estados de Europa Central y Oriental</w:t>
      </w:r>
      <w:r w:rsidR="00775B5A" w:rsidRPr="005E44F7">
        <w:rPr>
          <w:snapToGrid w:val="0"/>
          <w:kern w:val="22"/>
          <w:lang w:val="es-ES"/>
        </w:rPr>
        <w:t>: 50</w:t>
      </w:r>
      <w:r w:rsidR="000329E6">
        <w:rPr>
          <w:snapToGrid w:val="0"/>
          <w:kern w:val="22"/>
          <w:lang w:val="es-ES"/>
        </w:rPr>
        <w:t xml:space="preserve"> </w:t>
      </w:r>
      <w:r w:rsidR="00775B5A" w:rsidRPr="005E44F7">
        <w:rPr>
          <w:snapToGrid w:val="0"/>
          <w:kern w:val="22"/>
          <w:lang w:val="es-ES"/>
        </w:rPr>
        <w:t>% (</w:t>
      </w:r>
      <w:r w:rsidR="000329E6">
        <w:rPr>
          <w:snapToGrid w:val="0"/>
          <w:kern w:val="22"/>
          <w:lang w:val="es-ES"/>
        </w:rPr>
        <w:t>sin cambios con respecto a los datos básicos de referencia</w:t>
      </w:r>
      <w:r w:rsidR="00775B5A" w:rsidRPr="005E44F7">
        <w:rPr>
          <w:snapToGrid w:val="0"/>
          <w:kern w:val="22"/>
          <w:lang w:val="es-ES"/>
        </w:rPr>
        <w:t>)</w:t>
      </w:r>
      <w:r w:rsidR="00197B16">
        <w:rPr>
          <w:snapToGrid w:val="0"/>
          <w:kern w:val="22"/>
          <w:lang w:val="es-ES"/>
        </w:rPr>
        <w:t>,</w:t>
      </w:r>
      <w:r w:rsidR="00775B5A" w:rsidRPr="005E44F7">
        <w:rPr>
          <w:snapToGrid w:val="0"/>
          <w:kern w:val="22"/>
          <w:lang w:val="es-ES"/>
        </w:rPr>
        <w:t xml:space="preserve"> </w:t>
      </w:r>
      <w:r w:rsidR="000329E6">
        <w:rPr>
          <w:snapToGrid w:val="0"/>
          <w:kern w:val="22"/>
          <w:lang w:val="es-ES"/>
        </w:rPr>
        <w:t>grupo de países de América Latina y el Caribe</w:t>
      </w:r>
      <w:r w:rsidR="00775B5A" w:rsidRPr="005E44F7">
        <w:rPr>
          <w:snapToGrid w:val="0"/>
          <w:kern w:val="22"/>
          <w:lang w:val="es-ES"/>
        </w:rPr>
        <w:t>: 8</w:t>
      </w:r>
      <w:r w:rsidR="000329E6">
        <w:rPr>
          <w:snapToGrid w:val="0"/>
          <w:kern w:val="22"/>
          <w:lang w:val="es-ES"/>
        </w:rPr>
        <w:t xml:space="preserve"> </w:t>
      </w:r>
      <w:r w:rsidR="00775B5A" w:rsidRPr="005E44F7">
        <w:rPr>
          <w:snapToGrid w:val="0"/>
          <w:kern w:val="22"/>
          <w:lang w:val="es-ES"/>
        </w:rPr>
        <w:t>% (-</w:t>
      </w:r>
      <w:r w:rsidR="000329E6">
        <w:rPr>
          <w:snapToGrid w:val="0"/>
          <w:kern w:val="22"/>
          <w:lang w:val="es-ES"/>
        </w:rPr>
        <w:t xml:space="preserve"> </w:t>
      </w:r>
      <w:r w:rsidR="00775B5A" w:rsidRPr="005E44F7">
        <w:rPr>
          <w:snapToGrid w:val="0"/>
          <w:kern w:val="22"/>
          <w:lang w:val="es-ES"/>
        </w:rPr>
        <w:t>15</w:t>
      </w:r>
      <w:r w:rsidR="000329E6">
        <w:rPr>
          <w:snapToGrid w:val="0"/>
          <w:kern w:val="22"/>
          <w:lang w:val="es-ES"/>
        </w:rPr>
        <w:t xml:space="preserve"> </w:t>
      </w:r>
      <w:r w:rsidR="00775B5A" w:rsidRPr="005E44F7">
        <w:rPr>
          <w:snapToGrid w:val="0"/>
          <w:kern w:val="22"/>
          <w:lang w:val="es-ES"/>
        </w:rPr>
        <w:t>%)</w:t>
      </w:r>
      <w:r w:rsidR="00197B16">
        <w:rPr>
          <w:snapToGrid w:val="0"/>
          <w:kern w:val="22"/>
          <w:lang w:val="es-ES"/>
        </w:rPr>
        <w:t>,</w:t>
      </w:r>
      <w:r w:rsidR="00775B5A" w:rsidRPr="005E44F7">
        <w:rPr>
          <w:snapToGrid w:val="0"/>
          <w:kern w:val="22"/>
          <w:lang w:val="es-ES"/>
        </w:rPr>
        <w:t xml:space="preserve"> </w:t>
      </w:r>
      <w:r w:rsidR="000329E6">
        <w:rPr>
          <w:snapToGrid w:val="0"/>
          <w:kern w:val="22"/>
          <w:lang w:val="es-ES"/>
        </w:rPr>
        <w:t>grupo de Estados de Europa Occidental y otros</w:t>
      </w:r>
      <w:r w:rsidR="00775B5A" w:rsidRPr="005E44F7">
        <w:rPr>
          <w:snapToGrid w:val="0"/>
          <w:kern w:val="22"/>
          <w:lang w:val="es-ES"/>
        </w:rPr>
        <w:t>: 81</w:t>
      </w:r>
      <w:r w:rsidR="000329E6">
        <w:rPr>
          <w:snapToGrid w:val="0"/>
          <w:kern w:val="22"/>
          <w:lang w:val="es-ES"/>
        </w:rPr>
        <w:t xml:space="preserve"> </w:t>
      </w:r>
      <w:r w:rsidR="00775B5A" w:rsidRPr="005E44F7">
        <w:rPr>
          <w:snapToGrid w:val="0"/>
          <w:kern w:val="22"/>
          <w:lang w:val="es-ES"/>
        </w:rPr>
        <w:t>% (+</w:t>
      </w:r>
      <w:r w:rsidR="000329E6">
        <w:rPr>
          <w:snapToGrid w:val="0"/>
          <w:kern w:val="22"/>
          <w:lang w:val="es-ES"/>
        </w:rPr>
        <w:t xml:space="preserve"> </w:t>
      </w:r>
      <w:r w:rsidR="00775B5A" w:rsidRPr="005E44F7">
        <w:rPr>
          <w:snapToGrid w:val="0"/>
          <w:kern w:val="22"/>
          <w:lang w:val="es-ES"/>
        </w:rPr>
        <w:t>6</w:t>
      </w:r>
      <w:r w:rsidR="000329E6">
        <w:rPr>
          <w:snapToGrid w:val="0"/>
          <w:kern w:val="22"/>
          <w:lang w:val="es-ES"/>
        </w:rPr>
        <w:t xml:space="preserve"> %</w:t>
      </w:r>
      <w:r w:rsidR="00775B5A" w:rsidRPr="005E44F7">
        <w:rPr>
          <w:snapToGrid w:val="0"/>
          <w:kern w:val="22"/>
          <w:lang w:val="es-ES"/>
        </w:rPr>
        <w:t>)</w:t>
      </w:r>
      <w:r w:rsidR="00775B5A" w:rsidRPr="005E44F7">
        <w:rPr>
          <w:rFonts w:ascii="Angsana New" w:hAnsi="Angsana New" w:cs="Angsana New"/>
          <w:snapToGrid w:val="0"/>
          <w:kern w:val="22"/>
          <w:lang w:val="es-ES"/>
        </w:rPr>
        <w:t>.</w:t>
      </w:r>
    </w:p>
    <w:p w:rsidR="00775B5A" w:rsidRPr="00685F9B" w:rsidRDefault="000329E6"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685F9B">
        <w:rPr>
          <w:snapToGrid w:val="0"/>
          <w:kern w:val="22"/>
          <w:lang w:val="es-ES"/>
        </w:rPr>
        <w:t xml:space="preserve">En relación con el </w:t>
      </w:r>
      <w:r w:rsidR="00775B5A" w:rsidRPr="00685F9B">
        <w:rPr>
          <w:b/>
          <w:bCs/>
          <w:snapToGrid w:val="0"/>
          <w:kern w:val="22"/>
          <w:lang w:val="es-ES"/>
        </w:rPr>
        <w:t>indica</w:t>
      </w:r>
      <w:r w:rsidRPr="00685F9B">
        <w:rPr>
          <w:b/>
          <w:bCs/>
          <w:snapToGrid w:val="0"/>
          <w:kern w:val="22"/>
          <w:lang w:val="es-ES"/>
        </w:rPr>
        <w:t>d</w:t>
      </w:r>
      <w:r w:rsidR="00775B5A" w:rsidRPr="00685F9B">
        <w:rPr>
          <w:b/>
          <w:bCs/>
          <w:snapToGrid w:val="0"/>
          <w:kern w:val="22"/>
          <w:lang w:val="es-ES"/>
        </w:rPr>
        <w:t>or 1.7.3</w:t>
      </w:r>
      <w:r w:rsidR="00775B5A" w:rsidRPr="00685F9B">
        <w:rPr>
          <w:snapToGrid w:val="0"/>
          <w:kern w:val="22"/>
          <w:lang w:val="es-ES"/>
        </w:rPr>
        <w:t xml:space="preserve"> (</w:t>
      </w:r>
      <w:r w:rsidR="00685F9B" w:rsidRPr="00685F9B">
        <w:rPr>
          <w:snapToGrid w:val="0"/>
          <w:kern w:val="22"/>
          <w:lang w:val="es-ES"/>
        </w:rPr>
        <w:t xml:space="preserve">número de Partes que informa sobre sus experiencias al tomar en cuenta las consideraciones socioeconómicas </w:t>
      </w:r>
      <w:r w:rsidR="00685F9B">
        <w:rPr>
          <w:snapToGrid w:val="0"/>
          <w:kern w:val="22"/>
          <w:lang w:val="es-ES"/>
        </w:rPr>
        <w:t>en la adopción de decisiones sobre la importación de organismos vivos modificados</w:t>
      </w:r>
      <w:r w:rsidR="00775B5A" w:rsidRPr="00685F9B">
        <w:rPr>
          <w:snapToGrid w:val="0"/>
          <w:kern w:val="22"/>
          <w:lang w:val="es-ES"/>
        </w:rPr>
        <w:t>), 60 Partes (65</w:t>
      </w:r>
      <w:r w:rsidR="00685F9B">
        <w:rPr>
          <w:snapToGrid w:val="0"/>
          <w:kern w:val="22"/>
          <w:lang w:val="es-ES"/>
        </w:rPr>
        <w:t xml:space="preserve"> </w:t>
      </w:r>
      <w:r w:rsidR="00775B5A" w:rsidRPr="00685F9B">
        <w:rPr>
          <w:snapToGrid w:val="0"/>
          <w:kern w:val="22"/>
          <w:lang w:val="es-ES"/>
        </w:rPr>
        <w:t xml:space="preserve">%) </w:t>
      </w:r>
      <w:r w:rsidR="00685F9B">
        <w:rPr>
          <w:snapToGrid w:val="0"/>
          <w:kern w:val="22"/>
          <w:lang w:val="es-ES"/>
        </w:rPr>
        <w:t>notific</w:t>
      </w:r>
      <w:r w:rsidR="00197B16">
        <w:rPr>
          <w:snapToGrid w:val="0"/>
          <w:kern w:val="22"/>
          <w:lang w:val="es-ES"/>
        </w:rPr>
        <w:t>ó</w:t>
      </w:r>
      <w:r w:rsidR="00685F9B">
        <w:rPr>
          <w:snapToGrid w:val="0"/>
          <w:kern w:val="22"/>
          <w:lang w:val="es-ES"/>
        </w:rPr>
        <w:t xml:space="preserve"> que había adoptado decisiones sobre OVM en este contexto durante el periodo de presentación de informes</w:t>
      </w:r>
      <w:r w:rsidR="00775B5A">
        <w:rPr>
          <w:rStyle w:val="FootnoteReference"/>
          <w:rFonts w:ascii="Angsana New" w:hAnsi="Angsana New" w:cs="Angsana New"/>
          <w:snapToGrid w:val="0"/>
          <w:kern w:val="22"/>
        </w:rPr>
        <w:footnoteReference w:id="34"/>
      </w:r>
      <w:r w:rsidR="00685F9B" w:rsidRPr="00685F9B">
        <w:rPr>
          <w:rFonts w:ascii="Angsana New" w:hAnsi="Angsana New" w:cs="Angsana New"/>
          <w:snapToGrid w:val="0"/>
          <w:kern w:val="22"/>
          <w:lang w:val="es-ES"/>
        </w:rPr>
        <w:t>.</w:t>
      </w:r>
      <w:r w:rsidR="00775B5A" w:rsidRPr="00685F9B">
        <w:rPr>
          <w:snapToGrid w:val="0"/>
          <w:kern w:val="22"/>
          <w:lang w:val="es-ES"/>
        </w:rPr>
        <w:t xml:space="preserve"> </w:t>
      </w:r>
      <w:r w:rsidR="00685F9B" w:rsidRPr="00685F9B">
        <w:rPr>
          <w:snapToGrid w:val="0"/>
          <w:kern w:val="22"/>
          <w:lang w:val="es-ES"/>
        </w:rPr>
        <w:t xml:space="preserve">De esas </w:t>
      </w:r>
      <w:r w:rsidR="00775B5A" w:rsidRPr="00685F9B">
        <w:rPr>
          <w:snapToGrid w:val="0"/>
          <w:kern w:val="22"/>
          <w:lang w:val="es-ES"/>
        </w:rPr>
        <w:t xml:space="preserve">60 Partes, </w:t>
      </w:r>
      <w:r w:rsidR="00685F9B" w:rsidRPr="00685F9B">
        <w:rPr>
          <w:snapToGrid w:val="0"/>
          <w:kern w:val="22"/>
          <w:lang w:val="es-ES"/>
        </w:rPr>
        <w:t xml:space="preserve">el </w:t>
      </w:r>
      <w:r w:rsidR="00775B5A" w:rsidRPr="00685F9B">
        <w:rPr>
          <w:snapToGrid w:val="0"/>
          <w:kern w:val="22"/>
          <w:lang w:val="es-ES"/>
        </w:rPr>
        <w:t>27</w:t>
      </w:r>
      <w:r w:rsidR="00685F9B" w:rsidRPr="00685F9B">
        <w:rPr>
          <w:snapToGrid w:val="0"/>
          <w:kern w:val="22"/>
          <w:lang w:val="es-ES"/>
        </w:rPr>
        <w:t xml:space="preserve"> </w:t>
      </w:r>
      <w:r w:rsidR="00775B5A" w:rsidRPr="00685F9B">
        <w:rPr>
          <w:snapToGrid w:val="0"/>
          <w:kern w:val="22"/>
          <w:lang w:val="es-ES"/>
        </w:rPr>
        <w:t xml:space="preserve">% </w:t>
      </w:r>
      <w:r w:rsidR="00685F9B" w:rsidRPr="00685F9B">
        <w:rPr>
          <w:snapToGrid w:val="0"/>
          <w:kern w:val="22"/>
          <w:lang w:val="es-ES"/>
        </w:rPr>
        <w:t>indic</w:t>
      </w:r>
      <w:r w:rsidR="00197B16">
        <w:rPr>
          <w:snapToGrid w:val="0"/>
          <w:kern w:val="22"/>
          <w:lang w:val="es-ES"/>
        </w:rPr>
        <w:t>ó</w:t>
      </w:r>
      <w:r w:rsidR="00685F9B" w:rsidRPr="00685F9B">
        <w:rPr>
          <w:snapToGrid w:val="0"/>
          <w:kern w:val="22"/>
          <w:lang w:val="es-ES"/>
        </w:rPr>
        <w:t xml:space="preserve"> que siempre había tenido en cuenta en sus decisiones las consideraciones socioeconómicas derivadas de los efectos de los OVM</w:t>
      </w:r>
      <w:r w:rsidR="00775B5A" w:rsidRPr="00685F9B">
        <w:rPr>
          <w:snapToGrid w:val="0"/>
          <w:kern w:val="22"/>
          <w:lang w:val="es-ES"/>
        </w:rPr>
        <w:t xml:space="preserve">; </w:t>
      </w:r>
      <w:r w:rsidR="00685F9B" w:rsidRPr="00685F9B">
        <w:rPr>
          <w:snapToGrid w:val="0"/>
          <w:kern w:val="22"/>
          <w:lang w:val="es-ES"/>
        </w:rPr>
        <w:t xml:space="preserve">el </w:t>
      </w:r>
      <w:r w:rsidR="00775B5A" w:rsidRPr="00685F9B">
        <w:rPr>
          <w:snapToGrid w:val="0"/>
          <w:kern w:val="22"/>
          <w:lang w:val="es-ES"/>
        </w:rPr>
        <w:t>38</w:t>
      </w:r>
      <w:r w:rsidR="00685F9B">
        <w:rPr>
          <w:snapToGrid w:val="0"/>
          <w:kern w:val="22"/>
          <w:lang w:val="es-ES"/>
        </w:rPr>
        <w:t xml:space="preserve"> </w:t>
      </w:r>
      <w:r w:rsidR="00775B5A" w:rsidRPr="00685F9B">
        <w:rPr>
          <w:snapToGrid w:val="0"/>
          <w:kern w:val="22"/>
          <w:lang w:val="es-ES"/>
        </w:rPr>
        <w:t xml:space="preserve">% </w:t>
      </w:r>
      <w:r w:rsidR="00685F9B">
        <w:rPr>
          <w:snapToGrid w:val="0"/>
          <w:kern w:val="22"/>
          <w:lang w:val="es-ES"/>
        </w:rPr>
        <w:t xml:space="preserve">de esas </w:t>
      </w:r>
      <w:r w:rsidR="00775B5A" w:rsidRPr="00685F9B">
        <w:rPr>
          <w:snapToGrid w:val="0"/>
          <w:kern w:val="22"/>
          <w:lang w:val="es-ES"/>
        </w:rPr>
        <w:t xml:space="preserve">Partes </w:t>
      </w:r>
      <w:r w:rsidR="00685F9B">
        <w:rPr>
          <w:snapToGrid w:val="0"/>
          <w:kern w:val="22"/>
          <w:lang w:val="es-ES"/>
        </w:rPr>
        <w:t>inform</w:t>
      </w:r>
      <w:r w:rsidR="00197B16">
        <w:rPr>
          <w:snapToGrid w:val="0"/>
          <w:kern w:val="22"/>
          <w:lang w:val="es-ES"/>
        </w:rPr>
        <w:t>ó</w:t>
      </w:r>
      <w:r w:rsidR="00685F9B">
        <w:rPr>
          <w:snapToGrid w:val="0"/>
          <w:kern w:val="22"/>
          <w:lang w:val="es-ES"/>
        </w:rPr>
        <w:t xml:space="preserve"> haberlo hecho solo en algunos casos, y el </w:t>
      </w:r>
      <w:r w:rsidR="00775B5A" w:rsidRPr="00685F9B">
        <w:rPr>
          <w:snapToGrid w:val="0"/>
          <w:kern w:val="22"/>
          <w:lang w:val="es-ES"/>
        </w:rPr>
        <w:t>35</w:t>
      </w:r>
      <w:r w:rsidR="00685F9B">
        <w:rPr>
          <w:snapToGrid w:val="0"/>
          <w:kern w:val="22"/>
          <w:lang w:val="es-ES"/>
        </w:rPr>
        <w:t xml:space="preserve"> </w:t>
      </w:r>
      <w:r w:rsidR="00775B5A" w:rsidRPr="00685F9B">
        <w:rPr>
          <w:snapToGrid w:val="0"/>
          <w:kern w:val="22"/>
          <w:lang w:val="es-ES"/>
        </w:rPr>
        <w:t xml:space="preserve">% </w:t>
      </w:r>
      <w:r w:rsidR="00685F9B">
        <w:rPr>
          <w:snapToGrid w:val="0"/>
          <w:kern w:val="22"/>
          <w:lang w:val="es-ES"/>
        </w:rPr>
        <w:t>indicó que no lo había hecho</w:t>
      </w:r>
      <w:r w:rsidR="00775B5A" w:rsidRPr="00685F9B">
        <w:rPr>
          <w:snapToGrid w:val="0"/>
          <w:kern w:val="22"/>
          <w:lang w:val="es-ES"/>
        </w:rPr>
        <w:t xml:space="preserve">. </w:t>
      </w:r>
      <w:r w:rsidR="00685F9B" w:rsidRPr="00685F9B">
        <w:rPr>
          <w:snapToGrid w:val="0"/>
          <w:kern w:val="22"/>
          <w:lang w:val="es-ES"/>
        </w:rPr>
        <w:t xml:space="preserve">De </w:t>
      </w:r>
      <w:r w:rsidR="0089088F">
        <w:rPr>
          <w:snapToGrid w:val="0"/>
          <w:kern w:val="22"/>
          <w:lang w:val="es-ES"/>
        </w:rPr>
        <w:t xml:space="preserve">entre </w:t>
      </w:r>
      <w:r w:rsidR="00685F9B" w:rsidRPr="00685F9B">
        <w:rPr>
          <w:snapToGrid w:val="0"/>
          <w:kern w:val="22"/>
          <w:lang w:val="es-ES"/>
        </w:rPr>
        <w:t>las</w:t>
      </w:r>
      <w:r w:rsidR="00775B5A" w:rsidRPr="00685F9B">
        <w:rPr>
          <w:snapToGrid w:val="0"/>
          <w:kern w:val="22"/>
          <w:lang w:val="es-ES"/>
        </w:rPr>
        <w:t xml:space="preserve"> 60 Partes </w:t>
      </w:r>
      <w:r w:rsidR="00685F9B" w:rsidRPr="00685F9B">
        <w:rPr>
          <w:snapToGrid w:val="0"/>
          <w:kern w:val="22"/>
          <w:lang w:val="es-ES"/>
        </w:rPr>
        <w:t xml:space="preserve">que informaron de que habían adoptado decisiones sobre OVM, esto representa un aumento del </w:t>
      </w:r>
      <w:r w:rsidR="00775B5A" w:rsidRPr="00685F9B">
        <w:rPr>
          <w:snapToGrid w:val="0"/>
          <w:kern w:val="22"/>
          <w:lang w:val="es-ES"/>
        </w:rPr>
        <w:t>14</w:t>
      </w:r>
      <w:r w:rsidR="00685F9B" w:rsidRPr="00685F9B">
        <w:rPr>
          <w:snapToGrid w:val="0"/>
          <w:kern w:val="22"/>
          <w:lang w:val="es-ES"/>
        </w:rPr>
        <w:t xml:space="preserve"> </w:t>
      </w:r>
      <w:r w:rsidR="00775B5A" w:rsidRPr="00685F9B">
        <w:rPr>
          <w:snapToGrid w:val="0"/>
          <w:kern w:val="22"/>
          <w:lang w:val="es-ES"/>
        </w:rPr>
        <w:t xml:space="preserve">% </w:t>
      </w:r>
      <w:r w:rsidR="00685F9B" w:rsidRPr="00685F9B">
        <w:rPr>
          <w:snapToGrid w:val="0"/>
          <w:kern w:val="22"/>
          <w:lang w:val="es-ES"/>
        </w:rPr>
        <w:t>en el porcentaje de Partes que notificaron que hab</w:t>
      </w:r>
      <w:r w:rsidR="00685F9B">
        <w:rPr>
          <w:snapToGrid w:val="0"/>
          <w:kern w:val="22"/>
          <w:lang w:val="es-ES"/>
        </w:rPr>
        <w:t xml:space="preserve">ían tenido en cuenta </w:t>
      </w:r>
      <w:r w:rsidR="00D3352F" w:rsidRPr="00685F9B">
        <w:rPr>
          <w:snapToGrid w:val="0"/>
          <w:kern w:val="22"/>
          <w:lang w:val="es-ES"/>
        </w:rPr>
        <w:t xml:space="preserve">siempre </w:t>
      </w:r>
      <w:r w:rsidR="00D3352F">
        <w:rPr>
          <w:snapToGrid w:val="0"/>
          <w:kern w:val="22"/>
          <w:lang w:val="es-ES"/>
        </w:rPr>
        <w:t xml:space="preserve">o en algunos casos las </w:t>
      </w:r>
      <w:r w:rsidR="00685F9B">
        <w:rPr>
          <w:snapToGrid w:val="0"/>
          <w:kern w:val="22"/>
          <w:lang w:val="es-ES"/>
        </w:rPr>
        <w:t>consideraciones socioeconómicas en sus decisiones sobre OVM</w:t>
      </w:r>
      <w:r w:rsidR="00775B5A" w:rsidRPr="00685F9B">
        <w:rPr>
          <w:snapToGrid w:val="0"/>
          <w:kern w:val="22"/>
          <w:lang w:val="es-ES"/>
        </w:rPr>
        <w:t xml:space="preserve">.  </w:t>
      </w:r>
    </w:p>
    <w:p w:rsidR="00775B5A" w:rsidRPr="00B41E8E" w:rsidRDefault="00D3352F"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B41E8E">
        <w:rPr>
          <w:snapToGrid w:val="0"/>
          <w:kern w:val="22"/>
          <w:lang w:val="es-ES"/>
        </w:rPr>
        <w:t>En lo tocante al</w:t>
      </w:r>
      <w:r w:rsidR="00775B5A" w:rsidRPr="00B41E8E">
        <w:rPr>
          <w:snapToGrid w:val="0"/>
          <w:kern w:val="22"/>
          <w:lang w:val="es-ES"/>
        </w:rPr>
        <w:t xml:space="preserve"> </w:t>
      </w:r>
      <w:r w:rsidR="00775B5A" w:rsidRPr="00B41E8E">
        <w:rPr>
          <w:b/>
          <w:bCs/>
          <w:snapToGrid w:val="0"/>
          <w:kern w:val="22"/>
          <w:lang w:val="es-ES"/>
        </w:rPr>
        <w:t>indica</w:t>
      </w:r>
      <w:r w:rsidRPr="00B41E8E">
        <w:rPr>
          <w:b/>
          <w:bCs/>
          <w:snapToGrid w:val="0"/>
          <w:kern w:val="22"/>
          <w:lang w:val="es-ES"/>
        </w:rPr>
        <w:t>d</w:t>
      </w:r>
      <w:r w:rsidR="00775B5A" w:rsidRPr="00B41E8E">
        <w:rPr>
          <w:b/>
          <w:bCs/>
          <w:snapToGrid w:val="0"/>
          <w:kern w:val="22"/>
          <w:lang w:val="es-ES"/>
        </w:rPr>
        <w:t>or 1.7.4</w:t>
      </w:r>
      <w:r w:rsidR="00775B5A" w:rsidRPr="00B41E8E">
        <w:rPr>
          <w:snapToGrid w:val="0"/>
          <w:kern w:val="22"/>
          <w:lang w:val="es-ES"/>
        </w:rPr>
        <w:t xml:space="preserve"> (</w:t>
      </w:r>
      <w:r w:rsidR="00B41E8E" w:rsidRPr="00B41E8E">
        <w:rPr>
          <w:snapToGrid w:val="0"/>
          <w:kern w:val="22"/>
          <w:lang w:val="es-ES"/>
        </w:rPr>
        <w:t>número de Partes que utiliza las directrices sobre consideraciones socioecon</w:t>
      </w:r>
      <w:r w:rsidR="00B41E8E">
        <w:rPr>
          <w:snapToGrid w:val="0"/>
          <w:kern w:val="22"/>
          <w:lang w:val="es-ES"/>
        </w:rPr>
        <w:t>ómicas</w:t>
      </w:r>
      <w:r w:rsidR="00775B5A" w:rsidRPr="00B41E8E">
        <w:rPr>
          <w:snapToGrid w:val="0"/>
          <w:kern w:val="22"/>
          <w:lang w:val="es-ES"/>
        </w:rPr>
        <w:t xml:space="preserve">), </w:t>
      </w:r>
      <w:r w:rsidR="00B41E8E">
        <w:rPr>
          <w:snapToGrid w:val="0"/>
          <w:kern w:val="22"/>
          <w:lang w:val="es-ES"/>
        </w:rPr>
        <w:t>no se dispone de información específica</w:t>
      </w:r>
      <w:r w:rsidR="00775B5A" w:rsidRPr="00B41E8E">
        <w:rPr>
          <w:snapToGrid w:val="0"/>
          <w:kern w:val="22"/>
          <w:lang w:val="es-ES"/>
        </w:rPr>
        <w:t xml:space="preserve">. </w:t>
      </w:r>
      <w:r w:rsidR="00B41E8E" w:rsidRPr="00B41E8E">
        <w:rPr>
          <w:snapToGrid w:val="0"/>
          <w:kern w:val="22"/>
          <w:lang w:val="es-ES"/>
        </w:rPr>
        <w:t xml:space="preserve">A falta de información específica sobre la utilización de directrices, se proporciona alguna información sobre las actividades que </w:t>
      </w:r>
      <w:r w:rsidR="00B41E8E">
        <w:rPr>
          <w:snapToGrid w:val="0"/>
          <w:kern w:val="22"/>
          <w:lang w:val="es-ES"/>
        </w:rPr>
        <w:t>se han realizado</w:t>
      </w:r>
      <w:r w:rsidR="00B41E8E" w:rsidRPr="00B41E8E">
        <w:rPr>
          <w:snapToGrid w:val="0"/>
          <w:kern w:val="22"/>
          <w:lang w:val="es-ES"/>
        </w:rPr>
        <w:t xml:space="preserve"> desde el establecimiento de una base de referencia para el cumplimiento del objetivo operacional</w:t>
      </w:r>
      <w:r w:rsidR="00775B5A" w:rsidRPr="00B41E8E">
        <w:rPr>
          <w:snapToGrid w:val="0"/>
          <w:kern w:val="22"/>
          <w:lang w:val="es-ES"/>
        </w:rPr>
        <w:t xml:space="preserve"> 1.7 </w:t>
      </w:r>
      <w:r w:rsidR="00B41E8E" w:rsidRPr="00B41E8E">
        <w:rPr>
          <w:snapToGrid w:val="0"/>
          <w:kern w:val="22"/>
          <w:lang w:val="es-ES"/>
        </w:rPr>
        <w:t>del Plan Estrat</w:t>
      </w:r>
      <w:r w:rsidR="00B41E8E">
        <w:rPr>
          <w:snapToGrid w:val="0"/>
          <w:kern w:val="22"/>
          <w:lang w:val="es-ES"/>
        </w:rPr>
        <w:t>égico sobre la elaboración por las Partes de directrices relativas a las consideraciones socioeconómicas de los organismos vivos modificados</w:t>
      </w:r>
      <w:r w:rsidR="00775B5A" w:rsidRPr="00B41E8E">
        <w:rPr>
          <w:snapToGrid w:val="0"/>
          <w:kern w:val="22"/>
          <w:lang w:val="es-ES"/>
        </w:rPr>
        <w:t xml:space="preserve">. </w:t>
      </w:r>
    </w:p>
    <w:p w:rsidR="00775B5A" w:rsidRPr="005300A7" w:rsidRDefault="007E030C"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Pr>
          <w:snapToGrid w:val="0"/>
          <w:kern w:val="22"/>
          <w:lang w:val="es-ES"/>
        </w:rPr>
        <w:t>Mediante la de</w:t>
      </w:r>
      <w:r w:rsidR="004520F8" w:rsidRPr="007E030C">
        <w:rPr>
          <w:snapToGrid w:val="0"/>
          <w:kern w:val="22"/>
          <w:lang w:val="es-ES"/>
        </w:rPr>
        <w:t xml:space="preserve">cisión BS-VI/13 se estableció un Grupo especial de expertos técnicos (GEET) sobre </w:t>
      </w:r>
      <w:r w:rsidRPr="007E030C">
        <w:rPr>
          <w:snapToGrid w:val="0"/>
          <w:kern w:val="22"/>
          <w:lang w:val="es-ES"/>
        </w:rPr>
        <w:t>consideraciones socioecon</w:t>
      </w:r>
      <w:r>
        <w:rPr>
          <w:snapToGrid w:val="0"/>
          <w:kern w:val="22"/>
          <w:lang w:val="es-ES"/>
        </w:rPr>
        <w:t xml:space="preserve">ómicas a fin de desarrollar claridad conceptual en el contexto del párrafo 1 del artículo </w:t>
      </w:r>
      <w:r w:rsidR="00775B5A" w:rsidRPr="007E030C">
        <w:rPr>
          <w:snapToGrid w:val="0"/>
          <w:kern w:val="22"/>
          <w:lang w:val="es-ES"/>
        </w:rPr>
        <w:t xml:space="preserve">26. </w:t>
      </w:r>
      <w:r w:rsidR="0089088F">
        <w:rPr>
          <w:snapToGrid w:val="0"/>
          <w:kern w:val="22"/>
          <w:lang w:val="es-ES"/>
        </w:rPr>
        <w:t>Este s</w:t>
      </w:r>
      <w:r w:rsidRPr="007E030C">
        <w:rPr>
          <w:snapToGrid w:val="0"/>
          <w:kern w:val="22"/>
          <w:lang w:val="es-ES"/>
        </w:rPr>
        <w:t xml:space="preserve">e reunió por primera vez en Seúl (República de Corea), en febrero de </w:t>
      </w:r>
      <w:r w:rsidR="00775B5A" w:rsidRPr="007E030C">
        <w:rPr>
          <w:snapToGrid w:val="0"/>
          <w:kern w:val="22"/>
          <w:lang w:val="es-ES"/>
        </w:rPr>
        <w:t xml:space="preserve">2014 </w:t>
      </w:r>
      <w:r w:rsidRPr="007E030C">
        <w:rPr>
          <w:snapToGrid w:val="0"/>
          <w:kern w:val="22"/>
          <w:lang w:val="es-ES"/>
        </w:rPr>
        <w:t>y acord</w:t>
      </w:r>
      <w:r>
        <w:rPr>
          <w:snapToGrid w:val="0"/>
          <w:kern w:val="22"/>
          <w:lang w:val="es-ES"/>
        </w:rPr>
        <w:t>ó una lista de elementos de un marco para la claridad conceptual sobre consideraciones socioeconómicas</w:t>
      </w:r>
      <w:r w:rsidR="00775B5A" w:rsidRPr="007E030C">
        <w:rPr>
          <w:snapToGrid w:val="0"/>
          <w:kern w:val="22"/>
          <w:lang w:val="es-ES"/>
        </w:rPr>
        <w:t xml:space="preserve">. </w:t>
      </w:r>
      <w:r w:rsidR="003438BB" w:rsidRPr="003438BB">
        <w:rPr>
          <w:snapToGrid w:val="0"/>
          <w:kern w:val="22"/>
          <w:lang w:val="es-ES"/>
        </w:rPr>
        <w:t>En su séptima reunión</w:t>
      </w:r>
      <w:r w:rsidR="00775B5A" w:rsidRPr="003438BB">
        <w:rPr>
          <w:snapToGrid w:val="0"/>
          <w:kern w:val="22"/>
          <w:lang w:val="es-ES"/>
        </w:rPr>
        <w:t xml:space="preserve">, </w:t>
      </w:r>
      <w:r w:rsidR="003438BB" w:rsidRPr="003438BB">
        <w:rPr>
          <w:snapToGrid w:val="0"/>
          <w:kern w:val="22"/>
          <w:lang w:val="es-ES"/>
        </w:rPr>
        <w:t>la</w:t>
      </w:r>
      <w:r w:rsidR="00775B5A" w:rsidRPr="003438BB">
        <w:rPr>
          <w:snapToGrid w:val="0"/>
          <w:kern w:val="22"/>
          <w:lang w:val="es-ES"/>
        </w:rPr>
        <w:t xml:space="preserve"> </w:t>
      </w:r>
      <w:r w:rsidR="004F758D">
        <w:rPr>
          <w:snapToGrid w:val="0"/>
          <w:kern w:val="22"/>
          <w:lang w:val="es-ES"/>
        </w:rPr>
        <w:t>Conferencia de las Partes que actúa como reunión de las Partes en el Protocolo</w:t>
      </w:r>
      <w:r w:rsidR="00775B5A" w:rsidRPr="003438BB">
        <w:rPr>
          <w:snapToGrid w:val="0"/>
          <w:kern w:val="22"/>
          <w:lang w:val="es-ES"/>
        </w:rPr>
        <w:t xml:space="preserve"> </w:t>
      </w:r>
      <w:r w:rsidR="003438BB" w:rsidRPr="003438BB">
        <w:rPr>
          <w:snapToGrid w:val="0"/>
          <w:kern w:val="22"/>
          <w:lang w:val="es-ES"/>
        </w:rPr>
        <w:t xml:space="preserve">amplió el GEET para trabajar en el desarrollo ulterior de claridad conceptual y </w:t>
      </w:r>
      <w:r w:rsidR="003438BB">
        <w:rPr>
          <w:snapToGrid w:val="0"/>
          <w:kern w:val="22"/>
          <w:lang w:val="es-ES"/>
        </w:rPr>
        <w:t>en la elaboración de un</w:t>
      </w:r>
      <w:r w:rsidR="003438BB" w:rsidRPr="003438BB">
        <w:rPr>
          <w:snapToGrid w:val="0"/>
          <w:kern w:val="22"/>
          <w:lang w:val="es-ES"/>
        </w:rPr>
        <w:t xml:space="preserve"> esquema de orientación con miras a avanzar </w:t>
      </w:r>
      <w:r w:rsidR="003438BB">
        <w:rPr>
          <w:snapToGrid w:val="0"/>
          <w:kern w:val="22"/>
          <w:lang w:val="es-ES"/>
        </w:rPr>
        <w:t xml:space="preserve">hacia el logro del </w:t>
      </w:r>
      <w:r w:rsidR="003438BB" w:rsidRPr="003438BB">
        <w:rPr>
          <w:snapToGrid w:val="0"/>
          <w:kern w:val="22"/>
          <w:lang w:val="es-ES"/>
        </w:rPr>
        <w:t xml:space="preserve">objetivo operacional </w:t>
      </w:r>
      <w:r w:rsidR="003438BB">
        <w:rPr>
          <w:snapToGrid w:val="0"/>
          <w:kern w:val="22"/>
          <w:lang w:val="es-ES"/>
        </w:rPr>
        <w:t>1.7 del Plan Estratégico y sus resultados</w:t>
      </w:r>
      <w:r w:rsidR="00775B5A" w:rsidRPr="003438BB">
        <w:rPr>
          <w:snapToGrid w:val="0"/>
          <w:kern w:val="22"/>
          <w:lang w:val="es-ES"/>
        </w:rPr>
        <w:t xml:space="preserve">. </w:t>
      </w:r>
      <w:r w:rsidR="003438BB" w:rsidRPr="003438BB">
        <w:rPr>
          <w:snapToGrid w:val="0"/>
          <w:kern w:val="22"/>
          <w:lang w:val="es-ES"/>
        </w:rPr>
        <w:t xml:space="preserve">El GEET </w:t>
      </w:r>
      <w:r w:rsidR="003438BB">
        <w:rPr>
          <w:snapToGrid w:val="0"/>
          <w:kern w:val="22"/>
          <w:lang w:val="es-ES"/>
        </w:rPr>
        <w:t>prosiguió</w:t>
      </w:r>
      <w:r w:rsidR="003438BB" w:rsidRPr="003438BB">
        <w:rPr>
          <w:snapToGrid w:val="0"/>
          <w:kern w:val="22"/>
          <w:lang w:val="es-ES"/>
        </w:rPr>
        <w:t xml:space="preserve"> su trabajo en línea y acordó un Marco para </w:t>
      </w:r>
      <w:r w:rsidR="003438BB">
        <w:rPr>
          <w:snapToGrid w:val="0"/>
          <w:kern w:val="22"/>
          <w:lang w:val="es-ES"/>
        </w:rPr>
        <w:t xml:space="preserve">la </w:t>
      </w:r>
      <w:r w:rsidR="003438BB" w:rsidRPr="003438BB">
        <w:rPr>
          <w:snapToGrid w:val="0"/>
          <w:kern w:val="22"/>
          <w:lang w:val="es-ES"/>
        </w:rPr>
        <w:t>claridad conceptual</w:t>
      </w:r>
      <w:r w:rsidR="00B02BB9">
        <w:rPr>
          <w:snapToGrid w:val="0"/>
          <w:kern w:val="22"/>
          <w:lang w:val="es-ES"/>
        </w:rPr>
        <w:t xml:space="preserve"> revisado</w:t>
      </w:r>
      <w:r w:rsidR="003438BB" w:rsidRPr="003438BB">
        <w:rPr>
          <w:snapToGrid w:val="0"/>
          <w:kern w:val="22"/>
          <w:lang w:val="es-ES"/>
        </w:rPr>
        <w:t>, que fue examinado por la Conferencia de las Partes que actúa como reuni</w:t>
      </w:r>
      <w:r w:rsidR="00B02BB9">
        <w:rPr>
          <w:snapToGrid w:val="0"/>
          <w:kern w:val="22"/>
          <w:lang w:val="es-ES"/>
        </w:rPr>
        <w:t>ó</w:t>
      </w:r>
      <w:r w:rsidR="003438BB" w:rsidRPr="003438BB">
        <w:rPr>
          <w:snapToGrid w:val="0"/>
          <w:kern w:val="22"/>
          <w:lang w:val="es-ES"/>
        </w:rPr>
        <w:t>n de las Partes en su octava reuni</w:t>
      </w:r>
      <w:r w:rsidR="003438BB">
        <w:rPr>
          <w:snapToGrid w:val="0"/>
          <w:kern w:val="22"/>
          <w:lang w:val="es-ES"/>
        </w:rPr>
        <w:t>ón</w:t>
      </w:r>
      <w:r w:rsidR="00775B5A" w:rsidRPr="003438BB">
        <w:rPr>
          <w:snapToGrid w:val="0"/>
          <w:kern w:val="22"/>
          <w:lang w:val="es-ES"/>
        </w:rPr>
        <w:t xml:space="preserve">. </w:t>
      </w:r>
      <w:r w:rsidR="00B02BB9" w:rsidRPr="00B02BB9">
        <w:rPr>
          <w:snapToGrid w:val="0"/>
          <w:kern w:val="22"/>
          <w:lang w:val="es-ES"/>
        </w:rPr>
        <w:t>La reunión de las Partes, mediante la decisión</w:t>
      </w:r>
      <w:r w:rsidR="00775B5A" w:rsidRPr="00B02BB9">
        <w:rPr>
          <w:snapToGrid w:val="0"/>
          <w:kern w:val="22"/>
          <w:lang w:val="es-ES"/>
        </w:rPr>
        <w:t xml:space="preserve"> CP-VIII/13, </w:t>
      </w:r>
      <w:r w:rsidR="00B02BB9" w:rsidRPr="00B02BB9">
        <w:rPr>
          <w:snapToGrid w:val="0"/>
          <w:kern w:val="22"/>
          <w:lang w:val="es-ES"/>
        </w:rPr>
        <w:t xml:space="preserve">amplió el GEET para que pudiera </w:t>
      </w:r>
      <w:r w:rsidR="00B02BB9">
        <w:rPr>
          <w:snapToGrid w:val="0"/>
          <w:kern w:val="22"/>
          <w:lang w:val="es-ES"/>
        </w:rPr>
        <w:t xml:space="preserve">reunirse de manera presencial para </w:t>
      </w:r>
      <w:r w:rsidR="00B02BB9" w:rsidRPr="00B02BB9">
        <w:rPr>
          <w:snapToGrid w:val="0"/>
          <w:kern w:val="22"/>
          <w:lang w:val="es-ES"/>
        </w:rPr>
        <w:t xml:space="preserve">trabajar en las directrices previstas en los resultados del objetivo operacional </w:t>
      </w:r>
      <w:r w:rsidR="00775B5A" w:rsidRPr="00B02BB9">
        <w:rPr>
          <w:snapToGrid w:val="0"/>
          <w:kern w:val="22"/>
          <w:lang w:val="es-ES"/>
        </w:rPr>
        <w:t xml:space="preserve">1.7 </w:t>
      </w:r>
      <w:r w:rsidR="00B02BB9" w:rsidRPr="00B02BB9">
        <w:rPr>
          <w:snapToGrid w:val="0"/>
          <w:kern w:val="22"/>
          <w:lang w:val="es-ES"/>
        </w:rPr>
        <w:t>del Plan Estrat</w:t>
      </w:r>
      <w:r w:rsidR="00B02BB9">
        <w:rPr>
          <w:snapToGrid w:val="0"/>
          <w:kern w:val="22"/>
          <w:lang w:val="es-ES"/>
        </w:rPr>
        <w:t>égico</w:t>
      </w:r>
      <w:r w:rsidR="00775B5A" w:rsidRPr="00B02BB9">
        <w:rPr>
          <w:snapToGrid w:val="0"/>
          <w:kern w:val="22"/>
          <w:lang w:val="es-ES"/>
        </w:rPr>
        <w:t xml:space="preserve">. </w:t>
      </w:r>
      <w:r w:rsidR="00675A7F" w:rsidRPr="00675A7F">
        <w:rPr>
          <w:snapToGrid w:val="0"/>
          <w:kern w:val="22"/>
          <w:lang w:val="es-ES"/>
        </w:rPr>
        <w:t>El GEET se reunió en</w:t>
      </w:r>
      <w:r w:rsidR="00775B5A" w:rsidRPr="00675A7F">
        <w:rPr>
          <w:snapToGrid w:val="0"/>
          <w:kern w:val="22"/>
          <w:lang w:val="es-ES"/>
        </w:rPr>
        <w:t xml:space="preserve"> </w:t>
      </w:r>
      <w:proofErr w:type="spellStart"/>
      <w:r w:rsidR="00775B5A" w:rsidRPr="00675A7F">
        <w:rPr>
          <w:snapToGrid w:val="0"/>
          <w:kern w:val="22"/>
          <w:lang w:val="es-ES"/>
        </w:rPr>
        <w:t>Ljubljana</w:t>
      </w:r>
      <w:proofErr w:type="spellEnd"/>
      <w:r w:rsidR="00675A7F" w:rsidRPr="00675A7F">
        <w:rPr>
          <w:snapToGrid w:val="0"/>
          <w:kern w:val="22"/>
          <w:lang w:val="es-ES"/>
        </w:rPr>
        <w:t xml:space="preserve"> en</w:t>
      </w:r>
      <w:r w:rsidR="00775B5A" w:rsidRPr="00675A7F">
        <w:rPr>
          <w:snapToGrid w:val="0"/>
          <w:kern w:val="22"/>
          <w:lang w:val="es-ES"/>
        </w:rPr>
        <w:t xml:space="preserve"> </w:t>
      </w:r>
      <w:r w:rsidR="00675A7F" w:rsidRPr="00675A7F">
        <w:rPr>
          <w:snapToGrid w:val="0"/>
          <w:kern w:val="22"/>
          <w:lang w:val="es-ES"/>
        </w:rPr>
        <w:t xml:space="preserve">octubre de </w:t>
      </w:r>
      <w:r w:rsidR="00775B5A" w:rsidRPr="00675A7F">
        <w:rPr>
          <w:snapToGrid w:val="0"/>
          <w:kern w:val="22"/>
          <w:lang w:val="es-ES"/>
        </w:rPr>
        <w:t xml:space="preserve">2017. </w:t>
      </w:r>
      <w:r w:rsidR="00675A7F" w:rsidRPr="00675A7F">
        <w:rPr>
          <w:snapToGrid w:val="0"/>
          <w:kern w:val="22"/>
          <w:lang w:val="es-ES"/>
        </w:rPr>
        <w:t xml:space="preserve">Elaboró un proyecto de </w:t>
      </w:r>
      <w:r w:rsidR="00775B5A" w:rsidRPr="00675A7F">
        <w:rPr>
          <w:snapToGrid w:val="0"/>
          <w:kern w:val="22"/>
          <w:lang w:val="es-ES"/>
        </w:rPr>
        <w:t>“</w:t>
      </w:r>
      <w:r w:rsidR="00675A7F" w:rsidRPr="00675A7F">
        <w:rPr>
          <w:snapToGrid w:val="0"/>
          <w:kern w:val="22"/>
          <w:lang w:val="es-ES"/>
        </w:rPr>
        <w:t xml:space="preserve">Orientación </w:t>
      </w:r>
      <w:r w:rsidR="00FC65B0">
        <w:rPr>
          <w:snapToGrid w:val="0"/>
          <w:kern w:val="22"/>
          <w:lang w:val="es-ES"/>
        </w:rPr>
        <w:t>para</w:t>
      </w:r>
      <w:r w:rsidR="00675A7F" w:rsidRPr="00675A7F">
        <w:rPr>
          <w:snapToGrid w:val="0"/>
          <w:kern w:val="22"/>
          <w:lang w:val="es-ES"/>
        </w:rPr>
        <w:t xml:space="preserve"> la evaluación de </w:t>
      </w:r>
      <w:r w:rsidR="00FC65B0">
        <w:rPr>
          <w:snapToGrid w:val="0"/>
          <w:kern w:val="22"/>
          <w:lang w:val="es-ES"/>
        </w:rPr>
        <w:t xml:space="preserve">las </w:t>
      </w:r>
      <w:r w:rsidR="00675A7F" w:rsidRPr="00675A7F">
        <w:rPr>
          <w:snapToGrid w:val="0"/>
          <w:kern w:val="22"/>
          <w:lang w:val="es-ES"/>
        </w:rPr>
        <w:t xml:space="preserve">consideraciones </w:t>
      </w:r>
      <w:r w:rsidR="00675A7F" w:rsidRPr="00675A7F">
        <w:rPr>
          <w:snapToGrid w:val="0"/>
          <w:kern w:val="22"/>
          <w:lang w:val="es-ES"/>
        </w:rPr>
        <w:lastRenderedPageBreak/>
        <w:t>socioecon</w:t>
      </w:r>
      <w:r w:rsidR="00675A7F">
        <w:rPr>
          <w:snapToGrid w:val="0"/>
          <w:kern w:val="22"/>
          <w:lang w:val="es-ES"/>
        </w:rPr>
        <w:t xml:space="preserve">ómicas en el contexto del artículo </w:t>
      </w:r>
      <w:r w:rsidR="00775B5A" w:rsidRPr="00675A7F">
        <w:rPr>
          <w:snapToGrid w:val="0"/>
          <w:kern w:val="22"/>
          <w:lang w:val="es-ES"/>
        </w:rPr>
        <w:t xml:space="preserve">26 </w:t>
      </w:r>
      <w:r w:rsidR="00675A7F">
        <w:rPr>
          <w:snapToGrid w:val="0"/>
          <w:kern w:val="22"/>
          <w:lang w:val="es-ES"/>
        </w:rPr>
        <w:t xml:space="preserve">del Protocolo de </w:t>
      </w:r>
      <w:r w:rsidR="00775B5A" w:rsidRPr="00675A7F">
        <w:rPr>
          <w:snapToGrid w:val="0"/>
          <w:kern w:val="22"/>
          <w:lang w:val="es-ES"/>
        </w:rPr>
        <w:t xml:space="preserve">Cartagena </w:t>
      </w:r>
      <w:r w:rsidR="00675A7F">
        <w:rPr>
          <w:snapToGrid w:val="0"/>
          <w:kern w:val="22"/>
          <w:lang w:val="es-ES"/>
        </w:rPr>
        <w:t>sobre Seguridad de la Biotecnología</w:t>
      </w:r>
      <w:r w:rsidR="00775B5A" w:rsidRPr="00675A7F">
        <w:rPr>
          <w:snapToGrid w:val="0"/>
          <w:kern w:val="22"/>
          <w:lang w:val="es-ES"/>
        </w:rPr>
        <w:t xml:space="preserve">”. </w:t>
      </w:r>
      <w:r w:rsidR="00675A7F" w:rsidRPr="00675A7F">
        <w:rPr>
          <w:snapToGrid w:val="0"/>
          <w:kern w:val="22"/>
          <w:lang w:val="es-ES"/>
        </w:rPr>
        <w:t xml:space="preserve">La Orientación proporciona una definición operativa, identifica principios y establece un enfoque gradual para un proceso de evaluación global mediante el cual </w:t>
      </w:r>
      <w:r w:rsidR="00675A7F">
        <w:rPr>
          <w:snapToGrid w:val="0"/>
          <w:kern w:val="22"/>
          <w:lang w:val="es-ES"/>
        </w:rPr>
        <w:t xml:space="preserve">se aplicarían </w:t>
      </w:r>
      <w:r w:rsidR="00675A7F" w:rsidRPr="00675A7F">
        <w:rPr>
          <w:snapToGrid w:val="0"/>
          <w:kern w:val="22"/>
          <w:lang w:val="es-ES"/>
        </w:rPr>
        <w:t>los princi</w:t>
      </w:r>
      <w:r w:rsidR="00675A7F">
        <w:rPr>
          <w:snapToGrid w:val="0"/>
          <w:kern w:val="22"/>
          <w:lang w:val="es-ES"/>
        </w:rPr>
        <w:t>pios identificados</w:t>
      </w:r>
      <w:r w:rsidR="00775B5A" w:rsidRPr="00675A7F">
        <w:rPr>
          <w:snapToGrid w:val="0"/>
          <w:kern w:val="22"/>
          <w:lang w:val="es-ES"/>
        </w:rPr>
        <w:t xml:space="preserve">. </w:t>
      </w:r>
      <w:r w:rsidR="005300A7" w:rsidRPr="005300A7">
        <w:rPr>
          <w:snapToGrid w:val="0"/>
          <w:kern w:val="22"/>
          <w:lang w:val="es-ES"/>
        </w:rPr>
        <w:t xml:space="preserve">La Conferencia de las Partes que actúa como reunión de las Partes en el Protocolo </w:t>
      </w:r>
      <w:r w:rsidR="005300A7">
        <w:rPr>
          <w:snapToGrid w:val="0"/>
          <w:kern w:val="22"/>
          <w:lang w:val="es-ES"/>
        </w:rPr>
        <w:t xml:space="preserve">tomó nota de la Orientación en la decisión </w:t>
      </w:r>
      <w:r w:rsidR="00775B5A" w:rsidRPr="005300A7">
        <w:rPr>
          <w:snapToGrid w:val="0"/>
          <w:kern w:val="22"/>
          <w:lang w:val="es-ES"/>
        </w:rPr>
        <w:t xml:space="preserve">CP-9/14. </w:t>
      </w:r>
      <w:r w:rsidR="005300A7" w:rsidRPr="005300A7">
        <w:rPr>
          <w:snapToGrid w:val="0"/>
          <w:kern w:val="22"/>
          <w:lang w:val="es-ES"/>
        </w:rPr>
        <w:t>En el periodo entre sesiones de 2019-2020 prosiguieron los trabajos para complementar la Orientación sobre la base de la experiencia preliminar con su uso, as</w:t>
      </w:r>
      <w:r w:rsidR="005300A7">
        <w:rPr>
          <w:snapToGrid w:val="0"/>
          <w:kern w:val="22"/>
          <w:lang w:val="es-ES"/>
        </w:rPr>
        <w:t>í como ejemplos de metodologías y aplicaciones de las consideraciones socioeconómicas</w:t>
      </w:r>
      <w:r w:rsidR="00775B5A" w:rsidRPr="005300A7">
        <w:rPr>
          <w:rFonts w:ascii="Angsana New" w:hAnsi="Angsana New" w:cs="Angsana New"/>
          <w:snapToGrid w:val="0"/>
          <w:kern w:val="22"/>
          <w:lang w:val="es-ES"/>
        </w:rPr>
        <w:t>.</w:t>
      </w:r>
    </w:p>
    <w:p w:rsidR="00775B5A" w:rsidRPr="00367C7E" w:rsidRDefault="00997CCE"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Pr>
          <w:snapToGrid w:val="0"/>
          <w:kern w:val="22"/>
          <w:lang w:val="es-ES"/>
        </w:rPr>
        <w:t>Las contribuciones presentadas por escrito en los cuartos informes nacionales</w:t>
      </w:r>
      <w:r w:rsidR="00775B5A" w:rsidRPr="00997CCE">
        <w:rPr>
          <w:snapToGrid w:val="0"/>
          <w:kern w:val="22"/>
          <w:lang w:val="es-ES"/>
        </w:rPr>
        <w:t xml:space="preserve"> </w:t>
      </w:r>
      <w:r w:rsidR="0089088F">
        <w:rPr>
          <w:snapToGrid w:val="0"/>
          <w:kern w:val="22"/>
          <w:lang w:val="es-ES"/>
        </w:rPr>
        <w:t xml:space="preserve">mostraron </w:t>
      </w:r>
      <w:r>
        <w:rPr>
          <w:snapToGrid w:val="0"/>
          <w:kern w:val="22"/>
          <w:lang w:val="es-ES"/>
        </w:rPr>
        <w:t>que</w:t>
      </w:r>
      <w:r w:rsidR="0089088F">
        <w:rPr>
          <w:snapToGrid w:val="0"/>
          <w:kern w:val="22"/>
          <w:lang w:val="es-ES"/>
        </w:rPr>
        <w:t xml:space="preserve"> varias</w:t>
      </w:r>
      <w:r>
        <w:rPr>
          <w:snapToGrid w:val="0"/>
          <w:kern w:val="22"/>
          <w:lang w:val="es-ES"/>
        </w:rPr>
        <w:t xml:space="preserve"> Partes tenían en cuenta las consideraciones socioeconómicas</w:t>
      </w:r>
      <w:r w:rsidR="00775B5A" w:rsidRPr="00997CCE">
        <w:rPr>
          <w:snapToGrid w:val="0"/>
          <w:kern w:val="22"/>
          <w:lang w:val="es-ES"/>
        </w:rPr>
        <w:t>,</w:t>
      </w:r>
      <w:r>
        <w:rPr>
          <w:snapToGrid w:val="0"/>
          <w:kern w:val="22"/>
          <w:lang w:val="es-ES"/>
        </w:rPr>
        <w:t xml:space="preserve"> aunque en distinto grado</w:t>
      </w:r>
      <w:r w:rsidR="00775B5A" w:rsidRPr="00997CCE">
        <w:rPr>
          <w:snapToGrid w:val="0"/>
          <w:kern w:val="22"/>
          <w:lang w:val="es-ES"/>
        </w:rPr>
        <w:t xml:space="preserve">. </w:t>
      </w:r>
      <w:r w:rsidRPr="00997CCE">
        <w:rPr>
          <w:snapToGrid w:val="0"/>
          <w:kern w:val="22"/>
          <w:lang w:val="es-ES"/>
        </w:rPr>
        <w:t>Algunas Partes informaron de que su legislación nacional relativa a los OVM</w:t>
      </w:r>
      <w:r w:rsidR="00775B5A" w:rsidRPr="00997CCE">
        <w:rPr>
          <w:snapToGrid w:val="0"/>
          <w:kern w:val="22"/>
          <w:lang w:val="es-ES"/>
        </w:rPr>
        <w:t xml:space="preserve"> </w:t>
      </w:r>
      <w:r w:rsidRPr="00997CCE">
        <w:rPr>
          <w:snapToGrid w:val="0"/>
          <w:kern w:val="22"/>
          <w:lang w:val="es-ES"/>
        </w:rPr>
        <w:t>exige que se tengan plenamente en cuenta las consideraciones socioeconómicas en el proceso de toma de decisiones y</w:t>
      </w:r>
      <w:r w:rsidR="00775B5A" w:rsidRPr="00997CCE">
        <w:rPr>
          <w:snapToGrid w:val="0"/>
          <w:kern w:val="22"/>
          <w:lang w:val="es-ES"/>
        </w:rPr>
        <w:t xml:space="preserve"> </w:t>
      </w:r>
      <w:r w:rsidRPr="00997CCE">
        <w:rPr>
          <w:snapToGrid w:val="0"/>
          <w:kern w:val="22"/>
          <w:lang w:val="es-ES"/>
        </w:rPr>
        <w:t>proporcionaron explicaciones adicionales, incluso, en algunos casos, el texto de la legislaci</w:t>
      </w:r>
      <w:r>
        <w:rPr>
          <w:snapToGrid w:val="0"/>
          <w:kern w:val="22"/>
          <w:lang w:val="es-ES"/>
        </w:rPr>
        <w:t>ón pertinente o una relación del proceso de toma de decisiones o del contexto nacional que impli</w:t>
      </w:r>
      <w:r w:rsidR="00367C7E">
        <w:rPr>
          <w:snapToGrid w:val="0"/>
          <w:kern w:val="22"/>
          <w:lang w:val="es-ES"/>
        </w:rPr>
        <w:t>que</w:t>
      </w:r>
      <w:r>
        <w:rPr>
          <w:snapToGrid w:val="0"/>
          <w:kern w:val="22"/>
          <w:lang w:val="es-ES"/>
        </w:rPr>
        <w:t xml:space="preserve"> consideraciones socioeconómicas</w:t>
      </w:r>
      <w:r w:rsidR="00775B5A" w:rsidRPr="00997CCE">
        <w:rPr>
          <w:snapToGrid w:val="0"/>
          <w:kern w:val="22"/>
          <w:lang w:val="es-ES"/>
        </w:rPr>
        <w:t xml:space="preserve">. </w:t>
      </w:r>
      <w:r w:rsidR="00775B5A" w:rsidRPr="00367C7E">
        <w:rPr>
          <w:snapToGrid w:val="0"/>
          <w:kern w:val="22"/>
          <w:lang w:val="es-ES"/>
        </w:rPr>
        <w:t>Ot</w:t>
      </w:r>
      <w:r w:rsidR="00367C7E" w:rsidRPr="00367C7E">
        <w:rPr>
          <w:snapToGrid w:val="0"/>
          <w:kern w:val="22"/>
          <w:lang w:val="es-ES"/>
        </w:rPr>
        <w:t>ras Partes indicaron que se tenían en cuenta las consideraciones socioecon</w:t>
      </w:r>
      <w:r w:rsidR="00367C7E">
        <w:rPr>
          <w:snapToGrid w:val="0"/>
          <w:kern w:val="22"/>
          <w:lang w:val="es-ES"/>
        </w:rPr>
        <w:t>ómicas solo en las pruebas de campo o en las liberaciones comerciales</w:t>
      </w:r>
      <w:r w:rsidR="00775B5A" w:rsidRPr="00367C7E">
        <w:rPr>
          <w:snapToGrid w:val="0"/>
          <w:kern w:val="22"/>
          <w:lang w:val="es-ES"/>
        </w:rPr>
        <w:t xml:space="preserve">. </w:t>
      </w:r>
    </w:p>
    <w:p w:rsidR="00775B5A" w:rsidRPr="00087FAF" w:rsidRDefault="00E8798F"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8798F">
        <w:rPr>
          <w:snapToGrid w:val="0"/>
          <w:kern w:val="22"/>
          <w:lang w:val="es-ES"/>
        </w:rPr>
        <w:t>En cuanto a los desafíos, las Partes destacaron en sus contribuciones por escrito la escasez de datos como un gran problema,</w:t>
      </w:r>
      <w:r w:rsidR="00775B5A" w:rsidRPr="00E8798F">
        <w:rPr>
          <w:snapToGrid w:val="0"/>
          <w:kern w:val="22"/>
          <w:lang w:val="es-ES"/>
        </w:rPr>
        <w:t xml:space="preserve"> </w:t>
      </w:r>
      <w:r w:rsidR="00313E9D">
        <w:rPr>
          <w:snapToGrid w:val="0"/>
          <w:kern w:val="22"/>
          <w:lang w:val="es-ES"/>
        </w:rPr>
        <w:t xml:space="preserve">subrayaron </w:t>
      </w:r>
      <w:r w:rsidRPr="00E8798F">
        <w:rPr>
          <w:snapToGrid w:val="0"/>
          <w:kern w:val="22"/>
          <w:lang w:val="es-ES"/>
        </w:rPr>
        <w:t xml:space="preserve">la necesidad de </w:t>
      </w:r>
      <w:r w:rsidR="00313E9D">
        <w:rPr>
          <w:snapToGrid w:val="0"/>
          <w:kern w:val="22"/>
          <w:lang w:val="es-ES"/>
        </w:rPr>
        <w:t>realizar</w:t>
      </w:r>
      <w:r w:rsidRPr="00E8798F">
        <w:rPr>
          <w:snapToGrid w:val="0"/>
          <w:kern w:val="22"/>
          <w:lang w:val="es-ES"/>
        </w:rPr>
        <w:t xml:space="preserve"> estudios locales y de </w:t>
      </w:r>
      <w:r w:rsidR="00313E9D">
        <w:rPr>
          <w:snapToGrid w:val="0"/>
          <w:kern w:val="22"/>
          <w:lang w:val="es-ES"/>
        </w:rPr>
        <w:t xml:space="preserve">llevar </w:t>
      </w:r>
      <w:r w:rsidRPr="00E8798F">
        <w:rPr>
          <w:snapToGrid w:val="0"/>
          <w:kern w:val="22"/>
          <w:lang w:val="es-ES"/>
        </w:rPr>
        <w:t>a cabo m</w:t>
      </w:r>
      <w:r>
        <w:rPr>
          <w:snapToGrid w:val="0"/>
          <w:kern w:val="22"/>
          <w:lang w:val="es-ES"/>
        </w:rPr>
        <w:t>ás investigaciones a fin de establecer un marco metodológico que defina los indicadores socioeconómico</w:t>
      </w:r>
      <w:r w:rsidR="0089088F">
        <w:rPr>
          <w:snapToGrid w:val="0"/>
          <w:kern w:val="22"/>
          <w:lang w:val="es-ES"/>
        </w:rPr>
        <w:t xml:space="preserve">s adecuados </w:t>
      </w:r>
      <w:r>
        <w:rPr>
          <w:snapToGrid w:val="0"/>
          <w:kern w:val="22"/>
          <w:lang w:val="es-ES"/>
        </w:rPr>
        <w:t xml:space="preserve">y las normas </w:t>
      </w:r>
      <w:r w:rsidR="0089088F">
        <w:rPr>
          <w:snapToGrid w:val="0"/>
          <w:kern w:val="22"/>
          <w:lang w:val="es-ES"/>
        </w:rPr>
        <w:t xml:space="preserve">apropiadas </w:t>
      </w:r>
      <w:r>
        <w:rPr>
          <w:snapToGrid w:val="0"/>
          <w:kern w:val="22"/>
          <w:lang w:val="es-ES"/>
        </w:rPr>
        <w:t>para la recopilación de datos</w:t>
      </w:r>
      <w:r w:rsidR="00775B5A" w:rsidRPr="00E8798F">
        <w:rPr>
          <w:snapToGrid w:val="0"/>
          <w:kern w:val="22"/>
          <w:lang w:val="es-ES"/>
        </w:rPr>
        <w:t xml:space="preserve">. </w:t>
      </w:r>
      <w:r w:rsidRPr="00313E9D">
        <w:rPr>
          <w:snapToGrid w:val="0"/>
          <w:kern w:val="22"/>
          <w:lang w:val="es-ES"/>
        </w:rPr>
        <w:t xml:space="preserve">Algunas Partes informaron de que actualmente están realizando estudios sobre </w:t>
      </w:r>
      <w:r w:rsidR="003A7E5A">
        <w:rPr>
          <w:snapToGrid w:val="0"/>
          <w:kern w:val="22"/>
          <w:lang w:val="es-ES"/>
        </w:rPr>
        <w:t>la incorporación de</w:t>
      </w:r>
      <w:r w:rsidR="0089088F">
        <w:rPr>
          <w:snapToGrid w:val="0"/>
          <w:kern w:val="22"/>
          <w:lang w:val="es-ES"/>
        </w:rPr>
        <w:t xml:space="preserve"> las</w:t>
      </w:r>
      <w:r w:rsidR="003A7E5A" w:rsidRPr="003A7E5A">
        <w:rPr>
          <w:snapToGrid w:val="0"/>
          <w:color w:val="FF0000"/>
          <w:kern w:val="22"/>
          <w:lang w:val="es-ES"/>
        </w:rPr>
        <w:t xml:space="preserve"> </w:t>
      </w:r>
      <w:r w:rsidR="003A7E5A">
        <w:rPr>
          <w:snapToGrid w:val="0"/>
          <w:kern w:val="22"/>
          <w:lang w:val="es-ES"/>
        </w:rPr>
        <w:t>consideraciones socioeconómicas en la formulación de políticas y la toma de decisiones sobre</w:t>
      </w:r>
      <w:r w:rsidR="0089088F">
        <w:rPr>
          <w:snapToGrid w:val="0"/>
          <w:kern w:val="22"/>
          <w:lang w:val="es-ES"/>
        </w:rPr>
        <w:t xml:space="preserve"> los</w:t>
      </w:r>
      <w:r w:rsidR="003A7E5A">
        <w:rPr>
          <w:snapToGrid w:val="0"/>
          <w:kern w:val="22"/>
          <w:lang w:val="es-ES"/>
        </w:rPr>
        <w:t xml:space="preserve"> OVM</w:t>
      </w:r>
      <w:r w:rsidR="00775B5A" w:rsidRPr="00313E9D">
        <w:rPr>
          <w:snapToGrid w:val="0"/>
          <w:kern w:val="22"/>
          <w:lang w:val="es-ES"/>
        </w:rPr>
        <w:t xml:space="preserve">. </w:t>
      </w:r>
      <w:r w:rsidR="00450936" w:rsidRPr="00450936">
        <w:rPr>
          <w:snapToGrid w:val="0"/>
          <w:kern w:val="22"/>
          <w:lang w:val="es-ES"/>
        </w:rPr>
        <w:t xml:space="preserve">Varias Partes señalaron que se beneficiarían de las deliberaciones en curso en el marco del Protocolo de </w:t>
      </w:r>
      <w:r w:rsidR="00775B5A" w:rsidRPr="00450936">
        <w:rPr>
          <w:snapToGrid w:val="0"/>
          <w:kern w:val="22"/>
          <w:lang w:val="es-ES"/>
        </w:rPr>
        <w:t>Cartagena</w:t>
      </w:r>
      <w:r w:rsidR="00450936" w:rsidRPr="00450936">
        <w:rPr>
          <w:snapToGrid w:val="0"/>
          <w:kern w:val="22"/>
          <w:lang w:val="es-ES"/>
        </w:rPr>
        <w:t xml:space="preserve"> para elaborar directrices sobre consideraciones socioecon</w:t>
      </w:r>
      <w:r w:rsidR="00450936">
        <w:rPr>
          <w:snapToGrid w:val="0"/>
          <w:kern w:val="22"/>
          <w:lang w:val="es-ES"/>
        </w:rPr>
        <w:t xml:space="preserve">ómicas con el fin de poner en práctica la integración de dichas consideraciones en el proceso </w:t>
      </w:r>
      <w:r w:rsidR="00087FAF">
        <w:rPr>
          <w:snapToGrid w:val="0"/>
          <w:kern w:val="22"/>
          <w:lang w:val="es-ES"/>
        </w:rPr>
        <w:t xml:space="preserve">nacional </w:t>
      </w:r>
      <w:r w:rsidR="00450936">
        <w:rPr>
          <w:snapToGrid w:val="0"/>
          <w:kern w:val="22"/>
          <w:lang w:val="es-ES"/>
        </w:rPr>
        <w:t>de toma de decisiones</w:t>
      </w:r>
      <w:r w:rsidR="00775B5A" w:rsidRPr="00450936">
        <w:rPr>
          <w:snapToGrid w:val="0"/>
          <w:kern w:val="22"/>
          <w:lang w:val="es-ES"/>
        </w:rPr>
        <w:t xml:space="preserve">. </w:t>
      </w:r>
      <w:r w:rsidR="00775B5A" w:rsidRPr="00087FAF">
        <w:rPr>
          <w:snapToGrid w:val="0"/>
          <w:kern w:val="22"/>
          <w:lang w:val="es-ES"/>
        </w:rPr>
        <w:t>Ot</w:t>
      </w:r>
      <w:r w:rsidR="00087FAF" w:rsidRPr="00087FAF">
        <w:rPr>
          <w:snapToGrid w:val="0"/>
          <w:kern w:val="22"/>
          <w:lang w:val="es-ES"/>
        </w:rPr>
        <w:t xml:space="preserve">ras Partes indicaron que ya estaban en proceso de adaptar </w:t>
      </w:r>
      <w:r w:rsidR="00087FAF">
        <w:rPr>
          <w:snapToGrid w:val="0"/>
          <w:kern w:val="22"/>
          <w:lang w:val="es-ES"/>
        </w:rPr>
        <w:t>sus</w:t>
      </w:r>
      <w:r w:rsidR="00087FAF" w:rsidRPr="00087FAF">
        <w:rPr>
          <w:snapToGrid w:val="0"/>
          <w:kern w:val="22"/>
          <w:lang w:val="es-ES"/>
        </w:rPr>
        <w:t xml:space="preserve"> mecanismos para integrar la Orientaci</w:t>
      </w:r>
      <w:r w:rsidR="00087FAF">
        <w:rPr>
          <w:snapToGrid w:val="0"/>
          <w:kern w:val="22"/>
          <w:lang w:val="es-ES"/>
        </w:rPr>
        <w:t>ón elaborada hasta la fecha</w:t>
      </w:r>
      <w:r w:rsidR="00775B5A" w:rsidRPr="00087FAF">
        <w:rPr>
          <w:snapToGrid w:val="0"/>
          <w:kern w:val="22"/>
          <w:lang w:val="es-ES"/>
        </w:rPr>
        <w:t xml:space="preserve">. </w:t>
      </w:r>
      <w:r w:rsidR="00087FAF" w:rsidRPr="00087FAF">
        <w:rPr>
          <w:snapToGrid w:val="0"/>
          <w:kern w:val="22"/>
          <w:lang w:val="es-ES"/>
        </w:rPr>
        <w:t>Una Parte también señaló que se necesitaría asistencia para crear la capacidad necesaria para realizar evaluaciones socioecon</w:t>
      </w:r>
      <w:r w:rsidR="00087FAF">
        <w:rPr>
          <w:snapToGrid w:val="0"/>
          <w:kern w:val="22"/>
          <w:lang w:val="es-ES"/>
        </w:rPr>
        <w:t>ómicas</w:t>
      </w:r>
      <w:r w:rsidR="00775B5A" w:rsidRPr="00087FAF">
        <w:rPr>
          <w:snapToGrid w:val="0"/>
          <w:kern w:val="22"/>
          <w:lang w:val="es-ES"/>
        </w:rPr>
        <w:t>.</w:t>
      </w:r>
    </w:p>
    <w:p w:rsidR="00775B5A" w:rsidRPr="001A34AF" w:rsidRDefault="001A34AF"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1A34AF">
        <w:rPr>
          <w:snapToGrid w:val="0"/>
          <w:kern w:val="22"/>
          <w:lang w:val="es-ES"/>
        </w:rPr>
        <w:t>Por último, varias Partes indicaron en sus</w:t>
      </w:r>
      <w:r w:rsidRPr="0089088F">
        <w:rPr>
          <w:snapToGrid w:val="0"/>
          <w:kern w:val="22"/>
          <w:lang w:val="es-ES"/>
        </w:rPr>
        <w:t xml:space="preserve"> contribuciones de texto libre q</w:t>
      </w:r>
      <w:r w:rsidRPr="001A34AF">
        <w:rPr>
          <w:snapToGrid w:val="0"/>
          <w:kern w:val="22"/>
          <w:lang w:val="es-ES"/>
        </w:rPr>
        <w:t xml:space="preserve">ue </w:t>
      </w:r>
      <w:r>
        <w:rPr>
          <w:snapToGrid w:val="0"/>
          <w:kern w:val="22"/>
          <w:lang w:val="es-ES"/>
        </w:rPr>
        <w:t>estaban elaborando legislación sobre consideraciones socioeconómicas</w:t>
      </w:r>
      <w:r w:rsidR="00775B5A" w:rsidRPr="001A34AF">
        <w:rPr>
          <w:snapToGrid w:val="0"/>
          <w:kern w:val="22"/>
          <w:lang w:val="es-ES"/>
        </w:rPr>
        <w:t xml:space="preserve">. </w:t>
      </w:r>
    </w:p>
    <w:p w:rsidR="00775B5A" w:rsidRPr="00974FC9" w:rsidRDefault="00775B5A" w:rsidP="001D4EEE">
      <w:pPr>
        <w:keepNext/>
        <w:numPr>
          <w:ilvl w:val="0"/>
          <w:numId w:val="3"/>
        </w:numPr>
        <w:suppressLineNumbers/>
        <w:tabs>
          <w:tab w:val="clear" w:pos="2070"/>
          <w:tab w:val="left" w:pos="1560"/>
        </w:tabs>
        <w:suppressAutoHyphens/>
        <w:spacing w:before="120" w:after="120"/>
        <w:ind w:left="1559" w:right="431" w:hanging="567"/>
        <w:jc w:val="left"/>
        <w:outlineLvl w:val="1"/>
        <w:rPr>
          <w:b/>
          <w:bCs/>
          <w:snapToGrid w:val="0"/>
          <w:kern w:val="22"/>
          <w:lang w:val="es-ES"/>
        </w:rPr>
      </w:pPr>
      <w:bookmarkStart w:id="23" w:name="_Hlk30609306"/>
      <w:r w:rsidRPr="00974FC9">
        <w:rPr>
          <w:b/>
          <w:bCs/>
          <w:snapToGrid w:val="0"/>
          <w:kern w:val="22"/>
          <w:lang w:val="es-ES"/>
        </w:rPr>
        <w:t>Tr</w:t>
      </w:r>
      <w:r w:rsidR="00974FC9" w:rsidRPr="00974FC9">
        <w:rPr>
          <w:b/>
          <w:bCs/>
          <w:snapToGrid w:val="0"/>
          <w:kern w:val="22"/>
          <w:lang w:val="es-ES"/>
        </w:rPr>
        <w:t>ánsito, uso confinado, movimientos transfronterizos involuntarios y medidas de emergencia</w:t>
      </w:r>
      <w:r w:rsidRPr="00974FC9">
        <w:rPr>
          <w:b/>
          <w:bCs/>
          <w:snapToGrid w:val="0"/>
          <w:kern w:val="22"/>
          <w:lang w:val="es-ES"/>
        </w:rPr>
        <w:t xml:space="preserve"> (</w:t>
      </w:r>
      <w:r w:rsidR="00974FC9" w:rsidRPr="00974FC9">
        <w:rPr>
          <w:b/>
          <w:bCs/>
          <w:snapToGrid w:val="0"/>
          <w:kern w:val="22"/>
          <w:lang w:val="es-ES"/>
        </w:rPr>
        <w:t>objetivo operacional</w:t>
      </w:r>
      <w:r w:rsidRPr="00974FC9">
        <w:rPr>
          <w:b/>
          <w:bCs/>
          <w:snapToGrid w:val="0"/>
          <w:kern w:val="22"/>
          <w:lang w:val="es-ES"/>
        </w:rPr>
        <w:t xml:space="preserve"> 1.8)</w:t>
      </w:r>
    </w:p>
    <w:bookmarkEnd w:id="23"/>
    <w:p w:rsidR="00775B5A" w:rsidRPr="00065A15" w:rsidRDefault="00065A15"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065A15">
        <w:rPr>
          <w:snapToGrid w:val="0"/>
          <w:kern w:val="22"/>
          <w:lang w:val="es-ES"/>
        </w:rPr>
        <w:t xml:space="preserve">El objetivo operacional </w:t>
      </w:r>
      <w:r w:rsidR="00775B5A" w:rsidRPr="00065A15">
        <w:rPr>
          <w:snapToGrid w:val="0"/>
          <w:kern w:val="22"/>
          <w:lang w:val="es-ES"/>
        </w:rPr>
        <w:t xml:space="preserve">1.8 </w:t>
      </w:r>
      <w:r w:rsidRPr="00065A15">
        <w:rPr>
          <w:snapToGrid w:val="0"/>
          <w:kern w:val="22"/>
          <w:lang w:val="es-ES"/>
        </w:rPr>
        <w:t>se refiere a</w:t>
      </w:r>
      <w:r>
        <w:rPr>
          <w:snapToGrid w:val="0"/>
          <w:kern w:val="22"/>
          <w:lang w:val="es-ES"/>
        </w:rPr>
        <w:t xml:space="preserve">l desarrollo de </w:t>
      </w:r>
      <w:r w:rsidRPr="00065A15">
        <w:rPr>
          <w:snapToGrid w:val="0"/>
          <w:kern w:val="22"/>
          <w:lang w:val="es-ES"/>
        </w:rPr>
        <w:t>instrumentos y orientaci</w:t>
      </w:r>
      <w:r>
        <w:rPr>
          <w:snapToGrid w:val="0"/>
          <w:kern w:val="22"/>
          <w:lang w:val="es-ES"/>
        </w:rPr>
        <w:t>ón</w:t>
      </w:r>
      <w:r w:rsidRPr="00065A15">
        <w:rPr>
          <w:snapToGrid w:val="0"/>
          <w:kern w:val="22"/>
          <w:lang w:val="es-ES"/>
        </w:rPr>
        <w:t xml:space="preserve"> que faciliten la aplicación de las disposiciones del Protocolo </w:t>
      </w:r>
      <w:r>
        <w:rPr>
          <w:snapToGrid w:val="0"/>
          <w:kern w:val="22"/>
          <w:lang w:val="es-ES"/>
        </w:rPr>
        <w:t>sobre</w:t>
      </w:r>
      <w:r w:rsidRPr="00065A15">
        <w:rPr>
          <w:snapToGrid w:val="0"/>
          <w:kern w:val="22"/>
          <w:lang w:val="es-ES"/>
        </w:rPr>
        <w:t xml:space="preserve"> tr</w:t>
      </w:r>
      <w:r>
        <w:rPr>
          <w:snapToGrid w:val="0"/>
          <w:kern w:val="22"/>
          <w:lang w:val="es-ES"/>
        </w:rPr>
        <w:t>ánsito, uso confinado, movimientos transfronterizos involuntarios y medidas de emergencia</w:t>
      </w:r>
      <w:r w:rsidR="00775B5A" w:rsidRPr="00065A15">
        <w:rPr>
          <w:snapToGrid w:val="0"/>
          <w:kern w:val="22"/>
          <w:lang w:val="es-ES"/>
        </w:rPr>
        <w:t xml:space="preserve">. </w:t>
      </w:r>
      <w:r>
        <w:rPr>
          <w:snapToGrid w:val="0"/>
          <w:kern w:val="22"/>
          <w:lang w:val="es-ES"/>
        </w:rPr>
        <w:t>Se dispone de tres indicadores para medir los progresos realizados en relación con este objetivo operacional</w:t>
      </w:r>
      <w:r w:rsidR="00775B5A" w:rsidRPr="00065A15">
        <w:rPr>
          <w:snapToGrid w:val="0"/>
          <w:kern w:val="22"/>
          <w:lang w:val="es-ES"/>
        </w:rPr>
        <w:t xml:space="preserve">. </w:t>
      </w:r>
    </w:p>
    <w:p w:rsidR="00775B5A" w:rsidRPr="00065A15" w:rsidRDefault="00065A15"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065A15">
        <w:rPr>
          <w:snapToGrid w:val="0"/>
          <w:kern w:val="22"/>
          <w:lang w:val="es-ES"/>
        </w:rPr>
        <w:t xml:space="preserve">Con respecto al </w:t>
      </w:r>
      <w:r w:rsidR="00775B5A" w:rsidRPr="00065A15">
        <w:rPr>
          <w:b/>
          <w:bCs/>
          <w:snapToGrid w:val="0"/>
          <w:kern w:val="22"/>
          <w:lang w:val="es-ES"/>
        </w:rPr>
        <w:t>indica</w:t>
      </w:r>
      <w:r w:rsidRPr="00065A15">
        <w:rPr>
          <w:b/>
          <w:bCs/>
          <w:snapToGrid w:val="0"/>
          <w:kern w:val="22"/>
          <w:lang w:val="es-ES"/>
        </w:rPr>
        <w:t>d</w:t>
      </w:r>
      <w:r w:rsidR="00775B5A" w:rsidRPr="00065A15">
        <w:rPr>
          <w:b/>
          <w:bCs/>
          <w:snapToGrid w:val="0"/>
          <w:kern w:val="22"/>
          <w:lang w:val="es-ES"/>
        </w:rPr>
        <w:t>or 1.8.1</w:t>
      </w:r>
      <w:r w:rsidRPr="00065A15">
        <w:rPr>
          <w:snapToGrid w:val="0"/>
          <w:kern w:val="22"/>
          <w:lang w:val="es-ES"/>
        </w:rPr>
        <w:t xml:space="preserve"> (el porcentaje de Partes que cuenta con medidas para gestionar los OVM en tránsito</w:t>
      </w:r>
      <w:r w:rsidR="00775B5A" w:rsidRPr="00065A15">
        <w:rPr>
          <w:snapToGrid w:val="0"/>
          <w:kern w:val="22"/>
          <w:lang w:val="es-ES"/>
        </w:rPr>
        <w:t>)</w:t>
      </w:r>
      <w:r w:rsidRPr="00065A15">
        <w:rPr>
          <w:snapToGrid w:val="0"/>
          <w:kern w:val="22"/>
          <w:lang w:val="es-ES"/>
        </w:rPr>
        <w:t xml:space="preserve">, el </w:t>
      </w:r>
      <w:r w:rsidR="00775B5A" w:rsidRPr="00065A15">
        <w:rPr>
          <w:snapToGrid w:val="0"/>
          <w:kern w:val="22"/>
          <w:lang w:val="es-ES"/>
        </w:rPr>
        <w:t>70</w:t>
      </w:r>
      <w:r w:rsidRPr="00065A15">
        <w:rPr>
          <w:snapToGrid w:val="0"/>
          <w:kern w:val="22"/>
          <w:lang w:val="es-ES"/>
        </w:rPr>
        <w:t xml:space="preserve"> </w:t>
      </w:r>
      <w:r w:rsidR="00775B5A" w:rsidRPr="00065A15">
        <w:rPr>
          <w:snapToGrid w:val="0"/>
          <w:kern w:val="22"/>
          <w:lang w:val="es-ES"/>
        </w:rPr>
        <w:t xml:space="preserve">% </w:t>
      </w:r>
      <w:r>
        <w:rPr>
          <w:snapToGrid w:val="0"/>
          <w:kern w:val="22"/>
          <w:lang w:val="es-ES"/>
        </w:rPr>
        <w:t xml:space="preserve">de las </w:t>
      </w:r>
      <w:r w:rsidR="00775B5A" w:rsidRPr="00065A15">
        <w:rPr>
          <w:snapToGrid w:val="0"/>
          <w:kern w:val="22"/>
          <w:lang w:val="es-ES"/>
        </w:rPr>
        <w:t xml:space="preserve">Partes (64 Partes) </w:t>
      </w:r>
      <w:r>
        <w:rPr>
          <w:snapToGrid w:val="0"/>
          <w:kern w:val="22"/>
          <w:lang w:val="es-ES"/>
        </w:rPr>
        <w:t>inform</w:t>
      </w:r>
      <w:r w:rsidR="0089088F">
        <w:rPr>
          <w:snapToGrid w:val="0"/>
          <w:kern w:val="22"/>
          <w:lang w:val="es-ES"/>
        </w:rPr>
        <w:t>ó</w:t>
      </w:r>
      <w:r>
        <w:rPr>
          <w:snapToGrid w:val="0"/>
          <w:kern w:val="22"/>
          <w:lang w:val="es-ES"/>
        </w:rPr>
        <w:t xml:space="preserve"> de que regula el tránsito de los OVM, lo que supone un aumento de un </w:t>
      </w:r>
      <w:r w:rsidR="00775B5A" w:rsidRPr="00065A15">
        <w:rPr>
          <w:snapToGrid w:val="0"/>
          <w:kern w:val="22"/>
          <w:lang w:val="es-ES"/>
        </w:rPr>
        <w:t>7</w:t>
      </w:r>
      <w:r>
        <w:rPr>
          <w:snapToGrid w:val="0"/>
          <w:kern w:val="22"/>
          <w:lang w:val="es-ES"/>
        </w:rPr>
        <w:t xml:space="preserve"> </w:t>
      </w:r>
      <w:r w:rsidR="00775B5A" w:rsidRPr="00065A15">
        <w:rPr>
          <w:snapToGrid w:val="0"/>
          <w:kern w:val="22"/>
          <w:lang w:val="es-ES"/>
        </w:rPr>
        <w:t xml:space="preserve">% </w:t>
      </w:r>
      <w:r>
        <w:rPr>
          <w:snapToGrid w:val="0"/>
          <w:kern w:val="22"/>
          <w:lang w:val="es-ES"/>
        </w:rPr>
        <w:t>con respecto a los datos básicos de referencia</w:t>
      </w:r>
      <w:r w:rsidR="00775B5A" w:rsidRPr="00065A15">
        <w:rPr>
          <w:snapToGrid w:val="0"/>
          <w:kern w:val="22"/>
          <w:lang w:val="es-ES"/>
        </w:rPr>
        <w:t xml:space="preserve">. </w:t>
      </w:r>
      <w:r w:rsidRPr="00065A15">
        <w:rPr>
          <w:snapToGrid w:val="0"/>
          <w:kern w:val="22"/>
          <w:lang w:val="es-ES"/>
        </w:rPr>
        <w:t xml:space="preserve">Además, el </w:t>
      </w:r>
      <w:r w:rsidR="00775B5A" w:rsidRPr="00065A15">
        <w:rPr>
          <w:snapToGrid w:val="0"/>
          <w:kern w:val="22"/>
          <w:lang w:val="es-ES"/>
        </w:rPr>
        <w:t>7</w:t>
      </w:r>
      <w:r w:rsidRPr="00065A15">
        <w:rPr>
          <w:snapToGrid w:val="0"/>
          <w:kern w:val="22"/>
          <w:lang w:val="es-ES"/>
        </w:rPr>
        <w:t xml:space="preserve"> </w:t>
      </w:r>
      <w:r w:rsidR="00775B5A" w:rsidRPr="00065A15">
        <w:rPr>
          <w:snapToGrid w:val="0"/>
          <w:kern w:val="22"/>
          <w:lang w:val="es-ES"/>
        </w:rPr>
        <w:t xml:space="preserve">% </w:t>
      </w:r>
      <w:r w:rsidRPr="00065A15">
        <w:rPr>
          <w:snapToGrid w:val="0"/>
          <w:kern w:val="22"/>
          <w:lang w:val="es-ES"/>
        </w:rPr>
        <w:t>de las Partes</w:t>
      </w:r>
      <w:r w:rsidR="00775B5A" w:rsidRPr="00065A15">
        <w:rPr>
          <w:snapToGrid w:val="0"/>
          <w:kern w:val="22"/>
          <w:lang w:val="es-ES"/>
        </w:rPr>
        <w:t xml:space="preserve"> (6 Partes) </w:t>
      </w:r>
      <w:r w:rsidRPr="00065A15">
        <w:rPr>
          <w:snapToGrid w:val="0"/>
          <w:kern w:val="22"/>
          <w:lang w:val="es-ES"/>
        </w:rPr>
        <w:t>comunic</w:t>
      </w:r>
      <w:r w:rsidR="0089088F">
        <w:rPr>
          <w:snapToGrid w:val="0"/>
          <w:kern w:val="22"/>
          <w:lang w:val="es-ES"/>
        </w:rPr>
        <w:t>ó</w:t>
      </w:r>
      <w:r w:rsidRPr="00065A15">
        <w:rPr>
          <w:snapToGrid w:val="0"/>
          <w:kern w:val="22"/>
          <w:lang w:val="es-ES"/>
        </w:rPr>
        <w:t xml:space="preserve"> que hab</w:t>
      </w:r>
      <w:r>
        <w:rPr>
          <w:snapToGrid w:val="0"/>
          <w:kern w:val="22"/>
          <w:lang w:val="es-ES"/>
        </w:rPr>
        <w:t xml:space="preserve">ía regulado el tránsito de </w:t>
      </w:r>
      <w:r w:rsidR="00E2601C">
        <w:rPr>
          <w:snapToGrid w:val="0"/>
          <w:kern w:val="22"/>
          <w:lang w:val="es-ES"/>
        </w:rPr>
        <w:t xml:space="preserve">los </w:t>
      </w:r>
      <w:r>
        <w:rPr>
          <w:snapToGrid w:val="0"/>
          <w:kern w:val="22"/>
          <w:lang w:val="es-ES"/>
        </w:rPr>
        <w:t>OVM en cierta medida</w:t>
      </w:r>
      <w:r w:rsidR="00775B5A" w:rsidRPr="00065A15">
        <w:rPr>
          <w:snapToGrid w:val="0"/>
          <w:kern w:val="22"/>
          <w:lang w:val="es-ES"/>
        </w:rPr>
        <w:t>.  Consider</w:t>
      </w:r>
      <w:r w:rsidRPr="00065A15">
        <w:rPr>
          <w:snapToGrid w:val="0"/>
          <w:kern w:val="22"/>
          <w:lang w:val="es-ES"/>
        </w:rPr>
        <w:t xml:space="preserve">adas en conjunto, un total del </w:t>
      </w:r>
      <w:r w:rsidR="00775B5A" w:rsidRPr="00065A15">
        <w:rPr>
          <w:snapToGrid w:val="0"/>
          <w:kern w:val="22"/>
          <w:lang w:val="es-ES"/>
        </w:rPr>
        <w:t>77</w:t>
      </w:r>
      <w:r w:rsidRPr="00065A15">
        <w:rPr>
          <w:snapToGrid w:val="0"/>
          <w:kern w:val="22"/>
          <w:lang w:val="es-ES"/>
        </w:rPr>
        <w:t xml:space="preserve"> </w:t>
      </w:r>
      <w:r w:rsidR="00775B5A" w:rsidRPr="00065A15">
        <w:rPr>
          <w:snapToGrid w:val="0"/>
          <w:kern w:val="22"/>
          <w:lang w:val="es-ES"/>
        </w:rPr>
        <w:t xml:space="preserve">% </w:t>
      </w:r>
      <w:r w:rsidRPr="00065A15">
        <w:rPr>
          <w:snapToGrid w:val="0"/>
          <w:kern w:val="22"/>
          <w:lang w:val="es-ES"/>
        </w:rPr>
        <w:t xml:space="preserve">de las </w:t>
      </w:r>
      <w:r w:rsidR="00775B5A" w:rsidRPr="00065A15">
        <w:rPr>
          <w:snapToGrid w:val="0"/>
          <w:kern w:val="22"/>
          <w:lang w:val="es-ES"/>
        </w:rPr>
        <w:t xml:space="preserve">Partes </w:t>
      </w:r>
      <w:r w:rsidRPr="00065A15">
        <w:rPr>
          <w:snapToGrid w:val="0"/>
          <w:kern w:val="22"/>
          <w:lang w:val="es-ES"/>
        </w:rPr>
        <w:t>notific</w:t>
      </w:r>
      <w:r w:rsidR="0089088F">
        <w:rPr>
          <w:snapToGrid w:val="0"/>
          <w:kern w:val="22"/>
          <w:lang w:val="es-ES"/>
        </w:rPr>
        <w:t>ó</w:t>
      </w:r>
      <w:r w:rsidRPr="00065A15">
        <w:rPr>
          <w:snapToGrid w:val="0"/>
          <w:kern w:val="22"/>
          <w:lang w:val="es-ES"/>
        </w:rPr>
        <w:t xml:space="preserve"> que había regulado al menos hasta cierto punto el tr</w:t>
      </w:r>
      <w:r>
        <w:rPr>
          <w:snapToGrid w:val="0"/>
          <w:kern w:val="22"/>
          <w:lang w:val="es-ES"/>
        </w:rPr>
        <w:t>ánsito de los OVM</w:t>
      </w:r>
      <w:r w:rsidR="00775B5A" w:rsidRPr="00065A15">
        <w:rPr>
          <w:snapToGrid w:val="0"/>
          <w:kern w:val="22"/>
          <w:lang w:val="es-ES"/>
        </w:rPr>
        <w:t xml:space="preserve">, </w:t>
      </w:r>
      <w:r>
        <w:rPr>
          <w:snapToGrid w:val="0"/>
          <w:kern w:val="22"/>
          <w:lang w:val="es-ES"/>
        </w:rPr>
        <w:t xml:space="preserve">lo que representa un aumento de un </w:t>
      </w:r>
      <w:r w:rsidR="00775B5A" w:rsidRPr="00065A15">
        <w:rPr>
          <w:snapToGrid w:val="0"/>
          <w:kern w:val="22"/>
          <w:lang w:val="es-ES"/>
        </w:rPr>
        <w:t>14</w:t>
      </w:r>
      <w:r>
        <w:rPr>
          <w:snapToGrid w:val="0"/>
          <w:kern w:val="22"/>
          <w:lang w:val="es-ES"/>
        </w:rPr>
        <w:t xml:space="preserve"> </w:t>
      </w:r>
      <w:r w:rsidR="00775B5A" w:rsidRPr="00065A15">
        <w:rPr>
          <w:snapToGrid w:val="0"/>
          <w:kern w:val="22"/>
          <w:lang w:val="es-ES"/>
        </w:rPr>
        <w:t xml:space="preserve">% </w:t>
      </w:r>
      <w:r>
        <w:rPr>
          <w:snapToGrid w:val="0"/>
          <w:kern w:val="22"/>
          <w:lang w:val="es-ES"/>
        </w:rPr>
        <w:t>con respecto a los datos básicos de referencia</w:t>
      </w:r>
      <w:r w:rsidR="00775B5A" w:rsidRPr="00065A15">
        <w:rPr>
          <w:snapToGrid w:val="0"/>
          <w:kern w:val="22"/>
          <w:lang w:val="es-ES"/>
        </w:rPr>
        <w:t>. A</w:t>
      </w:r>
      <w:r w:rsidRPr="00065A15">
        <w:rPr>
          <w:snapToGrid w:val="0"/>
          <w:kern w:val="22"/>
          <w:lang w:val="es-ES"/>
        </w:rPr>
        <w:t xml:space="preserve"> nivel regional, los datos combinados comunicados son los siguientes</w:t>
      </w:r>
      <w:r w:rsidR="00775B5A" w:rsidRPr="00065A15">
        <w:rPr>
          <w:snapToGrid w:val="0"/>
          <w:kern w:val="22"/>
          <w:lang w:val="es-ES"/>
        </w:rPr>
        <w:t xml:space="preserve">: </w:t>
      </w:r>
      <w:r w:rsidRPr="00065A15">
        <w:rPr>
          <w:snapToGrid w:val="0"/>
          <w:kern w:val="22"/>
          <w:lang w:val="es-ES"/>
        </w:rPr>
        <w:t>Á</w:t>
      </w:r>
      <w:r w:rsidR="00775B5A" w:rsidRPr="00065A15">
        <w:rPr>
          <w:snapToGrid w:val="0"/>
          <w:kern w:val="22"/>
          <w:lang w:val="es-ES"/>
        </w:rPr>
        <w:t>frica: 57</w:t>
      </w:r>
      <w:r w:rsidRPr="00065A15">
        <w:rPr>
          <w:snapToGrid w:val="0"/>
          <w:kern w:val="22"/>
          <w:lang w:val="es-ES"/>
        </w:rPr>
        <w:t xml:space="preserve"> %</w:t>
      </w:r>
      <w:r w:rsidR="00775B5A" w:rsidRPr="00065A15">
        <w:rPr>
          <w:snapToGrid w:val="0"/>
          <w:kern w:val="22"/>
          <w:lang w:val="es-ES"/>
        </w:rPr>
        <w:t xml:space="preserve"> (+</w:t>
      </w:r>
      <w:r>
        <w:rPr>
          <w:snapToGrid w:val="0"/>
          <w:kern w:val="22"/>
          <w:lang w:val="es-ES"/>
        </w:rPr>
        <w:t xml:space="preserve"> </w:t>
      </w:r>
      <w:r w:rsidR="00775B5A" w:rsidRPr="00065A15">
        <w:rPr>
          <w:snapToGrid w:val="0"/>
          <w:kern w:val="22"/>
          <w:lang w:val="es-ES"/>
        </w:rPr>
        <w:t>7</w:t>
      </w:r>
      <w:r>
        <w:rPr>
          <w:snapToGrid w:val="0"/>
          <w:kern w:val="22"/>
          <w:lang w:val="es-ES"/>
        </w:rPr>
        <w:t xml:space="preserve"> </w:t>
      </w:r>
      <w:r w:rsidR="00775B5A" w:rsidRPr="00065A15">
        <w:rPr>
          <w:snapToGrid w:val="0"/>
          <w:kern w:val="22"/>
          <w:lang w:val="es-ES"/>
        </w:rPr>
        <w:t>%)</w:t>
      </w:r>
      <w:r w:rsidR="0089088F">
        <w:rPr>
          <w:snapToGrid w:val="0"/>
          <w:kern w:val="22"/>
          <w:lang w:val="es-ES"/>
        </w:rPr>
        <w:t>,</w:t>
      </w:r>
      <w:r w:rsidR="00775B5A" w:rsidRPr="00065A15">
        <w:rPr>
          <w:snapToGrid w:val="0"/>
          <w:kern w:val="22"/>
          <w:lang w:val="es-ES"/>
        </w:rPr>
        <w:t xml:space="preserve"> Asia</w:t>
      </w:r>
      <w:r w:rsidR="004F758D">
        <w:rPr>
          <w:snapToGrid w:val="0"/>
          <w:kern w:val="22"/>
          <w:lang w:val="es-ES"/>
        </w:rPr>
        <w:t xml:space="preserve"> y el Pacífico</w:t>
      </w:r>
      <w:r w:rsidR="00775B5A" w:rsidRPr="00065A15">
        <w:rPr>
          <w:snapToGrid w:val="0"/>
          <w:kern w:val="22"/>
          <w:lang w:val="es-ES"/>
        </w:rPr>
        <w:t>: 73</w:t>
      </w:r>
      <w:r>
        <w:rPr>
          <w:snapToGrid w:val="0"/>
          <w:kern w:val="22"/>
          <w:lang w:val="es-ES"/>
        </w:rPr>
        <w:t xml:space="preserve"> </w:t>
      </w:r>
      <w:r w:rsidR="00775B5A" w:rsidRPr="00065A15">
        <w:rPr>
          <w:snapToGrid w:val="0"/>
          <w:kern w:val="22"/>
          <w:lang w:val="es-ES"/>
        </w:rPr>
        <w:t>% (+</w:t>
      </w:r>
      <w:r>
        <w:rPr>
          <w:snapToGrid w:val="0"/>
          <w:kern w:val="22"/>
          <w:lang w:val="es-ES"/>
        </w:rPr>
        <w:t xml:space="preserve"> </w:t>
      </w:r>
      <w:r w:rsidR="00775B5A" w:rsidRPr="00065A15">
        <w:rPr>
          <w:snapToGrid w:val="0"/>
          <w:kern w:val="22"/>
          <w:lang w:val="es-ES"/>
        </w:rPr>
        <w:t>40</w:t>
      </w:r>
      <w:r>
        <w:rPr>
          <w:snapToGrid w:val="0"/>
          <w:kern w:val="22"/>
          <w:lang w:val="es-ES"/>
        </w:rPr>
        <w:t xml:space="preserve"> </w:t>
      </w:r>
      <w:r w:rsidR="00775B5A" w:rsidRPr="00065A15">
        <w:rPr>
          <w:snapToGrid w:val="0"/>
          <w:kern w:val="22"/>
          <w:lang w:val="es-ES"/>
        </w:rPr>
        <w:t>%)</w:t>
      </w:r>
      <w:r w:rsidR="0089088F">
        <w:rPr>
          <w:snapToGrid w:val="0"/>
          <w:kern w:val="22"/>
          <w:lang w:val="es-ES"/>
        </w:rPr>
        <w:t>,</w:t>
      </w:r>
      <w:r w:rsidR="00775B5A" w:rsidRPr="00065A15">
        <w:rPr>
          <w:snapToGrid w:val="0"/>
          <w:kern w:val="22"/>
          <w:lang w:val="es-ES"/>
        </w:rPr>
        <w:t xml:space="preserve"> </w:t>
      </w:r>
      <w:r w:rsidR="00477624">
        <w:rPr>
          <w:snapToGrid w:val="0"/>
          <w:kern w:val="22"/>
          <w:lang w:val="es-ES"/>
        </w:rPr>
        <w:t>grupo de Estados de Europa Central y Oriental</w:t>
      </w:r>
      <w:r w:rsidR="00775B5A" w:rsidRPr="00065A15">
        <w:rPr>
          <w:snapToGrid w:val="0"/>
          <w:kern w:val="22"/>
          <w:lang w:val="es-ES"/>
        </w:rPr>
        <w:t>: 94</w:t>
      </w:r>
      <w:r>
        <w:rPr>
          <w:snapToGrid w:val="0"/>
          <w:kern w:val="22"/>
          <w:lang w:val="es-ES"/>
        </w:rPr>
        <w:t xml:space="preserve"> </w:t>
      </w:r>
      <w:r w:rsidR="00775B5A" w:rsidRPr="00065A15">
        <w:rPr>
          <w:snapToGrid w:val="0"/>
          <w:kern w:val="22"/>
          <w:lang w:val="es-ES"/>
        </w:rPr>
        <w:t>% (+</w:t>
      </w:r>
      <w:r>
        <w:rPr>
          <w:snapToGrid w:val="0"/>
          <w:kern w:val="22"/>
          <w:lang w:val="es-ES"/>
        </w:rPr>
        <w:t xml:space="preserve"> </w:t>
      </w:r>
      <w:r w:rsidR="00775B5A" w:rsidRPr="00065A15">
        <w:rPr>
          <w:snapToGrid w:val="0"/>
          <w:kern w:val="22"/>
          <w:lang w:val="es-ES"/>
        </w:rPr>
        <w:t>6</w:t>
      </w:r>
      <w:r>
        <w:rPr>
          <w:snapToGrid w:val="0"/>
          <w:kern w:val="22"/>
          <w:lang w:val="es-ES"/>
        </w:rPr>
        <w:t xml:space="preserve"> </w:t>
      </w:r>
      <w:r w:rsidR="00775B5A" w:rsidRPr="00065A15">
        <w:rPr>
          <w:snapToGrid w:val="0"/>
          <w:kern w:val="22"/>
          <w:lang w:val="es-ES"/>
        </w:rPr>
        <w:t>%)</w:t>
      </w:r>
      <w:r w:rsidR="0089088F">
        <w:rPr>
          <w:snapToGrid w:val="0"/>
          <w:kern w:val="22"/>
          <w:lang w:val="es-ES"/>
        </w:rPr>
        <w:t>,</w:t>
      </w:r>
      <w:r w:rsidR="00775B5A" w:rsidRPr="00065A15">
        <w:rPr>
          <w:snapToGrid w:val="0"/>
          <w:kern w:val="22"/>
          <w:lang w:val="es-ES"/>
        </w:rPr>
        <w:t xml:space="preserve"> </w:t>
      </w:r>
      <w:r w:rsidR="00D74010">
        <w:rPr>
          <w:snapToGrid w:val="0"/>
          <w:kern w:val="22"/>
          <w:lang w:val="es-ES"/>
        </w:rPr>
        <w:t>grupo de países de América Latina y el Caribe:</w:t>
      </w:r>
      <w:r w:rsidR="00775B5A" w:rsidRPr="00065A15">
        <w:rPr>
          <w:snapToGrid w:val="0"/>
          <w:kern w:val="22"/>
          <w:lang w:val="es-ES"/>
        </w:rPr>
        <w:t xml:space="preserve"> 69</w:t>
      </w:r>
      <w:r>
        <w:rPr>
          <w:snapToGrid w:val="0"/>
          <w:kern w:val="22"/>
          <w:lang w:val="es-ES"/>
        </w:rPr>
        <w:t xml:space="preserve"> </w:t>
      </w:r>
      <w:r w:rsidR="00775B5A" w:rsidRPr="00065A15">
        <w:rPr>
          <w:snapToGrid w:val="0"/>
          <w:kern w:val="22"/>
          <w:lang w:val="es-ES"/>
        </w:rPr>
        <w:t>% (+</w:t>
      </w:r>
      <w:r>
        <w:rPr>
          <w:snapToGrid w:val="0"/>
          <w:kern w:val="22"/>
          <w:lang w:val="es-ES"/>
        </w:rPr>
        <w:t xml:space="preserve"> </w:t>
      </w:r>
      <w:r w:rsidR="00775B5A" w:rsidRPr="00065A15">
        <w:rPr>
          <w:snapToGrid w:val="0"/>
          <w:kern w:val="22"/>
          <w:lang w:val="es-ES"/>
        </w:rPr>
        <w:t>23</w:t>
      </w:r>
      <w:r>
        <w:rPr>
          <w:snapToGrid w:val="0"/>
          <w:kern w:val="22"/>
          <w:lang w:val="es-ES"/>
        </w:rPr>
        <w:t xml:space="preserve"> </w:t>
      </w:r>
      <w:r w:rsidR="00775B5A" w:rsidRPr="00065A15">
        <w:rPr>
          <w:snapToGrid w:val="0"/>
          <w:kern w:val="22"/>
          <w:lang w:val="es-ES"/>
        </w:rPr>
        <w:t>%)</w:t>
      </w:r>
      <w:r w:rsidR="0089088F">
        <w:rPr>
          <w:snapToGrid w:val="0"/>
          <w:kern w:val="22"/>
          <w:lang w:val="es-ES"/>
        </w:rPr>
        <w:t>,</w:t>
      </w:r>
      <w:r w:rsidR="00775B5A" w:rsidRPr="00065A15">
        <w:rPr>
          <w:snapToGrid w:val="0"/>
          <w:kern w:val="22"/>
          <w:lang w:val="es-ES"/>
        </w:rPr>
        <w:t xml:space="preserve"> </w:t>
      </w:r>
      <w:r>
        <w:rPr>
          <w:snapToGrid w:val="0"/>
          <w:kern w:val="22"/>
          <w:lang w:val="es-ES"/>
        </w:rPr>
        <w:t>grupo de Estados de Europa Occidental y otros</w:t>
      </w:r>
      <w:r w:rsidR="00775B5A" w:rsidRPr="00065A15">
        <w:rPr>
          <w:snapToGrid w:val="0"/>
          <w:kern w:val="22"/>
          <w:lang w:val="es-ES"/>
        </w:rPr>
        <w:t>: 100</w:t>
      </w:r>
      <w:r>
        <w:rPr>
          <w:snapToGrid w:val="0"/>
          <w:kern w:val="22"/>
          <w:lang w:val="es-ES"/>
        </w:rPr>
        <w:t xml:space="preserve"> </w:t>
      </w:r>
      <w:r w:rsidR="00775B5A" w:rsidRPr="00065A15">
        <w:rPr>
          <w:snapToGrid w:val="0"/>
          <w:kern w:val="22"/>
          <w:lang w:val="es-ES"/>
        </w:rPr>
        <w:t>% (</w:t>
      </w:r>
      <w:r>
        <w:rPr>
          <w:snapToGrid w:val="0"/>
          <w:kern w:val="22"/>
          <w:lang w:val="es-ES"/>
        </w:rPr>
        <w:t>sin cambios con respecto a los datos básicos de referencia</w:t>
      </w:r>
      <w:r w:rsidR="00775B5A" w:rsidRPr="00065A15">
        <w:rPr>
          <w:snapToGrid w:val="0"/>
          <w:kern w:val="22"/>
          <w:lang w:val="es-ES"/>
        </w:rPr>
        <w:t>) (</w:t>
      </w:r>
      <w:r>
        <w:rPr>
          <w:snapToGrid w:val="0"/>
          <w:kern w:val="22"/>
          <w:lang w:val="es-ES"/>
        </w:rPr>
        <w:t xml:space="preserve">véase </w:t>
      </w:r>
      <w:r w:rsidR="0089088F">
        <w:rPr>
          <w:snapToGrid w:val="0"/>
          <w:kern w:val="22"/>
          <w:lang w:val="es-ES"/>
        </w:rPr>
        <w:t>el gráfico</w:t>
      </w:r>
      <w:r w:rsidR="00775B5A" w:rsidRPr="00065A15">
        <w:rPr>
          <w:snapToGrid w:val="0"/>
          <w:kern w:val="22"/>
          <w:lang w:val="es-ES"/>
        </w:rPr>
        <w:t xml:space="preserve"> 6)</w:t>
      </w:r>
      <w:r w:rsidR="00775B5A" w:rsidRPr="00065A15">
        <w:rPr>
          <w:rFonts w:ascii="Angsana New" w:hAnsi="Angsana New" w:cs="Angsana New"/>
          <w:snapToGrid w:val="0"/>
          <w:kern w:val="22"/>
          <w:lang w:val="es-ES"/>
        </w:rPr>
        <w:t>.</w:t>
      </w:r>
    </w:p>
    <w:p w:rsidR="00775B5A" w:rsidRPr="00025A6A" w:rsidRDefault="00E2601C"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2601C">
        <w:rPr>
          <w:snapToGrid w:val="0"/>
          <w:kern w:val="22"/>
          <w:lang w:val="es-ES"/>
        </w:rPr>
        <w:t xml:space="preserve">En cuanto al </w:t>
      </w:r>
      <w:r w:rsidR="00775B5A" w:rsidRPr="00E2601C">
        <w:rPr>
          <w:b/>
          <w:bCs/>
          <w:snapToGrid w:val="0"/>
          <w:kern w:val="22"/>
          <w:lang w:val="es-ES"/>
        </w:rPr>
        <w:t>indica</w:t>
      </w:r>
      <w:r w:rsidRPr="00E2601C">
        <w:rPr>
          <w:b/>
          <w:bCs/>
          <w:snapToGrid w:val="0"/>
          <w:kern w:val="22"/>
          <w:lang w:val="es-ES"/>
        </w:rPr>
        <w:t>d</w:t>
      </w:r>
      <w:r w:rsidR="00775B5A" w:rsidRPr="00E2601C">
        <w:rPr>
          <w:b/>
          <w:bCs/>
          <w:snapToGrid w:val="0"/>
          <w:kern w:val="22"/>
          <w:lang w:val="es-ES"/>
        </w:rPr>
        <w:t>or 1.8.2</w:t>
      </w:r>
      <w:r w:rsidR="00775B5A" w:rsidRPr="00E2601C">
        <w:rPr>
          <w:snapToGrid w:val="0"/>
          <w:kern w:val="22"/>
          <w:lang w:val="es-ES"/>
        </w:rPr>
        <w:t xml:space="preserve"> (</w:t>
      </w:r>
      <w:r w:rsidRPr="00E2601C">
        <w:rPr>
          <w:snapToGrid w:val="0"/>
          <w:kern w:val="22"/>
          <w:lang w:val="es-ES"/>
        </w:rPr>
        <w:t>el porcentaje de Partes que cuenta con medidas para el uso confinado</w:t>
      </w:r>
      <w:r w:rsidR="00775B5A" w:rsidRPr="00E2601C">
        <w:rPr>
          <w:snapToGrid w:val="0"/>
          <w:kern w:val="22"/>
          <w:lang w:val="es-ES"/>
        </w:rPr>
        <w:t xml:space="preserve">), </w:t>
      </w:r>
      <w:r w:rsidRPr="00E2601C">
        <w:rPr>
          <w:snapToGrid w:val="0"/>
          <w:kern w:val="22"/>
          <w:lang w:val="es-ES"/>
        </w:rPr>
        <w:t xml:space="preserve">el </w:t>
      </w:r>
      <w:r w:rsidR="00775B5A" w:rsidRPr="00E2601C">
        <w:rPr>
          <w:snapToGrid w:val="0"/>
          <w:kern w:val="22"/>
          <w:lang w:val="es-ES"/>
        </w:rPr>
        <w:t>80</w:t>
      </w:r>
      <w:r>
        <w:rPr>
          <w:snapToGrid w:val="0"/>
          <w:kern w:val="22"/>
          <w:lang w:val="es-ES"/>
        </w:rPr>
        <w:t xml:space="preserve"> % de las</w:t>
      </w:r>
      <w:r w:rsidR="00775B5A" w:rsidRPr="00E2601C">
        <w:rPr>
          <w:snapToGrid w:val="0"/>
          <w:kern w:val="22"/>
          <w:lang w:val="es-ES"/>
        </w:rPr>
        <w:t xml:space="preserve"> Partes (74 Partes) </w:t>
      </w:r>
      <w:r w:rsidR="00025A6A">
        <w:rPr>
          <w:snapToGrid w:val="0"/>
          <w:kern w:val="22"/>
          <w:lang w:val="es-ES"/>
        </w:rPr>
        <w:t>comunic</w:t>
      </w:r>
      <w:r w:rsidR="0089088F">
        <w:rPr>
          <w:snapToGrid w:val="0"/>
          <w:kern w:val="22"/>
          <w:lang w:val="es-ES"/>
        </w:rPr>
        <w:t>ó</w:t>
      </w:r>
      <w:r w:rsidR="00025A6A">
        <w:rPr>
          <w:snapToGrid w:val="0"/>
          <w:kern w:val="22"/>
          <w:lang w:val="es-ES"/>
        </w:rPr>
        <w:t xml:space="preserve"> que contaba con medidas para regular el uso confinado de OVM</w:t>
      </w:r>
      <w:r w:rsidR="00775B5A" w:rsidRPr="00E2601C">
        <w:rPr>
          <w:snapToGrid w:val="0"/>
          <w:kern w:val="22"/>
          <w:lang w:val="es-ES"/>
        </w:rPr>
        <w:t xml:space="preserve">, </w:t>
      </w:r>
      <w:r w:rsidR="00025A6A">
        <w:rPr>
          <w:snapToGrid w:val="0"/>
          <w:kern w:val="22"/>
          <w:lang w:val="es-ES"/>
        </w:rPr>
        <w:t xml:space="preserve">lo que constituye un aumento de un </w:t>
      </w:r>
      <w:r w:rsidR="00775B5A" w:rsidRPr="00E2601C">
        <w:rPr>
          <w:snapToGrid w:val="0"/>
          <w:kern w:val="22"/>
          <w:lang w:val="es-ES"/>
        </w:rPr>
        <w:t>7</w:t>
      </w:r>
      <w:r w:rsidR="00025A6A">
        <w:rPr>
          <w:snapToGrid w:val="0"/>
          <w:kern w:val="22"/>
          <w:lang w:val="es-ES"/>
        </w:rPr>
        <w:t xml:space="preserve"> </w:t>
      </w:r>
      <w:r w:rsidR="00775B5A" w:rsidRPr="00E2601C">
        <w:rPr>
          <w:snapToGrid w:val="0"/>
          <w:kern w:val="22"/>
          <w:lang w:val="es-ES"/>
        </w:rPr>
        <w:t xml:space="preserve">%. </w:t>
      </w:r>
      <w:r w:rsidR="00775B5A" w:rsidRPr="00025A6A">
        <w:rPr>
          <w:snapToGrid w:val="0"/>
          <w:kern w:val="22"/>
          <w:lang w:val="es-ES"/>
        </w:rPr>
        <w:t>A</w:t>
      </w:r>
      <w:r w:rsidR="00025A6A" w:rsidRPr="00025A6A">
        <w:rPr>
          <w:snapToGrid w:val="0"/>
          <w:kern w:val="22"/>
          <w:lang w:val="es-ES"/>
        </w:rPr>
        <w:t xml:space="preserve"> nivel regional, los datos son los siguientes</w:t>
      </w:r>
      <w:r w:rsidR="00775B5A" w:rsidRPr="00025A6A">
        <w:rPr>
          <w:snapToGrid w:val="0"/>
          <w:kern w:val="22"/>
          <w:lang w:val="es-ES"/>
        </w:rPr>
        <w:t xml:space="preserve">: </w:t>
      </w:r>
      <w:r w:rsidR="00025A6A" w:rsidRPr="00025A6A">
        <w:rPr>
          <w:snapToGrid w:val="0"/>
          <w:kern w:val="22"/>
          <w:lang w:val="es-ES"/>
        </w:rPr>
        <w:t>Á</w:t>
      </w:r>
      <w:r w:rsidR="00775B5A" w:rsidRPr="00025A6A">
        <w:rPr>
          <w:snapToGrid w:val="0"/>
          <w:kern w:val="22"/>
          <w:lang w:val="es-ES"/>
        </w:rPr>
        <w:t>frica: 53</w:t>
      </w:r>
      <w:r w:rsidR="00025A6A" w:rsidRPr="00025A6A">
        <w:rPr>
          <w:snapToGrid w:val="0"/>
          <w:kern w:val="22"/>
          <w:lang w:val="es-ES"/>
        </w:rPr>
        <w:t xml:space="preserve"> </w:t>
      </w:r>
      <w:r w:rsidR="00775B5A" w:rsidRPr="00025A6A">
        <w:rPr>
          <w:snapToGrid w:val="0"/>
          <w:kern w:val="22"/>
          <w:lang w:val="es-ES"/>
        </w:rPr>
        <w:t>% (</w:t>
      </w:r>
      <w:r w:rsidR="00025A6A">
        <w:rPr>
          <w:snapToGrid w:val="0"/>
          <w:kern w:val="22"/>
          <w:lang w:val="es-ES"/>
        </w:rPr>
        <w:t>sin cambios con respecto a los datos básicos de referencia</w:t>
      </w:r>
      <w:r w:rsidR="00775B5A" w:rsidRPr="00025A6A">
        <w:rPr>
          <w:snapToGrid w:val="0"/>
          <w:kern w:val="22"/>
          <w:lang w:val="es-ES"/>
        </w:rPr>
        <w:t>)</w:t>
      </w:r>
      <w:r w:rsidR="0089088F">
        <w:rPr>
          <w:snapToGrid w:val="0"/>
          <w:kern w:val="22"/>
          <w:lang w:val="es-ES"/>
        </w:rPr>
        <w:t>,</w:t>
      </w:r>
      <w:r w:rsidR="00775B5A" w:rsidRPr="00025A6A">
        <w:rPr>
          <w:snapToGrid w:val="0"/>
          <w:kern w:val="22"/>
          <w:lang w:val="es-ES"/>
        </w:rPr>
        <w:t xml:space="preserve"> Asia</w:t>
      </w:r>
      <w:r w:rsidR="004F758D">
        <w:rPr>
          <w:snapToGrid w:val="0"/>
          <w:kern w:val="22"/>
          <w:lang w:val="es-ES"/>
        </w:rPr>
        <w:t xml:space="preserve"> y el </w:t>
      </w:r>
      <w:r w:rsidR="00775B5A" w:rsidRPr="00025A6A">
        <w:rPr>
          <w:snapToGrid w:val="0"/>
          <w:kern w:val="22"/>
          <w:lang w:val="es-ES"/>
        </w:rPr>
        <w:t>Pac</w:t>
      </w:r>
      <w:r w:rsidR="00025A6A">
        <w:rPr>
          <w:snapToGrid w:val="0"/>
          <w:kern w:val="22"/>
          <w:lang w:val="es-ES"/>
        </w:rPr>
        <w:t>ífico</w:t>
      </w:r>
      <w:r w:rsidR="00775B5A" w:rsidRPr="00025A6A">
        <w:rPr>
          <w:snapToGrid w:val="0"/>
          <w:kern w:val="22"/>
          <w:lang w:val="es-ES"/>
        </w:rPr>
        <w:t xml:space="preserve">: </w:t>
      </w:r>
      <w:r w:rsidR="00775B5A" w:rsidRPr="00025A6A">
        <w:rPr>
          <w:snapToGrid w:val="0"/>
          <w:kern w:val="22"/>
          <w:lang w:val="es-ES"/>
        </w:rPr>
        <w:lastRenderedPageBreak/>
        <w:t>94</w:t>
      </w:r>
      <w:r w:rsidR="00025A6A">
        <w:rPr>
          <w:snapToGrid w:val="0"/>
          <w:kern w:val="22"/>
          <w:lang w:val="es-ES"/>
        </w:rPr>
        <w:t xml:space="preserve"> </w:t>
      </w:r>
      <w:r w:rsidR="00775B5A" w:rsidRPr="00025A6A">
        <w:rPr>
          <w:snapToGrid w:val="0"/>
          <w:kern w:val="22"/>
          <w:lang w:val="es-ES"/>
        </w:rPr>
        <w:t>% (+</w:t>
      </w:r>
      <w:r w:rsidR="00025A6A">
        <w:rPr>
          <w:snapToGrid w:val="0"/>
          <w:kern w:val="22"/>
          <w:lang w:val="es-ES"/>
        </w:rPr>
        <w:t xml:space="preserve"> </w:t>
      </w:r>
      <w:r w:rsidR="00775B5A" w:rsidRPr="00025A6A">
        <w:rPr>
          <w:snapToGrid w:val="0"/>
          <w:kern w:val="22"/>
          <w:lang w:val="es-ES"/>
        </w:rPr>
        <w:t>19</w:t>
      </w:r>
      <w:r w:rsidR="00025A6A">
        <w:rPr>
          <w:snapToGrid w:val="0"/>
          <w:kern w:val="22"/>
          <w:lang w:val="es-ES"/>
        </w:rPr>
        <w:t xml:space="preserve"> </w:t>
      </w:r>
      <w:r w:rsidR="00775B5A" w:rsidRPr="00025A6A">
        <w:rPr>
          <w:snapToGrid w:val="0"/>
          <w:kern w:val="22"/>
          <w:lang w:val="es-ES"/>
        </w:rPr>
        <w:t>%)</w:t>
      </w:r>
      <w:r w:rsidR="0089088F">
        <w:rPr>
          <w:snapToGrid w:val="0"/>
          <w:kern w:val="22"/>
          <w:lang w:val="es-ES"/>
        </w:rPr>
        <w:t>,</w:t>
      </w:r>
      <w:r w:rsidR="00775B5A" w:rsidRPr="00025A6A">
        <w:rPr>
          <w:snapToGrid w:val="0"/>
          <w:kern w:val="22"/>
          <w:lang w:val="es-ES"/>
        </w:rPr>
        <w:t xml:space="preserve"> </w:t>
      </w:r>
      <w:r w:rsidR="00477624">
        <w:rPr>
          <w:snapToGrid w:val="0"/>
          <w:kern w:val="22"/>
          <w:lang w:val="es-ES"/>
        </w:rPr>
        <w:t>grupo de Estados de Europa Central y Oriental</w:t>
      </w:r>
      <w:r w:rsidR="00775B5A" w:rsidRPr="00025A6A">
        <w:rPr>
          <w:snapToGrid w:val="0"/>
          <w:kern w:val="22"/>
          <w:lang w:val="es-ES"/>
        </w:rPr>
        <w:t>: 100</w:t>
      </w:r>
      <w:r w:rsidR="00025A6A">
        <w:rPr>
          <w:snapToGrid w:val="0"/>
          <w:kern w:val="22"/>
          <w:lang w:val="es-ES"/>
        </w:rPr>
        <w:t xml:space="preserve"> </w:t>
      </w:r>
      <w:r w:rsidR="00775B5A" w:rsidRPr="00025A6A">
        <w:rPr>
          <w:snapToGrid w:val="0"/>
          <w:kern w:val="22"/>
          <w:lang w:val="es-ES"/>
        </w:rPr>
        <w:t>% (+</w:t>
      </w:r>
      <w:r w:rsidR="00025A6A">
        <w:rPr>
          <w:snapToGrid w:val="0"/>
          <w:kern w:val="22"/>
          <w:lang w:val="es-ES"/>
        </w:rPr>
        <w:t xml:space="preserve"> </w:t>
      </w:r>
      <w:r w:rsidR="00775B5A" w:rsidRPr="00025A6A">
        <w:rPr>
          <w:snapToGrid w:val="0"/>
          <w:kern w:val="22"/>
          <w:lang w:val="es-ES"/>
        </w:rPr>
        <w:t>13</w:t>
      </w:r>
      <w:r w:rsidR="00025A6A">
        <w:rPr>
          <w:snapToGrid w:val="0"/>
          <w:kern w:val="22"/>
          <w:lang w:val="es-ES"/>
        </w:rPr>
        <w:t xml:space="preserve"> </w:t>
      </w:r>
      <w:r w:rsidR="00775B5A" w:rsidRPr="00025A6A">
        <w:rPr>
          <w:snapToGrid w:val="0"/>
          <w:kern w:val="22"/>
          <w:lang w:val="es-ES"/>
        </w:rPr>
        <w:t>%)</w:t>
      </w:r>
      <w:r w:rsidR="0089088F">
        <w:rPr>
          <w:snapToGrid w:val="0"/>
          <w:kern w:val="22"/>
          <w:lang w:val="es-ES"/>
        </w:rPr>
        <w:t>,</w:t>
      </w:r>
      <w:r w:rsidR="00775B5A" w:rsidRPr="00025A6A">
        <w:rPr>
          <w:snapToGrid w:val="0"/>
          <w:kern w:val="22"/>
          <w:lang w:val="es-ES"/>
        </w:rPr>
        <w:t xml:space="preserve"> </w:t>
      </w:r>
      <w:r w:rsidR="00D74010">
        <w:rPr>
          <w:snapToGrid w:val="0"/>
          <w:kern w:val="22"/>
          <w:lang w:val="es-ES"/>
        </w:rPr>
        <w:t>grupo de países de América Latina y el Caribe</w:t>
      </w:r>
      <w:r w:rsidR="00775B5A" w:rsidRPr="00025A6A">
        <w:rPr>
          <w:snapToGrid w:val="0"/>
          <w:kern w:val="22"/>
          <w:lang w:val="es-ES"/>
        </w:rPr>
        <w:t>: 69</w:t>
      </w:r>
      <w:r w:rsidR="00025A6A">
        <w:rPr>
          <w:snapToGrid w:val="0"/>
          <w:kern w:val="22"/>
          <w:lang w:val="es-ES"/>
        </w:rPr>
        <w:t xml:space="preserve"> </w:t>
      </w:r>
      <w:r w:rsidR="00775B5A" w:rsidRPr="00025A6A">
        <w:rPr>
          <w:snapToGrid w:val="0"/>
          <w:kern w:val="22"/>
          <w:lang w:val="es-ES"/>
        </w:rPr>
        <w:t>% (+</w:t>
      </w:r>
      <w:r w:rsidR="00025A6A">
        <w:rPr>
          <w:snapToGrid w:val="0"/>
          <w:kern w:val="22"/>
          <w:lang w:val="es-ES"/>
        </w:rPr>
        <w:t xml:space="preserve"> </w:t>
      </w:r>
      <w:r w:rsidR="00775B5A" w:rsidRPr="00025A6A">
        <w:rPr>
          <w:snapToGrid w:val="0"/>
          <w:kern w:val="22"/>
          <w:lang w:val="es-ES"/>
        </w:rPr>
        <w:t>8</w:t>
      </w:r>
      <w:r w:rsidR="00025A6A">
        <w:rPr>
          <w:snapToGrid w:val="0"/>
          <w:kern w:val="22"/>
          <w:lang w:val="es-ES"/>
        </w:rPr>
        <w:t xml:space="preserve"> </w:t>
      </w:r>
      <w:r w:rsidR="00775B5A" w:rsidRPr="00025A6A">
        <w:rPr>
          <w:snapToGrid w:val="0"/>
          <w:kern w:val="22"/>
          <w:lang w:val="es-ES"/>
        </w:rPr>
        <w:t>%)</w:t>
      </w:r>
      <w:r w:rsidR="0089088F">
        <w:rPr>
          <w:snapToGrid w:val="0"/>
          <w:kern w:val="22"/>
          <w:lang w:val="es-ES"/>
        </w:rPr>
        <w:t>,</w:t>
      </w:r>
      <w:r w:rsidR="00775B5A" w:rsidRPr="00025A6A">
        <w:rPr>
          <w:snapToGrid w:val="0"/>
          <w:kern w:val="22"/>
          <w:lang w:val="es-ES"/>
        </w:rPr>
        <w:t xml:space="preserve"> </w:t>
      </w:r>
      <w:r w:rsidR="00025A6A">
        <w:rPr>
          <w:snapToGrid w:val="0"/>
          <w:kern w:val="22"/>
          <w:lang w:val="es-ES"/>
        </w:rPr>
        <w:t>grupo de Estados de Europa Occidental y otros</w:t>
      </w:r>
      <w:r w:rsidR="00775B5A" w:rsidRPr="00025A6A">
        <w:rPr>
          <w:snapToGrid w:val="0"/>
          <w:kern w:val="22"/>
          <w:lang w:val="es-ES"/>
        </w:rPr>
        <w:t>: 100</w:t>
      </w:r>
      <w:r w:rsidR="00025A6A">
        <w:rPr>
          <w:snapToGrid w:val="0"/>
          <w:kern w:val="22"/>
          <w:lang w:val="es-ES"/>
        </w:rPr>
        <w:t xml:space="preserve"> % (sin cambios con respecto a los datos básicos de referencia</w:t>
      </w:r>
      <w:r w:rsidR="00775B5A" w:rsidRPr="00025A6A">
        <w:rPr>
          <w:snapToGrid w:val="0"/>
          <w:kern w:val="22"/>
          <w:lang w:val="es-ES"/>
        </w:rPr>
        <w:t xml:space="preserve">). </w:t>
      </w:r>
    </w:p>
    <w:p w:rsidR="00775B5A" w:rsidRPr="00C578DF" w:rsidRDefault="00025A6A"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811737">
        <w:rPr>
          <w:snapToGrid w:val="0"/>
          <w:kern w:val="22"/>
          <w:lang w:val="es-ES"/>
        </w:rPr>
        <w:t xml:space="preserve">Por </w:t>
      </w:r>
      <w:r w:rsidR="00DD5E36">
        <w:rPr>
          <w:snapToGrid w:val="0"/>
          <w:kern w:val="22"/>
          <w:lang w:val="es-ES"/>
        </w:rPr>
        <w:t>ú</w:t>
      </w:r>
      <w:r w:rsidRPr="00811737">
        <w:rPr>
          <w:snapToGrid w:val="0"/>
          <w:kern w:val="22"/>
          <w:lang w:val="es-ES"/>
        </w:rPr>
        <w:t xml:space="preserve">ltimo, </w:t>
      </w:r>
      <w:r w:rsidR="00C334B6" w:rsidRPr="00811737">
        <w:rPr>
          <w:snapToGrid w:val="0"/>
          <w:kern w:val="22"/>
          <w:lang w:val="es-ES"/>
        </w:rPr>
        <w:t xml:space="preserve">en lo tocante al </w:t>
      </w:r>
      <w:r w:rsidR="00775B5A" w:rsidRPr="00811737">
        <w:rPr>
          <w:b/>
          <w:bCs/>
          <w:snapToGrid w:val="0"/>
          <w:kern w:val="22"/>
          <w:lang w:val="es-ES"/>
        </w:rPr>
        <w:t>indica</w:t>
      </w:r>
      <w:r w:rsidR="00C334B6" w:rsidRPr="00811737">
        <w:rPr>
          <w:b/>
          <w:bCs/>
          <w:snapToGrid w:val="0"/>
          <w:kern w:val="22"/>
          <w:lang w:val="es-ES"/>
        </w:rPr>
        <w:t>d</w:t>
      </w:r>
      <w:r w:rsidR="00775B5A" w:rsidRPr="00811737">
        <w:rPr>
          <w:b/>
          <w:bCs/>
          <w:snapToGrid w:val="0"/>
          <w:kern w:val="22"/>
          <w:lang w:val="es-ES"/>
        </w:rPr>
        <w:t>or 1.8.3</w:t>
      </w:r>
      <w:r w:rsidR="00C334B6" w:rsidRPr="00811737">
        <w:rPr>
          <w:snapToGrid w:val="0"/>
          <w:kern w:val="22"/>
          <w:lang w:val="es-ES"/>
        </w:rPr>
        <w:t xml:space="preserve"> (el porcentaje de Partes que usa la orientación para detectar liberaciones involuntarias de organismos vivos modificados y que puede tomar medidas de respuesta apropiadas</w:t>
      </w:r>
      <w:r w:rsidR="00775B5A" w:rsidRPr="00811737">
        <w:rPr>
          <w:snapToGrid w:val="0"/>
          <w:kern w:val="22"/>
          <w:lang w:val="es-ES"/>
        </w:rPr>
        <w:t xml:space="preserve">), </w:t>
      </w:r>
      <w:r w:rsidR="00811737" w:rsidRPr="00811737">
        <w:rPr>
          <w:snapToGrid w:val="0"/>
          <w:kern w:val="22"/>
          <w:lang w:val="es-ES"/>
        </w:rPr>
        <w:t>no se dispone de informaci</w:t>
      </w:r>
      <w:r w:rsidR="00811737">
        <w:rPr>
          <w:snapToGrid w:val="0"/>
          <w:kern w:val="22"/>
          <w:lang w:val="es-ES"/>
        </w:rPr>
        <w:t>ón sobre la utilización por las Partes de la orientación para detectar liberaciones involuntarias de organismos vivos modificados</w:t>
      </w:r>
      <w:r w:rsidR="00775B5A" w:rsidRPr="00811737">
        <w:rPr>
          <w:snapToGrid w:val="0"/>
          <w:kern w:val="22"/>
          <w:lang w:val="es-ES"/>
        </w:rPr>
        <w:t xml:space="preserve">. </w:t>
      </w:r>
      <w:r w:rsidR="00811737" w:rsidRPr="00DD5E36">
        <w:rPr>
          <w:snapToGrid w:val="0"/>
          <w:kern w:val="22"/>
          <w:lang w:val="es-ES"/>
        </w:rPr>
        <w:t xml:space="preserve">Los expertos de la </w:t>
      </w:r>
      <w:r w:rsidR="00B15090">
        <w:rPr>
          <w:snapToGrid w:val="0"/>
          <w:kern w:val="22"/>
          <w:lang w:val="es-ES"/>
        </w:rPr>
        <w:t>Red de l</w:t>
      </w:r>
      <w:r w:rsidR="00DD5E36" w:rsidRPr="00DD5E36">
        <w:rPr>
          <w:snapToGrid w:val="0"/>
          <w:kern w:val="22"/>
          <w:lang w:val="es-ES"/>
        </w:rPr>
        <w:t>aboratorios para la detección e identificaci</w:t>
      </w:r>
      <w:r w:rsidR="00B15090">
        <w:rPr>
          <w:snapToGrid w:val="0"/>
          <w:kern w:val="22"/>
          <w:lang w:val="es-ES"/>
        </w:rPr>
        <w:t>ón de o</w:t>
      </w:r>
      <w:r w:rsidR="00DD5E36" w:rsidRPr="00DD5E36">
        <w:rPr>
          <w:snapToGrid w:val="0"/>
          <w:kern w:val="22"/>
          <w:lang w:val="es-ES"/>
        </w:rPr>
        <w:t xml:space="preserve">rganismos </w:t>
      </w:r>
      <w:r w:rsidR="00B15090">
        <w:rPr>
          <w:snapToGrid w:val="0"/>
          <w:kern w:val="22"/>
          <w:lang w:val="es-ES"/>
        </w:rPr>
        <w:t>v</w:t>
      </w:r>
      <w:r w:rsidR="00DD5E36" w:rsidRPr="00DD5E36">
        <w:rPr>
          <w:snapToGrid w:val="0"/>
          <w:kern w:val="22"/>
          <w:lang w:val="es-ES"/>
        </w:rPr>
        <w:t xml:space="preserve">ivos </w:t>
      </w:r>
      <w:r w:rsidR="00B15090">
        <w:rPr>
          <w:snapToGrid w:val="0"/>
          <w:kern w:val="22"/>
          <w:lang w:val="es-ES"/>
        </w:rPr>
        <w:t>m</w:t>
      </w:r>
      <w:r w:rsidR="00DD5E36" w:rsidRPr="00DD5E36">
        <w:rPr>
          <w:snapToGrid w:val="0"/>
          <w:kern w:val="22"/>
          <w:lang w:val="es-ES"/>
        </w:rPr>
        <w:t>odificados han elaborado un proyecto de manual de capacitación sobre la detección e identificaci</w:t>
      </w:r>
      <w:r w:rsidR="00DD5E36">
        <w:rPr>
          <w:snapToGrid w:val="0"/>
          <w:kern w:val="22"/>
          <w:lang w:val="es-ES"/>
        </w:rPr>
        <w:t>ón de organismos vivos modificados, que se espera que esté finalizado y publicado en el CIISB durante</w:t>
      </w:r>
      <w:r w:rsidR="00775B5A" w:rsidRPr="00DD5E36">
        <w:rPr>
          <w:snapToGrid w:val="0"/>
          <w:kern w:val="22"/>
          <w:lang w:val="es-ES"/>
        </w:rPr>
        <w:t xml:space="preserve"> 2020. </w:t>
      </w:r>
      <w:r w:rsidR="00DD5E36" w:rsidRPr="00B15090">
        <w:rPr>
          <w:snapToGrid w:val="0"/>
          <w:kern w:val="22"/>
          <w:lang w:val="es-ES"/>
        </w:rPr>
        <w:t xml:space="preserve">Sin embargo, los cuartos informes nacionales proporcionan información sobre la capacidad </w:t>
      </w:r>
      <w:r w:rsidR="00B91145">
        <w:rPr>
          <w:snapToGrid w:val="0"/>
          <w:kern w:val="22"/>
          <w:lang w:val="es-ES"/>
        </w:rPr>
        <w:t>para adoptar medidas de respuesta en caso de movimientos transfronterizos involuntarios</w:t>
      </w:r>
      <w:r w:rsidR="00775B5A" w:rsidRPr="00B15090">
        <w:rPr>
          <w:snapToGrid w:val="0"/>
          <w:kern w:val="22"/>
          <w:lang w:val="es-ES"/>
        </w:rPr>
        <w:t xml:space="preserve">. </w:t>
      </w:r>
      <w:r w:rsidR="00B91145" w:rsidRPr="00B91145">
        <w:rPr>
          <w:snapToGrid w:val="0"/>
          <w:kern w:val="22"/>
          <w:lang w:val="es-ES"/>
        </w:rPr>
        <w:t>Un</w:t>
      </w:r>
      <w:r w:rsidR="00775B5A" w:rsidRPr="00B91145">
        <w:rPr>
          <w:snapToGrid w:val="0"/>
          <w:kern w:val="22"/>
          <w:lang w:val="es-ES"/>
        </w:rPr>
        <w:t xml:space="preserve"> total </w:t>
      </w:r>
      <w:r w:rsidR="00B91145" w:rsidRPr="00B91145">
        <w:rPr>
          <w:snapToGrid w:val="0"/>
          <w:kern w:val="22"/>
          <w:lang w:val="es-ES"/>
        </w:rPr>
        <w:t>del</w:t>
      </w:r>
      <w:r w:rsidR="00775B5A" w:rsidRPr="00B91145">
        <w:rPr>
          <w:snapToGrid w:val="0"/>
          <w:kern w:val="22"/>
          <w:lang w:val="es-ES"/>
        </w:rPr>
        <w:t xml:space="preserve"> 70</w:t>
      </w:r>
      <w:r w:rsidR="00B91145" w:rsidRPr="00B91145">
        <w:rPr>
          <w:snapToGrid w:val="0"/>
          <w:kern w:val="22"/>
          <w:lang w:val="es-ES"/>
        </w:rPr>
        <w:t xml:space="preserve"> </w:t>
      </w:r>
      <w:r w:rsidR="00775B5A" w:rsidRPr="00B91145">
        <w:rPr>
          <w:snapToGrid w:val="0"/>
          <w:kern w:val="22"/>
          <w:lang w:val="es-ES"/>
        </w:rPr>
        <w:t xml:space="preserve">% </w:t>
      </w:r>
      <w:r w:rsidR="00B91145" w:rsidRPr="00B91145">
        <w:rPr>
          <w:snapToGrid w:val="0"/>
          <w:kern w:val="22"/>
          <w:lang w:val="es-ES"/>
        </w:rPr>
        <w:t xml:space="preserve">de las </w:t>
      </w:r>
      <w:r w:rsidR="00775B5A" w:rsidRPr="00B91145">
        <w:rPr>
          <w:snapToGrid w:val="0"/>
          <w:kern w:val="22"/>
          <w:lang w:val="es-ES"/>
        </w:rPr>
        <w:t xml:space="preserve">Partes </w:t>
      </w:r>
      <w:r w:rsidR="00B91145" w:rsidRPr="00B91145">
        <w:rPr>
          <w:snapToGrid w:val="0"/>
          <w:kern w:val="22"/>
          <w:lang w:val="es-ES"/>
        </w:rPr>
        <w:t>comunic</w:t>
      </w:r>
      <w:r w:rsidR="001B4CD7">
        <w:rPr>
          <w:snapToGrid w:val="0"/>
          <w:kern w:val="22"/>
          <w:lang w:val="es-ES"/>
        </w:rPr>
        <w:t>ó</w:t>
      </w:r>
      <w:r w:rsidR="00B91145" w:rsidRPr="00B91145">
        <w:rPr>
          <w:snapToGrid w:val="0"/>
          <w:kern w:val="22"/>
          <w:lang w:val="es-ES"/>
        </w:rPr>
        <w:t xml:space="preserve"> que tenía capacidad para adoptar medidas de respuesta apropiadas en respuesta a los movimientos transfronterizos involuntarios, lo que supone un aumento de un </w:t>
      </w:r>
      <w:r w:rsidR="00775B5A" w:rsidRPr="00B91145">
        <w:rPr>
          <w:snapToGrid w:val="0"/>
          <w:kern w:val="22"/>
          <w:lang w:val="es-ES"/>
        </w:rPr>
        <w:t>4</w:t>
      </w:r>
      <w:r w:rsidR="00B91145" w:rsidRPr="00B91145">
        <w:rPr>
          <w:snapToGrid w:val="0"/>
          <w:kern w:val="22"/>
          <w:lang w:val="es-ES"/>
        </w:rPr>
        <w:t xml:space="preserve"> </w:t>
      </w:r>
      <w:r w:rsidR="00775B5A" w:rsidRPr="00B91145">
        <w:rPr>
          <w:snapToGrid w:val="0"/>
          <w:kern w:val="22"/>
          <w:lang w:val="es-ES"/>
        </w:rPr>
        <w:t xml:space="preserve">% </w:t>
      </w:r>
      <w:r w:rsidR="00B91145">
        <w:rPr>
          <w:snapToGrid w:val="0"/>
          <w:kern w:val="22"/>
          <w:lang w:val="es-ES"/>
        </w:rPr>
        <w:t>con respecto a los datos básicos de referencia</w:t>
      </w:r>
      <w:r w:rsidR="00775B5A" w:rsidRPr="00B91145">
        <w:rPr>
          <w:snapToGrid w:val="0"/>
          <w:kern w:val="22"/>
          <w:lang w:val="es-ES"/>
        </w:rPr>
        <w:t xml:space="preserve">. </w:t>
      </w:r>
      <w:r w:rsidR="00775B5A" w:rsidRPr="00C578DF">
        <w:rPr>
          <w:snapToGrid w:val="0"/>
          <w:kern w:val="22"/>
          <w:lang w:val="es-ES"/>
        </w:rPr>
        <w:t>A</w:t>
      </w:r>
      <w:r w:rsidR="00C578DF" w:rsidRPr="00C578DF">
        <w:rPr>
          <w:snapToGrid w:val="0"/>
          <w:kern w:val="22"/>
          <w:lang w:val="es-ES"/>
        </w:rPr>
        <w:t xml:space="preserve"> nivel </w:t>
      </w:r>
      <w:r w:rsidR="00775B5A" w:rsidRPr="00C578DF">
        <w:rPr>
          <w:snapToGrid w:val="0"/>
          <w:kern w:val="22"/>
          <w:lang w:val="es-ES"/>
        </w:rPr>
        <w:t xml:space="preserve">regional, </w:t>
      </w:r>
      <w:r w:rsidR="00C578DF" w:rsidRPr="00C578DF">
        <w:rPr>
          <w:snapToGrid w:val="0"/>
          <w:kern w:val="22"/>
          <w:lang w:val="es-ES"/>
        </w:rPr>
        <w:t>los datos son los siguientes</w:t>
      </w:r>
      <w:r w:rsidR="00775B5A" w:rsidRPr="00C578DF">
        <w:rPr>
          <w:snapToGrid w:val="0"/>
          <w:kern w:val="22"/>
          <w:lang w:val="es-ES"/>
        </w:rPr>
        <w:t xml:space="preserve">: </w:t>
      </w:r>
      <w:r w:rsidR="00C578DF" w:rsidRPr="00C578DF">
        <w:rPr>
          <w:snapToGrid w:val="0"/>
          <w:kern w:val="22"/>
          <w:lang w:val="es-ES"/>
        </w:rPr>
        <w:t>Á</w:t>
      </w:r>
      <w:r w:rsidR="00775B5A" w:rsidRPr="00C578DF">
        <w:rPr>
          <w:snapToGrid w:val="0"/>
          <w:kern w:val="22"/>
          <w:lang w:val="es-ES"/>
        </w:rPr>
        <w:t>frica: 53</w:t>
      </w:r>
      <w:r w:rsidR="00C578DF" w:rsidRPr="00C578DF">
        <w:rPr>
          <w:snapToGrid w:val="0"/>
          <w:kern w:val="22"/>
          <w:lang w:val="es-ES"/>
        </w:rPr>
        <w:t xml:space="preserve"> </w:t>
      </w:r>
      <w:r w:rsidR="00775B5A" w:rsidRPr="00C578DF">
        <w:rPr>
          <w:snapToGrid w:val="0"/>
          <w:kern w:val="22"/>
          <w:lang w:val="es-ES"/>
        </w:rPr>
        <w:t>% (+</w:t>
      </w:r>
      <w:r w:rsidR="00C578DF">
        <w:rPr>
          <w:snapToGrid w:val="0"/>
          <w:kern w:val="22"/>
          <w:lang w:val="es-ES"/>
        </w:rPr>
        <w:t xml:space="preserve"> </w:t>
      </w:r>
      <w:r w:rsidR="00775B5A" w:rsidRPr="00C578DF">
        <w:rPr>
          <w:snapToGrid w:val="0"/>
          <w:kern w:val="22"/>
          <w:lang w:val="es-ES"/>
        </w:rPr>
        <w:t>16</w:t>
      </w:r>
      <w:r w:rsidR="00C578DF">
        <w:rPr>
          <w:snapToGrid w:val="0"/>
          <w:kern w:val="22"/>
          <w:lang w:val="es-ES"/>
        </w:rPr>
        <w:t xml:space="preserve"> </w:t>
      </w:r>
      <w:r w:rsidR="00775B5A" w:rsidRPr="00C578DF">
        <w:rPr>
          <w:snapToGrid w:val="0"/>
          <w:kern w:val="22"/>
          <w:lang w:val="es-ES"/>
        </w:rPr>
        <w:t>%)</w:t>
      </w:r>
      <w:r w:rsidR="001B4CD7">
        <w:rPr>
          <w:snapToGrid w:val="0"/>
          <w:kern w:val="22"/>
          <w:lang w:val="es-ES"/>
        </w:rPr>
        <w:t>,</w:t>
      </w:r>
      <w:r w:rsidR="00775B5A" w:rsidRPr="00C578DF">
        <w:rPr>
          <w:snapToGrid w:val="0"/>
          <w:kern w:val="22"/>
          <w:lang w:val="es-ES"/>
        </w:rPr>
        <w:t xml:space="preserve"> Asia</w:t>
      </w:r>
      <w:r w:rsidR="004F758D">
        <w:rPr>
          <w:snapToGrid w:val="0"/>
          <w:kern w:val="22"/>
          <w:lang w:val="es-ES"/>
        </w:rPr>
        <w:t xml:space="preserve"> y el </w:t>
      </w:r>
      <w:r w:rsidR="00775B5A" w:rsidRPr="00C578DF">
        <w:rPr>
          <w:snapToGrid w:val="0"/>
          <w:kern w:val="22"/>
          <w:lang w:val="es-ES"/>
        </w:rPr>
        <w:t>Pac</w:t>
      </w:r>
      <w:r w:rsidR="00C578DF">
        <w:rPr>
          <w:snapToGrid w:val="0"/>
          <w:kern w:val="22"/>
          <w:lang w:val="es-ES"/>
        </w:rPr>
        <w:t>ífico</w:t>
      </w:r>
      <w:r w:rsidR="00775B5A" w:rsidRPr="00C578DF">
        <w:rPr>
          <w:snapToGrid w:val="0"/>
          <w:kern w:val="22"/>
          <w:lang w:val="es-ES"/>
        </w:rPr>
        <w:t>: 67</w:t>
      </w:r>
      <w:r w:rsidR="00C578DF">
        <w:rPr>
          <w:snapToGrid w:val="0"/>
          <w:kern w:val="22"/>
          <w:lang w:val="es-ES"/>
        </w:rPr>
        <w:t xml:space="preserve"> </w:t>
      </w:r>
      <w:r w:rsidR="00775B5A" w:rsidRPr="00C578DF">
        <w:rPr>
          <w:snapToGrid w:val="0"/>
          <w:kern w:val="22"/>
          <w:lang w:val="es-ES"/>
        </w:rPr>
        <w:t>% (</w:t>
      </w:r>
      <w:r w:rsidR="00C578DF">
        <w:rPr>
          <w:snapToGrid w:val="0"/>
          <w:kern w:val="22"/>
          <w:lang w:val="es-ES"/>
        </w:rPr>
        <w:t>sin cambios con respecto a los datos básicos de referencia</w:t>
      </w:r>
      <w:r w:rsidR="00775B5A" w:rsidRPr="00C578DF">
        <w:rPr>
          <w:snapToGrid w:val="0"/>
          <w:kern w:val="22"/>
          <w:lang w:val="es-ES"/>
        </w:rPr>
        <w:t>)</w:t>
      </w:r>
      <w:r w:rsidR="001B4CD7">
        <w:rPr>
          <w:snapToGrid w:val="0"/>
          <w:kern w:val="22"/>
          <w:lang w:val="es-ES"/>
        </w:rPr>
        <w:t>,</w:t>
      </w:r>
      <w:r w:rsidR="00775B5A" w:rsidRPr="00C578DF">
        <w:rPr>
          <w:snapToGrid w:val="0"/>
          <w:kern w:val="22"/>
          <w:lang w:val="es-ES"/>
        </w:rPr>
        <w:t xml:space="preserve"> </w:t>
      </w:r>
      <w:r w:rsidR="00477624">
        <w:rPr>
          <w:snapToGrid w:val="0"/>
          <w:kern w:val="22"/>
          <w:lang w:val="es-ES"/>
        </w:rPr>
        <w:t>grupo de Estados de Europa Central y Oriental</w:t>
      </w:r>
      <w:r w:rsidR="00775B5A" w:rsidRPr="00C578DF">
        <w:rPr>
          <w:snapToGrid w:val="0"/>
          <w:kern w:val="22"/>
          <w:lang w:val="es-ES"/>
        </w:rPr>
        <w:t>: 93</w:t>
      </w:r>
      <w:r w:rsidR="00C578DF">
        <w:rPr>
          <w:snapToGrid w:val="0"/>
          <w:kern w:val="22"/>
          <w:lang w:val="es-ES"/>
        </w:rPr>
        <w:t xml:space="preserve"> </w:t>
      </w:r>
      <w:r w:rsidR="00775B5A" w:rsidRPr="00C578DF">
        <w:rPr>
          <w:snapToGrid w:val="0"/>
          <w:kern w:val="22"/>
          <w:lang w:val="es-ES"/>
        </w:rPr>
        <w:t>% (+</w:t>
      </w:r>
      <w:r w:rsidR="00C578DF">
        <w:rPr>
          <w:snapToGrid w:val="0"/>
          <w:kern w:val="22"/>
          <w:lang w:val="es-ES"/>
        </w:rPr>
        <w:t xml:space="preserve"> </w:t>
      </w:r>
      <w:r w:rsidR="00775B5A" w:rsidRPr="00C578DF">
        <w:rPr>
          <w:snapToGrid w:val="0"/>
          <w:kern w:val="22"/>
          <w:lang w:val="es-ES"/>
        </w:rPr>
        <w:t>7</w:t>
      </w:r>
      <w:r w:rsidR="00C578DF">
        <w:rPr>
          <w:snapToGrid w:val="0"/>
          <w:kern w:val="22"/>
          <w:lang w:val="es-ES"/>
        </w:rPr>
        <w:t xml:space="preserve"> </w:t>
      </w:r>
      <w:r w:rsidR="00775B5A" w:rsidRPr="00C578DF">
        <w:rPr>
          <w:snapToGrid w:val="0"/>
          <w:kern w:val="22"/>
          <w:lang w:val="es-ES"/>
        </w:rPr>
        <w:t>%)</w:t>
      </w:r>
      <w:r w:rsidR="001B4CD7">
        <w:rPr>
          <w:snapToGrid w:val="0"/>
          <w:kern w:val="22"/>
          <w:lang w:val="es-ES"/>
        </w:rPr>
        <w:t>,</w:t>
      </w:r>
      <w:r w:rsidR="00775B5A" w:rsidRPr="00C578DF">
        <w:rPr>
          <w:snapToGrid w:val="0"/>
          <w:kern w:val="22"/>
          <w:lang w:val="es-ES"/>
        </w:rPr>
        <w:t xml:space="preserve"> </w:t>
      </w:r>
      <w:r w:rsidR="00D74010">
        <w:rPr>
          <w:snapToGrid w:val="0"/>
          <w:kern w:val="22"/>
          <w:lang w:val="es-ES"/>
        </w:rPr>
        <w:t>grupo de países de América Latina y el Caribe</w:t>
      </w:r>
      <w:r w:rsidR="00775B5A" w:rsidRPr="00C578DF">
        <w:rPr>
          <w:snapToGrid w:val="0"/>
          <w:kern w:val="22"/>
          <w:lang w:val="es-ES"/>
        </w:rPr>
        <w:t>: 38</w:t>
      </w:r>
      <w:r w:rsidR="00C578DF">
        <w:rPr>
          <w:snapToGrid w:val="0"/>
          <w:kern w:val="22"/>
          <w:lang w:val="es-ES"/>
        </w:rPr>
        <w:t xml:space="preserve"> </w:t>
      </w:r>
      <w:r w:rsidR="00775B5A" w:rsidRPr="00C578DF">
        <w:rPr>
          <w:snapToGrid w:val="0"/>
          <w:kern w:val="22"/>
          <w:lang w:val="es-ES"/>
        </w:rPr>
        <w:t>% (-</w:t>
      </w:r>
      <w:r w:rsidR="00C578DF">
        <w:rPr>
          <w:snapToGrid w:val="0"/>
          <w:kern w:val="22"/>
          <w:lang w:val="es-ES"/>
        </w:rPr>
        <w:t xml:space="preserve"> </w:t>
      </w:r>
      <w:r w:rsidR="00775B5A" w:rsidRPr="00C578DF">
        <w:rPr>
          <w:snapToGrid w:val="0"/>
          <w:kern w:val="22"/>
          <w:lang w:val="es-ES"/>
        </w:rPr>
        <w:t>8</w:t>
      </w:r>
      <w:r w:rsidR="00C578DF">
        <w:rPr>
          <w:snapToGrid w:val="0"/>
          <w:kern w:val="22"/>
          <w:lang w:val="es-ES"/>
        </w:rPr>
        <w:t xml:space="preserve"> </w:t>
      </w:r>
      <w:r w:rsidR="00775B5A" w:rsidRPr="00C578DF">
        <w:rPr>
          <w:snapToGrid w:val="0"/>
          <w:kern w:val="22"/>
          <w:lang w:val="es-ES"/>
        </w:rPr>
        <w:t>%)</w:t>
      </w:r>
      <w:r w:rsidR="001B4CD7">
        <w:rPr>
          <w:snapToGrid w:val="0"/>
          <w:kern w:val="22"/>
          <w:lang w:val="es-ES"/>
        </w:rPr>
        <w:t>,</w:t>
      </w:r>
      <w:r w:rsidR="00775B5A" w:rsidRPr="00C578DF">
        <w:rPr>
          <w:snapToGrid w:val="0"/>
          <w:kern w:val="22"/>
          <w:lang w:val="es-ES"/>
        </w:rPr>
        <w:t xml:space="preserve"> </w:t>
      </w:r>
      <w:r w:rsidR="00C578DF">
        <w:rPr>
          <w:snapToGrid w:val="0"/>
          <w:kern w:val="22"/>
          <w:lang w:val="es-ES"/>
        </w:rPr>
        <w:t>grupo de Estados de Europa Occidental y otros</w:t>
      </w:r>
      <w:r w:rsidR="00775B5A" w:rsidRPr="00C578DF">
        <w:rPr>
          <w:snapToGrid w:val="0"/>
          <w:kern w:val="22"/>
          <w:lang w:val="es-ES"/>
        </w:rPr>
        <w:t>: 100</w:t>
      </w:r>
      <w:r w:rsidR="00C578DF">
        <w:rPr>
          <w:snapToGrid w:val="0"/>
          <w:kern w:val="22"/>
          <w:lang w:val="es-ES"/>
        </w:rPr>
        <w:t xml:space="preserve"> </w:t>
      </w:r>
      <w:r w:rsidR="00775B5A" w:rsidRPr="00C578DF">
        <w:rPr>
          <w:snapToGrid w:val="0"/>
          <w:kern w:val="22"/>
          <w:lang w:val="es-ES"/>
        </w:rPr>
        <w:t>% (</w:t>
      </w:r>
      <w:r w:rsidR="00C578DF">
        <w:rPr>
          <w:snapToGrid w:val="0"/>
          <w:kern w:val="22"/>
          <w:lang w:val="es-ES"/>
        </w:rPr>
        <w:t>sin cambios con respecto a los datos básicos de referencia</w:t>
      </w:r>
      <w:r w:rsidR="00775B5A" w:rsidRPr="00C578DF">
        <w:rPr>
          <w:snapToGrid w:val="0"/>
          <w:kern w:val="22"/>
          <w:lang w:val="es-ES"/>
        </w:rPr>
        <w:t>).</w:t>
      </w:r>
    </w:p>
    <w:p w:rsidR="00775B5A" w:rsidRPr="00451FAF" w:rsidRDefault="00451FAF">
      <w:pPr>
        <w:suppressLineNumbers/>
        <w:suppressAutoHyphens/>
        <w:spacing w:before="120" w:after="120"/>
        <w:jc w:val="center"/>
        <w:rPr>
          <w:rFonts w:ascii="Angsana New" w:hAnsi="Angsana New" w:cs="Angsana New"/>
          <w:snapToGrid w:val="0"/>
          <w:kern w:val="22"/>
        </w:rPr>
      </w:pPr>
      <w:r>
        <w:rPr>
          <w:noProof/>
        </w:rPr>
      </w:r>
      <w:r>
        <w:rPr>
          <w:noProof/>
        </w:rPr>
        <w:pict w14:anchorId="06E9ACCF">
          <v:shape id="_x0000_s1042" type="#_x0000_t75" style="width:479.75pt;height:255.55pt;mso-left-percent:-10001;mso-top-percent:-10001;mso-position-horizontal:absolute;mso-position-horizontal-relative:char;mso-position-vertical:absolute;mso-position-vertical-relative:line;mso-left-percent:-10001;mso-top-percent:-10001">
            <v:imagedata r:id="rId19" o:title=""/>
            <w10:anchorlock/>
          </v:shape>
        </w:pict>
      </w:r>
    </w:p>
    <w:p w:rsidR="00775B5A" w:rsidRPr="005A66B9" w:rsidRDefault="00775B5A" w:rsidP="001D4EEE">
      <w:pPr>
        <w:keepNext/>
        <w:numPr>
          <w:ilvl w:val="0"/>
          <w:numId w:val="3"/>
        </w:numPr>
        <w:suppressLineNumbers/>
        <w:tabs>
          <w:tab w:val="clear" w:pos="2070"/>
          <w:tab w:val="left" w:pos="2552"/>
        </w:tabs>
        <w:suppressAutoHyphens/>
        <w:spacing w:before="120" w:after="120"/>
        <w:ind w:left="2552" w:hanging="709"/>
        <w:jc w:val="left"/>
        <w:outlineLvl w:val="1"/>
        <w:rPr>
          <w:b/>
          <w:bCs/>
          <w:snapToGrid w:val="0"/>
          <w:kern w:val="22"/>
          <w:lang w:val="es-ES"/>
        </w:rPr>
      </w:pPr>
      <w:r w:rsidRPr="005A66B9">
        <w:rPr>
          <w:b/>
          <w:bCs/>
          <w:snapToGrid w:val="0"/>
          <w:kern w:val="22"/>
          <w:lang w:val="es-ES"/>
        </w:rPr>
        <w:t>In</w:t>
      </w:r>
      <w:r w:rsidR="005A66B9" w:rsidRPr="005A66B9">
        <w:rPr>
          <w:b/>
          <w:bCs/>
          <w:snapToGrid w:val="0"/>
          <w:kern w:val="22"/>
          <w:lang w:val="es-ES"/>
        </w:rPr>
        <w:t>tercambio de información</w:t>
      </w:r>
      <w:r w:rsidRPr="005A66B9">
        <w:rPr>
          <w:b/>
          <w:bCs/>
          <w:snapToGrid w:val="0"/>
          <w:kern w:val="22"/>
          <w:lang w:val="es-ES"/>
        </w:rPr>
        <w:t xml:space="preserve"> (o</w:t>
      </w:r>
      <w:r w:rsidR="005A66B9" w:rsidRPr="005A66B9">
        <w:rPr>
          <w:b/>
          <w:bCs/>
          <w:snapToGrid w:val="0"/>
          <w:kern w:val="22"/>
          <w:lang w:val="es-ES"/>
        </w:rPr>
        <w:t xml:space="preserve">bjetivos operacionales </w:t>
      </w:r>
      <w:r w:rsidRPr="005A66B9">
        <w:rPr>
          <w:b/>
          <w:bCs/>
          <w:snapToGrid w:val="0"/>
          <w:kern w:val="22"/>
          <w:lang w:val="es-ES"/>
        </w:rPr>
        <w:t xml:space="preserve">2.6, 4.1 </w:t>
      </w:r>
      <w:r w:rsidR="005A66B9" w:rsidRPr="005A66B9">
        <w:rPr>
          <w:b/>
          <w:bCs/>
          <w:snapToGrid w:val="0"/>
          <w:kern w:val="22"/>
          <w:lang w:val="es-ES"/>
        </w:rPr>
        <w:t>y</w:t>
      </w:r>
      <w:r w:rsidRPr="005A66B9">
        <w:rPr>
          <w:b/>
          <w:bCs/>
          <w:snapToGrid w:val="0"/>
          <w:kern w:val="22"/>
          <w:lang w:val="es-ES"/>
        </w:rPr>
        <w:t xml:space="preserve"> 4.2)</w:t>
      </w:r>
    </w:p>
    <w:p w:rsidR="00775B5A" w:rsidRPr="005A66B9" w:rsidRDefault="00775B5A">
      <w:pPr>
        <w:keepNext/>
        <w:suppressLineNumbers/>
        <w:tabs>
          <w:tab w:val="left" w:pos="720"/>
        </w:tabs>
        <w:suppressAutoHyphens/>
        <w:spacing w:before="120" w:after="120"/>
        <w:textAlignment w:val="baseline"/>
        <w:outlineLvl w:val="2"/>
        <w:rPr>
          <w:b/>
          <w:bCs/>
          <w:snapToGrid w:val="0"/>
          <w:kern w:val="22"/>
          <w:lang w:val="es-ES"/>
        </w:rPr>
      </w:pPr>
      <w:r w:rsidRPr="005A66B9">
        <w:rPr>
          <w:b/>
          <w:bCs/>
          <w:snapToGrid w:val="0"/>
          <w:kern w:val="22"/>
          <w:lang w:val="es-ES"/>
        </w:rPr>
        <w:t>O</w:t>
      </w:r>
      <w:r w:rsidR="005A66B9" w:rsidRPr="005A66B9">
        <w:rPr>
          <w:b/>
          <w:bCs/>
          <w:snapToGrid w:val="0"/>
          <w:kern w:val="22"/>
          <w:lang w:val="es-ES"/>
        </w:rPr>
        <w:t xml:space="preserve">bjetivo operacional </w:t>
      </w:r>
      <w:r w:rsidRPr="005A66B9">
        <w:rPr>
          <w:b/>
          <w:bCs/>
          <w:snapToGrid w:val="0"/>
          <w:kern w:val="22"/>
          <w:lang w:val="es-ES"/>
        </w:rPr>
        <w:t>2.6: In</w:t>
      </w:r>
      <w:r w:rsidR="005A66B9">
        <w:rPr>
          <w:b/>
          <w:bCs/>
          <w:snapToGrid w:val="0"/>
          <w:kern w:val="22"/>
          <w:lang w:val="es-ES"/>
        </w:rPr>
        <w:t>tercambio de información</w:t>
      </w:r>
    </w:p>
    <w:p w:rsidR="00775B5A" w:rsidRPr="0076012E" w:rsidRDefault="008B6BF8"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8B6BF8">
        <w:rPr>
          <w:snapToGrid w:val="0"/>
          <w:kern w:val="22"/>
          <w:lang w:val="es-ES"/>
        </w:rPr>
        <w:t>El objetivo operacional</w:t>
      </w:r>
      <w:r w:rsidR="00775B5A" w:rsidRPr="008B6BF8">
        <w:rPr>
          <w:snapToGrid w:val="0"/>
          <w:kern w:val="22"/>
          <w:lang w:val="es-ES"/>
        </w:rPr>
        <w:t xml:space="preserve"> 2.6 </w:t>
      </w:r>
      <w:r>
        <w:rPr>
          <w:snapToGrid w:val="0"/>
          <w:kern w:val="22"/>
          <w:lang w:val="es-ES"/>
        </w:rPr>
        <w:t xml:space="preserve">tiene por objeto </w:t>
      </w:r>
      <w:r w:rsidRPr="008B6BF8">
        <w:rPr>
          <w:snapToGrid w:val="0"/>
          <w:kern w:val="22"/>
          <w:lang w:val="es-ES"/>
        </w:rPr>
        <w:t>asegurar que tod</w:t>
      </w:r>
      <w:r>
        <w:rPr>
          <w:snapToGrid w:val="0"/>
          <w:kern w:val="22"/>
          <w:lang w:val="es-ES"/>
        </w:rPr>
        <w:t xml:space="preserve">os los interesados clave identificados, especialmente aquellos de los países en desarrollo y los países con economías en transición, </w:t>
      </w:r>
      <w:r w:rsidRPr="008B6BF8">
        <w:rPr>
          <w:snapToGrid w:val="0"/>
          <w:kern w:val="22"/>
          <w:lang w:val="es-ES"/>
        </w:rPr>
        <w:t xml:space="preserve">puedan </w:t>
      </w:r>
      <w:r>
        <w:rPr>
          <w:snapToGrid w:val="0"/>
          <w:kern w:val="22"/>
          <w:lang w:val="es-ES"/>
        </w:rPr>
        <w:t>acceder f</w:t>
      </w:r>
      <w:r w:rsidRPr="008B6BF8">
        <w:rPr>
          <w:snapToGrid w:val="0"/>
          <w:kern w:val="22"/>
          <w:lang w:val="es-ES"/>
        </w:rPr>
        <w:t>ácilmente al Centro de Intercambio de Informaci</w:t>
      </w:r>
      <w:r>
        <w:rPr>
          <w:snapToGrid w:val="0"/>
          <w:kern w:val="22"/>
          <w:lang w:val="es-ES"/>
        </w:rPr>
        <w:t>ón sobre Seguridad de la Biotecnología (CIISB)</w:t>
      </w:r>
      <w:r w:rsidR="00775B5A" w:rsidRPr="008B6BF8">
        <w:rPr>
          <w:snapToGrid w:val="0"/>
          <w:kern w:val="22"/>
          <w:lang w:val="es-ES"/>
        </w:rPr>
        <w:t xml:space="preserve">. </w:t>
      </w:r>
      <w:r w:rsidR="0076012E">
        <w:rPr>
          <w:snapToGrid w:val="0"/>
          <w:kern w:val="22"/>
          <w:lang w:val="es-ES"/>
        </w:rPr>
        <w:t>Se establecieron dos indicadores para medir los avances hacia la consecución de este objetivo operacional</w:t>
      </w:r>
      <w:r w:rsidR="00775B5A" w:rsidRPr="0076012E">
        <w:rPr>
          <w:snapToGrid w:val="0"/>
          <w:kern w:val="22"/>
          <w:lang w:val="es-ES"/>
        </w:rPr>
        <w:t xml:space="preserve">. </w:t>
      </w:r>
      <w:r w:rsidR="0076012E" w:rsidRPr="0076012E">
        <w:rPr>
          <w:snapToGrid w:val="0"/>
          <w:kern w:val="22"/>
          <w:lang w:val="es-ES"/>
        </w:rPr>
        <w:t>Los resultados obtenidos del CIISB al término del cuarto ciclo de presentaci</w:t>
      </w:r>
      <w:r w:rsidR="0076012E">
        <w:rPr>
          <w:snapToGrid w:val="0"/>
          <w:kern w:val="22"/>
          <w:lang w:val="es-ES"/>
        </w:rPr>
        <w:t>ón de informes, en comparación con los datos básicos de referencia, indican lo siguiente</w:t>
      </w:r>
      <w:r w:rsidR="00775B5A" w:rsidRPr="0076012E">
        <w:rPr>
          <w:snapToGrid w:val="0"/>
          <w:kern w:val="22"/>
          <w:lang w:val="es-ES"/>
        </w:rPr>
        <w:t xml:space="preserve">. </w:t>
      </w:r>
    </w:p>
    <w:p w:rsidR="00775B5A" w:rsidRPr="00F02937" w:rsidRDefault="002F1C8F"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2F1C8F">
        <w:rPr>
          <w:snapToGrid w:val="0"/>
          <w:kern w:val="22"/>
          <w:lang w:val="es-ES"/>
        </w:rPr>
        <w:t xml:space="preserve">En relación con el </w:t>
      </w:r>
      <w:r w:rsidR="00775B5A" w:rsidRPr="002F1C8F">
        <w:rPr>
          <w:b/>
          <w:bCs/>
          <w:snapToGrid w:val="0"/>
          <w:kern w:val="22"/>
          <w:lang w:val="es-ES"/>
        </w:rPr>
        <w:t>indica</w:t>
      </w:r>
      <w:r w:rsidRPr="002F1C8F">
        <w:rPr>
          <w:b/>
          <w:bCs/>
          <w:snapToGrid w:val="0"/>
          <w:kern w:val="22"/>
          <w:lang w:val="es-ES"/>
        </w:rPr>
        <w:t>d</w:t>
      </w:r>
      <w:r w:rsidR="00775B5A" w:rsidRPr="002F1C8F">
        <w:rPr>
          <w:b/>
          <w:bCs/>
          <w:snapToGrid w:val="0"/>
          <w:kern w:val="22"/>
          <w:lang w:val="es-ES"/>
        </w:rPr>
        <w:t>or 2.6.1</w:t>
      </w:r>
      <w:r w:rsidR="00775B5A" w:rsidRPr="002F1C8F">
        <w:rPr>
          <w:snapToGrid w:val="0"/>
          <w:kern w:val="22"/>
          <w:lang w:val="es-ES"/>
        </w:rPr>
        <w:t xml:space="preserve"> (</w:t>
      </w:r>
      <w:r w:rsidRPr="002F1C8F">
        <w:rPr>
          <w:snapToGrid w:val="0"/>
          <w:kern w:val="22"/>
          <w:lang w:val="es-ES"/>
        </w:rPr>
        <w:t>número de</w:t>
      </w:r>
      <w:r>
        <w:rPr>
          <w:snapToGrid w:val="0"/>
          <w:kern w:val="22"/>
          <w:lang w:val="es-ES"/>
        </w:rPr>
        <w:t xml:space="preserve"> envíos de información</w:t>
      </w:r>
      <w:r w:rsidRPr="002F1C8F">
        <w:rPr>
          <w:snapToGrid w:val="0"/>
          <w:kern w:val="22"/>
          <w:lang w:val="es-ES"/>
        </w:rPr>
        <w:t xml:space="preserve"> al CIISB </w:t>
      </w:r>
      <w:r>
        <w:rPr>
          <w:snapToGrid w:val="0"/>
          <w:kern w:val="22"/>
          <w:lang w:val="es-ES"/>
        </w:rPr>
        <w:t>desde</w:t>
      </w:r>
      <w:r w:rsidRPr="002F1C8F">
        <w:rPr>
          <w:snapToGrid w:val="0"/>
          <w:kern w:val="22"/>
          <w:lang w:val="es-ES"/>
        </w:rPr>
        <w:t xml:space="preserve"> países en desarrollo y países con economías en transición</w:t>
      </w:r>
      <w:r w:rsidR="00775B5A" w:rsidRPr="002F1C8F">
        <w:rPr>
          <w:snapToGrid w:val="0"/>
          <w:kern w:val="22"/>
          <w:lang w:val="es-ES"/>
        </w:rPr>
        <w:t xml:space="preserve">), </w:t>
      </w:r>
      <w:r w:rsidRPr="002F1C8F">
        <w:rPr>
          <w:snapToGrid w:val="0"/>
          <w:kern w:val="22"/>
          <w:lang w:val="es-ES"/>
        </w:rPr>
        <w:t>el n</w:t>
      </w:r>
      <w:r>
        <w:rPr>
          <w:snapToGrid w:val="0"/>
          <w:kern w:val="22"/>
          <w:lang w:val="es-ES"/>
        </w:rPr>
        <w:t>úmero de envíos de información de registros nacionales al CIISB desde países en desarrollo y países con economías en transición aumentó de 1</w:t>
      </w:r>
      <w:r w:rsidR="00775B5A" w:rsidRPr="002F1C8F">
        <w:rPr>
          <w:snapToGrid w:val="0"/>
          <w:kern w:val="22"/>
          <w:lang w:val="es-ES"/>
        </w:rPr>
        <w:t xml:space="preserve">445 </w:t>
      </w:r>
      <w:r>
        <w:rPr>
          <w:snapToGrid w:val="0"/>
          <w:kern w:val="22"/>
          <w:lang w:val="es-ES"/>
        </w:rPr>
        <w:t xml:space="preserve">medidos el </w:t>
      </w:r>
      <w:r w:rsidR="00775B5A" w:rsidRPr="002F1C8F">
        <w:rPr>
          <w:snapToGrid w:val="0"/>
          <w:kern w:val="22"/>
          <w:lang w:val="es-ES"/>
        </w:rPr>
        <w:t xml:space="preserve">1 </w:t>
      </w:r>
      <w:r>
        <w:rPr>
          <w:snapToGrid w:val="0"/>
          <w:kern w:val="22"/>
          <w:lang w:val="es-ES"/>
        </w:rPr>
        <w:t xml:space="preserve">de enero de </w:t>
      </w:r>
      <w:r w:rsidR="00775B5A" w:rsidRPr="002F1C8F">
        <w:rPr>
          <w:snapToGrid w:val="0"/>
          <w:kern w:val="22"/>
          <w:lang w:val="es-ES"/>
        </w:rPr>
        <w:t xml:space="preserve">2012, </w:t>
      </w:r>
      <w:r>
        <w:rPr>
          <w:snapToGrid w:val="0"/>
          <w:kern w:val="22"/>
          <w:lang w:val="es-ES"/>
        </w:rPr>
        <w:t>hasta 4</w:t>
      </w:r>
      <w:r w:rsidR="00775B5A" w:rsidRPr="002F1C8F">
        <w:rPr>
          <w:snapToGrid w:val="0"/>
          <w:kern w:val="22"/>
          <w:lang w:val="es-ES"/>
        </w:rPr>
        <w:t xml:space="preserve">438 </w:t>
      </w:r>
      <w:r>
        <w:rPr>
          <w:snapToGrid w:val="0"/>
          <w:kern w:val="22"/>
          <w:lang w:val="es-ES"/>
        </w:rPr>
        <w:t xml:space="preserve">el </w:t>
      </w:r>
      <w:r w:rsidR="00775B5A" w:rsidRPr="002F1C8F">
        <w:rPr>
          <w:snapToGrid w:val="0"/>
          <w:kern w:val="22"/>
          <w:lang w:val="es-ES"/>
        </w:rPr>
        <w:t xml:space="preserve">1 </w:t>
      </w:r>
      <w:r>
        <w:rPr>
          <w:snapToGrid w:val="0"/>
          <w:kern w:val="22"/>
          <w:lang w:val="es-ES"/>
        </w:rPr>
        <w:t xml:space="preserve">de enero de </w:t>
      </w:r>
      <w:r w:rsidR="00775B5A" w:rsidRPr="002F1C8F">
        <w:rPr>
          <w:snapToGrid w:val="0"/>
          <w:kern w:val="22"/>
          <w:lang w:val="es-ES"/>
        </w:rPr>
        <w:t xml:space="preserve">2020. </w:t>
      </w:r>
      <w:r w:rsidR="00F02937" w:rsidRPr="00F02937">
        <w:rPr>
          <w:snapToGrid w:val="0"/>
          <w:kern w:val="22"/>
          <w:lang w:val="es-ES"/>
        </w:rPr>
        <w:t>En la base de referencia, los env</w:t>
      </w:r>
      <w:r w:rsidR="00F02937">
        <w:rPr>
          <w:snapToGrid w:val="0"/>
          <w:kern w:val="22"/>
          <w:lang w:val="es-ES"/>
        </w:rPr>
        <w:t>íos</w:t>
      </w:r>
      <w:r w:rsidR="00F02937" w:rsidRPr="00F02937">
        <w:rPr>
          <w:snapToGrid w:val="0"/>
          <w:kern w:val="22"/>
          <w:lang w:val="es-ES"/>
        </w:rPr>
        <w:t xml:space="preserve"> de </w:t>
      </w:r>
      <w:r w:rsidR="00F02937" w:rsidRPr="00F02937">
        <w:rPr>
          <w:snapToGrid w:val="0"/>
          <w:kern w:val="22"/>
          <w:lang w:val="es-ES"/>
        </w:rPr>
        <w:lastRenderedPageBreak/>
        <w:t>información de países en desarrollo y con econom</w:t>
      </w:r>
      <w:r w:rsidR="00F02937">
        <w:rPr>
          <w:snapToGrid w:val="0"/>
          <w:kern w:val="22"/>
          <w:lang w:val="es-ES"/>
        </w:rPr>
        <w:t xml:space="preserve">ías en transición constituyó el </w:t>
      </w:r>
      <w:r w:rsidR="00775B5A" w:rsidRPr="00F02937">
        <w:rPr>
          <w:snapToGrid w:val="0"/>
          <w:kern w:val="22"/>
          <w:lang w:val="es-ES"/>
        </w:rPr>
        <w:t>51</w:t>
      </w:r>
      <w:r w:rsidR="00F02937">
        <w:rPr>
          <w:snapToGrid w:val="0"/>
          <w:kern w:val="22"/>
          <w:lang w:val="es-ES"/>
        </w:rPr>
        <w:t xml:space="preserve"> </w:t>
      </w:r>
      <w:r w:rsidR="00775B5A" w:rsidRPr="00F02937">
        <w:rPr>
          <w:snapToGrid w:val="0"/>
          <w:kern w:val="22"/>
          <w:lang w:val="es-ES"/>
        </w:rPr>
        <w:t xml:space="preserve">% </w:t>
      </w:r>
      <w:r w:rsidR="00F02937">
        <w:rPr>
          <w:snapToGrid w:val="0"/>
          <w:kern w:val="22"/>
          <w:lang w:val="es-ES"/>
        </w:rPr>
        <w:t>de todos los envíos de información</w:t>
      </w:r>
      <w:r w:rsidR="00775B5A" w:rsidRPr="00F02937">
        <w:rPr>
          <w:snapToGrid w:val="0"/>
          <w:kern w:val="22"/>
          <w:lang w:val="es-ES"/>
        </w:rPr>
        <w:t xml:space="preserve">. </w:t>
      </w:r>
      <w:r w:rsidR="00F02937" w:rsidRPr="00F02937">
        <w:rPr>
          <w:snapToGrid w:val="0"/>
          <w:kern w:val="22"/>
          <w:lang w:val="es-ES"/>
        </w:rPr>
        <w:t xml:space="preserve">Esta cifra había aumentado hasta el </w:t>
      </w:r>
      <w:r w:rsidR="00775B5A" w:rsidRPr="00F02937">
        <w:rPr>
          <w:snapToGrid w:val="0"/>
          <w:kern w:val="22"/>
          <w:lang w:val="es-ES"/>
        </w:rPr>
        <w:t>66</w:t>
      </w:r>
      <w:r w:rsidR="00F02937" w:rsidRPr="00F02937">
        <w:rPr>
          <w:snapToGrid w:val="0"/>
          <w:kern w:val="22"/>
          <w:lang w:val="es-ES"/>
        </w:rPr>
        <w:t xml:space="preserve"> </w:t>
      </w:r>
      <w:r w:rsidR="00775B5A" w:rsidRPr="00F02937">
        <w:rPr>
          <w:snapToGrid w:val="0"/>
          <w:kern w:val="22"/>
          <w:lang w:val="es-ES"/>
        </w:rPr>
        <w:t xml:space="preserve">% </w:t>
      </w:r>
      <w:r w:rsidR="00F02937" w:rsidRPr="00F02937">
        <w:rPr>
          <w:snapToGrid w:val="0"/>
          <w:kern w:val="22"/>
          <w:lang w:val="es-ES"/>
        </w:rPr>
        <w:t xml:space="preserve">a fecha </w:t>
      </w:r>
      <w:r w:rsidR="00775B5A" w:rsidRPr="00F02937">
        <w:rPr>
          <w:snapToGrid w:val="0"/>
          <w:kern w:val="22"/>
          <w:lang w:val="es-ES"/>
        </w:rPr>
        <w:t xml:space="preserve">1 </w:t>
      </w:r>
      <w:r w:rsidR="00F02937" w:rsidRPr="00F02937">
        <w:rPr>
          <w:snapToGrid w:val="0"/>
          <w:kern w:val="22"/>
          <w:lang w:val="es-ES"/>
        </w:rPr>
        <w:t xml:space="preserve">de enero de </w:t>
      </w:r>
      <w:r w:rsidR="00775B5A" w:rsidRPr="00F02937">
        <w:rPr>
          <w:snapToGrid w:val="0"/>
          <w:kern w:val="22"/>
          <w:lang w:val="es-ES"/>
        </w:rPr>
        <w:t xml:space="preserve">2020, </w:t>
      </w:r>
      <w:r w:rsidR="00F02937" w:rsidRPr="00F02937">
        <w:rPr>
          <w:snapToGrid w:val="0"/>
          <w:kern w:val="22"/>
          <w:lang w:val="es-ES"/>
        </w:rPr>
        <w:t xml:space="preserve">lo que representa un aumento de un </w:t>
      </w:r>
      <w:r w:rsidR="00F02937">
        <w:rPr>
          <w:snapToGrid w:val="0"/>
          <w:kern w:val="22"/>
          <w:lang w:val="es-ES"/>
        </w:rPr>
        <w:t>15 % en la tasa de envío de registros nacionales de los países en desarrollo y con economías en transición</w:t>
      </w:r>
      <w:r w:rsidR="00775B5A" w:rsidRPr="00F02937">
        <w:rPr>
          <w:snapToGrid w:val="0"/>
          <w:kern w:val="22"/>
          <w:lang w:val="es-ES"/>
        </w:rPr>
        <w:t>.</w:t>
      </w:r>
    </w:p>
    <w:p w:rsidR="00775B5A" w:rsidRPr="00451FAF" w:rsidRDefault="00F30837" w:rsidP="00451FAF">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i/>
          <w:iCs/>
          <w:snapToGrid w:val="0"/>
          <w:kern w:val="22"/>
          <w:lang w:val="es-ES"/>
        </w:rPr>
      </w:pPr>
      <w:r w:rsidRPr="00451FAF">
        <w:rPr>
          <w:snapToGrid w:val="0"/>
          <w:kern w:val="22"/>
          <w:lang w:val="es-ES"/>
        </w:rPr>
        <w:t xml:space="preserve">Con respecto al </w:t>
      </w:r>
      <w:r w:rsidR="00775B5A" w:rsidRPr="00451FAF">
        <w:rPr>
          <w:b/>
          <w:bCs/>
          <w:snapToGrid w:val="0"/>
          <w:kern w:val="22"/>
          <w:lang w:val="es-ES"/>
        </w:rPr>
        <w:t>indica</w:t>
      </w:r>
      <w:r w:rsidRPr="00451FAF">
        <w:rPr>
          <w:b/>
          <w:bCs/>
          <w:snapToGrid w:val="0"/>
          <w:kern w:val="22"/>
          <w:lang w:val="es-ES"/>
        </w:rPr>
        <w:t>d</w:t>
      </w:r>
      <w:r w:rsidR="00775B5A" w:rsidRPr="00451FAF">
        <w:rPr>
          <w:b/>
          <w:bCs/>
          <w:snapToGrid w:val="0"/>
          <w:kern w:val="22"/>
          <w:lang w:val="es-ES"/>
        </w:rPr>
        <w:t>or 2.6.2</w:t>
      </w:r>
      <w:r w:rsidR="00775B5A" w:rsidRPr="00451FAF">
        <w:rPr>
          <w:snapToGrid w:val="0"/>
          <w:kern w:val="22"/>
          <w:lang w:val="es-ES"/>
        </w:rPr>
        <w:t xml:space="preserve"> (</w:t>
      </w:r>
      <w:r w:rsidRPr="00451FAF">
        <w:rPr>
          <w:snapToGrid w:val="0"/>
          <w:kern w:val="22"/>
          <w:lang w:val="es-ES"/>
        </w:rPr>
        <w:t>el volumen de tráfico</w:t>
      </w:r>
      <w:r w:rsidR="00775B5A" w:rsidRPr="00451FAF">
        <w:rPr>
          <w:snapToGrid w:val="0"/>
          <w:kern w:val="22"/>
          <w:lang w:val="es-ES"/>
        </w:rPr>
        <w:t xml:space="preserve"> (</w:t>
      </w:r>
      <w:r w:rsidRPr="00451FAF">
        <w:rPr>
          <w:snapToGrid w:val="0"/>
          <w:kern w:val="22"/>
          <w:lang w:val="es-ES"/>
        </w:rPr>
        <w:t>promedio anual durante todos los periodos de presentación de informes</w:t>
      </w:r>
      <w:r w:rsidR="00775B5A" w:rsidRPr="00451FAF">
        <w:rPr>
          <w:snapToGrid w:val="0"/>
          <w:kern w:val="22"/>
          <w:lang w:val="es-ES"/>
        </w:rPr>
        <w:t xml:space="preserve">) </w:t>
      </w:r>
      <w:r w:rsidR="000A6128" w:rsidRPr="00451FAF">
        <w:rPr>
          <w:snapToGrid w:val="0"/>
          <w:kern w:val="22"/>
          <w:lang w:val="es-ES"/>
        </w:rPr>
        <w:t>en el CIISB por parte de los usuarios de países en desarrollo y países con economías en transición</w:t>
      </w:r>
      <w:r w:rsidR="00775B5A" w:rsidRPr="00451FAF">
        <w:rPr>
          <w:snapToGrid w:val="0"/>
          <w:kern w:val="22"/>
          <w:lang w:val="es-ES"/>
        </w:rPr>
        <w:t xml:space="preserve">), </w:t>
      </w:r>
      <w:r w:rsidR="000A6128" w:rsidRPr="00451FAF">
        <w:rPr>
          <w:snapToGrid w:val="0"/>
          <w:kern w:val="22"/>
          <w:lang w:val="es-ES"/>
        </w:rPr>
        <w:t>el volumen de tráfico</w:t>
      </w:r>
      <w:r w:rsidR="00775B5A" w:rsidRPr="00451FAF">
        <w:rPr>
          <w:snapToGrid w:val="0"/>
          <w:kern w:val="22"/>
          <w:lang w:val="es-ES"/>
        </w:rPr>
        <w:t xml:space="preserve"> (</w:t>
      </w:r>
      <w:r w:rsidR="000A6128" w:rsidRPr="00451FAF">
        <w:rPr>
          <w:snapToGrid w:val="0"/>
          <w:kern w:val="22"/>
          <w:lang w:val="es-ES"/>
        </w:rPr>
        <w:t>promedio anual en todos los periodos de presentación de informes</w:t>
      </w:r>
      <w:r w:rsidR="00775B5A" w:rsidRPr="00451FAF">
        <w:rPr>
          <w:snapToGrid w:val="0"/>
          <w:kern w:val="22"/>
          <w:lang w:val="es-ES"/>
        </w:rPr>
        <w:t xml:space="preserve">) </w:t>
      </w:r>
      <w:r w:rsidR="000A6128" w:rsidRPr="00451FAF">
        <w:rPr>
          <w:snapToGrid w:val="0"/>
          <w:kern w:val="22"/>
          <w:lang w:val="es-ES"/>
        </w:rPr>
        <w:t xml:space="preserve">en el CIISB por parte de los usuarios procedentes de países en desarrollo y países con economías en transición aumentó </w:t>
      </w:r>
      <w:r w:rsidR="004010FE" w:rsidRPr="00451FAF">
        <w:rPr>
          <w:snapToGrid w:val="0"/>
          <w:kern w:val="22"/>
          <w:lang w:val="es-ES"/>
        </w:rPr>
        <w:t>pasando de</w:t>
      </w:r>
      <w:r w:rsidR="00775B5A" w:rsidRPr="00451FAF">
        <w:rPr>
          <w:snapToGrid w:val="0"/>
          <w:kern w:val="22"/>
          <w:lang w:val="es-ES"/>
        </w:rPr>
        <w:t xml:space="preserve"> 65</w:t>
      </w:r>
      <w:r w:rsidR="004010FE" w:rsidRPr="00451FAF">
        <w:rPr>
          <w:snapToGrid w:val="0"/>
          <w:kern w:val="22"/>
          <w:lang w:val="es-ES"/>
        </w:rPr>
        <w:t xml:space="preserve"> </w:t>
      </w:r>
      <w:r w:rsidR="00775B5A" w:rsidRPr="00451FAF">
        <w:rPr>
          <w:snapToGrid w:val="0"/>
          <w:kern w:val="22"/>
          <w:lang w:val="es-ES"/>
        </w:rPr>
        <w:t>327 visit</w:t>
      </w:r>
      <w:r w:rsidR="004010FE" w:rsidRPr="00451FAF">
        <w:rPr>
          <w:snapToGrid w:val="0"/>
          <w:kern w:val="22"/>
          <w:lang w:val="es-ES"/>
        </w:rPr>
        <w:t>a</w:t>
      </w:r>
      <w:r w:rsidR="00775B5A" w:rsidRPr="00451FAF">
        <w:rPr>
          <w:snapToGrid w:val="0"/>
          <w:kern w:val="22"/>
          <w:lang w:val="es-ES"/>
        </w:rPr>
        <w:t xml:space="preserve">s </w:t>
      </w:r>
      <w:r w:rsidR="004010FE" w:rsidRPr="00451FAF">
        <w:rPr>
          <w:snapToGrid w:val="0"/>
          <w:kern w:val="22"/>
          <w:lang w:val="es-ES"/>
        </w:rPr>
        <w:t xml:space="preserve">y  </w:t>
      </w:r>
      <w:r w:rsidR="00775B5A" w:rsidRPr="00451FAF">
        <w:rPr>
          <w:snapToGrid w:val="0"/>
          <w:kern w:val="22"/>
          <w:lang w:val="es-ES"/>
        </w:rPr>
        <w:t>39</w:t>
      </w:r>
      <w:r w:rsidR="004010FE" w:rsidRPr="00451FAF">
        <w:rPr>
          <w:snapToGrid w:val="0"/>
          <w:kern w:val="22"/>
          <w:lang w:val="es-ES"/>
        </w:rPr>
        <w:t xml:space="preserve"> </w:t>
      </w:r>
      <w:r w:rsidR="00775B5A" w:rsidRPr="00451FAF">
        <w:rPr>
          <w:snapToGrid w:val="0"/>
          <w:kern w:val="22"/>
          <w:lang w:val="es-ES"/>
        </w:rPr>
        <w:t xml:space="preserve">275 </w:t>
      </w:r>
      <w:r w:rsidR="004010FE" w:rsidRPr="00451FAF">
        <w:rPr>
          <w:snapToGrid w:val="0"/>
          <w:kern w:val="22"/>
          <w:lang w:val="es-ES"/>
        </w:rPr>
        <w:t xml:space="preserve">visitantes individuales anualmente a </w:t>
      </w:r>
      <w:r w:rsidR="00775B5A" w:rsidRPr="00451FAF">
        <w:rPr>
          <w:snapToGrid w:val="0"/>
          <w:kern w:val="22"/>
          <w:lang w:val="es-ES"/>
        </w:rPr>
        <w:t>106</w:t>
      </w:r>
      <w:r w:rsidR="004010FE" w:rsidRPr="00451FAF">
        <w:rPr>
          <w:snapToGrid w:val="0"/>
          <w:kern w:val="22"/>
          <w:lang w:val="es-ES"/>
        </w:rPr>
        <w:t xml:space="preserve"> </w:t>
      </w:r>
      <w:r w:rsidR="00775B5A" w:rsidRPr="00451FAF">
        <w:rPr>
          <w:snapToGrid w:val="0"/>
          <w:kern w:val="22"/>
          <w:lang w:val="es-ES"/>
        </w:rPr>
        <w:t>996 visit</w:t>
      </w:r>
      <w:r w:rsidR="004010FE" w:rsidRPr="00451FAF">
        <w:rPr>
          <w:snapToGrid w:val="0"/>
          <w:kern w:val="22"/>
          <w:lang w:val="es-ES"/>
        </w:rPr>
        <w:t>a</w:t>
      </w:r>
      <w:r w:rsidR="00775B5A" w:rsidRPr="00451FAF">
        <w:rPr>
          <w:snapToGrid w:val="0"/>
          <w:kern w:val="22"/>
          <w:lang w:val="es-ES"/>
        </w:rPr>
        <w:t xml:space="preserve">s </w:t>
      </w:r>
      <w:r w:rsidR="004010FE" w:rsidRPr="00451FAF">
        <w:rPr>
          <w:snapToGrid w:val="0"/>
          <w:kern w:val="22"/>
          <w:lang w:val="es-ES"/>
        </w:rPr>
        <w:t>y</w:t>
      </w:r>
      <w:r w:rsidR="00775B5A" w:rsidRPr="00451FAF">
        <w:rPr>
          <w:snapToGrid w:val="0"/>
          <w:kern w:val="22"/>
          <w:lang w:val="es-ES"/>
        </w:rPr>
        <w:t xml:space="preserve"> 68</w:t>
      </w:r>
      <w:r w:rsidR="004010FE" w:rsidRPr="00451FAF">
        <w:rPr>
          <w:snapToGrid w:val="0"/>
          <w:kern w:val="22"/>
          <w:lang w:val="es-ES"/>
        </w:rPr>
        <w:t xml:space="preserve"> </w:t>
      </w:r>
      <w:r w:rsidR="00775B5A" w:rsidRPr="00451FAF">
        <w:rPr>
          <w:snapToGrid w:val="0"/>
          <w:kern w:val="22"/>
          <w:lang w:val="es-ES"/>
        </w:rPr>
        <w:t xml:space="preserve">832 </w:t>
      </w:r>
      <w:r w:rsidR="004010FE" w:rsidRPr="00451FAF">
        <w:rPr>
          <w:snapToGrid w:val="0"/>
          <w:kern w:val="22"/>
          <w:lang w:val="es-ES"/>
        </w:rPr>
        <w:t>visitantes individuales anualmente</w:t>
      </w:r>
      <w:r w:rsidR="00775B5A" w:rsidRPr="00451FAF">
        <w:rPr>
          <w:snapToGrid w:val="0"/>
          <w:kern w:val="22"/>
          <w:lang w:val="es-ES"/>
        </w:rPr>
        <w:t xml:space="preserve">, </w:t>
      </w:r>
      <w:r w:rsidR="004010FE" w:rsidRPr="00451FAF">
        <w:rPr>
          <w:snapToGrid w:val="0"/>
          <w:kern w:val="22"/>
          <w:lang w:val="es-ES"/>
        </w:rPr>
        <w:t>lo que representa un</w:t>
      </w:r>
      <w:r w:rsidR="006F7413" w:rsidRPr="00451FAF">
        <w:rPr>
          <w:snapToGrid w:val="0"/>
          <w:kern w:val="22"/>
          <w:lang w:val="es-ES"/>
        </w:rPr>
        <w:t xml:space="preserve"> gran aumento de un </w:t>
      </w:r>
      <w:r w:rsidR="00775B5A" w:rsidRPr="00451FAF">
        <w:rPr>
          <w:snapToGrid w:val="0"/>
          <w:kern w:val="22"/>
          <w:lang w:val="es-ES"/>
        </w:rPr>
        <w:t>64</w:t>
      </w:r>
      <w:r w:rsidR="006F7413" w:rsidRPr="00451FAF">
        <w:rPr>
          <w:snapToGrid w:val="0"/>
          <w:kern w:val="22"/>
          <w:lang w:val="es-ES"/>
        </w:rPr>
        <w:t xml:space="preserve"> </w:t>
      </w:r>
      <w:r w:rsidR="00775B5A" w:rsidRPr="00451FAF">
        <w:rPr>
          <w:snapToGrid w:val="0"/>
          <w:kern w:val="22"/>
          <w:lang w:val="es-ES"/>
        </w:rPr>
        <w:t xml:space="preserve">% </w:t>
      </w:r>
      <w:r w:rsidR="006F7413" w:rsidRPr="00451FAF">
        <w:rPr>
          <w:snapToGrid w:val="0"/>
          <w:kern w:val="22"/>
          <w:lang w:val="es-ES"/>
        </w:rPr>
        <w:t xml:space="preserve">en el número de visitas y un </w:t>
      </w:r>
      <w:r w:rsidR="00775B5A" w:rsidRPr="00451FAF">
        <w:rPr>
          <w:snapToGrid w:val="0"/>
          <w:kern w:val="22"/>
          <w:lang w:val="es-ES"/>
        </w:rPr>
        <w:t>75</w:t>
      </w:r>
      <w:r w:rsidR="006F7413" w:rsidRPr="00451FAF">
        <w:rPr>
          <w:snapToGrid w:val="0"/>
          <w:kern w:val="22"/>
          <w:lang w:val="es-ES"/>
        </w:rPr>
        <w:t xml:space="preserve"> </w:t>
      </w:r>
      <w:r w:rsidR="00775B5A" w:rsidRPr="00451FAF">
        <w:rPr>
          <w:snapToGrid w:val="0"/>
          <w:kern w:val="22"/>
          <w:lang w:val="es-ES"/>
        </w:rPr>
        <w:t xml:space="preserve">% </w:t>
      </w:r>
      <w:r w:rsidR="006F7413" w:rsidRPr="00451FAF">
        <w:rPr>
          <w:snapToGrid w:val="0"/>
          <w:kern w:val="22"/>
          <w:lang w:val="es-ES"/>
        </w:rPr>
        <w:t>en el número de visitantes individuales de países en desarrollo y países con economías en transición</w:t>
      </w:r>
      <w:r w:rsidR="00775B5A">
        <w:rPr>
          <w:rStyle w:val="FootnoteReference"/>
          <w:rFonts w:ascii="Angsana New" w:hAnsi="Angsana New" w:cs="Angsana New"/>
          <w:snapToGrid w:val="0"/>
          <w:kern w:val="22"/>
        </w:rPr>
        <w:footnoteReference w:id="35"/>
      </w:r>
      <w:r w:rsidR="006F7413" w:rsidRPr="00451FAF">
        <w:rPr>
          <w:snapToGrid w:val="0"/>
          <w:kern w:val="22"/>
          <w:lang w:val="es-ES"/>
        </w:rPr>
        <w:t>.</w:t>
      </w:r>
    </w:p>
    <w:p w:rsidR="00775B5A" w:rsidRDefault="00451FAF">
      <w:pPr>
        <w:suppressLineNumbers/>
        <w:tabs>
          <w:tab w:val="num" w:pos="0"/>
          <w:tab w:val="left" w:pos="720"/>
        </w:tabs>
        <w:suppressAutoHyphens/>
        <w:spacing w:before="120" w:after="120"/>
        <w:textAlignment w:val="baseline"/>
        <w:rPr>
          <w:rFonts w:ascii="Angsana New" w:hAnsi="Angsana New" w:cs="Angsana New"/>
          <w:b/>
          <w:bCs/>
          <w:snapToGrid w:val="0"/>
          <w:kern w:val="22"/>
        </w:rPr>
      </w:pPr>
      <w:r>
        <w:rPr>
          <w:noProof/>
        </w:rPr>
      </w:r>
      <w:r>
        <w:rPr>
          <w:noProof/>
        </w:rPr>
        <w:pict w14:anchorId="265E95F3">
          <v:shape id="_x0000_s1043" type="#_x0000_t75" style="width:466.7pt;height:275.55pt;mso-left-percent:-10001;mso-top-percent:-10001;mso-position-horizontal:absolute;mso-position-horizontal-relative:char;mso-position-vertical:absolute;mso-position-vertical-relative:line;mso-left-percent:-10001;mso-top-percent:-10001">
            <v:imagedata r:id="rId20" o:title=""/>
            <w10:anchorlock/>
          </v:shape>
        </w:pict>
      </w:r>
    </w:p>
    <w:p w:rsidR="00775B5A" w:rsidRPr="006F7413" w:rsidRDefault="00775B5A">
      <w:pPr>
        <w:suppressLineNumbers/>
        <w:tabs>
          <w:tab w:val="num" w:pos="0"/>
          <w:tab w:val="left" w:pos="720"/>
        </w:tabs>
        <w:suppressAutoHyphens/>
        <w:spacing w:before="120" w:after="120"/>
        <w:textAlignment w:val="baseline"/>
        <w:outlineLvl w:val="2"/>
        <w:rPr>
          <w:b/>
          <w:bCs/>
          <w:snapToGrid w:val="0"/>
          <w:kern w:val="22"/>
          <w:lang w:val="es-ES"/>
        </w:rPr>
      </w:pPr>
      <w:r w:rsidRPr="006F7413">
        <w:rPr>
          <w:b/>
          <w:bCs/>
          <w:snapToGrid w:val="0"/>
          <w:kern w:val="22"/>
          <w:lang w:val="es-ES"/>
        </w:rPr>
        <w:t>O</w:t>
      </w:r>
      <w:r w:rsidR="006F7413" w:rsidRPr="006F7413">
        <w:rPr>
          <w:b/>
          <w:bCs/>
          <w:snapToGrid w:val="0"/>
          <w:kern w:val="22"/>
          <w:lang w:val="es-ES"/>
        </w:rPr>
        <w:t>bjetivo operacional</w:t>
      </w:r>
      <w:r w:rsidRPr="006F7413">
        <w:rPr>
          <w:b/>
          <w:bCs/>
          <w:snapToGrid w:val="0"/>
          <w:kern w:val="22"/>
          <w:lang w:val="es-ES"/>
        </w:rPr>
        <w:t xml:space="preserve"> 4.1: </w:t>
      </w:r>
      <w:r w:rsidR="006F7413" w:rsidRPr="006F7413">
        <w:rPr>
          <w:b/>
          <w:bCs/>
          <w:snapToGrid w:val="0"/>
          <w:kern w:val="22"/>
          <w:lang w:val="es-ES"/>
        </w:rPr>
        <w:t>Eficacia del CIISB</w:t>
      </w:r>
    </w:p>
    <w:p w:rsidR="00775B5A" w:rsidRPr="003B02B8" w:rsidRDefault="006F7413"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i/>
          <w:iCs/>
          <w:snapToGrid w:val="0"/>
          <w:kern w:val="22"/>
          <w:lang w:val="es-ES"/>
        </w:rPr>
      </w:pPr>
      <w:r>
        <w:rPr>
          <w:snapToGrid w:val="0"/>
          <w:kern w:val="22"/>
          <w:lang w:val="es-ES"/>
        </w:rPr>
        <w:t xml:space="preserve">El objetivo operacional </w:t>
      </w:r>
      <w:r w:rsidRPr="006F7413">
        <w:rPr>
          <w:snapToGrid w:val="0"/>
          <w:kern w:val="22"/>
          <w:lang w:val="es-ES"/>
        </w:rPr>
        <w:t>4.1 sobre la eficacia del CIISB tiene por objeto aumentar la cantidad y la calidad de la informaci</w:t>
      </w:r>
      <w:r>
        <w:rPr>
          <w:snapToGrid w:val="0"/>
          <w:kern w:val="22"/>
          <w:lang w:val="es-ES"/>
        </w:rPr>
        <w:t>ón enviada y extraída del C</w:t>
      </w:r>
      <w:r w:rsidR="004F758D">
        <w:rPr>
          <w:snapToGrid w:val="0"/>
          <w:kern w:val="22"/>
          <w:lang w:val="es-ES"/>
        </w:rPr>
        <w:t>IISB</w:t>
      </w:r>
      <w:r w:rsidR="00775B5A" w:rsidRPr="006F7413">
        <w:rPr>
          <w:snapToGrid w:val="0"/>
          <w:kern w:val="22"/>
          <w:lang w:val="es-ES"/>
        </w:rPr>
        <w:t xml:space="preserve">. </w:t>
      </w:r>
      <w:r w:rsidRPr="006F7413">
        <w:rPr>
          <w:snapToGrid w:val="0"/>
          <w:kern w:val="22"/>
          <w:lang w:val="es-ES"/>
        </w:rPr>
        <w:t>El Plan Estratégico incluye ocho indicadores para medir el avance hacia la consecución de este objetivo operacional</w:t>
      </w:r>
      <w:r w:rsidR="00775B5A" w:rsidRPr="006F7413">
        <w:rPr>
          <w:snapToGrid w:val="0"/>
          <w:kern w:val="22"/>
          <w:lang w:val="es-ES"/>
        </w:rPr>
        <w:t xml:space="preserve">. </w:t>
      </w:r>
      <w:r w:rsidR="003B02B8" w:rsidRPr="003B02B8">
        <w:rPr>
          <w:snapToGrid w:val="0"/>
          <w:kern w:val="22"/>
          <w:lang w:val="es-ES"/>
        </w:rPr>
        <w:t xml:space="preserve">La comparación de los datos obtenidos durante el cuarto ciclo de </w:t>
      </w:r>
      <w:r w:rsidR="003B02B8">
        <w:rPr>
          <w:snapToGrid w:val="0"/>
          <w:kern w:val="22"/>
          <w:lang w:val="es-ES"/>
        </w:rPr>
        <w:t>presentación de informes con los datos básicos de referencia</w:t>
      </w:r>
      <w:r w:rsidR="001B4CD7">
        <w:rPr>
          <w:snapToGrid w:val="0"/>
          <w:kern w:val="22"/>
          <w:lang w:val="es-ES"/>
        </w:rPr>
        <w:t xml:space="preserve"> muestra</w:t>
      </w:r>
      <w:r w:rsidR="003B02B8">
        <w:rPr>
          <w:snapToGrid w:val="0"/>
          <w:kern w:val="22"/>
          <w:lang w:val="es-ES"/>
        </w:rPr>
        <w:t xml:space="preserve"> lo siguiente</w:t>
      </w:r>
      <w:r w:rsidR="00775B5A" w:rsidRPr="003B02B8">
        <w:rPr>
          <w:snapToGrid w:val="0"/>
          <w:kern w:val="22"/>
          <w:lang w:val="es-ES"/>
        </w:rPr>
        <w:t>.</w:t>
      </w:r>
    </w:p>
    <w:p w:rsidR="00775B5A" w:rsidRPr="00845122" w:rsidRDefault="00845122"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845122">
        <w:rPr>
          <w:snapToGrid w:val="0"/>
          <w:kern w:val="22"/>
          <w:lang w:val="es-ES"/>
        </w:rPr>
        <w:t xml:space="preserve">Con respecto al </w:t>
      </w:r>
      <w:r w:rsidR="00775B5A" w:rsidRPr="00845122">
        <w:rPr>
          <w:b/>
          <w:bCs/>
          <w:snapToGrid w:val="0"/>
          <w:kern w:val="22"/>
          <w:lang w:val="es-ES"/>
        </w:rPr>
        <w:t>indica</w:t>
      </w:r>
      <w:r w:rsidRPr="00845122">
        <w:rPr>
          <w:b/>
          <w:bCs/>
          <w:snapToGrid w:val="0"/>
          <w:kern w:val="22"/>
          <w:lang w:val="es-ES"/>
        </w:rPr>
        <w:t>d</w:t>
      </w:r>
      <w:r w:rsidR="00775B5A" w:rsidRPr="00845122">
        <w:rPr>
          <w:b/>
          <w:bCs/>
          <w:snapToGrid w:val="0"/>
          <w:kern w:val="22"/>
          <w:lang w:val="es-ES"/>
        </w:rPr>
        <w:t>or 4.1.1</w:t>
      </w:r>
      <w:r w:rsidR="00775B5A" w:rsidRPr="00845122">
        <w:rPr>
          <w:snapToGrid w:val="0"/>
          <w:kern w:val="22"/>
          <w:lang w:val="es-ES"/>
        </w:rPr>
        <w:t xml:space="preserve"> (</w:t>
      </w:r>
      <w:r w:rsidRPr="00845122">
        <w:rPr>
          <w:snapToGrid w:val="0"/>
          <w:kern w:val="22"/>
          <w:lang w:val="es-ES"/>
        </w:rPr>
        <w:t>relación entre los informes sumarios de evaluación del riesgo y el número de decisiones sobre OVM</w:t>
      </w:r>
      <w:r w:rsidR="00775B5A" w:rsidRPr="00845122">
        <w:rPr>
          <w:snapToGrid w:val="0"/>
          <w:kern w:val="22"/>
          <w:lang w:val="es-ES"/>
        </w:rPr>
        <w:t xml:space="preserve">), </w:t>
      </w:r>
      <w:r w:rsidRPr="00845122">
        <w:rPr>
          <w:snapToGrid w:val="0"/>
          <w:kern w:val="22"/>
          <w:lang w:val="es-ES"/>
        </w:rPr>
        <w:t>la relación entre los informes de evaluación del riesgo y el número de decisiones sobre OVM</w:t>
      </w:r>
      <w:r w:rsidR="00775B5A">
        <w:rPr>
          <w:rStyle w:val="FootnoteReference"/>
          <w:rFonts w:ascii="Angsana New" w:hAnsi="Angsana New" w:cs="Angsana New"/>
          <w:snapToGrid w:val="0"/>
          <w:kern w:val="22"/>
        </w:rPr>
        <w:footnoteReference w:id="36"/>
      </w:r>
      <w:r w:rsidR="00775B5A" w:rsidRPr="00845122">
        <w:rPr>
          <w:snapToGrid w:val="0"/>
          <w:kern w:val="22"/>
          <w:lang w:val="es-ES"/>
        </w:rPr>
        <w:t xml:space="preserve"> </w:t>
      </w:r>
      <w:r w:rsidRPr="00845122">
        <w:rPr>
          <w:snapToGrid w:val="0"/>
          <w:kern w:val="22"/>
          <w:lang w:val="es-ES"/>
        </w:rPr>
        <w:t xml:space="preserve">en el CIISB ha aumentado de un </w:t>
      </w:r>
      <w:r w:rsidR="00775B5A" w:rsidRPr="00845122">
        <w:rPr>
          <w:snapToGrid w:val="0"/>
          <w:kern w:val="22"/>
          <w:lang w:val="es-ES"/>
        </w:rPr>
        <w:t>79</w:t>
      </w:r>
      <w:r w:rsidRPr="00845122">
        <w:rPr>
          <w:snapToGrid w:val="0"/>
          <w:kern w:val="22"/>
          <w:lang w:val="es-ES"/>
        </w:rPr>
        <w:t xml:space="preserve"> </w:t>
      </w:r>
      <w:r w:rsidR="00775B5A" w:rsidRPr="00845122">
        <w:rPr>
          <w:snapToGrid w:val="0"/>
          <w:kern w:val="22"/>
          <w:lang w:val="es-ES"/>
        </w:rPr>
        <w:t xml:space="preserve">% (514 </w:t>
      </w:r>
      <w:r>
        <w:rPr>
          <w:snapToGrid w:val="0"/>
          <w:kern w:val="22"/>
          <w:lang w:val="es-ES"/>
        </w:rPr>
        <w:t xml:space="preserve">evaluaciones del riesgo respecto </w:t>
      </w:r>
      <w:r>
        <w:rPr>
          <w:snapToGrid w:val="0"/>
          <w:kern w:val="22"/>
          <w:lang w:val="es-ES"/>
        </w:rPr>
        <w:lastRenderedPageBreak/>
        <w:t xml:space="preserve">de </w:t>
      </w:r>
      <w:r w:rsidR="00775B5A" w:rsidRPr="00845122">
        <w:rPr>
          <w:snapToGrid w:val="0"/>
          <w:kern w:val="22"/>
          <w:lang w:val="es-ES"/>
        </w:rPr>
        <w:t>650</w:t>
      </w:r>
      <w:r>
        <w:rPr>
          <w:snapToGrid w:val="0"/>
          <w:kern w:val="22"/>
          <w:lang w:val="es-ES"/>
        </w:rPr>
        <w:t xml:space="preserve"> </w:t>
      </w:r>
      <w:r w:rsidR="00775B5A" w:rsidRPr="00845122">
        <w:rPr>
          <w:snapToGrid w:val="0"/>
          <w:kern w:val="22"/>
          <w:lang w:val="es-ES"/>
        </w:rPr>
        <w:t>decision</w:t>
      </w:r>
      <w:r>
        <w:rPr>
          <w:snapToGrid w:val="0"/>
          <w:kern w:val="22"/>
          <w:lang w:val="es-ES"/>
        </w:rPr>
        <w:t>e</w:t>
      </w:r>
      <w:r w:rsidR="00775B5A" w:rsidRPr="00845122">
        <w:rPr>
          <w:snapToGrid w:val="0"/>
          <w:kern w:val="22"/>
          <w:lang w:val="es-ES"/>
        </w:rPr>
        <w:t xml:space="preserve">s) </w:t>
      </w:r>
      <w:r>
        <w:rPr>
          <w:snapToGrid w:val="0"/>
          <w:kern w:val="22"/>
          <w:lang w:val="es-ES"/>
        </w:rPr>
        <w:t xml:space="preserve">en enero de </w:t>
      </w:r>
      <w:r w:rsidR="00775B5A" w:rsidRPr="00845122">
        <w:rPr>
          <w:snapToGrid w:val="0"/>
          <w:kern w:val="22"/>
          <w:lang w:val="es-ES"/>
        </w:rPr>
        <w:t>2012</w:t>
      </w:r>
      <w:r w:rsidR="001B4CD7">
        <w:rPr>
          <w:snapToGrid w:val="0"/>
          <w:kern w:val="22"/>
          <w:lang w:val="es-ES"/>
        </w:rPr>
        <w:t>,</w:t>
      </w:r>
      <w:r w:rsidR="00775B5A" w:rsidRPr="00845122">
        <w:rPr>
          <w:snapToGrid w:val="0"/>
          <w:kern w:val="22"/>
          <w:lang w:val="es-ES"/>
        </w:rPr>
        <w:t xml:space="preserve"> </w:t>
      </w:r>
      <w:r>
        <w:rPr>
          <w:snapToGrid w:val="0"/>
          <w:kern w:val="22"/>
          <w:lang w:val="es-ES"/>
        </w:rPr>
        <w:t xml:space="preserve">un </w:t>
      </w:r>
      <w:r w:rsidR="00775B5A" w:rsidRPr="00845122">
        <w:rPr>
          <w:snapToGrid w:val="0"/>
          <w:kern w:val="22"/>
          <w:lang w:val="es-ES"/>
        </w:rPr>
        <w:t>92</w:t>
      </w:r>
      <w:r>
        <w:rPr>
          <w:snapToGrid w:val="0"/>
          <w:kern w:val="22"/>
          <w:lang w:val="es-ES"/>
        </w:rPr>
        <w:t xml:space="preserve"> </w:t>
      </w:r>
      <w:r w:rsidR="00775B5A" w:rsidRPr="00845122">
        <w:rPr>
          <w:snapToGrid w:val="0"/>
          <w:kern w:val="22"/>
          <w:lang w:val="es-ES"/>
        </w:rPr>
        <w:t xml:space="preserve">% (1198 </w:t>
      </w:r>
      <w:r>
        <w:rPr>
          <w:snapToGrid w:val="0"/>
          <w:kern w:val="22"/>
          <w:lang w:val="es-ES"/>
        </w:rPr>
        <w:t xml:space="preserve">evaluaciones del riesgo respecto de </w:t>
      </w:r>
      <w:r w:rsidR="00775B5A" w:rsidRPr="00845122">
        <w:rPr>
          <w:snapToGrid w:val="0"/>
          <w:kern w:val="22"/>
          <w:lang w:val="es-ES"/>
        </w:rPr>
        <w:t>1299</w:t>
      </w:r>
      <w:r>
        <w:rPr>
          <w:snapToGrid w:val="0"/>
          <w:kern w:val="22"/>
          <w:lang w:val="es-ES"/>
        </w:rPr>
        <w:t xml:space="preserve"> </w:t>
      </w:r>
      <w:r w:rsidR="00775B5A" w:rsidRPr="00845122">
        <w:rPr>
          <w:snapToGrid w:val="0"/>
          <w:kern w:val="22"/>
          <w:lang w:val="es-ES"/>
        </w:rPr>
        <w:t>decision</w:t>
      </w:r>
      <w:r>
        <w:rPr>
          <w:snapToGrid w:val="0"/>
          <w:kern w:val="22"/>
          <w:lang w:val="es-ES"/>
        </w:rPr>
        <w:t xml:space="preserve">es) en enero de </w:t>
      </w:r>
      <w:r w:rsidR="00775B5A" w:rsidRPr="00845122">
        <w:rPr>
          <w:snapToGrid w:val="0"/>
          <w:kern w:val="22"/>
          <w:lang w:val="es-ES"/>
        </w:rPr>
        <w:t>2016</w:t>
      </w:r>
      <w:r w:rsidR="001B4CD7">
        <w:rPr>
          <w:snapToGrid w:val="0"/>
          <w:kern w:val="22"/>
          <w:lang w:val="es-ES"/>
        </w:rPr>
        <w:t>,</w:t>
      </w:r>
      <w:r w:rsidR="00775B5A" w:rsidRPr="00845122">
        <w:rPr>
          <w:snapToGrid w:val="0"/>
          <w:kern w:val="22"/>
          <w:lang w:val="es-ES"/>
        </w:rPr>
        <w:t xml:space="preserve"> </w:t>
      </w:r>
      <w:r>
        <w:rPr>
          <w:snapToGrid w:val="0"/>
          <w:kern w:val="22"/>
          <w:lang w:val="es-ES"/>
        </w:rPr>
        <w:t xml:space="preserve">hasta un </w:t>
      </w:r>
      <w:r w:rsidR="00775B5A" w:rsidRPr="00845122">
        <w:rPr>
          <w:snapToGrid w:val="0"/>
          <w:kern w:val="22"/>
          <w:lang w:val="es-ES"/>
        </w:rPr>
        <w:t>96</w:t>
      </w:r>
      <w:r>
        <w:rPr>
          <w:snapToGrid w:val="0"/>
          <w:kern w:val="22"/>
          <w:lang w:val="es-ES"/>
        </w:rPr>
        <w:t xml:space="preserve"> </w:t>
      </w:r>
      <w:r w:rsidR="00775B5A" w:rsidRPr="00845122">
        <w:rPr>
          <w:snapToGrid w:val="0"/>
          <w:kern w:val="22"/>
          <w:lang w:val="es-ES"/>
        </w:rPr>
        <w:t>% (2055</w:t>
      </w:r>
      <w:r>
        <w:rPr>
          <w:snapToGrid w:val="0"/>
          <w:kern w:val="22"/>
          <w:lang w:val="es-ES"/>
        </w:rPr>
        <w:t xml:space="preserve"> evaluaciones del riesgo respecto de </w:t>
      </w:r>
      <w:r w:rsidR="00775B5A" w:rsidRPr="00845122">
        <w:rPr>
          <w:snapToGrid w:val="0"/>
          <w:kern w:val="22"/>
          <w:lang w:val="es-ES"/>
        </w:rPr>
        <w:t>2134</w:t>
      </w:r>
      <w:r>
        <w:rPr>
          <w:snapToGrid w:val="0"/>
          <w:kern w:val="22"/>
          <w:lang w:val="es-ES"/>
        </w:rPr>
        <w:t xml:space="preserve"> </w:t>
      </w:r>
      <w:r w:rsidR="00775B5A" w:rsidRPr="00845122">
        <w:rPr>
          <w:snapToGrid w:val="0"/>
          <w:kern w:val="22"/>
          <w:lang w:val="es-ES"/>
        </w:rPr>
        <w:t>decision</w:t>
      </w:r>
      <w:r>
        <w:rPr>
          <w:snapToGrid w:val="0"/>
          <w:kern w:val="22"/>
          <w:lang w:val="es-ES"/>
        </w:rPr>
        <w:t>e</w:t>
      </w:r>
      <w:r w:rsidR="00775B5A" w:rsidRPr="00845122">
        <w:rPr>
          <w:snapToGrid w:val="0"/>
          <w:kern w:val="22"/>
          <w:lang w:val="es-ES"/>
        </w:rPr>
        <w:t>s) a</w:t>
      </w:r>
      <w:r>
        <w:rPr>
          <w:snapToGrid w:val="0"/>
          <w:kern w:val="22"/>
          <w:lang w:val="es-ES"/>
        </w:rPr>
        <w:t xml:space="preserve"> fecha de enero de </w:t>
      </w:r>
      <w:r w:rsidR="00775B5A" w:rsidRPr="00845122">
        <w:rPr>
          <w:snapToGrid w:val="0"/>
          <w:kern w:val="22"/>
          <w:lang w:val="es-ES"/>
        </w:rPr>
        <w:t xml:space="preserve">2020. </w:t>
      </w:r>
      <w:r>
        <w:rPr>
          <w:snapToGrid w:val="0"/>
          <w:kern w:val="22"/>
          <w:lang w:val="es-ES"/>
        </w:rPr>
        <w:t xml:space="preserve">Desde la base de referencia, esto representa un aumento de un </w:t>
      </w:r>
      <w:r w:rsidR="00775B5A" w:rsidRPr="00845122">
        <w:rPr>
          <w:snapToGrid w:val="0"/>
          <w:kern w:val="22"/>
          <w:lang w:val="es-ES"/>
        </w:rPr>
        <w:t>17</w:t>
      </w:r>
      <w:r w:rsidRPr="00845122">
        <w:rPr>
          <w:snapToGrid w:val="0"/>
          <w:kern w:val="22"/>
          <w:lang w:val="es-ES"/>
        </w:rPr>
        <w:t xml:space="preserve"> </w:t>
      </w:r>
      <w:r w:rsidR="00775B5A" w:rsidRPr="00845122">
        <w:rPr>
          <w:snapToGrid w:val="0"/>
          <w:kern w:val="22"/>
          <w:lang w:val="es-ES"/>
        </w:rPr>
        <w:t>%.</w:t>
      </w:r>
    </w:p>
    <w:p w:rsidR="00775B5A" w:rsidRPr="00E330CD" w:rsidRDefault="00845122"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E330CD">
        <w:rPr>
          <w:snapToGrid w:val="0"/>
          <w:kern w:val="22"/>
          <w:lang w:val="es-ES"/>
        </w:rPr>
        <w:t xml:space="preserve">En lo tocante al </w:t>
      </w:r>
      <w:r w:rsidR="00775B5A" w:rsidRPr="00E330CD">
        <w:rPr>
          <w:b/>
          <w:bCs/>
          <w:snapToGrid w:val="0"/>
          <w:kern w:val="22"/>
          <w:lang w:val="es-ES"/>
        </w:rPr>
        <w:t>indica</w:t>
      </w:r>
      <w:r w:rsidRPr="00E330CD">
        <w:rPr>
          <w:b/>
          <w:bCs/>
          <w:snapToGrid w:val="0"/>
          <w:kern w:val="22"/>
          <w:lang w:val="es-ES"/>
        </w:rPr>
        <w:t>d</w:t>
      </w:r>
      <w:r w:rsidR="00775B5A" w:rsidRPr="00E330CD">
        <w:rPr>
          <w:b/>
          <w:bCs/>
          <w:snapToGrid w:val="0"/>
          <w:kern w:val="22"/>
          <w:lang w:val="es-ES"/>
        </w:rPr>
        <w:t>or 4.1.2</w:t>
      </w:r>
      <w:r w:rsidR="00775B5A" w:rsidRPr="00E330CD">
        <w:rPr>
          <w:snapToGrid w:val="0"/>
          <w:kern w:val="22"/>
          <w:lang w:val="es-ES"/>
        </w:rPr>
        <w:t xml:space="preserve"> (</w:t>
      </w:r>
      <w:bookmarkStart w:id="24" w:name="_Hlk30511038"/>
      <w:r w:rsidR="00E330CD" w:rsidRPr="00E330CD">
        <w:rPr>
          <w:snapToGrid w:val="0"/>
          <w:kern w:val="22"/>
          <w:lang w:val="es-ES"/>
        </w:rPr>
        <w:t>número de publicaciones que contiene el Centro de Recursos de Información sobre Seguridad de la Biotecnolog</w:t>
      </w:r>
      <w:r w:rsidR="00E330CD">
        <w:rPr>
          <w:snapToGrid w:val="0"/>
          <w:kern w:val="22"/>
          <w:lang w:val="es-ES"/>
        </w:rPr>
        <w:t xml:space="preserve">ía </w:t>
      </w:r>
      <w:r w:rsidR="00775B5A" w:rsidRPr="00E330CD">
        <w:rPr>
          <w:snapToGrid w:val="0"/>
          <w:kern w:val="22"/>
          <w:lang w:val="es-ES"/>
        </w:rPr>
        <w:t>(</w:t>
      </w:r>
      <w:r w:rsidR="00E330CD">
        <w:rPr>
          <w:snapToGrid w:val="0"/>
          <w:kern w:val="22"/>
          <w:lang w:val="es-ES"/>
        </w:rPr>
        <w:t>CRISB</w:t>
      </w:r>
      <w:r w:rsidR="00775B5A" w:rsidRPr="00E330CD">
        <w:rPr>
          <w:snapToGrid w:val="0"/>
          <w:kern w:val="22"/>
          <w:lang w:val="es-ES"/>
        </w:rPr>
        <w:t xml:space="preserve">)), </w:t>
      </w:r>
      <w:bookmarkEnd w:id="24"/>
      <w:r w:rsidR="00E330CD">
        <w:rPr>
          <w:snapToGrid w:val="0"/>
          <w:kern w:val="22"/>
          <w:lang w:val="es-ES"/>
        </w:rPr>
        <w:t xml:space="preserve">el número de publicaciones que contiene el CRISB aumentó desde </w:t>
      </w:r>
      <w:r w:rsidR="00775B5A" w:rsidRPr="00E330CD">
        <w:rPr>
          <w:snapToGrid w:val="0"/>
          <w:kern w:val="22"/>
          <w:lang w:val="es-ES"/>
        </w:rPr>
        <w:t xml:space="preserve">1223 </w:t>
      </w:r>
      <w:r w:rsidR="00E330CD">
        <w:rPr>
          <w:snapToGrid w:val="0"/>
          <w:kern w:val="22"/>
          <w:lang w:val="es-ES"/>
        </w:rPr>
        <w:t xml:space="preserve">en diciembre de </w:t>
      </w:r>
      <w:r w:rsidR="00775B5A" w:rsidRPr="00E330CD">
        <w:rPr>
          <w:snapToGrid w:val="0"/>
          <w:kern w:val="22"/>
          <w:lang w:val="es-ES"/>
        </w:rPr>
        <w:t xml:space="preserve">2012 </w:t>
      </w:r>
      <w:r w:rsidR="00E330CD">
        <w:rPr>
          <w:snapToGrid w:val="0"/>
          <w:kern w:val="22"/>
          <w:lang w:val="es-ES"/>
        </w:rPr>
        <w:t>hasta</w:t>
      </w:r>
      <w:r w:rsidR="00775B5A" w:rsidRPr="00E330CD">
        <w:rPr>
          <w:snapToGrid w:val="0"/>
          <w:kern w:val="22"/>
          <w:lang w:val="es-ES"/>
        </w:rPr>
        <w:t xml:space="preserve"> 1527 </w:t>
      </w:r>
      <w:r w:rsidR="00E330CD">
        <w:rPr>
          <w:snapToGrid w:val="0"/>
          <w:kern w:val="22"/>
          <w:lang w:val="es-ES"/>
        </w:rPr>
        <w:t xml:space="preserve">en enero de </w:t>
      </w:r>
      <w:r w:rsidR="00775B5A" w:rsidRPr="00E330CD">
        <w:rPr>
          <w:snapToGrid w:val="0"/>
          <w:kern w:val="22"/>
          <w:lang w:val="es-ES"/>
        </w:rPr>
        <w:t xml:space="preserve">2020, </w:t>
      </w:r>
      <w:r w:rsidR="00E330CD">
        <w:rPr>
          <w:snapToGrid w:val="0"/>
          <w:kern w:val="22"/>
          <w:lang w:val="es-ES"/>
        </w:rPr>
        <w:t xml:space="preserve">lo que supone un aumento de un </w:t>
      </w:r>
      <w:r w:rsidR="00775B5A" w:rsidRPr="00E330CD">
        <w:rPr>
          <w:snapToGrid w:val="0"/>
          <w:kern w:val="22"/>
          <w:lang w:val="es-ES"/>
        </w:rPr>
        <w:t>25</w:t>
      </w:r>
      <w:r w:rsidR="00E330CD">
        <w:rPr>
          <w:snapToGrid w:val="0"/>
          <w:kern w:val="22"/>
          <w:lang w:val="es-ES"/>
        </w:rPr>
        <w:t xml:space="preserve"> </w:t>
      </w:r>
      <w:r w:rsidR="00775B5A" w:rsidRPr="00E330CD">
        <w:rPr>
          <w:snapToGrid w:val="0"/>
          <w:kern w:val="22"/>
          <w:lang w:val="es-ES"/>
        </w:rPr>
        <w:t xml:space="preserve">% </w:t>
      </w:r>
      <w:r w:rsidR="00E330CD">
        <w:rPr>
          <w:snapToGrid w:val="0"/>
          <w:kern w:val="22"/>
          <w:lang w:val="es-ES"/>
        </w:rPr>
        <w:t>con respecto a los datos básicos de referencia.</w:t>
      </w:r>
    </w:p>
    <w:p w:rsidR="00775B5A" w:rsidRPr="00627AE2" w:rsidRDefault="00627AE2"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627AE2">
        <w:rPr>
          <w:snapToGrid w:val="0"/>
          <w:kern w:val="22"/>
          <w:lang w:val="es-ES"/>
        </w:rPr>
        <w:t xml:space="preserve">En relación con el </w:t>
      </w:r>
      <w:r w:rsidR="00775B5A" w:rsidRPr="00627AE2">
        <w:rPr>
          <w:b/>
          <w:bCs/>
          <w:snapToGrid w:val="0"/>
          <w:kern w:val="22"/>
          <w:lang w:val="es-ES"/>
        </w:rPr>
        <w:t>indica</w:t>
      </w:r>
      <w:r w:rsidRPr="00627AE2">
        <w:rPr>
          <w:b/>
          <w:bCs/>
          <w:snapToGrid w:val="0"/>
          <w:kern w:val="22"/>
          <w:lang w:val="es-ES"/>
        </w:rPr>
        <w:t>d</w:t>
      </w:r>
      <w:r w:rsidR="00775B5A" w:rsidRPr="00627AE2">
        <w:rPr>
          <w:b/>
          <w:bCs/>
          <w:snapToGrid w:val="0"/>
          <w:kern w:val="22"/>
          <w:lang w:val="es-ES"/>
        </w:rPr>
        <w:t>or 4.1.3</w:t>
      </w:r>
      <w:r w:rsidRPr="00627AE2">
        <w:rPr>
          <w:b/>
          <w:bCs/>
          <w:snapToGrid w:val="0"/>
          <w:kern w:val="22"/>
          <w:lang w:val="es-ES"/>
        </w:rPr>
        <w:t xml:space="preserve"> </w:t>
      </w:r>
      <w:r w:rsidR="00775B5A" w:rsidRPr="00627AE2">
        <w:rPr>
          <w:snapToGrid w:val="0"/>
          <w:kern w:val="22"/>
          <w:lang w:val="es-ES"/>
        </w:rPr>
        <w:t>(</w:t>
      </w:r>
      <w:r w:rsidRPr="00627AE2">
        <w:rPr>
          <w:snapToGrid w:val="0"/>
          <w:kern w:val="22"/>
          <w:lang w:val="es-ES"/>
        </w:rPr>
        <w:t xml:space="preserve">el volumen de tráfico </w:t>
      </w:r>
      <w:r w:rsidR="00775B5A" w:rsidRPr="00627AE2">
        <w:rPr>
          <w:snapToGrid w:val="0"/>
          <w:kern w:val="22"/>
          <w:lang w:val="es-ES"/>
        </w:rPr>
        <w:t>(</w:t>
      </w:r>
      <w:r w:rsidRPr="00627AE2">
        <w:rPr>
          <w:snapToGrid w:val="0"/>
          <w:kern w:val="22"/>
          <w:lang w:val="es-ES"/>
        </w:rPr>
        <w:t>promedio anual durante todos los periodos de presentación de informes</w:t>
      </w:r>
      <w:r w:rsidR="00775B5A" w:rsidRPr="00627AE2">
        <w:rPr>
          <w:snapToGrid w:val="0"/>
          <w:kern w:val="22"/>
          <w:lang w:val="es-ES"/>
        </w:rPr>
        <w:t xml:space="preserve">) </w:t>
      </w:r>
      <w:r w:rsidRPr="00627AE2">
        <w:rPr>
          <w:snapToGrid w:val="0"/>
          <w:kern w:val="22"/>
          <w:lang w:val="es-ES"/>
        </w:rPr>
        <w:t>de usuarios al CIISB (medido mundialmente</w:t>
      </w:r>
      <w:r w:rsidR="00775B5A" w:rsidRPr="00627AE2">
        <w:rPr>
          <w:snapToGrid w:val="0"/>
          <w:kern w:val="22"/>
          <w:lang w:val="es-ES"/>
        </w:rPr>
        <w:t xml:space="preserve">)), </w:t>
      </w:r>
      <w:r w:rsidRPr="00627AE2">
        <w:rPr>
          <w:snapToGrid w:val="0"/>
          <w:kern w:val="22"/>
          <w:lang w:val="es-ES"/>
        </w:rPr>
        <w:t>en el segundo ciclo de presentaci</w:t>
      </w:r>
      <w:r>
        <w:rPr>
          <w:snapToGrid w:val="0"/>
          <w:kern w:val="22"/>
          <w:lang w:val="es-ES"/>
        </w:rPr>
        <w:t xml:space="preserve">ón de informes el promedio anual de visitas fue de </w:t>
      </w:r>
      <w:r w:rsidR="00775B5A" w:rsidRPr="00627AE2">
        <w:rPr>
          <w:snapToGrid w:val="0"/>
          <w:kern w:val="22"/>
          <w:lang w:val="es-ES"/>
        </w:rPr>
        <w:t>136</w:t>
      </w:r>
      <w:r>
        <w:rPr>
          <w:snapToGrid w:val="0"/>
          <w:kern w:val="22"/>
          <w:lang w:val="es-ES"/>
        </w:rPr>
        <w:t xml:space="preserve"> </w:t>
      </w:r>
      <w:r w:rsidR="00775B5A" w:rsidRPr="00627AE2">
        <w:rPr>
          <w:snapToGrid w:val="0"/>
          <w:kern w:val="22"/>
          <w:lang w:val="es-ES"/>
        </w:rPr>
        <w:t xml:space="preserve">450 </w:t>
      </w:r>
      <w:r>
        <w:rPr>
          <w:snapToGrid w:val="0"/>
          <w:kern w:val="22"/>
          <w:lang w:val="es-ES"/>
        </w:rPr>
        <w:t xml:space="preserve">y la media anual de visitantes individuales fue de </w:t>
      </w:r>
      <w:r w:rsidR="00775B5A" w:rsidRPr="00627AE2">
        <w:rPr>
          <w:snapToGrid w:val="0"/>
          <w:kern w:val="22"/>
          <w:lang w:val="es-ES"/>
        </w:rPr>
        <w:t>83</w:t>
      </w:r>
      <w:r>
        <w:rPr>
          <w:snapToGrid w:val="0"/>
          <w:kern w:val="22"/>
          <w:lang w:val="es-ES"/>
        </w:rPr>
        <w:t xml:space="preserve"> </w:t>
      </w:r>
      <w:r w:rsidR="00775B5A" w:rsidRPr="00627AE2">
        <w:rPr>
          <w:snapToGrid w:val="0"/>
          <w:kern w:val="22"/>
          <w:lang w:val="es-ES"/>
        </w:rPr>
        <w:t xml:space="preserve">159. </w:t>
      </w:r>
      <w:r w:rsidRPr="00627AE2">
        <w:rPr>
          <w:snapToGrid w:val="0"/>
          <w:kern w:val="22"/>
          <w:lang w:val="es-ES"/>
        </w:rPr>
        <w:t>En el cuarto ciclo de presentación de informes, estos promedios anuales aumentaron hasta</w:t>
      </w:r>
      <w:r w:rsidR="00775B5A" w:rsidRPr="00627AE2">
        <w:rPr>
          <w:snapToGrid w:val="0"/>
          <w:kern w:val="22"/>
          <w:lang w:val="es-ES"/>
        </w:rPr>
        <w:t xml:space="preserve"> 169</w:t>
      </w:r>
      <w:r w:rsidRPr="00627AE2">
        <w:rPr>
          <w:snapToGrid w:val="0"/>
          <w:kern w:val="22"/>
          <w:lang w:val="es-ES"/>
        </w:rPr>
        <w:t xml:space="preserve"> </w:t>
      </w:r>
      <w:r w:rsidR="00775B5A" w:rsidRPr="00627AE2">
        <w:rPr>
          <w:snapToGrid w:val="0"/>
          <w:kern w:val="22"/>
          <w:lang w:val="es-ES"/>
        </w:rPr>
        <w:t>864 visit</w:t>
      </w:r>
      <w:r>
        <w:rPr>
          <w:snapToGrid w:val="0"/>
          <w:kern w:val="22"/>
          <w:lang w:val="es-ES"/>
        </w:rPr>
        <w:t>a</w:t>
      </w:r>
      <w:r w:rsidR="00775B5A" w:rsidRPr="00627AE2">
        <w:rPr>
          <w:snapToGrid w:val="0"/>
          <w:kern w:val="22"/>
          <w:lang w:val="es-ES"/>
        </w:rPr>
        <w:t xml:space="preserve">s </w:t>
      </w:r>
      <w:r>
        <w:rPr>
          <w:snapToGrid w:val="0"/>
          <w:kern w:val="22"/>
          <w:lang w:val="es-ES"/>
        </w:rPr>
        <w:t>y</w:t>
      </w:r>
      <w:r w:rsidR="00775B5A" w:rsidRPr="00627AE2">
        <w:rPr>
          <w:snapToGrid w:val="0"/>
          <w:kern w:val="22"/>
          <w:lang w:val="es-ES"/>
        </w:rPr>
        <w:t xml:space="preserve"> 106</w:t>
      </w:r>
      <w:r>
        <w:rPr>
          <w:snapToGrid w:val="0"/>
          <w:kern w:val="22"/>
          <w:lang w:val="es-ES"/>
        </w:rPr>
        <w:t xml:space="preserve"> </w:t>
      </w:r>
      <w:r w:rsidR="00775B5A" w:rsidRPr="00627AE2">
        <w:rPr>
          <w:snapToGrid w:val="0"/>
          <w:kern w:val="22"/>
          <w:lang w:val="es-ES"/>
        </w:rPr>
        <w:t xml:space="preserve">184 </w:t>
      </w:r>
      <w:r>
        <w:rPr>
          <w:snapToGrid w:val="0"/>
          <w:kern w:val="22"/>
          <w:lang w:val="es-ES"/>
        </w:rPr>
        <w:t>visitantes individuales</w:t>
      </w:r>
      <w:r w:rsidR="00775B5A" w:rsidRPr="00627AE2">
        <w:rPr>
          <w:snapToGrid w:val="0"/>
          <w:kern w:val="22"/>
          <w:lang w:val="es-ES"/>
        </w:rPr>
        <w:t xml:space="preserve">. </w:t>
      </w:r>
      <w:r>
        <w:rPr>
          <w:snapToGrid w:val="0"/>
          <w:kern w:val="22"/>
          <w:lang w:val="es-ES"/>
        </w:rPr>
        <w:t xml:space="preserve">Esto representa un aumento en visitas y visitantes individuales de un </w:t>
      </w:r>
      <w:r w:rsidR="00775B5A" w:rsidRPr="00627AE2">
        <w:rPr>
          <w:snapToGrid w:val="0"/>
          <w:kern w:val="22"/>
          <w:lang w:val="es-ES"/>
        </w:rPr>
        <w:t>24</w:t>
      </w:r>
      <w:r w:rsidRPr="00627AE2">
        <w:rPr>
          <w:snapToGrid w:val="0"/>
          <w:kern w:val="22"/>
          <w:lang w:val="es-ES"/>
        </w:rPr>
        <w:t xml:space="preserve"> % y</w:t>
      </w:r>
      <w:r w:rsidR="00775B5A" w:rsidRPr="00627AE2">
        <w:rPr>
          <w:snapToGrid w:val="0"/>
          <w:kern w:val="22"/>
          <w:lang w:val="es-ES"/>
        </w:rPr>
        <w:t xml:space="preserve"> 28</w:t>
      </w:r>
      <w:r w:rsidRPr="00627AE2">
        <w:rPr>
          <w:snapToGrid w:val="0"/>
          <w:kern w:val="22"/>
          <w:lang w:val="es-ES"/>
        </w:rPr>
        <w:t xml:space="preserve"> </w:t>
      </w:r>
      <w:r w:rsidR="00775B5A" w:rsidRPr="00627AE2">
        <w:rPr>
          <w:snapToGrid w:val="0"/>
          <w:kern w:val="22"/>
          <w:lang w:val="es-ES"/>
        </w:rPr>
        <w:t xml:space="preserve">% </w:t>
      </w:r>
      <w:r>
        <w:rPr>
          <w:snapToGrid w:val="0"/>
          <w:kern w:val="22"/>
          <w:lang w:val="es-ES"/>
        </w:rPr>
        <w:t>con respecto a los datos básicos de referencia</w:t>
      </w:r>
      <w:r w:rsidR="00775B5A" w:rsidRPr="00627AE2">
        <w:rPr>
          <w:snapToGrid w:val="0"/>
          <w:kern w:val="22"/>
          <w:lang w:val="es-ES"/>
        </w:rPr>
        <w:t>, respectiv</w:t>
      </w:r>
      <w:r>
        <w:rPr>
          <w:snapToGrid w:val="0"/>
          <w:kern w:val="22"/>
          <w:lang w:val="es-ES"/>
        </w:rPr>
        <w:t>amente</w:t>
      </w:r>
      <w:r w:rsidR="00775B5A" w:rsidRPr="00627AE2">
        <w:rPr>
          <w:snapToGrid w:val="0"/>
          <w:kern w:val="22"/>
          <w:lang w:val="es-ES"/>
        </w:rPr>
        <w:t>. (</w:t>
      </w:r>
      <w:r>
        <w:rPr>
          <w:snapToGrid w:val="0"/>
          <w:kern w:val="22"/>
          <w:lang w:val="es-ES"/>
        </w:rPr>
        <w:t>Véase</w:t>
      </w:r>
      <w:r w:rsidR="001876C2">
        <w:rPr>
          <w:snapToGrid w:val="0"/>
          <w:kern w:val="22"/>
          <w:lang w:val="es-ES"/>
        </w:rPr>
        <w:t xml:space="preserve"> el gráfico</w:t>
      </w:r>
      <w:r w:rsidR="00775B5A" w:rsidRPr="00627AE2">
        <w:rPr>
          <w:snapToGrid w:val="0"/>
          <w:kern w:val="22"/>
          <w:lang w:val="es-ES"/>
        </w:rPr>
        <w:t xml:space="preserve"> 7 </w:t>
      </w:r>
      <w:r>
        <w:rPr>
          <w:i/>
          <w:snapToGrid w:val="0"/>
          <w:kern w:val="22"/>
          <w:lang w:val="es-ES"/>
        </w:rPr>
        <w:t>supra</w:t>
      </w:r>
      <w:r w:rsidR="00775B5A" w:rsidRPr="00627AE2">
        <w:rPr>
          <w:snapToGrid w:val="0"/>
          <w:kern w:val="22"/>
          <w:lang w:val="es-ES"/>
        </w:rPr>
        <w:t>).</w:t>
      </w:r>
    </w:p>
    <w:p w:rsidR="00775B5A" w:rsidRPr="00376B4B" w:rsidRDefault="00627AE2"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376B4B">
        <w:rPr>
          <w:snapToGrid w:val="0"/>
          <w:kern w:val="22"/>
          <w:lang w:val="es-ES"/>
        </w:rPr>
        <w:t xml:space="preserve">En lo que respecta al </w:t>
      </w:r>
      <w:r w:rsidR="00775B5A" w:rsidRPr="00376B4B">
        <w:rPr>
          <w:b/>
          <w:bCs/>
          <w:snapToGrid w:val="0"/>
          <w:kern w:val="22"/>
          <w:lang w:val="es-ES"/>
        </w:rPr>
        <w:t>indica</w:t>
      </w:r>
      <w:r w:rsidRPr="00376B4B">
        <w:rPr>
          <w:b/>
          <w:bCs/>
          <w:snapToGrid w:val="0"/>
          <w:kern w:val="22"/>
          <w:lang w:val="es-ES"/>
        </w:rPr>
        <w:t>d</w:t>
      </w:r>
      <w:r w:rsidR="00775B5A" w:rsidRPr="00376B4B">
        <w:rPr>
          <w:b/>
          <w:bCs/>
          <w:snapToGrid w:val="0"/>
          <w:kern w:val="22"/>
          <w:lang w:val="es-ES"/>
        </w:rPr>
        <w:t>or 4.1.4</w:t>
      </w:r>
      <w:r w:rsidR="00775B5A" w:rsidRPr="00376B4B">
        <w:rPr>
          <w:snapToGrid w:val="0"/>
          <w:kern w:val="22"/>
          <w:lang w:val="es-ES"/>
        </w:rPr>
        <w:t xml:space="preserve"> (n</w:t>
      </w:r>
      <w:r w:rsidR="00376B4B" w:rsidRPr="00376B4B">
        <w:rPr>
          <w:snapToGrid w:val="0"/>
          <w:kern w:val="22"/>
          <w:lang w:val="es-ES"/>
        </w:rPr>
        <w:t>úmero de referencias al CIISB)</w:t>
      </w:r>
      <w:r w:rsidR="00775B5A" w:rsidRPr="00376B4B">
        <w:rPr>
          <w:snapToGrid w:val="0"/>
          <w:kern w:val="22"/>
          <w:lang w:val="es-ES"/>
        </w:rPr>
        <w:t xml:space="preserve">, </w:t>
      </w:r>
      <w:r w:rsidR="00376B4B">
        <w:rPr>
          <w:snapToGrid w:val="0"/>
          <w:kern w:val="22"/>
          <w:lang w:val="es-ES"/>
        </w:rPr>
        <w:t>se analizó la información relacionada con las referencias a través de las redes sociales</w:t>
      </w:r>
      <w:r w:rsidR="00775B5A" w:rsidRPr="00376B4B">
        <w:rPr>
          <w:snapToGrid w:val="0"/>
          <w:kern w:val="22"/>
          <w:lang w:val="es-ES"/>
        </w:rPr>
        <w:t xml:space="preserve">. </w:t>
      </w:r>
      <w:r w:rsidR="00376B4B" w:rsidRPr="00376B4B">
        <w:rPr>
          <w:snapToGrid w:val="0"/>
          <w:kern w:val="22"/>
          <w:lang w:val="es-ES"/>
        </w:rPr>
        <w:t>El número de visitant</w:t>
      </w:r>
      <w:r w:rsidR="00376B4B">
        <w:rPr>
          <w:snapToGrid w:val="0"/>
          <w:kern w:val="22"/>
          <w:lang w:val="es-ES"/>
        </w:rPr>
        <w:t>e</w:t>
      </w:r>
      <w:r w:rsidR="00376B4B" w:rsidRPr="00376B4B">
        <w:rPr>
          <w:snapToGrid w:val="0"/>
          <w:kern w:val="22"/>
          <w:lang w:val="es-ES"/>
        </w:rPr>
        <w:t xml:space="preserve">s que llegaron al CIISB </w:t>
      </w:r>
      <w:r w:rsidR="00376B4B">
        <w:rPr>
          <w:snapToGrid w:val="0"/>
          <w:kern w:val="22"/>
          <w:lang w:val="es-ES"/>
        </w:rPr>
        <w:t>al hacer c</w:t>
      </w:r>
      <w:r w:rsidR="00376B4B" w:rsidRPr="00376B4B">
        <w:rPr>
          <w:snapToGrid w:val="0"/>
          <w:kern w:val="22"/>
          <w:lang w:val="es-ES"/>
        </w:rPr>
        <w:t>lic en los enlaces de las redes sociales aument</w:t>
      </w:r>
      <w:r w:rsidR="00376B4B">
        <w:rPr>
          <w:snapToGrid w:val="0"/>
          <w:kern w:val="22"/>
          <w:lang w:val="es-ES"/>
        </w:rPr>
        <w:t xml:space="preserve">ó de </w:t>
      </w:r>
      <w:r w:rsidR="00775B5A" w:rsidRPr="00376B4B">
        <w:rPr>
          <w:snapToGrid w:val="0"/>
          <w:kern w:val="22"/>
          <w:lang w:val="es-ES"/>
        </w:rPr>
        <w:t xml:space="preserve">1458 </w:t>
      </w:r>
      <w:r w:rsidR="00376B4B">
        <w:rPr>
          <w:snapToGrid w:val="0"/>
          <w:kern w:val="22"/>
          <w:lang w:val="es-ES"/>
        </w:rPr>
        <w:t xml:space="preserve">en el segundo ciclo de presentación de informes hasta </w:t>
      </w:r>
      <w:r w:rsidR="00775B5A" w:rsidRPr="00376B4B">
        <w:rPr>
          <w:snapToGrid w:val="0"/>
          <w:kern w:val="22"/>
          <w:lang w:val="es-ES"/>
        </w:rPr>
        <w:t>3791 visit</w:t>
      </w:r>
      <w:r w:rsidR="00376B4B">
        <w:rPr>
          <w:snapToGrid w:val="0"/>
          <w:kern w:val="22"/>
          <w:lang w:val="es-ES"/>
        </w:rPr>
        <w:t>a</w:t>
      </w:r>
      <w:r w:rsidR="00775B5A" w:rsidRPr="00376B4B">
        <w:rPr>
          <w:snapToGrid w:val="0"/>
          <w:kern w:val="22"/>
          <w:lang w:val="es-ES"/>
        </w:rPr>
        <w:t xml:space="preserve">s </w:t>
      </w:r>
      <w:r w:rsidR="00376B4B">
        <w:rPr>
          <w:snapToGrid w:val="0"/>
          <w:kern w:val="22"/>
          <w:lang w:val="es-ES"/>
        </w:rPr>
        <w:t>en el cuarto ciclo de presentación de informes</w:t>
      </w:r>
      <w:r w:rsidR="00775B5A" w:rsidRPr="00376B4B">
        <w:rPr>
          <w:snapToGrid w:val="0"/>
          <w:kern w:val="22"/>
          <w:lang w:val="es-ES"/>
        </w:rPr>
        <w:t xml:space="preserve">. </w:t>
      </w:r>
      <w:r w:rsidR="00376B4B" w:rsidRPr="00376B4B">
        <w:rPr>
          <w:snapToGrid w:val="0"/>
          <w:kern w:val="22"/>
          <w:lang w:val="es-ES"/>
        </w:rPr>
        <w:t>E</w:t>
      </w:r>
      <w:r w:rsidR="00376B4B">
        <w:rPr>
          <w:snapToGrid w:val="0"/>
          <w:kern w:val="22"/>
          <w:lang w:val="es-ES"/>
        </w:rPr>
        <w:t xml:space="preserve">sto representa un aumento global de un </w:t>
      </w:r>
      <w:r w:rsidR="00775B5A" w:rsidRPr="00376B4B">
        <w:rPr>
          <w:snapToGrid w:val="0"/>
          <w:kern w:val="22"/>
          <w:lang w:val="es-ES"/>
        </w:rPr>
        <w:t>160</w:t>
      </w:r>
      <w:r w:rsidR="00376B4B" w:rsidRPr="00376B4B">
        <w:rPr>
          <w:snapToGrid w:val="0"/>
          <w:kern w:val="22"/>
          <w:lang w:val="es-ES"/>
        </w:rPr>
        <w:t xml:space="preserve"> </w:t>
      </w:r>
      <w:r w:rsidR="00775B5A" w:rsidRPr="00376B4B">
        <w:rPr>
          <w:snapToGrid w:val="0"/>
          <w:kern w:val="22"/>
          <w:lang w:val="es-ES"/>
        </w:rPr>
        <w:t xml:space="preserve">% </w:t>
      </w:r>
      <w:r w:rsidR="00376B4B">
        <w:rPr>
          <w:snapToGrid w:val="0"/>
          <w:kern w:val="22"/>
          <w:lang w:val="es-ES"/>
        </w:rPr>
        <w:t>con respecto a los datos básicos de referencia</w:t>
      </w:r>
      <w:r w:rsidR="00775B5A" w:rsidRPr="00376B4B">
        <w:rPr>
          <w:snapToGrid w:val="0"/>
          <w:kern w:val="22"/>
          <w:lang w:val="es-ES"/>
        </w:rPr>
        <w:t xml:space="preserve">. </w:t>
      </w:r>
      <w:r w:rsidR="00376B4B" w:rsidRPr="00376B4B">
        <w:rPr>
          <w:snapToGrid w:val="0"/>
          <w:kern w:val="22"/>
          <w:lang w:val="es-ES"/>
        </w:rPr>
        <w:t xml:space="preserve">La mayoría de estas referencias se realizaron a través de </w:t>
      </w:r>
      <w:r w:rsidR="00775B5A" w:rsidRPr="00376B4B">
        <w:rPr>
          <w:snapToGrid w:val="0"/>
          <w:kern w:val="22"/>
          <w:lang w:val="es-ES"/>
        </w:rPr>
        <w:t>Facebook (69</w:t>
      </w:r>
      <w:r w:rsidR="00376B4B" w:rsidRPr="00376B4B">
        <w:rPr>
          <w:snapToGrid w:val="0"/>
          <w:kern w:val="22"/>
          <w:lang w:val="es-ES"/>
        </w:rPr>
        <w:t xml:space="preserve"> </w:t>
      </w:r>
      <w:r w:rsidR="00775B5A" w:rsidRPr="00376B4B">
        <w:rPr>
          <w:snapToGrid w:val="0"/>
          <w:kern w:val="22"/>
          <w:lang w:val="es-ES"/>
        </w:rPr>
        <w:t xml:space="preserve">%), </w:t>
      </w:r>
      <w:r w:rsidR="00376B4B">
        <w:rPr>
          <w:snapToGrid w:val="0"/>
          <w:kern w:val="22"/>
          <w:lang w:val="es-ES"/>
        </w:rPr>
        <w:t xml:space="preserve">seguida de </w:t>
      </w:r>
      <w:r w:rsidR="00775B5A" w:rsidRPr="00376B4B">
        <w:rPr>
          <w:snapToGrid w:val="0"/>
          <w:kern w:val="22"/>
          <w:lang w:val="es-ES"/>
        </w:rPr>
        <w:t>Twitter (22</w:t>
      </w:r>
      <w:r w:rsidR="00376B4B">
        <w:rPr>
          <w:snapToGrid w:val="0"/>
          <w:kern w:val="22"/>
          <w:lang w:val="es-ES"/>
        </w:rPr>
        <w:t xml:space="preserve"> </w:t>
      </w:r>
      <w:r w:rsidR="00775B5A" w:rsidRPr="00376B4B">
        <w:rPr>
          <w:snapToGrid w:val="0"/>
          <w:kern w:val="22"/>
          <w:lang w:val="es-ES"/>
        </w:rPr>
        <w:t>%).</w:t>
      </w:r>
    </w:p>
    <w:p w:rsidR="00775B5A" w:rsidRPr="00376B4B" w:rsidRDefault="00376B4B"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376B4B">
        <w:rPr>
          <w:snapToGrid w:val="0"/>
          <w:kern w:val="22"/>
          <w:lang w:val="es-ES"/>
        </w:rPr>
        <w:t xml:space="preserve">Con respecto al </w:t>
      </w:r>
      <w:r w:rsidRPr="00376B4B">
        <w:rPr>
          <w:b/>
          <w:bCs/>
          <w:snapToGrid w:val="0"/>
          <w:kern w:val="22"/>
          <w:lang w:val="es-ES"/>
        </w:rPr>
        <w:t>in</w:t>
      </w:r>
      <w:r w:rsidR="00775B5A" w:rsidRPr="00376B4B">
        <w:rPr>
          <w:b/>
          <w:bCs/>
          <w:snapToGrid w:val="0"/>
          <w:kern w:val="22"/>
          <w:lang w:val="es-ES"/>
        </w:rPr>
        <w:t>dica</w:t>
      </w:r>
      <w:r w:rsidRPr="00376B4B">
        <w:rPr>
          <w:b/>
          <w:bCs/>
          <w:snapToGrid w:val="0"/>
          <w:kern w:val="22"/>
          <w:lang w:val="es-ES"/>
        </w:rPr>
        <w:t xml:space="preserve">dor 4.1.5 </w:t>
      </w:r>
      <w:r w:rsidRPr="00376B4B">
        <w:rPr>
          <w:snapToGrid w:val="0"/>
          <w:kern w:val="22"/>
          <w:lang w:val="es-ES"/>
        </w:rPr>
        <w:t>(número de países con puntos focales registrados en el CIISB</w:t>
      </w:r>
      <w:r w:rsidR="00775B5A" w:rsidRPr="00376B4B">
        <w:rPr>
          <w:snapToGrid w:val="0"/>
          <w:kern w:val="22"/>
          <w:lang w:val="es-ES"/>
        </w:rPr>
        <w:t xml:space="preserve">), </w:t>
      </w:r>
      <w:r>
        <w:rPr>
          <w:snapToGrid w:val="0"/>
          <w:kern w:val="22"/>
          <w:lang w:val="es-ES"/>
        </w:rPr>
        <w:t>se proporciona la siguiente información</w:t>
      </w:r>
      <w:r w:rsidR="00775B5A">
        <w:rPr>
          <w:rStyle w:val="FootnoteReference"/>
          <w:rFonts w:ascii="Angsana New" w:hAnsi="Angsana New" w:cs="Angsana New"/>
          <w:snapToGrid w:val="0"/>
          <w:kern w:val="22"/>
        </w:rPr>
        <w:footnoteReference w:id="37"/>
      </w:r>
      <w:r w:rsidRPr="00376B4B">
        <w:rPr>
          <w:snapToGrid w:val="0"/>
          <w:kern w:val="22"/>
          <w:lang w:val="es-ES"/>
        </w:rPr>
        <w:t>:</w:t>
      </w:r>
    </w:p>
    <w:p w:rsidR="00775B5A" w:rsidRPr="00806A47" w:rsidRDefault="00806A47" w:rsidP="001D4EEE">
      <w:pPr>
        <w:pStyle w:val="ListParagraph"/>
        <w:numPr>
          <w:ilvl w:val="0"/>
          <w:numId w:val="4"/>
        </w:numPr>
        <w:suppressLineNumbers/>
        <w:suppressAutoHyphens/>
        <w:snapToGrid w:val="0"/>
        <w:spacing w:before="120" w:after="120"/>
        <w:ind w:left="0" w:firstLine="828"/>
        <w:rPr>
          <w:rFonts w:ascii="Angsana New" w:hAnsi="Angsana New" w:cs="Angsana New"/>
          <w:snapToGrid w:val="0"/>
          <w:kern w:val="22"/>
          <w:lang w:val="es-ES"/>
        </w:rPr>
      </w:pPr>
      <w:r w:rsidRPr="00806A47">
        <w:rPr>
          <w:snapToGrid w:val="0"/>
          <w:kern w:val="22"/>
          <w:lang w:val="es-ES"/>
        </w:rPr>
        <w:t xml:space="preserve">Punto focal del Protocolo de </w:t>
      </w:r>
      <w:r w:rsidR="00775B5A" w:rsidRPr="00806A47">
        <w:rPr>
          <w:snapToGrid w:val="0"/>
          <w:kern w:val="22"/>
          <w:lang w:val="es-ES"/>
        </w:rPr>
        <w:t>Cartagena</w:t>
      </w:r>
      <w:r w:rsidRPr="00806A47">
        <w:rPr>
          <w:snapToGrid w:val="0"/>
          <w:kern w:val="22"/>
          <w:lang w:val="es-ES"/>
        </w:rPr>
        <w:t xml:space="preserve">: a fecha </w:t>
      </w:r>
      <w:r w:rsidR="00775B5A" w:rsidRPr="00806A47">
        <w:rPr>
          <w:snapToGrid w:val="0"/>
          <w:kern w:val="22"/>
          <w:lang w:val="es-ES"/>
        </w:rPr>
        <w:t xml:space="preserve">1 </w:t>
      </w:r>
      <w:r w:rsidRPr="00806A47">
        <w:rPr>
          <w:snapToGrid w:val="0"/>
          <w:kern w:val="22"/>
          <w:lang w:val="es-ES"/>
        </w:rPr>
        <w:t xml:space="preserve">de enero de </w:t>
      </w:r>
      <w:r w:rsidR="00775B5A" w:rsidRPr="00806A47">
        <w:rPr>
          <w:snapToGrid w:val="0"/>
          <w:kern w:val="22"/>
          <w:lang w:val="es-ES"/>
        </w:rPr>
        <w:t xml:space="preserve">2020, 181 </w:t>
      </w:r>
      <w:r w:rsidRPr="00806A47">
        <w:rPr>
          <w:snapToGrid w:val="0"/>
          <w:kern w:val="22"/>
          <w:lang w:val="es-ES"/>
        </w:rPr>
        <w:t>pa</w:t>
      </w:r>
      <w:r>
        <w:rPr>
          <w:snapToGrid w:val="0"/>
          <w:kern w:val="22"/>
          <w:lang w:val="es-ES"/>
        </w:rPr>
        <w:t>íses</w:t>
      </w:r>
      <w:r w:rsidR="00775B5A" w:rsidRPr="00806A47">
        <w:rPr>
          <w:snapToGrid w:val="0"/>
          <w:kern w:val="22"/>
          <w:lang w:val="es-ES"/>
        </w:rPr>
        <w:t xml:space="preserve"> (92</w:t>
      </w:r>
      <w:r>
        <w:rPr>
          <w:snapToGrid w:val="0"/>
          <w:kern w:val="22"/>
          <w:lang w:val="es-ES"/>
        </w:rPr>
        <w:t xml:space="preserve"> </w:t>
      </w:r>
      <w:r w:rsidR="00775B5A" w:rsidRPr="00806A47">
        <w:rPr>
          <w:snapToGrid w:val="0"/>
          <w:kern w:val="22"/>
          <w:lang w:val="es-ES"/>
        </w:rPr>
        <w:t xml:space="preserve">% </w:t>
      </w:r>
      <w:r>
        <w:rPr>
          <w:snapToGrid w:val="0"/>
          <w:kern w:val="22"/>
          <w:lang w:val="es-ES"/>
        </w:rPr>
        <w:t>de los países</w:t>
      </w:r>
      <w:r w:rsidR="00775B5A" w:rsidRPr="00806A47">
        <w:rPr>
          <w:snapToGrid w:val="0"/>
          <w:kern w:val="22"/>
          <w:lang w:val="es-ES"/>
        </w:rPr>
        <w:t>) ha</w:t>
      </w:r>
      <w:r>
        <w:rPr>
          <w:snapToGrid w:val="0"/>
          <w:kern w:val="22"/>
          <w:lang w:val="es-ES"/>
        </w:rPr>
        <w:t xml:space="preserve">bían designado a su punto focal para el </w:t>
      </w:r>
      <w:r w:rsidR="00775B5A" w:rsidRPr="00806A47">
        <w:rPr>
          <w:snapToGrid w:val="0"/>
          <w:kern w:val="22"/>
          <w:lang w:val="es-ES"/>
        </w:rPr>
        <w:t>Protocol</w:t>
      </w:r>
      <w:r>
        <w:rPr>
          <w:snapToGrid w:val="0"/>
          <w:kern w:val="22"/>
          <w:lang w:val="es-ES"/>
        </w:rPr>
        <w:t>o</w:t>
      </w:r>
      <w:r w:rsidR="00775B5A" w:rsidRPr="00806A47">
        <w:rPr>
          <w:snapToGrid w:val="0"/>
          <w:kern w:val="22"/>
          <w:lang w:val="es-ES"/>
        </w:rPr>
        <w:t xml:space="preserve">. </w:t>
      </w:r>
      <w:r w:rsidRPr="00806A47">
        <w:rPr>
          <w:snapToGrid w:val="0"/>
          <w:kern w:val="22"/>
          <w:lang w:val="es-ES"/>
        </w:rPr>
        <w:t xml:space="preserve">En enero de </w:t>
      </w:r>
      <w:r w:rsidR="00775B5A" w:rsidRPr="00806A47">
        <w:rPr>
          <w:snapToGrid w:val="0"/>
          <w:kern w:val="22"/>
          <w:lang w:val="es-ES"/>
        </w:rPr>
        <w:t xml:space="preserve">2012, 176 </w:t>
      </w:r>
      <w:r w:rsidRPr="00806A47">
        <w:rPr>
          <w:snapToGrid w:val="0"/>
          <w:kern w:val="22"/>
          <w:lang w:val="es-ES"/>
        </w:rPr>
        <w:t xml:space="preserve">países </w:t>
      </w:r>
      <w:r w:rsidR="00775B5A" w:rsidRPr="00806A47">
        <w:rPr>
          <w:snapToGrid w:val="0"/>
          <w:kern w:val="22"/>
          <w:lang w:val="es-ES"/>
        </w:rPr>
        <w:t>(91</w:t>
      </w:r>
      <w:r w:rsidRPr="00806A47">
        <w:rPr>
          <w:snapToGrid w:val="0"/>
          <w:kern w:val="22"/>
          <w:lang w:val="es-ES"/>
        </w:rPr>
        <w:t xml:space="preserve"> </w:t>
      </w:r>
      <w:r w:rsidR="00775B5A" w:rsidRPr="00806A47">
        <w:rPr>
          <w:snapToGrid w:val="0"/>
          <w:kern w:val="22"/>
          <w:lang w:val="es-ES"/>
        </w:rPr>
        <w:t xml:space="preserve">% </w:t>
      </w:r>
      <w:r w:rsidRPr="00806A47">
        <w:rPr>
          <w:snapToGrid w:val="0"/>
          <w:kern w:val="22"/>
          <w:lang w:val="es-ES"/>
        </w:rPr>
        <w:t>de los países</w:t>
      </w:r>
      <w:r w:rsidR="00775B5A" w:rsidRPr="00806A47">
        <w:rPr>
          <w:snapToGrid w:val="0"/>
          <w:kern w:val="22"/>
          <w:lang w:val="es-ES"/>
        </w:rPr>
        <w:t>) ha</w:t>
      </w:r>
      <w:r w:rsidRPr="00806A47">
        <w:rPr>
          <w:snapToGrid w:val="0"/>
          <w:kern w:val="22"/>
          <w:lang w:val="es-ES"/>
        </w:rPr>
        <w:t>b</w:t>
      </w:r>
      <w:r>
        <w:rPr>
          <w:snapToGrid w:val="0"/>
          <w:kern w:val="22"/>
          <w:lang w:val="es-ES"/>
        </w:rPr>
        <w:t xml:space="preserve">ían designado a su punto focal para el </w:t>
      </w:r>
      <w:r w:rsidR="00775B5A" w:rsidRPr="00806A47">
        <w:rPr>
          <w:snapToGrid w:val="0"/>
          <w:kern w:val="22"/>
          <w:lang w:val="es-ES"/>
        </w:rPr>
        <w:t>Protocol</w:t>
      </w:r>
      <w:r>
        <w:rPr>
          <w:snapToGrid w:val="0"/>
          <w:kern w:val="22"/>
          <w:lang w:val="es-ES"/>
        </w:rPr>
        <w:t>o</w:t>
      </w:r>
      <w:r w:rsidR="00775B5A" w:rsidRPr="00806A47">
        <w:rPr>
          <w:snapToGrid w:val="0"/>
          <w:kern w:val="22"/>
          <w:lang w:val="es-ES"/>
        </w:rPr>
        <w:t xml:space="preserve">. </w:t>
      </w:r>
      <w:r>
        <w:rPr>
          <w:snapToGrid w:val="0"/>
          <w:kern w:val="22"/>
          <w:lang w:val="es-ES"/>
        </w:rPr>
        <w:t xml:space="preserve">Esto representa un aumento de un </w:t>
      </w:r>
      <w:r w:rsidR="00775B5A" w:rsidRPr="00806A47">
        <w:rPr>
          <w:snapToGrid w:val="0"/>
          <w:kern w:val="22"/>
          <w:lang w:val="es-ES"/>
        </w:rPr>
        <w:t>1</w:t>
      </w:r>
      <w:r w:rsidRPr="00806A47">
        <w:rPr>
          <w:snapToGrid w:val="0"/>
          <w:kern w:val="22"/>
          <w:lang w:val="es-ES"/>
        </w:rPr>
        <w:t xml:space="preserve"> </w:t>
      </w:r>
      <w:r w:rsidR="00775B5A" w:rsidRPr="00806A47">
        <w:rPr>
          <w:snapToGrid w:val="0"/>
          <w:kern w:val="22"/>
          <w:lang w:val="es-ES"/>
        </w:rPr>
        <w:t xml:space="preserve">% </w:t>
      </w:r>
      <w:r w:rsidRPr="00806A47">
        <w:rPr>
          <w:snapToGrid w:val="0"/>
          <w:kern w:val="22"/>
          <w:lang w:val="es-ES"/>
        </w:rPr>
        <w:t>con respecto a los datos b</w:t>
      </w:r>
      <w:r>
        <w:rPr>
          <w:snapToGrid w:val="0"/>
          <w:kern w:val="22"/>
          <w:lang w:val="es-ES"/>
        </w:rPr>
        <w:t>ásicos de referencia</w:t>
      </w:r>
      <w:r w:rsidR="00775B5A" w:rsidRPr="00806A47">
        <w:rPr>
          <w:snapToGrid w:val="0"/>
          <w:kern w:val="22"/>
          <w:lang w:val="es-ES"/>
        </w:rPr>
        <w:t>;</w:t>
      </w:r>
    </w:p>
    <w:p w:rsidR="00775B5A" w:rsidRPr="00806A47" w:rsidRDefault="00806A47" w:rsidP="001D4EEE">
      <w:pPr>
        <w:pStyle w:val="ListParagraph"/>
        <w:numPr>
          <w:ilvl w:val="0"/>
          <w:numId w:val="4"/>
        </w:numPr>
        <w:suppressLineNumbers/>
        <w:suppressAutoHyphens/>
        <w:snapToGrid w:val="0"/>
        <w:spacing w:before="120" w:after="120"/>
        <w:ind w:left="0" w:firstLine="828"/>
        <w:rPr>
          <w:rFonts w:ascii="Angsana New" w:hAnsi="Angsana New" w:cs="Angsana New"/>
          <w:snapToGrid w:val="0"/>
          <w:kern w:val="22"/>
          <w:lang w:val="es-ES"/>
        </w:rPr>
      </w:pPr>
      <w:r w:rsidRPr="00806A47">
        <w:rPr>
          <w:snapToGrid w:val="0"/>
          <w:kern w:val="22"/>
          <w:lang w:val="es-ES"/>
        </w:rPr>
        <w:t>Punto focal del C</w:t>
      </w:r>
      <w:r w:rsidR="004F758D">
        <w:rPr>
          <w:snapToGrid w:val="0"/>
          <w:kern w:val="22"/>
          <w:lang w:val="es-ES"/>
        </w:rPr>
        <w:t>IISB</w:t>
      </w:r>
      <w:r w:rsidR="00775B5A" w:rsidRPr="00806A47">
        <w:rPr>
          <w:snapToGrid w:val="0"/>
          <w:kern w:val="22"/>
          <w:lang w:val="es-ES"/>
        </w:rPr>
        <w:t xml:space="preserve">: </w:t>
      </w:r>
      <w:r>
        <w:rPr>
          <w:snapToGrid w:val="0"/>
          <w:kern w:val="22"/>
          <w:lang w:val="es-ES"/>
        </w:rPr>
        <w:t>en enero de 2020, 191 países</w:t>
      </w:r>
      <w:r w:rsidR="00775B5A" w:rsidRPr="00806A47">
        <w:rPr>
          <w:snapToGrid w:val="0"/>
          <w:kern w:val="22"/>
          <w:lang w:val="es-ES"/>
        </w:rPr>
        <w:t xml:space="preserve"> (97 % </w:t>
      </w:r>
      <w:r>
        <w:rPr>
          <w:snapToGrid w:val="0"/>
          <w:kern w:val="22"/>
          <w:lang w:val="es-ES"/>
        </w:rPr>
        <w:t>de los países</w:t>
      </w:r>
      <w:r w:rsidR="00775B5A" w:rsidRPr="00806A47">
        <w:rPr>
          <w:snapToGrid w:val="0"/>
          <w:kern w:val="22"/>
          <w:lang w:val="es-ES"/>
        </w:rPr>
        <w:t>) ha</w:t>
      </w:r>
      <w:r>
        <w:rPr>
          <w:snapToGrid w:val="0"/>
          <w:kern w:val="22"/>
          <w:lang w:val="es-ES"/>
        </w:rPr>
        <w:t>bía</w:t>
      </w:r>
      <w:r w:rsidR="001876C2">
        <w:rPr>
          <w:snapToGrid w:val="0"/>
          <w:kern w:val="22"/>
          <w:lang w:val="es-ES"/>
        </w:rPr>
        <w:t>n</w:t>
      </w:r>
      <w:r>
        <w:rPr>
          <w:snapToGrid w:val="0"/>
          <w:kern w:val="22"/>
          <w:lang w:val="es-ES"/>
        </w:rPr>
        <w:t xml:space="preserve"> designado a su punto focal del CIISB</w:t>
      </w:r>
      <w:r w:rsidR="00775B5A" w:rsidRPr="00806A47">
        <w:rPr>
          <w:snapToGrid w:val="0"/>
          <w:kern w:val="22"/>
          <w:lang w:val="es-ES"/>
        </w:rPr>
        <w:t xml:space="preserve">. </w:t>
      </w:r>
      <w:r>
        <w:rPr>
          <w:snapToGrid w:val="0"/>
          <w:kern w:val="22"/>
          <w:lang w:val="es-ES"/>
        </w:rPr>
        <w:t xml:space="preserve">En enero de </w:t>
      </w:r>
      <w:r w:rsidR="00775B5A" w:rsidRPr="00806A47">
        <w:rPr>
          <w:snapToGrid w:val="0"/>
          <w:kern w:val="22"/>
          <w:lang w:val="es-ES"/>
        </w:rPr>
        <w:t xml:space="preserve">2012, 192 </w:t>
      </w:r>
      <w:r w:rsidRPr="00806A47">
        <w:rPr>
          <w:snapToGrid w:val="0"/>
          <w:kern w:val="22"/>
          <w:lang w:val="es-ES"/>
        </w:rPr>
        <w:t>países</w:t>
      </w:r>
      <w:r w:rsidR="00775B5A" w:rsidRPr="00806A47">
        <w:rPr>
          <w:snapToGrid w:val="0"/>
          <w:kern w:val="22"/>
          <w:lang w:val="es-ES"/>
        </w:rPr>
        <w:t xml:space="preserve"> (98</w:t>
      </w:r>
      <w:r w:rsidRPr="00806A47">
        <w:rPr>
          <w:snapToGrid w:val="0"/>
          <w:kern w:val="22"/>
          <w:lang w:val="es-ES"/>
        </w:rPr>
        <w:t xml:space="preserve"> </w:t>
      </w:r>
      <w:r w:rsidR="00775B5A" w:rsidRPr="00806A47">
        <w:rPr>
          <w:snapToGrid w:val="0"/>
          <w:kern w:val="22"/>
          <w:lang w:val="es-ES"/>
        </w:rPr>
        <w:t xml:space="preserve">% </w:t>
      </w:r>
      <w:r w:rsidRPr="00806A47">
        <w:rPr>
          <w:snapToGrid w:val="0"/>
          <w:kern w:val="22"/>
          <w:lang w:val="es-ES"/>
        </w:rPr>
        <w:t>de los pa</w:t>
      </w:r>
      <w:r>
        <w:rPr>
          <w:snapToGrid w:val="0"/>
          <w:kern w:val="22"/>
          <w:lang w:val="es-ES"/>
        </w:rPr>
        <w:t>íses</w:t>
      </w:r>
      <w:r w:rsidR="00775B5A" w:rsidRPr="00806A47">
        <w:rPr>
          <w:snapToGrid w:val="0"/>
          <w:kern w:val="22"/>
          <w:lang w:val="es-ES"/>
        </w:rPr>
        <w:t xml:space="preserve">) </w:t>
      </w:r>
      <w:r>
        <w:rPr>
          <w:snapToGrid w:val="0"/>
          <w:kern w:val="22"/>
          <w:lang w:val="es-ES"/>
        </w:rPr>
        <w:t>lo había</w:t>
      </w:r>
      <w:r w:rsidR="001876C2">
        <w:rPr>
          <w:snapToGrid w:val="0"/>
          <w:kern w:val="22"/>
          <w:lang w:val="es-ES"/>
        </w:rPr>
        <w:t>n</w:t>
      </w:r>
      <w:r>
        <w:rPr>
          <w:snapToGrid w:val="0"/>
          <w:kern w:val="22"/>
          <w:lang w:val="es-ES"/>
        </w:rPr>
        <w:t xml:space="preserve"> hecho</w:t>
      </w:r>
      <w:r w:rsidR="00775B5A" w:rsidRPr="00806A47">
        <w:rPr>
          <w:snapToGrid w:val="0"/>
          <w:kern w:val="22"/>
          <w:lang w:val="es-ES"/>
        </w:rPr>
        <w:t xml:space="preserve">. </w:t>
      </w:r>
      <w:r w:rsidRPr="00806A47">
        <w:rPr>
          <w:snapToGrid w:val="0"/>
          <w:kern w:val="22"/>
          <w:lang w:val="es-ES"/>
        </w:rPr>
        <w:t xml:space="preserve">Esto supone una disminución de un </w:t>
      </w:r>
      <w:r w:rsidR="00775B5A" w:rsidRPr="00806A47">
        <w:rPr>
          <w:snapToGrid w:val="0"/>
          <w:kern w:val="22"/>
          <w:lang w:val="es-ES"/>
        </w:rPr>
        <w:t>1</w:t>
      </w:r>
      <w:r w:rsidRPr="00806A47">
        <w:rPr>
          <w:snapToGrid w:val="0"/>
          <w:kern w:val="22"/>
          <w:lang w:val="es-ES"/>
        </w:rPr>
        <w:t xml:space="preserve"> </w:t>
      </w:r>
      <w:r w:rsidR="00775B5A" w:rsidRPr="00806A47">
        <w:rPr>
          <w:snapToGrid w:val="0"/>
          <w:kern w:val="22"/>
          <w:lang w:val="es-ES"/>
        </w:rPr>
        <w:t xml:space="preserve">% </w:t>
      </w:r>
      <w:r w:rsidRPr="00806A47">
        <w:rPr>
          <w:snapToGrid w:val="0"/>
          <w:kern w:val="22"/>
          <w:lang w:val="es-ES"/>
        </w:rPr>
        <w:t>con respecto a los datos b</w:t>
      </w:r>
      <w:r>
        <w:rPr>
          <w:snapToGrid w:val="0"/>
          <w:kern w:val="22"/>
          <w:lang w:val="es-ES"/>
        </w:rPr>
        <w:t>ásicos de referencia</w:t>
      </w:r>
      <w:r w:rsidR="00775B5A" w:rsidRPr="00806A47">
        <w:rPr>
          <w:snapToGrid w:val="0"/>
          <w:kern w:val="22"/>
          <w:lang w:val="es-ES"/>
        </w:rPr>
        <w:t>;</w:t>
      </w:r>
    </w:p>
    <w:p w:rsidR="00775B5A" w:rsidRPr="00806A47" w:rsidRDefault="00806A47" w:rsidP="001D4EEE">
      <w:pPr>
        <w:pStyle w:val="ListParagraph"/>
        <w:numPr>
          <w:ilvl w:val="0"/>
          <w:numId w:val="4"/>
        </w:numPr>
        <w:suppressLineNumbers/>
        <w:suppressAutoHyphens/>
        <w:snapToGrid w:val="0"/>
        <w:spacing w:before="120" w:after="120"/>
        <w:ind w:left="0" w:firstLine="828"/>
        <w:rPr>
          <w:snapToGrid w:val="0"/>
          <w:kern w:val="22"/>
          <w:lang w:val="es-ES"/>
        </w:rPr>
      </w:pPr>
      <w:bookmarkStart w:id="25" w:name="_Hlk30511272"/>
      <w:r w:rsidRPr="00806A47">
        <w:rPr>
          <w:snapToGrid w:val="0"/>
          <w:kern w:val="22"/>
          <w:lang w:val="es-ES"/>
        </w:rPr>
        <w:t>Punto de contacto para medidas de emergencia</w:t>
      </w:r>
      <w:r w:rsidR="00775B5A" w:rsidRPr="00806A47">
        <w:rPr>
          <w:snapToGrid w:val="0"/>
          <w:kern w:val="22"/>
          <w:lang w:val="es-ES"/>
        </w:rPr>
        <w:t xml:space="preserve"> (</w:t>
      </w:r>
      <w:r w:rsidRPr="00806A47">
        <w:rPr>
          <w:snapToGrid w:val="0"/>
          <w:kern w:val="22"/>
          <w:lang w:val="es-ES"/>
        </w:rPr>
        <w:t>artículo</w:t>
      </w:r>
      <w:r w:rsidR="00775B5A" w:rsidRPr="00806A47">
        <w:rPr>
          <w:snapToGrid w:val="0"/>
          <w:kern w:val="22"/>
          <w:lang w:val="es-ES"/>
        </w:rPr>
        <w:t xml:space="preserve"> 17)</w:t>
      </w:r>
      <w:bookmarkEnd w:id="25"/>
      <w:r w:rsidR="00775B5A" w:rsidRPr="00806A47">
        <w:rPr>
          <w:snapToGrid w:val="0"/>
          <w:kern w:val="22"/>
          <w:lang w:val="es-ES"/>
        </w:rPr>
        <w:t xml:space="preserve">: </w:t>
      </w:r>
      <w:r w:rsidRPr="00806A47">
        <w:rPr>
          <w:snapToGrid w:val="0"/>
          <w:kern w:val="22"/>
          <w:lang w:val="es-ES"/>
        </w:rPr>
        <w:t>un</w:t>
      </w:r>
      <w:r w:rsidR="00775B5A" w:rsidRPr="00806A47">
        <w:rPr>
          <w:snapToGrid w:val="0"/>
          <w:kern w:val="22"/>
          <w:lang w:val="es-ES"/>
        </w:rPr>
        <w:t xml:space="preserve"> total </w:t>
      </w:r>
      <w:r w:rsidRPr="00806A47">
        <w:rPr>
          <w:snapToGrid w:val="0"/>
          <w:kern w:val="22"/>
          <w:lang w:val="es-ES"/>
        </w:rPr>
        <w:t>de</w:t>
      </w:r>
      <w:r w:rsidR="00775B5A" w:rsidRPr="00806A47">
        <w:rPr>
          <w:snapToGrid w:val="0"/>
          <w:kern w:val="22"/>
          <w:lang w:val="es-ES"/>
        </w:rPr>
        <w:t xml:space="preserve"> 133 </w:t>
      </w:r>
      <w:r w:rsidRPr="00806A47">
        <w:rPr>
          <w:snapToGrid w:val="0"/>
          <w:kern w:val="22"/>
          <w:lang w:val="es-ES"/>
        </w:rPr>
        <w:t>pa</w:t>
      </w:r>
      <w:r>
        <w:rPr>
          <w:snapToGrid w:val="0"/>
          <w:kern w:val="22"/>
          <w:lang w:val="es-ES"/>
        </w:rPr>
        <w:t>íses</w:t>
      </w:r>
      <w:r w:rsidR="00775B5A" w:rsidRPr="00806A47">
        <w:rPr>
          <w:snapToGrid w:val="0"/>
          <w:kern w:val="22"/>
          <w:lang w:val="es-ES"/>
        </w:rPr>
        <w:t xml:space="preserve"> (68</w:t>
      </w:r>
      <w:r>
        <w:rPr>
          <w:snapToGrid w:val="0"/>
          <w:kern w:val="22"/>
          <w:lang w:val="es-ES"/>
        </w:rPr>
        <w:t xml:space="preserve"> </w:t>
      </w:r>
      <w:r w:rsidR="00775B5A" w:rsidRPr="00806A47">
        <w:rPr>
          <w:snapToGrid w:val="0"/>
          <w:kern w:val="22"/>
          <w:lang w:val="es-ES"/>
        </w:rPr>
        <w:t xml:space="preserve">% </w:t>
      </w:r>
      <w:r>
        <w:rPr>
          <w:snapToGrid w:val="0"/>
          <w:kern w:val="22"/>
          <w:lang w:val="es-ES"/>
        </w:rPr>
        <w:t>de los países</w:t>
      </w:r>
      <w:r w:rsidR="00775B5A" w:rsidRPr="00806A47">
        <w:rPr>
          <w:snapToGrid w:val="0"/>
          <w:kern w:val="22"/>
          <w:lang w:val="es-ES"/>
        </w:rPr>
        <w:t xml:space="preserve">) </w:t>
      </w:r>
      <w:r>
        <w:rPr>
          <w:snapToGrid w:val="0"/>
          <w:kern w:val="22"/>
          <w:lang w:val="es-ES"/>
        </w:rPr>
        <w:t xml:space="preserve">había designado un punto de contacto para recibir notificaciones </w:t>
      </w:r>
      <w:r w:rsidR="009C6772">
        <w:rPr>
          <w:snapToGrid w:val="0"/>
          <w:kern w:val="22"/>
          <w:lang w:val="es-ES"/>
        </w:rPr>
        <w:t xml:space="preserve">en virtud del </w:t>
      </w:r>
      <w:r>
        <w:rPr>
          <w:snapToGrid w:val="0"/>
          <w:kern w:val="22"/>
          <w:lang w:val="es-ES"/>
        </w:rPr>
        <w:t xml:space="preserve">artículo </w:t>
      </w:r>
      <w:r w:rsidR="00775B5A" w:rsidRPr="00806A47">
        <w:rPr>
          <w:snapToGrid w:val="0"/>
          <w:kern w:val="22"/>
          <w:lang w:val="es-ES"/>
        </w:rPr>
        <w:t xml:space="preserve">17. </w:t>
      </w:r>
      <w:r w:rsidRPr="00806A47">
        <w:rPr>
          <w:snapToGrid w:val="0"/>
          <w:kern w:val="22"/>
          <w:lang w:val="es-ES"/>
        </w:rPr>
        <w:t xml:space="preserve">En la base de referencia, </w:t>
      </w:r>
      <w:r w:rsidR="00775B5A" w:rsidRPr="00806A47">
        <w:rPr>
          <w:snapToGrid w:val="0"/>
          <w:kern w:val="22"/>
          <w:lang w:val="es-ES"/>
        </w:rPr>
        <w:t xml:space="preserve">72 </w:t>
      </w:r>
      <w:r w:rsidRPr="00806A47">
        <w:rPr>
          <w:snapToGrid w:val="0"/>
          <w:kern w:val="22"/>
          <w:lang w:val="es-ES"/>
        </w:rPr>
        <w:t xml:space="preserve">países habían registrado a un punto de contacto para recibir notificaciones </w:t>
      </w:r>
      <w:r w:rsidR="009C6772">
        <w:rPr>
          <w:snapToGrid w:val="0"/>
          <w:kern w:val="22"/>
          <w:lang w:val="es-ES"/>
        </w:rPr>
        <w:t>con arreglo al</w:t>
      </w:r>
      <w:r w:rsidRPr="00806A47">
        <w:rPr>
          <w:snapToGrid w:val="0"/>
          <w:kern w:val="22"/>
          <w:lang w:val="es-ES"/>
        </w:rPr>
        <w:t xml:space="preserve"> art</w:t>
      </w:r>
      <w:r>
        <w:rPr>
          <w:snapToGrid w:val="0"/>
          <w:kern w:val="22"/>
          <w:lang w:val="es-ES"/>
        </w:rPr>
        <w:t xml:space="preserve">ículo </w:t>
      </w:r>
      <w:r w:rsidR="00775B5A" w:rsidRPr="00806A47">
        <w:rPr>
          <w:snapToGrid w:val="0"/>
          <w:kern w:val="22"/>
          <w:lang w:val="es-ES"/>
        </w:rPr>
        <w:t xml:space="preserve">17. </w:t>
      </w:r>
      <w:r>
        <w:rPr>
          <w:snapToGrid w:val="0"/>
          <w:kern w:val="22"/>
          <w:lang w:val="es-ES"/>
        </w:rPr>
        <w:t xml:space="preserve">Esto constituye un aumento importante de un </w:t>
      </w:r>
      <w:r w:rsidR="00775B5A" w:rsidRPr="00806A47">
        <w:rPr>
          <w:snapToGrid w:val="0"/>
          <w:kern w:val="22"/>
          <w:lang w:val="es-ES"/>
        </w:rPr>
        <w:t>31</w:t>
      </w:r>
      <w:r w:rsidRPr="00806A47">
        <w:rPr>
          <w:snapToGrid w:val="0"/>
          <w:kern w:val="22"/>
          <w:lang w:val="es-ES"/>
        </w:rPr>
        <w:t xml:space="preserve"> </w:t>
      </w:r>
      <w:r w:rsidR="00775B5A" w:rsidRPr="00806A47">
        <w:rPr>
          <w:snapToGrid w:val="0"/>
          <w:kern w:val="22"/>
          <w:lang w:val="es-ES"/>
        </w:rPr>
        <w:t xml:space="preserve">% </w:t>
      </w:r>
      <w:r>
        <w:rPr>
          <w:snapToGrid w:val="0"/>
          <w:kern w:val="22"/>
          <w:lang w:val="es-ES"/>
        </w:rPr>
        <w:t>con respecto a los datos básicos de referencia</w:t>
      </w:r>
      <w:r w:rsidR="00775B5A" w:rsidRPr="00806A47">
        <w:rPr>
          <w:snapToGrid w:val="0"/>
          <w:kern w:val="22"/>
          <w:lang w:val="es-ES"/>
        </w:rPr>
        <w:t xml:space="preserve">. </w:t>
      </w:r>
    </w:p>
    <w:p w:rsidR="00775B5A" w:rsidRPr="008315A4" w:rsidRDefault="00E67A3D"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8315A4">
        <w:rPr>
          <w:snapToGrid w:val="0"/>
          <w:kern w:val="22"/>
          <w:lang w:val="es-ES"/>
        </w:rPr>
        <w:t xml:space="preserve">Con respecto al </w:t>
      </w:r>
      <w:r w:rsidR="00775B5A" w:rsidRPr="008315A4">
        <w:rPr>
          <w:b/>
          <w:bCs/>
          <w:snapToGrid w:val="0"/>
          <w:kern w:val="22"/>
          <w:lang w:val="es-ES"/>
        </w:rPr>
        <w:t>indica</w:t>
      </w:r>
      <w:r w:rsidRPr="008315A4">
        <w:rPr>
          <w:b/>
          <w:bCs/>
          <w:snapToGrid w:val="0"/>
          <w:kern w:val="22"/>
          <w:lang w:val="es-ES"/>
        </w:rPr>
        <w:t>d</w:t>
      </w:r>
      <w:r w:rsidR="00775B5A" w:rsidRPr="008315A4">
        <w:rPr>
          <w:b/>
          <w:bCs/>
          <w:snapToGrid w:val="0"/>
          <w:kern w:val="22"/>
          <w:lang w:val="es-ES"/>
        </w:rPr>
        <w:t>or 4.1.6</w:t>
      </w:r>
      <w:r w:rsidRPr="008315A4">
        <w:rPr>
          <w:b/>
          <w:bCs/>
          <w:snapToGrid w:val="0"/>
          <w:kern w:val="22"/>
          <w:lang w:val="es-ES"/>
        </w:rPr>
        <w:t xml:space="preserve"> </w:t>
      </w:r>
      <w:r w:rsidR="00775B5A" w:rsidRPr="008315A4">
        <w:rPr>
          <w:snapToGrid w:val="0"/>
          <w:kern w:val="22"/>
          <w:lang w:val="es-ES"/>
        </w:rPr>
        <w:t>(</w:t>
      </w:r>
      <w:r w:rsidR="008315A4" w:rsidRPr="008315A4">
        <w:rPr>
          <w:snapToGrid w:val="0"/>
          <w:kern w:val="22"/>
          <w:lang w:val="es-ES"/>
        </w:rPr>
        <w:t xml:space="preserve">número de países que ha publicado </w:t>
      </w:r>
      <w:r w:rsidR="001A7CBA">
        <w:rPr>
          <w:snapToGrid w:val="0"/>
          <w:kern w:val="22"/>
          <w:lang w:val="es-ES"/>
        </w:rPr>
        <w:t xml:space="preserve">la promulgación de </w:t>
      </w:r>
      <w:r w:rsidR="008315A4" w:rsidRPr="008315A4">
        <w:rPr>
          <w:snapToGrid w:val="0"/>
          <w:kern w:val="22"/>
          <w:lang w:val="es-ES"/>
        </w:rPr>
        <w:t>leyes o reglamentos sobre seguridad de la biotecnología en el CIISB</w:t>
      </w:r>
      <w:r w:rsidR="00775B5A" w:rsidRPr="008315A4">
        <w:rPr>
          <w:snapToGrid w:val="0"/>
          <w:kern w:val="22"/>
          <w:lang w:val="es-ES"/>
        </w:rPr>
        <w:t xml:space="preserve">), </w:t>
      </w:r>
      <w:r w:rsidR="001876C2">
        <w:rPr>
          <w:snapToGrid w:val="0"/>
          <w:kern w:val="22"/>
          <w:lang w:val="es-ES"/>
        </w:rPr>
        <w:t>a fecha de</w:t>
      </w:r>
      <w:r w:rsidR="001A7CBA">
        <w:rPr>
          <w:snapToGrid w:val="0"/>
          <w:kern w:val="22"/>
          <w:lang w:val="es-ES"/>
        </w:rPr>
        <w:t xml:space="preserve"> </w:t>
      </w:r>
      <w:r w:rsidR="008315A4" w:rsidRPr="008315A4">
        <w:rPr>
          <w:snapToGrid w:val="0"/>
          <w:kern w:val="22"/>
          <w:lang w:val="es-ES"/>
        </w:rPr>
        <w:t>enero de</w:t>
      </w:r>
      <w:r w:rsidR="00775B5A" w:rsidRPr="008315A4">
        <w:rPr>
          <w:snapToGrid w:val="0"/>
          <w:kern w:val="22"/>
          <w:lang w:val="es-ES"/>
        </w:rPr>
        <w:t xml:space="preserve"> 2020, 161 </w:t>
      </w:r>
      <w:r w:rsidR="008315A4" w:rsidRPr="008315A4">
        <w:rPr>
          <w:snapToGrid w:val="0"/>
          <w:kern w:val="22"/>
          <w:lang w:val="es-ES"/>
        </w:rPr>
        <w:t>pa</w:t>
      </w:r>
      <w:r w:rsidR="008315A4">
        <w:rPr>
          <w:snapToGrid w:val="0"/>
          <w:kern w:val="22"/>
          <w:lang w:val="es-ES"/>
        </w:rPr>
        <w:t xml:space="preserve">íses habían publicado </w:t>
      </w:r>
      <w:r w:rsidR="001A7CBA">
        <w:rPr>
          <w:snapToGrid w:val="0"/>
          <w:kern w:val="22"/>
          <w:lang w:val="es-ES"/>
        </w:rPr>
        <w:t xml:space="preserve">la promulgación de </w:t>
      </w:r>
      <w:r w:rsidR="008315A4">
        <w:rPr>
          <w:snapToGrid w:val="0"/>
          <w:kern w:val="22"/>
          <w:lang w:val="es-ES"/>
        </w:rPr>
        <w:t>leyes o reglamentos sobre seguridad de la biotecnología en el CIISB</w:t>
      </w:r>
      <w:r w:rsidR="00775B5A" w:rsidRPr="008315A4">
        <w:rPr>
          <w:snapToGrid w:val="0"/>
          <w:kern w:val="22"/>
          <w:lang w:val="es-ES"/>
        </w:rPr>
        <w:t xml:space="preserve">. </w:t>
      </w:r>
      <w:r w:rsidR="008315A4">
        <w:rPr>
          <w:snapToGrid w:val="0"/>
          <w:kern w:val="22"/>
          <w:lang w:val="es-ES"/>
        </w:rPr>
        <w:t>E</w:t>
      </w:r>
      <w:r w:rsidR="00775B5A" w:rsidRPr="008315A4">
        <w:rPr>
          <w:snapToGrid w:val="0"/>
          <w:kern w:val="22"/>
          <w:lang w:val="es-ES"/>
        </w:rPr>
        <w:t xml:space="preserve">n </w:t>
      </w:r>
      <w:r w:rsidR="008315A4" w:rsidRPr="008315A4">
        <w:rPr>
          <w:snapToGrid w:val="0"/>
          <w:kern w:val="22"/>
          <w:lang w:val="es-ES"/>
        </w:rPr>
        <w:t xml:space="preserve">enero de </w:t>
      </w:r>
      <w:r w:rsidR="00775B5A" w:rsidRPr="008315A4">
        <w:rPr>
          <w:snapToGrid w:val="0"/>
          <w:kern w:val="22"/>
          <w:lang w:val="es-ES"/>
        </w:rPr>
        <w:t xml:space="preserve">2012, 155 </w:t>
      </w:r>
      <w:r w:rsidR="008315A4" w:rsidRPr="008315A4">
        <w:rPr>
          <w:snapToGrid w:val="0"/>
          <w:kern w:val="22"/>
          <w:lang w:val="es-ES"/>
        </w:rPr>
        <w:t>países lo habían hecho</w:t>
      </w:r>
      <w:r w:rsidR="00775B5A" w:rsidRPr="008315A4">
        <w:rPr>
          <w:snapToGrid w:val="0"/>
          <w:kern w:val="22"/>
          <w:lang w:val="es-ES"/>
        </w:rPr>
        <w:t xml:space="preserve">. </w:t>
      </w:r>
      <w:r w:rsidR="008315A4" w:rsidRPr="008315A4">
        <w:rPr>
          <w:snapToGrid w:val="0"/>
          <w:kern w:val="22"/>
          <w:lang w:val="es-ES"/>
        </w:rPr>
        <w:t xml:space="preserve">Esto representa un aumento de un </w:t>
      </w:r>
      <w:r w:rsidR="00775B5A" w:rsidRPr="008315A4">
        <w:rPr>
          <w:snapToGrid w:val="0"/>
          <w:kern w:val="22"/>
          <w:lang w:val="es-ES"/>
        </w:rPr>
        <w:t>4</w:t>
      </w:r>
      <w:r w:rsidR="008315A4" w:rsidRPr="008315A4">
        <w:rPr>
          <w:snapToGrid w:val="0"/>
          <w:kern w:val="22"/>
          <w:lang w:val="es-ES"/>
        </w:rPr>
        <w:t xml:space="preserve"> </w:t>
      </w:r>
      <w:r w:rsidR="00775B5A" w:rsidRPr="008315A4">
        <w:rPr>
          <w:snapToGrid w:val="0"/>
          <w:kern w:val="22"/>
          <w:lang w:val="es-ES"/>
        </w:rPr>
        <w:t>%</w:t>
      </w:r>
      <w:r w:rsidR="00775B5A">
        <w:rPr>
          <w:rStyle w:val="FootnoteReference"/>
          <w:rFonts w:ascii="Angsana New" w:hAnsi="Angsana New" w:cs="Angsana New"/>
          <w:snapToGrid w:val="0"/>
          <w:kern w:val="22"/>
        </w:rPr>
        <w:footnoteReference w:id="38"/>
      </w:r>
      <w:r w:rsidR="008315A4" w:rsidRPr="008315A4">
        <w:rPr>
          <w:snapToGrid w:val="0"/>
          <w:kern w:val="22"/>
          <w:lang w:val="es-ES"/>
        </w:rPr>
        <w:t>.</w:t>
      </w:r>
    </w:p>
    <w:p w:rsidR="00775B5A" w:rsidRPr="00C45641" w:rsidRDefault="008315A4"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1A7CBA">
        <w:rPr>
          <w:snapToGrid w:val="0"/>
          <w:kern w:val="22"/>
          <w:lang w:val="es-ES"/>
        </w:rPr>
        <w:t xml:space="preserve">En lo tocante al </w:t>
      </w:r>
      <w:r w:rsidR="00775B5A" w:rsidRPr="001A7CBA">
        <w:rPr>
          <w:b/>
          <w:bCs/>
          <w:snapToGrid w:val="0"/>
          <w:kern w:val="22"/>
          <w:lang w:val="es-ES"/>
        </w:rPr>
        <w:t>indica</w:t>
      </w:r>
      <w:r w:rsidRPr="001A7CBA">
        <w:rPr>
          <w:b/>
          <w:bCs/>
          <w:snapToGrid w:val="0"/>
          <w:kern w:val="22"/>
          <w:lang w:val="es-ES"/>
        </w:rPr>
        <w:t>d</w:t>
      </w:r>
      <w:r w:rsidR="00775B5A" w:rsidRPr="001A7CBA">
        <w:rPr>
          <w:b/>
          <w:bCs/>
          <w:snapToGrid w:val="0"/>
          <w:kern w:val="22"/>
          <w:lang w:val="es-ES"/>
        </w:rPr>
        <w:t>or 4.1.7</w:t>
      </w:r>
      <w:r w:rsidR="00775B5A" w:rsidRPr="001A7CBA">
        <w:rPr>
          <w:snapToGrid w:val="0"/>
          <w:kern w:val="22"/>
          <w:lang w:val="es-ES"/>
        </w:rPr>
        <w:t xml:space="preserve"> (</w:t>
      </w:r>
      <w:bookmarkStart w:id="26" w:name="_Hlk30511329"/>
      <w:r w:rsidRPr="001A7CBA">
        <w:rPr>
          <w:snapToGrid w:val="0"/>
          <w:kern w:val="22"/>
          <w:lang w:val="es-ES"/>
        </w:rPr>
        <w:t xml:space="preserve">número de decisiones </w:t>
      </w:r>
      <w:r w:rsidR="001A7CBA" w:rsidRPr="001A7CBA">
        <w:rPr>
          <w:snapToGrid w:val="0"/>
          <w:kern w:val="22"/>
          <w:lang w:val="es-ES"/>
        </w:rPr>
        <w:t xml:space="preserve">sobre </w:t>
      </w:r>
      <w:r w:rsidR="00C45641">
        <w:rPr>
          <w:snapToGrid w:val="0"/>
          <w:kern w:val="22"/>
          <w:lang w:val="es-ES"/>
        </w:rPr>
        <w:t>a</w:t>
      </w:r>
      <w:r w:rsidR="001A7CBA" w:rsidRPr="001A7CBA">
        <w:rPr>
          <w:snapToGrid w:val="0"/>
          <w:kern w:val="22"/>
          <w:lang w:val="es-ES"/>
        </w:rPr>
        <w:t>cuerdos fundamentados previos (A</w:t>
      </w:r>
      <w:r w:rsidR="00C45641">
        <w:rPr>
          <w:snapToGrid w:val="0"/>
          <w:kern w:val="22"/>
          <w:lang w:val="es-ES"/>
        </w:rPr>
        <w:t>FP</w:t>
      </w:r>
      <w:r w:rsidR="001A7CBA" w:rsidRPr="001A7CBA">
        <w:rPr>
          <w:snapToGrid w:val="0"/>
          <w:kern w:val="22"/>
          <w:lang w:val="es-ES"/>
        </w:rPr>
        <w:t>)/nacionales disponibles en el CIISB</w:t>
      </w:r>
      <w:bookmarkEnd w:id="26"/>
      <w:r w:rsidR="00775B5A" w:rsidRPr="001A7CBA">
        <w:rPr>
          <w:snapToGrid w:val="0"/>
          <w:kern w:val="22"/>
          <w:lang w:val="es-ES"/>
        </w:rPr>
        <w:t>), a</w:t>
      </w:r>
      <w:r w:rsidR="001A7CBA">
        <w:rPr>
          <w:snapToGrid w:val="0"/>
          <w:kern w:val="22"/>
          <w:lang w:val="es-ES"/>
        </w:rPr>
        <w:t xml:space="preserve"> fecha de enero de</w:t>
      </w:r>
      <w:r w:rsidR="00775B5A" w:rsidRPr="001A7CBA">
        <w:rPr>
          <w:snapToGrid w:val="0"/>
          <w:kern w:val="22"/>
          <w:lang w:val="es-ES"/>
        </w:rPr>
        <w:t xml:space="preserve"> 2020, </w:t>
      </w:r>
      <w:r w:rsidR="001A7CBA">
        <w:rPr>
          <w:snapToGrid w:val="0"/>
          <w:kern w:val="22"/>
          <w:lang w:val="es-ES"/>
        </w:rPr>
        <w:t>un</w:t>
      </w:r>
      <w:r w:rsidR="00775B5A" w:rsidRPr="001A7CBA">
        <w:rPr>
          <w:snapToGrid w:val="0"/>
          <w:kern w:val="22"/>
          <w:lang w:val="es-ES"/>
        </w:rPr>
        <w:t xml:space="preserve"> total </w:t>
      </w:r>
      <w:r w:rsidR="001A7CBA">
        <w:rPr>
          <w:snapToGrid w:val="0"/>
          <w:kern w:val="22"/>
          <w:lang w:val="es-ES"/>
        </w:rPr>
        <w:t>de</w:t>
      </w:r>
      <w:r w:rsidR="00775B5A" w:rsidRPr="001A7CBA">
        <w:rPr>
          <w:snapToGrid w:val="0"/>
          <w:kern w:val="22"/>
          <w:lang w:val="es-ES"/>
        </w:rPr>
        <w:t xml:space="preserve"> 228</w:t>
      </w:r>
      <w:r w:rsidR="001A7CBA">
        <w:rPr>
          <w:snapToGrid w:val="0"/>
          <w:kern w:val="22"/>
          <w:lang w:val="es-ES"/>
        </w:rPr>
        <w:t xml:space="preserve"> </w:t>
      </w:r>
      <w:r w:rsidR="00775B5A" w:rsidRPr="001A7CBA">
        <w:rPr>
          <w:snapToGrid w:val="0"/>
          <w:kern w:val="22"/>
          <w:lang w:val="es-ES"/>
        </w:rPr>
        <w:t>decision</w:t>
      </w:r>
      <w:r w:rsidR="001A7CBA">
        <w:rPr>
          <w:snapToGrid w:val="0"/>
          <w:kern w:val="22"/>
          <w:lang w:val="es-ES"/>
        </w:rPr>
        <w:t>e</w:t>
      </w:r>
      <w:r w:rsidR="00775B5A" w:rsidRPr="001A7CBA">
        <w:rPr>
          <w:snapToGrid w:val="0"/>
          <w:kern w:val="22"/>
          <w:lang w:val="es-ES"/>
        </w:rPr>
        <w:t xml:space="preserve">s </w:t>
      </w:r>
      <w:r w:rsidR="001A7CBA">
        <w:rPr>
          <w:snapToGrid w:val="0"/>
          <w:kern w:val="22"/>
          <w:lang w:val="es-ES"/>
        </w:rPr>
        <w:t xml:space="preserve">estaban </w:t>
      </w:r>
      <w:r w:rsidR="001A7CBA">
        <w:rPr>
          <w:snapToGrid w:val="0"/>
          <w:kern w:val="22"/>
          <w:lang w:val="es-ES"/>
        </w:rPr>
        <w:lastRenderedPageBreak/>
        <w:t>disponibles en el CIISB</w:t>
      </w:r>
      <w:r w:rsidR="00775B5A" w:rsidRPr="001A7CBA">
        <w:rPr>
          <w:snapToGrid w:val="0"/>
          <w:kern w:val="22"/>
          <w:lang w:val="es-ES"/>
        </w:rPr>
        <w:t>, inclu</w:t>
      </w:r>
      <w:r w:rsidR="001A7CBA">
        <w:rPr>
          <w:snapToGrid w:val="0"/>
          <w:kern w:val="22"/>
          <w:lang w:val="es-ES"/>
        </w:rPr>
        <w:t>idas decisiones adoptadas tanto por las Partes como por otros Gobiernos</w:t>
      </w:r>
      <w:r w:rsidR="00775B5A" w:rsidRPr="001A7CBA">
        <w:rPr>
          <w:snapToGrid w:val="0"/>
          <w:kern w:val="22"/>
          <w:lang w:val="es-ES"/>
        </w:rPr>
        <w:t xml:space="preserve">. </w:t>
      </w:r>
      <w:r w:rsidR="001A7CBA" w:rsidRPr="001A7CBA">
        <w:rPr>
          <w:snapToGrid w:val="0"/>
          <w:kern w:val="22"/>
          <w:lang w:val="es-ES"/>
        </w:rPr>
        <w:t>E</w:t>
      </w:r>
      <w:r w:rsidR="00775B5A" w:rsidRPr="001A7CBA">
        <w:rPr>
          <w:snapToGrid w:val="0"/>
          <w:kern w:val="22"/>
          <w:lang w:val="es-ES"/>
        </w:rPr>
        <w:t xml:space="preserve">n </w:t>
      </w:r>
      <w:r w:rsidR="001A7CBA" w:rsidRPr="001A7CBA">
        <w:rPr>
          <w:snapToGrid w:val="0"/>
          <w:kern w:val="22"/>
          <w:lang w:val="es-ES"/>
        </w:rPr>
        <w:t xml:space="preserve">enero de </w:t>
      </w:r>
      <w:r w:rsidR="00775B5A" w:rsidRPr="001A7CBA">
        <w:rPr>
          <w:snapToGrid w:val="0"/>
          <w:kern w:val="22"/>
          <w:lang w:val="es-ES"/>
        </w:rPr>
        <w:t>2012, 876</w:t>
      </w:r>
      <w:r w:rsidR="001A7CBA" w:rsidRPr="001A7CBA">
        <w:rPr>
          <w:snapToGrid w:val="0"/>
          <w:kern w:val="22"/>
          <w:lang w:val="es-ES"/>
        </w:rPr>
        <w:t xml:space="preserve"> decisiones sobre acuerdos fundamentados previ</w:t>
      </w:r>
      <w:r w:rsidR="001A7CBA">
        <w:rPr>
          <w:snapToGrid w:val="0"/>
          <w:kern w:val="22"/>
          <w:lang w:val="es-ES"/>
        </w:rPr>
        <w:t>os (</w:t>
      </w:r>
      <w:r w:rsidR="00775B5A" w:rsidRPr="001A7CBA">
        <w:rPr>
          <w:snapToGrid w:val="0"/>
          <w:kern w:val="22"/>
          <w:lang w:val="es-ES"/>
        </w:rPr>
        <w:t>A</w:t>
      </w:r>
      <w:r w:rsidR="00C45641">
        <w:rPr>
          <w:snapToGrid w:val="0"/>
          <w:kern w:val="22"/>
          <w:lang w:val="es-ES"/>
        </w:rPr>
        <w:t>FP</w:t>
      </w:r>
      <w:r w:rsidR="001A7CBA">
        <w:rPr>
          <w:snapToGrid w:val="0"/>
          <w:kern w:val="22"/>
          <w:lang w:val="es-ES"/>
        </w:rPr>
        <w:t>)</w:t>
      </w:r>
      <w:r w:rsidR="00775B5A" w:rsidRPr="001A7CBA">
        <w:rPr>
          <w:snapToGrid w:val="0"/>
          <w:kern w:val="22"/>
          <w:lang w:val="es-ES"/>
        </w:rPr>
        <w:t>/</w:t>
      </w:r>
      <w:r w:rsidR="001A7CBA">
        <w:rPr>
          <w:snapToGrid w:val="0"/>
          <w:kern w:val="22"/>
          <w:lang w:val="es-ES"/>
        </w:rPr>
        <w:t>nacionales estaban disponibles en el CIISB</w:t>
      </w:r>
      <w:r w:rsidR="00775B5A">
        <w:rPr>
          <w:rStyle w:val="FootnoteReference"/>
          <w:rFonts w:ascii="Angsana New" w:hAnsi="Angsana New" w:cs="Angsana New"/>
          <w:snapToGrid w:val="0"/>
          <w:kern w:val="22"/>
        </w:rPr>
        <w:footnoteReference w:id="39"/>
      </w:r>
      <w:r w:rsidR="001A7CBA" w:rsidRPr="001A7CBA">
        <w:rPr>
          <w:snapToGrid w:val="0"/>
          <w:kern w:val="22"/>
          <w:lang w:val="es-ES"/>
        </w:rPr>
        <w:t>.</w:t>
      </w:r>
      <w:r w:rsidR="00775B5A" w:rsidRPr="001A7CBA">
        <w:rPr>
          <w:snapToGrid w:val="0"/>
          <w:kern w:val="22"/>
          <w:lang w:val="es-ES"/>
        </w:rPr>
        <w:t xml:space="preserve"> </w:t>
      </w:r>
      <w:r w:rsidR="001A7CBA" w:rsidRPr="001A7CBA">
        <w:rPr>
          <w:snapToGrid w:val="0"/>
          <w:kern w:val="22"/>
          <w:lang w:val="es-ES"/>
        </w:rPr>
        <w:t xml:space="preserve">El cambio entre enero de </w:t>
      </w:r>
      <w:r w:rsidR="00775B5A" w:rsidRPr="001A7CBA">
        <w:rPr>
          <w:snapToGrid w:val="0"/>
          <w:kern w:val="22"/>
          <w:lang w:val="es-ES"/>
        </w:rPr>
        <w:t xml:space="preserve">2012 </w:t>
      </w:r>
      <w:r w:rsidR="001A7CBA" w:rsidRPr="001A7CBA">
        <w:rPr>
          <w:snapToGrid w:val="0"/>
          <w:kern w:val="22"/>
          <w:lang w:val="es-ES"/>
        </w:rPr>
        <w:t xml:space="preserve">y enero de </w:t>
      </w:r>
      <w:r w:rsidR="00775B5A" w:rsidRPr="001A7CBA">
        <w:rPr>
          <w:snapToGrid w:val="0"/>
          <w:kern w:val="22"/>
          <w:lang w:val="es-ES"/>
        </w:rPr>
        <w:t>2020 represent</w:t>
      </w:r>
      <w:r w:rsidR="001A7CBA" w:rsidRPr="001A7CBA">
        <w:rPr>
          <w:snapToGrid w:val="0"/>
          <w:kern w:val="22"/>
          <w:lang w:val="es-ES"/>
        </w:rPr>
        <w:t xml:space="preserve">a un aumento de un </w:t>
      </w:r>
      <w:r w:rsidR="00775B5A" w:rsidRPr="001A7CBA">
        <w:rPr>
          <w:snapToGrid w:val="0"/>
          <w:kern w:val="22"/>
          <w:lang w:val="es-ES"/>
        </w:rPr>
        <w:t>177</w:t>
      </w:r>
      <w:r w:rsidR="001A7CBA" w:rsidRPr="001A7CBA">
        <w:rPr>
          <w:snapToGrid w:val="0"/>
          <w:kern w:val="22"/>
          <w:lang w:val="es-ES"/>
        </w:rPr>
        <w:t xml:space="preserve"> </w:t>
      </w:r>
      <w:r w:rsidR="00775B5A" w:rsidRPr="001A7CBA">
        <w:rPr>
          <w:snapToGrid w:val="0"/>
          <w:kern w:val="22"/>
          <w:lang w:val="es-ES"/>
        </w:rPr>
        <w:t>%.</w:t>
      </w:r>
      <w:r w:rsidR="001A7CBA" w:rsidRPr="001A7CBA">
        <w:rPr>
          <w:snapToGrid w:val="0"/>
          <w:kern w:val="22"/>
          <w:lang w:val="es-ES"/>
        </w:rPr>
        <w:t xml:space="preserve"> </w:t>
      </w:r>
      <w:r w:rsidR="00C45641" w:rsidRPr="00C45641">
        <w:rPr>
          <w:snapToGrid w:val="0"/>
          <w:kern w:val="22"/>
          <w:lang w:val="es-ES"/>
        </w:rPr>
        <w:t xml:space="preserve">Al examinar las decisiones de las Partes únicamente, el aumento sería de un </w:t>
      </w:r>
      <w:r w:rsidR="00775B5A" w:rsidRPr="00C45641">
        <w:rPr>
          <w:snapToGrid w:val="0"/>
          <w:kern w:val="22"/>
          <w:lang w:val="es-ES"/>
        </w:rPr>
        <w:t>228</w:t>
      </w:r>
      <w:r w:rsidR="00C45641" w:rsidRPr="00C45641">
        <w:rPr>
          <w:snapToGrid w:val="0"/>
          <w:kern w:val="22"/>
          <w:lang w:val="es-ES"/>
        </w:rPr>
        <w:t xml:space="preserve"> </w:t>
      </w:r>
      <w:r w:rsidR="00775B5A" w:rsidRPr="00C45641">
        <w:rPr>
          <w:snapToGrid w:val="0"/>
          <w:kern w:val="22"/>
          <w:lang w:val="es-ES"/>
        </w:rPr>
        <w:t>% (</w:t>
      </w:r>
      <w:r w:rsidR="00C45641">
        <w:rPr>
          <w:snapToGrid w:val="0"/>
          <w:kern w:val="22"/>
          <w:lang w:val="es-ES"/>
        </w:rPr>
        <w:t>de</w:t>
      </w:r>
      <w:r w:rsidR="00775B5A" w:rsidRPr="00C45641">
        <w:rPr>
          <w:snapToGrid w:val="0"/>
          <w:kern w:val="22"/>
          <w:lang w:val="es-ES"/>
        </w:rPr>
        <w:t xml:space="preserve"> 650 decision</w:t>
      </w:r>
      <w:r w:rsidR="00C45641">
        <w:rPr>
          <w:snapToGrid w:val="0"/>
          <w:kern w:val="22"/>
          <w:lang w:val="es-ES"/>
        </w:rPr>
        <w:t>e</w:t>
      </w:r>
      <w:r w:rsidR="00775B5A" w:rsidRPr="00C45641">
        <w:rPr>
          <w:snapToGrid w:val="0"/>
          <w:kern w:val="22"/>
          <w:lang w:val="es-ES"/>
        </w:rPr>
        <w:t xml:space="preserve">s </w:t>
      </w:r>
      <w:r w:rsidR="00C45641">
        <w:rPr>
          <w:snapToGrid w:val="0"/>
          <w:kern w:val="22"/>
          <w:lang w:val="es-ES"/>
        </w:rPr>
        <w:t>e</w:t>
      </w:r>
      <w:r w:rsidR="00775B5A" w:rsidRPr="00C45641">
        <w:rPr>
          <w:snapToGrid w:val="0"/>
          <w:kern w:val="22"/>
          <w:lang w:val="es-ES"/>
        </w:rPr>
        <w:t xml:space="preserve">n </w:t>
      </w:r>
      <w:r w:rsidR="00C45641">
        <w:rPr>
          <w:snapToGrid w:val="0"/>
          <w:kern w:val="22"/>
          <w:lang w:val="es-ES"/>
        </w:rPr>
        <w:t xml:space="preserve">enero de </w:t>
      </w:r>
      <w:r w:rsidR="00775B5A" w:rsidRPr="00C45641">
        <w:rPr>
          <w:snapToGrid w:val="0"/>
          <w:kern w:val="22"/>
          <w:lang w:val="es-ES"/>
        </w:rPr>
        <w:t xml:space="preserve">2012 </w:t>
      </w:r>
      <w:r w:rsidR="00C45641">
        <w:rPr>
          <w:snapToGrid w:val="0"/>
          <w:kern w:val="22"/>
          <w:lang w:val="es-ES"/>
        </w:rPr>
        <w:t xml:space="preserve">a </w:t>
      </w:r>
      <w:r w:rsidR="00775B5A" w:rsidRPr="00C45641">
        <w:rPr>
          <w:snapToGrid w:val="0"/>
          <w:kern w:val="22"/>
          <w:lang w:val="es-ES"/>
        </w:rPr>
        <w:t>2134 decision</w:t>
      </w:r>
      <w:r w:rsidR="00C45641">
        <w:rPr>
          <w:snapToGrid w:val="0"/>
          <w:kern w:val="22"/>
          <w:lang w:val="es-ES"/>
        </w:rPr>
        <w:t>e</w:t>
      </w:r>
      <w:r w:rsidR="00775B5A" w:rsidRPr="00C45641">
        <w:rPr>
          <w:snapToGrid w:val="0"/>
          <w:kern w:val="22"/>
          <w:lang w:val="es-ES"/>
        </w:rPr>
        <w:t xml:space="preserve">s </w:t>
      </w:r>
      <w:r w:rsidR="00C45641">
        <w:rPr>
          <w:snapToGrid w:val="0"/>
          <w:kern w:val="22"/>
          <w:lang w:val="es-ES"/>
        </w:rPr>
        <w:t>e</w:t>
      </w:r>
      <w:r w:rsidR="00775B5A" w:rsidRPr="00C45641">
        <w:rPr>
          <w:snapToGrid w:val="0"/>
          <w:kern w:val="22"/>
          <w:lang w:val="es-ES"/>
        </w:rPr>
        <w:t xml:space="preserve">n </w:t>
      </w:r>
      <w:r w:rsidR="00C45641">
        <w:rPr>
          <w:snapToGrid w:val="0"/>
          <w:kern w:val="22"/>
          <w:lang w:val="es-ES"/>
        </w:rPr>
        <w:t xml:space="preserve">enero de </w:t>
      </w:r>
      <w:r w:rsidR="00775B5A" w:rsidRPr="00C45641">
        <w:rPr>
          <w:snapToGrid w:val="0"/>
          <w:kern w:val="22"/>
          <w:lang w:val="es-ES"/>
        </w:rPr>
        <w:t>2020).</w:t>
      </w:r>
    </w:p>
    <w:p w:rsidR="00775B5A" w:rsidRPr="00023280" w:rsidRDefault="00023280"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023280">
        <w:rPr>
          <w:snapToGrid w:val="0"/>
          <w:kern w:val="22"/>
          <w:lang w:val="es-ES"/>
        </w:rPr>
        <w:t xml:space="preserve">En cuanto al </w:t>
      </w:r>
      <w:r w:rsidR="00775B5A" w:rsidRPr="00023280">
        <w:rPr>
          <w:b/>
          <w:bCs/>
          <w:snapToGrid w:val="0"/>
          <w:kern w:val="22"/>
          <w:lang w:val="es-ES"/>
        </w:rPr>
        <w:t>indica</w:t>
      </w:r>
      <w:r w:rsidRPr="00023280">
        <w:rPr>
          <w:b/>
          <w:bCs/>
          <w:snapToGrid w:val="0"/>
          <w:kern w:val="22"/>
          <w:lang w:val="es-ES"/>
        </w:rPr>
        <w:t>d</w:t>
      </w:r>
      <w:r w:rsidR="00775B5A" w:rsidRPr="00023280">
        <w:rPr>
          <w:b/>
          <w:bCs/>
          <w:snapToGrid w:val="0"/>
          <w:kern w:val="22"/>
          <w:lang w:val="es-ES"/>
        </w:rPr>
        <w:t>or</w:t>
      </w:r>
      <w:r w:rsidRPr="00023280">
        <w:rPr>
          <w:b/>
          <w:bCs/>
          <w:snapToGrid w:val="0"/>
          <w:kern w:val="22"/>
          <w:lang w:val="es-ES"/>
        </w:rPr>
        <w:t xml:space="preserve"> </w:t>
      </w:r>
      <w:r w:rsidR="00775B5A" w:rsidRPr="00023280">
        <w:rPr>
          <w:b/>
          <w:bCs/>
          <w:snapToGrid w:val="0"/>
          <w:kern w:val="22"/>
          <w:lang w:val="es-ES"/>
        </w:rPr>
        <w:t>4.1.8</w:t>
      </w:r>
      <w:r w:rsidR="00775B5A" w:rsidRPr="00023280">
        <w:rPr>
          <w:snapToGrid w:val="0"/>
          <w:kern w:val="22"/>
          <w:lang w:val="es-ES"/>
        </w:rPr>
        <w:t xml:space="preserve"> (n</w:t>
      </w:r>
      <w:r w:rsidRPr="00023280">
        <w:rPr>
          <w:snapToGrid w:val="0"/>
          <w:kern w:val="22"/>
          <w:lang w:val="es-ES"/>
        </w:rPr>
        <w:t xml:space="preserve">úmero de usuarios del CIISB que </w:t>
      </w:r>
      <w:r w:rsidR="001876C2">
        <w:rPr>
          <w:snapToGrid w:val="0"/>
          <w:kern w:val="22"/>
          <w:lang w:val="es-ES"/>
        </w:rPr>
        <w:t>solicita</w:t>
      </w:r>
      <w:r w:rsidRPr="00023280">
        <w:rPr>
          <w:snapToGrid w:val="0"/>
          <w:kern w:val="22"/>
          <w:lang w:val="es-ES"/>
        </w:rPr>
        <w:t xml:space="preserve"> mejoras </w:t>
      </w:r>
      <w:r>
        <w:rPr>
          <w:snapToGrid w:val="0"/>
          <w:kern w:val="22"/>
          <w:lang w:val="es-ES"/>
        </w:rPr>
        <w:t xml:space="preserve">en cuanto a </w:t>
      </w:r>
      <w:r w:rsidRPr="00023280">
        <w:rPr>
          <w:snapToGrid w:val="0"/>
          <w:kern w:val="22"/>
          <w:lang w:val="es-ES"/>
        </w:rPr>
        <w:t xml:space="preserve">la </w:t>
      </w:r>
      <w:r w:rsidR="004025E4">
        <w:rPr>
          <w:snapToGrid w:val="0"/>
          <w:kern w:val="22"/>
          <w:lang w:val="es-ES"/>
        </w:rPr>
        <w:t>precisión</w:t>
      </w:r>
      <w:r>
        <w:rPr>
          <w:snapToGrid w:val="0"/>
          <w:kern w:val="22"/>
          <w:lang w:val="es-ES"/>
        </w:rPr>
        <w:t>, integridad o actualidad de la información</w:t>
      </w:r>
      <w:r w:rsidR="00775B5A" w:rsidRPr="00023280">
        <w:rPr>
          <w:snapToGrid w:val="0"/>
          <w:kern w:val="22"/>
          <w:lang w:val="es-ES"/>
        </w:rPr>
        <w:t xml:space="preserve">), </w:t>
      </w:r>
      <w:r>
        <w:rPr>
          <w:snapToGrid w:val="0"/>
          <w:kern w:val="22"/>
          <w:lang w:val="es-ES"/>
        </w:rPr>
        <w:t>no se dispone de información para la comparación</w:t>
      </w:r>
      <w:r w:rsidR="00775B5A" w:rsidRPr="00023280">
        <w:rPr>
          <w:snapToGrid w:val="0"/>
          <w:kern w:val="22"/>
          <w:lang w:val="es-ES"/>
        </w:rPr>
        <w:t xml:space="preserve">. </w:t>
      </w:r>
    </w:p>
    <w:p w:rsidR="00775B5A" w:rsidRPr="00023280" w:rsidRDefault="00775B5A">
      <w:pPr>
        <w:keepNext/>
        <w:suppressLineNumbers/>
        <w:tabs>
          <w:tab w:val="num" w:pos="0"/>
          <w:tab w:val="left" w:pos="720"/>
        </w:tabs>
        <w:suppressAutoHyphens/>
        <w:spacing w:before="120" w:after="120"/>
        <w:textAlignment w:val="baseline"/>
        <w:outlineLvl w:val="2"/>
        <w:rPr>
          <w:b/>
          <w:bCs/>
          <w:snapToGrid w:val="0"/>
          <w:kern w:val="22"/>
          <w:lang w:val="es-ES"/>
        </w:rPr>
      </w:pPr>
      <w:r w:rsidRPr="00023280">
        <w:rPr>
          <w:b/>
          <w:bCs/>
          <w:snapToGrid w:val="0"/>
          <w:kern w:val="22"/>
          <w:lang w:val="es-ES"/>
        </w:rPr>
        <w:t>O</w:t>
      </w:r>
      <w:r w:rsidR="00023280" w:rsidRPr="00023280">
        <w:rPr>
          <w:b/>
          <w:bCs/>
          <w:snapToGrid w:val="0"/>
          <w:kern w:val="22"/>
          <w:lang w:val="es-ES"/>
        </w:rPr>
        <w:t xml:space="preserve">bjetivo operacional </w:t>
      </w:r>
      <w:bookmarkStart w:id="27" w:name="_Hlk30513106"/>
      <w:r w:rsidRPr="00023280">
        <w:rPr>
          <w:b/>
          <w:bCs/>
          <w:snapToGrid w:val="0"/>
          <w:kern w:val="22"/>
          <w:lang w:val="es-ES"/>
        </w:rPr>
        <w:t>4.2</w:t>
      </w:r>
      <w:bookmarkEnd w:id="27"/>
      <w:r w:rsidRPr="00023280">
        <w:rPr>
          <w:b/>
          <w:bCs/>
          <w:snapToGrid w:val="0"/>
          <w:kern w:val="22"/>
          <w:lang w:val="es-ES"/>
        </w:rPr>
        <w:t xml:space="preserve">: </w:t>
      </w:r>
      <w:r w:rsidR="00023280" w:rsidRPr="00023280">
        <w:rPr>
          <w:b/>
          <w:bCs/>
          <w:snapToGrid w:val="0"/>
          <w:kern w:val="22"/>
          <w:lang w:val="es-ES"/>
        </w:rPr>
        <w:t>el CIISB como herramienta para las conferencias y l</w:t>
      </w:r>
      <w:r w:rsidR="00023280">
        <w:rPr>
          <w:b/>
          <w:bCs/>
          <w:snapToGrid w:val="0"/>
          <w:kern w:val="22"/>
          <w:lang w:val="es-ES"/>
        </w:rPr>
        <w:t>os debates</w:t>
      </w:r>
      <w:r w:rsidR="00023280" w:rsidRPr="00023280">
        <w:rPr>
          <w:b/>
          <w:bCs/>
          <w:snapToGrid w:val="0"/>
          <w:kern w:val="22"/>
          <w:lang w:val="es-ES"/>
        </w:rPr>
        <w:t xml:space="preserve"> en l</w:t>
      </w:r>
      <w:r w:rsidR="00023280">
        <w:rPr>
          <w:b/>
          <w:bCs/>
          <w:snapToGrid w:val="0"/>
          <w:kern w:val="22"/>
          <w:lang w:val="es-ES"/>
        </w:rPr>
        <w:t>ínea</w:t>
      </w:r>
    </w:p>
    <w:p w:rsidR="00775B5A" w:rsidRPr="00023280" w:rsidRDefault="00023280"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023280">
        <w:rPr>
          <w:snapToGrid w:val="0"/>
          <w:kern w:val="22"/>
          <w:lang w:val="es-ES"/>
        </w:rPr>
        <w:t xml:space="preserve">El objetivo operacional </w:t>
      </w:r>
      <w:r w:rsidR="00775B5A" w:rsidRPr="00023280">
        <w:rPr>
          <w:snapToGrid w:val="0"/>
          <w:kern w:val="22"/>
          <w:lang w:val="es-ES"/>
        </w:rPr>
        <w:t xml:space="preserve">4.2 </w:t>
      </w:r>
      <w:r w:rsidRPr="00023280">
        <w:rPr>
          <w:snapToGrid w:val="0"/>
          <w:kern w:val="22"/>
          <w:lang w:val="es-ES"/>
        </w:rPr>
        <w:t xml:space="preserve">tiene por objeto </w:t>
      </w:r>
      <w:r w:rsidR="00775B5A" w:rsidRPr="00023280">
        <w:rPr>
          <w:snapToGrid w:val="0"/>
          <w:kern w:val="22"/>
          <w:lang w:val="es-ES"/>
        </w:rPr>
        <w:t>establ</w:t>
      </w:r>
      <w:r w:rsidRPr="00023280">
        <w:rPr>
          <w:snapToGrid w:val="0"/>
          <w:kern w:val="22"/>
          <w:lang w:val="es-ES"/>
        </w:rPr>
        <w:t>ecer al C</w:t>
      </w:r>
      <w:r w:rsidR="004F758D">
        <w:rPr>
          <w:snapToGrid w:val="0"/>
          <w:kern w:val="22"/>
          <w:lang w:val="es-ES"/>
        </w:rPr>
        <w:t>IISB</w:t>
      </w:r>
      <w:r w:rsidRPr="00023280">
        <w:rPr>
          <w:snapToGrid w:val="0"/>
          <w:kern w:val="22"/>
          <w:lang w:val="es-ES"/>
        </w:rPr>
        <w:t xml:space="preserve"> como una plataforma completamente funcional y eficaz para brindar asistencia a los pa</w:t>
      </w:r>
      <w:r>
        <w:rPr>
          <w:snapToGrid w:val="0"/>
          <w:kern w:val="22"/>
          <w:lang w:val="es-ES"/>
        </w:rPr>
        <w:t xml:space="preserve">íses en la aplicación del </w:t>
      </w:r>
      <w:r w:rsidR="00775B5A" w:rsidRPr="00023280">
        <w:rPr>
          <w:snapToGrid w:val="0"/>
          <w:kern w:val="22"/>
          <w:lang w:val="es-ES"/>
        </w:rPr>
        <w:t>Protocol</w:t>
      </w:r>
      <w:r>
        <w:rPr>
          <w:snapToGrid w:val="0"/>
          <w:kern w:val="22"/>
          <w:lang w:val="es-ES"/>
        </w:rPr>
        <w:t>o y aumentar la cantidad y la calidad de la información enviada y extraída del CIISB</w:t>
      </w:r>
      <w:r w:rsidR="00775B5A" w:rsidRPr="00023280">
        <w:rPr>
          <w:snapToGrid w:val="0"/>
          <w:kern w:val="22"/>
          <w:lang w:val="es-ES"/>
        </w:rPr>
        <w:t>.</w:t>
      </w:r>
    </w:p>
    <w:p w:rsidR="00775B5A" w:rsidRPr="00E700D9" w:rsidRDefault="00E700D9"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E700D9">
        <w:rPr>
          <w:snapToGrid w:val="0"/>
          <w:kern w:val="22"/>
          <w:lang w:val="es-ES"/>
        </w:rPr>
        <w:t>El Plan Estratégico recoge tres indicadores para medir el progreso hacia la consecuci</w:t>
      </w:r>
      <w:r>
        <w:rPr>
          <w:snapToGrid w:val="0"/>
          <w:kern w:val="22"/>
          <w:lang w:val="es-ES"/>
        </w:rPr>
        <w:t>ón de este objetivo operacional</w:t>
      </w:r>
      <w:r w:rsidR="00775B5A" w:rsidRPr="00E700D9">
        <w:rPr>
          <w:snapToGrid w:val="0"/>
          <w:kern w:val="22"/>
          <w:lang w:val="es-ES"/>
        </w:rPr>
        <w:t xml:space="preserve">. </w:t>
      </w:r>
      <w:r w:rsidRPr="00E700D9">
        <w:rPr>
          <w:snapToGrid w:val="0"/>
          <w:kern w:val="22"/>
          <w:lang w:val="es-ES"/>
        </w:rPr>
        <w:t>Los datos obtenidos del C</w:t>
      </w:r>
      <w:r w:rsidR="004F758D">
        <w:rPr>
          <w:snapToGrid w:val="0"/>
          <w:kern w:val="22"/>
          <w:lang w:val="es-ES"/>
        </w:rPr>
        <w:t>IISB</w:t>
      </w:r>
      <w:r w:rsidR="00775B5A" w:rsidRPr="00E700D9">
        <w:rPr>
          <w:snapToGrid w:val="0"/>
          <w:kern w:val="22"/>
          <w:lang w:val="es-ES"/>
        </w:rPr>
        <w:t xml:space="preserve"> dur</w:t>
      </w:r>
      <w:r w:rsidRPr="00E700D9">
        <w:rPr>
          <w:snapToGrid w:val="0"/>
          <w:kern w:val="22"/>
          <w:lang w:val="es-ES"/>
        </w:rPr>
        <w:t>ante</w:t>
      </w:r>
      <w:r w:rsidR="00775B5A" w:rsidRPr="00E700D9">
        <w:rPr>
          <w:snapToGrid w:val="0"/>
          <w:kern w:val="22"/>
          <w:lang w:val="es-ES"/>
        </w:rPr>
        <w:t xml:space="preserve"> 2016-2019 </w:t>
      </w:r>
      <w:r w:rsidRPr="00E700D9">
        <w:rPr>
          <w:snapToGrid w:val="0"/>
          <w:kern w:val="22"/>
          <w:lang w:val="es-ES"/>
        </w:rPr>
        <w:t>en comparaci</w:t>
      </w:r>
      <w:r>
        <w:rPr>
          <w:snapToGrid w:val="0"/>
          <w:kern w:val="22"/>
          <w:lang w:val="es-ES"/>
        </w:rPr>
        <w:t>ón con</w:t>
      </w:r>
      <w:r w:rsidR="004025E4">
        <w:rPr>
          <w:snapToGrid w:val="0"/>
          <w:kern w:val="22"/>
          <w:lang w:val="es-ES"/>
        </w:rPr>
        <w:t xml:space="preserve"> los datos obtenidos </w:t>
      </w:r>
      <w:r>
        <w:rPr>
          <w:snapToGrid w:val="0"/>
          <w:kern w:val="22"/>
          <w:lang w:val="es-ES"/>
        </w:rPr>
        <w:t xml:space="preserve">durante el periodo </w:t>
      </w:r>
      <w:r w:rsidR="00775B5A" w:rsidRPr="00E700D9">
        <w:rPr>
          <w:snapToGrid w:val="0"/>
          <w:kern w:val="22"/>
          <w:lang w:val="es-ES"/>
        </w:rPr>
        <w:t xml:space="preserve">2010-2012, </w:t>
      </w:r>
      <w:r>
        <w:rPr>
          <w:snapToGrid w:val="0"/>
          <w:kern w:val="22"/>
          <w:lang w:val="es-ES"/>
        </w:rPr>
        <w:t>que sirven como los datos básicos de referencia</w:t>
      </w:r>
      <w:r w:rsidR="00775B5A">
        <w:rPr>
          <w:rStyle w:val="FootnoteReference"/>
          <w:rFonts w:ascii="Angsana New" w:hAnsi="Angsana New" w:cs="Angsana New"/>
          <w:snapToGrid w:val="0"/>
          <w:kern w:val="22"/>
        </w:rPr>
        <w:footnoteReference w:id="40"/>
      </w:r>
      <w:r w:rsidR="00775B5A" w:rsidRPr="00E700D9">
        <w:rPr>
          <w:snapToGrid w:val="0"/>
          <w:kern w:val="22"/>
          <w:lang w:val="es-ES"/>
        </w:rPr>
        <w:t xml:space="preserve"> </w:t>
      </w:r>
      <w:r>
        <w:rPr>
          <w:snapToGrid w:val="0"/>
          <w:kern w:val="22"/>
          <w:lang w:val="es-ES"/>
        </w:rPr>
        <w:t>para este objetivo operacional</w:t>
      </w:r>
      <w:r w:rsidR="004025E4">
        <w:rPr>
          <w:snapToGrid w:val="0"/>
          <w:kern w:val="22"/>
          <w:lang w:val="es-ES"/>
        </w:rPr>
        <w:t>, indican</w:t>
      </w:r>
      <w:r>
        <w:rPr>
          <w:snapToGrid w:val="0"/>
          <w:kern w:val="22"/>
          <w:lang w:val="es-ES"/>
        </w:rPr>
        <w:t xml:space="preserve"> lo siguiente:</w:t>
      </w:r>
    </w:p>
    <w:p w:rsidR="00775B5A" w:rsidRPr="002D6E65" w:rsidRDefault="002D6E65"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2D6E65">
        <w:rPr>
          <w:snapToGrid w:val="0"/>
          <w:kern w:val="22"/>
          <w:lang w:val="es-ES"/>
        </w:rPr>
        <w:t>Con respecto al</w:t>
      </w:r>
      <w:r w:rsidR="00775B5A" w:rsidRPr="002D6E65">
        <w:rPr>
          <w:snapToGrid w:val="0"/>
          <w:kern w:val="22"/>
          <w:lang w:val="es-ES"/>
        </w:rPr>
        <w:t xml:space="preserve"> </w:t>
      </w:r>
      <w:r w:rsidR="00775B5A" w:rsidRPr="002D6E65">
        <w:rPr>
          <w:b/>
          <w:bCs/>
          <w:snapToGrid w:val="0"/>
          <w:kern w:val="22"/>
          <w:lang w:val="es-ES"/>
        </w:rPr>
        <w:t>indica</w:t>
      </w:r>
      <w:r w:rsidRPr="002D6E65">
        <w:rPr>
          <w:b/>
          <w:bCs/>
          <w:snapToGrid w:val="0"/>
          <w:kern w:val="22"/>
          <w:lang w:val="es-ES"/>
        </w:rPr>
        <w:t>d</w:t>
      </w:r>
      <w:r w:rsidR="00775B5A" w:rsidRPr="002D6E65">
        <w:rPr>
          <w:b/>
          <w:bCs/>
          <w:snapToGrid w:val="0"/>
          <w:kern w:val="22"/>
          <w:lang w:val="es-ES"/>
        </w:rPr>
        <w:t xml:space="preserve">or 4.2.1 </w:t>
      </w:r>
      <w:r w:rsidR="00775B5A" w:rsidRPr="002D6E65">
        <w:rPr>
          <w:snapToGrid w:val="0"/>
          <w:kern w:val="22"/>
          <w:lang w:val="es-ES"/>
        </w:rPr>
        <w:t>(</w:t>
      </w:r>
      <w:bookmarkStart w:id="28" w:name="_Hlk30512918"/>
      <w:r w:rsidR="00775B5A" w:rsidRPr="002D6E65">
        <w:rPr>
          <w:snapToGrid w:val="0"/>
          <w:kern w:val="22"/>
          <w:lang w:val="es-ES"/>
        </w:rPr>
        <w:t>p</w:t>
      </w:r>
      <w:r w:rsidRPr="002D6E65">
        <w:rPr>
          <w:snapToGrid w:val="0"/>
          <w:kern w:val="22"/>
          <w:lang w:val="es-ES"/>
        </w:rPr>
        <w:t xml:space="preserve">orcentaje de Partes que </w:t>
      </w:r>
      <w:r w:rsidR="00775B5A" w:rsidRPr="002D6E65">
        <w:rPr>
          <w:snapToGrid w:val="0"/>
          <w:kern w:val="22"/>
          <w:lang w:val="es-ES"/>
        </w:rPr>
        <w:t xml:space="preserve">participa </w:t>
      </w:r>
      <w:r w:rsidRPr="002D6E65">
        <w:rPr>
          <w:snapToGrid w:val="0"/>
          <w:kern w:val="22"/>
          <w:lang w:val="es-ES"/>
        </w:rPr>
        <w:t>en debates en línea y conferencias en tiempo real en el CIISB</w:t>
      </w:r>
      <w:bookmarkEnd w:id="28"/>
      <w:r w:rsidR="00775B5A" w:rsidRPr="002D6E65">
        <w:rPr>
          <w:snapToGrid w:val="0"/>
          <w:kern w:val="22"/>
          <w:lang w:val="es-ES"/>
        </w:rPr>
        <w:t xml:space="preserve">, </w:t>
      </w:r>
      <w:r w:rsidRPr="002D6E65">
        <w:rPr>
          <w:snapToGrid w:val="0"/>
          <w:kern w:val="22"/>
          <w:lang w:val="es-ES"/>
        </w:rPr>
        <w:t xml:space="preserve">el porcentaje medio de </w:t>
      </w:r>
      <w:r w:rsidR="00775B5A" w:rsidRPr="002D6E65">
        <w:rPr>
          <w:snapToGrid w:val="0"/>
          <w:kern w:val="22"/>
          <w:lang w:val="es-ES"/>
        </w:rPr>
        <w:t xml:space="preserve">Partes </w:t>
      </w:r>
      <w:r w:rsidRPr="002D6E65">
        <w:rPr>
          <w:snapToGrid w:val="0"/>
          <w:kern w:val="22"/>
          <w:lang w:val="es-ES"/>
        </w:rPr>
        <w:t>que</w:t>
      </w:r>
      <w:r>
        <w:rPr>
          <w:snapToGrid w:val="0"/>
          <w:kern w:val="22"/>
          <w:lang w:val="es-ES"/>
        </w:rPr>
        <w:t xml:space="preserve"> </w:t>
      </w:r>
      <w:r w:rsidR="004025E4">
        <w:rPr>
          <w:snapToGrid w:val="0"/>
          <w:kern w:val="22"/>
          <w:lang w:val="es-ES"/>
        </w:rPr>
        <w:t>designó a participantes</w:t>
      </w:r>
      <w:r>
        <w:rPr>
          <w:snapToGrid w:val="0"/>
          <w:kern w:val="22"/>
          <w:lang w:val="es-ES"/>
        </w:rPr>
        <w:t xml:space="preserve"> para participar en los </w:t>
      </w:r>
      <w:r w:rsidRPr="002D6E65">
        <w:rPr>
          <w:snapToGrid w:val="0"/>
          <w:kern w:val="22"/>
          <w:lang w:val="es-ES"/>
        </w:rPr>
        <w:t xml:space="preserve">foros </w:t>
      </w:r>
      <w:r>
        <w:rPr>
          <w:snapToGrid w:val="0"/>
          <w:kern w:val="22"/>
          <w:lang w:val="es-ES"/>
        </w:rPr>
        <w:t xml:space="preserve">de composición abierta celebrados en el marco del CIISB aumentó de un </w:t>
      </w:r>
      <w:r w:rsidR="00775B5A" w:rsidRPr="002D6E65">
        <w:rPr>
          <w:snapToGrid w:val="0"/>
          <w:kern w:val="22"/>
          <w:lang w:val="es-ES"/>
        </w:rPr>
        <w:t>18</w:t>
      </w:r>
      <w:r>
        <w:rPr>
          <w:snapToGrid w:val="0"/>
          <w:kern w:val="22"/>
          <w:lang w:val="es-ES"/>
        </w:rPr>
        <w:t xml:space="preserve"> </w:t>
      </w:r>
      <w:r w:rsidR="00775B5A" w:rsidRPr="002D6E65">
        <w:rPr>
          <w:snapToGrid w:val="0"/>
          <w:kern w:val="22"/>
          <w:lang w:val="es-ES"/>
        </w:rPr>
        <w:t xml:space="preserve">% (29 </w:t>
      </w:r>
      <w:r>
        <w:rPr>
          <w:snapToGrid w:val="0"/>
          <w:kern w:val="22"/>
          <w:lang w:val="es-ES"/>
        </w:rPr>
        <w:t xml:space="preserve">de las </w:t>
      </w:r>
      <w:r w:rsidR="00775B5A" w:rsidRPr="002D6E65">
        <w:rPr>
          <w:snapToGrid w:val="0"/>
          <w:kern w:val="22"/>
          <w:lang w:val="es-ES"/>
        </w:rPr>
        <w:t xml:space="preserve">161 Partes) </w:t>
      </w:r>
      <w:r>
        <w:rPr>
          <w:snapToGrid w:val="0"/>
          <w:kern w:val="22"/>
          <w:lang w:val="es-ES"/>
        </w:rPr>
        <w:t xml:space="preserve">en la base de referencia a un </w:t>
      </w:r>
      <w:r w:rsidR="00775B5A" w:rsidRPr="002D6E65">
        <w:rPr>
          <w:snapToGrid w:val="0"/>
          <w:kern w:val="22"/>
          <w:lang w:val="es-ES"/>
        </w:rPr>
        <w:t>27</w:t>
      </w:r>
      <w:r>
        <w:rPr>
          <w:snapToGrid w:val="0"/>
          <w:kern w:val="22"/>
          <w:lang w:val="es-ES"/>
        </w:rPr>
        <w:t xml:space="preserve"> </w:t>
      </w:r>
      <w:r w:rsidR="00775B5A" w:rsidRPr="002D6E65">
        <w:rPr>
          <w:snapToGrid w:val="0"/>
          <w:kern w:val="22"/>
          <w:lang w:val="es-ES"/>
        </w:rPr>
        <w:t xml:space="preserve">% (46 </w:t>
      </w:r>
      <w:r>
        <w:rPr>
          <w:snapToGrid w:val="0"/>
          <w:kern w:val="22"/>
          <w:lang w:val="es-ES"/>
        </w:rPr>
        <w:t xml:space="preserve">de las </w:t>
      </w:r>
      <w:r w:rsidR="00775B5A" w:rsidRPr="002D6E65">
        <w:rPr>
          <w:snapToGrid w:val="0"/>
          <w:kern w:val="22"/>
          <w:lang w:val="es-ES"/>
        </w:rPr>
        <w:t xml:space="preserve">171 Partes) </w:t>
      </w:r>
      <w:r>
        <w:rPr>
          <w:snapToGrid w:val="0"/>
          <w:kern w:val="22"/>
          <w:lang w:val="es-ES"/>
        </w:rPr>
        <w:t xml:space="preserve">en el cuarto ciclo de presentación de informes </w:t>
      </w:r>
      <w:r w:rsidR="00775B5A" w:rsidRPr="002D6E65">
        <w:rPr>
          <w:snapToGrid w:val="0"/>
          <w:kern w:val="22"/>
          <w:lang w:val="es-ES"/>
        </w:rPr>
        <w:t>(</w:t>
      </w:r>
      <w:r>
        <w:rPr>
          <w:snapToGrid w:val="0"/>
          <w:kern w:val="22"/>
          <w:lang w:val="es-ES"/>
        </w:rPr>
        <w:t xml:space="preserve">véase el cuadro </w:t>
      </w:r>
      <w:r w:rsidR="00775B5A" w:rsidRPr="002D6E65">
        <w:rPr>
          <w:snapToGrid w:val="0"/>
          <w:kern w:val="22"/>
          <w:lang w:val="es-ES"/>
        </w:rPr>
        <w:t xml:space="preserve">1). </w:t>
      </w:r>
      <w:r w:rsidRPr="002D6E65">
        <w:rPr>
          <w:snapToGrid w:val="0"/>
          <w:kern w:val="22"/>
          <w:lang w:val="es-ES"/>
        </w:rPr>
        <w:t>Cabe señalar que el periodo de referencia para el cuarto ciclo de presentación de informes es un año m</w:t>
      </w:r>
      <w:r>
        <w:rPr>
          <w:snapToGrid w:val="0"/>
          <w:kern w:val="22"/>
          <w:lang w:val="es-ES"/>
        </w:rPr>
        <w:t>ás largo, lo que puede haber afectado a los resultados del análisis de este indicador</w:t>
      </w:r>
      <w:r w:rsidR="00775B5A" w:rsidRPr="002D6E65">
        <w:rPr>
          <w:snapToGrid w:val="0"/>
          <w:kern w:val="22"/>
          <w:lang w:val="es-ES"/>
        </w:rPr>
        <w:t xml:space="preserve">. </w:t>
      </w:r>
    </w:p>
    <w:p w:rsidR="00775B5A" w:rsidRPr="004025E4" w:rsidRDefault="002D6E65">
      <w:pPr>
        <w:keepNext/>
        <w:suppressLineNumbers/>
        <w:suppressAutoHyphens/>
        <w:spacing w:before="120" w:after="120"/>
        <w:ind w:left="900" w:right="900"/>
        <w:textAlignment w:val="baseline"/>
        <w:rPr>
          <w:rFonts w:ascii="Angsana New" w:hAnsi="Angsana New" w:cs="Angsana New"/>
          <w:snapToGrid w:val="0"/>
          <w:kern w:val="22"/>
          <w:lang w:val="es-ES"/>
        </w:rPr>
      </w:pPr>
      <w:r w:rsidRPr="00D4569F">
        <w:rPr>
          <w:snapToGrid w:val="0"/>
          <w:kern w:val="22"/>
          <w:lang w:val="es-ES"/>
        </w:rPr>
        <w:t>Cuadro</w:t>
      </w:r>
      <w:r w:rsidR="00775B5A" w:rsidRPr="00D4569F">
        <w:rPr>
          <w:snapToGrid w:val="0"/>
          <w:kern w:val="22"/>
          <w:lang w:val="es-ES"/>
        </w:rPr>
        <w:t xml:space="preserve"> 1. </w:t>
      </w:r>
      <w:r w:rsidR="00775B5A" w:rsidRPr="00A516BC">
        <w:rPr>
          <w:b/>
          <w:bCs/>
          <w:snapToGrid w:val="0"/>
          <w:kern w:val="22"/>
          <w:lang w:val="es-ES"/>
        </w:rPr>
        <w:t>N</w:t>
      </w:r>
      <w:r w:rsidRPr="00A516BC">
        <w:rPr>
          <w:b/>
          <w:bCs/>
          <w:snapToGrid w:val="0"/>
          <w:kern w:val="22"/>
          <w:lang w:val="es-ES"/>
        </w:rPr>
        <w:t>úmero de Partes que designaron a participantes para los foros de composición abierta celebrados en el marco del C</w:t>
      </w:r>
      <w:r w:rsidR="004F758D">
        <w:rPr>
          <w:b/>
          <w:bCs/>
          <w:snapToGrid w:val="0"/>
          <w:kern w:val="22"/>
          <w:lang w:val="es-ES"/>
        </w:rPr>
        <w:t>entro de Intercambio de Información sobre Seguridad de la Biotecnología</w:t>
      </w:r>
      <w:r w:rsidR="00775B5A" w:rsidRPr="00A516BC">
        <w:rPr>
          <w:snapToGrid w:val="0"/>
          <w:kern w:val="22"/>
          <w:lang w:val="es-ES"/>
        </w:rPr>
        <w:t xml:space="preserve"> </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3"/>
        <w:gridCol w:w="2410"/>
        <w:gridCol w:w="2305"/>
      </w:tblGrid>
      <w:tr w:rsidR="00775B5A" w:rsidRPr="001B3CE6">
        <w:trPr>
          <w:cantSplit/>
          <w:tblHeader/>
          <w:jc w:val="center"/>
        </w:trPr>
        <w:tc>
          <w:tcPr>
            <w:tcW w:w="2793" w:type="dxa"/>
            <w:noWrap/>
            <w:vAlign w:val="center"/>
          </w:tcPr>
          <w:p w:rsidR="00775B5A" w:rsidRPr="00A516BC" w:rsidRDefault="004A0758">
            <w:pPr>
              <w:suppressLineNumbers/>
              <w:suppressAutoHyphens/>
              <w:jc w:val="center"/>
              <w:rPr>
                <w:rFonts w:ascii="Angsana New" w:hAnsi="Angsana New" w:cs="Angsana New"/>
                <w:i/>
                <w:iCs/>
                <w:snapToGrid w:val="0"/>
                <w:kern w:val="22"/>
                <w:lang w:val="es-ES"/>
              </w:rPr>
            </w:pPr>
            <w:r w:rsidRPr="004A0758">
              <w:rPr>
                <w:i/>
                <w:iCs/>
                <w:snapToGrid w:val="0"/>
                <w:kern w:val="22"/>
              </w:rPr>
              <w:t>Tema</w:t>
            </w:r>
          </w:p>
        </w:tc>
        <w:tc>
          <w:tcPr>
            <w:tcW w:w="2410" w:type="dxa"/>
            <w:noWrap/>
            <w:vAlign w:val="center"/>
          </w:tcPr>
          <w:p w:rsidR="00775B5A" w:rsidRDefault="00A516BC">
            <w:pPr>
              <w:suppressLineNumbers/>
              <w:suppressAutoHyphens/>
              <w:jc w:val="center"/>
              <w:rPr>
                <w:i/>
                <w:iCs/>
                <w:snapToGrid w:val="0"/>
                <w:kern w:val="22"/>
              </w:rPr>
            </w:pPr>
            <w:r>
              <w:rPr>
                <w:i/>
                <w:iCs/>
                <w:snapToGrid w:val="0"/>
                <w:kern w:val="22"/>
              </w:rPr>
              <w:t>Datos básicos de referencia</w:t>
            </w:r>
          </w:p>
          <w:p w:rsidR="00775B5A" w:rsidRDefault="00775B5A">
            <w:pPr>
              <w:suppressLineNumbers/>
              <w:suppressAutoHyphens/>
              <w:jc w:val="center"/>
              <w:rPr>
                <w:i/>
                <w:iCs/>
                <w:snapToGrid w:val="0"/>
                <w:kern w:val="22"/>
              </w:rPr>
            </w:pPr>
            <w:r>
              <w:rPr>
                <w:i/>
                <w:iCs/>
                <w:snapToGrid w:val="0"/>
                <w:kern w:val="22"/>
              </w:rPr>
              <w:t>(2010-2012)</w:t>
            </w:r>
          </w:p>
        </w:tc>
        <w:tc>
          <w:tcPr>
            <w:tcW w:w="2305" w:type="dxa"/>
          </w:tcPr>
          <w:p w:rsidR="00775B5A" w:rsidRPr="00A516BC" w:rsidRDefault="00A516BC" w:rsidP="00A516BC">
            <w:pPr>
              <w:suppressLineNumbers/>
              <w:suppressAutoHyphens/>
              <w:jc w:val="center"/>
              <w:rPr>
                <w:i/>
                <w:iCs/>
                <w:snapToGrid w:val="0"/>
                <w:kern w:val="22"/>
                <w:lang w:val="es-ES"/>
              </w:rPr>
            </w:pPr>
            <w:r w:rsidRPr="00A516BC">
              <w:rPr>
                <w:i/>
                <w:iCs/>
                <w:snapToGrid w:val="0"/>
                <w:kern w:val="22"/>
                <w:lang w:val="es-ES"/>
              </w:rPr>
              <w:t>Cuarto ciclo de presentación de informes</w:t>
            </w:r>
            <w:r w:rsidR="00775B5A" w:rsidRPr="00A516BC">
              <w:rPr>
                <w:i/>
                <w:iCs/>
                <w:snapToGrid w:val="0"/>
                <w:kern w:val="22"/>
                <w:lang w:val="es-ES"/>
              </w:rPr>
              <w:t xml:space="preserve"> (2016-2019)</w:t>
            </w:r>
          </w:p>
        </w:tc>
      </w:tr>
      <w:tr w:rsidR="00775B5A">
        <w:trPr>
          <w:cantSplit/>
          <w:jc w:val="center"/>
        </w:trPr>
        <w:tc>
          <w:tcPr>
            <w:tcW w:w="2793" w:type="dxa"/>
            <w:noWrap/>
            <w:vAlign w:val="center"/>
          </w:tcPr>
          <w:p w:rsidR="00775B5A" w:rsidRDefault="00A516BC" w:rsidP="00A516BC">
            <w:pPr>
              <w:suppressLineNumbers/>
              <w:suppressAutoHyphens/>
              <w:jc w:val="center"/>
              <w:rPr>
                <w:snapToGrid w:val="0"/>
                <w:kern w:val="22"/>
              </w:rPr>
            </w:pPr>
            <w:r>
              <w:rPr>
                <w:snapToGrid w:val="0"/>
                <w:kern w:val="22"/>
                <w:lang w:val="es-ES"/>
              </w:rPr>
              <w:t>Evaluación del riesgo</w:t>
            </w:r>
          </w:p>
        </w:tc>
        <w:tc>
          <w:tcPr>
            <w:tcW w:w="2410" w:type="dxa"/>
            <w:noWrap/>
            <w:vAlign w:val="center"/>
          </w:tcPr>
          <w:p w:rsidR="00775B5A" w:rsidRDefault="00775B5A">
            <w:pPr>
              <w:suppressLineNumbers/>
              <w:suppressAutoHyphens/>
              <w:jc w:val="center"/>
              <w:rPr>
                <w:snapToGrid w:val="0"/>
                <w:kern w:val="22"/>
              </w:rPr>
            </w:pPr>
            <w:r>
              <w:rPr>
                <w:snapToGrid w:val="0"/>
                <w:kern w:val="22"/>
              </w:rPr>
              <w:t>50</w:t>
            </w:r>
          </w:p>
        </w:tc>
        <w:tc>
          <w:tcPr>
            <w:tcW w:w="2305" w:type="dxa"/>
          </w:tcPr>
          <w:p w:rsidR="00775B5A" w:rsidRDefault="00775B5A">
            <w:pPr>
              <w:suppressLineNumbers/>
              <w:suppressAutoHyphens/>
              <w:jc w:val="center"/>
              <w:rPr>
                <w:rFonts w:ascii="Angsana New" w:hAnsi="Angsana New" w:cs="Angsana New"/>
                <w:snapToGrid w:val="0"/>
                <w:kern w:val="22"/>
              </w:rPr>
            </w:pPr>
            <w:r>
              <w:rPr>
                <w:snapToGrid w:val="0"/>
                <w:kern w:val="22"/>
              </w:rPr>
              <w:t>60</w:t>
            </w:r>
          </w:p>
        </w:tc>
      </w:tr>
      <w:tr w:rsidR="00775B5A">
        <w:trPr>
          <w:cantSplit/>
          <w:jc w:val="center"/>
        </w:trPr>
        <w:tc>
          <w:tcPr>
            <w:tcW w:w="2793" w:type="dxa"/>
            <w:noWrap/>
            <w:vAlign w:val="center"/>
          </w:tcPr>
          <w:p w:rsidR="00775B5A" w:rsidRDefault="00775B5A" w:rsidP="00A516BC">
            <w:pPr>
              <w:suppressLineNumbers/>
              <w:suppressAutoHyphens/>
              <w:jc w:val="center"/>
              <w:rPr>
                <w:snapToGrid w:val="0"/>
                <w:kern w:val="22"/>
              </w:rPr>
            </w:pPr>
            <w:r>
              <w:rPr>
                <w:snapToGrid w:val="0"/>
                <w:kern w:val="22"/>
              </w:rPr>
              <w:t>Detec</w:t>
            </w:r>
            <w:r w:rsidR="00A516BC">
              <w:rPr>
                <w:snapToGrid w:val="0"/>
                <w:kern w:val="22"/>
              </w:rPr>
              <w:t>ción e identificación</w:t>
            </w:r>
          </w:p>
        </w:tc>
        <w:tc>
          <w:tcPr>
            <w:tcW w:w="2410" w:type="dxa"/>
            <w:noWrap/>
            <w:vAlign w:val="center"/>
          </w:tcPr>
          <w:p w:rsidR="00775B5A" w:rsidRDefault="00775B5A">
            <w:pPr>
              <w:suppressLineNumbers/>
              <w:suppressAutoHyphens/>
              <w:jc w:val="center"/>
              <w:rPr>
                <w:snapToGrid w:val="0"/>
                <w:kern w:val="22"/>
              </w:rPr>
            </w:pPr>
            <w:r>
              <w:rPr>
                <w:snapToGrid w:val="0"/>
                <w:kern w:val="22"/>
              </w:rPr>
              <w:t>18</w:t>
            </w:r>
          </w:p>
        </w:tc>
        <w:tc>
          <w:tcPr>
            <w:tcW w:w="2305" w:type="dxa"/>
          </w:tcPr>
          <w:p w:rsidR="00775B5A" w:rsidRDefault="00775B5A">
            <w:pPr>
              <w:suppressLineNumbers/>
              <w:suppressAutoHyphens/>
              <w:jc w:val="center"/>
              <w:rPr>
                <w:rFonts w:ascii="Angsana New" w:hAnsi="Angsana New" w:cs="Angsana New"/>
                <w:snapToGrid w:val="0"/>
                <w:kern w:val="22"/>
              </w:rPr>
            </w:pPr>
            <w:r>
              <w:rPr>
                <w:snapToGrid w:val="0"/>
                <w:kern w:val="22"/>
              </w:rPr>
              <w:t>46</w:t>
            </w:r>
          </w:p>
        </w:tc>
      </w:tr>
      <w:tr w:rsidR="00775B5A">
        <w:trPr>
          <w:cantSplit/>
          <w:jc w:val="center"/>
        </w:trPr>
        <w:tc>
          <w:tcPr>
            <w:tcW w:w="2793" w:type="dxa"/>
            <w:noWrap/>
            <w:vAlign w:val="center"/>
          </w:tcPr>
          <w:p w:rsidR="00775B5A" w:rsidRDefault="001E6BDE" w:rsidP="001E6BDE">
            <w:pPr>
              <w:suppressLineNumbers/>
              <w:suppressAutoHyphens/>
              <w:jc w:val="center"/>
              <w:rPr>
                <w:snapToGrid w:val="0"/>
                <w:kern w:val="22"/>
              </w:rPr>
            </w:pPr>
            <w:r>
              <w:rPr>
                <w:snapToGrid w:val="0"/>
                <w:kern w:val="22"/>
              </w:rPr>
              <w:t>Funcionarios de aduanas</w:t>
            </w:r>
          </w:p>
        </w:tc>
        <w:tc>
          <w:tcPr>
            <w:tcW w:w="2410" w:type="dxa"/>
            <w:noWrap/>
            <w:vAlign w:val="center"/>
          </w:tcPr>
          <w:p w:rsidR="00775B5A" w:rsidRDefault="00775B5A">
            <w:pPr>
              <w:suppressLineNumbers/>
              <w:suppressAutoHyphens/>
              <w:jc w:val="center"/>
              <w:rPr>
                <w:snapToGrid w:val="0"/>
                <w:kern w:val="22"/>
              </w:rPr>
            </w:pPr>
            <w:r>
              <w:rPr>
                <w:snapToGrid w:val="0"/>
                <w:kern w:val="22"/>
              </w:rPr>
              <w:t>15</w:t>
            </w:r>
          </w:p>
        </w:tc>
        <w:tc>
          <w:tcPr>
            <w:tcW w:w="2305" w:type="dxa"/>
          </w:tcPr>
          <w:p w:rsidR="00775B5A" w:rsidRDefault="00775B5A">
            <w:pPr>
              <w:suppressLineNumbers/>
              <w:suppressAutoHyphens/>
              <w:jc w:val="center"/>
              <w:rPr>
                <w:snapToGrid w:val="0"/>
                <w:kern w:val="22"/>
              </w:rPr>
            </w:pPr>
            <w:r>
              <w:rPr>
                <w:snapToGrid w:val="0"/>
                <w:kern w:val="22"/>
              </w:rPr>
              <w:t>N/A</w:t>
            </w:r>
          </w:p>
        </w:tc>
      </w:tr>
      <w:tr w:rsidR="00775B5A">
        <w:trPr>
          <w:cantSplit/>
          <w:jc w:val="center"/>
        </w:trPr>
        <w:tc>
          <w:tcPr>
            <w:tcW w:w="2793" w:type="dxa"/>
            <w:noWrap/>
            <w:vAlign w:val="center"/>
          </w:tcPr>
          <w:p w:rsidR="00775B5A" w:rsidRDefault="001E6BDE" w:rsidP="001E6BDE">
            <w:pPr>
              <w:suppressLineNumbers/>
              <w:suppressAutoHyphens/>
              <w:jc w:val="center"/>
              <w:rPr>
                <w:snapToGrid w:val="0"/>
                <w:kern w:val="22"/>
              </w:rPr>
            </w:pPr>
            <w:r>
              <w:rPr>
                <w:snapToGrid w:val="0"/>
                <w:kern w:val="22"/>
              </w:rPr>
              <w:t>Consideraciones socioeconómicas</w:t>
            </w:r>
          </w:p>
        </w:tc>
        <w:tc>
          <w:tcPr>
            <w:tcW w:w="2410" w:type="dxa"/>
            <w:noWrap/>
            <w:vAlign w:val="center"/>
          </w:tcPr>
          <w:p w:rsidR="00775B5A" w:rsidRDefault="00775B5A">
            <w:pPr>
              <w:suppressLineNumbers/>
              <w:suppressAutoHyphens/>
              <w:jc w:val="center"/>
              <w:rPr>
                <w:snapToGrid w:val="0"/>
                <w:kern w:val="22"/>
              </w:rPr>
            </w:pPr>
            <w:r>
              <w:rPr>
                <w:snapToGrid w:val="0"/>
                <w:kern w:val="22"/>
              </w:rPr>
              <w:t>34</w:t>
            </w:r>
          </w:p>
        </w:tc>
        <w:tc>
          <w:tcPr>
            <w:tcW w:w="2305" w:type="dxa"/>
          </w:tcPr>
          <w:p w:rsidR="00775B5A" w:rsidRDefault="00775B5A">
            <w:pPr>
              <w:suppressLineNumbers/>
              <w:suppressAutoHyphens/>
              <w:jc w:val="center"/>
              <w:rPr>
                <w:rFonts w:ascii="Angsana New" w:hAnsi="Angsana New" w:cs="Angsana New"/>
                <w:snapToGrid w:val="0"/>
                <w:kern w:val="22"/>
              </w:rPr>
            </w:pPr>
            <w:r>
              <w:rPr>
                <w:snapToGrid w:val="0"/>
                <w:kern w:val="22"/>
              </w:rPr>
              <w:t>30</w:t>
            </w:r>
          </w:p>
        </w:tc>
      </w:tr>
      <w:tr w:rsidR="00775B5A">
        <w:trPr>
          <w:cantSplit/>
          <w:jc w:val="center"/>
        </w:trPr>
        <w:tc>
          <w:tcPr>
            <w:tcW w:w="2793" w:type="dxa"/>
            <w:noWrap/>
            <w:vAlign w:val="center"/>
          </w:tcPr>
          <w:p w:rsidR="00775B5A" w:rsidRDefault="001E6BDE" w:rsidP="001E6BDE">
            <w:pPr>
              <w:suppressLineNumbers/>
              <w:suppressAutoHyphens/>
              <w:jc w:val="center"/>
              <w:rPr>
                <w:snapToGrid w:val="0"/>
                <w:kern w:val="22"/>
              </w:rPr>
            </w:pPr>
            <w:r>
              <w:rPr>
                <w:snapToGrid w:val="0"/>
                <w:kern w:val="22"/>
              </w:rPr>
              <w:t>Biología sintética</w:t>
            </w:r>
          </w:p>
        </w:tc>
        <w:tc>
          <w:tcPr>
            <w:tcW w:w="2410" w:type="dxa"/>
            <w:noWrap/>
            <w:vAlign w:val="center"/>
          </w:tcPr>
          <w:p w:rsidR="00775B5A" w:rsidRDefault="00775B5A">
            <w:pPr>
              <w:suppressLineNumbers/>
              <w:suppressAutoHyphens/>
              <w:jc w:val="center"/>
              <w:rPr>
                <w:snapToGrid w:val="0"/>
                <w:kern w:val="22"/>
              </w:rPr>
            </w:pPr>
            <w:r>
              <w:rPr>
                <w:snapToGrid w:val="0"/>
                <w:kern w:val="22"/>
              </w:rPr>
              <w:t>N/A</w:t>
            </w:r>
          </w:p>
        </w:tc>
        <w:tc>
          <w:tcPr>
            <w:tcW w:w="2305" w:type="dxa"/>
          </w:tcPr>
          <w:p w:rsidR="00775B5A" w:rsidRDefault="00775B5A">
            <w:pPr>
              <w:suppressLineNumbers/>
              <w:suppressAutoHyphens/>
              <w:jc w:val="center"/>
              <w:rPr>
                <w:rFonts w:ascii="Angsana New" w:hAnsi="Angsana New" w:cs="Angsana New"/>
                <w:snapToGrid w:val="0"/>
                <w:kern w:val="22"/>
              </w:rPr>
            </w:pPr>
            <w:r>
              <w:rPr>
                <w:snapToGrid w:val="0"/>
                <w:kern w:val="22"/>
              </w:rPr>
              <w:t>53</w:t>
            </w:r>
          </w:p>
        </w:tc>
      </w:tr>
      <w:tr w:rsidR="00775B5A">
        <w:trPr>
          <w:cantSplit/>
          <w:jc w:val="center"/>
        </w:trPr>
        <w:tc>
          <w:tcPr>
            <w:tcW w:w="2793" w:type="dxa"/>
            <w:noWrap/>
            <w:vAlign w:val="center"/>
          </w:tcPr>
          <w:p w:rsidR="00775B5A" w:rsidRPr="001E6BDE" w:rsidRDefault="001E6BDE" w:rsidP="001E6BDE">
            <w:pPr>
              <w:jc w:val="center"/>
              <w:rPr>
                <w:rFonts w:ascii="Angsana New" w:hAnsi="Angsana New" w:cs="Angsana New"/>
                <w:snapToGrid w:val="0"/>
                <w:kern w:val="22"/>
                <w:lang w:val="es-ES"/>
              </w:rPr>
            </w:pPr>
            <w:r w:rsidRPr="001E6BDE">
              <w:rPr>
                <w:kern w:val="22"/>
                <w:lang w:val="es-ES"/>
              </w:rPr>
              <w:t xml:space="preserve">Plan de aplicación posterior a </w:t>
            </w:r>
            <w:r w:rsidR="00775B5A" w:rsidRPr="001E6BDE">
              <w:rPr>
                <w:kern w:val="22"/>
                <w:lang w:val="es-ES"/>
              </w:rPr>
              <w:t>2020</w:t>
            </w:r>
          </w:p>
        </w:tc>
        <w:tc>
          <w:tcPr>
            <w:tcW w:w="2410" w:type="dxa"/>
            <w:noWrap/>
            <w:vAlign w:val="center"/>
          </w:tcPr>
          <w:p w:rsidR="00775B5A" w:rsidRDefault="00775B5A">
            <w:pPr>
              <w:suppressLineNumbers/>
              <w:suppressAutoHyphens/>
              <w:jc w:val="center"/>
              <w:rPr>
                <w:snapToGrid w:val="0"/>
                <w:kern w:val="22"/>
              </w:rPr>
            </w:pPr>
            <w:r>
              <w:rPr>
                <w:snapToGrid w:val="0"/>
                <w:kern w:val="22"/>
              </w:rPr>
              <w:t>N/A</w:t>
            </w:r>
          </w:p>
        </w:tc>
        <w:tc>
          <w:tcPr>
            <w:tcW w:w="2305" w:type="dxa"/>
          </w:tcPr>
          <w:p w:rsidR="00775B5A" w:rsidRDefault="00775B5A">
            <w:pPr>
              <w:suppressLineNumbers/>
              <w:suppressAutoHyphens/>
              <w:jc w:val="center"/>
              <w:rPr>
                <w:rFonts w:ascii="Angsana New" w:hAnsi="Angsana New" w:cs="Angsana New"/>
                <w:snapToGrid w:val="0"/>
                <w:kern w:val="22"/>
              </w:rPr>
            </w:pPr>
            <w:r>
              <w:rPr>
                <w:snapToGrid w:val="0"/>
                <w:kern w:val="22"/>
              </w:rPr>
              <w:t>29</w:t>
            </w:r>
          </w:p>
        </w:tc>
      </w:tr>
      <w:tr w:rsidR="00775B5A">
        <w:trPr>
          <w:cantSplit/>
          <w:jc w:val="center"/>
        </w:trPr>
        <w:tc>
          <w:tcPr>
            <w:tcW w:w="2793" w:type="dxa"/>
            <w:noWrap/>
            <w:vAlign w:val="center"/>
          </w:tcPr>
          <w:p w:rsidR="00775B5A" w:rsidRDefault="001E6BDE" w:rsidP="001E6BDE">
            <w:pPr>
              <w:jc w:val="center"/>
              <w:rPr>
                <w:kern w:val="22"/>
              </w:rPr>
            </w:pPr>
            <w:r>
              <w:rPr>
                <w:kern w:val="22"/>
              </w:rPr>
              <w:t>Concienciación pública</w:t>
            </w:r>
          </w:p>
        </w:tc>
        <w:tc>
          <w:tcPr>
            <w:tcW w:w="2410" w:type="dxa"/>
            <w:noWrap/>
            <w:vAlign w:val="center"/>
          </w:tcPr>
          <w:p w:rsidR="00775B5A" w:rsidRDefault="00775B5A">
            <w:pPr>
              <w:suppressLineNumbers/>
              <w:suppressAutoHyphens/>
              <w:jc w:val="center"/>
              <w:rPr>
                <w:snapToGrid w:val="0"/>
                <w:kern w:val="22"/>
              </w:rPr>
            </w:pPr>
            <w:r>
              <w:rPr>
                <w:snapToGrid w:val="0"/>
                <w:kern w:val="22"/>
              </w:rPr>
              <w:t>N/A</w:t>
            </w:r>
          </w:p>
        </w:tc>
        <w:tc>
          <w:tcPr>
            <w:tcW w:w="2305" w:type="dxa"/>
          </w:tcPr>
          <w:p w:rsidR="00775B5A" w:rsidRDefault="00775B5A">
            <w:pPr>
              <w:suppressLineNumbers/>
              <w:suppressAutoHyphens/>
              <w:jc w:val="center"/>
              <w:rPr>
                <w:rFonts w:ascii="Angsana New" w:hAnsi="Angsana New" w:cs="Angsana New"/>
                <w:snapToGrid w:val="0"/>
                <w:kern w:val="22"/>
              </w:rPr>
            </w:pPr>
            <w:r>
              <w:rPr>
                <w:snapToGrid w:val="0"/>
                <w:kern w:val="22"/>
              </w:rPr>
              <w:t>57</w:t>
            </w:r>
          </w:p>
        </w:tc>
      </w:tr>
      <w:tr w:rsidR="00775B5A">
        <w:trPr>
          <w:cantSplit/>
          <w:trHeight w:val="890"/>
          <w:jc w:val="center"/>
        </w:trPr>
        <w:tc>
          <w:tcPr>
            <w:tcW w:w="2793" w:type="dxa"/>
            <w:noWrap/>
            <w:vAlign w:val="center"/>
          </w:tcPr>
          <w:p w:rsidR="00775B5A" w:rsidRPr="001E6BDE" w:rsidRDefault="001E6BDE" w:rsidP="001E6BDE">
            <w:pPr>
              <w:suppressLineNumbers/>
              <w:suppressAutoHyphens/>
              <w:jc w:val="center"/>
              <w:rPr>
                <w:b/>
                <w:bCs/>
                <w:snapToGrid w:val="0"/>
                <w:kern w:val="22"/>
                <w:lang w:val="es-ES"/>
              </w:rPr>
            </w:pPr>
            <w:r w:rsidRPr="001E6BDE">
              <w:rPr>
                <w:b/>
                <w:bCs/>
                <w:snapToGrid w:val="0"/>
                <w:kern w:val="22"/>
                <w:lang w:val="es-ES"/>
              </w:rPr>
              <w:t>Número promedio de P</w:t>
            </w:r>
            <w:r w:rsidR="00775B5A" w:rsidRPr="001E6BDE">
              <w:rPr>
                <w:b/>
                <w:bCs/>
                <w:snapToGrid w:val="0"/>
                <w:kern w:val="22"/>
                <w:lang w:val="es-ES"/>
              </w:rPr>
              <w:t>artes</w:t>
            </w:r>
            <w:r w:rsidRPr="001E6BDE">
              <w:rPr>
                <w:b/>
                <w:bCs/>
                <w:snapToGrid w:val="0"/>
                <w:kern w:val="22"/>
                <w:lang w:val="es-ES"/>
              </w:rPr>
              <w:t xml:space="preserve"> que han designado a participantes para cada for</w:t>
            </w:r>
            <w:r>
              <w:rPr>
                <w:b/>
                <w:bCs/>
                <w:snapToGrid w:val="0"/>
                <w:kern w:val="22"/>
                <w:lang w:val="es-ES"/>
              </w:rPr>
              <w:t>o</w:t>
            </w:r>
          </w:p>
        </w:tc>
        <w:tc>
          <w:tcPr>
            <w:tcW w:w="2410" w:type="dxa"/>
            <w:noWrap/>
            <w:vAlign w:val="center"/>
          </w:tcPr>
          <w:p w:rsidR="00775B5A" w:rsidRDefault="00775B5A">
            <w:pPr>
              <w:suppressLineNumbers/>
              <w:suppressAutoHyphens/>
              <w:jc w:val="center"/>
              <w:rPr>
                <w:b/>
                <w:bCs/>
                <w:snapToGrid w:val="0"/>
                <w:kern w:val="22"/>
              </w:rPr>
            </w:pPr>
            <w:r>
              <w:rPr>
                <w:b/>
                <w:bCs/>
                <w:snapToGrid w:val="0"/>
                <w:kern w:val="22"/>
              </w:rPr>
              <w:t>29</w:t>
            </w:r>
          </w:p>
        </w:tc>
        <w:tc>
          <w:tcPr>
            <w:tcW w:w="2305" w:type="dxa"/>
          </w:tcPr>
          <w:p w:rsidR="00775B5A" w:rsidRDefault="00775B5A">
            <w:pPr>
              <w:suppressLineNumbers/>
              <w:suppressAutoHyphens/>
              <w:jc w:val="center"/>
              <w:rPr>
                <w:b/>
                <w:bCs/>
                <w:snapToGrid w:val="0"/>
                <w:kern w:val="22"/>
              </w:rPr>
            </w:pPr>
          </w:p>
          <w:p w:rsidR="00775B5A" w:rsidRDefault="00775B5A">
            <w:pPr>
              <w:suppressLineNumbers/>
              <w:suppressAutoHyphens/>
              <w:jc w:val="center"/>
              <w:rPr>
                <w:rFonts w:ascii="Angsana New" w:hAnsi="Angsana New" w:cs="Angsana New"/>
                <w:b/>
                <w:bCs/>
                <w:snapToGrid w:val="0"/>
                <w:kern w:val="22"/>
              </w:rPr>
            </w:pPr>
            <w:r>
              <w:rPr>
                <w:b/>
                <w:bCs/>
                <w:snapToGrid w:val="0"/>
                <w:kern w:val="22"/>
              </w:rPr>
              <w:t>46</w:t>
            </w:r>
          </w:p>
        </w:tc>
      </w:tr>
    </w:tbl>
    <w:p w:rsidR="004A0758" w:rsidRPr="004A0758" w:rsidRDefault="004A0758" w:rsidP="004A0758">
      <w:pPr>
        <w:pStyle w:val="ListParagraph"/>
        <w:spacing w:before="120" w:after="240"/>
        <w:ind w:left="907" w:right="907"/>
        <w:rPr>
          <w:snapToGrid w:val="0"/>
          <w:kern w:val="22"/>
          <w:sz w:val="20"/>
          <w:szCs w:val="20"/>
          <w:lang w:val="es-ES"/>
        </w:rPr>
      </w:pPr>
      <w:r w:rsidRPr="004A0758">
        <w:rPr>
          <w:i/>
          <w:iCs/>
          <w:snapToGrid w:val="0"/>
          <w:kern w:val="22"/>
          <w:sz w:val="20"/>
          <w:szCs w:val="20"/>
          <w:lang w:val="es-ES"/>
        </w:rPr>
        <w:lastRenderedPageBreak/>
        <w:t>Nota</w:t>
      </w:r>
      <w:r w:rsidRPr="004A0758">
        <w:rPr>
          <w:snapToGrid w:val="0"/>
          <w:kern w:val="22"/>
          <w:sz w:val="20"/>
          <w:szCs w:val="20"/>
          <w:lang w:val="es-ES"/>
        </w:rPr>
        <w:t>: Para los temas en que se llevó a cabo más de un proceso de designación, se indica el número medio de Partes que designaron.</w:t>
      </w:r>
    </w:p>
    <w:p w:rsidR="00775B5A" w:rsidRPr="006F4D43" w:rsidRDefault="001E6BDE" w:rsidP="001D4EEE">
      <w:pPr>
        <w:pStyle w:val="ListParagraph"/>
        <w:numPr>
          <w:ilvl w:val="0"/>
          <w:numId w:val="2"/>
        </w:numPr>
        <w:tabs>
          <w:tab w:val="clear" w:pos="3240"/>
        </w:tabs>
        <w:spacing w:before="120" w:after="120"/>
        <w:ind w:left="0" w:firstLine="0"/>
        <w:rPr>
          <w:snapToGrid w:val="0"/>
          <w:kern w:val="22"/>
          <w:lang w:val="es-ES"/>
        </w:rPr>
      </w:pPr>
      <w:r w:rsidRPr="006F4D43">
        <w:rPr>
          <w:snapToGrid w:val="0"/>
          <w:kern w:val="22"/>
          <w:lang w:val="es-ES"/>
        </w:rPr>
        <w:t>En lo tocante al</w:t>
      </w:r>
      <w:r w:rsidR="00775B5A" w:rsidRPr="006F4D43">
        <w:rPr>
          <w:snapToGrid w:val="0"/>
          <w:kern w:val="22"/>
          <w:lang w:val="es-ES"/>
        </w:rPr>
        <w:t xml:space="preserve"> </w:t>
      </w:r>
      <w:r w:rsidR="00775B5A" w:rsidRPr="006F4D43">
        <w:rPr>
          <w:b/>
          <w:bCs/>
          <w:snapToGrid w:val="0"/>
          <w:kern w:val="22"/>
          <w:lang w:val="es-ES"/>
        </w:rPr>
        <w:t>indica</w:t>
      </w:r>
      <w:r w:rsidRPr="006F4D43">
        <w:rPr>
          <w:b/>
          <w:bCs/>
          <w:snapToGrid w:val="0"/>
          <w:kern w:val="22"/>
          <w:lang w:val="es-ES"/>
        </w:rPr>
        <w:t>d</w:t>
      </w:r>
      <w:r w:rsidR="00775B5A" w:rsidRPr="006F4D43">
        <w:rPr>
          <w:b/>
          <w:bCs/>
          <w:snapToGrid w:val="0"/>
          <w:kern w:val="22"/>
          <w:lang w:val="es-ES"/>
        </w:rPr>
        <w:t>or 4.2.2</w:t>
      </w:r>
      <w:r w:rsidR="00775B5A" w:rsidRPr="006F4D43">
        <w:rPr>
          <w:snapToGrid w:val="0"/>
          <w:kern w:val="22"/>
          <w:lang w:val="es-ES"/>
        </w:rPr>
        <w:t xml:space="preserve"> (n</w:t>
      </w:r>
      <w:r w:rsidR="00B77342" w:rsidRPr="006F4D43">
        <w:rPr>
          <w:snapToGrid w:val="0"/>
          <w:kern w:val="22"/>
          <w:lang w:val="es-ES"/>
        </w:rPr>
        <w:t>úmero de participantes en debates y conferencias en línea</w:t>
      </w:r>
      <w:r w:rsidR="00775B5A" w:rsidRPr="006F4D43">
        <w:rPr>
          <w:snapToGrid w:val="0"/>
          <w:kern w:val="22"/>
          <w:lang w:val="es-ES"/>
        </w:rPr>
        <w:t xml:space="preserve">, </w:t>
      </w:r>
      <w:r w:rsidR="00B77342" w:rsidRPr="006F4D43">
        <w:rPr>
          <w:snapToGrid w:val="0"/>
          <w:kern w:val="22"/>
          <w:lang w:val="es-ES"/>
        </w:rPr>
        <w:t>su diversidad y</w:t>
      </w:r>
      <w:r w:rsidR="004025E4">
        <w:rPr>
          <w:snapToGrid w:val="0"/>
          <w:kern w:val="22"/>
          <w:lang w:val="es-ES"/>
        </w:rPr>
        <w:t xml:space="preserve"> sus</w:t>
      </w:r>
      <w:r w:rsidR="006F4D43">
        <w:rPr>
          <w:snapToGrid w:val="0"/>
          <w:kern w:val="22"/>
          <w:lang w:val="es-ES"/>
        </w:rPr>
        <w:t xml:space="preserve"> </w:t>
      </w:r>
      <w:r w:rsidR="00B77342" w:rsidRPr="006F4D43">
        <w:rPr>
          <w:snapToGrid w:val="0"/>
          <w:kern w:val="22"/>
          <w:lang w:val="es-ES"/>
        </w:rPr>
        <w:t>antecedent</w:t>
      </w:r>
      <w:r w:rsidR="006F4D43">
        <w:rPr>
          <w:snapToGrid w:val="0"/>
          <w:kern w:val="22"/>
          <w:lang w:val="es-ES"/>
        </w:rPr>
        <w:t>e</w:t>
      </w:r>
      <w:r w:rsidR="00B77342" w:rsidRPr="006F4D43">
        <w:rPr>
          <w:snapToGrid w:val="0"/>
          <w:kern w:val="22"/>
          <w:lang w:val="es-ES"/>
        </w:rPr>
        <w:t>s)</w:t>
      </w:r>
      <w:r w:rsidR="00775B5A" w:rsidRPr="006F4D43">
        <w:rPr>
          <w:snapToGrid w:val="0"/>
          <w:kern w:val="22"/>
          <w:lang w:val="es-ES"/>
        </w:rPr>
        <w:t>, 428 participant</w:t>
      </w:r>
      <w:r w:rsidR="006F4D43" w:rsidRPr="006F4D43">
        <w:rPr>
          <w:snapToGrid w:val="0"/>
          <w:kern w:val="22"/>
          <w:lang w:val="es-ES"/>
        </w:rPr>
        <w:t>e</w:t>
      </w:r>
      <w:r w:rsidR="00775B5A" w:rsidRPr="006F4D43">
        <w:rPr>
          <w:snapToGrid w:val="0"/>
          <w:kern w:val="22"/>
          <w:lang w:val="es-ES"/>
        </w:rPr>
        <w:t xml:space="preserve">s </w:t>
      </w:r>
      <w:r w:rsidR="006F4D43" w:rsidRPr="006F4D43">
        <w:rPr>
          <w:snapToGrid w:val="0"/>
          <w:kern w:val="22"/>
          <w:lang w:val="es-ES"/>
        </w:rPr>
        <w:t xml:space="preserve">participaron en foros en línea de composición abierta celebrados a través del CIISB desde </w:t>
      </w:r>
      <w:r w:rsidR="00775B5A" w:rsidRPr="006F4D43">
        <w:rPr>
          <w:snapToGrid w:val="0"/>
          <w:kern w:val="22"/>
          <w:lang w:val="es-ES"/>
        </w:rPr>
        <w:t xml:space="preserve">2010 </w:t>
      </w:r>
      <w:r w:rsidR="006F4D43" w:rsidRPr="006F4D43">
        <w:rPr>
          <w:snapToGrid w:val="0"/>
          <w:kern w:val="22"/>
          <w:lang w:val="es-ES"/>
        </w:rPr>
        <w:t>hasta</w:t>
      </w:r>
      <w:r w:rsidR="00775B5A" w:rsidRPr="006F4D43">
        <w:rPr>
          <w:snapToGrid w:val="0"/>
          <w:kern w:val="22"/>
          <w:lang w:val="es-ES"/>
        </w:rPr>
        <w:t xml:space="preserve"> 2012, </w:t>
      </w:r>
      <w:r w:rsidR="006F4D43" w:rsidRPr="006F4D43">
        <w:rPr>
          <w:snapToGrid w:val="0"/>
          <w:kern w:val="22"/>
          <w:lang w:val="es-ES"/>
        </w:rPr>
        <w:t>mientras que</w:t>
      </w:r>
      <w:r w:rsidR="00775B5A" w:rsidRPr="006F4D43">
        <w:rPr>
          <w:snapToGrid w:val="0"/>
          <w:kern w:val="22"/>
          <w:lang w:val="es-ES"/>
        </w:rPr>
        <w:t xml:space="preserve"> 875 </w:t>
      </w:r>
      <w:r w:rsidR="006F4D43" w:rsidRPr="006F4D43">
        <w:rPr>
          <w:snapToGrid w:val="0"/>
          <w:kern w:val="22"/>
          <w:lang w:val="es-ES"/>
        </w:rPr>
        <w:t>part</w:t>
      </w:r>
      <w:r w:rsidR="006F4D43">
        <w:rPr>
          <w:snapToGrid w:val="0"/>
          <w:kern w:val="22"/>
          <w:lang w:val="es-ES"/>
        </w:rPr>
        <w:t>iciparon durante el cuarto ciclo de presentación de informes</w:t>
      </w:r>
      <w:r w:rsidR="00775B5A" w:rsidRPr="006F4D43">
        <w:rPr>
          <w:snapToGrid w:val="0"/>
          <w:kern w:val="22"/>
          <w:lang w:val="es-ES"/>
        </w:rPr>
        <w:t xml:space="preserve">, </w:t>
      </w:r>
      <w:r w:rsidR="006F4D43">
        <w:rPr>
          <w:snapToGrid w:val="0"/>
          <w:kern w:val="22"/>
          <w:lang w:val="es-ES"/>
        </w:rPr>
        <w:t xml:space="preserve">lo que representa un aumento de un </w:t>
      </w:r>
      <w:r w:rsidR="00775B5A" w:rsidRPr="006F4D43">
        <w:rPr>
          <w:snapToGrid w:val="0"/>
          <w:kern w:val="22"/>
          <w:lang w:val="es-ES"/>
        </w:rPr>
        <w:t>104</w:t>
      </w:r>
      <w:r w:rsidR="006F4D43">
        <w:rPr>
          <w:snapToGrid w:val="0"/>
          <w:kern w:val="22"/>
          <w:lang w:val="es-ES"/>
        </w:rPr>
        <w:t xml:space="preserve"> </w:t>
      </w:r>
      <w:r w:rsidR="00775B5A" w:rsidRPr="006F4D43">
        <w:rPr>
          <w:snapToGrid w:val="0"/>
          <w:kern w:val="22"/>
          <w:lang w:val="es-ES"/>
        </w:rPr>
        <w:t>% (</w:t>
      </w:r>
      <w:r w:rsidR="006F4D43">
        <w:rPr>
          <w:snapToGrid w:val="0"/>
          <w:kern w:val="22"/>
          <w:lang w:val="es-ES"/>
        </w:rPr>
        <w:t>véase el cuadro</w:t>
      </w:r>
      <w:r w:rsidR="00775B5A" w:rsidRPr="006F4D43">
        <w:rPr>
          <w:snapToGrid w:val="0"/>
          <w:kern w:val="22"/>
          <w:lang w:val="es-ES"/>
        </w:rPr>
        <w:t xml:space="preserve"> 2). </w:t>
      </w:r>
      <w:r w:rsidR="006F4D43" w:rsidRPr="006F4D43">
        <w:rPr>
          <w:snapToGrid w:val="0"/>
          <w:kern w:val="22"/>
          <w:lang w:val="es-ES"/>
        </w:rPr>
        <w:t>Cabe señalar que durante el cuarto ciclo de presentación de informes se celebraron dos foros para cada uno de los siguientes temas: evaluaci</w:t>
      </w:r>
      <w:r w:rsidR="006F4D43">
        <w:rPr>
          <w:snapToGrid w:val="0"/>
          <w:kern w:val="22"/>
          <w:lang w:val="es-ES"/>
        </w:rPr>
        <w:t>ón del riesgo</w:t>
      </w:r>
      <w:r w:rsidR="00775B5A" w:rsidRPr="006F4D43">
        <w:rPr>
          <w:snapToGrid w:val="0"/>
          <w:kern w:val="22"/>
          <w:lang w:val="es-ES"/>
        </w:rPr>
        <w:t>; detec</w:t>
      </w:r>
      <w:r w:rsidR="006F4D43">
        <w:rPr>
          <w:snapToGrid w:val="0"/>
          <w:kern w:val="22"/>
          <w:lang w:val="es-ES"/>
        </w:rPr>
        <w:t>ción e identificación, biología sintética y concienciación pública</w:t>
      </w:r>
      <w:r w:rsidR="00775B5A" w:rsidRPr="006F4D43">
        <w:rPr>
          <w:snapToGrid w:val="0"/>
          <w:kern w:val="22"/>
          <w:lang w:val="es-ES"/>
        </w:rPr>
        <w:t xml:space="preserve">. </w:t>
      </w:r>
    </w:p>
    <w:p w:rsidR="00775B5A" w:rsidRPr="006F4D43" w:rsidRDefault="006F4D43">
      <w:pPr>
        <w:keepNext/>
        <w:suppressLineNumbers/>
        <w:suppressAutoHyphens/>
        <w:spacing w:before="120" w:after="120"/>
        <w:ind w:left="990" w:right="990"/>
        <w:textAlignment w:val="baseline"/>
        <w:rPr>
          <w:rFonts w:ascii="Angsana New" w:hAnsi="Angsana New" w:cs="Angsana New"/>
          <w:b/>
          <w:bCs/>
          <w:snapToGrid w:val="0"/>
          <w:kern w:val="22"/>
          <w:lang w:val="es-ES"/>
        </w:rPr>
      </w:pPr>
      <w:r w:rsidRPr="00D4569F">
        <w:rPr>
          <w:snapToGrid w:val="0"/>
          <w:kern w:val="22"/>
          <w:lang w:val="es-ES"/>
        </w:rPr>
        <w:t>Cuadro</w:t>
      </w:r>
      <w:r w:rsidR="00775B5A" w:rsidRPr="00D4569F">
        <w:rPr>
          <w:snapToGrid w:val="0"/>
          <w:kern w:val="22"/>
          <w:lang w:val="es-ES"/>
        </w:rPr>
        <w:t xml:space="preserve"> </w:t>
      </w:r>
      <w:r w:rsidRPr="00D4569F">
        <w:rPr>
          <w:snapToGrid w:val="0"/>
          <w:kern w:val="22"/>
          <w:lang w:val="es-ES"/>
        </w:rPr>
        <w:t>2</w:t>
      </w:r>
      <w:r w:rsidR="00775B5A" w:rsidRPr="00D4569F">
        <w:rPr>
          <w:snapToGrid w:val="0"/>
          <w:kern w:val="22"/>
          <w:lang w:val="es-ES"/>
        </w:rPr>
        <w:t xml:space="preserve">. </w:t>
      </w:r>
      <w:r w:rsidR="00775B5A" w:rsidRPr="006F4D43">
        <w:rPr>
          <w:b/>
          <w:bCs/>
          <w:snapToGrid w:val="0"/>
          <w:kern w:val="22"/>
          <w:lang w:val="es-ES"/>
        </w:rPr>
        <w:t>N</w:t>
      </w:r>
      <w:r w:rsidRPr="006F4D43">
        <w:rPr>
          <w:b/>
          <w:bCs/>
          <w:snapToGrid w:val="0"/>
          <w:kern w:val="22"/>
          <w:lang w:val="es-ES"/>
        </w:rPr>
        <w:t xml:space="preserve">úmero de </w:t>
      </w:r>
      <w:r w:rsidR="00775B5A" w:rsidRPr="006F4D43">
        <w:rPr>
          <w:b/>
          <w:bCs/>
          <w:snapToGrid w:val="0"/>
          <w:kern w:val="22"/>
          <w:lang w:val="es-ES"/>
        </w:rPr>
        <w:t>participant</w:t>
      </w:r>
      <w:r w:rsidRPr="006F4D43">
        <w:rPr>
          <w:b/>
          <w:bCs/>
          <w:snapToGrid w:val="0"/>
          <w:kern w:val="22"/>
          <w:lang w:val="es-ES"/>
        </w:rPr>
        <w:t>e</w:t>
      </w:r>
      <w:r w:rsidR="00775B5A" w:rsidRPr="006F4D43">
        <w:rPr>
          <w:b/>
          <w:bCs/>
          <w:snapToGrid w:val="0"/>
          <w:kern w:val="22"/>
          <w:lang w:val="es-ES"/>
        </w:rPr>
        <w:t>s registr</w:t>
      </w:r>
      <w:r w:rsidRPr="006F4D43">
        <w:rPr>
          <w:b/>
          <w:bCs/>
          <w:snapToGrid w:val="0"/>
          <w:kern w:val="22"/>
          <w:lang w:val="es-ES"/>
        </w:rPr>
        <w:t>ados en foros en línea de composición abierta celebrados en el C</w:t>
      </w:r>
      <w:r w:rsidR="004E004F">
        <w:rPr>
          <w:b/>
          <w:bCs/>
          <w:snapToGrid w:val="0"/>
          <w:kern w:val="22"/>
          <w:lang w:val="es-ES"/>
        </w:rPr>
        <w:t>entro de Intercambio de Información sobre Seguridad de la Biotecnología</w:t>
      </w:r>
    </w:p>
    <w:tbl>
      <w:tblPr>
        <w:tblW w:w="7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2410"/>
        <w:gridCol w:w="2410"/>
      </w:tblGrid>
      <w:tr w:rsidR="00775B5A" w:rsidRPr="001B3CE6">
        <w:trPr>
          <w:cantSplit/>
          <w:tblHeader/>
          <w:jc w:val="center"/>
        </w:trPr>
        <w:tc>
          <w:tcPr>
            <w:tcW w:w="2709" w:type="dxa"/>
            <w:noWrap/>
            <w:vAlign w:val="center"/>
          </w:tcPr>
          <w:p w:rsidR="00775B5A" w:rsidRPr="006F4D43" w:rsidRDefault="004E004F" w:rsidP="004E004F">
            <w:pPr>
              <w:suppressLineNumbers/>
              <w:suppressAutoHyphens/>
              <w:jc w:val="center"/>
              <w:rPr>
                <w:rFonts w:ascii="Angsana New" w:hAnsi="Angsana New" w:cs="Angsana New"/>
                <w:i/>
                <w:iCs/>
                <w:snapToGrid w:val="0"/>
                <w:kern w:val="22"/>
                <w:lang w:val="es-ES"/>
              </w:rPr>
            </w:pPr>
            <w:r>
              <w:rPr>
                <w:i/>
                <w:iCs/>
                <w:snapToGrid w:val="0"/>
                <w:kern w:val="22"/>
                <w:lang w:val="es-ES"/>
              </w:rPr>
              <w:t>Tem</w:t>
            </w:r>
            <w:r w:rsidRPr="004E004F">
              <w:rPr>
                <w:i/>
                <w:iCs/>
                <w:snapToGrid w:val="0"/>
                <w:kern w:val="22"/>
                <w:lang w:val="es-ES"/>
              </w:rPr>
              <w:t>a</w:t>
            </w:r>
          </w:p>
        </w:tc>
        <w:tc>
          <w:tcPr>
            <w:tcW w:w="2410" w:type="dxa"/>
            <w:noWrap/>
            <w:vAlign w:val="center"/>
          </w:tcPr>
          <w:p w:rsidR="00775B5A" w:rsidRPr="006F4D43" w:rsidRDefault="00775B5A" w:rsidP="006F4D43">
            <w:pPr>
              <w:suppressLineNumbers/>
              <w:suppressAutoHyphens/>
              <w:jc w:val="center"/>
              <w:rPr>
                <w:i/>
                <w:iCs/>
                <w:snapToGrid w:val="0"/>
                <w:kern w:val="22"/>
                <w:lang w:val="es-ES"/>
              </w:rPr>
            </w:pPr>
            <w:r w:rsidRPr="006F4D43">
              <w:rPr>
                <w:i/>
                <w:iCs/>
                <w:snapToGrid w:val="0"/>
                <w:kern w:val="22"/>
                <w:lang w:val="es-ES"/>
              </w:rPr>
              <w:t>Se</w:t>
            </w:r>
            <w:r w:rsidR="006F4D43" w:rsidRPr="006F4D43">
              <w:rPr>
                <w:i/>
                <w:iCs/>
                <w:snapToGrid w:val="0"/>
                <w:kern w:val="22"/>
                <w:lang w:val="es-ES"/>
              </w:rPr>
              <w:t>gundo ciclo de presentación de informes</w:t>
            </w:r>
            <w:r w:rsidRPr="006F4D43">
              <w:rPr>
                <w:i/>
                <w:iCs/>
                <w:snapToGrid w:val="0"/>
                <w:kern w:val="22"/>
                <w:lang w:val="es-ES"/>
              </w:rPr>
              <w:br/>
              <w:t>(2010-2012)</w:t>
            </w:r>
          </w:p>
        </w:tc>
        <w:tc>
          <w:tcPr>
            <w:tcW w:w="2410" w:type="dxa"/>
          </w:tcPr>
          <w:p w:rsidR="00775B5A" w:rsidRPr="006F4D43" w:rsidRDefault="006F4D43" w:rsidP="006F4D43">
            <w:pPr>
              <w:suppressLineNumbers/>
              <w:suppressAutoHyphens/>
              <w:jc w:val="center"/>
              <w:rPr>
                <w:i/>
                <w:iCs/>
                <w:snapToGrid w:val="0"/>
                <w:kern w:val="22"/>
                <w:lang w:val="es-ES"/>
              </w:rPr>
            </w:pPr>
            <w:r w:rsidRPr="006F4D43">
              <w:rPr>
                <w:i/>
                <w:iCs/>
                <w:snapToGrid w:val="0"/>
                <w:kern w:val="22"/>
                <w:lang w:val="es-ES"/>
              </w:rPr>
              <w:t>Cuarto ciclo de presentación de informes</w:t>
            </w:r>
            <w:r w:rsidR="00775B5A" w:rsidRPr="006F4D43">
              <w:rPr>
                <w:i/>
                <w:iCs/>
                <w:snapToGrid w:val="0"/>
                <w:kern w:val="22"/>
                <w:lang w:val="es-ES"/>
              </w:rPr>
              <w:t xml:space="preserve"> (2016-2019)</w:t>
            </w:r>
          </w:p>
        </w:tc>
      </w:tr>
      <w:tr w:rsidR="00775B5A">
        <w:trPr>
          <w:cantSplit/>
          <w:jc w:val="center"/>
        </w:trPr>
        <w:tc>
          <w:tcPr>
            <w:tcW w:w="2709" w:type="dxa"/>
            <w:noWrap/>
            <w:vAlign w:val="center"/>
          </w:tcPr>
          <w:p w:rsidR="00775B5A" w:rsidRDefault="006F4D43" w:rsidP="006F4D43">
            <w:pPr>
              <w:suppressLineNumbers/>
              <w:suppressAutoHyphens/>
              <w:jc w:val="center"/>
              <w:rPr>
                <w:snapToGrid w:val="0"/>
                <w:kern w:val="22"/>
              </w:rPr>
            </w:pPr>
            <w:r>
              <w:rPr>
                <w:snapToGrid w:val="0"/>
                <w:kern w:val="22"/>
                <w:lang w:val="es-ES"/>
              </w:rPr>
              <w:t>Evaluación del riesgo</w:t>
            </w:r>
          </w:p>
        </w:tc>
        <w:tc>
          <w:tcPr>
            <w:tcW w:w="2410" w:type="dxa"/>
            <w:noWrap/>
            <w:vAlign w:val="center"/>
          </w:tcPr>
          <w:p w:rsidR="00775B5A" w:rsidRDefault="00775B5A">
            <w:pPr>
              <w:suppressLineNumbers/>
              <w:suppressAutoHyphens/>
              <w:jc w:val="center"/>
              <w:rPr>
                <w:snapToGrid w:val="0"/>
                <w:kern w:val="22"/>
              </w:rPr>
            </w:pPr>
            <w:r>
              <w:rPr>
                <w:snapToGrid w:val="0"/>
                <w:kern w:val="22"/>
              </w:rPr>
              <w:t>281</w:t>
            </w:r>
          </w:p>
        </w:tc>
        <w:tc>
          <w:tcPr>
            <w:tcW w:w="2410" w:type="dxa"/>
          </w:tcPr>
          <w:p w:rsidR="00775B5A" w:rsidRDefault="00775B5A">
            <w:pPr>
              <w:suppressLineNumbers/>
              <w:suppressAutoHyphens/>
              <w:jc w:val="center"/>
              <w:rPr>
                <w:rFonts w:ascii="Angsana New" w:hAnsi="Angsana New" w:cs="Angsana New"/>
                <w:snapToGrid w:val="0"/>
                <w:kern w:val="22"/>
              </w:rPr>
            </w:pPr>
            <w:r>
              <w:rPr>
                <w:snapToGrid w:val="0"/>
                <w:kern w:val="22"/>
              </w:rPr>
              <w:t>185</w:t>
            </w:r>
          </w:p>
        </w:tc>
      </w:tr>
      <w:tr w:rsidR="00775B5A">
        <w:trPr>
          <w:cantSplit/>
          <w:jc w:val="center"/>
        </w:trPr>
        <w:tc>
          <w:tcPr>
            <w:tcW w:w="2709" w:type="dxa"/>
            <w:noWrap/>
            <w:vAlign w:val="center"/>
          </w:tcPr>
          <w:p w:rsidR="00775B5A" w:rsidRDefault="00775B5A" w:rsidP="006F4D43">
            <w:pPr>
              <w:suppressLineNumbers/>
              <w:suppressAutoHyphens/>
              <w:jc w:val="center"/>
              <w:rPr>
                <w:snapToGrid w:val="0"/>
                <w:kern w:val="22"/>
              </w:rPr>
            </w:pPr>
            <w:r>
              <w:rPr>
                <w:snapToGrid w:val="0"/>
                <w:kern w:val="22"/>
              </w:rPr>
              <w:t>Detec</w:t>
            </w:r>
            <w:r w:rsidR="006F4D43">
              <w:rPr>
                <w:snapToGrid w:val="0"/>
                <w:kern w:val="22"/>
              </w:rPr>
              <w:t>ción e identificación</w:t>
            </w:r>
          </w:p>
        </w:tc>
        <w:tc>
          <w:tcPr>
            <w:tcW w:w="2410" w:type="dxa"/>
            <w:noWrap/>
            <w:vAlign w:val="center"/>
          </w:tcPr>
          <w:p w:rsidR="00775B5A" w:rsidRDefault="00775B5A">
            <w:pPr>
              <w:suppressLineNumbers/>
              <w:suppressAutoHyphens/>
              <w:jc w:val="center"/>
              <w:rPr>
                <w:snapToGrid w:val="0"/>
                <w:kern w:val="22"/>
              </w:rPr>
            </w:pPr>
            <w:r>
              <w:rPr>
                <w:snapToGrid w:val="0"/>
                <w:kern w:val="22"/>
              </w:rPr>
              <w:t>34</w:t>
            </w:r>
          </w:p>
        </w:tc>
        <w:tc>
          <w:tcPr>
            <w:tcW w:w="2410" w:type="dxa"/>
          </w:tcPr>
          <w:p w:rsidR="00775B5A" w:rsidRDefault="00775B5A">
            <w:pPr>
              <w:suppressLineNumbers/>
              <w:suppressAutoHyphens/>
              <w:jc w:val="center"/>
              <w:rPr>
                <w:rFonts w:ascii="Angsana New" w:hAnsi="Angsana New" w:cs="Angsana New"/>
                <w:snapToGrid w:val="0"/>
                <w:kern w:val="22"/>
              </w:rPr>
            </w:pPr>
            <w:r>
              <w:rPr>
                <w:snapToGrid w:val="0"/>
                <w:kern w:val="22"/>
              </w:rPr>
              <w:t>121</w:t>
            </w:r>
          </w:p>
        </w:tc>
      </w:tr>
      <w:tr w:rsidR="00775B5A">
        <w:trPr>
          <w:cantSplit/>
          <w:jc w:val="center"/>
        </w:trPr>
        <w:tc>
          <w:tcPr>
            <w:tcW w:w="2709" w:type="dxa"/>
            <w:noWrap/>
            <w:vAlign w:val="center"/>
          </w:tcPr>
          <w:p w:rsidR="00775B5A" w:rsidRDefault="006F4D43" w:rsidP="006F4D43">
            <w:pPr>
              <w:suppressLineNumbers/>
              <w:suppressAutoHyphens/>
              <w:jc w:val="center"/>
              <w:rPr>
                <w:snapToGrid w:val="0"/>
                <w:kern w:val="22"/>
              </w:rPr>
            </w:pPr>
            <w:r>
              <w:rPr>
                <w:snapToGrid w:val="0"/>
                <w:kern w:val="22"/>
              </w:rPr>
              <w:t>Funcionarios de aduanas</w:t>
            </w:r>
          </w:p>
        </w:tc>
        <w:tc>
          <w:tcPr>
            <w:tcW w:w="2410" w:type="dxa"/>
            <w:noWrap/>
            <w:vAlign w:val="center"/>
          </w:tcPr>
          <w:p w:rsidR="00775B5A" w:rsidRDefault="00775B5A">
            <w:pPr>
              <w:suppressLineNumbers/>
              <w:suppressAutoHyphens/>
              <w:jc w:val="center"/>
              <w:rPr>
                <w:snapToGrid w:val="0"/>
                <w:kern w:val="22"/>
              </w:rPr>
            </w:pPr>
            <w:r>
              <w:rPr>
                <w:snapToGrid w:val="0"/>
                <w:kern w:val="22"/>
              </w:rPr>
              <w:t>21</w:t>
            </w:r>
          </w:p>
        </w:tc>
        <w:tc>
          <w:tcPr>
            <w:tcW w:w="2410" w:type="dxa"/>
          </w:tcPr>
          <w:p w:rsidR="00775B5A" w:rsidRDefault="00775B5A">
            <w:pPr>
              <w:suppressLineNumbers/>
              <w:suppressAutoHyphens/>
              <w:jc w:val="center"/>
              <w:rPr>
                <w:snapToGrid w:val="0"/>
                <w:kern w:val="22"/>
              </w:rPr>
            </w:pPr>
            <w:r>
              <w:rPr>
                <w:snapToGrid w:val="0"/>
                <w:kern w:val="22"/>
              </w:rPr>
              <w:t>N/A</w:t>
            </w:r>
          </w:p>
        </w:tc>
      </w:tr>
      <w:tr w:rsidR="00775B5A">
        <w:trPr>
          <w:cantSplit/>
          <w:jc w:val="center"/>
        </w:trPr>
        <w:tc>
          <w:tcPr>
            <w:tcW w:w="2709" w:type="dxa"/>
            <w:noWrap/>
            <w:vAlign w:val="center"/>
          </w:tcPr>
          <w:p w:rsidR="00775B5A" w:rsidRDefault="006F4D43" w:rsidP="006F4D43">
            <w:pPr>
              <w:suppressLineNumbers/>
              <w:suppressAutoHyphens/>
              <w:jc w:val="center"/>
              <w:rPr>
                <w:rFonts w:ascii="Angsana New" w:hAnsi="Angsana New" w:cs="Angsana New"/>
                <w:snapToGrid w:val="0"/>
                <w:kern w:val="22"/>
              </w:rPr>
            </w:pPr>
            <w:r>
              <w:rPr>
                <w:snapToGrid w:val="0"/>
                <w:kern w:val="22"/>
              </w:rPr>
              <w:t>Consideraciones socioeconómicas</w:t>
            </w:r>
          </w:p>
        </w:tc>
        <w:tc>
          <w:tcPr>
            <w:tcW w:w="2410" w:type="dxa"/>
            <w:noWrap/>
            <w:vAlign w:val="center"/>
          </w:tcPr>
          <w:p w:rsidR="00775B5A" w:rsidRDefault="00775B5A">
            <w:pPr>
              <w:suppressLineNumbers/>
              <w:suppressAutoHyphens/>
              <w:jc w:val="center"/>
              <w:rPr>
                <w:snapToGrid w:val="0"/>
                <w:kern w:val="22"/>
              </w:rPr>
            </w:pPr>
            <w:r>
              <w:rPr>
                <w:snapToGrid w:val="0"/>
                <w:kern w:val="22"/>
              </w:rPr>
              <w:t>92</w:t>
            </w:r>
          </w:p>
        </w:tc>
        <w:tc>
          <w:tcPr>
            <w:tcW w:w="2410" w:type="dxa"/>
          </w:tcPr>
          <w:p w:rsidR="00775B5A" w:rsidRDefault="00775B5A">
            <w:pPr>
              <w:suppressLineNumbers/>
              <w:suppressAutoHyphens/>
              <w:jc w:val="center"/>
              <w:rPr>
                <w:snapToGrid w:val="0"/>
                <w:kern w:val="22"/>
              </w:rPr>
            </w:pPr>
            <w:r>
              <w:rPr>
                <w:snapToGrid w:val="0"/>
                <w:kern w:val="22"/>
              </w:rPr>
              <w:t>75</w:t>
            </w:r>
          </w:p>
        </w:tc>
      </w:tr>
      <w:tr w:rsidR="00775B5A">
        <w:trPr>
          <w:cantSplit/>
          <w:jc w:val="center"/>
        </w:trPr>
        <w:tc>
          <w:tcPr>
            <w:tcW w:w="2709" w:type="dxa"/>
            <w:noWrap/>
            <w:vAlign w:val="center"/>
          </w:tcPr>
          <w:p w:rsidR="00775B5A" w:rsidRDefault="006F4D43" w:rsidP="006F4D43">
            <w:pPr>
              <w:suppressLineNumbers/>
              <w:suppressAutoHyphens/>
              <w:jc w:val="center"/>
              <w:rPr>
                <w:snapToGrid w:val="0"/>
                <w:kern w:val="22"/>
              </w:rPr>
            </w:pPr>
            <w:r>
              <w:rPr>
                <w:snapToGrid w:val="0"/>
                <w:kern w:val="22"/>
              </w:rPr>
              <w:t>Biología sintética</w:t>
            </w:r>
          </w:p>
        </w:tc>
        <w:tc>
          <w:tcPr>
            <w:tcW w:w="2410" w:type="dxa"/>
            <w:noWrap/>
            <w:vAlign w:val="center"/>
          </w:tcPr>
          <w:p w:rsidR="00775B5A" w:rsidRDefault="00775B5A">
            <w:pPr>
              <w:suppressLineNumbers/>
              <w:suppressAutoHyphens/>
              <w:jc w:val="center"/>
              <w:rPr>
                <w:snapToGrid w:val="0"/>
                <w:kern w:val="22"/>
              </w:rPr>
            </w:pPr>
            <w:r>
              <w:rPr>
                <w:snapToGrid w:val="0"/>
                <w:kern w:val="22"/>
              </w:rPr>
              <w:t>N/A</w:t>
            </w:r>
          </w:p>
        </w:tc>
        <w:tc>
          <w:tcPr>
            <w:tcW w:w="2410" w:type="dxa"/>
          </w:tcPr>
          <w:p w:rsidR="00775B5A" w:rsidRDefault="00775B5A">
            <w:pPr>
              <w:suppressLineNumbers/>
              <w:suppressAutoHyphens/>
              <w:jc w:val="center"/>
              <w:rPr>
                <w:rFonts w:ascii="Angsana New" w:hAnsi="Angsana New" w:cs="Angsana New"/>
                <w:snapToGrid w:val="0"/>
                <w:kern w:val="22"/>
              </w:rPr>
            </w:pPr>
            <w:r>
              <w:rPr>
                <w:snapToGrid w:val="0"/>
                <w:kern w:val="22"/>
              </w:rPr>
              <w:t>205</w:t>
            </w:r>
          </w:p>
        </w:tc>
      </w:tr>
      <w:tr w:rsidR="00775B5A">
        <w:trPr>
          <w:cantSplit/>
          <w:jc w:val="center"/>
        </w:trPr>
        <w:tc>
          <w:tcPr>
            <w:tcW w:w="2709" w:type="dxa"/>
            <w:noWrap/>
            <w:vAlign w:val="center"/>
          </w:tcPr>
          <w:p w:rsidR="00775B5A" w:rsidRPr="006F4D43" w:rsidRDefault="006F4D43" w:rsidP="006F4D43">
            <w:pPr>
              <w:suppressLineNumbers/>
              <w:suppressAutoHyphens/>
              <w:jc w:val="center"/>
              <w:rPr>
                <w:rFonts w:ascii="Angsana New" w:hAnsi="Angsana New" w:cs="Angsana New"/>
                <w:snapToGrid w:val="0"/>
                <w:kern w:val="22"/>
                <w:lang w:val="es-ES"/>
              </w:rPr>
            </w:pPr>
            <w:r w:rsidRPr="006F4D43">
              <w:rPr>
                <w:kern w:val="22"/>
                <w:lang w:val="es-ES"/>
              </w:rPr>
              <w:t xml:space="preserve">Plan de aplicación posterior a </w:t>
            </w:r>
            <w:r w:rsidR="00775B5A" w:rsidRPr="006F4D43">
              <w:rPr>
                <w:kern w:val="22"/>
                <w:lang w:val="es-ES"/>
              </w:rPr>
              <w:t>2020</w:t>
            </w:r>
          </w:p>
        </w:tc>
        <w:tc>
          <w:tcPr>
            <w:tcW w:w="2410" w:type="dxa"/>
            <w:noWrap/>
            <w:vAlign w:val="center"/>
          </w:tcPr>
          <w:p w:rsidR="00775B5A" w:rsidRDefault="00775B5A">
            <w:pPr>
              <w:suppressLineNumbers/>
              <w:suppressAutoHyphens/>
              <w:jc w:val="center"/>
              <w:rPr>
                <w:snapToGrid w:val="0"/>
                <w:kern w:val="22"/>
              </w:rPr>
            </w:pPr>
            <w:r>
              <w:rPr>
                <w:snapToGrid w:val="0"/>
                <w:kern w:val="22"/>
              </w:rPr>
              <w:t>N/A</w:t>
            </w:r>
          </w:p>
        </w:tc>
        <w:tc>
          <w:tcPr>
            <w:tcW w:w="2410" w:type="dxa"/>
          </w:tcPr>
          <w:p w:rsidR="00775B5A" w:rsidRDefault="00775B5A">
            <w:pPr>
              <w:suppressLineNumbers/>
              <w:suppressAutoHyphens/>
              <w:jc w:val="center"/>
              <w:rPr>
                <w:snapToGrid w:val="0"/>
                <w:kern w:val="22"/>
              </w:rPr>
            </w:pPr>
            <w:r>
              <w:rPr>
                <w:snapToGrid w:val="0"/>
                <w:kern w:val="22"/>
              </w:rPr>
              <w:t>109</w:t>
            </w:r>
          </w:p>
        </w:tc>
      </w:tr>
      <w:tr w:rsidR="00775B5A">
        <w:trPr>
          <w:cantSplit/>
          <w:jc w:val="center"/>
        </w:trPr>
        <w:tc>
          <w:tcPr>
            <w:tcW w:w="2709" w:type="dxa"/>
            <w:noWrap/>
            <w:vAlign w:val="center"/>
          </w:tcPr>
          <w:p w:rsidR="00775B5A" w:rsidRDefault="006F4D43" w:rsidP="006F4D43">
            <w:pPr>
              <w:suppressLineNumbers/>
              <w:suppressAutoHyphens/>
              <w:jc w:val="center"/>
              <w:rPr>
                <w:kern w:val="22"/>
              </w:rPr>
            </w:pPr>
            <w:r>
              <w:rPr>
                <w:kern w:val="22"/>
              </w:rPr>
              <w:t>Concienciación pública</w:t>
            </w:r>
          </w:p>
        </w:tc>
        <w:tc>
          <w:tcPr>
            <w:tcW w:w="2410" w:type="dxa"/>
            <w:noWrap/>
            <w:vAlign w:val="center"/>
          </w:tcPr>
          <w:p w:rsidR="00775B5A" w:rsidRDefault="00775B5A">
            <w:pPr>
              <w:suppressLineNumbers/>
              <w:suppressAutoHyphens/>
              <w:jc w:val="center"/>
              <w:rPr>
                <w:snapToGrid w:val="0"/>
                <w:kern w:val="22"/>
              </w:rPr>
            </w:pPr>
            <w:r>
              <w:rPr>
                <w:snapToGrid w:val="0"/>
                <w:kern w:val="22"/>
              </w:rPr>
              <w:t>N/A</w:t>
            </w:r>
          </w:p>
        </w:tc>
        <w:tc>
          <w:tcPr>
            <w:tcW w:w="2410" w:type="dxa"/>
          </w:tcPr>
          <w:p w:rsidR="00775B5A" w:rsidRDefault="00775B5A">
            <w:pPr>
              <w:suppressLineNumbers/>
              <w:suppressAutoHyphens/>
              <w:jc w:val="center"/>
              <w:rPr>
                <w:rFonts w:ascii="Angsana New" w:hAnsi="Angsana New" w:cs="Angsana New"/>
                <w:snapToGrid w:val="0"/>
                <w:kern w:val="22"/>
              </w:rPr>
            </w:pPr>
            <w:r>
              <w:rPr>
                <w:snapToGrid w:val="0"/>
                <w:kern w:val="22"/>
              </w:rPr>
              <w:t>180</w:t>
            </w:r>
          </w:p>
        </w:tc>
      </w:tr>
      <w:tr w:rsidR="00775B5A">
        <w:trPr>
          <w:cantSplit/>
          <w:jc w:val="center"/>
        </w:trPr>
        <w:tc>
          <w:tcPr>
            <w:tcW w:w="2709" w:type="dxa"/>
            <w:noWrap/>
            <w:vAlign w:val="center"/>
          </w:tcPr>
          <w:p w:rsidR="00775B5A" w:rsidRDefault="00775B5A">
            <w:pPr>
              <w:suppressLineNumbers/>
              <w:suppressAutoHyphens/>
              <w:jc w:val="center"/>
              <w:rPr>
                <w:b/>
                <w:bCs/>
                <w:snapToGrid w:val="0"/>
                <w:kern w:val="22"/>
              </w:rPr>
            </w:pPr>
            <w:r>
              <w:rPr>
                <w:b/>
                <w:bCs/>
                <w:snapToGrid w:val="0"/>
                <w:kern w:val="22"/>
              </w:rPr>
              <w:t>Total</w:t>
            </w:r>
          </w:p>
        </w:tc>
        <w:tc>
          <w:tcPr>
            <w:tcW w:w="2410" w:type="dxa"/>
            <w:noWrap/>
            <w:vAlign w:val="center"/>
          </w:tcPr>
          <w:p w:rsidR="00775B5A" w:rsidRDefault="00775B5A">
            <w:pPr>
              <w:suppressLineNumbers/>
              <w:suppressAutoHyphens/>
              <w:jc w:val="center"/>
              <w:rPr>
                <w:b/>
                <w:bCs/>
                <w:snapToGrid w:val="0"/>
                <w:kern w:val="22"/>
              </w:rPr>
            </w:pPr>
            <w:r>
              <w:rPr>
                <w:b/>
                <w:bCs/>
                <w:snapToGrid w:val="0"/>
                <w:kern w:val="22"/>
              </w:rPr>
              <w:t>428</w:t>
            </w:r>
          </w:p>
        </w:tc>
        <w:tc>
          <w:tcPr>
            <w:tcW w:w="2410" w:type="dxa"/>
          </w:tcPr>
          <w:p w:rsidR="00775B5A" w:rsidRDefault="00775B5A">
            <w:pPr>
              <w:suppressLineNumbers/>
              <w:suppressAutoHyphens/>
              <w:jc w:val="center"/>
              <w:rPr>
                <w:rFonts w:ascii="Angsana New" w:hAnsi="Angsana New" w:cs="Angsana New"/>
                <w:b/>
                <w:bCs/>
                <w:snapToGrid w:val="0"/>
                <w:kern w:val="22"/>
              </w:rPr>
            </w:pPr>
            <w:r>
              <w:rPr>
                <w:b/>
                <w:bCs/>
                <w:snapToGrid w:val="0"/>
                <w:kern w:val="22"/>
              </w:rPr>
              <w:t>875</w:t>
            </w:r>
          </w:p>
        </w:tc>
      </w:tr>
    </w:tbl>
    <w:p w:rsidR="004E004F" w:rsidRPr="004E004F" w:rsidRDefault="004E004F" w:rsidP="004E004F">
      <w:pPr>
        <w:pStyle w:val="ListParagraph"/>
        <w:suppressLineNumbers/>
        <w:suppressAutoHyphens/>
        <w:snapToGrid w:val="0"/>
        <w:spacing w:before="120" w:after="240"/>
        <w:ind w:left="907" w:right="907"/>
        <w:jc w:val="left"/>
        <w:rPr>
          <w:snapToGrid w:val="0"/>
          <w:kern w:val="22"/>
          <w:sz w:val="20"/>
          <w:szCs w:val="20"/>
          <w:lang w:val="es-ES"/>
        </w:rPr>
      </w:pPr>
      <w:r w:rsidRPr="004E004F">
        <w:rPr>
          <w:i/>
          <w:iCs/>
          <w:snapToGrid w:val="0"/>
          <w:kern w:val="22"/>
          <w:sz w:val="20"/>
          <w:szCs w:val="20"/>
          <w:lang w:val="es-ES"/>
        </w:rPr>
        <w:t>Nota</w:t>
      </w:r>
      <w:r w:rsidRPr="004E004F">
        <w:rPr>
          <w:snapToGrid w:val="0"/>
          <w:kern w:val="22"/>
          <w:sz w:val="20"/>
          <w:szCs w:val="20"/>
          <w:lang w:val="es-ES"/>
        </w:rPr>
        <w:t>: Para los temas en que se celebró más de un foro, se indica el número medio de participantes en cada foro.</w:t>
      </w:r>
    </w:p>
    <w:p w:rsidR="00775B5A" w:rsidRPr="00C06B6D" w:rsidRDefault="006F4D43"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6F4D43">
        <w:rPr>
          <w:snapToGrid w:val="0"/>
          <w:kern w:val="22"/>
          <w:lang w:val="es-ES"/>
        </w:rPr>
        <w:t>Por último, en lo que respecta al</w:t>
      </w:r>
      <w:r w:rsidR="00775B5A" w:rsidRPr="006F4D43">
        <w:rPr>
          <w:snapToGrid w:val="0"/>
          <w:kern w:val="22"/>
          <w:lang w:val="es-ES"/>
        </w:rPr>
        <w:t xml:space="preserve"> </w:t>
      </w:r>
      <w:r w:rsidR="00775B5A" w:rsidRPr="006F4D43">
        <w:rPr>
          <w:b/>
          <w:bCs/>
          <w:snapToGrid w:val="0"/>
          <w:kern w:val="22"/>
          <w:lang w:val="es-ES"/>
        </w:rPr>
        <w:t>indica</w:t>
      </w:r>
      <w:r w:rsidRPr="006F4D43">
        <w:rPr>
          <w:b/>
          <w:bCs/>
          <w:snapToGrid w:val="0"/>
          <w:kern w:val="22"/>
          <w:lang w:val="es-ES"/>
        </w:rPr>
        <w:t>d</w:t>
      </w:r>
      <w:r w:rsidR="00775B5A" w:rsidRPr="006F4D43">
        <w:rPr>
          <w:b/>
          <w:bCs/>
          <w:snapToGrid w:val="0"/>
          <w:kern w:val="22"/>
          <w:lang w:val="es-ES"/>
        </w:rPr>
        <w:t>or 4.2.3</w:t>
      </w:r>
      <w:r w:rsidR="00775B5A" w:rsidRPr="006F4D43">
        <w:rPr>
          <w:snapToGrid w:val="0"/>
          <w:kern w:val="22"/>
          <w:lang w:val="es-ES"/>
        </w:rPr>
        <w:t xml:space="preserve"> (</w:t>
      </w:r>
      <w:r w:rsidRPr="006F4D43">
        <w:rPr>
          <w:snapToGrid w:val="0"/>
          <w:kern w:val="22"/>
          <w:lang w:val="es-ES"/>
        </w:rPr>
        <w:t>número de actividades de creación de capacidad destinadas a incrementar la transparencia, inclusión y equidad</w:t>
      </w:r>
      <w:r w:rsidR="004025E4">
        <w:rPr>
          <w:snapToGrid w:val="0"/>
          <w:kern w:val="22"/>
          <w:lang w:val="es-ES"/>
        </w:rPr>
        <w:t xml:space="preserve"> participativa</w:t>
      </w:r>
      <w:r w:rsidRPr="006F4D43">
        <w:rPr>
          <w:snapToGrid w:val="0"/>
          <w:kern w:val="22"/>
          <w:lang w:val="es-ES"/>
        </w:rPr>
        <w:t xml:space="preserve"> en el CIISB</w:t>
      </w:r>
      <w:r w:rsidR="00775B5A" w:rsidRPr="006F4D43">
        <w:rPr>
          <w:snapToGrid w:val="0"/>
          <w:kern w:val="22"/>
          <w:lang w:val="es-ES"/>
        </w:rPr>
        <w:t xml:space="preserve">), </w:t>
      </w:r>
      <w:r w:rsidRPr="006F4D43">
        <w:rPr>
          <w:snapToGrid w:val="0"/>
          <w:kern w:val="22"/>
          <w:lang w:val="es-ES"/>
        </w:rPr>
        <w:t>se celebraron dos foros en l</w:t>
      </w:r>
      <w:r>
        <w:rPr>
          <w:snapToGrid w:val="0"/>
          <w:kern w:val="22"/>
          <w:lang w:val="es-ES"/>
        </w:rPr>
        <w:t>ínea</w:t>
      </w:r>
      <w:r w:rsidR="00775B5A" w:rsidRPr="006F4D43">
        <w:rPr>
          <w:snapToGrid w:val="0"/>
          <w:kern w:val="22"/>
          <w:lang w:val="es-ES"/>
        </w:rPr>
        <w:t xml:space="preserve"> (“</w:t>
      </w:r>
      <w:r>
        <w:rPr>
          <w:snapToGrid w:val="0"/>
          <w:kern w:val="22"/>
          <w:lang w:val="es-ES"/>
        </w:rPr>
        <w:t>CIISB sobre los Foros CIISB</w:t>
      </w:r>
      <w:r w:rsidR="00775B5A" w:rsidRPr="006F4D43">
        <w:rPr>
          <w:snapToGrid w:val="0"/>
          <w:kern w:val="22"/>
          <w:lang w:val="es-ES"/>
        </w:rPr>
        <w:t xml:space="preserve">” </w:t>
      </w:r>
      <w:r>
        <w:rPr>
          <w:snapToGrid w:val="0"/>
          <w:kern w:val="22"/>
          <w:lang w:val="es-ES"/>
        </w:rPr>
        <w:t>y</w:t>
      </w:r>
      <w:r w:rsidR="00775B5A" w:rsidRPr="006F4D43">
        <w:rPr>
          <w:snapToGrid w:val="0"/>
          <w:kern w:val="22"/>
          <w:lang w:val="es-ES"/>
        </w:rPr>
        <w:t xml:space="preserve"> “</w:t>
      </w:r>
      <w:r w:rsidR="007E0FF8">
        <w:rPr>
          <w:snapToGrid w:val="0"/>
          <w:kern w:val="22"/>
          <w:lang w:val="es-ES"/>
        </w:rPr>
        <w:t>Foro PNUMA-FMAM sobre el CIISB”) durante el segundo ciclo de presentación de informes</w:t>
      </w:r>
      <w:r w:rsidR="00775B5A" w:rsidRPr="006F4D43">
        <w:rPr>
          <w:snapToGrid w:val="0"/>
          <w:kern w:val="22"/>
          <w:lang w:val="es-ES"/>
        </w:rPr>
        <w:t xml:space="preserve">. </w:t>
      </w:r>
      <w:r w:rsidR="007E0FF8" w:rsidRPr="00C06B6D">
        <w:rPr>
          <w:snapToGrid w:val="0"/>
          <w:kern w:val="22"/>
          <w:lang w:val="es-ES"/>
        </w:rPr>
        <w:t xml:space="preserve">Dos nuevos foros </w:t>
      </w:r>
      <w:r w:rsidR="00775B5A" w:rsidRPr="00C06B6D">
        <w:rPr>
          <w:snapToGrid w:val="0"/>
          <w:kern w:val="22"/>
          <w:lang w:val="es-ES"/>
        </w:rPr>
        <w:t>(“</w:t>
      </w:r>
      <w:r w:rsidR="00C06B6D" w:rsidRPr="00C06B6D">
        <w:rPr>
          <w:snapToGrid w:val="0"/>
          <w:kern w:val="22"/>
          <w:lang w:val="es-ES"/>
        </w:rPr>
        <w:t xml:space="preserve">Foro </w:t>
      </w:r>
      <w:r w:rsidR="00775B5A" w:rsidRPr="00C06B6D">
        <w:rPr>
          <w:snapToGrid w:val="0"/>
          <w:kern w:val="22"/>
          <w:lang w:val="es-ES"/>
        </w:rPr>
        <w:t>FAO-C</w:t>
      </w:r>
      <w:r w:rsidR="00C06B6D" w:rsidRPr="00C06B6D">
        <w:rPr>
          <w:snapToGrid w:val="0"/>
          <w:kern w:val="22"/>
          <w:lang w:val="es-ES"/>
        </w:rPr>
        <w:t>D</w:t>
      </w:r>
      <w:r w:rsidR="00775B5A" w:rsidRPr="00C06B6D">
        <w:rPr>
          <w:snapToGrid w:val="0"/>
          <w:kern w:val="22"/>
          <w:lang w:val="es-ES"/>
        </w:rPr>
        <w:t>B-O</w:t>
      </w:r>
      <w:r w:rsidR="00C06B6D" w:rsidRPr="00C06B6D">
        <w:rPr>
          <w:snapToGrid w:val="0"/>
          <w:kern w:val="22"/>
          <w:lang w:val="es-ES"/>
        </w:rPr>
        <w:t>CDE</w:t>
      </w:r>
      <w:r w:rsidR="00775B5A" w:rsidRPr="00C06B6D">
        <w:rPr>
          <w:snapToGrid w:val="0"/>
          <w:kern w:val="22"/>
          <w:lang w:val="es-ES"/>
        </w:rPr>
        <w:t xml:space="preserve"> </w:t>
      </w:r>
      <w:r w:rsidR="00C06B6D" w:rsidRPr="00C06B6D">
        <w:rPr>
          <w:snapToGrid w:val="0"/>
          <w:kern w:val="22"/>
          <w:lang w:val="es-ES"/>
        </w:rPr>
        <w:t>de bases de datos sobre seguridad de la biotecnolog</w:t>
      </w:r>
      <w:r w:rsidR="00C06B6D">
        <w:rPr>
          <w:snapToGrid w:val="0"/>
          <w:kern w:val="22"/>
          <w:lang w:val="es-ES"/>
        </w:rPr>
        <w:t>ía</w:t>
      </w:r>
      <w:r w:rsidR="00775B5A" w:rsidRPr="00C06B6D">
        <w:rPr>
          <w:snapToGrid w:val="0"/>
          <w:kern w:val="22"/>
          <w:lang w:val="es-ES"/>
        </w:rPr>
        <w:t xml:space="preserve">” </w:t>
      </w:r>
      <w:r w:rsidR="00C06B6D">
        <w:rPr>
          <w:snapToGrid w:val="0"/>
          <w:kern w:val="22"/>
          <w:lang w:val="es-ES"/>
        </w:rPr>
        <w:t>y</w:t>
      </w:r>
      <w:r w:rsidR="00775B5A" w:rsidRPr="00C06B6D">
        <w:rPr>
          <w:snapToGrid w:val="0"/>
          <w:kern w:val="22"/>
          <w:lang w:val="es-ES"/>
        </w:rPr>
        <w:t xml:space="preserve"> “</w:t>
      </w:r>
      <w:r w:rsidR="00C06B6D">
        <w:rPr>
          <w:snapToGrid w:val="0"/>
          <w:kern w:val="22"/>
          <w:lang w:val="es-ES"/>
        </w:rPr>
        <w:t>Comité asesor oficioso del CIISB</w:t>
      </w:r>
      <w:r w:rsidR="00775B5A" w:rsidRPr="00C06B6D">
        <w:rPr>
          <w:snapToGrid w:val="0"/>
          <w:kern w:val="22"/>
          <w:lang w:val="es-ES"/>
        </w:rPr>
        <w:t xml:space="preserve">”) </w:t>
      </w:r>
      <w:r w:rsidR="00C06B6D">
        <w:rPr>
          <w:snapToGrid w:val="0"/>
          <w:kern w:val="22"/>
          <w:lang w:val="es-ES"/>
        </w:rPr>
        <w:t>se añadieron durante el tercer ciclo de presentación de informes</w:t>
      </w:r>
      <w:r w:rsidR="00775B5A" w:rsidRPr="00C06B6D">
        <w:rPr>
          <w:snapToGrid w:val="0"/>
          <w:kern w:val="22"/>
          <w:lang w:val="es-ES"/>
        </w:rPr>
        <w:t xml:space="preserve">. </w:t>
      </w:r>
      <w:r w:rsidR="00C06B6D" w:rsidRPr="00C06B6D">
        <w:rPr>
          <w:snapToGrid w:val="0"/>
          <w:kern w:val="22"/>
          <w:lang w:val="es-ES"/>
        </w:rPr>
        <w:t xml:space="preserve">En el cuarto ciclo de presentación de informes no </w:t>
      </w:r>
      <w:r w:rsidR="00C06B6D">
        <w:rPr>
          <w:snapToGrid w:val="0"/>
          <w:kern w:val="22"/>
          <w:lang w:val="es-ES"/>
        </w:rPr>
        <w:t>aumentó</w:t>
      </w:r>
      <w:r w:rsidR="00C06B6D" w:rsidRPr="00C06B6D">
        <w:rPr>
          <w:snapToGrid w:val="0"/>
          <w:kern w:val="22"/>
          <w:lang w:val="es-ES"/>
        </w:rPr>
        <w:t xml:space="preserve"> el n</w:t>
      </w:r>
      <w:r w:rsidR="00C06B6D">
        <w:rPr>
          <w:snapToGrid w:val="0"/>
          <w:kern w:val="22"/>
          <w:lang w:val="es-ES"/>
        </w:rPr>
        <w:t>úmero de foros en línea</w:t>
      </w:r>
      <w:r w:rsidR="00775B5A" w:rsidRPr="00C06B6D">
        <w:rPr>
          <w:snapToGrid w:val="0"/>
          <w:kern w:val="22"/>
          <w:lang w:val="es-ES"/>
        </w:rPr>
        <w:t xml:space="preserve">. </w:t>
      </w:r>
      <w:r w:rsidR="00C06B6D" w:rsidRPr="00C06B6D">
        <w:rPr>
          <w:snapToGrid w:val="0"/>
          <w:kern w:val="22"/>
          <w:lang w:val="es-ES"/>
        </w:rPr>
        <w:t xml:space="preserve">Además, solo el </w:t>
      </w:r>
      <w:r w:rsidR="00775B5A" w:rsidRPr="00C06B6D">
        <w:rPr>
          <w:snapToGrid w:val="0"/>
          <w:kern w:val="22"/>
          <w:lang w:val="es-ES"/>
        </w:rPr>
        <w:t>“</w:t>
      </w:r>
      <w:r w:rsidR="00C06B6D" w:rsidRPr="00C06B6D">
        <w:rPr>
          <w:snapToGrid w:val="0"/>
          <w:kern w:val="22"/>
          <w:lang w:val="es-ES"/>
        </w:rPr>
        <w:t>CIISB sobre los Foros CIISB</w:t>
      </w:r>
      <w:r w:rsidR="00775B5A" w:rsidRPr="00C06B6D">
        <w:rPr>
          <w:snapToGrid w:val="0"/>
          <w:kern w:val="22"/>
          <w:lang w:val="es-ES"/>
        </w:rPr>
        <w:t xml:space="preserve">” </w:t>
      </w:r>
      <w:r w:rsidR="00C06B6D" w:rsidRPr="00C06B6D">
        <w:rPr>
          <w:snapToGrid w:val="0"/>
          <w:kern w:val="22"/>
          <w:lang w:val="es-ES"/>
        </w:rPr>
        <w:t>estuvo activ</w:t>
      </w:r>
      <w:r w:rsidR="004025E4">
        <w:rPr>
          <w:snapToGrid w:val="0"/>
          <w:kern w:val="22"/>
          <w:lang w:val="es-ES"/>
        </w:rPr>
        <w:t>o</w:t>
      </w:r>
      <w:r w:rsidR="00C06B6D" w:rsidRPr="00C06B6D">
        <w:rPr>
          <w:snapToGrid w:val="0"/>
          <w:kern w:val="22"/>
          <w:lang w:val="es-ES"/>
        </w:rPr>
        <w:t xml:space="preserve"> durante el ciclo y sigue en curso</w:t>
      </w:r>
      <w:r w:rsidR="00775B5A" w:rsidRPr="00C06B6D">
        <w:rPr>
          <w:snapToGrid w:val="0"/>
          <w:kern w:val="22"/>
          <w:lang w:val="es-ES"/>
        </w:rPr>
        <w:t xml:space="preserve">.  </w:t>
      </w:r>
    </w:p>
    <w:p w:rsidR="00775B5A" w:rsidRPr="00330EAA" w:rsidRDefault="00D4569F"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D4569F">
        <w:rPr>
          <w:snapToGrid w:val="0"/>
          <w:kern w:val="22"/>
          <w:lang w:val="es-ES"/>
        </w:rPr>
        <w:t xml:space="preserve">En colaboración </w:t>
      </w:r>
      <w:r w:rsidR="003E655E">
        <w:rPr>
          <w:snapToGrid w:val="0"/>
          <w:kern w:val="22"/>
          <w:lang w:val="es-ES"/>
        </w:rPr>
        <w:t xml:space="preserve">con </w:t>
      </w:r>
      <w:r w:rsidRPr="00D4569F">
        <w:rPr>
          <w:snapToGrid w:val="0"/>
          <w:kern w:val="22"/>
          <w:lang w:val="es-ES"/>
        </w:rPr>
        <w:t>el</w:t>
      </w:r>
      <w:r w:rsidR="003E655E">
        <w:rPr>
          <w:snapToGrid w:val="0"/>
          <w:kern w:val="22"/>
          <w:lang w:val="es-ES"/>
        </w:rPr>
        <w:t xml:space="preserve"> Proyecto CIISB del PNUMA-FMAM, y con su apoyo, </w:t>
      </w:r>
      <w:r w:rsidRPr="00D4569F">
        <w:rPr>
          <w:snapToGrid w:val="0"/>
          <w:kern w:val="22"/>
          <w:lang w:val="es-ES"/>
        </w:rPr>
        <w:t>la Secretaría del Convenio sobre la Diversidad Biológica convocó dos talleres de capacitación sobre el C</w:t>
      </w:r>
      <w:r w:rsidR="00F45BD1">
        <w:rPr>
          <w:snapToGrid w:val="0"/>
          <w:kern w:val="22"/>
          <w:lang w:val="es-ES"/>
        </w:rPr>
        <w:t>IISB</w:t>
      </w:r>
      <w:r>
        <w:rPr>
          <w:snapToGrid w:val="0"/>
          <w:kern w:val="22"/>
          <w:lang w:val="es-ES"/>
        </w:rPr>
        <w:t xml:space="preserve"> </w:t>
      </w:r>
      <w:r w:rsidR="003E655E">
        <w:rPr>
          <w:snapToGrid w:val="0"/>
          <w:kern w:val="22"/>
          <w:lang w:val="es-ES"/>
        </w:rPr>
        <w:t>en paralelo a</w:t>
      </w:r>
      <w:r w:rsidR="00D926B6" w:rsidRPr="004025E4">
        <w:rPr>
          <w:snapToGrid w:val="0"/>
          <w:kern w:val="22"/>
          <w:lang w:val="es-ES"/>
        </w:rPr>
        <w:t xml:space="preserve"> las reuniones quinta </w:t>
      </w:r>
      <w:r w:rsidR="00F45BD1">
        <w:rPr>
          <w:snapToGrid w:val="0"/>
          <w:kern w:val="22"/>
          <w:lang w:val="es-ES"/>
        </w:rPr>
        <w:t xml:space="preserve">(2010) </w:t>
      </w:r>
      <w:r w:rsidR="00D926B6" w:rsidRPr="004025E4">
        <w:rPr>
          <w:snapToGrid w:val="0"/>
          <w:kern w:val="22"/>
          <w:lang w:val="es-ES"/>
        </w:rPr>
        <w:t>y sexta</w:t>
      </w:r>
      <w:r w:rsidRPr="004025E4">
        <w:rPr>
          <w:snapToGrid w:val="0"/>
          <w:kern w:val="22"/>
          <w:lang w:val="es-ES"/>
        </w:rPr>
        <w:t xml:space="preserve"> </w:t>
      </w:r>
      <w:r w:rsidR="00F45BD1">
        <w:rPr>
          <w:snapToGrid w:val="0"/>
          <w:kern w:val="22"/>
          <w:lang w:val="es-ES"/>
        </w:rPr>
        <w:t xml:space="preserve">(2012) </w:t>
      </w:r>
      <w:r w:rsidRPr="004025E4">
        <w:rPr>
          <w:snapToGrid w:val="0"/>
          <w:kern w:val="22"/>
          <w:lang w:val="es-ES"/>
        </w:rPr>
        <w:t xml:space="preserve">de la Conferencia de las Partes que actúa como reunión de las Partes en </w:t>
      </w:r>
      <w:r>
        <w:rPr>
          <w:snapToGrid w:val="0"/>
          <w:kern w:val="22"/>
          <w:lang w:val="es-ES"/>
        </w:rPr>
        <w:t>el Protocolo</w:t>
      </w:r>
      <w:r w:rsidR="00775B5A" w:rsidRPr="00D4569F">
        <w:rPr>
          <w:kern w:val="22"/>
          <w:lang w:val="es-ES"/>
        </w:rPr>
        <w:t xml:space="preserve">. </w:t>
      </w:r>
      <w:r w:rsidR="00775B5A" w:rsidRPr="003E655E">
        <w:rPr>
          <w:kern w:val="22"/>
          <w:lang w:val="es-ES"/>
        </w:rPr>
        <w:t>Dur</w:t>
      </w:r>
      <w:r w:rsidR="003E655E" w:rsidRPr="003E655E">
        <w:rPr>
          <w:kern w:val="22"/>
          <w:lang w:val="es-ES"/>
        </w:rPr>
        <w:t>ante el cuarto ciclo de presentación de informes</w:t>
      </w:r>
      <w:r w:rsidR="00775B5A" w:rsidRPr="003E655E">
        <w:rPr>
          <w:kern w:val="22"/>
          <w:lang w:val="es-ES"/>
        </w:rPr>
        <w:t xml:space="preserve"> (</w:t>
      </w:r>
      <w:r w:rsidR="003E655E" w:rsidRPr="003E655E">
        <w:rPr>
          <w:kern w:val="22"/>
          <w:lang w:val="es-ES"/>
        </w:rPr>
        <w:t xml:space="preserve">de </w:t>
      </w:r>
      <w:r w:rsidR="00775B5A" w:rsidRPr="003E655E">
        <w:rPr>
          <w:kern w:val="22"/>
          <w:lang w:val="es-ES"/>
        </w:rPr>
        <w:t xml:space="preserve">2016 </w:t>
      </w:r>
      <w:r w:rsidR="003E655E" w:rsidRPr="003E655E">
        <w:rPr>
          <w:kern w:val="22"/>
          <w:lang w:val="es-ES"/>
        </w:rPr>
        <w:t>a</w:t>
      </w:r>
      <w:r w:rsidR="00775B5A" w:rsidRPr="003E655E">
        <w:rPr>
          <w:kern w:val="22"/>
          <w:lang w:val="es-ES"/>
        </w:rPr>
        <w:t xml:space="preserve"> 2019), </w:t>
      </w:r>
      <w:r w:rsidR="003E655E" w:rsidRPr="003E655E">
        <w:rPr>
          <w:kern w:val="22"/>
          <w:lang w:val="es-ES"/>
        </w:rPr>
        <w:t>se organizaron dos talleres de capacitación sobre el C</w:t>
      </w:r>
      <w:r w:rsidR="00F45BD1">
        <w:rPr>
          <w:kern w:val="22"/>
          <w:lang w:val="es-ES"/>
        </w:rPr>
        <w:t>IISB</w:t>
      </w:r>
      <w:r w:rsidR="003E655E">
        <w:rPr>
          <w:kern w:val="22"/>
          <w:lang w:val="es-ES"/>
        </w:rPr>
        <w:t xml:space="preserve"> paralelamente </w:t>
      </w:r>
      <w:r w:rsidR="003E655E" w:rsidRPr="004025E4">
        <w:rPr>
          <w:kern w:val="22"/>
          <w:lang w:val="es-ES"/>
        </w:rPr>
        <w:t xml:space="preserve">a </w:t>
      </w:r>
      <w:r w:rsidR="00D926B6" w:rsidRPr="004025E4">
        <w:rPr>
          <w:kern w:val="22"/>
          <w:lang w:val="es-ES"/>
        </w:rPr>
        <w:t>las reuniones octava y novena</w:t>
      </w:r>
      <w:r w:rsidR="003E655E" w:rsidRPr="004025E4">
        <w:rPr>
          <w:kern w:val="22"/>
          <w:lang w:val="es-ES"/>
        </w:rPr>
        <w:t xml:space="preserve"> d</w:t>
      </w:r>
      <w:r w:rsidR="003E655E">
        <w:rPr>
          <w:kern w:val="22"/>
          <w:lang w:val="es-ES"/>
        </w:rPr>
        <w:t xml:space="preserve">e la </w:t>
      </w:r>
      <w:r w:rsidR="00775B5A" w:rsidRPr="003E655E">
        <w:rPr>
          <w:kern w:val="22"/>
          <w:lang w:val="es-ES"/>
        </w:rPr>
        <w:t>Conferenc</w:t>
      </w:r>
      <w:r w:rsidR="00D926B6">
        <w:rPr>
          <w:kern w:val="22"/>
          <w:lang w:val="es-ES"/>
        </w:rPr>
        <w:t>ia de las</w:t>
      </w:r>
      <w:r w:rsidR="00775B5A" w:rsidRPr="003E655E">
        <w:rPr>
          <w:kern w:val="22"/>
          <w:lang w:val="es-ES"/>
        </w:rPr>
        <w:t xml:space="preserve"> Partes </w:t>
      </w:r>
      <w:r w:rsidR="00D926B6">
        <w:rPr>
          <w:kern w:val="22"/>
          <w:lang w:val="es-ES"/>
        </w:rPr>
        <w:t xml:space="preserve">que actúa como reunión de las Partes en el </w:t>
      </w:r>
      <w:r w:rsidR="00775B5A" w:rsidRPr="003E655E">
        <w:rPr>
          <w:kern w:val="22"/>
          <w:lang w:val="es-ES"/>
        </w:rPr>
        <w:t>Protocol</w:t>
      </w:r>
      <w:r w:rsidR="00D926B6">
        <w:rPr>
          <w:kern w:val="22"/>
          <w:lang w:val="es-ES"/>
        </w:rPr>
        <w:t>o</w:t>
      </w:r>
      <w:r w:rsidR="00775B5A" w:rsidRPr="003E655E">
        <w:rPr>
          <w:kern w:val="22"/>
          <w:lang w:val="es-ES"/>
        </w:rPr>
        <w:t xml:space="preserve">. </w:t>
      </w:r>
      <w:r w:rsidR="00D926B6" w:rsidRPr="00330EAA">
        <w:rPr>
          <w:kern w:val="22"/>
          <w:lang w:val="es-ES"/>
        </w:rPr>
        <w:t xml:space="preserve">Además, a partir de </w:t>
      </w:r>
      <w:r w:rsidR="00775B5A" w:rsidRPr="00330EAA">
        <w:rPr>
          <w:kern w:val="22"/>
          <w:lang w:val="es-ES"/>
        </w:rPr>
        <w:t xml:space="preserve">2016, </w:t>
      </w:r>
      <w:r w:rsidR="00D926B6" w:rsidRPr="00330EAA">
        <w:rPr>
          <w:kern w:val="22"/>
          <w:lang w:val="es-ES"/>
        </w:rPr>
        <w:t xml:space="preserve">el proyecto </w:t>
      </w:r>
      <w:r w:rsidR="00330EAA" w:rsidRPr="00330EAA">
        <w:rPr>
          <w:kern w:val="22"/>
          <w:lang w:val="es-ES"/>
        </w:rPr>
        <w:t>CIISB III del PNUMA-FMAM</w:t>
      </w:r>
      <w:r w:rsidR="00775B5A" w:rsidRPr="00330EAA">
        <w:rPr>
          <w:kern w:val="22"/>
          <w:lang w:val="es-ES"/>
        </w:rPr>
        <w:t xml:space="preserve"> </w:t>
      </w:r>
      <w:r w:rsidR="004025E4">
        <w:rPr>
          <w:kern w:val="22"/>
          <w:lang w:val="es-ES"/>
        </w:rPr>
        <w:t xml:space="preserve">ha llevado a cabo </w:t>
      </w:r>
      <w:r w:rsidR="00330EAA" w:rsidRPr="00330EAA">
        <w:rPr>
          <w:kern w:val="22"/>
          <w:lang w:val="es-ES"/>
        </w:rPr>
        <w:t>numerosas actividades de creac</w:t>
      </w:r>
      <w:r w:rsidR="00330EAA">
        <w:rPr>
          <w:kern w:val="22"/>
          <w:lang w:val="es-ES"/>
        </w:rPr>
        <w:t>ión de capacidad sobre el CIISB en los países</w:t>
      </w:r>
      <w:r w:rsidR="00775B5A" w:rsidRPr="00330EAA">
        <w:rPr>
          <w:kern w:val="22"/>
          <w:lang w:val="es-ES"/>
        </w:rPr>
        <w:t xml:space="preserve">. </w:t>
      </w:r>
      <w:r w:rsidR="00330EAA" w:rsidRPr="00330EAA">
        <w:rPr>
          <w:kern w:val="22"/>
          <w:lang w:val="es-ES"/>
        </w:rPr>
        <w:t>La información sobre estas actividades se comparte periódicamente a trav</w:t>
      </w:r>
      <w:r w:rsidR="00330EAA">
        <w:rPr>
          <w:kern w:val="22"/>
          <w:lang w:val="es-ES"/>
        </w:rPr>
        <w:t xml:space="preserve">és de </w:t>
      </w:r>
      <w:r w:rsidR="00775B5A" w:rsidRPr="00330EAA">
        <w:rPr>
          <w:kern w:val="22"/>
          <w:lang w:val="es-ES"/>
        </w:rPr>
        <w:t>“</w:t>
      </w:r>
      <w:r w:rsidR="00330EAA">
        <w:rPr>
          <w:kern w:val="22"/>
          <w:lang w:val="es-ES"/>
        </w:rPr>
        <w:t>Noticias del CIISB</w:t>
      </w:r>
      <w:r w:rsidR="00775B5A" w:rsidRPr="00330EAA">
        <w:rPr>
          <w:kern w:val="22"/>
          <w:lang w:val="es-ES"/>
        </w:rPr>
        <w:t>”</w:t>
      </w:r>
      <w:r w:rsidR="00775B5A">
        <w:rPr>
          <w:rStyle w:val="FootnoteReference"/>
          <w:rFonts w:ascii="Angsana New" w:hAnsi="Angsana New" w:cs="Angsana New"/>
          <w:kern w:val="22"/>
        </w:rPr>
        <w:footnoteReference w:id="41"/>
      </w:r>
      <w:r w:rsidR="00330EAA" w:rsidRPr="00330EAA">
        <w:rPr>
          <w:kern w:val="22"/>
          <w:lang w:val="es-ES"/>
        </w:rPr>
        <w:t>.</w:t>
      </w:r>
    </w:p>
    <w:p w:rsidR="00775B5A" w:rsidRPr="00594591" w:rsidRDefault="00775B5A" w:rsidP="001D4EEE">
      <w:pPr>
        <w:keepNext/>
        <w:numPr>
          <w:ilvl w:val="0"/>
          <w:numId w:val="3"/>
        </w:numPr>
        <w:suppressLineNumbers/>
        <w:tabs>
          <w:tab w:val="clear" w:pos="2070"/>
        </w:tabs>
        <w:suppressAutoHyphens/>
        <w:spacing w:before="120" w:after="120"/>
        <w:ind w:left="0" w:firstLine="0"/>
        <w:jc w:val="center"/>
        <w:outlineLvl w:val="1"/>
        <w:rPr>
          <w:rFonts w:ascii="Angsana New" w:hAnsi="Angsana New" w:cs="Angsana New"/>
          <w:snapToGrid w:val="0"/>
          <w:kern w:val="22"/>
          <w:lang w:val="es-ES"/>
        </w:rPr>
      </w:pPr>
      <w:r w:rsidRPr="00594591">
        <w:rPr>
          <w:b/>
          <w:bCs/>
          <w:snapToGrid w:val="0"/>
          <w:kern w:val="22"/>
          <w:lang w:val="es-ES"/>
        </w:rPr>
        <w:lastRenderedPageBreak/>
        <w:t>C</w:t>
      </w:r>
      <w:r w:rsidR="00594591" w:rsidRPr="00594591">
        <w:rPr>
          <w:b/>
          <w:bCs/>
          <w:snapToGrid w:val="0"/>
          <w:kern w:val="22"/>
          <w:lang w:val="es-ES"/>
        </w:rPr>
        <w:t>umplimiento y examen</w:t>
      </w:r>
      <w:r w:rsidRPr="00594591">
        <w:rPr>
          <w:b/>
          <w:bCs/>
          <w:snapToGrid w:val="0"/>
          <w:kern w:val="22"/>
          <w:lang w:val="es-ES"/>
        </w:rPr>
        <w:t xml:space="preserve"> (o</w:t>
      </w:r>
      <w:r w:rsidR="00594591" w:rsidRPr="00594591">
        <w:rPr>
          <w:b/>
          <w:bCs/>
          <w:snapToGrid w:val="0"/>
          <w:kern w:val="22"/>
          <w:lang w:val="es-ES"/>
        </w:rPr>
        <w:t>bjetivos operacionales</w:t>
      </w:r>
      <w:r w:rsidRPr="00594591">
        <w:rPr>
          <w:b/>
          <w:bCs/>
          <w:snapToGrid w:val="0"/>
          <w:kern w:val="22"/>
          <w:lang w:val="es-ES"/>
        </w:rPr>
        <w:t xml:space="preserve"> 3.1 </w:t>
      </w:r>
      <w:r w:rsidR="00594591" w:rsidRPr="00594591">
        <w:rPr>
          <w:b/>
          <w:bCs/>
          <w:snapToGrid w:val="0"/>
          <w:kern w:val="22"/>
          <w:lang w:val="es-ES"/>
        </w:rPr>
        <w:t>y</w:t>
      </w:r>
      <w:r w:rsidRPr="00594591">
        <w:rPr>
          <w:b/>
          <w:bCs/>
          <w:snapToGrid w:val="0"/>
          <w:kern w:val="22"/>
          <w:lang w:val="es-ES"/>
        </w:rPr>
        <w:t xml:space="preserve"> 3.2)</w:t>
      </w:r>
    </w:p>
    <w:p w:rsidR="00775B5A" w:rsidRPr="00594591" w:rsidRDefault="00775B5A">
      <w:pPr>
        <w:keepNext/>
        <w:suppressLineNumbers/>
        <w:tabs>
          <w:tab w:val="num" w:pos="0"/>
          <w:tab w:val="left" w:pos="720"/>
        </w:tabs>
        <w:suppressAutoHyphens/>
        <w:spacing w:before="120" w:after="120"/>
        <w:textAlignment w:val="baseline"/>
        <w:outlineLvl w:val="2"/>
        <w:rPr>
          <w:b/>
          <w:bCs/>
          <w:snapToGrid w:val="0"/>
          <w:kern w:val="22"/>
          <w:lang w:val="es-ES"/>
        </w:rPr>
      </w:pPr>
      <w:r w:rsidRPr="00594591">
        <w:rPr>
          <w:b/>
          <w:bCs/>
          <w:snapToGrid w:val="0"/>
          <w:kern w:val="22"/>
          <w:lang w:val="es-ES"/>
        </w:rPr>
        <w:t>O</w:t>
      </w:r>
      <w:r w:rsidR="00594591" w:rsidRPr="00594591">
        <w:rPr>
          <w:b/>
          <w:bCs/>
          <w:snapToGrid w:val="0"/>
          <w:kern w:val="22"/>
          <w:lang w:val="es-ES"/>
        </w:rPr>
        <w:t>bjetivo operacional</w:t>
      </w:r>
      <w:r w:rsidRPr="00594591">
        <w:rPr>
          <w:b/>
          <w:bCs/>
          <w:snapToGrid w:val="0"/>
          <w:kern w:val="22"/>
          <w:lang w:val="es-ES"/>
        </w:rPr>
        <w:t xml:space="preserve"> 3.1: </w:t>
      </w:r>
      <w:r w:rsidR="00A71B4A">
        <w:rPr>
          <w:b/>
          <w:bCs/>
          <w:snapToGrid w:val="0"/>
          <w:kern w:val="22"/>
          <w:lang w:val="es-ES"/>
        </w:rPr>
        <w:t>C</w:t>
      </w:r>
      <w:r w:rsidR="00594591" w:rsidRPr="00594591">
        <w:rPr>
          <w:b/>
          <w:bCs/>
          <w:snapToGrid w:val="0"/>
          <w:kern w:val="22"/>
          <w:lang w:val="es-ES"/>
        </w:rPr>
        <w:t xml:space="preserve">umplimiento </w:t>
      </w:r>
      <w:r w:rsidR="00A71B4A">
        <w:rPr>
          <w:b/>
          <w:bCs/>
          <w:snapToGrid w:val="0"/>
          <w:kern w:val="22"/>
          <w:lang w:val="es-ES"/>
        </w:rPr>
        <w:t>de</w:t>
      </w:r>
      <w:r w:rsidR="00594591" w:rsidRPr="00594591">
        <w:rPr>
          <w:b/>
          <w:bCs/>
          <w:snapToGrid w:val="0"/>
          <w:kern w:val="22"/>
          <w:lang w:val="es-ES"/>
        </w:rPr>
        <w:t>l Protocolo</w:t>
      </w:r>
    </w:p>
    <w:p w:rsidR="00775B5A" w:rsidRPr="00A71B4A" w:rsidRDefault="00A71B4A"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A71B4A">
        <w:rPr>
          <w:snapToGrid w:val="0"/>
          <w:kern w:val="22"/>
          <w:lang w:val="es-ES"/>
        </w:rPr>
        <w:t xml:space="preserve">Con respecto al </w:t>
      </w:r>
      <w:r w:rsidR="00775B5A" w:rsidRPr="00A71B4A">
        <w:rPr>
          <w:b/>
          <w:bCs/>
          <w:snapToGrid w:val="0"/>
          <w:kern w:val="22"/>
          <w:lang w:val="es-ES"/>
        </w:rPr>
        <w:t>indica</w:t>
      </w:r>
      <w:r w:rsidRPr="00A71B4A">
        <w:rPr>
          <w:b/>
          <w:bCs/>
          <w:snapToGrid w:val="0"/>
          <w:kern w:val="22"/>
          <w:lang w:val="es-ES"/>
        </w:rPr>
        <w:t>d</w:t>
      </w:r>
      <w:r w:rsidR="00775B5A" w:rsidRPr="00A71B4A">
        <w:rPr>
          <w:b/>
          <w:bCs/>
          <w:snapToGrid w:val="0"/>
          <w:kern w:val="22"/>
          <w:lang w:val="es-ES"/>
        </w:rPr>
        <w:t>or 3.1.1</w:t>
      </w:r>
      <w:r w:rsidR="00775B5A" w:rsidRPr="00A71B4A">
        <w:rPr>
          <w:snapToGrid w:val="0"/>
          <w:kern w:val="22"/>
          <w:lang w:val="es-ES"/>
        </w:rPr>
        <w:t xml:space="preserve"> (</w:t>
      </w:r>
      <w:r w:rsidRPr="00A71B4A">
        <w:rPr>
          <w:snapToGrid w:val="0"/>
          <w:kern w:val="22"/>
          <w:lang w:val="es-ES"/>
        </w:rPr>
        <w:t xml:space="preserve">el número de </w:t>
      </w:r>
      <w:r w:rsidR="00775B5A" w:rsidRPr="00A71B4A">
        <w:rPr>
          <w:snapToGrid w:val="0"/>
          <w:kern w:val="22"/>
          <w:lang w:val="es-ES"/>
        </w:rPr>
        <w:t xml:space="preserve">Partes </w:t>
      </w:r>
      <w:r w:rsidRPr="00A71B4A">
        <w:rPr>
          <w:snapToGrid w:val="0"/>
          <w:kern w:val="22"/>
          <w:lang w:val="es-ES"/>
        </w:rPr>
        <w:t>que ha identificado y abordado sus cuestiones de incumplimiento</w:t>
      </w:r>
      <w:r w:rsidR="00775B5A" w:rsidRPr="00A71B4A">
        <w:rPr>
          <w:snapToGrid w:val="0"/>
          <w:kern w:val="22"/>
          <w:lang w:val="es-ES"/>
        </w:rPr>
        <w:t>)</w:t>
      </w:r>
      <w:r w:rsidR="00775B5A" w:rsidRPr="00A71B4A">
        <w:rPr>
          <w:rFonts w:ascii="Angsana New" w:hAnsi="Angsana New" w:cs="Angsana New"/>
          <w:snapToGrid w:val="0"/>
          <w:kern w:val="22"/>
          <w:lang w:val="es-ES"/>
        </w:rPr>
        <w:t>,</w:t>
      </w:r>
      <w:r w:rsidR="00775B5A" w:rsidRPr="00A71B4A">
        <w:rPr>
          <w:snapToGrid w:val="0"/>
          <w:kern w:val="22"/>
          <w:lang w:val="es-ES"/>
        </w:rPr>
        <w:t xml:space="preserve"> </w:t>
      </w:r>
      <w:r w:rsidRPr="00A71B4A">
        <w:rPr>
          <w:snapToGrid w:val="0"/>
          <w:kern w:val="22"/>
          <w:lang w:val="es-ES"/>
        </w:rPr>
        <w:t>podrá tenerse en cuenta la experiencia del Comit</w:t>
      </w:r>
      <w:r>
        <w:rPr>
          <w:snapToGrid w:val="0"/>
          <w:kern w:val="22"/>
          <w:lang w:val="es-ES"/>
        </w:rPr>
        <w:t xml:space="preserve">é de Cumplimiento en el examen del cumplimiento por las Partes de sus obligaciones en virtud del </w:t>
      </w:r>
      <w:r w:rsidR="00775B5A" w:rsidRPr="00A71B4A">
        <w:rPr>
          <w:snapToGrid w:val="0"/>
          <w:kern w:val="22"/>
          <w:lang w:val="es-ES"/>
        </w:rPr>
        <w:t>Protocol</w:t>
      </w:r>
      <w:r>
        <w:rPr>
          <w:snapToGrid w:val="0"/>
          <w:kern w:val="22"/>
          <w:lang w:val="es-ES"/>
        </w:rPr>
        <w:t>o y en la adopción de medidas para promover el cumplimiento y abordar los casos de incumplimiento</w:t>
      </w:r>
      <w:r w:rsidR="00775B5A" w:rsidRPr="00A71B4A">
        <w:rPr>
          <w:snapToGrid w:val="0"/>
          <w:kern w:val="22"/>
          <w:lang w:val="es-ES"/>
        </w:rPr>
        <w:t xml:space="preserve">. </w:t>
      </w:r>
    </w:p>
    <w:p w:rsidR="00775B5A" w:rsidRPr="00116F99" w:rsidRDefault="00116F99"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116F99">
        <w:rPr>
          <w:snapToGrid w:val="0"/>
          <w:kern w:val="22"/>
          <w:lang w:val="es-ES"/>
        </w:rPr>
        <w:t xml:space="preserve">De conformidad con los Procedimientos y mecanismos </w:t>
      </w:r>
      <w:r>
        <w:rPr>
          <w:snapToGrid w:val="0"/>
          <w:kern w:val="22"/>
          <w:lang w:val="es-ES"/>
        </w:rPr>
        <w:t xml:space="preserve">relativos al </w:t>
      </w:r>
      <w:r w:rsidRPr="00116F99">
        <w:rPr>
          <w:snapToGrid w:val="0"/>
          <w:kern w:val="22"/>
          <w:lang w:val="es-ES"/>
        </w:rPr>
        <w:t xml:space="preserve">cumplimiento en </w:t>
      </w:r>
      <w:r>
        <w:rPr>
          <w:snapToGrid w:val="0"/>
          <w:kern w:val="22"/>
          <w:lang w:val="es-ES"/>
        </w:rPr>
        <w:t>el marco del P</w:t>
      </w:r>
      <w:r w:rsidRPr="00116F99">
        <w:rPr>
          <w:snapToGrid w:val="0"/>
          <w:kern w:val="22"/>
          <w:lang w:val="es-ES"/>
        </w:rPr>
        <w:t xml:space="preserve">rotocolo de </w:t>
      </w:r>
      <w:r w:rsidR="00775B5A" w:rsidRPr="00116F99">
        <w:rPr>
          <w:snapToGrid w:val="0"/>
          <w:kern w:val="22"/>
          <w:lang w:val="es-ES"/>
        </w:rPr>
        <w:t xml:space="preserve">Cartagena </w:t>
      </w:r>
      <w:r w:rsidRPr="00116F99">
        <w:rPr>
          <w:snapToGrid w:val="0"/>
          <w:kern w:val="22"/>
          <w:lang w:val="es-ES"/>
        </w:rPr>
        <w:t>sobre Seguridad de la Biotecnología</w:t>
      </w:r>
      <w:r w:rsidR="00775B5A" w:rsidRPr="00116F99">
        <w:rPr>
          <w:snapToGrid w:val="0"/>
          <w:kern w:val="22"/>
          <w:lang w:val="es-ES"/>
        </w:rPr>
        <w:t xml:space="preserve">, </w:t>
      </w:r>
      <w:r w:rsidRPr="00116F99">
        <w:rPr>
          <w:snapToGrid w:val="0"/>
          <w:kern w:val="22"/>
          <w:lang w:val="es-ES"/>
        </w:rPr>
        <w:t xml:space="preserve">tal y como </w:t>
      </w:r>
      <w:r>
        <w:rPr>
          <w:snapToGrid w:val="0"/>
          <w:kern w:val="22"/>
          <w:lang w:val="es-ES"/>
        </w:rPr>
        <w:t>figura</w:t>
      </w:r>
      <w:r w:rsidRPr="00116F99">
        <w:rPr>
          <w:snapToGrid w:val="0"/>
          <w:kern w:val="22"/>
          <w:lang w:val="es-ES"/>
        </w:rPr>
        <w:t xml:space="preserve"> en el anexo de la decisi</w:t>
      </w:r>
      <w:r>
        <w:rPr>
          <w:snapToGrid w:val="0"/>
          <w:kern w:val="22"/>
          <w:lang w:val="es-ES"/>
        </w:rPr>
        <w:t>ón</w:t>
      </w:r>
      <w:r w:rsidR="00775B5A" w:rsidRPr="00116F99">
        <w:rPr>
          <w:snapToGrid w:val="0"/>
          <w:kern w:val="22"/>
          <w:lang w:val="es-ES"/>
        </w:rPr>
        <w:t xml:space="preserve"> BS-I/7, </w:t>
      </w:r>
      <w:r>
        <w:rPr>
          <w:snapToGrid w:val="0"/>
          <w:kern w:val="22"/>
          <w:lang w:val="es-ES"/>
        </w:rPr>
        <w:t xml:space="preserve">el Comité de Cumplimiento podrá recibir una comunicación relativa al cumplimiento de una </w:t>
      </w:r>
      <w:r w:rsidR="00775B5A" w:rsidRPr="00116F99">
        <w:rPr>
          <w:snapToGrid w:val="0"/>
          <w:kern w:val="22"/>
          <w:lang w:val="es-ES"/>
        </w:rPr>
        <w:t>Part</w:t>
      </w:r>
      <w:r>
        <w:rPr>
          <w:snapToGrid w:val="0"/>
          <w:kern w:val="22"/>
          <w:lang w:val="es-ES"/>
        </w:rPr>
        <w:t xml:space="preserve">e con respecto a sí misma o de una </w:t>
      </w:r>
      <w:r w:rsidR="00775B5A" w:rsidRPr="00116F99">
        <w:rPr>
          <w:snapToGrid w:val="0"/>
          <w:kern w:val="22"/>
          <w:lang w:val="es-ES"/>
        </w:rPr>
        <w:t>Part</w:t>
      </w:r>
      <w:r>
        <w:rPr>
          <w:snapToGrid w:val="0"/>
          <w:kern w:val="22"/>
          <w:lang w:val="es-ES"/>
        </w:rPr>
        <w:t>e con respecto a otra</w:t>
      </w:r>
      <w:r w:rsidR="005E5C1F">
        <w:rPr>
          <w:snapToGrid w:val="0"/>
          <w:kern w:val="22"/>
          <w:lang w:val="es-ES"/>
        </w:rPr>
        <w:t xml:space="preserve"> </w:t>
      </w:r>
      <w:r>
        <w:rPr>
          <w:snapToGrid w:val="0"/>
          <w:kern w:val="22"/>
          <w:lang w:val="es-ES"/>
        </w:rPr>
        <w:t>y, sobre esa base, adoptar una serie de medidas para abordar la cuestión</w:t>
      </w:r>
      <w:r w:rsidR="00775B5A" w:rsidRPr="00116F99">
        <w:rPr>
          <w:snapToGrid w:val="0"/>
          <w:kern w:val="22"/>
          <w:lang w:val="es-ES"/>
        </w:rPr>
        <w:t xml:space="preserve">. </w:t>
      </w:r>
      <w:r w:rsidRPr="00116F99">
        <w:rPr>
          <w:snapToGrid w:val="0"/>
          <w:kern w:val="22"/>
          <w:lang w:val="es-ES"/>
        </w:rPr>
        <w:t>La experiencia adquirida con arreglo a este procedimiento probablemente constituiría la base m</w:t>
      </w:r>
      <w:r>
        <w:rPr>
          <w:snapToGrid w:val="0"/>
          <w:kern w:val="22"/>
          <w:lang w:val="es-ES"/>
        </w:rPr>
        <w:t>ás pertinente para examinar los progresos realizados en relación con el</w:t>
      </w:r>
      <w:r w:rsidR="00775B5A" w:rsidRPr="00116F99">
        <w:rPr>
          <w:snapToGrid w:val="0"/>
          <w:kern w:val="22"/>
          <w:lang w:val="es-ES"/>
        </w:rPr>
        <w:t xml:space="preserve"> </w:t>
      </w:r>
      <w:r w:rsidR="00775B5A" w:rsidRPr="00116F99">
        <w:rPr>
          <w:b/>
          <w:bCs/>
          <w:snapToGrid w:val="0"/>
          <w:kern w:val="22"/>
          <w:lang w:val="es-ES"/>
        </w:rPr>
        <w:t>indica</w:t>
      </w:r>
      <w:r>
        <w:rPr>
          <w:b/>
          <w:bCs/>
          <w:snapToGrid w:val="0"/>
          <w:kern w:val="22"/>
          <w:lang w:val="es-ES"/>
        </w:rPr>
        <w:t>d</w:t>
      </w:r>
      <w:r w:rsidR="00775B5A" w:rsidRPr="00116F99">
        <w:rPr>
          <w:b/>
          <w:bCs/>
          <w:snapToGrid w:val="0"/>
          <w:kern w:val="22"/>
          <w:lang w:val="es-ES"/>
        </w:rPr>
        <w:t>or 3.1.1</w:t>
      </w:r>
      <w:r w:rsidR="00775B5A" w:rsidRPr="00116F99">
        <w:rPr>
          <w:snapToGrid w:val="0"/>
          <w:kern w:val="22"/>
          <w:lang w:val="es-ES"/>
        </w:rPr>
        <w:t xml:space="preserve">. </w:t>
      </w:r>
      <w:r>
        <w:rPr>
          <w:snapToGrid w:val="0"/>
          <w:kern w:val="22"/>
          <w:lang w:val="es-ES"/>
        </w:rPr>
        <w:t xml:space="preserve">Sin embargo, hasta la fecha, no se ha presentado ninguna </w:t>
      </w:r>
      <w:r w:rsidR="003C2E04">
        <w:rPr>
          <w:snapToGrid w:val="0"/>
          <w:kern w:val="22"/>
          <w:lang w:val="es-ES"/>
        </w:rPr>
        <w:t>comunicación admisible.</w:t>
      </w:r>
      <w:r w:rsidR="00775B5A" w:rsidRPr="00116F99">
        <w:rPr>
          <w:snapToGrid w:val="0"/>
          <w:kern w:val="22"/>
          <w:lang w:val="es-ES"/>
        </w:rPr>
        <w:t xml:space="preserve"> </w:t>
      </w:r>
    </w:p>
    <w:p w:rsidR="00775B5A" w:rsidRPr="000600FD" w:rsidRDefault="003C2E04"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3C2E04">
        <w:rPr>
          <w:snapToGrid w:val="0"/>
          <w:kern w:val="22"/>
          <w:lang w:val="es-ES"/>
        </w:rPr>
        <w:t>En la decisión</w:t>
      </w:r>
      <w:r w:rsidR="00775B5A" w:rsidRPr="003C2E04">
        <w:rPr>
          <w:snapToGrid w:val="0"/>
          <w:kern w:val="22"/>
          <w:lang w:val="es-ES"/>
        </w:rPr>
        <w:t xml:space="preserve"> BS-V/1, </w:t>
      </w:r>
      <w:r w:rsidRPr="003C2E04">
        <w:rPr>
          <w:snapToGrid w:val="0"/>
          <w:kern w:val="22"/>
          <w:lang w:val="es-ES"/>
        </w:rPr>
        <w:t xml:space="preserve">tras examinar la forma de mejorar la función de apoyo del Comité de Cumplimiento, la </w:t>
      </w:r>
      <w:r w:rsidR="00775B5A" w:rsidRPr="003C2E04">
        <w:rPr>
          <w:kern w:val="22"/>
          <w:lang w:val="es-ES"/>
        </w:rPr>
        <w:t>Conferenc</w:t>
      </w:r>
      <w:r w:rsidRPr="003C2E04">
        <w:rPr>
          <w:kern w:val="22"/>
          <w:lang w:val="es-ES"/>
        </w:rPr>
        <w:t xml:space="preserve">ia de las </w:t>
      </w:r>
      <w:r w:rsidR="00775B5A" w:rsidRPr="003C2E04">
        <w:rPr>
          <w:kern w:val="22"/>
          <w:lang w:val="es-ES"/>
        </w:rPr>
        <w:t xml:space="preserve">Partes </w:t>
      </w:r>
      <w:r w:rsidRPr="003C2E04">
        <w:rPr>
          <w:kern w:val="22"/>
          <w:lang w:val="es-ES"/>
        </w:rPr>
        <w:t xml:space="preserve">que actúa como reunión de las </w:t>
      </w:r>
      <w:r w:rsidR="00775B5A" w:rsidRPr="003C2E04">
        <w:rPr>
          <w:kern w:val="22"/>
          <w:lang w:val="es-ES"/>
        </w:rPr>
        <w:t xml:space="preserve">Partes </w:t>
      </w:r>
      <w:r w:rsidRPr="003C2E04">
        <w:rPr>
          <w:kern w:val="22"/>
          <w:lang w:val="es-ES"/>
        </w:rPr>
        <w:t xml:space="preserve">en el </w:t>
      </w:r>
      <w:r w:rsidR="00775B5A" w:rsidRPr="003C2E04">
        <w:rPr>
          <w:kern w:val="22"/>
          <w:lang w:val="es-ES"/>
        </w:rPr>
        <w:t>Protocol</w:t>
      </w:r>
      <w:r w:rsidRPr="003C2E04">
        <w:rPr>
          <w:kern w:val="22"/>
          <w:lang w:val="es-ES"/>
        </w:rPr>
        <w:t>o decidió que el Comité también podría adoptar medidas en una situaci</w:t>
      </w:r>
      <w:r>
        <w:rPr>
          <w:kern w:val="22"/>
          <w:lang w:val="es-ES"/>
        </w:rPr>
        <w:t>ón en la que una Parte</w:t>
      </w:r>
      <w:r w:rsidR="00775B5A" w:rsidRPr="003C2E04">
        <w:rPr>
          <w:snapToGrid w:val="0"/>
          <w:kern w:val="22"/>
          <w:lang w:val="es-ES"/>
        </w:rPr>
        <w:t xml:space="preserve"> </w:t>
      </w:r>
      <w:r>
        <w:rPr>
          <w:snapToGrid w:val="0"/>
          <w:kern w:val="22"/>
          <w:lang w:val="es-ES"/>
        </w:rPr>
        <w:t>no presente su informe nacional o cuando se haya recibido información por un informe nacional o de la Secretaría, basada en la información proveniente del C</w:t>
      </w:r>
      <w:r w:rsidR="00F45BD1">
        <w:rPr>
          <w:snapToGrid w:val="0"/>
          <w:kern w:val="22"/>
          <w:lang w:val="es-ES"/>
        </w:rPr>
        <w:t>IISB</w:t>
      </w:r>
      <w:r w:rsidR="00775B5A" w:rsidRPr="003C2E04">
        <w:rPr>
          <w:snapToGrid w:val="0"/>
          <w:kern w:val="22"/>
          <w:lang w:val="es-ES"/>
        </w:rPr>
        <w:t xml:space="preserve">, </w:t>
      </w:r>
      <w:r w:rsidR="000600FD">
        <w:rPr>
          <w:snapToGrid w:val="0"/>
          <w:kern w:val="22"/>
          <w:lang w:val="es-ES"/>
        </w:rPr>
        <w:t xml:space="preserve">que revele que la Parte en cuestión se enfrenta a dificultades en el cumplimiento de sus obligaciones contraídas en virtud del </w:t>
      </w:r>
      <w:r w:rsidR="00775B5A" w:rsidRPr="003C2E04">
        <w:rPr>
          <w:snapToGrid w:val="0"/>
          <w:kern w:val="22"/>
          <w:lang w:val="es-ES"/>
        </w:rPr>
        <w:t>Protocol</w:t>
      </w:r>
      <w:r w:rsidR="000600FD">
        <w:rPr>
          <w:snapToGrid w:val="0"/>
          <w:kern w:val="22"/>
          <w:lang w:val="es-ES"/>
        </w:rPr>
        <w:t>o</w:t>
      </w:r>
      <w:r w:rsidR="00775B5A" w:rsidRPr="003C2E04">
        <w:rPr>
          <w:snapToGrid w:val="0"/>
          <w:kern w:val="22"/>
          <w:lang w:val="es-ES"/>
        </w:rPr>
        <w:t xml:space="preserve">. </w:t>
      </w:r>
      <w:r w:rsidR="000600FD" w:rsidRPr="000600FD">
        <w:rPr>
          <w:snapToGrid w:val="0"/>
          <w:kern w:val="22"/>
          <w:lang w:val="es-ES"/>
        </w:rPr>
        <w:t>Por estas razones, a continuación se expone la experiencia adquirida en otras actividades del Comit</w:t>
      </w:r>
      <w:r w:rsidR="000600FD">
        <w:rPr>
          <w:snapToGrid w:val="0"/>
          <w:kern w:val="22"/>
          <w:lang w:val="es-ES"/>
        </w:rPr>
        <w:t>é de Cumplimiento</w:t>
      </w:r>
      <w:r w:rsidR="00775B5A" w:rsidRPr="000600FD">
        <w:rPr>
          <w:snapToGrid w:val="0"/>
          <w:kern w:val="22"/>
          <w:lang w:val="es-ES"/>
        </w:rPr>
        <w:t xml:space="preserve">.   </w:t>
      </w:r>
    </w:p>
    <w:p w:rsidR="00775B5A" w:rsidRPr="00D65246" w:rsidRDefault="00D65246"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D65246">
        <w:rPr>
          <w:snapToGrid w:val="0"/>
          <w:kern w:val="22"/>
          <w:lang w:val="es-ES"/>
        </w:rPr>
        <w:t>El Comité ha centrado sus actividades en gran medida en el examen de cuestiones generales de cumplimiento y casos individuales de incumplimiento</w:t>
      </w:r>
      <w:r w:rsidR="00775B5A" w:rsidRPr="00D65246">
        <w:rPr>
          <w:snapToGrid w:val="0"/>
          <w:kern w:val="22"/>
          <w:lang w:val="es-ES"/>
        </w:rPr>
        <w:t>,</w:t>
      </w:r>
      <w:r w:rsidR="005E5C1F">
        <w:rPr>
          <w:snapToGrid w:val="0"/>
          <w:kern w:val="22"/>
          <w:lang w:val="es-ES"/>
        </w:rPr>
        <w:t xml:space="preserve"> examinando </w:t>
      </w:r>
      <w:r w:rsidRPr="00D65246">
        <w:rPr>
          <w:snapToGrid w:val="0"/>
          <w:kern w:val="22"/>
          <w:lang w:val="es-ES"/>
        </w:rPr>
        <w:t xml:space="preserve">el cumplimiento por las Partes de varias obligaciones fundamentales en virtud del </w:t>
      </w:r>
      <w:r w:rsidR="00775B5A" w:rsidRPr="00D65246">
        <w:rPr>
          <w:snapToGrid w:val="0"/>
          <w:kern w:val="22"/>
          <w:lang w:val="es-ES"/>
        </w:rPr>
        <w:t>Protocol</w:t>
      </w:r>
      <w:r w:rsidRPr="00D65246">
        <w:rPr>
          <w:snapToGrid w:val="0"/>
          <w:kern w:val="22"/>
          <w:lang w:val="es-ES"/>
        </w:rPr>
        <w:t>o</w:t>
      </w:r>
      <w:r w:rsidR="00775B5A" w:rsidRPr="00D65246">
        <w:rPr>
          <w:snapToGrid w:val="0"/>
          <w:kern w:val="22"/>
          <w:lang w:val="es-ES"/>
        </w:rPr>
        <w:t xml:space="preserve">, </w:t>
      </w:r>
      <w:r w:rsidRPr="00D65246">
        <w:rPr>
          <w:snapToGrid w:val="0"/>
          <w:kern w:val="22"/>
          <w:lang w:val="es-ES"/>
        </w:rPr>
        <w:t>e</w:t>
      </w:r>
      <w:r w:rsidR="00775B5A" w:rsidRPr="00D65246">
        <w:rPr>
          <w:snapToGrid w:val="0"/>
          <w:kern w:val="22"/>
          <w:lang w:val="es-ES"/>
        </w:rPr>
        <w:t xml:space="preserve">n particular </w:t>
      </w:r>
      <w:r w:rsidRPr="00D65246">
        <w:rPr>
          <w:snapToGrid w:val="0"/>
          <w:kern w:val="22"/>
          <w:lang w:val="es-ES"/>
        </w:rPr>
        <w:t>la obligaci</w:t>
      </w:r>
      <w:r>
        <w:rPr>
          <w:snapToGrid w:val="0"/>
          <w:kern w:val="22"/>
          <w:lang w:val="es-ES"/>
        </w:rPr>
        <w:t xml:space="preserve">ón de informar sobre la aplicación del Protocolo de conformidad con el artículo </w:t>
      </w:r>
      <w:r w:rsidR="00775B5A" w:rsidRPr="00D65246">
        <w:rPr>
          <w:snapToGrid w:val="0"/>
          <w:kern w:val="22"/>
          <w:lang w:val="es-ES"/>
        </w:rPr>
        <w:t xml:space="preserve">33 </w:t>
      </w:r>
      <w:r w:rsidR="005E5C1F">
        <w:rPr>
          <w:snapToGrid w:val="0"/>
          <w:kern w:val="22"/>
          <w:lang w:val="es-ES"/>
        </w:rPr>
        <w:t>del mismo</w:t>
      </w:r>
      <w:r w:rsidR="00775B5A" w:rsidRPr="00D65246">
        <w:rPr>
          <w:snapToGrid w:val="0"/>
          <w:kern w:val="22"/>
          <w:lang w:val="es-ES"/>
        </w:rPr>
        <w:t xml:space="preserve">, </w:t>
      </w:r>
      <w:r>
        <w:rPr>
          <w:snapToGrid w:val="0"/>
          <w:kern w:val="22"/>
          <w:lang w:val="es-ES"/>
        </w:rPr>
        <w:t xml:space="preserve">la obligación de adoptar las medidas necesarias para aplicar el </w:t>
      </w:r>
      <w:r w:rsidR="00775B5A" w:rsidRPr="00D65246">
        <w:rPr>
          <w:snapToGrid w:val="0"/>
          <w:kern w:val="22"/>
          <w:lang w:val="es-ES"/>
        </w:rPr>
        <w:t>Protocol</w:t>
      </w:r>
      <w:r>
        <w:rPr>
          <w:snapToGrid w:val="0"/>
          <w:kern w:val="22"/>
          <w:lang w:val="es-ES"/>
        </w:rPr>
        <w:t xml:space="preserve">o con arreglo al párrafo 1 del artículo </w:t>
      </w:r>
      <w:r w:rsidR="00775B5A" w:rsidRPr="00D65246">
        <w:rPr>
          <w:snapToGrid w:val="0"/>
          <w:kern w:val="22"/>
          <w:lang w:val="es-ES"/>
        </w:rPr>
        <w:t>2</w:t>
      </w:r>
      <w:r>
        <w:rPr>
          <w:snapToGrid w:val="0"/>
          <w:kern w:val="22"/>
          <w:lang w:val="es-ES"/>
        </w:rPr>
        <w:t xml:space="preserve"> del </w:t>
      </w:r>
      <w:r w:rsidR="00775B5A" w:rsidRPr="00D65246">
        <w:rPr>
          <w:snapToGrid w:val="0"/>
          <w:kern w:val="22"/>
          <w:lang w:val="es-ES"/>
        </w:rPr>
        <w:t>Protocol</w:t>
      </w:r>
      <w:r>
        <w:rPr>
          <w:snapToGrid w:val="0"/>
          <w:kern w:val="22"/>
          <w:lang w:val="es-ES"/>
        </w:rPr>
        <w:t>o</w:t>
      </w:r>
      <w:r w:rsidR="00775B5A" w:rsidRPr="00D65246">
        <w:rPr>
          <w:snapToGrid w:val="0"/>
          <w:kern w:val="22"/>
          <w:lang w:val="es-ES"/>
        </w:rPr>
        <w:t xml:space="preserve">, </w:t>
      </w:r>
      <w:r>
        <w:rPr>
          <w:snapToGrid w:val="0"/>
          <w:kern w:val="22"/>
          <w:lang w:val="es-ES"/>
        </w:rPr>
        <w:t xml:space="preserve">y la obligación de poner a disposición del CIISB determinados tipos de información, de </w:t>
      </w:r>
      <w:r w:rsidR="00211F7F">
        <w:rPr>
          <w:snapToGrid w:val="0"/>
          <w:kern w:val="22"/>
          <w:lang w:val="es-ES"/>
        </w:rPr>
        <w:t>acuerdo con</w:t>
      </w:r>
      <w:r>
        <w:rPr>
          <w:snapToGrid w:val="0"/>
          <w:kern w:val="22"/>
          <w:lang w:val="es-ES"/>
        </w:rPr>
        <w:t xml:space="preserve"> el párrafo 3 del artículo</w:t>
      </w:r>
      <w:r w:rsidR="00775B5A" w:rsidRPr="00D65246">
        <w:rPr>
          <w:snapToGrid w:val="0"/>
          <w:kern w:val="22"/>
          <w:lang w:val="es-ES"/>
        </w:rPr>
        <w:t xml:space="preserve"> 20, </w:t>
      </w:r>
      <w:r>
        <w:rPr>
          <w:snapToGrid w:val="0"/>
          <w:kern w:val="22"/>
          <w:lang w:val="es-ES"/>
        </w:rPr>
        <w:t>y otras disposiciones del Protocolo</w:t>
      </w:r>
      <w:r w:rsidR="00775B5A" w:rsidRPr="00D65246">
        <w:rPr>
          <w:snapToGrid w:val="0"/>
          <w:kern w:val="22"/>
          <w:lang w:val="es-ES"/>
        </w:rPr>
        <w:t xml:space="preserve">. </w:t>
      </w:r>
    </w:p>
    <w:p w:rsidR="00775B5A" w:rsidRPr="00A92613" w:rsidRDefault="00211F7F"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A92613">
        <w:rPr>
          <w:snapToGrid w:val="0"/>
          <w:kern w:val="22"/>
          <w:lang w:val="es-ES"/>
        </w:rPr>
        <w:t xml:space="preserve">En este contexto, el Comité ha examinado </w:t>
      </w:r>
      <w:r w:rsidR="00A92613" w:rsidRPr="00A92613">
        <w:rPr>
          <w:snapToGrid w:val="0"/>
          <w:kern w:val="22"/>
          <w:lang w:val="es-ES"/>
        </w:rPr>
        <w:t>el cumplimiento por las Partes de la obligación de presentar sus segundos y terceros informes nacionales y ha adoptado una serie de medidas de seguimiento graduales a este respecto</w:t>
      </w:r>
      <w:r w:rsidR="00775B5A" w:rsidRPr="00A92613">
        <w:rPr>
          <w:snapToGrid w:val="0"/>
          <w:kern w:val="22"/>
          <w:lang w:val="es-ES"/>
        </w:rPr>
        <w:t xml:space="preserve">. </w:t>
      </w:r>
      <w:r w:rsidR="00A92613" w:rsidRPr="00A92613">
        <w:rPr>
          <w:snapToGrid w:val="0"/>
          <w:kern w:val="22"/>
          <w:lang w:val="es-ES"/>
        </w:rPr>
        <w:t xml:space="preserve">El Comité tomó nota de los efectos positivos de sus constantes esfuerzos por ayudar a las Partes a preparar y presentar sus informes nacionales, </w:t>
      </w:r>
      <w:r w:rsidR="00775B5A" w:rsidRPr="00A92613">
        <w:rPr>
          <w:snapToGrid w:val="0"/>
          <w:kern w:val="22"/>
          <w:lang w:val="es-ES"/>
        </w:rPr>
        <w:t>inclu</w:t>
      </w:r>
      <w:r w:rsidR="00A92613" w:rsidRPr="00A92613">
        <w:rPr>
          <w:snapToGrid w:val="0"/>
          <w:kern w:val="22"/>
          <w:lang w:val="es-ES"/>
        </w:rPr>
        <w:t>so mediante las medidas adoptadas con respecto a las Partes que no hab</w:t>
      </w:r>
      <w:r w:rsidR="00A92613">
        <w:rPr>
          <w:snapToGrid w:val="0"/>
          <w:kern w:val="22"/>
          <w:lang w:val="es-ES"/>
        </w:rPr>
        <w:t>ían presentado informes nacionales en varios ciclos de presentación de informes</w:t>
      </w:r>
      <w:r w:rsidR="00775B5A">
        <w:rPr>
          <w:rStyle w:val="FootnoteReference"/>
          <w:rFonts w:ascii="Angsana New" w:hAnsi="Angsana New" w:cs="Angsana New"/>
          <w:snapToGrid w:val="0"/>
          <w:kern w:val="22"/>
        </w:rPr>
        <w:footnoteReference w:id="42"/>
      </w:r>
      <w:r w:rsidR="00A92613" w:rsidRPr="00A92613">
        <w:rPr>
          <w:snapToGrid w:val="0"/>
          <w:kern w:val="22"/>
          <w:lang w:val="es-ES"/>
        </w:rPr>
        <w:t>.</w:t>
      </w:r>
    </w:p>
    <w:p w:rsidR="00775B5A" w:rsidRPr="00B87127" w:rsidRDefault="00BA29C9"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BA29C9">
        <w:rPr>
          <w:snapToGrid w:val="0"/>
          <w:kern w:val="22"/>
          <w:lang w:val="es-ES"/>
        </w:rPr>
        <w:t xml:space="preserve">El Comité también examinó </w:t>
      </w:r>
      <w:r>
        <w:rPr>
          <w:snapToGrid w:val="0"/>
          <w:kern w:val="22"/>
          <w:lang w:val="es-ES"/>
        </w:rPr>
        <w:t>e hizo</w:t>
      </w:r>
      <w:r w:rsidRPr="00BA29C9">
        <w:rPr>
          <w:snapToGrid w:val="0"/>
          <w:kern w:val="22"/>
          <w:lang w:val="es-ES"/>
        </w:rPr>
        <w:t xml:space="preserve"> un seguimiento de las cuestiones relativas al cumplimiento en relación con la exhaustividad de la información sobre el CIISB, como se indica en la informaci</w:t>
      </w:r>
      <w:r>
        <w:rPr>
          <w:snapToGrid w:val="0"/>
          <w:kern w:val="22"/>
          <w:lang w:val="es-ES"/>
        </w:rPr>
        <w:t xml:space="preserve">ón proporcionada en el indicador </w:t>
      </w:r>
      <w:r w:rsidR="00775B5A" w:rsidRPr="00BA29C9">
        <w:rPr>
          <w:snapToGrid w:val="0"/>
          <w:kern w:val="22"/>
          <w:lang w:val="es-ES"/>
        </w:rPr>
        <w:t xml:space="preserve">3.1.5 </w:t>
      </w:r>
      <w:r>
        <w:rPr>
          <w:i/>
          <w:snapToGrid w:val="0"/>
          <w:kern w:val="22"/>
          <w:lang w:val="es-ES"/>
        </w:rPr>
        <w:t>infra</w:t>
      </w:r>
      <w:r w:rsidR="00775B5A" w:rsidRPr="00BA29C9">
        <w:rPr>
          <w:snapToGrid w:val="0"/>
          <w:kern w:val="22"/>
          <w:lang w:val="es-ES"/>
        </w:rPr>
        <w:t xml:space="preserve">. </w:t>
      </w:r>
      <w:r w:rsidRPr="00BA29C9">
        <w:rPr>
          <w:snapToGrid w:val="0"/>
          <w:kern w:val="22"/>
          <w:lang w:val="es-ES"/>
        </w:rPr>
        <w:t xml:space="preserve">En este contexto, la </w:t>
      </w:r>
      <w:r w:rsidR="00775B5A" w:rsidRPr="00BA29C9">
        <w:rPr>
          <w:kern w:val="22"/>
          <w:lang w:val="es-ES"/>
        </w:rPr>
        <w:t>Conferenc</w:t>
      </w:r>
      <w:r w:rsidRPr="00BA29C9">
        <w:rPr>
          <w:kern w:val="22"/>
          <w:lang w:val="es-ES"/>
        </w:rPr>
        <w:t xml:space="preserve">ia de las </w:t>
      </w:r>
      <w:r w:rsidR="00775B5A" w:rsidRPr="00BA29C9">
        <w:rPr>
          <w:kern w:val="22"/>
          <w:lang w:val="es-ES"/>
        </w:rPr>
        <w:t xml:space="preserve">Partes </w:t>
      </w:r>
      <w:r w:rsidRPr="00BA29C9">
        <w:rPr>
          <w:kern w:val="22"/>
          <w:lang w:val="es-ES"/>
        </w:rPr>
        <w:t xml:space="preserve">que actúa como reunión de las Partes en el </w:t>
      </w:r>
      <w:r w:rsidR="00775B5A" w:rsidRPr="00BA29C9">
        <w:rPr>
          <w:kern w:val="22"/>
          <w:lang w:val="es-ES"/>
        </w:rPr>
        <w:t>Protocol</w:t>
      </w:r>
      <w:r w:rsidRPr="00BA29C9">
        <w:rPr>
          <w:kern w:val="22"/>
          <w:lang w:val="es-ES"/>
        </w:rPr>
        <w:t>o</w:t>
      </w:r>
      <w:r w:rsidR="00775B5A" w:rsidRPr="00BA29C9">
        <w:rPr>
          <w:snapToGrid w:val="0"/>
          <w:kern w:val="22"/>
          <w:lang w:val="es-ES"/>
        </w:rPr>
        <w:t xml:space="preserve">, </w:t>
      </w:r>
      <w:r w:rsidRPr="00BA29C9">
        <w:rPr>
          <w:snapToGrid w:val="0"/>
          <w:kern w:val="22"/>
          <w:lang w:val="es-ES"/>
        </w:rPr>
        <w:t>en su novena reuni</w:t>
      </w:r>
      <w:r>
        <w:rPr>
          <w:snapToGrid w:val="0"/>
          <w:kern w:val="22"/>
          <w:lang w:val="es-ES"/>
        </w:rPr>
        <w:t>ón, observó con reconocimiento los esfuerzos realizados por las P</w:t>
      </w:r>
      <w:r w:rsidR="00775B5A" w:rsidRPr="00BA29C9">
        <w:rPr>
          <w:snapToGrid w:val="0"/>
          <w:kern w:val="22"/>
          <w:lang w:val="es-ES"/>
        </w:rPr>
        <w:t xml:space="preserve">artes </w:t>
      </w:r>
      <w:r>
        <w:rPr>
          <w:snapToGrid w:val="0"/>
          <w:kern w:val="22"/>
          <w:lang w:val="es-ES"/>
        </w:rPr>
        <w:t xml:space="preserve">para cumplir con sus obligaciones contraídas en virtud del </w:t>
      </w:r>
      <w:r w:rsidR="00775B5A" w:rsidRPr="00BA29C9">
        <w:rPr>
          <w:snapToGrid w:val="0"/>
          <w:kern w:val="22"/>
          <w:lang w:val="es-ES"/>
        </w:rPr>
        <w:t>Protocol</w:t>
      </w:r>
      <w:r>
        <w:rPr>
          <w:snapToGrid w:val="0"/>
          <w:kern w:val="22"/>
          <w:lang w:val="es-ES"/>
        </w:rPr>
        <w:t>o de poner información a disposición del CIISB (decisió</w:t>
      </w:r>
      <w:r w:rsidR="00775B5A" w:rsidRPr="00BA29C9">
        <w:rPr>
          <w:snapToGrid w:val="0"/>
          <w:kern w:val="22"/>
          <w:lang w:val="es-ES"/>
        </w:rPr>
        <w:t xml:space="preserve">n CP-9/1). </w:t>
      </w:r>
      <w:r w:rsidR="00B87127" w:rsidRPr="00B87127">
        <w:rPr>
          <w:snapToGrid w:val="0"/>
          <w:kern w:val="22"/>
          <w:lang w:val="es-ES"/>
        </w:rPr>
        <w:t>El Comité examinó además el cumplimiento de la obligación de adoptar las medidas necesarias para aplicar el P</w:t>
      </w:r>
      <w:r w:rsidR="00775B5A" w:rsidRPr="00B87127">
        <w:rPr>
          <w:snapToGrid w:val="0"/>
          <w:kern w:val="22"/>
          <w:lang w:val="es-ES"/>
        </w:rPr>
        <w:t>rotocol</w:t>
      </w:r>
      <w:r w:rsidR="00B87127">
        <w:rPr>
          <w:snapToGrid w:val="0"/>
          <w:kern w:val="22"/>
          <w:lang w:val="es-ES"/>
        </w:rPr>
        <w:t>o y</w:t>
      </w:r>
      <w:r w:rsidR="00775B5A" w:rsidRPr="00B87127">
        <w:rPr>
          <w:snapToGrid w:val="0"/>
          <w:kern w:val="22"/>
          <w:lang w:val="es-ES"/>
        </w:rPr>
        <w:t xml:space="preserve">, </w:t>
      </w:r>
      <w:r w:rsidR="00B87127">
        <w:rPr>
          <w:snapToGrid w:val="0"/>
          <w:kern w:val="22"/>
          <w:lang w:val="es-ES"/>
        </w:rPr>
        <w:t xml:space="preserve">tras la tercera evaluación y </w:t>
      </w:r>
      <w:r w:rsidR="00FB0C66">
        <w:rPr>
          <w:snapToGrid w:val="0"/>
          <w:kern w:val="22"/>
          <w:lang w:val="es-ES"/>
        </w:rPr>
        <w:t>revisión,</w:t>
      </w:r>
      <w:r w:rsidR="00B87127">
        <w:rPr>
          <w:snapToGrid w:val="0"/>
          <w:kern w:val="22"/>
          <w:lang w:val="es-ES"/>
        </w:rPr>
        <w:t xml:space="preserve"> y la evaluación a mitad de periodo, hizo un seguimiento con las distintas </w:t>
      </w:r>
      <w:r w:rsidR="00775B5A" w:rsidRPr="00B87127">
        <w:rPr>
          <w:snapToGrid w:val="0"/>
          <w:kern w:val="22"/>
          <w:lang w:val="es-ES"/>
        </w:rPr>
        <w:t xml:space="preserve">Partes </w:t>
      </w:r>
      <w:r w:rsidR="00B87127">
        <w:rPr>
          <w:snapToGrid w:val="0"/>
          <w:kern w:val="22"/>
          <w:lang w:val="es-ES"/>
        </w:rPr>
        <w:t>a este respecto</w:t>
      </w:r>
      <w:r w:rsidR="00775B5A" w:rsidRPr="00B87127">
        <w:rPr>
          <w:snapToGrid w:val="0"/>
          <w:kern w:val="22"/>
          <w:lang w:val="es-ES"/>
        </w:rPr>
        <w:t xml:space="preserve">. </w:t>
      </w:r>
    </w:p>
    <w:p w:rsidR="00775B5A" w:rsidRPr="002A7550" w:rsidRDefault="002A7550"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2A7550">
        <w:rPr>
          <w:snapToGrid w:val="0"/>
          <w:kern w:val="22"/>
          <w:lang w:val="es-ES"/>
        </w:rPr>
        <w:t xml:space="preserve">La Conferencia de las Partes que actúa como reunión de las Partes en el Protocolo ha acogido con beneplácito la función de apoyo del Comité, de conformidad con la decisión </w:t>
      </w:r>
      <w:r w:rsidR="00775B5A" w:rsidRPr="002A7550">
        <w:rPr>
          <w:snapToGrid w:val="0"/>
          <w:kern w:val="22"/>
          <w:lang w:val="es-ES"/>
        </w:rPr>
        <w:t>BS-V/1</w:t>
      </w:r>
      <w:r w:rsidR="00775B5A">
        <w:rPr>
          <w:rStyle w:val="FootnoteReference"/>
          <w:rFonts w:ascii="Angsana New" w:hAnsi="Angsana New" w:cs="Angsana New"/>
          <w:snapToGrid w:val="0"/>
          <w:kern w:val="22"/>
        </w:rPr>
        <w:footnoteReference w:id="43"/>
      </w:r>
      <w:r w:rsidRPr="002A7550">
        <w:rPr>
          <w:snapToGrid w:val="0"/>
          <w:kern w:val="22"/>
          <w:lang w:val="es-ES"/>
        </w:rPr>
        <w:t>,</w:t>
      </w:r>
      <w:r w:rsidR="00775B5A" w:rsidRPr="002A7550">
        <w:rPr>
          <w:snapToGrid w:val="0"/>
          <w:kern w:val="22"/>
          <w:lang w:val="es-ES"/>
        </w:rPr>
        <w:t xml:space="preserve"> </w:t>
      </w:r>
      <w:r w:rsidRPr="002A7550">
        <w:rPr>
          <w:snapToGrid w:val="0"/>
          <w:kern w:val="22"/>
          <w:lang w:val="es-ES"/>
        </w:rPr>
        <w:t>como contribuci</w:t>
      </w:r>
      <w:r>
        <w:rPr>
          <w:snapToGrid w:val="0"/>
          <w:kern w:val="22"/>
          <w:lang w:val="es-ES"/>
        </w:rPr>
        <w:t xml:space="preserve">ón </w:t>
      </w:r>
      <w:r>
        <w:rPr>
          <w:snapToGrid w:val="0"/>
          <w:kern w:val="22"/>
          <w:lang w:val="es-ES"/>
        </w:rPr>
        <w:lastRenderedPageBreak/>
        <w:t xml:space="preserve">a los progresos comunicados en el contexto de la tercera evaluación y </w:t>
      </w:r>
      <w:r w:rsidR="00FB0C66">
        <w:rPr>
          <w:snapToGrid w:val="0"/>
          <w:kern w:val="22"/>
          <w:lang w:val="es-ES"/>
        </w:rPr>
        <w:t>revisión</w:t>
      </w:r>
      <w:r>
        <w:rPr>
          <w:snapToGrid w:val="0"/>
          <w:kern w:val="22"/>
          <w:lang w:val="es-ES"/>
        </w:rPr>
        <w:t xml:space="preserve"> del </w:t>
      </w:r>
      <w:r w:rsidR="00775B5A" w:rsidRPr="002A7550">
        <w:rPr>
          <w:snapToGrid w:val="0"/>
          <w:kern w:val="22"/>
          <w:lang w:val="es-ES"/>
        </w:rPr>
        <w:t>Protocol</w:t>
      </w:r>
      <w:r>
        <w:rPr>
          <w:snapToGrid w:val="0"/>
          <w:kern w:val="22"/>
          <w:lang w:val="es-ES"/>
        </w:rPr>
        <w:t>o y la evaluación a mitad de periodo del Plan Estratégico</w:t>
      </w:r>
      <w:r w:rsidR="00775B5A" w:rsidRPr="002A7550">
        <w:rPr>
          <w:snapToGrid w:val="0"/>
          <w:kern w:val="22"/>
          <w:lang w:val="es-ES"/>
        </w:rPr>
        <w:t xml:space="preserve"> (decisi</w:t>
      </w:r>
      <w:r>
        <w:rPr>
          <w:snapToGrid w:val="0"/>
          <w:kern w:val="22"/>
          <w:lang w:val="es-ES"/>
        </w:rPr>
        <w:t>ó</w:t>
      </w:r>
      <w:r w:rsidR="00775B5A" w:rsidRPr="002A7550">
        <w:rPr>
          <w:snapToGrid w:val="0"/>
          <w:kern w:val="22"/>
          <w:lang w:val="es-ES"/>
        </w:rPr>
        <w:t xml:space="preserve">n CP-VIII/15).  </w:t>
      </w:r>
    </w:p>
    <w:p w:rsidR="00775B5A" w:rsidRPr="009E7A53" w:rsidRDefault="009E7A53"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9E7A53">
        <w:rPr>
          <w:snapToGrid w:val="0"/>
          <w:kern w:val="22"/>
          <w:lang w:val="es-ES"/>
        </w:rPr>
        <w:t xml:space="preserve">En el documento CBD/CP/CC/17/3 figura una descripción más detallada de la experiencia del Comité en el apoyo a las Partes para que cumplan sus obligaciones </w:t>
      </w:r>
      <w:r>
        <w:rPr>
          <w:snapToGrid w:val="0"/>
          <w:kern w:val="22"/>
          <w:lang w:val="es-ES"/>
        </w:rPr>
        <w:t xml:space="preserve">en virtud del </w:t>
      </w:r>
      <w:r w:rsidR="00775B5A" w:rsidRPr="009E7A53">
        <w:rPr>
          <w:snapToGrid w:val="0"/>
          <w:kern w:val="22"/>
          <w:lang w:val="es-ES"/>
        </w:rPr>
        <w:t>Protocol</w:t>
      </w:r>
      <w:r>
        <w:rPr>
          <w:snapToGrid w:val="0"/>
          <w:kern w:val="22"/>
          <w:lang w:val="es-ES"/>
        </w:rPr>
        <w:t>o en relación con los indicadores del Plan Estratégico</w:t>
      </w:r>
      <w:r w:rsidR="00775B5A" w:rsidRPr="009E7A53">
        <w:rPr>
          <w:snapToGrid w:val="0"/>
          <w:kern w:val="22"/>
          <w:lang w:val="es-ES"/>
        </w:rPr>
        <w:t>.</w:t>
      </w:r>
    </w:p>
    <w:p w:rsidR="00775B5A" w:rsidRPr="003E2359" w:rsidRDefault="009E7A53" w:rsidP="001D4EEE">
      <w:pPr>
        <w:pStyle w:val="ListParagraph"/>
        <w:numPr>
          <w:ilvl w:val="0"/>
          <w:numId w:val="2"/>
        </w:numPr>
        <w:tabs>
          <w:tab w:val="clear" w:pos="3240"/>
        </w:tabs>
        <w:snapToGrid w:val="0"/>
        <w:spacing w:before="120" w:after="120"/>
        <w:ind w:left="0" w:firstLine="0"/>
        <w:rPr>
          <w:snapToGrid w:val="0"/>
          <w:kern w:val="22"/>
          <w:lang w:val="es-ES"/>
        </w:rPr>
      </w:pPr>
      <w:r w:rsidRPr="00E64738">
        <w:rPr>
          <w:snapToGrid w:val="0"/>
          <w:kern w:val="22"/>
          <w:lang w:val="es-ES"/>
        </w:rPr>
        <w:t xml:space="preserve">En lo tocante al </w:t>
      </w:r>
      <w:r w:rsidR="00775B5A" w:rsidRPr="00E64738">
        <w:rPr>
          <w:b/>
          <w:bCs/>
          <w:snapToGrid w:val="0"/>
          <w:kern w:val="22"/>
          <w:lang w:val="es-ES"/>
        </w:rPr>
        <w:t>indica</w:t>
      </w:r>
      <w:r w:rsidRPr="00E64738">
        <w:rPr>
          <w:b/>
          <w:bCs/>
          <w:snapToGrid w:val="0"/>
          <w:kern w:val="22"/>
          <w:lang w:val="es-ES"/>
        </w:rPr>
        <w:t>d</w:t>
      </w:r>
      <w:r w:rsidR="00775B5A" w:rsidRPr="00E64738">
        <w:rPr>
          <w:b/>
          <w:bCs/>
          <w:snapToGrid w:val="0"/>
          <w:kern w:val="22"/>
          <w:lang w:val="es-ES"/>
        </w:rPr>
        <w:t>or 3.1.2</w:t>
      </w:r>
      <w:r w:rsidRPr="00E64738">
        <w:rPr>
          <w:b/>
          <w:bCs/>
          <w:snapToGrid w:val="0"/>
          <w:kern w:val="22"/>
          <w:lang w:val="es-ES"/>
        </w:rPr>
        <w:t xml:space="preserve"> </w:t>
      </w:r>
      <w:r w:rsidR="00775B5A" w:rsidRPr="00E64738">
        <w:rPr>
          <w:snapToGrid w:val="0"/>
          <w:kern w:val="22"/>
          <w:lang w:val="es-ES"/>
        </w:rPr>
        <w:t>(</w:t>
      </w:r>
      <w:r w:rsidR="00ED4A07" w:rsidRPr="00E64738">
        <w:rPr>
          <w:snapToGrid w:val="0"/>
          <w:kern w:val="22"/>
          <w:lang w:val="es-ES"/>
        </w:rPr>
        <w:t xml:space="preserve">el número de </w:t>
      </w:r>
      <w:r w:rsidR="00775B5A" w:rsidRPr="00E64738">
        <w:rPr>
          <w:snapToGrid w:val="0"/>
          <w:kern w:val="22"/>
          <w:lang w:val="es-ES"/>
        </w:rPr>
        <w:t xml:space="preserve">Partes </w:t>
      </w:r>
      <w:r w:rsidR="00E64738" w:rsidRPr="00E64738">
        <w:rPr>
          <w:snapToGrid w:val="0"/>
          <w:kern w:val="22"/>
          <w:lang w:val="es-ES"/>
        </w:rPr>
        <w:t xml:space="preserve">que </w:t>
      </w:r>
      <w:r w:rsidR="00E64738">
        <w:rPr>
          <w:snapToGrid w:val="0"/>
          <w:kern w:val="22"/>
          <w:lang w:val="es-ES"/>
        </w:rPr>
        <w:t xml:space="preserve">dispone de </w:t>
      </w:r>
      <w:r w:rsidR="00E64738" w:rsidRPr="00E64738">
        <w:rPr>
          <w:snapToGrid w:val="0"/>
          <w:kern w:val="22"/>
          <w:lang w:val="es-ES"/>
        </w:rPr>
        <w:t>medidas</w:t>
      </w:r>
      <w:r w:rsidR="00E64738">
        <w:rPr>
          <w:snapToGrid w:val="0"/>
          <w:kern w:val="22"/>
          <w:lang w:val="es-ES"/>
        </w:rPr>
        <w:t xml:space="preserve"> </w:t>
      </w:r>
      <w:r w:rsidR="00E64738" w:rsidRPr="00E64738">
        <w:rPr>
          <w:snapToGrid w:val="0"/>
          <w:kern w:val="22"/>
          <w:lang w:val="es-ES"/>
        </w:rPr>
        <w:t>jurídicas, administrativas y de otr</w:t>
      </w:r>
      <w:r w:rsidR="00E64738">
        <w:rPr>
          <w:snapToGrid w:val="0"/>
          <w:kern w:val="22"/>
          <w:lang w:val="es-ES"/>
        </w:rPr>
        <w:t>o tipo aprobadas, en vigor y en funcionamiento, en el plano nacional, para aplicar el P</w:t>
      </w:r>
      <w:r w:rsidR="00775B5A" w:rsidRPr="00E64738">
        <w:rPr>
          <w:snapToGrid w:val="0"/>
          <w:kern w:val="22"/>
          <w:lang w:val="es-ES"/>
        </w:rPr>
        <w:t>rotocol</w:t>
      </w:r>
      <w:r w:rsidR="00E64738">
        <w:rPr>
          <w:snapToGrid w:val="0"/>
          <w:kern w:val="22"/>
          <w:lang w:val="es-ES"/>
        </w:rPr>
        <w:t>o</w:t>
      </w:r>
      <w:r w:rsidR="00775B5A" w:rsidRPr="00E64738">
        <w:rPr>
          <w:snapToGrid w:val="0"/>
          <w:kern w:val="22"/>
          <w:lang w:val="es-ES"/>
        </w:rPr>
        <w:t>)</w:t>
      </w:r>
      <w:r w:rsidR="00775B5A" w:rsidRPr="00E64738">
        <w:rPr>
          <w:rFonts w:ascii="Angsana New" w:hAnsi="Angsana New" w:cs="Angsana New"/>
          <w:snapToGrid w:val="0"/>
          <w:kern w:val="22"/>
          <w:lang w:val="es-ES"/>
        </w:rPr>
        <w:t>,</w:t>
      </w:r>
      <w:r w:rsidR="00775B5A" w:rsidRPr="00E64738">
        <w:rPr>
          <w:snapToGrid w:val="0"/>
          <w:kern w:val="22"/>
          <w:lang w:val="es-ES"/>
        </w:rPr>
        <w:t xml:space="preserve"> </w:t>
      </w:r>
      <w:r w:rsidR="00E64738">
        <w:rPr>
          <w:snapToGrid w:val="0"/>
          <w:kern w:val="22"/>
          <w:lang w:val="es-ES"/>
        </w:rPr>
        <w:t xml:space="preserve">El </w:t>
      </w:r>
      <w:r w:rsidR="00775B5A" w:rsidRPr="00E64738">
        <w:rPr>
          <w:snapToGrid w:val="0"/>
          <w:kern w:val="22"/>
          <w:lang w:val="es-ES"/>
        </w:rPr>
        <w:t>55</w:t>
      </w:r>
      <w:r w:rsidR="00E64738">
        <w:rPr>
          <w:snapToGrid w:val="0"/>
          <w:kern w:val="22"/>
          <w:lang w:val="es-ES"/>
        </w:rPr>
        <w:t xml:space="preserve"> </w:t>
      </w:r>
      <w:r w:rsidR="00775B5A" w:rsidRPr="00E64738">
        <w:rPr>
          <w:snapToGrid w:val="0"/>
          <w:kern w:val="22"/>
          <w:lang w:val="es-ES"/>
        </w:rPr>
        <w:t xml:space="preserve">% </w:t>
      </w:r>
      <w:r w:rsidR="00E64738">
        <w:rPr>
          <w:snapToGrid w:val="0"/>
          <w:kern w:val="22"/>
          <w:lang w:val="es-ES"/>
        </w:rPr>
        <w:t xml:space="preserve">de las </w:t>
      </w:r>
      <w:r w:rsidR="00775B5A" w:rsidRPr="00E64738">
        <w:rPr>
          <w:snapToGrid w:val="0"/>
          <w:kern w:val="22"/>
          <w:lang w:val="es-ES"/>
        </w:rPr>
        <w:t xml:space="preserve">Partes (51 Partes) </w:t>
      </w:r>
      <w:r w:rsidR="00E64738">
        <w:rPr>
          <w:snapToGrid w:val="0"/>
          <w:kern w:val="22"/>
          <w:lang w:val="es-ES"/>
        </w:rPr>
        <w:t>notific</w:t>
      </w:r>
      <w:r w:rsidR="005E5C1F">
        <w:rPr>
          <w:snapToGrid w:val="0"/>
          <w:kern w:val="22"/>
          <w:lang w:val="es-ES"/>
        </w:rPr>
        <w:t xml:space="preserve">ó </w:t>
      </w:r>
      <w:r w:rsidR="003E2359">
        <w:rPr>
          <w:snapToGrid w:val="0"/>
          <w:kern w:val="22"/>
          <w:lang w:val="es-ES"/>
        </w:rPr>
        <w:t>que</w:t>
      </w:r>
      <w:r w:rsidR="005E5C1F">
        <w:rPr>
          <w:snapToGrid w:val="0"/>
          <w:kern w:val="22"/>
          <w:lang w:val="es-ES"/>
        </w:rPr>
        <w:t xml:space="preserve"> las medidas para aplicar el Protocolo </w:t>
      </w:r>
      <w:r w:rsidR="003E2359">
        <w:rPr>
          <w:snapToGrid w:val="0"/>
          <w:kern w:val="22"/>
          <w:lang w:val="es-ES"/>
        </w:rPr>
        <w:t xml:space="preserve">se habían </w:t>
      </w:r>
      <w:r w:rsidR="005E5C1F">
        <w:rPr>
          <w:snapToGrid w:val="0"/>
          <w:kern w:val="22"/>
          <w:lang w:val="es-ES"/>
        </w:rPr>
        <w:t>establecido</w:t>
      </w:r>
      <w:r w:rsidR="003E2359">
        <w:rPr>
          <w:snapToGrid w:val="0"/>
          <w:kern w:val="22"/>
          <w:lang w:val="es-ES"/>
        </w:rPr>
        <w:t xml:space="preserve"> plenamente</w:t>
      </w:r>
      <w:r w:rsidR="00E64738">
        <w:rPr>
          <w:snapToGrid w:val="0"/>
          <w:kern w:val="22"/>
          <w:lang w:val="es-ES"/>
        </w:rPr>
        <w:t xml:space="preserve">, lo que supone un aumento de un </w:t>
      </w:r>
      <w:r w:rsidR="00775B5A" w:rsidRPr="00E64738">
        <w:rPr>
          <w:snapToGrid w:val="0"/>
          <w:kern w:val="22"/>
          <w:lang w:val="es-ES"/>
        </w:rPr>
        <w:t>8</w:t>
      </w:r>
      <w:r w:rsidR="00E64738">
        <w:rPr>
          <w:snapToGrid w:val="0"/>
          <w:kern w:val="22"/>
          <w:lang w:val="es-ES"/>
        </w:rPr>
        <w:t xml:space="preserve"> </w:t>
      </w:r>
      <w:r w:rsidR="00775B5A" w:rsidRPr="00E64738">
        <w:rPr>
          <w:snapToGrid w:val="0"/>
          <w:kern w:val="22"/>
          <w:lang w:val="es-ES"/>
        </w:rPr>
        <w:t xml:space="preserve">% </w:t>
      </w:r>
      <w:r w:rsidR="00E64738">
        <w:rPr>
          <w:snapToGrid w:val="0"/>
          <w:kern w:val="22"/>
          <w:lang w:val="es-ES"/>
        </w:rPr>
        <w:t>con respecto a los datos básicos de referencia</w:t>
      </w:r>
      <w:r w:rsidR="00775B5A" w:rsidRPr="00E64738">
        <w:rPr>
          <w:snapToGrid w:val="0"/>
          <w:kern w:val="22"/>
          <w:lang w:val="es-ES"/>
        </w:rPr>
        <w:t xml:space="preserve">. </w:t>
      </w:r>
      <w:r w:rsidR="00E64738" w:rsidRPr="00AC65D4">
        <w:rPr>
          <w:snapToGrid w:val="0"/>
          <w:kern w:val="22"/>
          <w:lang w:val="es-ES"/>
        </w:rPr>
        <w:t>Un</w:t>
      </w:r>
      <w:r w:rsidR="00775B5A" w:rsidRPr="00AC65D4">
        <w:rPr>
          <w:snapToGrid w:val="0"/>
          <w:kern w:val="22"/>
          <w:lang w:val="es-ES"/>
        </w:rPr>
        <w:t xml:space="preserve"> total </w:t>
      </w:r>
      <w:r w:rsidR="00E64738" w:rsidRPr="00AC65D4">
        <w:rPr>
          <w:snapToGrid w:val="0"/>
          <w:kern w:val="22"/>
          <w:lang w:val="es-ES"/>
        </w:rPr>
        <w:t>del</w:t>
      </w:r>
      <w:r w:rsidR="00775B5A" w:rsidRPr="00AC65D4">
        <w:rPr>
          <w:snapToGrid w:val="0"/>
          <w:kern w:val="22"/>
          <w:lang w:val="es-ES"/>
        </w:rPr>
        <w:t xml:space="preserve"> 39</w:t>
      </w:r>
      <w:r w:rsidR="00E64738" w:rsidRPr="00AC65D4">
        <w:rPr>
          <w:snapToGrid w:val="0"/>
          <w:kern w:val="22"/>
          <w:lang w:val="es-ES"/>
        </w:rPr>
        <w:t xml:space="preserve"> </w:t>
      </w:r>
      <w:r w:rsidR="00775B5A" w:rsidRPr="00AC65D4">
        <w:rPr>
          <w:snapToGrid w:val="0"/>
          <w:kern w:val="22"/>
          <w:lang w:val="es-ES"/>
        </w:rPr>
        <w:t xml:space="preserve">% </w:t>
      </w:r>
      <w:r w:rsidR="00E64738" w:rsidRPr="00AC65D4">
        <w:rPr>
          <w:snapToGrid w:val="0"/>
          <w:kern w:val="22"/>
          <w:lang w:val="es-ES"/>
        </w:rPr>
        <w:t xml:space="preserve">de las </w:t>
      </w:r>
      <w:r w:rsidR="00775B5A" w:rsidRPr="00AC65D4">
        <w:rPr>
          <w:snapToGrid w:val="0"/>
          <w:kern w:val="22"/>
          <w:lang w:val="es-ES"/>
        </w:rPr>
        <w:t>Part</w:t>
      </w:r>
      <w:r w:rsidR="00E64738" w:rsidRPr="00AC65D4">
        <w:rPr>
          <w:snapToGrid w:val="0"/>
          <w:kern w:val="22"/>
          <w:lang w:val="es-ES"/>
        </w:rPr>
        <w:t>es (36 Part</w:t>
      </w:r>
      <w:r w:rsidR="00775B5A" w:rsidRPr="00AC65D4">
        <w:rPr>
          <w:snapToGrid w:val="0"/>
          <w:kern w:val="22"/>
          <w:lang w:val="es-ES"/>
        </w:rPr>
        <w:t xml:space="preserve">es) </w:t>
      </w:r>
      <w:r w:rsidR="00E64738" w:rsidRPr="00AC65D4">
        <w:rPr>
          <w:snapToGrid w:val="0"/>
          <w:kern w:val="22"/>
          <w:lang w:val="es-ES"/>
        </w:rPr>
        <w:t>comunic</w:t>
      </w:r>
      <w:r w:rsidR="005E5C1F">
        <w:rPr>
          <w:snapToGrid w:val="0"/>
          <w:kern w:val="22"/>
          <w:lang w:val="es-ES"/>
        </w:rPr>
        <w:t>ó</w:t>
      </w:r>
      <w:r w:rsidR="00E64738" w:rsidRPr="00AC65D4">
        <w:rPr>
          <w:snapToGrid w:val="0"/>
          <w:kern w:val="22"/>
          <w:lang w:val="es-ES"/>
        </w:rPr>
        <w:t xml:space="preserve"> que las medidas nacionales </w:t>
      </w:r>
      <w:r w:rsidR="00AC65D4">
        <w:rPr>
          <w:snapToGrid w:val="0"/>
          <w:kern w:val="22"/>
          <w:lang w:val="es-ES"/>
        </w:rPr>
        <w:t xml:space="preserve">estaban parcialmente en vigor, lo que representa una disminución de un </w:t>
      </w:r>
      <w:r w:rsidR="00775B5A" w:rsidRPr="00AC65D4">
        <w:rPr>
          <w:snapToGrid w:val="0"/>
          <w:kern w:val="22"/>
          <w:lang w:val="es-ES"/>
        </w:rPr>
        <w:t>1</w:t>
      </w:r>
      <w:r w:rsidR="00AC65D4">
        <w:rPr>
          <w:snapToGrid w:val="0"/>
          <w:kern w:val="22"/>
          <w:lang w:val="es-ES"/>
        </w:rPr>
        <w:t xml:space="preserve"> </w:t>
      </w:r>
      <w:r w:rsidR="00775B5A" w:rsidRPr="00AC65D4">
        <w:rPr>
          <w:snapToGrid w:val="0"/>
          <w:kern w:val="22"/>
          <w:lang w:val="es-ES"/>
        </w:rPr>
        <w:t xml:space="preserve">% </w:t>
      </w:r>
      <w:r w:rsidR="00AC65D4">
        <w:rPr>
          <w:snapToGrid w:val="0"/>
          <w:kern w:val="22"/>
          <w:lang w:val="es-ES"/>
        </w:rPr>
        <w:t>con respecto a los datos básicos de referencia</w:t>
      </w:r>
      <w:r w:rsidR="00775B5A" w:rsidRPr="00AC65D4">
        <w:rPr>
          <w:snapToGrid w:val="0"/>
          <w:kern w:val="22"/>
          <w:lang w:val="es-ES"/>
        </w:rPr>
        <w:t xml:space="preserve">. </w:t>
      </w:r>
      <w:r w:rsidR="00AC65D4" w:rsidRPr="00AC65D4">
        <w:rPr>
          <w:snapToGrid w:val="0"/>
          <w:kern w:val="22"/>
          <w:lang w:val="es-ES"/>
        </w:rPr>
        <w:t>Una</w:t>
      </w:r>
      <w:r w:rsidR="00775B5A" w:rsidRPr="00AC65D4">
        <w:rPr>
          <w:snapToGrid w:val="0"/>
          <w:kern w:val="22"/>
          <w:lang w:val="es-ES"/>
        </w:rPr>
        <w:t xml:space="preserve"> Part</w:t>
      </w:r>
      <w:r w:rsidR="00AC65D4" w:rsidRPr="00AC65D4">
        <w:rPr>
          <w:snapToGrid w:val="0"/>
          <w:kern w:val="22"/>
          <w:lang w:val="es-ES"/>
        </w:rPr>
        <w:t>e</w:t>
      </w:r>
      <w:r w:rsidR="00775B5A" w:rsidRPr="00AC65D4">
        <w:rPr>
          <w:snapToGrid w:val="0"/>
          <w:kern w:val="22"/>
          <w:lang w:val="es-ES"/>
        </w:rPr>
        <w:t xml:space="preserve">, </w:t>
      </w:r>
      <w:r w:rsidR="00AC65D4" w:rsidRPr="00AC65D4">
        <w:rPr>
          <w:snapToGrid w:val="0"/>
          <w:kern w:val="22"/>
          <w:lang w:val="es-ES"/>
        </w:rPr>
        <w:t xml:space="preserve">que representa el </w:t>
      </w:r>
      <w:r w:rsidR="00775B5A" w:rsidRPr="00AC65D4">
        <w:rPr>
          <w:snapToGrid w:val="0"/>
          <w:kern w:val="22"/>
          <w:lang w:val="es-ES"/>
        </w:rPr>
        <w:t>1</w:t>
      </w:r>
      <w:r w:rsidR="00AC65D4" w:rsidRPr="00AC65D4">
        <w:rPr>
          <w:snapToGrid w:val="0"/>
          <w:kern w:val="22"/>
          <w:lang w:val="es-ES"/>
        </w:rPr>
        <w:t xml:space="preserve"> </w:t>
      </w:r>
      <w:r w:rsidR="00775B5A" w:rsidRPr="00AC65D4">
        <w:rPr>
          <w:snapToGrid w:val="0"/>
          <w:kern w:val="22"/>
          <w:lang w:val="es-ES"/>
        </w:rPr>
        <w:t xml:space="preserve">% </w:t>
      </w:r>
      <w:r w:rsidR="00AC65D4" w:rsidRPr="00AC65D4">
        <w:rPr>
          <w:snapToGrid w:val="0"/>
          <w:kern w:val="22"/>
          <w:lang w:val="es-ES"/>
        </w:rPr>
        <w:t>de las Part</w:t>
      </w:r>
      <w:r w:rsidR="00775B5A" w:rsidRPr="00AC65D4">
        <w:rPr>
          <w:snapToGrid w:val="0"/>
          <w:kern w:val="22"/>
          <w:lang w:val="es-ES"/>
        </w:rPr>
        <w:t xml:space="preserve">es, </w:t>
      </w:r>
      <w:r w:rsidR="00AC65D4" w:rsidRPr="00AC65D4">
        <w:rPr>
          <w:snapToGrid w:val="0"/>
          <w:kern w:val="22"/>
          <w:lang w:val="es-ES"/>
        </w:rPr>
        <w:t>informó de que solo se hab</w:t>
      </w:r>
      <w:r w:rsidR="00AC65D4">
        <w:rPr>
          <w:snapToGrid w:val="0"/>
          <w:kern w:val="22"/>
          <w:lang w:val="es-ES"/>
        </w:rPr>
        <w:t>ían introducido medidas temporales</w:t>
      </w:r>
      <w:r w:rsidR="00775B5A" w:rsidRPr="00AC65D4">
        <w:rPr>
          <w:snapToGrid w:val="0"/>
          <w:kern w:val="22"/>
          <w:lang w:val="es-ES"/>
        </w:rPr>
        <w:t xml:space="preserve">, </w:t>
      </w:r>
      <w:r w:rsidR="00AC65D4">
        <w:rPr>
          <w:snapToGrid w:val="0"/>
          <w:kern w:val="22"/>
          <w:lang w:val="es-ES"/>
        </w:rPr>
        <w:t>lo que constitu</w:t>
      </w:r>
      <w:r w:rsidR="00AC65D4" w:rsidRPr="005E5C1F">
        <w:rPr>
          <w:snapToGrid w:val="0"/>
          <w:kern w:val="22"/>
          <w:lang w:val="es-ES"/>
        </w:rPr>
        <w:t xml:space="preserve">ye una disminución </w:t>
      </w:r>
      <w:r w:rsidR="00AC65D4">
        <w:rPr>
          <w:snapToGrid w:val="0"/>
          <w:kern w:val="22"/>
          <w:lang w:val="es-ES"/>
        </w:rPr>
        <w:t xml:space="preserve">de </w:t>
      </w:r>
      <w:r w:rsidR="00775B5A" w:rsidRPr="00AC65D4">
        <w:rPr>
          <w:snapToGrid w:val="0"/>
          <w:kern w:val="22"/>
          <w:lang w:val="es-ES"/>
        </w:rPr>
        <w:t xml:space="preserve">2 Partes </w:t>
      </w:r>
      <w:r w:rsidR="00AC65D4">
        <w:rPr>
          <w:snapToGrid w:val="0"/>
          <w:kern w:val="22"/>
          <w:lang w:val="es-ES"/>
        </w:rPr>
        <w:t>desde la base de referencia</w:t>
      </w:r>
      <w:r w:rsidR="00775B5A" w:rsidRPr="00AC65D4">
        <w:rPr>
          <w:snapToGrid w:val="0"/>
          <w:kern w:val="22"/>
          <w:lang w:val="es-ES"/>
        </w:rPr>
        <w:t xml:space="preserve"> (-</w:t>
      </w:r>
      <w:r w:rsidR="00AC65D4">
        <w:rPr>
          <w:snapToGrid w:val="0"/>
          <w:kern w:val="22"/>
          <w:lang w:val="es-ES"/>
        </w:rPr>
        <w:t xml:space="preserve"> </w:t>
      </w:r>
      <w:r w:rsidR="00775B5A" w:rsidRPr="00AC65D4">
        <w:rPr>
          <w:snapToGrid w:val="0"/>
          <w:kern w:val="22"/>
          <w:lang w:val="es-ES"/>
        </w:rPr>
        <w:t>2</w:t>
      </w:r>
      <w:r w:rsidR="00AC65D4">
        <w:rPr>
          <w:snapToGrid w:val="0"/>
          <w:kern w:val="22"/>
          <w:lang w:val="es-ES"/>
        </w:rPr>
        <w:t xml:space="preserve"> </w:t>
      </w:r>
      <w:r w:rsidR="00775B5A" w:rsidRPr="00AC65D4">
        <w:rPr>
          <w:snapToGrid w:val="0"/>
          <w:kern w:val="22"/>
          <w:lang w:val="es-ES"/>
        </w:rPr>
        <w:t xml:space="preserve">%). </w:t>
      </w:r>
      <w:r w:rsidR="00AC65D4" w:rsidRPr="00AC65D4">
        <w:rPr>
          <w:snapToGrid w:val="0"/>
          <w:kern w:val="22"/>
          <w:lang w:val="es-ES"/>
        </w:rPr>
        <w:t>Cinco</w:t>
      </w:r>
      <w:r w:rsidR="00775B5A" w:rsidRPr="00AC65D4">
        <w:rPr>
          <w:snapToGrid w:val="0"/>
          <w:kern w:val="22"/>
          <w:lang w:val="es-ES"/>
        </w:rPr>
        <w:t xml:space="preserve"> Partes </w:t>
      </w:r>
      <w:r w:rsidR="00AC65D4" w:rsidRPr="00AC65D4">
        <w:rPr>
          <w:snapToGrid w:val="0"/>
          <w:kern w:val="22"/>
          <w:lang w:val="es-ES"/>
        </w:rPr>
        <w:t>indicaron que solo se habían adoptado proyectos de medidas, lo que supo</w:t>
      </w:r>
      <w:r w:rsidR="00AC65D4" w:rsidRPr="005E5C1F">
        <w:rPr>
          <w:snapToGrid w:val="0"/>
          <w:kern w:val="22"/>
          <w:lang w:val="es-ES"/>
        </w:rPr>
        <w:t>ne una disminución</w:t>
      </w:r>
      <w:r w:rsidR="00AC65D4" w:rsidRPr="00AC65D4">
        <w:rPr>
          <w:snapToGrid w:val="0"/>
          <w:color w:val="FF0000"/>
          <w:kern w:val="22"/>
          <w:lang w:val="es-ES"/>
        </w:rPr>
        <w:t xml:space="preserve"> </w:t>
      </w:r>
      <w:r w:rsidR="00AC65D4">
        <w:rPr>
          <w:snapToGrid w:val="0"/>
          <w:kern w:val="22"/>
          <w:lang w:val="es-ES"/>
        </w:rPr>
        <w:t xml:space="preserve">de </w:t>
      </w:r>
      <w:r w:rsidR="00775B5A" w:rsidRPr="00AC65D4">
        <w:rPr>
          <w:snapToGrid w:val="0"/>
          <w:kern w:val="22"/>
          <w:lang w:val="es-ES"/>
        </w:rPr>
        <w:t>1 Part</w:t>
      </w:r>
      <w:r w:rsidR="00AC65D4">
        <w:rPr>
          <w:snapToGrid w:val="0"/>
          <w:kern w:val="22"/>
          <w:lang w:val="es-ES"/>
        </w:rPr>
        <w:t>e</w:t>
      </w:r>
      <w:r w:rsidR="00775B5A" w:rsidRPr="00AC65D4">
        <w:rPr>
          <w:snapToGrid w:val="0"/>
          <w:kern w:val="22"/>
          <w:lang w:val="es-ES"/>
        </w:rPr>
        <w:t xml:space="preserve"> (-</w:t>
      </w:r>
      <w:r w:rsidR="00AC65D4">
        <w:rPr>
          <w:snapToGrid w:val="0"/>
          <w:kern w:val="22"/>
          <w:lang w:val="es-ES"/>
        </w:rPr>
        <w:t xml:space="preserve"> </w:t>
      </w:r>
      <w:r w:rsidR="00775B5A" w:rsidRPr="00AC65D4">
        <w:rPr>
          <w:snapToGrid w:val="0"/>
          <w:kern w:val="22"/>
          <w:lang w:val="es-ES"/>
        </w:rPr>
        <w:t xml:space="preserve">1). </w:t>
      </w:r>
      <w:r w:rsidR="00775B5A" w:rsidRPr="003E2359">
        <w:rPr>
          <w:snapToGrid w:val="0"/>
          <w:kern w:val="22"/>
          <w:lang w:val="es-ES"/>
        </w:rPr>
        <w:t>N</w:t>
      </w:r>
      <w:r w:rsidR="003E2359" w:rsidRPr="003E2359">
        <w:rPr>
          <w:snapToGrid w:val="0"/>
          <w:kern w:val="22"/>
          <w:lang w:val="es-ES"/>
        </w:rPr>
        <w:t xml:space="preserve">inguna de las Partes indicó que no se habían </w:t>
      </w:r>
      <w:r w:rsidR="003E2359">
        <w:rPr>
          <w:snapToGrid w:val="0"/>
          <w:kern w:val="22"/>
          <w:lang w:val="es-ES"/>
        </w:rPr>
        <w:t>adoptado</w:t>
      </w:r>
      <w:r w:rsidR="003E2359" w:rsidRPr="003E2359">
        <w:rPr>
          <w:snapToGrid w:val="0"/>
          <w:kern w:val="22"/>
          <w:lang w:val="es-ES"/>
        </w:rPr>
        <w:t xml:space="preserve"> medidas</w:t>
      </w:r>
      <w:r w:rsidR="00775B5A" w:rsidRPr="003E2359">
        <w:rPr>
          <w:snapToGrid w:val="0"/>
          <w:kern w:val="22"/>
          <w:lang w:val="es-ES"/>
        </w:rPr>
        <w:t xml:space="preserve">, </w:t>
      </w:r>
      <w:r w:rsidR="003E2359">
        <w:rPr>
          <w:snapToGrid w:val="0"/>
          <w:kern w:val="22"/>
          <w:lang w:val="es-ES"/>
        </w:rPr>
        <w:t xml:space="preserve">lo que representa una disminución de </w:t>
      </w:r>
      <w:r w:rsidR="00775B5A" w:rsidRPr="003E2359">
        <w:rPr>
          <w:snapToGrid w:val="0"/>
          <w:kern w:val="22"/>
          <w:lang w:val="es-ES"/>
        </w:rPr>
        <w:t xml:space="preserve">3 Partes </w:t>
      </w:r>
      <w:r w:rsidR="003E2359">
        <w:rPr>
          <w:snapToGrid w:val="0"/>
          <w:kern w:val="22"/>
          <w:lang w:val="es-ES"/>
        </w:rPr>
        <w:t>desde la base de referencia</w:t>
      </w:r>
      <w:r w:rsidR="00775B5A" w:rsidRPr="003E2359">
        <w:rPr>
          <w:snapToGrid w:val="0"/>
          <w:kern w:val="22"/>
          <w:lang w:val="es-ES"/>
        </w:rPr>
        <w:t xml:space="preserve"> (-</w:t>
      </w:r>
      <w:r w:rsidR="003E2359">
        <w:rPr>
          <w:snapToGrid w:val="0"/>
          <w:kern w:val="22"/>
          <w:lang w:val="es-ES"/>
        </w:rPr>
        <w:t xml:space="preserve"> </w:t>
      </w:r>
      <w:r w:rsidR="00775B5A" w:rsidRPr="003E2359">
        <w:rPr>
          <w:snapToGrid w:val="0"/>
          <w:kern w:val="22"/>
          <w:lang w:val="es-ES"/>
        </w:rPr>
        <w:t>3</w:t>
      </w:r>
      <w:r w:rsidR="003E2359">
        <w:rPr>
          <w:snapToGrid w:val="0"/>
          <w:kern w:val="22"/>
          <w:lang w:val="es-ES"/>
        </w:rPr>
        <w:t xml:space="preserve"> </w:t>
      </w:r>
      <w:r w:rsidR="00775B5A" w:rsidRPr="003E2359">
        <w:rPr>
          <w:snapToGrid w:val="0"/>
          <w:kern w:val="22"/>
          <w:lang w:val="es-ES"/>
        </w:rPr>
        <w:t>%) (</w:t>
      </w:r>
      <w:r w:rsidR="003E2359">
        <w:rPr>
          <w:snapToGrid w:val="0"/>
          <w:kern w:val="22"/>
          <w:lang w:val="es-ES"/>
        </w:rPr>
        <w:t>véa</w:t>
      </w:r>
      <w:r w:rsidR="003E2359" w:rsidRPr="005E5C1F">
        <w:rPr>
          <w:snapToGrid w:val="0"/>
          <w:kern w:val="22"/>
          <w:lang w:val="es-ES"/>
        </w:rPr>
        <w:t>se el gráfico</w:t>
      </w:r>
      <w:r w:rsidR="00775B5A" w:rsidRPr="005E5C1F">
        <w:rPr>
          <w:snapToGrid w:val="0"/>
          <w:kern w:val="22"/>
          <w:lang w:val="es-ES"/>
        </w:rPr>
        <w:t xml:space="preserve"> 8)</w:t>
      </w:r>
      <w:r w:rsidR="00775B5A" w:rsidRPr="003E2359">
        <w:rPr>
          <w:snapToGrid w:val="0"/>
          <w:kern w:val="22"/>
          <w:lang w:val="es-ES"/>
        </w:rPr>
        <w:t xml:space="preserve"> (</w:t>
      </w:r>
      <w:r w:rsidR="003E2359">
        <w:rPr>
          <w:snapToGrid w:val="0"/>
          <w:kern w:val="22"/>
          <w:lang w:val="es-ES"/>
        </w:rPr>
        <w:t>véanse también los</w:t>
      </w:r>
      <w:r w:rsidR="00775B5A" w:rsidRPr="003E2359">
        <w:rPr>
          <w:snapToGrid w:val="0"/>
          <w:kern w:val="22"/>
          <w:lang w:val="es-ES"/>
        </w:rPr>
        <w:t xml:space="preserve"> </w:t>
      </w:r>
      <w:r w:rsidR="00775B5A" w:rsidRPr="003E2359">
        <w:rPr>
          <w:b/>
          <w:bCs/>
          <w:snapToGrid w:val="0"/>
          <w:kern w:val="22"/>
          <w:lang w:val="es-ES"/>
        </w:rPr>
        <w:t>indica</w:t>
      </w:r>
      <w:r w:rsidR="003E2359">
        <w:rPr>
          <w:b/>
          <w:bCs/>
          <w:snapToGrid w:val="0"/>
          <w:kern w:val="22"/>
          <w:lang w:val="es-ES"/>
        </w:rPr>
        <w:t>d</w:t>
      </w:r>
      <w:r w:rsidR="00775B5A" w:rsidRPr="003E2359">
        <w:rPr>
          <w:b/>
          <w:bCs/>
          <w:snapToGrid w:val="0"/>
          <w:kern w:val="22"/>
          <w:lang w:val="es-ES"/>
        </w:rPr>
        <w:t>or</w:t>
      </w:r>
      <w:r w:rsidR="003E2359">
        <w:rPr>
          <w:b/>
          <w:bCs/>
          <w:snapToGrid w:val="0"/>
          <w:kern w:val="22"/>
          <w:lang w:val="es-ES"/>
        </w:rPr>
        <w:t>e</w:t>
      </w:r>
      <w:r w:rsidR="00775B5A" w:rsidRPr="003E2359">
        <w:rPr>
          <w:b/>
          <w:bCs/>
          <w:snapToGrid w:val="0"/>
          <w:kern w:val="22"/>
          <w:lang w:val="es-ES"/>
        </w:rPr>
        <w:t>s 1.1.1</w:t>
      </w:r>
      <w:r w:rsidR="003E2359">
        <w:rPr>
          <w:snapToGrid w:val="0"/>
          <w:kern w:val="22"/>
          <w:lang w:val="es-ES"/>
        </w:rPr>
        <w:t xml:space="preserve"> y</w:t>
      </w:r>
      <w:r w:rsidR="00775B5A" w:rsidRPr="003E2359">
        <w:rPr>
          <w:snapToGrid w:val="0"/>
          <w:kern w:val="22"/>
          <w:lang w:val="es-ES"/>
        </w:rPr>
        <w:t xml:space="preserve"> </w:t>
      </w:r>
      <w:r w:rsidR="00775B5A" w:rsidRPr="003E2359">
        <w:rPr>
          <w:b/>
          <w:bCs/>
          <w:snapToGrid w:val="0"/>
          <w:kern w:val="22"/>
          <w:lang w:val="es-ES"/>
        </w:rPr>
        <w:t>2.1.2</w:t>
      </w:r>
      <w:r w:rsidR="003E2359">
        <w:rPr>
          <w:snapToGrid w:val="0"/>
          <w:kern w:val="22"/>
          <w:lang w:val="es-ES"/>
        </w:rPr>
        <w:t xml:space="preserve"> </w:t>
      </w:r>
      <w:r w:rsidR="003E2359">
        <w:rPr>
          <w:i/>
          <w:snapToGrid w:val="0"/>
          <w:kern w:val="22"/>
          <w:lang w:val="es-ES"/>
        </w:rPr>
        <w:t>supra</w:t>
      </w:r>
      <w:r w:rsidR="00775B5A" w:rsidRPr="003E2359">
        <w:rPr>
          <w:snapToGrid w:val="0"/>
          <w:kern w:val="22"/>
          <w:lang w:val="es-ES"/>
        </w:rPr>
        <w:t xml:space="preserve">). </w:t>
      </w:r>
    </w:p>
    <w:p w:rsidR="00775B5A" w:rsidRPr="00430313" w:rsidRDefault="003E2359" w:rsidP="001D4EEE">
      <w:pPr>
        <w:pStyle w:val="ListParagraph"/>
        <w:numPr>
          <w:ilvl w:val="0"/>
          <w:numId w:val="2"/>
        </w:numPr>
        <w:tabs>
          <w:tab w:val="clear" w:pos="3240"/>
        </w:tabs>
        <w:snapToGrid w:val="0"/>
        <w:spacing w:before="120" w:after="120"/>
        <w:ind w:left="0" w:firstLine="0"/>
        <w:rPr>
          <w:snapToGrid w:val="0"/>
          <w:kern w:val="22"/>
          <w:lang w:val="es-ES"/>
        </w:rPr>
      </w:pPr>
      <w:r w:rsidRPr="00F06703">
        <w:rPr>
          <w:snapToGrid w:val="0"/>
          <w:kern w:val="22"/>
          <w:lang w:val="es-ES"/>
        </w:rPr>
        <w:t>Un</w:t>
      </w:r>
      <w:r w:rsidR="00775B5A" w:rsidRPr="00F06703">
        <w:rPr>
          <w:snapToGrid w:val="0"/>
          <w:kern w:val="22"/>
          <w:lang w:val="es-ES"/>
        </w:rPr>
        <w:t xml:space="preserve"> total </w:t>
      </w:r>
      <w:r w:rsidRPr="00F06703">
        <w:rPr>
          <w:snapToGrid w:val="0"/>
          <w:kern w:val="22"/>
          <w:lang w:val="es-ES"/>
        </w:rPr>
        <w:t xml:space="preserve">del </w:t>
      </w:r>
      <w:r w:rsidR="00775B5A" w:rsidRPr="00F06703">
        <w:rPr>
          <w:snapToGrid w:val="0"/>
          <w:kern w:val="22"/>
          <w:lang w:val="es-ES"/>
        </w:rPr>
        <w:t>58</w:t>
      </w:r>
      <w:r w:rsidRPr="00F06703">
        <w:rPr>
          <w:snapToGrid w:val="0"/>
          <w:kern w:val="22"/>
          <w:lang w:val="es-ES"/>
        </w:rPr>
        <w:t xml:space="preserve"> </w:t>
      </w:r>
      <w:r w:rsidR="00775B5A" w:rsidRPr="00F06703">
        <w:rPr>
          <w:snapToGrid w:val="0"/>
          <w:kern w:val="22"/>
          <w:lang w:val="es-ES"/>
        </w:rPr>
        <w:t xml:space="preserve">% </w:t>
      </w:r>
      <w:r w:rsidRPr="00F06703">
        <w:rPr>
          <w:snapToGrid w:val="0"/>
          <w:kern w:val="22"/>
          <w:lang w:val="es-ES"/>
        </w:rPr>
        <w:t>de las</w:t>
      </w:r>
      <w:r w:rsidR="00775B5A" w:rsidRPr="00F06703">
        <w:rPr>
          <w:snapToGrid w:val="0"/>
          <w:kern w:val="22"/>
          <w:lang w:val="es-ES"/>
        </w:rPr>
        <w:t xml:space="preserve"> Partes (53 Partes) </w:t>
      </w:r>
      <w:r w:rsidR="00F06703" w:rsidRPr="00F06703">
        <w:rPr>
          <w:snapToGrid w:val="0"/>
          <w:kern w:val="22"/>
          <w:lang w:val="es-ES"/>
        </w:rPr>
        <w:t>comunicaron que habían establecido un mecanismo de asignaci</w:t>
      </w:r>
      <w:r w:rsidR="00F06703">
        <w:rPr>
          <w:snapToGrid w:val="0"/>
          <w:kern w:val="22"/>
          <w:lang w:val="es-ES"/>
        </w:rPr>
        <w:t>ón presupuestaria para el funcionamiento de sus medidas nacionales en materia de seguridad de la biotecnología</w:t>
      </w:r>
      <w:r w:rsidR="00775B5A" w:rsidRPr="00F06703">
        <w:rPr>
          <w:snapToGrid w:val="0"/>
          <w:kern w:val="22"/>
          <w:lang w:val="es-ES"/>
        </w:rPr>
        <w:t xml:space="preserve">, </w:t>
      </w:r>
      <w:r w:rsidR="00F06703">
        <w:rPr>
          <w:snapToGrid w:val="0"/>
          <w:kern w:val="22"/>
          <w:lang w:val="es-ES"/>
        </w:rPr>
        <w:t xml:space="preserve">lo que supone una disminución de un </w:t>
      </w:r>
      <w:r w:rsidR="00775B5A" w:rsidRPr="00F06703">
        <w:rPr>
          <w:snapToGrid w:val="0"/>
          <w:kern w:val="22"/>
          <w:lang w:val="es-ES"/>
        </w:rPr>
        <w:t>10</w:t>
      </w:r>
      <w:r w:rsidR="00F06703">
        <w:rPr>
          <w:snapToGrid w:val="0"/>
          <w:kern w:val="22"/>
          <w:lang w:val="es-ES"/>
        </w:rPr>
        <w:t xml:space="preserve"> </w:t>
      </w:r>
      <w:r w:rsidR="00775B5A" w:rsidRPr="00F06703">
        <w:rPr>
          <w:snapToGrid w:val="0"/>
          <w:kern w:val="22"/>
          <w:lang w:val="es-ES"/>
        </w:rPr>
        <w:t xml:space="preserve">%. </w:t>
      </w:r>
      <w:r w:rsidR="00F06703" w:rsidRPr="00F06703">
        <w:rPr>
          <w:snapToGrid w:val="0"/>
          <w:kern w:val="22"/>
          <w:lang w:val="es-ES"/>
        </w:rPr>
        <w:t>Un</w:t>
      </w:r>
      <w:r w:rsidR="00775B5A" w:rsidRPr="00F06703">
        <w:rPr>
          <w:snapToGrid w:val="0"/>
          <w:kern w:val="22"/>
          <w:lang w:val="es-ES"/>
        </w:rPr>
        <w:t xml:space="preserve"> total </w:t>
      </w:r>
      <w:r w:rsidR="00F06703" w:rsidRPr="00F06703">
        <w:rPr>
          <w:snapToGrid w:val="0"/>
          <w:kern w:val="22"/>
          <w:lang w:val="es-ES"/>
        </w:rPr>
        <w:t>del</w:t>
      </w:r>
      <w:r w:rsidR="00775B5A" w:rsidRPr="00F06703">
        <w:rPr>
          <w:snapToGrid w:val="0"/>
          <w:kern w:val="22"/>
          <w:lang w:val="es-ES"/>
        </w:rPr>
        <w:t xml:space="preserve"> 23</w:t>
      </w:r>
      <w:r w:rsidR="00F06703" w:rsidRPr="00F06703">
        <w:rPr>
          <w:snapToGrid w:val="0"/>
          <w:kern w:val="22"/>
          <w:lang w:val="es-ES"/>
        </w:rPr>
        <w:t xml:space="preserve"> % de las </w:t>
      </w:r>
      <w:r w:rsidR="00775B5A" w:rsidRPr="00F06703">
        <w:rPr>
          <w:snapToGrid w:val="0"/>
          <w:kern w:val="22"/>
          <w:lang w:val="es-ES"/>
        </w:rPr>
        <w:t>Par</w:t>
      </w:r>
      <w:r w:rsidR="00F06703" w:rsidRPr="00F06703">
        <w:rPr>
          <w:snapToGrid w:val="0"/>
          <w:kern w:val="22"/>
          <w:lang w:val="es-ES"/>
        </w:rPr>
        <w:t>t</w:t>
      </w:r>
      <w:r w:rsidR="00775B5A" w:rsidRPr="00F06703">
        <w:rPr>
          <w:snapToGrid w:val="0"/>
          <w:kern w:val="22"/>
          <w:lang w:val="es-ES"/>
        </w:rPr>
        <w:t xml:space="preserve">es (21 Partes) </w:t>
      </w:r>
      <w:r w:rsidR="00F06703" w:rsidRPr="00F06703">
        <w:rPr>
          <w:snapToGrid w:val="0"/>
          <w:kern w:val="22"/>
          <w:lang w:val="es-ES"/>
        </w:rPr>
        <w:t xml:space="preserve">indicaron que </w:t>
      </w:r>
      <w:r w:rsidR="00F06703">
        <w:rPr>
          <w:snapToGrid w:val="0"/>
          <w:kern w:val="22"/>
          <w:lang w:val="es-ES"/>
        </w:rPr>
        <w:t>se había establecido un</w:t>
      </w:r>
      <w:r w:rsidR="00F06703" w:rsidRPr="00F06703">
        <w:rPr>
          <w:snapToGrid w:val="0"/>
          <w:kern w:val="22"/>
          <w:lang w:val="es-ES"/>
        </w:rPr>
        <w:t xml:space="preserve"> mecanismo</w:t>
      </w:r>
      <w:r w:rsidR="00F06703">
        <w:rPr>
          <w:snapToGrid w:val="0"/>
          <w:kern w:val="22"/>
          <w:lang w:val="es-ES"/>
        </w:rPr>
        <w:t xml:space="preserve"> de ese tipo en cierta medida</w:t>
      </w:r>
      <w:r w:rsidR="00775B5A" w:rsidRPr="00F06703">
        <w:rPr>
          <w:snapToGrid w:val="0"/>
          <w:kern w:val="22"/>
          <w:lang w:val="es-ES"/>
        </w:rPr>
        <w:t xml:space="preserve">, </w:t>
      </w:r>
      <w:r w:rsidR="00F06703">
        <w:rPr>
          <w:snapToGrid w:val="0"/>
          <w:kern w:val="22"/>
          <w:lang w:val="es-ES"/>
        </w:rPr>
        <w:t xml:space="preserve">lo que representa un aumento de un </w:t>
      </w:r>
      <w:r w:rsidR="00775B5A" w:rsidRPr="00F06703">
        <w:rPr>
          <w:snapToGrid w:val="0"/>
          <w:kern w:val="22"/>
          <w:lang w:val="es-ES"/>
        </w:rPr>
        <w:t>23</w:t>
      </w:r>
      <w:r w:rsidR="00F06703">
        <w:rPr>
          <w:snapToGrid w:val="0"/>
          <w:kern w:val="22"/>
          <w:lang w:val="es-ES"/>
        </w:rPr>
        <w:t xml:space="preserve"> </w:t>
      </w:r>
      <w:r w:rsidR="00775B5A" w:rsidRPr="00F06703">
        <w:rPr>
          <w:snapToGrid w:val="0"/>
          <w:kern w:val="22"/>
          <w:lang w:val="es-ES"/>
        </w:rPr>
        <w:t>%</w:t>
      </w:r>
      <w:r w:rsidR="00775B5A">
        <w:rPr>
          <w:rStyle w:val="FootnoteReference"/>
          <w:rFonts w:ascii="Angsana New" w:hAnsi="Angsana New" w:cs="Angsana New"/>
          <w:snapToGrid w:val="0"/>
          <w:kern w:val="22"/>
        </w:rPr>
        <w:footnoteReference w:id="44"/>
      </w:r>
      <w:r w:rsidR="00F06703" w:rsidRPr="00F06703">
        <w:rPr>
          <w:snapToGrid w:val="0"/>
          <w:kern w:val="22"/>
          <w:lang w:val="es-ES"/>
        </w:rPr>
        <w:t>.</w:t>
      </w:r>
      <w:r w:rsidR="00775B5A" w:rsidRPr="00F06703">
        <w:rPr>
          <w:snapToGrid w:val="0"/>
          <w:kern w:val="22"/>
          <w:lang w:val="es-ES"/>
        </w:rPr>
        <w:t xml:space="preserve"> </w:t>
      </w:r>
      <w:r w:rsidR="00F06703" w:rsidRPr="00430313">
        <w:rPr>
          <w:snapToGrid w:val="0"/>
          <w:kern w:val="22"/>
          <w:lang w:val="es-ES"/>
        </w:rPr>
        <w:t>En conjunto</w:t>
      </w:r>
      <w:r w:rsidR="00775B5A" w:rsidRPr="00430313">
        <w:rPr>
          <w:snapToGrid w:val="0"/>
          <w:kern w:val="22"/>
          <w:lang w:val="es-ES"/>
        </w:rPr>
        <w:t>, 74 Partes (81</w:t>
      </w:r>
      <w:r w:rsidR="00F06703" w:rsidRPr="00430313">
        <w:rPr>
          <w:snapToGrid w:val="0"/>
          <w:kern w:val="22"/>
          <w:lang w:val="es-ES"/>
        </w:rPr>
        <w:t xml:space="preserve"> </w:t>
      </w:r>
      <w:r w:rsidR="00775B5A" w:rsidRPr="00430313">
        <w:rPr>
          <w:snapToGrid w:val="0"/>
          <w:kern w:val="22"/>
          <w:lang w:val="es-ES"/>
        </w:rPr>
        <w:t xml:space="preserve">%) </w:t>
      </w:r>
      <w:r w:rsidR="00F06703" w:rsidRPr="00430313">
        <w:rPr>
          <w:snapToGrid w:val="0"/>
          <w:kern w:val="22"/>
          <w:lang w:val="es-ES"/>
        </w:rPr>
        <w:t xml:space="preserve">notificaron que existía un mecanismo </w:t>
      </w:r>
      <w:r w:rsidR="00430313" w:rsidRPr="00430313">
        <w:rPr>
          <w:snapToGrid w:val="0"/>
          <w:kern w:val="22"/>
          <w:lang w:val="es-ES"/>
        </w:rPr>
        <w:t xml:space="preserve">o que existía un mecanismo en cierta medida, lo que constituye un aumento de un </w:t>
      </w:r>
      <w:r w:rsidR="00775B5A" w:rsidRPr="00430313">
        <w:rPr>
          <w:snapToGrid w:val="0"/>
          <w:kern w:val="22"/>
          <w:lang w:val="es-ES"/>
        </w:rPr>
        <w:t>13</w:t>
      </w:r>
      <w:r w:rsidR="00430313" w:rsidRPr="00430313">
        <w:rPr>
          <w:snapToGrid w:val="0"/>
          <w:kern w:val="22"/>
          <w:lang w:val="es-ES"/>
        </w:rPr>
        <w:t xml:space="preserve"> </w:t>
      </w:r>
      <w:r w:rsidR="00775B5A" w:rsidRPr="00430313">
        <w:rPr>
          <w:snapToGrid w:val="0"/>
          <w:kern w:val="22"/>
          <w:lang w:val="es-ES"/>
        </w:rPr>
        <w:t xml:space="preserve">% </w:t>
      </w:r>
      <w:r w:rsidR="00430313">
        <w:rPr>
          <w:snapToGrid w:val="0"/>
          <w:kern w:val="22"/>
          <w:lang w:val="es-ES"/>
        </w:rPr>
        <w:t>con respecto a los datos básicos de referencia</w:t>
      </w:r>
      <w:r w:rsidR="00775B5A" w:rsidRPr="00430313">
        <w:rPr>
          <w:snapToGrid w:val="0"/>
          <w:kern w:val="22"/>
          <w:lang w:val="es-ES"/>
        </w:rPr>
        <w:t xml:space="preserve"> (</w:t>
      </w:r>
      <w:r w:rsidR="00430313">
        <w:rPr>
          <w:snapToGrid w:val="0"/>
          <w:kern w:val="22"/>
          <w:lang w:val="es-ES"/>
        </w:rPr>
        <w:t>con cambios combinados dentro de cada región como se indica a continuación</w:t>
      </w:r>
      <w:r w:rsidR="00775B5A" w:rsidRPr="00430313">
        <w:rPr>
          <w:snapToGrid w:val="0"/>
          <w:kern w:val="22"/>
          <w:lang w:val="es-ES"/>
        </w:rPr>
        <w:t>: Asia</w:t>
      </w:r>
      <w:r w:rsidR="00F45BD1">
        <w:rPr>
          <w:snapToGrid w:val="0"/>
          <w:kern w:val="22"/>
          <w:lang w:val="es-ES"/>
        </w:rPr>
        <w:t xml:space="preserve"> y el </w:t>
      </w:r>
      <w:r w:rsidR="00430313">
        <w:rPr>
          <w:snapToGrid w:val="0"/>
          <w:kern w:val="22"/>
          <w:lang w:val="es-ES"/>
        </w:rPr>
        <w:t>Pacífico</w:t>
      </w:r>
      <w:r w:rsidR="00775B5A" w:rsidRPr="00430313">
        <w:rPr>
          <w:snapToGrid w:val="0"/>
          <w:kern w:val="22"/>
          <w:lang w:val="es-ES"/>
        </w:rPr>
        <w:t xml:space="preserve"> +</w:t>
      </w:r>
      <w:r w:rsidR="00430313">
        <w:rPr>
          <w:snapToGrid w:val="0"/>
          <w:kern w:val="22"/>
          <w:lang w:val="es-ES"/>
        </w:rPr>
        <w:t xml:space="preserve"> </w:t>
      </w:r>
      <w:r w:rsidR="00775B5A" w:rsidRPr="00430313">
        <w:rPr>
          <w:snapToGrid w:val="0"/>
          <w:kern w:val="22"/>
          <w:lang w:val="es-ES"/>
        </w:rPr>
        <w:t>25</w:t>
      </w:r>
      <w:r w:rsidR="00430313">
        <w:rPr>
          <w:snapToGrid w:val="0"/>
          <w:kern w:val="22"/>
          <w:lang w:val="es-ES"/>
        </w:rPr>
        <w:t xml:space="preserve"> </w:t>
      </w:r>
      <w:r w:rsidR="00775B5A" w:rsidRPr="00430313">
        <w:rPr>
          <w:snapToGrid w:val="0"/>
          <w:kern w:val="22"/>
          <w:lang w:val="es-ES"/>
        </w:rPr>
        <w:t>%</w:t>
      </w:r>
      <w:r w:rsidR="00D74010">
        <w:rPr>
          <w:snapToGrid w:val="0"/>
          <w:kern w:val="22"/>
          <w:lang w:val="es-ES"/>
        </w:rPr>
        <w:t>,</w:t>
      </w:r>
      <w:r w:rsidR="00775B5A" w:rsidRPr="00430313">
        <w:rPr>
          <w:snapToGrid w:val="0"/>
          <w:kern w:val="22"/>
          <w:lang w:val="es-ES"/>
        </w:rPr>
        <w:t xml:space="preserve"> </w:t>
      </w:r>
      <w:r w:rsidR="00477624">
        <w:rPr>
          <w:snapToGrid w:val="0"/>
          <w:kern w:val="22"/>
          <w:lang w:val="es-ES"/>
        </w:rPr>
        <w:t>grupo de Estados de Europa Central y Oriental</w:t>
      </w:r>
      <w:r w:rsidR="00477624" w:rsidRPr="00EC2231">
        <w:rPr>
          <w:snapToGrid w:val="0"/>
          <w:kern w:val="22"/>
          <w:lang w:val="es-ES"/>
        </w:rPr>
        <w:t xml:space="preserve"> </w:t>
      </w:r>
      <w:r w:rsidR="00775B5A" w:rsidRPr="00430313">
        <w:rPr>
          <w:snapToGrid w:val="0"/>
          <w:kern w:val="22"/>
          <w:lang w:val="es-ES"/>
        </w:rPr>
        <w:t>+</w:t>
      </w:r>
      <w:r w:rsidR="00430313">
        <w:rPr>
          <w:snapToGrid w:val="0"/>
          <w:kern w:val="22"/>
          <w:lang w:val="es-ES"/>
        </w:rPr>
        <w:t xml:space="preserve"> </w:t>
      </w:r>
      <w:r w:rsidR="00775B5A" w:rsidRPr="00430313">
        <w:rPr>
          <w:snapToGrid w:val="0"/>
          <w:kern w:val="22"/>
          <w:lang w:val="es-ES"/>
        </w:rPr>
        <w:t>24</w:t>
      </w:r>
      <w:r w:rsidR="00430313">
        <w:rPr>
          <w:snapToGrid w:val="0"/>
          <w:kern w:val="22"/>
          <w:lang w:val="es-ES"/>
        </w:rPr>
        <w:t xml:space="preserve"> </w:t>
      </w:r>
      <w:r w:rsidR="00775B5A" w:rsidRPr="00430313">
        <w:rPr>
          <w:snapToGrid w:val="0"/>
          <w:kern w:val="22"/>
          <w:lang w:val="es-ES"/>
        </w:rPr>
        <w:t>%</w:t>
      </w:r>
      <w:r w:rsidR="00D74010">
        <w:rPr>
          <w:snapToGrid w:val="0"/>
          <w:kern w:val="22"/>
          <w:lang w:val="es-ES"/>
        </w:rPr>
        <w:t>,</w:t>
      </w:r>
      <w:r w:rsidR="00775B5A" w:rsidRPr="00430313">
        <w:rPr>
          <w:snapToGrid w:val="0"/>
          <w:kern w:val="22"/>
          <w:lang w:val="es-ES"/>
        </w:rPr>
        <w:t xml:space="preserve"> </w:t>
      </w:r>
      <w:r w:rsidR="00430313">
        <w:rPr>
          <w:snapToGrid w:val="0"/>
          <w:kern w:val="22"/>
          <w:lang w:val="es-ES"/>
        </w:rPr>
        <w:t>Á</w:t>
      </w:r>
      <w:r w:rsidR="00775B5A" w:rsidRPr="00430313">
        <w:rPr>
          <w:snapToGrid w:val="0"/>
          <w:kern w:val="22"/>
          <w:lang w:val="es-ES"/>
        </w:rPr>
        <w:t>frica +</w:t>
      </w:r>
      <w:r w:rsidR="00430313">
        <w:rPr>
          <w:snapToGrid w:val="0"/>
          <w:kern w:val="22"/>
          <w:lang w:val="es-ES"/>
        </w:rPr>
        <w:t xml:space="preserve"> </w:t>
      </w:r>
      <w:r w:rsidR="00775B5A" w:rsidRPr="00430313">
        <w:rPr>
          <w:snapToGrid w:val="0"/>
          <w:kern w:val="22"/>
          <w:lang w:val="es-ES"/>
        </w:rPr>
        <w:t>13</w:t>
      </w:r>
      <w:r w:rsidR="00430313">
        <w:rPr>
          <w:snapToGrid w:val="0"/>
          <w:kern w:val="22"/>
          <w:lang w:val="es-ES"/>
        </w:rPr>
        <w:t xml:space="preserve"> </w:t>
      </w:r>
      <w:r w:rsidR="00775B5A" w:rsidRPr="00430313">
        <w:rPr>
          <w:snapToGrid w:val="0"/>
          <w:kern w:val="22"/>
          <w:lang w:val="es-ES"/>
        </w:rPr>
        <w:t>%</w:t>
      </w:r>
      <w:r w:rsidR="00D74010">
        <w:rPr>
          <w:snapToGrid w:val="0"/>
          <w:kern w:val="22"/>
          <w:lang w:val="es-ES"/>
        </w:rPr>
        <w:t>, grupo de países de América Latina y el Caribe</w:t>
      </w:r>
      <w:r w:rsidR="00775B5A" w:rsidRPr="00430313">
        <w:rPr>
          <w:snapToGrid w:val="0"/>
          <w:kern w:val="22"/>
          <w:lang w:val="es-ES"/>
        </w:rPr>
        <w:t xml:space="preserve"> </w:t>
      </w:r>
      <w:r w:rsidR="00D74010">
        <w:rPr>
          <w:snapToGrid w:val="0"/>
          <w:kern w:val="22"/>
          <w:lang w:val="es-ES"/>
        </w:rPr>
        <w:t>-</w:t>
      </w:r>
      <w:r w:rsidR="00430313">
        <w:rPr>
          <w:snapToGrid w:val="0"/>
          <w:kern w:val="22"/>
          <w:lang w:val="es-ES"/>
        </w:rPr>
        <w:t xml:space="preserve"> </w:t>
      </w:r>
      <w:r w:rsidR="00775B5A" w:rsidRPr="00430313">
        <w:rPr>
          <w:snapToGrid w:val="0"/>
          <w:kern w:val="22"/>
          <w:lang w:val="es-ES"/>
        </w:rPr>
        <w:t>1</w:t>
      </w:r>
      <w:r w:rsidR="00430313">
        <w:rPr>
          <w:snapToGrid w:val="0"/>
          <w:kern w:val="22"/>
          <w:lang w:val="es-ES"/>
        </w:rPr>
        <w:t xml:space="preserve"> </w:t>
      </w:r>
      <w:r w:rsidR="00775B5A" w:rsidRPr="00430313">
        <w:rPr>
          <w:snapToGrid w:val="0"/>
          <w:kern w:val="22"/>
          <w:lang w:val="es-ES"/>
        </w:rPr>
        <w:t>%</w:t>
      </w:r>
      <w:r w:rsidR="00D74010">
        <w:rPr>
          <w:snapToGrid w:val="0"/>
          <w:kern w:val="22"/>
          <w:lang w:val="es-ES"/>
        </w:rPr>
        <w:t>,</w:t>
      </w:r>
      <w:r w:rsidR="00775B5A" w:rsidRPr="00430313">
        <w:rPr>
          <w:snapToGrid w:val="0"/>
          <w:kern w:val="22"/>
          <w:lang w:val="es-ES"/>
        </w:rPr>
        <w:t xml:space="preserve"> </w:t>
      </w:r>
      <w:r w:rsidR="00430313">
        <w:rPr>
          <w:snapToGrid w:val="0"/>
          <w:kern w:val="22"/>
          <w:lang w:val="es-ES"/>
        </w:rPr>
        <w:t>grupo de Estados de Europa Occidental y otros sin diferencia</w:t>
      </w:r>
      <w:r w:rsidR="00775B5A" w:rsidRPr="00430313">
        <w:rPr>
          <w:snapToGrid w:val="0"/>
          <w:kern w:val="22"/>
          <w:lang w:val="es-ES"/>
        </w:rPr>
        <w:t>).</w:t>
      </w:r>
    </w:p>
    <w:p w:rsidR="00775B5A" w:rsidRPr="00667D33" w:rsidRDefault="00430313" w:rsidP="001D4EEE">
      <w:pPr>
        <w:pStyle w:val="ListParagraph"/>
        <w:numPr>
          <w:ilvl w:val="0"/>
          <w:numId w:val="2"/>
        </w:numPr>
        <w:tabs>
          <w:tab w:val="clear" w:pos="3240"/>
        </w:tabs>
        <w:snapToGrid w:val="0"/>
        <w:spacing w:before="120" w:after="120"/>
        <w:ind w:left="0" w:firstLine="0"/>
        <w:rPr>
          <w:rFonts w:ascii="Angsana New" w:hAnsi="Angsana New" w:cs="Angsana New"/>
          <w:snapToGrid w:val="0"/>
          <w:kern w:val="22"/>
          <w:lang w:val="es-ES"/>
        </w:rPr>
      </w:pPr>
      <w:r w:rsidRPr="00D7589C">
        <w:rPr>
          <w:snapToGrid w:val="0"/>
          <w:kern w:val="22"/>
          <w:lang w:val="es-ES"/>
        </w:rPr>
        <w:t>Un</w:t>
      </w:r>
      <w:r w:rsidR="00775B5A" w:rsidRPr="00D7589C">
        <w:rPr>
          <w:snapToGrid w:val="0"/>
          <w:kern w:val="22"/>
          <w:lang w:val="es-ES"/>
        </w:rPr>
        <w:t xml:space="preserve"> total </w:t>
      </w:r>
      <w:r w:rsidRPr="00D7589C">
        <w:rPr>
          <w:snapToGrid w:val="0"/>
          <w:kern w:val="22"/>
          <w:lang w:val="es-ES"/>
        </w:rPr>
        <w:t>del</w:t>
      </w:r>
      <w:r w:rsidR="00775B5A" w:rsidRPr="00D7589C">
        <w:rPr>
          <w:snapToGrid w:val="0"/>
          <w:kern w:val="22"/>
          <w:lang w:val="es-ES"/>
        </w:rPr>
        <w:t xml:space="preserve"> 94</w:t>
      </w:r>
      <w:r w:rsidRPr="00D7589C">
        <w:rPr>
          <w:snapToGrid w:val="0"/>
          <w:kern w:val="22"/>
          <w:lang w:val="es-ES"/>
        </w:rPr>
        <w:t xml:space="preserve"> </w:t>
      </w:r>
      <w:r w:rsidR="00775B5A" w:rsidRPr="00D7589C">
        <w:rPr>
          <w:snapToGrid w:val="0"/>
          <w:kern w:val="22"/>
          <w:lang w:val="es-ES"/>
        </w:rPr>
        <w:t xml:space="preserve">% </w:t>
      </w:r>
      <w:r w:rsidRPr="00D7589C">
        <w:rPr>
          <w:snapToGrid w:val="0"/>
          <w:kern w:val="22"/>
          <w:lang w:val="es-ES"/>
        </w:rPr>
        <w:t xml:space="preserve">de las </w:t>
      </w:r>
      <w:r w:rsidR="00775B5A" w:rsidRPr="00D7589C">
        <w:rPr>
          <w:snapToGrid w:val="0"/>
          <w:kern w:val="22"/>
          <w:lang w:val="es-ES"/>
        </w:rPr>
        <w:t xml:space="preserve">Partes (87 Partes) </w:t>
      </w:r>
      <w:r w:rsidRPr="00D7589C">
        <w:rPr>
          <w:snapToGrid w:val="0"/>
          <w:kern w:val="22"/>
          <w:lang w:val="es-ES"/>
        </w:rPr>
        <w:t>inform</w:t>
      </w:r>
      <w:r w:rsidR="005E5C1F">
        <w:rPr>
          <w:snapToGrid w:val="0"/>
          <w:kern w:val="22"/>
          <w:lang w:val="es-ES"/>
        </w:rPr>
        <w:t>ó</w:t>
      </w:r>
      <w:r w:rsidRPr="00D7589C">
        <w:rPr>
          <w:snapToGrid w:val="0"/>
          <w:kern w:val="22"/>
          <w:lang w:val="es-ES"/>
        </w:rPr>
        <w:t xml:space="preserve"> que </w:t>
      </w:r>
      <w:r w:rsidR="00D7589C" w:rsidRPr="00D7589C">
        <w:rPr>
          <w:snapToGrid w:val="0"/>
          <w:kern w:val="22"/>
          <w:lang w:val="es-ES"/>
        </w:rPr>
        <w:t>contaba con personal permanente para administrar funciones directamente relacionadas con la seguridad de la biotecnolog</w:t>
      </w:r>
      <w:r w:rsidR="00D7589C">
        <w:rPr>
          <w:snapToGrid w:val="0"/>
          <w:kern w:val="22"/>
          <w:lang w:val="es-ES"/>
        </w:rPr>
        <w:t>ía</w:t>
      </w:r>
      <w:r w:rsidR="00775B5A" w:rsidRPr="00D7589C">
        <w:rPr>
          <w:snapToGrid w:val="0"/>
          <w:kern w:val="22"/>
          <w:lang w:val="es-ES"/>
        </w:rPr>
        <w:t xml:space="preserve">, </w:t>
      </w:r>
      <w:r w:rsidR="00D7589C">
        <w:rPr>
          <w:snapToGrid w:val="0"/>
          <w:kern w:val="22"/>
          <w:lang w:val="es-ES"/>
        </w:rPr>
        <w:t xml:space="preserve">lo que supone un aumento de un </w:t>
      </w:r>
      <w:r w:rsidR="00775B5A" w:rsidRPr="00D7589C">
        <w:rPr>
          <w:snapToGrid w:val="0"/>
          <w:kern w:val="22"/>
          <w:lang w:val="es-ES"/>
        </w:rPr>
        <w:t>8</w:t>
      </w:r>
      <w:r w:rsidR="00D7589C">
        <w:rPr>
          <w:snapToGrid w:val="0"/>
          <w:kern w:val="22"/>
          <w:lang w:val="es-ES"/>
        </w:rPr>
        <w:t xml:space="preserve"> </w:t>
      </w:r>
      <w:r w:rsidR="00775B5A" w:rsidRPr="00D7589C">
        <w:rPr>
          <w:snapToGrid w:val="0"/>
          <w:kern w:val="22"/>
          <w:lang w:val="es-ES"/>
        </w:rPr>
        <w:t>% (</w:t>
      </w:r>
      <w:r w:rsidR="00D7589C">
        <w:rPr>
          <w:snapToGrid w:val="0"/>
          <w:kern w:val="22"/>
          <w:lang w:val="es-ES"/>
        </w:rPr>
        <w:t>con los siguientes cambios regionales</w:t>
      </w:r>
      <w:r w:rsidR="00775B5A" w:rsidRPr="00D7589C">
        <w:rPr>
          <w:snapToGrid w:val="0"/>
          <w:kern w:val="22"/>
          <w:lang w:val="es-ES"/>
        </w:rPr>
        <w:t xml:space="preserve">: </w:t>
      </w:r>
      <w:r w:rsidR="00D7589C">
        <w:rPr>
          <w:snapToGrid w:val="0"/>
          <w:kern w:val="22"/>
          <w:lang w:val="es-ES"/>
        </w:rPr>
        <w:t>Á</w:t>
      </w:r>
      <w:r w:rsidR="00775B5A" w:rsidRPr="00D7589C">
        <w:rPr>
          <w:snapToGrid w:val="0"/>
          <w:kern w:val="22"/>
          <w:lang w:val="es-ES"/>
        </w:rPr>
        <w:t>frica +</w:t>
      </w:r>
      <w:r w:rsidR="00D7589C">
        <w:rPr>
          <w:snapToGrid w:val="0"/>
          <w:kern w:val="22"/>
          <w:lang w:val="es-ES"/>
        </w:rPr>
        <w:t xml:space="preserve"> </w:t>
      </w:r>
      <w:r w:rsidR="00775B5A" w:rsidRPr="00D7589C">
        <w:rPr>
          <w:snapToGrid w:val="0"/>
          <w:kern w:val="22"/>
          <w:lang w:val="es-ES"/>
        </w:rPr>
        <w:t>17</w:t>
      </w:r>
      <w:r w:rsidR="00D7589C">
        <w:rPr>
          <w:snapToGrid w:val="0"/>
          <w:kern w:val="22"/>
          <w:lang w:val="es-ES"/>
        </w:rPr>
        <w:t xml:space="preserve"> </w:t>
      </w:r>
      <w:r w:rsidR="00775B5A" w:rsidRPr="00D7589C">
        <w:rPr>
          <w:snapToGrid w:val="0"/>
          <w:kern w:val="22"/>
          <w:lang w:val="es-ES"/>
        </w:rPr>
        <w:t>%</w:t>
      </w:r>
      <w:r w:rsidR="005E5C1F">
        <w:rPr>
          <w:snapToGrid w:val="0"/>
          <w:kern w:val="22"/>
          <w:lang w:val="es-ES"/>
        </w:rPr>
        <w:t>,</w:t>
      </w:r>
      <w:r w:rsidR="00775B5A" w:rsidRPr="00D7589C">
        <w:rPr>
          <w:snapToGrid w:val="0"/>
          <w:kern w:val="22"/>
          <w:lang w:val="es-ES"/>
        </w:rPr>
        <w:t xml:space="preserve"> </w:t>
      </w:r>
      <w:r w:rsidR="00D74010">
        <w:rPr>
          <w:snapToGrid w:val="0"/>
          <w:kern w:val="22"/>
          <w:lang w:val="es-ES"/>
        </w:rPr>
        <w:t>grupo de países de América Latina y el Caribe</w:t>
      </w:r>
      <w:r w:rsidR="00D74010" w:rsidRPr="00D7589C">
        <w:rPr>
          <w:snapToGrid w:val="0"/>
          <w:kern w:val="22"/>
          <w:lang w:val="es-ES"/>
        </w:rPr>
        <w:t xml:space="preserve"> </w:t>
      </w:r>
      <w:r w:rsidR="00775B5A" w:rsidRPr="00D7589C">
        <w:rPr>
          <w:snapToGrid w:val="0"/>
          <w:kern w:val="22"/>
          <w:lang w:val="es-ES"/>
        </w:rPr>
        <w:t>+</w:t>
      </w:r>
      <w:r w:rsidR="00D7589C">
        <w:rPr>
          <w:snapToGrid w:val="0"/>
          <w:kern w:val="22"/>
          <w:lang w:val="es-ES"/>
        </w:rPr>
        <w:t xml:space="preserve"> </w:t>
      </w:r>
      <w:r w:rsidR="00775B5A" w:rsidRPr="00D7589C">
        <w:rPr>
          <w:snapToGrid w:val="0"/>
          <w:kern w:val="22"/>
          <w:lang w:val="es-ES"/>
        </w:rPr>
        <w:t>8</w:t>
      </w:r>
      <w:r w:rsidR="00D7589C">
        <w:rPr>
          <w:snapToGrid w:val="0"/>
          <w:kern w:val="22"/>
          <w:lang w:val="es-ES"/>
        </w:rPr>
        <w:t xml:space="preserve"> </w:t>
      </w:r>
      <w:r w:rsidR="005E5C1F">
        <w:rPr>
          <w:snapToGrid w:val="0"/>
          <w:kern w:val="22"/>
          <w:lang w:val="es-ES"/>
        </w:rPr>
        <w:t>%,</w:t>
      </w:r>
      <w:r w:rsidR="00775B5A" w:rsidRPr="00D7589C">
        <w:rPr>
          <w:snapToGrid w:val="0"/>
          <w:kern w:val="22"/>
          <w:lang w:val="es-ES"/>
        </w:rPr>
        <w:t xml:space="preserve"> </w:t>
      </w:r>
      <w:r w:rsidR="00477624">
        <w:rPr>
          <w:snapToGrid w:val="0"/>
          <w:kern w:val="22"/>
          <w:lang w:val="es-ES"/>
        </w:rPr>
        <w:t>grupo de Estados de Europa Central y Oriental</w:t>
      </w:r>
      <w:r w:rsidR="00477624" w:rsidRPr="00EC2231">
        <w:rPr>
          <w:snapToGrid w:val="0"/>
          <w:kern w:val="22"/>
          <w:lang w:val="es-ES"/>
        </w:rPr>
        <w:t xml:space="preserve"> </w:t>
      </w:r>
      <w:r w:rsidR="00775B5A" w:rsidRPr="00D7589C">
        <w:rPr>
          <w:snapToGrid w:val="0"/>
          <w:kern w:val="22"/>
          <w:lang w:val="es-ES"/>
        </w:rPr>
        <w:t>+</w:t>
      </w:r>
      <w:r w:rsidR="00D7589C">
        <w:rPr>
          <w:snapToGrid w:val="0"/>
          <w:kern w:val="22"/>
          <w:lang w:val="es-ES"/>
        </w:rPr>
        <w:t xml:space="preserve"> </w:t>
      </w:r>
      <w:r w:rsidR="00775B5A" w:rsidRPr="00D7589C">
        <w:rPr>
          <w:snapToGrid w:val="0"/>
          <w:kern w:val="22"/>
          <w:lang w:val="es-ES"/>
        </w:rPr>
        <w:t>6</w:t>
      </w:r>
      <w:r w:rsidR="00D7589C">
        <w:rPr>
          <w:snapToGrid w:val="0"/>
          <w:kern w:val="22"/>
          <w:lang w:val="es-ES"/>
        </w:rPr>
        <w:t xml:space="preserve"> </w:t>
      </w:r>
      <w:r w:rsidR="00775B5A" w:rsidRPr="00D7589C">
        <w:rPr>
          <w:snapToGrid w:val="0"/>
          <w:kern w:val="22"/>
          <w:lang w:val="es-ES"/>
        </w:rPr>
        <w:t>%</w:t>
      </w:r>
      <w:r w:rsidR="005E5C1F">
        <w:rPr>
          <w:snapToGrid w:val="0"/>
          <w:kern w:val="22"/>
          <w:lang w:val="es-ES"/>
        </w:rPr>
        <w:t>,</w:t>
      </w:r>
      <w:r w:rsidR="00775B5A" w:rsidRPr="00D7589C">
        <w:rPr>
          <w:snapToGrid w:val="0"/>
          <w:kern w:val="22"/>
          <w:lang w:val="es-ES"/>
        </w:rPr>
        <w:t xml:space="preserve"> Asia</w:t>
      </w:r>
      <w:r w:rsidR="00F45BD1">
        <w:rPr>
          <w:snapToGrid w:val="0"/>
          <w:kern w:val="22"/>
          <w:lang w:val="es-ES"/>
        </w:rPr>
        <w:t xml:space="preserve"> y el </w:t>
      </w:r>
      <w:r w:rsidR="00D7589C">
        <w:rPr>
          <w:snapToGrid w:val="0"/>
          <w:kern w:val="22"/>
          <w:lang w:val="es-ES"/>
        </w:rPr>
        <w:t>Pacífico y el grupo de Estados de Europa Occidental y otros sin cambios con respecto a los datos básicos de referencia</w:t>
      </w:r>
      <w:r w:rsidR="00775B5A" w:rsidRPr="00D7589C">
        <w:rPr>
          <w:snapToGrid w:val="0"/>
          <w:kern w:val="22"/>
          <w:lang w:val="es-ES"/>
        </w:rPr>
        <w:t xml:space="preserve">). </w:t>
      </w:r>
      <w:r w:rsidR="00667D33">
        <w:rPr>
          <w:snapToGrid w:val="0"/>
          <w:kern w:val="22"/>
          <w:lang w:val="es-ES"/>
        </w:rPr>
        <w:t>Aunque no se dispone de datos para comparar los cambios desde la base de referencia, un</w:t>
      </w:r>
      <w:r w:rsidR="00775B5A" w:rsidRPr="00667D33">
        <w:rPr>
          <w:snapToGrid w:val="0"/>
          <w:kern w:val="22"/>
          <w:lang w:val="es-ES"/>
        </w:rPr>
        <w:t xml:space="preserve"> total </w:t>
      </w:r>
      <w:r w:rsidR="00667D33" w:rsidRPr="00667D33">
        <w:rPr>
          <w:snapToGrid w:val="0"/>
          <w:kern w:val="22"/>
          <w:lang w:val="es-ES"/>
        </w:rPr>
        <w:t>del</w:t>
      </w:r>
      <w:r w:rsidR="00775B5A" w:rsidRPr="00667D33">
        <w:rPr>
          <w:snapToGrid w:val="0"/>
          <w:kern w:val="22"/>
          <w:lang w:val="es-ES"/>
        </w:rPr>
        <w:t xml:space="preserve"> 47</w:t>
      </w:r>
      <w:r w:rsidR="00667D33" w:rsidRPr="00667D33">
        <w:rPr>
          <w:snapToGrid w:val="0"/>
          <w:kern w:val="22"/>
          <w:lang w:val="es-ES"/>
        </w:rPr>
        <w:t xml:space="preserve"> </w:t>
      </w:r>
      <w:r w:rsidR="00667D33">
        <w:rPr>
          <w:snapToGrid w:val="0"/>
          <w:kern w:val="22"/>
          <w:lang w:val="es-ES"/>
        </w:rPr>
        <w:t>% de las</w:t>
      </w:r>
      <w:r w:rsidR="00775B5A" w:rsidRPr="00667D33">
        <w:rPr>
          <w:snapToGrid w:val="0"/>
          <w:kern w:val="22"/>
          <w:lang w:val="es-ES"/>
        </w:rPr>
        <w:t xml:space="preserve"> Partes </w:t>
      </w:r>
      <w:r w:rsidR="00667D33">
        <w:rPr>
          <w:snapToGrid w:val="0"/>
          <w:kern w:val="22"/>
          <w:lang w:val="es-ES"/>
        </w:rPr>
        <w:t>comunic</w:t>
      </w:r>
      <w:r w:rsidR="005E5C1F">
        <w:rPr>
          <w:snapToGrid w:val="0"/>
          <w:kern w:val="22"/>
          <w:lang w:val="es-ES"/>
        </w:rPr>
        <w:t>ó</w:t>
      </w:r>
      <w:r w:rsidR="00667D33">
        <w:rPr>
          <w:snapToGrid w:val="0"/>
          <w:kern w:val="22"/>
          <w:lang w:val="es-ES"/>
        </w:rPr>
        <w:t xml:space="preserve"> que el número de personal era</w:t>
      </w:r>
      <w:r w:rsidR="005E5C1F">
        <w:rPr>
          <w:snapToGrid w:val="0"/>
          <w:kern w:val="22"/>
          <w:lang w:val="es-ES"/>
        </w:rPr>
        <w:t xml:space="preserve"> el </w:t>
      </w:r>
      <w:r w:rsidR="00667D33">
        <w:rPr>
          <w:snapToGrid w:val="0"/>
          <w:kern w:val="22"/>
          <w:lang w:val="es-ES"/>
        </w:rPr>
        <w:t>adecuado, con importantes diferencias regionales</w:t>
      </w:r>
      <w:r w:rsidR="00775B5A" w:rsidRPr="00667D33">
        <w:rPr>
          <w:snapToGrid w:val="0"/>
          <w:kern w:val="22"/>
          <w:lang w:val="es-ES"/>
        </w:rPr>
        <w:t xml:space="preserve"> (</w:t>
      </w:r>
      <w:r w:rsidR="00667D33">
        <w:rPr>
          <w:snapToGrid w:val="0"/>
          <w:kern w:val="22"/>
          <w:lang w:val="es-ES"/>
        </w:rPr>
        <w:t>grupo de Estados de Europa Occidental y otros</w:t>
      </w:r>
      <w:r w:rsidR="00775B5A" w:rsidRPr="00667D33">
        <w:rPr>
          <w:snapToGrid w:val="0"/>
          <w:kern w:val="22"/>
          <w:lang w:val="es-ES"/>
        </w:rPr>
        <w:t xml:space="preserve"> 87</w:t>
      </w:r>
      <w:r w:rsidR="00667D33">
        <w:rPr>
          <w:snapToGrid w:val="0"/>
          <w:kern w:val="22"/>
          <w:lang w:val="es-ES"/>
        </w:rPr>
        <w:t xml:space="preserve"> </w:t>
      </w:r>
      <w:r w:rsidR="00775B5A" w:rsidRPr="00667D33">
        <w:rPr>
          <w:snapToGrid w:val="0"/>
          <w:kern w:val="22"/>
          <w:lang w:val="es-ES"/>
        </w:rPr>
        <w:t>%</w:t>
      </w:r>
      <w:r w:rsidR="005E5C1F">
        <w:rPr>
          <w:snapToGrid w:val="0"/>
          <w:kern w:val="22"/>
          <w:lang w:val="es-ES"/>
        </w:rPr>
        <w:t>,</w:t>
      </w:r>
      <w:r w:rsidR="00775B5A" w:rsidRPr="00667D33">
        <w:rPr>
          <w:snapToGrid w:val="0"/>
          <w:kern w:val="22"/>
          <w:lang w:val="es-ES"/>
        </w:rPr>
        <w:t xml:space="preserve"> </w:t>
      </w:r>
      <w:r w:rsidR="00477624">
        <w:rPr>
          <w:snapToGrid w:val="0"/>
          <w:kern w:val="22"/>
          <w:lang w:val="es-ES"/>
        </w:rPr>
        <w:t>grupo de Estados de Europa Central y Oriental</w:t>
      </w:r>
      <w:r w:rsidR="00477624" w:rsidRPr="00EC2231">
        <w:rPr>
          <w:snapToGrid w:val="0"/>
          <w:kern w:val="22"/>
          <w:lang w:val="es-ES"/>
        </w:rPr>
        <w:t xml:space="preserve"> </w:t>
      </w:r>
      <w:r w:rsidR="00775B5A" w:rsidRPr="00667D33">
        <w:rPr>
          <w:snapToGrid w:val="0"/>
          <w:kern w:val="22"/>
          <w:lang w:val="es-ES"/>
        </w:rPr>
        <w:t>71</w:t>
      </w:r>
      <w:r w:rsidR="00667D33">
        <w:rPr>
          <w:snapToGrid w:val="0"/>
          <w:kern w:val="22"/>
          <w:lang w:val="es-ES"/>
        </w:rPr>
        <w:t xml:space="preserve"> </w:t>
      </w:r>
      <w:r w:rsidR="00775B5A" w:rsidRPr="00667D33">
        <w:rPr>
          <w:snapToGrid w:val="0"/>
          <w:kern w:val="22"/>
          <w:lang w:val="es-ES"/>
        </w:rPr>
        <w:t>%</w:t>
      </w:r>
      <w:r w:rsidR="005E5C1F">
        <w:rPr>
          <w:snapToGrid w:val="0"/>
          <w:kern w:val="22"/>
          <w:lang w:val="es-ES"/>
        </w:rPr>
        <w:t>,</w:t>
      </w:r>
      <w:r w:rsidR="00775B5A" w:rsidRPr="00667D33">
        <w:rPr>
          <w:snapToGrid w:val="0"/>
          <w:kern w:val="22"/>
          <w:lang w:val="es-ES"/>
        </w:rPr>
        <w:t xml:space="preserve"> Asia</w:t>
      </w:r>
      <w:r w:rsidR="00F45BD1">
        <w:rPr>
          <w:snapToGrid w:val="0"/>
          <w:kern w:val="22"/>
          <w:lang w:val="es-ES"/>
        </w:rPr>
        <w:t xml:space="preserve"> y el </w:t>
      </w:r>
      <w:r w:rsidR="00667D33">
        <w:rPr>
          <w:snapToGrid w:val="0"/>
          <w:kern w:val="22"/>
          <w:lang w:val="es-ES"/>
        </w:rPr>
        <w:t>Pacífico</w:t>
      </w:r>
      <w:r w:rsidR="00775B5A" w:rsidRPr="00667D33">
        <w:rPr>
          <w:snapToGrid w:val="0"/>
          <w:kern w:val="22"/>
          <w:lang w:val="es-ES"/>
        </w:rPr>
        <w:t xml:space="preserve"> 44</w:t>
      </w:r>
      <w:r w:rsidR="00667D33">
        <w:rPr>
          <w:snapToGrid w:val="0"/>
          <w:kern w:val="22"/>
          <w:lang w:val="es-ES"/>
        </w:rPr>
        <w:t xml:space="preserve"> </w:t>
      </w:r>
      <w:r w:rsidR="00775B5A" w:rsidRPr="00667D33">
        <w:rPr>
          <w:snapToGrid w:val="0"/>
          <w:kern w:val="22"/>
          <w:lang w:val="es-ES"/>
        </w:rPr>
        <w:t>%</w:t>
      </w:r>
      <w:r w:rsidR="005E5C1F">
        <w:rPr>
          <w:snapToGrid w:val="0"/>
          <w:kern w:val="22"/>
          <w:lang w:val="es-ES"/>
        </w:rPr>
        <w:t>,</w:t>
      </w:r>
      <w:r w:rsidR="00775B5A" w:rsidRPr="00667D33">
        <w:rPr>
          <w:snapToGrid w:val="0"/>
          <w:kern w:val="22"/>
          <w:lang w:val="es-ES"/>
        </w:rPr>
        <w:t xml:space="preserve"> </w:t>
      </w:r>
      <w:r w:rsidR="00D74010">
        <w:rPr>
          <w:snapToGrid w:val="0"/>
          <w:kern w:val="22"/>
          <w:lang w:val="es-ES"/>
        </w:rPr>
        <w:t>grupo de países de América Latina y el Caribe</w:t>
      </w:r>
      <w:r w:rsidR="00D74010" w:rsidRPr="00667D33">
        <w:rPr>
          <w:snapToGrid w:val="0"/>
          <w:kern w:val="22"/>
          <w:lang w:val="es-ES"/>
        </w:rPr>
        <w:t xml:space="preserve"> </w:t>
      </w:r>
      <w:r w:rsidR="00775B5A" w:rsidRPr="00667D33">
        <w:rPr>
          <w:snapToGrid w:val="0"/>
          <w:kern w:val="22"/>
          <w:lang w:val="es-ES"/>
        </w:rPr>
        <w:t>27</w:t>
      </w:r>
      <w:r w:rsidR="00667D33">
        <w:rPr>
          <w:snapToGrid w:val="0"/>
          <w:kern w:val="22"/>
          <w:lang w:val="es-ES"/>
        </w:rPr>
        <w:t xml:space="preserve"> </w:t>
      </w:r>
      <w:r w:rsidR="00775B5A" w:rsidRPr="00667D33">
        <w:rPr>
          <w:snapToGrid w:val="0"/>
          <w:kern w:val="22"/>
          <w:lang w:val="es-ES"/>
        </w:rPr>
        <w:t>%</w:t>
      </w:r>
      <w:r w:rsidR="005E5C1F">
        <w:rPr>
          <w:snapToGrid w:val="0"/>
          <w:kern w:val="22"/>
          <w:lang w:val="es-ES"/>
        </w:rPr>
        <w:t>,</w:t>
      </w:r>
      <w:r w:rsidR="00775B5A" w:rsidRPr="00667D33">
        <w:rPr>
          <w:snapToGrid w:val="0"/>
          <w:kern w:val="22"/>
          <w:lang w:val="es-ES"/>
        </w:rPr>
        <w:t xml:space="preserve"> </w:t>
      </w:r>
      <w:r w:rsidR="00667D33">
        <w:rPr>
          <w:snapToGrid w:val="0"/>
          <w:kern w:val="22"/>
          <w:lang w:val="es-ES"/>
        </w:rPr>
        <w:t>Á</w:t>
      </w:r>
      <w:r w:rsidR="00775B5A" w:rsidRPr="00667D33">
        <w:rPr>
          <w:snapToGrid w:val="0"/>
          <w:kern w:val="22"/>
          <w:lang w:val="es-ES"/>
        </w:rPr>
        <w:t>frica 20</w:t>
      </w:r>
      <w:r w:rsidR="00667D33">
        <w:rPr>
          <w:snapToGrid w:val="0"/>
          <w:kern w:val="22"/>
          <w:lang w:val="es-ES"/>
        </w:rPr>
        <w:t xml:space="preserve"> </w:t>
      </w:r>
      <w:r w:rsidR="00775B5A" w:rsidRPr="00667D33">
        <w:rPr>
          <w:snapToGrid w:val="0"/>
          <w:kern w:val="22"/>
          <w:lang w:val="es-ES"/>
        </w:rPr>
        <w:t>%)</w:t>
      </w:r>
      <w:r w:rsidR="00775B5A">
        <w:rPr>
          <w:rStyle w:val="FootnoteReference"/>
          <w:rFonts w:ascii="Angsana New" w:hAnsi="Angsana New" w:cs="Angsana New"/>
          <w:snapToGrid w:val="0"/>
          <w:kern w:val="22"/>
        </w:rPr>
        <w:footnoteReference w:id="45"/>
      </w:r>
      <w:r w:rsidR="00667D33" w:rsidRPr="00667D33">
        <w:rPr>
          <w:snapToGrid w:val="0"/>
          <w:kern w:val="22"/>
          <w:lang w:val="es-ES"/>
        </w:rPr>
        <w:t>.</w:t>
      </w:r>
    </w:p>
    <w:p w:rsidR="00775B5A" w:rsidRPr="00451FAF" w:rsidRDefault="00816EE6" w:rsidP="00451FAF">
      <w:pPr>
        <w:pStyle w:val="ListParagraph"/>
        <w:numPr>
          <w:ilvl w:val="0"/>
          <w:numId w:val="2"/>
        </w:numPr>
        <w:tabs>
          <w:tab w:val="clear" w:pos="3240"/>
        </w:tabs>
        <w:snapToGrid w:val="0"/>
        <w:spacing w:before="120" w:after="120"/>
        <w:ind w:left="0" w:firstLine="0"/>
        <w:rPr>
          <w:rFonts w:ascii="Angsana New" w:hAnsi="Angsana New" w:cs="Angsana New"/>
          <w:i/>
          <w:iCs/>
          <w:snapToGrid w:val="0"/>
          <w:kern w:val="22"/>
          <w:lang w:val="es-ES"/>
        </w:rPr>
      </w:pPr>
      <w:r w:rsidRPr="00451FAF">
        <w:rPr>
          <w:snapToGrid w:val="0"/>
          <w:kern w:val="22"/>
          <w:lang w:val="es-ES"/>
        </w:rPr>
        <w:t>Varias Partes indicaron en sus contribuciones de texto libre que estaban elaborando instrumentos jurídicos o que estaban pendientes de aprobación</w:t>
      </w:r>
      <w:r w:rsidR="00775B5A" w:rsidRPr="00451FAF">
        <w:rPr>
          <w:snapToGrid w:val="0"/>
          <w:kern w:val="22"/>
          <w:lang w:val="es-ES"/>
        </w:rPr>
        <w:t xml:space="preserve">. </w:t>
      </w:r>
      <w:r w:rsidRPr="00451FAF">
        <w:rPr>
          <w:snapToGrid w:val="0"/>
          <w:kern w:val="22"/>
          <w:lang w:val="es-ES"/>
        </w:rPr>
        <w:t>Algunas de esas Partes</w:t>
      </w:r>
      <w:r w:rsidR="00775B5A" w:rsidRPr="00451FAF">
        <w:rPr>
          <w:snapToGrid w:val="0"/>
          <w:kern w:val="22"/>
          <w:lang w:val="es-ES"/>
        </w:rPr>
        <w:t xml:space="preserve"> </w:t>
      </w:r>
      <w:r w:rsidRPr="00451FAF">
        <w:rPr>
          <w:snapToGrid w:val="0"/>
          <w:kern w:val="22"/>
          <w:lang w:val="es-ES"/>
        </w:rPr>
        <w:t>señalaron que se prev</w:t>
      </w:r>
      <w:r w:rsidR="00CE1399" w:rsidRPr="00451FAF">
        <w:rPr>
          <w:snapToGrid w:val="0"/>
          <w:kern w:val="22"/>
          <w:lang w:val="es-ES"/>
        </w:rPr>
        <w:t>é</w:t>
      </w:r>
      <w:r w:rsidRPr="00451FAF">
        <w:rPr>
          <w:snapToGrid w:val="0"/>
          <w:kern w:val="22"/>
          <w:lang w:val="es-ES"/>
        </w:rPr>
        <w:t xml:space="preserve"> que la a</w:t>
      </w:r>
      <w:r w:rsidR="00CE1399" w:rsidRPr="00451FAF">
        <w:rPr>
          <w:snapToGrid w:val="0"/>
          <w:kern w:val="22"/>
          <w:lang w:val="es-ES"/>
        </w:rPr>
        <w:t>probación</w:t>
      </w:r>
      <w:r w:rsidRPr="00451FAF">
        <w:rPr>
          <w:snapToGrid w:val="0"/>
          <w:kern w:val="22"/>
          <w:lang w:val="es-ES"/>
        </w:rPr>
        <w:t xml:space="preserve"> de esos instrumentos ten</w:t>
      </w:r>
      <w:r w:rsidR="00CE1399" w:rsidRPr="00451FAF">
        <w:rPr>
          <w:snapToGrid w:val="0"/>
          <w:kern w:val="22"/>
          <w:lang w:val="es-ES"/>
        </w:rPr>
        <w:t>ga</w:t>
      </w:r>
      <w:r w:rsidRPr="00451FAF">
        <w:rPr>
          <w:snapToGrid w:val="0"/>
          <w:kern w:val="22"/>
          <w:lang w:val="es-ES"/>
        </w:rPr>
        <w:t xml:space="preserve"> efectos beneficiosos en las estructuras institucionales y en la disponibilidad de recurso</w:t>
      </w:r>
      <w:r w:rsidR="00775B5A" w:rsidRPr="00451FAF">
        <w:rPr>
          <w:snapToGrid w:val="0"/>
          <w:kern w:val="22"/>
          <w:lang w:val="es-ES"/>
        </w:rPr>
        <w:t xml:space="preserve">s. </w:t>
      </w:r>
      <w:r w:rsidRPr="00451FAF">
        <w:rPr>
          <w:snapToGrid w:val="0"/>
          <w:kern w:val="22"/>
          <w:lang w:val="es-ES"/>
        </w:rPr>
        <w:t xml:space="preserve">Algunas Partes mencionaron la importancia de </w:t>
      </w:r>
      <w:r w:rsidR="00CE1399" w:rsidRPr="00451FAF">
        <w:rPr>
          <w:snapToGrid w:val="0"/>
          <w:kern w:val="22"/>
          <w:lang w:val="es-ES"/>
        </w:rPr>
        <w:t>la integración de la seguridad de la biotecnología en distintos instrumentos normativos y jurídicos sectoriales e intersectoriales</w:t>
      </w:r>
      <w:r w:rsidR="00775B5A" w:rsidRPr="00451FAF">
        <w:rPr>
          <w:snapToGrid w:val="0"/>
          <w:kern w:val="22"/>
          <w:lang w:val="es-ES"/>
        </w:rPr>
        <w:t xml:space="preserve">. </w:t>
      </w:r>
      <w:r w:rsidR="00CE1399" w:rsidRPr="00451FAF">
        <w:rPr>
          <w:snapToGrid w:val="0"/>
          <w:kern w:val="22"/>
          <w:lang w:val="es-ES"/>
        </w:rPr>
        <w:t xml:space="preserve">Algunas </w:t>
      </w:r>
      <w:r w:rsidR="005E5C1F" w:rsidRPr="00451FAF">
        <w:rPr>
          <w:snapToGrid w:val="0"/>
          <w:kern w:val="22"/>
          <w:lang w:val="es-ES"/>
        </w:rPr>
        <w:t xml:space="preserve">Partes </w:t>
      </w:r>
      <w:r w:rsidR="00CE1399" w:rsidRPr="00451FAF">
        <w:rPr>
          <w:snapToGrid w:val="0"/>
          <w:kern w:val="22"/>
          <w:lang w:val="es-ES"/>
        </w:rPr>
        <w:t xml:space="preserve">comunicaron que habían abordado eficazmente la seguridad de la biotecnología en las políticas o </w:t>
      </w:r>
      <w:r w:rsidR="00CE1399" w:rsidRPr="00451FAF">
        <w:rPr>
          <w:snapToGrid w:val="0"/>
          <w:kern w:val="22"/>
          <w:lang w:val="es-ES"/>
        </w:rPr>
        <w:lastRenderedPageBreak/>
        <w:t>leyes sectoriales e intersectoriales</w:t>
      </w:r>
      <w:r w:rsidR="00775B5A" w:rsidRPr="00451FAF">
        <w:rPr>
          <w:snapToGrid w:val="0"/>
          <w:kern w:val="22"/>
          <w:lang w:val="es-ES"/>
        </w:rPr>
        <w:t xml:space="preserve">. </w:t>
      </w:r>
      <w:r w:rsidR="00CE1399" w:rsidRPr="00451FAF">
        <w:rPr>
          <w:snapToGrid w:val="0"/>
          <w:kern w:val="22"/>
          <w:lang w:val="es-ES"/>
        </w:rPr>
        <w:t xml:space="preserve">Varias Partes indicaron que la falta de recursos y capacidades ha afectado negativamente a la aplicación del </w:t>
      </w:r>
      <w:r w:rsidR="00775B5A" w:rsidRPr="00451FAF">
        <w:rPr>
          <w:snapToGrid w:val="0"/>
          <w:kern w:val="22"/>
          <w:lang w:val="es-ES"/>
        </w:rPr>
        <w:t>Protocol</w:t>
      </w:r>
      <w:r w:rsidR="00CE1399" w:rsidRPr="00451FAF">
        <w:rPr>
          <w:snapToGrid w:val="0"/>
          <w:kern w:val="22"/>
          <w:lang w:val="es-ES"/>
        </w:rPr>
        <w:t>o</w:t>
      </w:r>
      <w:r w:rsidR="00775B5A" w:rsidRPr="00451FAF">
        <w:rPr>
          <w:snapToGrid w:val="0"/>
          <w:kern w:val="22"/>
          <w:lang w:val="es-ES"/>
        </w:rPr>
        <w:t>.</w:t>
      </w:r>
      <w:bookmarkStart w:id="29" w:name="_GoBack"/>
      <w:bookmarkEnd w:id="29"/>
    </w:p>
    <w:p w:rsidR="00775B5A" w:rsidRPr="00451FAF" w:rsidRDefault="00451FAF">
      <w:pPr>
        <w:pStyle w:val="ListParagraph"/>
        <w:snapToGrid w:val="0"/>
        <w:ind w:left="0"/>
        <w:rPr>
          <w:rFonts w:ascii="Angsana New" w:hAnsi="Angsana New" w:cs="Angsana New"/>
          <w:snapToGrid w:val="0"/>
          <w:kern w:val="22"/>
        </w:rPr>
      </w:pPr>
      <w:r>
        <w:rPr>
          <w:noProof/>
        </w:rPr>
      </w:r>
      <w:r>
        <w:rPr>
          <w:noProof/>
        </w:rPr>
        <w:pict w14:anchorId="4882BC90">
          <v:shape id="_x0000_s1045" type="#_x0000_t75" style="width:470.3pt;height:302.4pt;mso-left-percent:-10001;mso-top-percent:-10001;mso-position-horizontal:absolute;mso-position-horizontal-relative:char;mso-position-vertical:absolute;mso-position-vertical-relative:line;mso-left-percent:-10001;mso-top-percent:-10001">
            <v:imagedata r:id="rId21" o:title=""/>
            <w10:anchorlock/>
          </v:shape>
        </w:pict>
      </w:r>
    </w:p>
    <w:p w:rsidR="00775B5A" w:rsidRPr="00D92038" w:rsidRDefault="00F00560"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6E3E5A">
        <w:rPr>
          <w:snapToGrid w:val="0"/>
          <w:kern w:val="22"/>
          <w:lang w:val="es-ES"/>
        </w:rPr>
        <w:t xml:space="preserve">En cuanto al </w:t>
      </w:r>
      <w:r w:rsidR="00775B5A" w:rsidRPr="006E3E5A">
        <w:rPr>
          <w:b/>
          <w:bCs/>
          <w:snapToGrid w:val="0"/>
          <w:kern w:val="22"/>
          <w:lang w:val="es-ES"/>
        </w:rPr>
        <w:t>indica</w:t>
      </w:r>
      <w:r w:rsidRPr="006E3E5A">
        <w:rPr>
          <w:b/>
          <w:bCs/>
          <w:snapToGrid w:val="0"/>
          <w:kern w:val="22"/>
          <w:lang w:val="es-ES"/>
        </w:rPr>
        <w:t>d</w:t>
      </w:r>
      <w:r w:rsidR="00775B5A" w:rsidRPr="006E3E5A">
        <w:rPr>
          <w:b/>
          <w:bCs/>
          <w:snapToGrid w:val="0"/>
          <w:kern w:val="22"/>
          <w:lang w:val="es-ES"/>
        </w:rPr>
        <w:t>or 3.1.3</w:t>
      </w:r>
      <w:r w:rsidR="00775B5A" w:rsidRPr="006E3E5A">
        <w:rPr>
          <w:snapToGrid w:val="0"/>
          <w:kern w:val="22"/>
          <w:lang w:val="es-ES"/>
        </w:rPr>
        <w:t xml:space="preserve"> (</w:t>
      </w:r>
      <w:r w:rsidRPr="006E3E5A">
        <w:rPr>
          <w:snapToGrid w:val="0"/>
          <w:kern w:val="22"/>
          <w:lang w:val="es-ES"/>
        </w:rPr>
        <w:t xml:space="preserve">el porcentaje de Partes que </w:t>
      </w:r>
      <w:r w:rsidR="006E3E5A" w:rsidRPr="006E3E5A">
        <w:rPr>
          <w:snapToGrid w:val="0"/>
          <w:kern w:val="22"/>
          <w:lang w:val="es-ES"/>
        </w:rPr>
        <w:t>design</w:t>
      </w:r>
      <w:r w:rsidR="005E5C1F">
        <w:rPr>
          <w:snapToGrid w:val="0"/>
          <w:kern w:val="22"/>
          <w:lang w:val="es-ES"/>
        </w:rPr>
        <w:t>ó</w:t>
      </w:r>
      <w:r w:rsidR="006E3E5A" w:rsidRPr="006E3E5A">
        <w:rPr>
          <w:snapToGrid w:val="0"/>
          <w:kern w:val="22"/>
          <w:lang w:val="es-ES"/>
        </w:rPr>
        <w:t xml:space="preserve"> a todos sus puntos focales nacionales</w:t>
      </w:r>
      <w:r w:rsidR="00775B5A" w:rsidRPr="006E3E5A">
        <w:rPr>
          <w:snapToGrid w:val="0"/>
          <w:kern w:val="22"/>
          <w:lang w:val="es-ES"/>
        </w:rPr>
        <w:t xml:space="preserve">), </w:t>
      </w:r>
      <w:r w:rsidR="006E3E5A" w:rsidRPr="006E3E5A">
        <w:rPr>
          <w:snapToGrid w:val="0"/>
          <w:kern w:val="22"/>
          <w:lang w:val="es-ES"/>
        </w:rPr>
        <w:t xml:space="preserve">el </w:t>
      </w:r>
      <w:r w:rsidR="00775B5A" w:rsidRPr="006E3E5A">
        <w:rPr>
          <w:snapToGrid w:val="0"/>
          <w:kern w:val="22"/>
          <w:lang w:val="es-ES"/>
        </w:rPr>
        <w:t>98</w:t>
      </w:r>
      <w:r w:rsidR="006E3E5A">
        <w:rPr>
          <w:snapToGrid w:val="0"/>
          <w:kern w:val="22"/>
          <w:lang w:val="es-ES"/>
        </w:rPr>
        <w:t xml:space="preserve"> % de todas las Partes en el </w:t>
      </w:r>
      <w:r w:rsidR="00775B5A" w:rsidRPr="006E3E5A">
        <w:rPr>
          <w:snapToGrid w:val="0"/>
          <w:kern w:val="22"/>
          <w:lang w:val="es-ES"/>
        </w:rPr>
        <w:t>Protocol</w:t>
      </w:r>
      <w:r w:rsidR="006E3E5A">
        <w:rPr>
          <w:snapToGrid w:val="0"/>
          <w:kern w:val="22"/>
          <w:lang w:val="es-ES"/>
        </w:rPr>
        <w:t>o (168 Part</w:t>
      </w:r>
      <w:r w:rsidR="00775B5A" w:rsidRPr="006E3E5A">
        <w:rPr>
          <w:snapToGrid w:val="0"/>
          <w:kern w:val="22"/>
          <w:lang w:val="es-ES"/>
        </w:rPr>
        <w:t>es) ha</w:t>
      </w:r>
      <w:r w:rsidR="006E3E5A">
        <w:rPr>
          <w:snapToGrid w:val="0"/>
          <w:kern w:val="22"/>
          <w:lang w:val="es-ES"/>
        </w:rPr>
        <w:t xml:space="preserve"> designado a sus puntos focales nacionales para el Protocolo de </w:t>
      </w:r>
      <w:r w:rsidR="00775B5A" w:rsidRPr="006E3E5A">
        <w:rPr>
          <w:snapToGrid w:val="0"/>
          <w:kern w:val="22"/>
          <w:lang w:val="es-ES"/>
        </w:rPr>
        <w:t xml:space="preserve">Cartagena. </w:t>
      </w:r>
      <w:r w:rsidR="006E3E5A" w:rsidRPr="006E3E5A">
        <w:rPr>
          <w:snapToGrid w:val="0"/>
          <w:kern w:val="22"/>
          <w:lang w:val="es-ES"/>
        </w:rPr>
        <w:t xml:space="preserve">Esto representa una disminución de un </w:t>
      </w:r>
      <w:r w:rsidR="00775B5A" w:rsidRPr="006E3E5A">
        <w:rPr>
          <w:snapToGrid w:val="0"/>
          <w:kern w:val="22"/>
          <w:lang w:val="es-ES"/>
        </w:rPr>
        <w:t>1</w:t>
      </w:r>
      <w:r w:rsidR="006E3E5A" w:rsidRPr="006E3E5A">
        <w:rPr>
          <w:snapToGrid w:val="0"/>
          <w:kern w:val="22"/>
          <w:lang w:val="es-ES"/>
        </w:rPr>
        <w:t xml:space="preserve"> </w:t>
      </w:r>
      <w:r w:rsidR="00775B5A" w:rsidRPr="006E3E5A">
        <w:rPr>
          <w:snapToGrid w:val="0"/>
          <w:kern w:val="22"/>
          <w:lang w:val="es-ES"/>
        </w:rPr>
        <w:t xml:space="preserve">% </w:t>
      </w:r>
      <w:r w:rsidR="006E3E5A" w:rsidRPr="006E3E5A">
        <w:rPr>
          <w:snapToGrid w:val="0"/>
          <w:kern w:val="22"/>
          <w:lang w:val="es-ES"/>
        </w:rPr>
        <w:t>con respecto a los datos b</w:t>
      </w:r>
      <w:r w:rsidR="006E3E5A">
        <w:rPr>
          <w:snapToGrid w:val="0"/>
          <w:kern w:val="22"/>
          <w:lang w:val="es-ES"/>
        </w:rPr>
        <w:t>ásicos de referencia</w:t>
      </w:r>
      <w:r w:rsidR="00775B5A" w:rsidRPr="006E3E5A">
        <w:rPr>
          <w:snapToGrid w:val="0"/>
          <w:kern w:val="22"/>
          <w:lang w:val="es-ES"/>
        </w:rPr>
        <w:t xml:space="preserve">, </w:t>
      </w:r>
      <w:r w:rsidR="006E3E5A">
        <w:rPr>
          <w:snapToGrid w:val="0"/>
          <w:kern w:val="22"/>
          <w:lang w:val="es-ES"/>
        </w:rPr>
        <w:t>cuando era de</w:t>
      </w:r>
      <w:r w:rsidR="00D92038">
        <w:rPr>
          <w:snapToGrid w:val="0"/>
          <w:kern w:val="22"/>
          <w:lang w:val="es-ES"/>
        </w:rPr>
        <w:t xml:space="preserve"> un</w:t>
      </w:r>
      <w:r w:rsidR="006E3E5A">
        <w:rPr>
          <w:snapToGrid w:val="0"/>
          <w:kern w:val="22"/>
          <w:lang w:val="es-ES"/>
        </w:rPr>
        <w:t xml:space="preserve"> </w:t>
      </w:r>
      <w:r w:rsidR="00775B5A" w:rsidRPr="006E3E5A">
        <w:rPr>
          <w:snapToGrid w:val="0"/>
          <w:kern w:val="22"/>
          <w:lang w:val="es-ES"/>
        </w:rPr>
        <w:t>99</w:t>
      </w:r>
      <w:r w:rsidR="006E3E5A">
        <w:rPr>
          <w:snapToGrid w:val="0"/>
          <w:kern w:val="22"/>
          <w:lang w:val="es-ES"/>
        </w:rPr>
        <w:t xml:space="preserve"> </w:t>
      </w:r>
      <w:r w:rsidR="00775B5A" w:rsidRPr="006E3E5A">
        <w:rPr>
          <w:snapToGrid w:val="0"/>
          <w:kern w:val="22"/>
          <w:lang w:val="es-ES"/>
        </w:rPr>
        <w:t xml:space="preserve">% (159 </w:t>
      </w:r>
      <w:r w:rsidR="006E3E5A">
        <w:rPr>
          <w:snapToGrid w:val="0"/>
          <w:kern w:val="22"/>
          <w:lang w:val="es-ES"/>
        </w:rPr>
        <w:t xml:space="preserve">de las </w:t>
      </w:r>
      <w:r w:rsidR="00775B5A" w:rsidRPr="006E3E5A">
        <w:rPr>
          <w:snapToGrid w:val="0"/>
          <w:kern w:val="22"/>
          <w:lang w:val="es-ES"/>
        </w:rPr>
        <w:t xml:space="preserve">161 Partes </w:t>
      </w:r>
      <w:r w:rsidR="006E3E5A">
        <w:rPr>
          <w:snapToGrid w:val="0"/>
          <w:kern w:val="22"/>
          <w:lang w:val="es-ES"/>
        </w:rPr>
        <w:t>en ese momento</w:t>
      </w:r>
      <w:r w:rsidR="00775B5A" w:rsidRPr="006E3E5A">
        <w:rPr>
          <w:snapToGrid w:val="0"/>
          <w:kern w:val="22"/>
          <w:lang w:val="es-ES"/>
        </w:rPr>
        <w:t>)</w:t>
      </w:r>
      <w:r w:rsidR="00775B5A" w:rsidRPr="006E3E5A">
        <w:rPr>
          <w:rFonts w:ascii="Angsana New" w:hAnsi="Angsana New" w:cs="Angsana New"/>
          <w:snapToGrid w:val="0"/>
          <w:kern w:val="22"/>
          <w:lang w:val="es-ES"/>
        </w:rPr>
        <w:t>.</w:t>
      </w:r>
      <w:r w:rsidR="00775B5A" w:rsidRPr="006E3E5A">
        <w:rPr>
          <w:snapToGrid w:val="0"/>
          <w:kern w:val="22"/>
          <w:lang w:val="es-ES"/>
        </w:rPr>
        <w:t xml:space="preserve"> </w:t>
      </w:r>
      <w:r w:rsidR="006E3E5A" w:rsidRPr="006E3E5A">
        <w:rPr>
          <w:snapToGrid w:val="0"/>
          <w:kern w:val="22"/>
          <w:lang w:val="es-ES"/>
        </w:rPr>
        <w:t>Un</w:t>
      </w:r>
      <w:r w:rsidR="00775B5A" w:rsidRPr="006E3E5A">
        <w:rPr>
          <w:snapToGrid w:val="0"/>
          <w:kern w:val="22"/>
          <w:lang w:val="es-ES"/>
        </w:rPr>
        <w:t xml:space="preserve"> total </w:t>
      </w:r>
      <w:r w:rsidR="006E3E5A" w:rsidRPr="006E3E5A">
        <w:rPr>
          <w:snapToGrid w:val="0"/>
          <w:kern w:val="22"/>
          <w:lang w:val="es-ES"/>
        </w:rPr>
        <w:t>del</w:t>
      </w:r>
      <w:r w:rsidR="00775B5A" w:rsidRPr="006E3E5A">
        <w:rPr>
          <w:snapToGrid w:val="0"/>
          <w:kern w:val="22"/>
          <w:lang w:val="es-ES"/>
        </w:rPr>
        <w:t xml:space="preserve"> 99</w:t>
      </w:r>
      <w:r w:rsidR="006E3E5A" w:rsidRPr="006E3E5A">
        <w:rPr>
          <w:snapToGrid w:val="0"/>
          <w:kern w:val="22"/>
          <w:lang w:val="es-ES"/>
        </w:rPr>
        <w:t xml:space="preserve"> </w:t>
      </w:r>
      <w:r w:rsidR="00775B5A" w:rsidRPr="006E3E5A">
        <w:rPr>
          <w:snapToGrid w:val="0"/>
          <w:kern w:val="22"/>
          <w:lang w:val="es-ES"/>
        </w:rPr>
        <w:t xml:space="preserve">% </w:t>
      </w:r>
      <w:r w:rsidR="006E3E5A" w:rsidRPr="006E3E5A">
        <w:rPr>
          <w:snapToGrid w:val="0"/>
          <w:kern w:val="22"/>
          <w:lang w:val="es-ES"/>
        </w:rPr>
        <w:t xml:space="preserve">de todas las Partes en el </w:t>
      </w:r>
      <w:r w:rsidR="00775B5A" w:rsidRPr="006E3E5A">
        <w:rPr>
          <w:snapToGrid w:val="0"/>
          <w:kern w:val="22"/>
          <w:lang w:val="es-ES"/>
        </w:rPr>
        <w:t>Protocol</w:t>
      </w:r>
      <w:r w:rsidR="006E3E5A" w:rsidRPr="006E3E5A">
        <w:rPr>
          <w:snapToGrid w:val="0"/>
          <w:kern w:val="22"/>
          <w:lang w:val="es-ES"/>
        </w:rPr>
        <w:t>o</w:t>
      </w:r>
      <w:r w:rsidR="00775B5A" w:rsidRPr="006E3E5A">
        <w:rPr>
          <w:snapToGrid w:val="0"/>
          <w:kern w:val="22"/>
          <w:lang w:val="es-ES"/>
        </w:rPr>
        <w:t xml:space="preserve"> (169 Partes) </w:t>
      </w:r>
      <w:r w:rsidR="006E3E5A">
        <w:rPr>
          <w:snapToGrid w:val="0"/>
          <w:kern w:val="22"/>
          <w:lang w:val="es-ES"/>
        </w:rPr>
        <w:t>ha designado a sus puntos focales para el CIISB</w:t>
      </w:r>
      <w:r w:rsidR="00775B5A" w:rsidRPr="006E3E5A">
        <w:rPr>
          <w:snapToGrid w:val="0"/>
          <w:kern w:val="22"/>
          <w:lang w:val="es-ES"/>
        </w:rPr>
        <w:t xml:space="preserve">. </w:t>
      </w:r>
      <w:r w:rsidR="006E3E5A" w:rsidRPr="006E3E5A">
        <w:rPr>
          <w:snapToGrid w:val="0"/>
          <w:kern w:val="22"/>
          <w:lang w:val="es-ES"/>
        </w:rPr>
        <w:t>Esto no representa ningún cambio con respecto a los datos básicos de referencia</w:t>
      </w:r>
      <w:r w:rsidR="00775B5A" w:rsidRPr="006E3E5A">
        <w:rPr>
          <w:snapToGrid w:val="0"/>
          <w:kern w:val="22"/>
          <w:lang w:val="es-ES"/>
        </w:rPr>
        <w:t xml:space="preserve">, </w:t>
      </w:r>
      <w:r w:rsidR="006E3E5A" w:rsidRPr="006E3E5A">
        <w:rPr>
          <w:snapToGrid w:val="0"/>
          <w:kern w:val="22"/>
          <w:lang w:val="es-ES"/>
        </w:rPr>
        <w:t>cuando era de</w:t>
      </w:r>
      <w:r w:rsidR="00D92038">
        <w:rPr>
          <w:snapToGrid w:val="0"/>
          <w:kern w:val="22"/>
          <w:lang w:val="es-ES"/>
        </w:rPr>
        <w:t xml:space="preserve"> un</w:t>
      </w:r>
      <w:r w:rsidR="006E3E5A" w:rsidRPr="006E3E5A">
        <w:rPr>
          <w:snapToGrid w:val="0"/>
          <w:kern w:val="22"/>
          <w:lang w:val="es-ES"/>
        </w:rPr>
        <w:t xml:space="preserve"> </w:t>
      </w:r>
      <w:r w:rsidR="00775B5A" w:rsidRPr="006E3E5A">
        <w:rPr>
          <w:snapToGrid w:val="0"/>
          <w:kern w:val="22"/>
          <w:lang w:val="es-ES"/>
        </w:rPr>
        <w:t>99</w:t>
      </w:r>
      <w:r w:rsidR="006E3E5A" w:rsidRPr="006E3E5A">
        <w:rPr>
          <w:snapToGrid w:val="0"/>
          <w:kern w:val="22"/>
          <w:lang w:val="es-ES"/>
        </w:rPr>
        <w:t xml:space="preserve"> </w:t>
      </w:r>
      <w:r w:rsidR="00775B5A" w:rsidRPr="006E3E5A">
        <w:rPr>
          <w:snapToGrid w:val="0"/>
          <w:kern w:val="22"/>
          <w:lang w:val="es-ES"/>
        </w:rPr>
        <w:t xml:space="preserve">% (160 </w:t>
      </w:r>
      <w:r w:rsidR="006E3E5A">
        <w:rPr>
          <w:snapToGrid w:val="0"/>
          <w:kern w:val="22"/>
          <w:lang w:val="es-ES"/>
        </w:rPr>
        <w:t>de las</w:t>
      </w:r>
      <w:r w:rsidR="00775B5A" w:rsidRPr="006E3E5A">
        <w:rPr>
          <w:snapToGrid w:val="0"/>
          <w:kern w:val="22"/>
          <w:lang w:val="es-ES"/>
        </w:rPr>
        <w:t xml:space="preserve"> 161 Partes </w:t>
      </w:r>
      <w:r w:rsidR="006E3E5A">
        <w:rPr>
          <w:snapToGrid w:val="0"/>
          <w:kern w:val="22"/>
          <w:lang w:val="es-ES"/>
        </w:rPr>
        <w:t>en ese momento</w:t>
      </w:r>
      <w:r w:rsidR="00775B5A" w:rsidRPr="006E3E5A">
        <w:rPr>
          <w:snapToGrid w:val="0"/>
          <w:kern w:val="22"/>
          <w:lang w:val="es-ES"/>
        </w:rPr>
        <w:t xml:space="preserve">); </w:t>
      </w:r>
      <w:r w:rsidR="006E3E5A">
        <w:rPr>
          <w:snapToGrid w:val="0"/>
          <w:kern w:val="22"/>
          <w:lang w:val="es-ES"/>
        </w:rPr>
        <w:t>un total del</w:t>
      </w:r>
      <w:r w:rsidR="00775B5A" w:rsidRPr="006E3E5A">
        <w:rPr>
          <w:snapToGrid w:val="0"/>
          <w:kern w:val="22"/>
          <w:lang w:val="es-ES"/>
        </w:rPr>
        <w:t xml:space="preserve"> 89</w:t>
      </w:r>
      <w:r w:rsidR="006E3E5A">
        <w:rPr>
          <w:snapToGrid w:val="0"/>
          <w:kern w:val="22"/>
          <w:lang w:val="es-ES"/>
        </w:rPr>
        <w:t xml:space="preserve"> % de todas las Part</w:t>
      </w:r>
      <w:r w:rsidR="00775B5A" w:rsidRPr="006E3E5A">
        <w:rPr>
          <w:snapToGrid w:val="0"/>
          <w:kern w:val="22"/>
          <w:lang w:val="es-ES"/>
        </w:rPr>
        <w:t xml:space="preserve">es </w:t>
      </w:r>
      <w:r w:rsidR="006E3E5A">
        <w:rPr>
          <w:snapToGrid w:val="0"/>
          <w:kern w:val="22"/>
          <w:lang w:val="es-ES"/>
        </w:rPr>
        <w:t xml:space="preserve">en el </w:t>
      </w:r>
      <w:r w:rsidR="00775B5A" w:rsidRPr="006E3E5A">
        <w:rPr>
          <w:snapToGrid w:val="0"/>
          <w:kern w:val="22"/>
          <w:lang w:val="es-ES"/>
        </w:rPr>
        <w:t>Protocol</w:t>
      </w:r>
      <w:r w:rsidR="006E3E5A">
        <w:rPr>
          <w:snapToGrid w:val="0"/>
          <w:kern w:val="22"/>
          <w:lang w:val="es-ES"/>
        </w:rPr>
        <w:t>o</w:t>
      </w:r>
      <w:r w:rsidR="00775B5A" w:rsidRPr="006E3E5A">
        <w:rPr>
          <w:snapToGrid w:val="0"/>
          <w:kern w:val="22"/>
          <w:lang w:val="es-ES"/>
        </w:rPr>
        <w:t xml:space="preserve"> (152 Partes) ha</w:t>
      </w:r>
      <w:r w:rsidR="006E3E5A">
        <w:rPr>
          <w:snapToGrid w:val="0"/>
          <w:kern w:val="22"/>
          <w:lang w:val="es-ES"/>
        </w:rPr>
        <w:t xml:space="preserve"> designado a una o más autoridades nacionales competentes</w:t>
      </w:r>
      <w:r w:rsidR="00775B5A" w:rsidRPr="006E3E5A">
        <w:rPr>
          <w:snapToGrid w:val="0"/>
          <w:kern w:val="22"/>
          <w:lang w:val="es-ES"/>
        </w:rPr>
        <w:t xml:space="preserve">. </w:t>
      </w:r>
      <w:r w:rsidR="006E3E5A" w:rsidRPr="006E3E5A">
        <w:rPr>
          <w:snapToGrid w:val="0"/>
          <w:kern w:val="22"/>
          <w:lang w:val="es-ES"/>
        </w:rPr>
        <w:t xml:space="preserve">Esto representa un aumento de un </w:t>
      </w:r>
      <w:r w:rsidR="00775B5A" w:rsidRPr="006E3E5A">
        <w:rPr>
          <w:snapToGrid w:val="0"/>
          <w:kern w:val="22"/>
          <w:lang w:val="es-ES"/>
        </w:rPr>
        <w:t>1</w:t>
      </w:r>
      <w:r w:rsidR="006E3E5A" w:rsidRPr="006E3E5A">
        <w:rPr>
          <w:snapToGrid w:val="0"/>
          <w:kern w:val="22"/>
          <w:lang w:val="es-ES"/>
        </w:rPr>
        <w:t xml:space="preserve"> </w:t>
      </w:r>
      <w:r w:rsidR="00775B5A" w:rsidRPr="006E3E5A">
        <w:rPr>
          <w:snapToGrid w:val="0"/>
          <w:kern w:val="22"/>
          <w:lang w:val="es-ES"/>
        </w:rPr>
        <w:t xml:space="preserve">% </w:t>
      </w:r>
      <w:r w:rsidR="006E3E5A" w:rsidRPr="006E3E5A">
        <w:rPr>
          <w:snapToGrid w:val="0"/>
          <w:kern w:val="22"/>
          <w:lang w:val="es-ES"/>
        </w:rPr>
        <w:t>con respecto a los datos básicos de referencia, cuando era de</w:t>
      </w:r>
      <w:r w:rsidR="00D92038">
        <w:rPr>
          <w:snapToGrid w:val="0"/>
          <w:kern w:val="22"/>
          <w:lang w:val="es-ES"/>
        </w:rPr>
        <w:t xml:space="preserve"> un</w:t>
      </w:r>
      <w:r w:rsidR="006E3E5A" w:rsidRPr="006E3E5A">
        <w:rPr>
          <w:snapToGrid w:val="0"/>
          <w:kern w:val="22"/>
          <w:lang w:val="es-ES"/>
        </w:rPr>
        <w:t xml:space="preserve"> </w:t>
      </w:r>
      <w:r w:rsidR="00775B5A" w:rsidRPr="006E3E5A">
        <w:rPr>
          <w:snapToGrid w:val="0"/>
          <w:kern w:val="22"/>
          <w:lang w:val="es-ES"/>
        </w:rPr>
        <w:t>88</w:t>
      </w:r>
      <w:r w:rsidR="006E3E5A" w:rsidRPr="006E3E5A">
        <w:rPr>
          <w:snapToGrid w:val="0"/>
          <w:kern w:val="22"/>
          <w:lang w:val="es-ES"/>
        </w:rPr>
        <w:t xml:space="preserve"> </w:t>
      </w:r>
      <w:r w:rsidR="006E3E5A">
        <w:rPr>
          <w:snapToGrid w:val="0"/>
          <w:kern w:val="22"/>
          <w:lang w:val="es-ES"/>
        </w:rPr>
        <w:t>% (142 de las</w:t>
      </w:r>
      <w:r w:rsidR="00775B5A" w:rsidRPr="006E3E5A">
        <w:rPr>
          <w:snapToGrid w:val="0"/>
          <w:kern w:val="22"/>
          <w:lang w:val="es-ES"/>
        </w:rPr>
        <w:t xml:space="preserve"> 161 Partes </w:t>
      </w:r>
      <w:r w:rsidR="006E3E5A">
        <w:rPr>
          <w:snapToGrid w:val="0"/>
          <w:kern w:val="22"/>
          <w:lang w:val="es-ES"/>
        </w:rPr>
        <w:t>en ese momento</w:t>
      </w:r>
      <w:r w:rsidR="00775B5A" w:rsidRPr="006E3E5A">
        <w:rPr>
          <w:snapToGrid w:val="0"/>
          <w:kern w:val="22"/>
          <w:lang w:val="es-ES"/>
        </w:rPr>
        <w:t xml:space="preserve">). </w:t>
      </w:r>
      <w:r w:rsidR="005E5C1F">
        <w:rPr>
          <w:snapToGrid w:val="0"/>
          <w:kern w:val="22"/>
          <w:lang w:val="es-ES"/>
        </w:rPr>
        <w:t>Asimismo</w:t>
      </w:r>
      <w:r w:rsidR="00775B5A" w:rsidRPr="00D92038">
        <w:rPr>
          <w:snapToGrid w:val="0"/>
          <w:kern w:val="22"/>
          <w:lang w:val="es-ES"/>
        </w:rPr>
        <w:t xml:space="preserve">, </w:t>
      </w:r>
      <w:r w:rsidR="00D92038" w:rsidRPr="00D92038">
        <w:rPr>
          <w:snapToGrid w:val="0"/>
          <w:kern w:val="22"/>
          <w:lang w:val="es-ES"/>
        </w:rPr>
        <w:t>un</w:t>
      </w:r>
      <w:r w:rsidR="00775B5A" w:rsidRPr="00D92038">
        <w:rPr>
          <w:snapToGrid w:val="0"/>
          <w:kern w:val="22"/>
          <w:lang w:val="es-ES"/>
        </w:rPr>
        <w:t xml:space="preserve"> total </w:t>
      </w:r>
      <w:r w:rsidR="00D92038" w:rsidRPr="00D92038">
        <w:rPr>
          <w:snapToGrid w:val="0"/>
          <w:kern w:val="22"/>
          <w:lang w:val="es-ES"/>
        </w:rPr>
        <w:t>del</w:t>
      </w:r>
      <w:r w:rsidR="00775B5A" w:rsidRPr="00D92038">
        <w:rPr>
          <w:snapToGrid w:val="0"/>
          <w:kern w:val="22"/>
          <w:lang w:val="es-ES"/>
        </w:rPr>
        <w:t xml:space="preserve"> 78</w:t>
      </w:r>
      <w:r w:rsidR="00D92038" w:rsidRPr="00D92038">
        <w:rPr>
          <w:snapToGrid w:val="0"/>
          <w:kern w:val="22"/>
          <w:lang w:val="es-ES"/>
        </w:rPr>
        <w:t xml:space="preserve"> </w:t>
      </w:r>
      <w:r w:rsidR="00775B5A" w:rsidRPr="00D92038">
        <w:rPr>
          <w:snapToGrid w:val="0"/>
          <w:kern w:val="22"/>
          <w:lang w:val="es-ES"/>
        </w:rPr>
        <w:t xml:space="preserve">% </w:t>
      </w:r>
      <w:r w:rsidR="00D92038" w:rsidRPr="00D92038">
        <w:rPr>
          <w:snapToGrid w:val="0"/>
          <w:kern w:val="22"/>
          <w:lang w:val="es-ES"/>
        </w:rPr>
        <w:t xml:space="preserve">de todas las </w:t>
      </w:r>
      <w:r w:rsidR="00775B5A" w:rsidRPr="00D92038">
        <w:rPr>
          <w:snapToGrid w:val="0"/>
          <w:kern w:val="22"/>
          <w:lang w:val="es-ES"/>
        </w:rPr>
        <w:t xml:space="preserve">Partes </w:t>
      </w:r>
      <w:r w:rsidR="00D92038" w:rsidRPr="00D92038">
        <w:rPr>
          <w:snapToGrid w:val="0"/>
          <w:kern w:val="22"/>
          <w:lang w:val="es-ES"/>
        </w:rPr>
        <w:t xml:space="preserve">en el </w:t>
      </w:r>
      <w:r w:rsidR="00775B5A" w:rsidRPr="00D92038">
        <w:rPr>
          <w:snapToGrid w:val="0"/>
          <w:kern w:val="22"/>
          <w:lang w:val="es-ES"/>
        </w:rPr>
        <w:t>Protocol</w:t>
      </w:r>
      <w:r w:rsidR="00D92038" w:rsidRPr="00D92038">
        <w:rPr>
          <w:snapToGrid w:val="0"/>
          <w:kern w:val="22"/>
          <w:lang w:val="es-ES"/>
        </w:rPr>
        <w:t>o</w:t>
      </w:r>
      <w:r w:rsidR="00775B5A" w:rsidRPr="00D92038">
        <w:rPr>
          <w:snapToGrid w:val="0"/>
          <w:kern w:val="22"/>
          <w:lang w:val="es-ES"/>
        </w:rPr>
        <w:t xml:space="preserve"> (133 Partes) </w:t>
      </w:r>
      <w:r w:rsidR="00D92038" w:rsidRPr="00D92038">
        <w:rPr>
          <w:snapToGrid w:val="0"/>
          <w:kern w:val="22"/>
          <w:lang w:val="es-ES"/>
        </w:rPr>
        <w:t>ha puesto a disposici</w:t>
      </w:r>
      <w:r w:rsidR="00D92038">
        <w:rPr>
          <w:snapToGrid w:val="0"/>
          <w:kern w:val="22"/>
          <w:lang w:val="es-ES"/>
        </w:rPr>
        <w:t xml:space="preserve">ón del CIISB información relativa a su punto de contacto para recibir notificaciones con arreglo al artículo </w:t>
      </w:r>
      <w:r w:rsidR="00775B5A" w:rsidRPr="00D92038">
        <w:rPr>
          <w:snapToGrid w:val="0"/>
          <w:kern w:val="22"/>
          <w:lang w:val="es-ES"/>
        </w:rPr>
        <w:t xml:space="preserve">17. </w:t>
      </w:r>
      <w:r w:rsidR="00D92038" w:rsidRPr="00D92038">
        <w:rPr>
          <w:snapToGrid w:val="0"/>
          <w:kern w:val="22"/>
          <w:lang w:val="es-ES"/>
        </w:rPr>
        <w:t xml:space="preserve">Esto representa un aumento de un </w:t>
      </w:r>
      <w:r w:rsidR="00775B5A" w:rsidRPr="00D92038">
        <w:rPr>
          <w:snapToGrid w:val="0"/>
          <w:kern w:val="22"/>
          <w:lang w:val="es-ES"/>
        </w:rPr>
        <w:t>34</w:t>
      </w:r>
      <w:r w:rsidR="00D92038" w:rsidRPr="00D92038">
        <w:rPr>
          <w:snapToGrid w:val="0"/>
          <w:kern w:val="22"/>
          <w:lang w:val="es-ES"/>
        </w:rPr>
        <w:t xml:space="preserve"> % con respecto a los datos básicos de referencia, cuando era de un </w:t>
      </w:r>
      <w:r w:rsidR="00775B5A" w:rsidRPr="00D92038">
        <w:rPr>
          <w:snapToGrid w:val="0"/>
          <w:kern w:val="22"/>
          <w:lang w:val="es-ES"/>
        </w:rPr>
        <w:t>44</w:t>
      </w:r>
      <w:r w:rsidR="00D92038">
        <w:rPr>
          <w:snapToGrid w:val="0"/>
          <w:kern w:val="22"/>
          <w:lang w:val="es-ES"/>
        </w:rPr>
        <w:t xml:space="preserve"> </w:t>
      </w:r>
      <w:r w:rsidR="00775B5A" w:rsidRPr="00D92038">
        <w:rPr>
          <w:snapToGrid w:val="0"/>
          <w:kern w:val="22"/>
          <w:lang w:val="es-ES"/>
        </w:rPr>
        <w:t xml:space="preserve">% (71 </w:t>
      </w:r>
      <w:r w:rsidR="00D92038">
        <w:rPr>
          <w:snapToGrid w:val="0"/>
          <w:kern w:val="22"/>
          <w:lang w:val="es-ES"/>
        </w:rPr>
        <w:t>de las</w:t>
      </w:r>
      <w:r w:rsidR="00775B5A" w:rsidRPr="00D92038">
        <w:rPr>
          <w:snapToGrid w:val="0"/>
          <w:kern w:val="22"/>
          <w:lang w:val="es-ES"/>
        </w:rPr>
        <w:t xml:space="preserve"> 161 Partes </w:t>
      </w:r>
      <w:r w:rsidR="00D92038">
        <w:rPr>
          <w:snapToGrid w:val="0"/>
          <w:kern w:val="22"/>
          <w:lang w:val="es-ES"/>
        </w:rPr>
        <w:t>en ese momento</w:t>
      </w:r>
      <w:r w:rsidR="00775B5A" w:rsidRPr="00D92038">
        <w:rPr>
          <w:snapToGrid w:val="0"/>
          <w:kern w:val="22"/>
          <w:lang w:val="es-ES"/>
        </w:rPr>
        <w:t>)</w:t>
      </w:r>
      <w:r w:rsidR="00775B5A" w:rsidRPr="00D92038">
        <w:rPr>
          <w:rFonts w:ascii="Angsana New" w:hAnsi="Angsana New" w:cs="Angsana New"/>
          <w:snapToGrid w:val="0"/>
          <w:kern w:val="22"/>
          <w:lang w:val="es-ES"/>
        </w:rPr>
        <w:t>.</w:t>
      </w:r>
    </w:p>
    <w:p w:rsidR="00775B5A" w:rsidRPr="003621C4" w:rsidRDefault="0013421E"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DA4AE9">
        <w:rPr>
          <w:snapToGrid w:val="0"/>
          <w:kern w:val="22"/>
          <w:lang w:val="es-ES"/>
        </w:rPr>
        <w:t xml:space="preserve">En relación con el </w:t>
      </w:r>
      <w:r w:rsidR="00775B5A" w:rsidRPr="00DA4AE9">
        <w:rPr>
          <w:b/>
          <w:bCs/>
          <w:snapToGrid w:val="0"/>
          <w:kern w:val="22"/>
          <w:lang w:val="es-ES"/>
        </w:rPr>
        <w:t>indica</w:t>
      </w:r>
      <w:r w:rsidRPr="00DA4AE9">
        <w:rPr>
          <w:b/>
          <w:bCs/>
          <w:snapToGrid w:val="0"/>
          <w:kern w:val="22"/>
          <w:lang w:val="es-ES"/>
        </w:rPr>
        <w:t>d</w:t>
      </w:r>
      <w:r w:rsidR="00775B5A" w:rsidRPr="00DA4AE9">
        <w:rPr>
          <w:b/>
          <w:bCs/>
          <w:snapToGrid w:val="0"/>
          <w:kern w:val="22"/>
          <w:lang w:val="es-ES"/>
        </w:rPr>
        <w:t xml:space="preserve">or 3.1.4 </w:t>
      </w:r>
      <w:r w:rsidR="00775B5A" w:rsidRPr="00DA4AE9">
        <w:rPr>
          <w:snapToGrid w:val="0"/>
          <w:kern w:val="22"/>
          <w:lang w:val="es-ES"/>
        </w:rPr>
        <w:t>(</w:t>
      </w:r>
      <w:r w:rsidRPr="00DA4AE9">
        <w:rPr>
          <w:snapToGrid w:val="0"/>
          <w:kern w:val="22"/>
          <w:lang w:val="es-ES"/>
        </w:rPr>
        <w:t>número de Partes que cuenta con un sistema para tramitar las solicitudes, incluido el acuerdo fundamentado previo</w:t>
      </w:r>
      <w:r w:rsidR="00775B5A" w:rsidRPr="00DA4AE9">
        <w:rPr>
          <w:snapToGrid w:val="0"/>
          <w:kern w:val="22"/>
          <w:lang w:val="es-ES"/>
        </w:rPr>
        <w:t xml:space="preserve">), </w:t>
      </w:r>
      <w:r w:rsidRPr="00DA4AE9">
        <w:rPr>
          <w:snapToGrid w:val="0"/>
          <w:kern w:val="22"/>
          <w:lang w:val="es-ES"/>
        </w:rPr>
        <w:t xml:space="preserve">el </w:t>
      </w:r>
      <w:r w:rsidR="00775B5A" w:rsidRPr="00DA4AE9">
        <w:rPr>
          <w:snapToGrid w:val="0"/>
          <w:kern w:val="22"/>
          <w:lang w:val="es-ES"/>
        </w:rPr>
        <w:t>66</w:t>
      </w:r>
      <w:r w:rsidRPr="00DA4AE9">
        <w:rPr>
          <w:snapToGrid w:val="0"/>
          <w:kern w:val="22"/>
          <w:lang w:val="es-ES"/>
        </w:rPr>
        <w:t xml:space="preserve"> </w:t>
      </w:r>
      <w:r w:rsidR="00775B5A" w:rsidRPr="00DA4AE9">
        <w:rPr>
          <w:snapToGrid w:val="0"/>
          <w:kern w:val="22"/>
          <w:lang w:val="es-ES"/>
        </w:rPr>
        <w:t xml:space="preserve">% </w:t>
      </w:r>
      <w:r w:rsidRPr="00DA4AE9">
        <w:rPr>
          <w:snapToGrid w:val="0"/>
          <w:kern w:val="22"/>
          <w:lang w:val="es-ES"/>
        </w:rPr>
        <w:t>de las</w:t>
      </w:r>
      <w:r w:rsidR="00775B5A" w:rsidRPr="00DA4AE9">
        <w:rPr>
          <w:snapToGrid w:val="0"/>
          <w:kern w:val="22"/>
          <w:lang w:val="es-ES"/>
        </w:rPr>
        <w:t xml:space="preserve"> Partes (61 Partes) </w:t>
      </w:r>
      <w:r w:rsidR="00DA4AE9" w:rsidRPr="00DA4AE9">
        <w:rPr>
          <w:snapToGrid w:val="0"/>
          <w:kern w:val="22"/>
          <w:lang w:val="es-ES"/>
        </w:rPr>
        <w:t>comunic</w:t>
      </w:r>
      <w:r w:rsidR="005E5C1F">
        <w:rPr>
          <w:snapToGrid w:val="0"/>
          <w:kern w:val="22"/>
          <w:lang w:val="es-ES"/>
        </w:rPr>
        <w:t>ó</w:t>
      </w:r>
      <w:r w:rsidR="00DA4AE9" w:rsidRPr="00DA4AE9">
        <w:rPr>
          <w:snapToGrid w:val="0"/>
          <w:kern w:val="22"/>
          <w:lang w:val="es-ES"/>
        </w:rPr>
        <w:t xml:space="preserve"> que </w:t>
      </w:r>
      <w:r w:rsidR="005E5C1F">
        <w:rPr>
          <w:snapToGrid w:val="0"/>
          <w:kern w:val="22"/>
          <w:lang w:val="es-ES"/>
        </w:rPr>
        <w:t xml:space="preserve">había </w:t>
      </w:r>
      <w:r w:rsidR="00DA4AE9" w:rsidRPr="00DA4AE9">
        <w:rPr>
          <w:snapToGrid w:val="0"/>
          <w:kern w:val="22"/>
          <w:lang w:val="es-ES"/>
        </w:rPr>
        <w:t xml:space="preserve">establecido requisitos legales para que los exportadores, en su marco nacional, notifiquen por escrito a la autoridad nacional competente </w:t>
      </w:r>
      <w:r w:rsidR="00DA4AE9">
        <w:rPr>
          <w:snapToGrid w:val="0"/>
          <w:kern w:val="22"/>
          <w:lang w:val="es-ES"/>
        </w:rPr>
        <w:t>de la Parte de importación antes del movimiento transfronterizo intencional de un OVM que entra en el ámbito del procedimiento del acuerdo fundamentado previo (AFP)</w:t>
      </w:r>
      <w:r w:rsidR="00775B5A" w:rsidRPr="00DA4AE9">
        <w:rPr>
          <w:snapToGrid w:val="0"/>
          <w:kern w:val="22"/>
          <w:lang w:val="es-ES"/>
        </w:rPr>
        <w:t xml:space="preserve">, </w:t>
      </w:r>
      <w:r w:rsidR="00DA4AE9">
        <w:rPr>
          <w:snapToGrid w:val="0"/>
          <w:kern w:val="22"/>
          <w:lang w:val="es-ES"/>
        </w:rPr>
        <w:t xml:space="preserve">lo que supone un aumento de un </w:t>
      </w:r>
      <w:r w:rsidR="00775B5A" w:rsidRPr="00DA4AE9">
        <w:rPr>
          <w:snapToGrid w:val="0"/>
          <w:kern w:val="22"/>
          <w:lang w:val="es-ES"/>
        </w:rPr>
        <w:t>5</w:t>
      </w:r>
      <w:r w:rsidR="00DA4AE9">
        <w:rPr>
          <w:snapToGrid w:val="0"/>
          <w:kern w:val="22"/>
          <w:lang w:val="es-ES"/>
        </w:rPr>
        <w:t xml:space="preserve"> </w:t>
      </w:r>
      <w:r w:rsidR="00775B5A" w:rsidRPr="00DA4AE9">
        <w:rPr>
          <w:snapToGrid w:val="0"/>
          <w:kern w:val="22"/>
          <w:lang w:val="es-ES"/>
        </w:rPr>
        <w:t xml:space="preserve">% </w:t>
      </w:r>
      <w:r w:rsidR="00DA4AE9">
        <w:rPr>
          <w:snapToGrid w:val="0"/>
          <w:kern w:val="22"/>
          <w:lang w:val="es-ES"/>
        </w:rPr>
        <w:t>con respecto a los datos básicos de referencia</w:t>
      </w:r>
      <w:r w:rsidR="00775B5A" w:rsidRPr="00DA4AE9">
        <w:rPr>
          <w:snapToGrid w:val="0"/>
          <w:kern w:val="22"/>
          <w:lang w:val="es-ES"/>
        </w:rPr>
        <w:t xml:space="preserve">. </w:t>
      </w:r>
      <w:r w:rsidR="00DA4AE9" w:rsidRPr="00DA4AE9">
        <w:rPr>
          <w:snapToGrid w:val="0"/>
          <w:kern w:val="22"/>
          <w:lang w:val="es-ES"/>
        </w:rPr>
        <w:t>Además</w:t>
      </w:r>
      <w:r w:rsidR="00775B5A" w:rsidRPr="00DA4AE9">
        <w:rPr>
          <w:snapToGrid w:val="0"/>
          <w:kern w:val="22"/>
          <w:lang w:val="es-ES"/>
        </w:rPr>
        <w:t xml:space="preserve">, </w:t>
      </w:r>
      <w:r w:rsidR="00DA4AE9" w:rsidRPr="00DA4AE9">
        <w:rPr>
          <w:snapToGrid w:val="0"/>
          <w:kern w:val="22"/>
          <w:lang w:val="es-ES"/>
        </w:rPr>
        <w:t xml:space="preserve">el </w:t>
      </w:r>
      <w:r w:rsidR="00775B5A" w:rsidRPr="00DA4AE9">
        <w:rPr>
          <w:snapToGrid w:val="0"/>
          <w:kern w:val="22"/>
          <w:lang w:val="es-ES"/>
        </w:rPr>
        <w:t>10</w:t>
      </w:r>
      <w:r w:rsidR="00DA4AE9" w:rsidRPr="00DA4AE9">
        <w:rPr>
          <w:snapToGrid w:val="0"/>
          <w:kern w:val="22"/>
          <w:lang w:val="es-ES"/>
        </w:rPr>
        <w:t xml:space="preserve"> </w:t>
      </w:r>
      <w:r w:rsidR="00775B5A" w:rsidRPr="00DA4AE9">
        <w:rPr>
          <w:snapToGrid w:val="0"/>
          <w:kern w:val="22"/>
          <w:lang w:val="es-ES"/>
        </w:rPr>
        <w:t xml:space="preserve">% </w:t>
      </w:r>
      <w:r w:rsidR="00DA4AE9" w:rsidRPr="00DA4AE9">
        <w:rPr>
          <w:snapToGrid w:val="0"/>
          <w:kern w:val="22"/>
          <w:lang w:val="es-ES"/>
        </w:rPr>
        <w:t>de las P</w:t>
      </w:r>
      <w:r w:rsidR="00775B5A" w:rsidRPr="00DA4AE9">
        <w:rPr>
          <w:snapToGrid w:val="0"/>
          <w:kern w:val="22"/>
          <w:lang w:val="es-ES"/>
        </w:rPr>
        <w:t xml:space="preserve">artes (9 Partes) </w:t>
      </w:r>
      <w:r w:rsidR="00DA4AE9" w:rsidRPr="00DA4AE9">
        <w:rPr>
          <w:snapToGrid w:val="0"/>
          <w:kern w:val="22"/>
          <w:lang w:val="es-ES"/>
        </w:rPr>
        <w:t>indic</w:t>
      </w:r>
      <w:r w:rsidR="005E5C1F">
        <w:rPr>
          <w:snapToGrid w:val="0"/>
          <w:kern w:val="22"/>
          <w:lang w:val="es-ES"/>
        </w:rPr>
        <w:t>ó que había</w:t>
      </w:r>
      <w:r w:rsidR="00DA4AE9" w:rsidRPr="00DA4AE9">
        <w:rPr>
          <w:snapToGrid w:val="0"/>
          <w:kern w:val="22"/>
          <w:lang w:val="es-ES"/>
        </w:rPr>
        <w:t xml:space="preserve"> </w:t>
      </w:r>
      <w:r w:rsidR="00DA4AE9">
        <w:rPr>
          <w:snapToGrid w:val="0"/>
          <w:kern w:val="22"/>
          <w:lang w:val="es-ES"/>
        </w:rPr>
        <w:t>establecido dichos requisitos legales para los exportadores</w:t>
      </w:r>
      <w:r w:rsidR="005E5C1F">
        <w:rPr>
          <w:snapToGrid w:val="0"/>
          <w:kern w:val="22"/>
          <w:lang w:val="es-ES"/>
        </w:rPr>
        <w:t xml:space="preserve"> en cierta medida</w:t>
      </w:r>
      <w:r w:rsidR="00775B5A">
        <w:rPr>
          <w:rStyle w:val="FootnoteReference"/>
          <w:rFonts w:ascii="Angsana New" w:hAnsi="Angsana New" w:cs="Angsana New"/>
          <w:snapToGrid w:val="0"/>
          <w:kern w:val="22"/>
        </w:rPr>
        <w:footnoteReference w:id="46"/>
      </w:r>
      <w:r w:rsidR="00DA4AE9" w:rsidRPr="00DA4AE9">
        <w:rPr>
          <w:snapToGrid w:val="0"/>
          <w:kern w:val="22"/>
          <w:lang w:val="es-ES"/>
        </w:rPr>
        <w:t>.</w:t>
      </w:r>
      <w:r w:rsidR="00775B5A" w:rsidRPr="00DA4AE9">
        <w:rPr>
          <w:snapToGrid w:val="0"/>
          <w:kern w:val="22"/>
          <w:lang w:val="es-ES"/>
        </w:rPr>
        <w:t xml:space="preserve"> </w:t>
      </w:r>
      <w:r w:rsidR="003621C4" w:rsidRPr="003621C4">
        <w:rPr>
          <w:snapToGrid w:val="0"/>
          <w:kern w:val="22"/>
          <w:lang w:val="es-ES"/>
        </w:rPr>
        <w:t>En conjunto</w:t>
      </w:r>
      <w:r w:rsidR="00775B5A" w:rsidRPr="003621C4">
        <w:rPr>
          <w:snapToGrid w:val="0"/>
          <w:kern w:val="22"/>
          <w:lang w:val="es-ES"/>
        </w:rPr>
        <w:t xml:space="preserve">, </w:t>
      </w:r>
      <w:r w:rsidR="003621C4" w:rsidRPr="003621C4">
        <w:rPr>
          <w:snapToGrid w:val="0"/>
          <w:kern w:val="22"/>
          <w:lang w:val="es-ES"/>
        </w:rPr>
        <w:t xml:space="preserve">el </w:t>
      </w:r>
      <w:r w:rsidR="00775B5A" w:rsidRPr="003621C4">
        <w:rPr>
          <w:snapToGrid w:val="0"/>
          <w:kern w:val="22"/>
          <w:lang w:val="es-ES"/>
        </w:rPr>
        <w:t>76</w:t>
      </w:r>
      <w:r w:rsidR="003621C4" w:rsidRPr="003621C4">
        <w:rPr>
          <w:snapToGrid w:val="0"/>
          <w:kern w:val="22"/>
          <w:lang w:val="es-ES"/>
        </w:rPr>
        <w:t xml:space="preserve"> </w:t>
      </w:r>
      <w:r w:rsidR="00775B5A" w:rsidRPr="003621C4">
        <w:rPr>
          <w:snapToGrid w:val="0"/>
          <w:kern w:val="22"/>
          <w:lang w:val="es-ES"/>
        </w:rPr>
        <w:t xml:space="preserve">% </w:t>
      </w:r>
      <w:r w:rsidR="003621C4" w:rsidRPr="003621C4">
        <w:rPr>
          <w:snapToGrid w:val="0"/>
          <w:kern w:val="22"/>
          <w:lang w:val="es-ES"/>
        </w:rPr>
        <w:t xml:space="preserve">de las </w:t>
      </w:r>
      <w:r w:rsidR="00775B5A" w:rsidRPr="003621C4">
        <w:rPr>
          <w:snapToGrid w:val="0"/>
          <w:kern w:val="22"/>
          <w:lang w:val="es-ES"/>
        </w:rPr>
        <w:t xml:space="preserve">Partes </w:t>
      </w:r>
      <w:r w:rsidR="003621C4" w:rsidRPr="003621C4">
        <w:rPr>
          <w:snapToGrid w:val="0"/>
          <w:kern w:val="22"/>
          <w:lang w:val="es-ES"/>
        </w:rPr>
        <w:t>comunic</w:t>
      </w:r>
      <w:r w:rsidR="005E5C1F">
        <w:rPr>
          <w:snapToGrid w:val="0"/>
          <w:kern w:val="22"/>
          <w:lang w:val="es-ES"/>
        </w:rPr>
        <w:t>ó</w:t>
      </w:r>
      <w:r w:rsidR="003621C4" w:rsidRPr="003621C4">
        <w:rPr>
          <w:snapToGrid w:val="0"/>
          <w:kern w:val="22"/>
          <w:lang w:val="es-ES"/>
        </w:rPr>
        <w:t xml:space="preserve"> que había </w:t>
      </w:r>
      <w:r w:rsidR="003621C4" w:rsidRPr="003621C4">
        <w:rPr>
          <w:snapToGrid w:val="0"/>
          <w:kern w:val="22"/>
          <w:lang w:val="es-ES"/>
        </w:rPr>
        <w:lastRenderedPageBreak/>
        <w:t>establecido esos requisitos legales</w:t>
      </w:r>
      <w:r w:rsidR="00775B5A" w:rsidRPr="003621C4">
        <w:rPr>
          <w:snapToGrid w:val="0"/>
          <w:kern w:val="22"/>
          <w:lang w:val="es-ES"/>
        </w:rPr>
        <w:t xml:space="preserve">, </w:t>
      </w:r>
      <w:r w:rsidR="003621C4">
        <w:rPr>
          <w:snapToGrid w:val="0"/>
          <w:kern w:val="22"/>
          <w:lang w:val="es-ES"/>
        </w:rPr>
        <w:t xml:space="preserve">lo que representa un aumento de un </w:t>
      </w:r>
      <w:r w:rsidR="00775B5A" w:rsidRPr="003621C4">
        <w:rPr>
          <w:snapToGrid w:val="0"/>
          <w:kern w:val="22"/>
          <w:lang w:val="es-ES"/>
        </w:rPr>
        <w:t>14</w:t>
      </w:r>
      <w:r w:rsidR="003621C4">
        <w:rPr>
          <w:snapToGrid w:val="0"/>
          <w:kern w:val="22"/>
          <w:lang w:val="es-ES"/>
        </w:rPr>
        <w:t xml:space="preserve"> </w:t>
      </w:r>
      <w:r w:rsidR="00775B5A" w:rsidRPr="003621C4">
        <w:rPr>
          <w:snapToGrid w:val="0"/>
          <w:kern w:val="22"/>
          <w:lang w:val="es-ES"/>
        </w:rPr>
        <w:t>%</w:t>
      </w:r>
      <w:r w:rsidR="00775B5A">
        <w:rPr>
          <w:rStyle w:val="FootnoteReference"/>
          <w:rFonts w:ascii="Angsana New" w:hAnsi="Angsana New" w:cs="Angsana New"/>
          <w:snapToGrid w:val="0"/>
          <w:kern w:val="22"/>
        </w:rPr>
        <w:footnoteReference w:id="47"/>
      </w:r>
      <w:r w:rsidR="00775B5A" w:rsidRPr="003621C4">
        <w:rPr>
          <w:snapToGrid w:val="0"/>
          <w:kern w:val="22"/>
          <w:lang w:val="es-ES"/>
        </w:rPr>
        <w:t xml:space="preserve"> </w:t>
      </w:r>
      <w:r w:rsidR="003621C4">
        <w:rPr>
          <w:snapToGrid w:val="0"/>
          <w:kern w:val="22"/>
          <w:lang w:val="es-ES"/>
        </w:rPr>
        <w:t>con respecto a los datos básicos de referencia</w:t>
      </w:r>
      <w:r w:rsidR="00775B5A" w:rsidRPr="003621C4">
        <w:rPr>
          <w:snapToGrid w:val="0"/>
          <w:kern w:val="22"/>
          <w:lang w:val="es-ES"/>
        </w:rPr>
        <w:t xml:space="preserve"> (</w:t>
      </w:r>
      <w:r w:rsidR="003621C4">
        <w:rPr>
          <w:snapToGrid w:val="0"/>
          <w:kern w:val="22"/>
          <w:lang w:val="es-ES"/>
        </w:rPr>
        <w:t>con los siguientes cambios regionales</w:t>
      </w:r>
      <w:r w:rsidR="00775B5A" w:rsidRPr="003621C4">
        <w:rPr>
          <w:snapToGrid w:val="0"/>
          <w:kern w:val="22"/>
          <w:lang w:val="es-ES"/>
        </w:rPr>
        <w:t>: Asia</w:t>
      </w:r>
      <w:r w:rsidR="00F45BD1">
        <w:rPr>
          <w:snapToGrid w:val="0"/>
          <w:kern w:val="22"/>
          <w:lang w:val="es-ES"/>
        </w:rPr>
        <w:t xml:space="preserve"> y el </w:t>
      </w:r>
      <w:r w:rsidR="003621C4">
        <w:rPr>
          <w:snapToGrid w:val="0"/>
          <w:kern w:val="22"/>
          <w:lang w:val="es-ES"/>
        </w:rPr>
        <w:t xml:space="preserve">Pacífico </w:t>
      </w:r>
      <w:r w:rsidR="00775B5A" w:rsidRPr="003621C4">
        <w:rPr>
          <w:snapToGrid w:val="0"/>
          <w:kern w:val="22"/>
          <w:lang w:val="es-ES"/>
        </w:rPr>
        <w:t>+</w:t>
      </w:r>
      <w:r w:rsidR="003621C4">
        <w:rPr>
          <w:snapToGrid w:val="0"/>
          <w:kern w:val="22"/>
          <w:lang w:val="es-ES"/>
        </w:rPr>
        <w:t xml:space="preserve"> </w:t>
      </w:r>
      <w:r w:rsidR="00775B5A" w:rsidRPr="003621C4">
        <w:rPr>
          <w:snapToGrid w:val="0"/>
          <w:kern w:val="22"/>
          <w:lang w:val="es-ES"/>
        </w:rPr>
        <w:t>38</w:t>
      </w:r>
      <w:r w:rsidR="003621C4">
        <w:rPr>
          <w:snapToGrid w:val="0"/>
          <w:kern w:val="22"/>
          <w:lang w:val="es-ES"/>
        </w:rPr>
        <w:t xml:space="preserve"> </w:t>
      </w:r>
      <w:r w:rsidR="00775B5A" w:rsidRPr="003621C4">
        <w:rPr>
          <w:snapToGrid w:val="0"/>
          <w:kern w:val="22"/>
          <w:lang w:val="es-ES"/>
        </w:rPr>
        <w:t>%</w:t>
      </w:r>
      <w:r w:rsidR="005E5C1F">
        <w:rPr>
          <w:snapToGrid w:val="0"/>
          <w:kern w:val="22"/>
          <w:lang w:val="es-ES"/>
        </w:rPr>
        <w:t>,</w:t>
      </w:r>
      <w:r w:rsidR="00775B5A" w:rsidRPr="003621C4">
        <w:rPr>
          <w:snapToGrid w:val="0"/>
          <w:kern w:val="22"/>
          <w:lang w:val="es-ES"/>
        </w:rPr>
        <w:t xml:space="preserve"> </w:t>
      </w:r>
      <w:r w:rsidR="00D74010">
        <w:rPr>
          <w:snapToGrid w:val="0"/>
          <w:kern w:val="22"/>
          <w:lang w:val="es-ES"/>
        </w:rPr>
        <w:t>grupo de países de América Latina y el Caribe</w:t>
      </w:r>
      <w:r w:rsidR="00D74010" w:rsidRPr="003621C4">
        <w:rPr>
          <w:snapToGrid w:val="0"/>
          <w:kern w:val="22"/>
          <w:lang w:val="es-ES"/>
        </w:rPr>
        <w:t xml:space="preserve"> </w:t>
      </w:r>
      <w:r w:rsidR="00775B5A" w:rsidRPr="003621C4">
        <w:rPr>
          <w:snapToGrid w:val="0"/>
          <w:kern w:val="22"/>
          <w:lang w:val="es-ES"/>
        </w:rPr>
        <w:t>+</w:t>
      </w:r>
      <w:r w:rsidR="003621C4">
        <w:rPr>
          <w:snapToGrid w:val="0"/>
          <w:kern w:val="22"/>
          <w:lang w:val="es-ES"/>
        </w:rPr>
        <w:t xml:space="preserve"> </w:t>
      </w:r>
      <w:r w:rsidR="00775B5A" w:rsidRPr="003621C4">
        <w:rPr>
          <w:snapToGrid w:val="0"/>
          <w:kern w:val="22"/>
          <w:lang w:val="es-ES"/>
        </w:rPr>
        <w:t>31</w:t>
      </w:r>
      <w:r w:rsidR="003621C4">
        <w:rPr>
          <w:snapToGrid w:val="0"/>
          <w:kern w:val="22"/>
          <w:lang w:val="es-ES"/>
        </w:rPr>
        <w:t xml:space="preserve"> </w:t>
      </w:r>
      <w:r w:rsidR="00775B5A" w:rsidRPr="003621C4">
        <w:rPr>
          <w:snapToGrid w:val="0"/>
          <w:kern w:val="22"/>
          <w:lang w:val="es-ES"/>
        </w:rPr>
        <w:t>%</w:t>
      </w:r>
      <w:r w:rsidR="005E5C1F">
        <w:rPr>
          <w:snapToGrid w:val="0"/>
          <w:kern w:val="22"/>
          <w:lang w:val="es-ES"/>
        </w:rPr>
        <w:t>,</w:t>
      </w:r>
      <w:r w:rsidR="00775B5A" w:rsidRPr="003621C4">
        <w:rPr>
          <w:snapToGrid w:val="0"/>
          <w:kern w:val="22"/>
          <w:lang w:val="es-ES"/>
        </w:rPr>
        <w:t xml:space="preserve"> </w:t>
      </w:r>
      <w:r w:rsidR="003621C4">
        <w:rPr>
          <w:snapToGrid w:val="0"/>
          <w:kern w:val="22"/>
          <w:lang w:val="es-ES"/>
        </w:rPr>
        <w:t>Á</w:t>
      </w:r>
      <w:r w:rsidR="00775B5A" w:rsidRPr="003621C4">
        <w:rPr>
          <w:snapToGrid w:val="0"/>
          <w:kern w:val="22"/>
          <w:lang w:val="es-ES"/>
        </w:rPr>
        <w:t>frica +</w:t>
      </w:r>
      <w:r w:rsidR="003621C4">
        <w:rPr>
          <w:snapToGrid w:val="0"/>
          <w:kern w:val="22"/>
          <w:lang w:val="es-ES"/>
        </w:rPr>
        <w:t xml:space="preserve"> </w:t>
      </w:r>
      <w:r w:rsidR="00775B5A" w:rsidRPr="003621C4">
        <w:rPr>
          <w:snapToGrid w:val="0"/>
          <w:kern w:val="22"/>
          <w:lang w:val="es-ES"/>
        </w:rPr>
        <w:t>7</w:t>
      </w:r>
      <w:r w:rsidR="003621C4">
        <w:rPr>
          <w:snapToGrid w:val="0"/>
          <w:kern w:val="22"/>
          <w:lang w:val="es-ES"/>
        </w:rPr>
        <w:t xml:space="preserve"> </w:t>
      </w:r>
      <w:r w:rsidR="00775B5A" w:rsidRPr="003621C4">
        <w:rPr>
          <w:snapToGrid w:val="0"/>
          <w:kern w:val="22"/>
          <w:lang w:val="es-ES"/>
        </w:rPr>
        <w:t>%</w:t>
      </w:r>
      <w:r w:rsidR="005E5C1F">
        <w:rPr>
          <w:snapToGrid w:val="0"/>
          <w:kern w:val="22"/>
          <w:lang w:val="es-ES"/>
        </w:rPr>
        <w:t>,</w:t>
      </w:r>
      <w:r w:rsidR="00775B5A" w:rsidRPr="003621C4">
        <w:rPr>
          <w:snapToGrid w:val="0"/>
          <w:kern w:val="22"/>
          <w:lang w:val="es-ES"/>
        </w:rPr>
        <w:t xml:space="preserve"> </w:t>
      </w:r>
      <w:r w:rsidR="003621C4">
        <w:rPr>
          <w:snapToGrid w:val="0"/>
          <w:kern w:val="22"/>
          <w:lang w:val="es-ES"/>
        </w:rPr>
        <w:t>grupo de Estados de Europa Occidental y otros</w:t>
      </w:r>
      <w:r w:rsidR="00775B5A" w:rsidRPr="003621C4">
        <w:rPr>
          <w:snapToGrid w:val="0"/>
          <w:kern w:val="22"/>
          <w:lang w:val="es-ES"/>
        </w:rPr>
        <w:t xml:space="preserve"> +</w:t>
      </w:r>
      <w:r w:rsidR="003621C4">
        <w:rPr>
          <w:snapToGrid w:val="0"/>
          <w:kern w:val="22"/>
          <w:lang w:val="es-ES"/>
        </w:rPr>
        <w:t xml:space="preserve"> </w:t>
      </w:r>
      <w:r w:rsidR="00775B5A" w:rsidRPr="003621C4">
        <w:rPr>
          <w:snapToGrid w:val="0"/>
          <w:kern w:val="22"/>
          <w:lang w:val="es-ES"/>
        </w:rPr>
        <w:t>6</w:t>
      </w:r>
      <w:r w:rsidR="003621C4">
        <w:rPr>
          <w:snapToGrid w:val="0"/>
          <w:kern w:val="22"/>
          <w:lang w:val="es-ES"/>
        </w:rPr>
        <w:t xml:space="preserve"> </w:t>
      </w:r>
      <w:r w:rsidR="00775B5A" w:rsidRPr="003621C4">
        <w:rPr>
          <w:snapToGrid w:val="0"/>
          <w:kern w:val="22"/>
          <w:lang w:val="es-ES"/>
        </w:rPr>
        <w:t>%</w:t>
      </w:r>
      <w:r w:rsidR="005E5C1F">
        <w:rPr>
          <w:snapToGrid w:val="0"/>
          <w:kern w:val="22"/>
          <w:lang w:val="es-ES"/>
        </w:rPr>
        <w:t>,</w:t>
      </w:r>
      <w:r w:rsidR="00775B5A" w:rsidRPr="003621C4">
        <w:rPr>
          <w:snapToGrid w:val="0"/>
          <w:kern w:val="22"/>
          <w:lang w:val="es-ES"/>
        </w:rPr>
        <w:t xml:space="preserve"> </w:t>
      </w:r>
      <w:r w:rsidR="00477624">
        <w:rPr>
          <w:snapToGrid w:val="0"/>
          <w:kern w:val="22"/>
          <w:lang w:val="es-ES"/>
        </w:rPr>
        <w:t>grupo de Estados de Europa Central y Oriental</w:t>
      </w:r>
      <w:r w:rsidR="00477624" w:rsidRPr="00EC2231">
        <w:rPr>
          <w:snapToGrid w:val="0"/>
          <w:kern w:val="22"/>
          <w:lang w:val="es-ES"/>
        </w:rPr>
        <w:t xml:space="preserve"> </w:t>
      </w:r>
      <w:r w:rsidR="003621C4">
        <w:rPr>
          <w:snapToGrid w:val="0"/>
          <w:kern w:val="22"/>
          <w:lang w:val="es-ES"/>
        </w:rPr>
        <w:t>sin cambios con respecto a los datos básicos de referencia</w:t>
      </w:r>
      <w:r w:rsidR="00775B5A" w:rsidRPr="003621C4">
        <w:rPr>
          <w:snapToGrid w:val="0"/>
          <w:kern w:val="22"/>
          <w:lang w:val="es-ES"/>
        </w:rPr>
        <w:t xml:space="preserve">). </w:t>
      </w:r>
      <w:r w:rsidR="003621C4" w:rsidRPr="003621C4">
        <w:rPr>
          <w:snapToGrid w:val="0"/>
          <w:kern w:val="22"/>
          <w:lang w:val="es-ES"/>
        </w:rPr>
        <w:t>Un</w:t>
      </w:r>
      <w:r w:rsidR="00775B5A" w:rsidRPr="003621C4">
        <w:rPr>
          <w:snapToGrid w:val="0"/>
          <w:kern w:val="22"/>
          <w:lang w:val="es-ES"/>
        </w:rPr>
        <w:t xml:space="preserve"> total </w:t>
      </w:r>
      <w:r w:rsidR="003621C4" w:rsidRPr="003621C4">
        <w:rPr>
          <w:snapToGrid w:val="0"/>
          <w:kern w:val="22"/>
          <w:lang w:val="es-ES"/>
        </w:rPr>
        <w:t>del</w:t>
      </w:r>
      <w:r w:rsidR="00775B5A" w:rsidRPr="003621C4">
        <w:rPr>
          <w:snapToGrid w:val="0"/>
          <w:kern w:val="22"/>
          <w:lang w:val="es-ES"/>
        </w:rPr>
        <w:t xml:space="preserve"> 25</w:t>
      </w:r>
      <w:r w:rsidR="003621C4" w:rsidRPr="003621C4">
        <w:rPr>
          <w:snapToGrid w:val="0"/>
          <w:kern w:val="22"/>
          <w:lang w:val="es-ES"/>
        </w:rPr>
        <w:t xml:space="preserve"> </w:t>
      </w:r>
      <w:r w:rsidR="00775B5A" w:rsidRPr="003621C4">
        <w:rPr>
          <w:snapToGrid w:val="0"/>
          <w:kern w:val="22"/>
          <w:lang w:val="es-ES"/>
        </w:rPr>
        <w:t xml:space="preserve">% </w:t>
      </w:r>
      <w:r w:rsidR="003621C4" w:rsidRPr="003621C4">
        <w:rPr>
          <w:snapToGrid w:val="0"/>
          <w:kern w:val="22"/>
          <w:lang w:val="es-ES"/>
        </w:rPr>
        <w:t xml:space="preserve">de las </w:t>
      </w:r>
      <w:r w:rsidR="00775B5A" w:rsidRPr="003621C4">
        <w:rPr>
          <w:snapToGrid w:val="0"/>
          <w:kern w:val="22"/>
          <w:lang w:val="es-ES"/>
        </w:rPr>
        <w:t>Partes (23 Part</w:t>
      </w:r>
      <w:r w:rsidR="003621C4" w:rsidRPr="003621C4">
        <w:rPr>
          <w:snapToGrid w:val="0"/>
          <w:kern w:val="22"/>
          <w:lang w:val="es-ES"/>
        </w:rPr>
        <w:t>es) inform</w:t>
      </w:r>
      <w:r w:rsidR="005D6454">
        <w:rPr>
          <w:snapToGrid w:val="0"/>
          <w:kern w:val="22"/>
          <w:lang w:val="es-ES"/>
        </w:rPr>
        <w:t>ó</w:t>
      </w:r>
      <w:r w:rsidR="003621C4" w:rsidRPr="003621C4">
        <w:rPr>
          <w:snapToGrid w:val="0"/>
          <w:kern w:val="22"/>
          <w:lang w:val="es-ES"/>
        </w:rPr>
        <w:t xml:space="preserve"> que hab</w:t>
      </w:r>
      <w:r w:rsidR="003621C4">
        <w:rPr>
          <w:snapToGrid w:val="0"/>
          <w:kern w:val="22"/>
          <w:lang w:val="es-ES"/>
        </w:rPr>
        <w:t>ía establecido dichos requisitos legales</w:t>
      </w:r>
      <w:r w:rsidR="00775B5A" w:rsidRPr="003621C4">
        <w:rPr>
          <w:snapToGrid w:val="0"/>
          <w:kern w:val="22"/>
          <w:lang w:val="es-ES"/>
        </w:rPr>
        <w:t xml:space="preserve">, </w:t>
      </w:r>
      <w:r w:rsidR="003621C4">
        <w:rPr>
          <w:snapToGrid w:val="0"/>
          <w:kern w:val="22"/>
          <w:lang w:val="es-ES"/>
        </w:rPr>
        <w:t xml:space="preserve">lo que constituye una disminución de un </w:t>
      </w:r>
      <w:r w:rsidR="00775B5A" w:rsidRPr="003621C4">
        <w:rPr>
          <w:snapToGrid w:val="0"/>
          <w:kern w:val="22"/>
          <w:lang w:val="es-ES"/>
        </w:rPr>
        <w:t>14</w:t>
      </w:r>
      <w:r w:rsidR="003621C4">
        <w:rPr>
          <w:snapToGrid w:val="0"/>
          <w:kern w:val="22"/>
          <w:lang w:val="es-ES"/>
        </w:rPr>
        <w:t xml:space="preserve"> </w:t>
      </w:r>
      <w:r w:rsidR="00775B5A" w:rsidRPr="003621C4">
        <w:rPr>
          <w:snapToGrid w:val="0"/>
          <w:kern w:val="22"/>
          <w:lang w:val="es-ES"/>
        </w:rPr>
        <w:t>%.</w:t>
      </w:r>
    </w:p>
    <w:p w:rsidR="00775B5A" w:rsidRPr="002F01AF" w:rsidRDefault="002F01AF"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2F01AF">
        <w:rPr>
          <w:snapToGrid w:val="0"/>
          <w:kern w:val="22"/>
          <w:lang w:val="es-ES"/>
        </w:rPr>
        <w:t>Un</w:t>
      </w:r>
      <w:r w:rsidR="00775B5A" w:rsidRPr="002F01AF">
        <w:rPr>
          <w:snapToGrid w:val="0"/>
          <w:kern w:val="22"/>
          <w:lang w:val="es-ES"/>
        </w:rPr>
        <w:t xml:space="preserve"> total </w:t>
      </w:r>
      <w:r w:rsidRPr="002F01AF">
        <w:rPr>
          <w:snapToGrid w:val="0"/>
          <w:kern w:val="22"/>
          <w:lang w:val="es-ES"/>
        </w:rPr>
        <w:t>del</w:t>
      </w:r>
      <w:r w:rsidR="00775B5A" w:rsidRPr="002F01AF">
        <w:rPr>
          <w:snapToGrid w:val="0"/>
          <w:kern w:val="22"/>
          <w:lang w:val="es-ES"/>
        </w:rPr>
        <w:t xml:space="preserve"> 21</w:t>
      </w:r>
      <w:r w:rsidRPr="002F01AF">
        <w:rPr>
          <w:snapToGrid w:val="0"/>
          <w:kern w:val="22"/>
          <w:lang w:val="es-ES"/>
        </w:rPr>
        <w:t xml:space="preserve"> </w:t>
      </w:r>
      <w:r w:rsidR="00775B5A" w:rsidRPr="002F01AF">
        <w:rPr>
          <w:snapToGrid w:val="0"/>
          <w:kern w:val="22"/>
          <w:lang w:val="es-ES"/>
        </w:rPr>
        <w:t xml:space="preserve">% </w:t>
      </w:r>
      <w:r w:rsidRPr="002F01AF">
        <w:rPr>
          <w:snapToGrid w:val="0"/>
          <w:kern w:val="22"/>
          <w:lang w:val="es-ES"/>
        </w:rPr>
        <w:t xml:space="preserve">de las </w:t>
      </w:r>
      <w:r w:rsidR="00775B5A" w:rsidRPr="002F01AF">
        <w:rPr>
          <w:snapToGrid w:val="0"/>
          <w:kern w:val="22"/>
          <w:lang w:val="es-ES"/>
        </w:rPr>
        <w:t xml:space="preserve">Partes (19 Partes) </w:t>
      </w:r>
      <w:r w:rsidRPr="002F01AF">
        <w:rPr>
          <w:snapToGrid w:val="0"/>
          <w:kern w:val="22"/>
          <w:lang w:val="es-ES"/>
        </w:rPr>
        <w:t>comunic</w:t>
      </w:r>
      <w:r w:rsidR="00244330">
        <w:rPr>
          <w:snapToGrid w:val="0"/>
          <w:kern w:val="22"/>
          <w:lang w:val="es-ES"/>
        </w:rPr>
        <w:t>ó</w:t>
      </w:r>
      <w:r w:rsidRPr="002F01AF">
        <w:rPr>
          <w:snapToGrid w:val="0"/>
          <w:kern w:val="22"/>
          <w:lang w:val="es-ES"/>
        </w:rPr>
        <w:t xml:space="preserve"> haber recibido una notificación relativ</w:t>
      </w:r>
      <w:r w:rsidR="005D6825">
        <w:rPr>
          <w:snapToGrid w:val="0"/>
          <w:kern w:val="22"/>
          <w:lang w:val="es-ES"/>
        </w:rPr>
        <w:t>a</w:t>
      </w:r>
      <w:r w:rsidRPr="002F01AF">
        <w:rPr>
          <w:snapToGrid w:val="0"/>
          <w:kern w:val="22"/>
          <w:lang w:val="es-ES"/>
        </w:rPr>
        <w:t xml:space="preserve"> a los movimientos transfronterizos intencionales de OVM para su introducción </w:t>
      </w:r>
      <w:r w:rsidR="00775B5A" w:rsidRPr="002F01AF">
        <w:rPr>
          <w:snapToGrid w:val="0"/>
          <w:kern w:val="22"/>
          <w:lang w:val="es-ES"/>
        </w:rPr>
        <w:t>inten</w:t>
      </w:r>
      <w:r w:rsidRPr="002F01AF">
        <w:rPr>
          <w:snapToGrid w:val="0"/>
          <w:kern w:val="22"/>
          <w:lang w:val="es-ES"/>
        </w:rPr>
        <w:t>c</w:t>
      </w:r>
      <w:r w:rsidR="00775B5A" w:rsidRPr="002F01AF">
        <w:rPr>
          <w:snapToGrid w:val="0"/>
          <w:kern w:val="22"/>
          <w:lang w:val="es-ES"/>
        </w:rPr>
        <w:t xml:space="preserve">ional </w:t>
      </w:r>
      <w:r w:rsidRPr="002F01AF">
        <w:rPr>
          <w:snapToGrid w:val="0"/>
          <w:kern w:val="22"/>
          <w:lang w:val="es-ES"/>
        </w:rPr>
        <w:t>en el medio ambiente, lo que representa una disminuci</w:t>
      </w:r>
      <w:r>
        <w:rPr>
          <w:snapToGrid w:val="0"/>
          <w:kern w:val="22"/>
          <w:lang w:val="es-ES"/>
        </w:rPr>
        <w:t xml:space="preserve">ón de un </w:t>
      </w:r>
      <w:r w:rsidR="00775B5A" w:rsidRPr="002F01AF">
        <w:rPr>
          <w:snapToGrid w:val="0"/>
          <w:kern w:val="22"/>
          <w:lang w:val="es-ES"/>
        </w:rPr>
        <w:t>13</w:t>
      </w:r>
      <w:r>
        <w:rPr>
          <w:snapToGrid w:val="0"/>
          <w:kern w:val="22"/>
          <w:lang w:val="es-ES"/>
        </w:rPr>
        <w:t xml:space="preserve"> </w:t>
      </w:r>
      <w:r w:rsidR="00775B5A" w:rsidRPr="002F01AF">
        <w:rPr>
          <w:snapToGrid w:val="0"/>
          <w:kern w:val="22"/>
          <w:lang w:val="es-ES"/>
        </w:rPr>
        <w:t xml:space="preserve">% </w:t>
      </w:r>
      <w:r>
        <w:rPr>
          <w:snapToGrid w:val="0"/>
          <w:kern w:val="22"/>
          <w:lang w:val="es-ES"/>
        </w:rPr>
        <w:t xml:space="preserve">con respecto a los datos básicos de referencia </w:t>
      </w:r>
      <w:r w:rsidR="00775B5A" w:rsidRPr="002F01AF">
        <w:rPr>
          <w:snapToGrid w:val="0"/>
          <w:kern w:val="22"/>
          <w:lang w:val="es-ES"/>
        </w:rPr>
        <w:t>(</w:t>
      </w:r>
      <w:r>
        <w:rPr>
          <w:snapToGrid w:val="0"/>
          <w:kern w:val="22"/>
          <w:lang w:val="es-ES"/>
        </w:rPr>
        <w:t>con los siguientes cambios por región</w:t>
      </w:r>
      <w:r w:rsidR="00775B5A" w:rsidRPr="002F01AF">
        <w:rPr>
          <w:snapToGrid w:val="0"/>
          <w:kern w:val="22"/>
          <w:lang w:val="es-ES"/>
        </w:rPr>
        <w:t xml:space="preserve">: </w:t>
      </w:r>
      <w:r>
        <w:rPr>
          <w:snapToGrid w:val="0"/>
          <w:kern w:val="22"/>
          <w:lang w:val="es-ES"/>
        </w:rPr>
        <w:t xml:space="preserve">grupo de Estados de Europa Occidental y otros - </w:t>
      </w:r>
      <w:r w:rsidR="00775B5A" w:rsidRPr="002F01AF">
        <w:rPr>
          <w:snapToGrid w:val="0"/>
          <w:kern w:val="22"/>
          <w:lang w:val="es-ES"/>
        </w:rPr>
        <w:t>45</w:t>
      </w:r>
      <w:r w:rsidRPr="002F01AF">
        <w:rPr>
          <w:snapToGrid w:val="0"/>
          <w:kern w:val="22"/>
          <w:lang w:val="es-ES"/>
        </w:rPr>
        <w:t xml:space="preserve"> </w:t>
      </w:r>
      <w:r w:rsidR="00775B5A" w:rsidRPr="002F01AF">
        <w:rPr>
          <w:snapToGrid w:val="0"/>
          <w:kern w:val="22"/>
          <w:lang w:val="es-ES"/>
        </w:rPr>
        <w:t>%</w:t>
      </w:r>
      <w:r w:rsidR="00244330">
        <w:rPr>
          <w:snapToGrid w:val="0"/>
          <w:kern w:val="22"/>
          <w:lang w:val="es-ES"/>
        </w:rPr>
        <w:t>,</w:t>
      </w:r>
      <w:r w:rsidR="00775B5A" w:rsidRPr="002F01AF">
        <w:rPr>
          <w:snapToGrid w:val="0"/>
          <w:kern w:val="22"/>
          <w:lang w:val="es-ES"/>
        </w:rPr>
        <w:t xml:space="preserve"> </w:t>
      </w:r>
      <w:r w:rsidR="00477624">
        <w:rPr>
          <w:snapToGrid w:val="0"/>
          <w:kern w:val="22"/>
          <w:lang w:val="es-ES"/>
        </w:rPr>
        <w:t>grupo de Estados de Europa Central y Oriental</w:t>
      </w:r>
      <w:r w:rsidR="00477624" w:rsidRPr="00EC2231">
        <w:rPr>
          <w:snapToGrid w:val="0"/>
          <w:kern w:val="22"/>
          <w:lang w:val="es-ES"/>
        </w:rPr>
        <w:t xml:space="preserve"> </w:t>
      </w:r>
      <w:r w:rsidR="00775B5A" w:rsidRPr="002F01AF">
        <w:rPr>
          <w:snapToGrid w:val="0"/>
          <w:kern w:val="22"/>
          <w:lang w:val="es-ES"/>
        </w:rPr>
        <w:t>-</w:t>
      </w:r>
      <w:r w:rsidRPr="002F01AF">
        <w:rPr>
          <w:snapToGrid w:val="0"/>
          <w:kern w:val="22"/>
          <w:lang w:val="es-ES"/>
        </w:rPr>
        <w:t xml:space="preserve"> </w:t>
      </w:r>
      <w:r w:rsidR="00775B5A" w:rsidRPr="002F01AF">
        <w:rPr>
          <w:snapToGrid w:val="0"/>
          <w:kern w:val="22"/>
          <w:lang w:val="es-ES"/>
        </w:rPr>
        <w:t>19</w:t>
      </w:r>
      <w:r w:rsidRPr="002F01AF">
        <w:rPr>
          <w:snapToGrid w:val="0"/>
          <w:kern w:val="22"/>
          <w:lang w:val="es-ES"/>
        </w:rPr>
        <w:t xml:space="preserve"> </w:t>
      </w:r>
      <w:r w:rsidR="00775B5A" w:rsidRPr="002F01AF">
        <w:rPr>
          <w:snapToGrid w:val="0"/>
          <w:kern w:val="22"/>
          <w:lang w:val="es-ES"/>
        </w:rPr>
        <w:t>%</w:t>
      </w:r>
      <w:r w:rsidR="00244330">
        <w:rPr>
          <w:snapToGrid w:val="0"/>
          <w:kern w:val="22"/>
          <w:lang w:val="es-ES"/>
        </w:rPr>
        <w:t>,</w:t>
      </w:r>
      <w:r w:rsidR="00775B5A" w:rsidRPr="002F01AF">
        <w:rPr>
          <w:snapToGrid w:val="0"/>
          <w:kern w:val="22"/>
          <w:lang w:val="es-ES"/>
        </w:rPr>
        <w:t xml:space="preserve"> </w:t>
      </w:r>
      <w:r w:rsidR="00D74010">
        <w:rPr>
          <w:snapToGrid w:val="0"/>
          <w:kern w:val="22"/>
          <w:lang w:val="es-ES"/>
        </w:rPr>
        <w:t>grupo de países de América Latina y el Caribe</w:t>
      </w:r>
      <w:r w:rsidR="00D74010" w:rsidRPr="002F01AF">
        <w:rPr>
          <w:snapToGrid w:val="0"/>
          <w:kern w:val="22"/>
          <w:lang w:val="es-ES"/>
        </w:rPr>
        <w:t xml:space="preserve"> </w:t>
      </w:r>
      <w:r w:rsidRPr="002F01AF">
        <w:rPr>
          <w:snapToGrid w:val="0"/>
          <w:kern w:val="22"/>
          <w:lang w:val="es-ES"/>
        </w:rPr>
        <w:t xml:space="preserve">- </w:t>
      </w:r>
      <w:r w:rsidR="00775B5A" w:rsidRPr="002F01AF">
        <w:rPr>
          <w:snapToGrid w:val="0"/>
          <w:kern w:val="22"/>
          <w:lang w:val="es-ES"/>
        </w:rPr>
        <w:t>8</w:t>
      </w:r>
      <w:r w:rsidRPr="002F01AF">
        <w:rPr>
          <w:snapToGrid w:val="0"/>
          <w:kern w:val="22"/>
          <w:lang w:val="es-ES"/>
        </w:rPr>
        <w:t xml:space="preserve"> </w:t>
      </w:r>
      <w:r w:rsidR="00775B5A" w:rsidRPr="002F01AF">
        <w:rPr>
          <w:snapToGrid w:val="0"/>
          <w:kern w:val="22"/>
          <w:lang w:val="es-ES"/>
        </w:rPr>
        <w:t>%</w:t>
      </w:r>
      <w:r w:rsidR="00244330">
        <w:rPr>
          <w:snapToGrid w:val="0"/>
          <w:kern w:val="22"/>
          <w:lang w:val="es-ES"/>
        </w:rPr>
        <w:t>,</w:t>
      </w:r>
      <w:r w:rsidR="00775B5A" w:rsidRPr="002F01AF">
        <w:rPr>
          <w:snapToGrid w:val="0"/>
          <w:kern w:val="22"/>
          <w:lang w:val="es-ES"/>
        </w:rPr>
        <w:t xml:space="preserve"> </w:t>
      </w:r>
      <w:r w:rsidRPr="002F01AF">
        <w:rPr>
          <w:snapToGrid w:val="0"/>
          <w:kern w:val="22"/>
          <w:lang w:val="es-ES"/>
        </w:rPr>
        <w:t>Á</w:t>
      </w:r>
      <w:r w:rsidR="00775B5A" w:rsidRPr="002F01AF">
        <w:rPr>
          <w:snapToGrid w:val="0"/>
          <w:kern w:val="22"/>
          <w:lang w:val="es-ES"/>
        </w:rPr>
        <w:t xml:space="preserve">frica </w:t>
      </w:r>
      <w:r w:rsidRPr="002F01AF">
        <w:rPr>
          <w:snapToGrid w:val="0"/>
          <w:kern w:val="22"/>
          <w:lang w:val="es-ES"/>
        </w:rPr>
        <w:t xml:space="preserve">y </w:t>
      </w:r>
      <w:r w:rsidR="00775B5A" w:rsidRPr="002F01AF">
        <w:rPr>
          <w:snapToGrid w:val="0"/>
          <w:kern w:val="22"/>
          <w:lang w:val="es-ES"/>
        </w:rPr>
        <w:t>Asia</w:t>
      </w:r>
      <w:r w:rsidR="00F45BD1">
        <w:rPr>
          <w:snapToGrid w:val="0"/>
          <w:kern w:val="22"/>
          <w:lang w:val="es-ES"/>
        </w:rPr>
        <w:t xml:space="preserve"> y el </w:t>
      </w:r>
      <w:r w:rsidRPr="002F01AF">
        <w:rPr>
          <w:snapToGrid w:val="0"/>
          <w:kern w:val="22"/>
          <w:lang w:val="es-ES"/>
        </w:rPr>
        <w:t>Pac</w:t>
      </w:r>
      <w:r>
        <w:rPr>
          <w:snapToGrid w:val="0"/>
          <w:kern w:val="22"/>
          <w:lang w:val="es-ES"/>
        </w:rPr>
        <w:t>ífico</w:t>
      </w:r>
      <w:r w:rsidR="00775B5A" w:rsidRPr="002F01AF">
        <w:rPr>
          <w:snapToGrid w:val="0"/>
          <w:kern w:val="22"/>
          <w:lang w:val="es-ES"/>
        </w:rPr>
        <w:t xml:space="preserve">: </w:t>
      </w:r>
      <w:r>
        <w:rPr>
          <w:snapToGrid w:val="0"/>
          <w:kern w:val="22"/>
          <w:lang w:val="es-ES"/>
        </w:rPr>
        <w:t>sin cambios con respecto a los datos básicos de referencia</w:t>
      </w:r>
      <w:r w:rsidR="00775B5A" w:rsidRPr="002F01AF">
        <w:rPr>
          <w:snapToGrid w:val="0"/>
          <w:kern w:val="22"/>
          <w:lang w:val="es-ES"/>
        </w:rPr>
        <w:t>)</w:t>
      </w:r>
      <w:r w:rsidR="00775B5A">
        <w:rPr>
          <w:rStyle w:val="FootnoteReference"/>
          <w:rFonts w:ascii="Angsana New" w:hAnsi="Angsana New" w:cs="Angsana New"/>
          <w:snapToGrid w:val="0"/>
          <w:kern w:val="22"/>
        </w:rPr>
        <w:footnoteReference w:id="48"/>
      </w:r>
      <w:r w:rsidRPr="002F01AF">
        <w:rPr>
          <w:snapToGrid w:val="0"/>
          <w:kern w:val="22"/>
          <w:lang w:val="es-ES"/>
        </w:rPr>
        <w:t>.</w:t>
      </w:r>
    </w:p>
    <w:p w:rsidR="00775B5A" w:rsidRPr="005B015D" w:rsidRDefault="005D6825"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5D6825">
        <w:rPr>
          <w:snapToGrid w:val="0"/>
          <w:kern w:val="22"/>
          <w:lang w:val="es-ES"/>
        </w:rPr>
        <w:t>Un</w:t>
      </w:r>
      <w:r w:rsidR="00775B5A" w:rsidRPr="005D6825">
        <w:rPr>
          <w:snapToGrid w:val="0"/>
          <w:kern w:val="22"/>
          <w:lang w:val="es-ES"/>
        </w:rPr>
        <w:t xml:space="preserve"> total </w:t>
      </w:r>
      <w:r w:rsidRPr="005D6825">
        <w:rPr>
          <w:snapToGrid w:val="0"/>
          <w:kern w:val="22"/>
          <w:lang w:val="es-ES"/>
        </w:rPr>
        <w:t xml:space="preserve">del </w:t>
      </w:r>
      <w:r w:rsidR="00775B5A" w:rsidRPr="005D6825">
        <w:rPr>
          <w:snapToGrid w:val="0"/>
          <w:kern w:val="22"/>
          <w:lang w:val="es-ES"/>
        </w:rPr>
        <w:t>19</w:t>
      </w:r>
      <w:r w:rsidRPr="005D6825">
        <w:rPr>
          <w:snapToGrid w:val="0"/>
          <w:kern w:val="22"/>
          <w:lang w:val="es-ES"/>
        </w:rPr>
        <w:t xml:space="preserve"> </w:t>
      </w:r>
      <w:r w:rsidR="00775B5A" w:rsidRPr="005D6825">
        <w:rPr>
          <w:snapToGrid w:val="0"/>
          <w:kern w:val="22"/>
          <w:lang w:val="es-ES"/>
        </w:rPr>
        <w:t xml:space="preserve">% </w:t>
      </w:r>
      <w:r w:rsidRPr="005D6825">
        <w:rPr>
          <w:snapToGrid w:val="0"/>
          <w:kern w:val="22"/>
          <w:lang w:val="es-ES"/>
        </w:rPr>
        <w:t>de las</w:t>
      </w:r>
      <w:r w:rsidR="00775B5A" w:rsidRPr="005D6825">
        <w:rPr>
          <w:snapToGrid w:val="0"/>
          <w:kern w:val="22"/>
          <w:lang w:val="es-ES"/>
        </w:rPr>
        <w:t xml:space="preserve"> Partes (15 Partes) </w:t>
      </w:r>
      <w:r w:rsidRPr="005D6825">
        <w:rPr>
          <w:snapToGrid w:val="0"/>
          <w:kern w:val="22"/>
          <w:lang w:val="es-ES"/>
        </w:rPr>
        <w:t>notific</w:t>
      </w:r>
      <w:r w:rsidR="00244330">
        <w:rPr>
          <w:snapToGrid w:val="0"/>
          <w:kern w:val="22"/>
          <w:lang w:val="es-ES"/>
        </w:rPr>
        <w:t>ó</w:t>
      </w:r>
      <w:r w:rsidRPr="005D6825">
        <w:rPr>
          <w:snapToGrid w:val="0"/>
          <w:kern w:val="22"/>
          <w:lang w:val="es-ES"/>
        </w:rPr>
        <w:t xml:space="preserve"> que había adoptado decisiones en respuesta a la notificación relativa a los </w:t>
      </w:r>
      <w:r>
        <w:rPr>
          <w:snapToGrid w:val="0"/>
          <w:kern w:val="22"/>
          <w:lang w:val="es-ES"/>
        </w:rPr>
        <w:t>movimientos transfronterizos intencionales de OVM para su introducción intencional durante este ciclo de presentación de informes</w:t>
      </w:r>
      <w:r w:rsidR="00775B5A" w:rsidRPr="005D6825">
        <w:rPr>
          <w:snapToGrid w:val="0"/>
          <w:kern w:val="22"/>
          <w:lang w:val="es-ES"/>
        </w:rPr>
        <w:t xml:space="preserve">, </w:t>
      </w:r>
      <w:r>
        <w:rPr>
          <w:snapToGrid w:val="0"/>
          <w:kern w:val="22"/>
          <w:lang w:val="es-ES"/>
        </w:rPr>
        <w:t xml:space="preserve">lo que supone una disminución de un </w:t>
      </w:r>
      <w:r w:rsidR="00775B5A" w:rsidRPr="005D6825">
        <w:rPr>
          <w:snapToGrid w:val="0"/>
          <w:kern w:val="22"/>
          <w:lang w:val="es-ES"/>
        </w:rPr>
        <w:t>15</w:t>
      </w:r>
      <w:r>
        <w:rPr>
          <w:snapToGrid w:val="0"/>
          <w:kern w:val="22"/>
          <w:lang w:val="es-ES"/>
        </w:rPr>
        <w:t xml:space="preserve"> </w:t>
      </w:r>
      <w:r w:rsidR="00775B5A" w:rsidRPr="005D6825">
        <w:rPr>
          <w:snapToGrid w:val="0"/>
          <w:kern w:val="22"/>
          <w:lang w:val="es-ES"/>
        </w:rPr>
        <w:t>%</w:t>
      </w:r>
      <w:r>
        <w:rPr>
          <w:snapToGrid w:val="0"/>
          <w:kern w:val="22"/>
          <w:lang w:val="es-ES"/>
        </w:rPr>
        <w:t xml:space="preserve"> </w:t>
      </w:r>
      <w:r w:rsidR="00775B5A" w:rsidRPr="005D6825">
        <w:rPr>
          <w:snapToGrid w:val="0"/>
          <w:kern w:val="22"/>
          <w:lang w:val="es-ES"/>
        </w:rPr>
        <w:t>(</w:t>
      </w:r>
      <w:r>
        <w:rPr>
          <w:snapToGrid w:val="0"/>
          <w:kern w:val="22"/>
          <w:lang w:val="es-ES"/>
        </w:rPr>
        <w:t>con las siguientes diferencias regionales</w:t>
      </w:r>
      <w:r w:rsidR="00775B5A" w:rsidRPr="005D6825">
        <w:rPr>
          <w:snapToGrid w:val="0"/>
          <w:kern w:val="22"/>
          <w:lang w:val="es-ES"/>
        </w:rPr>
        <w:t xml:space="preserve">: </w:t>
      </w:r>
      <w:r>
        <w:rPr>
          <w:snapToGrid w:val="0"/>
          <w:kern w:val="22"/>
          <w:lang w:val="es-ES"/>
        </w:rPr>
        <w:t>grupo de Estados de Europa Occidental y otros</w:t>
      </w:r>
      <w:r w:rsidR="00775B5A" w:rsidRPr="005D6825">
        <w:rPr>
          <w:snapToGrid w:val="0"/>
          <w:kern w:val="22"/>
          <w:lang w:val="es-ES"/>
        </w:rPr>
        <w:t xml:space="preserve"> </w:t>
      </w:r>
      <w:r>
        <w:rPr>
          <w:snapToGrid w:val="0"/>
          <w:kern w:val="22"/>
          <w:lang w:val="es-ES"/>
        </w:rPr>
        <w:t xml:space="preserve">- </w:t>
      </w:r>
      <w:r w:rsidR="00775B5A" w:rsidRPr="005D6825">
        <w:rPr>
          <w:snapToGrid w:val="0"/>
          <w:kern w:val="22"/>
          <w:lang w:val="es-ES"/>
        </w:rPr>
        <w:t>41</w:t>
      </w:r>
      <w:r w:rsidRPr="005D6825">
        <w:rPr>
          <w:snapToGrid w:val="0"/>
          <w:kern w:val="22"/>
          <w:lang w:val="es-ES"/>
        </w:rPr>
        <w:t xml:space="preserve"> </w:t>
      </w:r>
      <w:r w:rsidR="00775B5A" w:rsidRPr="005D6825">
        <w:rPr>
          <w:snapToGrid w:val="0"/>
          <w:kern w:val="22"/>
          <w:lang w:val="es-ES"/>
        </w:rPr>
        <w:t>%</w:t>
      </w:r>
      <w:r w:rsidR="00244330">
        <w:rPr>
          <w:snapToGrid w:val="0"/>
          <w:kern w:val="22"/>
          <w:lang w:val="es-ES"/>
        </w:rPr>
        <w:t>,</w:t>
      </w:r>
      <w:r w:rsidR="00775B5A" w:rsidRPr="005D6825">
        <w:rPr>
          <w:snapToGrid w:val="0"/>
          <w:kern w:val="22"/>
          <w:lang w:val="es-ES"/>
        </w:rPr>
        <w:t xml:space="preserve"> </w:t>
      </w:r>
      <w:r w:rsidR="00477624">
        <w:rPr>
          <w:snapToGrid w:val="0"/>
          <w:kern w:val="22"/>
          <w:lang w:val="es-ES"/>
        </w:rPr>
        <w:t>grupo de Estados de Europa Central y Oriental</w:t>
      </w:r>
      <w:r w:rsidR="00477624" w:rsidRPr="00EC2231">
        <w:rPr>
          <w:snapToGrid w:val="0"/>
          <w:kern w:val="22"/>
          <w:lang w:val="es-ES"/>
        </w:rPr>
        <w:t xml:space="preserve"> </w:t>
      </w:r>
      <w:r>
        <w:rPr>
          <w:snapToGrid w:val="0"/>
          <w:kern w:val="22"/>
          <w:lang w:val="es-ES"/>
        </w:rPr>
        <w:t xml:space="preserve">- </w:t>
      </w:r>
      <w:r w:rsidR="00775B5A" w:rsidRPr="005D6825">
        <w:rPr>
          <w:snapToGrid w:val="0"/>
          <w:kern w:val="22"/>
          <w:lang w:val="es-ES"/>
        </w:rPr>
        <w:t>20</w:t>
      </w:r>
      <w:r>
        <w:rPr>
          <w:snapToGrid w:val="0"/>
          <w:kern w:val="22"/>
          <w:lang w:val="es-ES"/>
        </w:rPr>
        <w:t xml:space="preserve"> </w:t>
      </w:r>
      <w:r w:rsidR="00775B5A" w:rsidRPr="005D6825">
        <w:rPr>
          <w:snapToGrid w:val="0"/>
          <w:kern w:val="22"/>
          <w:lang w:val="es-ES"/>
        </w:rPr>
        <w:t>%</w:t>
      </w:r>
      <w:r w:rsidR="00244330">
        <w:rPr>
          <w:snapToGrid w:val="0"/>
          <w:kern w:val="22"/>
          <w:lang w:val="es-ES"/>
        </w:rPr>
        <w:t>,</w:t>
      </w:r>
      <w:r w:rsidR="00775B5A" w:rsidRPr="005D6825">
        <w:rPr>
          <w:snapToGrid w:val="0"/>
          <w:kern w:val="22"/>
          <w:lang w:val="es-ES"/>
        </w:rPr>
        <w:t xml:space="preserve"> </w:t>
      </w:r>
      <w:r w:rsidR="00D74010">
        <w:rPr>
          <w:snapToGrid w:val="0"/>
          <w:kern w:val="22"/>
          <w:lang w:val="es-ES"/>
        </w:rPr>
        <w:t>grupo de países de América Latina y el Caribe</w:t>
      </w:r>
      <w:r w:rsidR="00D74010" w:rsidRPr="005D6825">
        <w:rPr>
          <w:snapToGrid w:val="0"/>
          <w:kern w:val="22"/>
          <w:lang w:val="es-ES"/>
        </w:rPr>
        <w:t xml:space="preserve"> </w:t>
      </w:r>
      <w:r>
        <w:rPr>
          <w:snapToGrid w:val="0"/>
          <w:kern w:val="22"/>
          <w:lang w:val="es-ES"/>
        </w:rPr>
        <w:t xml:space="preserve">- </w:t>
      </w:r>
      <w:r w:rsidR="00775B5A" w:rsidRPr="005D6825">
        <w:rPr>
          <w:snapToGrid w:val="0"/>
          <w:kern w:val="22"/>
          <w:lang w:val="es-ES"/>
        </w:rPr>
        <w:t>10</w:t>
      </w:r>
      <w:r>
        <w:rPr>
          <w:snapToGrid w:val="0"/>
          <w:kern w:val="22"/>
          <w:lang w:val="es-ES"/>
        </w:rPr>
        <w:t xml:space="preserve"> </w:t>
      </w:r>
      <w:r w:rsidR="00775B5A" w:rsidRPr="005D6825">
        <w:rPr>
          <w:snapToGrid w:val="0"/>
          <w:kern w:val="22"/>
          <w:lang w:val="es-ES"/>
        </w:rPr>
        <w:t>%</w:t>
      </w:r>
      <w:r w:rsidR="00244330">
        <w:rPr>
          <w:snapToGrid w:val="0"/>
          <w:kern w:val="22"/>
          <w:lang w:val="es-ES"/>
        </w:rPr>
        <w:t>,</w:t>
      </w:r>
      <w:r w:rsidR="00775B5A" w:rsidRPr="005D6825">
        <w:rPr>
          <w:snapToGrid w:val="0"/>
          <w:kern w:val="22"/>
          <w:lang w:val="es-ES"/>
        </w:rPr>
        <w:t xml:space="preserve"> Asia</w:t>
      </w:r>
      <w:r w:rsidR="00F45BD1">
        <w:rPr>
          <w:snapToGrid w:val="0"/>
          <w:kern w:val="22"/>
          <w:lang w:val="es-ES"/>
        </w:rPr>
        <w:t xml:space="preserve"> y el </w:t>
      </w:r>
      <w:r>
        <w:rPr>
          <w:snapToGrid w:val="0"/>
          <w:kern w:val="22"/>
          <w:lang w:val="es-ES"/>
        </w:rPr>
        <w:t>Pacífico</w:t>
      </w:r>
      <w:r w:rsidR="00775B5A" w:rsidRPr="005D6825">
        <w:rPr>
          <w:snapToGrid w:val="0"/>
          <w:kern w:val="22"/>
          <w:lang w:val="es-ES"/>
        </w:rPr>
        <w:t xml:space="preserve"> </w:t>
      </w:r>
      <w:r>
        <w:rPr>
          <w:snapToGrid w:val="0"/>
          <w:kern w:val="22"/>
          <w:lang w:val="es-ES"/>
        </w:rPr>
        <w:t xml:space="preserve">- </w:t>
      </w:r>
      <w:r w:rsidR="00775B5A" w:rsidRPr="005D6825">
        <w:rPr>
          <w:snapToGrid w:val="0"/>
          <w:kern w:val="22"/>
          <w:lang w:val="es-ES"/>
        </w:rPr>
        <w:t>8</w:t>
      </w:r>
      <w:r>
        <w:rPr>
          <w:snapToGrid w:val="0"/>
          <w:kern w:val="22"/>
          <w:lang w:val="es-ES"/>
        </w:rPr>
        <w:t xml:space="preserve"> </w:t>
      </w:r>
      <w:r w:rsidR="00244330">
        <w:rPr>
          <w:snapToGrid w:val="0"/>
          <w:kern w:val="22"/>
          <w:lang w:val="es-ES"/>
        </w:rPr>
        <w:t>%,</w:t>
      </w:r>
      <w:r w:rsidR="00775B5A" w:rsidRPr="005D6825">
        <w:rPr>
          <w:snapToGrid w:val="0"/>
          <w:kern w:val="22"/>
          <w:lang w:val="es-ES"/>
        </w:rPr>
        <w:t xml:space="preserve"> </w:t>
      </w:r>
      <w:r>
        <w:rPr>
          <w:snapToGrid w:val="0"/>
          <w:kern w:val="22"/>
          <w:lang w:val="es-ES"/>
        </w:rPr>
        <w:t>Á</w:t>
      </w:r>
      <w:r w:rsidR="00775B5A" w:rsidRPr="005D6825">
        <w:rPr>
          <w:snapToGrid w:val="0"/>
          <w:kern w:val="22"/>
          <w:lang w:val="es-ES"/>
        </w:rPr>
        <w:t xml:space="preserve">frica: </w:t>
      </w:r>
      <w:r>
        <w:rPr>
          <w:snapToGrid w:val="0"/>
          <w:kern w:val="22"/>
          <w:lang w:val="es-ES"/>
        </w:rPr>
        <w:t>sin cambios con respecto a los datos básicos de referencia</w:t>
      </w:r>
      <w:r w:rsidR="00775B5A" w:rsidRPr="005D6825">
        <w:rPr>
          <w:snapToGrid w:val="0"/>
          <w:kern w:val="22"/>
          <w:lang w:val="es-ES"/>
        </w:rPr>
        <w:t>)</w:t>
      </w:r>
      <w:r w:rsidR="00775B5A">
        <w:rPr>
          <w:rStyle w:val="FootnoteReference"/>
          <w:rFonts w:ascii="Angsana New" w:hAnsi="Angsana New" w:cs="Angsana New"/>
          <w:snapToGrid w:val="0"/>
          <w:kern w:val="22"/>
        </w:rPr>
        <w:footnoteReference w:id="49"/>
      </w:r>
      <w:r w:rsidRPr="005D6825">
        <w:rPr>
          <w:snapToGrid w:val="0"/>
          <w:kern w:val="22"/>
          <w:lang w:val="es-ES"/>
        </w:rPr>
        <w:t>.</w:t>
      </w:r>
      <w:r w:rsidR="00775B5A" w:rsidRPr="005D6825">
        <w:rPr>
          <w:snapToGrid w:val="0"/>
          <w:kern w:val="22"/>
          <w:lang w:val="es-ES"/>
        </w:rPr>
        <w:t xml:space="preserve"> </w:t>
      </w:r>
      <w:r w:rsidRPr="005D6825">
        <w:rPr>
          <w:snapToGrid w:val="0"/>
          <w:kern w:val="22"/>
          <w:lang w:val="es-ES"/>
        </w:rPr>
        <w:t>Un</w:t>
      </w:r>
      <w:r w:rsidR="00775B5A" w:rsidRPr="005D6825">
        <w:rPr>
          <w:snapToGrid w:val="0"/>
          <w:kern w:val="22"/>
          <w:lang w:val="es-ES"/>
        </w:rPr>
        <w:t xml:space="preserve"> total </w:t>
      </w:r>
      <w:r w:rsidRPr="005D6825">
        <w:rPr>
          <w:snapToGrid w:val="0"/>
          <w:kern w:val="22"/>
          <w:lang w:val="es-ES"/>
        </w:rPr>
        <w:t>de</w:t>
      </w:r>
      <w:r w:rsidR="00775B5A" w:rsidRPr="005D6825">
        <w:rPr>
          <w:snapToGrid w:val="0"/>
          <w:kern w:val="22"/>
          <w:lang w:val="es-ES"/>
        </w:rPr>
        <w:t xml:space="preserve"> 7 Partes </w:t>
      </w:r>
      <w:r w:rsidRPr="005D6825">
        <w:rPr>
          <w:snapToGrid w:val="0"/>
          <w:kern w:val="22"/>
          <w:lang w:val="es-ES"/>
        </w:rPr>
        <w:t>que habían adoptado esa decisión comunic</w:t>
      </w:r>
      <w:r w:rsidR="00244330">
        <w:rPr>
          <w:snapToGrid w:val="0"/>
          <w:kern w:val="22"/>
          <w:lang w:val="es-ES"/>
        </w:rPr>
        <w:t>ó</w:t>
      </w:r>
      <w:r w:rsidRPr="005D6825">
        <w:rPr>
          <w:snapToGrid w:val="0"/>
          <w:kern w:val="22"/>
          <w:lang w:val="es-ES"/>
        </w:rPr>
        <w:t xml:space="preserve"> que la decisión se refería a la aprobación de las importaciones con condiciones, mientras que </w:t>
      </w:r>
      <w:r w:rsidR="00775B5A" w:rsidRPr="005D6825">
        <w:rPr>
          <w:snapToGrid w:val="0"/>
          <w:kern w:val="22"/>
          <w:lang w:val="es-ES"/>
        </w:rPr>
        <w:t xml:space="preserve">2 Partes </w:t>
      </w:r>
      <w:r w:rsidRPr="005D6825">
        <w:rPr>
          <w:snapToGrid w:val="0"/>
          <w:kern w:val="22"/>
          <w:lang w:val="es-ES"/>
        </w:rPr>
        <w:t>indica</w:t>
      </w:r>
      <w:r>
        <w:rPr>
          <w:snapToGrid w:val="0"/>
          <w:kern w:val="22"/>
          <w:lang w:val="es-ES"/>
        </w:rPr>
        <w:t>ron que las decisiones se referían a la aprobación sin condiciones</w:t>
      </w:r>
      <w:r w:rsidR="00775B5A" w:rsidRPr="005D6825">
        <w:rPr>
          <w:snapToGrid w:val="0"/>
          <w:kern w:val="22"/>
          <w:lang w:val="es-ES"/>
        </w:rPr>
        <w:t xml:space="preserve">. </w:t>
      </w:r>
      <w:r>
        <w:rPr>
          <w:snapToGrid w:val="0"/>
          <w:kern w:val="22"/>
          <w:lang w:val="es-ES"/>
        </w:rPr>
        <w:t>Otras</w:t>
      </w:r>
      <w:r w:rsidR="00775B5A" w:rsidRPr="005D6825">
        <w:rPr>
          <w:snapToGrid w:val="0"/>
          <w:kern w:val="22"/>
          <w:lang w:val="es-ES"/>
        </w:rPr>
        <w:t xml:space="preserve"> 2 Partes </w:t>
      </w:r>
      <w:r w:rsidRPr="005D6825">
        <w:rPr>
          <w:snapToGrid w:val="0"/>
          <w:kern w:val="22"/>
          <w:lang w:val="es-ES"/>
        </w:rPr>
        <w:t>señalaron que la decisión guardaba relación con la prohibici</w:t>
      </w:r>
      <w:r>
        <w:rPr>
          <w:snapToGrid w:val="0"/>
          <w:kern w:val="22"/>
          <w:lang w:val="es-ES"/>
        </w:rPr>
        <w:t>ón de la importación</w:t>
      </w:r>
      <w:r w:rsidR="00775B5A" w:rsidRPr="005D6825">
        <w:rPr>
          <w:snapToGrid w:val="0"/>
          <w:kern w:val="22"/>
          <w:lang w:val="es-ES"/>
        </w:rPr>
        <w:t xml:space="preserve">. </w:t>
      </w:r>
      <w:r w:rsidRPr="005B015D">
        <w:rPr>
          <w:snapToGrid w:val="0"/>
          <w:kern w:val="22"/>
          <w:lang w:val="es-ES"/>
        </w:rPr>
        <w:t xml:space="preserve">De las </w:t>
      </w:r>
      <w:r w:rsidR="00775B5A" w:rsidRPr="005B015D">
        <w:rPr>
          <w:snapToGrid w:val="0"/>
          <w:kern w:val="22"/>
          <w:lang w:val="es-ES"/>
        </w:rPr>
        <w:t xml:space="preserve">Partes </w:t>
      </w:r>
      <w:r w:rsidRPr="005B015D">
        <w:rPr>
          <w:snapToGrid w:val="0"/>
          <w:kern w:val="22"/>
          <w:lang w:val="es-ES"/>
        </w:rPr>
        <w:t xml:space="preserve">que comunicaron que habían adoptado dicha decisión, </w:t>
      </w:r>
      <w:r w:rsidR="00775B5A" w:rsidRPr="005B015D">
        <w:rPr>
          <w:snapToGrid w:val="0"/>
          <w:kern w:val="22"/>
          <w:lang w:val="es-ES"/>
        </w:rPr>
        <w:t xml:space="preserve">10 </w:t>
      </w:r>
      <w:r w:rsidRPr="005B015D">
        <w:rPr>
          <w:snapToGrid w:val="0"/>
          <w:kern w:val="22"/>
          <w:lang w:val="es-ES"/>
        </w:rPr>
        <w:t xml:space="preserve">indicaron que </w:t>
      </w:r>
      <w:r w:rsidR="005B015D" w:rsidRPr="005B015D">
        <w:rPr>
          <w:snapToGrid w:val="0"/>
          <w:kern w:val="22"/>
          <w:lang w:val="es-ES"/>
        </w:rPr>
        <w:t>hab</w:t>
      </w:r>
      <w:r w:rsidR="005B015D">
        <w:rPr>
          <w:snapToGrid w:val="0"/>
          <w:kern w:val="22"/>
          <w:lang w:val="es-ES"/>
        </w:rPr>
        <w:t xml:space="preserve">ían adoptado plenamente </w:t>
      </w:r>
      <w:r w:rsidR="005B015D" w:rsidRPr="005B015D">
        <w:rPr>
          <w:snapToGrid w:val="0"/>
          <w:kern w:val="22"/>
          <w:lang w:val="es-ES"/>
        </w:rPr>
        <w:t xml:space="preserve">medidas nacionales para </w:t>
      </w:r>
      <w:r w:rsidR="005B015D">
        <w:rPr>
          <w:snapToGrid w:val="0"/>
          <w:kern w:val="22"/>
          <w:lang w:val="es-ES"/>
        </w:rPr>
        <w:t>la aplicación de</w:t>
      </w:r>
      <w:r w:rsidR="005B015D" w:rsidRPr="005B015D">
        <w:rPr>
          <w:snapToGrid w:val="0"/>
          <w:kern w:val="22"/>
          <w:lang w:val="es-ES"/>
        </w:rPr>
        <w:t xml:space="preserve">l </w:t>
      </w:r>
      <w:r w:rsidR="00775B5A" w:rsidRPr="005B015D">
        <w:rPr>
          <w:snapToGrid w:val="0"/>
          <w:kern w:val="22"/>
          <w:lang w:val="es-ES"/>
        </w:rPr>
        <w:t>Protocol</w:t>
      </w:r>
      <w:r w:rsidR="005B015D" w:rsidRPr="005B015D">
        <w:rPr>
          <w:snapToGrid w:val="0"/>
          <w:kern w:val="22"/>
          <w:lang w:val="es-ES"/>
        </w:rPr>
        <w:t>o</w:t>
      </w:r>
      <w:r w:rsidR="00775B5A" w:rsidRPr="005B015D">
        <w:rPr>
          <w:snapToGrid w:val="0"/>
          <w:kern w:val="22"/>
          <w:lang w:val="es-ES"/>
        </w:rPr>
        <w:t xml:space="preserve">, </w:t>
      </w:r>
      <w:r w:rsidR="005B015D">
        <w:rPr>
          <w:snapToGrid w:val="0"/>
          <w:kern w:val="22"/>
          <w:lang w:val="es-ES"/>
        </w:rPr>
        <w:t>mientras que 5 de esas Partes notificaron que habían adoptado parcialmente medidas nacionales para aplicar el Protocolo</w:t>
      </w:r>
      <w:r w:rsidR="00775B5A" w:rsidRPr="005B015D">
        <w:rPr>
          <w:rFonts w:ascii="Angsana New" w:hAnsi="Angsana New" w:cs="Angsana New"/>
          <w:snapToGrid w:val="0"/>
          <w:kern w:val="22"/>
          <w:lang w:val="es-ES"/>
        </w:rPr>
        <w:t>.</w:t>
      </w:r>
    </w:p>
    <w:p w:rsidR="00775B5A" w:rsidRPr="00821149" w:rsidRDefault="005B015D"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934505">
        <w:rPr>
          <w:snapToGrid w:val="0"/>
          <w:kern w:val="22"/>
          <w:lang w:val="es-ES"/>
        </w:rPr>
        <w:t>Un total del</w:t>
      </w:r>
      <w:r w:rsidR="00775B5A" w:rsidRPr="00934505">
        <w:rPr>
          <w:snapToGrid w:val="0"/>
          <w:kern w:val="22"/>
          <w:lang w:val="es-ES"/>
        </w:rPr>
        <w:t xml:space="preserve"> 84</w:t>
      </w:r>
      <w:r w:rsidRPr="00934505">
        <w:rPr>
          <w:snapToGrid w:val="0"/>
          <w:kern w:val="22"/>
          <w:lang w:val="es-ES"/>
        </w:rPr>
        <w:t xml:space="preserve"> </w:t>
      </w:r>
      <w:r w:rsidR="00775B5A" w:rsidRPr="00934505">
        <w:rPr>
          <w:snapToGrid w:val="0"/>
          <w:kern w:val="22"/>
          <w:lang w:val="es-ES"/>
        </w:rPr>
        <w:t xml:space="preserve">% </w:t>
      </w:r>
      <w:r w:rsidRPr="00934505">
        <w:rPr>
          <w:snapToGrid w:val="0"/>
          <w:kern w:val="22"/>
          <w:lang w:val="es-ES"/>
        </w:rPr>
        <w:t xml:space="preserve">de las </w:t>
      </w:r>
      <w:r w:rsidR="00775B5A" w:rsidRPr="00934505">
        <w:rPr>
          <w:snapToGrid w:val="0"/>
          <w:kern w:val="22"/>
          <w:lang w:val="es-ES"/>
        </w:rPr>
        <w:t xml:space="preserve">Partes (78 Partes) </w:t>
      </w:r>
      <w:r w:rsidRPr="00934505">
        <w:rPr>
          <w:snapToGrid w:val="0"/>
          <w:kern w:val="22"/>
          <w:lang w:val="es-ES"/>
        </w:rPr>
        <w:t>in</w:t>
      </w:r>
      <w:r w:rsidR="00244330">
        <w:rPr>
          <w:snapToGrid w:val="0"/>
          <w:kern w:val="22"/>
          <w:lang w:val="es-ES"/>
        </w:rPr>
        <w:t xml:space="preserve">dicó </w:t>
      </w:r>
      <w:r w:rsidRPr="00934505">
        <w:rPr>
          <w:snapToGrid w:val="0"/>
          <w:kern w:val="22"/>
          <w:lang w:val="es-ES"/>
        </w:rPr>
        <w:t xml:space="preserve">que </w:t>
      </w:r>
      <w:r w:rsidR="00244330">
        <w:rPr>
          <w:snapToGrid w:val="0"/>
          <w:kern w:val="22"/>
          <w:lang w:val="es-ES"/>
        </w:rPr>
        <w:t>dispone</w:t>
      </w:r>
      <w:r w:rsidR="00934505" w:rsidRPr="00934505">
        <w:rPr>
          <w:snapToGrid w:val="0"/>
          <w:kern w:val="22"/>
          <w:lang w:val="es-ES"/>
        </w:rPr>
        <w:t xml:space="preserve"> de leyes, reglamentos o medidas administrativas para la toma de decisiones </w:t>
      </w:r>
      <w:r w:rsidR="00821149">
        <w:rPr>
          <w:snapToGrid w:val="0"/>
          <w:kern w:val="22"/>
          <w:lang w:val="es-ES"/>
        </w:rPr>
        <w:t>con respecto a</w:t>
      </w:r>
      <w:r w:rsidR="00934505" w:rsidRPr="00934505">
        <w:rPr>
          <w:snapToGrid w:val="0"/>
          <w:kern w:val="22"/>
          <w:lang w:val="es-ES"/>
        </w:rPr>
        <w:t>l uso nacional, incluida la colocaci</w:t>
      </w:r>
      <w:r w:rsidR="00934505">
        <w:rPr>
          <w:snapToGrid w:val="0"/>
          <w:kern w:val="22"/>
          <w:lang w:val="es-ES"/>
        </w:rPr>
        <w:t>ón en el mercado de OVM para uso directo como alimento humano o animal o para procesamiento</w:t>
      </w:r>
      <w:r w:rsidR="00775B5A" w:rsidRPr="00934505">
        <w:rPr>
          <w:snapToGrid w:val="0"/>
          <w:kern w:val="22"/>
          <w:lang w:val="es-ES"/>
        </w:rPr>
        <w:t xml:space="preserve">, </w:t>
      </w:r>
      <w:r w:rsidR="00934505">
        <w:rPr>
          <w:snapToGrid w:val="0"/>
          <w:kern w:val="22"/>
          <w:lang w:val="es-ES"/>
        </w:rPr>
        <w:t xml:space="preserve">lo que constituye un aumento de un </w:t>
      </w:r>
      <w:r w:rsidR="00775B5A" w:rsidRPr="00934505">
        <w:rPr>
          <w:snapToGrid w:val="0"/>
          <w:kern w:val="22"/>
          <w:lang w:val="es-ES"/>
        </w:rPr>
        <w:t>15</w:t>
      </w:r>
      <w:r w:rsidR="00934505">
        <w:rPr>
          <w:snapToGrid w:val="0"/>
          <w:kern w:val="22"/>
          <w:lang w:val="es-ES"/>
        </w:rPr>
        <w:t xml:space="preserve"> </w:t>
      </w:r>
      <w:r w:rsidR="00775B5A" w:rsidRPr="00934505">
        <w:rPr>
          <w:snapToGrid w:val="0"/>
          <w:kern w:val="22"/>
          <w:lang w:val="es-ES"/>
        </w:rPr>
        <w:t xml:space="preserve">% </w:t>
      </w:r>
      <w:r w:rsidR="00934505">
        <w:rPr>
          <w:snapToGrid w:val="0"/>
          <w:kern w:val="22"/>
          <w:lang w:val="es-ES"/>
        </w:rPr>
        <w:t>con respecto a los datos básicos de referencia</w:t>
      </w:r>
      <w:r w:rsidR="00775B5A" w:rsidRPr="00934505">
        <w:rPr>
          <w:snapToGrid w:val="0"/>
          <w:kern w:val="22"/>
          <w:lang w:val="es-ES"/>
        </w:rPr>
        <w:t xml:space="preserve">. </w:t>
      </w:r>
      <w:r w:rsidR="00821149">
        <w:rPr>
          <w:snapToGrid w:val="0"/>
          <w:kern w:val="22"/>
          <w:lang w:val="es-ES"/>
        </w:rPr>
        <w:t>Se registraron aumentos en tres regiones</w:t>
      </w:r>
      <w:r w:rsidR="00775B5A" w:rsidRPr="00821149">
        <w:rPr>
          <w:snapToGrid w:val="0"/>
          <w:kern w:val="22"/>
          <w:lang w:val="es-ES"/>
        </w:rPr>
        <w:t>: Asia</w:t>
      </w:r>
      <w:r w:rsidR="00F45BD1">
        <w:rPr>
          <w:snapToGrid w:val="0"/>
          <w:kern w:val="22"/>
          <w:lang w:val="es-ES"/>
        </w:rPr>
        <w:t xml:space="preserve"> y el </w:t>
      </w:r>
      <w:r w:rsidR="00775B5A" w:rsidRPr="00821149">
        <w:rPr>
          <w:snapToGrid w:val="0"/>
          <w:kern w:val="22"/>
          <w:lang w:val="es-ES"/>
        </w:rPr>
        <w:t>Pac</w:t>
      </w:r>
      <w:r w:rsidR="00821149" w:rsidRPr="00821149">
        <w:rPr>
          <w:snapToGrid w:val="0"/>
          <w:kern w:val="22"/>
          <w:lang w:val="es-ES"/>
        </w:rPr>
        <w:t>ífico</w:t>
      </w:r>
      <w:r w:rsidR="00775B5A" w:rsidRPr="00821149">
        <w:rPr>
          <w:snapToGrid w:val="0"/>
          <w:kern w:val="22"/>
          <w:lang w:val="es-ES"/>
        </w:rPr>
        <w:t xml:space="preserve"> (+</w:t>
      </w:r>
      <w:r w:rsidR="00821149" w:rsidRPr="00821149">
        <w:rPr>
          <w:snapToGrid w:val="0"/>
          <w:kern w:val="22"/>
          <w:lang w:val="es-ES"/>
        </w:rPr>
        <w:t xml:space="preserve"> </w:t>
      </w:r>
      <w:r w:rsidR="00775B5A" w:rsidRPr="00821149">
        <w:rPr>
          <w:snapToGrid w:val="0"/>
          <w:kern w:val="22"/>
          <w:lang w:val="es-ES"/>
        </w:rPr>
        <w:t>31</w:t>
      </w:r>
      <w:r w:rsidR="00821149">
        <w:rPr>
          <w:snapToGrid w:val="0"/>
          <w:kern w:val="22"/>
          <w:lang w:val="es-ES"/>
        </w:rPr>
        <w:t xml:space="preserve"> </w:t>
      </w:r>
      <w:r w:rsidR="00775B5A" w:rsidRPr="00821149">
        <w:rPr>
          <w:snapToGrid w:val="0"/>
          <w:kern w:val="22"/>
          <w:lang w:val="es-ES"/>
        </w:rPr>
        <w:t>%)</w:t>
      </w:r>
      <w:r w:rsidR="00244330">
        <w:rPr>
          <w:snapToGrid w:val="0"/>
          <w:kern w:val="22"/>
          <w:lang w:val="es-ES"/>
        </w:rPr>
        <w:t>,</w:t>
      </w:r>
      <w:r w:rsidR="00775B5A" w:rsidRPr="00821149">
        <w:rPr>
          <w:snapToGrid w:val="0"/>
          <w:kern w:val="22"/>
          <w:lang w:val="es-ES"/>
        </w:rPr>
        <w:t xml:space="preserve"> </w:t>
      </w:r>
      <w:r w:rsidR="00D74010">
        <w:rPr>
          <w:snapToGrid w:val="0"/>
          <w:kern w:val="22"/>
          <w:lang w:val="es-ES"/>
        </w:rPr>
        <w:t>grupo de países de América Latina y el Caribe</w:t>
      </w:r>
      <w:r w:rsidR="00D74010" w:rsidRPr="00821149">
        <w:rPr>
          <w:snapToGrid w:val="0"/>
          <w:kern w:val="22"/>
          <w:lang w:val="es-ES"/>
        </w:rPr>
        <w:t xml:space="preserve"> </w:t>
      </w:r>
      <w:r w:rsidR="00775B5A" w:rsidRPr="00821149">
        <w:rPr>
          <w:snapToGrid w:val="0"/>
          <w:kern w:val="22"/>
          <w:lang w:val="es-ES"/>
        </w:rPr>
        <w:t>(+</w:t>
      </w:r>
      <w:r w:rsidR="00821149">
        <w:rPr>
          <w:snapToGrid w:val="0"/>
          <w:kern w:val="22"/>
          <w:lang w:val="es-ES"/>
        </w:rPr>
        <w:t xml:space="preserve"> </w:t>
      </w:r>
      <w:r w:rsidR="00775B5A" w:rsidRPr="00821149">
        <w:rPr>
          <w:snapToGrid w:val="0"/>
          <w:kern w:val="22"/>
          <w:lang w:val="es-ES"/>
        </w:rPr>
        <w:t>23</w:t>
      </w:r>
      <w:r w:rsidR="00821149">
        <w:rPr>
          <w:snapToGrid w:val="0"/>
          <w:kern w:val="22"/>
          <w:lang w:val="es-ES"/>
        </w:rPr>
        <w:t xml:space="preserve"> %)</w:t>
      </w:r>
      <w:r w:rsidR="00244330">
        <w:rPr>
          <w:snapToGrid w:val="0"/>
          <w:kern w:val="22"/>
          <w:lang w:val="es-ES"/>
        </w:rPr>
        <w:t>,</w:t>
      </w:r>
      <w:r w:rsidR="00821149">
        <w:rPr>
          <w:snapToGrid w:val="0"/>
          <w:kern w:val="22"/>
          <w:lang w:val="es-ES"/>
        </w:rPr>
        <w:t xml:space="preserve"> Á</w:t>
      </w:r>
      <w:r w:rsidR="00775B5A" w:rsidRPr="00821149">
        <w:rPr>
          <w:snapToGrid w:val="0"/>
          <w:kern w:val="22"/>
          <w:lang w:val="es-ES"/>
        </w:rPr>
        <w:t>frica (+</w:t>
      </w:r>
      <w:r w:rsidR="00821149">
        <w:rPr>
          <w:snapToGrid w:val="0"/>
          <w:kern w:val="22"/>
          <w:lang w:val="es-ES"/>
        </w:rPr>
        <w:t xml:space="preserve"> </w:t>
      </w:r>
      <w:r w:rsidR="00775B5A" w:rsidRPr="00821149">
        <w:rPr>
          <w:snapToGrid w:val="0"/>
          <w:kern w:val="22"/>
          <w:lang w:val="es-ES"/>
        </w:rPr>
        <w:t>20</w:t>
      </w:r>
      <w:r w:rsidR="00821149">
        <w:rPr>
          <w:snapToGrid w:val="0"/>
          <w:kern w:val="22"/>
          <w:lang w:val="es-ES"/>
        </w:rPr>
        <w:t xml:space="preserve"> </w:t>
      </w:r>
      <w:r w:rsidR="00775B5A" w:rsidRPr="00821149">
        <w:rPr>
          <w:snapToGrid w:val="0"/>
          <w:kern w:val="22"/>
          <w:lang w:val="es-ES"/>
        </w:rPr>
        <w:t xml:space="preserve">%). </w:t>
      </w:r>
      <w:r w:rsidR="00821149">
        <w:rPr>
          <w:snapToGrid w:val="0"/>
          <w:kern w:val="22"/>
          <w:lang w:val="es-ES"/>
        </w:rPr>
        <w:t>No se notificaron cambios con respecto a los datos básicos de referencia en el grupo de</w:t>
      </w:r>
      <w:r w:rsidR="00477624">
        <w:rPr>
          <w:snapToGrid w:val="0"/>
          <w:kern w:val="22"/>
          <w:lang w:val="es-ES"/>
        </w:rPr>
        <w:t xml:space="preserve"> Estados de Europa Central y Oriental ni</w:t>
      </w:r>
      <w:r w:rsidR="00821149">
        <w:rPr>
          <w:snapToGrid w:val="0"/>
          <w:kern w:val="22"/>
          <w:lang w:val="es-ES"/>
        </w:rPr>
        <w:t xml:space="preserve"> en el grupo de Estados de Europa Occidental y otros</w:t>
      </w:r>
      <w:r w:rsidR="00775B5A" w:rsidRPr="00821149">
        <w:rPr>
          <w:snapToGrid w:val="0"/>
          <w:kern w:val="22"/>
          <w:lang w:val="es-ES"/>
        </w:rPr>
        <w:t>.</w:t>
      </w:r>
    </w:p>
    <w:p w:rsidR="00775B5A" w:rsidRPr="005D5E71" w:rsidRDefault="005D5E71"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5D5E71">
        <w:rPr>
          <w:snapToGrid w:val="0"/>
          <w:kern w:val="22"/>
          <w:lang w:val="es-ES"/>
        </w:rPr>
        <w:t>Un</w:t>
      </w:r>
      <w:r w:rsidR="00775B5A" w:rsidRPr="005D5E71">
        <w:rPr>
          <w:snapToGrid w:val="0"/>
          <w:kern w:val="22"/>
          <w:lang w:val="es-ES"/>
        </w:rPr>
        <w:t xml:space="preserve"> total </w:t>
      </w:r>
      <w:r w:rsidRPr="005D5E71">
        <w:rPr>
          <w:snapToGrid w:val="0"/>
          <w:kern w:val="22"/>
          <w:lang w:val="es-ES"/>
        </w:rPr>
        <w:t>del</w:t>
      </w:r>
      <w:r w:rsidR="00775B5A" w:rsidRPr="005D5E71">
        <w:rPr>
          <w:snapToGrid w:val="0"/>
          <w:kern w:val="22"/>
          <w:lang w:val="es-ES"/>
        </w:rPr>
        <w:t xml:space="preserve"> 70</w:t>
      </w:r>
      <w:r w:rsidRPr="005D5E71">
        <w:rPr>
          <w:snapToGrid w:val="0"/>
          <w:kern w:val="22"/>
          <w:lang w:val="es-ES"/>
        </w:rPr>
        <w:t xml:space="preserve"> </w:t>
      </w:r>
      <w:r w:rsidR="00775B5A" w:rsidRPr="005D5E71">
        <w:rPr>
          <w:snapToGrid w:val="0"/>
          <w:kern w:val="22"/>
          <w:lang w:val="es-ES"/>
        </w:rPr>
        <w:t xml:space="preserve">% </w:t>
      </w:r>
      <w:r w:rsidRPr="005D5E71">
        <w:rPr>
          <w:snapToGrid w:val="0"/>
          <w:kern w:val="22"/>
          <w:lang w:val="es-ES"/>
        </w:rPr>
        <w:t xml:space="preserve">de las </w:t>
      </w:r>
      <w:r w:rsidR="00775B5A" w:rsidRPr="005D5E71">
        <w:rPr>
          <w:snapToGrid w:val="0"/>
          <w:kern w:val="22"/>
          <w:lang w:val="es-ES"/>
        </w:rPr>
        <w:t xml:space="preserve">Partes (21 Partes) </w:t>
      </w:r>
      <w:r w:rsidRPr="005D5E71">
        <w:rPr>
          <w:snapToGrid w:val="0"/>
          <w:kern w:val="22"/>
          <w:lang w:val="es-ES"/>
        </w:rPr>
        <w:t>comunic</w:t>
      </w:r>
      <w:r w:rsidR="00244330">
        <w:rPr>
          <w:snapToGrid w:val="0"/>
          <w:kern w:val="22"/>
          <w:lang w:val="es-ES"/>
        </w:rPr>
        <w:t>ó</w:t>
      </w:r>
      <w:r w:rsidRPr="005D5E71">
        <w:rPr>
          <w:snapToGrid w:val="0"/>
          <w:kern w:val="22"/>
          <w:lang w:val="es-ES"/>
        </w:rPr>
        <w:t xml:space="preserve"> que había adoptado decisiones relativas al uso nacional, incluida la colocación en el mercado</w:t>
      </w:r>
      <w:r w:rsidR="00775B5A" w:rsidRPr="005D5E71">
        <w:rPr>
          <w:snapToGrid w:val="0"/>
          <w:kern w:val="22"/>
          <w:lang w:val="es-ES"/>
        </w:rPr>
        <w:t xml:space="preserve">, </w:t>
      </w:r>
      <w:r>
        <w:rPr>
          <w:snapToGrid w:val="0"/>
          <w:kern w:val="22"/>
          <w:lang w:val="es-ES"/>
        </w:rPr>
        <w:t>de OVM que pueden ser objeto de movimientos transfronterizos para uso directo como alimento humano o animal o para procesamiento</w:t>
      </w:r>
      <w:r w:rsidR="00775B5A">
        <w:rPr>
          <w:rStyle w:val="FootnoteReference"/>
          <w:rFonts w:ascii="Angsana New" w:hAnsi="Angsana New" w:cs="Angsana New"/>
          <w:snapToGrid w:val="0"/>
          <w:kern w:val="22"/>
        </w:rPr>
        <w:footnoteReference w:id="50"/>
      </w:r>
      <w:r w:rsidRPr="005D5E71">
        <w:rPr>
          <w:snapToGrid w:val="0"/>
          <w:kern w:val="22"/>
          <w:lang w:val="es-ES"/>
        </w:rPr>
        <w:t>.</w:t>
      </w:r>
      <w:r w:rsidR="00775B5A" w:rsidRPr="005D5E71">
        <w:rPr>
          <w:snapToGrid w:val="0"/>
          <w:kern w:val="22"/>
          <w:lang w:val="es-ES"/>
        </w:rPr>
        <w:t xml:space="preserve"> </w:t>
      </w:r>
      <w:r w:rsidRPr="005D5E71">
        <w:rPr>
          <w:snapToGrid w:val="0"/>
          <w:kern w:val="22"/>
          <w:lang w:val="es-ES"/>
        </w:rPr>
        <w:t xml:space="preserve">Esto representa una disminución de un </w:t>
      </w:r>
      <w:r w:rsidR="00775B5A" w:rsidRPr="005D5E71">
        <w:rPr>
          <w:snapToGrid w:val="0"/>
          <w:kern w:val="22"/>
          <w:lang w:val="es-ES"/>
        </w:rPr>
        <w:t>3</w:t>
      </w:r>
      <w:r w:rsidRPr="005D5E71">
        <w:rPr>
          <w:snapToGrid w:val="0"/>
          <w:kern w:val="22"/>
          <w:lang w:val="es-ES"/>
        </w:rPr>
        <w:t xml:space="preserve"> </w:t>
      </w:r>
      <w:r w:rsidR="00775B5A" w:rsidRPr="005D5E71">
        <w:rPr>
          <w:snapToGrid w:val="0"/>
          <w:kern w:val="22"/>
          <w:lang w:val="es-ES"/>
        </w:rPr>
        <w:t xml:space="preserve">% </w:t>
      </w:r>
      <w:r w:rsidRPr="005D5E71">
        <w:rPr>
          <w:snapToGrid w:val="0"/>
          <w:kern w:val="22"/>
          <w:lang w:val="es-ES"/>
        </w:rPr>
        <w:t>con respecto a los datos b</w:t>
      </w:r>
      <w:r>
        <w:rPr>
          <w:snapToGrid w:val="0"/>
          <w:kern w:val="22"/>
          <w:lang w:val="es-ES"/>
        </w:rPr>
        <w:t>ásicos de referencia</w:t>
      </w:r>
      <w:r w:rsidR="00775B5A" w:rsidRPr="005D5E71">
        <w:rPr>
          <w:snapToGrid w:val="0"/>
          <w:kern w:val="22"/>
          <w:lang w:val="es-ES"/>
        </w:rPr>
        <w:t xml:space="preserve">. </w:t>
      </w:r>
    </w:p>
    <w:p w:rsidR="00775B5A" w:rsidRPr="00D270FC" w:rsidRDefault="005D5E71"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5D5E71">
        <w:rPr>
          <w:snapToGrid w:val="0"/>
          <w:kern w:val="22"/>
          <w:lang w:val="es-ES"/>
        </w:rPr>
        <w:t>Un</w:t>
      </w:r>
      <w:r w:rsidR="00775B5A" w:rsidRPr="005D5E71">
        <w:rPr>
          <w:snapToGrid w:val="0"/>
          <w:kern w:val="22"/>
          <w:lang w:val="es-ES"/>
        </w:rPr>
        <w:t xml:space="preserve"> total </w:t>
      </w:r>
      <w:r w:rsidRPr="005D5E71">
        <w:rPr>
          <w:snapToGrid w:val="0"/>
          <w:kern w:val="22"/>
          <w:lang w:val="es-ES"/>
        </w:rPr>
        <w:t>del</w:t>
      </w:r>
      <w:r w:rsidR="00775B5A" w:rsidRPr="005D5E71">
        <w:rPr>
          <w:snapToGrid w:val="0"/>
          <w:kern w:val="22"/>
          <w:lang w:val="es-ES"/>
        </w:rPr>
        <w:t xml:space="preserve"> 83</w:t>
      </w:r>
      <w:r w:rsidRPr="005D5E71">
        <w:rPr>
          <w:snapToGrid w:val="0"/>
          <w:kern w:val="22"/>
          <w:lang w:val="es-ES"/>
        </w:rPr>
        <w:t xml:space="preserve"> </w:t>
      </w:r>
      <w:r w:rsidR="00775B5A" w:rsidRPr="005D5E71">
        <w:rPr>
          <w:snapToGrid w:val="0"/>
          <w:kern w:val="22"/>
          <w:lang w:val="es-ES"/>
        </w:rPr>
        <w:t xml:space="preserve">% </w:t>
      </w:r>
      <w:r w:rsidRPr="005D5E71">
        <w:rPr>
          <w:snapToGrid w:val="0"/>
          <w:kern w:val="22"/>
          <w:lang w:val="es-ES"/>
        </w:rPr>
        <w:t>de las</w:t>
      </w:r>
      <w:r w:rsidR="00775B5A" w:rsidRPr="005D5E71">
        <w:rPr>
          <w:snapToGrid w:val="0"/>
          <w:kern w:val="22"/>
          <w:lang w:val="es-ES"/>
        </w:rPr>
        <w:t xml:space="preserve"> Partes (77 Partes) </w:t>
      </w:r>
      <w:r w:rsidRPr="005D5E71">
        <w:rPr>
          <w:snapToGrid w:val="0"/>
          <w:kern w:val="22"/>
          <w:lang w:val="es-ES"/>
        </w:rPr>
        <w:t>indic</w:t>
      </w:r>
      <w:r w:rsidR="00244330">
        <w:rPr>
          <w:snapToGrid w:val="0"/>
          <w:kern w:val="22"/>
          <w:lang w:val="es-ES"/>
        </w:rPr>
        <w:t>ó que tiene</w:t>
      </w:r>
      <w:r w:rsidRPr="005D5E71">
        <w:rPr>
          <w:snapToGrid w:val="0"/>
          <w:kern w:val="22"/>
          <w:lang w:val="es-ES"/>
        </w:rPr>
        <w:t xml:space="preserve"> leyes, reglamentos o medidas administrativas para la toma de decisiones relativas a la importaci</w:t>
      </w:r>
      <w:r>
        <w:rPr>
          <w:snapToGrid w:val="0"/>
          <w:kern w:val="22"/>
          <w:lang w:val="es-ES"/>
        </w:rPr>
        <w:t xml:space="preserve">ón de OVM para uso directo como alimento humano o animal o para procesamiento, lo que constituye un aumento de un </w:t>
      </w:r>
      <w:r w:rsidR="00775B5A" w:rsidRPr="005D5E71">
        <w:rPr>
          <w:snapToGrid w:val="0"/>
          <w:kern w:val="22"/>
          <w:lang w:val="es-ES"/>
        </w:rPr>
        <w:t>13</w:t>
      </w:r>
      <w:r>
        <w:rPr>
          <w:snapToGrid w:val="0"/>
          <w:kern w:val="22"/>
          <w:lang w:val="es-ES"/>
        </w:rPr>
        <w:t xml:space="preserve"> </w:t>
      </w:r>
      <w:r w:rsidR="00775B5A" w:rsidRPr="005D5E71">
        <w:rPr>
          <w:snapToGrid w:val="0"/>
          <w:kern w:val="22"/>
          <w:lang w:val="es-ES"/>
        </w:rPr>
        <w:t xml:space="preserve">% </w:t>
      </w:r>
      <w:r>
        <w:rPr>
          <w:snapToGrid w:val="0"/>
          <w:kern w:val="22"/>
          <w:lang w:val="es-ES"/>
        </w:rPr>
        <w:t>con respecto a los datos básicos de referencia</w:t>
      </w:r>
      <w:r w:rsidR="00775B5A" w:rsidRPr="005D5E71">
        <w:rPr>
          <w:snapToGrid w:val="0"/>
          <w:kern w:val="22"/>
          <w:lang w:val="es-ES"/>
        </w:rPr>
        <w:t xml:space="preserve">. </w:t>
      </w:r>
      <w:r w:rsidR="00D270FC">
        <w:rPr>
          <w:snapToGrid w:val="0"/>
          <w:kern w:val="22"/>
          <w:lang w:val="es-ES"/>
        </w:rPr>
        <w:t xml:space="preserve">Se registraron aumentos en todas las regiones </w:t>
      </w:r>
      <w:r w:rsidR="00775B5A" w:rsidRPr="00D270FC">
        <w:rPr>
          <w:snapToGrid w:val="0"/>
          <w:kern w:val="22"/>
          <w:lang w:val="es-ES"/>
        </w:rPr>
        <w:t>(</w:t>
      </w:r>
      <w:r w:rsidR="00D74010">
        <w:rPr>
          <w:snapToGrid w:val="0"/>
          <w:kern w:val="22"/>
          <w:lang w:val="es-ES"/>
        </w:rPr>
        <w:t>grupo de países de América Latina y el Caribe</w:t>
      </w:r>
      <w:r w:rsidR="00D74010" w:rsidRPr="00D270FC">
        <w:rPr>
          <w:snapToGrid w:val="0"/>
          <w:kern w:val="22"/>
          <w:lang w:val="es-ES"/>
        </w:rPr>
        <w:t xml:space="preserve"> </w:t>
      </w:r>
      <w:r w:rsidR="00775B5A" w:rsidRPr="00D270FC">
        <w:rPr>
          <w:snapToGrid w:val="0"/>
          <w:kern w:val="22"/>
          <w:lang w:val="es-ES"/>
        </w:rPr>
        <w:t>+</w:t>
      </w:r>
      <w:r w:rsidR="00D270FC">
        <w:rPr>
          <w:snapToGrid w:val="0"/>
          <w:kern w:val="22"/>
          <w:lang w:val="es-ES"/>
        </w:rPr>
        <w:t xml:space="preserve"> </w:t>
      </w:r>
      <w:r w:rsidR="00775B5A" w:rsidRPr="00D270FC">
        <w:rPr>
          <w:snapToGrid w:val="0"/>
          <w:kern w:val="22"/>
          <w:lang w:val="es-ES"/>
        </w:rPr>
        <w:t>31</w:t>
      </w:r>
      <w:r w:rsidR="00D270FC">
        <w:rPr>
          <w:snapToGrid w:val="0"/>
          <w:kern w:val="22"/>
          <w:lang w:val="es-ES"/>
        </w:rPr>
        <w:t xml:space="preserve"> </w:t>
      </w:r>
      <w:r w:rsidR="00775B5A" w:rsidRPr="00D270FC">
        <w:rPr>
          <w:snapToGrid w:val="0"/>
          <w:kern w:val="22"/>
          <w:lang w:val="es-ES"/>
        </w:rPr>
        <w:t>%</w:t>
      </w:r>
      <w:r w:rsidR="00244330">
        <w:rPr>
          <w:snapToGrid w:val="0"/>
          <w:kern w:val="22"/>
          <w:lang w:val="es-ES"/>
        </w:rPr>
        <w:t>,</w:t>
      </w:r>
      <w:r w:rsidR="00775B5A" w:rsidRPr="00D270FC">
        <w:rPr>
          <w:snapToGrid w:val="0"/>
          <w:kern w:val="22"/>
          <w:lang w:val="es-ES"/>
        </w:rPr>
        <w:t xml:space="preserve"> Asia</w:t>
      </w:r>
      <w:r w:rsidR="00F45BD1">
        <w:rPr>
          <w:snapToGrid w:val="0"/>
          <w:kern w:val="22"/>
          <w:lang w:val="es-ES"/>
        </w:rPr>
        <w:t xml:space="preserve"> y el </w:t>
      </w:r>
      <w:r w:rsidR="00D270FC">
        <w:rPr>
          <w:snapToGrid w:val="0"/>
          <w:kern w:val="22"/>
          <w:lang w:val="es-ES"/>
        </w:rPr>
        <w:t>Pacífico</w:t>
      </w:r>
      <w:r w:rsidR="00775B5A" w:rsidRPr="00D270FC">
        <w:rPr>
          <w:snapToGrid w:val="0"/>
          <w:kern w:val="22"/>
          <w:lang w:val="es-ES"/>
        </w:rPr>
        <w:t xml:space="preserve"> +</w:t>
      </w:r>
      <w:r w:rsidR="00D270FC">
        <w:rPr>
          <w:snapToGrid w:val="0"/>
          <w:kern w:val="22"/>
          <w:lang w:val="es-ES"/>
        </w:rPr>
        <w:t xml:space="preserve"> </w:t>
      </w:r>
      <w:r w:rsidR="00775B5A" w:rsidRPr="00D270FC">
        <w:rPr>
          <w:snapToGrid w:val="0"/>
          <w:kern w:val="22"/>
          <w:lang w:val="es-ES"/>
        </w:rPr>
        <w:t>19</w:t>
      </w:r>
      <w:r w:rsidR="00D270FC">
        <w:rPr>
          <w:snapToGrid w:val="0"/>
          <w:kern w:val="22"/>
          <w:lang w:val="es-ES"/>
        </w:rPr>
        <w:t xml:space="preserve"> </w:t>
      </w:r>
      <w:r w:rsidR="00775B5A" w:rsidRPr="00D270FC">
        <w:rPr>
          <w:snapToGrid w:val="0"/>
          <w:kern w:val="22"/>
          <w:lang w:val="es-ES"/>
        </w:rPr>
        <w:t>%</w:t>
      </w:r>
      <w:r w:rsidR="00244330">
        <w:rPr>
          <w:snapToGrid w:val="0"/>
          <w:kern w:val="22"/>
          <w:lang w:val="es-ES"/>
        </w:rPr>
        <w:t>,</w:t>
      </w:r>
      <w:r w:rsidR="00775B5A" w:rsidRPr="00D270FC">
        <w:rPr>
          <w:snapToGrid w:val="0"/>
          <w:kern w:val="22"/>
          <w:lang w:val="es-ES"/>
        </w:rPr>
        <w:t xml:space="preserve"> </w:t>
      </w:r>
      <w:r w:rsidR="00D270FC">
        <w:rPr>
          <w:snapToGrid w:val="0"/>
          <w:kern w:val="22"/>
          <w:lang w:val="es-ES"/>
        </w:rPr>
        <w:t xml:space="preserve">grupo de Estados de Europa Occidental y otros </w:t>
      </w:r>
      <w:r w:rsidR="00775B5A" w:rsidRPr="00D270FC">
        <w:rPr>
          <w:snapToGrid w:val="0"/>
          <w:kern w:val="22"/>
          <w:lang w:val="es-ES"/>
        </w:rPr>
        <w:t>+</w:t>
      </w:r>
      <w:r w:rsidR="00D270FC">
        <w:rPr>
          <w:snapToGrid w:val="0"/>
          <w:kern w:val="22"/>
          <w:lang w:val="es-ES"/>
        </w:rPr>
        <w:t xml:space="preserve"> </w:t>
      </w:r>
      <w:r w:rsidR="00775B5A" w:rsidRPr="00D270FC">
        <w:rPr>
          <w:snapToGrid w:val="0"/>
          <w:kern w:val="22"/>
          <w:lang w:val="es-ES"/>
        </w:rPr>
        <w:t>11</w:t>
      </w:r>
      <w:r w:rsidR="00D270FC">
        <w:rPr>
          <w:snapToGrid w:val="0"/>
          <w:kern w:val="22"/>
          <w:lang w:val="es-ES"/>
        </w:rPr>
        <w:t xml:space="preserve"> </w:t>
      </w:r>
      <w:r w:rsidR="00775B5A" w:rsidRPr="00D270FC">
        <w:rPr>
          <w:snapToGrid w:val="0"/>
          <w:kern w:val="22"/>
          <w:lang w:val="es-ES"/>
        </w:rPr>
        <w:t>%</w:t>
      </w:r>
      <w:r w:rsidR="00244330">
        <w:rPr>
          <w:snapToGrid w:val="0"/>
          <w:kern w:val="22"/>
          <w:lang w:val="es-ES"/>
        </w:rPr>
        <w:t>,</w:t>
      </w:r>
      <w:r w:rsidR="00775B5A" w:rsidRPr="00D270FC">
        <w:rPr>
          <w:snapToGrid w:val="0"/>
          <w:kern w:val="22"/>
          <w:lang w:val="es-ES"/>
        </w:rPr>
        <w:t xml:space="preserve"> </w:t>
      </w:r>
      <w:r w:rsidR="00D270FC">
        <w:rPr>
          <w:snapToGrid w:val="0"/>
          <w:kern w:val="22"/>
          <w:lang w:val="es-ES"/>
        </w:rPr>
        <w:t>Á</w:t>
      </w:r>
      <w:r w:rsidR="00775B5A" w:rsidRPr="00D270FC">
        <w:rPr>
          <w:snapToGrid w:val="0"/>
          <w:kern w:val="22"/>
          <w:lang w:val="es-ES"/>
        </w:rPr>
        <w:t>frica +</w:t>
      </w:r>
      <w:r w:rsidR="00D270FC">
        <w:rPr>
          <w:snapToGrid w:val="0"/>
          <w:kern w:val="22"/>
          <w:lang w:val="es-ES"/>
        </w:rPr>
        <w:t xml:space="preserve"> </w:t>
      </w:r>
      <w:r w:rsidR="00775B5A" w:rsidRPr="00D270FC">
        <w:rPr>
          <w:snapToGrid w:val="0"/>
          <w:kern w:val="22"/>
          <w:lang w:val="es-ES"/>
        </w:rPr>
        <w:t>7</w:t>
      </w:r>
      <w:r w:rsidR="00D270FC">
        <w:rPr>
          <w:snapToGrid w:val="0"/>
          <w:kern w:val="22"/>
          <w:lang w:val="es-ES"/>
        </w:rPr>
        <w:t xml:space="preserve"> </w:t>
      </w:r>
      <w:r w:rsidR="00775B5A" w:rsidRPr="00D270FC">
        <w:rPr>
          <w:snapToGrid w:val="0"/>
          <w:kern w:val="22"/>
          <w:lang w:val="es-ES"/>
        </w:rPr>
        <w:t>%</w:t>
      </w:r>
      <w:r w:rsidR="00244330">
        <w:rPr>
          <w:snapToGrid w:val="0"/>
          <w:kern w:val="22"/>
          <w:lang w:val="es-ES"/>
        </w:rPr>
        <w:t>,</w:t>
      </w:r>
      <w:r w:rsidR="00775B5A" w:rsidRPr="00D270FC">
        <w:rPr>
          <w:snapToGrid w:val="0"/>
          <w:kern w:val="22"/>
          <w:lang w:val="es-ES"/>
        </w:rPr>
        <w:t xml:space="preserve"> </w:t>
      </w:r>
      <w:r w:rsidR="00477624">
        <w:rPr>
          <w:snapToGrid w:val="0"/>
          <w:kern w:val="22"/>
          <w:lang w:val="es-ES"/>
        </w:rPr>
        <w:t>grupo de Estados de Europa Central y Oriental</w:t>
      </w:r>
      <w:r w:rsidR="00477624" w:rsidRPr="00EC2231">
        <w:rPr>
          <w:snapToGrid w:val="0"/>
          <w:kern w:val="22"/>
          <w:lang w:val="es-ES"/>
        </w:rPr>
        <w:t xml:space="preserve"> </w:t>
      </w:r>
      <w:r w:rsidR="00775B5A" w:rsidRPr="00D270FC">
        <w:rPr>
          <w:snapToGrid w:val="0"/>
          <w:kern w:val="22"/>
          <w:lang w:val="es-ES"/>
        </w:rPr>
        <w:t xml:space="preserve"> +</w:t>
      </w:r>
      <w:r w:rsidR="00D270FC">
        <w:rPr>
          <w:snapToGrid w:val="0"/>
          <w:kern w:val="22"/>
          <w:lang w:val="es-ES"/>
        </w:rPr>
        <w:t xml:space="preserve"> </w:t>
      </w:r>
      <w:r w:rsidR="00775B5A" w:rsidRPr="00D270FC">
        <w:rPr>
          <w:snapToGrid w:val="0"/>
          <w:kern w:val="22"/>
          <w:lang w:val="es-ES"/>
        </w:rPr>
        <w:t>6</w:t>
      </w:r>
      <w:r w:rsidR="00D270FC">
        <w:rPr>
          <w:snapToGrid w:val="0"/>
          <w:kern w:val="22"/>
          <w:lang w:val="es-ES"/>
        </w:rPr>
        <w:t xml:space="preserve"> </w:t>
      </w:r>
      <w:r w:rsidR="00775B5A" w:rsidRPr="00D270FC">
        <w:rPr>
          <w:snapToGrid w:val="0"/>
          <w:kern w:val="22"/>
          <w:lang w:val="es-ES"/>
        </w:rPr>
        <w:t>%).</w:t>
      </w:r>
    </w:p>
    <w:p w:rsidR="00775B5A" w:rsidRPr="00D270FC" w:rsidRDefault="00D270FC"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D270FC">
        <w:rPr>
          <w:snapToGrid w:val="0"/>
          <w:kern w:val="22"/>
          <w:lang w:val="es-ES"/>
        </w:rPr>
        <w:lastRenderedPageBreak/>
        <w:t xml:space="preserve">En sus cuartos informes nacionales, un </w:t>
      </w:r>
      <w:r w:rsidR="00775B5A" w:rsidRPr="00D270FC">
        <w:rPr>
          <w:snapToGrid w:val="0"/>
          <w:kern w:val="22"/>
          <w:lang w:val="es-ES"/>
        </w:rPr>
        <w:t xml:space="preserve">total </w:t>
      </w:r>
      <w:r w:rsidRPr="00D270FC">
        <w:rPr>
          <w:snapToGrid w:val="0"/>
          <w:kern w:val="22"/>
          <w:lang w:val="es-ES"/>
        </w:rPr>
        <w:t xml:space="preserve">del </w:t>
      </w:r>
      <w:r w:rsidR="00775B5A" w:rsidRPr="00D270FC">
        <w:rPr>
          <w:snapToGrid w:val="0"/>
          <w:kern w:val="22"/>
          <w:lang w:val="es-ES"/>
        </w:rPr>
        <w:t>70</w:t>
      </w:r>
      <w:r w:rsidRPr="00D270FC">
        <w:rPr>
          <w:snapToGrid w:val="0"/>
          <w:kern w:val="22"/>
          <w:lang w:val="es-ES"/>
        </w:rPr>
        <w:t xml:space="preserve"> </w:t>
      </w:r>
      <w:r w:rsidR="00775B5A" w:rsidRPr="00D270FC">
        <w:rPr>
          <w:snapToGrid w:val="0"/>
          <w:kern w:val="22"/>
          <w:lang w:val="es-ES"/>
        </w:rPr>
        <w:t xml:space="preserve">% </w:t>
      </w:r>
      <w:r w:rsidRPr="00D270FC">
        <w:rPr>
          <w:snapToGrid w:val="0"/>
          <w:kern w:val="22"/>
          <w:lang w:val="es-ES"/>
        </w:rPr>
        <w:t xml:space="preserve">de las </w:t>
      </w:r>
      <w:r w:rsidR="00775B5A" w:rsidRPr="00D270FC">
        <w:rPr>
          <w:snapToGrid w:val="0"/>
          <w:kern w:val="22"/>
          <w:lang w:val="es-ES"/>
        </w:rPr>
        <w:t xml:space="preserve">Partes (21 Partes) </w:t>
      </w:r>
      <w:r w:rsidRPr="00D270FC">
        <w:rPr>
          <w:snapToGrid w:val="0"/>
          <w:kern w:val="22"/>
          <w:lang w:val="es-ES"/>
        </w:rPr>
        <w:t>notific</w:t>
      </w:r>
      <w:r w:rsidR="00244330">
        <w:rPr>
          <w:snapToGrid w:val="0"/>
          <w:kern w:val="22"/>
          <w:lang w:val="es-ES"/>
        </w:rPr>
        <w:t>ó</w:t>
      </w:r>
      <w:r w:rsidRPr="00D270FC">
        <w:rPr>
          <w:snapToGrid w:val="0"/>
          <w:kern w:val="22"/>
          <w:lang w:val="es-ES"/>
        </w:rPr>
        <w:t xml:space="preserve"> que </w:t>
      </w:r>
      <w:r>
        <w:rPr>
          <w:snapToGrid w:val="0"/>
          <w:kern w:val="22"/>
          <w:lang w:val="es-ES"/>
        </w:rPr>
        <w:t>había adoptado decisiones relativas a la importación de OVM para uso directo como alimento humano o animal o para procesamiento</w:t>
      </w:r>
      <w:r w:rsidR="00775B5A">
        <w:rPr>
          <w:rStyle w:val="FootnoteReference"/>
          <w:rFonts w:ascii="Angsana New" w:hAnsi="Angsana New" w:cs="Angsana New"/>
          <w:snapToGrid w:val="0"/>
          <w:kern w:val="22"/>
        </w:rPr>
        <w:footnoteReference w:id="51"/>
      </w:r>
      <w:r w:rsidRPr="00D270FC">
        <w:rPr>
          <w:snapToGrid w:val="0"/>
          <w:kern w:val="22"/>
          <w:lang w:val="es-ES"/>
        </w:rPr>
        <w:t>.</w:t>
      </w:r>
      <w:r>
        <w:rPr>
          <w:snapToGrid w:val="0"/>
          <w:kern w:val="22"/>
          <w:lang w:val="es-ES"/>
        </w:rPr>
        <w:t xml:space="preserve"> </w:t>
      </w:r>
      <w:r w:rsidRPr="00D270FC">
        <w:rPr>
          <w:snapToGrid w:val="0"/>
          <w:kern w:val="22"/>
          <w:lang w:val="es-ES"/>
        </w:rPr>
        <w:t xml:space="preserve">Esto constituye una disminución de un </w:t>
      </w:r>
      <w:r w:rsidR="00775B5A" w:rsidRPr="00D270FC">
        <w:rPr>
          <w:snapToGrid w:val="0"/>
          <w:kern w:val="22"/>
          <w:lang w:val="es-ES"/>
        </w:rPr>
        <w:t>6</w:t>
      </w:r>
      <w:r w:rsidRPr="00D270FC">
        <w:rPr>
          <w:snapToGrid w:val="0"/>
          <w:kern w:val="22"/>
          <w:lang w:val="es-ES"/>
        </w:rPr>
        <w:t xml:space="preserve"> </w:t>
      </w:r>
      <w:r w:rsidR="00775B5A" w:rsidRPr="00D270FC">
        <w:rPr>
          <w:snapToGrid w:val="0"/>
          <w:kern w:val="22"/>
          <w:lang w:val="es-ES"/>
        </w:rPr>
        <w:t xml:space="preserve">% </w:t>
      </w:r>
      <w:r w:rsidRPr="00D270FC">
        <w:rPr>
          <w:snapToGrid w:val="0"/>
          <w:kern w:val="22"/>
          <w:lang w:val="es-ES"/>
        </w:rPr>
        <w:t>con respecto a los datos b</w:t>
      </w:r>
      <w:r>
        <w:rPr>
          <w:snapToGrid w:val="0"/>
          <w:kern w:val="22"/>
          <w:lang w:val="es-ES"/>
        </w:rPr>
        <w:t>ásicos de referencia</w:t>
      </w:r>
      <w:r w:rsidR="00775B5A" w:rsidRPr="00D270FC">
        <w:rPr>
          <w:snapToGrid w:val="0"/>
          <w:kern w:val="22"/>
          <w:lang w:val="es-ES"/>
        </w:rPr>
        <w:t xml:space="preserve">. </w:t>
      </w:r>
    </w:p>
    <w:p w:rsidR="00775B5A" w:rsidRPr="00FE1D11" w:rsidRDefault="002F0B0A" w:rsidP="001D4EEE">
      <w:pPr>
        <w:pStyle w:val="ListParagraph"/>
        <w:numPr>
          <w:ilvl w:val="0"/>
          <w:numId w:val="2"/>
        </w:numPr>
        <w:tabs>
          <w:tab w:val="clear" w:pos="3240"/>
        </w:tabs>
        <w:ind w:left="0" w:firstLine="0"/>
        <w:rPr>
          <w:snapToGrid w:val="0"/>
          <w:kern w:val="22"/>
          <w:lang w:val="es-ES"/>
        </w:rPr>
      </w:pPr>
      <w:r w:rsidRPr="00B12178">
        <w:rPr>
          <w:snapToGrid w:val="0"/>
          <w:kern w:val="22"/>
          <w:lang w:val="es-ES"/>
        </w:rPr>
        <w:t>E</w:t>
      </w:r>
      <w:r w:rsidR="00775B5A" w:rsidRPr="00B12178">
        <w:rPr>
          <w:snapToGrid w:val="0"/>
          <w:kern w:val="22"/>
          <w:lang w:val="es-ES"/>
        </w:rPr>
        <w:t>n rela</w:t>
      </w:r>
      <w:r w:rsidRPr="00B12178">
        <w:rPr>
          <w:snapToGrid w:val="0"/>
          <w:kern w:val="22"/>
          <w:lang w:val="es-ES"/>
        </w:rPr>
        <w:t xml:space="preserve">ción con el número de Partes que dispone de sistemas para tramitar las solicitudes, incluido </w:t>
      </w:r>
      <w:r w:rsidR="00F87BFC" w:rsidRPr="00B12178">
        <w:rPr>
          <w:snapToGrid w:val="0"/>
          <w:kern w:val="22"/>
          <w:lang w:val="es-ES"/>
        </w:rPr>
        <w:t>el acuerdo fundamentado previo</w:t>
      </w:r>
      <w:r w:rsidR="00775B5A" w:rsidRPr="00B12178">
        <w:rPr>
          <w:snapToGrid w:val="0"/>
          <w:kern w:val="22"/>
          <w:lang w:val="es-ES"/>
        </w:rPr>
        <w:t xml:space="preserve">, </w:t>
      </w:r>
      <w:r w:rsidR="00F87BFC" w:rsidRPr="00B12178">
        <w:rPr>
          <w:snapToGrid w:val="0"/>
          <w:kern w:val="22"/>
          <w:lang w:val="es-ES"/>
        </w:rPr>
        <w:t xml:space="preserve">la mayoría de las </w:t>
      </w:r>
      <w:r w:rsidR="00775B5A" w:rsidRPr="00B12178">
        <w:rPr>
          <w:snapToGrid w:val="0"/>
          <w:kern w:val="22"/>
          <w:lang w:val="es-ES"/>
        </w:rPr>
        <w:t xml:space="preserve">Partes </w:t>
      </w:r>
      <w:r w:rsidR="00F87BFC" w:rsidRPr="00B12178">
        <w:rPr>
          <w:snapToGrid w:val="0"/>
          <w:kern w:val="22"/>
          <w:lang w:val="es-ES"/>
        </w:rPr>
        <w:t xml:space="preserve">comunicaron que </w:t>
      </w:r>
      <w:r w:rsidR="00B12178" w:rsidRPr="00B12178">
        <w:rPr>
          <w:snapToGrid w:val="0"/>
          <w:kern w:val="22"/>
          <w:lang w:val="es-ES"/>
        </w:rPr>
        <w:t>exist</w:t>
      </w:r>
      <w:r w:rsidR="00B12178">
        <w:rPr>
          <w:snapToGrid w:val="0"/>
          <w:kern w:val="22"/>
          <w:lang w:val="es-ES"/>
        </w:rPr>
        <w:t>ían marcos normativos para la toma de decisiones relativas al uso nacional, incluida la colocación en el mercado de OVM destinados al uso directo como alimento humano o animal o para procesamiento</w:t>
      </w:r>
      <w:r w:rsidR="00775B5A" w:rsidRPr="00B12178">
        <w:rPr>
          <w:snapToGrid w:val="0"/>
          <w:kern w:val="22"/>
          <w:lang w:val="es-ES"/>
        </w:rPr>
        <w:t xml:space="preserve"> (84</w:t>
      </w:r>
      <w:r w:rsidR="00B12178">
        <w:rPr>
          <w:snapToGrid w:val="0"/>
          <w:kern w:val="22"/>
          <w:lang w:val="es-ES"/>
        </w:rPr>
        <w:t xml:space="preserve"> </w:t>
      </w:r>
      <w:r w:rsidR="00775B5A" w:rsidRPr="00B12178">
        <w:rPr>
          <w:snapToGrid w:val="0"/>
          <w:kern w:val="22"/>
          <w:lang w:val="es-ES"/>
        </w:rPr>
        <w:t xml:space="preserve">%), </w:t>
      </w:r>
      <w:r w:rsidR="00B12178">
        <w:rPr>
          <w:snapToGrid w:val="0"/>
          <w:kern w:val="22"/>
          <w:lang w:val="es-ES"/>
        </w:rPr>
        <w:t>y para la importación de OVM-AHAP</w:t>
      </w:r>
      <w:r w:rsidR="00775B5A" w:rsidRPr="00B12178">
        <w:rPr>
          <w:snapToGrid w:val="0"/>
          <w:kern w:val="22"/>
          <w:lang w:val="es-ES"/>
        </w:rPr>
        <w:t xml:space="preserve"> (83</w:t>
      </w:r>
      <w:r w:rsidR="00B12178">
        <w:rPr>
          <w:snapToGrid w:val="0"/>
          <w:kern w:val="22"/>
          <w:lang w:val="es-ES"/>
        </w:rPr>
        <w:t xml:space="preserve"> </w:t>
      </w:r>
      <w:r w:rsidR="00775B5A" w:rsidRPr="00B12178">
        <w:rPr>
          <w:snapToGrid w:val="0"/>
          <w:kern w:val="22"/>
          <w:lang w:val="es-ES"/>
        </w:rPr>
        <w:t xml:space="preserve">%). </w:t>
      </w:r>
      <w:r w:rsidR="00B12178" w:rsidRPr="00B12178">
        <w:rPr>
          <w:snapToGrid w:val="0"/>
          <w:kern w:val="22"/>
          <w:lang w:val="es-ES"/>
        </w:rPr>
        <w:t>Todas las Part</w:t>
      </w:r>
      <w:r w:rsidR="00775B5A" w:rsidRPr="00B12178">
        <w:rPr>
          <w:snapToGrid w:val="0"/>
          <w:kern w:val="22"/>
          <w:lang w:val="es-ES"/>
        </w:rPr>
        <w:t xml:space="preserve">es </w:t>
      </w:r>
      <w:r w:rsidR="00B12178" w:rsidRPr="00B12178">
        <w:rPr>
          <w:snapToGrid w:val="0"/>
          <w:kern w:val="22"/>
          <w:lang w:val="es-ES"/>
        </w:rPr>
        <w:t xml:space="preserve">que notificaron que habían adoptado decisiones sobre el uso nacional, incluida la colocación en el mercado y todas las </w:t>
      </w:r>
      <w:r w:rsidR="00775B5A" w:rsidRPr="00B12178">
        <w:rPr>
          <w:snapToGrid w:val="0"/>
          <w:kern w:val="22"/>
          <w:lang w:val="es-ES"/>
        </w:rPr>
        <w:t xml:space="preserve">Partes </w:t>
      </w:r>
      <w:r w:rsidR="00B12178" w:rsidRPr="00B12178">
        <w:rPr>
          <w:snapToGrid w:val="0"/>
          <w:kern w:val="22"/>
          <w:lang w:val="es-ES"/>
        </w:rPr>
        <w:t>que indicaron que hab</w:t>
      </w:r>
      <w:r w:rsidR="00B12178">
        <w:rPr>
          <w:snapToGrid w:val="0"/>
          <w:kern w:val="22"/>
          <w:lang w:val="es-ES"/>
        </w:rPr>
        <w:t xml:space="preserve">ían adoptado decisiones relativas a la importación de OVM-AHAP cuentan con </w:t>
      </w:r>
      <w:r w:rsidR="006C7349">
        <w:rPr>
          <w:snapToGrid w:val="0"/>
          <w:kern w:val="22"/>
          <w:lang w:val="es-ES"/>
        </w:rPr>
        <w:t>medidas para adoptar esas decisiones</w:t>
      </w:r>
      <w:r w:rsidR="00775B5A" w:rsidRPr="00B12178">
        <w:rPr>
          <w:snapToGrid w:val="0"/>
          <w:kern w:val="22"/>
          <w:lang w:val="es-ES"/>
        </w:rPr>
        <w:t xml:space="preserve">. </w:t>
      </w:r>
      <w:r w:rsidR="006C7349" w:rsidRPr="006C7349">
        <w:rPr>
          <w:snapToGrid w:val="0"/>
          <w:kern w:val="22"/>
          <w:lang w:val="es-ES"/>
        </w:rPr>
        <w:t xml:space="preserve">De las </w:t>
      </w:r>
      <w:r w:rsidR="00775B5A" w:rsidRPr="006C7349">
        <w:rPr>
          <w:snapToGrid w:val="0"/>
          <w:kern w:val="22"/>
          <w:lang w:val="es-ES"/>
        </w:rPr>
        <w:t xml:space="preserve">Partes </w:t>
      </w:r>
      <w:r w:rsidR="006C7349" w:rsidRPr="006C7349">
        <w:rPr>
          <w:snapToGrid w:val="0"/>
          <w:kern w:val="22"/>
          <w:lang w:val="es-ES"/>
        </w:rPr>
        <w:t xml:space="preserve">que comunicaron </w:t>
      </w:r>
      <w:r w:rsidR="006C7349">
        <w:rPr>
          <w:snapToGrid w:val="0"/>
          <w:kern w:val="22"/>
          <w:lang w:val="es-ES"/>
        </w:rPr>
        <w:t xml:space="preserve">haber </w:t>
      </w:r>
      <w:r w:rsidR="006C7349" w:rsidRPr="006C7349">
        <w:rPr>
          <w:snapToGrid w:val="0"/>
          <w:kern w:val="22"/>
          <w:lang w:val="es-ES"/>
        </w:rPr>
        <w:t xml:space="preserve">recibido notificaciones </w:t>
      </w:r>
      <w:r w:rsidR="006C7349">
        <w:rPr>
          <w:snapToGrid w:val="0"/>
          <w:kern w:val="22"/>
          <w:lang w:val="es-ES"/>
        </w:rPr>
        <w:t>sobre el</w:t>
      </w:r>
      <w:r w:rsidR="006C7349" w:rsidRPr="006C7349">
        <w:rPr>
          <w:snapToGrid w:val="0"/>
          <w:kern w:val="22"/>
          <w:lang w:val="es-ES"/>
        </w:rPr>
        <w:t xml:space="preserve"> movimiento transfronterizo intencional de OVM destinados para la introducci</w:t>
      </w:r>
      <w:r w:rsidR="006C7349">
        <w:rPr>
          <w:snapToGrid w:val="0"/>
          <w:kern w:val="22"/>
          <w:lang w:val="es-ES"/>
        </w:rPr>
        <w:t xml:space="preserve">ón intencional en el medio ambiente, el </w:t>
      </w:r>
      <w:r w:rsidR="00775B5A" w:rsidRPr="006C7349">
        <w:rPr>
          <w:snapToGrid w:val="0"/>
          <w:kern w:val="22"/>
          <w:lang w:val="es-ES"/>
        </w:rPr>
        <w:t>79</w:t>
      </w:r>
      <w:r w:rsidR="006C7349">
        <w:rPr>
          <w:snapToGrid w:val="0"/>
          <w:kern w:val="22"/>
          <w:lang w:val="es-ES"/>
        </w:rPr>
        <w:t xml:space="preserve"> </w:t>
      </w:r>
      <w:r w:rsidR="00775B5A" w:rsidRPr="006C7349">
        <w:rPr>
          <w:snapToGrid w:val="0"/>
          <w:kern w:val="22"/>
          <w:lang w:val="es-ES"/>
        </w:rPr>
        <w:t xml:space="preserve">% </w:t>
      </w:r>
      <w:r w:rsidR="006C7349">
        <w:rPr>
          <w:snapToGrid w:val="0"/>
          <w:kern w:val="22"/>
          <w:lang w:val="es-ES"/>
        </w:rPr>
        <w:t>de esas Partes indicaron que habían adoptado una decisión al respecto</w:t>
      </w:r>
      <w:r w:rsidR="00775B5A" w:rsidRPr="006C7349">
        <w:rPr>
          <w:snapToGrid w:val="0"/>
          <w:kern w:val="22"/>
          <w:lang w:val="es-ES"/>
        </w:rPr>
        <w:t xml:space="preserve">. </w:t>
      </w:r>
      <w:r w:rsidR="006C7349" w:rsidRPr="00FE1D11">
        <w:rPr>
          <w:snapToGrid w:val="0"/>
          <w:kern w:val="22"/>
          <w:lang w:val="es-ES"/>
        </w:rPr>
        <w:t xml:space="preserve">Dos tercios de las </w:t>
      </w:r>
      <w:r w:rsidR="00775B5A" w:rsidRPr="00FE1D11">
        <w:rPr>
          <w:snapToGrid w:val="0"/>
          <w:kern w:val="22"/>
          <w:lang w:val="es-ES"/>
        </w:rPr>
        <w:t xml:space="preserve">Partes </w:t>
      </w:r>
      <w:r w:rsidR="006C7349" w:rsidRPr="00FE1D11">
        <w:rPr>
          <w:snapToGrid w:val="0"/>
          <w:kern w:val="22"/>
          <w:lang w:val="es-ES"/>
        </w:rPr>
        <w:t xml:space="preserve">que informaron de que habían adoptado esa decisión comunicaron que </w:t>
      </w:r>
      <w:r w:rsidR="00FE1D11" w:rsidRPr="00FE1D11">
        <w:rPr>
          <w:snapToGrid w:val="0"/>
          <w:kern w:val="22"/>
          <w:lang w:val="es-ES"/>
        </w:rPr>
        <w:t xml:space="preserve">las medidas para aplicar el </w:t>
      </w:r>
      <w:r w:rsidR="00775B5A" w:rsidRPr="00FE1D11">
        <w:rPr>
          <w:snapToGrid w:val="0"/>
          <w:kern w:val="22"/>
          <w:lang w:val="es-ES"/>
        </w:rPr>
        <w:t>Protocol</w:t>
      </w:r>
      <w:r w:rsidR="00FE1D11" w:rsidRPr="00FE1D11">
        <w:rPr>
          <w:snapToGrid w:val="0"/>
          <w:kern w:val="22"/>
          <w:lang w:val="es-ES"/>
        </w:rPr>
        <w:t>o estaban plenamente en vigor, mientras que un tercio de esas Pa</w:t>
      </w:r>
      <w:r w:rsidR="00FE1D11">
        <w:rPr>
          <w:snapToGrid w:val="0"/>
          <w:kern w:val="22"/>
          <w:lang w:val="es-ES"/>
        </w:rPr>
        <w:t>rtes informaron de que las medidas estaban parcialmente en vigor</w:t>
      </w:r>
      <w:r w:rsidR="00775B5A" w:rsidRPr="00FE1D11">
        <w:rPr>
          <w:snapToGrid w:val="0"/>
          <w:kern w:val="22"/>
          <w:lang w:val="es-ES"/>
        </w:rPr>
        <w:t>.</w:t>
      </w:r>
    </w:p>
    <w:p w:rsidR="00775B5A" w:rsidRPr="003459E7" w:rsidRDefault="00FE1D11"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956B7B">
        <w:rPr>
          <w:snapToGrid w:val="0"/>
          <w:spacing w:val="-2"/>
          <w:kern w:val="22"/>
          <w:lang w:val="es-ES"/>
        </w:rPr>
        <w:t>En lo que respecta al</w:t>
      </w:r>
      <w:r w:rsidR="00775B5A" w:rsidRPr="00956B7B">
        <w:rPr>
          <w:snapToGrid w:val="0"/>
          <w:spacing w:val="-2"/>
          <w:kern w:val="22"/>
          <w:lang w:val="es-ES"/>
        </w:rPr>
        <w:t xml:space="preserve"> </w:t>
      </w:r>
      <w:r w:rsidR="00775B5A" w:rsidRPr="00956B7B">
        <w:rPr>
          <w:b/>
          <w:bCs/>
          <w:snapToGrid w:val="0"/>
          <w:spacing w:val="-2"/>
          <w:kern w:val="22"/>
          <w:lang w:val="es-ES"/>
        </w:rPr>
        <w:t>indica</w:t>
      </w:r>
      <w:r w:rsidRPr="00956B7B">
        <w:rPr>
          <w:b/>
          <w:bCs/>
          <w:snapToGrid w:val="0"/>
          <w:spacing w:val="-2"/>
          <w:kern w:val="22"/>
          <w:lang w:val="es-ES"/>
        </w:rPr>
        <w:t>d</w:t>
      </w:r>
      <w:r w:rsidR="00775B5A" w:rsidRPr="00956B7B">
        <w:rPr>
          <w:b/>
          <w:bCs/>
          <w:snapToGrid w:val="0"/>
          <w:spacing w:val="-2"/>
          <w:kern w:val="22"/>
          <w:lang w:val="es-ES"/>
        </w:rPr>
        <w:t>or 3.1.5</w:t>
      </w:r>
      <w:r w:rsidRPr="00956B7B">
        <w:rPr>
          <w:b/>
          <w:bCs/>
          <w:snapToGrid w:val="0"/>
          <w:spacing w:val="-2"/>
          <w:kern w:val="22"/>
          <w:lang w:val="es-ES"/>
        </w:rPr>
        <w:t xml:space="preserve"> </w:t>
      </w:r>
      <w:r w:rsidR="00775B5A" w:rsidRPr="00956B7B">
        <w:rPr>
          <w:snapToGrid w:val="0"/>
          <w:spacing w:val="-2"/>
          <w:kern w:val="22"/>
          <w:lang w:val="es-ES"/>
        </w:rPr>
        <w:t>(</w:t>
      </w:r>
      <w:r w:rsidRPr="00956B7B">
        <w:rPr>
          <w:snapToGrid w:val="0"/>
          <w:spacing w:val="-2"/>
          <w:kern w:val="22"/>
          <w:lang w:val="es-ES"/>
        </w:rPr>
        <w:t xml:space="preserve">el porcentaje de Partes que </w:t>
      </w:r>
      <w:r w:rsidR="00956B7B" w:rsidRPr="00956B7B">
        <w:rPr>
          <w:snapToGrid w:val="0"/>
          <w:spacing w:val="-2"/>
          <w:kern w:val="22"/>
          <w:lang w:val="es-ES"/>
        </w:rPr>
        <w:t>había publicado toda la información de entrega obligatoria a través del CIISB</w:t>
      </w:r>
      <w:r w:rsidR="00775B5A" w:rsidRPr="00956B7B">
        <w:rPr>
          <w:snapToGrid w:val="0"/>
          <w:spacing w:val="-2"/>
          <w:kern w:val="22"/>
          <w:lang w:val="es-ES"/>
        </w:rPr>
        <w:t>),</w:t>
      </w:r>
      <w:r w:rsidR="00956B7B" w:rsidRPr="00956B7B">
        <w:rPr>
          <w:snapToGrid w:val="0"/>
          <w:spacing w:val="-2"/>
          <w:kern w:val="22"/>
          <w:lang w:val="es-ES"/>
        </w:rPr>
        <w:t xml:space="preserve"> el</w:t>
      </w:r>
      <w:r w:rsidR="00775B5A" w:rsidRPr="00956B7B">
        <w:rPr>
          <w:snapToGrid w:val="0"/>
          <w:spacing w:val="-2"/>
          <w:kern w:val="22"/>
          <w:lang w:val="es-ES"/>
        </w:rPr>
        <w:t xml:space="preserve"> 78</w:t>
      </w:r>
      <w:r w:rsidR="00956B7B" w:rsidRPr="00956B7B">
        <w:rPr>
          <w:snapToGrid w:val="0"/>
          <w:spacing w:val="-2"/>
          <w:kern w:val="22"/>
          <w:lang w:val="es-ES"/>
        </w:rPr>
        <w:t xml:space="preserve"> </w:t>
      </w:r>
      <w:r w:rsidR="00775B5A" w:rsidRPr="00956B7B">
        <w:rPr>
          <w:snapToGrid w:val="0"/>
          <w:spacing w:val="-2"/>
          <w:kern w:val="22"/>
          <w:lang w:val="es-ES"/>
        </w:rPr>
        <w:t xml:space="preserve">% </w:t>
      </w:r>
      <w:r w:rsidR="00956B7B" w:rsidRPr="00956B7B">
        <w:rPr>
          <w:snapToGrid w:val="0"/>
          <w:spacing w:val="-2"/>
          <w:kern w:val="22"/>
          <w:lang w:val="es-ES"/>
        </w:rPr>
        <w:t xml:space="preserve">de las </w:t>
      </w:r>
      <w:r w:rsidR="00775B5A" w:rsidRPr="00956B7B">
        <w:rPr>
          <w:snapToGrid w:val="0"/>
          <w:spacing w:val="-2"/>
          <w:kern w:val="22"/>
          <w:lang w:val="es-ES"/>
        </w:rPr>
        <w:t xml:space="preserve">Partes (73 Partes) </w:t>
      </w:r>
      <w:r w:rsidR="00956B7B" w:rsidRPr="00956B7B">
        <w:rPr>
          <w:snapToGrid w:val="0"/>
          <w:spacing w:val="-2"/>
          <w:kern w:val="22"/>
          <w:lang w:val="es-ES"/>
        </w:rPr>
        <w:t>inform</w:t>
      </w:r>
      <w:r w:rsidR="00244330">
        <w:rPr>
          <w:snapToGrid w:val="0"/>
          <w:spacing w:val="-2"/>
          <w:kern w:val="22"/>
          <w:lang w:val="es-ES"/>
        </w:rPr>
        <w:t>ó</w:t>
      </w:r>
      <w:r w:rsidR="00956B7B" w:rsidRPr="00956B7B">
        <w:rPr>
          <w:snapToGrid w:val="0"/>
          <w:spacing w:val="-2"/>
          <w:kern w:val="22"/>
          <w:lang w:val="es-ES"/>
        </w:rPr>
        <w:t xml:space="preserve"> haber presentado informaci</w:t>
      </w:r>
      <w:r w:rsidR="00956B7B">
        <w:rPr>
          <w:snapToGrid w:val="0"/>
          <w:spacing w:val="-2"/>
          <w:kern w:val="22"/>
          <w:lang w:val="es-ES"/>
        </w:rPr>
        <w:t>ón sobre la legislación</w:t>
      </w:r>
      <w:r w:rsidR="00775B5A" w:rsidRPr="00956B7B">
        <w:rPr>
          <w:snapToGrid w:val="0"/>
          <w:spacing w:val="-2"/>
          <w:kern w:val="22"/>
          <w:lang w:val="es-ES"/>
        </w:rPr>
        <w:t xml:space="preserve">, </w:t>
      </w:r>
      <w:r w:rsidR="00956B7B">
        <w:rPr>
          <w:snapToGrid w:val="0"/>
          <w:spacing w:val="-2"/>
          <w:kern w:val="22"/>
          <w:lang w:val="es-ES"/>
        </w:rPr>
        <w:t xml:space="preserve">regulaciones y directrices para la aplicación del </w:t>
      </w:r>
      <w:r w:rsidR="00775B5A" w:rsidRPr="00956B7B">
        <w:rPr>
          <w:snapToGrid w:val="0"/>
          <w:spacing w:val="-2"/>
          <w:kern w:val="22"/>
          <w:lang w:val="es-ES"/>
        </w:rPr>
        <w:t>Protocol</w:t>
      </w:r>
      <w:r w:rsidR="00956B7B">
        <w:rPr>
          <w:snapToGrid w:val="0"/>
          <w:spacing w:val="-2"/>
          <w:kern w:val="22"/>
          <w:lang w:val="es-ES"/>
        </w:rPr>
        <w:t>o</w:t>
      </w:r>
      <w:r w:rsidR="00775B5A" w:rsidRPr="00956B7B">
        <w:rPr>
          <w:snapToGrid w:val="0"/>
          <w:spacing w:val="-2"/>
          <w:kern w:val="22"/>
          <w:lang w:val="es-ES"/>
        </w:rPr>
        <w:t>, as</w:t>
      </w:r>
      <w:r w:rsidR="00956B7B">
        <w:rPr>
          <w:snapToGrid w:val="0"/>
          <w:spacing w:val="-2"/>
          <w:kern w:val="22"/>
          <w:lang w:val="es-ES"/>
        </w:rPr>
        <w:t xml:space="preserve">í como información requerida por las Partes para los procedimientos de AFP </w:t>
      </w:r>
      <w:r w:rsidR="003459E7">
        <w:rPr>
          <w:snapToGrid w:val="0"/>
          <w:spacing w:val="-2"/>
          <w:kern w:val="22"/>
          <w:lang w:val="es-ES"/>
        </w:rPr>
        <w:t>al</w:t>
      </w:r>
      <w:r w:rsidR="00956B7B">
        <w:rPr>
          <w:snapToGrid w:val="0"/>
          <w:spacing w:val="-2"/>
          <w:kern w:val="22"/>
          <w:lang w:val="es-ES"/>
        </w:rPr>
        <w:t xml:space="preserve"> CIISB, lo que constituye un aumento de un </w:t>
      </w:r>
      <w:r w:rsidR="00775B5A" w:rsidRPr="00956B7B">
        <w:rPr>
          <w:snapToGrid w:val="0"/>
          <w:spacing w:val="-2"/>
          <w:kern w:val="22"/>
          <w:lang w:val="es-ES"/>
        </w:rPr>
        <w:t>21</w:t>
      </w:r>
      <w:r w:rsidR="00956B7B">
        <w:rPr>
          <w:snapToGrid w:val="0"/>
          <w:spacing w:val="-2"/>
          <w:kern w:val="22"/>
          <w:lang w:val="es-ES"/>
        </w:rPr>
        <w:t xml:space="preserve"> </w:t>
      </w:r>
      <w:r w:rsidR="00775B5A" w:rsidRPr="00956B7B">
        <w:rPr>
          <w:snapToGrid w:val="0"/>
          <w:spacing w:val="-2"/>
          <w:kern w:val="22"/>
          <w:lang w:val="es-ES"/>
        </w:rPr>
        <w:t xml:space="preserve">% </w:t>
      </w:r>
      <w:r w:rsidR="00956B7B">
        <w:rPr>
          <w:snapToGrid w:val="0"/>
          <w:spacing w:val="-2"/>
          <w:kern w:val="22"/>
          <w:lang w:val="es-ES"/>
        </w:rPr>
        <w:t>con respecto a la base de referencia</w:t>
      </w:r>
      <w:r w:rsidR="00775B5A" w:rsidRPr="00956B7B">
        <w:rPr>
          <w:snapToGrid w:val="0"/>
          <w:spacing w:val="-2"/>
          <w:kern w:val="22"/>
          <w:lang w:val="es-ES"/>
        </w:rPr>
        <w:t xml:space="preserve"> (</w:t>
      </w:r>
      <w:r w:rsidR="00956B7B">
        <w:rPr>
          <w:snapToGrid w:val="0"/>
          <w:spacing w:val="-2"/>
          <w:kern w:val="22"/>
          <w:lang w:val="es-ES"/>
        </w:rPr>
        <w:t>con los siguientes cambios regionales</w:t>
      </w:r>
      <w:r w:rsidR="00775B5A" w:rsidRPr="00956B7B">
        <w:rPr>
          <w:snapToGrid w:val="0"/>
          <w:spacing w:val="-2"/>
          <w:kern w:val="22"/>
          <w:lang w:val="es-ES"/>
        </w:rPr>
        <w:t xml:space="preserve">: </w:t>
      </w:r>
      <w:r w:rsidR="00956B7B">
        <w:rPr>
          <w:snapToGrid w:val="0"/>
          <w:spacing w:val="-2"/>
          <w:kern w:val="22"/>
          <w:lang w:val="es-ES"/>
        </w:rPr>
        <w:t>Á</w:t>
      </w:r>
      <w:r w:rsidR="00775B5A" w:rsidRPr="00956B7B">
        <w:rPr>
          <w:snapToGrid w:val="0"/>
          <w:spacing w:val="-2"/>
          <w:kern w:val="22"/>
          <w:lang w:val="es-ES"/>
        </w:rPr>
        <w:t>frica +</w:t>
      </w:r>
      <w:r w:rsidR="00956B7B">
        <w:rPr>
          <w:snapToGrid w:val="0"/>
          <w:spacing w:val="-2"/>
          <w:kern w:val="22"/>
          <w:lang w:val="es-ES"/>
        </w:rPr>
        <w:t xml:space="preserve"> </w:t>
      </w:r>
      <w:r w:rsidR="00775B5A" w:rsidRPr="00956B7B">
        <w:rPr>
          <w:snapToGrid w:val="0"/>
          <w:spacing w:val="-2"/>
          <w:kern w:val="22"/>
          <w:lang w:val="es-ES"/>
        </w:rPr>
        <w:t>37</w:t>
      </w:r>
      <w:r w:rsidR="00956B7B">
        <w:rPr>
          <w:snapToGrid w:val="0"/>
          <w:spacing w:val="-2"/>
          <w:kern w:val="22"/>
          <w:lang w:val="es-ES"/>
        </w:rPr>
        <w:t xml:space="preserve"> </w:t>
      </w:r>
      <w:r w:rsidR="00775B5A" w:rsidRPr="00956B7B">
        <w:rPr>
          <w:snapToGrid w:val="0"/>
          <w:spacing w:val="-2"/>
          <w:kern w:val="22"/>
          <w:lang w:val="es-ES"/>
        </w:rPr>
        <w:t>%</w:t>
      </w:r>
      <w:r w:rsidR="00244330">
        <w:rPr>
          <w:snapToGrid w:val="0"/>
          <w:spacing w:val="-2"/>
          <w:kern w:val="22"/>
          <w:lang w:val="es-ES"/>
        </w:rPr>
        <w:t>,</w:t>
      </w:r>
      <w:r w:rsidR="00775B5A" w:rsidRPr="00956B7B">
        <w:rPr>
          <w:snapToGrid w:val="0"/>
          <w:spacing w:val="-2"/>
          <w:kern w:val="22"/>
          <w:lang w:val="es-ES"/>
        </w:rPr>
        <w:t xml:space="preserve"> </w:t>
      </w:r>
      <w:r w:rsidR="00D74010">
        <w:rPr>
          <w:snapToGrid w:val="0"/>
          <w:kern w:val="22"/>
          <w:lang w:val="es-ES"/>
        </w:rPr>
        <w:t>grupo de países de América Latina y el Caribe</w:t>
      </w:r>
      <w:r w:rsidR="00D74010" w:rsidRPr="00956B7B">
        <w:rPr>
          <w:snapToGrid w:val="0"/>
          <w:spacing w:val="-2"/>
          <w:kern w:val="22"/>
          <w:lang w:val="es-ES"/>
        </w:rPr>
        <w:t xml:space="preserve"> </w:t>
      </w:r>
      <w:r w:rsidR="00775B5A" w:rsidRPr="00956B7B">
        <w:rPr>
          <w:snapToGrid w:val="0"/>
          <w:spacing w:val="-2"/>
          <w:kern w:val="22"/>
          <w:lang w:val="es-ES"/>
        </w:rPr>
        <w:t>+</w:t>
      </w:r>
      <w:r w:rsidR="00956B7B">
        <w:rPr>
          <w:snapToGrid w:val="0"/>
          <w:spacing w:val="-2"/>
          <w:kern w:val="22"/>
          <w:lang w:val="es-ES"/>
        </w:rPr>
        <w:t xml:space="preserve"> </w:t>
      </w:r>
      <w:r w:rsidR="00775B5A" w:rsidRPr="00956B7B">
        <w:rPr>
          <w:snapToGrid w:val="0"/>
          <w:spacing w:val="-2"/>
          <w:kern w:val="22"/>
          <w:lang w:val="es-ES"/>
        </w:rPr>
        <w:t>23</w:t>
      </w:r>
      <w:r w:rsidR="00956B7B">
        <w:rPr>
          <w:snapToGrid w:val="0"/>
          <w:spacing w:val="-2"/>
          <w:kern w:val="22"/>
          <w:lang w:val="es-ES"/>
        </w:rPr>
        <w:t xml:space="preserve"> </w:t>
      </w:r>
      <w:r w:rsidR="00775B5A" w:rsidRPr="00956B7B">
        <w:rPr>
          <w:snapToGrid w:val="0"/>
          <w:spacing w:val="-2"/>
          <w:kern w:val="22"/>
          <w:lang w:val="es-ES"/>
        </w:rPr>
        <w:t>%</w:t>
      </w:r>
      <w:r w:rsidR="00244330">
        <w:rPr>
          <w:snapToGrid w:val="0"/>
          <w:spacing w:val="-2"/>
          <w:kern w:val="22"/>
          <w:lang w:val="es-ES"/>
        </w:rPr>
        <w:t>,</w:t>
      </w:r>
      <w:r w:rsidR="00775B5A" w:rsidRPr="00956B7B">
        <w:rPr>
          <w:snapToGrid w:val="0"/>
          <w:spacing w:val="-2"/>
          <w:kern w:val="22"/>
          <w:lang w:val="es-ES"/>
        </w:rPr>
        <w:t xml:space="preserve"> Asia</w:t>
      </w:r>
      <w:r w:rsidR="00A53625">
        <w:rPr>
          <w:snapToGrid w:val="0"/>
          <w:spacing w:val="-2"/>
          <w:kern w:val="22"/>
          <w:lang w:val="es-ES"/>
        </w:rPr>
        <w:t xml:space="preserve"> y el </w:t>
      </w:r>
      <w:r w:rsidR="00956B7B">
        <w:rPr>
          <w:snapToGrid w:val="0"/>
          <w:spacing w:val="-2"/>
          <w:kern w:val="22"/>
          <w:lang w:val="es-ES"/>
        </w:rPr>
        <w:t>Pacífico</w:t>
      </w:r>
      <w:r w:rsidR="00775B5A" w:rsidRPr="00956B7B">
        <w:rPr>
          <w:snapToGrid w:val="0"/>
          <w:spacing w:val="-2"/>
          <w:kern w:val="22"/>
          <w:lang w:val="es-ES"/>
        </w:rPr>
        <w:t xml:space="preserve"> +</w:t>
      </w:r>
      <w:r w:rsidR="00956B7B">
        <w:rPr>
          <w:snapToGrid w:val="0"/>
          <w:spacing w:val="-2"/>
          <w:kern w:val="22"/>
          <w:lang w:val="es-ES"/>
        </w:rPr>
        <w:t xml:space="preserve"> </w:t>
      </w:r>
      <w:r w:rsidR="00775B5A" w:rsidRPr="00956B7B">
        <w:rPr>
          <w:snapToGrid w:val="0"/>
          <w:spacing w:val="-2"/>
          <w:kern w:val="22"/>
          <w:lang w:val="es-ES"/>
        </w:rPr>
        <w:t>13</w:t>
      </w:r>
      <w:r w:rsidR="00956B7B">
        <w:rPr>
          <w:snapToGrid w:val="0"/>
          <w:spacing w:val="-2"/>
          <w:kern w:val="22"/>
          <w:lang w:val="es-ES"/>
        </w:rPr>
        <w:t xml:space="preserve"> </w:t>
      </w:r>
      <w:r w:rsidR="00775B5A" w:rsidRPr="00956B7B">
        <w:rPr>
          <w:snapToGrid w:val="0"/>
          <w:spacing w:val="-2"/>
          <w:kern w:val="22"/>
          <w:lang w:val="es-ES"/>
        </w:rPr>
        <w:t>%</w:t>
      </w:r>
      <w:r w:rsidR="00244330">
        <w:rPr>
          <w:snapToGrid w:val="0"/>
          <w:spacing w:val="-2"/>
          <w:kern w:val="22"/>
          <w:lang w:val="es-ES"/>
        </w:rPr>
        <w:t>,</w:t>
      </w:r>
      <w:r w:rsidR="00775B5A" w:rsidRPr="00956B7B">
        <w:rPr>
          <w:snapToGrid w:val="0"/>
          <w:spacing w:val="-2"/>
          <w:kern w:val="22"/>
          <w:lang w:val="es-ES"/>
        </w:rPr>
        <w:t xml:space="preserve"> </w:t>
      </w:r>
      <w:r w:rsidR="00477624">
        <w:rPr>
          <w:snapToGrid w:val="0"/>
          <w:kern w:val="22"/>
          <w:lang w:val="es-ES"/>
        </w:rPr>
        <w:t>grupo de Estados de Europa Central y Oriental</w:t>
      </w:r>
      <w:r w:rsidR="00477624" w:rsidRPr="00EC2231">
        <w:rPr>
          <w:snapToGrid w:val="0"/>
          <w:kern w:val="22"/>
          <w:lang w:val="es-ES"/>
        </w:rPr>
        <w:t xml:space="preserve"> </w:t>
      </w:r>
      <w:r w:rsidR="00775B5A" w:rsidRPr="00956B7B">
        <w:rPr>
          <w:snapToGrid w:val="0"/>
          <w:spacing w:val="-2"/>
          <w:kern w:val="22"/>
          <w:lang w:val="es-ES"/>
        </w:rPr>
        <w:t>+</w:t>
      </w:r>
      <w:r w:rsidR="00956B7B">
        <w:rPr>
          <w:snapToGrid w:val="0"/>
          <w:spacing w:val="-2"/>
          <w:kern w:val="22"/>
          <w:lang w:val="es-ES"/>
        </w:rPr>
        <w:t xml:space="preserve"> </w:t>
      </w:r>
      <w:r w:rsidR="00775B5A" w:rsidRPr="00956B7B">
        <w:rPr>
          <w:snapToGrid w:val="0"/>
          <w:spacing w:val="-2"/>
          <w:kern w:val="22"/>
          <w:lang w:val="es-ES"/>
        </w:rPr>
        <w:t>13</w:t>
      </w:r>
      <w:r w:rsidR="00956B7B">
        <w:rPr>
          <w:snapToGrid w:val="0"/>
          <w:spacing w:val="-2"/>
          <w:kern w:val="22"/>
          <w:lang w:val="es-ES"/>
        </w:rPr>
        <w:t xml:space="preserve"> </w:t>
      </w:r>
      <w:r w:rsidR="00775B5A" w:rsidRPr="00956B7B">
        <w:rPr>
          <w:snapToGrid w:val="0"/>
          <w:spacing w:val="-2"/>
          <w:kern w:val="22"/>
          <w:lang w:val="es-ES"/>
        </w:rPr>
        <w:t xml:space="preserve">%, </w:t>
      </w:r>
      <w:r w:rsidR="00956B7B">
        <w:rPr>
          <w:snapToGrid w:val="0"/>
          <w:spacing w:val="-2"/>
          <w:kern w:val="22"/>
          <w:lang w:val="es-ES"/>
        </w:rPr>
        <w:t>grupo de Estados de Europa Occidental y otros</w:t>
      </w:r>
      <w:r w:rsidR="00775B5A" w:rsidRPr="00956B7B">
        <w:rPr>
          <w:snapToGrid w:val="0"/>
          <w:spacing w:val="-2"/>
          <w:kern w:val="22"/>
          <w:lang w:val="es-ES"/>
        </w:rPr>
        <w:t xml:space="preserve"> +</w:t>
      </w:r>
      <w:r w:rsidR="00956B7B">
        <w:rPr>
          <w:snapToGrid w:val="0"/>
          <w:spacing w:val="-2"/>
          <w:kern w:val="22"/>
          <w:lang w:val="es-ES"/>
        </w:rPr>
        <w:t xml:space="preserve"> </w:t>
      </w:r>
      <w:r w:rsidR="00775B5A" w:rsidRPr="00956B7B">
        <w:rPr>
          <w:snapToGrid w:val="0"/>
          <w:spacing w:val="-2"/>
          <w:kern w:val="22"/>
          <w:lang w:val="es-ES"/>
        </w:rPr>
        <w:t>11</w:t>
      </w:r>
      <w:r w:rsidR="00956B7B">
        <w:rPr>
          <w:snapToGrid w:val="0"/>
          <w:spacing w:val="-2"/>
          <w:kern w:val="22"/>
          <w:lang w:val="es-ES"/>
        </w:rPr>
        <w:t xml:space="preserve"> </w:t>
      </w:r>
      <w:r w:rsidR="00775B5A" w:rsidRPr="00956B7B">
        <w:rPr>
          <w:snapToGrid w:val="0"/>
          <w:spacing w:val="-2"/>
          <w:kern w:val="22"/>
          <w:lang w:val="es-ES"/>
        </w:rPr>
        <w:t xml:space="preserve">%). </w:t>
      </w:r>
      <w:r w:rsidR="003459E7" w:rsidRPr="003459E7">
        <w:rPr>
          <w:snapToGrid w:val="0"/>
          <w:spacing w:val="-2"/>
          <w:kern w:val="22"/>
          <w:lang w:val="es-ES"/>
        </w:rPr>
        <w:t>Con respect</w:t>
      </w:r>
      <w:r w:rsidR="003459E7">
        <w:rPr>
          <w:snapToGrid w:val="0"/>
          <w:spacing w:val="-2"/>
          <w:kern w:val="22"/>
          <w:lang w:val="es-ES"/>
        </w:rPr>
        <w:t>o</w:t>
      </w:r>
      <w:r w:rsidR="003459E7" w:rsidRPr="003459E7">
        <w:rPr>
          <w:snapToGrid w:val="0"/>
          <w:spacing w:val="-2"/>
          <w:kern w:val="22"/>
          <w:lang w:val="es-ES"/>
        </w:rPr>
        <w:t xml:space="preserve"> a la legislación, regulaciones y directrices aplicables a la importación de OVM destinados a ser utilizados directamente como alimento humano o animal o para procesamiento</w:t>
      </w:r>
      <w:r w:rsidR="00775B5A" w:rsidRPr="003459E7">
        <w:rPr>
          <w:snapToGrid w:val="0"/>
          <w:spacing w:val="-2"/>
          <w:kern w:val="22"/>
          <w:lang w:val="es-ES"/>
        </w:rPr>
        <w:t xml:space="preserve">, </w:t>
      </w:r>
      <w:r w:rsidR="003459E7" w:rsidRPr="003459E7">
        <w:rPr>
          <w:snapToGrid w:val="0"/>
          <w:spacing w:val="-2"/>
          <w:kern w:val="22"/>
          <w:lang w:val="es-ES"/>
        </w:rPr>
        <w:t xml:space="preserve">el </w:t>
      </w:r>
      <w:r w:rsidR="00775B5A" w:rsidRPr="003459E7">
        <w:rPr>
          <w:snapToGrid w:val="0"/>
          <w:spacing w:val="-2"/>
          <w:kern w:val="22"/>
          <w:lang w:val="es-ES"/>
        </w:rPr>
        <w:t>71</w:t>
      </w:r>
      <w:r w:rsidR="003459E7">
        <w:rPr>
          <w:snapToGrid w:val="0"/>
          <w:spacing w:val="-2"/>
          <w:kern w:val="22"/>
          <w:lang w:val="es-ES"/>
        </w:rPr>
        <w:t xml:space="preserve"> </w:t>
      </w:r>
      <w:r w:rsidR="00775B5A" w:rsidRPr="003459E7">
        <w:rPr>
          <w:snapToGrid w:val="0"/>
          <w:spacing w:val="-2"/>
          <w:kern w:val="22"/>
          <w:lang w:val="es-ES"/>
        </w:rPr>
        <w:t xml:space="preserve">% </w:t>
      </w:r>
      <w:r w:rsidR="003459E7">
        <w:rPr>
          <w:snapToGrid w:val="0"/>
          <w:spacing w:val="-2"/>
          <w:kern w:val="22"/>
          <w:lang w:val="es-ES"/>
        </w:rPr>
        <w:t xml:space="preserve">de las </w:t>
      </w:r>
      <w:r w:rsidR="00775B5A" w:rsidRPr="003459E7">
        <w:rPr>
          <w:snapToGrid w:val="0"/>
          <w:spacing w:val="-2"/>
          <w:kern w:val="22"/>
          <w:lang w:val="es-ES"/>
        </w:rPr>
        <w:t xml:space="preserve">Partes (66 Partes) </w:t>
      </w:r>
      <w:r w:rsidR="003459E7">
        <w:rPr>
          <w:snapToGrid w:val="0"/>
          <w:spacing w:val="-2"/>
          <w:kern w:val="22"/>
          <w:lang w:val="es-ES"/>
        </w:rPr>
        <w:t>indic</w:t>
      </w:r>
      <w:r w:rsidR="00244330">
        <w:rPr>
          <w:snapToGrid w:val="0"/>
          <w:spacing w:val="-2"/>
          <w:kern w:val="22"/>
          <w:lang w:val="es-ES"/>
        </w:rPr>
        <w:t>ó</w:t>
      </w:r>
      <w:r w:rsidR="003459E7">
        <w:rPr>
          <w:snapToGrid w:val="0"/>
          <w:spacing w:val="-2"/>
          <w:kern w:val="22"/>
          <w:lang w:val="es-ES"/>
        </w:rPr>
        <w:t xml:space="preserve"> que esta información se había presentado al CIISB, lo que supone un aumento de un </w:t>
      </w:r>
      <w:r w:rsidR="00775B5A" w:rsidRPr="003459E7">
        <w:rPr>
          <w:snapToGrid w:val="0"/>
          <w:spacing w:val="-2"/>
          <w:kern w:val="22"/>
          <w:lang w:val="es-ES"/>
        </w:rPr>
        <w:t>18</w:t>
      </w:r>
      <w:r w:rsidR="003459E7">
        <w:rPr>
          <w:snapToGrid w:val="0"/>
          <w:spacing w:val="-2"/>
          <w:kern w:val="22"/>
          <w:lang w:val="es-ES"/>
        </w:rPr>
        <w:t xml:space="preserve"> </w:t>
      </w:r>
      <w:r w:rsidR="00775B5A" w:rsidRPr="003459E7">
        <w:rPr>
          <w:snapToGrid w:val="0"/>
          <w:spacing w:val="-2"/>
          <w:kern w:val="22"/>
          <w:lang w:val="es-ES"/>
        </w:rPr>
        <w:t xml:space="preserve">% </w:t>
      </w:r>
      <w:r w:rsidR="003459E7">
        <w:rPr>
          <w:snapToGrid w:val="0"/>
          <w:spacing w:val="-2"/>
          <w:kern w:val="22"/>
          <w:lang w:val="es-ES"/>
        </w:rPr>
        <w:t>con respecto a los datos básicos de referencia</w:t>
      </w:r>
      <w:r w:rsidR="00775B5A" w:rsidRPr="003459E7">
        <w:rPr>
          <w:snapToGrid w:val="0"/>
          <w:spacing w:val="-2"/>
          <w:kern w:val="22"/>
          <w:lang w:val="es-ES"/>
        </w:rPr>
        <w:t xml:space="preserve"> (</w:t>
      </w:r>
      <w:r w:rsidR="003459E7">
        <w:rPr>
          <w:snapToGrid w:val="0"/>
          <w:spacing w:val="-2"/>
          <w:kern w:val="22"/>
          <w:lang w:val="es-ES"/>
        </w:rPr>
        <w:t>con los siguientes cambios regionales</w:t>
      </w:r>
      <w:r w:rsidR="00775B5A" w:rsidRPr="003459E7">
        <w:rPr>
          <w:snapToGrid w:val="0"/>
          <w:spacing w:val="-2"/>
          <w:kern w:val="22"/>
          <w:lang w:val="es-ES"/>
        </w:rPr>
        <w:t xml:space="preserve">: </w:t>
      </w:r>
      <w:r w:rsidR="003459E7">
        <w:rPr>
          <w:snapToGrid w:val="0"/>
          <w:spacing w:val="-2"/>
          <w:kern w:val="22"/>
          <w:lang w:val="es-ES"/>
        </w:rPr>
        <w:t>Á</w:t>
      </w:r>
      <w:r w:rsidR="00775B5A" w:rsidRPr="003459E7">
        <w:rPr>
          <w:snapToGrid w:val="0"/>
          <w:spacing w:val="-2"/>
          <w:kern w:val="22"/>
          <w:lang w:val="es-ES"/>
        </w:rPr>
        <w:t>frica +</w:t>
      </w:r>
      <w:r w:rsidR="003459E7">
        <w:rPr>
          <w:snapToGrid w:val="0"/>
          <w:spacing w:val="-2"/>
          <w:kern w:val="22"/>
          <w:lang w:val="es-ES"/>
        </w:rPr>
        <w:t xml:space="preserve"> </w:t>
      </w:r>
      <w:r w:rsidR="00775B5A" w:rsidRPr="003459E7">
        <w:rPr>
          <w:snapToGrid w:val="0"/>
          <w:spacing w:val="-2"/>
          <w:kern w:val="22"/>
          <w:lang w:val="es-ES"/>
        </w:rPr>
        <w:t>27</w:t>
      </w:r>
      <w:r w:rsidR="003459E7">
        <w:rPr>
          <w:snapToGrid w:val="0"/>
          <w:spacing w:val="-2"/>
          <w:kern w:val="22"/>
          <w:lang w:val="es-ES"/>
        </w:rPr>
        <w:t xml:space="preserve"> </w:t>
      </w:r>
      <w:r w:rsidR="00775B5A" w:rsidRPr="003459E7">
        <w:rPr>
          <w:snapToGrid w:val="0"/>
          <w:spacing w:val="-2"/>
          <w:kern w:val="22"/>
          <w:lang w:val="es-ES"/>
        </w:rPr>
        <w:t>%</w:t>
      </w:r>
      <w:r w:rsidR="00244330">
        <w:rPr>
          <w:snapToGrid w:val="0"/>
          <w:spacing w:val="-2"/>
          <w:kern w:val="22"/>
          <w:lang w:val="es-ES"/>
        </w:rPr>
        <w:t>,</w:t>
      </w:r>
      <w:r w:rsidR="00775B5A" w:rsidRPr="003459E7">
        <w:rPr>
          <w:snapToGrid w:val="0"/>
          <w:spacing w:val="-2"/>
          <w:kern w:val="22"/>
          <w:lang w:val="es-ES"/>
        </w:rPr>
        <w:t xml:space="preserve"> </w:t>
      </w:r>
      <w:r w:rsidR="00D74010">
        <w:rPr>
          <w:snapToGrid w:val="0"/>
          <w:kern w:val="22"/>
          <w:lang w:val="es-ES"/>
        </w:rPr>
        <w:t>grupo de países de América Latina y el Caribe</w:t>
      </w:r>
      <w:r w:rsidR="00D74010" w:rsidRPr="003459E7">
        <w:rPr>
          <w:snapToGrid w:val="0"/>
          <w:spacing w:val="-2"/>
          <w:kern w:val="22"/>
          <w:lang w:val="es-ES"/>
        </w:rPr>
        <w:t xml:space="preserve"> </w:t>
      </w:r>
      <w:r w:rsidR="00775B5A" w:rsidRPr="003459E7">
        <w:rPr>
          <w:snapToGrid w:val="0"/>
          <w:spacing w:val="-2"/>
          <w:kern w:val="22"/>
          <w:lang w:val="es-ES"/>
        </w:rPr>
        <w:t>+</w:t>
      </w:r>
      <w:r w:rsidR="003459E7">
        <w:rPr>
          <w:snapToGrid w:val="0"/>
          <w:spacing w:val="-2"/>
          <w:kern w:val="22"/>
          <w:lang w:val="es-ES"/>
        </w:rPr>
        <w:t xml:space="preserve"> </w:t>
      </w:r>
      <w:r w:rsidR="00775B5A" w:rsidRPr="003459E7">
        <w:rPr>
          <w:snapToGrid w:val="0"/>
          <w:spacing w:val="-2"/>
          <w:kern w:val="22"/>
          <w:lang w:val="es-ES"/>
        </w:rPr>
        <w:t>23</w:t>
      </w:r>
      <w:r w:rsidR="003459E7">
        <w:rPr>
          <w:snapToGrid w:val="0"/>
          <w:spacing w:val="-2"/>
          <w:kern w:val="22"/>
          <w:lang w:val="es-ES"/>
        </w:rPr>
        <w:t xml:space="preserve"> </w:t>
      </w:r>
      <w:r w:rsidR="00775B5A" w:rsidRPr="003459E7">
        <w:rPr>
          <w:snapToGrid w:val="0"/>
          <w:spacing w:val="-2"/>
          <w:kern w:val="22"/>
          <w:lang w:val="es-ES"/>
        </w:rPr>
        <w:t>%</w:t>
      </w:r>
      <w:r w:rsidR="00244330">
        <w:rPr>
          <w:snapToGrid w:val="0"/>
          <w:spacing w:val="-2"/>
          <w:kern w:val="22"/>
          <w:lang w:val="es-ES"/>
        </w:rPr>
        <w:t>,</w:t>
      </w:r>
      <w:r w:rsidR="00775B5A" w:rsidRPr="003459E7">
        <w:rPr>
          <w:snapToGrid w:val="0"/>
          <w:spacing w:val="-2"/>
          <w:kern w:val="22"/>
          <w:lang w:val="es-ES"/>
        </w:rPr>
        <w:t xml:space="preserve"> Asia</w:t>
      </w:r>
      <w:r w:rsidR="00A53625">
        <w:rPr>
          <w:snapToGrid w:val="0"/>
          <w:spacing w:val="-2"/>
          <w:kern w:val="22"/>
          <w:lang w:val="es-ES"/>
        </w:rPr>
        <w:t xml:space="preserve"> y el Pacífico </w:t>
      </w:r>
      <w:r w:rsidR="00775B5A" w:rsidRPr="003459E7">
        <w:rPr>
          <w:snapToGrid w:val="0"/>
          <w:spacing w:val="-2"/>
          <w:kern w:val="22"/>
          <w:lang w:val="es-ES"/>
        </w:rPr>
        <w:t>+</w:t>
      </w:r>
      <w:r w:rsidR="003459E7">
        <w:rPr>
          <w:snapToGrid w:val="0"/>
          <w:spacing w:val="-2"/>
          <w:kern w:val="22"/>
          <w:lang w:val="es-ES"/>
        </w:rPr>
        <w:t xml:space="preserve"> </w:t>
      </w:r>
      <w:r w:rsidR="00775B5A" w:rsidRPr="003459E7">
        <w:rPr>
          <w:snapToGrid w:val="0"/>
          <w:spacing w:val="-2"/>
          <w:kern w:val="22"/>
          <w:lang w:val="es-ES"/>
        </w:rPr>
        <w:t>19</w:t>
      </w:r>
      <w:r w:rsidR="003459E7">
        <w:rPr>
          <w:snapToGrid w:val="0"/>
          <w:spacing w:val="-2"/>
          <w:kern w:val="22"/>
          <w:lang w:val="es-ES"/>
        </w:rPr>
        <w:t xml:space="preserve"> </w:t>
      </w:r>
      <w:r w:rsidR="00775B5A" w:rsidRPr="003459E7">
        <w:rPr>
          <w:snapToGrid w:val="0"/>
          <w:spacing w:val="-2"/>
          <w:kern w:val="22"/>
          <w:lang w:val="es-ES"/>
        </w:rPr>
        <w:t>%</w:t>
      </w:r>
      <w:r w:rsidR="00244330">
        <w:rPr>
          <w:snapToGrid w:val="0"/>
          <w:spacing w:val="-2"/>
          <w:kern w:val="22"/>
          <w:lang w:val="es-ES"/>
        </w:rPr>
        <w:t>,</w:t>
      </w:r>
      <w:r w:rsidR="00775B5A" w:rsidRPr="003459E7">
        <w:rPr>
          <w:snapToGrid w:val="0"/>
          <w:spacing w:val="-2"/>
          <w:kern w:val="22"/>
          <w:lang w:val="es-ES"/>
        </w:rPr>
        <w:t xml:space="preserve"> </w:t>
      </w:r>
      <w:r w:rsidR="003459E7">
        <w:rPr>
          <w:snapToGrid w:val="0"/>
          <w:spacing w:val="-2"/>
          <w:kern w:val="22"/>
          <w:lang w:val="es-ES"/>
        </w:rPr>
        <w:t>grupo de Estados de Europa Occidental y otros</w:t>
      </w:r>
      <w:r w:rsidR="00775B5A" w:rsidRPr="003459E7">
        <w:rPr>
          <w:snapToGrid w:val="0"/>
          <w:spacing w:val="-2"/>
          <w:kern w:val="22"/>
          <w:lang w:val="es-ES"/>
        </w:rPr>
        <w:t xml:space="preserve"> +</w:t>
      </w:r>
      <w:r w:rsidR="003459E7">
        <w:rPr>
          <w:snapToGrid w:val="0"/>
          <w:spacing w:val="-2"/>
          <w:kern w:val="22"/>
          <w:lang w:val="es-ES"/>
        </w:rPr>
        <w:t xml:space="preserve"> </w:t>
      </w:r>
      <w:r w:rsidR="00775B5A" w:rsidRPr="003459E7">
        <w:rPr>
          <w:snapToGrid w:val="0"/>
          <w:spacing w:val="-2"/>
          <w:kern w:val="22"/>
          <w:lang w:val="es-ES"/>
        </w:rPr>
        <w:t>11</w:t>
      </w:r>
      <w:r w:rsidR="003459E7">
        <w:rPr>
          <w:snapToGrid w:val="0"/>
          <w:spacing w:val="-2"/>
          <w:kern w:val="22"/>
          <w:lang w:val="es-ES"/>
        </w:rPr>
        <w:t xml:space="preserve"> </w:t>
      </w:r>
      <w:r w:rsidR="00775B5A" w:rsidRPr="003459E7">
        <w:rPr>
          <w:snapToGrid w:val="0"/>
          <w:spacing w:val="-2"/>
          <w:kern w:val="22"/>
          <w:lang w:val="es-ES"/>
        </w:rPr>
        <w:t>%</w:t>
      </w:r>
      <w:r w:rsidR="00244330">
        <w:rPr>
          <w:snapToGrid w:val="0"/>
          <w:spacing w:val="-2"/>
          <w:kern w:val="22"/>
          <w:lang w:val="es-ES"/>
        </w:rPr>
        <w:t>,</w:t>
      </w:r>
      <w:r w:rsidR="00775B5A" w:rsidRPr="003459E7">
        <w:rPr>
          <w:snapToGrid w:val="0"/>
          <w:spacing w:val="-2"/>
          <w:kern w:val="22"/>
          <w:lang w:val="es-ES"/>
        </w:rPr>
        <w:t xml:space="preserve"> </w:t>
      </w:r>
      <w:r w:rsidR="00477624">
        <w:rPr>
          <w:snapToGrid w:val="0"/>
          <w:kern w:val="22"/>
          <w:lang w:val="es-ES"/>
        </w:rPr>
        <w:t>grupo de Estados de Europa Central y Oriental</w:t>
      </w:r>
      <w:r w:rsidR="00477624" w:rsidRPr="00EC2231">
        <w:rPr>
          <w:snapToGrid w:val="0"/>
          <w:kern w:val="22"/>
          <w:lang w:val="es-ES"/>
        </w:rPr>
        <w:t xml:space="preserve"> </w:t>
      </w:r>
      <w:r w:rsidR="00775B5A" w:rsidRPr="003459E7">
        <w:rPr>
          <w:snapToGrid w:val="0"/>
          <w:spacing w:val="-2"/>
          <w:kern w:val="22"/>
          <w:lang w:val="es-ES"/>
        </w:rPr>
        <w:t>+</w:t>
      </w:r>
      <w:r w:rsidR="003459E7">
        <w:rPr>
          <w:snapToGrid w:val="0"/>
          <w:spacing w:val="-2"/>
          <w:kern w:val="22"/>
          <w:lang w:val="es-ES"/>
        </w:rPr>
        <w:t xml:space="preserve"> </w:t>
      </w:r>
      <w:r w:rsidR="00775B5A" w:rsidRPr="003459E7">
        <w:rPr>
          <w:snapToGrid w:val="0"/>
          <w:spacing w:val="-2"/>
          <w:kern w:val="22"/>
          <w:lang w:val="es-ES"/>
        </w:rPr>
        <w:t>6</w:t>
      </w:r>
      <w:r w:rsidR="003459E7">
        <w:rPr>
          <w:snapToGrid w:val="0"/>
          <w:spacing w:val="-2"/>
          <w:kern w:val="22"/>
          <w:lang w:val="es-ES"/>
        </w:rPr>
        <w:t xml:space="preserve"> </w:t>
      </w:r>
      <w:r w:rsidR="00775B5A" w:rsidRPr="003459E7">
        <w:rPr>
          <w:snapToGrid w:val="0"/>
          <w:spacing w:val="-2"/>
          <w:kern w:val="22"/>
          <w:lang w:val="es-ES"/>
        </w:rPr>
        <w:t>%).</w:t>
      </w:r>
    </w:p>
    <w:p w:rsidR="00775B5A" w:rsidRPr="008711D7" w:rsidRDefault="008711D7"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spacing w:val="-2"/>
          <w:kern w:val="22"/>
          <w:lang w:val="es-ES"/>
        </w:rPr>
      </w:pPr>
      <w:r w:rsidRPr="008711D7">
        <w:rPr>
          <w:snapToGrid w:val="0"/>
          <w:spacing w:val="-2"/>
          <w:kern w:val="22"/>
          <w:lang w:val="es-ES"/>
        </w:rPr>
        <w:t>En lo tocante a</w:t>
      </w:r>
      <w:r>
        <w:rPr>
          <w:snapToGrid w:val="0"/>
          <w:spacing w:val="-2"/>
          <w:kern w:val="22"/>
          <w:lang w:val="es-ES"/>
        </w:rPr>
        <w:t xml:space="preserve">l estado </w:t>
      </w:r>
      <w:r w:rsidRPr="008711D7">
        <w:rPr>
          <w:snapToGrid w:val="0"/>
          <w:spacing w:val="-2"/>
          <w:kern w:val="22"/>
          <w:lang w:val="es-ES"/>
        </w:rPr>
        <w:t>de la información obligatoria presentada al CIISB en relación con los acuerdos y arreglos bilaterales, multilaterales y regionale</w:t>
      </w:r>
      <w:r w:rsidR="00775B5A" w:rsidRPr="008711D7">
        <w:rPr>
          <w:snapToGrid w:val="0"/>
          <w:spacing w:val="-2"/>
          <w:kern w:val="22"/>
          <w:lang w:val="es-ES"/>
        </w:rPr>
        <w:t xml:space="preserve">s, </w:t>
      </w:r>
      <w:r>
        <w:rPr>
          <w:snapToGrid w:val="0"/>
          <w:spacing w:val="-2"/>
          <w:kern w:val="22"/>
          <w:lang w:val="es-ES"/>
        </w:rPr>
        <w:t xml:space="preserve">de las </w:t>
      </w:r>
      <w:r w:rsidR="00775B5A" w:rsidRPr="008711D7">
        <w:rPr>
          <w:snapToGrid w:val="0"/>
          <w:spacing w:val="-2"/>
          <w:kern w:val="22"/>
          <w:lang w:val="es-ES"/>
        </w:rPr>
        <w:t xml:space="preserve">Partes </w:t>
      </w:r>
      <w:r>
        <w:rPr>
          <w:snapToGrid w:val="0"/>
          <w:spacing w:val="-2"/>
          <w:kern w:val="22"/>
          <w:lang w:val="es-ES"/>
        </w:rPr>
        <w:t xml:space="preserve">que comunicaron que la información estaba disponible </w:t>
      </w:r>
      <w:r w:rsidR="00775B5A" w:rsidRPr="008711D7">
        <w:rPr>
          <w:snapToGrid w:val="0"/>
          <w:spacing w:val="-2"/>
          <w:kern w:val="22"/>
          <w:lang w:val="es-ES"/>
        </w:rPr>
        <w:t>(28</w:t>
      </w:r>
      <w:r>
        <w:rPr>
          <w:snapToGrid w:val="0"/>
          <w:spacing w:val="-2"/>
          <w:kern w:val="22"/>
          <w:lang w:val="es-ES"/>
        </w:rPr>
        <w:t xml:space="preserve"> </w:t>
      </w:r>
      <w:r w:rsidR="00775B5A" w:rsidRPr="008711D7">
        <w:rPr>
          <w:snapToGrid w:val="0"/>
          <w:spacing w:val="-2"/>
          <w:kern w:val="22"/>
          <w:lang w:val="es-ES"/>
        </w:rPr>
        <w:t xml:space="preserve">%, 26 Partes), </w:t>
      </w:r>
      <w:r>
        <w:rPr>
          <w:snapToGrid w:val="0"/>
          <w:spacing w:val="-2"/>
          <w:kern w:val="22"/>
          <w:lang w:val="es-ES"/>
        </w:rPr>
        <w:t xml:space="preserve">el </w:t>
      </w:r>
      <w:r w:rsidR="00775B5A" w:rsidRPr="008711D7">
        <w:rPr>
          <w:snapToGrid w:val="0"/>
          <w:spacing w:val="-2"/>
          <w:kern w:val="22"/>
          <w:lang w:val="es-ES"/>
        </w:rPr>
        <w:t>54</w:t>
      </w:r>
      <w:r>
        <w:rPr>
          <w:snapToGrid w:val="0"/>
          <w:spacing w:val="-2"/>
          <w:kern w:val="22"/>
          <w:lang w:val="es-ES"/>
        </w:rPr>
        <w:t xml:space="preserve"> </w:t>
      </w:r>
      <w:r w:rsidR="00775B5A" w:rsidRPr="008711D7">
        <w:rPr>
          <w:snapToGrid w:val="0"/>
          <w:spacing w:val="-2"/>
          <w:kern w:val="22"/>
          <w:lang w:val="es-ES"/>
        </w:rPr>
        <w:t xml:space="preserve">% (14 Partes) </w:t>
      </w:r>
      <w:r w:rsidR="00244330">
        <w:rPr>
          <w:snapToGrid w:val="0"/>
          <w:spacing w:val="-2"/>
          <w:kern w:val="22"/>
          <w:lang w:val="es-ES"/>
        </w:rPr>
        <w:t>indicó</w:t>
      </w:r>
      <w:r>
        <w:rPr>
          <w:snapToGrid w:val="0"/>
          <w:spacing w:val="-2"/>
          <w:kern w:val="22"/>
          <w:lang w:val="es-ES"/>
        </w:rPr>
        <w:t xml:space="preserve"> que la información también se había presentado al CIISB, lo que supone un aumento de un</w:t>
      </w:r>
      <w:r w:rsidR="00775B5A" w:rsidRPr="008711D7">
        <w:rPr>
          <w:snapToGrid w:val="0"/>
          <w:spacing w:val="-2"/>
          <w:kern w:val="22"/>
          <w:lang w:val="es-ES"/>
        </w:rPr>
        <w:t xml:space="preserve"> 15</w:t>
      </w:r>
      <w:r>
        <w:rPr>
          <w:snapToGrid w:val="0"/>
          <w:spacing w:val="-2"/>
          <w:kern w:val="22"/>
          <w:lang w:val="es-ES"/>
        </w:rPr>
        <w:t xml:space="preserve"> </w:t>
      </w:r>
      <w:r w:rsidR="00775B5A" w:rsidRPr="008711D7">
        <w:rPr>
          <w:snapToGrid w:val="0"/>
          <w:spacing w:val="-2"/>
          <w:kern w:val="22"/>
          <w:lang w:val="es-ES"/>
        </w:rPr>
        <w:t xml:space="preserve">%. </w:t>
      </w:r>
    </w:p>
    <w:p w:rsidR="00775B5A" w:rsidRPr="00733B29" w:rsidRDefault="00733B29"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733B29">
        <w:rPr>
          <w:snapToGrid w:val="0"/>
          <w:spacing w:val="-2"/>
          <w:kern w:val="22"/>
          <w:lang w:val="es-ES"/>
        </w:rPr>
        <w:t>De las Partes que comunicaron que se disponía de información sobre casos de movimientos transfronterizos il</w:t>
      </w:r>
      <w:r>
        <w:rPr>
          <w:snapToGrid w:val="0"/>
          <w:spacing w:val="-2"/>
          <w:kern w:val="22"/>
          <w:lang w:val="es-ES"/>
        </w:rPr>
        <w:t xml:space="preserve">ícitos de OVM </w:t>
      </w:r>
      <w:r w:rsidR="00775B5A" w:rsidRPr="00733B29">
        <w:rPr>
          <w:snapToGrid w:val="0"/>
          <w:spacing w:val="-2"/>
          <w:kern w:val="22"/>
          <w:lang w:val="es-ES"/>
        </w:rPr>
        <w:t>(16</w:t>
      </w:r>
      <w:r>
        <w:rPr>
          <w:snapToGrid w:val="0"/>
          <w:spacing w:val="-2"/>
          <w:kern w:val="22"/>
          <w:lang w:val="es-ES"/>
        </w:rPr>
        <w:t xml:space="preserve"> </w:t>
      </w:r>
      <w:r w:rsidR="00775B5A" w:rsidRPr="00733B29">
        <w:rPr>
          <w:snapToGrid w:val="0"/>
          <w:spacing w:val="-2"/>
          <w:kern w:val="22"/>
          <w:lang w:val="es-ES"/>
        </w:rPr>
        <w:t>%</w:t>
      </w:r>
      <w:r w:rsidR="00775B5A" w:rsidRPr="00733B29">
        <w:rPr>
          <w:rFonts w:ascii="Angsana New" w:hAnsi="Angsana New" w:cs="Angsana New"/>
          <w:snapToGrid w:val="0"/>
          <w:spacing w:val="-2"/>
          <w:kern w:val="22"/>
          <w:lang w:val="es-ES"/>
        </w:rPr>
        <w:t>,</w:t>
      </w:r>
      <w:r>
        <w:rPr>
          <w:rFonts w:ascii="Angsana New" w:hAnsi="Angsana New" w:cs="Angsana New"/>
          <w:snapToGrid w:val="0"/>
          <w:spacing w:val="-2"/>
          <w:kern w:val="22"/>
          <w:lang w:val="es-ES"/>
        </w:rPr>
        <w:t xml:space="preserve"> </w:t>
      </w:r>
      <w:r w:rsidR="00775B5A" w:rsidRPr="00733B29">
        <w:rPr>
          <w:snapToGrid w:val="0"/>
          <w:spacing w:val="-2"/>
          <w:kern w:val="22"/>
          <w:lang w:val="es-ES"/>
        </w:rPr>
        <w:t xml:space="preserve">15 Partes), </w:t>
      </w:r>
      <w:r>
        <w:rPr>
          <w:snapToGrid w:val="0"/>
          <w:spacing w:val="-2"/>
          <w:kern w:val="22"/>
          <w:lang w:val="es-ES"/>
        </w:rPr>
        <w:t xml:space="preserve">el </w:t>
      </w:r>
      <w:r w:rsidR="00775B5A" w:rsidRPr="00733B29">
        <w:rPr>
          <w:snapToGrid w:val="0"/>
          <w:spacing w:val="-2"/>
          <w:kern w:val="22"/>
          <w:lang w:val="es-ES"/>
        </w:rPr>
        <w:t>33</w:t>
      </w:r>
      <w:r>
        <w:rPr>
          <w:snapToGrid w:val="0"/>
          <w:spacing w:val="-2"/>
          <w:kern w:val="22"/>
          <w:lang w:val="es-ES"/>
        </w:rPr>
        <w:t xml:space="preserve"> </w:t>
      </w:r>
      <w:r w:rsidR="00775B5A" w:rsidRPr="00733B29">
        <w:rPr>
          <w:snapToGrid w:val="0"/>
          <w:spacing w:val="-2"/>
          <w:kern w:val="22"/>
          <w:lang w:val="es-ES"/>
        </w:rPr>
        <w:t xml:space="preserve">% (5 Partes) </w:t>
      </w:r>
      <w:r w:rsidR="00244330">
        <w:rPr>
          <w:snapToGrid w:val="0"/>
          <w:spacing w:val="-2"/>
          <w:kern w:val="22"/>
          <w:lang w:val="es-ES"/>
        </w:rPr>
        <w:t>indicó</w:t>
      </w:r>
      <w:r>
        <w:rPr>
          <w:snapToGrid w:val="0"/>
          <w:spacing w:val="-2"/>
          <w:kern w:val="22"/>
          <w:lang w:val="es-ES"/>
        </w:rPr>
        <w:t xml:space="preserve"> que la información se había presentado al CIISB, lo que representa una disminución de un </w:t>
      </w:r>
      <w:r w:rsidR="00775B5A" w:rsidRPr="00733B29">
        <w:rPr>
          <w:snapToGrid w:val="0"/>
          <w:spacing w:val="-2"/>
          <w:kern w:val="22"/>
          <w:lang w:val="es-ES"/>
        </w:rPr>
        <w:t>17</w:t>
      </w:r>
      <w:r>
        <w:rPr>
          <w:snapToGrid w:val="0"/>
          <w:spacing w:val="-2"/>
          <w:kern w:val="22"/>
          <w:lang w:val="es-ES"/>
        </w:rPr>
        <w:t xml:space="preserve"> </w:t>
      </w:r>
      <w:r w:rsidR="00775B5A" w:rsidRPr="00733B29">
        <w:rPr>
          <w:snapToGrid w:val="0"/>
          <w:spacing w:val="-2"/>
          <w:kern w:val="22"/>
          <w:lang w:val="es-ES"/>
        </w:rPr>
        <w:t xml:space="preserve">% </w:t>
      </w:r>
      <w:r>
        <w:rPr>
          <w:snapToGrid w:val="0"/>
          <w:spacing w:val="-2"/>
          <w:kern w:val="22"/>
          <w:lang w:val="es-ES"/>
        </w:rPr>
        <w:t>con respecto a los datos básicos de referencia</w:t>
      </w:r>
      <w:r w:rsidR="00775B5A" w:rsidRPr="00733B29">
        <w:rPr>
          <w:snapToGrid w:val="0"/>
          <w:spacing w:val="-2"/>
          <w:kern w:val="22"/>
          <w:lang w:val="es-ES"/>
        </w:rPr>
        <w:t>.</w:t>
      </w:r>
    </w:p>
    <w:p w:rsidR="00775B5A" w:rsidRPr="0027098D" w:rsidRDefault="0027098D" w:rsidP="001D4EEE">
      <w:pPr>
        <w:pStyle w:val="ListParagraph"/>
        <w:numPr>
          <w:ilvl w:val="0"/>
          <w:numId w:val="2"/>
        </w:numPr>
        <w:tabs>
          <w:tab w:val="clear" w:pos="3240"/>
        </w:tabs>
        <w:spacing w:before="120" w:after="120"/>
        <w:ind w:left="0" w:firstLine="0"/>
        <w:rPr>
          <w:snapToGrid w:val="0"/>
          <w:spacing w:val="-2"/>
          <w:kern w:val="22"/>
          <w:lang w:val="es-ES"/>
        </w:rPr>
      </w:pPr>
      <w:r w:rsidRPr="0027098D">
        <w:rPr>
          <w:snapToGrid w:val="0"/>
          <w:spacing w:val="-2"/>
          <w:kern w:val="22"/>
          <w:lang w:val="es-ES"/>
        </w:rPr>
        <w:t xml:space="preserve">De las </w:t>
      </w:r>
      <w:r w:rsidR="00775B5A" w:rsidRPr="0027098D">
        <w:rPr>
          <w:snapToGrid w:val="0"/>
          <w:spacing w:val="-2"/>
          <w:kern w:val="22"/>
          <w:lang w:val="es-ES"/>
        </w:rPr>
        <w:t xml:space="preserve">Partes </w:t>
      </w:r>
      <w:r w:rsidRPr="0027098D">
        <w:rPr>
          <w:snapToGrid w:val="0"/>
          <w:spacing w:val="-2"/>
          <w:kern w:val="22"/>
          <w:lang w:val="es-ES"/>
        </w:rPr>
        <w:t>que informaron de que disponían de decisiones relativas a la importación de OVM para su introducci</w:t>
      </w:r>
      <w:r>
        <w:rPr>
          <w:snapToGrid w:val="0"/>
          <w:spacing w:val="-2"/>
          <w:kern w:val="22"/>
          <w:lang w:val="es-ES"/>
        </w:rPr>
        <w:t>ón intencional en el medio ambiente</w:t>
      </w:r>
      <w:r w:rsidR="00775B5A" w:rsidRPr="0027098D">
        <w:rPr>
          <w:snapToGrid w:val="0"/>
          <w:spacing w:val="-2"/>
          <w:kern w:val="22"/>
          <w:lang w:val="es-ES"/>
        </w:rPr>
        <w:t xml:space="preserve"> (40</w:t>
      </w:r>
      <w:r>
        <w:rPr>
          <w:snapToGrid w:val="0"/>
          <w:spacing w:val="-2"/>
          <w:kern w:val="22"/>
          <w:lang w:val="es-ES"/>
        </w:rPr>
        <w:t xml:space="preserve"> </w:t>
      </w:r>
      <w:r w:rsidR="00775B5A" w:rsidRPr="0027098D">
        <w:rPr>
          <w:snapToGrid w:val="0"/>
          <w:spacing w:val="-2"/>
          <w:kern w:val="22"/>
          <w:lang w:val="es-ES"/>
        </w:rPr>
        <w:t>%</w:t>
      </w:r>
      <w:r w:rsidR="00775B5A" w:rsidRPr="0027098D">
        <w:rPr>
          <w:rFonts w:ascii="Angsana New" w:hAnsi="Angsana New" w:cs="Angsana New"/>
          <w:snapToGrid w:val="0"/>
          <w:spacing w:val="-2"/>
          <w:kern w:val="22"/>
          <w:lang w:val="es-ES"/>
        </w:rPr>
        <w:t>,</w:t>
      </w:r>
      <w:r w:rsidR="00775B5A" w:rsidRPr="0027098D">
        <w:rPr>
          <w:snapToGrid w:val="0"/>
          <w:spacing w:val="-2"/>
          <w:kern w:val="22"/>
          <w:lang w:val="es-ES"/>
        </w:rPr>
        <w:t xml:space="preserve"> 37 Partes), </w:t>
      </w:r>
      <w:r>
        <w:rPr>
          <w:snapToGrid w:val="0"/>
          <w:spacing w:val="-2"/>
          <w:kern w:val="22"/>
          <w:lang w:val="es-ES"/>
        </w:rPr>
        <w:t xml:space="preserve">el </w:t>
      </w:r>
      <w:r w:rsidR="00775B5A" w:rsidRPr="0027098D">
        <w:rPr>
          <w:snapToGrid w:val="0"/>
          <w:spacing w:val="-2"/>
          <w:kern w:val="22"/>
          <w:lang w:val="es-ES"/>
        </w:rPr>
        <w:t>73</w:t>
      </w:r>
      <w:r>
        <w:rPr>
          <w:snapToGrid w:val="0"/>
          <w:spacing w:val="-2"/>
          <w:kern w:val="22"/>
          <w:lang w:val="es-ES"/>
        </w:rPr>
        <w:t xml:space="preserve"> </w:t>
      </w:r>
      <w:r w:rsidR="00775B5A" w:rsidRPr="0027098D">
        <w:rPr>
          <w:snapToGrid w:val="0"/>
          <w:spacing w:val="-2"/>
          <w:kern w:val="22"/>
          <w:lang w:val="es-ES"/>
        </w:rPr>
        <w:t xml:space="preserve">% (27 Partes) </w:t>
      </w:r>
      <w:r>
        <w:rPr>
          <w:snapToGrid w:val="0"/>
          <w:spacing w:val="-2"/>
          <w:kern w:val="22"/>
          <w:lang w:val="es-ES"/>
        </w:rPr>
        <w:t>indic</w:t>
      </w:r>
      <w:r w:rsidR="00244330">
        <w:rPr>
          <w:snapToGrid w:val="0"/>
          <w:spacing w:val="-2"/>
          <w:kern w:val="22"/>
          <w:lang w:val="es-ES"/>
        </w:rPr>
        <w:t>ó</w:t>
      </w:r>
      <w:r>
        <w:rPr>
          <w:snapToGrid w:val="0"/>
          <w:spacing w:val="-2"/>
          <w:kern w:val="22"/>
          <w:lang w:val="es-ES"/>
        </w:rPr>
        <w:t xml:space="preserve"> que la información se había presentado al CIISB, lo que supone un aumento de un </w:t>
      </w:r>
      <w:r w:rsidR="00775B5A" w:rsidRPr="0027098D">
        <w:rPr>
          <w:snapToGrid w:val="0"/>
          <w:spacing w:val="-2"/>
          <w:kern w:val="22"/>
          <w:lang w:val="es-ES"/>
        </w:rPr>
        <w:t>19</w:t>
      </w:r>
      <w:r>
        <w:rPr>
          <w:snapToGrid w:val="0"/>
          <w:spacing w:val="-2"/>
          <w:kern w:val="22"/>
          <w:lang w:val="es-ES"/>
        </w:rPr>
        <w:t xml:space="preserve"> </w:t>
      </w:r>
      <w:r w:rsidR="00775B5A" w:rsidRPr="0027098D">
        <w:rPr>
          <w:snapToGrid w:val="0"/>
          <w:spacing w:val="-2"/>
          <w:kern w:val="22"/>
          <w:lang w:val="es-ES"/>
        </w:rPr>
        <w:t xml:space="preserve">% </w:t>
      </w:r>
      <w:r>
        <w:rPr>
          <w:snapToGrid w:val="0"/>
          <w:spacing w:val="-2"/>
          <w:kern w:val="22"/>
          <w:lang w:val="es-ES"/>
        </w:rPr>
        <w:t>con respecto a los datos básicos de referencia</w:t>
      </w:r>
      <w:r w:rsidR="00775B5A" w:rsidRPr="0027098D">
        <w:rPr>
          <w:snapToGrid w:val="0"/>
          <w:spacing w:val="-2"/>
          <w:kern w:val="22"/>
          <w:lang w:val="es-ES"/>
        </w:rPr>
        <w:t>.</w:t>
      </w:r>
    </w:p>
    <w:p w:rsidR="00775B5A" w:rsidRPr="0027098D" w:rsidRDefault="0027098D" w:rsidP="001D4EEE">
      <w:pPr>
        <w:pStyle w:val="ListParagraph"/>
        <w:numPr>
          <w:ilvl w:val="0"/>
          <w:numId w:val="2"/>
        </w:numPr>
        <w:tabs>
          <w:tab w:val="clear" w:pos="3240"/>
        </w:tabs>
        <w:spacing w:before="120" w:after="120"/>
        <w:ind w:left="0" w:firstLine="0"/>
        <w:rPr>
          <w:snapToGrid w:val="0"/>
          <w:spacing w:val="-2"/>
          <w:kern w:val="22"/>
          <w:lang w:val="es-ES"/>
        </w:rPr>
      </w:pPr>
      <w:r w:rsidRPr="0027098D">
        <w:rPr>
          <w:snapToGrid w:val="0"/>
          <w:spacing w:val="-2"/>
          <w:kern w:val="22"/>
          <w:lang w:val="es-ES"/>
        </w:rPr>
        <w:t>De las Partes que notificaron que disponían de decisiones sobre el uso nacional de OVM que pueden ser objeto de movimientos transfronterizos para uso directo como alimento humano o animal o para procesamiento</w:t>
      </w:r>
      <w:r w:rsidR="00775B5A" w:rsidRPr="0027098D">
        <w:rPr>
          <w:snapToGrid w:val="0"/>
          <w:spacing w:val="-2"/>
          <w:kern w:val="22"/>
          <w:lang w:val="es-ES"/>
        </w:rPr>
        <w:t xml:space="preserve"> (45</w:t>
      </w:r>
      <w:r w:rsidRPr="0027098D">
        <w:rPr>
          <w:snapToGrid w:val="0"/>
          <w:spacing w:val="-2"/>
          <w:kern w:val="22"/>
          <w:lang w:val="es-ES"/>
        </w:rPr>
        <w:t xml:space="preserve"> </w:t>
      </w:r>
      <w:r w:rsidR="00775B5A" w:rsidRPr="0027098D">
        <w:rPr>
          <w:snapToGrid w:val="0"/>
          <w:spacing w:val="-2"/>
          <w:kern w:val="22"/>
          <w:lang w:val="es-ES"/>
        </w:rPr>
        <w:t xml:space="preserve">%), </w:t>
      </w:r>
      <w:r>
        <w:rPr>
          <w:snapToGrid w:val="0"/>
          <w:spacing w:val="-2"/>
          <w:kern w:val="22"/>
          <w:lang w:val="es-ES"/>
        </w:rPr>
        <w:t xml:space="preserve">el </w:t>
      </w:r>
      <w:r w:rsidR="00775B5A" w:rsidRPr="0027098D">
        <w:rPr>
          <w:snapToGrid w:val="0"/>
          <w:spacing w:val="-2"/>
          <w:kern w:val="22"/>
          <w:lang w:val="es-ES"/>
        </w:rPr>
        <w:t>83</w:t>
      </w:r>
      <w:r>
        <w:rPr>
          <w:snapToGrid w:val="0"/>
          <w:spacing w:val="-2"/>
          <w:kern w:val="22"/>
          <w:lang w:val="es-ES"/>
        </w:rPr>
        <w:t xml:space="preserve"> </w:t>
      </w:r>
      <w:r w:rsidR="00775B5A" w:rsidRPr="0027098D">
        <w:rPr>
          <w:snapToGrid w:val="0"/>
          <w:spacing w:val="-2"/>
          <w:kern w:val="22"/>
          <w:lang w:val="es-ES"/>
        </w:rPr>
        <w:t xml:space="preserve">% </w:t>
      </w:r>
      <w:r>
        <w:rPr>
          <w:snapToGrid w:val="0"/>
          <w:spacing w:val="-2"/>
          <w:kern w:val="22"/>
          <w:lang w:val="es-ES"/>
        </w:rPr>
        <w:t>indic</w:t>
      </w:r>
      <w:r w:rsidR="00244330">
        <w:rPr>
          <w:snapToGrid w:val="0"/>
          <w:spacing w:val="-2"/>
          <w:kern w:val="22"/>
          <w:lang w:val="es-ES"/>
        </w:rPr>
        <w:t>ó</w:t>
      </w:r>
      <w:r>
        <w:rPr>
          <w:snapToGrid w:val="0"/>
          <w:spacing w:val="-2"/>
          <w:kern w:val="22"/>
          <w:lang w:val="es-ES"/>
        </w:rPr>
        <w:t xml:space="preserve"> que la información se había presentado al CIISB, lo que constituye un aumento de un </w:t>
      </w:r>
      <w:r w:rsidR="00775B5A" w:rsidRPr="0027098D">
        <w:rPr>
          <w:snapToGrid w:val="0"/>
          <w:spacing w:val="-2"/>
          <w:kern w:val="22"/>
          <w:lang w:val="es-ES"/>
        </w:rPr>
        <w:t>14</w:t>
      </w:r>
      <w:r>
        <w:rPr>
          <w:snapToGrid w:val="0"/>
          <w:spacing w:val="-2"/>
          <w:kern w:val="22"/>
          <w:lang w:val="es-ES"/>
        </w:rPr>
        <w:t xml:space="preserve"> </w:t>
      </w:r>
      <w:r w:rsidR="00775B5A" w:rsidRPr="0027098D">
        <w:rPr>
          <w:snapToGrid w:val="0"/>
          <w:spacing w:val="-2"/>
          <w:kern w:val="22"/>
          <w:lang w:val="es-ES"/>
        </w:rPr>
        <w:t>%.</w:t>
      </w:r>
    </w:p>
    <w:p w:rsidR="00775B5A" w:rsidRPr="00F61B50" w:rsidRDefault="0027098D" w:rsidP="001D4EEE">
      <w:pPr>
        <w:pStyle w:val="ListParagraph"/>
        <w:numPr>
          <w:ilvl w:val="0"/>
          <w:numId w:val="2"/>
        </w:numPr>
        <w:tabs>
          <w:tab w:val="clear" w:pos="3240"/>
        </w:tabs>
        <w:spacing w:before="120" w:after="120"/>
        <w:ind w:left="0" w:firstLine="0"/>
        <w:rPr>
          <w:snapToGrid w:val="0"/>
          <w:spacing w:val="-2"/>
          <w:kern w:val="22"/>
          <w:lang w:val="es-ES"/>
        </w:rPr>
      </w:pPr>
      <w:r w:rsidRPr="00F61B50">
        <w:rPr>
          <w:snapToGrid w:val="0"/>
          <w:spacing w:val="-2"/>
          <w:kern w:val="22"/>
          <w:lang w:val="es-ES"/>
        </w:rPr>
        <w:lastRenderedPageBreak/>
        <w:t xml:space="preserve">De las Partes que comunicaron </w:t>
      </w:r>
      <w:r w:rsidR="00F61B50" w:rsidRPr="00F61B50">
        <w:rPr>
          <w:snapToGrid w:val="0"/>
          <w:spacing w:val="-2"/>
          <w:kern w:val="22"/>
          <w:lang w:val="es-ES"/>
        </w:rPr>
        <w:t>que disponían de decisiones relativas a la importación de OVM destinados para uso directo como alimento humano o animal o para procesamiento</w:t>
      </w:r>
      <w:r w:rsidR="003F2747">
        <w:rPr>
          <w:snapToGrid w:val="0"/>
          <w:spacing w:val="-2"/>
          <w:kern w:val="22"/>
          <w:lang w:val="es-ES"/>
        </w:rPr>
        <w:t xml:space="preserve">, adoptadas con arreglo a los marcos reglamentarios </w:t>
      </w:r>
      <w:r w:rsidR="00F61B50">
        <w:rPr>
          <w:snapToGrid w:val="0"/>
          <w:spacing w:val="-2"/>
          <w:kern w:val="22"/>
          <w:lang w:val="es-ES"/>
        </w:rPr>
        <w:t>nacional</w:t>
      </w:r>
      <w:r w:rsidR="003F2747">
        <w:rPr>
          <w:snapToGrid w:val="0"/>
          <w:spacing w:val="-2"/>
          <w:kern w:val="22"/>
          <w:lang w:val="es-ES"/>
        </w:rPr>
        <w:t>es</w:t>
      </w:r>
      <w:r w:rsidR="00F61B50">
        <w:rPr>
          <w:snapToGrid w:val="0"/>
          <w:spacing w:val="-2"/>
          <w:kern w:val="22"/>
          <w:lang w:val="es-ES"/>
        </w:rPr>
        <w:t xml:space="preserve"> (párrafo 4 del artículo</w:t>
      </w:r>
      <w:r w:rsidR="00775B5A" w:rsidRPr="00F61B50">
        <w:rPr>
          <w:snapToGrid w:val="0"/>
          <w:spacing w:val="-2"/>
          <w:kern w:val="22"/>
          <w:lang w:val="es-ES"/>
        </w:rPr>
        <w:t xml:space="preserve"> 11</w:t>
      </w:r>
      <w:r w:rsidR="00F61B50">
        <w:rPr>
          <w:snapToGrid w:val="0"/>
          <w:spacing w:val="-2"/>
          <w:kern w:val="22"/>
          <w:lang w:val="es-ES"/>
        </w:rPr>
        <w:t>)</w:t>
      </w:r>
      <w:r w:rsidR="00775B5A" w:rsidRPr="00F61B50">
        <w:rPr>
          <w:snapToGrid w:val="0"/>
          <w:spacing w:val="-2"/>
          <w:kern w:val="22"/>
          <w:lang w:val="es-ES"/>
        </w:rPr>
        <w:t xml:space="preserve"> o</w:t>
      </w:r>
      <w:r w:rsidR="00F61B50">
        <w:rPr>
          <w:snapToGrid w:val="0"/>
          <w:spacing w:val="-2"/>
          <w:kern w:val="22"/>
          <w:lang w:val="es-ES"/>
        </w:rPr>
        <w:t xml:space="preserve"> de conformidad con el anexo </w:t>
      </w:r>
      <w:r w:rsidR="00775B5A" w:rsidRPr="00F61B50">
        <w:rPr>
          <w:snapToGrid w:val="0"/>
          <w:spacing w:val="-2"/>
          <w:kern w:val="22"/>
          <w:lang w:val="es-ES"/>
        </w:rPr>
        <w:t>III</w:t>
      </w:r>
      <w:r w:rsidR="00F61B50">
        <w:rPr>
          <w:snapToGrid w:val="0"/>
          <w:spacing w:val="-2"/>
          <w:kern w:val="22"/>
          <w:lang w:val="es-ES"/>
        </w:rPr>
        <w:t xml:space="preserve"> del</w:t>
      </w:r>
      <w:r w:rsidR="00775B5A" w:rsidRPr="00F61B50">
        <w:rPr>
          <w:snapToGrid w:val="0"/>
          <w:spacing w:val="-2"/>
          <w:kern w:val="22"/>
          <w:lang w:val="es-ES"/>
        </w:rPr>
        <w:t xml:space="preserve"> Protocol</w:t>
      </w:r>
      <w:r w:rsidR="00F61B50">
        <w:rPr>
          <w:snapToGrid w:val="0"/>
          <w:spacing w:val="-2"/>
          <w:kern w:val="22"/>
          <w:lang w:val="es-ES"/>
        </w:rPr>
        <w:t>o</w:t>
      </w:r>
      <w:r w:rsidR="00775B5A" w:rsidRPr="00F61B50">
        <w:rPr>
          <w:snapToGrid w:val="0"/>
          <w:spacing w:val="-2"/>
          <w:kern w:val="22"/>
          <w:lang w:val="es-ES"/>
        </w:rPr>
        <w:t xml:space="preserve"> (</w:t>
      </w:r>
      <w:r w:rsidR="00F61B50">
        <w:rPr>
          <w:snapToGrid w:val="0"/>
          <w:spacing w:val="-2"/>
          <w:kern w:val="22"/>
          <w:lang w:val="es-ES"/>
        </w:rPr>
        <w:t>párrafo 6 del artículo</w:t>
      </w:r>
      <w:r w:rsidR="00775B5A" w:rsidRPr="00F61B50">
        <w:rPr>
          <w:snapToGrid w:val="0"/>
          <w:spacing w:val="-2"/>
          <w:kern w:val="22"/>
          <w:lang w:val="es-ES"/>
        </w:rPr>
        <w:t xml:space="preserve"> 11)</w:t>
      </w:r>
      <w:r w:rsidR="00F61B50" w:rsidRPr="00F61B50">
        <w:rPr>
          <w:snapToGrid w:val="0"/>
          <w:spacing w:val="-2"/>
          <w:kern w:val="22"/>
          <w:lang w:val="es-ES"/>
        </w:rPr>
        <w:t xml:space="preserve">, </w:t>
      </w:r>
      <w:r w:rsidR="00775B5A" w:rsidRPr="00F61B50">
        <w:rPr>
          <w:snapToGrid w:val="0"/>
          <w:spacing w:val="-2"/>
          <w:kern w:val="22"/>
          <w:lang w:val="es-ES"/>
        </w:rPr>
        <w:t>(47</w:t>
      </w:r>
      <w:r w:rsidR="00F61B50" w:rsidRPr="00F61B50">
        <w:rPr>
          <w:snapToGrid w:val="0"/>
          <w:spacing w:val="-2"/>
          <w:kern w:val="22"/>
          <w:lang w:val="es-ES"/>
        </w:rPr>
        <w:t xml:space="preserve"> </w:t>
      </w:r>
      <w:r w:rsidR="00775B5A" w:rsidRPr="00F61B50">
        <w:rPr>
          <w:snapToGrid w:val="0"/>
          <w:spacing w:val="-2"/>
          <w:kern w:val="22"/>
          <w:lang w:val="es-ES"/>
        </w:rPr>
        <w:t>%</w:t>
      </w:r>
      <w:r w:rsidR="00775B5A" w:rsidRPr="00F61B50">
        <w:rPr>
          <w:rFonts w:ascii="Angsana New" w:hAnsi="Angsana New" w:cs="Angsana New"/>
          <w:snapToGrid w:val="0"/>
          <w:spacing w:val="-2"/>
          <w:kern w:val="22"/>
          <w:lang w:val="es-ES"/>
        </w:rPr>
        <w:t>,</w:t>
      </w:r>
      <w:r w:rsidR="00F61B50">
        <w:rPr>
          <w:rFonts w:ascii="Angsana New" w:hAnsi="Angsana New" w:cs="Angsana New"/>
          <w:snapToGrid w:val="0"/>
          <w:spacing w:val="-2"/>
          <w:kern w:val="22"/>
          <w:lang w:val="es-ES"/>
        </w:rPr>
        <w:t xml:space="preserve"> </w:t>
      </w:r>
      <w:r w:rsidR="00775B5A" w:rsidRPr="00F61B50">
        <w:rPr>
          <w:snapToGrid w:val="0"/>
          <w:spacing w:val="-2"/>
          <w:kern w:val="22"/>
          <w:lang w:val="es-ES"/>
        </w:rPr>
        <w:t xml:space="preserve">44 Partes), </w:t>
      </w:r>
      <w:r w:rsidR="00F61B50">
        <w:rPr>
          <w:snapToGrid w:val="0"/>
          <w:spacing w:val="-2"/>
          <w:kern w:val="22"/>
          <w:lang w:val="es-ES"/>
        </w:rPr>
        <w:t xml:space="preserve">el </w:t>
      </w:r>
      <w:r w:rsidR="00775B5A" w:rsidRPr="00F61B50">
        <w:rPr>
          <w:snapToGrid w:val="0"/>
          <w:spacing w:val="-2"/>
          <w:kern w:val="22"/>
          <w:lang w:val="es-ES"/>
        </w:rPr>
        <w:t>82</w:t>
      </w:r>
      <w:r w:rsidR="00F61B50">
        <w:rPr>
          <w:snapToGrid w:val="0"/>
          <w:spacing w:val="-2"/>
          <w:kern w:val="22"/>
          <w:lang w:val="es-ES"/>
        </w:rPr>
        <w:t xml:space="preserve"> </w:t>
      </w:r>
      <w:r w:rsidR="00775B5A" w:rsidRPr="00F61B50">
        <w:rPr>
          <w:snapToGrid w:val="0"/>
          <w:spacing w:val="-2"/>
          <w:kern w:val="22"/>
          <w:lang w:val="es-ES"/>
        </w:rPr>
        <w:t xml:space="preserve">% (36 Partes) </w:t>
      </w:r>
      <w:r w:rsidR="00F61B50">
        <w:rPr>
          <w:snapToGrid w:val="0"/>
          <w:spacing w:val="-2"/>
          <w:kern w:val="22"/>
          <w:lang w:val="es-ES"/>
        </w:rPr>
        <w:t>indic</w:t>
      </w:r>
      <w:r w:rsidR="00244330">
        <w:rPr>
          <w:snapToGrid w:val="0"/>
          <w:spacing w:val="-2"/>
          <w:kern w:val="22"/>
          <w:lang w:val="es-ES"/>
        </w:rPr>
        <w:t>ó</w:t>
      </w:r>
      <w:r w:rsidR="00F61B50">
        <w:rPr>
          <w:snapToGrid w:val="0"/>
          <w:spacing w:val="-2"/>
          <w:kern w:val="22"/>
          <w:lang w:val="es-ES"/>
        </w:rPr>
        <w:t xml:space="preserve"> que la información se había presentado al CIISB, lo que representa un aumento de un </w:t>
      </w:r>
      <w:r w:rsidR="00775B5A" w:rsidRPr="00F61B50">
        <w:rPr>
          <w:snapToGrid w:val="0"/>
          <w:spacing w:val="-2"/>
          <w:kern w:val="22"/>
          <w:lang w:val="es-ES"/>
        </w:rPr>
        <w:t>15</w:t>
      </w:r>
      <w:r w:rsidR="00F61B50">
        <w:rPr>
          <w:snapToGrid w:val="0"/>
          <w:spacing w:val="-2"/>
          <w:kern w:val="22"/>
          <w:lang w:val="es-ES"/>
        </w:rPr>
        <w:t xml:space="preserve"> </w:t>
      </w:r>
      <w:r w:rsidR="00775B5A" w:rsidRPr="00F61B50">
        <w:rPr>
          <w:snapToGrid w:val="0"/>
          <w:spacing w:val="-2"/>
          <w:kern w:val="22"/>
          <w:lang w:val="es-ES"/>
        </w:rPr>
        <w:t>%.</w:t>
      </w:r>
    </w:p>
    <w:p w:rsidR="00775B5A" w:rsidRPr="003F2747" w:rsidRDefault="003F2747" w:rsidP="001D4EEE">
      <w:pPr>
        <w:pStyle w:val="ListParagraph"/>
        <w:numPr>
          <w:ilvl w:val="0"/>
          <w:numId w:val="2"/>
        </w:numPr>
        <w:tabs>
          <w:tab w:val="clear" w:pos="3240"/>
        </w:tabs>
        <w:spacing w:before="120" w:after="120"/>
        <w:ind w:left="0" w:firstLine="0"/>
        <w:rPr>
          <w:rFonts w:ascii="Angsana New" w:hAnsi="Angsana New" w:cs="Angsana New"/>
          <w:snapToGrid w:val="0"/>
          <w:spacing w:val="-2"/>
          <w:kern w:val="22"/>
          <w:lang w:val="es-ES"/>
        </w:rPr>
      </w:pPr>
      <w:r w:rsidRPr="003F2747">
        <w:rPr>
          <w:snapToGrid w:val="0"/>
          <w:spacing w:val="-2"/>
          <w:kern w:val="22"/>
          <w:lang w:val="es-ES"/>
        </w:rPr>
        <w:t>De las Partes que notificaron que disponían de resúmenes de evaluaciones del riesgo o exámenes ambientales de los OVM generados por los procesos reglamentarios y de informaci</w:t>
      </w:r>
      <w:r>
        <w:rPr>
          <w:snapToGrid w:val="0"/>
          <w:spacing w:val="-2"/>
          <w:kern w:val="22"/>
          <w:lang w:val="es-ES"/>
        </w:rPr>
        <w:t>ón pertinente sobr</w:t>
      </w:r>
      <w:r w:rsidRPr="00244330">
        <w:rPr>
          <w:snapToGrid w:val="0"/>
          <w:spacing w:val="-2"/>
          <w:kern w:val="22"/>
          <w:lang w:val="es-ES"/>
        </w:rPr>
        <w:t>e sus productos</w:t>
      </w:r>
      <w:r w:rsidR="00775B5A" w:rsidRPr="00244330">
        <w:rPr>
          <w:snapToGrid w:val="0"/>
          <w:spacing w:val="-2"/>
          <w:kern w:val="22"/>
          <w:lang w:val="es-ES"/>
        </w:rPr>
        <w:t xml:space="preserve"> (55</w:t>
      </w:r>
      <w:r w:rsidRPr="00244330">
        <w:rPr>
          <w:snapToGrid w:val="0"/>
          <w:spacing w:val="-2"/>
          <w:kern w:val="22"/>
          <w:lang w:val="es-ES"/>
        </w:rPr>
        <w:t xml:space="preserve"> </w:t>
      </w:r>
      <w:r w:rsidR="00775B5A" w:rsidRPr="00244330">
        <w:rPr>
          <w:snapToGrid w:val="0"/>
          <w:spacing w:val="-2"/>
          <w:kern w:val="22"/>
          <w:lang w:val="es-ES"/>
        </w:rPr>
        <w:t>%</w:t>
      </w:r>
      <w:r w:rsidR="00775B5A" w:rsidRPr="003F2747">
        <w:rPr>
          <w:rFonts w:ascii="Angsana New" w:hAnsi="Angsana New" w:cs="Angsana New"/>
          <w:snapToGrid w:val="0"/>
          <w:spacing w:val="-2"/>
          <w:kern w:val="22"/>
          <w:lang w:val="es-ES"/>
        </w:rPr>
        <w:t>,</w:t>
      </w:r>
      <w:r w:rsidR="00775B5A" w:rsidRPr="003F2747">
        <w:rPr>
          <w:snapToGrid w:val="0"/>
          <w:spacing w:val="-2"/>
          <w:kern w:val="22"/>
          <w:lang w:val="es-ES"/>
        </w:rPr>
        <w:t xml:space="preserve"> 51 Partes), </w:t>
      </w:r>
      <w:r>
        <w:rPr>
          <w:snapToGrid w:val="0"/>
          <w:spacing w:val="-2"/>
          <w:kern w:val="22"/>
          <w:lang w:val="es-ES"/>
        </w:rPr>
        <w:t xml:space="preserve">el </w:t>
      </w:r>
      <w:r w:rsidR="00775B5A" w:rsidRPr="003F2747">
        <w:rPr>
          <w:snapToGrid w:val="0"/>
          <w:spacing w:val="-2"/>
          <w:kern w:val="22"/>
          <w:lang w:val="es-ES"/>
        </w:rPr>
        <w:t>69</w:t>
      </w:r>
      <w:r>
        <w:rPr>
          <w:snapToGrid w:val="0"/>
          <w:spacing w:val="-2"/>
          <w:kern w:val="22"/>
          <w:lang w:val="es-ES"/>
        </w:rPr>
        <w:t xml:space="preserve"> </w:t>
      </w:r>
      <w:r w:rsidR="00775B5A" w:rsidRPr="003F2747">
        <w:rPr>
          <w:snapToGrid w:val="0"/>
          <w:spacing w:val="-2"/>
          <w:kern w:val="22"/>
          <w:lang w:val="es-ES"/>
        </w:rPr>
        <w:t xml:space="preserve">% (35 Partes) </w:t>
      </w:r>
      <w:r>
        <w:rPr>
          <w:snapToGrid w:val="0"/>
          <w:spacing w:val="-2"/>
          <w:kern w:val="22"/>
          <w:lang w:val="es-ES"/>
        </w:rPr>
        <w:t>comunic</w:t>
      </w:r>
      <w:r w:rsidR="00244330">
        <w:rPr>
          <w:snapToGrid w:val="0"/>
          <w:spacing w:val="-2"/>
          <w:kern w:val="22"/>
          <w:lang w:val="es-ES"/>
        </w:rPr>
        <w:t>ó</w:t>
      </w:r>
      <w:r>
        <w:rPr>
          <w:snapToGrid w:val="0"/>
          <w:spacing w:val="-2"/>
          <w:kern w:val="22"/>
          <w:lang w:val="es-ES"/>
        </w:rPr>
        <w:t xml:space="preserve"> que la información se había presentado al CIISB</w:t>
      </w:r>
      <w:r w:rsidR="00775B5A" w:rsidRPr="003F2747">
        <w:rPr>
          <w:snapToGrid w:val="0"/>
          <w:spacing w:val="-2"/>
          <w:kern w:val="22"/>
          <w:lang w:val="es-ES"/>
        </w:rPr>
        <w:t xml:space="preserve">, </w:t>
      </w:r>
      <w:r>
        <w:rPr>
          <w:snapToGrid w:val="0"/>
          <w:spacing w:val="-2"/>
          <w:kern w:val="22"/>
          <w:lang w:val="es-ES"/>
        </w:rPr>
        <w:t xml:space="preserve">lo que supone un aumento de un </w:t>
      </w:r>
      <w:r w:rsidR="00775B5A" w:rsidRPr="003F2747">
        <w:rPr>
          <w:snapToGrid w:val="0"/>
          <w:spacing w:val="-2"/>
          <w:kern w:val="22"/>
          <w:lang w:val="es-ES"/>
        </w:rPr>
        <w:t>19</w:t>
      </w:r>
      <w:r>
        <w:rPr>
          <w:snapToGrid w:val="0"/>
          <w:spacing w:val="-2"/>
          <w:kern w:val="22"/>
          <w:lang w:val="es-ES"/>
        </w:rPr>
        <w:t xml:space="preserve"> </w:t>
      </w:r>
      <w:r w:rsidR="00775B5A" w:rsidRPr="003F2747">
        <w:rPr>
          <w:snapToGrid w:val="0"/>
          <w:spacing w:val="-2"/>
          <w:kern w:val="22"/>
          <w:lang w:val="es-ES"/>
        </w:rPr>
        <w:t xml:space="preserve">%. </w:t>
      </w:r>
      <w:r w:rsidRPr="003F2747">
        <w:rPr>
          <w:snapToGrid w:val="0"/>
          <w:spacing w:val="-2"/>
          <w:kern w:val="22"/>
          <w:lang w:val="es-ES"/>
        </w:rPr>
        <w:t xml:space="preserve">La información </w:t>
      </w:r>
      <w:r>
        <w:rPr>
          <w:snapToGrid w:val="0"/>
          <w:spacing w:val="-2"/>
          <w:kern w:val="22"/>
          <w:lang w:val="es-ES"/>
        </w:rPr>
        <w:t>que figuraba e</w:t>
      </w:r>
      <w:r w:rsidRPr="003F2747">
        <w:rPr>
          <w:snapToGrid w:val="0"/>
          <w:spacing w:val="-2"/>
          <w:kern w:val="22"/>
          <w:lang w:val="es-ES"/>
        </w:rPr>
        <w:t xml:space="preserve">n el CIISB en el momento de la preparación de la presente nota indicaba que </w:t>
      </w:r>
      <w:r>
        <w:rPr>
          <w:snapToGrid w:val="0"/>
          <w:spacing w:val="-2"/>
          <w:kern w:val="22"/>
          <w:lang w:val="es-ES"/>
        </w:rPr>
        <w:t xml:space="preserve">faltaban </w:t>
      </w:r>
      <w:r w:rsidRPr="003F2747">
        <w:rPr>
          <w:snapToGrid w:val="0"/>
          <w:spacing w:val="-2"/>
          <w:kern w:val="22"/>
          <w:lang w:val="es-ES"/>
        </w:rPr>
        <w:t>informes sumarios de evaluaci</w:t>
      </w:r>
      <w:r w:rsidR="00FE3D03">
        <w:rPr>
          <w:snapToGrid w:val="0"/>
          <w:spacing w:val="-2"/>
          <w:kern w:val="22"/>
          <w:lang w:val="es-ES"/>
        </w:rPr>
        <w:t xml:space="preserve">ones del </w:t>
      </w:r>
      <w:r w:rsidRPr="003F2747">
        <w:rPr>
          <w:snapToGrid w:val="0"/>
          <w:spacing w:val="-2"/>
          <w:kern w:val="22"/>
          <w:lang w:val="es-ES"/>
        </w:rPr>
        <w:t xml:space="preserve">riesgo </w:t>
      </w:r>
      <w:r w:rsidR="00AE2F08">
        <w:rPr>
          <w:snapToGrid w:val="0"/>
          <w:spacing w:val="-2"/>
          <w:kern w:val="22"/>
          <w:lang w:val="es-ES"/>
        </w:rPr>
        <w:t>en lo que se refiere a</w:t>
      </w:r>
      <w:r>
        <w:rPr>
          <w:snapToGrid w:val="0"/>
          <w:spacing w:val="-2"/>
          <w:kern w:val="22"/>
          <w:lang w:val="es-ES"/>
        </w:rPr>
        <w:t xml:space="preserve"> un total de </w:t>
      </w:r>
      <w:r w:rsidR="00775B5A" w:rsidRPr="003F2747">
        <w:rPr>
          <w:snapToGrid w:val="0"/>
          <w:spacing w:val="-2"/>
          <w:kern w:val="22"/>
          <w:lang w:val="es-ES"/>
        </w:rPr>
        <w:t>78 decision</w:t>
      </w:r>
      <w:r>
        <w:rPr>
          <w:snapToGrid w:val="0"/>
          <w:spacing w:val="-2"/>
          <w:kern w:val="22"/>
          <w:lang w:val="es-ES"/>
        </w:rPr>
        <w:t>e</w:t>
      </w:r>
      <w:r w:rsidR="00775B5A" w:rsidRPr="003F2747">
        <w:rPr>
          <w:snapToGrid w:val="0"/>
          <w:spacing w:val="-2"/>
          <w:kern w:val="22"/>
          <w:lang w:val="es-ES"/>
        </w:rPr>
        <w:t xml:space="preserve">s </w:t>
      </w:r>
      <w:r>
        <w:rPr>
          <w:snapToGrid w:val="0"/>
          <w:spacing w:val="-2"/>
          <w:kern w:val="22"/>
          <w:lang w:val="es-ES"/>
        </w:rPr>
        <w:t xml:space="preserve">de un total de </w:t>
      </w:r>
      <w:r w:rsidR="00775B5A" w:rsidRPr="003F2747">
        <w:rPr>
          <w:snapToGrid w:val="0"/>
          <w:spacing w:val="-2"/>
          <w:kern w:val="22"/>
          <w:lang w:val="es-ES"/>
        </w:rPr>
        <w:t>6 Partes</w:t>
      </w:r>
      <w:r w:rsidR="00775B5A">
        <w:rPr>
          <w:rStyle w:val="FootnoteReference"/>
          <w:rFonts w:ascii="Angsana New" w:hAnsi="Angsana New" w:cs="Angsana New"/>
          <w:snapToGrid w:val="0"/>
          <w:spacing w:val="-2"/>
          <w:kern w:val="22"/>
        </w:rPr>
        <w:footnoteReference w:id="52"/>
      </w:r>
      <w:r w:rsidRPr="003F2747">
        <w:rPr>
          <w:snapToGrid w:val="0"/>
          <w:spacing w:val="-2"/>
          <w:kern w:val="22"/>
          <w:lang w:val="es-ES"/>
        </w:rPr>
        <w:t>.</w:t>
      </w:r>
    </w:p>
    <w:p w:rsidR="00775B5A" w:rsidRPr="00992E44" w:rsidRDefault="00992E44"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992E44">
        <w:rPr>
          <w:snapToGrid w:val="0"/>
          <w:spacing w:val="-2"/>
          <w:kern w:val="22"/>
          <w:lang w:val="es-ES"/>
        </w:rPr>
        <w:t xml:space="preserve">En sus contribuciones de texto libre, muchas Partes indicaron que </w:t>
      </w:r>
      <w:r>
        <w:rPr>
          <w:snapToGrid w:val="0"/>
          <w:spacing w:val="-2"/>
          <w:kern w:val="22"/>
          <w:lang w:val="es-ES"/>
        </w:rPr>
        <w:t xml:space="preserve">no se disponía de muchos </w:t>
      </w:r>
      <w:r w:rsidRPr="00992E44">
        <w:rPr>
          <w:snapToGrid w:val="0"/>
          <w:spacing w:val="-2"/>
          <w:kern w:val="22"/>
          <w:lang w:val="es-ES"/>
        </w:rPr>
        <w:t>tipos de información en sus pa</w:t>
      </w:r>
      <w:r>
        <w:rPr>
          <w:snapToGrid w:val="0"/>
          <w:spacing w:val="-2"/>
          <w:kern w:val="22"/>
          <w:lang w:val="es-ES"/>
        </w:rPr>
        <w:t>íses y que por esa razón no se había presentado la información</w:t>
      </w:r>
      <w:r w:rsidR="00775B5A" w:rsidRPr="00992E44">
        <w:rPr>
          <w:snapToGrid w:val="0"/>
          <w:spacing w:val="-2"/>
          <w:kern w:val="22"/>
          <w:lang w:val="es-ES"/>
        </w:rPr>
        <w:t xml:space="preserve">. </w:t>
      </w:r>
      <w:r>
        <w:rPr>
          <w:snapToGrid w:val="0"/>
          <w:spacing w:val="-2"/>
          <w:kern w:val="22"/>
          <w:lang w:val="es-ES"/>
        </w:rPr>
        <w:t>Algunas Partes hicieron referencia a la falta de capacidades y recursos para facilitar determinada información</w:t>
      </w:r>
      <w:r w:rsidR="00775B5A" w:rsidRPr="00992E44">
        <w:rPr>
          <w:snapToGrid w:val="0"/>
          <w:spacing w:val="-2"/>
          <w:kern w:val="22"/>
          <w:lang w:val="es-ES"/>
        </w:rPr>
        <w:t xml:space="preserve">. </w:t>
      </w:r>
    </w:p>
    <w:p w:rsidR="00775B5A" w:rsidRPr="00992E44" w:rsidRDefault="00992E44"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spacing w:val="-2"/>
          <w:kern w:val="22"/>
          <w:lang w:val="es-ES"/>
        </w:rPr>
      </w:pPr>
      <w:r w:rsidRPr="00992E44">
        <w:rPr>
          <w:snapToGrid w:val="0"/>
          <w:spacing w:val="-2"/>
          <w:kern w:val="22"/>
          <w:lang w:val="es-ES"/>
        </w:rPr>
        <w:t>En lo que respecta al</w:t>
      </w:r>
      <w:r w:rsidR="00775B5A" w:rsidRPr="00992E44">
        <w:rPr>
          <w:snapToGrid w:val="0"/>
          <w:spacing w:val="-2"/>
          <w:kern w:val="22"/>
          <w:lang w:val="es-ES"/>
        </w:rPr>
        <w:t xml:space="preserve"> </w:t>
      </w:r>
      <w:r w:rsidR="00775B5A" w:rsidRPr="00992E44">
        <w:rPr>
          <w:b/>
          <w:bCs/>
          <w:snapToGrid w:val="0"/>
          <w:spacing w:val="-2"/>
          <w:kern w:val="22"/>
          <w:lang w:val="es-ES"/>
        </w:rPr>
        <w:t>indica</w:t>
      </w:r>
      <w:r w:rsidRPr="00992E44">
        <w:rPr>
          <w:b/>
          <w:bCs/>
          <w:snapToGrid w:val="0"/>
          <w:spacing w:val="-2"/>
          <w:kern w:val="22"/>
          <w:lang w:val="es-ES"/>
        </w:rPr>
        <w:t>d</w:t>
      </w:r>
      <w:r w:rsidR="00775B5A" w:rsidRPr="00992E44">
        <w:rPr>
          <w:b/>
          <w:bCs/>
          <w:snapToGrid w:val="0"/>
          <w:spacing w:val="-2"/>
          <w:kern w:val="22"/>
          <w:lang w:val="es-ES"/>
        </w:rPr>
        <w:t>or 3.1.6</w:t>
      </w:r>
      <w:r w:rsidRPr="00992E44">
        <w:rPr>
          <w:b/>
          <w:bCs/>
          <w:snapToGrid w:val="0"/>
          <w:spacing w:val="-2"/>
          <w:kern w:val="22"/>
          <w:lang w:val="es-ES"/>
        </w:rPr>
        <w:t xml:space="preserve"> </w:t>
      </w:r>
      <w:r w:rsidR="00775B5A" w:rsidRPr="00992E44">
        <w:rPr>
          <w:snapToGrid w:val="0"/>
          <w:spacing w:val="-2"/>
          <w:kern w:val="22"/>
          <w:lang w:val="es-ES"/>
        </w:rPr>
        <w:t>(</w:t>
      </w:r>
      <w:r w:rsidRPr="00992E44">
        <w:rPr>
          <w:snapToGrid w:val="0"/>
          <w:spacing w:val="-2"/>
          <w:kern w:val="22"/>
          <w:lang w:val="es-ES"/>
        </w:rPr>
        <w:t xml:space="preserve">el número de </w:t>
      </w:r>
      <w:r w:rsidR="00775B5A" w:rsidRPr="00992E44">
        <w:rPr>
          <w:snapToGrid w:val="0"/>
          <w:spacing w:val="-2"/>
          <w:kern w:val="22"/>
          <w:lang w:val="es-ES"/>
        </w:rPr>
        <w:t xml:space="preserve">Partes </w:t>
      </w:r>
      <w:r w:rsidRPr="00992E44">
        <w:rPr>
          <w:snapToGrid w:val="0"/>
          <w:spacing w:val="-2"/>
          <w:kern w:val="22"/>
          <w:lang w:val="es-ES"/>
        </w:rPr>
        <w:t>que cuenta con un sistema de supervisión y aplicación de normas</w:t>
      </w:r>
      <w:r w:rsidR="00775B5A" w:rsidRPr="00992E44">
        <w:rPr>
          <w:snapToGrid w:val="0"/>
          <w:spacing w:val="-2"/>
          <w:kern w:val="22"/>
          <w:lang w:val="es-ES"/>
        </w:rPr>
        <w:t>)</w:t>
      </w:r>
      <w:r w:rsidR="00775B5A" w:rsidRPr="00992E44">
        <w:rPr>
          <w:rFonts w:ascii="Angsana New" w:hAnsi="Angsana New" w:cs="Angsana New"/>
          <w:snapToGrid w:val="0"/>
          <w:spacing w:val="-2"/>
          <w:kern w:val="22"/>
          <w:lang w:val="es-ES"/>
        </w:rPr>
        <w:t>,</w:t>
      </w:r>
      <w:r w:rsidR="00775B5A" w:rsidRPr="00992E44">
        <w:rPr>
          <w:snapToGrid w:val="0"/>
          <w:spacing w:val="-2"/>
          <w:kern w:val="22"/>
          <w:lang w:val="es-ES"/>
        </w:rPr>
        <w:t xml:space="preserve"> </w:t>
      </w:r>
      <w:r w:rsidRPr="00992E44">
        <w:rPr>
          <w:snapToGrid w:val="0"/>
          <w:spacing w:val="-2"/>
          <w:kern w:val="22"/>
          <w:lang w:val="es-ES"/>
        </w:rPr>
        <w:t xml:space="preserve">el </w:t>
      </w:r>
      <w:r w:rsidR="00775B5A" w:rsidRPr="00992E44">
        <w:rPr>
          <w:snapToGrid w:val="0"/>
          <w:spacing w:val="-2"/>
          <w:kern w:val="22"/>
          <w:lang w:val="es-ES"/>
        </w:rPr>
        <w:t>77</w:t>
      </w:r>
      <w:r>
        <w:rPr>
          <w:snapToGrid w:val="0"/>
          <w:spacing w:val="-2"/>
          <w:kern w:val="22"/>
          <w:lang w:val="es-ES"/>
        </w:rPr>
        <w:t xml:space="preserve"> </w:t>
      </w:r>
      <w:r w:rsidR="00775B5A" w:rsidRPr="00992E44">
        <w:rPr>
          <w:snapToGrid w:val="0"/>
          <w:spacing w:val="-2"/>
          <w:kern w:val="22"/>
          <w:lang w:val="es-ES"/>
        </w:rPr>
        <w:t xml:space="preserve">% </w:t>
      </w:r>
      <w:r>
        <w:rPr>
          <w:snapToGrid w:val="0"/>
          <w:spacing w:val="-2"/>
          <w:kern w:val="22"/>
          <w:lang w:val="es-ES"/>
        </w:rPr>
        <w:t>de las Partes (53 Part</w:t>
      </w:r>
      <w:r w:rsidR="00775B5A" w:rsidRPr="00992E44">
        <w:rPr>
          <w:snapToGrid w:val="0"/>
          <w:spacing w:val="-2"/>
          <w:kern w:val="22"/>
          <w:lang w:val="es-ES"/>
        </w:rPr>
        <w:t xml:space="preserve">es) </w:t>
      </w:r>
      <w:r>
        <w:rPr>
          <w:snapToGrid w:val="0"/>
          <w:spacing w:val="-2"/>
          <w:kern w:val="22"/>
          <w:lang w:val="es-ES"/>
        </w:rPr>
        <w:t>comunic</w:t>
      </w:r>
      <w:r w:rsidR="00244330">
        <w:rPr>
          <w:snapToGrid w:val="0"/>
          <w:spacing w:val="-2"/>
          <w:kern w:val="22"/>
          <w:lang w:val="es-ES"/>
        </w:rPr>
        <w:t>ó</w:t>
      </w:r>
      <w:r>
        <w:rPr>
          <w:snapToGrid w:val="0"/>
          <w:spacing w:val="-2"/>
          <w:kern w:val="22"/>
          <w:lang w:val="es-ES"/>
        </w:rPr>
        <w:t xml:space="preserve"> que contaba con un sistema para supervisar y hacer cumplir la aplicación del Protocolo de</w:t>
      </w:r>
      <w:r w:rsidR="00775B5A" w:rsidRPr="00992E44">
        <w:rPr>
          <w:snapToGrid w:val="0"/>
          <w:spacing w:val="-2"/>
          <w:kern w:val="22"/>
          <w:lang w:val="es-ES"/>
        </w:rPr>
        <w:t xml:space="preserve"> Cartagena, </w:t>
      </w:r>
      <w:r w:rsidR="001D5BD8">
        <w:rPr>
          <w:snapToGrid w:val="0"/>
          <w:spacing w:val="-2"/>
          <w:kern w:val="22"/>
          <w:lang w:val="es-ES"/>
        </w:rPr>
        <w:t xml:space="preserve">lo que supone un aumento de un </w:t>
      </w:r>
      <w:r w:rsidR="00775B5A" w:rsidRPr="00992E44">
        <w:rPr>
          <w:snapToGrid w:val="0"/>
          <w:spacing w:val="-2"/>
          <w:kern w:val="22"/>
          <w:lang w:val="es-ES"/>
        </w:rPr>
        <w:t>7</w:t>
      </w:r>
      <w:r w:rsidR="001D5BD8">
        <w:rPr>
          <w:snapToGrid w:val="0"/>
          <w:spacing w:val="-2"/>
          <w:kern w:val="22"/>
          <w:lang w:val="es-ES"/>
        </w:rPr>
        <w:t xml:space="preserve"> </w:t>
      </w:r>
      <w:r w:rsidR="00775B5A" w:rsidRPr="00992E44">
        <w:rPr>
          <w:snapToGrid w:val="0"/>
          <w:spacing w:val="-2"/>
          <w:kern w:val="22"/>
          <w:lang w:val="es-ES"/>
        </w:rPr>
        <w:t xml:space="preserve">% </w:t>
      </w:r>
      <w:r w:rsidR="001D5BD8">
        <w:rPr>
          <w:snapToGrid w:val="0"/>
          <w:spacing w:val="-2"/>
          <w:kern w:val="22"/>
          <w:lang w:val="es-ES"/>
        </w:rPr>
        <w:t>con respecto a los datos básicos de referencia</w:t>
      </w:r>
      <w:r w:rsidR="00775B5A" w:rsidRPr="00992E44">
        <w:rPr>
          <w:snapToGrid w:val="0"/>
          <w:spacing w:val="-2"/>
          <w:kern w:val="22"/>
          <w:lang w:val="es-ES"/>
        </w:rPr>
        <w:t xml:space="preserve"> (</w:t>
      </w:r>
      <w:r w:rsidR="001D5BD8">
        <w:rPr>
          <w:snapToGrid w:val="0"/>
          <w:spacing w:val="-2"/>
          <w:kern w:val="22"/>
          <w:lang w:val="es-ES"/>
        </w:rPr>
        <w:t>con los siguientes cambios regionales</w:t>
      </w:r>
      <w:r w:rsidR="00775B5A" w:rsidRPr="00992E44">
        <w:rPr>
          <w:snapToGrid w:val="0"/>
          <w:spacing w:val="-2"/>
          <w:kern w:val="22"/>
          <w:lang w:val="es-ES"/>
        </w:rPr>
        <w:t>: Asia</w:t>
      </w:r>
      <w:r w:rsidR="00A53625">
        <w:rPr>
          <w:snapToGrid w:val="0"/>
          <w:spacing w:val="-2"/>
          <w:kern w:val="22"/>
          <w:lang w:val="es-ES"/>
        </w:rPr>
        <w:t xml:space="preserve"> y el Pacífico</w:t>
      </w:r>
      <w:r w:rsidR="00775B5A" w:rsidRPr="00992E44">
        <w:rPr>
          <w:snapToGrid w:val="0"/>
          <w:spacing w:val="-2"/>
          <w:kern w:val="22"/>
          <w:lang w:val="es-ES"/>
        </w:rPr>
        <w:t xml:space="preserve"> +</w:t>
      </w:r>
      <w:r w:rsidR="001D5BD8">
        <w:rPr>
          <w:snapToGrid w:val="0"/>
          <w:spacing w:val="-2"/>
          <w:kern w:val="22"/>
          <w:lang w:val="es-ES"/>
        </w:rPr>
        <w:t xml:space="preserve"> </w:t>
      </w:r>
      <w:r w:rsidR="00775B5A" w:rsidRPr="00992E44">
        <w:rPr>
          <w:snapToGrid w:val="0"/>
          <w:spacing w:val="-2"/>
          <w:kern w:val="22"/>
          <w:lang w:val="es-ES"/>
        </w:rPr>
        <w:t>22</w:t>
      </w:r>
      <w:r w:rsidR="001D5BD8">
        <w:rPr>
          <w:snapToGrid w:val="0"/>
          <w:spacing w:val="-2"/>
          <w:kern w:val="22"/>
          <w:lang w:val="es-ES"/>
        </w:rPr>
        <w:t xml:space="preserve"> </w:t>
      </w:r>
      <w:r w:rsidR="00775B5A" w:rsidRPr="00992E44">
        <w:rPr>
          <w:snapToGrid w:val="0"/>
          <w:spacing w:val="-2"/>
          <w:kern w:val="22"/>
          <w:lang w:val="es-ES"/>
        </w:rPr>
        <w:t>%</w:t>
      </w:r>
      <w:r w:rsidR="00244330">
        <w:rPr>
          <w:snapToGrid w:val="0"/>
          <w:spacing w:val="-2"/>
          <w:kern w:val="22"/>
          <w:lang w:val="es-ES"/>
        </w:rPr>
        <w:t>,</w:t>
      </w:r>
      <w:r w:rsidR="00775B5A" w:rsidRPr="00992E44">
        <w:rPr>
          <w:snapToGrid w:val="0"/>
          <w:spacing w:val="-2"/>
          <w:kern w:val="22"/>
          <w:lang w:val="es-ES"/>
        </w:rPr>
        <w:t xml:space="preserve"> </w:t>
      </w:r>
      <w:r w:rsidR="001D5BD8">
        <w:rPr>
          <w:snapToGrid w:val="0"/>
          <w:spacing w:val="-2"/>
          <w:kern w:val="22"/>
          <w:lang w:val="es-ES"/>
        </w:rPr>
        <w:t>Á</w:t>
      </w:r>
      <w:r w:rsidR="00775B5A" w:rsidRPr="00992E44">
        <w:rPr>
          <w:snapToGrid w:val="0"/>
          <w:spacing w:val="-2"/>
          <w:kern w:val="22"/>
          <w:lang w:val="es-ES"/>
        </w:rPr>
        <w:t>frica +</w:t>
      </w:r>
      <w:r w:rsidR="001D5BD8">
        <w:rPr>
          <w:snapToGrid w:val="0"/>
          <w:spacing w:val="-2"/>
          <w:kern w:val="22"/>
          <w:lang w:val="es-ES"/>
        </w:rPr>
        <w:t xml:space="preserve"> </w:t>
      </w:r>
      <w:r w:rsidR="00775B5A" w:rsidRPr="00992E44">
        <w:rPr>
          <w:snapToGrid w:val="0"/>
          <w:spacing w:val="-2"/>
          <w:kern w:val="22"/>
          <w:lang w:val="es-ES"/>
        </w:rPr>
        <w:t>17</w:t>
      </w:r>
      <w:r w:rsidR="001D5BD8">
        <w:rPr>
          <w:snapToGrid w:val="0"/>
          <w:spacing w:val="-2"/>
          <w:kern w:val="22"/>
          <w:lang w:val="es-ES"/>
        </w:rPr>
        <w:t xml:space="preserve"> </w:t>
      </w:r>
      <w:r w:rsidR="00775B5A" w:rsidRPr="00992E44">
        <w:rPr>
          <w:snapToGrid w:val="0"/>
          <w:spacing w:val="-2"/>
          <w:kern w:val="22"/>
          <w:lang w:val="es-ES"/>
        </w:rPr>
        <w:t xml:space="preserve">%, </w:t>
      </w:r>
      <w:r w:rsidR="00477624">
        <w:rPr>
          <w:snapToGrid w:val="0"/>
          <w:kern w:val="22"/>
          <w:lang w:val="es-ES"/>
        </w:rPr>
        <w:t>grupo de Estados de Europa Central y Oriental</w:t>
      </w:r>
      <w:r w:rsidR="00477624" w:rsidRPr="00EC2231">
        <w:rPr>
          <w:snapToGrid w:val="0"/>
          <w:kern w:val="22"/>
          <w:lang w:val="es-ES"/>
        </w:rPr>
        <w:t xml:space="preserve"> </w:t>
      </w:r>
      <w:r w:rsidR="00775B5A" w:rsidRPr="00992E44">
        <w:rPr>
          <w:snapToGrid w:val="0"/>
          <w:spacing w:val="-2"/>
          <w:kern w:val="22"/>
          <w:lang w:val="es-ES"/>
        </w:rPr>
        <w:t>+</w:t>
      </w:r>
      <w:r w:rsidR="001D5BD8">
        <w:rPr>
          <w:snapToGrid w:val="0"/>
          <w:spacing w:val="-2"/>
          <w:kern w:val="22"/>
          <w:lang w:val="es-ES"/>
        </w:rPr>
        <w:t xml:space="preserve"> </w:t>
      </w:r>
      <w:r w:rsidR="00775B5A" w:rsidRPr="00992E44">
        <w:rPr>
          <w:snapToGrid w:val="0"/>
          <w:spacing w:val="-2"/>
          <w:kern w:val="22"/>
          <w:lang w:val="es-ES"/>
        </w:rPr>
        <w:t>7</w:t>
      </w:r>
      <w:r w:rsidR="001D5BD8">
        <w:rPr>
          <w:snapToGrid w:val="0"/>
          <w:spacing w:val="-2"/>
          <w:kern w:val="22"/>
          <w:lang w:val="es-ES"/>
        </w:rPr>
        <w:t xml:space="preserve"> </w:t>
      </w:r>
      <w:r w:rsidR="00775B5A" w:rsidRPr="00992E44">
        <w:rPr>
          <w:snapToGrid w:val="0"/>
          <w:spacing w:val="-2"/>
          <w:kern w:val="22"/>
          <w:lang w:val="es-ES"/>
        </w:rPr>
        <w:t>%</w:t>
      </w:r>
      <w:r w:rsidR="00244330">
        <w:rPr>
          <w:snapToGrid w:val="0"/>
          <w:spacing w:val="-2"/>
          <w:kern w:val="22"/>
          <w:lang w:val="es-ES"/>
        </w:rPr>
        <w:t>,</w:t>
      </w:r>
      <w:r w:rsidR="00775B5A" w:rsidRPr="00992E44">
        <w:rPr>
          <w:snapToGrid w:val="0"/>
          <w:spacing w:val="-2"/>
          <w:kern w:val="22"/>
          <w:lang w:val="es-ES"/>
        </w:rPr>
        <w:t xml:space="preserve"> </w:t>
      </w:r>
      <w:r w:rsidR="00D74010">
        <w:rPr>
          <w:snapToGrid w:val="0"/>
          <w:kern w:val="22"/>
          <w:lang w:val="es-ES"/>
        </w:rPr>
        <w:t>grupo de países de América Latina y el Caribe</w:t>
      </w:r>
      <w:r w:rsidR="001D5BD8">
        <w:rPr>
          <w:snapToGrid w:val="0"/>
          <w:spacing w:val="-2"/>
          <w:kern w:val="22"/>
          <w:lang w:val="es-ES"/>
        </w:rPr>
        <w:t>, sin cambios</w:t>
      </w:r>
      <w:r w:rsidR="00244330">
        <w:rPr>
          <w:snapToGrid w:val="0"/>
          <w:spacing w:val="-2"/>
          <w:kern w:val="22"/>
          <w:lang w:val="es-ES"/>
        </w:rPr>
        <w:t>,</w:t>
      </w:r>
      <w:r w:rsidR="00775B5A" w:rsidRPr="00992E44">
        <w:rPr>
          <w:snapToGrid w:val="0"/>
          <w:spacing w:val="-2"/>
          <w:kern w:val="22"/>
          <w:lang w:val="es-ES"/>
        </w:rPr>
        <w:t xml:space="preserve"> </w:t>
      </w:r>
      <w:r w:rsidR="001D5BD8">
        <w:rPr>
          <w:snapToGrid w:val="0"/>
          <w:spacing w:val="-2"/>
          <w:kern w:val="22"/>
          <w:lang w:val="es-ES"/>
        </w:rPr>
        <w:t>grupo de Estados de Europa Occidental y otros</w:t>
      </w:r>
      <w:r w:rsidR="00775B5A" w:rsidRPr="00992E44">
        <w:rPr>
          <w:snapToGrid w:val="0"/>
          <w:spacing w:val="-2"/>
          <w:kern w:val="22"/>
          <w:lang w:val="es-ES"/>
        </w:rPr>
        <w:t xml:space="preserve"> -</w:t>
      </w:r>
      <w:r w:rsidR="001D5BD8">
        <w:rPr>
          <w:snapToGrid w:val="0"/>
          <w:spacing w:val="-2"/>
          <w:kern w:val="22"/>
          <w:lang w:val="es-ES"/>
        </w:rPr>
        <w:t xml:space="preserve"> </w:t>
      </w:r>
      <w:r w:rsidR="00775B5A" w:rsidRPr="00992E44">
        <w:rPr>
          <w:snapToGrid w:val="0"/>
          <w:spacing w:val="-2"/>
          <w:kern w:val="22"/>
          <w:lang w:val="es-ES"/>
        </w:rPr>
        <w:t>7</w:t>
      </w:r>
      <w:r w:rsidR="001D5BD8">
        <w:rPr>
          <w:snapToGrid w:val="0"/>
          <w:spacing w:val="-2"/>
          <w:kern w:val="22"/>
          <w:lang w:val="es-ES"/>
        </w:rPr>
        <w:t xml:space="preserve"> </w:t>
      </w:r>
      <w:r w:rsidR="00775B5A" w:rsidRPr="00992E44">
        <w:rPr>
          <w:snapToGrid w:val="0"/>
          <w:spacing w:val="-2"/>
          <w:kern w:val="22"/>
          <w:lang w:val="es-ES"/>
        </w:rPr>
        <w:t>%)</w:t>
      </w:r>
      <w:r w:rsidR="00775B5A">
        <w:rPr>
          <w:rStyle w:val="FootnoteReference"/>
          <w:rFonts w:ascii="Angsana New" w:hAnsi="Angsana New" w:cs="Angsana New"/>
          <w:snapToGrid w:val="0"/>
          <w:spacing w:val="-2"/>
          <w:kern w:val="22"/>
        </w:rPr>
        <w:footnoteReference w:id="53"/>
      </w:r>
      <w:r w:rsidR="001D5BD8" w:rsidRPr="00992E44">
        <w:rPr>
          <w:snapToGrid w:val="0"/>
          <w:spacing w:val="-2"/>
          <w:kern w:val="22"/>
          <w:lang w:val="es-ES"/>
        </w:rPr>
        <w:t>.</w:t>
      </w:r>
    </w:p>
    <w:p w:rsidR="00775B5A" w:rsidRPr="007D470E" w:rsidRDefault="001D5BD8"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spacing w:val="-2"/>
          <w:kern w:val="22"/>
          <w:lang w:val="es-ES"/>
        </w:rPr>
      </w:pPr>
      <w:r w:rsidRPr="001D5BD8">
        <w:rPr>
          <w:bCs/>
          <w:snapToGrid w:val="0"/>
          <w:spacing w:val="-2"/>
          <w:kern w:val="22"/>
          <w:lang w:val="es-ES"/>
        </w:rPr>
        <w:t xml:space="preserve">El </w:t>
      </w:r>
      <w:r w:rsidRPr="001D5BD8">
        <w:rPr>
          <w:b/>
          <w:bCs/>
          <w:snapToGrid w:val="0"/>
          <w:spacing w:val="-2"/>
          <w:kern w:val="22"/>
          <w:lang w:val="es-ES"/>
        </w:rPr>
        <w:t>i</w:t>
      </w:r>
      <w:r w:rsidR="00775B5A" w:rsidRPr="001D5BD8">
        <w:rPr>
          <w:b/>
          <w:bCs/>
          <w:snapToGrid w:val="0"/>
          <w:spacing w:val="-2"/>
          <w:kern w:val="22"/>
          <w:lang w:val="es-ES"/>
        </w:rPr>
        <w:t>ndica</w:t>
      </w:r>
      <w:r w:rsidRPr="001D5BD8">
        <w:rPr>
          <w:b/>
          <w:bCs/>
          <w:snapToGrid w:val="0"/>
          <w:spacing w:val="-2"/>
          <w:kern w:val="22"/>
          <w:lang w:val="es-ES"/>
        </w:rPr>
        <w:t>d</w:t>
      </w:r>
      <w:r w:rsidR="00775B5A" w:rsidRPr="001D5BD8">
        <w:rPr>
          <w:b/>
          <w:bCs/>
          <w:snapToGrid w:val="0"/>
          <w:spacing w:val="-2"/>
          <w:kern w:val="22"/>
          <w:lang w:val="es-ES"/>
        </w:rPr>
        <w:t>or 3.1.7</w:t>
      </w:r>
      <w:r w:rsidR="00775B5A" w:rsidRPr="001D5BD8">
        <w:rPr>
          <w:snapToGrid w:val="0"/>
          <w:spacing w:val="-2"/>
          <w:kern w:val="22"/>
          <w:lang w:val="es-ES"/>
        </w:rPr>
        <w:t xml:space="preserve"> </w:t>
      </w:r>
      <w:r w:rsidRPr="001D5BD8">
        <w:rPr>
          <w:snapToGrid w:val="0"/>
          <w:spacing w:val="-2"/>
          <w:kern w:val="22"/>
          <w:lang w:val="es-ES"/>
        </w:rPr>
        <w:t>está relacionado con el número de informes nacionales recibidos en cada ciclo de presentaci</w:t>
      </w:r>
      <w:r>
        <w:rPr>
          <w:snapToGrid w:val="0"/>
          <w:spacing w:val="-2"/>
          <w:kern w:val="22"/>
          <w:lang w:val="es-ES"/>
        </w:rPr>
        <w:t>ón de informes</w:t>
      </w:r>
      <w:r w:rsidR="00775B5A" w:rsidRPr="001D5BD8">
        <w:rPr>
          <w:snapToGrid w:val="0"/>
          <w:spacing w:val="-2"/>
          <w:kern w:val="22"/>
          <w:lang w:val="es-ES"/>
        </w:rPr>
        <w:t>. A</w:t>
      </w:r>
      <w:r w:rsidRPr="001D5BD8">
        <w:rPr>
          <w:snapToGrid w:val="0"/>
          <w:spacing w:val="-2"/>
          <w:kern w:val="22"/>
          <w:lang w:val="es-ES"/>
        </w:rPr>
        <w:t xml:space="preserve"> fecha </w:t>
      </w:r>
      <w:r w:rsidR="00775B5A" w:rsidRPr="001D5BD8">
        <w:rPr>
          <w:snapToGrid w:val="0"/>
          <w:spacing w:val="-2"/>
          <w:kern w:val="22"/>
          <w:lang w:val="es-ES"/>
        </w:rPr>
        <w:t xml:space="preserve">15 </w:t>
      </w:r>
      <w:r w:rsidRPr="001D5BD8">
        <w:rPr>
          <w:snapToGrid w:val="0"/>
          <w:spacing w:val="-2"/>
          <w:kern w:val="22"/>
          <w:lang w:val="es-ES"/>
        </w:rPr>
        <w:t xml:space="preserve">de enero de </w:t>
      </w:r>
      <w:r w:rsidR="00775B5A" w:rsidRPr="001D5BD8">
        <w:rPr>
          <w:snapToGrid w:val="0"/>
          <w:spacing w:val="-2"/>
          <w:kern w:val="22"/>
          <w:lang w:val="es-ES"/>
        </w:rPr>
        <w:t>2020, 99 Partes ha</w:t>
      </w:r>
      <w:r w:rsidRPr="001D5BD8">
        <w:rPr>
          <w:snapToGrid w:val="0"/>
          <w:spacing w:val="-2"/>
          <w:kern w:val="22"/>
          <w:lang w:val="es-ES"/>
        </w:rPr>
        <w:t>bían presentado su cuarto informe nacional completo</w:t>
      </w:r>
      <w:r>
        <w:rPr>
          <w:snapToGrid w:val="0"/>
          <w:spacing w:val="-2"/>
          <w:kern w:val="22"/>
          <w:lang w:val="es-ES"/>
        </w:rPr>
        <w:t xml:space="preserve">, de las </w:t>
      </w:r>
      <w:r w:rsidR="00775B5A" w:rsidRPr="001D5BD8">
        <w:rPr>
          <w:snapToGrid w:val="0"/>
          <w:spacing w:val="-2"/>
          <w:kern w:val="22"/>
          <w:lang w:val="es-ES"/>
        </w:rPr>
        <w:t xml:space="preserve">171 Partes </w:t>
      </w:r>
      <w:r>
        <w:rPr>
          <w:snapToGrid w:val="0"/>
          <w:spacing w:val="-2"/>
          <w:kern w:val="22"/>
          <w:lang w:val="es-ES"/>
        </w:rPr>
        <w:t xml:space="preserve">en el </w:t>
      </w:r>
      <w:r w:rsidR="00775B5A" w:rsidRPr="001D5BD8">
        <w:rPr>
          <w:snapToGrid w:val="0"/>
          <w:spacing w:val="-2"/>
          <w:kern w:val="22"/>
          <w:lang w:val="es-ES"/>
        </w:rPr>
        <w:t>Protocol</w:t>
      </w:r>
      <w:r>
        <w:rPr>
          <w:snapToGrid w:val="0"/>
          <w:spacing w:val="-2"/>
          <w:kern w:val="22"/>
          <w:lang w:val="es-ES"/>
        </w:rPr>
        <w:t>o que tenían la obligación de hacerlo</w:t>
      </w:r>
      <w:r w:rsidR="00775B5A">
        <w:rPr>
          <w:rStyle w:val="FootnoteReference"/>
          <w:rFonts w:ascii="Angsana New" w:hAnsi="Angsana New" w:cs="Angsana New"/>
          <w:snapToGrid w:val="0"/>
          <w:kern w:val="22"/>
        </w:rPr>
        <w:footnoteReference w:id="54"/>
      </w:r>
      <w:r w:rsidRPr="001D5BD8">
        <w:rPr>
          <w:snapToGrid w:val="0"/>
          <w:spacing w:val="-2"/>
          <w:kern w:val="22"/>
          <w:lang w:val="es-ES"/>
        </w:rPr>
        <w:t>.</w:t>
      </w:r>
      <w:r w:rsidR="00775B5A" w:rsidRPr="001D5BD8">
        <w:rPr>
          <w:snapToGrid w:val="0"/>
          <w:spacing w:val="-2"/>
          <w:kern w:val="22"/>
          <w:lang w:val="es-ES"/>
        </w:rPr>
        <w:t xml:space="preserve"> </w:t>
      </w:r>
      <w:r w:rsidRPr="000930C7">
        <w:rPr>
          <w:snapToGrid w:val="0"/>
          <w:spacing w:val="-2"/>
          <w:kern w:val="22"/>
          <w:lang w:val="es-ES"/>
        </w:rPr>
        <w:t xml:space="preserve">Esto representa una tasa de presentación de un </w:t>
      </w:r>
      <w:r w:rsidR="00775B5A" w:rsidRPr="000930C7">
        <w:rPr>
          <w:snapToGrid w:val="0"/>
          <w:spacing w:val="-2"/>
          <w:kern w:val="22"/>
          <w:lang w:val="es-ES"/>
        </w:rPr>
        <w:t>58</w:t>
      </w:r>
      <w:r w:rsidRPr="000930C7">
        <w:rPr>
          <w:snapToGrid w:val="0"/>
          <w:spacing w:val="-2"/>
          <w:kern w:val="22"/>
          <w:lang w:val="es-ES"/>
        </w:rPr>
        <w:t xml:space="preserve"> </w:t>
      </w:r>
      <w:r w:rsidR="00775B5A" w:rsidRPr="000930C7">
        <w:rPr>
          <w:snapToGrid w:val="0"/>
          <w:spacing w:val="-2"/>
          <w:kern w:val="22"/>
          <w:lang w:val="es-ES"/>
        </w:rPr>
        <w:t xml:space="preserve">%. </w:t>
      </w:r>
      <w:r w:rsidR="007D470E" w:rsidRPr="007D470E">
        <w:rPr>
          <w:snapToGrid w:val="0"/>
          <w:spacing w:val="-2"/>
          <w:kern w:val="22"/>
          <w:lang w:val="es-ES"/>
        </w:rPr>
        <w:t>En un momento comparable después del plazo de presentación para los segundos informes nacionales, la tasa de presentación fue de</w:t>
      </w:r>
      <w:r w:rsidR="007D470E">
        <w:rPr>
          <w:snapToGrid w:val="0"/>
          <w:spacing w:val="-2"/>
          <w:kern w:val="22"/>
          <w:lang w:val="es-ES"/>
        </w:rPr>
        <w:t>l</w:t>
      </w:r>
      <w:r w:rsidR="007D470E" w:rsidRPr="007D470E">
        <w:rPr>
          <w:snapToGrid w:val="0"/>
          <w:spacing w:val="-2"/>
          <w:kern w:val="22"/>
          <w:lang w:val="es-ES"/>
        </w:rPr>
        <w:t xml:space="preserve"> </w:t>
      </w:r>
      <w:r w:rsidR="00775B5A" w:rsidRPr="007D470E">
        <w:rPr>
          <w:snapToGrid w:val="0"/>
          <w:spacing w:val="-2"/>
          <w:kern w:val="22"/>
          <w:lang w:val="es-ES"/>
        </w:rPr>
        <w:t>89</w:t>
      </w:r>
      <w:r w:rsidR="007D470E" w:rsidRPr="007D470E">
        <w:rPr>
          <w:snapToGrid w:val="0"/>
          <w:spacing w:val="-2"/>
          <w:kern w:val="22"/>
          <w:lang w:val="es-ES"/>
        </w:rPr>
        <w:t xml:space="preserve"> </w:t>
      </w:r>
      <w:r w:rsidR="00775B5A" w:rsidRPr="007D470E">
        <w:rPr>
          <w:snapToGrid w:val="0"/>
          <w:spacing w:val="-2"/>
          <w:kern w:val="22"/>
          <w:lang w:val="es-ES"/>
        </w:rPr>
        <w:t>%</w:t>
      </w:r>
      <w:r w:rsidR="00775B5A">
        <w:rPr>
          <w:rStyle w:val="FootnoteReference"/>
          <w:rFonts w:ascii="Angsana New" w:hAnsi="Angsana New" w:cs="Angsana New"/>
          <w:snapToGrid w:val="0"/>
          <w:spacing w:val="-2"/>
          <w:kern w:val="22"/>
        </w:rPr>
        <w:footnoteReference w:id="55"/>
      </w:r>
      <w:r w:rsidR="007D470E" w:rsidRPr="007D470E">
        <w:rPr>
          <w:snapToGrid w:val="0"/>
          <w:spacing w:val="-2"/>
          <w:kern w:val="22"/>
          <w:lang w:val="es-ES"/>
        </w:rPr>
        <w:t>.</w:t>
      </w:r>
    </w:p>
    <w:p w:rsidR="00775B5A" w:rsidRPr="000976C3" w:rsidRDefault="009E3726"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9E3726">
        <w:rPr>
          <w:snapToGrid w:val="0"/>
          <w:spacing w:val="-2"/>
          <w:kern w:val="22"/>
          <w:lang w:val="es-ES"/>
        </w:rPr>
        <w:t xml:space="preserve">Con respecto al </w:t>
      </w:r>
      <w:r w:rsidR="00775B5A" w:rsidRPr="009E3726">
        <w:rPr>
          <w:b/>
          <w:bCs/>
          <w:snapToGrid w:val="0"/>
          <w:spacing w:val="-2"/>
          <w:kern w:val="22"/>
          <w:lang w:val="es-ES"/>
        </w:rPr>
        <w:t>indica</w:t>
      </w:r>
      <w:r w:rsidRPr="009E3726">
        <w:rPr>
          <w:b/>
          <w:bCs/>
          <w:snapToGrid w:val="0"/>
          <w:spacing w:val="-2"/>
          <w:kern w:val="22"/>
          <w:lang w:val="es-ES"/>
        </w:rPr>
        <w:t>d</w:t>
      </w:r>
      <w:r w:rsidR="00775B5A" w:rsidRPr="009E3726">
        <w:rPr>
          <w:b/>
          <w:bCs/>
          <w:snapToGrid w:val="0"/>
          <w:spacing w:val="-2"/>
          <w:kern w:val="22"/>
          <w:lang w:val="es-ES"/>
        </w:rPr>
        <w:t>or 3.1.8</w:t>
      </w:r>
      <w:r w:rsidR="00775B5A" w:rsidRPr="009E3726">
        <w:rPr>
          <w:snapToGrid w:val="0"/>
          <w:spacing w:val="-2"/>
          <w:kern w:val="22"/>
          <w:lang w:val="es-ES"/>
        </w:rPr>
        <w:t xml:space="preserve"> (</w:t>
      </w:r>
      <w:r w:rsidRPr="009E3726">
        <w:rPr>
          <w:snapToGrid w:val="0"/>
          <w:spacing w:val="-2"/>
          <w:kern w:val="22"/>
          <w:lang w:val="es-ES"/>
        </w:rPr>
        <w:t xml:space="preserve">número de </w:t>
      </w:r>
      <w:r w:rsidR="00775B5A" w:rsidRPr="009E3726">
        <w:rPr>
          <w:snapToGrid w:val="0"/>
          <w:spacing w:val="-2"/>
          <w:kern w:val="22"/>
          <w:lang w:val="es-ES"/>
        </w:rPr>
        <w:t xml:space="preserve">Partes </w:t>
      </w:r>
      <w:r w:rsidRPr="009E3726">
        <w:rPr>
          <w:snapToGrid w:val="0"/>
          <w:spacing w:val="-2"/>
          <w:kern w:val="22"/>
          <w:lang w:val="es-ES"/>
        </w:rPr>
        <w:t xml:space="preserve">capaces de acceder </w:t>
      </w:r>
      <w:r>
        <w:rPr>
          <w:snapToGrid w:val="0"/>
          <w:spacing w:val="-2"/>
          <w:kern w:val="22"/>
          <w:lang w:val="es-ES"/>
        </w:rPr>
        <w:t xml:space="preserve">a los recursos financieros </w:t>
      </w:r>
      <w:r w:rsidRPr="009E3726">
        <w:rPr>
          <w:snapToGrid w:val="0"/>
          <w:spacing w:val="-2"/>
          <w:kern w:val="22"/>
          <w:lang w:val="es-ES"/>
        </w:rPr>
        <w:t>para poder cumplir con sus obligaciones contraídas en virtud del Pro</w:t>
      </w:r>
      <w:r w:rsidR="00775B5A" w:rsidRPr="009E3726">
        <w:rPr>
          <w:snapToGrid w:val="0"/>
          <w:spacing w:val="-2"/>
          <w:kern w:val="22"/>
          <w:lang w:val="es-ES"/>
        </w:rPr>
        <w:t>tocol</w:t>
      </w:r>
      <w:r>
        <w:rPr>
          <w:snapToGrid w:val="0"/>
          <w:spacing w:val="-2"/>
          <w:kern w:val="22"/>
          <w:lang w:val="es-ES"/>
        </w:rPr>
        <w:t>o</w:t>
      </w:r>
      <w:r w:rsidR="00775B5A" w:rsidRPr="009E3726">
        <w:rPr>
          <w:snapToGrid w:val="0"/>
          <w:spacing w:val="-2"/>
          <w:kern w:val="22"/>
          <w:lang w:val="es-ES"/>
        </w:rPr>
        <w:t xml:space="preserve">), </w:t>
      </w:r>
      <w:r>
        <w:rPr>
          <w:snapToGrid w:val="0"/>
          <w:spacing w:val="-2"/>
          <w:kern w:val="22"/>
          <w:lang w:val="es-ES"/>
        </w:rPr>
        <w:t xml:space="preserve">el </w:t>
      </w:r>
      <w:r w:rsidR="00775B5A" w:rsidRPr="009E3726">
        <w:rPr>
          <w:snapToGrid w:val="0"/>
          <w:spacing w:val="-2"/>
          <w:kern w:val="22"/>
          <w:lang w:val="es-ES"/>
        </w:rPr>
        <w:t>35</w:t>
      </w:r>
      <w:r>
        <w:rPr>
          <w:snapToGrid w:val="0"/>
          <w:spacing w:val="-2"/>
          <w:kern w:val="22"/>
          <w:lang w:val="es-ES"/>
        </w:rPr>
        <w:t xml:space="preserve"> </w:t>
      </w:r>
      <w:r w:rsidR="00775B5A" w:rsidRPr="009E3726">
        <w:rPr>
          <w:snapToGrid w:val="0"/>
          <w:spacing w:val="-2"/>
          <w:kern w:val="22"/>
          <w:lang w:val="es-ES"/>
        </w:rPr>
        <w:t xml:space="preserve">% </w:t>
      </w:r>
      <w:r>
        <w:rPr>
          <w:snapToGrid w:val="0"/>
          <w:spacing w:val="-2"/>
          <w:kern w:val="22"/>
          <w:lang w:val="es-ES"/>
        </w:rPr>
        <w:t>de las Part</w:t>
      </w:r>
      <w:r w:rsidR="00775B5A" w:rsidRPr="009E3726">
        <w:rPr>
          <w:snapToGrid w:val="0"/>
          <w:spacing w:val="-2"/>
          <w:kern w:val="22"/>
          <w:lang w:val="es-ES"/>
        </w:rPr>
        <w:t xml:space="preserve">es (25 Partes) </w:t>
      </w:r>
      <w:r>
        <w:rPr>
          <w:snapToGrid w:val="0"/>
          <w:spacing w:val="-2"/>
          <w:kern w:val="22"/>
          <w:lang w:val="es-ES"/>
        </w:rPr>
        <w:t>comunic</w:t>
      </w:r>
      <w:r w:rsidR="00B513B8">
        <w:rPr>
          <w:snapToGrid w:val="0"/>
          <w:spacing w:val="-2"/>
          <w:kern w:val="22"/>
          <w:lang w:val="es-ES"/>
        </w:rPr>
        <w:t>ó</w:t>
      </w:r>
      <w:r>
        <w:rPr>
          <w:snapToGrid w:val="0"/>
          <w:spacing w:val="-2"/>
          <w:kern w:val="22"/>
          <w:lang w:val="es-ES"/>
        </w:rPr>
        <w:t xml:space="preserve"> que tenía acceso a financiación previsible y </w:t>
      </w:r>
      <w:r w:rsidR="000976C3">
        <w:rPr>
          <w:snapToGrid w:val="0"/>
          <w:spacing w:val="-2"/>
          <w:kern w:val="22"/>
          <w:lang w:val="es-ES"/>
        </w:rPr>
        <w:t>segura</w:t>
      </w:r>
      <w:r>
        <w:rPr>
          <w:snapToGrid w:val="0"/>
          <w:spacing w:val="-2"/>
          <w:kern w:val="22"/>
          <w:lang w:val="es-ES"/>
        </w:rPr>
        <w:t xml:space="preserve"> para la creación de capacidad para la aplicación del Protocolo</w:t>
      </w:r>
      <w:r w:rsidR="00775B5A" w:rsidRPr="009E3726">
        <w:rPr>
          <w:snapToGrid w:val="0"/>
          <w:spacing w:val="-2"/>
          <w:kern w:val="22"/>
          <w:lang w:val="es-ES"/>
        </w:rPr>
        <w:t xml:space="preserve">, </w:t>
      </w:r>
      <w:r>
        <w:rPr>
          <w:snapToGrid w:val="0"/>
          <w:spacing w:val="-2"/>
          <w:kern w:val="22"/>
          <w:lang w:val="es-ES"/>
        </w:rPr>
        <w:t xml:space="preserve">mientras que el </w:t>
      </w:r>
      <w:r w:rsidR="00775B5A" w:rsidRPr="009E3726">
        <w:rPr>
          <w:snapToGrid w:val="0"/>
          <w:spacing w:val="-2"/>
          <w:kern w:val="22"/>
          <w:lang w:val="es-ES"/>
        </w:rPr>
        <w:t>14</w:t>
      </w:r>
      <w:r>
        <w:rPr>
          <w:snapToGrid w:val="0"/>
          <w:spacing w:val="-2"/>
          <w:kern w:val="22"/>
          <w:lang w:val="es-ES"/>
        </w:rPr>
        <w:t xml:space="preserve"> </w:t>
      </w:r>
      <w:r w:rsidR="00775B5A" w:rsidRPr="009E3726">
        <w:rPr>
          <w:snapToGrid w:val="0"/>
          <w:spacing w:val="-2"/>
          <w:kern w:val="22"/>
          <w:lang w:val="es-ES"/>
        </w:rPr>
        <w:t xml:space="preserve">% </w:t>
      </w:r>
      <w:r>
        <w:rPr>
          <w:snapToGrid w:val="0"/>
          <w:spacing w:val="-2"/>
          <w:kern w:val="22"/>
          <w:lang w:val="es-ES"/>
        </w:rPr>
        <w:t>de las P</w:t>
      </w:r>
      <w:r w:rsidR="00775B5A" w:rsidRPr="009E3726">
        <w:rPr>
          <w:snapToGrid w:val="0"/>
          <w:spacing w:val="-2"/>
          <w:kern w:val="22"/>
          <w:lang w:val="es-ES"/>
        </w:rPr>
        <w:t xml:space="preserve">artes (10 Partes) </w:t>
      </w:r>
      <w:r w:rsidR="000976C3">
        <w:rPr>
          <w:snapToGrid w:val="0"/>
          <w:spacing w:val="-2"/>
          <w:kern w:val="22"/>
          <w:lang w:val="es-ES"/>
        </w:rPr>
        <w:t>indic</w:t>
      </w:r>
      <w:r w:rsidR="00B513B8">
        <w:rPr>
          <w:snapToGrid w:val="0"/>
          <w:spacing w:val="-2"/>
          <w:kern w:val="22"/>
          <w:lang w:val="es-ES"/>
        </w:rPr>
        <w:t>ó</w:t>
      </w:r>
      <w:r w:rsidR="000976C3">
        <w:rPr>
          <w:snapToGrid w:val="0"/>
          <w:spacing w:val="-2"/>
          <w:kern w:val="22"/>
          <w:lang w:val="es-ES"/>
        </w:rPr>
        <w:t xml:space="preserve"> que tenía acceso a esa financiación en cierta medida</w:t>
      </w:r>
      <w:r w:rsidR="00775B5A" w:rsidRPr="009E3726">
        <w:rPr>
          <w:snapToGrid w:val="0"/>
          <w:spacing w:val="-2"/>
          <w:kern w:val="22"/>
          <w:lang w:val="es-ES"/>
        </w:rPr>
        <w:t xml:space="preserve">. </w:t>
      </w:r>
      <w:r w:rsidR="000976C3" w:rsidRPr="000976C3">
        <w:rPr>
          <w:snapToGrid w:val="0"/>
          <w:spacing w:val="-2"/>
          <w:kern w:val="22"/>
          <w:lang w:val="es-ES"/>
        </w:rPr>
        <w:t xml:space="preserve">En conjunto, esto representa un aumento de un </w:t>
      </w:r>
      <w:r w:rsidR="00775B5A" w:rsidRPr="000976C3">
        <w:rPr>
          <w:snapToGrid w:val="0"/>
          <w:spacing w:val="-2"/>
          <w:kern w:val="22"/>
          <w:lang w:val="es-ES"/>
        </w:rPr>
        <w:t>7</w:t>
      </w:r>
      <w:r w:rsidR="000976C3">
        <w:rPr>
          <w:snapToGrid w:val="0"/>
          <w:spacing w:val="-2"/>
          <w:kern w:val="22"/>
          <w:lang w:val="es-ES"/>
        </w:rPr>
        <w:t xml:space="preserve"> </w:t>
      </w:r>
      <w:r w:rsidR="00775B5A" w:rsidRPr="000976C3">
        <w:rPr>
          <w:snapToGrid w:val="0"/>
          <w:spacing w:val="-2"/>
          <w:kern w:val="22"/>
          <w:lang w:val="es-ES"/>
        </w:rPr>
        <w:t xml:space="preserve">% </w:t>
      </w:r>
      <w:r w:rsidR="000976C3">
        <w:rPr>
          <w:snapToGrid w:val="0"/>
          <w:spacing w:val="-2"/>
          <w:kern w:val="22"/>
          <w:lang w:val="es-ES"/>
        </w:rPr>
        <w:t>con respecto a los datos básicos de referencia</w:t>
      </w:r>
      <w:r w:rsidR="00775B5A" w:rsidRPr="000976C3">
        <w:rPr>
          <w:snapToGrid w:val="0"/>
          <w:spacing w:val="-2"/>
          <w:kern w:val="22"/>
          <w:lang w:val="es-ES"/>
        </w:rPr>
        <w:t xml:space="preserve"> (</w:t>
      </w:r>
      <w:r w:rsidR="000976C3">
        <w:rPr>
          <w:snapToGrid w:val="0"/>
          <w:spacing w:val="-2"/>
          <w:kern w:val="22"/>
          <w:lang w:val="es-ES"/>
        </w:rPr>
        <w:t>con las siguientes diferencias regionales combinadas</w:t>
      </w:r>
      <w:r w:rsidR="00775B5A" w:rsidRPr="000976C3">
        <w:rPr>
          <w:snapToGrid w:val="0"/>
          <w:spacing w:val="-2"/>
          <w:kern w:val="22"/>
          <w:lang w:val="es-ES"/>
        </w:rPr>
        <w:t xml:space="preserve">: </w:t>
      </w:r>
      <w:r w:rsidR="000976C3">
        <w:rPr>
          <w:snapToGrid w:val="0"/>
          <w:spacing w:val="-2"/>
          <w:kern w:val="22"/>
          <w:lang w:val="es-ES"/>
        </w:rPr>
        <w:t>Á</w:t>
      </w:r>
      <w:r w:rsidR="00775B5A" w:rsidRPr="000976C3">
        <w:rPr>
          <w:snapToGrid w:val="0"/>
          <w:spacing w:val="-2"/>
          <w:kern w:val="22"/>
          <w:lang w:val="es-ES"/>
        </w:rPr>
        <w:t>frica +</w:t>
      </w:r>
      <w:r w:rsidR="000976C3">
        <w:rPr>
          <w:snapToGrid w:val="0"/>
          <w:spacing w:val="-2"/>
          <w:kern w:val="22"/>
          <w:lang w:val="es-ES"/>
        </w:rPr>
        <w:t xml:space="preserve"> </w:t>
      </w:r>
      <w:r w:rsidR="00775B5A" w:rsidRPr="000976C3">
        <w:rPr>
          <w:snapToGrid w:val="0"/>
          <w:spacing w:val="-2"/>
          <w:kern w:val="22"/>
          <w:lang w:val="es-ES"/>
        </w:rPr>
        <w:t>21</w:t>
      </w:r>
      <w:r w:rsidR="000976C3">
        <w:rPr>
          <w:snapToGrid w:val="0"/>
          <w:spacing w:val="-2"/>
          <w:kern w:val="22"/>
          <w:lang w:val="es-ES"/>
        </w:rPr>
        <w:t xml:space="preserve"> </w:t>
      </w:r>
      <w:r w:rsidR="00775B5A" w:rsidRPr="000976C3">
        <w:rPr>
          <w:snapToGrid w:val="0"/>
          <w:spacing w:val="-2"/>
          <w:kern w:val="22"/>
          <w:lang w:val="es-ES"/>
        </w:rPr>
        <w:t>%</w:t>
      </w:r>
      <w:r w:rsidR="00B513B8">
        <w:rPr>
          <w:snapToGrid w:val="0"/>
          <w:spacing w:val="-2"/>
          <w:kern w:val="22"/>
          <w:lang w:val="es-ES"/>
        </w:rPr>
        <w:t>,</w:t>
      </w:r>
      <w:r w:rsidR="00775B5A" w:rsidRPr="000976C3">
        <w:rPr>
          <w:snapToGrid w:val="0"/>
          <w:spacing w:val="-2"/>
          <w:kern w:val="22"/>
          <w:lang w:val="es-ES"/>
        </w:rPr>
        <w:t xml:space="preserve"> Asia</w:t>
      </w:r>
      <w:r w:rsidR="00A53625">
        <w:rPr>
          <w:snapToGrid w:val="0"/>
          <w:spacing w:val="-2"/>
          <w:kern w:val="22"/>
          <w:lang w:val="es-ES"/>
        </w:rPr>
        <w:t xml:space="preserve"> y el </w:t>
      </w:r>
      <w:r w:rsidR="000976C3">
        <w:rPr>
          <w:snapToGrid w:val="0"/>
          <w:spacing w:val="-2"/>
          <w:kern w:val="22"/>
          <w:lang w:val="es-ES"/>
        </w:rPr>
        <w:t>Pacífico</w:t>
      </w:r>
      <w:r w:rsidR="00775B5A" w:rsidRPr="000976C3">
        <w:rPr>
          <w:snapToGrid w:val="0"/>
          <w:spacing w:val="-2"/>
          <w:kern w:val="22"/>
          <w:lang w:val="es-ES"/>
        </w:rPr>
        <w:t xml:space="preserve"> +</w:t>
      </w:r>
      <w:r w:rsidR="000976C3">
        <w:rPr>
          <w:snapToGrid w:val="0"/>
          <w:spacing w:val="-2"/>
          <w:kern w:val="22"/>
          <w:lang w:val="es-ES"/>
        </w:rPr>
        <w:t xml:space="preserve"> </w:t>
      </w:r>
      <w:r w:rsidR="00775B5A" w:rsidRPr="000976C3">
        <w:rPr>
          <w:snapToGrid w:val="0"/>
          <w:spacing w:val="-2"/>
          <w:kern w:val="22"/>
          <w:lang w:val="es-ES"/>
        </w:rPr>
        <w:t>11</w:t>
      </w:r>
      <w:r w:rsidR="000976C3">
        <w:rPr>
          <w:snapToGrid w:val="0"/>
          <w:spacing w:val="-2"/>
          <w:kern w:val="22"/>
          <w:lang w:val="es-ES"/>
        </w:rPr>
        <w:t xml:space="preserve"> </w:t>
      </w:r>
      <w:r w:rsidR="00775B5A" w:rsidRPr="000976C3">
        <w:rPr>
          <w:snapToGrid w:val="0"/>
          <w:spacing w:val="-2"/>
          <w:kern w:val="22"/>
          <w:lang w:val="es-ES"/>
        </w:rPr>
        <w:t>%</w:t>
      </w:r>
      <w:r w:rsidR="00B513B8">
        <w:rPr>
          <w:snapToGrid w:val="0"/>
          <w:spacing w:val="-2"/>
          <w:kern w:val="22"/>
          <w:lang w:val="es-ES"/>
        </w:rPr>
        <w:t>,</w:t>
      </w:r>
      <w:r w:rsidR="00775B5A" w:rsidRPr="000976C3">
        <w:rPr>
          <w:snapToGrid w:val="0"/>
          <w:spacing w:val="-2"/>
          <w:kern w:val="22"/>
          <w:lang w:val="es-ES"/>
        </w:rPr>
        <w:t xml:space="preserve"> </w:t>
      </w:r>
      <w:r w:rsidR="00D74010">
        <w:rPr>
          <w:snapToGrid w:val="0"/>
          <w:kern w:val="22"/>
          <w:lang w:val="es-ES"/>
        </w:rPr>
        <w:t>grupo de países de América Latina y el Caribe</w:t>
      </w:r>
      <w:r w:rsidR="00D74010" w:rsidRPr="000976C3">
        <w:rPr>
          <w:snapToGrid w:val="0"/>
          <w:spacing w:val="-2"/>
          <w:kern w:val="22"/>
          <w:lang w:val="es-ES"/>
        </w:rPr>
        <w:t xml:space="preserve"> </w:t>
      </w:r>
      <w:r w:rsidR="00775B5A" w:rsidRPr="000976C3">
        <w:rPr>
          <w:snapToGrid w:val="0"/>
          <w:spacing w:val="-2"/>
          <w:kern w:val="22"/>
          <w:lang w:val="es-ES"/>
        </w:rPr>
        <w:t>+</w:t>
      </w:r>
      <w:r w:rsidR="000976C3">
        <w:rPr>
          <w:snapToGrid w:val="0"/>
          <w:spacing w:val="-2"/>
          <w:kern w:val="22"/>
          <w:lang w:val="es-ES"/>
        </w:rPr>
        <w:t xml:space="preserve"> </w:t>
      </w:r>
      <w:r w:rsidR="00775B5A" w:rsidRPr="000976C3">
        <w:rPr>
          <w:snapToGrid w:val="0"/>
          <w:spacing w:val="-2"/>
          <w:kern w:val="22"/>
          <w:lang w:val="es-ES"/>
        </w:rPr>
        <w:t>8</w:t>
      </w:r>
      <w:r w:rsidR="000976C3">
        <w:rPr>
          <w:snapToGrid w:val="0"/>
          <w:spacing w:val="-2"/>
          <w:kern w:val="22"/>
          <w:lang w:val="es-ES"/>
        </w:rPr>
        <w:t xml:space="preserve"> </w:t>
      </w:r>
      <w:r w:rsidR="00775B5A" w:rsidRPr="000976C3">
        <w:rPr>
          <w:snapToGrid w:val="0"/>
          <w:spacing w:val="-2"/>
          <w:kern w:val="22"/>
          <w:lang w:val="es-ES"/>
        </w:rPr>
        <w:t>%</w:t>
      </w:r>
      <w:r w:rsidR="00B513B8">
        <w:rPr>
          <w:snapToGrid w:val="0"/>
          <w:spacing w:val="-2"/>
          <w:kern w:val="22"/>
          <w:lang w:val="es-ES"/>
        </w:rPr>
        <w:t>,</w:t>
      </w:r>
      <w:r w:rsidR="00775B5A" w:rsidRPr="000976C3">
        <w:rPr>
          <w:snapToGrid w:val="0"/>
          <w:spacing w:val="-2"/>
          <w:kern w:val="22"/>
          <w:lang w:val="es-ES"/>
        </w:rPr>
        <w:t xml:space="preserve"> </w:t>
      </w:r>
      <w:r w:rsidR="000976C3">
        <w:rPr>
          <w:snapToGrid w:val="0"/>
          <w:spacing w:val="-2"/>
          <w:kern w:val="22"/>
          <w:lang w:val="es-ES"/>
        </w:rPr>
        <w:t>grupo de Estados de Europa Occidental y otros, sin cambios</w:t>
      </w:r>
      <w:r w:rsidR="00B513B8">
        <w:rPr>
          <w:snapToGrid w:val="0"/>
          <w:spacing w:val="-2"/>
          <w:kern w:val="22"/>
          <w:lang w:val="es-ES"/>
        </w:rPr>
        <w:t>,</w:t>
      </w:r>
      <w:r w:rsidR="00775B5A" w:rsidRPr="000976C3">
        <w:rPr>
          <w:snapToGrid w:val="0"/>
          <w:spacing w:val="-2"/>
          <w:kern w:val="22"/>
          <w:lang w:val="es-ES"/>
        </w:rPr>
        <w:t xml:space="preserve"> </w:t>
      </w:r>
      <w:r w:rsidR="00477624">
        <w:rPr>
          <w:snapToGrid w:val="0"/>
          <w:kern w:val="22"/>
          <w:lang w:val="es-ES"/>
        </w:rPr>
        <w:t>grupo de Estados de Europa Central y Oriental</w:t>
      </w:r>
      <w:r w:rsidR="00477624" w:rsidRPr="00EC2231">
        <w:rPr>
          <w:snapToGrid w:val="0"/>
          <w:kern w:val="22"/>
          <w:lang w:val="es-ES"/>
        </w:rPr>
        <w:t xml:space="preserve"> </w:t>
      </w:r>
      <w:r w:rsidR="000976C3">
        <w:rPr>
          <w:snapToGrid w:val="0"/>
          <w:spacing w:val="-2"/>
          <w:kern w:val="22"/>
          <w:lang w:val="es-ES"/>
        </w:rPr>
        <w:t xml:space="preserve">- </w:t>
      </w:r>
      <w:r w:rsidR="00775B5A" w:rsidRPr="000976C3">
        <w:rPr>
          <w:snapToGrid w:val="0"/>
          <w:spacing w:val="-2"/>
          <w:kern w:val="22"/>
          <w:lang w:val="es-ES"/>
        </w:rPr>
        <w:t>7</w:t>
      </w:r>
      <w:r w:rsidR="000976C3">
        <w:rPr>
          <w:snapToGrid w:val="0"/>
          <w:spacing w:val="-2"/>
          <w:kern w:val="22"/>
          <w:lang w:val="es-ES"/>
        </w:rPr>
        <w:t xml:space="preserve"> </w:t>
      </w:r>
      <w:r w:rsidR="00775B5A" w:rsidRPr="000976C3">
        <w:rPr>
          <w:snapToGrid w:val="0"/>
          <w:spacing w:val="-2"/>
          <w:kern w:val="22"/>
          <w:lang w:val="es-ES"/>
        </w:rPr>
        <w:t>%)</w:t>
      </w:r>
      <w:r w:rsidR="00775B5A">
        <w:rPr>
          <w:rStyle w:val="FootnoteReference"/>
          <w:rFonts w:ascii="Angsana New" w:hAnsi="Angsana New" w:cs="Angsana New"/>
          <w:snapToGrid w:val="0"/>
          <w:spacing w:val="-2"/>
          <w:kern w:val="22"/>
        </w:rPr>
        <w:footnoteReference w:id="56"/>
      </w:r>
      <w:r w:rsidR="000976C3" w:rsidRPr="000976C3">
        <w:rPr>
          <w:snapToGrid w:val="0"/>
          <w:spacing w:val="-2"/>
          <w:kern w:val="22"/>
          <w:lang w:val="es-ES"/>
        </w:rPr>
        <w:t>.</w:t>
      </w:r>
      <w:r w:rsidR="00775B5A" w:rsidRPr="000976C3">
        <w:rPr>
          <w:snapToGrid w:val="0"/>
          <w:spacing w:val="-2"/>
          <w:kern w:val="22"/>
          <w:lang w:val="es-ES"/>
        </w:rPr>
        <w:t xml:space="preserve"> (</w:t>
      </w:r>
      <w:r w:rsidR="000976C3" w:rsidRPr="000976C3">
        <w:rPr>
          <w:snapToGrid w:val="0"/>
          <w:spacing w:val="-2"/>
          <w:kern w:val="22"/>
          <w:lang w:val="es-ES"/>
        </w:rPr>
        <w:t>Véase también la información proporcionada en relaci</w:t>
      </w:r>
      <w:r w:rsidR="000976C3">
        <w:rPr>
          <w:snapToGrid w:val="0"/>
          <w:spacing w:val="-2"/>
          <w:kern w:val="22"/>
          <w:lang w:val="es-ES"/>
        </w:rPr>
        <w:t xml:space="preserve">ón con el </w:t>
      </w:r>
      <w:r w:rsidR="00775B5A" w:rsidRPr="000976C3">
        <w:rPr>
          <w:b/>
          <w:bCs/>
          <w:snapToGrid w:val="0"/>
          <w:spacing w:val="-2"/>
          <w:kern w:val="22"/>
          <w:lang w:val="es-ES"/>
        </w:rPr>
        <w:t>indica</w:t>
      </w:r>
      <w:r w:rsidR="000976C3">
        <w:rPr>
          <w:b/>
          <w:bCs/>
          <w:snapToGrid w:val="0"/>
          <w:spacing w:val="-2"/>
          <w:kern w:val="22"/>
          <w:lang w:val="es-ES"/>
        </w:rPr>
        <w:t>d</w:t>
      </w:r>
      <w:r w:rsidR="00775B5A" w:rsidRPr="000976C3">
        <w:rPr>
          <w:b/>
          <w:bCs/>
          <w:snapToGrid w:val="0"/>
          <w:spacing w:val="-2"/>
          <w:kern w:val="22"/>
          <w:lang w:val="es-ES"/>
        </w:rPr>
        <w:t>or 1.2.6</w:t>
      </w:r>
      <w:r w:rsidR="000976C3">
        <w:rPr>
          <w:snapToGrid w:val="0"/>
          <w:spacing w:val="-2"/>
          <w:kern w:val="22"/>
          <w:lang w:val="es-ES"/>
        </w:rPr>
        <w:t xml:space="preserve">, </w:t>
      </w:r>
      <w:r w:rsidR="000976C3">
        <w:rPr>
          <w:i/>
          <w:snapToGrid w:val="0"/>
          <w:spacing w:val="-2"/>
          <w:kern w:val="22"/>
          <w:lang w:val="es-ES"/>
        </w:rPr>
        <w:t>supra</w:t>
      </w:r>
      <w:r w:rsidR="00775B5A" w:rsidRPr="000976C3">
        <w:rPr>
          <w:snapToGrid w:val="0"/>
          <w:spacing w:val="-2"/>
          <w:kern w:val="22"/>
          <w:lang w:val="es-ES"/>
        </w:rPr>
        <w:t>).</w:t>
      </w:r>
    </w:p>
    <w:p w:rsidR="00775B5A" w:rsidRPr="00BD5AF4" w:rsidRDefault="004F1AF8"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4F1AF8">
        <w:rPr>
          <w:snapToGrid w:val="0"/>
          <w:spacing w:val="-2"/>
          <w:kern w:val="22"/>
          <w:lang w:val="es-ES"/>
        </w:rPr>
        <w:t>Un</w:t>
      </w:r>
      <w:r w:rsidR="00775B5A" w:rsidRPr="004F1AF8">
        <w:rPr>
          <w:snapToGrid w:val="0"/>
          <w:spacing w:val="-2"/>
          <w:kern w:val="22"/>
          <w:lang w:val="es-ES"/>
        </w:rPr>
        <w:t xml:space="preserve"> total </w:t>
      </w:r>
      <w:r w:rsidRPr="004F1AF8">
        <w:rPr>
          <w:snapToGrid w:val="0"/>
          <w:spacing w:val="-2"/>
          <w:kern w:val="22"/>
          <w:lang w:val="es-ES"/>
        </w:rPr>
        <w:t xml:space="preserve">del </w:t>
      </w:r>
      <w:r w:rsidR="00775B5A" w:rsidRPr="004F1AF8">
        <w:rPr>
          <w:snapToGrid w:val="0"/>
          <w:spacing w:val="-2"/>
          <w:kern w:val="22"/>
          <w:lang w:val="es-ES"/>
        </w:rPr>
        <w:t>70</w:t>
      </w:r>
      <w:r w:rsidRPr="004F1AF8">
        <w:rPr>
          <w:snapToGrid w:val="0"/>
          <w:spacing w:val="-2"/>
          <w:kern w:val="22"/>
          <w:lang w:val="es-ES"/>
        </w:rPr>
        <w:t xml:space="preserve"> % de las</w:t>
      </w:r>
      <w:r w:rsidR="00775B5A" w:rsidRPr="004F1AF8">
        <w:rPr>
          <w:snapToGrid w:val="0"/>
          <w:spacing w:val="-2"/>
          <w:kern w:val="22"/>
          <w:lang w:val="es-ES"/>
        </w:rPr>
        <w:t xml:space="preserve"> Partes (31 Partes) </w:t>
      </w:r>
      <w:r w:rsidRPr="004F1AF8">
        <w:rPr>
          <w:snapToGrid w:val="0"/>
          <w:spacing w:val="-2"/>
          <w:kern w:val="22"/>
          <w:lang w:val="es-ES"/>
        </w:rPr>
        <w:t>comunic</w:t>
      </w:r>
      <w:r w:rsidR="00B513B8">
        <w:rPr>
          <w:snapToGrid w:val="0"/>
          <w:spacing w:val="-2"/>
          <w:kern w:val="22"/>
          <w:lang w:val="es-ES"/>
        </w:rPr>
        <w:t>ó</w:t>
      </w:r>
      <w:r w:rsidRPr="004F1AF8">
        <w:rPr>
          <w:snapToGrid w:val="0"/>
          <w:spacing w:val="-2"/>
          <w:kern w:val="22"/>
          <w:lang w:val="es-ES"/>
        </w:rPr>
        <w:t xml:space="preserve"> que había movilizado fondos además de la asignación del presup</w:t>
      </w:r>
      <w:r>
        <w:rPr>
          <w:snapToGrid w:val="0"/>
          <w:spacing w:val="-2"/>
          <w:kern w:val="22"/>
          <w:lang w:val="es-ES"/>
        </w:rPr>
        <w:t xml:space="preserve">uesto ordinario </w:t>
      </w:r>
      <w:r w:rsidR="000930C7">
        <w:rPr>
          <w:snapToGrid w:val="0"/>
          <w:spacing w:val="-2"/>
          <w:kern w:val="22"/>
          <w:lang w:val="es-ES"/>
        </w:rPr>
        <w:t xml:space="preserve">para apoyar la aplicación del Protocolo de </w:t>
      </w:r>
      <w:r w:rsidR="00775B5A" w:rsidRPr="004F1AF8">
        <w:rPr>
          <w:snapToGrid w:val="0"/>
          <w:spacing w:val="-2"/>
          <w:kern w:val="22"/>
          <w:lang w:val="es-ES"/>
        </w:rPr>
        <w:t xml:space="preserve">Cartagena, </w:t>
      </w:r>
      <w:r w:rsidR="000930C7">
        <w:rPr>
          <w:snapToGrid w:val="0"/>
          <w:spacing w:val="-2"/>
          <w:kern w:val="22"/>
          <w:lang w:val="es-ES"/>
        </w:rPr>
        <w:t xml:space="preserve">lo que representa </w:t>
      </w:r>
      <w:r w:rsidR="00775B5A" w:rsidRPr="004F1AF8">
        <w:rPr>
          <w:snapToGrid w:val="0"/>
          <w:spacing w:val="-2"/>
          <w:kern w:val="22"/>
          <w:lang w:val="es-ES"/>
        </w:rPr>
        <w:lastRenderedPageBreak/>
        <w:t xml:space="preserve">13 Partes </w:t>
      </w:r>
      <w:r w:rsidR="000930C7">
        <w:rPr>
          <w:snapToGrid w:val="0"/>
          <w:spacing w:val="-2"/>
          <w:kern w:val="22"/>
          <w:lang w:val="es-ES"/>
        </w:rPr>
        <w:t>menos qu</w:t>
      </w:r>
      <w:r w:rsidR="000930C7" w:rsidRPr="00B513B8">
        <w:rPr>
          <w:snapToGrid w:val="0"/>
          <w:spacing w:val="-2"/>
          <w:kern w:val="22"/>
          <w:lang w:val="es-ES"/>
        </w:rPr>
        <w:t>e los datos básico</w:t>
      </w:r>
      <w:r w:rsidR="00B513B8" w:rsidRPr="00B513B8">
        <w:rPr>
          <w:snapToGrid w:val="0"/>
          <w:spacing w:val="-2"/>
          <w:kern w:val="22"/>
          <w:lang w:val="es-ES"/>
        </w:rPr>
        <w:t>s de referenci</w:t>
      </w:r>
      <w:r w:rsidR="000930C7" w:rsidRPr="00B513B8">
        <w:rPr>
          <w:snapToGrid w:val="0"/>
          <w:spacing w:val="-2"/>
          <w:kern w:val="22"/>
          <w:lang w:val="es-ES"/>
        </w:rPr>
        <w:t>a</w:t>
      </w:r>
      <w:r w:rsidR="00775B5A">
        <w:rPr>
          <w:rStyle w:val="FootnoteReference"/>
          <w:rFonts w:ascii="Angsana New" w:hAnsi="Angsana New" w:cs="Angsana New"/>
          <w:snapToGrid w:val="0"/>
          <w:spacing w:val="-2"/>
          <w:kern w:val="22"/>
        </w:rPr>
        <w:footnoteReference w:id="57"/>
      </w:r>
      <w:r w:rsidR="000930C7" w:rsidRPr="004F1AF8">
        <w:rPr>
          <w:snapToGrid w:val="0"/>
          <w:spacing w:val="-2"/>
          <w:kern w:val="22"/>
          <w:lang w:val="es-ES"/>
        </w:rPr>
        <w:t>.</w:t>
      </w:r>
      <w:r w:rsidR="00775B5A" w:rsidRPr="00B513B8">
        <w:rPr>
          <w:snapToGrid w:val="0"/>
          <w:spacing w:val="-2"/>
          <w:kern w:val="22"/>
          <w:lang w:val="es-ES"/>
        </w:rPr>
        <w:t xml:space="preserve"> </w:t>
      </w:r>
      <w:r w:rsidR="00B513B8" w:rsidRPr="00B513B8">
        <w:rPr>
          <w:snapToGrid w:val="0"/>
          <w:spacing w:val="-2"/>
          <w:kern w:val="22"/>
          <w:lang w:val="es-ES"/>
        </w:rPr>
        <w:t>Se informa de diferencias</w:t>
      </w:r>
      <w:r w:rsidR="000930C7" w:rsidRPr="00B513B8">
        <w:rPr>
          <w:snapToGrid w:val="0"/>
          <w:spacing w:val="-2"/>
          <w:kern w:val="22"/>
          <w:lang w:val="es-ES"/>
        </w:rPr>
        <w:t xml:space="preserve"> en la</w:t>
      </w:r>
      <w:r w:rsidR="000930C7" w:rsidRPr="000930C7">
        <w:rPr>
          <w:snapToGrid w:val="0"/>
          <w:spacing w:val="-2"/>
          <w:kern w:val="22"/>
          <w:lang w:val="es-ES"/>
        </w:rPr>
        <w:t>s cantidades recibidas en comparaci</w:t>
      </w:r>
      <w:r w:rsidR="000930C7">
        <w:rPr>
          <w:snapToGrid w:val="0"/>
          <w:spacing w:val="-2"/>
          <w:kern w:val="22"/>
          <w:lang w:val="es-ES"/>
        </w:rPr>
        <w:t>ón con los datos básicos de referencia</w:t>
      </w:r>
      <w:r w:rsidR="00775B5A" w:rsidRPr="000930C7">
        <w:rPr>
          <w:snapToGrid w:val="0"/>
          <w:spacing w:val="-2"/>
          <w:kern w:val="22"/>
          <w:lang w:val="es-ES"/>
        </w:rPr>
        <w:t xml:space="preserve">. </w:t>
      </w:r>
      <w:r w:rsidR="000930C7" w:rsidRPr="000930C7">
        <w:rPr>
          <w:snapToGrid w:val="0"/>
          <w:spacing w:val="-2"/>
          <w:kern w:val="22"/>
          <w:lang w:val="es-ES"/>
        </w:rPr>
        <w:t>Se informa de una disminución de un</w:t>
      </w:r>
      <w:r w:rsidR="00775B5A" w:rsidRPr="000930C7">
        <w:rPr>
          <w:snapToGrid w:val="0"/>
          <w:spacing w:val="-2"/>
          <w:kern w:val="22"/>
          <w:lang w:val="es-ES"/>
        </w:rPr>
        <w:t xml:space="preserve"> 11</w:t>
      </w:r>
      <w:r w:rsidR="000930C7" w:rsidRPr="000930C7">
        <w:rPr>
          <w:snapToGrid w:val="0"/>
          <w:spacing w:val="-2"/>
          <w:kern w:val="22"/>
          <w:lang w:val="es-ES"/>
        </w:rPr>
        <w:t xml:space="preserve"> </w:t>
      </w:r>
      <w:r w:rsidR="00775B5A" w:rsidRPr="000930C7">
        <w:rPr>
          <w:snapToGrid w:val="0"/>
          <w:spacing w:val="-2"/>
          <w:kern w:val="22"/>
          <w:lang w:val="es-ES"/>
        </w:rPr>
        <w:t xml:space="preserve">% </w:t>
      </w:r>
      <w:r w:rsidR="000930C7" w:rsidRPr="000930C7">
        <w:rPr>
          <w:snapToGrid w:val="0"/>
          <w:spacing w:val="-2"/>
          <w:kern w:val="22"/>
          <w:lang w:val="es-ES"/>
        </w:rPr>
        <w:t xml:space="preserve">en las cantidades recibidas de hasta </w:t>
      </w:r>
      <w:r w:rsidR="00775B5A" w:rsidRPr="000930C7">
        <w:rPr>
          <w:snapToGrid w:val="0"/>
          <w:spacing w:val="-2"/>
          <w:kern w:val="22"/>
          <w:lang w:val="es-ES"/>
        </w:rPr>
        <w:t>50</w:t>
      </w:r>
      <w:r w:rsidR="000930C7" w:rsidRPr="000930C7">
        <w:rPr>
          <w:snapToGrid w:val="0"/>
          <w:spacing w:val="-2"/>
          <w:kern w:val="22"/>
          <w:lang w:val="es-ES"/>
        </w:rPr>
        <w:t xml:space="preserve"> </w:t>
      </w:r>
      <w:r w:rsidR="00775B5A" w:rsidRPr="000930C7">
        <w:rPr>
          <w:snapToGrid w:val="0"/>
          <w:spacing w:val="-2"/>
          <w:kern w:val="22"/>
          <w:lang w:val="es-ES"/>
        </w:rPr>
        <w:t xml:space="preserve">000 US$. </w:t>
      </w:r>
      <w:r w:rsidR="000930C7" w:rsidRPr="000930C7">
        <w:rPr>
          <w:snapToGrid w:val="0"/>
          <w:spacing w:val="-2"/>
          <w:kern w:val="22"/>
          <w:lang w:val="es-ES"/>
        </w:rPr>
        <w:t xml:space="preserve">Se registró una disminución de un </w:t>
      </w:r>
      <w:r w:rsidR="00775B5A" w:rsidRPr="000930C7">
        <w:rPr>
          <w:snapToGrid w:val="0"/>
          <w:spacing w:val="-2"/>
          <w:kern w:val="22"/>
          <w:lang w:val="es-ES"/>
        </w:rPr>
        <w:t>14</w:t>
      </w:r>
      <w:r w:rsidR="000930C7" w:rsidRPr="000930C7">
        <w:rPr>
          <w:snapToGrid w:val="0"/>
          <w:spacing w:val="-2"/>
          <w:kern w:val="22"/>
          <w:lang w:val="es-ES"/>
        </w:rPr>
        <w:t xml:space="preserve"> </w:t>
      </w:r>
      <w:r w:rsidR="00775B5A" w:rsidRPr="000930C7">
        <w:rPr>
          <w:snapToGrid w:val="0"/>
          <w:spacing w:val="-2"/>
          <w:kern w:val="22"/>
          <w:lang w:val="es-ES"/>
        </w:rPr>
        <w:t xml:space="preserve">% </w:t>
      </w:r>
      <w:r w:rsidR="000930C7" w:rsidRPr="000930C7">
        <w:rPr>
          <w:snapToGrid w:val="0"/>
          <w:spacing w:val="-2"/>
          <w:kern w:val="22"/>
          <w:lang w:val="es-ES"/>
        </w:rPr>
        <w:t xml:space="preserve">en las cantidades recibidas de entre </w:t>
      </w:r>
      <w:r w:rsidR="00775B5A" w:rsidRPr="000930C7">
        <w:rPr>
          <w:snapToGrid w:val="0"/>
          <w:spacing w:val="-2"/>
          <w:kern w:val="22"/>
          <w:lang w:val="es-ES"/>
        </w:rPr>
        <w:t>100</w:t>
      </w:r>
      <w:r w:rsidR="000930C7" w:rsidRPr="000930C7">
        <w:rPr>
          <w:snapToGrid w:val="0"/>
          <w:spacing w:val="-2"/>
          <w:kern w:val="22"/>
          <w:lang w:val="es-ES"/>
        </w:rPr>
        <w:t xml:space="preserve"> </w:t>
      </w:r>
      <w:r w:rsidR="00775B5A" w:rsidRPr="000930C7">
        <w:rPr>
          <w:snapToGrid w:val="0"/>
          <w:spacing w:val="-2"/>
          <w:kern w:val="22"/>
          <w:lang w:val="es-ES"/>
        </w:rPr>
        <w:t xml:space="preserve">000 </w:t>
      </w:r>
      <w:r w:rsidR="000930C7">
        <w:rPr>
          <w:snapToGrid w:val="0"/>
          <w:spacing w:val="-2"/>
          <w:kern w:val="22"/>
          <w:lang w:val="es-ES"/>
        </w:rPr>
        <w:t>y</w:t>
      </w:r>
      <w:r w:rsidR="00775B5A" w:rsidRPr="000930C7">
        <w:rPr>
          <w:snapToGrid w:val="0"/>
          <w:spacing w:val="-2"/>
          <w:kern w:val="22"/>
          <w:lang w:val="es-ES"/>
        </w:rPr>
        <w:t xml:space="preserve"> 500</w:t>
      </w:r>
      <w:r w:rsidR="000930C7">
        <w:rPr>
          <w:snapToGrid w:val="0"/>
          <w:spacing w:val="-2"/>
          <w:kern w:val="22"/>
          <w:lang w:val="es-ES"/>
        </w:rPr>
        <w:t xml:space="preserve"> </w:t>
      </w:r>
      <w:r w:rsidR="00775B5A" w:rsidRPr="000930C7">
        <w:rPr>
          <w:snapToGrid w:val="0"/>
          <w:spacing w:val="-2"/>
          <w:kern w:val="22"/>
          <w:lang w:val="es-ES"/>
        </w:rPr>
        <w:t xml:space="preserve">000 US$. </w:t>
      </w:r>
      <w:r w:rsidR="000930C7" w:rsidRPr="000930C7">
        <w:rPr>
          <w:snapToGrid w:val="0"/>
          <w:spacing w:val="-2"/>
          <w:kern w:val="22"/>
          <w:lang w:val="es-ES"/>
        </w:rPr>
        <w:t xml:space="preserve">Se informó de una disminución de un </w:t>
      </w:r>
      <w:r w:rsidR="00775B5A" w:rsidRPr="000930C7">
        <w:rPr>
          <w:snapToGrid w:val="0"/>
          <w:spacing w:val="-2"/>
          <w:kern w:val="22"/>
          <w:lang w:val="es-ES"/>
        </w:rPr>
        <w:t>7</w:t>
      </w:r>
      <w:r w:rsidR="000930C7" w:rsidRPr="000930C7">
        <w:rPr>
          <w:snapToGrid w:val="0"/>
          <w:spacing w:val="-2"/>
          <w:kern w:val="22"/>
          <w:lang w:val="es-ES"/>
        </w:rPr>
        <w:t xml:space="preserve"> </w:t>
      </w:r>
      <w:r w:rsidR="00775B5A" w:rsidRPr="000930C7">
        <w:rPr>
          <w:snapToGrid w:val="0"/>
          <w:spacing w:val="-2"/>
          <w:kern w:val="22"/>
          <w:lang w:val="es-ES"/>
        </w:rPr>
        <w:t xml:space="preserve">% </w:t>
      </w:r>
      <w:r w:rsidR="000930C7" w:rsidRPr="000930C7">
        <w:rPr>
          <w:snapToGrid w:val="0"/>
          <w:spacing w:val="-2"/>
          <w:kern w:val="22"/>
          <w:lang w:val="es-ES"/>
        </w:rPr>
        <w:t xml:space="preserve">en las cantidades recibidas </w:t>
      </w:r>
      <w:r w:rsidR="000930C7">
        <w:rPr>
          <w:snapToGrid w:val="0"/>
          <w:spacing w:val="-2"/>
          <w:kern w:val="22"/>
          <w:lang w:val="es-ES"/>
        </w:rPr>
        <w:t>por encim</w:t>
      </w:r>
      <w:r w:rsidR="000930C7" w:rsidRPr="00DB4274">
        <w:rPr>
          <w:snapToGrid w:val="0"/>
          <w:spacing w:val="-2"/>
          <w:kern w:val="22"/>
          <w:lang w:val="es-ES"/>
        </w:rPr>
        <w:t xml:space="preserve">a de </w:t>
      </w:r>
      <w:r w:rsidR="00775B5A" w:rsidRPr="00DB4274">
        <w:rPr>
          <w:snapToGrid w:val="0"/>
          <w:spacing w:val="-2"/>
          <w:kern w:val="22"/>
          <w:lang w:val="es-ES"/>
        </w:rPr>
        <w:t>500</w:t>
      </w:r>
      <w:r w:rsidR="000930C7" w:rsidRPr="00DB4274">
        <w:rPr>
          <w:snapToGrid w:val="0"/>
          <w:spacing w:val="-2"/>
          <w:kern w:val="22"/>
          <w:lang w:val="es-ES"/>
        </w:rPr>
        <w:t xml:space="preserve"> </w:t>
      </w:r>
      <w:r w:rsidR="00775B5A" w:rsidRPr="00DB4274">
        <w:rPr>
          <w:snapToGrid w:val="0"/>
          <w:spacing w:val="-2"/>
          <w:kern w:val="22"/>
          <w:lang w:val="es-ES"/>
        </w:rPr>
        <w:t xml:space="preserve">000 US$. </w:t>
      </w:r>
      <w:r w:rsidR="000930C7" w:rsidRPr="00DB4274">
        <w:rPr>
          <w:snapToGrid w:val="0"/>
          <w:spacing w:val="-2"/>
          <w:kern w:val="22"/>
          <w:lang w:val="es-ES"/>
        </w:rPr>
        <w:t xml:space="preserve">La contribución a la disminución parece </w:t>
      </w:r>
      <w:r w:rsidR="00BD5AF4" w:rsidRPr="00DB4274">
        <w:rPr>
          <w:snapToGrid w:val="0"/>
          <w:spacing w:val="-2"/>
          <w:kern w:val="22"/>
          <w:lang w:val="es-ES"/>
        </w:rPr>
        <w:t>estar dividida</w:t>
      </w:r>
      <w:r w:rsidR="00B24A32" w:rsidRPr="00DB4274">
        <w:rPr>
          <w:snapToGrid w:val="0"/>
          <w:spacing w:val="-2"/>
          <w:kern w:val="22"/>
          <w:lang w:val="es-ES"/>
        </w:rPr>
        <w:t xml:space="preserve"> </w:t>
      </w:r>
      <w:r w:rsidR="00BD5AF4" w:rsidRPr="00DB4274">
        <w:rPr>
          <w:snapToGrid w:val="0"/>
          <w:spacing w:val="-2"/>
          <w:kern w:val="22"/>
          <w:lang w:val="es-ES"/>
        </w:rPr>
        <w:t>de forma relativamente homogénea</w:t>
      </w:r>
      <w:r w:rsidR="00B24A32" w:rsidRPr="00DB4274">
        <w:rPr>
          <w:snapToGrid w:val="0"/>
          <w:spacing w:val="-2"/>
          <w:kern w:val="22"/>
          <w:lang w:val="es-ES"/>
        </w:rPr>
        <w:t xml:space="preserve"> e</w:t>
      </w:r>
      <w:r w:rsidR="00B24A32" w:rsidRPr="00B24A32">
        <w:rPr>
          <w:snapToGrid w:val="0"/>
          <w:spacing w:val="-2"/>
          <w:kern w:val="22"/>
          <w:lang w:val="es-ES"/>
        </w:rPr>
        <w:t xml:space="preserve">ntre las Partes en las distintas </w:t>
      </w:r>
      <w:r w:rsidR="00B24A32">
        <w:rPr>
          <w:snapToGrid w:val="0"/>
          <w:spacing w:val="-2"/>
          <w:kern w:val="22"/>
          <w:lang w:val="es-ES"/>
        </w:rPr>
        <w:t xml:space="preserve">regiones. </w:t>
      </w:r>
      <w:r w:rsidR="00B24A32" w:rsidRPr="00BD5AF4">
        <w:rPr>
          <w:snapToGrid w:val="0"/>
          <w:spacing w:val="-2"/>
          <w:kern w:val="22"/>
          <w:lang w:val="es-ES"/>
        </w:rPr>
        <w:t xml:space="preserve">(Véase también la información proporcionada en el </w:t>
      </w:r>
      <w:r w:rsidR="00775B5A" w:rsidRPr="00BD5AF4">
        <w:rPr>
          <w:b/>
          <w:bCs/>
          <w:snapToGrid w:val="0"/>
          <w:spacing w:val="-2"/>
          <w:kern w:val="22"/>
          <w:lang w:val="es-ES"/>
        </w:rPr>
        <w:t>indica</w:t>
      </w:r>
      <w:r w:rsidR="00B24A32" w:rsidRPr="00BD5AF4">
        <w:rPr>
          <w:b/>
          <w:bCs/>
          <w:snapToGrid w:val="0"/>
          <w:spacing w:val="-2"/>
          <w:kern w:val="22"/>
          <w:lang w:val="es-ES"/>
        </w:rPr>
        <w:t>d</w:t>
      </w:r>
      <w:r w:rsidR="00775B5A" w:rsidRPr="00BD5AF4">
        <w:rPr>
          <w:b/>
          <w:bCs/>
          <w:snapToGrid w:val="0"/>
          <w:spacing w:val="-2"/>
          <w:kern w:val="22"/>
          <w:lang w:val="es-ES"/>
        </w:rPr>
        <w:t>or 1.2.5</w:t>
      </w:r>
      <w:r w:rsidR="00B24A32" w:rsidRPr="00BD5AF4">
        <w:rPr>
          <w:snapToGrid w:val="0"/>
          <w:spacing w:val="-2"/>
          <w:kern w:val="22"/>
          <w:lang w:val="es-ES"/>
        </w:rPr>
        <w:t xml:space="preserve"> </w:t>
      </w:r>
      <w:r w:rsidR="00B24A32" w:rsidRPr="00BD5AF4">
        <w:rPr>
          <w:i/>
          <w:snapToGrid w:val="0"/>
          <w:spacing w:val="-2"/>
          <w:kern w:val="22"/>
          <w:lang w:val="es-ES"/>
        </w:rPr>
        <w:t>supra</w:t>
      </w:r>
      <w:r w:rsidR="00775B5A" w:rsidRPr="00BD5AF4">
        <w:rPr>
          <w:snapToGrid w:val="0"/>
          <w:spacing w:val="-2"/>
          <w:kern w:val="22"/>
          <w:lang w:val="es-ES"/>
        </w:rPr>
        <w:t>).</w:t>
      </w:r>
    </w:p>
    <w:p w:rsidR="00775B5A" w:rsidRDefault="00775B5A">
      <w:pPr>
        <w:pStyle w:val="ListParagraph"/>
        <w:suppressLineNumbers/>
        <w:suppressAutoHyphens/>
        <w:snapToGrid w:val="0"/>
        <w:spacing w:before="120" w:after="120"/>
        <w:ind w:left="0"/>
        <w:outlineLvl w:val="2"/>
        <w:rPr>
          <w:b/>
          <w:bCs/>
          <w:snapToGrid w:val="0"/>
          <w:kern w:val="22"/>
        </w:rPr>
      </w:pPr>
      <w:r>
        <w:rPr>
          <w:b/>
          <w:bCs/>
          <w:snapToGrid w:val="0"/>
          <w:kern w:val="22"/>
        </w:rPr>
        <w:t>O</w:t>
      </w:r>
      <w:r w:rsidR="00BD5AF4">
        <w:rPr>
          <w:b/>
          <w:bCs/>
          <w:snapToGrid w:val="0"/>
          <w:kern w:val="22"/>
        </w:rPr>
        <w:t>bjetivo operacional</w:t>
      </w:r>
      <w:r>
        <w:rPr>
          <w:b/>
          <w:bCs/>
          <w:snapToGrid w:val="0"/>
          <w:kern w:val="22"/>
        </w:rPr>
        <w:t xml:space="preserve"> 3.2: </w:t>
      </w:r>
      <w:r w:rsidR="003E46AF">
        <w:rPr>
          <w:b/>
          <w:bCs/>
          <w:snapToGrid w:val="0"/>
          <w:kern w:val="22"/>
        </w:rPr>
        <w:t>Evaluación y examen</w:t>
      </w:r>
    </w:p>
    <w:p w:rsidR="00775B5A" w:rsidRPr="00605FA5" w:rsidRDefault="00E300C4"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E300C4">
        <w:rPr>
          <w:snapToGrid w:val="0"/>
          <w:spacing w:val="-2"/>
          <w:kern w:val="22"/>
          <w:lang w:val="es-ES"/>
        </w:rPr>
        <w:t xml:space="preserve">En </w:t>
      </w:r>
      <w:r w:rsidR="00F12322">
        <w:rPr>
          <w:snapToGrid w:val="0"/>
          <w:spacing w:val="-2"/>
          <w:kern w:val="22"/>
          <w:lang w:val="es-ES"/>
        </w:rPr>
        <w:t xml:space="preserve">lo que respecta </w:t>
      </w:r>
      <w:r w:rsidRPr="00E300C4">
        <w:rPr>
          <w:snapToGrid w:val="0"/>
          <w:spacing w:val="-2"/>
          <w:kern w:val="22"/>
          <w:lang w:val="es-ES"/>
        </w:rPr>
        <w:t xml:space="preserve">al </w:t>
      </w:r>
      <w:r w:rsidR="00775B5A" w:rsidRPr="00E300C4">
        <w:rPr>
          <w:b/>
          <w:bCs/>
          <w:snapToGrid w:val="0"/>
          <w:spacing w:val="-2"/>
          <w:kern w:val="22"/>
          <w:lang w:val="es-ES"/>
        </w:rPr>
        <w:t>indica</w:t>
      </w:r>
      <w:r w:rsidRPr="00E300C4">
        <w:rPr>
          <w:b/>
          <w:bCs/>
          <w:snapToGrid w:val="0"/>
          <w:spacing w:val="-2"/>
          <w:kern w:val="22"/>
          <w:lang w:val="es-ES"/>
        </w:rPr>
        <w:t>d</w:t>
      </w:r>
      <w:r w:rsidR="00775B5A" w:rsidRPr="00E300C4">
        <w:rPr>
          <w:b/>
          <w:bCs/>
          <w:snapToGrid w:val="0"/>
          <w:spacing w:val="-2"/>
          <w:kern w:val="22"/>
          <w:lang w:val="es-ES"/>
        </w:rPr>
        <w:t>or 3.2.1</w:t>
      </w:r>
      <w:r w:rsidR="00775B5A" w:rsidRPr="00E300C4">
        <w:rPr>
          <w:snapToGrid w:val="0"/>
          <w:spacing w:val="-2"/>
          <w:kern w:val="22"/>
          <w:lang w:val="es-ES"/>
        </w:rPr>
        <w:t xml:space="preserve"> (</w:t>
      </w:r>
      <w:r w:rsidRPr="00E300C4">
        <w:rPr>
          <w:snapToGrid w:val="0"/>
          <w:spacing w:val="-2"/>
          <w:kern w:val="22"/>
          <w:lang w:val="es-ES"/>
        </w:rPr>
        <w:t>el número de informes de evaluación presentados y de exámenes publicados</w:t>
      </w:r>
      <w:r w:rsidR="00775B5A" w:rsidRPr="00E300C4">
        <w:rPr>
          <w:snapToGrid w:val="0"/>
          <w:spacing w:val="-2"/>
          <w:kern w:val="22"/>
          <w:lang w:val="es-ES"/>
        </w:rPr>
        <w:t xml:space="preserve">), </w:t>
      </w:r>
      <w:bookmarkStart w:id="31" w:name="_Hlk33713826"/>
      <w:r w:rsidR="00775B5A" w:rsidRPr="00E300C4">
        <w:rPr>
          <w:snapToGrid w:val="0"/>
          <w:spacing w:val="-2"/>
          <w:kern w:val="22"/>
          <w:lang w:val="es-ES"/>
        </w:rPr>
        <w:t>a</w:t>
      </w:r>
      <w:r w:rsidRPr="00E300C4">
        <w:rPr>
          <w:snapToGrid w:val="0"/>
          <w:spacing w:val="-2"/>
          <w:kern w:val="22"/>
          <w:lang w:val="es-ES"/>
        </w:rPr>
        <w:t xml:space="preserve">l </w:t>
      </w:r>
      <w:r w:rsidR="00775B5A" w:rsidRPr="00E300C4">
        <w:rPr>
          <w:snapToGrid w:val="0"/>
          <w:spacing w:val="-2"/>
          <w:kern w:val="22"/>
          <w:lang w:val="es-ES"/>
        </w:rPr>
        <w:t xml:space="preserve">15 </w:t>
      </w:r>
      <w:r w:rsidRPr="00E300C4">
        <w:rPr>
          <w:snapToGrid w:val="0"/>
          <w:spacing w:val="-2"/>
          <w:kern w:val="22"/>
          <w:lang w:val="es-ES"/>
        </w:rPr>
        <w:t xml:space="preserve">de enero de </w:t>
      </w:r>
      <w:r w:rsidR="00775B5A" w:rsidRPr="00E300C4">
        <w:rPr>
          <w:snapToGrid w:val="0"/>
          <w:spacing w:val="-2"/>
          <w:kern w:val="22"/>
          <w:lang w:val="es-ES"/>
        </w:rPr>
        <w:t>2020, 99 Partes (58</w:t>
      </w:r>
      <w:r w:rsidRPr="00E300C4">
        <w:rPr>
          <w:snapToGrid w:val="0"/>
          <w:spacing w:val="-2"/>
          <w:kern w:val="22"/>
          <w:lang w:val="es-ES"/>
        </w:rPr>
        <w:t xml:space="preserve"> </w:t>
      </w:r>
      <w:r w:rsidR="00775B5A" w:rsidRPr="00E300C4">
        <w:rPr>
          <w:snapToGrid w:val="0"/>
          <w:spacing w:val="-2"/>
          <w:kern w:val="22"/>
          <w:lang w:val="es-ES"/>
        </w:rPr>
        <w:t xml:space="preserve">%) </w:t>
      </w:r>
      <w:r>
        <w:rPr>
          <w:snapToGrid w:val="0"/>
          <w:spacing w:val="-2"/>
          <w:kern w:val="22"/>
          <w:lang w:val="es-ES"/>
        </w:rPr>
        <w:t xml:space="preserve">habían presentado un cuarto informe nacional completo, de las </w:t>
      </w:r>
      <w:r w:rsidR="00775B5A" w:rsidRPr="00E300C4">
        <w:rPr>
          <w:snapToGrid w:val="0"/>
          <w:spacing w:val="-2"/>
          <w:kern w:val="22"/>
          <w:lang w:val="es-ES"/>
        </w:rPr>
        <w:t xml:space="preserve">171 Partes </w:t>
      </w:r>
      <w:r>
        <w:rPr>
          <w:snapToGrid w:val="0"/>
          <w:spacing w:val="-2"/>
          <w:kern w:val="22"/>
          <w:lang w:val="es-ES"/>
        </w:rPr>
        <w:t>que tenían la obligación de hacerlo</w:t>
      </w:r>
      <w:r w:rsidR="00775B5A" w:rsidRPr="00E300C4">
        <w:rPr>
          <w:snapToGrid w:val="0"/>
          <w:spacing w:val="-2"/>
          <w:kern w:val="22"/>
          <w:lang w:val="es-ES"/>
        </w:rPr>
        <w:t xml:space="preserve">. </w:t>
      </w:r>
      <w:r w:rsidRPr="00605FA5">
        <w:rPr>
          <w:snapToGrid w:val="0"/>
          <w:spacing w:val="-2"/>
          <w:kern w:val="22"/>
          <w:lang w:val="es-ES"/>
        </w:rPr>
        <w:t xml:space="preserve">En un momento similar tras el plazo de presentación </w:t>
      </w:r>
      <w:r w:rsidR="00605FA5" w:rsidRPr="00605FA5">
        <w:rPr>
          <w:snapToGrid w:val="0"/>
          <w:spacing w:val="-2"/>
          <w:kern w:val="22"/>
          <w:lang w:val="es-ES"/>
        </w:rPr>
        <w:t>de los segundos informes nacionales</w:t>
      </w:r>
      <w:r w:rsidR="00775B5A" w:rsidRPr="00605FA5">
        <w:rPr>
          <w:snapToGrid w:val="0"/>
          <w:spacing w:val="-2"/>
          <w:kern w:val="22"/>
          <w:lang w:val="es-ES"/>
        </w:rPr>
        <w:t xml:space="preserve">, </w:t>
      </w:r>
      <w:r w:rsidR="00605FA5" w:rsidRPr="00605FA5">
        <w:rPr>
          <w:snapToGrid w:val="0"/>
          <w:spacing w:val="-2"/>
          <w:kern w:val="22"/>
          <w:lang w:val="es-ES"/>
        </w:rPr>
        <w:t>la tasa de presentaci</w:t>
      </w:r>
      <w:r w:rsidR="00605FA5">
        <w:rPr>
          <w:snapToGrid w:val="0"/>
          <w:spacing w:val="-2"/>
          <w:kern w:val="22"/>
          <w:lang w:val="es-ES"/>
        </w:rPr>
        <w:t>ón de los terceros informes nacionales fue</w:t>
      </w:r>
      <w:r w:rsidR="00DB4274">
        <w:rPr>
          <w:snapToGrid w:val="0"/>
          <w:spacing w:val="-2"/>
          <w:kern w:val="22"/>
          <w:lang w:val="es-ES"/>
        </w:rPr>
        <w:t xml:space="preserve"> del </w:t>
      </w:r>
      <w:r w:rsidR="00775B5A" w:rsidRPr="00605FA5">
        <w:rPr>
          <w:snapToGrid w:val="0"/>
          <w:spacing w:val="-2"/>
          <w:kern w:val="22"/>
          <w:lang w:val="es-ES"/>
        </w:rPr>
        <w:t>89</w:t>
      </w:r>
      <w:r w:rsidR="00605FA5">
        <w:rPr>
          <w:snapToGrid w:val="0"/>
          <w:spacing w:val="-2"/>
          <w:kern w:val="22"/>
          <w:lang w:val="es-ES"/>
        </w:rPr>
        <w:t xml:space="preserve"> </w:t>
      </w:r>
      <w:r w:rsidR="00775B5A" w:rsidRPr="00605FA5">
        <w:rPr>
          <w:snapToGrid w:val="0"/>
          <w:spacing w:val="-2"/>
          <w:kern w:val="22"/>
          <w:lang w:val="es-ES"/>
        </w:rPr>
        <w:t xml:space="preserve">%, </w:t>
      </w:r>
      <w:r w:rsidR="00605FA5">
        <w:rPr>
          <w:snapToGrid w:val="0"/>
          <w:spacing w:val="-2"/>
          <w:kern w:val="22"/>
          <w:lang w:val="es-ES"/>
        </w:rPr>
        <w:t xml:space="preserve">mientras que la de los terceros informes nacionales fue </w:t>
      </w:r>
      <w:r w:rsidR="00DB4274">
        <w:rPr>
          <w:snapToGrid w:val="0"/>
          <w:spacing w:val="-2"/>
          <w:kern w:val="22"/>
          <w:lang w:val="es-ES"/>
        </w:rPr>
        <w:t>del</w:t>
      </w:r>
      <w:r w:rsidR="00605FA5">
        <w:rPr>
          <w:snapToGrid w:val="0"/>
          <w:spacing w:val="-2"/>
          <w:kern w:val="22"/>
          <w:lang w:val="es-ES"/>
        </w:rPr>
        <w:t xml:space="preserve"> </w:t>
      </w:r>
      <w:r w:rsidR="00775B5A" w:rsidRPr="00605FA5">
        <w:rPr>
          <w:snapToGrid w:val="0"/>
          <w:spacing w:val="-2"/>
          <w:kern w:val="22"/>
          <w:lang w:val="es-ES"/>
        </w:rPr>
        <w:t>62</w:t>
      </w:r>
      <w:r w:rsidR="00605FA5">
        <w:rPr>
          <w:snapToGrid w:val="0"/>
          <w:spacing w:val="-2"/>
          <w:kern w:val="22"/>
          <w:lang w:val="es-ES"/>
        </w:rPr>
        <w:t xml:space="preserve"> </w:t>
      </w:r>
      <w:r w:rsidR="00775B5A" w:rsidRPr="00605FA5">
        <w:rPr>
          <w:snapToGrid w:val="0"/>
          <w:spacing w:val="-2"/>
          <w:kern w:val="22"/>
          <w:lang w:val="es-ES"/>
        </w:rPr>
        <w:t xml:space="preserve">%, </w:t>
      </w:r>
      <w:r w:rsidR="00605FA5">
        <w:rPr>
          <w:snapToGrid w:val="0"/>
          <w:spacing w:val="-2"/>
          <w:kern w:val="22"/>
          <w:lang w:val="es-ES"/>
        </w:rPr>
        <w:t xml:space="preserve">en un momento comparable </w:t>
      </w:r>
      <w:r w:rsidR="000D5AFF">
        <w:rPr>
          <w:snapToGrid w:val="0"/>
          <w:spacing w:val="-2"/>
          <w:kern w:val="22"/>
          <w:lang w:val="es-ES"/>
        </w:rPr>
        <w:t>después</w:t>
      </w:r>
      <w:r w:rsidR="00605FA5">
        <w:rPr>
          <w:snapToGrid w:val="0"/>
          <w:spacing w:val="-2"/>
          <w:kern w:val="22"/>
          <w:lang w:val="es-ES"/>
        </w:rPr>
        <w:t xml:space="preserve"> </w:t>
      </w:r>
      <w:r w:rsidR="000D5AFF">
        <w:rPr>
          <w:snapToGrid w:val="0"/>
          <w:spacing w:val="-2"/>
          <w:kern w:val="22"/>
          <w:lang w:val="es-ES"/>
        </w:rPr>
        <w:t>d</w:t>
      </w:r>
      <w:r w:rsidR="00605FA5">
        <w:rPr>
          <w:snapToGrid w:val="0"/>
          <w:spacing w:val="-2"/>
          <w:kern w:val="22"/>
          <w:lang w:val="es-ES"/>
        </w:rPr>
        <w:t>el plazo de presentaci</w:t>
      </w:r>
      <w:r w:rsidR="006A1249">
        <w:rPr>
          <w:snapToGrid w:val="0"/>
          <w:spacing w:val="-2"/>
          <w:kern w:val="22"/>
          <w:lang w:val="es-ES"/>
        </w:rPr>
        <w:t>ón</w:t>
      </w:r>
      <w:r w:rsidR="00775B5A" w:rsidRPr="00605FA5">
        <w:rPr>
          <w:snapToGrid w:val="0"/>
          <w:spacing w:val="-2"/>
          <w:kern w:val="22"/>
          <w:lang w:val="es-ES"/>
        </w:rPr>
        <w:t xml:space="preserve">. </w:t>
      </w:r>
    </w:p>
    <w:bookmarkEnd w:id="31"/>
    <w:p w:rsidR="00775B5A" w:rsidRPr="00F12322" w:rsidRDefault="00A85D32"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spacing w:val="-2"/>
          <w:kern w:val="22"/>
          <w:lang w:val="es-ES"/>
        </w:rPr>
      </w:pPr>
      <w:r w:rsidRPr="00A85D32">
        <w:rPr>
          <w:snapToGrid w:val="0"/>
          <w:spacing w:val="-2"/>
          <w:kern w:val="22"/>
          <w:lang w:val="es-ES"/>
        </w:rPr>
        <w:t>Aunque para</w:t>
      </w:r>
      <w:r w:rsidR="00F12322" w:rsidRPr="00A85D32">
        <w:rPr>
          <w:snapToGrid w:val="0"/>
          <w:spacing w:val="-2"/>
          <w:kern w:val="22"/>
          <w:lang w:val="es-ES"/>
        </w:rPr>
        <w:t xml:space="preserve"> los segundos</w:t>
      </w:r>
      <w:r w:rsidR="00F12322" w:rsidRPr="00F12322">
        <w:rPr>
          <w:snapToGrid w:val="0"/>
          <w:spacing w:val="-2"/>
          <w:kern w:val="22"/>
          <w:lang w:val="es-ES"/>
        </w:rPr>
        <w:t xml:space="preserve"> informes nacionales</w:t>
      </w:r>
      <w:r w:rsidR="00775B5A" w:rsidRPr="00F12322">
        <w:rPr>
          <w:snapToGrid w:val="0"/>
          <w:spacing w:val="-2"/>
          <w:kern w:val="22"/>
          <w:lang w:val="es-ES"/>
        </w:rPr>
        <w:t xml:space="preserve">, </w:t>
      </w:r>
      <w:r w:rsidR="00F12322" w:rsidRPr="00F12322">
        <w:rPr>
          <w:snapToGrid w:val="0"/>
          <w:spacing w:val="-2"/>
          <w:kern w:val="22"/>
          <w:lang w:val="es-ES"/>
        </w:rPr>
        <w:t>la disponibilidad de financiación del F</w:t>
      </w:r>
      <w:r w:rsidR="00A53625">
        <w:rPr>
          <w:snapToGrid w:val="0"/>
          <w:spacing w:val="-2"/>
          <w:kern w:val="22"/>
          <w:lang w:val="es-ES"/>
        </w:rPr>
        <w:t>MAM</w:t>
      </w:r>
      <w:r w:rsidR="00F12322" w:rsidRPr="00F12322">
        <w:rPr>
          <w:snapToGrid w:val="0"/>
          <w:spacing w:val="-2"/>
          <w:kern w:val="22"/>
          <w:lang w:val="es-ES"/>
        </w:rPr>
        <w:t xml:space="preserve"> para la preparación de los informes nacionales, así como para las actividades de creación de capacidad y concienciación llevadas a cabo por la Secretaría a este respecto</w:t>
      </w:r>
      <w:r>
        <w:rPr>
          <w:snapToGrid w:val="0"/>
          <w:spacing w:val="-2"/>
          <w:kern w:val="22"/>
          <w:lang w:val="es-ES"/>
        </w:rPr>
        <w:t>,</w:t>
      </w:r>
      <w:r w:rsidR="00F12322" w:rsidRPr="00F12322">
        <w:rPr>
          <w:snapToGrid w:val="0"/>
          <w:spacing w:val="-2"/>
          <w:kern w:val="22"/>
          <w:lang w:val="es-ES"/>
        </w:rPr>
        <w:t xml:space="preserve"> son factores que se considera que han contribuido a la elevada tasa de presentaci</w:t>
      </w:r>
      <w:r w:rsidR="00F12322">
        <w:rPr>
          <w:snapToGrid w:val="0"/>
          <w:spacing w:val="-2"/>
          <w:kern w:val="22"/>
          <w:lang w:val="es-ES"/>
        </w:rPr>
        <w:t>ón por parte del Comité de Cumplimiento</w:t>
      </w:r>
      <w:r w:rsidR="00775B5A">
        <w:rPr>
          <w:rStyle w:val="FootnoteReference"/>
          <w:rFonts w:ascii="Angsana New" w:hAnsi="Angsana New" w:cs="Angsana New"/>
          <w:snapToGrid w:val="0"/>
          <w:spacing w:val="-2"/>
          <w:kern w:val="22"/>
        </w:rPr>
        <w:footnoteReference w:id="58"/>
      </w:r>
      <w:r w:rsidR="00F12322" w:rsidRPr="00F12322">
        <w:rPr>
          <w:snapToGrid w:val="0"/>
          <w:spacing w:val="-2"/>
          <w:kern w:val="22"/>
          <w:lang w:val="es-ES"/>
        </w:rPr>
        <w:t>,</w:t>
      </w:r>
      <w:r w:rsidR="00775B5A" w:rsidRPr="00F12322">
        <w:rPr>
          <w:snapToGrid w:val="0"/>
          <w:spacing w:val="-2"/>
          <w:kern w:val="22"/>
          <w:lang w:val="es-ES"/>
        </w:rPr>
        <w:t xml:space="preserve"> </w:t>
      </w:r>
      <w:r w:rsidR="00F12322">
        <w:rPr>
          <w:snapToGrid w:val="0"/>
          <w:spacing w:val="-2"/>
          <w:kern w:val="22"/>
          <w:lang w:val="es-ES"/>
        </w:rPr>
        <w:t>el Comité señaló que los cambios administrativos en las Naciones Unidas hab</w:t>
      </w:r>
      <w:r>
        <w:rPr>
          <w:snapToGrid w:val="0"/>
          <w:spacing w:val="-2"/>
          <w:kern w:val="22"/>
          <w:lang w:val="es-ES"/>
        </w:rPr>
        <w:t xml:space="preserve">ían creado problemas relacionados con </w:t>
      </w:r>
      <w:r w:rsidR="00F12322">
        <w:rPr>
          <w:snapToGrid w:val="0"/>
          <w:spacing w:val="-2"/>
          <w:kern w:val="22"/>
          <w:lang w:val="es-ES"/>
        </w:rPr>
        <w:t>los sistemas que</w:t>
      </w:r>
      <w:r w:rsidR="00DB4274">
        <w:rPr>
          <w:snapToGrid w:val="0"/>
          <w:spacing w:val="-2"/>
          <w:kern w:val="22"/>
          <w:lang w:val="es-ES"/>
        </w:rPr>
        <w:t xml:space="preserve"> generaron</w:t>
      </w:r>
      <w:r w:rsidR="00F12322">
        <w:rPr>
          <w:snapToGrid w:val="0"/>
          <w:spacing w:val="-2"/>
          <w:kern w:val="22"/>
          <w:lang w:val="es-ES"/>
        </w:rPr>
        <w:t xml:space="preserve"> retrasos para una serie de Partes</w:t>
      </w:r>
      <w:r w:rsidR="00DB4274">
        <w:rPr>
          <w:snapToGrid w:val="0"/>
          <w:spacing w:val="-2"/>
          <w:kern w:val="22"/>
          <w:lang w:val="es-ES"/>
        </w:rPr>
        <w:t xml:space="preserve"> que tenían derecho a</w:t>
      </w:r>
      <w:r>
        <w:rPr>
          <w:snapToGrid w:val="0"/>
          <w:spacing w:val="-2"/>
          <w:kern w:val="22"/>
          <w:lang w:val="es-ES"/>
        </w:rPr>
        <w:t xml:space="preserve"> acceder a </w:t>
      </w:r>
      <w:r w:rsidR="00F12322">
        <w:rPr>
          <w:snapToGrid w:val="0"/>
          <w:spacing w:val="-2"/>
          <w:kern w:val="22"/>
          <w:lang w:val="es-ES"/>
        </w:rPr>
        <w:t>la financiación e indic</w:t>
      </w:r>
      <w:r w:rsidR="00534834">
        <w:rPr>
          <w:snapToGrid w:val="0"/>
          <w:spacing w:val="-2"/>
          <w:kern w:val="22"/>
          <w:lang w:val="es-ES"/>
        </w:rPr>
        <w:t>ó</w:t>
      </w:r>
      <w:r w:rsidR="00F12322">
        <w:rPr>
          <w:snapToGrid w:val="0"/>
          <w:spacing w:val="-2"/>
          <w:kern w:val="22"/>
          <w:lang w:val="es-ES"/>
        </w:rPr>
        <w:t xml:space="preserve"> que esto había causado dificultades a varias Partes a la hora de cumplir sus obligaciones</w:t>
      </w:r>
      <w:r w:rsidR="00CD3B4E">
        <w:rPr>
          <w:snapToGrid w:val="0"/>
          <w:spacing w:val="-2"/>
          <w:kern w:val="22"/>
          <w:lang w:val="es-ES"/>
        </w:rPr>
        <w:t xml:space="preserve"> contraídas </w:t>
      </w:r>
      <w:r w:rsidR="00F12322">
        <w:rPr>
          <w:snapToGrid w:val="0"/>
          <w:spacing w:val="-2"/>
          <w:kern w:val="22"/>
          <w:lang w:val="es-ES"/>
        </w:rPr>
        <w:t>en virtud del Protocolo</w:t>
      </w:r>
      <w:r w:rsidR="00775B5A" w:rsidRPr="00F12322">
        <w:rPr>
          <w:snapToGrid w:val="0"/>
          <w:spacing w:val="-2"/>
          <w:kern w:val="22"/>
          <w:lang w:val="es-ES"/>
        </w:rPr>
        <w:t xml:space="preserve">, </w:t>
      </w:r>
      <w:r w:rsidR="00F12322">
        <w:rPr>
          <w:snapToGrid w:val="0"/>
          <w:spacing w:val="-2"/>
          <w:kern w:val="22"/>
          <w:lang w:val="es-ES"/>
        </w:rPr>
        <w:t>por ejemplo, en lo que se refiere a la presentación de sus terceros informes nacionales</w:t>
      </w:r>
      <w:r w:rsidR="00775B5A">
        <w:rPr>
          <w:rStyle w:val="FootnoteReference"/>
          <w:rFonts w:ascii="Angsana New" w:hAnsi="Angsana New" w:cs="Angsana New"/>
          <w:snapToGrid w:val="0"/>
          <w:spacing w:val="-2"/>
          <w:kern w:val="22"/>
        </w:rPr>
        <w:footnoteReference w:id="59"/>
      </w:r>
      <w:r w:rsidR="00F12322" w:rsidRPr="00F12322">
        <w:rPr>
          <w:snapToGrid w:val="0"/>
          <w:spacing w:val="-2"/>
          <w:kern w:val="22"/>
          <w:lang w:val="es-ES"/>
        </w:rPr>
        <w:t>.</w:t>
      </w:r>
    </w:p>
    <w:p w:rsidR="00775B5A" w:rsidRPr="00F50518" w:rsidRDefault="005F1B30"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spacing w:val="-2"/>
          <w:kern w:val="22"/>
          <w:lang w:val="es-ES"/>
        </w:rPr>
      </w:pPr>
      <w:r w:rsidRPr="005F1B30">
        <w:rPr>
          <w:snapToGrid w:val="0"/>
          <w:spacing w:val="-2"/>
          <w:kern w:val="22"/>
          <w:lang w:val="es-ES"/>
        </w:rPr>
        <w:t xml:space="preserve">En su 17ª reunión, el Comité de Cumplimiento </w:t>
      </w:r>
      <w:r w:rsidR="00F50518">
        <w:rPr>
          <w:snapToGrid w:val="0"/>
          <w:spacing w:val="-2"/>
          <w:kern w:val="22"/>
          <w:lang w:val="es-ES"/>
        </w:rPr>
        <w:t xml:space="preserve">analizó </w:t>
      </w:r>
      <w:r w:rsidRPr="005F1B30">
        <w:rPr>
          <w:snapToGrid w:val="0"/>
          <w:spacing w:val="-2"/>
          <w:kern w:val="22"/>
          <w:lang w:val="es-ES"/>
        </w:rPr>
        <w:t>el cumplimiento por las Partes de su obligaci</w:t>
      </w:r>
      <w:r>
        <w:rPr>
          <w:snapToGrid w:val="0"/>
          <w:spacing w:val="-2"/>
          <w:kern w:val="22"/>
          <w:lang w:val="es-ES"/>
        </w:rPr>
        <w:t>ón de presentar informes</w:t>
      </w:r>
      <w:r w:rsidR="00775B5A" w:rsidRPr="005F1B30">
        <w:rPr>
          <w:snapToGrid w:val="0"/>
          <w:spacing w:val="-2"/>
          <w:kern w:val="22"/>
          <w:lang w:val="es-ES"/>
        </w:rPr>
        <w:t xml:space="preserve">. </w:t>
      </w:r>
      <w:r w:rsidR="00F50518" w:rsidRPr="00F50518">
        <w:rPr>
          <w:snapToGrid w:val="0"/>
          <w:spacing w:val="-2"/>
          <w:kern w:val="22"/>
          <w:lang w:val="es-ES"/>
        </w:rPr>
        <w:t>Examinó una serie de posibles factores que podrían haber contribuido al</w:t>
      </w:r>
      <w:r w:rsidR="00CD3B4E">
        <w:rPr>
          <w:snapToGrid w:val="0"/>
          <w:spacing w:val="-2"/>
          <w:kern w:val="22"/>
          <w:lang w:val="es-ES"/>
        </w:rPr>
        <w:t xml:space="preserve"> escaso</w:t>
      </w:r>
      <w:r w:rsidR="00F50518" w:rsidRPr="00F50518">
        <w:rPr>
          <w:snapToGrid w:val="0"/>
          <w:spacing w:val="-2"/>
          <w:kern w:val="22"/>
          <w:lang w:val="es-ES"/>
        </w:rPr>
        <w:t xml:space="preserve"> número de cuartos informes nacionales presentados</w:t>
      </w:r>
      <w:r w:rsidR="00775B5A" w:rsidRPr="00F50518">
        <w:rPr>
          <w:snapToGrid w:val="0"/>
          <w:spacing w:val="-2"/>
          <w:kern w:val="22"/>
          <w:lang w:val="es-ES"/>
        </w:rPr>
        <w:t xml:space="preserve">, </w:t>
      </w:r>
      <w:r w:rsidR="00F50518" w:rsidRPr="00F50518">
        <w:rPr>
          <w:snapToGrid w:val="0"/>
          <w:spacing w:val="-2"/>
          <w:kern w:val="22"/>
          <w:lang w:val="es-ES"/>
        </w:rPr>
        <w:t>como el retraso en el acceso al apoyo financiero, la falta de recursos humanos espec</w:t>
      </w:r>
      <w:r w:rsidR="00F50518">
        <w:rPr>
          <w:snapToGrid w:val="0"/>
          <w:spacing w:val="-2"/>
          <w:kern w:val="22"/>
          <w:lang w:val="es-ES"/>
        </w:rPr>
        <w:t>íficos a nivel nacional, así como la falta de prioridad y de concienciación en cuestiones de seguridad de la biotecnología</w:t>
      </w:r>
      <w:r w:rsidR="00775B5A">
        <w:rPr>
          <w:rStyle w:val="FootnoteReference"/>
          <w:rFonts w:ascii="Angsana New" w:hAnsi="Angsana New" w:cs="Angsana New"/>
          <w:snapToGrid w:val="0"/>
          <w:spacing w:val="-2"/>
          <w:kern w:val="22"/>
        </w:rPr>
        <w:footnoteReference w:id="60"/>
      </w:r>
      <w:r w:rsidR="00F50518" w:rsidRPr="00F50518">
        <w:rPr>
          <w:rFonts w:ascii="Angsana New" w:hAnsi="Angsana New" w:cs="Angsana New"/>
          <w:snapToGrid w:val="0"/>
          <w:spacing w:val="-2"/>
          <w:kern w:val="22"/>
          <w:lang w:val="es-ES"/>
        </w:rPr>
        <w:t>.</w:t>
      </w:r>
    </w:p>
    <w:p w:rsidR="00775B5A" w:rsidRPr="00F1525F" w:rsidRDefault="00F1525F"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F1525F">
        <w:rPr>
          <w:snapToGrid w:val="0"/>
          <w:spacing w:val="-2"/>
          <w:kern w:val="22"/>
          <w:lang w:val="es-ES"/>
        </w:rPr>
        <w:t xml:space="preserve">En lo tocante al </w:t>
      </w:r>
      <w:r w:rsidR="00775B5A" w:rsidRPr="00F1525F">
        <w:rPr>
          <w:b/>
          <w:bCs/>
          <w:snapToGrid w:val="0"/>
          <w:spacing w:val="-2"/>
          <w:kern w:val="22"/>
          <w:lang w:val="es-ES"/>
        </w:rPr>
        <w:t>indica</w:t>
      </w:r>
      <w:r w:rsidRPr="00F1525F">
        <w:rPr>
          <w:b/>
          <w:bCs/>
          <w:snapToGrid w:val="0"/>
          <w:spacing w:val="-2"/>
          <w:kern w:val="22"/>
          <w:lang w:val="es-ES"/>
        </w:rPr>
        <w:t>d</w:t>
      </w:r>
      <w:r w:rsidR="00775B5A" w:rsidRPr="00F1525F">
        <w:rPr>
          <w:b/>
          <w:bCs/>
          <w:snapToGrid w:val="0"/>
          <w:spacing w:val="-2"/>
          <w:kern w:val="22"/>
          <w:lang w:val="es-ES"/>
        </w:rPr>
        <w:t xml:space="preserve">or 3.2.2. </w:t>
      </w:r>
      <w:r w:rsidR="00775B5A" w:rsidRPr="00F1525F">
        <w:rPr>
          <w:bCs/>
          <w:snapToGrid w:val="0"/>
          <w:spacing w:val="-2"/>
          <w:kern w:val="22"/>
          <w:lang w:val="es-ES"/>
        </w:rPr>
        <w:t>(</w:t>
      </w:r>
      <w:r w:rsidRPr="00F1525F">
        <w:rPr>
          <w:snapToGrid w:val="0"/>
          <w:spacing w:val="-2"/>
          <w:kern w:val="22"/>
          <w:lang w:val="es-ES"/>
        </w:rPr>
        <w:t xml:space="preserve">el número de </w:t>
      </w:r>
      <w:r w:rsidR="00775B5A" w:rsidRPr="00F1525F">
        <w:rPr>
          <w:snapToGrid w:val="0"/>
          <w:spacing w:val="-2"/>
          <w:kern w:val="22"/>
          <w:lang w:val="es-ES"/>
        </w:rPr>
        <w:t xml:space="preserve">Partes </w:t>
      </w:r>
      <w:r w:rsidRPr="00F1525F">
        <w:rPr>
          <w:snapToGrid w:val="0"/>
          <w:spacing w:val="-2"/>
          <w:kern w:val="22"/>
          <w:lang w:val="es-ES"/>
        </w:rPr>
        <w:t>que modifica sus marcos nacionales de seguridad de la biotecnología en armonía con las enmiendas al Protocolo adoptadas para hacer frente a nuevos desaf</w:t>
      </w:r>
      <w:r>
        <w:rPr>
          <w:snapToGrid w:val="0"/>
          <w:spacing w:val="-2"/>
          <w:kern w:val="22"/>
          <w:lang w:val="es-ES"/>
        </w:rPr>
        <w:t>íos</w:t>
      </w:r>
      <w:r w:rsidR="00775B5A" w:rsidRPr="00F1525F">
        <w:rPr>
          <w:snapToGrid w:val="0"/>
          <w:spacing w:val="-2"/>
          <w:kern w:val="22"/>
          <w:lang w:val="es-ES"/>
        </w:rPr>
        <w:t xml:space="preserve">), </w:t>
      </w:r>
      <w:r>
        <w:rPr>
          <w:snapToGrid w:val="0"/>
          <w:spacing w:val="-2"/>
          <w:kern w:val="22"/>
          <w:lang w:val="es-ES"/>
        </w:rPr>
        <w:t xml:space="preserve">se toma nota de que hasta la fecha no se ha producido enmienda alguna en el </w:t>
      </w:r>
      <w:r w:rsidR="00775B5A" w:rsidRPr="00F1525F">
        <w:rPr>
          <w:snapToGrid w:val="0"/>
          <w:spacing w:val="-2"/>
          <w:kern w:val="22"/>
          <w:lang w:val="es-ES"/>
        </w:rPr>
        <w:t>Protocol</w:t>
      </w:r>
      <w:r>
        <w:rPr>
          <w:snapToGrid w:val="0"/>
          <w:spacing w:val="-2"/>
          <w:kern w:val="22"/>
          <w:lang w:val="es-ES"/>
        </w:rPr>
        <w:t>o</w:t>
      </w:r>
      <w:r w:rsidR="00775B5A" w:rsidRPr="00F1525F">
        <w:rPr>
          <w:snapToGrid w:val="0"/>
          <w:spacing w:val="-2"/>
          <w:kern w:val="22"/>
          <w:lang w:val="es-ES"/>
        </w:rPr>
        <w:t>.</w:t>
      </w:r>
    </w:p>
    <w:p w:rsidR="00775B5A" w:rsidRPr="00052EF6" w:rsidRDefault="00052EF6" w:rsidP="001D4EEE">
      <w:pPr>
        <w:keepNext/>
        <w:numPr>
          <w:ilvl w:val="0"/>
          <w:numId w:val="3"/>
        </w:numPr>
        <w:suppressLineNumbers/>
        <w:tabs>
          <w:tab w:val="clear" w:pos="2070"/>
          <w:tab w:val="left" w:pos="360"/>
        </w:tabs>
        <w:suppressAutoHyphens/>
        <w:spacing w:before="120" w:after="120"/>
        <w:ind w:left="0" w:firstLine="0"/>
        <w:jc w:val="center"/>
        <w:outlineLvl w:val="1"/>
        <w:rPr>
          <w:b/>
          <w:bCs/>
          <w:snapToGrid w:val="0"/>
          <w:spacing w:val="-2"/>
          <w:kern w:val="22"/>
          <w:lang w:val="es-ES"/>
        </w:rPr>
      </w:pPr>
      <w:r w:rsidRPr="00052EF6">
        <w:rPr>
          <w:b/>
          <w:bCs/>
          <w:snapToGrid w:val="0"/>
          <w:spacing w:val="-2"/>
          <w:kern w:val="22"/>
          <w:lang w:val="es-ES"/>
        </w:rPr>
        <w:t>Concienciación y participación</w:t>
      </w:r>
      <w:r w:rsidR="00AF57CD">
        <w:rPr>
          <w:b/>
          <w:bCs/>
          <w:snapToGrid w:val="0"/>
          <w:spacing w:val="-2"/>
          <w:kern w:val="22"/>
          <w:lang w:val="es-ES"/>
        </w:rPr>
        <w:t xml:space="preserve"> del público</w:t>
      </w:r>
      <w:r w:rsidRPr="00052EF6">
        <w:rPr>
          <w:b/>
          <w:bCs/>
          <w:snapToGrid w:val="0"/>
          <w:spacing w:val="-2"/>
          <w:kern w:val="22"/>
          <w:lang w:val="es-ES"/>
        </w:rPr>
        <w:t xml:space="preserve">, educación y capacitación </w:t>
      </w:r>
      <w:r w:rsidR="00AF57CD">
        <w:rPr>
          <w:b/>
          <w:bCs/>
          <w:snapToGrid w:val="0"/>
          <w:spacing w:val="-2"/>
          <w:kern w:val="22"/>
          <w:lang w:val="es-ES"/>
        </w:rPr>
        <w:t>en</w:t>
      </w:r>
      <w:r w:rsidRPr="00052EF6">
        <w:rPr>
          <w:b/>
          <w:bCs/>
          <w:snapToGrid w:val="0"/>
          <w:spacing w:val="-2"/>
          <w:kern w:val="22"/>
          <w:lang w:val="es-ES"/>
        </w:rPr>
        <w:t xml:space="preserve"> seguridad de la biotecnolog</w:t>
      </w:r>
      <w:r>
        <w:rPr>
          <w:b/>
          <w:bCs/>
          <w:snapToGrid w:val="0"/>
          <w:spacing w:val="-2"/>
          <w:kern w:val="22"/>
          <w:lang w:val="es-ES"/>
        </w:rPr>
        <w:t xml:space="preserve">ía </w:t>
      </w:r>
      <w:r w:rsidR="00775B5A" w:rsidRPr="00052EF6">
        <w:rPr>
          <w:b/>
          <w:bCs/>
          <w:snapToGrid w:val="0"/>
          <w:spacing w:val="-2"/>
          <w:kern w:val="22"/>
          <w:lang w:val="es-ES"/>
        </w:rPr>
        <w:t>(o</w:t>
      </w:r>
      <w:r>
        <w:rPr>
          <w:b/>
          <w:bCs/>
          <w:snapToGrid w:val="0"/>
          <w:spacing w:val="-2"/>
          <w:kern w:val="22"/>
          <w:lang w:val="es-ES"/>
        </w:rPr>
        <w:t>bjetivos operacionales</w:t>
      </w:r>
      <w:r w:rsidR="00775B5A" w:rsidRPr="00052EF6">
        <w:rPr>
          <w:b/>
          <w:bCs/>
          <w:snapToGrid w:val="0"/>
          <w:spacing w:val="-2"/>
          <w:kern w:val="22"/>
          <w:lang w:val="es-ES"/>
        </w:rPr>
        <w:t xml:space="preserve"> 2.5, 2.7 </w:t>
      </w:r>
      <w:r>
        <w:rPr>
          <w:b/>
          <w:bCs/>
          <w:snapToGrid w:val="0"/>
          <w:spacing w:val="-2"/>
          <w:kern w:val="22"/>
          <w:lang w:val="es-ES"/>
        </w:rPr>
        <w:t>y</w:t>
      </w:r>
      <w:r w:rsidR="00775B5A" w:rsidRPr="00052EF6">
        <w:rPr>
          <w:b/>
          <w:bCs/>
          <w:snapToGrid w:val="0"/>
          <w:spacing w:val="-2"/>
          <w:kern w:val="22"/>
          <w:lang w:val="es-ES"/>
        </w:rPr>
        <w:t xml:space="preserve"> 4.3)</w:t>
      </w:r>
    </w:p>
    <w:p w:rsidR="00775B5A" w:rsidRPr="00A60590" w:rsidRDefault="00A60590" w:rsidP="001D4EEE">
      <w:pPr>
        <w:pStyle w:val="Para1"/>
        <w:numPr>
          <w:ilvl w:val="0"/>
          <w:numId w:val="2"/>
        </w:numPr>
        <w:tabs>
          <w:tab w:val="clear" w:pos="3240"/>
        </w:tabs>
        <w:spacing w:before="120"/>
        <w:ind w:left="0" w:firstLine="0"/>
        <w:rPr>
          <w:spacing w:val="-2"/>
          <w:kern w:val="22"/>
        </w:rPr>
      </w:pPr>
      <w:r w:rsidRPr="00A60590">
        <w:rPr>
          <w:spacing w:val="-2"/>
          <w:kern w:val="22"/>
        </w:rPr>
        <w:t xml:space="preserve">El programa de trabajo sobre el artículo </w:t>
      </w:r>
      <w:r w:rsidR="00775B5A" w:rsidRPr="00A60590">
        <w:rPr>
          <w:spacing w:val="-2"/>
          <w:kern w:val="22"/>
        </w:rPr>
        <w:t>23</w:t>
      </w:r>
      <w:r w:rsidR="00AF57CD" w:rsidRPr="00A60590">
        <w:rPr>
          <w:spacing w:val="-2"/>
          <w:kern w:val="22"/>
        </w:rPr>
        <w:t xml:space="preserve"> </w:t>
      </w:r>
      <w:r w:rsidRPr="00A60590">
        <w:rPr>
          <w:spacing w:val="-2"/>
          <w:kern w:val="22"/>
        </w:rPr>
        <w:t xml:space="preserve">fue adoptado por la Conferencia de las Partes que actúa como reunión de las Partes en el </w:t>
      </w:r>
      <w:r w:rsidR="00775B5A" w:rsidRPr="00A60590">
        <w:rPr>
          <w:spacing w:val="-2"/>
          <w:kern w:val="22"/>
        </w:rPr>
        <w:t>Protocol</w:t>
      </w:r>
      <w:r>
        <w:rPr>
          <w:spacing w:val="-2"/>
          <w:kern w:val="22"/>
        </w:rPr>
        <w:t>o e</w:t>
      </w:r>
      <w:r w:rsidR="00775B5A" w:rsidRPr="00A60590">
        <w:rPr>
          <w:spacing w:val="-2"/>
          <w:kern w:val="22"/>
        </w:rPr>
        <w:t xml:space="preserve">n 2010, </w:t>
      </w:r>
      <w:r>
        <w:rPr>
          <w:spacing w:val="-2"/>
          <w:kern w:val="22"/>
        </w:rPr>
        <w:t>mediante la decisión</w:t>
      </w:r>
      <w:r w:rsidR="00775B5A" w:rsidRPr="00A60590">
        <w:rPr>
          <w:spacing w:val="-2"/>
          <w:kern w:val="22"/>
        </w:rPr>
        <w:t xml:space="preserve"> BS-V/13, </w:t>
      </w:r>
      <w:r>
        <w:rPr>
          <w:spacing w:val="-2"/>
          <w:kern w:val="22"/>
        </w:rPr>
        <w:t xml:space="preserve">y se prorrogó hasta </w:t>
      </w:r>
      <w:r w:rsidR="00775B5A" w:rsidRPr="00A60590">
        <w:rPr>
          <w:spacing w:val="-2"/>
          <w:kern w:val="22"/>
        </w:rPr>
        <w:t xml:space="preserve">2020 </w:t>
      </w:r>
      <w:r>
        <w:rPr>
          <w:spacing w:val="-2"/>
          <w:kern w:val="22"/>
        </w:rPr>
        <w:t xml:space="preserve">mediante </w:t>
      </w:r>
      <w:r w:rsidR="00CD3B4E">
        <w:rPr>
          <w:spacing w:val="-2"/>
          <w:kern w:val="22"/>
        </w:rPr>
        <w:t xml:space="preserve">la </w:t>
      </w:r>
      <w:r>
        <w:rPr>
          <w:spacing w:val="-2"/>
          <w:kern w:val="22"/>
        </w:rPr>
        <w:t>decisión</w:t>
      </w:r>
      <w:r w:rsidR="00775B5A" w:rsidRPr="00A60590">
        <w:rPr>
          <w:spacing w:val="-2"/>
          <w:kern w:val="22"/>
        </w:rPr>
        <w:t xml:space="preserve"> CP-VIII/18. </w:t>
      </w:r>
      <w:r>
        <w:rPr>
          <w:spacing w:val="-2"/>
          <w:kern w:val="22"/>
        </w:rPr>
        <w:t>El programa de trabajo incluye una serie de indicadores</w:t>
      </w:r>
      <w:r w:rsidR="00775B5A" w:rsidRPr="00A60590">
        <w:rPr>
          <w:spacing w:val="-2"/>
          <w:kern w:val="22"/>
        </w:rPr>
        <w:t xml:space="preserve">, </w:t>
      </w:r>
      <w:r w:rsidRPr="00A60590">
        <w:rPr>
          <w:spacing w:val="-2"/>
          <w:kern w:val="22"/>
        </w:rPr>
        <w:t>muchos de los cuales se comparten con el Plan Estrat</w:t>
      </w:r>
      <w:r>
        <w:rPr>
          <w:spacing w:val="-2"/>
          <w:kern w:val="22"/>
        </w:rPr>
        <w:t xml:space="preserve">égico para el Protocolo de </w:t>
      </w:r>
      <w:r w:rsidR="00775B5A" w:rsidRPr="00A60590">
        <w:rPr>
          <w:spacing w:val="-2"/>
          <w:kern w:val="22"/>
        </w:rPr>
        <w:t>Cartagena</w:t>
      </w:r>
      <w:r>
        <w:rPr>
          <w:spacing w:val="-2"/>
          <w:kern w:val="22"/>
        </w:rPr>
        <w:t xml:space="preserve"> para el periodo</w:t>
      </w:r>
      <w:r w:rsidR="00775B5A" w:rsidRPr="00A60590">
        <w:rPr>
          <w:spacing w:val="-2"/>
          <w:kern w:val="22"/>
        </w:rPr>
        <w:t xml:space="preserve"> 2011-2020. </w:t>
      </w:r>
      <w:r w:rsidRPr="00A60590">
        <w:rPr>
          <w:spacing w:val="-2"/>
          <w:kern w:val="22"/>
        </w:rPr>
        <w:t>El cuarto informe nacional y el CIISB proporcionan la información necesaria para medir los progresos a este respecto</w:t>
      </w:r>
      <w:r w:rsidR="00775B5A" w:rsidRPr="00A60590">
        <w:rPr>
          <w:spacing w:val="-2"/>
          <w:kern w:val="22"/>
        </w:rPr>
        <w:t xml:space="preserve">. </w:t>
      </w:r>
    </w:p>
    <w:p w:rsidR="00775B5A" w:rsidRPr="00F124FE" w:rsidRDefault="0032737D" w:rsidP="001D4EEE">
      <w:pPr>
        <w:pStyle w:val="Para1"/>
        <w:numPr>
          <w:ilvl w:val="0"/>
          <w:numId w:val="2"/>
        </w:numPr>
        <w:tabs>
          <w:tab w:val="clear" w:pos="3240"/>
        </w:tabs>
        <w:spacing w:before="120"/>
        <w:ind w:left="0" w:firstLine="0"/>
        <w:rPr>
          <w:spacing w:val="-2"/>
          <w:kern w:val="22"/>
        </w:rPr>
      </w:pPr>
      <w:r w:rsidRPr="0032737D">
        <w:rPr>
          <w:spacing w:val="-2"/>
          <w:kern w:val="22"/>
        </w:rPr>
        <w:t xml:space="preserve">Para los indicadores del programa de trabajo sobre el artículo </w:t>
      </w:r>
      <w:r w:rsidR="00775B5A" w:rsidRPr="0032737D">
        <w:rPr>
          <w:spacing w:val="-2"/>
          <w:kern w:val="22"/>
        </w:rPr>
        <w:t xml:space="preserve">23 </w:t>
      </w:r>
      <w:r w:rsidRPr="0032737D">
        <w:rPr>
          <w:spacing w:val="-2"/>
          <w:kern w:val="22"/>
        </w:rPr>
        <w:t>sobre los que no se dispone de información suficiente en los cu</w:t>
      </w:r>
      <w:r>
        <w:rPr>
          <w:spacing w:val="-2"/>
          <w:kern w:val="22"/>
        </w:rPr>
        <w:t>art</w:t>
      </w:r>
      <w:r w:rsidRPr="0032737D">
        <w:rPr>
          <w:spacing w:val="-2"/>
          <w:kern w:val="22"/>
        </w:rPr>
        <w:t>os informes nacionales y el CIISB, se elaboró una encuesta para complementar la base de información</w:t>
      </w:r>
      <w:r w:rsidR="00775B5A" w:rsidRPr="0032737D">
        <w:rPr>
          <w:spacing w:val="-2"/>
          <w:kern w:val="22"/>
        </w:rPr>
        <w:t xml:space="preserve"> – </w:t>
      </w:r>
      <w:r>
        <w:rPr>
          <w:spacing w:val="-2"/>
          <w:kern w:val="22"/>
        </w:rPr>
        <w:t>la</w:t>
      </w:r>
      <w:r w:rsidR="00775B5A" w:rsidRPr="0032737D">
        <w:rPr>
          <w:spacing w:val="-2"/>
          <w:kern w:val="22"/>
        </w:rPr>
        <w:t xml:space="preserve"> </w:t>
      </w:r>
      <w:r>
        <w:rPr>
          <w:i/>
          <w:iCs/>
          <w:spacing w:val="-2"/>
          <w:kern w:val="22"/>
        </w:rPr>
        <w:t xml:space="preserve">encuesta sobre indicadores clave del programa de trabajo sobre </w:t>
      </w:r>
      <w:r>
        <w:rPr>
          <w:i/>
          <w:iCs/>
          <w:spacing w:val="-2"/>
          <w:kern w:val="22"/>
        </w:rPr>
        <w:lastRenderedPageBreak/>
        <w:t>concienciación, educación y participación del público relativas a la transferencia, manipulación y uso seguros de organismos vivos modificados</w:t>
      </w:r>
      <w:r w:rsidR="00775B5A" w:rsidRPr="0032737D">
        <w:rPr>
          <w:i/>
          <w:iCs/>
          <w:kern w:val="22"/>
        </w:rPr>
        <w:t xml:space="preserve"> </w:t>
      </w:r>
      <w:r w:rsidR="00775B5A" w:rsidRPr="0032737D">
        <w:rPr>
          <w:kern w:val="22"/>
        </w:rPr>
        <w:t>(</w:t>
      </w:r>
      <w:r w:rsidR="00A53625">
        <w:rPr>
          <w:kern w:val="22"/>
        </w:rPr>
        <w:t>e</w:t>
      </w:r>
      <w:r>
        <w:rPr>
          <w:kern w:val="22"/>
        </w:rPr>
        <w:t xml:space="preserve">ncuesta sobre el programa de trabajo sobre el artículo </w:t>
      </w:r>
      <w:r w:rsidR="00775B5A" w:rsidRPr="0032737D">
        <w:rPr>
          <w:kern w:val="22"/>
        </w:rPr>
        <w:t>23)</w:t>
      </w:r>
      <w:r w:rsidR="00775B5A" w:rsidRPr="0095007E">
        <w:rPr>
          <w:rStyle w:val="FootnoteReference"/>
          <w:spacing w:val="-2"/>
          <w:kern w:val="22"/>
        </w:rPr>
        <w:footnoteReference w:id="61"/>
      </w:r>
      <w:r w:rsidRPr="0032737D">
        <w:rPr>
          <w:spacing w:val="-2"/>
          <w:kern w:val="22"/>
        </w:rPr>
        <w:t>.</w:t>
      </w:r>
      <w:r w:rsidR="00775B5A" w:rsidRPr="0032737D">
        <w:rPr>
          <w:spacing w:val="-2"/>
          <w:kern w:val="22"/>
        </w:rPr>
        <w:t xml:space="preserve"> </w:t>
      </w:r>
      <w:r w:rsidR="00F124FE" w:rsidRPr="00F124FE">
        <w:rPr>
          <w:spacing w:val="-2"/>
          <w:kern w:val="22"/>
        </w:rPr>
        <w:t xml:space="preserve">Mediante la notificación </w:t>
      </w:r>
      <w:r w:rsidR="00775B5A" w:rsidRPr="00F124FE">
        <w:rPr>
          <w:spacing w:val="-2"/>
          <w:kern w:val="22"/>
        </w:rPr>
        <w:t xml:space="preserve">2019-92, </w:t>
      </w:r>
      <w:r w:rsidR="00F124FE" w:rsidRPr="00F124FE">
        <w:rPr>
          <w:spacing w:val="-2"/>
          <w:kern w:val="22"/>
        </w:rPr>
        <w:t xml:space="preserve">de fecha </w:t>
      </w:r>
      <w:r w:rsidR="00775B5A" w:rsidRPr="00F124FE">
        <w:rPr>
          <w:spacing w:val="-2"/>
          <w:kern w:val="22"/>
        </w:rPr>
        <w:t xml:space="preserve">21 </w:t>
      </w:r>
      <w:r w:rsidR="00F124FE" w:rsidRPr="00F124FE">
        <w:rPr>
          <w:spacing w:val="-2"/>
          <w:kern w:val="22"/>
        </w:rPr>
        <w:t>de octubre de</w:t>
      </w:r>
      <w:r w:rsidR="00775B5A" w:rsidRPr="00F124FE">
        <w:rPr>
          <w:spacing w:val="-2"/>
          <w:kern w:val="22"/>
        </w:rPr>
        <w:t xml:space="preserve"> 2019, </w:t>
      </w:r>
      <w:r w:rsidR="00F124FE" w:rsidRPr="00F124FE">
        <w:rPr>
          <w:spacing w:val="-2"/>
          <w:kern w:val="22"/>
        </w:rPr>
        <w:t xml:space="preserve">se invitó a las </w:t>
      </w:r>
      <w:r w:rsidR="00775B5A" w:rsidRPr="00F124FE">
        <w:rPr>
          <w:spacing w:val="-2"/>
          <w:kern w:val="22"/>
        </w:rPr>
        <w:t xml:space="preserve">Partes </w:t>
      </w:r>
      <w:r w:rsidR="00F124FE" w:rsidRPr="00F124FE">
        <w:rPr>
          <w:spacing w:val="-2"/>
          <w:kern w:val="22"/>
        </w:rPr>
        <w:t>a</w:t>
      </w:r>
      <w:r w:rsidR="00775B5A" w:rsidRPr="00F124FE">
        <w:rPr>
          <w:spacing w:val="-2"/>
          <w:kern w:val="22"/>
        </w:rPr>
        <w:t xml:space="preserve"> </w:t>
      </w:r>
      <w:r w:rsidR="00F124FE" w:rsidRPr="00F124FE">
        <w:rPr>
          <w:spacing w:val="-2"/>
          <w:kern w:val="22"/>
        </w:rPr>
        <w:t>responder a la Encuesta sobre el programa de trabajo sobre el art</w:t>
      </w:r>
      <w:r w:rsidR="00F124FE">
        <w:rPr>
          <w:spacing w:val="-2"/>
          <w:kern w:val="22"/>
        </w:rPr>
        <w:t xml:space="preserve">ículo </w:t>
      </w:r>
      <w:r w:rsidR="00775B5A" w:rsidRPr="00F124FE">
        <w:rPr>
          <w:spacing w:val="-2"/>
          <w:kern w:val="22"/>
        </w:rPr>
        <w:t xml:space="preserve">23. </w:t>
      </w:r>
      <w:r w:rsidR="00F124FE">
        <w:rPr>
          <w:spacing w:val="-2"/>
          <w:kern w:val="22"/>
        </w:rPr>
        <w:t>Un</w:t>
      </w:r>
      <w:r w:rsidR="00775B5A" w:rsidRPr="00F124FE">
        <w:rPr>
          <w:spacing w:val="-2"/>
          <w:kern w:val="22"/>
        </w:rPr>
        <w:t xml:space="preserve"> total </w:t>
      </w:r>
      <w:r w:rsidR="00F124FE" w:rsidRPr="00F124FE">
        <w:rPr>
          <w:spacing w:val="-2"/>
          <w:kern w:val="22"/>
        </w:rPr>
        <w:t>de</w:t>
      </w:r>
      <w:r w:rsidR="00775B5A" w:rsidRPr="00F124FE">
        <w:rPr>
          <w:spacing w:val="-2"/>
          <w:kern w:val="22"/>
        </w:rPr>
        <w:t xml:space="preserve"> 56 </w:t>
      </w:r>
      <w:r w:rsidR="00F124FE" w:rsidRPr="00F124FE">
        <w:rPr>
          <w:spacing w:val="-2"/>
          <w:kern w:val="22"/>
        </w:rPr>
        <w:t>encuestados</w:t>
      </w:r>
      <w:r w:rsidR="00CD3B4E">
        <w:rPr>
          <w:spacing w:val="-2"/>
          <w:kern w:val="22"/>
        </w:rPr>
        <w:t xml:space="preserve"> completaron</w:t>
      </w:r>
      <w:r w:rsidR="00A53625">
        <w:rPr>
          <w:spacing w:val="-2"/>
          <w:kern w:val="22"/>
        </w:rPr>
        <w:t xml:space="preserve"> la e</w:t>
      </w:r>
      <w:r w:rsidR="00F124FE" w:rsidRPr="00F124FE">
        <w:rPr>
          <w:spacing w:val="-2"/>
          <w:kern w:val="22"/>
        </w:rPr>
        <w:t xml:space="preserve">ncuesta sobre el programa de trabajo, de los cuales </w:t>
      </w:r>
      <w:r w:rsidR="00775B5A" w:rsidRPr="00F124FE">
        <w:rPr>
          <w:spacing w:val="-2"/>
          <w:kern w:val="22"/>
        </w:rPr>
        <w:t xml:space="preserve">38 </w:t>
      </w:r>
      <w:r w:rsidR="00F124FE">
        <w:rPr>
          <w:spacing w:val="-2"/>
          <w:kern w:val="22"/>
        </w:rPr>
        <w:t>eran puntos focales nacionales para el Protocolo o el CIISB</w:t>
      </w:r>
      <w:r w:rsidR="00775B5A" w:rsidRPr="00F124FE">
        <w:rPr>
          <w:spacing w:val="-2"/>
          <w:kern w:val="22"/>
        </w:rPr>
        <w:t xml:space="preserve">. </w:t>
      </w:r>
      <w:r w:rsidR="00F124FE" w:rsidRPr="00F124FE">
        <w:rPr>
          <w:spacing w:val="-2"/>
          <w:kern w:val="22"/>
        </w:rPr>
        <w:t xml:space="preserve">La información proporcionada por esas Partes se ha </w:t>
      </w:r>
      <w:r w:rsidR="00CD3B4E">
        <w:rPr>
          <w:spacing w:val="-2"/>
          <w:kern w:val="22"/>
        </w:rPr>
        <w:t>recopilado e</w:t>
      </w:r>
      <w:r w:rsidR="00F124FE" w:rsidRPr="00F124FE">
        <w:rPr>
          <w:spacing w:val="-2"/>
          <w:kern w:val="22"/>
        </w:rPr>
        <w:t>n las subsecciones</w:t>
      </w:r>
      <w:r w:rsidR="00775B5A" w:rsidRPr="00F124FE">
        <w:rPr>
          <w:spacing w:val="-2"/>
          <w:kern w:val="22"/>
        </w:rPr>
        <w:t xml:space="preserve"> K </w:t>
      </w:r>
      <w:r w:rsidR="00F124FE" w:rsidRPr="00F124FE">
        <w:rPr>
          <w:spacing w:val="-2"/>
          <w:kern w:val="22"/>
        </w:rPr>
        <w:t>y</w:t>
      </w:r>
      <w:r w:rsidR="00775B5A" w:rsidRPr="00F124FE">
        <w:rPr>
          <w:spacing w:val="-2"/>
          <w:kern w:val="22"/>
        </w:rPr>
        <w:t xml:space="preserve"> L </w:t>
      </w:r>
      <w:r w:rsidR="00F124FE" w:rsidRPr="00F124FE">
        <w:rPr>
          <w:spacing w:val="-2"/>
          <w:kern w:val="22"/>
        </w:rPr>
        <w:t>del presente documento</w:t>
      </w:r>
      <w:r w:rsidR="00775B5A" w:rsidRPr="00F124FE">
        <w:rPr>
          <w:spacing w:val="-2"/>
          <w:kern w:val="22"/>
        </w:rPr>
        <w:t xml:space="preserve">. </w:t>
      </w:r>
    </w:p>
    <w:p w:rsidR="00775B5A" w:rsidRPr="00F124FE" w:rsidRDefault="00775B5A">
      <w:pPr>
        <w:keepNext/>
        <w:suppressLineNumbers/>
        <w:suppressAutoHyphens/>
        <w:spacing w:before="120" w:after="120"/>
        <w:textAlignment w:val="baseline"/>
        <w:outlineLvl w:val="2"/>
        <w:rPr>
          <w:b/>
          <w:bCs/>
          <w:snapToGrid w:val="0"/>
          <w:spacing w:val="-2"/>
          <w:kern w:val="22"/>
          <w:lang w:val="es-ES"/>
        </w:rPr>
      </w:pPr>
      <w:r w:rsidRPr="00F124FE">
        <w:rPr>
          <w:b/>
          <w:bCs/>
          <w:snapToGrid w:val="0"/>
          <w:spacing w:val="-2"/>
          <w:kern w:val="22"/>
          <w:lang w:val="es-ES"/>
        </w:rPr>
        <w:t>O</w:t>
      </w:r>
      <w:r w:rsidR="00F124FE" w:rsidRPr="00F124FE">
        <w:rPr>
          <w:b/>
          <w:bCs/>
          <w:snapToGrid w:val="0"/>
          <w:spacing w:val="-2"/>
          <w:kern w:val="22"/>
          <w:lang w:val="es-ES"/>
        </w:rPr>
        <w:t>bjetivo operacional</w:t>
      </w:r>
      <w:r w:rsidRPr="00F124FE">
        <w:rPr>
          <w:b/>
          <w:bCs/>
          <w:snapToGrid w:val="0"/>
          <w:spacing w:val="-2"/>
          <w:kern w:val="22"/>
          <w:lang w:val="es-ES"/>
        </w:rPr>
        <w:t xml:space="preserve"> 2.5: </w:t>
      </w:r>
      <w:r w:rsidR="00F124FE" w:rsidRPr="00F124FE">
        <w:rPr>
          <w:b/>
          <w:bCs/>
          <w:snapToGrid w:val="0"/>
          <w:spacing w:val="-2"/>
          <w:kern w:val="22"/>
          <w:lang w:val="es-ES"/>
        </w:rPr>
        <w:t>Concienciación, educación y participaci</w:t>
      </w:r>
      <w:r w:rsidR="00F124FE">
        <w:rPr>
          <w:b/>
          <w:bCs/>
          <w:snapToGrid w:val="0"/>
          <w:spacing w:val="-2"/>
          <w:kern w:val="22"/>
          <w:lang w:val="es-ES"/>
        </w:rPr>
        <w:t>ón del público</w:t>
      </w:r>
    </w:p>
    <w:p w:rsidR="00775B5A" w:rsidRPr="004A1C55" w:rsidRDefault="004A1C55"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4A1C55">
        <w:rPr>
          <w:snapToGrid w:val="0"/>
          <w:spacing w:val="-2"/>
          <w:kern w:val="22"/>
          <w:lang w:val="es-ES"/>
        </w:rPr>
        <w:t xml:space="preserve">El objetivo operacional </w:t>
      </w:r>
      <w:r w:rsidR="00775B5A" w:rsidRPr="004A1C55">
        <w:rPr>
          <w:snapToGrid w:val="0"/>
          <w:spacing w:val="-2"/>
          <w:kern w:val="22"/>
          <w:lang w:val="es-ES"/>
        </w:rPr>
        <w:t xml:space="preserve">2.5 </w:t>
      </w:r>
      <w:r w:rsidRPr="004A1C55">
        <w:rPr>
          <w:snapToGrid w:val="0"/>
          <w:spacing w:val="-2"/>
          <w:kern w:val="22"/>
          <w:lang w:val="es-ES"/>
        </w:rPr>
        <w:t>trata de mejorar la capacidad de las Partes para incrementar la concienciaci</w:t>
      </w:r>
      <w:r>
        <w:rPr>
          <w:snapToGrid w:val="0"/>
          <w:spacing w:val="-2"/>
          <w:kern w:val="22"/>
          <w:lang w:val="es-ES"/>
        </w:rPr>
        <w:t>ón pública y promover la educación y la participación del público respecto de la transferencia, manipulación y uso seguros de los OVM</w:t>
      </w:r>
      <w:r w:rsidR="00775B5A" w:rsidRPr="004A1C55">
        <w:rPr>
          <w:snapToGrid w:val="0"/>
          <w:spacing w:val="-2"/>
          <w:kern w:val="22"/>
          <w:lang w:val="es-ES"/>
        </w:rPr>
        <w:t xml:space="preserve">. </w:t>
      </w:r>
      <w:r w:rsidRPr="004A1C55">
        <w:rPr>
          <w:snapToGrid w:val="0"/>
          <w:spacing w:val="-2"/>
          <w:kern w:val="22"/>
          <w:lang w:val="es-ES"/>
        </w:rPr>
        <w:t>Se establecieron tres indicadores para medir los avances hacia la consecución de este objetivo</w:t>
      </w:r>
      <w:r w:rsidR="00775B5A" w:rsidRPr="004A1C55">
        <w:rPr>
          <w:snapToGrid w:val="0"/>
          <w:spacing w:val="-2"/>
          <w:kern w:val="22"/>
          <w:lang w:val="es-ES"/>
        </w:rPr>
        <w:t>.</w:t>
      </w:r>
    </w:p>
    <w:p w:rsidR="00775B5A" w:rsidRPr="004A1C55" w:rsidRDefault="004A1C55" w:rsidP="001D4EEE">
      <w:pPr>
        <w:pStyle w:val="Para1"/>
        <w:numPr>
          <w:ilvl w:val="0"/>
          <w:numId w:val="2"/>
        </w:numPr>
        <w:tabs>
          <w:tab w:val="clear" w:pos="3240"/>
        </w:tabs>
        <w:spacing w:before="120"/>
        <w:ind w:left="0" w:firstLine="0"/>
        <w:rPr>
          <w:spacing w:val="-2"/>
          <w:kern w:val="22"/>
        </w:rPr>
      </w:pPr>
      <w:r w:rsidRPr="004A1C55">
        <w:rPr>
          <w:spacing w:val="-2"/>
          <w:kern w:val="22"/>
        </w:rPr>
        <w:t>Respecto del</w:t>
      </w:r>
      <w:r w:rsidR="00775B5A" w:rsidRPr="004A1C55">
        <w:rPr>
          <w:spacing w:val="-2"/>
          <w:kern w:val="22"/>
        </w:rPr>
        <w:t xml:space="preserve"> </w:t>
      </w:r>
      <w:r w:rsidR="00775B5A" w:rsidRPr="004A1C55">
        <w:rPr>
          <w:b/>
          <w:bCs/>
          <w:spacing w:val="-2"/>
          <w:kern w:val="22"/>
        </w:rPr>
        <w:t>indica</w:t>
      </w:r>
      <w:r w:rsidRPr="004A1C55">
        <w:rPr>
          <w:b/>
          <w:bCs/>
          <w:spacing w:val="-2"/>
          <w:kern w:val="22"/>
        </w:rPr>
        <w:t>d</w:t>
      </w:r>
      <w:r w:rsidR="00775B5A" w:rsidRPr="004A1C55">
        <w:rPr>
          <w:b/>
          <w:bCs/>
          <w:spacing w:val="-2"/>
          <w:kern w:val="22"/>
        </w:rPr>
        <w:t>or 2.5.1</w:t>
      </w:r>
      <w:r w:rsidRPr="004A1C55">
        <w:rPr>
          <w:b/>
          <w:bCs/>
          <w:spacing w:val="-2"/>
          <w:kern w:val="22"/>
        </w:rPr>
        <w:t xml:space="preserve"> </w:t>
      </w:r>
      <w:r w:rsidR="00775B5A" w:rsidRPr="004A1C55">
        <w:rPr>
          <w:kern w:val="22"/>
        </w:rPr>
        <w:t>(</w:t>
      </w:r>
      <w:r w:rsidRPr="004A1C55">
        <w:rPr>
          <w:kern w:val="22"/>
        </w:rPr>
        <w:t xml:space="preserve">porcentaje de Partes que cuenta con mecanismos para </w:t>
      </w:r>
      <w:r>
        <w:rPr>
          <w:kern w:val="22"/>
        </w:rPr>
        <w:t xml:space="preserve">garantizar </w:t>
      </w:r>
      <w:r w:rsidRPr="004A1C55">
        <w:rPr>
          <w:kern w:val="22"/>
        </w:rPr>
        <w:t>la participación del público en la adopción de decisiones re</w:t>
      </w:r>
      <w:r>
        <w:rPr>
          <w:kern w:val="22"/>
        </w:rPr>
        <w:t>lativas a</w:t>
      </w:r>
      <w:r w:rsidRPr="004A1C55">
        <w:rPr>
          <w:kern w:val="22"/>
        </w:rPr>
        <w:t xml:space="preserve"> los </w:t>
      </w:r>
      <w:r>
        <w:rPr>
          <w:kern w:val="22"/>
        </w:rPr>
        <w:t xml:space="preserve">OVM a más tardar </w:t>
      </w:r>
      <w:r w:rsidR="00A53625">
        <w:rPr>
          <w:kern w:val="22"/>
        </w:rPr>
        <w:t>seis</w:t>
      </w:r>
      <w:r w:rsidR="00775B5A" w:rsidRPr="004A1C55">
        <w:rPr>
          <w:kern w:val="22"/>
        </w:rPr>
        <w:t xml:space="preserve"> </w:t>
      </w:r>
      <w:r>
        <w:rPr>
          <w:kern w:val="22"/>
        </w:rPr>
        <w:t>años después de la adhesión al Protocolo o la ratificación de este</w:t>
      </w:r>
      <w:r w:rsidR="00775B5A" w:rsidRPr="004A1C55">
        <w:rPr>
          <w:kern w:val="22"/>
        </w:rPr>
        <w:t xml:space="preserve">), </w:t>
      </w:r>
      <w:r>
        <w:rPr>
          <w:kern w:val="22"/>
        </w:rPr>
        <w:t xml:space="preserve">el </w:t>
      </w:r>
      <w:r w:rsidR="00775B5A" w:rsidRPr="004A1C55">
        <w:rPr>
          <w:spacing w:val="-2"/>
          <w:kern w:val="22"/>
        </w:rPr>
        <w:t>62</w:t>
      </w:r>
      <w:r>
        <w:rPr>
          <w:spacing w:val="-2"/>
          <w:kern w:val="22"/>
        </w:rPr>
        <w:t xml:space="preserve"> </w:t>
      </w:r>
      <w:r w:rsidR="00775B5A" w:rsidRPr="004A1C55">
        <w:rPr>
          <w:spacing w:val="-2"/>
          <w:kern w:val="22"/>
        </w:rPr>
        <w:t xml:space="preserve">% </w:t>
      </w:r>
      <w:r>
        <w:rPr>
          <w:spacing w:val="-2"/>
          <w:kern w:val="22"/>
        </w:rPr>
        <w:t>de las Part</w:t>
      </w:r>
      <w:r w:rsidR="00775B5A" w:rsidRPr="004A1C55">
        <w:rPr>
          <w:spacing w:val="-2"/>
          <w:kern w:val="22"/>
        </w:rPr>
        <w:t xml:space="preserve">es (58 Partes) </w:t>
      </w:r>
      <w:r>
        <w:rPr>
          <w:spacing w:val="-2"/>
          <w:kern w:val="22"/>
        </w:rPr>
        <w:t>comunic</w:t>
      </w:r>
      <w:r w:rsidR="00CD3B4E">
        <w:rPr>
          <w:spacing w:val="-2"/>
          <w:kern w:val="22"/>
        </w:rPr>
        <w:t>ó</w:t>
      </w:r>
      <w:r>
        <w:rPr>
          <w:spacing w:val="-2"/>
          <w:kern w:val="22"/>
        </w:rPr>
        <w:t xml:space="preserve"> que había establecido un mecanismo para consultar al público en el proceso de toma de decisiones relativas a los OVM</w:t>
      </w:r>
      <w:r w:rsidR="00775B5A" w:rsidRPr="004A1C55">
        <w:rPr>
          <w:spacing w:val="-2"/>
          <w:kern w:val="22"/>
        </w:rPr>
        <w:t xml:space="preserve"> (+</w:t>
      </w:r>
      <w:r>
        <w:rPr>
          <w:spacing w:val="-2"/>
          <w:kern w:val="22"/>
        </w:rPr>
        <w:t xml:space="preserve"> </w:t>
      </w:r>
      <w:r w:rsidR="00775B5A" w:rsidRPr="004A1C55">
        <w:rPr>
          <w:spacing w:val="-2"/>
          <w:kern w:val="22"/>
        </w:rPr>
        <w:t>5</w:t>
      </w:r>
      <w:r>
        <w:rPr>
          <w:spacing w:val="-2"/>
          <w:kern w:val="22"/>
        </w:rPr>
        <w:t xml:space="preserve"> </w:t>
      </w:r>
      <w:r w:rsidR="00775B5A" w:rsidRPr="004A1C55">
        <w:rPr>
          <w:spacing w:val="-2"/>
          <w:kern w:val="22"/>
        </w:rPr>
        <w:t xml:space="preserve">%). </w:t>
      </w:r>
      <w:r w:rsidRPr="004A1C55">
        <w:rPr>
          <w:spacing w:val="-2"/>
          <w:kern w:val="22"/>
        </w:rPr>
        <w:t xml:space="preserve">Además, el </w:t>
      </w:r>
      <w:r w:rsidR="00775B5A" w:rsidRPr="004A1C55">
        <w:rPr>
          <w:spacing w:val="-2"/>
          <w:kern w:val="22"/>
        </w:rPr>
        <w:t>16</w:t>
      </w:r>
      <w:r w:rsidRPr="004A1C55">
        <w:rPr>
          <w:spacing w:val="-2"/>
          <w:kern w:val="22"/>
        </w:rPr>
        <w:t xml:space="preserve"> </w:t>
      </w:r>
      <w:r w:rsidR="00775B5A" w:rsidRPr="004A1C55">
        <w:rPr>
          <w:spacing w:val="-2"/>
          <w:kern w:val="22"/>
        </w:rPr>
        <w:t xml:space="preserve">% </w:t>
      </w:r>
      <w:r w:rsidRPr="004A1C55">
        <w:rPr>
          <w:spacing w:val="-2"/>
          <w:kern w:val="22"/>
        </w:rPr>
        <w:t>de las Partes indic</w:t>
      </w:r>
      <w:r w:rsidR="00CD3B4E">
        <w:rPr>
          <w:spacing w:val="-2"/>
          <w:kern w:val="22"/>
        </w:rPr>
        <w:t>ó</w:t>
      </w:r>
      <w:r w:rsidRPr="004A1C55">
        <w:rPr>
          <w:spacing w:val="-2"/>
          <w:kern w:val="22"/>
        </w:rPr>
        <w:t xml:space="preserve"> que </w:t>
      </w:r>
      <w:r w:rsidR="006E562C">
        <w:rPr>
          <w:spacing w:val="-2"/>
          <w:kern w:val="22"/>
        </w:rPr>
        <w:t xml:space="preserve">disponía de un mecanismo de ese tipo </w:t>
      </w:r>
      <w:r>
        <w:rPr>
          <w:spacing w:val="-2"/>
          <w:kern w:val="22"/>
        </w:rPr>
        <w:t>en cierta medida</w:t>
      </w:r>
      <w:r w:rsidR="00775B5A" w:rsidRPr="004A1C55">
        <w:rPr>
          <w:spacing w:val="-2"/>
          <w:kern w:val="22"/>
        </w:rPr>
        <w:t xml:space="preserve"> (-</w:t>
      </w:r>
      <w:r>
        <w:rPr>
          <w:spacing w:val="-2"/>
          <w:kern w:val="22"/>
        </w:rPr>
        <w:t xml:space="preserve"> </w:t>
      </w:r>
      <w:r w:rsidR="00775B5A" w:rsidRPr="004A1C55">
        <w:rPr>
          <w:spacing w:val="-2"/>
          <w:kern w:val="22"/>
        </w:rPr>
        <w:t>1</w:t>
      </w:r>
      <w:r>
        <w:rPr>
          <w:spacing w:val="-2"/>
          <w:kern w:val="22"/>
        </w:rPr>
        <w:t xml:space="preserve"> </w:t>
      </w:r>
      <w:r w:rsidR="00775B5A" w:rsidRPr="004A1C55">
        <w:rPr>
          <w:spacing w:val="-2"/>
          <w:kern w:val="22"/>
        </w:rPr>
        <w:t xml:space="preserve">%). </w:t>
      </w:r>
      <w:r w:rsidRPr="004A1C55">
        <w:rPr>
          <w:spacing w:val="-2"/>
          <w:kern w:val="22"/>
        </w:rPr>
        <w:t xml:space="preserve">A nivel </w:t>
      </w:r>
      <w:r w:rsidR="00775B5A" w:rsidRPr="004A1C55">
        <w:rPr>
          <w:spacing w:val="-2"/>
          <w:kern w:val="22"/>
        </w:rPr>
        <w:t xml:space="preserve">regional, </w:t>
      </w:r>
      <w:r w:rsidRPr="004A1C55">
        <w:rPr>
          <w:spacing w:val="-2"/>
          <w:kern w:val="22"/>
        </w:rPr>
        <w:t>estos porcentajes muestran una variación considerable, y son los siguientes</w:t>
      </w:r>
      <w:r w:rsidR="00775B5A" w:rsidRPr="004A1C55">
        <w:rPr>
          <w:spacing w:val="-2"/>
          <w:kern w:val="22"/>
        </w:rPr>
        <w:t xml:space="preserve">: </w:t>
      </w:r>
      <w:r w:rsidRPr="004A1C55">
        <w:rPr>
          <w:spacing w:val="-2"/>
          <w:kern w:val="22"/>
        </w:rPr>
        <w:t>Á</w:t>
      </w:r>
      <w:r w:rsidR="00775B5A" w:rsidRPr="004A1C55">
        <w:rPr>
          <w:spacing w:val="-2"/>
          <w:kern w:val="22"/>
        </w:rPr>
        <w:t>frica: 50</w:t>
      </w:r>
      <w:r w:rsidRPr="004A1C55">
        <w:rPr>
          <w:spacing w:val="-2"/>
          <w:kern w:val="22"/>
        </w:rPr>
        <w:t xml:space="preserve"> </w:t>
      </w:r>
      <w:r w:rsidR="00775B5A" w:rsidRPr="004A1C55">
        <w:rPr>
          <w:spacing w:val="-2"/>
          <w:kern w:val="22"/>
        </w:rPr>
        <w:t>% (+</w:t>
      </w:r>
      <w:r>
        <w:rPr>
          <w:spacing w:val="-2"/>
          <w:kern w:val="22"/>
        </w:rPr>
        <w:t xml:space="preserve"> </w:t>
      </w:r>
      <w:r w:rsidR="00775B5A" w:rsidRPr="004A1C55">
        <w:rPr>
          <w:spacing w:val="-2"/>
          <w:kern w:val="22"/>
        </w:rPr>
        <w:t>10</w:t>
      </w:r>
      <w:r>
        <w:rPr>
          <w:spacing w:val="-2"/>
          <w:kern w:val="22"/>
        </w:rPr>
        <w:t xml:space="preserve"> </w:t>
      </w:r>
      <w:r w:rsidR="00775B5A" w:rsidRPr="004A1C55">
        <w:rPr>
          <w:spacing w:val="-2"/>
          <w:kern w:val="22"/>
        </w:rPr>
        <w:t>%)</w:t>
      </w:r>
      <w:r w:rsidR="00CD3B4E">
        <w:rPr>
          <w:spacing w:val="-2"/>
          <w:kern w:val="22"/>
        </w:rPr>
        <w:t>,</w:t>
      </w:r>
      <w:r w:rsidR="00775B5A" w:rsidRPr="004A1C55">
        <w:rPr>
          <w:spacing w:val="-2"/>
          <w:kern w:val="22"/>
        </w:rPr>
        <w:t xml:space="preserve"> Asia</w:t>
      </w:r>
      <w:r w:rsidR="00A53625">
        <w:rPr>
          <w:spacing w:val="-2"/>
          <w:kern w:val="22"/>
        </w:rPr>
        <w:t xml:space="preserve"> y el </w:t>
      </w:r>
      <w:r>
        <w:rPr>
          <w:spacing w:val="-2"/>
          <w:kern w:val="22"/>
        </w:rPr>
        <w:t>Pacífico</w:t>
      </w:r>
      <w:r w:rsidR="00775B5A" w:rsidRPr="004A1C55">
        <w:rPr>
          <w:spacing w:val="-2"/>
          <w:kern w:val="22"/>
        </w:rPr>
        <w:t xml:space="preserve"> 56</w:t>
      </w:r>
      <w:r>
        <w:rPr>
          <w:spacing w:val="-2"/>
          <w:kern w:val="22"/>
        </w:rPr>
        <w:t xml:space="preserve"> </w:t>
      </w:r>
      <w:r w:rsidR="00775B5A" w:rsidRPr="004A1C55">
        <w:rPr>
          <w:spacing w:val="-2"/>
          <w:kern w:val="22"/>
        </w:rPr>
        <w:t>% (</w:t>
      </w:r>
      <w:r>
        <w:rPr>
          <w:spacing w:val="-2"/>
          <w:kern w:val="22"/>
        </w:rPr>
        <w:t>sin cambios con respecto a los datos básicos de referencia</w:t>
      </w:r>
      <w:r w:rsidR="00775B5A" w:rsidRPr="004A1C55">
        <w:rPr>
          <w:spacing w:val="-2"/>
          <w:kern w:val="22"/>
        </w:rPr>
        <w:t>)</w:t>
      </w:r>
      <w:r w:rsidR="00CD3B4E">
        <w:rPr>
          <w:spacing w:val="-2"/>
          <w:kern w:val="22"/>
        </w:rPr>
        <w:t>,</w:t>
      </w:r>
      <w:r w:rsidR="00775B5A" w:rsidRPr="004A1C55">
        <w:rPr>
          <w:spacing w:val="-2"/>
          <w:kern w:val="22"/>
        </w:rPr>
        <w:t xml:space="preserve"> </w:t>
      </w:r>
      <w:r w:rsidR="00477624">
        <w:rPr>
          <w:snapToGrid w:val="0"/>
          <w:kern w:val="22"/>
        </w:rPr>
        <w:t>grupo de Estados de Europa Central y Oriental</w:t>
      </w:r>
      <w:r w:rsidR="00477624" w:rsidRPr="00EC2231">
        <w:rPr>
          <w:snapToGrid w:val="0"/>
          <w:kern w:val="22"/>
        </w:rPr>
        <w:t xml:space="preserve"> </w:t>
      </w:r>
      <w:r w:rsidR="00775B5A" w:rsidRPr="004A1C55">
        <w:rPr>
          <w:spacing w:val="-2"/>
          <w:kern w:val="22"/>
        </w:rPr>
        <w:t>88</w:t>
      </w:r>
      <w:r>
        <w:rPr>
          <w:spacing w:val="-2"/>
          <w:kern w:val="22"/>
        </w:rPr>
        <w:t xml:space="preserve"> </w:t>
      </w:r>
      <w:r w:rsidR="00775B5A" w:rsidRPr="004A1C55">
        <w:rPr>
          <w:spacing w:val="-2"/>
          <w:kern w:val="22"/>
        </w:rPr>
        <w:t>% (+</w:t>
      </w:r>
      <w:r>
        <w:rPr>
          <w:spacing w:val="-2"/>
          <w:kern w:val="22"/>
        </w:rPr>
        <w:t xml:space="preserve"> </w:t>
      </w:r>
      <w:r w:rsidR="00775B5A" w:rsidRPr="004A1C55">
        <w:rPr>
          <w:spacing w:val="-2"/>
          <w:kern w:val="22"/>
        </w:rPr>
        <w:t>7</w:t>
      </w:r>
      <w:r>
        <w:rPr>
          <w:spacing w:val="-2"/>
          <w:kern w:val="22"/>
        </w:rPr>
        <w:t xml:space="preserve"> </w:t>
      </w:r>
      <w:r w:rsidR="00775B5A" w:rsidRPr="004A1C55">
        <w:rPr>
          <w:spacing w:val="-2"/>
          <w:kern w:val="22"/>
        </w:rPr>
        <w:t>%)</w:t>
      </w:r>
      <w:r w:rsidR="00CD3B4E">
        <w:rPr>
          <w:spacing w:val="-2"/>
          <w:kern w:val="22"/>
        </w:rPr>
        <w:t>,</w:t>
      </w:r>
      <w:r w:rsidR="00775B5A" w:rsidRPr="004A1C55">
        <w:rPr>
          <w:spacing w:val="-2"/>
          <w:kern w:val="22"/>
        </w:rPr>
        <w:t xml:space="preserve"> </w:t>
      </w:r>
      <w:r w:rsidR="00D74010">
        <w:rPr>
          <w:snapToGrid w:val="0"/>
          <w:kern w:val="22"/>
        </w:rPr>
        <w:t>grupo de países de América Latina y el Caribe</w:t>
      </w:r>
      <w:r w:rsidR="00D74010" w:rsidRPr="004A1C55">
        <w:rPr>
          <w:spacing w:val="-2"/>
          <w:kern w:val="22"/>
        </w:rPr>
        <w:t xml:space="preserve"> </w:t>
      </w:r>
      <w:r w:rsidR="00775B5A" w:rsidRPr="004A1C55">
        <w:rPr>
          <w:spacing w:val="-2"/>
          <w:kern w:val="22"/>
        </w:rPr>
        <w:t>23</w:t>
      </w:r>
      <w:r>
        <w:rPr>
          <w:spacing w:val="-2"/>
          <w:kern w:val="22"/>
        </w:rPr>
        <w:t xml:space="preserve"> </w:t>
      </w:r>
      <w:r w:rsidR="00775B5A" w:rsidRPr="004A1C55">
        <w:rPr>
          <w:spacing w:val="-2"/>
          <w:kern w:val="22"/>
        </w:rPr>
        <w:t>% (+</w:t>
      </w:r>
      <w:r>
        <w:rPr>
          <w:spacing w:val="-2"/>
          <w:kern w:val="22"/>
        </w:rPr>
        <w:t xml:space="preserve"> </w:t>
      </w:r>
      <w:r w:rsidR="00775B5A" w:rsidRPr="004A1C55">
        <w:rPr>
          <w:spacing w:val="-2"/>
          <w:kern w:val="22"/>
        </w:rPr>
        <w:t>15</w:t>
      </w:r>
      <w:r>
        <w:rPr>
          <w:spacing w:val="-2"/>
          <w:kern w:val="22"/>
        </w:rPr>
        <w:t xml:space="preserve"> </w:t>
      </w:r>
      <w:r w:rsidR="00775B5A" w:rsidRPr="004A1C55">
        <w:rPr>
          <w:spacing w:val="-2"/>
          <w:kern w:val="22"/>
        </w:rPr>
        <w:t>%)</w:t>
      </w:r>
      <w:r w:rsidR="00CD3B4E">
        <w:rPr>
          <w:spacing w:val="-2"/>
          <w:kern w:val="22"/>
        </w:rPr>
        <w:t>,</w:t>
      </w:r>
      <w:r w:rsidR="00775B5A" w:rsidRPr="004A1C55">
        <w:rPr>
          <w:spacing w:val="-2"/>
          <w:kern w:val="22"/>
        </w:rPr>
        <w:t xml:space="preserve"> </w:t>
      </w:r>
      <w:r>
        <w:rPr>
          <w:spacing w:val="-2"/>
          <w:kern w:val="22"/>
        </w:rPr>
        <w:t xml:space="preserve">grupo de Estados de Europa Occidental y otros </w:t>
      </w:r>
      <w:r w:rsidR="00775B5A" w:rsidRPr="004A1C55">
        <w:rPr>
          <w:spacing w:val="-2"/>
          <w:kern w:val="22"/>
        </w:rPr>
        <w:t>94</w:t>
      </w:r>
      <w:r>
        <w:rPr>
          <w:spacing w:val="-2"/>
          <w:kern w:val="22"/>
        </w:rPr>
        <w:t xml:space="preserve"> </w:t>
      </w:r>
      <w:r w:rsidR="00775B5A" w:rsidRPr="004A1C55">
        <w:rPr>
          <w:spacing w:val="-2"/>
          <w:kern w:val="22"/>
        </w:rPr>
        <w:t>% (-</w:t>
      </w:r>
      <w:r>
        <w:rPr>
          <w:spacing w:val="-2"/>
          <w:kern w:val="22"/>
        </w:rPr>
        <w:t xml:space="preserve"> </w:t>
      </w:r>
      <w:r w:rsidR="00775B5A" w:rsidRPr="004A1C55">
        <w:rPr>
          <w:spacing w:val="-2"/>
          <w:kern w:val="22"/>
        </w:rPr>
        <w:t>6</w:t>
      </w:r>
      <w:r>
        <w:rPr>
          <w:spacing w:val="-2"/>
          <w:kern w:val="22"/>
        </w:rPr>
        <w:t xml:space="preserve"> </w:t>
      </w:r>
      <w:r w:rsidR="00775B5A" w:rsidRPr="004A1C55">
        <w:rPr>
          <w:spacing w:val="-2"/>
          <w:kern w:val="22"/>
        </w:rPr>
        <w:t xml:space="preserve">%)). </w:t>
      </w:r>
    </w:p>
    <w:p w:rsidR="00775B5A" w:rsidRPr="006E562C" w:rsidRDefault="006E562C"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6E562C">
        <w:rPr>
          <w:snapToGrid w:val="0"/>
          <w:kern w:val="22"/>
          <w:lang w:val="es-ES"/>
        </w:rPr>
        <w:t xml:space="preserve">En sus contribuciones </w:t>
      </w:r>
      <w:r w:rsidR="00CD3B4E">
        <w:rPr>
          <w:snapToGrid w:val="0"/>
          <w:kern w:val="22"/>
          <w:lang w:val="es-ES"/>
        </w:rPr>
        <w:t xml:space="preserve">presentadas </w:t>
      </w:r>
      <w:r w:rsidRPr="006E562C">
        <w:rPr>
          <w:snapToGrid w:val="0"/>
          <w:kern w:val="22"/>
          <w:lang w:val="es-ES"/>
        </w:rPr>
        <w:t>por escrito, algunas Partes explicaron que su proceso de participación del público</w:t>
      </w:r>
      <w:r>
        <w:rPr>
          <w:snapToGrid w:val="0"/>
          <w:kern w:val="22"/>
          <w:lang w:val="es-ES"/>
        </w:rPr>
        <w:t xml:space="preserve"> inclu</w:t>
      </w:r>
      <w:r w:rsidR="00513913">
        <w:rPr>
          <w:snapToGrid w:val="0"/>
          <w:kern w:val="22"/>
          <w:lang w:val="es-ES"/>
        </w:rPr>
        <w:t>ía</w:t>
      </w:r>
      <w:r w:rsidRPr="006E562C">
        <w:rPr>
          <w:snapToGrid w:val="0"/>
          <w:kern w:val="22"/>
          <w:lang w:val="es-ES"/>
        </w:rPr>
        <w:t>, entre otras cosas, audiencias p</w:t>
      </w:r>
      <w:r>
        <w:rPr>
          <w:snapToGrid w:val="0"/>
          <w:kern w:val="22"/>
          <w:lang w:val="es-ES"/>
        </w:rPr>
        <w:t xml:space="preserve">úblicas, órganos consultivos nacionales y la </w:t>
      </w:r>
      <w:bookmarkStart w:id="32" w:name="_Hlk30674551"/>
      <w:r>
        <w:rPr>
          <w:snapToGrid w:val="0"/>
          <w:kern w:val="22"/>
          <w:lang w:val="es-ES"/>
        </w:rPr>
        <w:t xml:space="preserve">difusión de información </w:t>
      </w:r>
      <w:bookmarkEnd w:id="32"/>
      <w:r>
        <w:rPr>
          <w:snapToGrid w:val="0"/>
          <w:kern w:val="22"/>
          <w:lang w:val="es-ES"/>
        </w:rPr>
        <w:t>en sitios web y medios de comunicación</w:t>
      </w:r>
      <w:r w:rsidR="00775B5A" w:rsidRPr="006E562C">
        <w:rPr>
          <w:snapToGrid w:val="0"/>
          <w:kern w:val="22"/>
          <w:lang w:val="es-ES"/>
        </w:rPr>
        <w:t xml:space="preserve">. </w:t>
      </w:r>
      <w:r w:rsidRPr="006E562C">
        <w:rPr>
          <w:snapToGrid w:val="0"/>
          <w:kern w:val="22"/>
          <w:lang w:val="es-ES"/>
        </w:rPr>
        <w:t>Varias P</w:t>
      </w:r>
      <w:r w:rsidR="00775B5A" w:rsidRPr="006E562C">
        <w:rPr>
          <w:snapToGrid w:val="0"/>
          <w:kern w:val="22"/>
          <w:lang w:val="es-ES"/>
        </w:rPr>
        <w:t xml:space="preserve">artes </w:t>
      </w:r>
      <w:r w:rsidRPr="006E562C">
        <w:rPr>
          <w:snapToGrid w:val="0"/>
          <w:kern w:val="22"/>
          <w:lang w:val="es-ES"/>
        </w:rPr>
        <w:t>de las regiones de</w:t>
      </w:r>
      <w:r w:rsidR="00477624">
        <w:rPr>
          <w:snapToGrid w:val="0"/>
          <w:kern w:val="22"/>
          <w:lang w:val="es-ES"/>
        </w:rPr>
        <w:t>l grupo de Estados de Europa Central y Oriental</w:t>
      </w:r>
      <w:r w:rsidRPr="006E562C">
        <w:rPr>
          <w:snapToGrid w:val="0"/>
          <w:kern w:val="22"/>
          <w:lang w:val="es-ES"/>
        </w:rPr>
        <w:t xml:space="preserve"> y del grupo de Estados de Europa Occidental y otros</w:t>
      </w:r>
      <w:r w:rsidR="00775B5A" w:rsidRPr="006E562C">
        <w:rPr>
          <w:snapToGrid w:val="0"/>
          <w:kern w:val="22"/>
          <w:lang w:val="es-ES"/>
        </w:rPr>
        <w:t xml:space="preserve"> </w:t>
      </w:r>
      <w:r w:rsidRPr="006E562C">
        <w:rPr>
          <w:snapToGrid w:val="0"/>
          <w:kern w:val="22"/>
          <w:lang w:val="es-ES"/>
        </w:rPr>
        <w:t>señalaron que están aplicando mecanismos de participa</w:t>
      </w:r>
      <w:r w:rsidRPr="00CD3B4E">
        <w:rPr>
          <w:snapToGrid w:val="0"/>
          <w:kern w:val="22"/>
          <w:lang w:val="es-ES"/>
        </w:rPr>
        <w:t>ción pública b</w:t>
      </w:r>
      <w:r>
        <w:rPr>
          <w:snapToGrid w:val="0"/>
          <w:kern w:val="22"/>
          <w:lang w:val="es-ES"/>
        </w:rPr>
        <w:t>asados en las disposiciones de</w:t>
      </w:r>
      <w:r w:rsidR="002D0368">
        <w:rPr>
          <w:snapToGrid w:val="0"/>
          <w:kern w:val="22"/>
          <w:lang w:val="es-ES"/>
        </w:rPr>
        <w:t xml:space="preserve"> la Convención</w:t>
      </w:r>
      <w:r>
        <w:rPr>
          <w:snapToGrid w:val="0"/>
          <w:kern w:val="22"/>
          <w:lang w:val="es-ES"/>
        </w:rPr>
        <w:t xml:space="preserve"> sobre el acceso a la información, la participación del público en la toma de decisiones y el acceso a la justicia en </w:t>
      </w:r>
      <w:r w:rsidR="002D0368">
        <w:rPr>
          <w:snapToGrid w:val="0"/>
          <w:kern w:val="22"/>
          <w:lang w:val="es-ES"/>
        </w:rPr>
        <w:t>asuntos ambientales</w:t>
      </w:r>
      <w:r w:rsidR="00775B5A" w:rsidRPr="006E562C">
        <w:rPr>
          <w:snapToGrid w:val="0"/>
          <w:kern w:val="22"/>
          <w:lang w:val="es-ES"/>
        </w:rPr>
        <w:t xml:space="preserve"> (</w:t>
      </w:r>
      <w:r>
        <w:rPr>
          <w:snapToGrid w:val="0"/>
          <w:kern w:val="22"/>
          <w:lang w:val="es-ES"/>
        </w:rPr>
        <w:t>Conven</w:t>
      </w:r>
      <w:r w:rsidR="002D0368">
        <w:rPr>
          <w:snapToGrid w:val="0"/>
          <w:kern w:val="22"/>
          <w:lang w:val="es-ES"/>
        </w:rPr>
        <w:t xml:space="preserve">ción </w:t>
      </w:r>
      <w:r>
        <w:rPr>
          <w:snapToGrid w:val="0"/>
          <w:kern w:val="22"/>
          <w:lang w:val="es-ES"/>
        </w:rPr>
        <w:t xml:space="preserve">de </w:t>
      </w:r>
      <w:r w:rsidR="00775B5A" w:rsidRPr="006E562C">
        <w:rPr>
          <w:snapToGrid w:val="0"/>
          <w:kern w:val="22"/>
          <w:lang w:val="es-ES"/>
        </w:rPr>
        <w:t xml:space="preserve">Aarhus). </w:t>
      </w:r>
    </w:p>
    <w:p w:rsidR="00775B5A" w:rsidRPr="00B55CE3" w:rsidRDefault="00B55CE3" w:rsidP="001D4EEE">
      <w:pPr>
        <w:pStyle w:val="ListParagraph"/>
        <w:numPr>
          <w:ilvl w:val="0"/>
          <w:numId w:val="2"/>
        </w:numPr>
        <w:suppressLineNumbers/>
        <w:tabs>
          <w:tab w:val="clear" w:pos="3240"/>
        </w:tabs>
        <w:suppressAutoHyphens/>
        <w:snapToGrid w:val="0"/>
        <w:spacing w:before="120" w:after="120"/>
        <w:ind w:left="0" w:firstLine="0"/>
        <w:rPr>
          <w:snapToGrid w:val="0"/>
          <w:kern w:val="22"/>
          <w:lang w:val="es-ES"/>
        </w:rPr>
      </w:pPr>
      <w:r w:rsidRPr="00B55CE3">
        <w:rPr>
          <w:snapToGrid w:val="0"/>
          <w:kern w:val="22"/>
          <w:lang w:val="es-ES"/>
        </w:rPr>
        <w:t>En la encuesta sobre el programa de trabajo relativo al artículo</w:t>
      </w:r>
      <w:r w:rsidR="00775B5A" w:rsidRPr="00B55CE3">
        <w:rPr>
          <w:snapToGrid w:val="0"/>
          <w:kern w:val="22"/>
          <w:lang w:val="es-ES"/>
        </w:rPr>
        <w:t xml:space="preserve"> 23, </w:t>
      </w:r>
      <w:r w:rsidRPr="00B55CE3">
        <w:rPr>
          <w:snapToGrid w:val="0"/>
          <w:kern w:val="22"/>
          <w:lang w:val="es-ES"/>
        </w:rPr>
        <w:t>la mayoría de encuestados indicó que los resultados de los procesos de consulta p</w:t>
      </w:r>
      <w:r>
        <w:rPr>
          <w:snapToGrid w:val="0"/>
          <w:kern w:val="22"/>
          <w:lang w:val="es-ES"/>
        </w:rPr>
        <w:t xml:space="preserve">ública que tuvieron lugar en el periodo </w:t>
      </w:r>
      <w:r w:rsidR="00775B5A" w:rsidRPr="00B55CE3">
        <w:rPr>
          <w:snapToGrid w:val="0"/>
          <w:kern w:val="22"/>
          <w:lang w:val="es-ES"/>
        </w:rPr>
        <w:t xml:space="preserve">2016-2019 </w:t>
      </w:r>
      <w:r>
        <w:rPr>
          <w:snapToGrid w:val="0"/>
          <w:kern w:val="22"/>
          <w:lang w:val="es-ES"/>
        </w:rPr>
        <w:t>se tuvieron en cuenta, o se tuvieron en cuenta en cierta medida, en la toma de decisiones sobre los OVM</w:t>
      </w:r>
      <w:r w:rsidR="00775B5A" w:rsidRPr="00B55CE3">
        <w:rPr>
          <w:snapToGrid w:val="0"/>
          <w:kern w:val="22"/>
          <w:lang w:val="es-ES"/>
        </w:rPr>
        <w:t xml:space="preserve">. </w:t>
      </w:r>
      <w:r w:rsidRPr="00B55CE3">
        <w:rPr>
          <w:snapToGrid w:val="0"/>
          <w:kern w:val="22"/>
          <w:lang w:val="es-ES"/>
        </w:rPr>
        <w:t>En sus comentarios de texto libre, varios encuestados indicaron que una serie de procesos de toma de decisiones no se hab</w:t>
      </w:r>
      <w:r>
        <w:rPr>
          <w:snapToGrid w:val="0"/>
          <w:kern w:val="22"/>
          <w:lang w:val="es-ES"/>
        </w:rPr>
        <w:t>ían</w:t>
      </w:r>
      <w:r w:rsidR="00CD3B4E">
        <w:rPr>
          <w:snapToGrid w:val="0"/>
          <w:kern w:val="22"/>
          <w:lang w:val="es-ES"/>
        </w:rPr>
        <w:t xml:space="preserve"> ultimado</w:t>
      </w:r>
      <w:r>
        <w:rPr>
          <w:snapToGrid w:val="0"/>
          <w:kern w:val="22"/>
          <w:lang w:val="es-ES"/>
        </w:rPr>
        <w:t xml:space="preserve">, mientras que otros </w:t>
      </w:r>
      <w:r w:rsidR="00662052">
        <w:rPr>
          <w:snapToGrid w:val="0"/>
          <w:kern w:val="22"/>
          <w:lang w:val="es-ES"/>
        </w:rPr>
        <w:t>señalaron que se estaba elaborando la base reglamentaria para tener en cuenta los resultados</w:t>
      </w:r>
      <w:r w:rsidR="00775B5A" w:rsidRPr="00B55CE3">
        <w:rPr>
          <w:snapToGrid w:val="0"/>
          <w:kern w:val="22"/>
          <w:lang w:val="es-ES"/>
        </w:rPr>
        <w:t xml:space="preserve">. </w:t>
      </w:r>
    </w:p>
    <w:p w:rsidR="00775B5A" w:rsidRPr="005412A8" w:rsidRDefault="003005DA"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3005DA">
        <w:rPr>
          <w:snapToGrid w:val="0"/>
          <w:spacing w:val="-2"/>
          <w:kern w:val="22"/>
          <w:lang w:val="es-ES"/>
        </w:rPr>
        <w:t xml:space="preserve">En lo tocante al </w:t>
      </w:r>
      <w:r w:rsidR="00775B5A" w:rsidRPr="003005DA">
        <w:rPr>
          <w:b/>
          <w:bCs/>
          <w:snapToGrid w:val="0"/>
          <w:spacing w:val="-2"/>
          <w:kern w:val="22"/>
          <w:lang w:val="es-ES"/>
        </w:rPr>
        <w:t>indica</w:t>
      </w:r>
      <w:r w:rsidRPr="003005DA">
        <w:rPr>
          <w:b/>
          <w:bCs/>
          <w:snapToGrid w:val="0"/>
          <w:spacing w:val="-2"/>
          <w:kern w:val="22"/>
          <w:lang w:val="es-ES"/>
        </w:rPr>
        <w:t>d</w:t>
      </w:r>
      <w:r w:rsidR="00775B5A" w:rsidRPr="003005DA">
        <w:rPr>
          <w:b/>
          <w:bCs/>
          <w:snapToGrid w:val="0"/>
          <w:spacing w:val="-2"/>
          <w:kern w:val="22"/>
          <w:lang w:val="es-ES"/>
        </w:rPr>
        <w:t>or 2.5.2</w:t>
      </w:r>
      <w:r w:rsidRPr="003005DA">
        <w:rPr>
          <w:b/>
          <w:bCs/>
          <w:snapToGrid w:val="0"/>
          <w:spacing w:val="-2"/>
          <w:kern w:val="22"/>
          <w:lang w:val="es-ES"/>
        </w:rPr>
        <w:t xml:space="preserve"> </w:t>
      </w:r>
      <w:r w:rsidR="00775B5A" w:rsidRPr="003005DA">
        <w:rPr>
          <w:snapToGrid w:val="0"/>
          <w:spacing w:val="-2"/>
          <w:kern w:val="22"/>
          <w:lang w:val="es-ES"/>
        </w:rPr>
        <w:t>(</w:t>
      </w:r>
      <w:r w:rsidRPr="003005DA">
        <w:rPr>
          <w:snapToGrid w:val="0"/>
          <w:spacing w:val="-2"/>
          <w:kern w:val="22"/>
          <w:lang w:val="es-ES"/>
        </w:rPr>
        <w:t>po</w:t>
      </w:r>
      <w:r>
        <w:rPr>
          <w:snapToGrid w:val="0"/>
          <w:spacing w:val="-2"/>
          <w:kern w:val="22"/>
          <w:lang w:val="es-ES"/>
        </w:rPr>
        <w:t>r</w:t>
      </w:r>
      <w:r w:rsidRPr="003005DA">
        <w:rPr>
          <w:snapToGrid w:val="0"/>
          <w:spacing w:val="-2"/>
          <w:kern w:val="22"/>
          <w:lang w:val="es-ES"/>
        </w:rPr>
        <w:t>centaje de Partes que informa a su público so</w:t>
      </w:r>
      <w:r w:rsidR="00895D07">
        <w:rPr>
          <w:snapToGrid w:val="0"/>
          <w:spacing w:val="-2"/>
          <w:kern w:val="22"/>
          <w:lang w:val="es-ES"/>
        </w:rPr>
        <w:t xml:space="preserve">bre las </w:t>
      </w:r>
      <w:r w:rsidRPr="003005DA">
        <w:rPr>
          <w:snapToGrid w:val="0"/>
          <w:spacing w:val="-2"/>
          <w:kern w:val="22"/>
          <w:lang w:val="es-ES"/>
        </w:rPr>
        <w:t>modalidades de participación</w:t>
      </w:r>
      <w:r w:rsidR="00895D07">
        <w:rPr>
          <w:snapToGrid w:val="0"/>
          <w:spacing w:val="-2"/>
          <w:kern w:val="22"/>
          <w:lang w:val="es-ES"/>
        </w:rPr>
        <w:t xml:space="preserve"> existentes</w:t>
      </w:r>
      <w:r w:rsidR="00775B5A" w:rsidRPr="003005DA">
        <w:rPr>
          <w:snapToGrid w:val="0"/>
          <w:spacing w:val="-2"/>
          <w:kern w:val="22"/>
          <w:lang w:val="es-ES"/>
        </w:rPr>
        <w:t xml:space="preserve">), </w:t>
      </w:r>
      <w:bookmarkStart w:id="33" w:name="_Hlk33714434"/>
      <w:r w:rsidRPr="003005DA">
        <w:rPr>
          <w:snapToGrid w:val="0"/>
          <w:spacing w:val="-2"/>
          <w:kern w:val="22"/>
          <w:lang w:val="es-ES"/>
        </w:rPr>
        <w:t xml:space="preserve">el </w:t>
      </w:r>
      <w:r w:rsidR="00775B5A" w:rsidRPr="003005DA">
        <w:rPr>
          <w:snapToGrid w:val="0"/>
          <w:spacing w:val="-2"/>
          <w:kern w:val="22"/>
          <w:lang w:val="es-ES"/>
        </w:rPr>
        <w:t>69</w:t>
      </w:r>
      <w:r>
        <w:rPr>
          <w:snapToGrid w:val="0"/>
          <w:spacing w:val="-2"/>
          <w:kern w:val="22"/>
          <w:lang w:val="es-ES"/>
        </w:rPr>
        <w:t xml:space="preserve"> % de las Partes</w:t>
      </w:r>
      <w:r w:rsidR="00775B5A" w:rsidRPr="003005DA">
        <w:rPr>
          <w:snapToGrid w:val="0"/>
          <w:spacing w:val="-2"/>
          <w:kern w:val="22"/>
          <w:lang w:val="es-ES"/>
        </w:rPr>
        <w:t xml:space="preserve"> (49 Partes) </w:t>
      </w:r>
      <w:r>
        <w:rPr>
          <w:snapToGrid w:val="0"/>
          <w:spacing w:val="-2"/>
          <w:kern w:val="22"/>
          <w:lang w:val="es-ES"/>
        </w:rPr>
        <w:t>comunic</w:t>
      </w:r>
      <w:r w:rsidR="00CD3B4E">
        <w:rPr>
          <w:snapToGrid w:val="0"/>
          <w:spacing w:val="-2"/>
          <w:kern w:val="22"/>
          <w:lang w:val="es-ES"/>
        </w:rPr>
        <w:t>ó que informa</w:t>
      </w:r>
      <w:r>
        <w:rPr>
          <w:snapToGrid w:val="0"/>
          <w:spacing w:val="-2"/>
          <w:kern w:val="22"/>
          <w:lang w:val="es-ES"/>
        </w:rPr>
        <w:t xml:space="preserve"> al público sobre las modalidades existentes para la participación del público en el proceso de toma de decisiones relativas a los OVM</w:t>
      </w:r>
      <w:r w:rsidR="00775B5A" w:rsidRPr="003005DA">
        <w:rPr>
          <w:snapToGrid w:val="0"/>
          <w:spacing w:val="-2"/>
          <w:kern w:val="22"/>
          <w:lang w:val="es-ES"/>
        </w:rPr>
        <w:t xml:space="preserve"> (-</w:t>
      </w:r>
      <w:r>
        <w:rPr>
          <w:snapToGrid w:val="0"/>
          <w:spacing w:val="-2"/>
          <w:kern w:val="22"/>
          <w:lang w:val="es-ES"/>
        </w:rPr>
        <w:t xml:space="preserve"> </w:t>
      </w:r>
      <w:r w:rsidR="00775B5A" w:rsidRPr="003005DA">
        <w:rPr>
          <w:snapToGrid w:val="0"/>
          <w:spacing w:val="-2"/>
          <w:kern w:val="22"/>
          <w:lang w:val="es-ES"/>
        </w:rPr>
        <w:t>16</w:t>
      </w:r>
      <w:r>
        <w:rPr>
          <w:snapToGrid w:val="0"/>
          <w:spacing w:val="-2"/>
          <w:kern w:val="22"/>
          <w:lang w:val="es-ES"/>
        </w:rPr>
        <w:t xml:space="preserve"> </w:t>
      </w:r>
      <w:r w:rsidR="00775B5A" w:rsidRPr="003005DA">
        <w:rPr>
          <w:snapToGrid w:val="0"/>
          <w:spacing w:val="-2"/>
          <w:kern w:val="22"/>
          <w:lang w:val="es-ES"/>
        </w:rPr>
        <w:t xml:space="preserve">%). </w:t>
      </w:r>
      <w:bookmarkEnd w:id="33"/>
      <w:r w:rsidRPr="00895D07">
        <w:rPr>
          <w:snapToGrid w:val="0"/>
          <w:spacing w:val="-2"/>
          <w:kern w:val="22"/>
          <w:lang w:val="es-ES"/>
        </w:rPr>
        <w:t xml:space="preserve">Otro </w:t>
      </w:r>
      <w:r w:rsidR="00775B5A" w:rsidRPr="00895D07">
        <w:rPr>
          <w:snapToGrid w:val="0"/>
          <w:spacing w:val="-2"/>
          <w:kern w:val="22"/>
          <w:lang w:val="es-ES"/>
        </w:rPr>
        <w:t>11</w:t>
      </w:r>
      <w:r w:rsidRPr="00895D07">
        <w:rPr>
          <w:snapToGrid w:val="0"/>
          <w:spacing w:val="-2"/>
          <w:kern w:val="22"/>
          <w:lang w:val="es-ES"/>
        </w:rPr>
        <w:t xml:space="preserve"> </w:t>
      </w:r>
      <w:r w:rsidR="00775B5A" w:rsidRPr="00895D07">
        <w:rPr>
          <w:snapToGrid w:val="0"/>
          <w:spacing w:val="-2"/>
          <w:kern w:val="22"/>
          <w:lang w:val="es-ES"/>
        </w:rPr>
        <w:t xml:space="preserve">% </w:t>
      </w:r>
      <w:r w:rsidRPr="00895D07">
        <w:rPr>
          <w:snapToGrid w:val="0"/>
          <w:spacing w:val="-2"/>
          <w:kern w:val="22"/>
          <w:lang w:val="es-ES"/>
        </w:rPr>
        <w:t xml:space="preserve">de las </w:t>
      </w:r>
      <w:r w:rsidR="00775B5A" w:rsidRPr="00895D07">
        <w:rPr>
          <w:snapToGrid w:val="0"/>
          <w:spacing w:val="-2"/>
          <w:kern w:val="22"/>
          <w:lang w:val="es-ES"/>
        </w:rPr>
        <w:t>Partes (8</w:t>
      </w:r>
      <w:r w:rsidR="00775B5A" w:rsidRPr="00895D07">
        <w:rPr>
          <w:rFonts w:ascii="Angsana New" w:hAnsi="Angsana New" w:cs="Angsana New"/>
          <w:snapToGrid w:val="0"/>
          <w:spacing w:val="-2"/>
          <w:kern w:val="22"/>
          <w:lang w:val="es-ES"/>
        </w:rPr>
        <w:t> </w:t>
      </w:r>
      <w:r w:rsidR="00775B5A" w:rsidRPr="00895D07">
        <w:rPr>
          <w:snapToGrid w:val="0"/>
          <w:spacing w:val="-2"/>
          <w:kern w:val="22"/>
          <w:lang w:val="es-ES"/>
        </w:rPr>
        <w:t xml:space="preserve">Partes) </w:t>
      </w:r>
      <w:r w:rsidR="00895D07" w:rsidRPr="00895D07">
        <w:rPr>
          <w:snapToGrid w:val="0"/>
          <w:spacing w:val="-2"/>
          <w:kern w:val="22"/>
          <w:lang w:val="es-ES"/>
        </w:rPr>
        <w:t>indic</w:t>
      </w:r>
      <w:r w:rsidR="00CD3B4E">
        <w:rPr>
          <w:snapToGrid w:val="0"/>
          <w:spacing w:val="-2"/>
          <w:kern w:val="22"/>
          <w:lang w:val="es-ES"/>
        </w:rPr>
        <w:t>ó</w:t>
      </w:r>
      <w:r w:rsidR="00895D07" w:rsidRPr="00895D07">
        <w:rPr>
          <w:snapToGrid w:val="0"/>
          <w:spacing w:val="-2"/>
          <w:kern w:val="22"/>
          <w:lang w:val="es-ES"/>
        </w:rPr>
        <w:t xml:space="preserve"> haberlo hecho en cierta medida</w:t>
      </w:r>
      <w:r w:rsidR="00775B5A" w:rsidRPr="00895D07">
        <w:rPr>
          <w:snapToGrid w:val="0"/>
          <w:spacing w:val="-2"/>
          <w:kern w:val="22"/>
          <w:lang w:val="es-ES"/>
        </w:rPr>
        <w:t xml:space="preserve"> (+</w:t>
      </w:r>
      <w:r w:rsidR="00895D07" w:rsidRPr="00895D07">
        <w:rPr>
          <w:snapToGrid w:val="0"/>
          <w:spacing w:val="-2"/>
          <w:kern w:val="22"/>
          <w:lang w:val="es-ES"/>
        </w:rPr>
        <w:t xml:space="preserve"> </w:t>
      </w:r>
      <w:r w:rsidR="00775B5A" w:rsidRPr="00895D07">
        <w:rPr>
          <w:snapToGrid w:val="0"/>
          <w:spacing w:val="-2"/>
          <w:kern w:val="22"/>
          <w:lang w:val="es-ES"/>
        </w:rPr>
        <w:t>11</w:t>
      </w:r>
      <w:r w:rsidR="00895D07">
        <w:rPr>
          <w:snapToGrid w:val="0"/>
          <w:spacing w:val="-2"/>
          <w:kern w:val="22"/>
          <w:lang w:val="es-ES"/>
        </w:rPr>
        <w:t xml:space="preserve"> </w:t>
      </w:r>
      <w:r w:rsidR="00775B5A" w:rsidRPr="00895D07">
        <w:rPr>
          <w:snapToGrid w:val="0"/>
          <w:spacing w:val="-2"/>
          <w:kern w:val="22"/>
          <w:lang w:val="es-ES"/>
        </w:rPr>
        <w:t xml:space="preserve">%). </w:t>
      </w:r>
      <w:r w:rsidR="00895D07">
        <w:rPr>
          <w:snapToGrid w:val="0"/>
          <w:spacing w:val="-2"/>
          <w:kern w:val="22"/>
          <w:lang w:val="es-ES"/>
        </w:rPr>
        <w:t xml:space="preserve">En su conjunto, el </w:t>
      </w:r>
      <w:r w:rsidR="00775B5A" w:rsidRPr="00895D07">
        <w:rPr>
          <w:snapToGrid w:val="0"/>
          <w:spacing w:val="-2"/>
          <w:kern w:val="22"/>
          <w:lang w:val="es-ES"/>
        </w:rPr>
        <w:t>80</w:t>
      </w:r>
      <w:r w:rsidR="00895D07" w:rsidRPr="00895D07">
        <w:rPr>
          <w:snapToGrid w:val="0"/>
          <w:spacing w:val="-2"/>
          <w:kern w:val="22"/>
          <w:lang w:val="es-ES"/>
        </w:rPr>
        <w:t xml:space="preserve"> </w:t>
      </w:r>
      <w:r w:rsidR="00775B5A" w:rsidRPr="00895D07">
        <w:rPr>
          <w:snapToGrid w:val="0"/>
          <w:spacing w:val="-2"/>
          <w:kern w:val="22"/>
          <w:lang w:val="es-ES"/>
        </w:rPr>
        <w:t xml:space="preserve">% </w:t>
      </w:r>
      <w:r w:rsidR="00895D07" w:rsidRPr="00895D07">
        <w:rPr>
          <w:snapToGrid w:val="0"/>
          <w:spacing w:val="-2"/>
          <w:kern w:val="22"/>
          <w:lang w:val="es-ES"/>
        </w:rPr>
        <w:t xml:space="preserve">de las </w:t>
      </w:r>
      <w:r w:rsidR="00775B5A" w:rsidRPr="00895D07">
        <w:rPr>
          <w:snapToGrid w:val="0"/>
          <w:spacing w:val="-2"/>
          <w:kern w:val="22"/>
          <w:lang w:val="es-ES"/>
        </w:rPr>
        <w:t xml:space="preserve">Partes </w:t>
      </w:r>
      <w:r w:rsidR="00895D07" w:rsidRPr="00895D07">
        <w:rPr>
          <w:snapToGrid w:val="0"/>
          <w:spacing w:val="-2"/>
          <w:kern w:val="22"/>
          <w:lang w:val="es-ES"/>
        </w:rPr>
        <w:t>comunic</w:t>
      </w:r>
      <w:r w:rsidR="00CD3B4E">
        <w:rPr>
          <w:snapToGrid w:val="0"/>
          <w:spacing w:val="-2"/>
          <w:kern w:val="22"/>
          <w:lang w:val="es-ES"/>
        </w:rPr>
        <w:t>ó</w:t>
      </w:r>
      <w:r w:rsidR="00895D07" w:rsidRPr="00895D07">
        <w:rPr>
          <w:snapToGrid w:val="0"/>
          <w:spacing w:val="-2"/>
          <w:kern w:val="22"/>
          <w:lang w:val="es-ES"/>
        </w:rPr>
        <w:t xml:space="preserve"> haber informado al público al menos en cierta medida</w:t>
      </w:r>
      <w:r w:rsidR="00895D07">
        <w:rPr>
          <w:snapToGrid w:val="0"/>
          <w:spacing w:val="-2"/>
          <w:kern w:val="22"/>
          <w:lang w:val="es-ES"/>
        </w:rPr>
        <w:t xml:space="preserve">, lo que representa una disminución de un </w:t>
      </w:r>
      <w:r w:rsidR="00775B5A" w:rsidRPr="00895D07">
        <w:rPr>
          <w:snapToGrid w:val="0"/>
          <w:spacing w:val="-2"/>
          <w:kern w:val="22"/>
          <w:lang w:val="es-ES"/>
        </w:rPr>
        <w:t>4</w:t>
      </w:r>
      <w:r w:rsidR="00895D07">
        <w:rPr>
          <w:snapToGrid w:val="0"/>
          <w:spacing w:val="-2"/>
          <w:kern w:val="22"/>
          <w:lang w:val="es-ES"/>
        </w:rPr>
        <w:t xml:space="preserve"> </w:t>
      </w:r>
      <w:r w:rsidR="00775B5A" w:rsidRPr="00895D07">
        <w:rPr>
          <w:snapToGrid w:val="0"/>
          <w:spacing w:val="-2"/>
          <w:kern w:val="22"/>
          <w:lang w:val="es-ES"/>
        </w:rPr>
        <w:t xml:space="preserve">% </w:t>
      </w:r>
      <w:r w:rsidR="00895D07">
        <w:rPr>
          <w:snapToGrid w:val="0"/>
          <w:spacing w:val="-2"/>
          <w:kern w:val="22"/>
          <w:lang w:val="es-ES"/>
        </w:rPr>
        <w:t>con respecto a los datos básicos de referencia</w:t>
      </w:r>
      <w:r w:rsidR="00775B5A">
        <w:rPr>
          <w:rStyle w:val="FootnoteReference"/>
          <w:rFonts w:ascii="Angsana New" w:hAnsi="Angsana New" w:cs="Angsana New"/>
          <w:snapToGrid w:val="0"/>
          <w:spacing w:val="-2"/>
          <w:kern w:val="22"/>
        </w:rPr>
        <w:footnoteReference w:id="62"/>
      </w:r>
      <w:bookmarkStart w:id="34" w:name="_Hlk30519355"/>
      <w:r w:rsidR="00895D07" w:rsidRPr="00895D07">
        <w:rPr>
          <w:snapToGrid w:val="0"/>
          <w:spacing w:val="-2"/>
          <w:kern w:val="22"/>
          <w:lang w:val="es-ES"/>
        </w:rPr>
        <w:t>.</w:t>
      </w:r>
      <w:r w:rsidR="00895D07">
        <w:rPr>
          <w:snapToGrid w:val="0"/>
          <w:spacing w:val="-2"/>
          <w:kern w:val="22"/>
          <w:lang w:val="es-ES"/>
        </w:rPr>
        <w:t xml:space="preserve"> </w:t>
      </w:r>
      <w:r w:rsidR="00775B5A" w:rsidRPr="00895D07">
        <w:rPr>
          <w:snapToGrid w:val="0"/>
          <w:spacing w:val="-2"/>
          <w:kern w:val="22"/>
          <w:lang w:val="es-ES"/>
        </w:rPr>
        <w:t>A</w:t>
      </w:r>
      <w:r w:rsidR="00895D07" w:rsidRPr="00895D07">
        <w:rPr>
          <w:snapToGrid w:val="0"/>
          <w:spacing w:val="-2"/>
          <w:kern w:val="22"/>
          <w:lang w:val="es-ES"/>
        </w:rPr>
        <w:t xml:space="preserve"> nivel </w:t>
      </w:r>
      <w:r w:rsidR="00775B5A" w:rsidRPr="00895D07">
        <w:rPr>
          <w:snapToGrid w:val="0"/>
          <w:spacing w:val="-2"/>
          <w:kern w:val="22"/>
          <w:lang w:val="es-ES"/>
        </w:rPr>
        <w:t xml:space="preserve">regional, </w:t>
      </w:r>
      <w:r w:rsidR="00895D07" w:rsidRPr="00895D07">
        <w:rPr>
          <w:snapToGrid w:val="0"/>
          <w:spacing w:val="-2"/>
          <w:kern w:val="22"/>
          <w:lang w:val="es-ES"/>
        </w:rPr>
        <w:t>las cifras combinadas son las siguientes</w:t>
      </w:r>
      <w:r w:rsidR="00775B5A" w:rsidRPr="00895D07">
        <w:rPr>
          <w:snapToGrid w:val="0"/>
          <w:spacing w:val="-2"/>
          <w:kern w:val="22"/>
          <w:lang w:val="es-ES"/>
        </w:rPr>
        <w:t xml:space="preserve">, </w:t>
      </w:r>
      <w:r w:rsidR="00895D07" w:rsidRPr="00895D07">
        <w:rPr>
          <w:snapToGrid w:val="0"/>
          <w:spacing w:val="-2"/>
          <w:kern w:val="22"/>
          <w:lang w:val="es-ES"/>
        </w:rPr>
        <w:t>con disminuciones registradas en tres regiones</w:t>
      </w:r>
      <w:r w:rsidR="00775B5A" w:rsidRPr="00895D07">
        <w:rPr>
          <w:snapToGrid w:val="0"/>
          <w:spacing w:val="-2"/>
          <w:kern w:val="22"/>
          <w:lang w:val="es-ES"/>
        </w:rPr>
        <w:t xml:space="preserve">: </w:t>
      </w:r>
      <w:r w:rsidR="00895D07" w:rsidRPr="00895D07">
        <w:rPr>
          <w:snapToGrid w:val="0"/>
          <w:spacing w:val="-2"/>
          <w:kern w:val="22"/>
          <w:lang w:val="es-ES"/>
        </w:rPr>
        <w:t>Á</w:t>
      </w:r>
      <w:r w:rsidR="00775B5A" w:rsidRPr="00895D07">
        <w:rPr>
          <w:snapToGrid w:val="0"/>
          <w:spacing w:val="-2"/>
          <w:kern w:val="22"/>
          <w:lang w:val="es-ES"/>
        </w:rPr>
        <w:t>frica: 74</w:t>
      </w:r>
      <w:r w:rsidR="00895D07" w:rsidRPr="00895D07">
        <w:rPr>
          <w:snapToGrid w:val="0"/>
          <w:spacing w:val="-2"/>
          <w:kern w:val="22"/>
          <w:lang w:val="es-ES"/>
        </w:rPr>
        <w:t xml:space="preserve"> </w:t>
      </w:r>
      <w:r w:rsidR="00775B5A" w:rsidRPr="00895D07">
        <w:rPr>
          <w:snapToGrid w:val="0"/>
          <w:spacing w:val="-2"/>
          <w:kern w:val="22"/>
          <w:lang w:val="es-ES"/>
        </w:rPr>
        <w:t>% (-</w:t>
      </w:r>
      <w:r w:rsidR="00895D07">
        <w:rPr>
          <w:snapToGrid w:val="0"/>
          <w:spacing w:val="-2"/>
          <w:kern w:val="22"/>
          <w:lang w:val="es-ES"/>
        </w:rPr>
        <w:t xml:space="preserve"> </w:t>
      </w:r>
      <w:r w:rsidR="00775B5A" w:rsidRPr="00895D07">
        <w:rPr>
          <w:snapToGrid w:val="0"/>
          <w:spacing w:val="-2"/>
          <w:kern w:val="22"/>
          <w:lang w:val="es-ES"/>
        </w:rPr>
        <w:t>16</w:t>
      </w:r>
      <w:r w:rsidR="00895D07">
        <w:rPr>
          <w:snapToGrid w:val="0"/>
          <w:spacing w:val="-2"/>
          <w:kern w:val="22"/>
          <w:lang w:val="es-ES"/>
        </w:rPr>
        <w:t xml:space="preserve"> </w:t>
      </w:r>
      <w:r w:rsidR="00775B5A" w:rsidRPr="00895D07">
        <w:rPr>
          <w:snapToGrid w:val="0"/>
          <w:spacing w:val="-2"/>
          <w:kern w:val="22"/>
          <w:lang w:val="es-ES"/>
        </w:rPr>
        <w:t>%)</w:t>
      </w:r>
      <w:r w:rsidR="00CD3B4E">
        <w:rPr>
          <w:snapToGrid w:val="0"/>
          <w:spacing w:val="-2"/>
          <w:kern w:val="22"/>
          <w:lang w:val="es-ES"/>
        </w:rPr>
        <w:t>,</w:t>
      </w:r>
      <w:r w:rsidR="00775B5A" w:rsidRPr="00895D07">
        <w:rPr>
          <w:snapToGrid w:val="0"/>
          <w:spacing w:val="-2"/>
          <w:kern w:val="22"/>
          <w:lang w:val="es-ES"/>
        </w:rPr>
        <w:t xml:space="preserve"> </w:t>
      </w:r>
      <w:r w:rsidR="00D74010">
        <w:rPr>
          <w:snapToGrid w:val="0"/>
          <w:kern w:val="22"/>
          <w:lang w:val="es-ES"/>
        </w:rPr>
        <w:t>grupo de países de América Latina y el Caribe</w:t>
      </w:r>
      <w:r w:rsidR="00775B5A" w:rsidRPr="00895D07">
        <w:rPr>
          <w:snapToGrid w:val="0"/>
          <w:spacing w:val="-2"/>
          <w:kern w:val="22"/>
          <w:lang w:val="es-ES"/>
        </w:rPr>
        <w:t>: 54</w:t>
      </w:r>
      <w:r w:rsidR="00895D07">
        <w:rPr>
          <w:snapToGrid w:val="0"/>
          <w:spacing w:val="-2"/>
          <w:kern w:val="22"/>
          <w:lang w:val="es-ES"/>
        </w:rPr>
        <w:t xml:space="preserve"> </w:t>
      </w:r>
      <w:r w:rsidR="00775B5A" w:rsidRPr="00895D07">
        <w:rPr>
          <w:snapToGrid w:val="0"/>
          <w:spacing w:val="-2"/>
          <w:kern w:val="22"/>
          <w:lang w:val="es-ES"/>
        </w:rPr>
        <w:t>% (-</w:t>
      </w:r>
      <w:r w:rsidR="00895D07">
        <w:rPr>
          <w:snapToGrid w:val="0"/>
          <w:spacing w:val="-2"/>
          <w:kern w:val="22"/>
          <w:lang w:val="es-ES"/>
        </w:rPr>
        <w:t xml:space="preserve"> </w:t>
      </w:r>
      <w:r w:rsidR="00775B5A" w:rsidRPr="00895D07">
        <w:rPr>
          <w:snapToGrid w:val="0"/>
          <w:spacing w:val="-2"/>
          <w:kern w:val="22"/>
          <w:lang w:val="es-ES"/>
        </w:rPr>
        <w:t>8</w:t>
      </w:r>
      <w:r w:rsidR="00895D07">
        <w:rPr>
          <w:snapToGrid w:val="0"/>
          <w:spacing w:val="-2"/>
          <w:kern w:val="22"/>
          <w:lang w:val="es-ES"/>
        </w:rPr>
        <w:t xml:space="preserve"> </w:t>
      </w:r>
      <w:r w:rsidR="00775B5A" w:rsidRPr="00895D07">
        <w:rPr>
          <w:snapToGrid w:val="0"/>
          <w:spacing w:val="-2"/>
          <w:kern w:val="22"/>
          <w:lang w:val="es-ES"/>
        </w:rPr>
        <w:t>%)</w:t>
      </w:r>
      <w:r w:rsidR="00CD3B4E">
        <w:rPr>
          <w:snapToGrid w:val="0"/>
          <w:spacing w:val="-2"/>
          <w:kern w:val="22"/>
          <w:lang w:val="es-ES"/>
        </w:rPr>
        <w:t>,</w:t>
      </w:r>
      <w:r w:rsidR="00775B5A" w:rsidRPr="00895D07">
        <w:rPr>
          <w:snapToGrid w:val="0"/>
          <w:spacing w:val="-2"/>
          <w:kern w:val="22"/>
          <w:lang w:val="es-ES"/>
        </w:rPr>
        <w:t xml:space="preserve"> </w:t>
      </w:r>
      <w:r w:rsidR="00895D07">
        <w:rPr>
          <w:snapToGrid w:val="0"/>
          <w:spacing w:val="-2"/>
          <w:kern w:val="22"/>
          <w:lang w:val="es-ES"/>
        </w:rPr>
        <w:t>grupo de Estados de Europa Occidental y otros</w:t>
      </w:r>
      <w:r w:rsidR="00775B5A" w:rsidRPr="00895D07">
        <w:rPr>
          <w:snapToGrid w:val="0"/>
          <w:spacing w:val="-2"/>
          <w:kern w:val="22"/>
          <w:lang w:val="es-ES"/>
        </w:rPr>
        <w:t>: 94</w:t>
      </w:r>
      <w:r w:rsidR="00895D07">
        <w:rPr>
          <w:snapToGrid w:val="0"/>
          <w:spacing w:val="-2"/>
          <w:kern w:val="22"/>
          <w:lang w:val="es-ES"/>
        </w:rPr>
        <w:t xml:space="preserve"> </w:t>
      </w:r>
      <w:r w:rsidR="00775B5A" w:rsidRPr="00895D07">
        <w:rPr>
          <w:snapToGrid w:val="0"/>
          <w:spacing w:val="-2"/>
          <w:kern w:val="22"/>
          <w:lang w:val="es-ES"/>
        </w:rPr>
        <w:t>% (-</w:t>
      </w:r>
      <w:r w:rsidR="00895D07">
        <w:rPr>
          <w:snapToGrid w:val="0"/>
          <w:spacing w:val="-2"/>
          <w:kern w:val="22"/>
          <w:lang w:val="es-ES"/>
        </w:rPr>
        <w:t xml:space="preserve"> </w:t>
      </w:r>
      <w:r w:rsidR="00775B5A" w:rsidRPr="00895D07">
        <w:rPr>
          <w:snapToGrid w:val="0"/>
          <w:spacing w:val="-2"/>
          <w:kern w:val="22"/>
          <w:lang w:val="es-ES"/>
        </w:rPr>
        <w:t>6</w:t>
      </w:r>
      <w:r w:rsidR="00895D07">
        <w:rPr>
          <w:snapToGrid w:val="0"/>
          <w:spacing w:val="-2"/>
          <w:kern w:val="22"/>
          <w:lang w:val="es-ES"/>
        </w:rPr>
        <w:t xml:space="preserve"> </w:t>
      </w:r>
      <w:r w:rsidR="00775B5A" w:rsidRPr="00895D07">
        <w:rPr>
          <w:snapToGrid w:val="0"/>
          <w:spacing w:val="-2"/>
          <w:kern w:val="22"/>
          <w:lang w:val="es-ES"/>
        </w:rPr>
        <w:t xml:space="preserve">%). </w:t>
      </w:r>
      <w:r w:rsidR="005412A8" w:rsidRPr="005412A8">
        <w:rPr>
          <w:snapToGrid w:val="0"/>
          <w:spacing w:val="-2"/>
          <w:kern w:val="22"/>
          <w:lang w:val="es-ES"/>
        </w:rPr>
        <w:t>En A</w:t>
      </w:r>
      <w:r w:rsidR="00775B5A" w:rsidRPr="005412A8">
        <w:rPr>
          <w:snapToGrid w:val="0"/>
          <w:spacing w:val="-2"/>
          <w:kern w:val="22"/>
          <w:lang w:val="es-ES"/>
        </w:rPr>
        <w:t>sia</w:t>
      </w:r>
      <w:r w:rsidR="00A53625">
        <w:rPr>
          <w:snapToGrid w:val="0"/>
          <w:spacing w:val="-2"/>
          <w:kern w:val="22"/>
          <w:lang w:val="es-ES"/>
        </w:rPr>
        <w:t xml:space="preserve"> y el </w:t>
      </w:r>
      <w:r w:rsidR="005412A8" w:rsidRPr="005412A8">
        <w:rPr>
          <w:snapToGrid w:val="0"/>
          <w:spacing w:val="-2"/>
          <w:kern w:val="22"/>
          <w:lang w:val="es-ES"/>
        </w:rPr>
        <w:t>Pacífico se registró un aumento de un</w:t>
      </w:r>
      <w:r w:rsidR="00775B5A" w:rsidRPr="005412A8">
        <w:rPr>
          <w:snapToGrid w:val="0"/>
          <w:spacing w:val="-2"/>
          <w:kern w:val="22"/>
          <w:lang w:val="es-ES"/>
        </w:rPr>
        <w:t xml:space="preserve"> 89</w:t>
      </w:r>
      <w:r w:rsidR="005412A8" w:rsidRPr="005412A8">
        <w:rPr>
          <w:snapToGrid w:val="0"/>
          <w:spacing w:val="-2"/>
          <w:kern w:val="22"/>
          <w:lang w:val="es-ES"/>
        </w:rPr>
        <w:t xml:space="preserve"> </w:t>
      </w:r>
      <w:r w:rsidR="00775B5A" w:rsidRPr="005412A8">
        <w:rPr>
          <w:snapToGrid w:val="0"/>
          <w:spacing w:val="-2"/>
          <w:kern w:val="22"/>
          <w:lang w:val="es-ES"/>
        </w:rPr>
        <w:t>% (+</w:t>
      </w:r>
      <w:r w:rsidR="005412A8" w:rsidRPr="005412A8">
        <w:rPr>
          <w:snapToGrid w:val="0"/>
          <w:spacing w:val="-2"/>
          <w:kern w:val="22"/>
          <w:lang w:val="es-ES"/>
        </w:rPr>
        <w:t xml:space="preserve"> </w:t>
      </w:r>
      <w:r w:rsidR="00775B5A" w:rsidRPr="005412A8">
        <w:rPr>
          <w:snapToGrid w:val="0"/>
          <w:spacing w:val="-2"/>
          <w:kern w:val="22"/>
          <w:lang w:val="es-ES"/>
        </w:rPr>
        <w:t>22</w:t>
      </w:r>
      <w:r w:rsidR="005412A8" w:rsidRPr="005412A8">
        <w:rPr>
          <w:snapToGrid w:val="0"/>
          <w:spacing w:val="-2"/>
          <w:kern w:val="22"/>
          <w:lang w:val="es-ES"/>
        </w:rPr>
        <w:t xml:space="preserve"> </w:t>
      </w:r>
      <w:r w:rsidR="00775B5A" w:rsidRPr="005412A8">
        <w:rPr>
          <w:snapToGrid w:val="0"/>
          <w:spacing w:val="-2"/>
          <w:kern w:val="22"/>
          <w:lang w:val="es-ES"/>
        </w:rPr>
        <w:t xml:space="preserve">%), </w:t>
      </w:r>
      <w:r w:rsidR="005412A8" w:rsidRPr="005412A8">
        <w:rPr>
          <w:snapToGrid w:val="0"/>
          <w:spacing w:val="-2"/>
          <w:kern w:val="22"/>
          <w:lang w:val="es-ES"/>
        </w:rPr>
        <w:t>mientras que en</w:t>
      </w:r>
      <w:r w:rsidR="00477624">
        <w:rPr>
          <w:snapToGrid w:val="0"/>
          <w:spacing w:val="-2"/>
          <w:kern w:val="22"/>
          <w:lang w:val="es-ES"/>
        </w:rPr>
        <w:t xml:space="preserve"> el </w:t>
      </w:r>
      <w:r w:rsidR="00477624">
        <w:rPr>
          <w:snapToGrid w:val="0"/>
          <w:kern w:val="22"/>
          <w:lang w:val="es-ES"/>
        </w:rPr>
        <w:t>grupo de Estados de Europa Central y Oriental</w:t>
      </w:r>
      <w:r w:rsidR="005412A8" w:rsidRPr="005412A8">
        <w:rPr>
          <w:snapToGrid w:val="0"/>
          <w:spacing w:val="-2"/>
          <w:kern w:val="22"/>
          <w:lang w:val="es-ES"/>
        </w:rPr>
        <w:t xml:space="preserve"> no se registró ningún cambio</w:t>
      </w:r>
      <w:r w:rsidR="00775B5A" w:rsidRPr="005412A8">
        <w:rPr>
          <w:snapToGrid w:val="0"/>
          <w:spacing w:val="-2"/>
          <w:kern w:val="22"/>
          <w:lang w:val="es-ES"/>
        </w:rPr>
        <w:t xml:space="preserve">, </w:t>
      </w:r>
      <w:r w:rsidR="005412A8" w:rsidRPr="005412A8">
        <w:rPr>
          <w:snapToGrid w:val="0"/>
          <w:spacing w:val="-2"/>
          <w:kern w:val="22"/>
          <w:lang w:val="es-ES"/>
        </w:rPr>
        <w:t xml:space="preserve">donde el porcentaje combinado de Partes que </w:t>
      </w:r>
      <w:r w:rsidR="005412A8">
        <w:rPr>
          <w:snapToGrid w:val="0"/>
          <w:spacing w:val="-2"/>
          <w:kern w:val="22"/>
          <w:lang w:val="es-ES"/>
        </w:rPr>
        <w:t xml:space="preserve">informaron a su público al menos en cierta medida se mantuvo en el </w:t>
      </w:r>
      <w:r w:rsidR="00775B5A" w:rsidRPr="005412A8">
        <w:rPr>
          <w:snapToGrid w:val="0"/>
          <w:spacing w:val="-2"/>
          <w:kern w:val="22"/>
          <w:lang w:val="es-ES"/>
        </w:rPr>
        <w:t>93</w:t>
      </w:r>
      <w:r w:rsidR="005412A8">
        <w:rPr>
          <w:snapToGrid w:val="0"/>
          <w:spacing w:val="-2"/>
          <w:kern w:val="22"/>
          <w:lang w:val="es-ES"/>
        </w:rPr>
        <w:t xml:space="preserve"> </w:t>
      </w:r>
      <w:r w:rsidR="00775B5A" w:rsidRPr="005412A8">
        <w:rPr>
          <w:snapToGrid w:val="0"/>
          <w:spacing w:val="-2"/>
          <w:kern w:val="22"/>
          <w:lang w:val="es-ES"/>
        </w:rPr>
        <w:t>%.</w:t>
      </w:r>
      <w:bookmarkEnd w:id="34"/>
      <w:r w:rsidR="00775B5A" w:rsidRPr="005412A8">
        <w:rPr>
          <w:snapToGrid w:val="0"/>
          <w:spacing w:val="-2"/>
          <w:kern w:val="22"/>
          <w:lang w:val="es-ES"/>
        </w:rPr>
        <w:t xml:space="preserve"> </w:t>
      </w:r>
      <w:r w:rsidR="005412A8" w:rsidRPr="005412A8">
        <w:rPr>
          <w:snapToGrid w:val="0"/>
          <w:spacing w:val="-2"/>
          <w:kern w:val="22"/>
          <w:lang w:val="es-ES"/>
        </w:rPr>
        <w:t xml:space="preserve">De las Partes que señalaron que habían informado a su público sobre las modalidades de participación </w:t>
      </w:r>
      <w:r w:rsidR="005412A8" w:rsidRPr="005412A8">
        <w:rPr>
          <w:snapToGrid w:val="0"/>
          <w:spacing w:val="-2"/>
          <w:kern w:val="22"/>
          <w:lang w:val="es-ES"/>
        </w:rPr>
        <w:lastRenderedPageBreak/>
        <w:t>existentes</w:t>
      </w:r>
      <w:r w:rsidR="00775B5A" w:rsidRPr="005412A8">
        <w:rPr>
          <w:snapToGrid w:val="0"/>
          <w:spacing w:val="-2"/>
          <w:kern w:val="22"/>
          <w:lang w:val="es-ES"/>
        </w:rPr>
        <w:t xml:space="preserve">, </w:t>
      </w:r>
      <w:r w:rsidR="005412A8" w:rsidRPr="005412A8">
        <w:rPr>
          <w:snapToGrid w:val="0"/>
          <w:spacing w:val="-2"/>
          <w:kern w:val="22"/>
          <w:lang w:val="es-ES"/>
        </w:rPr>
        <w:t>la mayor</w:t>
      </w:r>
      <w:r w:rsidR="005412A8">
        <w:rPr>
          <w:snapToGrid w:val="0"/>
          <w:spacing w:val="-2"/>
          <w:kern w:val="22"/>
          <w:lang w:val="es-ES"/>
        </w:rPr>
        <w:t>ía informó de que lo</w:t>
      </w:r>
      <w:r w:rsidR="00CD3B4E">
        <w:rPr>
          <w:snapToGrid w:val="0"/>
          <w:spacing w:val="-2"/>
          <w:kern w:val="22"/>
          <w:lang w:val="es-ES"/>
        </w:rPr>
        <w:t xml:space="preserve"> había </w:t>
      </w:r>
      <w:r w:rsidR="005412A8">
        <w:rPr>
          <w:snapToGrid w:val="0"/>
          <w:spacing w:val="-2"/>
          <w:kern w:val="22"/>
          <w:lang w:val="es-ES"/>
        </w:rPr>
        <w:t xml:space="preserve">hecho a través de sitios web </w:t>
      </w:r>
      <w:r w:rsidR="00775B5A" w:rsidRPr="005412A8">
        <w:rPr>
          <w:snapToGrid w:val="0"/>
          <w:spacing w:val="-2"/>
          <w:kern w:val="22"/>
          <w:lang w:val="es-ES"/>
        </w:rPr>
        <w:t>(29</w:t>
      </w:r>
      <w:r w:rsidR="005412A8">
        <w:rPr>
          <w:snapToGrid w:val="0"/>
          <w:spacing w:val="-2"/>
          <w:kern w:val="22"/>
          <w:lang w:val="es-ES"/>
        </w:rPr>
        <w:t xml:space="preserve"> </w:t>
      </w:r>
      <w:r w:rsidR="00775B5A" w:rsidRPr="005412A8">
        <w:rPr>
          <w:snapToGrid w:val="0"/>
          <w:spacing w:val="-2"/>
          <w:kern w:val="22"/>
          <w:lang w:val="es-ES"/>
        </w:rPr>
        <w:t xml:space="preserve">%), </w:t>
      </w:r>
      <w:r w:rsidR="00AE7773">
        <w:rPr>
          <w:snapToGrid w:val="0"/>
          <w:spacing w:val="-2"/>
          <w:kern w:val="22"/>
          <w:lang w:val="es-ES"/>
        </w:rPr>
        <w:t>seguido de periódicos</w:t>
      </w:r>
      <w:r w:rsidR="00775B5A" w:rsidRPr="005412A8">
        <w:rPr>
          <w:snapToGrid w:val="0"/>
          <w:spacing w:val="-2"/>
          <w:kern w:val="22"/>
          <w:lang w:val="es-ES"/>
        </w:rPr>
        <w:t xml:space="preserve"> (17</w:t>
      </w:r>
      <w:r w:rsidR="00AE7773">
        <w:rPr>
          <w:snapToGrid w:val="0"/>
          <w:spacing w:val="-2"/>
          <w:kern w:val="22"/>
          <w:lang w:val="es-ES"/>
        </w:rPr>
        <w:t xml:space="preserve"> %) y audiencias públicas</w:t>
      </w:r>
      <w:r w:rsidR="00775B5A" w:rsidRPr="005412A8">
        <w:rPr>
          <w:snapToGrid w:val="0"/>
          <w:spacing w:val="-2"/>
          <w:kern w:val="22"/>
          <w:lang w:val="es-ES"/>
        </w:rPr>
        <w:t xml:space="preserve"> (15</w:t>
      </w:r>
      <w:r w:rsidR="00AE7773">
        <w:rPr>
          <w:snapToGrid w:val="0"/>
          <w:spacing w:val="-2"/>
          <w:kern w:val="22"/>
          <w:lang w:val="es-ES"/>
        </w:rPr>
        <w:t xml:space="preserve"> </w:t>
      </w:r>
      <w:r w:rsidR="00775B5A" w:rsidRPr="005412A8">
        <w:rPr>
          <w:snapToGrid w:val="0"/>
          <w:spacing w:val="-2"/>
          <w:kern w:val="22"/>
          <w:lang w:val="es-ES"/>
        </w:rPr>
        <w:t xml:space="preserve">%). </w:t>
      </w:r>
    </w:p>
    <w:p w:rsidR="00775B5A" w:rsidRPr="00AE7773" w:rsidRDefault="00AE7773"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bookmarkStart w:id="35" w:name="_Hlk30519164"/>
      <w:r w:rsidRPr="00AE7773">
        <w:rPr>
          <w:snapToGrid w:val="0"/>
          <w:spacing w:val="-2"/>
          <w:kern w:val="22"/>
          <w:lang w:val="es-ES"/>
        </w:rPr>
        <w:t>En sus contribuciones de texto libre, algunas Partes indicaron que algunos de los peri</w:t>
      </w:r>
      <w:r>
        <w:rPr>
          <w:snapToGrid w:val="0"/>
          <w:spacing w:val="-2"/>
          <w:kern w:val="22"/>
          <w:lang w:val="es-ES"/>
        </w:rPr>
        <w:t>ódicos utilizados incluían el boletín oficial del Gobierno</w:t>
      </w:r>
      <w:r w:rsidR="00775B5A" w:rsidRPr="00AE7773">
        <w:rPr>
          <w:snapToGrid w:val="0"/>
          <w:spacing w:val="-2"/>
          <w:kern w:val="22"/>
          <w:lang w:val="es-ES"/>
        </w:rPr>
        <w:t xml:space="preserve">. </w:t>
      </w:r>
      <w:r w:rsidRPr="00AE7773">
        <w:rPr>
          <w:snapToGrid w:val="0"/>
          <w:spacing w:val="-2"/>
          <w:kern w:val="22"/>
          <w:lang w:val="es-ES"/>
        </w:rPr>
        <w:t>Alunas Partes señalaron que la capacitación y las reuniones sobre concienciación constitu</w:t>
      </w:r>
      <w:r>
        <w:rPr>
          <w:snapToGrid w:val="0"/>
          <w:spacing w:val="-2"/>
          <w:kern w:val="22"/>
          <w:lang w:val="es-ES"/>
        </w:rPr>
        <w:t>ían otro medio de informar al público sobre las modalidades de participación</w:t>
      </w:r>
      <w:r w:rsidR="00775B5A" w:rsidRPr="00AE7773">
        <w:rPr>
          <w:snapToGrid w:val="0"/>
          <w:spacing w:val="-2"/>
          <w:kern w:val="22"/>
          <w:lang w:val="es-ES"/>
        </w:rPr>
        <w:t>.</w:t>
      </w:r>
    </w:p>
    <w:bookmarkEnd w:id="35"/>
    <w:p w:rsidR="00775B5A" w:rsidRPr="00702D83" w:rsidRDefault="00AE7773"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i/>
          <w:iCs/>
          <w:snapToGrid w:val="0"/>
          <w:spacing w:val="-2"/>
          <w:kern w:val="22"/>
          <w:lang w:val="es-ES"/>
        </w:rPr>
      </w:pPr>
      <w:r w:rsidRPr="00911476">
        <w:rPr>
          <w:snapToGrid w:val="0"/>
          <w:spacing w:val="-2"/>
          <w:kern w:val="22"/>
          <w:lang w:val="es-ES"/>
        </w:rPr>
        <w:t>Con respecto al</w:t>
      </w:r>
      <w:r w:rsidR="00775B5A" w:rsidRPr="00911476">
        <w:rPr>
          <w:snapToGrid w:val="0"/>
          <w:spacing w:val="-2"/>
          <w:kern w:val="22"/>
          <w:lang w:val="es-ES"/>
        </w:rPr>
        <w:t xml:space="preserve"> </w:t>
      </w:r>
      <w:r w:rsidR="00775B5A" w:rsidRPr="00911476">
        <w:rPr>
          <w:b/>
          <w:bCs/>
          <w:snapToGrid w:val="0"/>
          <w:spacing w:val="-2"/>
          <w:kern w:val="22"/>
          <w:lang w:val="es-ES"/>
        </w:rPr>
        <w:t>indica</w:t>
      </w:r>
      <w:r w:rsidRPr="00911476">
        <w:rPr>
          <w:b/>
          <w:bCs/>
          <w:snapToGrid w:val="0"/>
          <w:spacing w:val="-2"/>
          <w:kern w:val="22"/>
          <w:lang w:val="es-ES"/>
        </w:rPr>
        <w:t>d</w:t>
      </w:r>
      <w:r w:rsidR="00775B5A" w:rsidRPr="00911476">
        <w:rPr>
          <w:b/>
          <w:bCs/>
          <w:snapToGrid w:val="0"/>
          <w:spacing w:val="-2"/>
          <w:kern w:val="22"/>
          <w:lang w:val="es-ES"/>
        </w:rPr>
        <w:t>or 2.5.3</w:t>
      </w:r>
      <w:r w:rsidRPr="00911476">
        <w:rPr>
          <w:b/>
          <w:bCs/>
          <w:snapToGrid w:val="0"/>
          <w:spacing w:val="-2"/>
          <w:kern w:val="22"/>
          <w:lang w:val="es-ES"/>
        </w:rPr>
        <w:t xml:space="preserve"> </w:t>
      </w:r>
      <w:r w:rsidR="00775B5A" w:rsidRPr="00911476">
        <w:rPr>
          <w:snapToGrid w:val="0"/>
          <w:spacing w:val="-2"/>
          <w:kern w:val="22"/>
          <w:lang w:val="es-ES"/>
        </w:rPr>
        <w:t>(</w:t>
      </w:r>
      <w:r w:rsidR="00911476" w:rsidRPr="00911476">
        <w:rPr>
          <w:snapToGrid w:val="0"/>
          <w:spacing w:val="-2"/>
          <w:kern w:val="22"/>
          <w:lang w:val="es-ES"/>
        </w:rPr>
        <w:t xml:space="preserve">el número de </w:t>
      </w:r>
      <w:r w:rsidR="00775B5A" w:rsidRPr="00911476">
        <w:rPr>
          <w:snapToGrid w:val="0"/>
          <w:spacing w:val="-2"/>
          <w:kern w:val="22"/>
          <w:lang w:val="es-ES"/>
        </w:rPr>
        <w:t xml:space="preserve">Partes </w:t>
      </w:r>
      <w:r w:rsidR="00911476" w:rsidRPr="00911476">
        <w:rPr>
          <w:snapToGrid w:val="0"/>
          <w:spacing w:val="-2"/>
          <w:kern w:val="22"/>
          <w:lang w:val="es-ES"/>
        </w:rPr>
        <w:t>que cuenta con sitios web y archivos con capacidad de búsqueda nacionales</w:t>
      </w:r>
      <w:r w:rsidR="00775B5A" w:rsidRPr="00911476">
        <w:rPr>
          <w:snapToGrid w:val="0"/>
          <w:spacing w:val="-2"/>
          <w:kern w:val="22"/>
          <w:lang w:val="es-ES"/>
        </w:rPr>
        <w:t xml:space="preserve">, </w:t>
      </w:r>
      <w:r w:rsidR="00911476" w:rsidRPr="00911476">
        <w:rPr>
          <w:snapToGrid w:val="0"/>
          <w:spacing w:val="-2"/>
          <w:kern w:val="22"/>
          <w:lang w:val="es-ES"/>
        </w:rPr>
        <w:t>centros de recursos naci</w:t>
      </w:r>
      <w:r w:rsidR="00911476">
        <w:rPr>
          <w:snapToGrid w:val="0"/>
          <w:spacing w:val="-2"/>
          <w:kern w:val="22"/>
          <w:lang w:val="es-ES"/>
        </w:rPr>
        <w:t>onale</w:t>
      </w:r>
      <w:r w:rsidR="00911476" w:rsidRPr="00911476">
        <w:rPr>
          <w:snapToGrid w:val="0"/>
          <w:spacing w:val="-2"/>
          <w:kern w:val="22"/>
          <w:lang w:val="es-ES"/>
        </w:rPr>
        <w:t xml:space="preserve">s o secciones en </w:t>
      </w:r>
      <w:r w:rsidR="00911476">
        <w:rPr>
          <w:snapToGrid w:val="0"/>
          <w:spacing w:val="-2"/>
          <w:kern w:val="22"/>
          <w:lang w:val="es-ES"/>
        </w:rPr>
        <w:t>las bibliotecas nacionales existentes dedicados a materiales educativos sobre seguridad de la biotecnología</w:t>
      </w:r>
      <w:r w:rsidR="00775B5A" w:rsidRPr="00911476">
        <w:rPr>
          <w:snapToGrid w:val="0"/>
          <w:spacing w:val="-2"/>
          <w:kern w:val="22"/>
          <w:lang w:val="es-ES"/>
        </w:rPr>
        <w:t xml:space="preserve">), </w:t>
      </w:r>
      <w:r w:rsidR="00911476">
        <w:rPr>
          <w:snapToGrid w:val="0"/>
          <w:spacing w:val="-2"/>
          <w:kern w:val="22"/>
          <w:lang w:val="es-ES"/>
        </w:rPr>
        <w:t xml:space="preserve">el </w:t>
      </w:r>
      <w:r w:rsidR="00775B5A" w:rsidRPr="00911476">
        <w:rPr>
          <w:snapToGrid w:val="0"/>
          <w:spacing w:val="-2"/>
          <w:kern w:val="22"/>
          <w:lang w:val="es-ES"/>
        </w:rPr>
        <w:t>68</w:t>
      </w:r>
      <w:r w:rsidR="00911476">
        <w:rPr>
          <w:snapToGrid w:val="0"/>
          <w:spacing w:val="-2"/>
          <w:kern w:val="22"/>
          <w:lang w:val="es-ES"/>
        </w:rPr>
        <w:t xml:space="preserve"> </w:t>
      </w:r>
      <w:r w:rsidR="00775B5A" w:rsidRPr="00911476">
        <w:rPr>
          <w:snapToGrid w:val="0"/>
          <w:spacing w:val="-2"/>
          <w:kern w:val="22"/>
          <w:lang w:val="es-ES"/>
        </w:rPr>
        <w:t xml:space="preserve">% </w:t>
      </w:r>
      <w:r w:rsidR="00911476">
        <w:rPr>
          <w:snapToGrid w:val="0"/>
          <w:spacing w:val="-2"/>
          <w:kern w:val="22"/>
          <w:lang w:val="es-ES"/>
        </w:rPr>
        <w:t xml:space="preserve">de las </w:t>
      </w:r>
      <w:r w:rsidR="00775B5A" w:rsidRPr="00911476">
        <w:rPr>
          <w:snapToGrid w:val="0"/>
          <w:spacing w:val="-2"/>
          <w:kern w:val="22"/>
          <w:lang w:val="es-ES"/>
        </w:rPr>
        <w:t xml:space="preserve">Partes (63 Partes) </w:t>
      </w:r>
      <w:r w:rsidR="00911476">
        <w:rPr>
          <w:snapToGrid w:val="0"/>
          <w:spacing w:val="-2"/>
          <w:kern w:val="22"/>
          <w:lang w:val="es-ES"/>
        </w:rPr>
        <w:t>comunic</w:t>
      </w:r>
      <w:r w:rsidR="00CD3B4E">
        <w:rPr>
          <w:snapToGrid w:val="0"/>
          <w:spacing w:val="-2"/>
          <w:kern w:val="22"/>
          <w:lang w:val="es-ES"/>
        </w:rPr>
        <w:t>ó</w:t>
      </w:r>
      <w:r w:rsidR="00911476">
        <w:rPr>
          <w:snapToGrid w:val="0"/>
          <w:spacing w:val="-2"/>
          <w:kern w:val="22"/>
          <w:lang w:val="es-ES"/>
        </w:rPr>
        <w:t xml:space="preserve"> que tenía un sitio web nacional sobre seguridad de la biotecnología</w:t>
      </w:r>
      <w:r w:rsidR="00775B5A" w:rsidRPr="00911476">
        <w:rPr>
          <w:snapToGrid w:val="0"/>
          <w:spacing w:val="-2"/>
          <w:kern w:val="22"/>
          <w:lang w:val="es-ES"/>
        </w:rPr>
        <w:t xml:space="preserve">, </w:t>
      </w:r>
      <w:r w:rsidR="00911476">
        <w:rPr>
          <w:snapToGrid w:val="0"/>
          <w:spacing w:val="-2"/>
          <w:kern w:val="22"/>
          <w:lang w:val="es-ES"/>
        </w:rPr>
        <w:t xml:space="preserve">lo que representa un aumento de un </w:t>
      </w:r>
      <w:r w:rsidR="00775B5A" w:rsidRPr="00911476">
        <w:rPr>
          <w:snapToGrid w:val="0"/>
          <w:spacing w:val="-2"/>
          <w:kern w:val="22"/>
          <w:lang w:val="es-ES"/>
        </w:rPr>
        <w:t>1</w:t>
      </w:r>
      <w:r w:rsidR="00911476">
        <w:rPr>
          <w:snapToGrid w:val="0"/>
          <w:spacing w:val="-2"/>
          <w:kern w:val="22"/>
          <w:lang w:val="es-ES"/>
        </w:rPr>
        <w:t xml:space="preserve"> </w:t>
      </w:r>
      <w:r w:rsidR="00775B5A" w:rsidRPr="00911476">
        <w:rPr>
          <w:snapToGrid w:val="0"/>
          <w:spacing w:val="-2"/>
          <w:kern w:val="22"/>
          <w:lang w:val="es-ES"/>
        </w:rPr>
        <w:t xml:space="preserve">% </w:t>
      </w:r>
      <w:r w:rsidR="00911476">
        <w:rPr>
          <w:snapToGrid w:val="0"/>
          <w:spacing w:val="-2"/>
          <w:kern w:val="22"/>
          <w:lang w:val="es-ES"/>
        </w:rPr>
        <w:t>con respecto a los datos básicos de referencia</w:t>
      </w:r>
      <w:r w:rsidR="00775B5A" w:rsidRPr="00911476">
        <w:rPr>
          <w:snapToGrid w:val="0"/>
          <w:spacing w:val="-2"/>
          <w:kern w:val="22"/>
          <w:lang w:val="es-ES"/>
        </w:rPr>
        <w:t xml:space="preserve">. </w:t>
      </w:r>
      <w:r w:rsidR="00911476" w:rsidRPr="00911476">
        <w:rPr>
          <w:snapToGrid w:val="0"/>
          <w:spacing w:val="-2"/>
          <w:kern w:val="22"/>
          <w:lang w:val="es-ES"/>
        </w:rPr>
        <w:t>Se notificaron diferencias entre regiones</w:t>
      </w:r>
      <w:r w:rsidR="00775B5A" w:rsidRPr="00911476">
        <w:rPr>
          <w:snapToGrid w:val="0"/>
          <w:spacing w:val="-2"/>
          <w:kern w:val="22"/>
          <w:lang w:val="es-ES"/>
        </w:rPr>
        <w:t xml:space="preserve">, </w:t>
      </w:r>
      <w:r w:rsidR="00911476" w:rsidRPr="00911476">
        <w:rPr>
          <w:snapToGrid w:val="0"/>
          <w:spacing w:val="-2"/>
          <w:kern w:val="22"/>
          <w:lang w:val="es-ES"/>
        </w:rPr>
        <w:t>tanto en el número total como en los cambios notificados desde la base de referencia, a nivel r</w:t>
      </w:r>
      <w:r w:rsidR="00775B5A" w:rsidRPr="00911476">
        <w:rPr>
          <w:snapToGrid w:val="0"/>
          <w:spacing w:val="-2"/>
          <w:kern w:val="22"/>
          <w:lang w:val="es-ES"/>
        </w:rPr>
        <w:t xml:space="preserve">egional. </w:t>
      </w:r>
      <w:r w:rsidR="00911476" w:rsidRPr="00280265">
        <w:rPr>
          <w:snapToGrid w:val="0"/>
          <w:spacing w:val="-2"/>
          <w:kern w:val="22"/>
          <w:lang w:val="es-ES"/>
        </w:rPr>
        <w:t>Se informó de aumentos en</w:t>
      </w:r>
      <w:r w:rsidR="00775B5A" w:rsidRPr="00280265">
        <w:rPr>
          <w:snapToGrid w:val="0"/>
          <w:spacing w:val="-2"/>
          <w:kern w:val="22"/>
          <w:lang w:val="es-ES"/>
        </w:rPr>
        <w:t xml:space="preserve">: </w:t>
      </w:r>
      <w:r w:rsidR="00D74010">
        <w:rPr>
          <w:snapToGrid w:val="0"/>
          <w:spacing w:val="-2"/>
          <w:kern w:val="22"/>
          <w:lang w:val="es-ES"/>
        </w:rPr>
        <w:t xml:space="preserve">el </w:t>
      </w:r>
      <w:r w:rsidR="00D74010">
        <w:rPr>
          <w:snapToGrid w:val="0"/>
          <w:kern w:val="22"/>
          <w:lang w:val="es-ES"/>
        </w:rPr>
        <w:t>grupo de países de América Latina y el Caribe</w:t>
      </w:r>
      <w:r w:rsidR="00A53625">
        <w:rPr>
          <w:snapToGrid w:val="0"/>
          <w:kern w:val="22"/>
          <w:lang w:val="es-ES"/>
        </w:rPr>
        <w:t>,</w:t>
      </w:r>
      <w:r w:rsidR="00775B5A" w:rsidRPr="00280265">
        <w:rPr>
          <w:snapToGrid w:val="0"/>
          <w:spacing w:val="-2"/>
          <w:kern w:val="22"/>
          <w:lang w:val="es-ES"/>
        </w:rPr>
        <w:t xml:space="preserve"> 69</w:t>
      </w:r>
      <w:r w:rsidR="00911476" w:rsidRPr="00280265">
        <w:rPr>
          <w:snapToGrid w:val="0"/>
          <w:spacing w:val="-2"/>
          <w:kern w:val="22"/>
          <w:lang w:val="es-ES"/>
        </w:rPr>
        <w:t xml:space="preserve"> </w:t>
      </w:r>
      <w:r w:rsidR="00775B5A" w:rsidRPr="00280265">
        <w:rPr>
          <w:snapToGrid w:val="0"/>
          <w:spacing w:val="-2"/>
          <w:kern w:val="22"/>
          <w:lang w:val="es-ES"/>
        </w:rPr>
        <w:t>% (+</w:t>
      </w:r>
      <w:r w:rsidR="00911476" w:rsidRPr="00280265">
        <w:rPr>
          <w:snapToGrid w:val="0"/>
          <w:spacing w:val="-2"/>
          <w:kern w:val="22"/>
          <w:lang w:val="es-ES"/>
        </w:rPr>
        <w:t xml:space="preserve"> </w:t>
      </w:r>
      <w:r w:rsidR="00775B5A" w:rsidRPr="00280265">
        <w:rPr>
          <w:snapToGrid w:val="0"/>
          <w:spacing w:val="-2"/>
          <w:kern w:val="22"/>
          <w:lang w:val="es-ES"/>
        </w:rPr>
        <w:t>15</w:t>
      </w:r>
      <w:r w:rsidR="00911476" w:rsidRPr="00280265">
        <w:rPr>
          <w:snapToGrid w:val="0"/>
          <w:spacing w:val="-2"/>
          <w:kern w:val="22"/>
          <w:lang w:val="es-ES"/>
        </w:rPr>
        <w:t xml:space="preserve"> </w:t>
      </w:r>
      <w:r w:rsidR="00775B5A" w:rsidRPr="00280265">
        <w:rPr>
          <w:snapToGrid w:val="0"/>
          <w:spacing w:val="-2"/>
          <w:kern w:val="22"/>
          <w:lang w:val="es-ES"/>
        </w:rPr>
        <w:t>%)</w:t>
      </w:r>
      <w:r w:rsidR="00911476" w:rsidRPr="00280265">
        <w:rPr>
          <w:snapToGrid w:val="0"/>
          <w:spacing w:val="-2"/>
          <w:kern w:val="22"/>
          <w:lang w:val="es-ES"/>
        </w:rPr>
        <w:t xml:space="preserve"> y en Á</w:t>
      </w:r>
      <w:r w:rsidR="00775B5A" w:rsidRPr="00280265">
        <w:rPr>
          <w:snapToGrid w:val="0"/>
          <w:spacing w:val="-2"/>
          <w:kern w:val="22"/>
          <w:lang w:val="es-ES"/>
        </w:rPr>
        <w:t>frica</w:t>
      </w:r>
      <w:r w:rsidR="00A53625">
        <w:rPr>
          <w:snapToGrid w:val="0"/>
          <w:spacing w:val="-2"/>
          <w:kern w:val="22"/>
          <w:lang w:val="es-ES"/>
        </w:rPr>
        <w:t>,</w:t>
      </w:r>
      <w:r w:rsidR="00775B5A" w:rsidRPr="00280265">
        <w:rPr>
          <w:snapToGrid w:val="0"/>
          <w:spacing w:val="-2"/>
          <w:kern w:val="22"/>
          <w:lang w:val="es-ES"/>
        </w:rPr>
        <w:t xml:space="preserve"> 45</w:t>
      </w:r>
      <w:r w:rsidR="00911476" w:rsidRPr="00280265">
        <w:rPr>
          <w:snapToGrid w:val="0"/>
          <w:spacing w:val="-2"/>
          <w:kern w:val="22"/>
          <w:lang w:val="es-ES"/>
        </w:rPr>
        <w:t xml:space="preserve"> </w:t>
      </w:r>
      <w:r w:rsidR="00775B5A" w:rsidRPr="00280265">
        <w:rPr>
          <w:snapToGrid w:val="0"/>
          <w:spacing w:val="-2"/>
          <w:kern w:val="22"/>
          <w:lang w:val="es-ES"/>
        </w:rPr>
        <w:t>% (+</w:t>
      </w:r>
      <w:r w:rsidR="00911476" w:rsidRPr="00280265">
        <w:rPr>
          <w:snapToGrid w:val="0"/>
          <w:spacing w:val="-2"/>
          <w:kern w:val="22"/>
          <w:lang w:val="es-ES"/>
        </w:rPr>
        <w:t xml:space="preserve"> </w:t>
      </w:r>
      <w:r w:rsidR="00775B5A" w:rsidRPr="00280265">
        <w:rPr>
          <w:snapToGrid w:val="0"/>
          <w:spacing w:val="-2"/>
          <w:kern w:val="22"/>
          <w:lang w:val="es-ES"/>
        </w:rPr>
        <w:t>3</w:t>
      </w:r>
      <w:r w:rsidR="00911476" w:rsidRPr="00280265">
        <w:rPr>
          <w:snapToGrid w:val="0"/>
          <w:spacing w:val="-2"/>
          <w:kern w:val="22"/>
          <w:lang w:val="es-ES"/>
        </w:rPr>
        <w:t xml:space="preserve"> </w:t>
      </w:r>
      <w:r w:rsidR="00775B5A" w:rsidRPr="00280265">
        <w:rPr>
          <w:snapToGrid w:val="0"/>
          <w:spacing w:val="-2"/>
          <w:kern w:val="22"/>
          <w:lang w:val="es-ES"/>
        </w:rPr>
        <w:t xml:space="preserve">%). </w:t>
      </w:r>
      <w:r w:rsidR="00702D83" w:rsidRPr="00702D83">
        <w:rPr>
          <w:snapToGrid w:val="0"/>
          <w:spacing w:val="-2"/>
          <w:kern w:val="22"/>
          <w:lang w:val="es-ES"/>
        </w:rPr>
        <w:t>Se registró una disminución en</w:t>
      </w:r>
      <w:r w:rsidR="00477624">
        <w:rPr>
          <w:snapToGrid w:val="0"/>
          <w:spacing w:val="-2"/>
          <w:kern w:val="22"/>
          <w:lang w:val="es-ES"/>
        </w:rPr>
        <w:t xml:space="preserve"> el </w:t>
      </w:r>
      <w:r w:rsidR="00477624">
        <w:rPr>
          <w:snapToGrid w:val="0"/>
          <w:kern w:val="22"/>
          <w:lang w:val="es-ES"/>
        </w:rPr>
        <w:t>grupo de Estados de Europa Central y Oriental</w:t>
      </w:r>
      <w:r w:rsidR="00A53625">
        <w:rPr>
          <w:snapToGrid w:val="0"/>
          <w:kern w:val="22"/>
          <w:lang w:val="es-ES"/>
        </w:rPr>
        <w:t>,</w:t>
      </w:r>
      <w:r w:rsidR="00775B5A" w:rsidRPr="00702D83">
        <w:rPr>
          <w:snapToGrid w:val="0"/>
          <w:spacing w:val="-2"/>
          <w:kern w:val="22"/>
          <w:lang w:val="es-ES"/>
        </w:rPr>
        <w:t xml:space="preserve"> 69</w:t>
      </w:r>
      <w:r w:rsidR="00702D83" w:rsidRPr="00702D83">
        <w:rPr>
          <w:snapToGrid w:val="0"/>
          <w:spacing w:val="-2"/>
          <w:kern w:val="22"/>
          <w:lang w:val="es-ES"/>
        </w:rPr>
        <w:t xml:space="preserve"> </w:t>
      </w:r>
      <w:r w:rsidR="00775B5A" w:rsidRPr="00702D83">
        <w:rPr>
          <w:snapToGrid w:val="0"/>
          <w:spacing w:val="-2"/>
          <w:kern w:val="22"/>
          <w:lang w:val="es-ES"/>
        </w:rPr>
        <w:t>% (-</w:t>
      </w:r>
      <w:r w:rsidR="00702D83" w:rsidRPr="00702D83">
        <w:rPr>
          <w:snapToGrid w:val="0"/>
          <w:spacing w:val="-2"/>
          <w:kern w:val="22"/>
          <w:lang w:val="es-ES"/>
        </w:rPr>
        <w:t xml:space="preserve"> </w:t>
      </w:r>
      <w:r w:rsidR="00775B5A" w:rsidRPr="00702D83">
        <w:rPr>
          <w:snapToGrid w:val="0"/>
          <w:spacing w:val="-2"/>
          <w:kern w:val="22"/>
          <w:lang w:val="es-ES"/>
        </w:rPr>
        <w:t>12</w:t>
      </w:r>
      <w:r w:rsidR="00702D83" w:rsidRPr="00702D83">
        <w:rPr>
          <w:snapToGrid w:val="0"/>
          <w:spacing w:val="-2"/>
          <w:kern w:val="22"/>
          <w:lang w:val="es-ES"/>
        </w:rPr>
        <w:t xml:space="preserve"> %), mientras que no se registraron cambios en </w:t>
      </w:r>
      <w:r w:rsidR="00775B5A" w:rsidRPr="00702D83">
        <w:rPr>
          <w:snapToGrid w:val="0"/>
          <w:spacing w:val="-2"/>
          <w:kern w:val="22"/>
          <w:lang w:val="es-ES"/>
        </w:rPr>
        <w:t>Asia</w:t>
      </w:r>
      <w:r w:rsidR="00A53625">
        <w:rPr>
          <w:snapToGrid w:val="0"/>
          <w:spacing w:val="-2"/>
          <w:kern w:val="22"/>
          <w:lang w:val="es-ES"/>
        </w:rPr>
        <w:t xml:space="preserve"> y el </w:t>
      </w:r>
      <w:r w:rsidR="00775B5A" w:rsidRPr="00702D83">
        <w:rPr>
          <w:snapToGrid w:val="0"/>
          <w:spacing w:val="-2"/>
          <w:kern w:val="22"/>
          <w:lang w:val="es-ES"/>
        </w:rPr>
        <w:t>Pac</w:t>
      </w:r>
      <w:r w:rsidR="00702D83" w:rsidRPr="00702D83">
        <w:rPr>
          <w:snapToGrid w:val="0"/>
          <w:spacing w:val="-2"/>
          <w:kern w:val="22"/>
          <w:lang w:val="es-ES"/>
        </w:rPr>
        <w:t>ífico</w:t>
      </w:r>
      <w:r w:rsidR="00775B5A" w:rsidRPr="00702D83">
        <w:rPr>
          <w:snapToGrid w:val="0"/>
          <w:spacing w:val="-2"/>
          <w:kern w:val="22"/>
          <w:lang w:val="es-ES"/>
        </w:rPr>
        <w:t xml:space="preserve"> (88</w:t>
      </w:r>
      <w:r w:rsidR="00702D83" w:rsidRPr="00702D83">
        <w:rPr>
          <w:snapToGrid w:val="0"/>
          <w:spacing w:val="-2"/>
          <w:kern w:val="22"/>
          <w:lang w:val="es-ES"/>
        </w:rPr>
        <w:t xml:space="preserve"> </w:t>
      </w:r>
      <w:r w:rsidR="00775B5A" w:rsidRPr="00702D83">
        <w:rPr>
          <w:snapToGrid w:val="0"/>
          <w:spacing w:val="-2"/>
          <w:kern w:val="22"/>
          <w:lang w:val="es-ES"/>
        </w:rPr>
        <w:t>%)</w:t>
      </w:r>
      <w:r w:rsidR="00702D83">
        <w:rPr>
          <w:snapToGrid w:val="0"/>
          <w:spacing w:val="-2"/>
          <w:kern w:val="22"/>
          <w:lang w:val="es-ES"/>
        </w:rPr>
        <w:t xml:space="preserve"> </w:t>
      </w:r>
      <w:r w:rsidR="00A53625">
        <w:rPr>
          <w:snapToGrid w:val="0"/>
          <w:spacing w:val="-2"/>
          <w:kern w:val="22"/>
          <w:lang w:val="es-ES"/>
        </w:rPr>
        <w:t>o</w:t>
      </w:r>
      <w:r w:rsidR="00702D83">
        <w:rPr>
          <w:snapToGrid w:val="0"/>
          <w:spacing w:val="-2"/>
          <w:kern w:val="22"/>
          <w:lang w:val="es-ES"/>
        </w:rPr>
        <w:t xml:space="preserve"> en el grupo de Estados de Europa Occidental y otros</w:t>
      </w:r>
      <w:r w:rsidR="00775B5A" w:rsidRPr="00702D83">
        <w:rPr>
          <w:snapToGrid w:val="0"/>
          <w:spacing w:val="-2"/>
          <w:kern w:val="22"/>
          <w:lang w:val="es-ES"/>
        </w:rPr>
        <w:t xml:space="preserve"> (89</w:t>
      </w:r>
      <w:r w:rsidR="00702D83">
        <w:rPr>
          <w:snapToGrid w:val="0"/>
          <w:spacing w:val="-2"/>
          <w:kern w:val="22"/>
          <w:lang w:val="es-ES"/>
        </w:rPr>
        <w:t xml:space="preserve"> </w:t>
      </w:r>
      <w:r w:rsidR="00775B5A" w:rsidRPr="00702D83">
        <w:rPr>
          <w:snapToGrid w:val="0"/>
          <w:spacing w:val="-2"/>
          <w:kern w:val="22"/>
          <w:lang w:val="es-ES"/>
        </w:rPr>
        <w:t xml:space="preserve">%) </w:t>
      </w:r>
      <w:bookmarkStart w:id="36" w:name="_Hlk30520852"/>
      <w:r w:rsidR="00775B5A" w:rsidRPr="00702D83">
        <w:rPr>
          <w:snapToGrid w:val="0"/>
          <w:spacing w:val="-2"/>
          <w:kern w:val="22"/>
          <w:lang w:val="es-ES"/>
        </w:rPr>
        <w:t>(</w:t>
      </w:r>
      <w:r w:rsidR="00702D83">
        <w:rPr>
          <w:snapToGrid w:val="0"/>
          <w:spacing w:val="-2"/>
          <w:kern w:val="22"/>
          <w:lang w:val="es-ES"/>
        </w:rPr>
        <w:t>véase también el</w:t>
      </w:r>
      <w:r w:rsidR="00775B5A" w:rsidRPr="00702D83">
        <w:rPr>
          <w:snapToGrid w:val="0"/>
          <w:spacing w:val="-2"/>
          <w:kern w:val="22"/>
          <w:lang w:val="es-ES"/>
        </w:rPr>
        <w:t xml:space="preserve"> </w:t>
      </w:r>
      <w:r w:rsidR="00775B5A" w:rsidRPr="00702D83">
        <w:rPr>
          <w:b/>
          <w:bCs/>
          <w:snapToGrid w:val="0"/>
          <w:spacing w:val="-2"/>
          <w:kern w:val="22"/>
          <w:lang w:val="es-ES"/>
        </w:rPr>
        <w:t>indica</w:t>
      </w:r>
      <w:r w:rsidR="00702D83">
        <w:rPr>
          <w:b/>
          <w:bCs/>
          <w:snapToGrid w:val="0"/>
          <w:spacing w:val="-2"/>
          <w:kern w:val="22"/>
          <w:lang w:val="es-ES"/>
        </w:rPr>
        <w:t>d</w:t>
      </w:r>
      <w:r w:rsidR="00775B5A" w:rsidRPr="00702D83">
        <w:rPr>
          <w:b/>
          <w:bCs/>
          <w:snapToGrid w:val="0"/>
          <w:spacing w:val="-2"/>
          <w:kern w:val="22"/>
          <w:lang w:val="es-ES"/>
        </w:rPr>
        <w:t xml:space="preserve">or 5.3.3 </w:t>
      </w:r>
      <w:r w:rsidR="00702D83">
        <w:rPr>
          <w:i/>
          <w:snapToGrid w:val="0"/>
          <w:spacing w:val="-2"/>
          <w:kern w:val="22"/>
          <w:lang w:val="es-ES"/>
        </w:rPr>
        <w:t>infra</w:t>
      </w:r>
      <w:r w:rsidR="00775B5A" w:rsidRPr="00702D83">
        <w:rPr>
          <w:snapToGrid w:val="0"/>
          <w:spacing w:val="-2"/>
          <w:kern w:val="22"/>
          <w:lang w:val="es-ES"/>
        </w:rPr>
        <w:t>)</w:t>
      </w:r>
      <w:r w:rsidR="00775B5A" w:rsidRPr="00702D83">
        <w:rPr>
          <w:rFonts w:ascii="Angsana New" w:hAnsi="Angsana New" w:cs="Angsana New"/>
          <w:snapToGrid w:val="0"/>
          <w:spacing w:val="-2"/>
          <w:kern w:val="22"/>
          <w:lang w:val="es-ES"/>
        </w:rPr>
        <w:t>.</w:t>
      </w:r>
    </w:p>
    <w:bookmarkEnd w:id="36"/>
    <w:p w:rsidR="00775B5A" w:rsidRPr="002B6B17" w:rsidRDefault="002360E7"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2360E7">
        <w:rPr>
          <w:snapToGrid w:val="0"/>
          <w:kern w:val="22"/>
          <w:lang w:val="es-ES"/>
        </w:rPr>
        <w:t>En sus contribuciones de texto libre</w:t>
      </w:r>
      <w:r w:rsidR="00775B5A" w:rsidRPr="002360E7">
        <w:rPr>
          <w:snapToGrid w:val="0"/>
          <w:kern w:val="22"/>
          <w:lang w:val="es-ES"/>
        </w:rPr>
        <w:t xml:space="preserve">, </w:t>
      </w:r>
      <w:r w:rsidRPr="002360E7">
        <w:rPr>
          <w:snapToGrid w:val="0"/>
          <w:kern w:val="22"/>
          <w:lang w:val="es-ES"/>
        </w:rPr>
        <w:t xml:space="preserve">varias </w:t>
      </w:r>
      <w:r w:rsidR="00775B5A" w:rsidRPr="002360E7">
        <w:rPr>
          <w:snapToGrid w:val="0"/>
          <w:kern w:val="22"/>
          <w:lang w:val="es-ES"/>
        </w:rPr>
        <w:t xml:space="preserve">Partes </w:t>
      </w:r>
      <w:r w:rsidRPr="002360E7">
        <w:rPr>
          <w:snapToGrid w:val="0"/>
          <w:kern w:val="22"/>
          <w:lang w:val="es-ES"/>
        </w:rPr>
        <w:t>indicaron que tenían un sitio web para facilitar la concienciaci</w:t>
      </w:r>
      <w:r>
        <w:rPr>
          <w:snapToGrid w:val="0"/>
          <w:kern w:val="22"/>
          <w:lang w:val="es-ES"/>
        </w:rPr>
        <w:t>ón, la educación y la participación del público</w:t>
      </w:r>
      <w:r w:rsidR="00775B5A" w:rsidRPr="002360E7">
        <w:rPr>
          <w:snapToGrid w:val="0"/>
          <w:kern w:val="22"/>
          <w:lang w:val="es-ES"/>
        </w:rPr>
        <w:t xml:space="preserve">, </w:t>
      </w:r>
      <w:r>
        <w:rPr>
          <w:snapToGrid w:val="0"/>
          <w:kern w:val="22"/>
          <w:lang w:val="es-ES"/>
        </w:rPr>
        <w:t>incluido el acceso a las prácticas de información</w:t>
      </w:r>
      <w:r w:rsidR="00775B5A" w:rsidRPr="002360E7">
        <w:rPr>
          <w:snapToGrid w:val="0"/>
          <w:kern w:val="22"/>
          <w:lang w:val="es-ES"/>
        </w:rPr>
        <w:t xml:space="preserve">. </w:t>
      </w:r>
      <w:r>
        <w:rPr>
          <w:snapToGrid w:val="0"/>
          <w:kern w:val="22"/>
          <w:lang w:val="es-ES"/>
        </w:rPr>
        <w:t xml:space="preserve">Varias Partes especificaron que su sitio web nacional de seguridad de la biotecnología funciona como centro nacional de intercambio de información sobre seguridad de la </w:t>
      </w:r>
      <w:r w:rsidR="002B6B17">
        <w:rPr>
          <w:snapToGrid w:val="0"/>
          <w:kern w:val="22"/>
          <w:lang w:val="es-ES"/>
        </w:rPr>
        <w:t>b</w:t>
      </w:r>
      <w:r>
        <w:rPr>
          <w:snapToGrid w:val="0"/>
          <w:kern w:val="22"/>
          <w:lang w:val="es-ES"/>
        </w:rPr>
        <w:t>iotecnología</w:t>
      </w:r>
      <w:r w:rsidR="00775B5A" w:rsidRPr="002360E7">
        <w:rPr>
          <w:snapToGrid w:val="0"/>
          <w:kern w:val="22"/>
          <w:lang w:val="es-ES"/>
        </w:rPr>
        <w:t xml:space="preserve">. </w:t>
      </w:r>
      <w:r w:rsidR="002B6B17">
        <w:rPr>
          <w:snapToGrid w:val="0"/>
          <w:kern w:val="22"/>
          <w:lang w:val="es-ES"/>
        </w:rPr>
        <w:t>En la encuesta sobre el programa de trabajo, algunas Partes indicaron que la falta de recursos les impedía establecer un sitio web nacional sobre seguridad de la biotecnología</w:t>
      </w:r>
      <w:r w:rsidR="00775B5A" w:rsidRPr="002B6B17">
        <w:rPr>
          <w:snapToGrid w:val="0"/>
          <w:kern w:val="22"/>
          <w:lang w:val="es-ES"/>
        </w:rPr>
        <w:t xml:space="preserve">. </w:t>
      </w:r>
    </w:p>
    <w:p w:rsidR="00775B5A" w:rsidRPr="00CE1FD0" w:rsidRDefault="00280265"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280265">
        <w:rPr>
          <w:snapToGrid w:val="0"/>
          <w:kern w:val="22"/>
          <w:lang w:val="es-ES"/>
        </w:rPr>
        <w:t xml:space="preserve">En la Encuesta sobre el programa de trabajo, el </w:t>
      </w:r>
      <w:r w:rsidR="00775B5A" w:rsidRPr="00280265">
        <w:rPr>
          <w:snapToGrid w:val="0"/>
          <w:spacing w:val="-2"/>
          <w:kern w:val="22"/>
          <w:lang w:val="es-ES"/>
        </w:rPr>
        <w:t>88</w:t>
      </w:r>
      <w:r w:rsidRPr="00280265">
        <w:rPr>
          <w:snapToGrid w:val="0"/>
          <w:spacing w:val="-2"/>
          <w:kern w:val="22"/>
          <w:lang w:val="es-ES"/>
        </w:rPr>
        <w:t xml:space="preserve"> </w:t>
      </w:r>
      <w:r w:rsidR="00775B5A" w:rsidRPr="00280265">
        <w:rPr>
          <w:snapToGrid w:val="0"/>
          <w:spacing w:val="-2"/>
          <w:kern w:val="22"/>
          <w:lang w:val="es-ES"/>
        </w:rPr>
        <w:t xml:space="preserve">% </w:t>
      </w:r>
      <w:r w:rsidRPr="00280265">
        <w:rPr>
          <w:snapToGrid w:val="0"/>
          <w:spacing w:val="-2"/>
          <w:kern w:val="22"/>
          <w:lang w:val="es-ES"/>
        </w:rPr>
        <w:t>de los encuestados indic</w:t>
      </w:r>
      <w:r>
        <w:rPr>
          <w:snapToGrid w:val="0"/>
          <w:spacing w:val="-2"/>
          <w:kern w:val="22"/>
          <w:lang w:val="es-ES"/>
        </w:rPr>
        <w:t>ó que contaba con un procedimiento para facilitar el acceso del público a la información sobre la seguridad de la biotecnología o que lo había establecido en cierta medida</w:t>
      </w:r>
      <w:r w:rsidR="00775B5A" w:rsidRPr="00280265">
        <w:rPr>
          <w:snapToGrid w:val="0"/>
          <w:spacing w:val="-2"/>
          <w:kern w:val="22"/>
          <w:lang w:val="es-ES"/>
        </w:rPr>
        <w:t xml:space="preserve">. </w:t>
      </w:r>
      <w:r w:rsidR="00D56388">
        <w:rPr>
          <w:snapToGrid w:val="0"/>
          <w:spacing w:val="-2"/>
          <w:kern w:val="22"/>
          <w:lang w:val="es-ES"/>
        </w:rPr>
        <w:t xml:space="preserve">Los encuestados aclararon que estos procedimientos se refieren principalmente a </w:t>
      </w:r>
      <w:r w:rsidR="00CE1FD0">
        <w:rPr>
          <w:snapToGrid w:val="0"/>
          <w:spacing w:val="-2"/>
          <w:kern w:val="22"/>
          <w:lang w:val="es-ES"/>
        </w:rPr>
        <w:t>sitios web nacionales</w:t>
      </w:r>
      <w:r w:rsidR="00775B5A" w:rsidRPr="00CE1FD0">
        <w:rPr>
          <w:snapToGrid w:val="0"/>
          <w:spacing w:val="-2"/>
          <w:kern w:val="22"/>
          <w:lang w:val="es-ES"/>
        </w:rPr>
        <w:t xml:space="preserve">. </w:t>
      </w:r>
      <w:r w:rsidR="00CE1FD0" w:rsidRPr="00CE1FD0">
        <w:rPr>
          <w:snapToGrid w:val="0"/>
          <w:spacing w:val="-2"/>
          <w:kern w:val="22"/>
          <w:lang w:val="es-ES"/>
        </w:rPr>
        <w:t>Algunas Partes también destacaron estos procedimientos a través de los medios de comunicaci</w:t>
      </w:r>
      <w:r w:rsidR="00CE1FD0">
        <w:rPr>
          <w:snapToGrid w:val="0"/>
          <w:spacing w:val="-2"/>
          <w:kern w:val="22"/>
          <w:lang w:val="es-ES"/>
        </w:rPr>
        <w:t>ón, reuniones, talleres y publicaciones</w:t>
      </w:r>
      <w:r w:rsidR="00775B5A" w:rsidRPr="00CE1FD0">
        <w:rPr>
          <w:snapToGrid w:val="0"/>
          <w:spacing w:val="-2"/>
          <w:kern w:val="22"/>
          <w:lang w:val="es-ES"/>
        </w:rPr>
        <w:t>.</w:t>
      </w:r>
    </w:p>
    <w:p w:rsidR="00775B5A" w:rsidRPr="00CE1FD0" w:rsidRDefault="00775B5A">
      <w:pPr>
        <w:suppressLineNumbers/>
        <w:suppressAutoHyphens/>
        <w:spacing w:before="120" w:after="120"/>
        <w:textAlignment w:val="baseline"/>
        <w:outlineLvl w:val="2"/>
        <w:rPr>
          <w:b/>
          <w:bCs/>
          <w:snapToGrid w:val="0"/>
          <w:spacing w:val="-2"/>
          <w:kern w:val="22"/>
          <w:lang w:val="es-ES"/>
        </w:rPr>
      </w:pPr>
      <w:r w:rsidRPr="00CE1FD0">
        <w:rPr>
          <w:b/>
          <w:bCs/>
          <w:snapToGrid w:val="0"/>
          <w:spacing w:val="-2"/>
          <w:kern w:val="22"/>
          <w:lang w:val="es-ES"/>
        </w:rPr>
        <w:t>O</w:t>
      </w:r>
      <w:r w:rsidR="00CE1FD0" w:rsidRPr="00CE1FD0">
        <w:rPr>
          <w:b/>
          <w:bCs/>
          <w:snapToGrid w:val="0"/>
          <w:spacing w:val="-2"/>
          <w:kern w:val="22"/>
          <w:lang w:val="es-ES"/>
        </w:rPr>
        <w:t>bjetivo operacional</w:t>
      </w:r>
      <w:r w:rsidRPr="00CE1FD0">
        <w:rPr>
          <w:b/>
          <w:bCs/>
          <w:snapToGrid w:val="0"/>
          <w:spacing w:val="-2"/>
          <w:kern w:val="22"/>
          <w:lang w:val="es-ES"/>
        </w:rPr>
        <w:t xml:space="preserve"> 2.7: </w:t>
      </w:r>
      <w:r w:rsidR="00CE1FD0" w:rsidRPr="00CE1FD0">
        <w:rPr>
          <w:b/>
          <w:bCs/>
          <w:snapToGrid w:val="0"/>
          <w:spacing w:val="-2"/>
          <w:kern w:val="22"/>
          <w:lang w:val="es-ES"/>
        </w:rPr>
        <w:t>Educación y capacitaci</w:t>
      </w:r>
      <w:r w:rsidR="00CE1FD0">
        <w:rPr>
          <w:b/>
          <w:bCs/>
          <w:snapToGrid w:val="0"/>
          <w:spacing w:val="-2"/>
          <w:kern w:val="22"/>
          <w:lang w:val="es-ES"/>
        </w:rPr>
        <w:t>ón en seguridad de la biotecnología</w:t>
      </w:r>
    </w:p>
    <w:p w:rsidR="00775B5A" w:rsidRPr="00CE1FD0" w:rsidRDefault="00CE1FD0"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CE1FD0">
        <w:rPr>
          <w:snapToGrid w:val="0"/>
          <w:spacing w:val="-2"/>
          <w:kern w:val="22"/>
          <w:lang w:val="es-ES"/>
        </w:rPr>
        <w:t>El objetivo operacional</w:t>
      </w:r>
      <w:r w:rsidR="00775B5A" w:rsidRPr="00CE1FD0">
        <w:rPr>
          <w:snapToGrid w:val="0"/>
          <w:spacing w:val="-2"/>
          <w:kern w:val="22"/>
          <w:lang w:val="es-ES"/>
        </w:rPr>
        <w:t xml:space="preserve"> 2.7 </w:t>
      </w:r>
      <w:r w:rsidRPr="00CE1FD0">
        <w:rPr>
          <w:snapToGrid w:val="0"/>
          <w:spacing w:val="-2"/>
          <w:kern w:val="22"/>
          <w:lang w:val="es-ES"/>
        </w:rPr>
        <w:t xml:space="preserve">trata de promover la educación y la capacitación de profesionales </w:t>
      </w:r>
      <w:r w:rsidR="004F5D94">
        <w:rPr>
          <w:snapToGrid w:val="0"/>
          <w:spacing w:val="-2"/>
          <w:kern w:val="22"/>
          <w:lang w:val="es-ES"/>
        </w:rPr>
        <w:t xml:space="preserve">en </w:t>
      </w:r>
      <w:r w:rsidRPr="00CE1FD0">
        <w:rPr>
          <w:snapToGrid w:val="0"/>
          <w:spacing w:val="-2"/>
          <w:kern w:val="22"/>
          <w:lang w:val="es-ES"/>
        </w:rPr>
        <w:t>seguridad de la biotecnolog</w:t>
      </w:r>
      <w:r>
        <w:rPr>
          <w:snapToGrid w:val="0"/>
          <w:spacing w:val="-2"/>
          <w:kern w:val="22"/>
          <w:lang w:val="es-ES"/>
        </w:rPr>
        <w:t>ía</w:t>
      </w:r>
      <w:r w:rsidR="00CD3B4E">
        <w:rPr>
          <w:snapToGrid w:val="0"/>
          <w:spacing w:val="-2"/>
          <w:kern w:val="22"/>
          <w:lang w:val="es-ES"/>
        </w:rPr>
        <w:t xml:space="preserve"> por medio de</w:t>
      </w:r>
      <w:r>
        <w:rPr>
          <w:snapToGrid w:val="0"/>
          <w:spacing w:val="-2"/>
          <w:kern w:val="22"/>
          <w:lang w:val="es-ES"/>
        </w:rPr>
        <w:t xml:space="preserve"> una mayor coordinación y colaboración entre las instituciones académicas y las organizaciones pertinentes</w:t>
      </w:r>
      <w:r w:rsidR="00775B5A" w:rsidRPr="00CE1FD0">
        <w:rPr>
          <w:snapToGrid w:val="0"/>
          <w:spacing w:val="-2"/>
          <w:kern w:val="22"/>
          <w:lang w:val="es-ES"/>
        </w:rPr>
        <w:t>.</w:t>
      </w:r>
    </w:p>
    <w:p w:rsidR="00775B5A" w:rsidRPr="004F5D94" w:rsidRDefault="004F5D94"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4F5D94">
        <w:rPr>
          <w:snapToGrid w:val="0"/>
          <w:spacing w:val="-2"/>
          <w:kern w:val="22"/>
          <w:lang w:val="es-ES"/>
        </w:rPr>
        <w:t>En lo que respecta al</w:t>
      </w:r>
      <w:r w:rsidR="00775B5A" w:rsidRPr="004F5D94">
        <w:rPr>
          <w:snapToGrid w:val="0"/>
          <w:spacing w:val="-2"/>
          <w:kern w:val="22"/>
          <w:lang w:val="es-ES"/>
        </w:rPr>
        <w:t xml:space="preserve"> </w:t>
      </w:r>
      <w:r w:rsidR="00775B5A" w:rsidRPr="004F5D94">
        <w:rPr>
          <w:b/>
          <w:bCs/>
          <w:snapToGrid w:val="0"/>
          <w:spacing w:val="-2"/>
          <w:kern w:val="22"/>
          <w:lang w:val="es-ES"/>
        </w:rPr>
        <w:t>indica</w:t>
      </w:r>
      <w:r w:rsidRPr="004F5D94">
        <w:rPr>
          <w:b/>
          <w:bCs/>
          <w:snapToGrid w:val="0"/>
          <w:spacing w:val="-2"/>
          <w:kern w:val="22"/>
          <w:lang w:val="es-ES"/>
        </w:rPr>
        <w:t>d</w:t>
      </w:r>
      <w:r w:rsidR="00775B5A" w:rsidRPr="004F5D94">
        <w:rPr>
          <w:b/>
          <w:bCs/>
          <w:snapToGrid w:val="0"/>
          <w:spacing w:val="-2"/>
          <w:kern w:val="22"/>
          <w:lang w:val="es-ES"/>
        </w:rPr>
        <w:t>or 2.7.1</w:t>
      </w:r>
      <w:r w:rsidRPr="004F5D94">
        <w:rPr>
          <w:snapToGrid w:val="0"/>
          <w:spacing w:val="-2"/>
          <w:kern w:val="22"/>
          <w:lang w:val="es-ES"/>
        </w:rPr>
        <w:t xml:space="preserve"> (el número de instituciones académicas por región que ofrece cursos y programas de educación y capacitación en seguridad de la biotecnología</w:t>
      </w:r>
      <w:r w:rsidR="00775B5A" w:rsidRPr="004F5D94">
        <w:rPr>
          <w:snapToGrid w:val="0"/>
          <w:spacing w:val="-2"/>
          <w:kern w:val="22"/>
          <w:lang w:val="es-ES"/>
        </w:rPr>
        <w:t xml:space="preserve">), </w:t>
      </w:r>
      <w:r w:rsidRPr="004F5D94">
        <w:rPr>
          <w:snapToGrid w:val="0"/>
          <w:spacing w:val="-2"/>
          <w:kern w:val="22"/>
          <w:lang w:val="es-ES"/>
        </w:rPr>
        <w:t xml:space="preserve">el </w:t>
      </w:r>
      <w:r w:rsidR="00775B5A" w:rsidRPr="004F5D94">
        <w:rPr>
          <w:snapToGrid w:val="0"/>
          <w:spacing w:val="-2"/>
          <w:kern w:val="22"/>
          <w:lang w:val="es-ES"/>
        </w:rPr>
        <w:t>86</w:t>
      </w:r>
      <w:r>
        <w:rPr>
          <w:snapToGrid w:val="0"/>
          <w:spacing w:val="-2"/>
          <w:kern w:val="22"/>
          <w:lang w:val="es-ES"/>
        </w:rPr>
        <w:t xml:space="preserve"> </w:t>
      </w:r>
      <w:r w:rsidR="00775B5A" w:rsidRPr="004F5D94">
        <w:rPr>
          <w:snapToGrid w:val="0"/>
          <w:spacing w:val="-2"/>
          <w:kern w:val="22"/>
          <w:lang w:val="es-ES"/>
        </w:rPr>
        <w:t xml:space="preserve">% </w:t>
      </w:r>
      <w:r>
        <w:rPr>
          <w:snapToGrid w:val="0"/>
          <w:spacing w:val="-2"/>
          <w:kern w:val="22"/>
          <w:lang w:val="es-ES"/>
        </w:rPr>
        <w:t>de las P</w:t>
      </w:r>
      <w:r w:rsidR="00775B5A" w:rsidRPr="004F5D94">
        <w:rPr>
          <w:snapToGrid w:val="0"/>
          <w:spacing w:val="-2"/>
          <w:kern w:val="22"/>
          <w:lang w:val="es-ES"/>
        </w:rPr>
        <w:t xml:space="preserve">artes (61 Partes) </w:t>
      </w:r>
      <w:r>
        <w:rPr>
          <w:snapToGrid w:val="0"/>
          <w:spacing w:val="-2"/>
          <w:kern w:val="22"/>
          <w:lang w:val="es-ES"/>
        </w:rPr>
        <w:t>comunic</w:t>
      </w:r>
      <w:r w:rsidR="00CD3B4E">
        <w:rPr>
          <w:snapToGrid w:val="0"/>
          <w:spacing w:val="-2"/>
          <w:kern w:val="22"/>
          <w:lang w:val="es-ES"/>
        </w:rPr>
        <w:t>ó</w:t>
      </w:r>
      <w:r>
        <w:rPr>
          <w:snapToGrid w:val="0"/>
          <w:spacing w:val="-2"/>
          <w:kern w:val="22"/>
          <w:lang w:val="es-ES"/>
        </w:rPr>
        <w:t xml:space="preserve"> que las instituciones académicas de su país ofrecen cursos y programas de educación y capacitación en materia de seguridad de la biotecnología</w:t>
      </w:r>
      <w:r w:rsidR="00775B5A" w:rsidRPr="004F5D94">
        <w:rPr>
          <w:snapToGrid w:val="0"/>
          <w:spacing w:val="-2"/>
          <w:kern w:val="22"/>
          <w:lang w:val="es-ES"/>
        </w:rPr>
        <w:t xml:space="preserve">, </w:t>
      </w:r>
      <w:r>
        <w:rPr>
          <w:snapToGrid w:val="0"/>
          <w:spacing w:val="-2"/>
          <w:kern w:val="22"/>
          <w:lang w:val="es-ES"/>
        </w:rPr>
        <w:t xml:space="preserve">lo que constituye un aumento de un </w:t>
      </w:r>
      <w:r w:rsidR="00775B5A" w:rsidRPr="004F5D94">
        <w:rPr>
          <w:snapToGrid w:val="0"/>
          <w:spacing w:val="-2"/>
          <w:kern w:val="22"/>
          <w:lang w:val="es-ES"/>
        </w:rPr>
        <w:t>11</w:t>
      </w:r>
      <w:r>
        <w:rPr>
          <w:snapToGrid w:val="0"/>
          <w:spacing w:val="-2"/>
          <w:kern w:val="22"/>
          <w:lang w:val="es-ES"/>
        </w:rPr>
        <w:t xml:space="preserve"> </w:t>
      </w:r>
      <w:r w:rsidR="00775B5A" w:rsidRPr="004F5D94">
        <w:rPr>
          <w:snapToGrid w:val="0"/>
          <w:spacing w:val="-2"/>
          <w:kern w:val="22"/>
          <w:lang w:val="es-ES"/>
        </w:rPr>
        <w:t xml:space="preserve">% </w:t>
      </w:r>
      <w:r>
        <w:rPr>
          <w:snapToGrid w:val="0"/>
          <w:spacing w:val="-2"/>
          <w:kern w:val="22"/>
          <w:lang w:val="es-ES"/>
        </w:rPr>
        <w:t>con respecto a los datos básicos de referencia</w:t>
      </w:r>
      <w:r w:rsidR="00775B5A" w:rsidRPr="004F5D94">
        <w:rPr>
          <w:snapToGrid w:val="0"/>
          <w:spacing w:val="-2"/>
          <w:kern w:val="22"/>
          <w:lang w:val="es-ES"/>
        </w:rPr>
        <w:t xml:space="preserve">. </w:t>
      </w:r>
      <w:r w:rsidRPr="004F5D94">
        <w:rPr>
          <w:snapToGrid w:val="0"/>
          <w:spacing w:val="-2"/>
          <w:kern w:val="22"/>
          <w:lang w:val="es-ES"/>
        </w:rPr>
        <w:t xml:space="preserve">Los porcentajes de las </w:t>
      </w:r>
      <w:r w:rsidR="00775B5A" w:rsidRPr="004F5D94">
        <w:rPr>
          <w:snapToGrid w:val="0"/>
          <w:spacing w:val="-2"/>
          <w:kern w:val="22"/>
          <w:lang w:val="es-ES"/>
        </w:rPr>
        <w:t xml:space="preserve">Partes </w:t>
      </w:r>
      <w:r w:rsidRPr="004F5D94">
        <w:rPr>
          <w:snapToGrid w:val="0"/>
          <w:spacing w:val="-2"/>
          <w:kern w:val="22"/>
          <w:lang w:val="es-ES"/>
        </w:rPr>
        <w:t>que indicaron que las instituciones académicas de su país ofrecen esos cursos y programas son elevados en la mayor</w:t>
      </w:r>
      <w:r>
        <w:rPr>
          <w:snapToGrid w:val="0"/>
          <w:spacing w:val="-2"/>
          <w:kern w:val="22"/>
          <w:lang w:val="es-ES"/>
        </w:rPr>
        <w:t xml:space="preserve">ía de las regiones </w:t>
      </w:r>
      <w:r w:rsidR="00775B5A" w:rsidRPr="004F5D94">
        <w:rPr>
          <w:snapToGrid w:val="0"/>
          <w:spacing w:val="-2"/>
          <w:kern w:val="22"/>
          <w:lang w:val="es-ES"/>
        </w:rPr>
        <w:t>(</w:t>
      </w:r>
      <w:r w:rsidR="00A53625">
        <w:rPr>
          <w:snapToGrid w:val="0"/>
          <w:spacing w:val="-2"/>
          <w:kern w:val="22"/>
          <w:lang w:val="es-ES"/>
        </w:rPr>
        <w:t>de</w:t>
      </w:r>
      <w:r>
        <w:rPr>
          <w:snapToGrid w:val="0"/>
          <w:spacing w:val="-2"/>
          <w:kern w:val="22"/>
          <w:lang w:val="es-ES"/>
        </w:rPr>
        <w:t xml:space="preserve">l </w:t>
      </w:r>
      <w:r w:rsidR="00775B5A" w:rsidRPr="004F5D94">
        <w:rPr>
          <w:snapToGrid w:val="0"/>
          <w:spacing w:val="-2"/>
          <w:kern w:val="22"/>
          <w:lang w:val="es-ES"/>
        </w:rPr>
        <w:t>89</w:t>
      </w:r>
      <w:r>
        <w:rPr>
          <w:snapToGrid w:val="0"/>
          <w:spacing w:val="-2"/>
          <w:kern w:val="22"/>
          <w:lang w:val="es-ES"/>
        </w:rPr>
        <w:t xml:space="preserve"> </w:t>
      </w:r>
      <w:r w:rsidR="00775B5A" w:rsidRPr="004F5D94">
        <w:rPr>
          <w:snapToGrid w:val="0"/>
          <w:spacing w:val="-2"/>
          <w:kern w:val="22"/>
          <w:lang w:val="es-ES"/>
        </w:rPr>
        <w:t xml:space="preserve">% </w:t>
      </w:r>
      <w:r w:rsidR="00A53625">
        <w:rPr>
          <w:snapToGrid w:val="0"/>
          <w:spacing w:val="-2"/>
          <w:kern w:val="22"/>
          <w:lang w:val="es-ES"/>
        </w:rPr>
        <w:t>hasta e</w:t>
      </w:r>
      <w:r>
        <w:rPr>
          <w:snapToGrid w:val="0"/>
          <w:spacing w:val="-2"/>
          <w:kern w:val="22"/>
          <w:lang w:val="es-ES"/>
        </w:rPr>
        <w:t xml:space="preserve">l </w:t>
      </w:r>
      <w:r w:rsidR="00775B5A" w:rsidRPr="004F5D94">
        <w:rPr>
          <w:snapToGrid w:val="0"/>
          <w:spacing w:val="-2"/>
          <w:kern w:val="22"/>
          <w:lang w:val="es-ES"/>
        </w:rPr>
        <w:t>100</w:t>
      </w:r>
      <w:r>
        <w:rPr>
          <w:snapToGrid w:val="0"/>
          <w:spacing w:val="-2"/>
          <w:kern w:val="22"/>
          <w:lang w:val="es-ES"/>
        </w:rPr>
        <w:t xml:space="preserve"> </w:t>
      </w:r>
      <w:r w:rsidR="00775B5A" w:rsidRPr="004F5D94">
        <w:rPr>
          <w:snapToGrid w:val="0"/>
          <w:spacing w:val="-2"/>
          <w:kern w:val="22"/>
          <w:lang w:val="es-ES"/>
        </w:rPr>
        <w:t xml:space="preserve">%), </w:t>
      </w:r>
      <w:r>
        <w:rPr>
          <w:snapToGrid w:val="0"/>
          <w:spacing w:val="-2"/>
          <w:kern w:val="22"/>
          <w:lang w:val="es-ES"/>
        </w:rPr>
        <w:t>con</w:t>
      </w:r>
      <w:r w:rsidR="00CD3B4E">
        <w:rPr>
          <w:snapToGrid w:val="0"/>
          <w:spacing w:val="-2"/>
          <w:kern w:val="22"/>
          <w:lang w:val="es-ES"/>
        </w:rPr>
        <w:t xml:space="preserve"> la </w:t>
      </w:r>
      <w:r>
        <w:rPr>
          <w:snapToGrid w:val="0"/>
          <w:spacing w:val="-2"/>
          <w:kern w:val="22"/>
          <w:lang w:val="es-ES"/>
        </w:rPr>
        <w:t>excepción de</w:t>
      </w:r>
      <w:r w:rsidR="00D74010">
        <w:rPr>
          <w:snapToGrid w:val="0"/>
          <w:spacing w:val="-2"/>
          <w:kern w:val="22"/>
          <w:lang w:val="es-ES"/>
        </w:rPr>
        <w:t xml:space="preserve">l </w:t>
      </w:r>
      <w:r w:rsidR="00D74010">
        <w:rPr>
          <w:snapToGrid w:val="0"/>
          <w:kern w:val="22"/>
          <w:lang w:val="es-ES"/>
        </w:rPr>
        <w:t>grupo de países de América Latina y el Caribe</w:t>
      </w:r>
      <w:r w:rsidR="00775B5A" w:rsidRPr="004F5D94">
        <w:rPr>
          <w:snapToGrid w:val="0"/>
          <w:spacing w:val="-2"/>
          <w:kern w:val="22"/>
          <w:lang w:val="es-ES"/>
        </w:rPr>
        <w:t xml:space="preserve">, </w:t>
      </w:r>
      <w:r w:rsidR="003A506D">
        <w:rPr>
          <w:snapToGrid w:val="0"/>
          <w:spacing w:val="-2"/>
          <w:kern w:val="22"/>
          <w:lang w:val="es-ES"/>
        </w:rPr>
        <w:t>donde el porcentaje de las Partes que inform</w:t>
      </w:r>
      <w:r w:rsidR="00CD3B4E">
        <w:rPr>
          <w:snapToGrid w:val="0"/>
          <w:spacing w:val="-2"/>
          <w:kern w:val="22"/>
          <w:lang w:val="es-ES"/>
        </w:rPr>
        <w:t>ó</w:t>
      </w:r>
      <w:r w:rsidR="002844E2">
        <w:rPr>
          <w:snapToGrid w:val="0"/>
          <w:spacing w:val="-2"/>
          <w:kern w:val="22"/>
          <w:lang w:val="es-ES"/>
        </w:rPr>
        <w:t xml:space="preserve"> al respecto</w:t>
      </w:r>
      <w:r w:rsidR="003A506D">
        <w:rPr>
          <w:snapToGrid w:val="0"/>
          <w:spacing w:val="-2"/>
          <w:kern w:val="22"/>
          <w:lang w:val="es-ES"/>
        </w:rPr>
        <w:t xml:space="preserve"> era mucho menor</w:t>
      </w:r>
      <w:r w:rsidR="00775B5A" w:rsidRPr="004F5D94">
        <w:rPr>
          <w:snapToGrid w:val="0"/>
          <w:spacing w:val="-2"/>
          <w:kern w:val="22"/>
          <w:lang w:val="es-ES"/>
        </w:rPr>
        <w:t xml:space="preserve"> (54</w:t>
      </w:r>
      <w:r w:rsidR="003A506D">
        <w:rPr>
          <w:snapToGrid w:val="0"/>
          <w:spacing w:val="-2"/>
          <w:kern w:val="22"/>
          <w:lang w:val="es-ES"/>
        </w:rPr>
        <w:t xml:space="preserve"> </w:t>
      </w:r>
      <w:r w:rsidR="00775B5A" w:rsidRPr="004F5D94">
        <w:rPr>
          <w:snapToGrid w:val="0"/>
          <w:spacing w:val="-2"/>
          <w:kern w:val="22"/>
          <w:lang w:val="es-ES"/>
        </w:rPr>
        <w:t xml:space="preserve">%), </w:t>
      </w:r>
      <w:r w:rsidR="003A506D">
        <w:rPr>
          <w:snapToGrid w:val="0"/>
          <w:spacing w:val="-2"/>
          <w:kern w:val="22"/>
          <w:lang w:val="es-ES"/>
        </w:rPr>
        <w:t xml:space="preserve">y no se observó ningún cambio con respecto a los datos básicos de referencia </w:t>
      </w:r>
      <w:r w:rsidR="00775B5A" w:rsidRPr="004F5D94">
        <w:rPr>
          <w:snapToGrid w:val="0"/>
          <w:spacing w:val="-2"/>
          <w:kern w:val="22"/>
          <w:lang w:val="es-ES"/>
        </w:rPr>
        <w:t>(</w:t>
      </w:r>
      <w:r w:rsidR="003A506D">
        <w:rPr>
          <w:snapToGrid w:val="0"/>
          <w:spacing w:val="-2"/>
          <w:kern w:val="22"/>
          <w:lang w:val="es-ES"/>
        </w:rPr>
        <w:t>véase también el</w:t>
      </w:r>
      <w:r w:rsidR="00775B5A" w:rsidRPr="004F5D94">
        <w:rPr>
          <w:snapToGrid w:val="0"/>
          <w:spacing w:val="-2"/>
          <w:kern w:val="22"/>
          <w:lang w:val="es-ES"/>
        </w:rPr>
        <w:t xml:space="preserve"> </w:t>
      </w:r>
      <w:r w:rsidR="00775B5A" w:rsidRPr="004F5D94">
        <w:rPr>
          <w:b/>
          <w:bCs/>
          <w:snapToGrid w:val="0"/>
          <w:spacing w:val="-2"/>
          <w:kern w:val="22"/>
          <w:lang w:val="es-ES"/>
        </w:rPr>
        <w:t>indica</w:t>
      </w:r>
      <w:r w:rsidR="003A506D">
        <w:rPr>
          <w:b/>
          <w:bCs/>
          <w:snapToGrid w:val="0"/>
          <w:spacing w:val="-2"/>
          <w:kern w:val="22"/>
          <w:lang w:val="es-ES"/>
        </w:rPr>
        <w:t>d</w:t>
      </w:r>
      <w:r w:rsidR="00775B5A" w:rsidRPr="004F5D94">
        <w:rPr>
          <w:b/>
          <w:bCs/>
          <w:snapToGrid w:val="0"/>
          <w:spacing w:val="-2"/>
          <w:kern w:val="22"/>
          <w:lang w:val="es-ES"/>
        </w:rPr>
        <w:t>or 5.3.3</w:t>
      </w:r>
      <w:r w:rsidR="003A506D">
        <w:rPr>
          <w:snapToGrid w:val="0"/>
          <w:spacing w:val="-2"/>
          <w:kern w:val="22"/>
          <w:lang w:val="es-ES"/>
        </w:rPr>
        <w:t xml:space="preserve"> </w:t>
      </w:r>
      <w:r w:rsidR="003A506D">
        <w:rPr>
          <w:i/>
          <w:snapToGrid w:val="0"/>
          <w:spacing w:val="-2"/>
          <w:kern w:val="22"/>
          <w:lang w:val="es-ES"/>
        </w:rPr>
        <w:t>infra</w:t>
      </w:r>
      <w:r w:rsidR="00775B5A" w:rsidRPr="004F5D94">
        <w:rPr>
          <w:snapToGrid w:val="0"/>
          <w:spacing w:val="-2"/>
          <w:kern w:val="22"/>
          <w:lang w:val="es-ES"/>
        </w:rPr>
        <w:t>).</w:t>
      </w:r>
    </w:p>
    <w:p w:rsidR="00775B5A" w:rsidRPr="002844E2" w:rsidRDefault="002844E2"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spacing w:val="-2"/>
          <w:kern w:val="22"/>
          <w:lang w:val="es-ES"/>
        </w:rPr>
      </w:pPr>
      <w:r w:rsidRPr="002844E2">
        <w:rPr>
          <w:snapToGrid w:val="0"/>
          <w:spacing w:val="-2"/>
          <w:kern w:val="22"/>
          <w:lang w:val="es-ES"/>
        </w:rPr>
        <w:t xml:space="preserve">En sus cuartos informes nacionales, un total del </w:t>
      </w:r>
      <w:r w:rsidR="00775B5A" w:rsidRPr="002844E2">
        <w:rPr>
          <w:snapToGrid w:val="0"/>
          <w:spacing w:val="-2"/>
          <w:kern w:val="22"/>
          <w:lang w:val="es-ES"/>
        </w:rPr>
        <w:t>54</w:t>
      </w:r>
      <w:r w:rsidRPr="002844E2">
        <w:rPr>
          <w:snapToGrid w:val="0"/>
          <w:spacing w:val="-2"/>
          <w:kern w:val="22"/>
          <w:lang w:val="es-ES"/>
        </w:rPr>
        <w:t xml:space="preserve"> </w:t>
      </w:r>
      <w:r w:rsidR="00775B5A" w:rsidRPr="002844E2">
        <w:rPr>
          <w:snapToGrid w:val="0"/>
          <w:spacing w:val="-2"/>
          <w:kern w:val="22"/>
          <w:lang w:val="es-ES"/>
        </w:rPr>
        <w:t xml:space="preserve">% </w:t>
      </w:r>
      <w:r w:rsidRPr="002844E2">
        <w:rPr>
          <w:snapToGrid w:val="0"/>
          <w:spacing w:val="-2"/>
          <w:kern w:val="22"/>
          <w:lang w:val="es-ES"/>
        </w:rPr>
        <w:t xml:space="preserve">de las </w:t>
      </w:r>
      <w:r w:rsidR="00775B5A" w:rsidRPr="002844E2">
        <w:rPr>
          <w:snapToGrid w:val="0"/>
          <w:spacing w:val="-2"/>
          <w:kern w:val="22"/>
          <w:lang w:val="es-ES"/>
        </w:rPr>
        <w:t xml:space="preserve">Partes (36 Partes) </w:t>
      </w:r>
      <w:r w:rsidRPr="002844E2">
        <w:rPr>
          <w:snapToGrid w:val="0"/>
          <w:spacing w:val="-2"/>
          <w:kern w:val="22"/>
          <w:lang w:val="es-ES"/>
        </w:rPr>
        <w:t>comunic</w:t>
      </w:r>
      <w:r w:rsidR="00CD3B4E">
        <w:rPr>
          <w:snapToGrid w:val="0"/>
          <w:spacing w:val="-2"/>
          <w:kern w:val="22"/>
          <w:lang w:val="es-ES"/>
        </w:rPr>
        <w:t>ó</w:t>
      </w:r>
      <w:r w:rsidRPr="002844E2">
        <w:rPr>
          <w:snapToGrid w:val="0"/>
          <w:spacing w:val="-2"/>
          <w:kern w:val="22"/>
          <w:lang w:val="es-ES"/>
        </w:rPr>
        <w:t xml:space="preserve"> que el número de cursos y programas era el adecuado, en particular en </w:t>
      </w:r>
      <w:r w:rsidR="00775B5A" w:rsidRPr="002844E2">
        <w:rPr>
          <w:snapToGrid w:val="0"/>
          <w:spacing w:val="-2"/>
          <w:kern w:val="22"/>
          <w:lang w:val="es-ES"/>
        </w:rPr>
        <w:t>Asia</w:t>
      </w:r>
      <w:r w:rsidR="00A53625">
        <w:rPr>
          <w:snapToGrid w:val="0"/>
          <w:spacing w:val="-2"/>
          <w:kern w:val="22"/>
          <w:lang w:val="es-ES"/>
        </w:rPr>
        <w:t xml:space="preserve"> y el Pacífico</w:t>
      </w:r>
      <w:r w:rsidR="00775B5A" w:rsidRPr="002844E2">
        <w:rPr>
          <w:snapToGrid w:val="0"/>
          <w:spacing w:val="-2"/>
          <w:kern w:val="22"/>
          <w:lang w:val="es-ES"/>
        </w:rPr>
        <w:t xml:space="preserve"> (69</w:t>
      </w:r>
      <w:r w:rsidRPr="002844E2">
        <w:rPr>
          <w:snapToGrid w:val="0"/>
          <w:spacing w:val="-2"/>
          <w:kern w:val="22"/>
          <w:lang w:val="es-ES"/>
        </w:rPr>
        <w:t xml:space="preserve"> </w:t>
      </w:r>
      <w:r w:rsidR="00775B5A" w:rsidRPr="002844E2">
        <w:rPr>
          <w:snapToGrid w:val="0"/>
          <w:spacing w:val="-2"/>
          <w:kern w:val="22"/>
          <w:lang w:val="es-ES"/>
        </w:rPr>
        <w:t xml:space="preserve">%), </w:t>
      </w:r>
      <w:r w:rsidR="00477624">
        <w:rPr>
          <w:snapToGrid w:val="0"/>
          <w:kern w:val="22"/>
          <w:lang w:val="es-ES"/>
        </w:rPr>
        <w:t>grupo de Estados de Europa Central y Oriental</w:t>
      </w:r>
      <w:r w:rsidR="00477624" w:rsidRPr="00EC2231">
        <w:rPr>
          <w:snapToGrid w:val="0"/>
          <w:kern w:val="22"/>
          <w:lang w:val="es-ES"/>
        </w:rPr>
        <w:t xml:space="preserve"> </w:t>
      </w:r>
      <w:r w:rsidR="00775B5A" w:rsidRPr="002844E2">
        <w:rPr>
          <w:snapToGrid w:val="0"/>
          <w:spacing w:val="-2"/>
          <w:kern w:val="22"/>
          <w:lang w:val="es-ES"/>
        </w:rPr>
        <w:t>(83</w:t>
      </w:r>
      <w:r>
        <w:rPr>
          <w:snapToGrid w:val="0"/>
          <w:spacing w:val="-2"/>
          <w:kern w:val="22"/>
          <w:lang w:val="es-ES"/>
        </w:rPr>
        <w:t xml:space="preserve"> %) y el grupo de Estados de Europa Occidental y otros</w:t>
      </w:r>
      <w:r w:rsidR="00775B5A" w:rsidRPr="002844E2">
        <w:rPr>
          <w:snapToGrid w:val="0"/>
          <w:spacing w:val="-2"/>
          <w:kern w:val="22"/>
          <w:lang w:val="es-ES"/>
        </w:rPr>
        <w:t xml:space="preserve"> (100</w:t>
      </w:r>
      <w:r>
        <w:rPr>
          <w:snapToGrid w:val="0"/>
          <w:spacing w:val="-2"/>
          <w:kern w:val="22"/>
          <w:lang w:val="es-ES"/>
        </w:rPr>
        <w:t xml:space="preserve"> </w:t>
      </w:r>
      <w:r w:rsidR="00775B5A" w:rsidRPr="002844E2">
        <w:rPr>
          <w:snapToGrid w:val="0"/>
          <w:spacing w:val="-2"/>
          <w:kern w:val="22"/>
          <w:lang w:val="es-ES"/>
        </w:rPr>
        <w:t>%)</w:t>
      </w:r>
      <w:r>
        <w:rPr>
          <w:snapToGrid w:val="0"/>
          <w:spacing w:val="-2"/>
          <w:kern w:val="22"/>
          <w:lang w:val="es-ES"/>
        </w:rPr>
        <w:t>, mientras que la mayoría de las Part</w:t>
      </w:r>
      <w:r w:rsidR="00775B5A" w:rsidRPr="002844E2">
        <w:rPr>
          <w:snapToGrid w:val="0"/>
          <w:spacing w:val="-2"/>
          <w:kern w:val="22"/>
          <w:lang w:val="es-ES"/>
        </w:rPr>
        <w:t xml:space="preserve">es </w:t>
      </w:r>
      <w:r>
        <w:rPr>
          <w:snapToGrid w:val="0"/>
          <w:spacing w:val="-2"/>
          <w:kern w:val="22"/>
          <w:lang w:val="es-ES"/>
        </w:rPr>
        <w:t>en las regiones de Á</w:t>
      </w:r>
      <w:r w:rsidR="00775B5A" w:rsidRPr="002844E2">
        <w:rPr>
          <w:snapToGrid w:val="0"/>
          <w:spacing w:val="-2"/>
          <w:kern w:val="22"/>
          <w:lang w:val="es-ES"/>
        </w:rPr>
        <w:t>frica (95</w:t>
      </w:r>
      <w:r>
        <w:rPr>
          <w:snapToGrid w:val="0"/>
          <w:spacing w:val="-2"/>
          <w:kern w:val="22"/>
          <w:lang w:val="es-ES"/>
        </w:rPr>
        <w:t xml:space="preserve"> </w:t>
      </w:r>
      <w:r w:rsidR="00775B5A" w:rsidRPr="002844E2">
        <w:rPr>
          <w:snapToGrid w:val="0"/>
          <w:spacing w:val="-2"/>
          <w:kern w:val="22"/>
          <w:lang w:val="es-ES"/>
        </w:rPr>
        <w:t xml:space="preserve">%) </w:t>
      </w:r>
      <w:r>
        <w:rPr>
          <w:snapToGrid w:val="0"/>
          <w:spacing w:val="-2"/>
          <w:kern w:val="22"/>
          <w:lang w:val="es-ES"/>
        </w:rPr>
        <w:t xml:space="preserve">y </w:t>
      </w:r>
      <w:r w:rsidR="00D74010">
        <w:rPr>
          <w:snapToGrid w:val="0"/>
          <w:spacing w:val="-2"/>
          <w:kern w:val="22"/>
          <w:lang w:val="es-ES"/>
        </w:rPr>
        <w:t xml:space="preserve">el </w:t>
      </w:r>
      <w:r w:rsidR="00D74010">
        <w:rPr>
          <w:snapToGrid w:val="0"/>
          <w:kern w:val="22"/>
          <w:lang w:val="es-ES"/>
        </w:rPr>
        <w:t>grupo de países de América Latina y el Caribe</w:t>
      </w:r>
      <w:r w:rsidR="00D74010" w:rsidRPr="002844E2">
        <w:rPr>
          <w:snapToGrid w:val="0"/>
          <w:spacing w:val="-2"/>
          <w:kern w:val="22"/>
          <w:lang w:val="es-ES"/>
        </w:rPr>
        <w:t xml:space="preserve"> </w:t>
      </w:r>
      <w:r w:rsidR="00775B5A" w:rsidRPr="002844E2">
        <w:rPr>
          <w:snapToGrid w:val="0"/>
          <w:spacing w:val="-2"/>
          <w:kern w:val="22"/>
          <w:lang w:val="es-ES"/>
        </w:rPr>
        <w:t>(80</w:t>
      </w:r>
      <w:r>
        <w:rPr>
          <w:snapToGrid w:val="0"/>
          <w:spacing w:val="-2"/>
          <w:kern w:val="22"/>
          <w:lang w:val="es-ES"/>
        </w:rPr>
        <w:t xml:space="preserve"> </w:t>
      </w:r>
      <w:r w:rsidR="00775B5A" w:rsidRPr="002844E2">
        <w:rPr>
          <w:snapToGrid w:val="0"/>
          <w:spacing w:val="-2"/>
          <w:kern w:val="22"/>
          <w:lang w:val="es-ES"/>
        </w:rPr>
        <w:t xml:space="preserve">%) </w:t>
      </w:r>
      <w:r>
        <w:rPr>
          <w:snapToGrid w:val="0"/>
          <w:spacing w:val="-2"/>
          <w:kern w:val="22"/>
          <w:lang w:val="es-ES"/>
        </w:rPr>
        <w:t>indicaron que el número de cursos y programas no</w:t>
      </w:r>
      <w:r w:rsidR="00CD3B4E">
        <w:rPr>
          <w:snapToGrid w:val="0"/>
          <w:spacing w:val="-2"/>
          <w:kern w:val="22"/>
          <w:lang w:val="es-ES"/>
        </w:rPr>
        <w:t xml:space="preserve"> era suficiente</w:t>
      </w:r>
      <w:r w:rsidR="00775B5A">
        <w:rPr>
          <w:rStyle w:val="FootnoteReference"/>
          <w:rFonts w:ascii="Angsana New" w:hAnsi="Angsana New" w:cs="Angsana New"/>
          <w:snapToGrid w:val="0"/>
          <w:spacing w:val="-2"/>
          <w:kern w:val="22"/>
        </w:rPr>
        <w:footnoteReference w:id="63"/>
      </w:r>
      <w:r w:rsidRPr="002844E2">
        <w:rPr>
          <w:snapToGrid w:val="0"/>
          <w:spacing w:val="-2"/>
          <w:kern w:val="22"/>
          <w:lang w:val="es-ES"/>
        </w:rPr>
        <w:t>.</w:t>
      </w:r>
    </w:p>
    <w:p w:rsidR="00775B5A" w:rsidRPr="009D66B1" w:rsidRDefault="002844E2"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C140DD">
        <w:rPr>
          <w:snapToGrid w:val="0"/>
          <w:spacing w:val="-2"/>
          <w:kern w:val="22"/>
          <w:lang w:val="es-ES"/>
        </w:rPr>
        <w:lastRenderedPageBreak/>
        <w:t xml:space="preserve">En sus contribuciones </w:t>
      </w:r>
      <w:r w:rsidR="006B74CE">
        <w:rPr>
          <w:snapToGrid w:val="0"/>
          <w:spacing w:val="-2"/>
          <w:kern w:val="22"/>
          <w:lang w:val="es-ES"/>
        </w:rPr>
        <w:t>de</w:t>
      </w:r>
      <w:r w:rsidRPr="00C140DD">
        <w:rPr>
          <w:snapToGrid w:val="0"/>
          <w:spacing w:val="-2"/>
          <w:kern w:val="22"/>
          <w:lang w:val="es-ES"/>
        </w:rPr>
        <w:t xml:space="preserve"> texto libre, varias Partes indicaron que </w:t>
      </w:r>
      <w:r w:rsidR="00C140DD" w:rsidRPr="00C140DD">
        <w:rPr>
          <w:snapToGrid w:val="0"/>
          <w:spacing w:val="-2"/>
          <w:kern w:val="22"/>
          <w:lang w:val="es-ES"/>
        </w:rPr>
        <w:t>también había cursos de capacitaci</w:t>
      </w:r>
      <w:r w:rsidR="00C140DD">
        <w:rPr>
          <w:snapToGrid w:val="0"/>
          <w:spacing w:val="-2"/>
          <w:kern w:val="22"/>
          <w:lang w:val="es-ES"/>
        </w:rPr>
        <w:t>ón organizados por su Gobierno o por universidades para profesionales o el público en general</w:t>
      </w:r>
      <w:r w:rsidR="00775B5A" w:rsidRPr="00C140DD">
        <w:rPr>
          <w:snapToGrid w:val="0"/>
          <w:spacing w:val="-2"/>
          <w:kern w:val="22"/>
          <w:lang w:val="es-ES"/>
        </w:rPr>
        <w:t xml:space="preserve">. </w:t>
      </w:r>
      <w:r w:rsidR="00C140DD" w:rsidRPr="009D66B1">
        <w:rPr>
          <w:snapToGrid w:val="0"/>
          <w:spacing w:val="-2"/>
          <w:kern w:val="22"/>
          <w:lang w:val="es-ES"/>
        </w:rPr>
        <w:t xml:space="preserve">Varias Partes especificaron </w:t>
      </w:r>
      <w:r w:rsidR="009D66B1" w:rsidRPr="009D66B1">
        <w:rPr>
          <w:snapToGrid w:val="0"/>
          <w:spacing w:val="-2"/>
          <w:kern w:val="22"/>
          <w:lang w:val="es-ES"/>
        </w:rPr>
        <w:t>además que la capacitación ofrecida por el Gobierno se realizaba en forma de talleres o seminarios</w:t>
      </w:r>
      <w:r w:rsidR="00775B5A" w:rsidRPr="009D66B1">
        <w:rPr>
          <w:snapToGrid w:val="0"/>
          <w:spacing w:val="-2"/>
          <w:kern w:val="22"/>
          <w:lang w:val="es-ES"/>
        </w:rPr>
        <w:t xml:space="preserve">. </w:t>
      </w:r>
    </w:p>
    <w:p w:rsidR="00775B5A" w:rsidRPr="009D66B1" w:rsidRDefault="009D66B1"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9D66B1">
        <w:rPr>
          <w:snapToGrid w:val="0"/>
          <w:spacing w:val="-2"/>
          <w:kern w:val="22"/>
          <w:lang w:val="es-ES"/>
        </w:rPr>
        <w:t>Con respecto al</w:t>
      </w:r>
      <w:r w:rsidR="00775B5A" w:rsidRPr="009D66B1">
        <w:rPr>
          <w:snapToGrid w:val="0"/>
          <w:spacing w:val="-2"/>
          <w:kern w:val="22"/>
          <w:lang w:val="es-ES"/>
        </w:rPr>
        <w:t xml:space="preserve"> </w:t>
      </w:r>
      <w:r w:rsidR="00775B5A" w:rsidRPr="009D66B1">
        <w:rPr>
          <w:b/>
          <w:bCs/>
          <w:snapToGrid w:val="0"/>
          <w:spacing w:val="-2"/>
          <w:kern w:val="22"/>
          <w:lang w:val="es-ES"/>
        </w:rPr>
        <w:t>indica</w:t>
      </w:r>
      <w:r w:rsidRPr="009D66B1">
        <w:rPr>
          <w:b/>
          <w:bCs/>
          <w:snapToGrid w:val="0"/>
          <w:spacing w:val="-2"/>
          <w:kern w:val="22"/>
          <w:lang w:val="es-ES"/>
        </w:rPr>
        <w:t>d</w:t>
      </w:r>
      <w:r w:rsidR="00775B5A" w:rsidRPr="009D66B1">
        <w:rPr>
          <w:b/>
          <w:bCs/>
          <w:snapToGrid w:val="0"/>
          <w:spacing w:val="-2"/>
          <w:kern w:val="22"/>
          <w:lang w:val="es-ES"/>
        </w:rPr>
        <w:t xml:space="preserve">or 2.7.2 </w:t>
      </w:r>
      <w:r w:rsidR="00775B5A" w:rsidRPr="009D66B1">
        <w:rPr>
          <w:snapToGrid w:val="0"/>
          <w:spacing w:val="-2"/>
          <w:kern w:val="22"/>
          <w:lang w:val="es-ES"/>
        </w:rPr>
        <w:t>(</w:t>
      </w:r>
      <w:r w:rsidRPr="009D66B1">
        <w:rPr>
          <w:snapToGrid w:val="0"/>
          <w:spacing w:val="-2"/>
          <w:kern w:val="22"/>
          <w:lang w:val="es-ES"/>
        </w:rPr>
        <w:t>el número de materiales y módulos de capacitaci</w:t>
      </w:r>
      <w:r>
        <w:rPr>
          <w:snapToGrid w:val="0"/>
          <w:spacing w:val="-2"/>
          <w:kern w:val="22"/>
          <w:lang w:val="es-ES"/>
        </w:rPr>
        <w:t xml:space="preserve">ón en línea sobre seguridad de la biotecnología </w:t>
      </w:r>
      <w:r w:rsidRPr="009D66B1">
        <w:rPr>
          <w:snapToGrid w:val="0"/>
          <w:spacing w:val="-2"/>
          <w:kern w:val="22"/>
          <w:lang w:val="es-ES"/>
        </w:rPr>
        <w:t>disponibles</w:t>
      </w:r>
      <w:r w:rsidR="00775B5A" w:rsidRPr="009D66B1">
        <w:rPr>
          <w:snapToGrid w:val="0"/>
          <w:spacing w:val="-2"/>
          <w:kern w:val="22"/>
          <w:lang w:val="es-ES"/>
        </w:rPr>
        <w:t xml:space="preserve">), </w:t>
      </w:r>
      <w:r>
        <w:rPr>
          <w:snapToGrid w:val="0"/>
          <w:spacing w:val="-2"/>
          <w:kern w:val="22"/>
          <w:lang w:val="es-ES"/>
        </w:rPr>
        <w:t xml:space="preserve">el </w:t>
      </w:r>
      <w:r w:rsidR="00775B5A" w:rsidRPr="009D66B1">
        <w:rPr>
          <w:snapToGrid w:val="0"/>
          <w:spacing w:val="-2"/>
          <w:kern w:val="22"/>
          <w:lang w:val="es-ES"/>
        </w:rPr>
        <w:t>77</w:t>
      </w:r>
      <w:r>
        <w:rPr>
          <w:snapToGrid w:val="0"/>
          <w:spacing w:val="-2"/>
          <w:kern w:val="22"/>
          <w:lang w:val="es-ES"/>
        </w:rPr>
        <w:t xml:space="preserve"> </w:t>
      </w:r>
      <w:r w:rsidR="00775B5A" w:rsidRPr="009D66B1">
        <w:rPr>
          <w:snapToGrid w:val="0"/>
          <w:spacing w:val="-2"/>
          <w:kern w:val="22"/>
          <w:lang w:val="es-ES"/>
        </w:rPr>
        <w:t xml:space="preserve">% </w:t>
      </w:r>
      <w:r>
        <w:rPr>
          <w:snapToGrid w:val="0"/>
          <w:spacing w:val="-2"/>
          <w:kern w:val="22"/>
          <w:lang w:val="es-ES"/>
        </w:rPr>
        <w:t xml:space="preserve">de las </w:t>
      </w:r>
      <w:r w:rsidR="00775B5A" w:rsidRPr="009D66B1">
        <w:rPr>
          <w:snapToGrid w:val="0"/>
          <w:spacing w:val="-2"/>
          <w:kern w:val="22"/>
          <w:lang w:val="es-ES"/>
        </w:rPr>
        <w:t xml:space="preserve">Partes (55 Partes) </w:t>
      </w:r>
      <w:r>
        <w:rPr>
          <w:snapToGrid w:val="0"/>
          <w:spacing w:val="-2"/>
          <w:kern w:val="22"/>
          <w:lang w:val="es-ES"/>
        </w:rPr>
        <w:t>comunic</w:t>
      </w:r>
      <w:r w:rsidR="00CD3B4E">
        <w:rPr>
          <w:snapToGrid w:val="0"/>
          <w:spacing w:val="-2"/>
          <w:kern w:val="22"/>
          <w:lang w:val="es-ES"/>
        </w:rPr>
        <w:t>ó</w:t>
      </w:r>
      <w:r>
        <w:rPr>
          <w:snapToGrid w:val="0"/>
          <w:spacing w:val="-2"/>
          <w:kern w:val="22"/>
          <w:lang w:val="es-ES"/>
        </w:rPr>
        <w:t xml:space="preserve"> que el público de su país tenía a su disposición material educativo o módulos en línea sobre seguridad de la biotecnología</w:t>
      </w:r>
      <w:r w:rsidR="00775B5A" w:rsidRPr="009D66B1">
        <w:rPr>
          <w:snapToGrid w:val="0"/>
          <w:spacing w:val="-2"/>
          <w:kern w:val="22"/>
          <w:lang w:val="es-ES"/>
        </w:rPr>
        <w:t xml:space="preserve">. </w:t>
      </w:r>
      <w:r>
        <w:rPr>
          <w:snapToGrid w:val="0"/>
          <w:spacing w:val="-2"/>
          <w:kern w:val="22"/>
          <w:lang w:val="es-ES"/>
        </w:rPr>
        <w:t xml:space="preserve">Esto constituye un aumento de un </w:t>
      </w:r>
      <w:r w:rsidR="00775B5A" w:rsidRPr="009D66B1">
        <w:rPr>
          <w:snapToGrid w:val="0"/>
          <w:spacing w:val="-2"/>
          <w:kern w:val="22"/>
          <w:lang w:val="es-ES"/>
        </w:rPr>
        <w:t>15</w:t>
      </w:r>
      <w:r w:rsidRPr="009D66B1">
        <w:rPr>
          <w:snapToGrid w:val="0"/>
          <w:spacing w:val="-2"/>
          <w:kern w:val="22"/>
          <w:lang w:val="es-ES"/>
        </w:rPr>
        <w:t xml:space="preserve"> </w:t>
      </w:r>
      <w:r w:rsidR="00775B5A" w:rsidRPr="009D66B1">
        <w:rPr>
          <w:snapToGrid w:val="0"/>
          <w:spacing w:val="-2"/>
          <w:kern w:val="22"/>
          <w:lang w:val="es-ES"/>
        </w:rPr>
        <w:t xml:space="preserve">% </w:t>
      </w:r>
      <w:r w:rsidRPr="009D66B1">
        <w:rPr>
          <w:snapToGrid w:val="0"/>
          <w:spacing w:val="-2"/>
          <w:kern w:val="22"/>
          <w:lang w:val="es-ES"/>
        </w:rPr>
        <w:t>con respecto a los datos b</w:t>
      </w:r>
      <w:r>
        <w:rPr>
          <w:snapToGrid w:val="0"/>
          <w:spacing w:val="-2"/>
          <w:kern w:val="22"/>
          <w:lang w:val="es-ES"/>
        </w:rPr>
        <w:t>ásicos de referencia</w:t>
      </w:r>
      <w:r w:rsidR="00775B5A" w:rsidRPr="009D66B1">
        <w:rPr>
          <w:snapToGrid w:val="0"/>
          <w:spacing w:val="-2"/>
          <w:kern w:val="22"/>
          <w:lang w:val="es-ES"/>
        </w:rPr>
        <w:t xml:space="preserve">. </w:t>
      </w:r>
      <w:r w:rsidRPr="009D66B1">
        <w:rPr>
          <w:snapToGrid w:val="0"/>
          <w:spacing w:val="-2"/>
          <w:kern w:val="22"/>
          <w:lang w:val="es-ES"/>
        </w:rPr>
        <w:t xml:space="preserve">La mayoría de las </w:t>
      </w:r>
      <w:r w:rsidR="00775B5A" w:rsidRPr="009D66B1">
        <w:rPr>
          <w:snapToGrid w:val="0"/>
          <w:spacing w:val="-2"/>
          <w:kern w:val="22"/>
          <w:lang w:val="es-ES"/>
        </w:rPr>
        <w:t xml:space="preserve">Partes </w:t>
      </w:r>
      <w:r w:rsidRPr="009D66B1">
        <w:rPr>
          <w:snapToGrid w:val="0"/>
          <w:spacing w:val="-2"/>
          <w:kern w:val="22"/>
          <w:lang w:val="es-ES"/>
        </w:rPr>
        <w:t>inform</w:t>
      </w:r>
      <w:r w:rsidR="00CD3B4E">
        <w:rPr>
          <w:snapToGrid w:val="0"/>
          <w:spacing w:val="-2"/>
          <w:kern w:val="22"/>
          <w:lang w:val="es-ES"/>
        </w:rPr>
        <w:t>ó</w:t>
      </w:r>
      <w:r w:rsidRPr="009D66B1">
        <w:rPr>
          <w:snapToGrid w:val="0"/>
          <w:spacing w:val="-2"/>
          <w:kern w:val="22"/>
          <w:lang w:val="es-ES"/>
        </w:rPr>
        <w:t xml:space="preserve"> haber facilitado entre </w:t>
      </w:r>
      <w:r w:rsidR="00775B5A" w:rsidRPr="009D66B1">
        <w:rPr>
          <w:snapToGrid w:val="0"/>
          <w:spacing w:val="-2"/>
          <w:kern w:val="22"/>
          <w:lang w:val="es-ES"/>
        </w:rPr>
        <w:t xml:space="preserve">1 </w:t>
      </w:r>
      <w:r w:rsidRPr="009D66B1">
        <w:rPr>
          <w:snapToGrid w:val="0"/>
          <w:spacing w:val="-2"/>
          <w:kern w:val="22"/>
          <w:lang w:val="es-ES"/>
        </w:rPr>
        <w:t>y</w:t>
      </w:r>
      <w:r w:rsidR="00775B5A" w:rsidRPr="009D66B1">
        <w:rPr>
          <w:snapToGrid w:val="0"/>
          <w:spacing w:val="-2"/>
          <w:kern w:val="22"/>
          <w:lang w:val="es-ES"/>
        </w:rPr>
        <w:t xml:space="preserve"> 4 material</w:t>
      </w:r>
      <w:r w:rsidRPr="009D66B1">
        <w:rPr>
          <w:snapToGrid w:val="0"/>
          <w:spacing w:val="-2"/>
          <w:kern w:val="22"/>
          <w:lang w:val="es-ES"/>
        </w:rPr>
        <w:t>e</w:t>
      </w:r>
      <w:r w:rsidR="00775B5A" w:rsidRPr="009D66B1">
        <w:rPr>
          <w:snapToGrid w:val="0"/>
          <w:spacing w:val="-2"/>
          <w:kern w:val="22"/>
          <w:lang w:val="es-ES"/>
        </w:rPr>
        <w:t xml:space="preserve">s </w:t>
      </w:r>
      <w:r>
        <w:rPr>
          <w:snapToGrid w:val="0"/>
          <w:spacing w:val="-2"/>
          <w:kern w:val="22"/>
          <w:lang w:val="es-ES"/>
        </w:rPr>
        <w:t>y módulos en línea</w:t>
      </w:r>
      <w:r w:rsidR="00775B5A" w:rsidRPr="009D66B1">
        <w:rPr>
          <w:snapToGrid w:val="0"/>
          <w:spacing w:val="-2"/>
          <w:kern w:val="22"/>
          <w:lang w:val="es-ES"/>
        </w:rPr>
        <w:t xml:space="preserve"> (</w:t>
      </w:r>
      <w:r>
        <w:rPr>
          <w:snapToGrid w:val="0"/>
          <w:spacing w:val="-2"/>
          <w:kern w:val="22"/>
          <w:lang w:val="es-ES"/>
        </w:rPr>
        <w:t xml:space="preserve">el </w:t>
      </w:r>
      <w:r w:rsidR="00775B5A" w:rsidRPr="009D66B1">
        <w:rPr>
          <w:snapToGrid w:val="0"/>
          <w:spacing w:val="-2"/>
          <w:kern w:val="22"/>
          <w:lang w:val="es-ES"/>
        </w:rPr>
        <w:t>35</w:t>
      </w:r>
      <w:r>
        <w:rPr>
          <w:snapToGrid w:val="0"/>
          <w:spacing w:val="-2"/>
          <w:kern w:val="22"/>
          <w:lang w:val="es-ES"/>
        </w:rPr>
        <w:t xml:space="preserve"> </w:t>
      </w:r>
      <w:r w:rsidR="00775B5A" w:rsidRPr="009D66B1">
        <w:rPr>
          <w:snapToGrid w:val="0"/>
          <w:spacing w:val="-2"/>
          <w:kern w:val="22"/>
          <w:lang w:val="es-ES"/>
        </w:rPr>
        <w:t xml:space="preserve">% </w:t>
      </w:r>
      <w:r>
        <w:rPr>
          <w:snapToGrid w:val="0"/>
          <w:spacing w:val="-2"/>
          <w:kern w:val="22"/>
          <w:lang w:val="es-ES"/>
        </w:rPr>
        <w:t xml:space="preserve">de las </w:t>
      </w:r>
      <w:r w:rsidR="00775B5A" w:rsidRPr="009D66B1">
        <w:rPr>
          <w:snapToGrid w:val="0"/>
          <w:spacing w:val="-2"/>
          <w:kern w:val="22"/>
          <w:lang w:val="es-ES"/>
        </w:rPr>
        <w:t xml:space="preserve">Partes </w:t>
      </w:r>
      <w:r>
        <w:rPr>
          <w:snapToGrid w:val="0"/>
          <w:spacing w:val="-2"/>
          <w:kern w:val="22"/>
          <w:lang w:val="es-ES"/>
        </w:rPr>
        <w:t>respondi</w:t>
      </w:r>
      <w:r w:rsidR="00CD3B4E">
        <w:rPr>
          <w:snapToGrid w:val="0"/>
          <w:spacing w:val="-2"/>
          <w:kern w:val="22"/>
          <w:lang w:val="es-ES"/>
        </w:rPr>
        <w:t>ó</w:t>
      </w:r>
      <w:r>
        <w:rPr>
          <w:snapToGrid w:val="0"/>
          <w:spacing w:val="-2"/>
          <w:kern w:val="22"/>
          <w:lang w:val="es-ES"/>
        </w:rPr>
        <w:t xml:space="preserve"> en consecuencia</w:t>
      </w:r>
      <w:r w:rsidR="00775B5A" w:rsidRPr="009D66B1">
        <w:rPr>
          <w:snapToGrid w:val="0"/>
          <w:spacing w:val="-2"/>
          <w:kern w:val="22"/>
          <w:lang w:val="es-ES"/>
        </w:rPr>
        <w:t>) (</w:t>
      </w:r>
      <w:bookmarkStart w:id="37" w:name="_Hlk30663928"/>
      <w:r>
        <w:rPr>
          <w:snapToGrid w:val="0"/>
          <w:spacing w:val="-2"/>
          <w:kern w:val="22"/>
          <w:lang w:val="es-ES"/>
        </w:rPr>
        <w:t>véase también el</w:t>
      </w:r>
      <w:r w:rsidR="00775B5A" w:rsidRPr="009D66B1">
        <w:rPr>
          <w:snapToGrid w:val="0"/>
          <w:spacing w:val="-2"/>
          <w:kern w:val="22"/>
          <w:lang w:val="es-ES"/>
        </w:rPr>
        <w:t xml:space="preserve"> </w:t>
      </w:r>
      <w:bookmarkEnd w:id="37"/>
      <w:r w:rsidR="00775B5A" w:rsidRPr="009D66B1">
        <w:rPr>
          <w:b/>
          <w:bCs/>
          <w:snapToGrid w:val="0"/>
          <w:spacing w:val="-2"/>
          <w:kern w:val="22"/>
          <w:lang w:val="es-ES"/>
        </w:rPr>
        <w:t>indica</w:t>
      </w:r>
      <w:r>
        <w:rPr>
          <w:b/>
          <w:bCs/>
          <w:snapToGrid w:val="0"/>
          <w:spacing w:val="-2"/>
          <w:kern w:val="22"/>
          <w:lang w:val="es-ES"/>
        </w:rPr>
        <w:t>d</w:t>
      </w:r>
      <w:r w:rsidR="00775B5A" w:rsidRPr="009D66B1">
        <w:rPr>
          <w:b/>
          <w:bCs/>
          <w:snapToGrid w:val="0"/>
          <w:spacing w:val="-2"/>
          <w:kern w:val="22"/>
          <w:lang w:val="es-ES"/>
        </w:rPr>
        <w:t xml:space="preserve">or 5.3.4 </w:t>
      </w:r>
      <w:r>
        <w:rPr>
          <w:i/>
          <w:snapToGrid w:val="0"/>
          <w:spacing w:val="-2"/>
          <w:kern w:val="22"/>
          <w:lang w:val="es-ES"/>
        </w:rPr>
        <w:t>infra</w:t>
      </w:r>
      <w:r w:rsidR="00775B5A" w:rsidRPr="009D66B1">
        <w:rPr>
          <w:snapToGrid w:val="0"/>
          <w:spacing w:val="-2"/>
          <w:kern w:val="22"/>
          <w:lang w:val="es-ES"/>
        </w:rPr>
        <w:t>)</w:t>
      </w:r>
      <w:r>
        <w:rPr>
          <w:snapToGrid w:val="0"/>
          <w:spacing w:val="-2"/>
          <w:kern w:val="22"/>
          <w:lang w:val="es-ES"/>
        </w:rPr>
        <w:t>.</w:t>
      </w:r>
    </w:p>
    <w:p w:rsidR="00775B5A" w:rsidRPr="00BD750C" w:rsidRDefault="00BD750C"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BD750C">
        <w:rPr>
          <w:snapToGrid w:val="0"/>
          <w:spacing w:val="-2"/>
          <w:kern w:val="22"/>
          <w:lang w:val="es-ES"/>
        </w:rPr>
        <w:t xml:space="preserve">En sus cuartos informes nacionales, el </w:t>
      </w:r>
      <w:r w:rsidR="00775B5A" w:rsidRPr="00BD750C">
        <w:rPr>
          <w:snapToGrid w:val="0"/>
          <w:spacing w:val="-2"/>
          <w:kern w:val="22"/>
          <w:lang w:val="es-ES"/>
        </w:rPr>
        <w:t>46</w:t>
      </w:r>
      <w:r w:rsidRPr="00BD750C">
        <w:rPr>
          <w:snapToGrid w:val="0"/>
          <w:spacing w:val="-2"/>
          <w:kern w:val="22"/>
          <w:lang w:val="es-ES"/>
        </w:rPr>
        <w:t xml:space="preserve"> </w:t>
      </w:r>
      <w:r w:rsidR="00775B5A" w:rsidRPr="00BD750C">
        <w:rPr>
          <w:snapToGrid w:val="0"/>
          <w:spacing w:val="-2"/>
          <w:kern w:val="22"/>
          <w:lang w:val="es-ES"/>
        </w:rPr>
        <w:t xml:space="preserve">% </w:t>
      </w:r>
      <w:r w:rsidRPr="00BD750C">
        <w:rPr>
          <w:snapToGrid w:val="0"/>
          <w:spacing w:val="-2"/>
          <w:kern w:val="22"/>
          <w:lang w:val="es-ES"/>
        </w:rPr>
        <w:t xml:space="preserve">de las </w:t>
      </w:r>
      <w:r w:rsidR="00775B5A" w:rsidRPr="00BD750C">
        <w:rPr>
          <w:snapToGrid w:val="0"/>
          <w:spacing w:val="-2"/>
          <w:kern w:val="22"/>
          <w:lang w:val="es-ES"/>
        </w:rPr>
        <w:t xml:space="preserve">Partes (28 Partes) </w:t>
      </w:r>
      <w:r w:rsidRPr="00BD750C">
        <w:rPr>
          <w:snapToGrid w:val="0"/>
          <w:spacing w:val="-2"/>
          <w:kern w:val="22"/>
          <w:lang w:val="es-ES"/>
        </w:rPr>
        <w:t>comunic</w:t>
      </w:r>
      <w:r w:rsidR="00CD3B4E">
        <w:rPr>
          <w:snapToGrid w:val="0"/>
          <w:spacing w:val="-2"/>
          <w:kern w:val="22"/>
          <w:lang w:val="es-ES"/>
        </w:rPr>
        <w:t>ó</w:t>
      </w:r>
      <w:r w:rsidRPr="00BD750C">
        <w:rPr>
          <w:snapToGrid w:val="0"/>
          <w:spacing w:val="-2"/>
          <w:kern w:val="22"/>
          <w:lang w:val="es-ES"/>
        </w:rPr>
        <w:t xml:space="preserve"> que el número de materiales y módulos puestos a disposición era adecuado</w:t>
      </w:r>
      <w:r w:rsidR="00CD3E82">
        <w:rPr>
          <w:snapToGrid w:val="0"/>
          <w:spacing w:val="-2"/>
          <w:kern w:val="22"/>
          <w:lang w:val="es-ES"/>
        </w:rPr>
        <w:t>.</w:t>
      </w:r>
      <w:r w:rsidR="00775B5A" w:rsidRPr="00BD750C">
        <w:rPr>
          <w:snapToGrid w:val="0"/>
          <w:spacing w:val="-2"/>
          <w:kern w:val="22"/>
          <w:lang w:val="es-ES"/>
        </w:rPr>
        <w:t xml:space="preserve"> </w:t>
      </w:r>
      <w:r w:rsidR="00CD3E82">
        <w:rPr>
          <w:snapToGrid w:val="0"/>
          <w:spacing w:val="-2"/>
          <w:kern w:val="22"/>
          <w:lang w:val="es-ES"/>
        </w:rPr>
        <w:t xml:space="preserve">Este fue el caso </w:t>
      </w:r>
      <w:r w:rsidRPr="00BD750C">
        <w:rPr>
          <w:snapToGrid w:val="0"/>
          <w:spacing w:val="-2"/>
          <w:kern w:val="22"/>
          <w:lang w:val="es-ES"/>
        </w:rPr>
        <w:t>en particular en las regiones del grupo de Estados de Europa Occidental y otros</w:t>
      </w:r>
      <w:r w:rsidR="00775B5A" w:rsidRPr="00BD750C">
        <w:rPr>
          <w:snapToGrid w:val="0"/>
          <w:spacing w:val="-2"/>
          <w:kern w:val="22"/>
          <w:lang w:val="es-ES"/>
        </w:rPr>
        <w:t xml:space="preserve"> (88</w:t>
      </w:r>
      <w:r w:rsidRPr="00BD750C">
        <w:rPr>
          <w:snapToGrid w:val="0"/>
          <w:spacing w:val="-2"/>
          <w:kern w:val="22"/>
          <w:lang w:val="es-ES"/>
        </w:rPr>
        <w:t xml:space="preserve"> </w:t>
      </w:r>
      <w:r w:rsidR="00775B5A" w:rsidRPr="00BD750C">
        <w:rPr>
          <w:snapToGrid w:val="0"/>
          <w:spacing w:val="-2"/>
          <w:kern w:val="22"/>
          <w:lang w:val="es-ES"/>
        </w:rPr>
        <w:t xml:space="preserve">%) </w:t>
      </w:r>
      <w:r>
        <w:rPr>
          <w:snapToGrid w:val="0"/>
          <w:spacing w:val="-2"/>
          <w:kern w:val="22"/>
          <w:lang w:val="es-ES"/>
        </w:rPr>
        <w:t xml:space="preserve">y </w:t>
      </w:r>
      <w:r w:rsidR="00477624">
        <w:rPr>
          <w:snapToGrid w:val="0"/>
          <w:kern w:val="22"/>
          <w:lang w:val="es-ES"/>
        </w:rPr>
        <w:t>grupo de Estados de Europa Central y Oriental</w:t>
      </w:r>
      <w:r w:rsidR="00477624" w:rsidRPr="00EC2231">
        <w:rPr>
          <w:snapToGrid w:val="0"/>
          <w:kern w:val="22"/>
          <w:lang w:val="es-ES"/>
        </w:rPr>
        <w:t xml:space="preserve"> </w:t>
      </w:r>
      <w:r w:rsidR="00775B5A" w:rsidRPr="00BD750C">
        <w:rPr>
          <w:snapToGrid w:val="0"/>
          <w:spacing w:val="-2"/>
          <w:kern w:val="22"/>
          <w:lang w:val="es-ES"/>
        </w:rPr>
        <w:t>(78</w:t>
      </w:r>
      <w:r>
        <w:rPr>
          <w:snapToGrid w:val="0"/>
          <w:spacing w:val="-2"/>
          <w:kern w:val="22"/>
          <w:lang w:val="es-ES"/>
        </w:rPr>
        <w:t xml:space="preserve"> </w:t>
      </w:r>
      <w:r w:rsidR="00775B5A" w:rsidRPr="00BD750C">
        <w:rPr>
          <w:snapToGrid w:val="0"/>
          <w:spacing w:val="-2"/>
          <w:kern w:val="22"/>
          <w:lang w:val="es-ES"/>
        </w:rPr>
        <w:t xml:space="preserve">%), </w:t>
      </w:r>
      <w:r>
        <w:rPr>
          <w:snapToGrid w:val="0"/>
          <w:spacing w:val="-2"/>
          <w:kern w:val="22"/>
          <w:lang w:val="es-ES"/>
        </w:rPr>
        <w:t>pero mucho menos en otras regiones</w:t>
      </w:r>
      <w:r w:rsidR="00775B5A" w:rsidRPr="00BD750C">
        <w:rPr>
          <w:snapToGrid w:val="0"/>
          <w:spacing w:val="-2"/>
          <w:kern w:val="22"/>
          <w:lang w:val="es-ES"/>
        </w:rPr>
        <w:t>: Asia</w:t>
      </w:r>
      <w:r w:rsidR="002E5B45">
        <w:rPr>
          <w:snapToGrid w:val="0"/>
          <w:spacing w:val="-2"/>
          <w:kern w:val="22"/>
          <w:lang w:val="es-ES"/>
        </w:rPr>
        <w:t xml:space="preserve"> y el </w:t>
      </w:r>
      <w:r w:rsidR="00775B5A" w:rsidRPr="00BD750C">
        <w:rPr>
          <w:snapToGrid w:val="0"/>
          <w:spacing w:val="-2"/>
          <w:kern w:val="22"/>
          <w:lang w:val="es-ES"/>
        </w:rPr>
        <w:t>Pac</w:t>
      </w:r>
      <w:r>
        <w:rPr>
          <w:snapToGrid w:val="0"/>
          <w:spacing w:val="-2"/>
          <w:kern w:val="22"/>
          <w:lang w:val="es-ES"/>
        </w:rPr>
        <w:t>ífico</w:t>
      </w:r>
      <w:r w:rsidR="00775B5A" w:rsidRPr="00BD750C">
        <w:rPr>
          <w:snapToGrid w:val="0"/>
          <w:spacing w:val="-2"/>
          <w:kern w:val="22"/>
          <w:lang w:val="es-ES"/>
        </w:rPr>
        <w:t>: 50</w:t>
      </w:r>
      <w:r>
        <w:rPr>
          <w:snapToGrid w:val="0"/>
          <w:spacing w:val="-2"/>
          <w:kern w:val="22"/>
          <w:lang w:val="es-ES"/>
        </w:rPr>
        <w:t xml:space="preserve"> </w:t>
      </w:r>
      <w:r w:rsidR="00775B5A" w:rsidRPr="00BD750C">
        <w:rPr>
          <w:snapToGrid w:val="0"/>
          <w:spacing w:val="-2"/>
          <w:kern w:val="22"/>
          <w:lang w:val="es-ES"/>
        </w:rPr>
        <w:t>%</w:t>
      </w:r>
      <w:r w:rsidR="00CD3B4E">
        <w:rPr>
          <w:snapToGrid w:val="0"/>
          <w:spacing w:val="-2"/>
          <w:kern w:val="22"/>
          <w:lang w:val="es-ES"/>
        </w:rPr>
        <w:t>,</w:t>
      </w:r>
      <w:r w:rsidR="00775B5A" w:rsidRPr="00BD750C">
        <w:rPr>
          <w:snapToGrid w:val="0"/>
          <w:spacing w:val="-2"/>
          <w:kern w:val="22"/>
          <w:lang w:val="es-ES"/>
        </w:rPr>
        <w:t xml:space="preserve"> </w:t>
      </w:r>
      <w:r>
        <w:rPr>
          <w:snapToGrid w:val="0"/>
          <w:spacing w:val="-2"/>
          <w:kern w:val="22"/>
          <w:lang w:val="es-ES"/>
        </w:rPr>
        <w:t>Á</w:t>
      </w:r>
      <w:r w:rsidR="00775B5A" w:rsidRPr="00BD750C">
        <w:rPr>
          <w:snapToGrid w:val="0"/>
          <w:spacing w:val="-2"/>
          <w:kern w:val="22"/>
          <w:lang w:val="es-ES"/>
        </w:rPr>
        <w:t>frica 6</w:t>
      </w:r>
      <w:r>
        <w:rPr>
          <w:snapToGrid w:val="0"/>
          <w:spacing w:val="-2"/>
          <w:kern w:val="22"/>
          <w:lang w:val="es-ES"/>
        </w:rPr>
        <w:t xml:space="preserve"> </w:t>
      </w:r>
      <w:r w:rsidR="00775B5A" w:rsidRPr="00BD750C">
        <w:rPr>
          <w:snapToGrid w:val="0"/>
          <w:spacing w:val="-2"/>
          <w:kern w:val="22"/>
          <w:lang w:val="es-ES"/>
        </w:rPr>
        <w:t>%</w:t>
      </w:r>
      <w:r>
        <w:rPr>
          <w:snapToGrid w:val="0"/>
          <w:spacing w:val="-2"/>
          <w:kern w:val="22"/>
          <w:lang w:val="es-ES"/>
        </w:rPr>
        <w:t xml:space="preserve"> y </w:t>
      </w:r>
      <w:r w:rsidR="00D74010">
        <w:rPr>
          <w:snapToGrid w:val="0"/>
          <w:kern w:val="22"/>
          <w:lang w:val="es-ES"/>
        </w:rPr>
        <w:t>grupo de países de América Latina y el Caribe</w:t>
      </w:r>
      <w:r w:rsidR="00D74010" w:rsidRPr="00BD750C">
        <w:rPr>
          <w:snapToGrid w:val="0"/>
          <w:spacing w:val="-2"/>
          <w:kern w:val="22"/>
          <w:lang w:val="es-ES"/>
        </w:rPr>
        <w:t xml:space="preserve"> </w:t>
      </w:r>
      <w:r w:rsidR="00775B5A" w:rsidRPr="00BD750C">
        <w:rPr>
          <w:snapToGrid w:val="0"/>
          <w:spacing w:val="-2"/>
          <w:kern w:val="22"/>
          <w:lang w:val="es-ES"/>
        </w:rPr>
        <w:t>0</w:t>
      </w:r>
      <w:r>
        <w:rPr>
          <w:snapToGrid w:val="0"/>
          <w:spacing w:val="-2"/>
          <w:kern w:val="22"/>
          <w:lang w:val="es-ES"/>
        </w:rPr>
        <w:t xml:space="preserve"> </w:t>
      </w:r>
      <w:r w:rsidR="00775B5A" w:rsidRPr="00BD750C">
        <w:rPr>
          <w:snapToGrid w:val="0"/>
          <w:spacing w:val="-2"/>
          <w:kern w:val="22"/>
          <w:lang w:val="es-ES"/>
        </w:rPr>
        <w:t xml:space="preserve">%.  </w:t>
      </w:r>
    </w:p>
    <w:p w:rsidR="00775B5A" w:rsidRPr="006E3B15" w:rsidRDefault="006E3B15"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6E3B15">
        <w:rPr>
          <w:snapToGrid w:val="0"/>
          <w:spacing w:val="-2"/>
          <w:kern w:val="22"/>
          <w:lang w:val="es-ES"/>
        </w:rPr>
        <w:t xml:space="preserve">En sus contribuciones </w:t>
      </w:r>
      <w:r w:rsidR="006B74CE">
        <w:rPr>
          <w:snapToGrid w:val="0"/>
          <w:spacing w:val="-2"/>
          <w:kern w:val="22"/>
          <w:lang w:val="es-ES"/>
        </w:rPr>
        <w:t>de</w:t>
      </w:r>
      <w:r w:rsidRPr="006E3B15">
        <w:rPr>
          <w:snapToGrid w:val="0"/>
          <w:spacing w:val="-2"/>
          <w:kern w:val="22"/>
          <w:lang w:val="es-ES"/>
        </w:rPr>
        <w:t xml:space="preserve"> texto libre, algunas Partes indicaron que los materiales y m</w:t>
      </w:r>
      <w:r>
        <w:rPr>
          <w:snapToGrid w:val="0"/>
          <w:spacing w:val="-2"/>
          <w:kern w:val="22"/>
          <w:lang w:val="es-ES"/>
        </w:rPr>
        <w:t>ódulos se publicaban principalmente para expertos y no para el público en general</w:t>
      </w:r>
      <w:r w:rsidR="00775B5A" w:rsidRPr="006E3B15">
        <w:rPr>
          <w:snapToGrid w:val="0"/>
          <w:spacing w:val="-2"/>
          <w:kern w:val="22"/>
          <w:lang w:val="es-ES"/>
        </w:rPr>
        <w:t>.</w:t>
      </w:r>
    </w:p>
    <w:p w:rsidR="00775B5A" w:rsidRPr="006E3B15" w:rsidRDefault="006E3B15"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spacing w:val="-2"/>
          <w:kern w:val="22"/>
          <w:lang w:val="es-ES"/>
        </w:rPr>
      </w:pPr>
      <w:r>
        <w:rPr>
          <w:snapToGrid w:val="0"/>
          <w:spacing w:val="-2"/>
          <w:kern w:val="22"/>
          <w:lang w:val="es-ES"/>
        </w:rPr>
        <w:t xml:space="preserve">De la </w:t>
      </w:r>
      <w:r w:rsidR="002E5B45">
        <w:rPr>
          <w:snapToGrid w:val="0"/>
          <w:spacing w:val="-2"/>
          <w:kern w:val="22"/>
          <w:lang w:val="es-ES"/>
        </w:rPr>
        <w:t>e</w:t>
      </w:r>
      <w:r>
        <w:rPr>
          <w:snapToGrid w:val="0"/>
          <w:spacing w:val="-2"/>
          <w:kern w:val="22"/>
          <w:lang w:val="es-ES"/>
        </w:rPr>
        <w:t>ncuesta sobre el programa de trabajo, alrededor de un tercio de los encuestados indicaron haber compartido, o haber compartido en cierta medida, materiales sobre concienciación, educación y participación del público en el CIISB</w:t>
      </w:r>
      <w:r w:rsidR="00775B5A" w:rsidRPr="006E3B15">
        <w:rPr>
          <w:snapToGrid w:val="0"/>
          <w:spacing w:val="-2"/>
          <w:kern w:val="22"/>
          <w:lang w:val="es-ES"/>
        </w:rPr>
        <w:t xml:space="preserve">. </w:t>
      </w:r>
      <w:r>
        <w:rPr>
          <w:snapToGrid w:val="0"/>
          <w:spacing w:val="-2"/>
          <w:kern w:val="22"/>
          <w:lang w:val="es-ES"/>
        </w:rPr>
        <w:t>Algunos de esos encuestados señalaron que los materiales eran materiales relacionados con la capacitación, incluidos materiales multimedia y módulos de capacitación en línea</w:t>
      </w:r>
      <w:r w:rsidR="00775B5A" w:rsidRPr="006E3B15">
        <w:rPr>
          <w:rFonts w:ascii="Angsana New" w:hAnsi="Angsana New" w:cs="Angsana New"/>
          <w:snapToGrid w:val="0"/>
          <w:spacing w:val="-2"/>
          <w:kern w:val="22"/>
          <w:lang w:val="es-ES"/>
        </w:rPr>
        <w:t>.</w:t>
      </w:r>
    </w:p>
    <w:p w:rsidR="00775B5A" w:rsidRPr="008C7D92" w:rsidRDefault="00775B5A">
      <w:pPr>
        <w:suppressLineNumbers/>
        <w:suppressAutoHyphens/>
        <w:spacing w:before="120" w:after="120"/>
        <w:textAlignment w:val="baseline"/>
        <w:outlineLvl w:val="2"/>
        <w:rPr>
          <w:rFonts w:ascii="Angsana New" w:hAnsi="Angsana New" w:cs="Angsana New"/>
          <w:b/>
          <w:bCs/>
          <w:snapToGrid w:val="0"/>
          <w:spacing w:val="-2"/>
          <w:kern w:val="22"/>
          <w:lang w:val="es-ES"/>
        </w:rPr>
      </w:pPr>
      <w:r w:rsidRPr="008C7D92">
        <w:rPr>
          <w:b/>
          <w:bCs/>
          <w:snapToGrid w:val="0"/>
          <w:spacing w:val="-2"/>
          <w:kern w:val="22"/>
          <w:lang w:val="es-ES"/>
        </w:rPr>
        <w:t>O</w:t>
      </w:r>
      <w:r w:rsidR="008C7D92" w:rsidRPr="008C7D92">
        <w:rPr>
          <w:b/>
          <w:bCs/>
          <w:snapToGrid w:val="0"/>
          <w:spacing w:val="-2"/>
          <w:kern w:val="22"/>
          <w:lang w:val="es-ES"/>
        </w:rPr>
        <w:t xml:space="preserve">bjetivo operacional </w:t>
      </w:r>
      <w:r w:rsidRPr="008C7D92">
        <w:rPr>
          <w:b/>
          <w:bCs/>
          <w:snapToGrid w:val="0"/>
          <w:spacing w:val="-2"/>
          <w:kern w:val="22"/>
          <w:lang w:val="es-ES"/>
        </w:rPr>
        <w:t>4.3: I</w:t>
      </w:r>
      <w:r w:rsidR="008C7D92" w:rsidRPr="008C7D92">
        <w:rPr>
          <w:b/>
          <w:bCs/>
          <w:snapToGrid w:val="0"/>
          <w:spacing w:val="-2"/>
          <w:kern w:val="22"/>
          <w:lang w:val="es-ES"/>
        </w:rPr>
        <w:t>ntercambio de información por otros medios diferentes al Centro de Intercambio de Informaci</w:t>
      </w:r>
      <w:r w:rsidR="008C7D92">
        <w:rPr>
          <w:b/>
          <w:bCs/>
          <w:snapToGrid w:val="0"/>
          <w:spacing w:val="-2"/>
          <w:kern w:val="22"/>
          <w:lang w:val="es-ES"/>
        </w:rPr>
        <w:t>ón sobre Seguridad de la Biotecnología</w:t>
      </w:r>
    </w:p>
    <w:p w:rsidR="00775B5A" w:rsidRPr="00AA0EF1" w:rsidRDefault="00AA0EF1"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i/>
          <w:iCs/>
          <w:snapToGrid w:val="0"/>
          <w:spacing w:val="-2"/>
          <w:kern w:val="22"/>
          <w:lang w:val="es-ES"/>
        </w:rPr>
      </w:pPr>
      <w:r w:rsidRPr="00AA0EF1">
        <w:rPr>
          <w:snapToGrid w:val="0"/>
          <w:spacing w:val="-2"/>
          <w:kern w:val="22"/>
          <w:lang w:val="es-ES"/>
        </w:rPr>
        <w:t>El objetivo operacional</w:t>
      </w:r>
      <w:r w:rsidR="00775B5A" w:rsidRPr="00AA0EF1">
        <w:rPr>
          <w:snapToGrid w:val="0"/>
          <w:spacing w:val="-2"/>
          <w:kern w:val="22"/>
          <w:lang w:val="es-ES"/>
        </w:rPr>
        <w:t xml:space="preserve"> 4.3 </w:t>
      </w:r>
      <w:r>
        <w:rPr>
          <w:snapToGrid w:val="0"/>
          <w:spacing w:val="-2"/>
          <w:kern w:val="22"/>
          <w:lang w:val="es-ES"/>
        </w:rPr>
        <w:t>tiene por objeto</w:t>
      </w:r>
      <w:r w:rsidRPr="00AA0EF1">
        <w:rPr>
          <w:snapToGrid w:val="0"/>
          <w:spacing w:val="-2"/>
          <w:kern w:val="22"/>
          <w:lang w:val="es-ES"/>
        </w:rPr>
        <w:t xml:space="preserve"> mejorar la comprensión sobre la seguridad de la biotecnolog</w:t>
      </w:r>
      <w:r>
        <w:rPr>
          <w:snapToGrid w:val="0"/>
          <w:spacing w:val="-2"/>
          <w:kern w:val="22"/>
          <w:lang w:val="es-ES"/>
        </w:rPr>
        <w:t>ía sirviéndose de mecanismos de intercambio de información diferentes al C</w:t>
      </w:r>
      <w:r w:rsidR="002E5B45">
        <w:rPr>
          <w:snapToGrid w:val="0"/>
          <w:spacing w:val="-2"/>
          <w:kern w:val="22"/>
          <w:lang w:val="es-ES"/>
        </w:rPr>
        <w:t>IISB</w:t>
      </w:r>
      <w:r>
        <w:rPr>
          <w:snapToGrid w:val="0"/>
          <w:spacing w:val="-2"/>
          <w:kern w:val="22"/>
          <w:lang w:val="es-ES"/>
        </w:rPr>
        <w:t>. Se dispone de dos indicadores para medir los progresos realizados para la consecución de este objetivo</w:t>
      </w:r>
      <w:r w:rsidR="00775B5A" w:rsidRPr="00AA0EF1">
        <w:rPr>
          <w:snapToGrid w:val="0"/>
          <w:spacing w:val="-2"/>
          <w:kern w:val="22"/>
          <w:lang w:val="es-ES"/>
        </w:rPr>
        <w:t>.</w:t>
      </w:r>
    </w:p>
    <w:p w:rsidR="00775B5A" w:rsidRPr="00CD3B4E" w:rsidRDefault="00AA0EF1"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spacing w:val="-2"/>
          <w:kern w:val="22"/>
          <w:lang w:val="es-ES"/>
        </w:rPr>
      </w:pPr>
      <w:r w:rsidRPr="00AA0EF1">
        <w:rPr>
          <w:snapToGrid w:val="0"/>
          <w:spacing w:val="-2"/>
          <w:kern w:val="22"/>
          <w:lang w:val="es-ES"/>
        </w:rPr>
        <w:t xml:space="preserve">En lo tocante al </w:t>
      </w:r>
      <w:r w:rsidR="00775B5A" w:rsidRPr="00AA0EF1">
        <w:rPr>
          <w:b/>
          <w:bCs/>
          <w:snapToGrid w:val="0"/>
          <w:spacing w:val="-2"/>
          <w:kern w:val="22"/>
          <w:lang w:val="es-ES"/>
        </w:rPr>
        <w:t>indica</w:t>
      </w:r>
      <w:r w:rsidRPr="00AA0EF1">
        <w:rPr>
          <w:b/>
          <w:bCs/>
          <w:snapToGrid w:val="0"/>
          <w:spacing w:val="-2"/>
          <w:kern w:val="22"/>
          <w:lang w:val="es-ES"/>
        </w:rPr>
        <w:t>d</w:t>
      </w:r>
      <w:r w:rsidR="00775B5A" w:rsidRPr="00AA0EF1">
        <w:rPr>
          <w:b/>
          <w:bCs/>
          <w:snapToGrid w:val="0"/>
          <w:spacing w:val="-2"/>
          <w:kern w:val="22"/>
          <w:lang w:val="es-ES"/>
        </w:rPr>
        <w:t>or 4.3.1</w:t>
      </w:r>
      <w:r w:rsidR="00775B5A" w:rsidRPr="00AA0EF1">
        <w:rPr>
          <w:snapToGrid w:val="0"/>
          <w:spacing w:val="-2"/>
          <w:kern w:val="22"/>
          <w:lang w:val="es-ES"/>
        </w:rPr>
        <w:t xml:space="preserve"> (</w:t>
      </w:r>
      <w:r w:rsidRPr="00AA0EF1">
        <w:rPr>
          <w:snapToGrid w:val="0"/>
          <w:spacing w:val="-2"/>
          <w:kern w:val="22"/>
          <w:lang w:val="es-ES"/>
        </w:rPr>
        <w:t>el número de eventos organizados en relación con la seguridad de la biotecnología</w:t>
      </w:r>
      <w:r w:rsidR="00775B5A" w:rsidRPr="00AA0EF1">
        <w:rPr>
          <w:snapToGrid w:val="0"/>
          <w:spacing w:val="-2"/>
          <w:kern w:val="22"/>
          <w:lang w:val="es-ES"/>
        </w:rPr>
        <w:t xml:space="preserve">), </w:t>
      </w:r>
      <w:r w:rsidRPr="00AA0EF1">
        <w:rPr>
          <w:snapToGrid w:val="0"/>
          <w:spacing w:val="-2"/>
          <w:kern w:val="22"/>
          <w:lang w:val="es-ES"/>
        </w:rPr>
        <w:t xml:space="preserve">el </w:t>
      </w:r>
      <w:r w:rsidR="00775B5A" w:rsidRPr="00AA0EF1">
        <w:rPr>
          <w:snapToGrid w:val="0"/>
          <w:spacing w:val="-2"/>
          <w:kern w:val="22"/>
          <w:lang w:val="es-ES"/>
        </w:rPr>
        <w:t>92</w:t>
      </w:r>
      <w:r>
        <w:rPr>
          <w:snapToGrid w:val="0"/>
          <w:spacing w:val="-2"/>
          <w:kern w:val="22"/>
          <w:lang w:val="es-ES"/>
        </w:rPr>
        <w:t xml:space="preserve"> </w:t>
      </w:r>
      <w:r w:rsidR="00775B5A" w:rsidRPr="00AA0EF1">
        <w:rPr>
          <w:snapToGrid w:val="0"/>
          <w:spacing w:val="-2"/>
          <w:kern w:val="22"/>
          <w:lang w:val="es-ES"/>
        </w:rPr>
        <w:t xml:space="preserve">% </w:t>
      </w:r>
      <w:r>
        <w:rPr>
          <w:snapToGrid w:val="0"/>
          <w:spacing w:val="-2"/>
          <w:kern w:val="22"/>
          <w:lang w:val="es-ES"/>
        </w:rPr>
        <w:t xml:space="preserve">de las </w:t>
      </w:r>
      <w:r w:rsidR="00775B5A" w:rsidRPr="00AA0EF1">
        <w:rPr>
          <w:snapToGrid w:val="0"/>
          <w:spacing w:val="-2"/>
          <w:kern w:val="22"/>
          <w:lang w:val="es-ES"/>
        </w:rPr>
        <w:t xml:space="preserve">Partes (65 Partes) </w:t>
      </w:r>
      <w:r w:rsidR="002333B3">
        <w:rPr>
          <w:snapToGrid w:val="0"/>
          <w:spacing w:val="-2"/>
          <w:kern w:val="22"/>
          <w:lang w:val="es-ES"/>
        </w:rPr>
        <w:t>comunic</w:t>
      </w:r>
      <w:r w:rsidR="00CD3B4E">
        <w:rPr>
          <w:snapToGrid w:val="0"/>
          <w:spacing w:val="-2"/>
          <w:kern w:val="22"/>
          <w:lang w:val="es-ES"/>
        </w:rPr>
        <w:t>ó</w:t>
      </w:r>
      <w:r w:rsidR="002333B3">
        <w:rPr>
          <w:snapToGrid w:val="0"/>
          <w:spacing w:val="-2"/>
          <w:kern w:val="22"/>
          <w:lang w:val="es-ES"/>
        </w:rPr>
        <w:t xml:space="preserve"> que había organizado al menos un evento relacionado con la seguridad de la biotecnología</w:t>
      </w:r>
      <w:r w:rsidR="00775B5A" w:rsidRPr="00AA0EF1">
        <w:rPr>
          <w:snapToGrid w:val="0"/>
          <w:spacing w:val="-2"/>
          <w:kern w:val="22"/>
          <w:lang w:val="es-ES"/>
        </w:rPr>
        <w:t xml:space="preserve">, </w:t>
      </w:r>
      <w:r w:rsidR="002333B3">
        <w:rPr>
          <w:snapToGrid w:val="0"/>
          <w:spacing w:val="-2"/>
          <w:kern w:val="22"/>
          <w:lang w:val="es-ES"/>
        </w:rPr>
        <w:t xml:space="preserve">como seminarios, talleres, conferencias de prensa, eventos educativos, </w:t>
      </w:r>
      <w:r w:rsidR="00775B5A" w:rsidRPr="00AA0EF1">
        <w:rPr>
          <w:snapToGrid w:val="0"/>
          <w:spacing w:val="-2"/>
          <w:kern w:val="22"/>
          <w:lang w:val="es-ES"/>
        </w:rPr>
        <w:t>etc.</w:t>
      </w:r>
      <w:r w:rsidR="002333B3">
        <w:rPr>
          <w:snapToGrid w:val="0"/>
          <w:spacing w:val="-2"/>
          <w:kern w:val="22"/>
          <w:lang w:val="es-ES"/>
        </w:rPr>
        <w:t>, en el actual periodo de presentación de informes</w:t>
      </w:r>
      <w:r w:rsidR="00775B5A" w:rsidRPr="00AA0EF1">
        <w:rPr>
          <w:snapToGrid w:val="0"/>
          <w:spacing w:val="-2"/>
          <w:kern w:val="22"/>
          <w:lang w:val="es-ES"/>
        </w:rPr>
        <w:t xml:space="preserve">. </w:t>
      </w:r>
      <w:r w:rsidR="002333B3">
        <w:rPr>
          <w:snapToGrid w:val="0"/>
          <w:spacing w:val="-2"/>
          <w:kern w:val="22"/>
          <w:lang w:val="es-ES"/>
        </w:rPr>
        <w:t xml:space="preserve">Esto representa un aumento de un </w:t>
      </w:r>
      <w:r w:rsidR="00775B5A" w:rsidRPr="002333B3">
        <w:rPr>
          <w:snapToGrid w:val="0"/>
          <w:spacing w:val="-2"/>
          <w:kern w:val="22"/>
          <w:lang w:val="es-ES"/>
        </w:rPr>
        <w:t>3</w:t>
      </w:r>
      <w:r w:rsidR="002333B3" w:rsidRPr="002333B3">
        <w:rPr>
          <w:snapToGrid w:val="0"/>
          <w:spacing w:val="-2"/>
          <w:kern w:val="22"/>
          <w:lang w:val="es-ES"/>
        </w:rPr>
        <w:t xml:space="preserve"> </w:t>
      </w:r>
      <w:r w:rsidR="00775B5A" w:rsidRPr="002333B3">
        <w:rPr>
          <w:snapToGrid w:val="0"/>
          <w:spacing w:val="-2"/>
          <w:kern w:val="22"/>
          <w:lang w:val="es-ES"/>
        </w:rPr>
        <w:t xml:space="preserve">% </w:t>
      </w:r>
      <w:r w:rsidR="002333B3" w:rsidRPr="002333B3">
        <w:rPr>
          <w:snapToGrid w:val="0"/>
          <w:spacing w:val="-2"/>
          <w:kern w:val="22"/>
          <w:lang w:val="es-ES"/>
        </w:rPr>
        <w:t>con respecto a los datos b</w:t>
      </w:r>
      <w:r w:rsidR="002333B3">
        <w:rPr>
          <w:snapToGrid w:val="0"/>
          <w:spacing w:val="-2"/>
          <w:kern w:val="22"/>
          <w:lang w:val="es-ES"/>
        </w:rPr>
        <w:t>ásicos de referencia</w:t>
      </w:r>
      <w:r w:rsidR="00775B5A" w:rsidRPr="002333B3">
        <w:rPr>
          <w:snapToGrid w:val="0"/>
          <w:spacing w:val="-2"/>
          <w:kern w:val="22"/>
          <w:lang w:val="es-ES"/>
        </w:rPr>
        <w:t xml:space="preserve">. </w:t>
      </w:r>
      <w:r w:rsidR="002333B3" w:rsidRPr="002333B3">
        <w:rPr>
          <w:snapToGrid w:val="0"/>
          <w:spacing w:val="-2"/>
          <w:kern w:val="22"/>
          <w:lang w:val="es-ES"/>
        </w:rPr>
        <w:t>Un</w:t>
      </w:r>
      <w:r w:rsidR="00775B5A" w:rsidRPr="002333B3">
        <w:rPr>
          <w:snapToGrid w:val="0"/>
          <w:spacing w:val="-2"/>
          <w:kern w:val="22"/>
          <w:lang w:val="es-ES"/>
        </w:rPr>
        <w:t xml:space="preserve"> total </w:t>
      </w:r>
      <w:r w:rsidR="002333B3" w:rsidRPr="002333B3">
        <w:rPr>
          <w:snapToGrid w:val="0"/>
          <w:spacing w:val="-2"/>
          <w:kern w:val="22"/>
          <w:lang w:val="es-ES"/>
        </w:rPr>
        <w:t xml:space="preserve">del </w:t>
      </w:r>
      <w:r w:rsidR="00775B5A" w:rsidRPr="002333B3">
        <w:rPr>
          <w:snapToGrid w:val="0"/>
          <w:spacing w:val="-2"/>
          <w:kern w:val="22"/>
          <w:lang w:val="es-ES"/>
        </w:rPr>
        <w:t>27</w:t>
      </w:r>
      <w:r w:rsidR="002333B3" w:rsidRPr="002333B3">
        <w:rPr>
          <w:snapToGrid w:val="0"/>
          <w:spacing w:val="-2"/>
          <w:kern w:val="22"/>
          <w:lang w:val="es-ES"/>
        </w:rPr>
        <w:t xml:space="preserve"> </w:t>
      </w:r>
      <w:r w:rsidR="00775B5A" w:rsidRPr="002333B3">
        <w:rPr>
          <w:snapToGrid w:val="0"/>
          <w:spacing w:val="-2"/>
          <w:kern w:val="22"/>
          <w:lang w:val="es-ES"/>
        </w:rPr>
        <w:t xml:space="preserve">% </w:t>
      </w:r>
      <w:r w:rsidR="002333B3" w:rsidRPr="002333B3">
        <w:rPr>
          <w:snapToGrid w:val="0"/>
          <w:spacing w:val="-2"/>
          <w:kern w:val="22"/>
          <w:lang w:val="es-ES"/>
        </w:rPr>
        <w:t xml:space="preserve">de las </w:t>
      </w:r>
      <w:r w:rsidR="00775B5A" w:rsidRPr="002333B3">
        <w:rPr>
          <w:snapToGrid w:val="0"/>
          <w:spacing w:val="-2"/>
          <w:kern w:val="22"/>
          <w:lang w:val="es-ES"/>
        </w:rPr>
        <w:t xml:space="preserve">Partes </w:t>
      </w:r>
      <w:r w:rsidR="002333B3" w:rsidRPr="002333B3">
        <w:rPr>
          <w:snapToGrid w:val="0"/>
          <w:spacing w:val="-2"/>
          <w:kern w:val="22"/>
          <w:lang w:val="es-ES"/>
        </w:rPr>
        <w:t>indic</w:t>
      </w:r>
      <w:r w:rsidR="00CD3B4E">
        <w:rPr>
          <w:snapToGrid w:val="0"/>
          <w:spacing w:val="-2"/>
          <w:kern w:val="22"/>
          <w:lang w:val="es-ES"/>
        </w:rPr>
        <w:t>ó</w:t>
      </w:r>
      <w:r w:rsidR="002333B3" w:rsidRPr="002333B3">
        <w:rPr>
          <w:snapToGrid w:val="0"/>
          <w:spacing w:val="-2"/>
          <w:kern w:val="22"/>
          <w:lang w:val="es-ES"/>
        </w:rPr>
        <w:t xml:space="preserve"> que había organizado de 1 a </w:t>
      </w:r>
      <w:r w:rsidR="00775B5A" w:rsidRPr="002333B3">
        <w:rPr>
          <w:snapToGrid w:val="0"/>
          <w:spacing w:val="-2"/>
          <w:kern w:val="22"/>
          <w:lang w:val="es-ES"/>
        </w:rPr>
        <w:t>4 event</w:t>
      </w:r>
      <w:r w:rsidR="002333B3" w:rsidRPr="002333B3">
        <w:rPr>
          <w:snapToGrid w:val="0"/>
          <w:spacing w:val="-2"/>
          <w:kern w:val="22"/>
          <w:lang w:val="es-ES"/>
        </w:rPr>
        <w:t>o</w:t>
      </w:r>
      <w:r w:rsidR="00775B5A" w:rsidRPr="002333B3">
        <w:rPr>
          <w:snapToGrid w:val="0"/>
          <w:spacing w:val="-2"/>
          <w:kern w:val="22"/>
          <w:lang w:val="es-ES"/>
        </w:rPr>
        <w:t xml:space="preserve">s, </w:t>
      </w:r>
      <w:r w:rsidR="002333B3" w:rsidRPr="002333B3">
        <w:rPr>
          <w:snapToGrid w:val="0"/>
          <w:spacing w:val="-2"/>
          <w:kern w:val="22"/>
          <w:lang w:val="es-ES"/>
        </w:rPr>
        <w:t xml:space="preserve">el </w:t>
      </w:r>
      <w:r w:rsidR="00775B5A" w:rsidRPr="002333B3">
        <w:rPr>
          <w:snapToGrid w:val="0"/>
          <w:spacing w:val="-2"/>
          <w:kern w:val="22"/>
          <w:lang w:val="es-ES"/>
        </w:rPr>
        <w:t>20</w:t>
      </w:r>
      <w:r w:rsidR="002333B3" w:rsidRPr="002333B3">
        <w:rPr>
          <w:snapToGrid w:val="0"/>
          <w:spacing w:val="-2"/>
          <w:kern w:val="22"/>
          <w:lang w:val="es-ES"/>
        </w:rPr>
        <w:t xml:space="preserve"> </w:t>
      </w:r>
      <w:r w:rsidR="00775B5A" w:rsidRPr="002333B3">
        <w:rPr>
          <w:snapToGrid w:val="0"/>
          <w:spacing w:val="-2"/>
          <w:kern w:val="22"/>
          <w:lang w:val="es-ES"/>
        </w:rPr>
        <w:t xml:space="preserve">% </w:t>
      </w:r>
      <w:r w:rsidR="002333B3" w:rsidRPr="002333B3">
        <w:rPr>
          <w:snapToGrid w:val="0"/>
          <w:spacing w:val="-2"/>
          <w:kern w:val="22"/>
          <w:lang w:val="es-ES"/>
        </w:rPr>
        <w:t>de</w:t>
      </w:r>
      <w:r w:rsidR="00775B5A" w:rsidRPr="002333B3">
        <w:rPr>
          <w:snapToGrid w:val="0"/>
          <w:spacing w:val="-2"/>
          <w:kern w:val="22"/>
          <w:lang w:val="es-ES"/>
        </w:rPr>
        <w:t xml:space="preserve"> 5 </w:t>
      </w:r>
      <w:r w:rsidR="002333B3" w:rsidRPr="002333B3">
        <w:rPr>
          <w:snapToGrid w:val="0"/>
          <w:spacing w:val="-2"/>
          <w:kern w:val="22"/>
          <w:lang w:val="es-ES"/>
        </w:rPr>
        <w:t>a</w:t>
      </w:r>
      <w:r w:rsidR="00775B5A" w:rsidRPr="002333B3">
        <w:rPr>
          <w:snapToGrid w:val="0"/>
          <w:spacing w:val="-2"/>
          <w:kern w:val="22"/>
          <w:lang w:val="es-ES"/>
        </w:rPr>
        <w:t xml:space="preserve"> 9 event</w:t>
      </w:r>
      <w:r w:rsidR="002333B3" w:rsidRPr="002333B3">
        <w:rPr>
          <w:snapToGrid w:val="0"/>
          <w:spacing w:val="-2"/>
          <w:kern w:val="22"/>
          <w:lang w:val="es-ES"/>
        </w:rPr>
        <w:t>o</w:t>
      </w:r>
      <w:r w:rsidR="00775B5A" w:rsidRPr="002333B3">
        <w:rPr>
          <w:snapToGrid w:val="0"/>
          <w:spacing w:val="-2"/>
          <w:kern w:val="22"/>
          <w:lang w:val="es-ES"/>
        </w:rPr>
        <w:t xml:space="preserve">s, </w:t>
      </w:r>
      <w:r w:rsidR="002333B3">
        <w:rPr>
          <w:snapToGrid w:val="0"/>
          <w:spacing w:val="-2"/>
          <w:kern w:val="22"/>
          <w:lang w:val="es-ES"/>
        </w:rPr>
        <w:t xml:space="preserve">el </w:t>
      </w:r>
      <w:r w:rsidR="00775B5A" w:rsidRPr="002333B3">
        <w:rPr>
          <w:snapToGrid w:val="0"/>
          <w:spacing w:val="-2"/>
          <w:kern w:val="22"/>
          <w:lang w:val="es-ES"/>
        </w:rPr>
        <w:t>21</w:t>
      </w:r>
      <w:r w:rsidR="002333B3">
        <w:rPr>
          <w:snapToGrid w:val="0"/>
          <w:spacing w:val="-2"/>
          <w:kern w:val="22"/>
          <w:lang w:val="es-ES"/>
        </w:rPr>
        <w:t xml:space="preserve"> </w:t>
      </w:r>
      <w:r w:rsidR="00775B5A" w:rsidRPr="002333B3">
        <w:rPr>
          <w:snapToGrid w:val="0"/>
          <w:spacing w:val="-2"/>
          <w:kern w:val="22"/>
          <w:lang w:val="es-ES"/>
        </w:rPr>
        <w:t xml:space="preserve">% </w:t>
      </w:r>
      <w:r w:rsidR="002333B3">
        <w:rPr>
          <w:snapToGrid w:val="0"/>
          <w:spacing w:val="-2"/>
          <w:kern w:val="22"/>
          <w:lang w:val="es-ES"/>
        </w:rPr>
        <w:t>de</w:t>
      </w:r>
      <w:r w:rsidR="00775B5A" w:rsidRPr="002333B3">
        <w:rPr>
          <w:snapToGrid w:val="0"/>
          <w:spacing w:val="-2"/>
          <w:kern w:val="22"/>
          <w:lang w:val="es-ES"/>
        </w:rPr>
        <w:t xml:space="preserve"> 10 </w:t>
      </w:r>
      <w:r w:rsidR="002333B3">
        <w:rPr>
          <w:snapToGrid w:val="0"/>
          <w:spacing w:val="-2"/>
          <w:kern w:val="22"/>
          <w:lang w:val="es-ES"/>
        </w:rPr>
        <w:t>a</w:t>
      </w:r>
      <w:r w:rsidR="00775B5A" w:rsidRPr="002333B3">
        <w:rPr>
          <w:snapToGrid w:val="0"/>
          <w:spacing w:val="-2"/>
          <w:kern w:val="22"/>
          <w:lang w:val="es-ES"/>
        </w:rPr>
        <w:t xml:space="preserve"> 24 event</w:t>
      </w:r>
      <w:r w:rsidR="002333B3">
        <w:rPr>
          <w:snapToGrid w:val="0"/>
          <w:spacing w:val="-2"/>
          <w:kern w:val="22"/>
          <w:lang w:val="es-ES"/>
        </w:rPr>
        <w:t>o</w:t>
      </w:r>
      <w:r w:rsidR="00775B5A" w:rsidRPr="002333B3">
        <w:rPr>
          <w:snapToGrid w:val="0"/>
          <w:spacing w:val="-2"/>
          <w:kern w:val="22"/>
          <w:lang w:val="es-ES"/>
        </w:rPr>
        <w:t xml:space="preserve">s </w:t>
      </w:r>
      <w:r w:rsidR="002333B3">
        <w:rPr>
          <w:snapToGrid w:val="0"/>
          <w:spacing w:val="-2"/>
          <w:kern w:val="22"/>
          <w:lang w:val="es-ES"/>
        </w:rPr>
        <w:t xml:space="preserve">y el </w:t>
      </w:r>
      <w:r w:rsidR="00775B5A" w:rsidRPr="002333B3">
        <w:rPr>
          <w:snapToGrid w:val="0"/>
          <w:spacing w:val="-2"/>
          <w:kern w:val="22"/>
          <w:lang w:val="es-ES"/>
        </w:rPr>
        <w:t>24</w:t>
      </w:r>
      <w:r w:rsidR="002333B3">
        <w:rPr>
          <w:snapToGrid w:val="0"/>
          <w:spacing w:val="-2"/>
          <w:kern w:val="22"/>
          <w:lang w:val="es-ES"/>
        </w:rPr>
        <w:t xml:space="preserve"> </w:t>
      </w:r>
      <w:r w:rsidR="00775B5A" w:rsidRPr="002333B3">
        <w:rPr>
          <w:snapToGrid w:val="0"/>
          <w:spacing w:val="-2"/>
          <w:kern w:val="22"/>
          <w:lang w:val="es-ES"/>
        </w:rPr>
        <w:t>%</w:t>
      </w:r>
      <w:r w:rsidR="002333B3">
        <w:rPr>
          <w:snapToGrid w:val="0"/>
          <w:spacing w:val="-2"/>
          <w:kern w:val="22"/>
          <w:lang w:val="es-ES"/>
        </w:rPr>
        <w:t>,</w:t>
      </w:r>
      <w:r w:rsidR="00775B5A" w:rsidRPr="002333B3">
        <w:rPr>
          <w:snapToGrid w:val="0"/>
          <w:spacing w:val="-2"/>
          <w:kern w:val="22"/>
          <w:lang w:val="es-ES"/>
        </w:rPr>
        <w:t xml:space="preserve"> 25 </w:t>
      </w:r>
      <w:r w:rsidR="002333B3">
        <w:rPr>
          <w:snapToGrid w:val="0"/>
          <w:spacing w:val="-2"/>
          <w:kern w:val="22"/>
          <w:lang w:val="es-ES"/>
        </w:rPr>
        <w:t>o más eventos</w:t>
      </w:r>
      <w:r w:rsidR="00775B5A" w:rsidRPr="002333B3">
        <w:rPr>
          <w:snapToGrid w:val="0"/>
          <w:spacing w:val="-2"/>
          <w:kern w:val="22"/>
          <w:lang w:val="es-ES"/>
        </w:rPr>
        <w:t xml:space="preserve"> (</w:t>
      </w:r>
      <w:r w:rsidR="002333B3">
        <w:rPr>
          <w:snapToGrid w:val="0"/>
          <w:spacing w:val="-2"/>
          <w:kern w:val="22"/>
          <w:lang w:val="es-ES"/>
        </w:rPr>
        <w:t xml:space="preserve">un aumento de un </w:t>
      </w:r>
      <w:r w:rsidR="00775B5A" w:rsidRPr="002333B3">
        <w:rPr>
          <w:snapToGrid w:val="0"/>
          <w:spacing w:val="-2"/>
          <w:kern w:val="22"/>
          <w:lang w:val="es-ES"/>
        </w:rPr>
        <w:t>20</w:t>
      </w:r>
      <w:r w:rsidR="002333B3">
        <w:rPr>
          <w:snapToGrid w:val="0"/>
          <w:spacing w:val="-2"/>
          <w:kern w:val="22"/>
          <w:lang w:val="es-ES"/>
        </w:rPr>
        <w:t xml:space="preserve"> </w:t>
      </w:r>
      <w:r w:rsidR="00775B5A" w:rsidRPr="002333B3">
        <w:rPr>
          <w:snapToGrid w:val="0"/>
          <w:spacing w:val="-2"/>
          <w:kern w:val="22"/>
          <w:lang w:val="es-ES"/>
        </w:rPr>
        <w:t xml:space="preserve">%). </w:t>
      </w:r>
      <w:r w:rsidR="002333B3" w:rsidRPr="002333B3">
        <w:rPr>
          <w:snapToGrid w:val="0"/>
          <w:spacing w:val="-2"/>
          <w:kern w:val="22"/>
          <w:lang w:val="es-ES"/>
        </w:rPr>
        <w:t xml:space="preserve">En general, casi todas las </w:t>
      </w:r>
      <w:r w:rsidR="00775B5A" w:rsidRPr="002333B3">
        <w:rPr>
          <w:snapToGrid w:val="0"/>
          <w:spacing w:val="-2"/>
          <w:kern w:val="22"/>
          <w:lang w:val="es-ES"/>
        </w:rPr>
        <w:t xml:space="preserve">Partes </w:t>
      </w:r>
      <w:r w:rsidR="002333B3" w:rsidRPr="002333B3">
        <w:rPr>
          <w:snapToGrid w:val="0"/>
          <w:spacing w:val="-2"/>
          <w:kern w:val="22"/>
          <w:lang w:val="es-ES"/>
        </w:rPr>
        <w:t>informaron</w:t>
      </w:r>
      <w:r w:rsidR="00CD3B4E">
        <w:rPr>
          <w:snapToGrid w:val="0"/>
          <w:spacing w:val="-2"/>
          <w:kern w:val="22"/>
          <w:lang w:val="es-ES"/>
        </w:rPr>
        <w:t xml:space="preserve"> de </w:t>
      </w:r>
      <w:r w:rsidR="002333B3" w:rsidRPr="002333B3">
        <w:rPr>
          <w:snapToGrid w:val="0"/>
          <w:spacing w:val="-2"/>
          <w:kern w:val="22"/>
          <w:lang w:val="es-ES"/>
        </w:rPr>
        <w:t xml:space="preserve">que habían organizado </w:t>
      </w:r>
      <w:r w:rsidR="00775B5A" w:rsidRPr="002333B3">
        <w:rPr>
          <w:snapToGrid w:val="0"/>
          <w:spacing w:val="-2"/>
          <w:kern w:val="22"/>
          <w:lang w:val="es-ES"/>
        </w:rPr>
        <w:t>1</w:t>
      </w:r>
      <w:r w:rsidR="002333B3" w:rsidRPr="002333B3">
        <w:rPr>
          <w:snapToGrid w:val="0"/>
          <w:spacing w:val="-2"/>
          <w:kern w:val="22"/>
          <w:lang w:val="es-ES"/>
        </w:rPr>
        <w:t xml:space="preserve"> o m</w:t>
      </w:r>
      <w:r w:rsidR="002333B3">
        <w:rPr>
          <w:snapToGrid w:val="0"/>
          <w:spacing w:val="-2"/>
          <w:kern w:val="22"/>
          <w:lang w:val="es-ES"/>
        </w:rPr>
        <w:t>ás eventos relacionados con la seguridad de la biotecnología</w:t>
      </w:r>
      <w:r w:rsidR="00775B5A" w:rsidRPr="002333B3">
        <w:rPr>
          <w:snapToGrid w:val="0"/>
          <w:spacing w:val="-2"/>
          <w:kern w:val="22"/>
          <w:lang w:val="es-ES"/>
        </w:rPr>
        <w:t xml:space="preserve">, </w:t>
      </w:r>
      <w:r w:rsidR="002333B3">
        <w:rPr>
          <w:snapToGrid w:val="0"/>
          <w:spacing w:val="-2"/>
          <w:kern w:val="22"/>
          <w:lang w:val="es-ES"/>
        </w:rPr>
        <w:t xml:space="preserve">con un aumento importante de Partes que celebraron </w:t>
      </w:r>
      <w:r w:rsidR="002333B3" w:rsidRPr="00CD3B4E">
        <w:rPr>
          <w:snapToGrid w:val="0"/>
          <w:spacing w:val="-2"/>
          <w:kern w:val="22"/>
          <w:lang w:val="es-ES"/>
        </w:rPr>
        <w:t>25 eventos o más</w:t>
      </w:r>
      <w:r w:rsidR="00775B5A" w:rsidRPr="00CD3B4E">
        <w:rPr>
          <w:snapToGrid w:val="0"/>
          <w:spacing w:val="-2"/>
          <w:kern w:val="22"/>
          <w:lang w:val="es-ES"/>
        </w:rPr>
        <w:t xml:space="preserve">. </w:t>
      </w:r>
    </w:p>
    <w:p w:rsidR="00775B5A" w:rsidRPr="00DA32AD" w:rsidRDefault="00775B5A"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DA32AD">
        <w:rPr>
          <w:snapToGrid w:val="0"/>
          <w:spacing w:val="-2"/>
          <w:kern w:val="22"/>
          <w:lang w:val="es-ES"/>
        </w:rPr>
        <w:t xml:space="preserve"> </w:t>
      </w:r>
      <w:r w:rsidR="002333B3" w:rsidRPr="00DA32AD">
        <w:rPr>
          <w:snapToGrid w:val="0"/>
          <w:spacing w:val="-2"/>
          <w:kern w:val="22"/>
          <w:lang w:val="es-ES"/>
        </w:rPr>
        <w:t xml:space="preserve">En sus contribuciones presentadas por escrito, </w:t>
      </w:r>
      <w:r w:rsidR="00DA32AD" w:rsidRPr="00DA32AD">
        <w:rPr>
          <w:snapToGrid w:val="0"/>
          <w:spacing w:val="-2"/>
          <w:kern w:val="22"/>
          <w:lang w:val="es-ES"/>
        </w:rPr>
        <w:t xml:space="preserve">varias Partes explicaron el tipo de evento que </w:t>
      </w:r>
      <w:r w:rsidR="00DA32AD">
        <w:rPr>
          <w:snapToGrid w:val="0"/>
          <w:spacing w:val="-2"/>
          <w:kern w:val="22"/>
          <w:lang w:val="es-ES"/>
        </w:rPr>
        <w:t>habían organizado e indicaron que algunos de esos eventos eran recurrentes</w:t>
      </w:r>
      <w:r w:rsidRPr="00DA32AD">
        <w:rPr>
          <w:snapToGrid w:val="0"/>
          <w:spacing w:val="-2"/>
          <w:kern w:val="22"/>
          <w:lang w:val="es-ES"/>
        </w:rPr>
        <w:t xml:space="preserve">. </w:t>
      </w:r>
      <w:r w:rsidR="00DA32AD">
        <w:rPr>
          <w:snapToGrid w:val="0"/>
          <w:spacing w:val="-2"/>
          <w:kern w:val="22"/>
          <w:lang w:val="es-ES"/>
        </w:rPr>
        <w:t>Se mencionaron los siguientes tipos de eventos</w:t>
      </w:r>
      <w:r w:rsidRPr="00DA32AD">
        <w:rPr>
          <w:snapToGrid w:val="0"/>
          <w:spacing w:val="-2"/>
          <w:kern w:val="22"/>
          <w:lang w:val="es-ES"/>
        </w:rPr>
        <w:t xml:space="preserve">: </w:t>
      </w:r>
      <w:r w:rsidR="00DA32AD" w:rsidRPr="00DA32AD">
        <w:rPr>
          <w:snapToGrid w:val="0"/>
          <w:spacing w:val="-2"/>
          <w:kern w:val="22"/>
          <w:lang w:val="es-ES"/>
        </w:rPr>
        <w:t>talleres, conferencias, eventos paralelos, audiencias p</w:t>
      </w:r>
      <w:r w:rsidR="00DA32AD">
        <w:rPr>
          <w:snapToGrid w:val="0"/>
          <w:spacing w:val="-2"/>
          <w:kern w:val="22"/>
          <w:lang w:val="es-ES"/>
        </w:rPr>
        <w:t>úblicas</w:t>
      </w:r>
      <w:r w:rsidRPr="00DA32AD">
        <w:rPr>
          <w:snapToGrid w:val="0"/>
          <w:spacing w:val="-2"/>
          <w:kern w:val="22"/>
          <w:lang w:val="es-ES"/>
        </w:rPr>
        <w:t xml:space="preserve">, </w:t>
      </w:r>
      <w:r w:rsidR="00DA32AD">
        <w:rPr>
          <w:snapToGrid w:val="0"/>
          <w:spacing w:val="-2"/>
          <w:kern w:val="22"/>
          <w:lang w:val="es-ES"/>
        </w:rPr>
        <w:t>conferencias de prensa, exposiciones, seminarios y otros eventos educativos</w:t>
      </w:r>
      <w:r w:rsidRPr="00DA32AD">
        <w:rPr>
          <w:snapToGrid w:val="0"/>
          <w:spacing w:val="-2"/>
          <w:kern w:val="22"/>
          <w:lang w:val="es-ES"/>
        </w:rPr>
        <w:t>.</w:t>
      </w:r>
    </w:p>
    <w:p w:rsidR="00775B5A" w:rsidRPr="000124C1" w:rsidRDefault="000124C1"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0124C1">
        <w:rPr>
          <w:snapToGrid w:val="0"/>
          <w:spacing w:val="-2"/>
          <w:kern w:val="22"/>
          <w:lang w:val="es-ES"/>
        </w:rPr>
        <w:t xml:space="preserve">De los </w:t>
      </w:r>
      <w:r>
        <w:rPr>
          <w:snapToGrid w:val="0"/>
          <w:spacing w:val="-2"/>
          <w:kern w:val="22"/>
          <w:lang w:val="es-ES"/>
        </w:rPr>
        <w:t>que respondieron a</w:t>
      </w:r>
      <w:r w:rsidRPr="000124C1">
        <w:rPr>
          <w:snapToGrid w:val="0"/>
          <w:spacing w:val="-2"/>
          <w:kern w:val="22"/>
          <w:lang w:val="es-ES"/>
        </w:rPr>
        <w:t xml:space="preserve"> la </w:t>
      </w:r>
      <w:r w:rsidR="002E5B45">
        <w:rPr>
          <w:snapToGrid w:val="0"/>
          <w:spacing w:val="-2"/>
          <w:kern w:val="22"/>
          <w:lang w:val="es-ES"/>
        </w:rPr>
        <w:t>e</w:t>
      </w:r>
      <w:r w:rsidRPr="000124C1">
        <w:rPr>
          <w:snapToGrid w:val="0"/>
          <w:spacing w:val="-2"/>
          <w:kern w:val="22"/>
          <w:lang w:val="es-ES"/>
        </w:rPr>
        <w:t>ncuesta sobre el programa de trabajo, aproximadamente dos tercios indicaron que hab</w:t>
      </w:r>
      <w:r>
        <w:rPr>
          <w:snapToGrid w:val="0"/>
          <w:spacing w:val="-2"/>
          <w:kern w:val="22"/>
          <w:lang w:val="es-ES"/>
        </w:rPr>
        <w:t>ían organizado eventos sobre seguridad de la biotecnología en los que participaron los medios de comunicación</w:t>
      </w:r>
      <w:r w:rsidR="00775B5A" w:rsidRPr="000124C1">
        <w:rPr>
          <w:snapToGrid w:val="0"/>
          <w:spacing w:val="-2"/>
          <w:kern w:val="22"/>
          <w:lang w:val="es-ES"/>
        </w:rPr>
        <w:t xml:space="preserve">. </w:t>
      </w:r>
    </w:p>
    <w:p w:rsidR="00775B5A" w:rsidRPr="009D3EBD" w:rsidRDefault="000124C1"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0124C1">
        <w:rPr>
          <w:snapToGrid w:val="0"/>
          <w:spacing w:val="-2"/>
          <w:kern w:val="22"/>
          <w:lang w:val="es-ES"/>
        </w:rPr>
        <w:t xml:space="preserve">En lo que al </w:t>
      </w:r>
      <w:r w:rsidR="00775B5A" w:rsidRPr="000124C1">
        <w:rPr>
          <w:b/>
          <w:bCs/>
          <w:snapToGrid w:val="0"/>
          <w:spacing w:val="-2"/>
          <w:kern w:val="22"/>
          <w:lang w:val="es-ES"/>
        </w:rPr>
        <w:t>indica</w:t>
      </w:r>
      <w:r w:rsidRPr="000124C1">
        <w:rPr>
          <w:b/>
          <w:bCs/>
          <w:snapToGrid w:val="0"/>
          <w:spacing w:val="-2"/>
          <w:kern w:val="22"/>
          <w:lang w:val="es-ES"/>
        </w:rPr>
        <w:t>d</w:t>
      </w:r>
      <w:r w:rsidR="00775B5A" w:rsidRPr="000124C1">
        <w:rPr>
          <w:b/>
          <w:bCs/>
          <w:snapToGrid w:val="0"/>
          <w:spacing w:val="-2"/>
          <w:kern w:val="22"/>
          <w:lang w:val="es-ES"/>
        </w:rPr>
        <w:t>or 4.3.2</w:t>
      </w:r>
      <w:r w:rsidRPr="000124C1">
        <w:rPr>
          <w:snapToGrid w:val="0"/>
          <w:spacing w:val="-2"/>
          <w:kern w:val="22"/>
          <w:lang w:val="es-ES"/>
        </w:rPr>
        <w:t xml:space="preserve"> respecta (el número de publicaciones compartidas relacionadas con la seguridad de la biotecnolog</w:t>
      </w:r>
      <w:r>
        <w:rPr>
          <w:snapToGrid w:val="0"/>
          <w:spacing w:val="-2"/>
          <w:kern w:val="22"/>
          <w:lang w:val="es-ES"/>
        </w:rPr>
        <w:t>ía</w:t>
      </w:r>
      <w:r w:rsidR="00775B5A" w:rsidRPr="000124C1">
        <w:rPr>
          <w:snapToGrid w:val="0"/>
          <w:spacing w:val="-2"/>
          <w:kern w:val="22"/>
          <w:lang w:val="es-ES"/>
        </w:rPr>
        <w:t xml:space="preserve">), </w:t>
      </w:r>
      <w:r>
        <w:rPr>
          <w:snapToGrid w:val="0"/>
          <w:spacing w:val="-2"/>
          <w:kern w:val="22"/>
          <w:lang w:val="es-ES"/>
        </w:rPr>
        <w:t xml:space="preserve">el </w:t>
      </w:r>
      <w:r w:rsidR="00775B5A" w:rsidRPr="000124C1">
        <w:rPr>
          <w:snapToGrid w:val="0"/>
          <w:spacing w:val="-2"/>
          <w:kern w:val="22"/>
          <w:lang w:val="es-ES"/>
        </w:rPr>
        <w:t>76</w:t>
      </w:r>
      <w:r>
        <w:rPr>
          <w:snapToGrid w:val="0"/>
          <w:spacing w:val="-2"/>
          <w:kern w:val="22"/>
          <w:lang w:val="es-ES"/>
        </w:rPr>
        <w:t xml:space="preserve"> </w:t>
      </w:r>
      <w:r w:rsidR="00775B5A" w:rsidRPr="000124C1">
        <w:rPr>
          <w:snapToGrid w:val="0"/>
          <w:spacing w:val="-2"/>
          <w:kern w:val="22"/>
          <w:lang w:val="es-ES"/>
        </w:rPr>
        <w:t xml:space="preserve">% </w:t>
      </w:r>
      <w:r>
        <w:rPr>
          <w:snapToGrid w:val="0"/>
          <w:spacing w:val="-2"/>
          <w:kern w:val="22"/>
          <w:lang w:val="es-ES"/>
        </w:rPr>
        <w:t xml:space="preserve">de las </w:t>
      </w:r>
      <w:r w:rsidR="00775B5A" w:rsidRPr="000124C1">
        <w:rPr>
          <w:snapToGrid w:val="0"/>
          <w:spacing w:val="-2"/>
          <w:kern w:val="22"/>
          <w:lang w:val="es-ES"/>
        </w:rPr>
        <w:t xml:space="preserve">Partes (54 Partes) </w:t>
      </w:r>
      <w:r>
        <w:rPr>
          <w:snapToGrid w:val="0"/>
          <w:spacing w:val="-2"/>
          <w:kern w:val="22"/>
          <w:lang w:val="es-ES"/>
        </w:rPr>
        <w:t>comunic</w:t>
      </w:r>
      <w:r w:rsidR="00CD3B4E">
        <w:rPr>
          <w:snapToGrid w:val="0"/>
          <w:spacing w:val="-2"/>
          <w:kern w:val="22"/>
          <w:lang w:val="es-ES"/>
        </w:rPr>
        <w:t xml:space="preserve">ó haber publicado </w:t>
      </w:r>
      <w:r>
        <w:rPr>
          <w:snapToGrid w:val="0"/>
          <w:spacing w:val="-2"/>
          <w:kern w:val="22"/>
          <w:lang w:val="es-ES"/>
        </w:rPr>
        <w:t>publicaciones relacionadas con la seguridad de la biotecnología en el periodo de presentación de informes</w:t>
      </w:r>
      <w:r w:rsidR="00775B5A" w:rsidRPr="000124C1">
        <w:rPr>
          <w:snapToGrid w:val="0"/>
          <w:spacing w:val="-2"/>
          <w:kern w:val="22"/>
          <w:lang w:val="es-ES"/>
        </w:rPr>
        <w:t xml:space="preserve">, </w:t>
      </w:r>
      <w:r>
        <w:rPr>
          <w:snapToGrid w:val="0"/>
          <w:spacing w:val="-2"/>
          <w:kern w:val="22"/>
          <w:lang w:val="es-ES"/>
        </w:rPr>
        <w:t xml:space="preserve">lo que supone una disminución de un </w:t>
      </w:r>
      <w:r w:rsidR="00775B5A" w:rsidRPr="000124C1">
        <w:rPr>
          <w:snapToGrid w:val="0"/>
          <w:spacing w:val="-2"/>
          <w:kern w:val="22"/>
          <w:lang w:val="es-ES"/>
        </w:rPr>
        <w:t>6</w:t>
      </w:r>
      <w:r>
        <w:rPr>
          <w:snapToGrid w:val="0"/>
          <w:spacing w:val="-2"/>
          <w:kern w:val="22"/>
          <w:lang w:val="es-ES"/>
        </w:rPr>
        <w:t xml:space="preserve"> </w:t>
      </w:r>
      <w:r w:rsidR="00775B5A" w:rsidRPr="000124C1">
        <w:rPr>
          <w:snapToGrid w:val="0"/>
          <w:spacing w:val="-2"/>
          <w:kern w:val="22"/>
          <w:lang w:val="es-ES"/>
        </w:rPr>
        <w:t xml:space="preserve">%. </w:t>
      </w:r>
      <w:r w:rsidRPr="009D3EBD">
        <w:rPr>
          <w:snapToGrid w:val="0"/>
          <w:spacing w:val="-2"/>
          <w:kern w:val="22"/>
          <w:lang w:val="es-ES"/>
        </w:rPr>
        <w:t>El mayo</w:t>
      </w:r>
      <w:r w:rsidR="009D3EBD" w:rsidRPr="009D3EBD">
        <w:rPr>
          <w:snapToGrid w:val="0"/>
          <w:spacing w:val="-2"/>
          <w:kern w:val="22"/>
          <w:lang w:val="es-ES"/>
        </w:rPr>
        <w:t>r</w:t>
      </w:r>
      <w:r w:rsidRPr="009D3EBD">
        <w:rPr>
          <w:snapToGrid w:val="0"/>
          <w:spacing w:val="-2"/>
          <w:kern w:val="22"/>
          <w:lang w:val="es-ES"/>
        </w:rPr>
        <w:t xml:space="preserve"> número de P</w:t>
      </w:r>
      <w:r w:rsidR="00775B5A" w:rsidRPr="009D3EBD">
        <w:rPr>
          <w:snapToGrid w:val="0"/>
          <w:spacing w:val="-2"/>
          <w:kern w:val="22"/>
          <w:lang w:val="es-ES"/>
        </w:rPr>
        <w:t>artes (38</w:t>
      </w:r>
      <w:r w:rsidRPr="009D3EBD">
        <w:rPr>
          <w:snapToGrid w:val="0"/>
          <w:spacing w:val="-2"/>
          <w:kern w:val="22"/>
          <w:lang w:val="es-ES"/>
        </w:rPr>
        <w:t xml:space="preserve"> </w:t>
      </w:r>
      <w:r w:rsidR="00775B5A" w:rsidRPr="009D3EBD">
        <w:rPr>
          <w:snapToGrid w:val="0"/>
          <w:spacing w:val="-2"/>
          <w:kern w:val="22"/>
          <w:lang w:val="es-ES"/>
        </w:rPr>
        <w:t xml:space="preserve">%) </w:t>
      </w:r>
      <w:r w:rsidR="009D3EBD" w:rsidRPr="009D3EBD">
        <w:rPr>
          <w:snapToGrid w:val="0"/>
          <w:spacing w:val="-2"/>
          <w:kern w:val="22"/>
          <w:lang w:val="es-ES"/>
        </w:rPr>
        <w:t>in</w:t>
      </w:r>
      <w:r w:rsidR="009D3EBD">
        <w:rPr>
          <w:snapToGrid w:val="0"/>
          <w:spacing w:val="-2"/>
          <w:kern w:val="22"/>
          <w:lang w:val="es-ES"/>
        </w:rPr>
        <w:t>dicó</w:t>
      </w:r>
      <w:r w:rsidR="009D3EBD" w:rsidRPr="009D3EBD">
        <w:rPr>
          <w:snapToGrid w:val="0"/>
          <w:spacing w:val="-2"/>
          <w:kern w:val="22"/>
          <w:lang w:val="es-ES"/>
        </w:rPr>
        <w:t xml:space="preserve"> que había publicado entre </w:t>
      </w:r>
      <w:r w:rsidR="00775B5A" w:rsidRPr="009D3EBD">
        <w:rPr>
          <w:snapToGrid w:val="0"/>
          <w:spacing w:val="-2"/>
          <w:kern w:val="22"/>
          <w:lang w:val="es-ES"/>
        </w:rPr>
        <w:t xml:space="preserve">1 </w:t>
      </w:r>
      <w:r w:rsidR="009D3EBD" w:rsidRPr="009D3EBD">
        <w:rPr>
          <w:snapToGrid w:val="0"/>
          <w:spacing w:val="-2"/>
          <w:kern w:val="22"/>
          <w:lang w:val="es-ES"/>
        </w:rPr>
        <w:t>y</w:t>
      </w:r>
      <w:r w:rsidR="00775B5A" w:rsidRPr="009D3EBD">
        <w:rPr>
          <w:snapToGrid w:val="0"/>
          <w:spacing w:val="-2"/>
          <w:kern w:val="22"/>
          <w:lang w:val="es-ES"/>
        </w:rPr>
        <w:t xml:space="preserve"> 9 material</w:t>
      </w:r>
      <w:r w:rsidR="009D3EBD" w:rsidRPr="009D3EBD">
        <w:rPr>
          <w:snapToGrid w:val="0"/>
          <w:spacing w:val="-2"/>
          <w:kern w:val="22"/>
          <w:lang w:val="es-ES"/>
        </w:rPr>
        <w:t>e</w:t>
      </w:r>
      <w:r w:rsidR="00775B5A" w:rsidRPr="009D3EBD">
        <w:rPr>
          <w:snapToGrid w:val="0"/>
          <w:spacing w:val="-2"/>
          <w:kern w:val="22"/>
          <w:lang w:val="es-ES"/>
        </w:rPr>
        <w:t xml:space="preserve">s. </w:t>
      </w:r>
      <w:r w:rsidR="009D3EBD" w:rsidRPr="009D3EBD">
        <w:rPr>
          <w:snapToGrid w:val="0"/>
          <w:spacing w:val="-2"/>
          <w:kern w:val="22"/>
          <w:lang w:val="es-ES"/>
        </w:rPr>
        <w:t xml:space="preserve">En todas las regiones, la gran mayoría de las Partes </w:t>
      </w:r>
      <w:r w:rsidR="009D3EBD">
        <w:rPr>
          <w:snapToGrid w:val="0"/>
          <w:spacing w:val="-2"/>
          <w:kern w:val="22"/>
          <w:lang w:val="es-ES"/>
        </w:rPr>
        <w:t xml:space="preserve">informó de al menos una publicación </w:t>
      </w:r>
      <w:r w:rsidR="009D3EBD">
        <w:rPr>
          <w:snapToGrid w:val="0"/>
          <w:spacing w:val="-2"/>
          <w:kern w:val="22"/>
          <w:lang w:val="es-ES"/>
        </w:rPr>
        <w:lastRenderedPageBreak/>
        <w:t>relacionada con la seguridad de la biotecnología</w:t>
      </w:r>
      <w:r w:rsidR="00775B5A" w:rsidRPr="009D3EBD">
        <w:rPr>
          <w:snapToGrid w:val="0"/>
          <w:spacing w:val="-2"/>
          <w:kern w:val="22"/>
          <w:lang w:val="es-ES"/>
        </w:rPr>
        <w:t xml:space="preserve">. </w:t>
      </w:r>
      <w:r w:rsidR="009D3EBD" w:rsidRPr="009D3EBD">
        <w:rPr>
          <w:snapToGrid w:val="0"/>
          <w:spacing w:val="-2"/>
          <w:kern w:val="22"/>
          <w:lang w:val="es-ES"/>
        </w:rPr>
        <w:t>En general, un número cada vez mayor de Partes</w:t>
      </w:r>
      <w:r w:rsidR="00775B5A" w:rsidRPr="009D3EBD">
        <w:rPr>
          <w:snapToGrid w:val="0"/>
          <w:spacing w:val="-2"/>
          <w:kern w:val="22"/>
          <w:lang w:val="es-ES"/>
        </w:rPr>
        <w:t xml:space="preserve"> (15</w:t>
      </w:r>
      <w:r w:rsidR="009D3EBD" w:rsidRPr="009D3EBD">
        <w:rPr>
          <w:snapToGrid w:val="0"/>
          <w:spacing w:val="-2"/>
          <w:kern w:val="22"/>
          <w:lang w:val="es-ES"/>
        </w:rPr>
        <w:t xml:space="preserve"> </w:t>
      </w:r>
      <w:r w:rsidR="00775B5A" w:rsidRPr="009D3EBD">
        <w:rPr>
          <w:snapToGrid w:val="0"/>
          <w:spacing w:val="-2"/>
          <w:kern w:val="22"/>
          <w:lang w:val="es-ES"/>
        </w:rPr>
        <w:t xml:space="preserve">%) </w:t>
      </w:r>
      <w:r w:rsidR="009D3EBD" w:rsidRPr="009D3EBD">
        <w:rPr>
          <w:snapToGrid w:val="0"/>
          <w:spacing w:val="-2"/>
          <w:kern w:val="22"/>
          <w:lang w:val="es-ES"/>
        </w:rPr>
        <w:t xml:space="preserve">publicó </w:t>
      </w:r>
      <w:r w:rsidR="003D07F3">
        <w:rPr>
          <w:snapToGrid w:val="0"/>
          <w:spacing w:val="-2"/>
          <w:kern w:val="22"/>
          <w:lang w:val="es-ES"/>
        </w:rPr>
        <w:t xml:space="preserve">una gran </w:t>
      </w:r>
      <w:r w:rsidR="009D3EBD" w:rsidRPr="009D3EBD">
        <w:rPr>
          <w:snapToGrid w:val="0"/>
          <w:spacing w:val="-2"/>
          <w:kern w:val="22"/>
          <w:lang w:val="es-ES"/>
        </w:rPr>
        <w:t>cantidad de publicaciones sobre seguridad de la biotecnolog</w:t>
      </w:r>
      <w:r w:rsidR="009D3EBD">
        <w:rPr>
          <w:snapToGrid w:val="0"/>
          <w:spacing w:val="-2"/>
          <w:kern w:val="22"/>
          <w:lang w:val="es-ES"/>
        </w:rPr>
        <w:t>ía</w:t>
      </w:r>
      <w:r w:rsidR="00775B5A" w:rsidRPr="009D3EBD">
        <w:rPr>
          <w:snapToGrid w:val="0"/>
          <w:spacing w:val="-2"/>
          <w:kern w:val="22"/>
          <w:lang w:val="es-ES"/>
        </w:rPr>
        <w:t xml:space="preserve"> (50 public</w:t>
      </w:r>
      <w:r w:rsidR="009D3EBD">
        <w:rPr>
          <w:snapToGrid w:val="0"/>
          <w:spacing w:val="-2"/>
          <w:kern w:val="22"/>
          <w:lang w:val="es-ES"/>
        </w:rPr>
        <w:t>aciones o más</w:t>
      </w:r>
      <w:r w:rsidR="00775B5A" w:rsidRPr="009D3EBD">
        <w:rPr>
          <w:snapToGrid w:val="0"/>
          <w:spacing w:val="-2"/>
          <w:kern w:val="22"/>
          <w:lang w:val="es-ES"/>
        </w:rPr>
        <w:t xml:space="preserve">), </w:t>
      </w:r>
      <w:r w:rsidR="009D3EBD">
        <w:rPr>
          <w:snapToGrid w:val="0"/>
          <w:spacing w:val="-2"/>
          <w:kern w:val="22"/>
          <w:lang w:val="es-ES"/>
        </w:rPr>
        <w:t xml:space="preserve">lo que representa un aumento de un </w:t>
      </w:r>
      <w:r w:rsidR="00775B5A" w:rsidRPr="009D3EBD">
        <w:rPr>
          <w:snapToGrid w:val="0"/>
          <w:spacing w:val="-2"/>
          <w:kern w:val="22"/>
          <w:lang w:val="es-ES"/>
        </w:rPr>
        <w:t>8</w:t>
      </w:r>
      <w:r w:rsidR="009D3EBD">
        <w:rPr>
          <w:snapToGrid w:val="0"/>
          <w:spacing w:val="-2"/>
          <w:kern w:val="22"/>
          <w:lang w:val="es-ES"/>
        </w:rPr>
        <w:t xml:space="preserve"> </w:t>
      </w:r>
      <w:r w:rsidR="00775B5A" w:rsidRPr="009D3EBD">
        <w:rPr>
          <w:snapToGrid w:val="0"/>
          <w:spacing w:val="-2"/>
          <w:kern w:val="22"/>
          <w:lang w:val="es-ES"/>
        </w:rPr>
        <w:t xml:space="preserve">% </w:t>
      </w:r>
      <w:r w:rsidR="009D3EBD">
        <w:rPr>
          <w:snapToGrid w:val="0"/>
          <w:spacing w:val="-2"/>
          <w:kern w:val="22"/>
          <w:lang w:val="es-ES"/>
        </w:rPr>
        <w:t>con respecto a los datos básicos de referencia</w:t>
      </w:r>
      <w:r w:rsidR="00775B5A" w:rsidRPr="009D3EBD">
        <w:rPr>
          <w:snapToGrid w:val="0"/>
          <w:spacing w:val="-2"/>
          <w:kern w:val="22"/>
          <w:lang w:val="es-ES"/>
        </w:rPr>
        <w:t xml:space="preserve">. </w:t>
      </w:r>
    </w:p>
    <w:p w:rsidR="00775B5A" w:rsidRPr="003D07F3" w:rsidRDefault="003D07F3"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3D07F3">
        <w:rPr>
          <w:snapToGrid w:val="0"/>
          <w:spacing w:val="-2"/>
          <w:kern w:val="22"/>
          <w:lang w:val="es-ES"/>
        </w:rPr>
        <w:t>En sus contribuciones presentadas por escrito, las P</w:t>
      </w:r>
      <w:r w:rsidR="00775B5A" w:rsidRPr="003D07F3">
        <w:rPr>
          <w:snapToGrid w:val="0"/>
          <w:spacing w:val="-2"/>
          <w:kern w:val="22"/>
          <w:lang w:val="es-ES"/>
        </w:rPr>
        <w:t>artes indica</w:t>
      </w:r>
      <w:r w:rsidRPr="003D07F3">
        <w:rPr>
          <w:snapToGrid w:val="0"/>
          <w:spacing w:val="-2"/>
          <w:kern w:val="22"/>
          <w:lang w:val="es-ES"/>
        </w:rPr>
        <w:t xml:space="preserve">ron que sus publicaciones estaban disponibles de diferentes maneras, incluso en sitios web y en forma de boletines, folletos, </w:t>
      </w:r>
      <w:r>
        <w:rPr>
          <w:snapToGrid w:val="0"/>
          <w:spacing w:val="-2"/>
          <w:kern w:val="22"/>
          <w:lang w:val="es-ES"/>
        </w:rPr>
        <w:t>trípticos</w:t>
      </w:r>
      <w:r w:rsidRPr="003D07F3">
        <w:rPr>
          <w:snapToGrid w:val="0"/>
          <w:spacing w:val="-2"/>
          <w:kern w:val="22"/>
          <w:lang w:val="es-ES"/>
        </w:rPr>
        <w:t xml:space="preserve"> y materiales did</w:t>
      </w:r>
      <w:r>
        <w:rPr>
          <w:snapToGrid w:val="0"/>
          <w:spacing w:val="-2"/>
          <w:kern w:val="22"/>
          <w:lang w:val="es-ES"/>
        </w:rPr>
        <w:t>áctico</w:t>
      </w:r>
      <w:r w:rsidR="00775B5A" w:rsidRPr="003D07F3">
        <w:rPr>
          <w:snapToGrid w:val="0"/>
          <w:spacing w:val="-2"/>
          <w:kern w:val="22"/>
          <w:lang w:val="es-ES"/>
        </w:rPr>
        <w:t xml:space="preserve">s. </w:t>
      </w:r>
    </w:p>
    <w:p w:rsidR="00775B5A" w:rsidRPr="00C204A7" w:rsidRDefault="003D07F3"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3D07F3">
        <w:rPr>
          <w:snapToGrid w:val="0"/>
          <w:spacing w:val="-2"/>
          <w:kern w:val="22"/>
          <w:lang w:val="es-ES"/>
        </w:rPr>
        <w:t xml:space="preserve">En la </w:t>
      </w:r>
      <w:r w:rsidR="002E5B45">
        <w:rPr>
          <w:snapToGrid w:val="0"/>
          <w:spacing w:val="-2"/>
          <w:kern w:val="22"/>
          <w:lang w:val="es-ES"/>
        </w:rPr>
        <w:t>e</w:t>
      </w:r>
      <w:r w:rsidRPr="003D07F3">
        <w:rPr>
          <w:snapToGrid w:val="0"/>
          <w:spacing w:val="-2"/>
          <w:kern w:val="22"/>
          <w:lang w:val="es-ES"/>
        </w:rPr>
        <w:t xml:space="preserve">ncuesta sobre el programa de trabajo, el </w:t>
      </w:r>
      <w:r w:rsidR="00775B5A" w:rsidRPr="003D07F3">
        <w:rPr>
          <w:snapToGrid w:val="0"/>
          <w:spacing w:val="-2"/>
          <w:kern w:val="22"/>
          <w:lang w:val="es-ES"/>
        </w:rPr>
        <w:t>75</w:t>
      </w:r>
      <w:r w:rsidRPr="003D07F3">
        <w:rPr>
          <w:snapToGrid w:val="0"/>
          <w:spacing w:val="-2"/>
          <w:kern w:val="22"/>
          <w:lang w:val="es-ES"/>
        </w:rPr>
        <w:t xml:space="preserve"> </w:t>
      </w:r>
      <w:r w:rsidR="00775B5A" w:rsidRPr="003D07F3">
        <w:rPr>
          <w:snapToGrid w:val="0"/>
          <w:spacing w:val="-2"/>
          <w:kern w:val="22"/>
          <w:lang w:val="es-ES"/>
        </w:rPr>
        <w:t xml:space="preserve">% </w:t>
      </w:r>
      <w:r w:rsidRPr="003D07F3">
        <w:rPr>
          <w:snapToGrid w:val="0"/>
          <w:spacing w:val="-2"/>
          <w:kern w:val="22"/>
          <w:lang w:val="es-ES"/>
        </w:rPr>
        <w:t>de los encuestados</w:t>
      </w:r>
      <w:r w:rsidR="00CD3B4E">
        <w:rPr>
          <w:snapToGrid w:val="0"/>
          <w:spacing w:val="-2"/>
          <w:kern w:val="22"/>
          <w:lang w:val="es-ES"/>
        </w:rPr>
        <w:t xml:space="preserve"> indicó</w:t>
      </w:r>
      <w:r w:rsidRPr="003D07F3">
        <w:rPr>
          <w:snapToGrid w:val="0"/>
          <w:spacing w:val="-2"/>
          <w:kern w:val="22"/>
          <w:lang w:val="es-ES"/>
        </w:rPr>
        <w:t xml:space="preserve"> que su país había establecido un mecanismo para compartir experiencias y recursos sobre la concienciaci</w:t>
      </w:r>
      <w:r>
        <w:rPr>
          <w:snapToGrid w:val="0"/>
          <w:spacing w:val="-2"/>
          <w:kern w:val="22"/>
          <w:lang w:val="es-ES"/>
        </w:rPr>
        <w:t>ón, educación y participación del público</w:t>
      </w:r>
      <w:r w:rsidR="00775B5A" w:rsidRPr="003D07F3">
        <w:rPr>
          <w:snapToGrid w:val="0"/>
          <w:spacing w:val="-2"/>
          <w:kern w:val="22"/>
          <w:lang w:val="es-ES"/>
        </w:rPr>
        <w:t>, o</w:t>
      </w:r>
      <w:r>
        <w:rPr>
          <w:snapToGrid w:val="0"/>
          <w:spacing w:val="-2"/>
          <w:kern w:val="22"/>
          <w:lang w:val="es-ES"/>
        </w:rPr>
        <w:t xml:space="preserve"> que lo habían hecho</w:t>
      </w:r>
      <w:r w:rsidR="00CD3B4E">
        <w:rPr>
          <w:snapToGrid w:val="0"/>
          <w:spacing w:val="-2"/>
          <w:kern w:val="22"/>
          <w:lang w:val="es-ES"/>
        </w:rPr>
        <w:t xml:space="preserve"> hasta cierto punto</w:t>
      </w:r>
      <w:r w:rsidR="00775B5A" w:rsidRPr="003D07F3">
        <w:rPr>
          <w:snapToGrid w:val="0"/>
          <w:spacing w:val="-2"/>
          <w:kern w:val="22"/>
          <w:lang w:val="es-ES"/>
        </w:rPr>
        <w:t xml:space="preserve">. </w:t>
      </w:r>
      <w:r w:rsidRPr="003D07F3">
        <w:rPr>
          <w:snapToGrid w:val="0"/>
          <w:spacing w:val="-2"/>
          <w:kern w:val="22"/>
          <w:lang w:val="es-ES"/>
        </w:rPr>
        <w:t xml:space="preserve">De esos encuestados, el </w:t>
      </w:r>
      <w:r w:rsidR="00775B5A" w:rsidRPr="003D07F3">
        <w:rPr>
          <w:snapToGrid w:val="0"/>
          <w:spacing w:val="-2"/>
          <w:kern w:val="22"/>
          <w:lang w:val="es-ES"/>
        </w:rPr>
        <w:t>36</w:t>
      </w:r>
      <w:r w:rsidRPr="003D07F3">
        <w:rPr>
          <w:snapToGrid w:val="0"/>
          <w:spacing w:val="-2"/>
          <w:kern w:val="22"/>
          <w:lang w:val="es-ES"/>
        </w:rPr>
        <w:t xml:space="preserve"> </w:t>
      </w:r>
      <w:r w:rsidR="00775B5A" w:rsidRPr="003D07F3">
        <w:rPr>
          <w:snapToGrid w:val="0"/>
          <w:spacing w:val="-2"/>
          <w:kern w:val="22"/>
          <w:lang w:val="es-ES"/>
        </w:rPr>
        <w:t xml:space="preserve">% </w:t>
      </w:r>
      <w:r w:rsidRPr="003D07F3">
        <w:rPr>
          <w:snapToGrid w:val="0"/>
          <w:spacing w:val="-2"/>
          <w:kern w:val="22"/>
          <w:lang w:val="es-ES"/>
        </w:rPr>
        <w:t>especificó que esos mecanismos eran redes</w:t>
      </w:r>
      <w:r w:rsidR="002E5B45">
        <w:rPr>
          <w:snapToGrid w:val="0"/>
          <w:spacing w:val="-2"/>
          <w:kern w:val="22"/>
          <w:lang w:val="es-ES"/>
        </w:rPr>
        <w:t xml:space="preserve"> y</w:t>
      </w:r>
      <w:r w:rsidR="00775B5A" w:rsidRPr="003D07F3">
        <w:rPr>
          <w:snapToGrid w:val="0"/>
          <w:spacing w:val="-2"/>
          <w:kern w:val="22"/>
          <w:lang w:val="es-ES"/>
        </w:rPr>
        <w:t xml:space="preserve"> </w:t>
      </w:r>
      <w:r w:rsidRPr="003D07F3">
        <w:rPr>
          <w:snapToGrid w:val="0"/>
          <w:spacing w:val="-2"/>
          <w:kern w:val="22"/>
          <w:lang w:val="es-ES"/>
        </w:rPr>
        <w:t xml:space="preserve">el </w:t>
      </w:r>
      <w:r w:rsidR="00775B5A" w:rsidRPr="003D07F3">
        <w:rPr>
          <w:snapToGrid w:val="0"/>
          <w:spacing w:val="-2"/>
          <w:kern w:val="22"/>
          <w:lang w:val="es-ES"/>
        </w:rPr>
        <w:t>31</w:t>
      </w:r>
      <w:r w:rsidRPr="003D07F3">
        <w:rPr>
          <w:snapToGrid w:val="0"/>
          <w:spacing w:val="-2"/>
          <w:kern w:val="22"/>
          <w:lang w:val="es-ES"/>
        </w:rPr>
        <w:t xml:space="preserve"> </w:t>
      </w:r>
      <w:r w:rsidR="00775B5A" w:rsidRPr="003D07F3">
        <w:rPr>
          <w:snapToGrid w:val="0"/>
          <w:spacing w:val="-2"/>
          <w:kern w:val="22"/>
          <w:lang w:val="es-ES"/>
        </w:rPr>
        <w:t xml:space="preserve">% </w:t>
      </w:r>
      <w:r w:rsidRPr="00CD3B4E">
        <w:rPr>
          <w:snapToGrid w:val="0"/>
          <w:spacing w:val="-2"/>
          <w:kern w:val="22"/>
          <w:lang w:val="es-ES"/>
        </w:rPr>
        <w:t>concretó que esos mecanismos</w:t>
      </w:r>
      <w:r w:rsidR="00C204A7" w:rsidRPr="00CD3B4E">
        <w:rPr>
          <w:snapToGrid w:val="0"/>
          <w:spacing w:val="-2"/>
          <w:kern w:val="22"/>
          <w:lang w:val="es-ES"/>
        </w:rPr>
        <w:t xml:space="preserve"> eran</w:t>
      </w:r>
      <w:r w:rsidRPr="003D07F3">
        <w:rPr>
          <w:snapToGrid w:val="0"/>
          <w:spacing w:val="-2"/>
          <w:kern w:val="22"/>
          <w:lang w:val="es-ES"/>
        </w:rPr>
        <w:t xml:space="preserve"> </w:t>
      </w:r>
      <w:r w:rsidR="00C204A7">
        <w:rPr>
          <w:snapToGrid w:val="0"/>
          <w:spacing w:val="-2"/>
          <w:kern w:val="22"/>
          <w:lang w:val="es-ES"/>
        </w:rPr>
        <w:t xml:space="preserve">mecanismos intersectoriales, mientras que el </w:t>
      </w:r>
      <w:r w:rsidR="00775B5A" w:rsidRPr="003D07F3">
        <w:rPr>
          <w:snapToGrid w:val="0"/>
          <w:spacing w:val="-2"/>
          <w:kern w:val="22"/>
          <w:lang w:val="es-ES"/>
        </w:rPr>
        <w:t>33</w:t>
      </w:r>
      <w:r w:rsidR="00C204A7">
        <w:rPr>
          <w:snapToGrid w:val="0"/>
          <w:spacing w:val="-2"/>
          <w:kern w:val="22"/>
          <w:lang w:val="es-ES"/>
        </w:rPr>
        <w:t xml:space="preserve"> </w:t>
      </w:r>
      <w:r w:rsidR="00775B5A" w:rsidRPr="003D07F3">
        <w:rPr>
          <w:snapToGrid w:val="0"/>
          <w:spacing w:val="-2"/>
          <w:kern w:val="22"/>
          <w:lang w:val="es-ES"/>
        </w:rPr>
        <w:t>% indic</w:t>
      </w:r>
      <w:r w:rsidR="00C204A7">
        <w:rPr>
          <w:snapToGrid w:val="0"/>
          <w:spacing w:val="-2"/>
          <w:kern w:val="22"/>
          <w:lang w:val="es-ES"/>
        </w:rPr>
        <w:t>ó que se trataba de otros tipos de mecanismos</w:t>
      </w:r>
      <w:r w:rsidR="00775B5A" w:rsidRPr="003D07F3">
        <w:rPr>
          <w:snapToGrid w:val="0"/>
          <w:spacing w:val="-2"/>
          <w:kern w:val="22"/>
          <w:lang w:val="es-ES"/>
        </w:rPr>
        <w:t xml:space="preserve">. </w:t>
      </w:r>
      <w:r w:rsidR="00C204A7" w:rsidRPr="00C204A7">
        <w:rPr>
          <w:snapToGrid w:val="0"/>
          <w:spacing w:val="-2"/>
          <w:kern w:val="22"/>
          <w:lang w:val="es-ES"/>
        </w:rPr>
        <w:t xml:space="preserve">Este </w:t>
      </w:r>
      <w:r w:rsidR="00C204A7">
        <w:rPr>
          <w:snapToGrid w:val="0"/>
          <w:spacing w:val="-2"/>
          <w:kern w:val="22"/>
          <w:lang w:val="es-ES"/>
        </w:rPr>
        <w:t>ú</w:t>
      </w:r>
      <w:r w:rsidR="00C204A7" w:rsidRPr="00C204A7">
        <w:rPr>
          <w:snapToGrid w:val="0"/>
          <w:spacing w:val="-2"/>
          <w:kern w:val="22"/>
          <w:lang w:val="es-ES"/>
        </w:rPr>
        <w:t>ltimo grupo de encuestados aclaró que esos mecanismos de intercambio de información consistían, entre otras cosas, en consultas p</w:t>
      </w:r>
      <w:r w:rsidR="00C204A7">
        <w:rPr>
          <w:snapToGrid w:val="0"/>
          <w:spacing w:val="-2"/>
          <w:kern w:val="22"/>
          <w:lang w:val="es-ES"/>
        </w:rPr>
        <w:t>úblic</w:t>
      </w:r>
      <w:r w:rsidR="00C204A7" w:rsidRPr="00CD3B4E">
        <w:rPr>
          <w:snapToGrid w:val="0"/>
          <w:spacing w:val="-2"/>
          <w:kern w:val="22"/>
          <w:lang w:val="es-ES"/>
        </w:rPr>
        <w:t xml:space="preserve">as, trabajo de campo </w:t>
      </w:r>
      <w:r w:rsidR="00C204A7">
        <w:rPr>
          <w:snapToGrid w:val="0"/>
          <w:spacing w:val="-2"/>
          <w:kern w:val="22"/>
          <w:lang w:val="es-ES"/>
        </w:rPr>
        <w:t>en las comunidades, reuniones, exposiciones, medios de comunicación, seminarios, listas d</w:t>
      </w:r>
      <w:r w:rsidR="00C204A7" w:rsidRPr="00CD3B4E">
        <w:rPr>
          <w:snapToGrid w:val="0"/>
          <w:spacing w:val="-2"/>
          <w:kern w:val="22"/>
          <w:lang w:val="es-ES"/>
        </w:rPr>
        <w:t xml:space="preserve">e distribución, </w:t>
      </w:r>
      <w:r w:rsidR="00C204A7">
        <w:rPr>
          <w:snapToGrid w:val="0"/>
          <w:spacing w:val="-2"/>
          <w:kern w:val="22"/>
          <w:lang w:val="es-ES"/>
        </w:rPr>
        <w:t xml:space="preserve">publicaciones y socios (p. ej., </w:t>
      </w:r>
      <w:r w:rsidR="002E5B45">
        <w:rPr>
          <w:snapToGrid w:val="0"/>
          <w:spacing w:val="-2"/>
          <w:kern w:val="22"/>
          <w:lang w:val="es-ES"/>
        </w:rPr>
        <w:t>organizaciones no gubernamentales</w:t>
      </w:r>
      <w:r w:rsidR="00C204A7">
        <w:rPr>
          <w:snapToGrid w:val="0"/>
          <w:spacing w:val="-2"/>
          <w:kern w:val="22"/>
          <w:lang w:val="es-ES"/>
        </w:rPr>
        <w:t>) y actos de celebración</w:t>
      </w:r>
      <w:r w:rsidR="00775B5A" w:rsidRPr="00C204A7">
        <w:rPr>
          <w:snapToGrid w:val="0"/>
          <w:spacing w:val="-2"/>
          <w:kern w:val="22"/>
          <w:lang w:val="es-ES"/>
        </w:rPr>
        <w:t>.</w:t>
      </w:r>
    </w:p>
    <w:p w:rsidR="00775B5A" w:rsidRPr="00C204A7" w:rsidRDefault="00C204A7" w:rsidP="001D4EEE">
      <w:pPr>
        <w:keepNext/>
        <w:numPr>
          <w:ilvl w:val="0"/>
          <w:numId w:val="3"/>
        </w:numPr>
        <w:suppressLineNumbers/>
        <w:tabs>
          <w:tab w:val="clear" w:pos="2070"/>
        </w:tabs>
        <w:suppressAutoHyphens/>
        <w:spacing w:before="120" w:after="120"/>
        <w:ind w:left="2552" w:hanging="709"/>
        <w:jc w:val="left"/>
        <w:outlineLvl w:val="1"/>
        <w:rPr>
          <w:b/>
          <w:bCs/>
          <w:snapToGrid w:val="0"/>
          <w:spacing w:val="-2"/>
          <w:kern w:val="22"/>
          <w:lang w:val="es-ES"/>
        </w:rPr>
      </w:pPr>
      <w:r w:rsidRPr="00C204A7">
        <w:rPr>
          <w:b/>
          <w:bCs/>
          <w:snapToGrid w:val="0"/>
          <w:spacing w:val="-2"/>
          <w:kern w:val="22"/>
          <w:lang w:val="es-ES"/>
        </w:rPr>
        <w:t>Divulgación y cooperación</w:t>
      </w:r>
      <w:r w:rsidR="00775B5A" w:rsidRPr="00C204A7">
        <w:rPr>
          <w:b/>
          <w:bCs/>
          <w:snapToGrid w:val="0"/>
          <w:spacing w:val="-2"/>
          <w:kern w:val="22"/>
          <w:lang w:val="es-ES"/>
        </w:rPr>
        <w:t xml:space="preserve"> (o</w:t>
      </w:r>
      <w:r w:rsidRPr="00C204A7">
        <w:rPr>
          <w:b/>
          <w:bCs/>
          <w:snapToGrid w:val="0"/>
          <w:spacing w:val="-2"/>
          <w:kern w:val="22"/>
          <w:lang w:val="es-ES"/>
        </w:rPr>
        <w:t>bjetivos operacionales</w:t>
      </w:r>
      <w:r w:rsidR="00775B5A" w:rsidRPr="00C204A7">
        <w:rPr>
          <w:b/>
          <w:bCs/>
          <w:snapToGrid w:val="0"/>
          <w:spacing w:val="-2"/>
          <w:kern w:val="22"/>
          <w:lang w:val="es-ES"/>
        </w:rPr>
        <w:t xml:space="preserve"> 5.1, 5.2</w:t>
      </w:r>
      <w:r w:rsidRPr="00C204A7">
        <w:rPr>
          <w:b/>
          <w:bCs/>
          <w:snapToGrid w:val="0"/>
          <w:spacing w:val="-2"/>
          <w:kern w:val="22"/>
          <w:lang w:val="es-ES"/>
        </w:rPr>
        <w:t xml:space="preserve"> y</w:t>
      </w:r>
      <w:r w:rsidR="00775B5A" w:rsidRPr="00C204A7">
        <w:rPr>
          <w:b/>
          <w:bCs/>
          <w:snapToGrid w:val="0"/>
          <w:spacing w:val="-2"/>
          <w:kern w:val="22"/>
          <w:lang w:val="es-ES"/>
        </w:rPr>
        <w:t xml:space="preserve"> 5.3)</w:t>
      </w:r>
    </w:p>
    <w:p w:rsidR="00775B5A" w:rsidRDefault="00775B5A">
      <w:pPr>
        <w:keepNext/>
        <w:suppressLineNumbers/>
        <w:suppressAutoHyphens/>
        <w:spacing w:before="120" w:after="120"/>
        <w:textAlignment w:val="baseline"/>
        <w:outlineLvl w:val="2"/>
        <w:rPr>
          <w:b/>
          <w:bCs/>
          <w:snapToGrid w:val="0"/>
          <w:spacing w:val="-2"/>
          <w:kern w:val="22"/>
        </w:rPr>
      </w:pPr>
      <w:r>
        <w:rPr>
          <w:b/>
          <w:bCs/>
          <w:snapToGrid w:val="0"/>
          <w:spacing w:val="-2"/>
          <w:kern w:val="22"/>
        </w:rPr>
        <w:t>O</w:t>
      </w:r>
      <w:r w:rsidR="00C204A7">
        <w:rPr>
          <w:b/>
          <w:bCs/>
          <w:snapToGrid w:val="0"/>
          <w:spacing w:val="-2"/>
          <w:kern w:val="22"/>
        </w:rPr>
        <w:t>bjetivo operacional</w:t>
      </w:r>
      <w:r>
        <w:rPr>
          <w:b/>
          <w:bCs/>
          <w:snapToGrid w:val="0"/>
          <w:spacing w:val="-2"/>
          <w:kern w:val="22"/>
        </w:rPr>
        <w:t xml:space="preserve"> 5.1: Ratifica</w:t>
      </w:r>
      <w:r w:rsidR="00C204A7">
        <w:rPr>
          <w:b/>
          <w:bCs/>
          <w:snapToGrid w:val="0"/>
          <w:spacing w:val="-2"/>
          <w:kern w:val="22"/>
        </w:rPr>
        <w:t xml:space="preserve">ción del </w:t>
      </w:r>
      <w:r>
        <w:rPr>
          <w:b/>
          <w:bCs/>
          <w:snapToGrid w:val="0"/>
          <w:spacing w:val="-2"/>
          <w:kern w:val="22"/>
        </w:rPr>
        <w:t>Protocol</w:t>
      </w:r>
      <w:r w:rsidR="00C204A7">
        <w:rPr>
          <w:b/>
          <w:bCs/>
          <w:snapToGrid w:val="0"/>
          <w:spacing w:val="-2"/>
          <w:kern w:val="22"/>
        </w:rPr>
        <w:t>o</w:t>
      </w:r>
    </w:p>
    <w:p w:rsidR="00775B5A" w:rsidRPr="004A41F5" w:rsidRDefault="00C204A7"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i/>
          <w:iCs/>
          <w:snapToGrid w:val="0"/>
          <w:spacing w:val="-2"/>
          <w:kern w:val="22"/>
          <w:lang w:val="es-ES"/>
        </w:rPr>
      </w:pPr>
      <w:r w:rsidRPr="004A41F5">
        <w:rPr>
          <w:snapToGrid w:val="0"/>
          <w:spacing w:val="-2"/>
          <w:kern w:val="22"/>
          <w:lang w:val="es-ES"/>
        </w:rPr>
        <w:t xml:space="preserve">En lo tocante al </w:t>
      </w:r>
      <w:r w:rsidR="00775B5A" w:rsidRPr="004A41F5">
        <w:rPr>
          <w:b/>
          <w:bCs/>
          <w:snapToGrid w:val="0"/>
          <w:spacing w:val="-2"/>
          <w:kern w:val="22"/>
          <w:lang w:val="es-ES"/>
        </w:rPr>
        <w:t>indica</w:t>
      </w:r>
      <w:r w:rsidRPr="004A41F5">
        <w:rPr>
          <w:b/>
          <w:bCs/>
          <w:snapToGrid w:val="0"/>
          <w:spacing w:val="-2"/>
          <w:kern w:val="22"/>
          <w:lang w:val="es-ES"/>
        </w:rPr>
        <w:t>d</w:t>
      </w:r>
      <w:r w:rsidR="00775B5A" w:rsidRPr="004A41F5">
        <w:rPr>
          <w:b/>
          <w:bCs/>
          <w:snapToGrid w:val="0"/>
          <w:spacing w:val="-2"/>
          <w:kern w:val="22"/>
          <w:lang w:val="es-ES"/>
        </w:rPr>
        <w:t>or 5.1.1</w:t>
      </w:r>
      <w:r w:rsidR="00775B5A" w:rsidRPr="004A41F5">
        <w:rPr>
          <w:snapToGrid w:val="0"/>
          <w:spacing w:val="-2"/>
          <w:kern w:val="22"/>
          <w:lang w:val="es-ES"/>
        </w:rPr>
        <w:t xml:space="preserve"> (</w:t>
      </w:r>
      <w:r w:rsidR="004A41F5" w:rsidRPr="004A41F5">
        <w:rPr>
          <w:snapToGrid w:val="0"/>
          <w:spacing w:val="-2"/>
          <w:kern w:val="22"/>
          <w:lang w:val="es-ES"/>
        </w:rPr>
        <w:t xml:space="preserve">el porcentaje de Partes en el Convenio sobre la Diversidad Biológica que son Partes en el </w:t>
      </w:r>
      <w:r w:rsidR="00775B5A" w:rsidRPr="004A41F5">
        <w:rPr>
          <w:snapToGrid w:val="0"/>
          <w:spacing w:val="-2"/>
          <w:kern w:val="22"/>
          <w:lang w:val="es-ES"/>
        </w:rPr>
        <w:t>Protocol</w:t>
      </w:r>
      <w:r w:rsidR="004A41F5" w:rsidRPr="004A41F5">
        <w:rPr>
          <w:snapToGrid w:val="0"/>
          <w:spacing w:val="-2"/>
          <w:kern w:val="22"/>
          <w:lang w:val="es-ES"/>
        </w:rPr>
        <w:t>o</w:t>
      </w:r>
      <w:r w:rsidR="00775B5A" w:rsidRPr="004A41F5">
        <w:rPr>
          <w:snapToGrid w:val="0"/>
          <w:spacing w:val="-2"/>
          <w:kern w:val="22"/>
          <w:lang w:val="es-ES"/>
        </w:rPr>
        <w:t>),</w:t>
      </w:r>
      <w:r w:rsidR="00CD3B4E">
        <w:rPr>
          <w:snapToGrid w:val="0"/>
          <w:spacing w:val="-2"/>
          <w:kern w:val="22"/>
          <w:lang w:val="es-ES"/>
        </w:rPr>
        <w:t xml:space="preserve"> a fecha</w:t>
      </w:r>
      <w:r w:rsidR="004A41F5" w:rsidRPr="004A41F5">
        <w:rPr>
          <w:snapToGrid w:val="0"/>
          <w:spacing w:val="-2"/>
          <w:kern w:val="22"/>
          <w:lang w:val="es-ES"/>
        </w:rPr>
        <w:t xml:space="preserve"> </w:t>
      </w:r>
      <w:r w:rsidR="00775B5A" w:rsidRPr="004A41F5">
        <w:rPr>
          <w:snapToGrid w:val="0"/>
          <w:spacing w:val="-2"/>
          <w:kern w:val="22"/>
          <w:lang w:val="es-ES"/>
        </w:rPr>
        <w:t xml:space="preserve">31 </w:t>
      </w:r>
      <w:r w:rsidR="004A41F5" w:rsidRPr="004A41F5">
        <w:rPr>
          <w:snapToGrid w:val="0"/>
          <w:spacing w:val="-2"/>
          <w:kern w:val="22"/>
          <w:lang w:val="es-ES"/>
        </w:rPr>
        <w:t>de diciembre de 2</w:t>
      </w:r>
      <w:r w:rsidR="00775B5A" w:rsidRPr="004A41F5">
        <w:rPr>
          <w:snapToGrid w:val="0"/>
          <w:spacing w:val="-2"/>
          <w:kern w:val="22"/>
          <w:lang w:val="es-ES"/>
        </w:rPr>
        <w:t xml:space="preserve">011, 167 Partes </w:t>
      </w:r>
      <w:r w:rsidR="004A41F5" w:rsidRPr="004A41F5">
        <w:rPr>
          <w:snapToGrid w:val="0"/>
          <w:spacing w:val="-2"/>
          <w:kern w:val="22"/>
          <w:lang w:val="es-ES"/>
        </w:rPr>
        <w:t xml:space="preserve">en el Convenio </w:t>
      </w:r>
      <w:r w:rsidR="00775B5A" w:rsidRPr="004A41F5">
        <w:rPr>
          <w:snapToGrid w:val="0"/>
          <w:spacing w:val="-2"/>
          <w:kern w:val="22"/>
          <w:lang w:val="es-ES"/>
        </w:rPr>
        <w:t>(86</w:t>
      </w:r>
      <w:r w:rsidR="004A41F5" w:rsidRPr="004A41F5">
        <w:rPr>
          <w:snapToGrid w:val="0"/>
          <w:spacing w:val="-2"/>
          <w:kern w:val="22"/>
          <w:lang w:val="es-ES"/>
        </w:rPr>
        <w:t xml:space="preserve"> </w:t>
      </w:r>
      <w:r w:rsidR="00775B5A" w:rsidRPr="004A41F5">
        <w:rPr>
          <w:snapToGrid w:val="0"/>
          <w:spacing w:val="-2"/>
          <w:kern w:val="22"/>
          <w:lang w:val="es-ES"/>
        </w:rPr>
        <w:t>%)</w:t>
      </w:r>
      <w:r w:rsidR="00775B5A" w:rsidRPr="00CD3B4E">
        <w:rPr>
          <w:snapToGrid w:val="0"/>
          <w:spacing w:val="-2"/>
          <w:kern w:val="22"/>
          <w:lang w:val="es-ES"/>
        </w:rPr>
        <w:t xml:space="preserve"> </w:t>
      </w:r>
      <w:r w:rsidR="004A41F5" w:rsidRPr="00CD3B4E">
        <w:rPr>
          <w:snapToGrid w:val="0"/>
          <w:spacing w:val="-2"/>
          <w:kern w:val="22"/>
          <w:lang w:val="es-ES"/>
        </w:rPr>
        <w:t>se habían convertido en</w:t>
      </w:r>
      <w:r w:rsidR="00CD3B4E" w:rsidRPr="00CD3B4E">
        <w:rPr>
          <w:snapToGrid w:val="0"/>
          <w:spacing w:val="-2"/>
          <w:kern w:val="22"/>
          <w:lang w:val="es-ES"/>
        </w:rPr>
        <w:t xml:space="preserve"> </w:t>
      </w:r>
      <w:r w:rsidR="004A41F5" w:rsidRPr="00CD3B4E">
        <w:rPr>
          <w:snapToGrid w:val="0"/>
          <w:spacing w:val="-2"/>
          <w:kern w:val="22"/>
          <w:lang w:val="es-ES"/>
        </w:rPr>
        <w:t>P</w:t>
      </w:r>
      <w:r w:rsidR="004A41F5" w:rsidRPr="004A41F5">
        <w:rPr>
          <w:snapToGrid w:val="0"/>
          <w:spacing w:val="-2"/>
          <w:kern w:val="22"/>
          <w:lang w:val="es-ES"/>
        </w:rPr>
        <w:t xml:space="preserve">artes </w:t>
      </w:r>
      <w:r w:rsidR="004A41F5" w:rsidRPr="00CD3B4E">
        <w:rPr>
          <w:snapToGrid w:val="0"/>
          <w:spacing w:val="-2"/>
          <w:kern w:val="22"/>
          <w:lang w:val="es-ES"/>
        </w:rPr>
        <w:t xml:space="preserve">en el </w:t>
      </w:r>
      <w:r w:rsidR="00775B5A" w:rsidRPr="00CD3B4E">
        <w:rPr>
          <w:snapToGrid w:val="0"/>
          <w:spacing w:val="-2"/>
          <w:kern w:val="22"/>
          <w:lang w:val="es-ES"/>
        </w:rPr>
        <w:t>Protocol</w:t>
      </w:r>
      <w:r w:rsidR="004A41F5" w:rsidRPr="00CD3B4E">
        <w:rPr>
          <w:snapToGrid w:val="0"/>
          <w:spacing w:val="-2"/>
          <w:kern w:val="22"/>
          <w:lang w:val="es-ES"/>
        </w:rPr>
        <w:t>o</w:t>
      </w:r>
      <w:r w:rsidR="00775B5A" w:rsidRPr="00CD3B4E">
        <w:rPr>
          <w:rStyle w:val="FootnoteReference"/>
          <w:rFonts w:ascii="Angsana New" w:hAnsi="Angsana New" w:cs="Angsana New"/>
          <w:snapToGrid w:val="0"/>
          <w:spacing w:val="-2"/>
          <w:kern w:val="22"/>
        </w:rPr>
        <w:footnoteReference w:id="64"/>
      </w:r>
      <w:r w:rsidR="004A41F5" w:rsidRPr="00CD3B4E">
        <w:rPr>
          <w:snapToGrid w:val="0"/>
          <w:spacing w:val="-2"/>
          <w:kern w:val="22"/>
          <w:lang w:val="es-ES"/>
        </w:rPr>
        <w:t>.</w:t>
      </w:r>
      <w:r w:rsidR="00775B5A" w:rsidRPr="00CD3B4E">
        <w:rPr>
          <w:snapToGrid w:val="0"/>
          <w:spacing w:val="-2"/>
          <w:kern w:val="22"/>
          <w:lang w:val="es-ES"/>
        </w:rPr>
        <w:t xml:space="preserve"> A</w:t>
      </w:r>
      <w:r w:rsidR="004A41F5" w:rsidRPr="00CD3B4E">
        <w:rPr>
          <w:snapToGrid w:val="0"/>
          <w:spacing w:val="-2"/>
          <w:kern w:val="22"/>
          <w:lang w:val="es-ES"/>
        </w:rPr>
        <w:t xml:space="preserve"> fecha</w:t>
      </w:r>
      <w:r w:rsidR="00775B5A" w:rsidRPr="00CD3B4E">
        <w:rPr>
          <w:snapToGrid w:val="0"/>
          <w:spacing w:val="-2"/>
          <w:kern w:val="22"/>
          <w:lang w:val="es-ES"/>
        </w:rPr>
        <w:t xml:space="preserve"> 31 </w:t>
      </w:r>
      <w:r w:rsidR="004A41F5" w:rsidRPr="00CD3B4E">
        <w:rPr>
          <w:snapToGrid w:val="0"/>
          <w:spacing w:val="-2"/>
          <w:kern w:val="22"/>
          <w:lang w:val="es-ES"/>
        </w:rPr>
        <w:t xml:space="preserve">de diciembre de </w:t>
      </w:r>
      <w:r w:rsidR="00775B5A" w:rsidRPr="00CD3B4E">
        <w:rPr>
          <w:snapToGrid w:val="0"/>
          <w:spacing w:val="-2"/>
          <w:kern w:val="22"/>
          <w:lang w:val="es-ES"/>
        </w:rPr>
        <w:t xml:space="preserve">2019, </w:t>
      </w:r>
      <w:r w:rsidR="004A41F5" w:rsidRPr="00CD3B4E">
        <w:rPr>
          <w:snapToGrid w:val="0"/>
          <w:spacing w:val="-2"/>
          <w:kern w:val="22"/>
          <w:lang w:val="es-ES"/>
        </w:rPr>
        <w:t xml:space="preserve">el número de Partes en el </w:t>
      </w:r>
      <w:r w:rsidR="00775B5A" w:rsidRPr="00CD3B4E">
        <w:rPr>
          <w:snapToGrid w:val="0"/>
          <w:spacing w:val="-2"/>
          <w:kern w:val="22"/>
          <w:lang w:val="es-ES"/>
        </w:rPr>
        <w:t>Protocol</w:t>
      </w:r>
      <w:r w:rsidR="004A41F5" w:rsidRPr="00CD3B4E">
        <w:rPr>
          <w:snapToGrid w:val="0"/>
          <w:spacing w:val="-2"/>
          <w:kern w:val="22"/>
          <w:lang w:val="es-ES"/>
        </w:rPr>
        <w:t>o había aumentado a</w:t>
      </w:r>
      <w:r w:rsidR="00775B5A" w:rsidRPr="00CD3B4E">
        <w:rPr>
          <w:snapToGrid w:val="0"/>
          <w:spacing w:val="-2"/>
          <w:kern w:val="22"/>
          <w:lang w:val="es-ES"/>
        </w:rPr>
        <w:t xml:space="preserve"> 1</w:t>
      </w:r>
      <w:r w:rsidR="00775B5A" w:rsidRPr="004A41F5">
        <w:rPr>
          <w:snapToGrid w:val="0"/>
          <w:spacing w:val="-2"/>
          <w:kern w:val="22"/>
          <w:lang w:val="es-ES"/>
        </w:rPr>
        <w:t>71 (87</w:t>
      </w:r>
      <w:r w:rsidR="004A41F5">
        <w:rPr>
          <w:snapToGrid w:val="0"/>
          <w:spacing w:val="-2"/>
          <w:kern w:val="22"/>
          <w:lang w:val="es-ES"/>
        </w:rPr>
        <w:t xml:space="preserve"> </w:t>
      </w:r>
      <w:r w:rsidR="00775B5A" w:rsidRPr="004A41F5">
        <w:rPr>
          <w:snapToGrid w:val="0"/>
          <w:spacing w:val="-2"/>
          <w:kern w:val="22"/>
          <w:lang w:val="es-ES"/>
        </w:rPr>
        <w:t>%)</w:t>
      </w:r>
      <w:r w:rsidR="00775B5A">
        <w:rPr>
          <w:rStyle w:val="FootnoteReference"/>
          <w:rFonts w:ascii="Angsana New" w:hAnsi="Angsana New" w:cs="Angsana New"/>
          <w:snapToGrid w:val="0"/>
          <w:spacing w:val="-2"/>
          <w:kern w:val="22"/>
        </w:rPr>
        <w:footnoteReference w:id="65"/>
      </w:r>
      <w:r w:rsidR="004A41F5" w:rsidRPr="004A41F5">
        <w:rPr>
          <w:snapToGrid w:val="0"/>
          <w:spacing w:val="-2"/>
          <w:kern w:val="22"/>
          <w:lang w:val="es-ES"/>
        </w:rPr>
        <w:t>.</w:t>
      </w:r>
    </w:p>
    <w:p w:rsidR="00775B5A" w:rsidRPr="004A41F5" w:rsidRDefault="00775B5A">
      <w:pPr>
        <w:keepNext/>
        <w:suppressLineNumbers/>
        <w:suppressAutoHyphens/>
        <w:spacing w:before="120" w:after="120"/>
        <w:textAlignment w:val="baseline"/>
        <w:outlineLvl w:val="2"/>
        <w:rPr>
          <w:b/>
          <w:bCs/>
          <w:snapToGrid w:val="0"/>
          <w:spacing w:val="-2"/>
          <w:kern w:val="22"/>
          <w:lang w:val="es-ES"/>
        </w:rPr>
      </w:pPr>
      <w:bookmarkStart w:id="38" w:name="_Hlk30779489"/>
      <w:r w:rsidRPr="004A41F5">
        <w:rPr>
          <w:b/>
          <w:bCs/>
          <w:snapToGrid w:val="0"/>
          <w:spacing w:val="-2"/>
          <w:kern w:val="22"/>
          <w:lang w:val="es-ES"/>
        </w:rPr>
        <w:t>O</w:t>
      </w:r>
      <w:r w:rsidR="004A41F5">
        <w:rPr>
          <w:b/>
          <w:bCs/>
          <w:snapToGrid w:val="0"/>
          <w:spacing w:val="-2"/>
          <w:kern w:val="22"/>
          <w:lang w:val="es-ES"/>
        </w:rPr>
        <w:t>bjetivo operacional</w:t>
      </w:r>
      <w:r w:rsidRPr="004A41F5">
        <w:rPr>
          <w:b/>
          <w:bCs/>
          <w:snapToGrid w:val="0"/>
          <w:spacing w:val="-2"/>
          <w:kern w:val="22"/>
          <w:lang w:val="es-ES"/>
        </w:rPr>
        <w:t xml:space="preserve"> 5.2: Coopera</w:t>
      </w:r>
      <w:r w:rsidR="004A41F5">
        <w:rPr>
          <w:b/>
          <w:bCs/>
          <w:snapToGrid w:val="0"/>
          <w:spacing w:val="-2"/>
          <w:kern w:val="22"/>
          <w:lang w:val="es-ES"/>
        </w:rPr>
        <w:t>ción</w:t>
      </w:r>
    </w:p>
    <w:p w:rsidR="00775B5A" w:rsidRPr="001C3BD3" w:rsidRDefault="004A41F5"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bookmarkStart w:id="39" w:name="_Hlk31294915"/>
      <w:bookmarkEnd w:id="38"/>
      <w:r w:rsidRPr="00392A95">
        <w:rPr>
          <w:snapToGrid w:val="0"/>
          <w:spacing w:val="-2"/>
          <w:kern w:val="22"/>
          <w:lang w:val="es-ES"/>
        </w:rPr>
        <w:t>Con respecto al</w:t>
      </w:r>
      <w:r w:rsidR="00775B5A" w:rsidRPr="00392A95">
        <w:rPr>
          <w:snapToGrid w:val="0"/>
          <w:spacing w:val="-2"/>
          <w:kern w:val="22"/>
          <w:lang w:val="es-ES"/>
        </w:rPr>
        <w:t xml:space="preserve"> </w:t>
      </w:r>
      <w:r w:rsidR="00775B5A" w:rsidRPr="00392A95">
        <w:rPr>
          <w:b/>
          <w:bCs/>
          <w:snapToGrid w:val="0"/>
          <w:spacing w:val="-2"/>
          <w:kern w:val="22"/>
          <w:lang w:val="es-ES"/>
        </w:rPr>
        <w:t>indica</w:t>
      </w:r>
      <w:r w:rsidRPr="00392A95">
        <w:rPr>
          <w:b/>
          <w:bCs/>
          <w:snapToGrid w:val="0"/>
          <w:spacing w:val="-2"/>
          <w:kern w:val="22"/>
          <w:lang w:val="es-ES"/>
        </w:rPr>
        <w:t>d</w:t>
      </w:r>
      <w:r w:rsidR="00775B5A" w:rsidRPr="00392A95">
        <w:rPr>
          <w:b/>
          <w:bCs/>
          <w:snapToGrid w:val="0"/>
          <w:spacing w:val="-2"/>
          <w:kern w:val="22"/>
          <w:lang w:val="es-ES"/>
        </w:rPr>
        <w:t>or 5.2.1</w:t>
      </w:r>
      <w:r w:rsidR="00775B5A" w:rsidRPr="00392A95">
        <w:rPr>
          <w:snapToGrid w:val="0"/>
          <w:spacing w:val="-2"/>
          <w:kern w:val="22"/>
          <w:lang w:val="es-ES"/>
        </w:rPr>
        <w:t xml:space="preserve"> (</w:t>
      </w:r>
      <w:r w:rsidRPr="00392A95">
        <w:rPr>
          <w:snapToGrid w:val="0"/>
          <w:spacing w:val="-2"/>
          <w:kern w:val="22"/>
          <w:lang w:val="es-ES"/>
        </w:rPr>
        <w:t>el número de relaciones establecidas con otros convenios reflejadas en actividades conjuntas</w:t>
      </w:r>
      <w:r w:rsidR="00775B5A" w:rsidRPr="00392A95">
        <w:rPr>
          <w:snapToGrid w:val="0"/>
          <w:spacing w:val="-2"/>
          <w:kern w:val="22"/>
          <w:lang w:val="es-ES"/>
        </w:rPr>
        <w:t xml:space="preserve">), </w:t>
      </w:r>
      <w:r w:rsidRPr="00392A95">
        <w:rPr>
          <w:snapToGrid w:val="0"/>
          <w:spacing w:val="-2"/>
          <w:kern w:val="22"/>
          <w:lang w:val="es-ES"/>
        </w:rPr>
        <w:t xml:space="preserve">la Secretaría </w:t>
      </w:r>
      <w:r w:rsidR="00775B5A" w:rsidRPr="00392A95">
        <w:rPr>
          <w:snapToGrid w:val="0"/>
          <w:spacing w:val="-2"/>
          <w:kern w:val="22"/>
          <w:lang w:val="es-ES"/>
        </w:rPr>
        <w:t>ha</w:t>
      </w:r>
      <w:r w:rsidRPr="00392A95">
        <w:rPr>
          <w:snapToGrid w:val="0"/>
          <w:spacing w:val="-2"/>
          <w:kern w:val="22"/>
          <w:lang w:val="es-ES"/>
        </w:rPr>
        <w:t xml:space="preserve"> establecido relaciones con la Convención de</w:t>
      </w:r>
      <w:r w:rsidR="00775B5A" w:rsidRPr="00392A95">
        <w:rPr>
          <w:snapToGrid w:val="0"/>
          <w:spacing w:val="-2"/>
          <w:kern w:val="22"/>
          <w:lang w:val="es-ES"/>
        </w:rPr>
        <w:t xml:space="preserve"> Aarhus, </w:t>
      </w:r>
      <w:r w:rsidR="00FE0D89" w:rsidRPr="00392A95">
        <w:rPr>
          <w:snapToGrid w:val="0"/>
          <w:spacing w:val="-2"/>
          <w:kern w:val="22"/>
          <w:lang w:val="es-ES"/>
        </w:rPr>
        <w:t>la Iniciativa de Aduanas Verdes</w:t>
      </w:r>
      <w:r w:rsidR="00775B5A" w:rsidRPr="00392A95">
        <w:rPr>
          <w:snapToGrid w:val="0"/>
          <w:spacing w:val="-2"/>
          <w:kern w:val="22"/>
          <w:lang w:val="es-ES"/>
        </w:rPr>
        <w:t xml:space="preserve"> (GCI</w:t>
      </w:r>
      <w:r w:rsidR="00FE0D89" w:rsidRPr="00392A95">
        <w:rPr>
          <w:snapToGrid w:val="0"/>
          <w:spacing w:val="-2"/>
          <w:kern w:val="22"/>
          <w:lang w:val="es-ES"/>
        </w:rPr>
        <w:t>, por sus siglas en inglés</w:t>
      </w:r>
      <w:r w:rsidR="00775B5A" w:rsidRPr="00392A95">
        <w:rPr>
          <w:snapToGrid w:val="0"/>
          <w:spacing w:val="-2"/>
          <w:kern w:val="22"/>
          <w:lang w:val="es-ES"/>
        </w:rPr>
        <w:t>)</w:t>
      </w:r>
      <w:r w:rsidR="00775B5A" w:rsidRPr="00392A95">
        <w:rPr>
          <w:rStyle w:val="FootnoteReference"/>
          <w:rFonts w:ascii="Angsana New" w:hAnsi="Angsana New" w:cs="Angsana New"/>
          <w:snapToGrid w:val="0"/>
          <w:spacing w:val="-2"/>
          <w:kern w:val="22"/>
        </w:rPr>
        <w:footnoteReference w:id="66"/>
      </w:r>
      <w:r w:rsidR="00775B5A" w:rsidRPr="00392A95">
        <w:rPr>
          <w:snapToGrid w:val="0"/>
          <w:spacing w:val="-2"/>
          <w:kern w:val="22"/>
          <w:lang w:val="es-ES"/>
        </w:rPr>
        <w:t xml:space="preserve"> </w:t>
      </w:r>
      <w:r w:rsidR="00FE0D89" w:rsidRPr="00392A95">
        <w:rPr>
          <w:snapToGrid w:val="0"/>
          <w:spacing w:val="-2"/>
          <w:kern w:val="22"/>
          <w:lang w:val="es-ES"/>
        </w:rPr>
        <w:t>y tiene categoría</w:t>
      </w:r>
      <w:r w:rsidR="00392A95" w:rsidRPr="00392A95">
        <w:rPr>
          <w:snapToGrid w:val="0"/>
          <w:spacing w:val="-2"/>
          <w:kern w:val="22"/>
          <w:lang w:val="es-ES"/>
        </w:rPr>
        <w:t xml:space="preserve"> </w:t>
      </w:r>
      <w:r w:rsidR="00FE0D89" w:rsidRPr="00392A95">
        <w:rPr>
          <w:snapToGrid w:val="0"/>
          <w:spacing w:val="-2"/>
          <w:kern w:val="22"/>
          <w:lang w:val="es-ES"/>
        </w:rPr>
        <w:t>de observador en el Comité de Comercio y Medio Ambiente</w:t>
      </w:r>
      <w:r w:rsidR="00775B5A" w:rsidRPr="00392A95">
        <w:rPr>
          <w:snapToGrid w:val="0"/>
          <w:spacing w:val="-2"/>
          <w:kern w:val="22"/>
          <w:lang w:val="es-ES"/>
        </w:rPr>
        <w:t xml:space="preserve"> (C</w:t>
      </w:r>
      <w:r w:rsidR="00FE0D89" w:rsidRPr="00392A95">
        <w:rPr>
          <w:snapToGrid w:val="0"/>
          <w:spacing w:val="-2"/>
          <w:kern w:val="22"/>
          <w:lang w:val="es-ES"/>
        </w:rPr>
        <w:t>CMA</w:t>
      </w:r>
      <w:r w:rsidR="00775B5A" w:rsidRPr="00392A95">
        <w:rPr>
          <w:snapToGrid w:val="0"/>
          <w:spacing w:val="-2"/>
          <w:kern w:val="22"/>
          <w:lang w:val="es-ES"/>
        </w:rPr>
        <w:t xml:space="preserve">) </w:t>
      </w:r>
      <w:r w:rsidR="00FE0D89" w:rsidRPr="00392A95">
        <w:rPr>
          <w:snapToGrid w:val="0"/>
          <w:spacing w:val="-2"/>
          <w:kern w:val="22"/>
          <w:lang w:val="es-ES"/>
        </w:rPr>
        <w:t>de la Organización Mundial de</w:t>
      </w:r>
      <w:r w:rsidR="00430A6E" w:rsidRPr="00392A95">
        <w:rPr>
          <w:snapToGrid w:val="0"/>
          <w:spacing w:val="-2"/>
          <w:kern w:val="22"/>
          <w:lang w:val="es-ES"/>
        </w:rPr>
        <w:t>l</w:t>
      </w:r>
      <w:r w:rsidR="00FE0D89" w:rsidRPr="00392A95">
        <w:rPr>
          <w:snapToGrid w:val="0"/>
          <w:spacing w:val="-2"/>
          <w:kern w:val="22"/>
          <w:lang w:val="es-ES"/>
        </w:rPr>
        <w:t xml:space="preserve"> Comercio (OMC)</w:t>
      </w:r>
      <w:r w:rsidR="00775B5A" w:rsidRPr="00392A95">
        <w:rPr>
          <w:snapToGrid w:val="0"/>
          <w:spacing w:val="-2"/>
          <w:kern w:val="22"/>
          <w:lang w:val="es-ES"/>
        </w:rPr>
        <w:t xml:space="preserve">. </w:t>
      </w:r>
      <w:r w:rsidR="00430A6E" w:rsidRPr="00392A95">
        <w:rPr>
          <w:snapToGrid w:val="0"/>
          <w:spacing w:val="-2"/>
          <w:kern w:val="22"/>
          <w:lang w:val="es-ES"/>
        </w:rPr>
        <w:t xml:space="preserve">La Secretaría también ha </w:t>
      </w:r>
      <w:r w:rsidR="00963C19" w:rsidRPr="00392A95">
        <w:rPr>
          <w:snapToGrid w:val="0"/>
          <w:spacing w:val="-2"/>
          <w:kern w:val="22"/>
          <w:lang w:val="es-ES"/>
        </w:rPr>
        <w:t>renovado</w:t>
      </w:r>
      <w:r w:rsidR="00430A6E" w:rsidRPr="00392A95">
        <w:rPr>
          <w:snapToGrid w:val="0"/>
          <w:spacing w:val="-2"/>
          <w:kern w:val="22"/>
          <w:lang w:val="es-ES"/>
        </w:rPr>
        <w:t xml:space="preserve"> su solicitud de que se le otorgue la condición de observador en otros comités pertinentes de la OMC</w:t>
      </w:r>
      <w:r w:rsidR="00775B5A" w:rsidRPr="00430A6E">
        <w:rPr>
          <w:snapToGrid w:val="0"/>
          <w:spacing w:val="-2"/>
          <w:kern w:val="22"/>
          <w:lang w:val="es-ES"/>
        </w:rPr>
        <w:t xml:space="preserve">. </w:t>
      </w:r>
      <w:r w:rsidR="00430A6E" w:rsidRPr="00430A6E">
        <w:rPr>
          <w:snapToGrid w:val="0"/>
          <w:spacing w:val="-2"/>
          <w:kern w:val="22"/>
          <w:lang w:val="es-ES"/>
        </w:rPr>
        <w:t xml:space="preserve">También se han </w:t>
      </w:r>
      <w:r w:rsidR="001C3BD3">
        <w:rPr>
          <w:snapToGrid w:val="0"/>
          <w:spacing w:val="-2"/>
          <w:kern w:val="22"/>
          <w:lang w:val="es-ES"/>
        </w:rPr>
        <w:t>llevado a cabo</w:t>
      </w:r>
      <w:r w:rsidR="00430A6E" w:rsidRPr="00430A6E">
        <w:rPr>
          <w:snapToGrid w:val="0"/>
          <w:spacing w:val="-2"/>
          <w:kern w:val="22"/>
          <w:lang w:val="es-ES"/>
        </w:rPr>
        <w:t xml:space="preserve"> actividades conjuntas en colaboración con la Organización </w:t>
      </w:r>
      <w:r w:rsidR="00963C19">
        <w:rPr>
          <w:snapToGrid w:val="0"/>
          <w:spacing w:val="-2"/>
          <w:kern w:val="22"/>
          <w:lang w:val="es-ES"/>
        </w:rPr>
        <w:t>para la</w:t>
      </w:r>
      <w:r w:rsidR="00430A6E" w:rsidRPr="00430A6E">
        <w:rPr>
          <w:snapToGrid w:val="0"/>
          <w:spacing w:val="-2"/>
          <w:kern w:val="22"/>
          <w:lang w:val="es-ES"/>
        </w:rPr>
        <w:t xml:space="preserve"> Cooperación y </w:t>
      </w:r>
      <w:r w:rsidR="00963C19">
        <w:rPr>
          <w:snapToGrid w:val="0"/>
          <w:spacing w:val="-2"/>
          <w:kern w:val="22"/>
          <w:lang w:val="es-ES"/>
        </w:rPr>
        <w:t xml:space="preserve">el </w:t>
      </w:r>
      <w:r w:rsidR="00430A6E" w:rsidRPr="00430A6E">
        <w:rPr>
          <w:snapToGrid w:val="0"/>
          <w:spacing w:val="-2"/>
          <w:kern w:val="22"/>
          <w:lang w:val="es-ES"/>
        </w:rPr>
        <w:t>Desarrollo Económicos (OCDE) y la Organizaci</w:t>
      </w:r>
      <w:r w:rsidR="00430A6E">
        <w:rPr>
          <w:snapToGrid w:val="0"/>
          <w:spacing w:val="-2"/>
          <w:kern w:val="22"/>
          <w:lang w:val="es-ES"/>
        </w:rPr>
        <w:t xml:space="preserve">ón de las Naciones Unidas para la </w:t>
      </w:r>
      <w:r w:rsidR="00963C19">
        <w:rPr>
          <w:snapToGrid w:val="0"/>
          <w:spacing w:val="-2"/>
          <w:kern w:val="22"/>
          <w:lang w:val="es-ES"/>
        </w:rPr>
        <w:t>Alimentación y la A</w:t>
      </w:r>
      <w:r w:rsidR="00430A6E">
        <w:rPr>
          <w:snapToGrid w:val="0"/>
          <w:spacing w:val="-2"/>
          <w:kern w:val="22"/>
          <w:lang w:val="es-ES"/>
        </w:rPr>
        <w:t xml:space="preserve">gricultura </w:t>
      </w:r>
      <w:r w:rsidR="00775B5A" w:rsidRPr="00430A6E">
        <w:rPr>
          <w:snapToGrid w:val="0"/>
          <w:spacing w:val="-2"/>
          <w:kern w:val="22"/>
          <w:lang w:val="es-ES"/>
        </w:rPr>
        <w:t>(FAO)</w:t>
      </w:r>
      <w:r w:rsidR="001C3BD3">
        <w:rPr>
          <w:snapToGrid w:val="0"/>
          <w:spacing w:val="-2"/>
          <w:kern w:val="22"/>
          <w:lang w:val="es-ES"/>
        </w:rPr>
        <w:t>, en particular en relación con el intercambio de información a través del CIISB</w:t>
      </w:r>
      <w:r w:rsidR="00775B5A" w:rsidRPr="00430A6E">
        <w:rPr>
          <w:snapToGrid w:val="0"/>
          <w:spacing w:val="-2"/>
          <w:kern w:val="22"/>
          <w:lang w:val="es-ES"/>
        </w:rPr>
        <w:t xml:space="preserve">. </w:t>
      </w:r>
      <w:r w:rsidR="001C3BD3" w:rsidRPr="001C3BD3">
        <w:rPr>
          <w:snapToGrid w:val="0"/>
          <w:spacing w:val="-2"/>
          <w:kern w:val="22"/>
          <w:lang w:val="es-ES"/>
        </w:rPr>
        <w:t>Asimismo, la</w:t>
      </w:r>
      <w:r w:rsidR="00775B5A" w:rsidRPr="001C3BD3">
        <w:rPr>
          <w:snapToGrid w:val="0"/>
          <w:spacing w:val="-2"/>
          <w:kern w:val="22"/>
          <w:lang w:val="es-ES"/>
        </w:rPr>
        <w:t xml:space="preserve"> Secretar</w:t>
      </w:r>
      <w:r w:rsidR="001C3BD3" w:rsidRPr="001C3BD3">
        <w:rPr>
          <w:snapToGrid w:val="0"/>
          <w:spacing w:val="-2"/>
          <w:kern w:val="22"/>
          <w:lang w:val="es-ES"/>
        </w:rPr>
        <w:t xml:space="preserve">ía colabora con el Centro Internacional de Ingeniería Genética y </w:t>
      </w:r>
      <w:r w:rsidR="001C3BD3">
        <w:rPr>
          <w:snapToGrid w:val="0"/>
          <w:spacing w:val="-2"/>
          <w:kern w:val="22"/>
          <w:lang w:val="es-ES"/>
        </w:rPr>
        <w:t>Bio</w:t>
      </w:r>
      <w:r w:rsidR="001C3BD3" w:rsidRPr="001C3BD3">
        <w:rPr>
          <w:snapToGrid w:val="0"/>
          <w:spacing w:val="-2"/>
          <w:kern w:val="22"/>
          <w:lang w:val="es-ES"/>
        </w:rPr>
        <w:t>tecnología en actividades de creaci</w:t>
      </w:r>
      <w:r w:rsidR="001C3BD3">
        <w:rPr>
          <w:snapToGrid w:val="0"/>
          <w:spacing w:val="-2"/>
          <w:kern w:val="22"/>
          <w:lang w:val="es-ES"/>
        </w:rPr>
        <w:t>ón de capacidad relacionadas con la evaluación del riesgo y la detección e identificación de OVM</w:t>
      </w:r>
      <w:r w:rsidR="00775B5A" w:rsidRPr="001C3BD3">
        <w:rPr>
          <w:snapToGrid w:val="0"/>
          <w:spacing w:val="-2"/>
          <w:kern w:val="22"/>
          <w:lang w:val="es-ES"/>
        </w:rPr>
        <w:t>.</w:t>
      </w:r>
    </w:p>
    <w:bookmarkEnd w:id="39"/>
    <w:p w:rsidR="00775B5A" w:rsidRPr="001C3BD3" w:rsidRDefault="00775B5A">
      <w:pPr>
        <w:keepNext/>
        <w:suppressLineNumbers/>
        <w:suppressAutoHyphens/>
        <w:spacing w:before="120" w:after="120"/>
        <w:textAlignment w:val="baseline"/>
        <w:outlineLvl w:val="2"/>
        <w:rPr>
          <w:b/>
          <w:bCs/>
          <w:snapToGrid w:val="0"/>
          <w:spacing w:val="-2"/>
          <w:kern w:val="22"/>
          <w:lang w:val="es-ES"/>
        </w:rPr>
      </w:pPr>
      <w:r w:rsidRPr="001C3BD3">
        <w:rPr>
          <w:b/>
          <w:bCs/>
          <w:snapToGrid w:val="0"/>
          <w:spacing w:val="-2"/>
          <w:kern w:val="22"/>
          <w:lang w:val="es-ES"/>
        </w:rPr>
        <w:t>O</w:t>
      </w:r>
      <w:r w:rsidR="001C3BD3" w:rsidRPr="001C3BD3">
        <w:rPr>
          <w:b/>
          <w:bCs/>
          <w:snapToGrid w:val="0"/>
          <w:spacing w:val="-2"/>
          <w:kern w:val="22"/>
          <w:lang w:val="es-ES"/>
        </w:rPr>
        <w:t>bjetivo operacional</w:t>
      </w:r>
      <w:r w:rsidRPr="001C3BD3">
        <w:rPr>
          <w:b/>
          <w:bCs/>
          <w:snapToGrid w:val="0"/>
          <w:spacing w:val="-2"/>
          <w:kern w:val="22"/>
          <w:lang w:val="es-ES"/>
        </w:rPr>
        <w:t xml:space="preserve"> 5.3: Com</w:t>
      </w:r>
      <w:r w:rsidR="001C3BD3" w:rsidRPr="001C3BD3">
        <w:rPr>
          <w:b/>
          <w:bCs/>
          <w:snapToGrid w:val="0"/>
          <w:spacing w:val="-2"/>
          <w:kern w:val="22"/>
          <w:lang w:val="es-ES"/>
        </w:rPr>
        <w:t>unicación y divulgaci</w:t>
      </w:r>
      <w:r w:rsidR="001C3BD3">
        <w:rPr>
          <w:b/>
          <w:bCs/>
          <w:snapToGrid w:val="0"/>
          <w:spacing w:val="-2"/>
          <w:kern w:val="22"/>
          <w:lang w:val="es-ES"/>
        </w:rPr>
        <w:t>ón</w:t>
      </w:r>
    </w:p>
    <w:p w:rsidR="00775B5A" w:rsidRPr="001C3BD3" w:rsidRDefault="001C3BD3"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1C3BD3">
        <w:rPr>
          <w:snapToGrid w:val="0"/>
          <w:spacing w:val="-2"/>
          <w:kern w:val="22"/>
          <w:lang w:val="es-ES"/>
        </w:rPr>
        <w:t xml:space="preserve">En lo que respecta al </w:t>
      </w:r>
      <w:r w:rsidR="00775B5A" w:rsidRPr="001C3BD3">
        <w:rPr>
          <w:b/>
          <w:bCs/>
          <w:snapToGrid w:val="0"/>
          <w:spacing w:val="-2"/>
          <w:kern w:val="22"/>
          <w:lang w:val="es-ES"/>
        </w:rPr>
        <w:t>indica</w:t>
      </w:r>
      <w:r w:rsidRPr="001C3BD3">
        <w:rPr>
          <w:b/>
          <w:bCs/>
          <w:snapToGrid w:val="0"/>
          <w:spacing w:val="-2"/>
          <w:kern w:val="22"/>
          <w:lang w:val="es-ES"/>
        </w:rPr>
        <w:t>d</w:t>
      </w:r>
      <w:r w:rsidR="00775B5A" w:rsidRPr="001C3BD3">
        <w:rPr>
          <w:b/>
          <w:bCs/>
          <w:snapToGrid w:val="0"/>
          <w:spacing w:val="-2"/>
          <w:kern w:val="22"/>
          <w:lang w:val="es-ES"/>
        </w:rPr>
        <w:t>or 5.3.1</w:t>
      </w:r>
      <w:r w:rsidR="00775B5A" w:rsidRPr="001C3BD3">
        <w:rPr>
          <w:snapToGrid w:val="0"/>
          <w:spacing w:val="-2"/>
          <w:kern w:val="22"/>
          <w:lang w:val="es-ES"/>
        </w:rPr>
        <w:t xml:space="preserve"> (</w:t>
      </w:r>
      <w:r w:rsidRPr="001C3BD3">
        <w:rPr>
          <w:snapToGrid w:val="0"/>
          <w:spacing w:val="-2"/>
          <w:kern w:val="22"/>
          <w:lang w:val="es-ES"/>
        </w:rPr>
        <w:t>el número de programas nacionales de concienciación y divulgación sobre seguridad de la biotecnolo</w:t>
      </w:r>
      <w:r>
        <w:rPr>
          <w:snapToGrid w:val="0"/>
          <w:spacing w:val="-2"/>
          <w:kern w:val="22"/>
          <w:lang w:val="es-ES"/>
        </w:rPr>
        <w:t>gía</w:t>
      </w:r>
      <w:r w:rsidR="00775B5A" w:rsidRPr="001C3BD3">
        <w:rPr>
          <w:snapToGrid w:val="0"/>
          <w:spacing w:val="-2"/>
          <w:kern w:val="22"/>
          <w:lang w:val="es-ES"/>
        </w:rPr>
        <w:t xml:space="preserve">), </w:t>
      </w:r>
      <w:bookmarkStart w:id="40" w:name="_Hlk33717337"/>
      <w:r>
        <w:rPr>
          <w:snapToGrid w:val="0"/>
          <w:spacing w:val="-2"/>
          <w:kern w:val="22"/>
          <w:lang w:val="es-ES"/>
        </w:rPr>
        <w:t xml:space="preserve">el </w:t>
      </w:r>
      <w:r w:rsidR="00775B5A" w:rsidRPr="001C3BD3">
        <w:rPr>
          <w:snapToGrid w:val="0"/>
          <w:spacing w:val="-2"/>
          <w:kern w:val="22"/>
          <w:lang w:val="es-ES"/>
        </w:rPr>
        <w:t>54</w:t>
      </w:r>
      <w:r>
        <w:rPr>
          <w:snapToGrid w:val="0"/>
          <w:spacing w:val="-2"/>
          <w:kern w:val="22"/>
          <w:lang w:val="es-ES"/>
        </w:rPr>
        <w:t xml:space="preserve"> </w:t>
      </w:r>
      <w:r w:rsidR="00775B5A" w:rsidRPr="001C3BD3">
        <w:rPr>
          <w:snapToGrid w:val="0"/>
          <w:spacing w:val="-2"/>
          <w:kern w:val="22"/>
          <w:lang w:val="es-ES"/>
        </w:rPr>
        <w:t xml:space="preserve">% </w:t>
      </w:r>
      <w:r>
        <w:rPr>
          <w:snapToGrid w:val="0"/>
          <w:spacing w:val="-2"/>
          <w:kern w:val="22"/>
          <w:lang w:val="es-ES"/>
        </w:rPr>
        <w:t xml:space="preserve">de las </w:t>
      </w:r>
      <w:r w:rsidR="00775B5A" w:rsidRPr="001C3BD3">
        <w:rPr>
          <w:snapToGrid w:val="0"/>
          <w:spacing w:val="-2"/>
          <w:kern w:val="22"/>
          <w:lang w:val="es-ES"/>
        </w:rPr>
        <w:t xml:space="preserve">Partes (38 Partes) </w:t>
      </w:r>
      <w:r>
        <w:rPr>
          <w:snapToGrid w:val="0"/>
          <w:spacing w:val="-2"/>
          <w:kern w:val="22"/>
          <w:lang w:val="es-ES"/>
        </w:rPr>
        <w:t>comunicaron que contaban con programas de concienciación y divulgación sobre seguridad de la biotecnología</w:t>
      </w:r>
      <w:r w:rsidR="00775B5A" w:rsidRPr="001C3BD3">
        <w:rPr>
          <w:snapToGrid w:val="0"/>
          <w:spacing w:val="-2"/>
          <w:kern w:val="22"/>
          <w:lang w:val="es-ES"/>
        </w:rPr>
        <w:t xml:space="preserve">, </w:t>
      </w:r>
      <w:r>
        <w:rPr>
          <w:snapToGrid w:val="0"/>
          <w:spacing w:val="-2"/>
          <w:kern w:val="22"/>
          <w:lang w:val="es-ES"/>
        </w:rPr>
        <w:t xml:space="preserve">lo que supone </w:t>
      </w:r>
      <w:r>
        <w:rPr>
          <w:snapToGrid w:val="0"/>
          <w:spacing w:val="-2"/>
          <w:kern w:val="22"/>
          <w:lang w:val="es-ES"/>
        </w:rPr>
        <w:lastRenderedPageBreak/>
        <w:t xml:space="preserve">un aumento de un </w:t>
      </w:r>
      <w:r w:rsidR="00775B5A" w:rsidRPr="001C3BD3">
        <w:rPr>
          <w:snapToGrid w:val="0"/>
          <w:spacing w:val="-2"/>
          <w:kern w:val="22"/>
          <w:lang w:val="es-ES"/>
        </w:rPr>
        <w:t>3</w:t>
      </w:r>
      <w:r>
        <w:rPr>
          <w:snapToGrid w:val="0"/>
          <w:spacing w:val="-2"/>
          <w:kern w:val="22"/>
          <w:lang w:val="es-ES"/>
        </w:rPr>
        <w:t xml:space="preserve"> </w:t>
      </w:r>
      <w:r w:rsidR="00775B5A" w:rsidRPr="001C3BD3">
        <w:rPr>
          <w:snapToGrid w:val="0"/>
          <w:spacing w:val="-2"/>
          <w:kern w:val="22"/>
          <w:lang w:val="es-ES"/>
        </w:rPr>
        <w:t xml:space="preserve">% </w:t>
      </w:r>
      <w:r>
        <w:rPr>
          <w:snapToGrid w:val="0"/>
          <w:spacing w:val="-2"/>
          <w:kern w:val="22"/>
          <w:lang w:val="es-ES"/>
        </w:rPr>
        <w:t>con respecto a los datos básicos de referencia</w:t>
      </w:r>
      <w:r w:rsidR="00775B5A" w:rsidRPr="001C3BD3">
        <w:rPr>
          <w:snapToGrid w:val="0"/>
          <w:spacing w:val="-2"/>
          <w:kern w:val="22"/>
          <w:lang w:val="es-ES"/>
        </w:rPr>
        <w:t xml:space="preserve">. </w:t>
      </w:r>
      <w:bookmarkEnd w:id="40"/>
      <w:r w:rsidR="00775B5A" w:rsidRPr="001C3BD3">
        <w:rPr>
          <w:snapToGrid w:val="0"/>
          <w:spacing w:val="-2"/>
          <w:kern w:val="22"/>
          <w:lang w:val="es-ES"/>
        </w:rPr>
        <w:t>A</w:t>
      </w:r>
      <w:r w:rsidRPr="001C3BD3">
        <w:rPr>
          <w:snapToGrid w:val="0"/>
          <w:spacing w:val="-2"/>
          <w:kern w:val="22"/>
          <w:lang w:val="es-ES"/>
        </w:rPr>
        <w:t xml:space="preserve"> nivel regional,</w:t>
      </w:r>
      <w:r w:rsidR="00392A95">
        <w:rPr>
          <w:snapToGrid w:val="0"/>
          <w:spacing w:val="-2"/>
          <w:kern w:val="22"/>
          <w:lang w:val="es-ES"/>
        </w:rPr>
        <w:t xml:space="preserve"> existen</w:t>
      </w:r>
      <w:r w:rsidRPr="001C3BD3">
        <w:rPr>
          <w:snapToGrid w:val="0"/>
          <w:spacing w:val="-2"/>
          <w:kern w:val="22"/>
          <w:lang w:val="es-ES"/>
        </w:rPr>
        <w:t xml:space="preserve"> diferencias considerables en el número de </w:t>
      </w:r>
      <w:r w:rsidR="00775B5A" w:rsidRPr="001C3BD3">
        <w:rPr>
          <w:snapToGrid w:val="0"/>
          <w:spacing w:val="-2"/>
          <w:kern w:val="22"/>
          <w:lang w:val="es-ES"/>
        </w:rPr>
        <w:t xml:space="preserve">Partes </w:t>
      </w:r>
      <w:r w:rsidRPr="001C3BD3">
        <w:rPr>
          <w:snapToGrid w:val="0"/>
          <w:spacing w:val="-2"/>
          <w:kern w:val="22"/>
          <w:lang w:val="es-ES"/>
        </w:rPr>
        <w:t>que indican que tienen un programa nacional de concienciaci</w:t>
      </w:r>
      <w:r>
        <w:rPr>
          <w:snapToGrid w:val="0"/>
          <w:spacing w:val="-2"/>
          <w:kern w:val="22"/>
          <w:lang w:val="es-ES"/>
        </w:rPr>
        <w:t>ón y divulgación sobre seguridad de la biotecnología</w:t>
      </w:r>
      <w:r w:rsidR="00775B5A" w:rsidRPr="001C3BD3">
        <w:rPr>
          <w:snapToGrid w:val="0"/>
          <w:spacing w:val="-2"/>
          <w:kern w:val="22"/>
          <w:lang w:val="es-ES"/>
        </w:rPr>
        <w:t xml:space="preserve">: </w:t>
      </w:r>
      <w:r>
        <w:rPr>
          <w:snapToGrid w:val="0"/>
          <w:spacing w:val="-2"/>
          <w:kern w:val="22"/>
          <w:lang w:val="es-ES"/>
        </w:rPr>
        <w:t>Á</w:t>
      </w:r>
      <w:r w:rsidR="00775B5A" w:rsidRPr="001C3BD3">
        <w:rPr>
          <w:snapToGrid w:val="0"/>
          <w:spacing w:val="-2"/>
          <w:kern w:val="22"/>
          <w:lang w:val="es-ES"/>
        </w:rPr>
        <w:t>frica</w:t>
      </w:r>
      <w:r w:rsidR="002E5B45">
        <w:rPr>
          <w:snapToGrid w:val="0"/>
          <w:spacing w:val="-2"/>
          <w:kern w:val="22"/>
          <w:lang w:val="es-ES"/>
        </w:rPr>
        <w:t>,</w:t>
      </w:r>
      <w:r w:rsidR="00775B5A" w:rsidRPr="001C3BD3">
        <w:rPr>
          <w:snapToGrid w:val="0"/>
          <w:spacing w:val="-2"/>
          <w:kern w:val="22"/>
          <w:lang w:val="es-ES"/>
        </w:rPr>
        <w:t xml:space="preserve"> 74</w:t>
      </w:r>
      <w:r>
        <w:rPr>
          <w:snapToGrid w:val="0"/>
          <w:spacing w:val="-2"/>
          <w:kern w:val="22"/>
          <w:lang w:val="es-ES"/>
        </w:rPr>
        <w:t xml:space="preserve"> </w:t>
      </w:r>
      <w:r w:rsidR="00775B5A" w:rsidRPr="001C3BD3">
        <w:rPr>
          <w:snapToGrid w:val="0"/>
          <w:spacing w:val="-2"/>
          <w:kern w:val="22"/>
          <w:lang w:val="es-ES"/>
        </w:rPr>
        <w:t>% (+</w:t>
      </w:r>
      <w:r>
        <w:rPr>
          <w:snapToGrid w:val="0"/>
          <w:spacing w:val="-2"/>
          <w:kern w:val="22"/>
          <w:lang w:val="es-ES"/>
        </w:rPr>
        <w:t xml:space="preserve"> </w:t>
      </w:r>
      <w:r w:rsidR="00775B5A" w:rsidRPr="001C3BD3">
        <w:rPr>
          <w:snapToGrid w:val="0"/>
          <w:spacing w:val="-2"/>
          <w:kern w:val="22"/>
          <w:lang w:val="es-ES"/>
        </w:rPr>
        <w:t>5</w:t>
      </w:r>
      <w:r>
        <w:rPr>
          <w:snapToGrid w:val="0"/>
          <w:spacing w:val="-2"/>
          <w:kern w:val="22"/>
          <w:lang w:val="es-ES"/>
        </w:rPr>
        <w:t xml:space="preserve"> </w:t>
      </w:r>
      <w:r w:rsidR="00775B5A" w:rsidRPr="001C3BD3">
        <w:rPr>
          <w:snapToGrid w:val="0"/>
          <w:spacing w:val="-2"/>
          <w:kern w:val="22"/>
          <w:lang w:val="es-ES"/>
        </w:rPr>
        <w:t>%)</w:t>
      </w:r>
      <w:r w:rsidR="002E5B45">
        <w:rPr>
          <w:snapToGrid w:val="0"/>
          <w:spacing w:val="-2"/>
          <w:kern w:val="22"/>
          <w:lang w:val="es-ES"/>
        </w:rPr>
        <w:t>;</w:t>
      </w:r>
      <w:r w:rsidR="00775B5A" w:rsidRPr="001C3BD3">
        <w:rPr>
          <w:snapToGrid w:val="0"/>
          <w:spacing w:val="-2"/>
          <w:kern w:val="22"/>
          <w:lang w:val="es-ES"/>
        </w:rPr>
        <w:t xml:space="preserve"> Asia</w:t>
      </w:r>
      <w:r w:rsidR="002E5B45">
        <w:rPr>
          <w:snapToGrid w:val="0"/>
          <w:spacing w:val="-2"/>
          <w:kern w:val="22"/>
          <w:lang w:val="es-ES"/>
        </w:rPr>
        <w:t xml:space="preserve"> y el </w:t>
      </w:r>
      <w:r w:rsidR="00775B5A" w:rsidRPr="001C3BD3">
        <w:rPr>
          <w:snapToGrid w:val="0"/>
          <w:spacing w:val="-2"/>
          <w:kern w:val="22"/>
          <w:lang w:val="es-ES"/>
        </w:rPr>
        <w:t>Pac</w:t>
      </w:r>
      <w:r>
        <w:rPr>
          <w:snapToGrid w:val="0"/>
          <w:spacing w:val="-2"/>
          <w:kern w:val="22"/>
          <w:lang w:val="es-ES"/>
        </w:rPr>
        <w:t>ífico</w:t>
      </w:r>
      <w:r w:rsidR="002E5B45">
        <w:rPr>
          <w:snapToGrid w:val="0"/>
          <w:spacing w:val="-2"/>
          <w:kern w:val="22"/>
          <w:lang w:val="es-ES"/>
        </w:rPr>
        <w:t>,</w:t>
      </w:r>
      <w:r w:rsidR="00775B5A" w:rsidRPr="001C3BD3">
        <w:rPr>
          <w:snapToGrid w:val="0"/>
          <w:spacing w:val="-2"/>
          <w:kern w:val="22"/>
          <w:lang w:val="es-ES"/>
        </w:rPr>
        <w:t xml:space="preserve"> 67</w:t>
      </w:r>
      <w:r>
        <w:rPr>
          <w:snapToGrid w:val="0"/>
          <w:spacing w:val="-2"/>
          <w:kern w:val="22"/>
          <w:lang w:val="es-ES"/>
        </w:rPr>
        <w:t xml:space="preserve"> </w:t>
      </w:r>
      <w:r w:rsidR="00775B5A" w:rsidRPr="001C3BD3">
        <w:rPr>
          <w:snapToGrid w:val="0"/>
          <w:spacing w:val="-2"/>
          <w:kern w:val="22"/>
          <w:lang w:val="es-ES"/>
        </w:rPr>
        <w:t>% (+</w:t>
      </w:r>
      <w:r>
        <w:rPr>
          <w:snapToGrid w:val="0"/>
          <w:spacing w:val="-2"/>
          <w:kern w:val="22"/>
          <w:lang w:val="es-ES"/>
        </w:rPr>
        <w:t xml:space="preserve"> </w:t>
      </w:r>
      <w:r w:rsidR="00775B5A" w:rsidRPr="001C3BD3">
        <w:rPr>
          <w:snapToGrid w:val="0"/>
          <w:spacing w:val="-2"/>
          <w:kern w:val="22"/>
          <w:lang w:val="es-ES"/>
        </w:rPr>
        <w:t>11</w:t>
      </w:r>
      <w:r>
        <w:rPr>
          <w:snapToGrid w:val="0"/>
          <w:spacing w:val="-2"/>
          <w:kern w:val="22"/>
          <w:lang w:val="es-ES"/>
        </w:rPr>
        <w:t xml:space="preserve"> </w:t>
      </w:r>
      <w:r w:rsidR="00775B5A" w:rsidRPr="001C3BD3">
        <w:rPr>
          <w:snapToGrid w:val="0"/>
          <w:spacing w:val="-2"/>
          <w:kern w:val="22"/>
          <w:lang w:val="es-ES"/>
        </w:rPr>
        <w:t>%)</w:t>
      </w:r>
      <w:r w:rsidR="002E5B45">
        <w:rPr>
          <w:snapToGrid w:val="0"/>
          <w:spacing w:val="-2"/>
          <w:kern w:val="22"/>
          <w:lang w:val="es-ES"/>
        </w:rPr>
        <w:t>;</w:t>
      </w:r>
      <w:r w:rsidR="00775B5A" w:rsidRPr="001C3BD3">
        <w:rPr>
          <w:snapToGrid w:val="0"/>
          <w:spacing w:val="-2"/>
          <w:kern w:val="22"/>
          <w:lang w:val="es-ES"/>
        </w:rPr>
        <w:t xml:space="preserve"> </w:t>
      </w:r>
      <w:r w:rsidR="00477624">
        <w:rPr>
          <w:snapToGrid w:val="0"/>
          <w:kern w:val="22"/>
          <w:lang w:val="es-ES"/>
        </w:rPr>
        <w:t>grupo de Estados de Europa Central y Oriental</w:t>
      </w:r>
      <w:r w:rsidR="002E5B45">
        <w:rPr>
          <w:snapToGrid w:val="0"/>
          <w:kern w:val="22"/>
          <w:lang w:val="es-ES"/>
        </w:rPr>
        <w:t>,</w:t>
      </w:r>
      <w:r w:rsidR="00775B5A" w:rsidRPr="001C3BD3">
        <w:rPr>
          <w:snapToGrid w:val="0"/>
          <w:spacing w:val="-2"/>
          <w:kern w:val="22"/>
          <w:lang w:val="es-ES"/>
        </w:rPr>
        <w:t xml:space="preserve"> 43</w:t>
      </w:r>
      <w:r>
        <w:rPr>
          <w:snapToGrid w:val="0"/>
          <w:spacing w:val="-2"/>
          <w:kern w:val="22"/>
          <w:lang w:val="es-ES"/>
        </w:rPr>
        <w:t xml:space="preserve"> </w:t>
      </w:r>
      <w:r w:rsidR="00775B5A" w:rsidRPr="001C3BD3">
        <w:rPr>
          <w:snapToGrid w:val="0"/>
          <w:spacing w:val="-2"/>
          <w:kern w:val="22"/>
          <w:lang w:val="es-ES"/>
        </w:rPr>
        <w:t>% (+</w:t>
      </w:r>
      <w:r>
        <w:rPr>
          <w:snapToGrid w:val="0"/>
          <w:spacing w:val="-2"/>
          <w:kern w:val="22"/>
          <w:lang w:val="es-ES"/>
        </w:rPr>
        <w:t xml:space="preserve"> </w:t>
      </w:r>
      <w:r w:rsidR="00775B5A" w:rsidRPr="001C3BD3">
        <w:rPr>
          <w:snapToGrid w:val="0"/>
          <w:spacing w:val="-2"/>
          <w:kern w:val="22"/>
          <w:lang w:val="es-ES"/>
        </w:rPr>
        <w:t>14</w:t>
      </w:r>
      <w:r>
        <w:rPr>
          <w:snapToGrid w:val="0"/>
          <w:spacing w:val="-2"/>
          <w:kern w:val="22"/>
          <w:lang w:val="es-ES"/>
        </w:rPr>
        <w:t xml:space="preserve"> </w:t>
      </w:r>
      <w:r w:rsidR="00775B5A" w:rsidRPr="001C3BD3">
        <w:rPr>
          <w:snapToGrid w:val="0"/>
          <w:spacing w:val="-2"/>
          <w:kern w:val="22"/>
          <w:lang w:val="es-ES"/>
        </w:rPr>
        <w:t>%)</w:t>
      </w:r>
      <w:r w:rsidR="002E5B45">
        <w:rPr>
          <w:snapToGrid w:val="0"/>
          <w:spacing w:val="-2"/>
          <w:kern w:val="22"/>
          <w:lang w:val="es-ES"/>
        </w:rPr>
        <w:t>;</w:t>
      </w:r>
      <w:r w:rsidR="00775B5A" w:rsidRPr="001C3BD3">
        <w:rPr>
          <w:snapToGrid w:val="0"/>
          <w:spacing w:val="-2"/>
          <w:kern w:val="22"/>
          <w:lang w:val="es-ES"/>
        </w:rPr>
        <w:t xml:space="preserve"> </w:t>
      </w:r>
      <w:r w:rsidR="00D74010">
        <w:rPr>
          <w:snapToGrid w:val="0"/>
          <w:kern w:val="22"/>
          <w:lang w:val="es-ES"/>
        </w:rPr>
        <w:t>grupo de países de América Latina y el Caribe</w:t>
      </w:r>
      <w:r w:rsidR="002E5B45">
        <w:rPr>
          <w:snapToGrid w:val="0"/>
          <w:kern w:val="22"/>
          <w:lang w:val="es-ES"/>
        </w:rPr>
        <w:t>,</w:t>
      </w:r>
      <w:r w:rsidR="00775B5A" w:rsidRPr="001C3BD3">
        <w:rPr>
          <w:snapToGrid w:val="0"/>
          <w:spacing w:val="-2"/>
          <w:kern w:val="22"/>
          <w:lang w:val="es-ES"/>
        </w:rPr>
        <w:t xml:space="preserve"> 23</w:t>
      </w:r>
      <w:r>
        <w:rPr>
          <w:snapToGrid w:val="0"/>
          <w:spacing w:val="-2"/>
          <w:kern w:val="22"/>
          <w:lang w:val="es-ES"/>
        </w:rPr>
        <w:t xml:space="preserve"> </w:t>
      </w:r>
      <w:r w:rsidR="00775B5A" w:rsidRPr="001C3BD3">
        <w:rPr>
          <w:snapToGrid w:val="0"/>
          <w:spacing w:val="-2"/>
          <w:kern w:val="22"/>
          <w:lang w:val="es-ES"/>
        </w:rPr>
        <w:t>% (-</w:t>
      </w:r>
      <w:r>
        <w:rPr>
          <w:snapToGrid w:val="0"/>
          <w:spacing w:val="-2"/>
          <w:kern w:val="22"/>
          <w:lang w:val="es-ES"/>
        </w:rPr>
        <w:t xml:space="preserve"> </w:t>
      </w:r>
      <w:r w:rsidR="00775B5A" w:rsidRPr="001C3BD3">
        <w:rPr>
          <w:snapToGrid w:val="0"/>
          <w:spacing w:val="-2"/>
          <w:kern w:val="22"/>
          <w:lang w:val="es-ES"/>
        </w:rPr>
        <w:t>15</w:t>
      </w:r>
      <w:r>
        <w:rPr>
          <w:snapToGrid w:val="0"/>
          <w:spacing w:val="-2"/>
          <w:kern w:val="22"/>
          <w:lang w:val="es-ES"/>
        </w:rPr>
        <w:t xml:space="preserve"> </w:t>
      </w:r>
      <w:r w:rsidR="00775B5A" w:rsidRPr="001C3BD3">
        <w:rPr>
          <w:snapToGrid w:val="0"/>
          <w:spacing w:val="-2"/>
          <w:kern w:val="22"/>
          <w:lang w:val="es-ES"/>
        </w:rPr>
        <w:t>%)</w:t>
      </w:r>
      <w:r w:rsidR="002E5B45">
        <w:rPr>
          <w:snapToGrid w:val="0"/>
          <w:spacing w:val="-2"/>
          <w:kern w:val="22"/>
          <w:lang w:val="es-ES"/>
        </w:rPr>
        <w:t>;</w:t>
      </w:r>
      <w:r w:rsidR="00775B5A" w:rsidRPr="001C3BD3">
        <w:rPr>
          <w:snapToGrid w:val="0"/>
          <w:spacing w:val="-2"/>
          <w:kern w:val="22"/>
          <w:lang w:val="es-ES"/>
        </w:rPr>
        <w:t xml:space="preserve"> </w:t>
      </w:r>
      <w:r>
        <w:rPr>
          <w:snapToGrid w:val="0"/>
          <w:spacing w:val="-2"/>
          <w:kern w:val="22"/>
          <w:lang w:val="es-ES"/>
        </w:rPr>
        <w:t>grupo de Estados de Europa Occidental y otros</w:t>
      </w:r>
      <w:r w:rsidR="002E5B45">
        <w:rPr>
          <w:snapToGrid w:val="0"/>
          <w:spacing w:val="-2"/>
          <w:kern w:val="22"/>
          <w:lang w:val="es-ES"/>
        </w:rPr>
        <w:t>,</w:t>
      </w:r>
      <w:r w:rsidR="00775B5A" w:rsidRPr="001C3BD3">
        <w:rPr>
          <w:snapToGrid w:val="0"/>
          <w:spacing w:val="-2"/>
          <w:kern w:val="22"/>
          <w:lang w:val="es-ES"/>
        </w:rPr>
        <w:t xml:space="preserve"> 56</w:t>
      </w:r>
      <w:r>
        <w:rPr>
          <w:snapToGrid w:val="0"/>
          <w:spacing w:val="-2"/>
          <w:kern w:val="22"/>
          <w:lang w:val="es-ES"/>
        </w:rPr>
        <w:t xml:space="preserve"> </w:t>
      </w:r>
      <w:r w:rsidR="00775B5A" w:rsidRPr="001C3BD3">
        <w:rPr>
          <w:snapToGrid w:val="0"/>
          <w:spacing w:val="-2"/>
          <w:kern w:val="22"/>
          <w:lang w:val="es-ES"/>
        </w:rPr>
        <w:t>% (</w:t>
      </w:r>
      <w:r>
        <w:rPr>
          <w:snapToGrid w:val="0"/>
          <w:spacing w:val="-2"/>
          <w:kern w:val="22"/>
          <w:lang w:val="es-ES"/>
        </w:rPr>
        <w:t>sin cambios con respecto a los datos básicos de referencia</w:t>
      </w:r>
      <w:r w:rsidR="00775B5A" w:rsidRPr="001C3BD3">
        <w:rPr>
          <w:snapToGrid w:val="0"/>
          <w:spacing w:val="-2"/>
          <w:kern w:val="22"/>
          <w:lang w:val="es-ES"/>
        </w:rPr>
        <w:t>).</w:t>
      </w:r>
    </w:p>
    <w:p w:rsidR="00775B5A" w:rsidRPr="00D06DBD" w:rsidRDefault="001C3BD3"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D06DBD">
        <w:rPr>
          <w:snapToGrid w:val="0"/>
          <w:spacing w:val="-2"/>
          <w:kern w:val="22"/>
          <w:lang w:val="es-ES"/>
        </w:rPr>
        <w:t xml:space="preserve">En lo tocante al </w:t>
      </w:r>
      <w:r w:rsidR="00775B5A" w:rsidRPr="00D06DBD">
        <w:rPr>
          <w:b/>
          <w:bCs/>
          <w:snapToGrid w:val="0"/>
          <w:spacing w:val="-2"/>
          <w:kern w:val="22"/>
          <w:lang w:val="es-ES"/>
        </w:rPr>
        <w:t>indica</w:t>
      </w:r>
      <w:r w:rsidRPr="00D06DBD">
        <w:rPr>
          <w:b/>
          <w:bCs/>
          <w:snapToGrid w:val="0"/>
          <w:spacing w:val="-2"/>
          <w:kern w:val="22"/>
          <w:lang w:val="es-ES"/>
        </w:rPr>
        <w:t>d</w:t>
      </w:r>
      <w:r w:rsidR="00775B5A" w:rsidRPr="00D06DBD">
        <w:rPr>
          <w:b/>
          <w:bCs/>
          <w:snapToGrid w:val="0"/>
          <w:spacing w:val="-2"/>
          <w:kern w:val="22"/>
          <w:lang w:val="es-ES"/>
        </w:rPr>
        <w:t>or 5.3.2</w:t>
      </w:r>
      <w:r w:rsidR="00D06DBD" w:rsidRPr="00D06DBD">
        <w:rPr>
          <w:snapToGrid w:val="0"/>
          <w:spacing w:val="-2"/>
          <w:kern w:val="22"/>
          <w:lang w:val="es-ES"/>
        </w:rPr>
        <w:t xml:space="preserve"> (el porcentaje de </w:t>
      </w:r>
      <w:r w:rsidR="00775B5A" w:rsidRPr="00D06DBD">
        <w:rPr>
          <w:snapToGrid w:val="0"/>
          <w:spacing w:val="-2"/>
          <w:kern w:val="22"/>
          <w:lang w:val="es-ES"/>
        </w:rPr>
        <w:t xml:space="preserve">Partes </w:t>
      </w:r>
      <w:r w:rsidR="00D06DBD" w:rsidRPr="00D06DBD">
        <w:rPr>
          <w:snapToGrid w:val="0"/>
          <w:spacing w:val="-2"/>
          <w:kern w:val="22"/>
          <w:lang w:val="es-ES"/>
        </w:rPr>
        <w:t>que ha establecido estrategias nacionales de comunicaci</w:t>
      </w:r>
      <w:r w:rsidR="00D06DBD">
        <w:rPr>
          <w:snapToGrid w:val="0"/>
          <w:spacing w:val="-2"/>
          <w:kern w:val="22"/>
          <w:lang w:val="es-ES"/>
        </w:rPr>
        <w:t>ón sobre seguridad de la biotecnología</w:t>
      </w:r>
      <w:r w:rsidR="00775B5A" w:rsidRPr="00D06DBD">
        <w:rPr>
          <w:snapToGrid w:val="0"/>
          <w:spacing w:val="-2"/>
          <w:kern w:val="22"/>
          <w:lang w:val="es-ES"/>
        </w:rPr>
        <w:t xml:space="preserve">), </w:t>
      </w:r>
      <w:bookmarkStart w:id="41" w:name="_Hlk33717404"/>
      <w:r w:rsidR="00D06DBD">
        <w:rPr>
          <w:snapToGrid w:val="0"/>
          <w:spacing w:val="-2"/>
          <w:kern w:val="22"/>
          <w:lang w:val="es-ES"/>
        </w:rPr>
        <w:t xml:space="preserve">el </w:t>
      </w:r>
      <w:r w:rsidR="00775B5A" w:rsidRPr="00D06DBD">
        <w:rPr>
          <w:snapToGrid w:val="0"/>
          <w:spacing w:val="-2"/>
          <w:kern w:val="22"/>
          <w:lang w:val="es-ES"/>
        </w:rPr>
        <w:t>51</w:t>
      </w:r>
      <w:r w:rsidR="00D06DBD">
        <w:rPr>
          <w:snapToGrid w:val="0"/>
          <w:spacing w:val="-2"/>
          <w:kern w:val="22"/>
          <w:lang w:val="es-ES"/>
        </w:rPr>
        <w:t xml:space="preserve"> </w:t>
      </w:r>
      <w:r w:rsidR="00775B5A" w:rsidRPr="00D06DBD">
        <w:rPr>
          <w:snapToGrid w:val="0"/>
          <w:spacing w:val="-2"/>
          <w:kern w:val="22"/>
          <w:lang w:val="es-ES"/>
        </w:rPr>
        <w:t xml:space="preserve">% </w:t>
      </w:r>
      <w:r w:rsidR="00D06DBD">
        <w:rPr>
          <w:snapToGrid w:val="0"/>
          <w:spacing w:val="-2"/>
          <w:kern w:val="22"/>
          <w:lang w:val="es-ES"/>
        </w:rPr>
        <w:t>de las P</w:t>
      </w:r>
      <w:r w:rsidR="00775B5A" w:rsidRPr="00D06DBD">
        <w:rPr>
          <w:snapToGrid w:val="0"/>
          <w:spacing w:val="-2"/>
          <w:kern w:val="22"/>
          <w:lang w:val="es-ES"/>
        </w:rPr>
        <w:t xml:space="preserve">artes (36 Partes) </w:t>
      </w:r>
      <w:r w:rsidR="00D06DBD">
        <w:rPr>
          <w:snapToGrid w:val="0"/>
          <w:spacing w:val="-2"/>
          <w:kern w:val="22"/>
          <w:lang w:val="es-ES"/>
        </w:rPr>
        <w:t>comunic</w:t>
      </w:r>
      <w:r w:rsidR="00392A95">
        <w:rPr>
          <w:snapToGrid w:val="0"/>
          <w:spacing w:val="-2"/>
          <w:kern w:val="22"/>
          <w:lang w:val="es-ES"/>
        </w:rPr>
        <w:t>ó</w:t>
      </w:r>
      <w:r w:rsidR="00D06DBD">
        <w:rPr>
          <w:snapToGrid w:val="0"/>
          <w:spacing w:val="-2"/>
          <w:kern w:val="22"/>
          <w:lang w:val="es-ES"/>
        </w:rPr>
        <w:t xml:space="preserve"> que contaba con una estrategia nacional de comunicación sobre seguridad de la biotecnología</w:t>
      </w:r>
      <w:r w:rsidR="00775B5A" w:rsidRPr="00D06DBD">
        <w:rPr>
          <w:snapToGrid w:val="0"/>
          <w:spacing w:val="-2"/>
          <w:kern w:val="22"/>
          <w:lang w:val="es-ES"/>
        </w:rPr>
        <w:t xml:space="preserve">. </w:t>
      </w:r>
      <w:r w:rsidR="00D06DBD" w:rsidRPr="00D06DBD">
        <w:rPr>
          <w:snapToGrid w:val="0"/>
          <w:spacing w:val="-2"/>
          <w:kern w:val="22"/>
          <w:lang w:val="es-ES"/>
        </w:rPr>
        <w:t>Aunque este núm</w:t>
      </w:r>
      <w:r w:rsidR="00D06DBD" w:rsidRPr="00392A95">
        <w:rPr>
          <w:snapToGrid w:val="0"/>
          <w:spacing w:val="-2"/>
          <w:kern w:val="22"/>
          <w:lang w:val="es-ES"/>
        </w:rPr>
        <w:t xml:space="preserve">ero se ha mantenido igual </w:t>
      </w:r>
      <w:r w:rsidR="00392A95">
        <w:rPr>
          <w:snapToGrid w:val="0"/>
          <w:spacing w:val="-2"/>
          <w:kern w:val="22"/>
          <w:lang w:val="es-ES"/>
        </w:rPr>
        <w:t xml:space="preserve">que </w:t>
      </w:r>
      <w:r w:rsidR="00D06DBD" w:rsidRPr="00392A95">
        <w:rPr>
          <w:snapToGrid w:val="0"/>
          <w:spacing w:val="-2"/>
          <w:kern w:val="22"/>
          <w:lang w:val="es-ES"/>
        </w:rPr>
        <w:t>en</w:t>
      </w:r>
      <w:r w:rsidR="00D06DBD" w:rsidRPr="00D06DBD">
        <w:rPr>
          <w:snapToGrid w:val="0"/>
          <w:spacing w:val="-2"/>
          <w:kern w:val="22"/>
          <w:lang w:val="es-ES"/>
        </w:rPr>
        <w:t xml:space="preserve"> la base de referencia, </w:t>
      </w:r>
      <w:r w:rsidR="00D06DBD">
        <w:rPr>
          <w:snapToGrid w:val="0"/>
          <w:spacing w:val="-2"/>
          <w:kern w:val="22"/>
          <w:lang w:val="es-ES"/>
        </w:rPr>
        <w:t>hay importantes cambios regionales con aumentos registrados en</w:t>
      </w:r>
      <w:bookmarkEnd w:id="41"/>
      <w:r w:rsidR="00775B5A" w:rsidRPr="00D06DBD">
        <w:rPr>
          <w:snapToGrid w:val="0"/>
          <w:spacing w:val="-2"/>
          <w:kern w:val="22"/>
          <w:lang w:val="es-ES"/>
        </w:rPr>
        <w:t xml:space="preserve">: </w:t>
      </w:r>
      <w:r w:rsidR="00D06DBD">
        <w:rPr>
          <w:snapToGrid w:val="0"/>
          <w:spacing w:val="-2"/>
          <w:kern w:val="22"/>
          <w:lang w:val="es-ES"/>
        </w:rPr>
        <w:t>Á</w:t>
      </w:r>
      <w:r w:rsidR="00775B5A" w:rsidRPr="00D06DBD">
        <w:rPr>
          <w:snapToGrid w:val="0"/>
          <w:spacing w:val="-2"/>
          <w:kern w:val="22"/>
          <w:lang w:val="es-ES"/>
        </w:rPr>
        <w:t>frica</w:t>
      </w:r>
      <w:r w:rsidR="002E5B45">
        <w:rPr>
          <w:snapToGrid w:val="0"/>
          <w:spacing w:val="-2"/>
          <w:kern w:val="22"/>
          <w:lang w:val="es-ES"/>
        </w:rPr>
        <w:t>,</w:t>
      </w:r>
      <w:r w:rsidR="00775B5A" w:rsidRPr="00D06DBD">
        <w:rPr>
          <w:snapToGrid w:val="0"/>
          <w:spacing w:val="-2"/>
          <w:kern w:val="22"/>
          <w:lang w:val="es-ES"/>
        </w:rPr>
        <w:t xml:space="preserve"> 58</w:t>
      </w:r>
      <w:r w:rsidR="00D06DBD">
        <w:rPr>
          <w:snapToGrid w:val="0"/>
          <w:spacing w:val="-2"/>
          <w:kern w:val="22"/>
          <w:lang w:val="es-ES"/>
        </w:rPr>
        <w:t xml:space="preserve"> </w:t>
      </w:r>
      <w:r w:rsidR="00775B5A" w:rsidRPr="00D06DBD">
        <w:rPr>
          <w:snapToGrid w:val="0"/>
          <w:spacing w:val="-2"/>
          <w:kern w:val="22"/>
          <w:lang w:val="es-ES"/>
        </w:rPr>
        <w:t>% (+</w:t>
      </w:r>
      <w:r w:rsidR="00D06DBD">
        <w:rPr>
          <w:snapToGrid w:val="0"/>
          <w:spacing w:val="-2"/>
          <w:kern w:val="22"/>
          <w:lang w:val="es-ES"/>
        </w:rPr>
        <w:t xml:space="preserve"> </w:t>
      </w:r>
      <w:r w:rsidR="00775B5A" w:rsidRPr="00D06DBD">
        <w:rPr>
          <w:snapToGrid w:val="0"/>
          <w:spacing w:val="-2"/>
          <w:kern w:val="22"/>
          <w:lang w:val="es-ES"/>
        </w:rPr>
        <w:t>16</w:t>
      </w:r>
      <w:r w:rsidR="00D06DBD">
        <w:rPr>
          <w:snapToGrid w:val="0"/>
          <w:spacing w:val="-2"/>
          <w:kern w:val="22"/>
          <w:lang w:val="es-ES"/>
        </w:rPr>
        <w:t xml:space="preserve"> </w:t>
      </w:r>
      <w:r w:rsidR="00775B5A" w:rsidRPr="00D06DBD">
        <w:rPr>
          <w:snapToGrid w:val="0"/>
          <w:spacing w:val="-2"/>
          <w:kern w:val="22"/>
          <w:lang w:val="es-ES"/>
        </w:rPr>
        <w:t>%)</w:t>
      </w:r>
      <w:r w:rsidR="002E5B45">
        <w:rPr>
          <w:snapToGrid w:val="0"/>
          <w:spacing w:val="-2"/>
          <w:kern w:val="22"/>
          <w:lang w:val="es-ES"/>
        </w:rPr>
        <w:t>;</w:t>
      </w:r>
      <w:r w:rsidR="00775B5A" w:rsidRPr="00D06DBD">
        <w:rPr>
          <w:snapToGrid w:val="0"/>
          <w:spacing w:val="-2"/>
          <w:kern w:val="22"/>
          <w:lang w:val="es-ES"/>
        </w:rPr>
        <w:t xml:space="preserve"> Asia</w:t>
      </w:r>
      <w:r w:rsidR="002E5B45">
        <w:rPr>
          <w:snapToGrid w:val="0"/>
          <w:spacing w:val="-2"/>
          <w:kern w:val="22"/>
          <w:lang w:val="es-ES"/>
        </w:rPr>
        <w:t xml:space="preserve"> y el </w:t>
      </w:r>
      <w:r w:rsidR="00775B5A" w:rsidRPr="00D06DBD">
        <w:rPr>
          <w:snapToGrid w:val="0"/>
          <w:spacing w:val="-2"/>
          <w:kern w:val="22"/>
          <w:lang w:val="es-ES"/>
        </w:rPr>
        <w:t>Pac</w:t>
      </w:r>
      <w:r w:rsidR="00D06DBD">
        <w:rPr>
          <w:snapToGrid w:val="0"/>
          <w:spacing w:val="-2"/>
          <w:kern w:val="22"/>
          <w:lang w:val="es-ES"/>
        </w:rPr>
        <w:t>ífico</w:t>
      </w:r>
      <w:r w:rsidR="002E5B45">
        <w:rPr>
          <w:snapToGrid w:val="0"/>
          <w:spacing w:val="-2"/>
          <w:kern w:val="22"/>
          <w:lang w:val="es-ES"/>
        </w:rPr>
        <w:t>,</w:t>
      </w:r>
      <w:r w:rsidR="00775B5A" w:rsidRPr="00D06DBD">
        <w:rPr>
          <w:snapToGrid w:val="0"/>
          <w:spacing w:val="-2"/>
          <w:kern w:val="22"/>
          <w:lang w:val="es-ES"/>
        </w:rPr>
        <w:t xml:space="preserve"> 56</w:t>
      </w:r>
      <w:r w:rsidR="00D06DBD">
        <w:rPr>
          <w:snapToGrid w:val="0"/>
          <w:spacing w:val="-2"/>
          <w:kern w:val="22"/>
          <w:lang w:val="es-ES"/>
        </w:rPr>
        <w:t xml:space="preserve"> </w:t>
      </w:r>
      <w:r w:rsidR="00775B5A" w:rsidRPr="00D06DBD">
        <w:rPr>
          <w:snapToGrid w:val="0"/>
          <w:spacing w:val="-2"/>
          <w:kern w:val="22"/>
          <w:lang w:val="es-ES"/>
        </w:rPr>
        <w:t>% (+</w:t>
      </w:r>
      <w:r w:rsidR="00D06DBD">
        <w:rPr>
          <w:snapToGrid w:val="0"/>
          <w:spacing w:val="-2"/>
          <w:kern w:val="22"/>
          <w:lang w:val="es-ES"/>
        </w:rPr>
        <w:t xml:space="preserve"> </w:t>
      </w:r>
      <w:r w:rsidR="00775B5A" w:rsidRPr="00D06DBD">
        <w:rPr>
          <w:snapToGrid w:val="0"/>
          <w:spacing w:val="-2"/>
          <w:kern w:val="22"/>
          <w:lang w:val="es-ES"/>
        </w:rPr>
        <w:t>11</w:t>
      </w:r>
      <w:r w:rsidR="00D06DBD">
        <w:rPr>
          <w:snapToGrid w:val="0"/>
          <w:spacing w:val="-2"/>
          <w:kern w:val="22"/>
          <w:lang w:val="es-ES"/>
        </w:rPr>
        <w:t xml:space="preserve"> </w:t>
      </w:r>
      <w:r w:rsidR="00775B5A" w:rsidRPr="00D06DBD">
        <w:rPr>
          <w:snapToGrid w:val="0"/>
          <w:spacing w:val="-2"/>
          <w:kern w:val="22"/>
          <w:lang w:val="es-ES"/>
        </w:rPr>
        <w:t>%)</w:t>
      </w:r>
      <w:r w:rsidR="002E5B45">
        <w:rPr>
          <w:snapToGrid w:val="0"/>
          <w:spacing w:val="-2"/>
          <w:kern w:val="22"/>
          <w:lang w:val="es-ES"/>
        </w:rPr>
        <w:t>;</w:t>
      </w:r>
      <w:r w:rsidR="00775B5A" w:rsidRPr="00D06DBD">
        <w:rPr>
          <w:snapToGrid w:val="0"/>
          <w:spacing w:val="-2"/>
          <w:kern w:val="22"/>
          <w:lang w:val="es-ES"/>
        </w:rPr>
        <w:t xml:space="preserve"> </w:t>
      </w:r>
      <w:r w:rsidR="00477624">
        <w:rPr>
          <w:snapToGrid w:val="0"/>
          <w:kern w:val="22"/>
          <w:lang w:val="es-ES"/>
        </w:rPr>
        <w:t>grupo de Estados de Europa Central y Oriental</w:t>
      </w:r>
      <w:r w:rsidR="002E5B45">
        <w:rPr>
          <w:snapToGrid w:val="0"/>
          <w:kern w:val="22"/>
          <w:lang w:val="es-ES"/>
        </w:rPr>
        <w:t>,</w:t>
      </w:r>
      <w:r w:rsidR="00775B5A" w:rsidRPr="00D06DBD">
        <w:rPr>
          <w:snapToGrid w:val="0"/>
          <w:spacing w:val="-2"/>
          <w:kern w:val="22"/>
          <w:lang w:val="es-ES"/>
        </w:rPr>
        <w:t xml:space="preserve"> 57</w:t>
      </w:r>
      <w:r w:rsidR="00D06DBD">
        <w:rPr>
          <w:snapToGrid w:val="0"/>
          <w:spacing w:val="-2"/>
          <w:kern w:val="22"/>
          <w:lang w:val="es-ES"/>
        </w:rPr>
        <w:t xml:space="preserve"> </w:t>
      </w:r>
      <w:r w:rsidR="00775B5A" w:rsidRPr="00D06DBD">
        <w:rPr>
          <w:snapToGrid w:val="0"/>
          <w:spacing w:val="-2"/>
          <w:kern w:val="22"/>
          <w:lang w:val="es-ES"/>
        </w:rPr>
        <w:t>% (+</w:t>
      </w:r>
      <w:r w:rsidR="00D06DBD">
        <w:rPr>
          <w:snapToGrid w:val="0"/>
          <w:spacing w:val="-2"/>
          <w:kern w:val="22"/>
          <w:lang w:val="es-ES"/>
        </w:rPr>
        <w:t xml:space="preserve"> </w:t>
      </w:r>
      <w:r w:rsidR="00775B5A" w:rsidRPr="00D06DBD">
        <w:rPr>
          <w:snapToGrid w:val="0"/>
          <w:spacing w:val="-2"/>
          <w:kern w:val="22"/>
          <w:lang w:val="es-ES"/>
        </w:rPr>
        <w:t>14</w:t>
      </w:r>
      <w:r w:rsidR="00D06DBD">
        <w:rPr>
          <w:snapToGrid w:val="0"/>
          <w:spacing w:val="-2"/>
          <w:kern w:val="22"/>
          <w:lang w:val="es-ES"/>
        </w:rPr>
        <w:t xml:space="preserve"> </w:t>
      </w:r>
      <w:r w:rsidR="00775B5A" w:rsidRPr="00D06DBD">
        <w:rPr>
          <w:snapToGrid w:val="0"/>
          <w:spacing w:val="-2"/>
          <w:kern w:val="22"/>
          <w:lang w:val="es-ES"/>
        </w:rPr>
        <w:t xml:space="preserve">%). </w:t>
      </w:r>
      <w:r w:rsidR="00D06DBD">
        <w:rPr>
          <w:snapToGrid w:val="0"/>
          <w:spacing w:val="-2"/>
          <w:kern w:val="22"/>
          <w:lang w:val="es-ES"/>
        </w:rPr>
        <w:t xml:space="preserve">Se comunican disminuciones en </w:t>
      </w:r>
      <w:r w:rsidR="00D74010">
        <w:rPr>
          <w:snapToGrid w:val="0"/>
          <w:spacing w:val="-2"/>
          <w:kern w:val="22"/>
          <w:lang w:val="es-ES"/>
        </w:rPr>
        <w:t xml:space="preserve">el </w:t>
      </w:r>
      <w:r w:rsidR="00D74010">
        <w:rPr>
          <w:snapToGrid w:val="0"/>
          <w:kern w:val="22"/>
          <w:lang w:val="es-ES"/>
        </w:rPr>
        <w:t>grupo de países de América Latina y el Caribe</w:t>
      </w:r>
      <w:r w:rsidR="002E5B45">
        <w:rPr>
          <w:snapToGrid w:val="0"/>
          <w:kern w:val="22"/>
          <w:lang w:val="es-ES"/>
        </w:rPr>
        <w:t>,</w:t>
      </w:r>
      <w:r w:rsidR="00775B5A" w:rsidRPr="00D06DBD">
        <w:rPr>
          <w:snapToGrid w:val="0"/>
          <w:spacing w:val="-2"/>
          <w:kern w:val="22"/>
          <w:lang w:val="es-ES"/>
        </w:rPr>
        <w:t xml:space="preserve"> 15</w:t>
      </w:r>
      <w:r w:rsidR="00D06DBD" w:rsidRPr="00D06DBD">
        <w:rPr>
          <w:snapToGrid w:val="0"/>
          <w:spacing w:val="-2"/>
          <w:kern w:val="22"/>
          <w:lang w:val="es-ES"/>
        </w:rPr>
        <w:t xml:space="preserve"> </w:t>
      </w:r>
      <w:r w:rsidR="00775B5A" w:rsidRPr="00D06DBD">
        <w:rPr>
          <w:snapToGrid w:val="0"/>
          <w:spacing w:val="-2"/>
          <w:kern w:val="22"/>
          <w:lang w:val="es-ES"/>
        </w:rPr>
        <w:t>% (-</w:t>
      </w:r>
      <w:r w:rsidR="00D06DBD" w:rsidRPr="00D06DBD">
        <w:rPr>
          <w:snapToGrid w:val="0"/>
          <w:spacing w:val="-2"/>
          <w:kern w:val="22"/>
          <w:lang w:val="es-ES"/>
        </w:rPr>
        <w:t xml:space="preserve"> </w:t>
      </w:r>
      <w:r w:rsidR="00775B5A" w:rsidRPr="00D06DBD">
        <w:rPr>
          <w:snapToGrid w:val="0"/>
          <w:spacing w:val="-2"/>
          <w:kern w:val="22"/>
          <w:lang w:val="es-ES"/>
        </w:rPr>
        <w:t>38</w:t>
      </w:r>
      <w:r w:rsidR="00D06DBD" w:rsidRPr="00D06DBD">
        <w:rPr>
          <w:snapToGrid w:val="0"/>
          <w:spacing w:val="-2"/>
          <w:kern w:val="22"/>
          <w:lang w:val="es-ES"/>
        </w:rPr>
        <w:t xml:space="preserve"> %) y en el grupo de Estados de Europa Occidental y otros</w:t>
      </w:r>
      <w:r w:rsidR="002E5B45">
        <w:rPr>
          <w:snapToGrid w:val="0"/>
          <w:spacing w:val="-2"/>
          <w:kern w:val="22"/>
          <w:lang w:val="es-ES"/>
        </w:rPr>
        <w:t>,</w:t>
      </w:r>
      <w:r w:rsidR="00D06DBD" w:rsidRPr="00D06DBD">
        <w:rPr>
          <w:snapToGrid w:val="0"/>
          <w:spacing w:val="-2"/>
          <w:kern w:val="22"/>
          <w:lang w:val="es-ES"/>
        </w:rPr>
        <w:t xml:space="preserve"> </w:t>
      </w:r>
      <w:r w:rsidR="00775B5A" w:rsidRPr="00D06DBD">
        <w:rPr>
          <w:snapToGrid w:val="0"/>
          <w:spacing w:val="-2"/>
          <w:kern w:val="22"/>
          <w:lang w:val="es-ES"/>
        </w:rPr>
        <w:t>63</w:t>
      </w:r>
      <w:r w:rsidR="00D06DBD">
        <w:rPr>
          <w:snapToGrid w:val="0"/>
          <w:spacing w:val="-2"/>
          <w:kern w:val="22"/>
          <w:lang w:val="es-ES"/>
        </w:rPr>
        <w:t xml:space="preserve"> </w:t>
      </w:r>
      <w:r w:rsidR="00775B5A" w:rsidRPr="00D06DBD">
        <w:rPr>
          <w:snapToGrid w:val="0"/>
          <w:spacing w:val="-2"/>
          <w:kern w:val="22"/>
          <w:lang w:val="es-ES"/>
        </w:rPr>
        <w:t>% (-</w:t>
      </w:r>
      <w:r w:rsidR="00D06DBD">
        <w:rPr>
          <w:snapToGrid w:val="0"/>
          <w:spacing w:val="-2"/>
          <w:kern w:val="22"/>
          <w:lang w:val="es-ES"/>
        </w:rPr>
        <w:t xml:space="preserve"> </w:t>
      </w:r>
      <w:r w:rsidR="00775B5A" w:rsidRPr="00D06DBD">
        <w:rPr>
          <w:snapToGrid w:val="0"/>
          <w:spacing w:val="-2"/>
          <w:kern w:val="22"/>
          <w:lang w:val="es-ES"/>
        </w:rPr>
        <w:t>6</w:t>
      </w:r>
      <w:r w:rsidR="00D06DBD">
        <w:rPr>
          <w:snapToGrid w:val="0"/>
          <w:spacing w:val="-2"/>
          <w:kern w:val="22"/>
          <w:lang w:val="es-ES"/>
        </w:rPr>
        <w:t xml:space="preserve"> </w:t>
      </w:r>
      <w:r w:rsidR="00775B5A" w:rsidRPr="00D06DBD">
        <w:rPr>
          <w:snapToGrid w:val="0"/>
          <w:spacing w:val="-2"/>
          <w:kern w:val="22"/>
          <w:lang w:val="es-ES"/>
        </w:rPr>
        <w:t>%).</w:t>
      </w:r>
    </w:p>
    <w:p w:rsidR="00775B5A" w:rsidRPr="000A3984" w:rsidRDefault="000A3984"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0A3984">
        <w:rPr>
          <w:snapToGrid w:val="0"/>
          <w:spacing w:val="-2"/>
          <w:kern w:val="22"/>
          <w:lang w:val="es-ES"/>
        </w:rPr>
        <w:t xml:space="preserve">En sus contribuciones </w:t>
      </w:r>
      <w:r w:rsidR="00392A95">
        <w:rPr>
          <w:snapToGrid w:val="0"/>
          <w:spacing w:val="-2"/>
          <w:kern w:val="22"/>
          <w:lang w:val="es-ES"/>
        </w:rPr>
        <w:t xml:space="preserve">presentadas </w:t>
      </w:r>
      <w:r w:rsidRPr="000A3984">
        <w:rPr>
          <w:snapToGrid w:val="0"/>
          <w:spacing w:val="-2"/>
          <w:kern w:val="22"/>
          <w:lang w:val="es-ES"/>
        </w:rPr>
        <w:t>por escrito, algunas Partes indicaron que algunos programas estaban dirigidos a destinatarios espec</w:t>
      </w:r>
      <w:r>
        <w:rPr>
          <w:snapToGrid w:val="0"/>
          <w:spacing w:val="-2"/>
          <w:kern w:val="22"/>
          <w:lang w:val="es-ES"/>
        </w:rPr>
        <w:t>íficos</w:t>
      </w:r>
      <w:r w:rsidR="00775B5A" w:rsidRPr="000A3984">
        <w:rPr>
          <w:snapToGrid w:val="0"/>
          <w:spacing w:val="-2"/>
          <w:kern w:val="22"/>
          <w:lang w:val="es-ES"/>
        </w:rPr>
        <w:t xml:space="preserve"> (</w:t>
      </w:r>
      <w:r>
        <w:rPr>
          <w:snapToGrid w:val="0"/>
          <w:spacing w:val="-2"/>
          <w:kern w:val="22"/>
          <w:lang w:val="es-ES"/>
        </w:rPr>
        <w:t>p. ej., los medios de comunicación</w:t>
      </w:r>
      <w:r w:rsidR="00775B5A" w:rsidRPr="000A3984">
        <w:rPr>
          <w:snapToGrid w:val="0"/>
          <w:spacing w:val="-2"/>
          <w:kern w:val="22"/>
          <w:lang w:val="es-ES"/>
        </w:rPr>
        <w:t xml:space="preserve">). </w:t>
      </w:r>
      <w:r w:rsidRPr="000A3984">
        <w:rPr>
          <w:snapToGrid w:val="0"/>
          <w:spacing w:val="-2"/>
          <w:kern w:val="22"/>
          <w:lang w:val="es-ES"/>
        </w:rPr>
        <w:t>Algunas Partes señalaron que se habían elaborado programas de concienciación y divulgaci</w:t>
      </w:r>
      <w:r>
        <w:rPr>
          <w:snapToGrid w:val="0"/>
          <w:spacing w:val="-2"/>
          <w:kern w:val="22"/>
          <w:lang w:val="es-ES"/>
        </w:rPr>
        <w:t>ón para conferencias anuales, exposiciones y sitios web</w:t>
      </w:r>
      <w:r w:rsidR="00775B5A" w:rsidRPr="000A3984">
        <w:rPr>
          <w:snapToGrid w:val="0"/>
          <w:spacing w:val="-2"/>
          <w:kern w:val="22"/>
          <w:lang w:val="es-ES"/>
        </w:rPr>
        <w:t>.</w:t>
      </w:r>
    </w:p>
    <w:p w:rsidR="00775B5A" w:rsidRPr="003A3F51" w:rsidRDefault="0040011E"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3A3F51">
        <w:rPr>
          <w:snapToGrid w:val="0"/>
          <w:spacing w:val="-2"/>
          <w:kern w:val="22"/>
          <w:lang w:val="es-ES"/>
        </w:rPr>
        <w:t xml:space="preserve">En la Encuesta sobre el programa de trabajo, algunos encuestados indicaron que se habían elaborado programas de divulgación </w:t>
      </w:r>
      <w:r w:rsidR="00392A95">
        <w:rPr>
          <w:snapToGrid w:val="0"/>
          <w:spacing w:val="-2"/>
          <w:kern w:val="22"/>
          <w:lang w:val="es-ES"/>
        </w:rPr>
        <w:t>dentro de</w:t>
      </w:r>
      <w:r w:rsidRPr="003A3F51">
        <w:rPr>
          <w:snapToGrid w:val="0"/>
          <w:spacing w:val="-2"/>
          <w:kern w:val="22"/>
          <w:lang w:val="es-ES"/>
        </w:rPr>
        <w:t xml:space="preserve"> un ministerio y que </w:t>
      </w:r>
      <w:r w:rsidR="003A3F51" w:rsidRPr="003A3F51">
        <w:rPr>
          <w:snapToGrid w:val="0"/>
          <w:spacing w:val="-2"/>
          <w:kern w:val="22"/>
          <w:lang w:val="es-ES"/>
        </w:rPr>
        <w:t xml:space="preserve">se </w:t>
      </w:r>
      <w:r w:rsidR="003A3F51">
        <w:rPr>
          <w:snapToGrid w:val="0"/>
          <w:spacing w:val="-2"/>
          <w:kern w:val="22"/>
          <w:lang w:val="es-ES"/>
        </w:rPr>
        <w:t xml:space="preserve">habían elaborado </w:t>
      </w:r>
      <w:r w:rsidRPr="003A3F51">
        <w:rPr>
          <w:snapToGrid w:val="0"/>
          <w:spacing w:val="-2"/>
          <w:kern w:val="22"/>
          <w:lang w:val="es-ES"/>
        </w:rPr>
        <w:t>otros programas</w:t>
      </w:r>
      <w:r w:rsidR="003A3F51">
        <w:rPr>
          <w:snapToGrid w:val="0"/>
          <w:spacing w:val="-2"/>
          <w:kern w:val="22"/>
          <w:lang w:val="es-ES"/>
        </w:rPr>
        <w:t xml:space="preserve"> de divulgación sobre comunicación y cuestiones relacionadas con los medios de comunicación para promover la concienciación sobre la seguridad de la biotecnología</w:t>
      </w:r>
      <w:r w:rsidR="00775B5A" w:rsidRPr="003A3F51">
        <w:rPr>
          <w:snapToGrid w:val="0"/>
          <w:spacing w:val="-2"/>
          <w:kern w:val="22"/>
          <w:lang w:val="es-ES"/>
        </w:rPr>
        <w:t xml:space="preserve">. </w:t>
      </w:r>
      <w:r w:rsidR="003A3F51" w:rsidRPr="003A3F51">
        <w:rPr>
          <w:snapToGrid w:val="0"/>
          <w:spacing w:val="-2"/>
          <w:kern w:val="22"/>
          <w:lang w:val="es-ES"/>
        </w:rPr>
        <w:t xml:space="preserve">Algunos encuestados mencionaron que se habían elaborado programas de concienciación </w:t>
      </w:r>
      <w:r w:rsidR="003A3F51">
        <w:rPr>
          <w:snapToGrid w:val="0"/>
          <w:spacing w:val="-2"/>
          <w:kern w:val="22"/>
          <w:lang w:val="es-ES"/>
        </w:rPr>
        <w:t xml:space="preserve">a este respecto </w:t>
      </w:r>
      <w:r w:rsidR="003A3F51" w:rsidRPr="003A3F51">
        <w:rPr>
          <w:snapToGrid w:val="0"/>
          <w:spacing w:val="-2"/>
          <w:kern w:val="22"/>
          <w:lang w:val="es-ES"/>
        </w:rPr>
        <w:t xml:space="preserve">en colaboración </w:t>
      </w:r>
      <w:r w:rsidR="002E5B45">
        <w:rPr>
          <w:snapToGrid w:val="0"/>
          <w:spacing w:val="-2"/>
          <w:kern w:val="22"/>
          <w:lang w:val="es-ES"/>
        </w:rPr>
        <w:t>con, por ejemplo, organizaciones no gubernamentales</w:t>
      </w:r>
      <w:r w:rsidR="003A3F51">
        <w:rPr>
          <w:snapToGrid w:val="0"/>
          <w:spacing w:val="-2"/>
          <w:kern w:val="22"/>
          <w:lang w:val="es-ES"/>
        </w:rPr>
        <w:t>, la Unión Africana, cooperación interinstitucional, FAO, los medios de comunicación, bibliotecas y redes</w:t>
      </w:r>
      <w:r w:rsidR="00775B5A" w:rsidRPr="003A3F51">
        <w:rPr>
          <w:snapToGrid w:val="0"/>
          <w:spacing w:val="-2"/>
          <w:kern w:val="22"/>
          <w:lang w:val="es-ES"/>
        </w:rPr>
        <w:t>.</w:t>
      </w:r>
    </w:p>
    <w:p w:rsidR="00775B5A" w:rsidRPr="00243A75" w:rsidRDefault="003A3F51"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3A3F51">
        <w:rPr>
          <w:snapToGrid w:val="0"/>
          <w:spacing w:val="-2"/>
          <w:kern w:val="22"/>
          <w:lang w:val="es-ES"/>
        </w:rPr>
        <w:t>Con respecto al</w:t>
      </w:r>
      <w:r w:rsidR="00775B5A" w:rsidRPr="003A3F51">
        <w:rPr>
          <w:snapToGrid w:val="0"/>
          <w:spacing w:val="-2"/>
          <w:kern w:val="22"/>
          <w:lang w:val="es-ES"/>
        </w:rPr>
        <w:t xml:space="preserve"> </w:t>
      </w:r>
      <w:r w:rsidR="00775B5A" w:rsidRPr="003A3F51">
        <w:rPr>
          <w:b/>
          <w:bCs/>
          <w:snapToGrid w:val="0"/>
          <w:spacing w:val="-2"/>
          <w:kern w:val="22"/>
          <w:lang w:val="es-ES"/>
        </w:rPr>
        <w:t>indica</w:t>
      </w:r>
      <w:r w:rsidRPr="003A3F51">
        <w:rPr>
          <w:b/>
          <w:bCs/>
          <w:snapToGrid w:val="0"/>
          <w:spacing w:val="-2"/>
          <w:kern w:val="22"/>
          <w:lang w:val="es-ES"/>
        </w:rPr>
        <w:t>d</w:t>
      </w:r>
      <w:r w:rsidR="00775B5A" w:rsidRPr="003A3F51">
        <w:rPr>
          <w:b/>
          <w:bCs/>
          <w:snapToGrid w:val="0"/>
          <w:spacing w:val="-2"/>
          <w:kern w:val="22"/>
          <w:lang w:val="es-ES"/>
        </w:rPr>
        <w:t>or 5.3.3</w:t>
      </w:r>
      <w:r w:rsidRPr="003A3F51">
        <w:rPr>
          <w:b/>
          <w:bCs/>
          <w:snapToGrid w:val="0"/>
          <w:spacing w:val="-2"/>
          <w:kern w:val="22"/>
          <w:lang w:val="es-ES"/>
        </w:rPr>
        <w:t xml:space="preserve"> </w:t>
      </w:r>
      <w:r w:rsidR="00775B5A" w:rsidRPr="003A3F51">
        <w:rPr>
          <w:snapToGrid w:val="0"/>
          <w:spacing w:val="-2"/>
          <w:kern w:val="22"/>
          <w:lang w:val="es-ES"/>
        </w:rPr>
        <w:t>(</w:t>
      </w:r>
      <w:r w:rsidRPr="003A3F51">
        <w:rPr>
          <w:snapToGrid w:val="0"/>
          <w:spacing w:val="-2"/>
          <w:kern w:val="22"/>
          <w:lang w:val="es-ES"/>
        </w:rPr>
        <w:t xml:space="preserve">el porcentaje de </w:t>
      </w:r>
      <w:r w:rsidR="00775B5A" w:rsidRPr="003A3F51">
        <w:rPr>
          <w:snapToGrid w:val="0"/>
          <w:spacing w:val="-2"/>
          <w:kern w:val="22"/>
          <w:lang w:val="es-ES"/>
        </w:rPr>
        <w:t xml:space="preserve">Partes </w:t>
      </w:r>
      <w:r w:rsidRPr="003A3F51">
        <w:rPr>
          <w:snapToGrid w:val="0"/>
          <w:spacing w:val="-2"/>
          <w:kern w:val="22"/>
          <w:lang w:val="es-ES"/>
        </w:rPr>
        <w:t xml:space="preserve">que ha establecido sitios web nacionales sobre seguridad de la biotecnología, </w:t>
      </w:r>
      <w:r>
        <w:rPr>
          <w:snapToGrid w:val="0"/>
          <w:spacing w:val="-2"/>
          <w:kern w:val="22"/>
          <w:lang w:val="es-ES"/>
        </w:rPr>
        <w:t>como nodos del CIISB nacionales a los que el público puede acceder incluso para hacer búsquedas</w:t>
      </w:r>
      <w:r w:rsidR="00775B5A" w:rsidRPr="003A3F51">
        <w:rPr>
          <w:snapToGrid w:val="0"/>
          <w:spacing w:val="-2"/>
          <w:kern w:val="22"/>
          <w:lang w:val="es-ES"/>
        </w:rPr>
        <w:t xml:space="preserve">), </w:t>
      </w:r>
      <w:bookmarkStart w:id="42" w:name="_Hlk33717515"/>
      <w:r>
        <w:rPr>
          <w:snapToGrid w:val="0"/>
          <w:spacing w:val="-2"/>
          <w:kern w:val="22"/>
          <w:lang w:val="es-ES"/>
        </w:rPr>
        <w:t xml:space="preserve">el </w:t>
      </w:r>
      <w:r w:rsidR="00775B5A" w:rsidRPr="003A3F51">
        <w:rPr>
          <w:snapToGrid w:val="0"/>
          <w:spacing w:val="-2"/>
          <w:kern w:val="22"/>
          <w:lang w:val="es-ES"/>
        </w:rPr>
        <w:t>68</w:t>
      </w:r>
      <w:r>
        <w:rPr>
          <w:snapToGrid w:val="0"/>
          <w:spacing w:val="-2"/>
          <w:kern w:val="22"/>
          <w:lang w:val="es-ES"/>
        </w:rPr>
        <w:t xml:space="preserve"> </w:t>
      </w:r>
      <w:r w:rsidR="00775B5A" w:rsidRPr="003A3F51">
        <w:rPr>
          <w:snapToGrid w:val="0"/>
          <w:spacing w:val="-2"/>
          <w:kern w:val="22"/>
          <w:lang w:val="es-ES"/>
        </w:rPr>
        <w:t xml:space="preserve">% </w:t>
      </w:r>
      <w:r>
        <w:rPr>
          <w:snapToGrid w:val="0"/>
          <w:spacing w:val="-2"/>
          <w:kern w:val="22"/>
          <w:lang w:val="es-ES"/>
        </w:rPr>
        <w:t xml:space="preserve">de las </w:t>
      </w:r>
      <w:r w:rsidR="00775B5A" w:rsidRPr="003A3F51">
        <w:rPr>
          <w:snapToGrid w:val="0"/>
          <w:spacing w:val="-2"/>
          <w:kern w:val="22"/>
          <w:lang w:val="es-ES"/>
        </w:rPr>
        <w:t xml:space="preserve">Partes (63 Partes) </w:t>
      </w:r>
      <w:r>
        <w:rPr>
          <w:snapToGrid w:val="0"/>
          <w:spacing w:val="-2"/>
          <w:kern w:val="22"/>
          <w:lang w:val="es-ES"/>
        </w:rPr>
        <w:t>inform</w:t>
      </w:r>
      <w:r w:rsidR="00392A95">
        <w:rPr>
          <w:snapToGrid w:val="0"/>
          <w:spacing w:val="-2"/>
          <w:kern w:val="22"/>
          <w:lang w:val="es-ES"/>
        </w:rPr>
        <w:t>ó haber</w:t>
      </w:r>
      <w:r>
        <w:rPr>
          <w:snapToGrid w:val="0"/>
          <w:spacing w:val="-2"/>
          <w:kern w:val="22"/>
          <w:lang w:val="es-ES"/>
        </w:rPr>
        <w:t xml:space="preserve"> establ</w:t>
      </w:r>
      <w:r w:rsidR="00906C62">
        <w:rPr>
          <w:snapToGrid w:val="0"/>
          <w:spacing w:val="-2"/>
          <w:kern w:val="22"/>
          <w:lang w:val="es-ES"/>
        </w:rPr>
        <w:t>e</w:t>
      </w:r>
      <w:r>
        <w:rPr>
          <w:snapToGrid w:val="0"/>
          <w:spacing w:val="-2"/>
          <w:kern w:val="22"/>
          <w:lang w:val="es-ES"/>
        </w:rPr>
        <w:t xml:space="preserve">cido un sitio web </w:t>
      </w:r>
      <w:r w:rsidR="00906C62">
        <w:rPr>
          <w:snapToGrid w:val="0"/>
          <w:spacing w:val="-2"/>
          <w:kern w:val="22"/>
          <w:lang w:val="es-ES"/>
        </w:rPr>
        <w:t xml:space="preserve">nacional sobre seguridad de la biotecnología, lo que supone un aumento mínimo de un </w:t>
      </w:r>
      <w:r w:rsidR="00775B5A" w:rsidRPr="003A3F51">
        <w:rPr>
          <w:snapToGrid w:val="0"/>
          <w:spacing w:val="-2"/>
          <w:kern w:val="22"/>
          <w:lang w:val="es-ES"/>
        </w:rPr>
        <w:t>1</w:t>
      </w:r>
      <w:r w:rsidR="00906C62">
        <w:rPr>
          <w:snapToGrid w:val="0"/>
          <w:spacing w:val="-2"/>
          <w:kern w:val="22"/>
          <w:lang w:val="es-ES"/>
        </w:rPr>
        <w:t xml:space="preserve"> </w:t>
      </w:r>
      <w:r w:rsidR="00775B5A" w:rsidRPr="003A3F51">
        <w:rPr>
          <w:snapToGrid w:val="0"/>
          <w:spacing w:val="-2"/>
          <w:kern w:val="22"/>
          <w:lang w:val="es-ES"/>
        </w:rPr>
        <w:t xml:space="preserve">% </w:t>
      </w:r>
      <w:r w:rsidR="00906C62">
        <w:rPr>
          <w:snapToGrid w:val="0"/>
          <w:spacing w:val="-2"/>
          <w:kern w:val="22"/>
          <w:lang w:val="es-ES"/>
        </w:rPr>
        <w:t>con respecto a los datos básicos de referencia</w:t>
      </w:r>
      <w:r w:rsidR="00775B5A" w:rsidRPr="003A3F51">
        <w:rPr>
          <w:snapToGrid w:val="0"/>
          <w:spacing w:val="-2"/>
          <w:kern w:val="22"/>
          <w:lang w:val="es-ES"/>
        </w:rPr>
        <w:t xml:space="preserve">. </w:t>
      </w:r>
      <w:bookmarkEnd w:id="42"/>
      <w:r w:rsidR="00775B5A" w:rsidRPr="00243A75">
        <w:rPr>
          <w:snapToGrid w:val="0"/>
          <w:spacing w:val="-2"/>
          <w:kern w:val="22"/>
          <w:lang w:val="es-ES"/>
        </w:rPr>
        <w:t>A</w:t>
      </w:r>
      <w:r w:rsidR="00906C62" w:rsidRPr="00243A75">
        <w:rPr>
          <w:snapToGrid w:val="0"/>
          <w:spacing w:val="-2"/>
          <w:kern w:val="22"/>
          <w:lang w:val="es-ES"/>
        </w:rPr>
        <w:t xml:space="preserve"> nivel regional, se notificaron aumentos </w:t>
      </w:r>
      <w:r w:rsidR="00243A75" w:rsidRPr="00243A75">
        <w:rPr>
          <w:snapToGrid w:val="0"/>
          <w:spacing w:val="-2"/>
          <w:kern w:val="22"/>
          <w:lang w:val="es-ES"/>
        </w:rPr>
        <w:t xml:space="preserve">en el </w:t>
      </w:r>
      <w:r w:rsidR="00D74010">
        <w:rPr>
          <w:snapToGrid w:val="0"/>
          <w:kern w:val="22"/>
          <w:lang w:val="es-ES"/>
        </w:rPr>
        <w:t>grupo de países de América Latina y el Caribe</w:t>
      </w:r>
      <w:r w:rsidR="002E5B45">
        <w:rPr>
          <w:snapToGrid w:val="0"/>
          <w:spacing w:val="-2"/>
          <w:kern w:val="22"/>
          <w:lang w:val="es-ES"/>
        </w:rPr>
        <w:t xml:space="preserve"> (</w:t>
      </w:r>
      <w:r w:rsidR="00775B5A" w:rsidRPr="00243A75">
        <w:rPr>
          <w:snapToGrid w:val="0"/>
          <w:spacing w:val="-2"/>
          <w:kern w:val="22"/>
          <w:lang w:val="es-ES"/>
        </w:rPr>
        <w:t>+</w:t>
      </w:r>
      <w:r w:rsidR="00243A75" w:rsidRPr="00243A75">
        <w:rPr>
          <w:snapToGrid w:val="0"/>
          <w:spacing w:val="-2"/>
          <w:kern w:val="22"/>
          <w:lang w:val="es-ES"/>
        </w:rPr>
        <w:t xml:space="preserve"> </w:t>
      </w:r>
      <w:r w:rsidR="00775B5A" w:rsidRPr="00243A75">
        <w:rPr>
          <w:snapToGrid w:val="0"/>
          <w:spacing w:val="-2"/>
          <w:kern w:val="22"/>
          <w:lang w:val="es-ES"/>
        </w:rPr>
        <w:t>15</w:t>
      </w:r>
      <w:r w:rsidR="00243A75" w:rsidRPr="00243A75">
        <w:rPr>
          <w:snapToGrid w:val="0"/>
          <w:spacing w:val="-2"/>
          <w:kern w:val="22"/>
          <w:lang w:val="es-ES"/>
        </w:rPr>
        <w:t xml:space="preserve"> </w:t>
      </w:r>
      <w:r w:rsidR="00775B5A" w:rsidRPr="00243A75">
        <w:rPr>
          <w:snapToGrid w:val="0"/>
          <w:spacing w:val="-2"/>
          <w:kern w:val="22"/>
          <w:lang w:val="es-ES"/>
        </w:rPr>
        <w:t>%</w:t>
      </w:r>
      <w:r w:rsidR="002E5B45">
        <w:rPr>
          <w:snapToGrid w:val="0"/>
          <w:spacing w:val="-2"/>
          <w:kern w:val="22"/>
          <w:lang w:val="es-ES"/>
        </w:rPr>
        <w:t>)</w:t>
      </w:r>
      <w:r w:rsidR="00775B5A" w:rsidRPr="00243A75">
        <w:rPr>
          <w:snapToGrid w:val="0"/>
          <w:spacing w:val="-2"/>
          <w:kern w:val="22"/>
          <w:lang w:val="es-ES"/>
        </w:rPr>
        <w:t xml:space="preserve"> </w:t>
      </w:r>
      <w:r w:rsidR="00243A75" w:rsidRPr="00243A75">
        <w:rPr>
          <w:snapToGrid w:val="0"/>
          <w:spacing w:val="-2"/>
          <w:kern w:val="22"/>
          <w:lang w:val="es-ES"/>
        </w:rPr>
        <w:t>y Á</w:t>
      </w:r>
      <w:r w:rsidR="00775B5A" w:rsidRPr="00243A75">
        <w:rPr>
          <w:snapToGrid w:val="0"/>
          <w:spacing w:val="-2"/>
          <w:kern w:val="22"/>
          <w:lang w:val="es-ES"/>
        </w:rPr>
        <w:t xml:space="preserve">frica </w:t>
      </w:r>
      <w:r w:rsidR="002E5B45">
        <w:rPr>
          <w:snapToGrid w:val="0"/>
          <w:spacing w:val="-2"/>
          <w:kern w:val="22"/>
          <w:lang w:val="es-ES"/>
        </w:rPr>
        <w:t>(</w:t>
      </w:r>
      <w:r w:rsidR="00775B5A" w:rsidRPr="00243A75">
        <w:rPr>
          <w:snapToGrid w:val="0"/>
          <w:spacing w:val="-2"/>
          <w:kern w:val="22"/>
          <w:lang w:val="es-ES"/>
        </w:rPr>
        <w:t>+</w:t>
      </w:r>
      <w:r w:rsidR="00243A75" w:rsidRPr="00243A75">
        <w:rPr>
          <w:snapToGrid w:val="0"/>
          <w:spacing w:val="-2"/>
          <w:kern w:val="22"/>
          <w:lang w:val="es-ES"/>
        </w:rPr>
        <w:t xml:space="preserve"> </w:t>
      </w:r>
      <w:r w:rsidR="00775B5A" w:rsidRPr="00243A75">
        <w:rPr>
          <w:snapToGrid w:val="0"/>
          <w:spacing w:val="-2"/>
          <w:kern w:val="22"/>
          <w:lang w:val="es-ES"/>
        </w:rPr>
        <w:t>3</w:t>
      </w:r>
      <w:r w:rsidR="00243A75" w:rsidRPr="00243A75">
        <w:rPr>
          <w:snapToGrid w:val="0"/>
          <w:spacing w:val="-2"/>
          <w:kern w:val="22"/>
          <w:lang w:val="es-ES"/>
        </w:rPr>
        <w:t xml:space="preserve"> %</w:t>
      </w:r>
      <w:r w:rsidR="002E5B45">
        <w:rPr>
          <w:snapToGrid w:val="0"/>
          <w:spacing w:val="-2"/>
          <w:kern w:val="22"/>
          <w:lang w:val="es-ES"/>
        </w:rPr>
        <w:t>)</w:t>
      </w:r>
      <w:r w:rsidR="00243A75" w:rsidRPr="00243A75">
        <w:rPr>
          <w:snapToGrid w:val="0"/>
          <w:spacing w:val="-2"/>
          <w:kern w:val="22"/>
          <w:lang w:val="es-ES"/>
        </w:rPr>
        <w:t>, mientras que se notificó una disminuci</w:t>
      </w:r>
      <w:r w:rsidR="00243A75">
        <w:rPr>
          <w:snapToGrid w:val="0"/>
          <w:spacing w:val="-2"/>
          <w:kern w:val="22"/>
          <w:lang w:val="es-ES"/>
        </w:rPr>
        <w:t xml:space="preserve">ón en </w:t>
      </w:r>
      <w:r w:rsidR="00477624">
        <w:rPr>
          <w:snapToGrid w:val="0"/>
          <w:spacing w:val="-2"/>
          <w:kern w:val="22"/>
          <w:lang w:val="es-ES"/>
        </w:rPr>
        <w:t xml:space="preserve">el </w:t>
      </w:r>
      <w:r w:rsidR="00477624">
        <w:rPr>
          <w:snapToGrid w:val="0"/>
          <w:kern w:val="22"/>
          <w:lang w:val="es-ES"/>
        </w:rPr>
        <w:t>grupo de Estados de Europa Central y Oriental</w:t>
      </w:r>
      <w:r w:rsidR="00775B5A" w:rsidRPr="00243A75">
        <w:rPr>
          <w:snapToGrid w:val="0"/>
          <w:spacing w:val="-2"/>
          <w:kern w:val="22"/>
          <w:lang w:val="es-ES"/>
        </w:rPr>
        <w:t>: -</w:t>
      </w:r>
      <w:r w:rsidR="00243A75">
        <w:rPr>
          <w:snapToGrid w:val="0"/>
          <w:spacing w:val="-2"/>
          <w:kern w:val="22"/>
          <w:lang w:val="es-ES"/>
        </w:rPr>
        <w:t xml:space="preserve"> </w:t>
      </w:r>
      <w:r w:rsidR="00775B5A" w:rsidRPr="00243A75">
        <w:rPr>
          <w:snapToGrid w:val="0"/>
          <w:spacing w:val="-2"/>
          <w:kern w:val="22"/>
          <w:lang w:val="es-ES"/>
        </w:rPr>
        <w:t>13</w:t>
      </w:r>
      <w:r w:rsidR="00243A75">
        <w:rPr>
          <w:snapToGrid w:val="0"/>
          <w:spacing w:val="-2"/>
          <w:kern w:val="22"/>
          <w:lang w:val="es-ES"/>
        </w:rPr>
        <w:t xml:space="preserve"> % y no hubo cambios desde la base de referencia para las regiones de </w:t>
      </w:r>
      <w:r w:rsidR="00775B5A" w:rsidRPr="00243A75">
        <w:rPr>
          <w:snapToGrid w:val="0"/>
          <w:spacing w:val="-2"/>
          <w:kern w:val="22"/>
          <w:lang w:val="es-ES"/>
        </w:rPr>
        <w:t>Asia</w:t>
      </w:r>
      <w:r w:rsidR="00775B5A" w:rsidRPr="00243A75">
        <w:rPr>
          <w:rFonts w:ascii="Angsana New" w:hAnsi="Angsana New" w:cs="Angsana New"/>
          <w:snapToGrid w:val="0"/>
          <w:spacing w:val="-2"/>
          <w:kern w:val="22"/>
          <w:lang w:val="es-ES"/>
        </w:rPr>
        <w:t>-</w:t>
      </w:r>
      <w:r w:rsidR="00243A75">
        <w:rPr>
          <w:snapToGrid w:val="0"/>
          <w:spacing w:val="-2"/>
          <w:kern w:val="22"/>
          <w:lang w:val="es-ES"/>
        </w:rPr>
        <w:t>Pacífico y del grupo de Estados de Europa Occidental y otros</w:t>
      </w:r>
      <w:r w:rsidR="00775B5A" w:rsidRPr="00243A75">
        <w:rPr>
          <w:snapToGrid w:val="0"/>
          <w:spacing w:val="-2"/>
          <w:kern w:val="22"/>
          <w:lang w:val="es-ES"/>
        </w:rPr>
        <w:t>.</w:t>
      </w:r>
    </w:p>
    <w:p w:rsidR="00775B5A" w:rsidRPr="006C3425" w:rsidRDefault="00243A75" w:rsidP="001D4EEE">
      <w:pPr>
        <w:pStyle w:val="ListParagraph"/>
        <w:numPr>
          <w:ilvl w:val="0"/>
          <w:numId w:val="2"/>
        </w:numPr>
        <w:suppressLineNumbers/>
        <w:tabs>
          <w:tab w:val="clear" w:pos="3240"/>
        </w:tabs>
        <w:suppressAutoHyphens/>
        <w:snapToGrid w:val="0"/>
        <w:spacing w:before="120" w:after="120"/>
        <w:ind w:left="0" w:firstLine="0"/>
        <w:rPr>
          <w:rFonts w:ascii="Angsana New" w:hAnsi="Angsana New" w:cs="Angsana New"/>
          <w:snapToGrid w:val="0"/>
          <w:kern w:val="22"/>
          <w:lang w:val="es-ES"/>
        </w:rPr>
      </w:pPr>
      <w:r w:rsidRPr="006C3425">
        <w:rPr>
          <w:snapToGrid w:val="0"/>
          <w:spacing w:val="-2"/>
          <w:kern w:val="22"/>
          <w:lang w:val="es-ES"/>
        </w:rPr>
        <w:t>Por último</w:t>
      </w:r>
      <w:r w:rsidR="00775B5A" w:rsidRPr="006C3425">
        <w:rPr>
          <w:snapToGrid w:val="0"/>
          <w:spacing w:val="-2"/>
          <w:kern w:val="22"/>
          <w:lang w:val="es-ES"/>
        </w:rPr>
        <w:t xml:space="preserve">, </w:t>
      </w:r>
      <w:r w:rsidRPr="006C3425">
        <w:rPr>
          <w:snapToGrid w:val="0"/>
          <w:spacing w:val="-2"/>
          <w:kern w:val="22"/>
          <w:lang w:val="es-ES"/>
        </w:rPr>
        <w:t>en lo que respecta al</w:t>
      </w:r>
      <w:r w:rsidR="00775B5A" w:rsidRPr="006C3425">
        <w:rPr>
          <w:snapToGrid w:val="0"/>
          <w:spacing w:val="-2"/>
          <w:kern w:val="22"/>
          <w:lang w:val="es-ES"/>
        </w:rPr>
        <w:t xml:space="preserve"> </w:t>
      </w:r>
      <w:r w:rsidR="00775B5A" w:rsidRPr="006C3425">
        <w:rPr>
          <w:b/>
          <w:bCs/>
          <w:snapToGrid w:val="0"/>
          <w:spacing w:val="-2"/>
          <w:kern w:val="22"/>
          <w:lang w:val="es-ES"/>
        </w:rPr>
        <w:t>indica</w:t>
      </w:r>
      <w:r w:rsidRPr="006C3425">
        <w:rPr>
          <w:b/>
          <w:bCs/>
          <w:snapToGrid w:val="0"/>
          <w:spacing w:val="-2"/>
          <w:kern w:val="22"/>
          <w:lang w:val="es-ES"/>
        </w:rPr>
        <w:t>d</w:t>
      </w:r>
      <w:r w:rsidR="00775B5A" w:rsidRPr="006C3425">
        <w:rPr>
          <w:b/>
          <w:bCs/>
          <w:snapToGrid w:val="0"/>
          <w:spacing w:val="-2"/>
          <w:kern w:val="22"/>
          <w:lang w:val="es-ES"/>
        </w:rPr>
        <w:t>or 5.3.4</w:t>
      </w:r>
      <w:r w:rsidR="00775B5A" w:rsidRPr="006C3425">
        <w:rPr>
          <w:snapToGrid w:val="0"/>
          <w:spacing w:val="-2"/>
          <w:kern w:val="22"/>
          <w:lang w:val="es-ES"/>
        </w:rPr>
        <w:t xml:space="preserve"> (</w:t>
      </w:r>
      <w:r w:rsidR="006C3425" w:rsidRPr="006C3425">
        <w:rPr>
          <w:snapToGrid w:val="0"/>
          <w:spacing w:val="-2"/>
          <w:kern w:val="22"/>
          <w:lang w:val="es-ES"/>
        </w:rPr>
        <w:t xml:space="preserve">número de </w:t>
      </w:r>
      <w:r w:rsidR="00775B5A" w:rsidRPr="006C3425">
        <w:rPr>
          <w:snapToGrid w:val="0"/>
          <w:spacing w:val="-2"/>
          <w:kern w:val="22"/>
          <w:lang w:val="es-ES"/>
        </w:rPr>
        <w:t xml:space="preserve">Partes </w:t>
      </w:r>
      <w:r w:rsidR="006C3425" w:rsidRPr="006C3425">
        <w:rPr>
          <w:snapToGrid w:val="0"/>
          <w:spacing w:val="-2"/>
          <w:kern w:val="22"/>
          <w:lang w:val="es-ES"/>
        </w:rPr>
        <w:t xml:space="preserve">que cuenta con materiales de concienciación y educación sobre seguridad de la biotecnología y el </w:t>
      </w:r>
      <w:r w:rsidR="00775B5A" w:rsidRPr="006C3425">
        <w:rPr>
          <w:snapToGrid w:val="0"/>
          <w:spacing w:val="-2"/>
          <w:kern w:val="22"/>
          <w:lang w:val="es-ES"/>
        </w:rPr>
        <w:t>Protocol</w:t>
      </w:r>
      <w:r w:rsidR="006C3425" w:rsidRPr="006C3425">
        <w:rPr>
          <w:snapToGrid w:val="0"/>
          <w:spacing w:val="-2"/>
          <w:kern w:val="22"/>
          <w:lang w:val="es-ES"/>
        </w:rPr>
        <w:t>o disponibles a los que puede acceder el p</w:t>
      </w:r>
      <w:r w:rsidR="006C3425">
        <w:rPr>
          <w:snapToGrid w:val="0"/>
          <w:spacing w:val="-2"/>
          <w:kern w:val="22"/>
          <w:lang w:val="es-ES"/>
        </w:rPr>
        <w:t>úblico,</w:t>
      </w:r>
      <w:r w:rsidR="00775B5A" w:rsidRPr="006C3425">
        <w:rPr>
          <w:snapToGrid w:val="0"/>
          <w:spacing w:val="-2"/>
          <w:kern w:val="22"/>
          <w:lang w:val="es-ES"/>
        </w:rPr>
        <w:t xml:space="preserve"> </w:t>
      </w:r>
      <w:r w:rsidR="006C3425">
        <w:rPr>
          <w:snapToGrid w:val="0"/>
          <w:spacing w:val="-2"/>
          <w:kern w:val="22"/>
          <w:lang w:val="es-ES"/>
        </w:rPr>
        <w:t>considerando inclusive la diversidad de dichos materiales</w:t>
      </w:r>
      <w:r w:rsidR="00775B5A" w:rsidRPr="006C3425">
        <w:rPr>
          <w:snapToGrid w:val="0"/>
          <w:spacing w:val="-2"/>
          <w:kern w:val="22"/>
          <w:lang w:val="es-ES"/>
        </w:rPr>
        <w:t xml:space="preserve">), </w:t>
      </w:r>
      <w:bookmarkStart w:id="43" w:name="_Hlk33717535"/>
      <w:r w:rsidR="006C3425">
        <w:rPr>
          <w:snapToGrid w:val="0"/>
          <w:spacing w:val="-2"/>
          <w:kern w:val="22"/>
          <w:lang w:val="es-ES"/>
        </w:rPr>
        <w:t xml:space="preserve">el </w:t>
      </w:r>
      <w:r w:rsidR="00775B5A" w:rsidRPr="006C3425">
        <w:rPr>
          <w:snapToGrid w:val="0"/>
          <w:spacing w:val="-2"/>
          <w:kern w:val="22"/>
          <w:lang w:val="es-ES"/>
        </w:rPr>
        <w:t>77</w:t>
      </w:r>
      <w:r w:rsidR="006C3425">
        <w:rPr>
          <w:snapToGrid w:val="0"/>
          <w:spacing w:val="-2"/>
          <w:kern w:val="22"/>
          <w:lang w:val="es-ES"/>
        </w:rPr>
        <w:t xml:space="preserve"> </w:t>
      </w:r>
      <w:r w:rsidR="00775B5A" w:rsidRPr="006C3425">
        <w:rPr>
          <w:snapToGrid w:val="0"/>
          <w:spacing w:val="-2"/>
          <w:kern w:val="22"/>
          <w:lang w:val="es-ES"/>
        </w:rPr>
        <w:t xml:space="preserve">% </w:t>
      </w:r>
      <w:r w:rsidR="006C3425">
        <w:rPr>
          <w:snapToGrid w:val="0"/>
          <w:spacing w:val="-2"/>
          <w:kern w:val="22"/>
          <w:lang w:val="es-ES"/>
        </w:rPr>
        <w:t>de las Part</w:t>
      </w:r>
      <w:r w:rsidR="00775B5A" w:rsidRPr="006C3425">
        <w:rPr>
          <w:snapToGrid w:val="0"/>
          <w:spacing w:val="-2"/>
          <w:kern w:val="22"/>
          <w:lang w:val="es-ES"/>
        </w:rPr>
        <w:t xml:space="preserve">es (55 Partes) </w:t>
      </w:r>
      <w:r w:rsidR="006C3425">
        <w:rPr>
          <w:snapToGrid w:val="0"/>
          <w:spacing w:val="-2"/>
          <w:kern w:val="22"/>
          <w:lang w:val="es-ES"/>
        </w:rPr>
        <w:t xml:space="preserve">comunicó que los materiales didácticos o los módulos en línea están a disposición del público en sus países, lo que representa un aumento de un </w:t>
      </w:r>
      <w:r w:rsidR="00775B5A" w:rsidRPr="006C3425">
        <w:rPr>
          <w:snapToGrid w:val="0"/>
          <w:spacing w:val="-2"/>
          <w:kern w:val="22"/>
          <w:lang w:val="es-ES"/>
        </w:rPr>
        <w:t>15</w:t>
      </w:r>
      <w:r w:rsidR="006C3425">
        <w:rPr>
          <w:snapToGrid w:val="0"/>
          <w:spacing w:val="-2"/>
          <w:kern w:val="22"/>
          <w:lang w:val="es-ES"/>
        </w:rPr>
        <w:t xml:space="preserve"> </w:t>
      </w:r>
      <w:r w:rsidR="00775B5A" w:rsidRPr="006C3425">
        <w:rPr>
          <w:snapToGrid w:val="0"/>
          <w:spacing w:val="-2"/>
          <w:kern w:val="22"/>
          <w:lang w:val="es-ES"/>
        </w:rPr>
        <w:t>%</w:t>
      </w:r>
      <w:bookmarkEnd w:id="43"/>
      <w:r w:rsidR="00775B5A" w:rsidRPr="006C3425">
        <w:rPr>
          <w:snapToGrid w:val="0"/>
          <w:spacing w:val="-2"/>
          <w:kern w:val="22"/>
          <w:lang w:val="es-ES"/>
        </w:rPr>
        <w:t xml:space="preserve"> (</w:t>
      </w:r>
      <w:r w:rsidR="006C3425">
        <w:rPr>
          <w:snapToGrid w:val="0"/>
          <w:spacing w:val="-2"/>
          <w:kern w:val="22"/>
          <w:lang w:val="es-ES"/>
        </w:rPr>
        <w:t xml:space="preserve">véase también el </w:t>
      </w:r>
      <w:r w:rsidR="00775B5A" w:rsidRPr="006C3425">
        <w:rPr>
          <w:b/>
          <w:bCs/>
          <w:snapToGrid w:val="0"/>
          <w:spacing w:val="-2"/>
          <w:kern w:val="22"/>
          <w:lang w:val="es-ES"/>
        </w:rPr>
        <w:t>indica</w:t>
      </w:r>
      <w:r w:rsidR="006C3425">
        <w:rPr>
          <w:b/>
          <w:bCs/>
          <w:snapToGrid w:val="0"/>
          <w:spacing w:val="-2"/>
          <w:kern w:val="22"/>
          <w:lang w:val="es-ES"/>
        </w:rPr>
        <w:t>d</w:t>
      </w:r>
      <w:r w:rsidR="00775B5A" w:rsidRPr="006C3425">
        <w:rPr>
          <w:b/>
          <w:bCs/>
          <w:snapToGrid w:val="0"/>
          <w:spacing w:val="-2"/>
          <w:kern w:val="22"/>
          <w:lang w:val="es-ES"/>
        </w:rPr>
        <w:t>or</w:t>
      </w:r>
      <w:r w:rsidR="00392A95">
        <w:rPr>
          <w:b/>
          <w:bCs/>
          <w:snapToGrid w:val="0"/>
          <w:spacing w:val="-2"/>
          <w:kern w:val="22"/>
          <w:lang w:val="es-ES"/>
        </w:rPr>
        <w:t xml:space="preserve"> </w:t>
      </w:r>
      <w:r w:rsidR="00775B5A" w:rsidRPr="006C3425">
        <w:rPr>
          <w:b/>
          <w:bCs/>
          <w:snapToGrid w:val="0"/>
          <w:spacing w:val="-2"/>
          <w:kern w:val="22"/>
          <w:lang w:val="es-ES"/>
        </w:rPr>
        <w:t>2.7.2</w:t>
      </w:r>
      <w:r w:rsidR="006C3425">
        <w:rPr>
          <w:snapToGrid w:val="0"/>
          <w:spacing w:val="-2"/>
          <w:kern w:val="22"/>
          <w:lang w:val="es-ES"/>
        </w:rPr>
        <w:t xml:space="preserve"> </w:t>
      </w:r>
      <w:r w:rsidR="006C3425">
        <w:rPr>
          <w:i/>
          <w:snapToGrid w:val="0"/>
          <w:spacing w:val="-2"/>
          <w:kern w:val="22"/>
          <w:lang w:val="es-ES"/>
        </w:rPr>
        <w:t>supra</w:t>
      </w:r>
      <w:r w:rsidR="00775B5A" w:rsidRPr="006C3425">
        <w:rPr>
          <w:snapToGrid w:val="0"/>
          <w:spacing w:val="-2"/>
          <w:kern w:val="22"/>
          <w:lang w:val="es-ES"/>
        </w:rPr>
        <w:t>)</w:t>
      </w:r>
      <w:r w:rsidR="00775B5A" w:rsidRPr="006C3425">
        <w:rPr>
          <w:rFonts w:ascii="Angsana New" w:hAnsi="Angsana New" w:cs="Angsana New"/>
          <w:snapToGrid w:val="0"/>
          <w:spacing w:val="-2"/>
          <w:kern w:val="22"/>
          <w:lang w:val="es-ES"/>
        </w:rPr>
        <w:t>.</w:t>
      </w:r>
    </w:p>
    <w:p w:rsidR="00775B5A" w:rsidRPr="006C3425" w:rsidRDefault="006C3425" w:rsidP="001D4EEE">
      <w:pPr>
        <w:pStyle w:val="ListParagraph"/>
        <w:numPr>
          <w:ilvl w:val="0"/>
          <w:numId w:val="2"/>
        </w:numPr>
        <w:suppressLineNumbers/>
        <w:tabs>
          <w:tab w:val="clear" w:pos="3240"/>
        </w:tabs>
        <w:suppressAutoHyphens/>
        <w:snapToGrid w:val="0"/>
        <w:spacing w:before="120" w:after="120"/>
        <w:ind w:left="0" w:firstLine="0"/>
        <w:rPr>
          <w:snapToGrid w:val="0"/>
          <w:spacing w:val="-2"/>
          <w:kern w:val="22"/>
          <w:lang w:val="es-ES"/>
        </w:rPr>
      </w:pPr>
      <w:r w:rsidRPr="006C3425">
        <w:rPr>
          <w:snapToGrid w:val="0"/>
          <w:spacing w:val="-2"/>
          <w:kern w:val="22"/>
          <w:lang w:val="es-ES"/>
        </w:rPr>
        <w:t xml:space="preserve">En la </w:t>
      </w:r>
      <w:r w:rsidR="002E5B45">
        <w:rPr>
          <w:snapToGrid w:val="0"/>
          <w:spacing w:val="-2"/>
          <w:kern w:val="22"/>
          <w:lang w:val="es-ES"/>
        </w:rPr>
        <w:t>e</w:t>
      </w:r>
      <w:r w:rsidRPr="006C3425">
        <w:rPr>
          <w:snapToGrid w:val="0"/>
          <w:spacing w:val="-2"/>
          <w:kern w:val="22"/>
          <w:lang w:val="es-ES"/>
        </w:rPr>
        <w:t>ncuesta sobre el programa de trabajo, alrededor de un tercio de los encuestados indicó que había compartido materiales sobre concienciaci</w:t>
      </w:r>
      <w:r>
        <w:rPr>
          <w:snapToGrid w:val="0"/>
          <w:spacing w:val="-2"/>
          <w:kern w:val="22"/>
          <w:lang w:val="es-ES"/>
        </w:rPr>
        <w:t>ón, educación y participación del público a través del C</w:t>
      </w:r>
      <w:r w:rsidR="002E5B45">
        <w:rPr>
          <w:snapToGrid w:val="0"/>
          <w:spacing w:val="-2"/>
          <w:kern w:val="22"/>
          <w:lang w:val="es-ES"/>
        </w:rPr>
        <w:t>IISB</w:t>
      </w:r>
      <w:r w:rsidR="00775B5A" w:rsidRPr="006C3425">
        <w:rPr>
          <w:snapToGrid w:val="0"/>
          <w:spacing w:val="-2"/>
          <w:kern w:val="22"/>
          <w:lang w:val="es-ES"/>
        </w:rPr>
        <w:t xml:space="preserve">. </w:t>
      </w:r>
      <w:r w:rsidRPr="006C3425">
        <w:rPr>
          <w:snapToGrid w:val="0"/>
          <w:spacing w:val="-2"/>
          <w:kern w:val="22"/>
          <w:lang w:val="es-ES"/>
        </w:rPr>
        <w:t>La mayoría de los encuestados especificó que esos materiales estaban relacionados con legislaci</w:t>
      </w:r>
      <w:r>
        <w:rPr>
          <w:snapToGrid w:val="0"/>
          <w:spacing w:val="-2"/>
          <w:kern w:val="22"/>
          <w:lang w:val="es-ES"/>
        </w:rPr>
        <w:t>ón, notificaciones, aprobaciones, pero también incluían presentaciones, noticias e infografías</w:t>
      </w:r>
      <w:r w:rsidR="00775B5A" w:rsidRPr="006C3425">
        <w:rPr>
          <w:snapToGrid w:val="0"/>
          <w:spacing w:val="-2"/>
          <w:kern w:val="22"/>
          <w:lang w:val="es-ES"/>
        </w:rPr>
        <w:t>. A</w:t>
      </w:r>
      <w:r w:rsidRPr="006C3425">
        <w:rPr>
          <w:snapToGrid w:val="0"/>
          <w:spacing w:val="-2"/>
          <w:kern w:val="22"/>
          <w:lang w:val="es-ES"/>
        </w:rPr>
        <w:t>proximadamente la mitad de las Partes que</w:t>
      </w:r>
      <w:r>
        <w:rPr>
          <w:snapToGrid w:val="0"/>
          <w:spacing w:val="-2"/>
          <w:kern w:val="22"/>
          <w:lang w:val="es-ES"/>
        </w:rPr>
        <w:t xml:space="preserve"> habían indicado haber </w:t>
      </w:r>
      <w:r w:rsidRPr="006C3425">
        <w:rPr>
          <w:snapToGrid w:val="0"/>
          <w:spacing w:val="-2"/>
          <w:kern w:val="22"/>
          <w:lang w:val="es-ES"/>
        </w:rPr>
        <w:t xml:space="preserve">compartido materiales, </w:t>
      </w:r>
      <w:r>
        <w:rPr>
          <w:snapToGrid w:val="0"/>
          <w:spacing w:val="-2"/>
          <w:kern w:val="22"/>
          <w:lang w:val="es-ES"/>
        </w:rPr>
        <w:t>especifica</w:t>
      </w:r>
      <w:r w:rsidRPr="006C3425">
        <w:rPr>
          <w:snapToGrid w:val="0"/>
          <w:spacing w:val="-2"/>
          <w:kern w:val="22"/>
          <w:lang w:val="es-ES"/>
        </w:rPr>
        <w:t>ron que los habían compartido en idiomas nacionales o locales</w:t>
      </w:r>
      <w:r w:rsidR="00775B5A" w:rsidRPr="006C3425">
        <w:rPr>
          <w:snapToGrid w:val="0"/>
          <w:spacing w:val="-2"/>
          <w:kern w:val="22"/>
          <w:lang w:val="es-ES"/>
        </w:rPr>
        <w:t>.</w:t>
      </w:r>
    </w:p>
    <w:p w:rsidR="00775B5A" w:rsidRPr="006C3425" w:rsidRDefault="00775B5A" w:rsidP="00F56DEB">
      <w:pPr>
        <w:spacing w:afterLines="60" w:after="144"/>
        <w:jc w:val="center"/>
        <w:rPr>
          <w:rFonts w:ascii="Angsana New" w:hAnsi="Angsana New" w:cs="Angsana New"/>
          <w:snapToGrid w:val="0"/>
          <w:kern w:val="22"/>
          <w:lang w:val="es-ES"/>
        </w:rPr>
      </w:pPr>
    </w:p>
    <w:p w:rsidR="00775B5A" w:rsidRDefault="00775B5A" w:rsidP="00F56DEB">
      <w:pPr>
        <w:tabs>
          <w:tab w:val="left" w:pos="851"/>
        </w:tabs>
        <w:spacing w:afterLines="60" w:after="144"/>
        <w:ind w:left="851"/>
        <w:jc w:val="center"/>
        <w:rPr>
          <w:rFonts w:ascii="Angsana New" w:hAnsi="Angsana New" w:cs="Angsana New"/>
          <w:snapToGrid w:val="0"/>
          <w:kern w:val="22"/>
        </w:rPr>
      </w:pPr>
      <w:r>
        <w:rPr>
          <w:rFonts w:ascii="Angsana New" w:hAnsi="Angsana New" w:cs="Angsana New"/>
          <w:snapToGrid w:val="0"/>
          <w:kern w:val="22"/>
        </w:rPr>
        <w:t>__________</w:t>
      </w:r>
    </w:p>
    <w:sectPr w:rsidR="00775B5A" w:rsidSect="00775B5A">
      <w:headerReference w:type="even" r:id="rId22"/>
      <w:headerReference w:type="default" r:id="rId23"/>
      <w:footerReference w:type="first" r:id="rId24"/>
      <w:pgSz w:w="12240" w:h="15840"/>
      <w:pgMar w:top="567" w:right="1440" w:bottom="1134"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07E" w:rsidRDefault="0095007E">
      <w:pPr>
        <w:rPr>
          <w:rFonts w:ascii="Angsana New" w:hAnsi="Angsana New" w:cs="Angsana New"/>
        </w:rPr>
      </w:pPr>
      <w:r>
        <w:rPr>
          <w:rFonts w:ascii="Angsana New" w:hAnsi="Angsana New" w:cs="Angsana New"/>
        </w:rPr>
        <w:separator/>
      </w:r>
    </w:p>
  </w:endnote>
  <w:endnote w:type="continuationSeparator" w:id="0">
    <w:p w:rsidR="0095007E" w:rsidRDefault="0095007E">
      <w:pPr>
        <w:rPr>
          <w:rFonts w:ascii="Angsana New" w:hAnsi="Angsana New" w:cs="Angsana New"/>
        </w:rPr>
      </w:pPr>
      <w:r>
        <w:rPr>
          <w:rFonts w:ascii="Angsana New" w:hAnsi="Angsana New" w:cs="Angsana New"/>
        </w:rPr>
        <w:continuationSeparator/>
      </w:r>
    </w:p>
  </w:endnote>
  <w:endnote w:type="continuationNotice" w:id="1">
    <w:p w:rsidR="0095007E" w:rsidRDefault="0095007E">
      <w:pPr>
        <w:rPr>
          <w:rFonts w:ascii="Angsana New" w:hAnsi="Angsana New" w:cs="Angsana Ne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1F4" w:rsidRPr="0095007E" w:rsidRDefault="002E21F4">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07E" w:rsidRDefault="0095007E">
      <w:pPr>
        <w:rPr>
          <w:rFonts w:ascii="Angsana New" w:hAnsi="Angsana New" w:cs="Angsana New"/>
        </w:rPr>
      </w:pPr>
      <w:r>
        <w:rPr>
          <w:rFonts w:ascii="Angsana New" w:hAnsi="Angsana New" w:cs="Angsana New"/>
        </w:rPr>
        <w:separator/>
      </w:r>
    </w:p>
  </w:footnote>
  <w:footnote w:type="continuationSeparator" w:id="0">
    <w:p w:rsidR="0095007E" w:rsidRDefault="0095007E">
      <w:pPr>
        <w:rPr>
          <w:rFonts w:ascii="Angsana New" w:hAnsi="Angsana New" w:cs="Angsana New"/>
        </w:rPr>
      </w:pPr>
      <w:r>
        <w:rPr>
          <w:rFonts w:ascii="Angsana New" w:hAnsi="Angsana New" w:cs="Angsana New"/>
        </w:rPr>
        <w:continuationSeparator/>
      </w:r>
    </w:p>
  </w:footnote>
  <w:footnote w:type="continuationNotice" w:id="1">
    <w:p w:rsidR="0095007E" w:rsidRDefault="0095007E">
      <w:pPr>
        <w:rPr>
          <w:rFonts w:ascii="Angsana New" w:hAnsi="Angsana New" w:cs="Angsana New"/>
        </w:rPr>
      </w:pPr>
    </w:p>
  </w:footnote>
  <w:footnote w:id="2">
    <w:p w:rsidR="002E21F4" w:rsidRPr="0095007E" w:rsidRDefault="002E21F4">
      <w:pPr>
        <w:pStyle w:val="FootnoteText"/>
      </w:pPr>
      <w:r>
        <w:rPr>
          <w:rStyle w:val="FootnoteReference"/>
        </w:rPr>
        <w:t>*</w:t>
      </w:r>
      <w:r>
        <w:rPr>
          <w:lang w:val="en-US"/>
        </w:rPr>
        <w:t>CBD/SBI/3/1.</w:t>
      </w:r>
    </w:p>
  </w:footnote>
  <w:footnote w:id="3">
    <w:p w:rsidR="002E21F4" w:rsidRPr="0095007E" w:rsidRDefault="002E21F4">
      <w:pPr>
        <w:pStyle w:val="FootnoteText"/>
      </w:pPr>
      <w:r w:rsidRPr="0095007E">
        <w:rPr>
          <w:rStyle w:val="FootnoteReference"/>
        </w:rPr>
        <w:footnoteRef/>
      </w:r>
      <w:hyperlink r:id="rId1" w:history="1">
        <w:r>
          <w:rPr>
            <w:rStyle w:val="Hyperlink"/>
          </w:rPr>
          <w:t>https://beta.bch.cbd.int/register/NR4</w:t>
        </w:r>
      </w:hyperlink>
    </w:p>
  </w:footnote>
  <w:footnote w:id="4">
    <w:p w:rsidR="002E21F4" w:rsidRPr="0095007E" w:rsidRDefault="002E21F4">
      <w:pPr>
        <w:pStyle w:val="FootnoteText"/>
      </w:pPr>
      <w:r w:rsidRPr="0095007E">
        <w:rPr>
          <w:rStyle w:val="FootnoteReference"/>
        </w:rPr>
        <w:footnoteRef/>
      </w:r>
      <w:proofErr w:type="spellStart"/>
      <w:r>
        <w:rPr>
          <w:lang w:val="en-CA"/>
        </w:rPr>
        <w:t>Véase</w:t>
      </w:r>
      <w:proofErr w:type="spellEnd"/>
      <w:r>
        <w:rPr>
          <w:lang w:val="en-CA"/>
        </w:rPr>
        <w:t xml:space="preserve"> CBD/CP/CC/17/INF/1 y CBD/CP/LG/2020/1/INF/1. </w:t>
      </w:r>
    </w:p>
  </w:footnote>
  <w:footnote w:id="5">
    <w:p w:rsidR="002E21F4" w:rsidRPr="0095007E" w:rsidRDefault="002E21F4">
      <w:pPr>
        <w:pStyle w:val="FootnoteText"/>
        <w:rPr>
          <w:lang w:val="es-ES"/>
        </w:rPr>
      </w:pPr>
      <w:r w:rsidRPr="0095007E">
        <w:rPr>
          <w:rStyle w:val="FootnoteReference"/>
          <w:sz w:val="18"/>
          <w:szCs w:val="18"/>
        </w:rPr>
        <w:footnoteRef/>
      </w:r>
      <w:hyperlink r:id="rId2" w:history="1">
        <w:r w:rsidRPr="00EC2231">
          <w:rPr>
            <w:sz w:val="18"/>
            <w:szCs w:val="18"/>
            <w:lang w:val="es-ES"/>
          </w:rPr>
          <w:t>En la notificación 2019-19</w:t>
        </w:r>
      </w:hyperlink>
      <w:r w:rsidRPr="00EC2231">
        <w:rPr>
          <w:sz w:val="18"/>
          <w:szCs w:val="18"/>
          <w:lang w:val="es-ES"/>
        </w:rPr>
        <w:t xml:space="preserve"> emitida el 13 de febrero de 2019 se invitaba a las Partes a presentar sus cuartos informes nacionales no más tarde del 1 de octubre de 2019.</w:t>
      </w:r>
    </w:p>
  </w:footnote>
  <w:footnote w:id="6">
    <w:p w:rsidR="002E21F4" w:rsidRPr="0095007E" w:rsidRDefault="002E21F4">
      <w:pPr>
        <w:pStyle w:val="FootnoteText"/>
        <w:rPr>
          <w:lang w:val="es-ES"/>
        </w:rPr>
      </w:pPr>
      <w:r w:rsidRPr="0095007E">
        <w:rPr>
          <w:rStyle w:val="FootnoteReference"/>
          <w:sz w:val="18"/>
          <w:szCs w:val="18"/>
        </w:rPr>
        <w:footnoteRef/>
      </w:r>
      <w:r w:rsidRPr="00EC2231">
        <w:rPr>
          <w:sz w:val="18"/>
          <w:szCs w:val="18"/>
          <w:lang w:val="es-ES"/>
        </w:rPr>
        <w:t>Para apoyar el análisis se utilizaron otras fuentes de información, como datos de encuestas. Por ejemplo, la “encuesta sobre indicadores clave del programa de trabajo sobre concienciación, educación y participación del público en relación con los organismos vivos modificados</w:t>
      </w:r>
      <w:r w:rsidRPr="00EC2231">
        <w:rPr>
          <w:snapToGrid w:val="0"/>
          <w:kern w:val="22"/>
          <w:sz w:val="18"/>
          <w:szCs w:val="18"/>
          <w:lang w:val="es-ES"/>
        </w:rPr>
        <w:t>” se utilizó para apoyar el análisis que se proporciona en las secciones III k) y III l)</w:t>
      </w:r>
      <w:r w:rsidRPr="00EC2231">
        <w:rPr>
          <w:sz w:val="18"/>
          <w:szCs w:val="18"/>
          <w:lang w:val="es-ES"/>
        </w:rPr>
        <w:t xml:space="preserve">. En los casos en que se utilizaron fuentes de información adicionales, esas fuentes se han identificado mediante referencias en el presente documento. </w:t>
      </w:r>
    </w:p>
  </w:footnote>
  <w:footnote w:id="7">
    <w:p w:rsidR="002E21F4" w:rsidRPr="0095007E" w:rsidRDefault="002E21F4">
      <w:pPr>
        <w:pStyle w:val="FootnoteText"/>
        <w:snapToGrid w:val="0"/>
        <w:spacing w:after="60"/>
        <w:rPr>
          <w:lang w:val="es-ES"/>
        </w:rPr>
      </w:pPr>
      <w:r w:rsidRPr="0095007E">
        <w:rPr>
          <w:rStyle w:val="FootnoteReference"/>
          <w:kern w:val="18"/>
          <w:sz w:val="18"/>
          <w:szCs w:val="18"/>
        </w:rPr>
        <w:footnoteRef/>
      </w:r>
      <w:r w:rsidRPr="00EC2231">
        <w:rPr>
          <w:kern w:val="18"/>
          <w:sz w:val="18"/>
          <w:szCs w:val="18"/>
          <w:lang w:val="es-ES"/>
        </w:rPr>
        <w:t xml:space="preserve">El análisis que constituyó la base de referencia se realizó utilizando los segundos informes nacionales recibidos hasta el 31 de diciembre de 2011 (UNEP/CBD/BS/COP-MOP/6/17/Add.1). La encuesta se llevó a cabo en 2013 y un total de 109 Partes respondieron a la misma. Los resultados de la encuesta están disponibles en </w:t>
      </w:r>
      <w:hyperlink r:id="rId3" w:history="1">
        <w:r w:rsidRPr="00EC2231">
          <w:rPr>
            <w:rStyle w:val="Hyperlink"/>
            <w:kern w:val="18"/>
            <w:sz w:val="18"/>
            <w:szCs w:val="18"/>
            <w:lang w:val="es-ES"/>
          </w:rPr>
          <w:t>http://bch.cbd.int/database/reports/surveyonindicators.shtml</w:t>
        </w:r>
      </w:hyperlink>
      <w:r w:rsidRPr="00EC2231">
        <w:rPr>
          <w:kern w:val="18"/>
          <w:sz w:val="18"/>
          <w:szCs w:val="18"/>
          <w:lang w:val="es-ES"/>
        </w:rPr>
        <w:t>.</w:t>
      </w:r>
    </w:p>
  </w:footnote>
  <w:footnote w:id="8">
    <w:p w:rsidR="002E21F4" w:rsidRPr="0095007E" w:rsidRDefault="002E21F4">
      <w:pPr>
        <w:pStyle w:val="FootnoteText"/>
        <w:tabs>
          <w:tab w:val="left" w:pos="270"/>
        </w:tabs>
        <w:snapToGrid w:val="0"/>
        <w:spacing w:after="60"/>
        <w:rPr>
          <w:lang w:val="es-ES"/>
        </w:rPr>
      </w:pPr>
      <w:r w:rsidRPr="0095007E">
        <w:rPr>
          <w:rStyle w:val="FootnoteReference"/>
          <w:snapToGrid w:val="0"/>
          <w:kern w:val="18"/>
          <w:sz w:val="18"/>
          <w:szCs w:val="18"/>
        </w:rPr>
        <w:footnoteRef/>
      </w:r>
      <w:r w:rsidRPr="00EC2231">
        <w:rPr>
          <w:sz w:val="18"/>
          <w:szCs w:val="18"/>
          <w:lang w:val="es-ES"/>
        </w:rPr>
        <w:t xml:space="preserve">La herramienta de análisis de informes está disponible en </w:t>
      </w:r>
      <w:hyperlink r:id="rId4" w:history="1">
        <w:r w:rsidRPr="00EC2231">
          <w:rPr>
            <w:rStyle w:val="Hyperlink"/>
            <w:snapToGrid w:val="0"/>
            <w:kern w:val="18"/>
            <w:sz w:val="18"/>
            <w:szCs w:val="18"/>
            <w:lang w:val="es-ES"/>
          </w:rPr>
          <w:t>http://bch.cbd.int/database/reports/analyzer</w:t>
        </w:r>
      </w:hyperlink>
      <w:r w:rsidRPr="00EC2231">
        <w:rPr>
          <w:snapToGrid w:val="0"/>
          <w:kern w:val="18"/>
          <w:sz w:val="18"/>
          <w:szCs w:val="18"/>
          <w:lang w:val="es-ES"/>
        </w:rPr>
        <w:t>. La herramienta facilita la comparación de la información proporcionada en los cuartos, terceros y segundos informes nacionales, así como en la encuesta.</w:t>
      </w:r>
    </w:p>
  </w:footnote>
  <w:footnote w:id="9">
    <w:p w:rsidR="002E21F4" w:rsidRPr="0095007E" w:rsidRDefault="002E21F4">
      <w:pPr>
        <w:pStyle w:val="FootnoteText"/>
        <w:rPr>
          <w:lang w:val="es-ES"/>
        </w:rPr>
      </w:pPr>
      <w:r w:rsidRPr="0095007E">
        <w:rPr>
          <w:rStyle w:val="FootnoteReference"/>
          <w:sz w:val="18"/>
          <w:szCs w:val="18"/>
        </w:rPr>
        <w:footnoteRef/>
      </w:r>
      <w:r w:rsidRPr="00EC2231">
        <w:rPr>
          <w:sz w:val="18"/>
          <w:szCs w:val="18"/>
          <w:lang w:val="es-ES"/>
        </w:rPr>
        <w:t xml:space="preserve">Una matriz en la que se detalla la fuente de información sobre la que se analizó cada indicador puede consultarse en </w:t>
      </w:r>
      <w:hyperlink r:id="rId5" w:history="1">
        <w:r w:rsidRPr="00EC2231">
          <w:rPr>
            <w:rStyle w:val="Hyperlink"/>
            <w:sz w:val="18"/>
            <w:szCs w:val="18"/>
            <w:lang w:val="es-ES"/>
          </w:rPr>
          <w:t>http://bch.cbd.int/protocol/issues/final_evaluation.shtml</w:t>
        </w:r>
      </w:hyperlink>
      <w:r w:rsidRPr="00EC2231">
        <w:rPr>
          <w:snapToGrid w:val="0"/>
          <w:kern w:val="18"/>
          <w:sz w:val="18"/>
          <w:szCs w:val="18"/>
          <w:lang w:val="es-ES"/>
        </w:rPr>
        <w:t>.</w:t>
      </w:r>
    </w:p>
  </w:footnote>
  <w:footnote w:id="10">
    <w:p w:rsidR="002E21F4" w:rsidRPr="0095007E" w:rsidRDefault="002E21F4">
      <w:pPr>
        <w:pStyle w:val="FootnoteText"/>
        <w:rPr>
          <w:lang w:val="es-ES"/>
        </w:rPr>
      </w:pPr>
      <w:r w:rsidRPr="0095007E">
        <w:rPr>
          <w:rStyle w:val="FootnoteReference"/>
          <w:sz w:val="18"/>
          <w:szCs w:val="18"/>
        </w:rPr>
        <w:footnoteRef/>
      </w:r>
      <w:r w:rsidRPr="00EC2231">
        <w:rPr>
          <w:sz w:val="18"/>
          <w:szCs w:val="18"/>
          <w:lang w:val="es-ES"/>
        </w:rPr>
        <w:t>El análisis comparativo de la información para la tercera evaluación y revisión del Protocolo y la evaluación a mitad de período del Plan Estratégico se basaba en un número total de 105 terceros informes nacionales; véase: UNEP/CBD/SBI/1/4.</w:t>
      </w:r>
    </w:p>
  </w:footnote>
  <w:footnote w:id="11">
    <w:p w:rsidR="002E21F4" w:rsidRPr="0095007E" w:rsidRDefault="002E21F4">
      <w:pPr>
        <w:pStyle w:val="FootnoteText"/>
        <w:rPr>
          <w:lang w:val="es-ES"/>
        </w:rPr>
      </w:pPr>
      <w:r w:rsidRPr="0095007E">
        <w:rPr>
          <w:rStyle w:val="FootnoteReference"/>
        </w:rPr>
        <w:footnoteRef/>
      </w:r>
      <w:r w:rsidRPr="00EC2231">
        <w:rPr>
          <w:sz w:val="18"/>
          <w:szCs w:val="18"/>
          <w:lang w:val="es-ES"/>
        </w:rPr>
        <w:t xml:space="preserve">Por ejemplo, si algunas Partes de una región determinada han informado sobre progresos en una cuestión en concreto, en el análisis no se mostrará si el mismo número de Partes de esa región informó sobre lo contrario. </w:t>
      </w:r>
    </w:p>
  </w:footnote>
  <w:footnote w:id="12">
    <w:p w:rsidR="002E21F4" w:rsidRPr="0095007E" w:rsidRDefault="002E21F4">
      <w:pPr>
        <w:pStyle w:val="FootnoteText"/>
        <w:snapToGrid w:val="0"/>
        <w:spacing w:after="60"/>
        <w:rPr>
          <w:lang w:val="es-ES"/>
        </w:rPr>
      </w:pPr>
      <w:r w:rsidRPr="0095007E">
        <w:rPr>
          <w:rStyle w:val="FootnoteReference"/>
          <w:snapToGrid w:val="0"/>
          <w:kern w:val="18"/>
          <w:sz w:val="18"/>
          <w:szCs w:val="18"/>
        </w:rPr>
        <w:footnoteRef/>
      </w:r>
      <w:r w:rsidRPr="00EC2231">
        <w:rPr>
          <w:snapToGrid w:val="0"/>
          <w:kern w:val="18"/>
          <w:sz w:val="18"/>
          <w:szCs w:val="18"/>
          <w:lang w:val="es-ES"/>
        </w:rPr>
        <w:t xml:space="preserve"> Para facilitar la consulta, en el presente documento se utilizó el sistema de numeración del Plan Estratégico en el CIISB, como figura aquí </w:t>
      </w:r>
      <w:hyperlink r:id="rId6" w:anchor="elements" w:history="1">
        <w:r w:rsidRPr="00EC2231">
          <w:rPr>
            <w:rStyle w:val="Hyperlink"/>
            <w:snapToGrid w:val="0"/>
            <w:kern w:val="18"/>
            <w:sz w:val="18"/>
            <w:szCs w:val="18"/>
            <w:lang w:val="es-ES"/>
          </w:rPr>
          <w:t>http://bch.cbd.int/protocol/issues/cpb_stplan_txt.shtml#elements</w:t>
        </w:r>
      </w:hyperlink>
      <w:r w:rsidRPr="00EC2231">
        <w:rPr>
          <w:snapToGrid w:val="0"/>
          <w:kern w:val="18"/>
          <w:sz w:val="18"/>
          <w:szCs w:val="18"/>
          <w:lang w:val="es-ES"/>
        </w:rPr>
        <w:t>.</w:t>
      </w:r>
    </w:p>
  </w:footnote>
  <w:footnote w:id="13">
    <w:p w:rsidR="002E21F4" w:rsidRPr="0095007E" w:rsidRDefault="002E21F4">
      <w:pPr>
        <w:pStyle w:val="FootnoteText"/>
        <w:rPr>
          <w:lang w:val="es-ES"/>
        </w:rPr>
      </w:pPr>
      <w:r w:rsidRPr="0095007E">
        <w:rPr>
          <w:rStyle w:val="FootnoteReference"/>
          <w:sz w:val="18"/>
          <w:szCs w:val="18"/>
        </w:rPr>
        <w:footnoteRef/>
      </w:r>
      <w:r w:rsidRPr="00EC2231">
        <w:rPr>
          <w:sz w:val="18"/>
          <w:szCs w:val="18"/>
          <w:lang w:val="es-ES"/>
        </w:rPr>
        <w:t xml:space="preserve"> Costa de Marfil, Emiratos Árabes Unidos, Irak, Kuwait. </w:t>
      </w:r>
    </w:p>
  </w:footnote>
  <w:footnote w:id="14">
    <w:p w:rsidR="002E21F4" w:rsidRPr="0095007E" w:rsidRDefault="002E21F4">
      <w:pPr>
        <w:pStyle w:val="FootnoteText"/>
        <w:rPr>
          <w:lang w:val="es-ES"/>
        </w:rPr>
      </w:pPr>
      <w:r w:rsidRPr="0095007E">
        <w:rPr>
          <w:rStyle w:val="FootnoteReference"/>
          <w:sz w:val="18"/>
          <w:szCs w:val="18"/>
        </w:rPr>
        <w:footnoteRef/>
      </w:r>
      <w:r w:rsidRPr="00EC2231">
        <w:rPr>
          <w:sz w:val="18"/>
          <w:szCs w:val="18"/>
          <w:lang w:val="es-ES"/>
        </w:rPr>
        <w:t>Uzbekistán.</w:t>
      </w:r>
    </w:p>
  </w:footnote>
  <w:footnote w:id="15">
    <w:p w:rsidR="002E21F4" w:rsidRPr="0095007E" w:rsidRDefault="002E21F4">
      <w:pPr>
        <w:pStyle w:val="FootnoteText"/>
        <w:rPr>
          <w:lang w:val="es-ES"/>
        </w:rPr>
      </w:pPr>
      <w:r w:rsidRPr="0095007E">
        <w:rPr>
          <w:rStyle w:val="FootnoteReference"/>
          <w:sz w:val="18"/>
          <w:szCs w:val="18"/>
        </w:rPr>
        <w:footnoteRef/>
      </w:r>
      <w:r w:rsidRPr="00EC2231">
        <w:rPr>
          <w:sz w:val="18"/>
          <w:szCs w:val="18"/>
          <w:lang w:val="es-ES"/>
        </w:rPr>
        <w:t>Costa de Marfil e Irak presentaron sus cuartos informes nacionales.</w:t>
      </w:r>
      <w:r>
        <w:rPr>
          <w:sz w:val="18"/>
          <w:szCs w:val="18"/>
          <w:lang w:val="es-ES"/>
        </w:rPr>
        <w:t xml:space="preserve"> Puesto </w:t>
      </w:r>
      <w:r w:rsidRPr="00EC2231">
        <w:rPr>
          <w:sz w:val="18"/>
          <w:szCs w:val="18"/>
          <w:lang w:val="es-ES"/>
        </w:rPr>
        <w:t xml:space="preserve">que no se dispone de </w:t>
      </w:r>
      <w:r>
        <w:rPr>
          <w:sz w:val="18"/>
          <w:szCs w:val="18"/>
          <w:lang w:val="es-ES"/>
        </w:rPr>
        <w:t xml:space="preserve">los </w:t>
      </w:r>
      <w:r w:rsidRPr="00EC2231">
        <w:rPr>
          <w:sz w:val="18"/>
          <w:szCs w:val="18"/>
          <w:lang w:val="es-ES"/>
        </w:rPr>
        <w:t>segundos informes nacionales de ninguna de estas Partes, los datos proporcionados en sus cuartos informes nacionales no influyen en el análisis comparativo.</w:t>
      </w:r>
    </w:p>
  </w:footnote>
  <w:footnote w:id="16">
    <w:p w:rsidR="002E21F4" w:rsidRPr="0095007E" w:rsidRDefault="002E21F4">
      <w:pPr>
        <w:pStyle w:val="FootnoteText"/>
        <w:snapToGrid w:val="0"/>
        <w:spacing w:after="60"/>
        <w:rPr>
          <w:lang w:val="es-ES"/>
        </w:rPr>
      </w:pPr>
      <w:r w:rsidRPr="0095007E">
        <w:rPr>
          <w:rStyle w:val="FootnoteReference"/>
          <w:snapToGrid w:val="0"/>
          <w:kern w:val="18"/>
          <w:sz w:val="18"/>
          <w:szCs w:val="18"/>
        </w:rPr>
        <w:footnoteRef/>
      </w:r>
      <w:r w:rsidRPr="00EC2231">
        <w:rPr>
          <w:snapToGrid w:val="0"/>
          <w:kern w:val="18"/>
          <w:sz w:val="18"/>
          <w:szCs w:val="18"/>
          <w:lang w:val="es-ES"/>
        </w:rPr>
        <w:t xml:space="preserve"> Bangladés, Bosnia-Herzegovina, Camboya, China, Costa Rica, Croacia, Ecuador, Egipto, Eslovenia, España, Etiopía, Francia, India, Indonesia, Italia, Kazajistán, Malasia, México, Perú, República de Corea,</w:t>
      </w:r>
      <w:r>
        <w:rPr>
          <w:snapToGrid w:val="0"/>
          <w:kern w:val="18"/>
          <w:sz w:val="18"/>
          <w:szCs w:val="18"/>
          <w:lang w:val="es-ES"/>
        </w:rPr>
        <w:t xml:space="preserve"> República Democrática Popular Lao,</w:t>
      </w:r>
      <w:r w:rsidRPr="00EC2231">
        <w:rPr>
          <w:snapToGrid w:val="0"/>
          <w:kern w:val="18"/>
          <w:sz w:val="18"/>
          <w:szCs w:val="18"/>
          <w:lang w:val="es-ES"/>
        </w:rPr>
        <w:t xml:space="preserve"> Tailandia, Turquía, Vietnam.</w:t>
      </w:r>
    </w:p>
  </w:footnote>
  <w:footnote w:id="17">
    <w:p w:rsidR="002E21F4" w:rsidRPr="0095007E" w:rsidRDefault="002E21F4">
      <w:pPr>
        <w:pStyle w:val="FootnoteText"/>
        <w:rPr>
          <w:lang w:val="es-ES"/>
        </w:rPr>
      </w:pPr>
      <w:r w:rsidRPr="0095007E">
        <w:rPr>
          <w:rStyle w:val="FootnoteReference"/>
          <w:sz w:val="18"/>
          <w:szCs w:val="18"/>
        </w:rPr>
        <w:footnoteRef/>
      </w:r>
      <w:r w:rsidRPr="00EC2231">
        <w:rPr>
          <w:sz w:val="18"/>
          <w:szCs w:val="18"/>
          <w:lang w:val="es-ES"/>
        </w:rPr>
        <w:t>Como la pregunta permite múltiples respuestas, se proporciona una comparación en números totales, no en porcentajes.</w:t>
      </w:r>
    </w:p>
  </w:footnote>
  <w:footnote w:id="18">
    <w:p w:rsidR="002E21F4" w:rsidRPr="0095007E" w:rsidRDefault="002E21F4">
      <w:pPr>
        <w:pStyle w:val="FootnoteText"/>
        <w:rPr>
          <w:lang w:val="es-ES"/>
        </w:rPr>
      </w:pPr>
      <w:r w:rsidRPr="0095007E">
        <w:rPr>
          <w:rStyle w:val="FootnoteReference"/>
          <w:sz w:val="18"/>
          <w:szCs w:val="18"/>
        </w:rPr>
        <w:footnoteRef/>
      </w:r>
      <w:bookmarkStart w:id="3" w:name="_Hlk30771187"/>
      <w:r w:rsidRPr="00EC2231">
        <w:rPr>
          <w:snapToGrid w:val="0"/>
          <w:kern w:val="18"/>
          <w:sz w:val="18"/>
          <w:szCs w:val="18"/>
          <w:lang w:val="es-ES"/>
        </w:rPr>
        <w:t xml:space="preserve">No fue posible responder </w:t>
      </w:r>
      <w:r w:rsidRPr="00C97D71">
        <w:rPr>
          <w:snapToGrid w:val="0"/>
          <w:kern w:val="18"/>
          <w:sz w:val="18"/>
          <w:szCs w:val="18"/>
          <w:lang w:val="es-ES"/>
        </w:rPr>
        <w:t>“en cierta medida” a la</w:t>
      </w:r>
      <w:r w:rsidRPr="00EC2231">
        <w:rPr>
          <w:snapToGrid w:val="0"/>
          <w:kern w:val="18"/>
          <w:sz w:val="18"/>
          <w:szCs w:val="18"/>
          <w:lang w:val="es-ES"/>
        </w:rPr>
        <w:t xml:space="preserve"> pregunta conexa en el segundo informe nacional. Esto puede haber afectado a los cambios notificados en comparación con los datos básicos de referencia.</w:t>
      </w:r>
      <w:bookmarkEnd w:id="3"/>
    </w:p>
  </w:footnote>
  <w:footnote w:id="19">
    <w:p w:rsidR="002E21F4" w:rsidRPr="0095007E" w:rsidRDefault="002E21F4">
      <w:pPr>
        <w:pStyle w:val="FootnoteText"/>
        <w:rPr>
          <w:lang w:val="es-ES"/>
        </w:rPr>
      </w:pPr>
      <w:r w:rsidRPr="0095007E">
        <w:rPr>
          <w:rStyle w:val="FootnoteReference"/>
        </w:rPr>
        <w:footnoteRef/>
      </w:r>
      <w:r w:rsidRPr="00EC2231">
        <w:rPr>
          <w:sz w:val="18"/>
          <w:szCs w:val="18"/>
          <w:lang w:val="es-ES"/>
        </w:rPr>
        <w:t xml:space="preserve">Debido al redondeo de los decimales, la suma de los porcentajes es del 14 % en lugar del 15 %. </w:t>
      </w:r>
    </w:p>
  </w:footnote>
  <w:footnote w:id="20">
    <w:p w:rsidR="002E21F4" w:rsidRPr="0095007E" w:rsidRDefault="002E21F4">
      <w:pPr>
        <w:pStyle w:val="FootnoteText"/>
        <w:snapToGrid w:val="0"/>
        <w:spacing w:after="60"/>
        <w:rPr>
          <w:lang w:val="es-ES"/>
        </w:rPr>
      </w:pPr>
      <w:r w:rsidRPr="0095007E">
        <w:rPr>
          <w:rStyle w:val="FootnoteReference"/>
          <w:snapToGrid w:val="0"/>
          <w:kern w:val="18"/>
          <w:sz w:val="18"/>
          <w:szCs w:val="18"/>
        </w:rPr>
        <w:footnoteRef/>
      </w:r>
      <w:r w:rsidRPr="00EC2231">
        <w:rPr>
          <w:snapToGrid w:val="0"/>
          <w:kern w:val="18"/>
          <w:sz w:val="18"/>
          <w:szCs w:val="18"/>
          <w:lang w:val="es-ES"/>
        </w:rPr>
        <w:t xml:space="preserve"> Por ejemplo, las preguntas 17, 18 y 109 del cuarto formato de presentación de informes nacionales. Además,  la pregunta 39 hace referencia a medidas administrativas en relación con la toma de decisiones sobre OVM, lo cual se ha tratado más arriba, en el objetivo operacional 1.1.</w:t>
      </w:r>
    </w:p>
  </w:footnote>
  <w:footnote w:id="21">
    <w:p w:rsidR="002E21F4" w:rsidRPr="0095007E" w:rsidRDefault="002E21F4">
      <w:pPr>
        <w:pStyle w:val="FootnoteText"/>
        <w:rPr>
          <w:lang w:val="es-ES"/>
        </w:rPr>
      </w:pPr>
      <w:r w:rsidRPr="0095007E">
        <w:rPr>
          <w:rStyle w:val="FootnoteReference"/>
          <w:sz w:val="18"/>
          <w:szCs w:val="18"/>
        </w:rPr>
        <w:footnoteRef/>
      </w:r>
      <w:r w:rsidRPr="00A20286">
        <w:rPr>
          <w:sz w:val="18"/>
          <w:szCs w:val="18"/>
          <w:lang w:val="es-ES"/>
        </w:rPr>
        <w:t>El formato para el Segundo informe nacional no ofrecía la opción de responder “S</w:t>
      </w:r>
      <w:r>
        <w:rPr>
          <w:sz w:val="18"/>
          <w:szCs w:val="18"/>
          <w:lang w:val="es-ES"/>
        </w:rPr>
        <w:t>í, en cierta medida</w:t>
      </w:r>
      <w:r w:rsidRPr="00A20286">
        <w:rPr>
          <w:sz w:val="18"/>
          <w:szCs w:val="18"/>
          <w:lang w:val="es-ES"/>
        </w:rPr>
        <w:t>”.</w:t>
      </w:r>
    </w:p>
  </w:footnote>
  <w:footnote w:id="22">
    <w:p w:rsidR="002E21F4" w:rsidRPr="0095007E" w:rsidRDefault="002E21F4">
      <w:pPr>
        <w:pStyle w:val="FootnoteText"/>
        <w:rPr>
          <w:lang w:val="es-ES"/>
        </w:rPr>
      </w:pPr>
      <w:r w:rsidRPr="0095007E">
        <w:rPr>
          <w:rStyle w:val="FootnoteReference"/>
        </w:rPr>
        <w:footnoteRef/>
      </w:r>
      <w:r w:rsidRPr="00A86571">
        <w:rPr>
          <w:sz w:val="18"/>
          <w:szCs w:val="18"/>
          <w:lang w:val="es-ES"/>
        </w:rPr>
        <w:t>No se proporcionó información sobre si el número de personal era suficiente en los segundos informes nacionales para la base de referencia.</w:t>
      </w:r>
    </w:p>
  </w:footnote>
  <w:footnote w:id="23">
    <w:p w:rsidR="002E21F4" w:rsidRPr="0095007E" w:rsidRDefault="002E21F4">
      <w:pPr>
        <w:pStyle w:val="FootnoteText"/>
        <w:rPr>
          <w:lang w:val="es-ES"/>
        </w:rPr>
      </w:pPr>
      <w:r w:rsidRPr="0095007E">
        <w:rPr>
          <w:rStyle w:val="FootnoteReference"/>
          <w:sz w:val="18"/>
          <w:szCs w:val="18"/>
        </w:rPr>
        <w:footnoteRef/>
      </w:r>
      <w:r w:rsidRPr="000C3FA0">
        <w:rPr>
          <w:snapToGrid w:val="0"/>
          <w:kern w:val="18"/>
          <w:sz w:val="18"/>
          <w:szCs w:val="18"/>
          <w:lang w:val="es-ES"/>
        </w:rPr>
        <w:t xml:space="preserve">No </w:t>
      </w:r>
      <w:r>
        <w:rPr>
          <w:snapToGrid w:val="0"/>
          <w:kern w:val="18"/>
          <w:sz w:val="18"/>
          <w:szCs w:val="18"/>
          <w:lang w:val="es-ES"/>
        </w:rPr>
        <w:t>fue</w:t>
      </w:r>
      <w:r w:rsidRPr="000C3FA0">
        <w:rPr>
          <w:snapToGrid w:val="0"/>
          <w:kern w:val="18"/>
          <w:sz w:val="18"/>
          <w:szCs w:val="18"/>
          <w:lang w:val="es-ES"/>
        </w:rPr>
        <w:t xml:space="preserve"> posible responder “</w:t>
      </w:r>
      <w:r>
        <w:rPr>
          <w:snapToGrid w:val="0"/>
          <w:kern w:val="18"/>
          <w:sz w:val="18"/>
          <w:szCs w:val="18"/>
          <w:lang w:val="es-ES"/>
        </w:rPr>
        <w:t>e</w:t>
      </w:r>
      <w:r w:rsidRPr="000C3FA0">
        <w:rPr>
          <w:snapToGrid w:val="0"/>
          <w:kern w:val="18"/>
          <w:sz w:val="18"/>
          <w:szCs w:val="18"/>
          <w:lang w:val="es-ES"/>
        </w:rPr>
        <w:t xml:space="preserve">n cierta medida” a la pregunta correspondiente en el segundo informe nacional. </w:t>
      </w:r>
      <w:r>
        <w:rPr>
          <w:snapToGrid w:val="0"/>
          <w:kern w:val="18"/>
          <w:sz w:val="18"/>
          <w:szCs w:val="18"/>
          <w:lang w:val="es-ES"/>
        </w:rPr>
        <w:t>Esto puede haber afectado a los cambios notificados en comparación con los datos básicos de referencia</w:t>
      </w:r>
      <w:r w:rsidRPr="000C3FA0">
        <w:rPr>
          <w:snapToGrid w:val="0"/>
          <w:kern w:val="18"/>
          <w:sz w:val="18"/>
          <w:szCs w:val="18"/>
          <w:lang w:val="es-ES"/>
        </w:rPr>
        <w:t>.</w:t>
      </w:r>
    </w:p>
  </w:footnote>
  <w:footnote w:id="24">
    <w:p w:rsidR="002E21F4" w:rsidRPr="0095007E" w:rsidRDefault="002E21F4">
      <w:pPr>
        <w:pStyle w:val="FootnoteText"/>
        <w:rPr>
          <w:lang w:val="es-ES"/>
        </w:rPr>
      </w:pPr>
      <w:r w:rsidRPr="0095007E">
        <w:rPr>
          <w:rStyle w:val="FootnoteReference"/>
          <w:sz w:val="18"/>
          <w:szCs w:val="18"/>
        </w:rPr>
        <w:footnoteRef/>
      </w:r>
      <w:r w:rsidRPr="008D6832">
        <w:rPr>
          <w:sz w:val="18"/>
          <w:szCs w:val="18"/>
          <w:lang w:val="es-ES"/>
        </w:rPr>
        <w:t xml:space="preserve">En las preguntas 71 a) y 71 b) se pregunta si los países han adoptado o utilizado algún documento de orientación con el fin de realizar una evaluación </w:t>
      </w:r>
      <w:r>
        <w:rPr>
          <w:sz w:val="18"/>
          <w:szCs w:val="18"/>
          <w:lang w:val="es-ES"/>
        </w:rPr>
        <w:t>o gestión de riesgos</w:t>
      </w:r>
      <w:r w:rsidRPr="008D6832">
        <w:rPr>
          <w:sz w:val="18"/>
          <w:szCs w:val="18"/>
          <w:lang w:val="es-ES"/>
        </w:rPr>
        <w:t>, o</w:t>
      </w:r>
      <w:r>
        <w:rPr>
          <w:sz w:val="18"/>
          <w:szCs w:val="18"/>
          <w:lang w:val="es-ES"/>
        </w:rPr>
        <w:t xml:space="preserve"> para evaluar los informes de evaluación de riesgos presentados por los notificantes y se ofrecen las siguientes posibles respuestas</w:t>
      </w:r>
      <w:r w:rsidRPr="008D6832">
        <w:rPr>
          <w:sz w:val="18"/>
          <w:szCs w:val="18"/>
          <w:lang w:val="es-ES"/>
        </w:rPr>
        <w:t xml:space="preserve">: a) </w:t>
      </w:r>
      <w:r>
        <w:rPr>
          <w:sz w:val="18"/>
          <w:szCs w:val="18"/>
          <w:lang w:val="es-ES"/>
        </w:rPr>
        <w:t>evaluación de riesgos</w:t>
      </w:r>
      <w:r w:rsidRPr="008D6832">
        <w:rPr>
          <w:sz w:val="18"/>
          <w:szCs w:val="18"/>
          <w:lang w:val="es-ES"/>
        </w:rPr>
        <w:t xml:space="preserve"> (</w:t>
      </w:r>
      <w:r>
        <w:rPr>
          <w:sz w:val="18"/>
          <w:szCs w:val="18"/>
          <w:lang w:val="es-ES"/>
        </w:rPr>
        <w:t>sí</w:t>
      </w:r>
      <w:r w:rsidRPr="008D6832">
        <w:rPr>
          <w:sz w:val="18"/>
          <w:szCs w:val="18"/>
          <w:lang w:val="es-ES"/>
        </w:rPr>
        <w:t xml:space="preserve">/no); b) </w:t>
      </w:r>
      <w:r>
        <w:rPr>
          <w:sz w:val="18"/>
          <w:szCs w:val="18"/>
          <w:lang w:val="es-ES"/>
        </w:rPr>
        <w:t>gestión de riesgos</w:t>
      </w:r>
      <w:r w:rsidRPr="008D6832">
        <w:rPr>
          <w:sz w:val="18"/>
          <w:szCs w:val="18"/>
          <w:lang w:val="es-ES"/>
        </w:rPr>
        <w:t xml:space="preserve"> (</w:t>
      </w:r>
      <w:r>
        <w:rPr>
          <w:sz w:val="18"/>
          <w:szCs w:val="18"/>
          <w:lang w:val="es-ES"/>
        </w:rPr>
        <w:t>sí</w:t>
      </w:r>
      <w:r w:rsidRPr="008D6832">
        <w:rPr>
          <w:sz w:val="18"/>
          <w:szCs w:val="18"/>
          <w:lang w:val="es-ES"/>
        </w:rPr>
        <w:t xml:space="preserve">/no). </w:t>
      </w:r>
    </w:p>
  </w:footnote>
  <w:footnote w:id="25">
    <w:p w:rsidR="002E21F4" w:rsidRPr="0095007E" w:rsidRDefault="002E21F4">
      <w:pPr>
        <w:pStyle w:val="FootnoteText"/>
        <w:rPr>
          <w:lang w:val="es-ES"/>
        </w:rPr>
      </w:pPr>
      <w:r w:rsidRPr="0095007E">
        <w:rPr>
          <w:rStyle w:val="FootnoteReference"/>
          <w:sz w:val="18"/>
          <w:szCs w:val="18"/>
        </w:rPr>
        <w:footnoteRef/>
      </w:r>
      <w:r w:rsidRPr="00F8524F">
        <w:rPr>
          <w:sz w:val="18"/>
          <w:szCs w:val="18"/>
          <w:lang w:val="es-ES"/>
        </w:rPr>
        <w:t>La Orientación sobre la evaluación de riesgos de los OVM</w:t>
      </w:r>
      <w:r>
        <w:rPr>
          <w:sz w:val="18"/>
          <w:szCs w:val="18"/>
          <w:lang w:val="es-ES"/>
        </w:rPr>
        <w:t xml:space="preserve"> no estaba disponible todavía en el momento de la creación de la base de referencia</w:t>
      </w:r>
      <w:r w:rsidRPr="00F8524F">
        <w:rPr>
          <w:sz w:val="18"/>
          <w:szCs w:val="18"/>
          <w:lang w:val="es-ES"/>
        </w:rPr>
        <w:t>. Por este motivo, la información proporcionada sobre este indicador en los cu</w:t>
      </w:r>
      <w:r>
        <w:rPr>
          <w:sz w:val="18"/>
          <w:szCs w:val="18"/>
          <w:lang w:val="es-ES"/>
        </w:rPr>
        <w:t>artos</w:t>
      </w:r>
      <w:r w:rsidRPr="00F8524F">
        <w:rPr>
          <w:sz w:val="18"/>
          <w:szCs w:val="18"/>
          <w:lang w:val="es-ES"/>
        </w:rPr>
        <w:t xml:space="preserve"> informes nacionales se compar</w:t>
      </w:r>
      <w:r>
        <w:rPr>
          <w:sz w:val="18"/>
          <w:szCs w:val="18"/>
          <w:lang w:val="es-ES"/>
        </w:rPr>
        <w:t>ó con información proporcionada en la pregunta 86 del tercer informe nacional</w:t>
      </w:r>
      <w:r w:rsidRPr="00F8524F">
        <w:rPr>
          <w:sz w:val="18"/>
          <w:szCs w:val="18"/>
          <w:lang w:val="es-ES"/>
        </w:rPr>
        <w:t>.</w:t>
      </w:r>
    </w:p>
  </w:footnote>
  <w:footnote w:id="26">
    <w:p w:rsidR="002E21F4" w:rsidRPr="0095007E" w:rsidRDefault="002E21F4">
      <w:pPr>
        <w:pStyle w:val="FootnoteText"/>
        <w:rPr>
          <w:lang w:val="es-ES"/>
        </w:rPr>
      </w:pPr>
      <w:r w:rsidRPr="0095007E">
        <w:rPr>
          <w:rStyle w:val="FootnoteReference"/>
          <w:sz w:val="18"/>
          <w:szCs w:val="18"/>
        </w:rPr>
        <w:footnoteRef/>
      </w:r>
      <w:r>
        <w:rPr>
          <w:sz w:val="18"/>
          <w:szCs w:val="18"/>
          <w:lang w:val="es-ES"/>
        </w:rPr>
        <w:t>En el segundo informe nacional n</w:t>
      </w:r>
      <w:r w:rsidRPr="00F8524F">
        <w:rPr>
          <w:sz w:val="18"/>
          <w:szCs w:val="18"/>
          <w:lang w:val="es-ES"/>
        </w:rPr>
        <w:t>o se proporcionó información sobre el número de evaluaciones de riesgos realizadas.</w:t>
      </w:r>
    </w:p>
  </w:footnote>
  <w:footnote w:id="27">
    <w:p w:rsidR="002E21F4" w:rsidRPr="0095007E" w:rsidRDefault="002E21F4">
      <w:pPr>
        <w:pStyle w:val="FootnoteText"/>
        <w:rPr>
          <w:lang w:val="es-ES"/>
        </w:rPr>
      </w:pPr>
      <w:r w:rsidRPr="0095007E">
        <w:rPr>
          <w:rStyle w:val="FootnoteReference"/>
          <w:sz w:val="18"/>
          <w:szCs w:val="18"/>
        </w:rPr>
        <w:footnoteRef/>
      </w:r>
      <w:r w:rsidRPr="00585883">
        <w:rPr>
          <w:sz w:val="18"/>
          <w:szCs w:val="18"/>
          <w:lang w:val="es-ES"/>
        </w:rPr>
        <w:t>Para ello, s</w:t>
      </w:r>
      <w:r>
        <w:rPr>
          <w:sz w:val="18"/>
          <w:szCs w:val="18"/>
          <w:lang w:val="es-ES"/>
        </w:rPr>
        <w:t xml:space="preserve">e consideraron </w:t>
      </w:r>
      <w:r w:rsidRPr="00740C42">
        <w:rPr>
          <w:sz w:val="18"/>
          <w:szCs w:val="18"/>
          <w:lang w:val="es-ES"/>
        </w:rPr>
        <w:t>las decisiones de las Partes relativas al movimiento transfronterizo de OVM para su introducción intencional en el medio ambiente (con arreglo al art</w:t>
      </w:r>
      <w:r>
        <w:rPr>
          <w:sz w:val="18"/>
          <w:szCs w:val="18"/>
          <w:lang w:val="es-ES"/>
        </w:rPr>
        <w:t xml:space="preserve">ículo </w:t>
      </w:r>
      <w:r w:rsidRPr="00740C42">
        <w:rPr>
          <w:sz w:val="18"/>
          <w:szCs w:val="18"/>
          <w:lang w:val="es-ES"/>
        </w:rPr>
        <w:t xml:space="preserve">10 </w:t>
      </w:r>
      <w:r>
        <w:rPr>
          <w:sz w:val="18"/>
          <w:szCs w:val="18"/>
          <w:lang w:val="es-ES"/>
        </w:rPr>
        <w:t xml:space="preserve">del </w:t>
      </w:r>
      <w:r w:rsidRPr="00740C42">
        <w:rPr>
          <w:sz w:val="18"/>
          <w:szCs w:val="18"/>
          <w:lang w:val="es-ES"/>
        </w:rPr>
        <w:t>Protocol</w:t>
      </w:r>
      <w:r>
        <w:rPr>
          <w:sz w:val="18"/>
          <w:szCs w:val="18"/>
          <w:lang w:val="es-ES"/>
        </w:rPr>
        <w:t>o</w:t>
      </w:r>
      <w:r w:rsidRPr="00740C42">
        <w:rPr>
          <w:sz w:val="18"/>
          <w:szCs w:val="18"/>
          <w:lang w:val="es-ES"/>
        </w:rPr>
        <w:t xml:space="preserve">) </w:t>
      </w:r>
      <w:r>
        <w:rPr>
          <w:sz w:val="18"/>
          <w:szCs w:val="18"/>
          <w:lang w:val="es-ES"/>
        </w:rPr>
        <w:t>y</w:t>
      </w:r>
      <w:r w:rsidRPr="00740C42">
        <w:rPr>
          <w:sz w:val="18"/>
          <w:szCs w:val="18"/>
          <w:lang w:val="es-ES"/>
        </w:rPr>
        <w:t xml:space="preserve"> </w:t>
      </w:r>
      <w:r>
        <w:rPr>
          <w:sz w:val="18"/>
          <w:szCs w:val="18"/>
          <w:lang w:val="es-ES"/>
        </w:rPr>
        <w:t>las relativas a la importación o el uso interno de OVM destinados para el uso directo como alimento humano o animal o para procesamiento</w:t>
      </w:r>
      <w:r w:rsidRPr="00740C42">
        <w:rPr>
          <w:sz w:val="18"/>
          <w:szCs w:val="18"/>
          <w:lang w:val="es-ES"/>
        </w:rPr>
        <w:t xml:space="preserve"> (</w:t>
      </w:r>
      <w:r>
        <w:rPr>
          <w:sz w:val="18"/>
          <w:szCs w:val="18"/>
          <w:lang w:val="es-ES"/>
        </w:rPr>
        <w:t xml:space="preserve">en virtud del artículo </w:t>
      </w:r>
      <w:r w:rsidRPr="00740C42">
        <w:rPr>
          <w:sz w:val="18"/>
          <w:szCs w:val="18"/>
          <w:lang w:val="es-ES"/>
        </w:rPr>
        <w:t xml:space="preserve">11 </w:t>
      </w:r>
      <w:r>
        <w:rPr>
          <w:sz w:val="18"/>
          <w:szCs w:val="18"/>
          <w:lang w:val="es-ES"/>
        </w:rPr>
        <w:t xml:space="preserve">del </w:t>
      </w:r>
      <w:r w:rsidRPr="00740C42">
        <w:rPr>
          <w:sz w:val="18"/>
          <w:szCs w:val="18"/>
          <w:lang w:val="es-ES"/>
        </w:rPr>
        <w:t>Protocol</w:t>
      </w:r>
      <w:r>
        <w:rPr>
          <w:sz w:val="18"/>
          <w:szCs w:val="18"/>
          <w:lang w:val="es-ES"/>
        </w:rPr>
        <w:t>o</w:t>
      </w:r>
      <w:r w:rsidRPr="00740C42">
        <w:rPr>
          <w:sz w:val="18"/>
          <w:szCs w:val="18"/>
          <w:lang w:val="es-ES"/>
        </w:rPr>
        <w:t>, o</w:t>
      </w:r>
      <w:r>
        <w:rPr>
          <w:sz w:val="18"/>
          <w:szCs w:val="18"/>
          <w:lang w:val="es-ES"/>
        </w:rPr>
        <w:t xml:space="preserve"> en el marco nacional</w:t>
      </w:r>
      <w:r w:rsidRPr="00740C42">
        <w:rPr>
          <w:sz w:val="18"/>
          <w:szCs w:val="18"/>
          <w:lang w:val="es-ES"/>
        </w:rPr>
        <w:t xml:space="preserve">). </w:t>
      </w:r>
      <w:r w:rsidRPr="007329A8">
        <w:rPr>
          <w:sz w:val="18"/>
          <w:szCs w:val="18"/>
          <w:lang w:val="es-ES"/>
        </w:rPr>
        <w:t>Para cada una de estas decisiones se comprobó si se había presentado al CIISB un informe de evaluaci</w:t>
      </w:r>
      <w:r>
        <w:rPr>
          <w:sz w:val="18"/>
          <w:szCs w:val="18"/>
          <w:lang w:val="es-ES"/>
        </w:rPr>
        <w:t>ón el riesgo correspondiente</w:t>
      </w:r>
      <w:r w:rsidRPr="007329A8">
        <w:rPr>
          <w:sz w:val="18"/>
          <w:szCs w:val="18"/>
          <w:lang w:val="es-ES"/>
        </w:rPr>
        <w:t>.</w:t>
      </w:r>
    </w:p>
  </w:footnote>
  <w:footnote w:id="28">
    <w:p w:rsidR="002E21F4" w:rsidRPr="0095007E" w:rsidRDefault="002E21F4">
      <w:pPr>
        <w:pStyle w:val="FootnoteText"/>
        <w:rPr>
          <w:lang w:val="es-ES"/>
        </w:rPr>
      </w:pPr>
      <w:r w:rsidRPr="0095007E">
        <w:rPr>
          <w:rStyle w:val="FootnoteReference"/>
          <w:sz w:val="18"/>
          <w:szCs w:val="18"/>
        </w:rPr>
        <w:footnoteRef/>
      </w:r>
      <w:r w:rsidRPr="00553E64">
        <w:rPr>
          <w:sz w:val="18"/>
          <w:szCs w:val="18"/>
          <w:lang w:val="es-ES"/>
        </w:rPr>
        <w:t xml:space="preserve"> No se dispone de datos para medir el indicador 2.2.2 (número de</w:t>
      </w:r>
      <w:r>
        <w:rPr>
          <w:sz w:val="18"/>
          <w:szCs w:val="18"/>
          <w:lang w:val="es-ES"/>
        </w:rPr>
        <w:t xml:space="preserve"> informes sumarios</w:t>
      </w:r>
      <w:r w:rsidRPr="00553E64">
        <w:rPr>
          <w:sz w:val="18"/>
          <w:szCs w:val="18"/>
          <w:lang w:val="es-ES"/>
        </w:rPr>
        <w:t xml:space="preserve"> de evaluac</w:t>
      </w:r>
      <w:r>
        <w:rPr>
          <w:sz w:val="18"/>
          <w:szCs w:val="18"/>
          <w:lang w:val="es-ES"/>
        </w:rPr>
        <w:t>iones</w:t>
      </w:r>
      <w:r w:rsidRPr="00553E64">
        <w:rPr>
          <w:sz w:val="18"/>
          <w:szCs w:val="18"/>
          <w:lang w:val="es-ES"/>
        </w:rPr>
        <w:t xml:space="preserve"> del riesgo </w:t>
      </w:r>
      <w:r>
        <w:rPr>
          <w:sz w:val="18"/>
          <w:szCs w:val="18"/>
          <w:lang w:val="es-ES"/>
        </w:rPr>
        <w:t xml:space="preserve">que se encuentran </w:t>
      </w:r>
      <w:r w:rsidRPr="00553E64">
        <w:rPr>
          <w:sz w:val="18"/>
          <w:szCs w:val="18"/>
          <w:lang w:val="es-ES"/>
        </w:rPr>
        <w:t xml:space="preserve">en el CIISB que </w:t>
      </w:r>
      <w:r>
        <w:rPr>
          <w:sz w:val="18"/>
          <w:szCs w:val="18"/>
          <w:lang w:val="es-ES"/>
        </w:rPr>
        <w:t>cumplen con e</w:t>
      </w:r>
      <w:r w:rsidRPr="00553E64">
        <w:rPr>
          <w:sz w:val="18"/>
          <w:szCs w:val="18"/>
          <w:lang w:val="es-ES"/>
        </w:rPr>
        <w:t xml:space="preserve">l Protocolo). </w:t>
      </w:r>
      <w:r w:rsidRPr="00644D1D">
        <w:rPr>
          <w:sz w:val="18"/>
          <w:szCs w:val="18"/>
          <w:lang w:val="es-ES"/>
        </w:rPr>
        <w:t xml:space="preserve">Se </w:t>
      </w:r>
      <w:r>
        <w:rPr>
          <w:sz w:val="18"/>
          <w:szCs w:val="18"/>
          <w:lang w:val="es-ES"/>
        </w:rPr>
        <w:t xml:space="preserve">da por entendido </w:t>
      </w:r>
      <w:r w:rsidRPr="00644D1D">
        <w:rPr>
          <w:sz w:val="18"/>
          <w:szCs w:val="18"/>
          <w:lang w:val="es-ES"/>
        </w:rPr>
        <w:t xml:space="preserve">que para que un </w:t>
      </w:r>
      <w:r>
        <w:rPr>
          <w:sz w:val="18"/>
          <w:szCs w:val="18"/>
          <w:lang w:val="es-ES"/>
        </w:rPr>
        <w:t>informe sumario de</w:t>
      </w:r>
      <w:r w:rsidRPr="00644D1D">
        <w:rPr>
          <w:sz w:val="18"/>
          <w:szCs w:val="18"/>
          <w:lang w:val="es-ES"/>
        </w:rPr>
        <w:t xml:space="preserve"> evaluación del riesgo </w:t>
      </w:r>
      <w:r>
        <w:rPr>
          <w:sz w:val="18"/>
          <w:szCs w:val="18"/>
          <w:lang w:val="es-ES"/>
        </w:rPr>
        <w:t>esté en situación de</w:t>
      </w:r>
      <w:r w:rsidRPr="00644D1D">
        <w:rPr>
          <w:sz w:val="18"/>
          <w:szCs w:val="18"/>
          <w:lang w:val="es-ES"/>
        </w:rPr>
        <w:t xml:space="preserve"> “</w:t>
      </w:r>
      <w:r>
        <w:rPr>
          <w:sz w:val="18"/>
          <w:szCs w:val="18"/>
          <w:lang w:val="es-ES"/>
        </w:rPr>
        <w:t>cumplimiento con e</w:t>
      </w:r>
      <w:r w:rsidRPr="00644D1D">
        <w:rPr>
          <w:sz w:val="18"/>
          <w:szCs w:val="18"/>
          <w:lang w:val="es-ES"/>
        </w:rPr>
        <w:t xml:space="preserve">l Protocolo”, </w:t>
      </w:r>
      <w:r>
        <w:rPr>
          <w:sz w:val="18"/>
          <w:szCs w:val="18"/>
          <w:lang w:val="es-ES"/>
        </w:rPr>
        <w:t xml:space="preserve">tiene que presentar resumida </w:t>
      </w:r>
      <w:r w:rsidRPr="00644D1D">
        <w:rPr>
          <w:sz w:val="18"/>
          <w:szCs w:val="18"/>
          <w:lang w:val="es-ES"/>
        </w:rPr>
        <w:t>una evaluaci</w:t>
      </w:r>
      <w:r>
        <w:rPr>
          <w:sz w:val="18"/>
          <w:szCs w:val="18"/>
          <w:lang w:val="es-ES"/>
        </w:rPr>
        <w:t>ón del riesgo que se haya efectuado con criterios científicos razonables y transparentes, y caso a caso para cada OVM, teniendo en cuenta su uso previsto y el posible entorno receptor</w:t>
      </w:r>
      <w:r w:rsidRPr="00644D1D">
        <w:rPr>
          <w:sz w:val="18"/>
          <w:szCs w:val="18"/>
          <w:lang w:val="es-ES"/>
        </w:rPr>
        <w:t xml:space="preserve">. </w:t>
      </w:r>
      <w:r w:rsidRPr="00543777">
        <w:rPr>
          <w:sz w:val="18"/>
          <w:szCs w:val="18"/>
          <w:lang w:val="es-ES"/>
        </w:rPr>
        <w:t>No se dispone de información relacionada con el número de informes sumarios de evaluaciones del riesgo en manos del CIISB que cumplan con estos principios.</w:t>
      </w:r>
    </w:p>
  </w:footnote>
  <w:footnote w:id="29">
    <w:p w:rsidR="002E21F4" w:rsidRPr="0095007E" w:rsidRDefault="002E21F4">
      <w:pPr>
        <w:pStyle w:val="FootnoteText"/>
        <w:rPr>
          <w:lang w:val="es-ES"/>
        </w:rPr>
      </w:pPr>
      <w:r w:rsidRPr="0095007E">
        <w:rPr>
          <w:rStyle w:val="FootnoteReference"/>
          <w:sz w:val="18"/>
          <w:szCs w:val="18"/>
        </w:rPr>
        <w:footnoteRef/>
      </w:r>
      <w:r w:rsidRPr="00B5060C">
        <w:rPr>
          <w:sz w:val="18"/>
          <w:szCs w:val="18"/>
          <w:lang w:val="es-ES"/>
        </w:rPr>
        <w:t>El Manual y la Orientación aún no estaban disponibles cuando se establecieron los datos b</w:t>
      </w:r>
      <w:r>
        <w:rPr>
          <w:sz w:val="18"/>
          <w:szCs w:val="18"/>
          <w:lang w:val="es-ES"/>
        </w:rPr>
        <w:t>ásicos de referencia</w:t>
      </w:r>
      <w:r w:rsidRPr="00B5060C">
        <w:rPr>
          <w:sz w:val="18"/>
          <w:szCs w:val="18"/>
          <w:lang w:val="es-ES"/>
        </w:rPr>
        <w:t xml:space="preserve">. La información proporcionada sobre este indicador en </w:t>
      </w:r>
      <w:r>
        <w:rPr>
          <w:sz w:val="18"/>
          <w:szCs w:val="18"/>
          <w:lang w:val="es-ES"/>
        </w:rPr>
        <w:t xml:space="preserve">los </w:t>
      </w:r>
      <w:r w:rsidRPr="00B5060C">
        <w:rPr>
          <w:sz w:val="18"/>
          <w:szCs w:val="18"/>
          <w:lang w:val="es-ES"/>
        </w:rPr>
        <w:t>cu</w:t>
      </w:r>
      <w:r>
        <w:rPr>
          <w:sz w:val="18"/>
          <w:szCs w:val="18"/>
          <w:lang w:val="es-ES"/>
        </w:rPr>
        <w:t>artos</w:t>
      </w:r>
      <w:r w:rsidRPr="00B5060C">
        <w:rPr>
          <w:sz w:val="18"/>
          <w:szCs w:val="18"/>
          <w:lang w:val="es-ES"/>
        </w:rPr>
        <w:t xml:space="preserve"> informe</w:t>
      </w:r>
      <w:r>
        <w:rPr>
          <w:sz w:val="18"/>
          <w:szCs w:val="18"/>
          <w:lang w:val="es-ES"/>
        </w:rPr>
        <w:t xml:space="preserve">s </w:t>
      </w:r>
      <w:r w:rsidRPr="00B5060C">
        <w:rPr>
          <w:sz w:val="18"/>
          <w:szCs w:val="18"/>
          <w:lang w:val="es-ES"/>
        </w:rPr>
        <w:t>nacional</w:t>
      </w:r>
      <w:r>
        <w:rPr>
          <w:sz w:val="18"/>
          <w:szCs w:val="18"/>
          <w:lang w:val="es-ES"/>
        </w:rPr>
        <w:t>es</w:t>
      </w:r>
      <w:r w:rsidRPr="00B5060C">
        <w:rPr>
          <w:sz w:val="18"/>
          <w:szCs w:val="18"/>
          <w:lang w:val="es-ES"/>
        </w:rPr>
        <w:t xml:space="preserve"> se comparó con la información proporcionada en </w:t>
      </w:r>
      <w:r>
        <w:rPr>
          <w:sz w:val="18"/>
          <w:szCs w:val="18"/>
          <w:lang w:val="es-ES"/>
        </w:rPr>
        <w:t>los</w:t>
      </w:r>
      <w:r w:rsidRPr="00B5060C">
        <w:rPr>
          <w:sz w:val="18"/>
          <w:szCs w:val="18"/>
          <w:lang w:val="es-ES"/>
        </w:rPr>
        <w:t xml:space="preserve"> tercer</w:t>
      </w:r>
      <w:r>
        <w:rPr>
          <w:sz w:val="18"/>
          <w:szCs w:val="18"/>
          <w:lang w:val="es-ES"/>
        </w:rPr>
        <w:t>os</w:t>
      </w:r>
      <w:r w:rsidRPr="00B5060C">
        <w:rPr>
          <w:sz w:val="18"/>
          <w:szCs w:val="18"/>
          <w:lang w:val="es-ES"/>
        </w:rPr>
        <w:t xml:space="preserve"> informe</w:t>
      </w:r>
      <w:r>
        <w:rPr>
          <w:sz w:val="18"/>
          <w:szCs w:val="18"/>
          <w:lang w:val="es-ES"/>
        </w:rPr>
        <w:t>s</w:t>
      </w:r>
      <w:r w:rsidRPr="00B5060C">
        <w:rPr>
          <w:sz w:val="18"/>
          <w:szCs w:val="18"/>
          <w:lang w:val="es-ES"/>
        </w:rPr>
        <w:t xml:space="preserve"> nacional</w:t>
      </w:r>
      <w:r>
        <w:rPr>
          <w:sz w:val="18"/>
          <w:szCs w:val="18"/>
          <w:lang w:val="es-ES"/>
        </w:rPr>
        <w:t>es</w:t>
      </w:r>
      <w:r w:rsidRPr="00B5060C">
        <w:rPr>
          <w:sz w:val="18"/>
          <w:szCs w:val="18"/>
          <w:lang w:val="es-ES"/>
        </w:rPr>
        <w:t xml:space="preserve">, en </w:t>
      </w:r>
      <w:r>
        <w:rPr>
          <w:sz w:val="18"/>
          <w:szCs w:val="18"/>
          <w:lang w:val="es-ES"/>
        </w:rPr>
        <w:t xml:space="preserve">las preguntas </w:t>
      </w:r>
      <w:r w:rsidRPr="00B5060C">
        <w:rPr>
          <w:sz w:val="18"/>
          <w:szCs w:val="18"/>
          <w:lang w:val="es-ES"/>
        </w:rPr>
        <w:t xml:space="preserve">81 </w:t>
      </w:r>
      <w:r>
        <w:rPr>
          <w:sz w:val="18"/>
          <w:szCs w:val="18"/>
          <w:lang w:val="es-ES"/>
        </w:rPr>
        <w:t>y</w:t>
      </w:r>
      <w:r w:rsidRPr="00B5060C">
        <w:rPr>
          <w:sz w:val="18"/>
          <w:szCs w:val="18"/>
          <w:lang w:val="es-ES"/>
        </w:rPr>
        <w:t xml:space="preserve"> 82 </w:t>
      </w:r>
      <w:r>
        <w:rPr>
          <w:sz w:val="18"/>
          <w:szCs w:val="18"/>
          <w:lang w:val="es-ES"/>
        </w:rPr>
        <w:t>para las Partes que respondieron a las preguntas pertinentes en los informes nacionales tercero y cuarto</w:t>
      </w:r>
      <w:r w:rsidRPr="00B5060C">
        <w:rPr>
          <w:sz w:val="18"/>
          <w:szCs w:val="18"/>
          <w:lang w:val="es-ES"/>
        </w:rPr>
        <w:t>.</w:t>
      </w:r>
    </w:p>
  </w:footnote>
  <w:footnote w:id="30">
    <w:p w:rsidR="002E21F4" w:rsidRPr="0095007E" w:rsidRDefault="002E21F4">
      <w:pPr>
        <w:pStyle w:val="FootnoteText"/>
        <w:rPr>
          <w:lang w:val="es-ES"/>
        </w:rPr>
      </w:pPr>
      <w:r w:rsidRPr="0095007E">
        <w:rPr>
          <w:rStyle w:val="FootnoteReference"/>
          <w:sz w:val="18"/>
          <w:szCs w:val="18"/>
        </w:rPr>
        <w:footnoteRef/>
      </w:r>
      <w:r w:rsidRPr="00B5060C">
        <w:rPr>
          <w:sz w:val="18"/>
          <w:szCs w:val="18"/>
          <w:lang w:val="es-ES"/>
        </w:rPr>
        <w:t>Se proporcionó información en la pregunta 69 del cuarto informe nacional. No se proporcionó información sobre esta cuestión en los datos básicos de referencia ni en los terceros informes nacionales.</w:t>
      </w:r>
    </w:p>
  </w:footnote>
  <w:footnote w:id="31">
    <w:p w:rsidR="002E21F4" w:rsidRPr="0095007E" w:rsidRDefault="002E21F4">
      <w:pPr>
        <w:pStyle w:val="FootnoteText"/>
        <w:rPr>
          <w:lang w:val="es-ES"/>
        </w:rPr>
      </w:pPr>
      <w:r w:rsidRPr="0095007E">
        <w:rPr>
          <w:rStyle w:val="FootnoteReference"/>
          <w:sz w:val="18"/>
          <w:szCs w:val="18"/>
        </w:rPr>
        <w:footnoteRef/>
      </w:r>
      <w:r w:rsidRPr="007D3F28">
        <w:rPr>
          <w:sz w:val="18"/>
          <w:szCs w:val="18"/>
          <w:lang w:val="es-ES"/>
        </w:rPr>
        <w:t xml:space="preserve">Pregunta 74 del cuarto informe nacional. </w:t>
      </w:r>
    </w:p>
  </w:footnote>
  <w:footnote w:id="32">
    <w:p w:rsidR="002E21F4" w:rsidRPr="0095007E" w:rsidRDefault="002E21F4">
      <w:pPr>
        <w:pStyle w:val="FootnoteText"/>
        <w:rPr>
          <w:lang w:val="es-ES"/>
        </w:rPr>
      </w:pPr>
      <w:r w:rsidRPr="0095007E">
        <w:rPr>
          <w:rStyle w:val="FootnoteReference"/>
          <w:sz w:val="18"/>
          <w:szCs w:val="18"/>
        </w:rPr>
        <w:footnoteRef/>
      </w:r>
      <w:r w:rsidRPr="00835E58">
        <w:rPr>
          <w:sz w:val="18"/>
          <w:szCs w:val="18"/>
          <w:lang w:val="es-ES"/>
        </w:rPr>
        <w:t>Los porcentajes se basan en el número de Partes en el Protocolo Suplementario que proporcionaron esta informaci</w:t>
      </w:r>
      <w:r>
        <w:rPr>
          <w:sz w:val="18"/>
          <w:szCs w:val="18"/>
          <w:lang w:val="es-ES"/>
        </w:rPr>
        <w:t>ón en su cuarto informe nacional</w:t>
      </w:r>
      <w:r w:rsidRPr="00835E58">
        <w:rPr>
          <w:sz w:val="18"/>
          <w:szCs w:val="18"/>
          <w:lang w:val="es-ES"/>
        </w:rPr>
        <w:t xml:space="preserve">. </w:t>
      </w:r>
      <w:bookmarkStart w:id="20" w:name="_Hlk30775977"/>
      <w:r w:rsidRPr="00835E58">
        <w:rPr>
          <w:sz w:val="18"/>
          <w:szCs w:val="18"/>
          <w:lang w:val="es-ES"/>
        </w:rPr>
        <w:t>Esta información no se proporcionó en los informes nacionales anteriores.</w:t>
      </w:r>
      <w:bookmarkEnd w:id="20"/>
      <w:r w:rsidRPr="00835E58">
        <w:rPr>
          <w:sz w:val="18"/>
          <w:szCs w:val="18"/>
          <w:lang w:val="es-ES"/>
        </w:rPr>
        <w:t xml:space="preserve"> </w:t>
      </w:r>
      <w:r>
        <w:rPr>
          <w:sz w:val="18"/>
          <w:szCs w:val="18"/>
          <w:lang w:val="es-ES"/>
        </w:rPr>
        <w:t xml:space="preserve">Debido al redondeo, la suma de los porcentajes es </w:t>
      </w:r>
      <w:r w:rsidRPr="00835E58">
        <w:rPr>
          <w:sz w:val="18"/>
          <w:szCs w:val="18"/>
          <w:lang w:val="es-ES"/>
        </w:rPr>
        <w:t>101 en lugar de 100 %.</w:t>
      </w:r>
    </w:p>
  </w:footnote>
  <w:footnote w:id="33">
    <w:p w:rsidR="002E21F4" w:rsidRPr="0095007E" w:rsidRDefault="002E21F4">
      <w:pPr>
        <w:pStyle w:val="FootnoteText"/>
        <w:rPr>
          <w:lang w:val="es-ES"/>
        </w:rPr>
      </w:pPr>
      <w:r w:rsidRPr="0095007E">
        <w:rPr>
          <w:rStyle w:val="FootnoteReference"/>
          <w:sz w:val="18"/>
          <w:szCs w:val="18"/>
        </w:rPr>
        <w:footnoteRef/>
      </w:r>
      <w:r w:rsidRPr="00835E58">
        <w:rPr>
          <w:sz w:val="18"/>
          <w:szCs w:val="18"/>
          <w:lang w:val="es-ES"/>
        </w:rPr>
        <w:t>Esta información no se proporcionó en los informes nacionales anteriores.</w:t>
      </w:r>
    </w:p>
  </w:footnote>
  <w:footnote w:id="34">
    <w:p w:rsidR="002E21F4" w:rsidRPr="0095007E" w:rsidRDefault="002E21F4">
      <w:pPr>
        <w:pStyle w:val="FootnoteText"/>
        <w:rPr>
          <w:lang w:val="es-ES"/>
        </w:rPr>
      </w:pPr>
      <w:r w:rsidRPr="0095007E">
        <w:rPr>
          <w:rStyle w:val="FootnoteReference"/>
        </w:rPr>
        <w:footnoteRef/>
      </w:r>
      <w:r>
        <w:rPr>
          <w:lang w:val="es-ES"/>
        </w:rPr>
        <w:t>En l</w:t>
      </w:r>
      <w:r w:rsidRPr="00B02BB9">
        <w:rPr>
          <w:lang w:val="es-ES"/>
        </w:rPr>
        <w:t xml:space="preserve">a pregunta 163 en el formato del cuarto informe nacional </w:t>
      </w:r>
      <w:r>
        <w:rPr>
          <w:lang w:val="es-ES"/>
        </w:rPr>
        <w:t xml:space="preserve">se </w:t>
      </w:r>
      <w:r w:rsidRPr="00B02BB9">
        <w:rPr>
          <w:lang w:val="es-ES"/>
        </w:rPr>
        <w:t>pregunta si en el actual periodo de presentación de informes se han tenido en cuenta las consideraciones socioecon</w:t>
      </w:r>
      <w:r>
        <w:rPr>
          <w:lang w:val="es-ES"/>
        </w:rPr>
        <w:t>ómicas derivadas de los efectos de los OVM en la toma de decisiones</w:t>
      </w:r>
      <w:r w:rsidRPr="00B02BB9">
        <w:rPr>
          <w:lang w:val="es-ES"/>
        </w:rPr>
        <w:t xml:space="preserve">. </w:t>
      </w:r>
      <w:r w:rsidRPr="00516B93">
        <w:rPr>
          <w:lang w:val="es-ES"/>
        </w:rPr>
        <w:t xml:space="preserve">Un total de 33 Partes (35 %) respondieron “No </w:t>
      </w:r>
      <w:r>
        <w:rPr>
          <w:lang w:val="es-ES"/>
        </w:rPr>
        <w:t>corresponde</w:t>
      </w:r>
      <w:r w:rsidRPr="00516B93">
        <w:rPr>
          <w:lang w:val="es-ES"/>
        </w:rPr>
        <w:t xml:space="preserve"> (no se tomaron decisiones)”.</w:t>
      </w:r>
    </w:p>
  </w:footnote>
  <w:footnote w:id="35">
    <w:p w:rsidR="002E21F4" w:rsidRPr="0095007E" w:rsidRDefault="002E21F4">
      <w:pPr>
        <w:pStyle w:val="FootnoteText"/>
        <w:rPr>
          <w:lang w:val="es-ES"/>
        </w:rPr>
      </w:pPr>
      <w:r w:rsidRPr="0095007E">
        <w:rPr>
          <w:rStyle w:val="FootnoteReference"/>
        </w:rPr>
        <w:footnoteRef/>
      </w:r>
      <w:r w:rsidRPr="006F7413">
        <w:rPr>
          <w:sz w:val="18"/>
          <w:szCs w:val="18"/>
          <w:lang w:val="es-ES"/>
        </w:rPr>
        <w:t xml:space="preserve">Un “visitante individual” es una persona que visita el CIISB en un periodo determinado. </w:t>
      </w:r>
      <w:r>
        <w:rPr>
          <w:sz w:val="18"/>
          <w:szCs w:val="18"/>
          <w:lang w:val="es-ES"/>
        </w:rPr>
        <w:t>El mismo usuario que accede al CIISB desde distintos ordenadores se cuenta como un visitante individual</w:t>
      </w:r>
      <w:r w:rsidRPr="006F7413">
        <w:rPr>
          <w:sz w:val="18"/>
          <w:szCs w:val="18"/>
          <w:lang w:val="es-ES"/>
        </w:rPr>
        <w:t xml:space="preserve">. </w:t>
      </w:r>
      <w:r>
        <w:rPr>
          <w:sz w:val="18"/>
          <w:szCs w:val="18"/>
          <w:lang w:val="es-ES"/>
        </w:rPr>
        <w:t>Una</w:t>
      </w:r>
      <w:r w:rsidRPr="006F7413">
        <w:rPr>
          <w:sz w:val="18"/>
          <w:szCs w:val="18"/>
          <w:lang w:val="es-ES"/>
        </w:rPr>
        <w:t xml:space="preserve"> “visita” (o “sesión”) es una sola sesi</w:t>
      </w:r>
      <w:r>
        <w:rPr>
          <w:sz w:val="18"/>
          <w:szCs w:val="18"/>
          <w:lang w:val="es-ES"/>
        </w:rPr>
        <w:t>ón de navegación</w:t>
      </w:r>
      <w:r w:rsidRPr="006F7413">
        <w:rPr>
          <w:sz w:val="18"/>
          <w:szCs w:val="18"/>
          <w:lang w:val="es-ES"/>
        </w:rPr>
        <w:t xml:space="preserve">. </w:t>
      </w:r>
      <w:r>
        <w:rPr>
          <w:sz w:val="18"/>
          <w:szCs w:val="18"/>
          <w:lang w:val="es-ES"/>
        </w:rPr>
        <w:t>Un solo usuario puede crear varias sesiones de navegación</w:t>
      </w:r>
      <w:r w:rsidRPr="006F7413">
        <w:rPr>
          <w:sz w:val="18"/>
          <w:szCs w:val="18"/>
          <w:lang w:val="es-ES"/>
        </w:rPr>
        <w:t xml:space="preserve">. </w:t>
      </w:r>
      <w:r>
        <w:rPr>
          <w:sz w:val="18"/>
          <w:szCs w:val="18"/>
          <w:lang w:val="es-ES"/>
        </w:rPr>
        <w:t>Una</w:t>
      </w:r>
      <w:r w:rsidRPr="003B02B8">
        <w:rPr>
          <w:sz w:val="18"/>
          <w:szCs w:val="18"/>
          <w:lang w:val="es-ES"/>
        </w:rPr>
        <w:t xml:space="preserve"> visita termina después de 30 minutos de inactividad. </w:t>
      </w:r>
    </w:p>
  </w:footnote>
  <w:footnote w:id="36">
    <w:p w:rsidR="002E21F4" w:rsidRPr="0095007E" w:rsidRDefault="002E21F4">
      <w:pPr>
        <w:pStyle w:val="FootnoteText"/>
        <w:rPr>
          <w:lang w:val="es-ES"/>
        </w:rPr>
      </w:pPr>
      <w:r w:rsidRPr="0095007E">
        <w:rPr>
          <w:rStyle w:val="FootnoteReference"/>
          <w:sz w:val="18"/>
          <w:szCs w:val="18"/>
        </w:rPr>
        <w:footnoteRef/>
      </w:r>
      <w:r>
        <w:rPr>
          <w:sz w:val="18"/>
          <w:szCs w:val="18"/>
          <w:lang w:val="es-ES"/>
        </w:rPr>
        <w:t xml:space="preserve">Con este </w:t>
      </w:r>
      <w:r w:rsidRPr="00262E58">
        <w:rPr>
          <w:sz w:val="18"/>
          <w:szCs w:val="18"/>
          <w:lang w:val="es-ES"/>
        </w:rPr>
        <w:t xml:space="preserve">fin, </w:t>
      </w:r>
      <w:r>
        <w:rPr>
          <w:sz w:val="18"/>
          <w:szCs w:val="18"/>
          <w:lang w:val="es-ES"/>
        </w:rPr>
        <w:t xml:space="preserve">se examinaron </w:t>
      </w:r>
      <w:r w:rsidRPr="00262E58">
        <w:rPr>
          <w:sz w:val="18"/>
          <w:szCs w:val="18"/>
          <w:lang w:val="es-ES"/>
        </w:rPr>
        <w:t>las decisiones de las Partes relativas al movimiento transfronterizo de OVM para su introducción intencional en el medio ambiente (con arreglo al artículo 10 del Protocolo) y las decisiones relacionadas con la importaci</w:t>
      </w:r>
      <w:r>
        <w:rPr>
          <w:sz w:val="18"/>
          <w:szCs w:val="18"/>
          <w:lang w:val="es-ES"/>
        </w:rPr>
        <w:t xml:space="preserve">ón o el uso interno de OVM para su uso directo como alimento humano o animal o para procesamiento </w:t>
      </w:r>
      <w:r w:rsidRPr="00262E58">
        <w:rPr>
          <w:sz w:val="18"/>
          <w:szCs w:val="18"/>
          <w:lang w:val="es-ES"/>
        </w:rPr>
        <w:t>(</w:t>
      </w:r>
      <w:r>
        <w:rPr>
          <w:sz w:val="18"/>
          <w:szCs w:val="18"/>
          <w:lang w:val="es-ES"/>
        </w:rPr>
        <w:t xml:space="preserve">en virtud del artículo </w:t>
      </w:r>
      <w:r w:rsidRPr="00262E58">
        <w:rPr>
          <w:sz w:val="18"/>
          <w:szCs w:val="18"/>
          <w:lang w:val="es-ES"/>
        </w:rPr>
        <w:t xml:space="preserve">11 </w:t>
      </w:r>
      <w:r>
        <w:rPr>
          <w:sz w:val="18"/>
          <w:szCs w:val="18"/>
          <w:lang w:val="es-ES"/>
        </w:rPr>
        <w:t>del</w:t>
      </w:r>
      <w:r w:rsidRPr="00262E58">
        <w:rPr>
          <w:sz w:val="18"/>
          <w:szCs w:val="18"/>
          <w:lang w:val="es-ES"/>
        </w:rPr>
        <w:t xml:space="preserve"> Protocol</w:t>
      </w:r>
      <w:r>
        <w:rPr>
          <w:sz w:val="18"/>
          <w:szCs w:val="18"/>
          <w:lang w:val="es-ES"/>
        </w:rPr>
        <w:t>o</w:t>
      </w:r>
      <w:r w:rsidRPr="00262E58">
        <w:rPr>
          <w:sz w:val="18"/>
          <w:szCs w:val="18"/>
          <w:lang w:val="es-ES"/>
        </w:rPr>
        <w:t>, o</w:t>
      </w:r>
      <w:r>
        <w:rPr>
          <w:sz w:val="18"/>
          <w:szCs w:val="18"/>
          <w:lang w:val="es-ES"/>
        </w:rPr>
        <w:t xml:space="preserve"> en el marco nacional</w:t>
      </w:r>
      <w:r w:rsidRPr="00262E58">
        <w:rPr>
          <w:sz w:val="18"/>
          <w:szCs w:val="18"/>
          <w:lang w:val="es-ES"/>
        </w:rPr>
        <w:t>). Para cada una de estas decisiones se comprobó si se había presentado al CIISB un informe de evaluación del riesgo correspondiente.</w:t>
      </w:r>
    </w:p>
  </w:footnote>
  <w:footnote w:id="37">
    <w:p w:rsidR="002E21F4" w:rsidRPr="0095007E" w:rsidRDefault="002E21F4">
      <w:pPr>
        <w:pStyle w:val="FootnoteText"/>
        <w:rPr>
          <w:lang w:val="es-ES"/>
        </w:rPr>
      </w:pPr>
      <w:r w:rsidRPr="0095007E">
        <w:rPr>
          <w:rStyle w:val="FootnoteReference"/>
          <w:sz w:val="18"/>
          <w:szCs w:val="18"/>
        </w:rPr>
        <w:footnoteRef/>
      </w:r>
      <w:r w:rsidRPr="00E67A3D">
        <w:rPr>
          <w:sz w:val="18"/>
          <w:szCs w:val="18"/>
          <w:lang w:val="es-ES"/>
        </w:rPr>
        <w:t>Si bien las Partes en el Protocolo de Cartagena deben designar a un punto focal para el Protocolo, ot</w:t>
      </w:r>
      <w:r>
        <w:rPr>
          <w:sz w:val="18"/>
          <w:szCs w:val="18"/>
          <w:lang w:val="es-ES"/>
        </w:rPr>
        <w:t>ros Gobiernos también pueden hacerlo</w:t>
      </w:r>
      <w:r w:rsidRPr="00E67A3D">
        <w:rPr>
          <w:sz w:val="18"/>
          <w:szCs w:val="18"/>
          <w:lang w:val="es-ES"/>
        </w:rPr>
        <w:t>. Los datos que aquí se presentan se basan en el número de países que han re</w:t>
      </w:r>
      <w:r>
        <w:rPr>
          <w:sz w:val="18"/>
          <w:szCs w:val="18"/>
          <w:lang w:val="es-ES"/>
        </w:rPr>
        <w:t xml:space="preserve">gistrado puntos focales para el </w:t>
      </w:r>
      <w:r w:rsidRPr="00E67A3D">
        <w:rPr>
          <w:sz w:val="18"/>
          <w:szCs w:val="18"/>
          <w:lang w:val="es-ES"/>
        </w:rPr>
        <w:t>Protocol</w:t>
      </w:r>
      <w:r>
        <w:rPr>
          <w:sz w:val="18"/>
          <w:szCs w:val="18"/>
          <w:lang w:val="es-ES"/>
        </w:rPr>
        <w:t>o</w:t>
      </w:r>
      <w:r w:rsidRPr="00E67A3D">
        <w:rPr>
          <w:sz w:val="18"/>
          <w:szCs w:val="18"/>
          <w:lang w:val="es-ES"/>
        </w:rPr>
        <w:t xml:space="preserve">, </w:t>
      </w:r>
      <w:r>
        <w:rPr>
          <w:sz w:val="18"/>
          <w:szCs w:val="18"/>
          <w:lang w:val="es-ES"/>
        </w:rPr>
        <w:t>de entre las Partes en el Convenio sobre la Diversidad Biológica</w:t>
      </w:r>
      <w:r w:rsidRPr="00E67A3D">
        <w:rPr>
          <w:sz w:val="18"/>
          <w:szCs w:val="18"/>
          <w:lang w:val="es-ES"/>
        </w:rPr>
        <w:t xml:space="preserve">, </w:t>
      </w:r>
      <w:r>
        <w:rPr>
          <w:sz w:val="18"/>
          <w:szCs w:val="18"/>
          <w:lang w:val="es-ES"/>
        </w:rPr>
        <w:t>que en</w:t>
      </w:r>
      <w:r w:rsidRPr="00E67A3D">
        <w:rPr>
          <w:sz w:val="18"/>
          <w:szCs w:val="18"/>
          <w:lang w:val="es-ES"/>
        </w:rPr>
        <w:t xml:space="preserve"> 2011, </w:t>
      </w:r>
      <w:r>
        <w:rPr>
          <w:sz w:val="18"/>
          <w:szCs w:val="18"/>
          <w:lang w:val="es-ES"/>
        </w:rPr>
        <w:t xml:space="preserve">era de </w:t>
      </w:r>
      <w:r w:rsidRPr="00E67A3D">
        <w:rPr>
          <w:sz w:val="18"/>
          <w:szCs w:val="18"/>
          <w:lang w:val="es-ES"/>
        </w:rPr>
        <w:t xml:space="preserve">194 </w:t>
      </w:r>
      <w:r>
        <w:rPr>
          <w:sz w:val="18"/>
          <w:szCs w:val="18"/>
          <w:lang w:val="es-ES"/>
        </w:rPr>
        <w:t>y</w:t>
      </w:r>
      <w:r w:rsidRPr="00E67A3D">
        <w:rPr>
          <w:sz w:val="18"/>
          <w:szCs w:val="18"/>
          <w:lang w:val="es-ES"/>
        </w:rPr>
        <w:t xml:space="preserve">, </w:t>
      </w:r>
      <w:r>
        <w:rPr>
          <w:sz w:val="18"/>
          <w:szCs w:val="18"/>
          <w:lang w:val="es-ES"/>
        </w:rPr>
        <w:t>e</w:t>
      </w:r>
      <w:r w:rsidRPr="00E67A3D">
        <w:rPr>
          <w:sz w:val="18"/>
          <w:szCs w:val="18"/>
          <w:lang w:val="es-ES"/>
        </w:rPr>
        <w:t xml:space="preserve">n 2019, </w:t>
      </w:r>
      <w:r>
        <w:rPr>
          <w:sz w:val="18"/>
          <w:szCs w:val="18"/>
          <w:lang w:val="es-ES"/>
        </w:rPr>
        <w:t xml:space="preserve">de </w:t>
      </w:r>
      <w:r w:rsidRPr="00E67A3D">
        <w:rPr>
          <w:sz w:val="18"/>
          <w:szCs w:val="18"/>
          <w:lang w:val="es-ES"/>
        </w:rPr>
        <w:t>196.</w:t>
      </w:r>
    </w:p>
  </w:footnote>
  <w:footnote w:id="38">
    <w:p w:rsidR="002E21F4" w:rsidRPr="0095007E" w:rsidRDefault="002E21F4">
      <w:pPr>
        <w:pStyle w:val="FootnoteText"/>
        <w:rPr>
          <w:lang w:val="es-ES"/>
        </w:rPr>
      </w:pPr>
      <w:r w:rsidRPr="0095007E">
        <w:rPr>
          <w:rStyle w:val="FootnoteReference"/>
          <w:sz w:val="18"/>
          <w:szCs w:val="18"/>
        </w:rPr>
        <w:footnoteRef/>
      </w:r>
      <w:r w:rsidRPr="008F7441">
        <w:rPr>
          <w:sz w:val="18"/>
          <w:szCs w:val="18"/>
          <w:lang w:val="es-ES"/>
        </w:rPr>
        <w:t>Véase también la información proporcionada en el indicador 3.1.5 sobre el porcentaje de Partes que han publicado toda la informaci</w:t>
      </w:r>
      <w:r>
        <w:rPr>
          <w:sz w:val="18"/>
          <w:szCs w:val="18"/>
          <w:lang w:val="es-ES"/>
        </w:rPr>
        <w:t>ón obligatoria a través del CIISB y la función de apoyo del Comité de Cumplimiento a este respecto</w:t>
      </w:r>
      <w:r w:rsidRPr="008F7441">
        <w:rPr>
          <w:sz w:val="18"/>
          <w:szCs w:val="18"/>
          <w:lang w:val="es-ES"/>
        </w:rPr>
        <w:t>.</w:t>
      </w:r>
    </w:p>
  </w:footnote>
  <w:footnote w:id="39">
    <w:p w:rsidR="002E21F4" w:rsidRPr="0095007E" w:rsidRDefault="002E21F4">
      <w:pPr>
        <w:pStyle w:val="FootnoteText"/>
        <w:rPr>
          <w:lang w:val="es-ES"/>
        </w:rPr>
      </w:pPr>
      <w:r w:rsidRPr="0095007E">
        <w:rPr>
          <w:rStyle w:val="FootnoteReference"/>
          <w:sz w:val="18"/>
          <w:szCs w:val="18"/>
        </w:rPr>
        <w:footnoteRef/>
      </w:r>
      <w:r w:rsidRPr="008F7441">
        <w:rPr>
          <w:sz w:val="18"/>
          <w:szCs w:val="18"/>
          <w:lang w:val="es-ES"/>
        </w:rPr>
        <w:t>Con este fin,</w:t>
      </w:r>
      <w:r>
        <w:rPr>
          <w:sz w:val="18"/>
          <w:szCs w:val="18"/>
          <w:lang w:val="es-ES"/>
        </w:rPr>
        <w:t xml:space="preserve"> se examinaron </w:t>
      </w:r>
      <w:r w:rsidRPr="00262E58">
        <w:rPr>
          <w:sz w:val="18"/>
          <w:szCs w:val="18"/>
          <w:lang w:val="es-ES"/>
        </w:rPr>
        <w:t xml:space="preserve">las decisiones </w:t>
      </w:r>
      <w:r>
        <w:rPr>
          <w:sz w:val="18"/>
          <w:szCs w:val="18"/>
          <w:lang w:val="es-ES"/>
        </w:rPr>
        <w:t xml:space="preserve">consideradas en relación con el </w:t>
      </w:r>
      <w:r w:rsidRPr="00262E58">
        <w:rPr>
          <w:sz w:val="18"/>
          <w:szCs w:val="18"/>
          <w:lang w:val="es-ES"/>
        </w:rPr>
        <w:t>movimiento transfronterizo de OVM para su introducción intencional en el medio ambiente (con arreglo al artículo 10 del Protocolo) y las decisiones relacionadas con la importaci</w:t>
      </w:r>
      <w:r>
        <w:rPr>
          <w:sz w:val="18"/>
          <w:szCs w:val="18"/>
          <w:lang w:val="es-ES"/>
        </w:rPr>
        <w:t xml:space="preserve">ón o el uso interno de OVM para su uso directo como alimento humano o animal o para procesamiento </w:t>
      </w:r>
      <w:r w:rsidRPr="00262E58">
        <w:rPr>
          <w:sz w:val="18"/>
          <w:szCs w:val="18"/>
          <w:lang w:val="es-ES"/>
        </w:rPr>
        <w:t>(</w:t>
      </w:r>
      <w:r>
        <w:rPr>
          <w:sz w:val="18"/>
          <w:szCs w:val="18"/>
          <w:lang w:val="es-ES"/>
        </w:rPr>
        <w:t xml:space="preserve">en virtud del artículo </w:t>
      </w:r>
      <w:r w:rsidRPr="00262E58">
        <w:rPr>
          <w:sz w:val="18"/>
          <w:szCs w:val="18"/>
          <w:lang w:val="es-ES"/>
        </w:rPr>
        <w:t xml:space="preserve">11 </w:t>
      </w:r>
      <w:r>
        <w:rPr>
          <w:sz w:val="18"/>
          <w:szCs w:val="18"/>
          <w:lang w:val="es-ES"/>
        </w:rPr>
        <w:t>del</w:t>
      </w:r>
      <w:r w:rsidRPr="00262E58">
        <w:rPr>
          <w:sz w:val="18"/>
          <w:szCs w:val="18"/>
          <w:lang w:val="es-ES"/>
        </w:rPr>
        <w:t xml:space="preserve"> Protocol</w:t>
      </w:r>
      <w:r>
        <w:rPr>
          <w:sz w:val="18"/>
          <w:szCs w:val="18"/>
          <w:lang w:val="es-ES"/>
        </w:rPr>
        <w:t>o</w:t>
      </w:r>
      <w:r w:rsidRPr="00262E58">
        <w:rPr>
          <w:sz w:val="18"/>
          <w:szCs w:val="18"/>
          <w:lang w:val="es-ES"/>
        </w:rPr>
        <w:t>, o</w:t>
      </w:r>
      <w:r>
        <w:rPr>
          <w:sz w:val="18"/>
          <w:szCs w:val="18"/>
          <w:lang w:val="es-ES"/>
        </w:rPr>
        <w:t xml:space="preserve"> en el marco nacional).</w:t>
      </w:r>
    </w:p>
  </w:footnote>
  <w:footnote w:id="40">
    <w:p w:rsidR="002E21F4" w:rsidRPr="0095007E" w:rsidRDefault="002E21F4">
      <w:pPr>
        <w:pStyle w:val="FootnoteText"/>
        <w:rPr>
          <w:lang w:val="es-ES"/>
        </w:rPr>
      </w:pPr>
      <w:r w:rsidRPr="0095007E">
        <w:rPr>
          <w:rStyle w:val="FootnoteReference"/>
          <w:sz w:val="18"/>
          <w:szCs w:val="18"/>
        </w:rPr>
        <w:footnoteRef/>
      </w:r>
      <w:r w:rsidRPr="0054018F">
        <w:rPr>
          <w:sz w:val="18"/>
          <w:szCs w:val="18"/>
          <w:lang w:val="es-ES"/>
        </w:rPr>
        <w:t>El mismo periodo se utilizó como base de referencia para medir los progresos realizados en relación con los indicadores para este objetivo operacional en la tercera evaluaci</w:t>
      </w:r>
      <w:r>
        <w:rPr>
          <w:sz w:val="18"/>
          <w:szCs w:val="18"/>
          <w:lang w:val="es-ES"/>
        </w:rPr>
        <w:t xml:space="preserve">ón y examen del </w:t>
      </w:r>
      <w:r w:rsidRPr="0054018F">
        <w:rPr>
          <w:sz w:val="18"/>
          <w:szCs w:val="18"/>
          <w:lang w:val="es-ES"/>
        </w:rPr>
        <w:t>Protocol</w:t>
      </w:r>
      <w:r>
        <w:rPr>
          <w:sz w:val="18"/>
          <w:szCs w:val="18"/>
          <w:lang w:val="es-ES"/>
        </w:rPr>
        <w:t xml:space="preserve">o y la evaluación a mitad de periodo del Plan Estratégico para el Protocolo de </w:t>
      </w:r>
      <w:r w:rsidRPr="0054018F">
        <w:rPr>
          <w:sz w:val="18"/>
          <w:szCs w:val="18"/>
          <w:lang w:val="es-ES"/>
        </w:rPr>
        <w:t>Cartagena.</w:t>
      </w:r>
    </w:p>
  </w:footnote>
  <w:footnote w:id="41">
    <w:p w:rsidR="002E21F4" w:rsidRPr="0095007E" w:rsidRDefault="002E21F4">
      <w:pPr>
        <w:pStyle w:val="FootnoteText"/>
        <w:rPr>
          <w:lang w:val="es-ES"/>
        </w:rPr>
      </w:pPr>
      <w:r w:rsidRPr="0095007E">
        <w:rPr>
          <w:rStyle w:val="FootnoteReference"/>
          <w:sz w:val="18"/>
          <w:szCs w:val="18"/>
        </w:rPr>
        <w:footnoteRef/>
      </w:r>
      <w:hyperlink r:id="rId7" w:history="1">
        <w:r w:rsidRPr="00B77342">
          <w:rPr>
            <w:rStyle w:val="Hyperlink"/>
            <w:sz w:val="18"/>
            <w:szCs w:val="18"/>
            <w:lang w:val="es-ES"/>
          </w:rPr>
          <w:t>http://bch.cbd.int/about/news/</w:t>
        </w:r>
      </w:hyperlink>
      <w:r w:rsidRPr="00B77342">
        <w:rPr>
          <w:sz w:val="18"/>
          <w:szCs w:val="18"/>
          <w:lang w:val="es-ES"/>
        </w:rPr>
        <w:t xml:space="preserve">. </w:t>
      </w:r>
    </w:p>
  </w:footnote>
  <w:footnote w:id="42">
    <w:p w:rsidR="002E21F4" w:rsidRPr="0095007E" w:rsidRDefault="002E21F4">
      <w:pPr>
        <w:pStyle w:val="FootnoteText"/>
        <w:rPr>
          <w:lang w:val="es-ES"/>
        </w:rPr>
      </w:pPr>
      <w:r w:rsidRPr="0095007E">
        <w:rPr>
          <w:rStyle w:val="FootnoteReference"/>
          <w:sz w:val="18"/>
          <w:szCs w:val="18"/>
        </w:rPr>
        <w:footnoteRef/>
      </w:r>
      <w:r w:rsidRPr="006E3E5A">
        <w:rPr>
          <w:sz w:val="18"/>
          <w:szCs w:val="18"/>
          <w:lang w:val="es-ES"/>
        </w:rPr>
        <w:t>CBD/CP/CC/16/7, párr. 28.</w:t>
      </w:r>
    </w:p>
  </w:footnote>
  <w:footnote w:id="43">
    <w:p w:rsidR="002E21F4" w:rsidRPr="0095007E" w:rsidRDefault="002E21F4">
      <w:pPr>
        <w:pStyle w:val="FootnoteText"/>
        <w:rPr>
          <w:lang w:val="es-ES"/>
        </w:rPr>
      </w:pPr>
      <w:r w:rsidRPr="0095007E">
        <w:rPr>
          <w:rStyle w:val="FootnoteReference"/>
          <w:sz w:val="18"/>
          <w:szCs w:val="18"/>
        </w:rPr>
        <w:footnoteRef/>
      </w:r>
      <w:r w:rsidRPr="006C4887">
        <w:rPr>
          <w:sz w:val="18"/>
          <w:szCs w:val="18"/>
          <w:lang w:val="es-ES"/>
        </w:rPr>
        <w:t xml:space="preserve">A raíz de la decisión BS-V/1, el Comité comenzó a adoptar medidas cuando una Parte no presentaba un informe nacional o </w:t>
      </w:r>
      <w:r>
        <w:rPr>
          <w:sz w:val="18"/>
          <w:szCs w:val="18"/>
          <w:lang w:val="es-ES"/>
        </w:rPr>
        <w:t xml:space="preserve">cuando se </w:t>
      </w:r>
      <w:r w:rsidRPr="006C4887">
        <w:rPr>
          <w:sz w:val="18"/>
          <w:szCs w:val="18"/>
          <w:lang w:val="es-ES"/>
        </w:rPr>
        <w:t xml:space="preserve">había recibido información por medio de un informe nacional o de la Secretaría, </w:t>
      </w:r>
      <w:r>
        <w:rPr>
          <w:sz w:val="18"/>
          <w:szCs w:val="18"/>
          <w:lang w:val="es-ES"/>
        </w:rPr>
        <w:t xml:space="preserve">sobre la base de la información proveniente del CIISB, que revelaba que la Parte en cuestión se enfrentaba a dificultades para cumplir sus obligaciones en virtud del </w:t>
      </w:r>
      <w:r w:rsidRPr="006C4887">
        <w:rPr>
          <w:sz w:val="18"/>
          <w:szCs w:val="18"/>
          <w:lang w:val="es-ES"/>
        </w:rPr>
        <w:t>Protocol</w:t>
      </w:r>
      <w:r>
        <w:rPr>
          <w:sz w:val="18"/>
          <w:szCs w:val="18"/>
          <w:lang w:val="es-ES"/>
        </w:rPr>
        <w:t>o</w:t>
      </w:r>
      <w:r w:rsidRPr="006C4887">
        <w:rPr>
          <w:sz w:val="18"/>
          <w:szCs w:val="18"/>
          <w:lang w:val="es-ES"/>
        </w:rPr>
        <w:t>.</w:t>
      </w:r>
    </w:p>
  </w:footnote>
  <w:footnote w:id="44">
    <w:p w:rsidR="002E21F4" w:rsidRPr="0095007E" w:rsidRDefault="002E21F4">
      <w:pPr>
        <w:pStyle w:val="FootnoteText"/>
        <w:rPr>
          <w:lang w:val="es-ES"/>
        </w:rPr>
      </w:pPr>
      <w:r w:rsidRPr="0095007E">
        <w:rPr>
          <w:rStyle w:val="FootnoteReference"/>
          <w:sz w:val="18"/>
          <w:szCs w:val="18"/>
        </w:rPr>
        <w:footnoteRef/>
      </w:r>
      <w:r w:rsidRPr="006C4887">
        <w:rPr>
          <w:sz w:val="18"/>
          <w:szCs w:val="18"/>
          <w:lang w:val="es-ES"/>
        </w:rPr>
        <w:t>La pregunta</w:t>
      </w:r>
      <w:r>
        <w:rPr>
          <w:sz w:val="18"/>
          <w:szCs w:val="18"/>
          <w:lang w:val="es-ES"/>
        </w:rPr>
        <w:t xml:space="preserve"> conexa</w:t>
      </w:r>
      <w:r w:rsidRPr="006C4887">
        <w:rPr>
          <w:sz w:val="18"/>
          <w:szCs w:val="18"/>
          <w:lang w:val="es-ES"/>
        </w:rPr>
        <w:t xml:space="preserve"> del </w:t>
      </w:r>
      <w:r>
        <w:rPr>
          <w:sz w:val="18"/>
          <w:szCs w:val="18"/>
          <w:lang w:val="es-ES"/>
        </w:rPr>
        <w:t>s</w:t>
      </w:r>
      <w:r w:rsidRPr="006C4887">
        <w:rPr>
          <w:sz w:val="18"/>
          <w:szCs w:val="18"/>
          <w:lang w:val="es-ES"/>
        </w:rPr>
        <w:t>egundo informe nacional no conten</w:t>
      </w:r>
      <w:r>
        <w:rPr>
          <w:sz w:val="18"/>
          <w:szCs w:val="18"/>
          <w:lang w:val="es-ES"/>
        </w:rPr>
        <w:t>ía la respuesta</w:t>
      </w:r>
      <w:r w:rsidRPr="006C4887">
        <w:rPr>
          <w:sz w:val="18"/>
          <w:szCs w:val="18"/>
          <w:lang w:val="es-ES"/>
        </w:rPr>
        <w:t xml:space="preserve"> </w:t>
      </w:r>
      <w:r>
        <w:rPr>
          <w:sz w:val="18"/>
          <w:szCs w:val="18"/>
          <w:lang w:val="es-ES"/>
        </w:rPr>
        <w:t>“Sí, en cierta medida”</w:t>
      </w:r>
      <w:r w:rsidRPr="006C4887">
        <w:rPr>
          <w:sz w:val="18"/>
          <w:szCs w:val="18"/>
          <w:lang w:val="es-ES"/>
        </w:rPr>
        <w:t>.</w:t>
      </w:r>
    </w:p>
  </w:footnote>
  <w:footnote w:id="45">
    <w:p w:rsidR="002E21F4" w:rsidRPr="0095007E" w:rsidRDefault="002E21F4">
      <w:pPr>
        <w:pStyle w:val="FootnoteText"/>
        <w:rPr>
          <w:lang w:val="es-ES"/>
        </w:rPr>
      </w:pPr>
      <w:r w:rsidRPr="0095007E">
        <w:rPr>
          <w:rStyle w:val="FootnoteReference"/>
          <w:sz w:val="18"/>
          <w:szCs w:val="18"/>
        </w:rPr>
        <w:footnoteRef/>
      </w:r>
      <w:r w:rsidRPr="006E3E5A">
        <w:rPr>
          <w:sz w:val="18"/>
          <w:szCs w:val="18"/>
          <w:lang w:val="es-ES"/>
        </w:rPr>
        <w:t>Esta información se ha obtenido de la pregunta 19 del formato de presentaci</w:t>
      </w:r>
      <w:r>
        <w:rPr>
          <w:sz w:val="18"/>
          <w:szCs w:val="18"/>
          <w:lang w:val="es-ES"/>
        </w:rPr>
        <w:t>ón de informes para el cuarto informe nacional</w:t>
      </w:r>
      <w:r w:rsidRPr="006E3E5A">
        <w:rPr>
          <w:sz w:val="18"/>
          <w:szCs w:val="18"/>
          <w:lang w:val="es-ES"/>
        </w:rPr>
        <w:t xml:space="preserve">. </w:t>
      </w:r>
    </w:p>
  </w:footnote>
  <w:footnote w:id="46">
    <w:p w:rsidR="002E21F4" w:rsidRPr="0095007E" w:rsidRDefault="002E21F4">
      <w:pPr>
        <w:pStyle w:val="FootnoteText"/>
        <w:rPr>
          <w:lang w:val="es-ES"/>
        </w:rPr>
      </w:pPr>
      <w:r w:rsidRPr="0095007E">
        <w:rPr>
          <w:rStyle w:val="FootnoteReference"/>
          <w:sz w:val="18"/>
          <w:szCs w:val="18"/>
        </w:rPr>
        <w:footnoteRef/>
      </w:r>
      <w:r w:rsidRPr="00272B57">
        <w:rPr>
          <w:snapToGrid w:val="0"/>
          <w:kern w:val="18"/>
          <w:sz w:val="18"/>
          <w:szCs w:val="18"/>
          <w:lang w:val="es-ES"/>
        </w:rPr>
        <w:t xml:space="preserve">No fue posible responder </w:t>
      </w:r>
      <w:r w:rsidRPr="005E5C1F">
        <w:rPr>
          <w:snapToGrid w:val="0"/>
          <w:kern w:val="18"/>
          <w:sz w:val="18"/>
          <w:szCs w:val="18"/>
          <w:lang w:val="es-ES"/>
        </w:rPr>
        <w:t>“en cierta medida”</w:t>
      </w:r>
      <w:r w:rsidRPr="00272B57">
        <w:rPr>
          <w:snapToGrid w:val="0"/>
          <w:kern w:val="18"/>
          <w:sz w:val="18"/>
          <w:szCs w:val="18"/>
          <w:lang w:val="es-ES"/>
        </w:rPr>
        <w:t xml:space="preserve"> a la pregunta</w:t>
      </w:r>
      <w:r>
        <w:rPr>
          <w:snapToGrid w:val="0"/>
          <w:kern w:val="18"/>
          <w:sz w:val="18"/>
          <w:szCs w:val="18"/>
          <w:lang w:val="es-ES"/>
        </w:rPr>
        <w:t xml:space="preserve"> conexa</w:t>
      </w:r>
      <w:r w:rsidRPr="00272B57">
        <w:rPr>
          <w:snapToGrid w:val="0"/>
          <w:kern w:val="18"/>
          <w:sz w:val="18"/>
          <w:szCs w:val="18"/>
          <w:lang w:val="es-ES"/>
        </w:rPr>
        <w:t xml:space="preserve"> en el segundo informe nacional. Esto puede haber afectado a los cambios notificados en comparaci</w:t>
      </w:r>
      <w:r>
        <w:rPr>
          <w:snapToGrid w:val="0"/>
          <w:kern w:val="18"/>
          <w:sz w:val="18"/>
          <w:szCs w:val="18"/>
          <w:lang w:val="es-ES"/>
        </w:rPr>
        <w:t>ón con la base de referencia</w:t>
      </w:r>
      <w:r w:rsidRPr="00272B57">
        <w:rPr>
          <w:snapToGrid w:val="0"/>
          <w:kern w:val="18"/>
          <w:sz w:val="18"/>
          <w:szCs w:val="18"/>
          <w:lang w:val="es-ES"/>
        </w:rPr>
        <w:t>.</w:t>
      </w:r>
    </w:p>
  </w:footnote>
  <w:footnote w:id="47">
    <w:p w:rsidR="002E21F4" w:rsidRPr="0095007E" w:rsidRDefault="002E21F4">
      <w:pPr>
        <w:pStyle w:val="FootnoteText"/>
        <w:rPr>
          <w:lang w:val="es-ES"/>
        </w:rPr>
      </w:pPr>
      <w:r w:rsidRPr="0095007E">
        <w:rPr>
          <w:rStyle w:val="FootnoteReference"/>
        </w:rPr>
        <w:footnoteRef/>
      </w:r>
      <w:bookmarkStart w:id="30" w:name="_Hlk33187068"/>
      <w:r w:rsidRPr="0074594D">
        <w:rPr>
          <w:sz w:val="18"/>
          <w:szCs w:val="18"/>
          <w:lang w:val="es-ES"/>
        </w:rPr>
        <w:t xml:space="preserve">Debido al redondeo de los decimales, la suma de los porcentajes es del 14 % </w:t>
      </w:r>
      <w:r>
        <w:rPr>
          <w:sz w:val="18"/>
          <w:szCs w:val="18"/>
          <w:lang w:val="es-ES"/>
        </w:rPr>
        <w:t xml:space="preserve">en lugar del </w:t>
      </w:r>
      <w:r w:rsidRPr="0074594D">
        <w:rPr>
          <w:sz w:val="18"/>
          <w:szCs w:val="18"/>
          <w:lang w:val="es-ES"/>
        </w:rPr>
        <w:t>15</w:t>
      </w:r>
      <w:r>
        <w:rPr>
          <w:sz w:val="18"/>
          <w:szCs w:val="18"/>
          <w:lang w:val="es-ES"/>
        </w:rPr>
        <w:t xml:space="preserve"> </w:t>
      </w:r>
      <w:r w:rsidRPr="0074594D">
        <w:rPr>
          <w:sz w:val="18"/>
          <w:szCs w:val="18"/>
          <w:lang w:val="es-ES"/>
        </w:rPr>
        <w:t xml:space="preserve">%. </w:t>
      </w:r>
      <w:bookmarkEnd w:id="30"/>
    </w:p>
  </w:footnote>
  <w:footnote w:id="48">
    <w:p w:rsidR="002E21F4" w:rsidRPr="0095007E" w:rsidRDefault="002E21F4">
      <w:pPr>
        <w:pStyle w:val="FootnoteText"/>
        <w:rPr>
          <w:lang w:val="es-ES"/>
        </w:rPr>
      </w:pPr>
      <w:r w:rsidRPr="0095007E">
        <w:rPr>
          <w:rStyle w:val="FootnoteReference"/>
          <w:sz w:val="18"/>
          <w:szCs w:val="18"/>
        </w:rPr>
        <w:footnoteRef/>
      </w:r>
      <w:r w:rsidRPr="00072DFE">
        <w:rPr>
          <w:sz w:val="18"/>
          <w:szCs w:val="18"/>
          <w:lang w:val="es-ES"/>
        </w:rPr>
        <w:t xml:space="preserve"> Algunos de estos cambios pueden estar relacionados con la revisión de la pregunta en el formato para el cuarto informe nacional, que se limit</w:t>
      </w:r>
      <w:r>
        <w:rPr>
          <w:sz w:val="18"/>
          <w:szCs w:val="18"/>
          <w:lang w:val="es-ES"/>
        </w:rPr>
        <w:t>ó al periodo de presentación de informes</w:t>
      </w:r>
      <w:r w:rsidRPr="00072DFE">
        <w:rPr>
          <w:sz w:val="18"/>
          <w:szCs w:val="18"/>
          <w:lang w:val="es-ES"/>
        </w:rPr>
        <w:t xml:space="preserve">, </w:t>
      </w:r>
      <w:r>
        <w:rPr>
          <w:sz w:val="18"/>
          <w:szCs w:val="18"/>
          <w:lang w:val="es-ES"/>
        </w:rPr>
        <w:t>mientras que en el segundo informe nacional era de composición abierta</w:t>
      </w:r>
      <w:r w:rsidRPr="00072DFE">
        <w:rPr>
          <w:sz w:val="18"/>
          <w:szCs w:val="18"/>
          <w:lang w:val="es-ES"/>
        </w:rPr>
        <w:t>.</w:t>
      </w:r>
    </w:p>
  </w:footnote>
  <w:footnote w:id="49">
    <w:p w:rsidR="002E21F4" w:rsidRPr="0095007E" w:rsidRDefault="002E21F4">
      <w:pPr>
        <w:pStyle w:val="FootnoteText"/>
        <w:rPr>
          <w:lang w:val="es-ES"/>
        </w:rPr>
      </w:pPr>
      <w:r w:rsidRPr="0095007E">
        <w:rPr>
          <w:rStyle w:val="FootnoteReference"/>
          <w:sz w:val="18"/>
          <w:szCs w:val="18"/>
        </w:rPr>
        <w:footnoteRef/>
      </w:r>
      <w:r w:rsidRPr="00072DFE">
        <w:rPr>
          <w:sz w:val="18"/>
          <w:szCs w:val="18"/>
          <w:lang w:val="es-ES"/>
        </w:rPr>
        <w:t xml:space="preserve"> </w:t>
      </w:r>
      <w:r w:rsidRPr="00A53625">
        <w:rPr>
          <w:i/>
          <w:sz w:val="18"/>
          <w:szCs w:val="18"/>
          <w:lang w:val="es-ES"/>
        </w:rPr>
        <w:t>Ibidem</w:t>
      </w:r>
      <w:r>
        <w:rPr>
          <w:sz w:val="18"/>
          <w:szCs w:val="18"/>
          <w:lang w:val="es-ES"/>
        </w:rPr>
        <w:t>.</w:t>
      </w:r>
    </w:p>
  </w:footnote>
  <w:footnote w:id="50">
    <w:p w:rsidR="002E21F4" w:rsidRPr="0095007E" w:rsidRDefault="002E21F4">
      <w:pPr>
        <w:pStyle w:val="FootnoteText"/>
        <w:rPr>
          <w:lang w:val="es-ES"/>
        </w:rPr>
      </w:pPr>
      <w:r w:rsidRPr="0095007E">
        <w:rPr>
          <w:rStyle w:val="FootnoteReference"/>
          <w:sz w:val="18"/>
          <w:szCs w:val="18"/>
        </w:rPr>
        <w:footnoteRef/>
      </w:r>
      <w:r w:rsidRPr="008711D7">
        <w:rPr>
          <w:sz w:val="18"/>
          <w:szCs w:val="18"/>
          <w:lang w:val="es-ES"/>
        </w:rPr>
        <w:t>En el</w:t>
      </w:r>
      <w:r>
        <w:rPr>
          <w:sz w:val="18"/>
          <w:szCs w:val="18"/>
          <w:lang w:val="es-ES"/>
        </w:rPr>
        <w:t xml:space="preserve"> segundo </w:t>
      </w:r>
      <w:r w:rsidRPr="008711D7">
        <w:rPr>
          <w:sz w:val="18"/>
          <w:szCs w:val="18"/>
          <w:lang w:val="es-ES"/>
        </w:rPr>
        <w:t>formato de</w:t>
      </w:r>
      <w:r>
        <w:rPr>
          <w:sz w:val="18"/>
          <w:szCs w:val="18"/>
          <w:lang w:val="es-ES"/>
        </w:rPr>
        <w:t xml:space="preserve"> presentación de informes nacionales</w:t>
      </w:r>
      <w:r w:rsidRPr="008711D7">
        <w:rPr>
          <w:sz w:val="18"/>
          <w:szCs w:val="18"/>
          <w:lang w:val="es-ES"/>
        </w:rPr>
        <w:t xml:space="preserve">, solo </w:t>
      </w:r>
      <w:r>
        <w:rPr>
          <w:sz w:val="18"/>
          <w:szCs w:val="18"/>
          <w:lang w:val="es-ES"/>
        </w:rPr>
        <w:t xml:space="preserve">se pidió a </w:t>
      </w:r>
      <w:r w:rsidRPr="008711D7">
        <w:rPr>
          <w:sz w:val="18"/>
          <w:szCs w:val="18"/>
          <w:lang w:val="es-ES"/>
        </w:rPr>
        <w:t xml:space="preserve">las Partes que comunicaron </w:t>
      </w:r>
      <w:r>
        <w:rPr>
          <w:sz w:val="18"/>
          <w:szCs w:val="18"/>
          <w:lang w:val="es-ES"/>
        </w:rPr>
        <w:t>haber adoptado alguna decisión sobre OVM-AHAP</w:t>
      </w:r>
      <w:r w:rsidRPr="008711D7">
        <w:rPr>
          <w:sz w:val="18"/>
          <w:szCs w:val="18"/>
          <w:lang w:val="es-ES"/>
        </w:rPr>
        <w:t xml:space="preserve"> </w:t>
      </w:r>
      <w:r>
        <w:rPr>
          <w:sz w:val="18"/>
          <w:szCs w:val="18"/>
          <w:lang w:val="es-ES"/>
        </w:rPr>
        <w:t>que respondieran a la pregunta</w:t>
      </w:r>
      <w:r w:rsidRPr="008711D7">
        <w:rPr>
          <w:sz w:val="18"/>
          <w:szCs w:val="18"/>
          <w:lang w:val="es-ES"/>
        </w:rPr>
        <w:t>. Por esta razón, el número total de Partes que han proporcionado informaci</w:t>
      </w:r>
      <w:r>
        <w:rPr>
          <w:sz w:val="18"/>
          <w:szCs w:val="18"/>
          <w:lang w:val="es-ES"/>
        </w:rPr>
        <w:t>ón sobre esta pregunta es bajo</w:t>
      </w:r>
      <w:r w:rsidRPr="008711D7">
        <w:rPr>
          <w:sz w:val="18"/>
          <w:szCs w:val="18"/>
          <w:lang w:val="es-ES"/>
        </w:rPr>
        <w:t xml:space="preserve">.  </w:t>
      </w:r>
    </w:p>
  </w:footnote>
  <w:footnote w:id="51">
    <w:p w:rsidR="002E21F4" w:rsidRPr="0095007E" w:rsidRDefault="002E21F4">
      <w:pPr>
        <w:pStyle w:val="FootnoteText"/>
        <w:rPr>
          <w:lang w:val="es-ES"/>
        </w:rPr>
      </w:pPr>
      <w:r w:rsidRPr="0095007E">
        <w:rPr>
          <w:rStyle w:val="FootnoteReference"/>
          <w:sz w:val="18"/>
          <w:szCs w:val="18"/>
        </w:rPr>
        <w:footnoteRef/>
      </w:r>
      <w:r>
        <w:rPr>
          <w:i/>
          <w:sz w:val="18"/>
          <w:szCs w:val="18"/>
          <w:lang w:val="es-ES"/>
        </w:rPr>
        <w:t>I</w:t>
      </w:r>
      <w:r w:rsidRPr="00A53625">
        <w:rPr>
          <w:i/>
          <w:sz w:val="18"/>
          <w:szCs w:val="18"/>
          <w:lang w:val="es-ES"/>
        </w:rPr>
        <w:t>bidem</w:t>
      </w:r>
      <w:r w:rsidRPr="00F45BD1">
        <w:rPr>
          <w:sz w:val="18"/>
          <w:szCs w:val="18"/>
          <w:lang w:val="es-ES"/>
        </w:rPr>
        <w:t>.</w:t>
      </w:r>
    </w:p>
  </w:footnote>
  <w:footnote w:id="52">
    <w:p w:rsidR="002E21F4" w:rsidRPr="0095007E" w:rsidRDefault="002E21F4">
      <w:pPr>
        <w:pStyle w:val="FootnoteText"/>
        <w:rPr>
          <w:lang w:val="es-ES"/>
        </w:rPr>
      </w:pPr>
      <w:r w:rsidRPr="0095007E">
        <w:rPr>
          <w:rStyle w:val="FootnoteReference"/>
          <w:sz w:val="18"/>
          <w:szCs w:val="18"/>
        </w:rPr>
        <w:footnoteRef/>
      </w:r>
      <w:r w:rsidRPr="00240E18">
        <w:rPr>
          <w:sz w:val="18"/>
          <w:szCs w:val="18"/>
          <w:lang w:val="es-ES"/>
        </w:rPr>
        <w:t xml:space="preserve">Tres de esas Partes facilitaron resúmenes de la evaluación del riesgo </w:t>
      </w:r>
      <w:r>
        <w:rPr>
          <w:sz w:val="18"/>
          <w:szCs w:val="18"/>
          <w:lang w:val="es-ES"/>
        </w:rPr>
        <w:t>para la gran mayoría de las decisiones que enviaron al CIISB</w:t>
      </w:r>
      <w:r w:rsidRPr="00240E18">
        <w:rPr>
          <w:sz w:val="18"/>
          <w:szCs w:val="18"/>
          <w:lang w:val="es-ES"/>
        </w:rPr>
        <w:t xml:space="preserve">. </w:t>
      </w:r>
    </w:p>
  </w:footnote>
  <w:footnote w:id="53">
    <w:p w:rsidR="002E21F4" w:rsidRPr="0095007E" w:rsidRDefault="002E21F4">
      <w:pPr>
        <w:pStyle w:val="FootnoteText"/>
        <w:rPr>
          <w:lang w:val="es-ES"/>
        </w:rPr>
      </w:pPr>
      <w:r w:rsidRPr="0095007E">
        <w:rPr>
          <w:rStyle w:val="FootnoteReference"/>
          <w:sz w:val="18"/>
          <w:szCs w:val="18"/>
        </w:rPr>
        <w:footnoteRef/>
      </w:r>
      <w:r w:rsidRPr="00240E18">
        <w:rPr>
          <w:sz w:val="18"/>
          <w:szCs w:val="18"/>
          <w:lang w:val="es-ES"/>
        </w:rPr>
        <w:t>La pregunta 168 del cuarto informe nacional está relacionada con la pregunta 35 a) (</w:t>
      </w:r>
      <w:r>
        <w:rPr>
          <w:sz w:val="18"/>
          <w:szCs w:val="18"/>
          <w:lang w:val="es-ES"/>
        </w:rPr>
        <w:t>sobre los sistemas de supervisión</w:t>
      </w:r>
      <w:r w:rsidRPr="00240E18">
        <w:rPr>
          <w:sz w:val="18"/>
          <w:szCs w:val="18"/>
          <w:lang w:val="es-ES"/>
        </w:rPr>
        <w:t xml:space="preserve">) </w:t>
      </w:r>
      <w:r>
        <w:rPr>
          <w:sz w:val="18"/>
          <w:szCs w:val="18"/>
          <w:lang w:val="es-ES"/>
        </w:rPr>
        <w:t xml:space="preserve">y la pregunta </w:t>
      </w:r>
      <w:r w:rsidRPr="00240E18">
        <w:rPr>
          <w:sz w:val="18"/>
          <w:szCs w:val="18"/>
          <w:lang w:val="es-ES"/>
        </w:rPr>
        <w:t>35</w:t>
      </w:r>
      <w:r>
        <w:rPr>
          <w:sz w:val="18"/>
          <w:szCs w:val="18"/>
          <w:lang w:val="es-ES"/>
        </w:rPr>
        <w:t xml:space="preserve"> </w:t>
      </w:r>
      <w:r w:rsidRPr="00240E18">
        <w:rPr>
          <w:sz w:val="18"/>
          <w:szCs w:val="18"/>
          <w:lang w:val="es-ES"/>
        </w:rPr>
        <w:t>b) (</w:t>
      </w:r>
      <w:r>
        <w:rPr>
          <w:sz w:val="18"/>
          <w:szCs w:val="18"/>
          <w:lang w:val="es-ES"/>
        </w:rPr>
        <w:t>sobre los sistemas de aplicación de normas) en la Encuesta</w:t>
      </w:r>
      <w:r w:rsidRPr="00240E18">
        <w:rPr>
          <w:sz w:val="18"/>
          <w:szCs w:val="18"/>
          <w:lang w:val="es-ES"/>
        </w:rPr>
        <w:t xml:space="preserve">. Para este análisis, la herramienta de análisis del CIISB comparó la pregunta 168 del cuarto informe nacional con la pregunta 35 a) de la Encuesta. </w:t>
      </w:r>
      <w:r>
        <w:rPr>
          <w:sz w:val="18"/>
          <w:szCs w:val="18"/>
          <w:lang w:val="es-ES"/>
        </w:rPr>
        <w:t xml:space="preserve">Las diferencias totales en el recuento entre las respuestas a las preguntas </w:t>
      </w:r>
      <w:r w:rsidRPr="00721C2E">
        <w:rPr>
          <w:sz w:val="18"/>
          <w:szCs w:val="18"/>
          <w:lang w:val="es-ES"/>
        </w:rPr>
        <w:t xml:space="preserve">35 a) y b) </w:t>
      </w:r>
      <w:r>
        <w:rPr>
          <w:sz w:val="18"/>
          <w:szCs w:val="18"/>
          <w:lang w:val="es-ES"/>
        </w:rPr>
        <w:t>son mínimas</w:t>
      </w:r>
      <w:r w:rsidRPr="00721C2E">
        <w:rPr>
          <w:sz w:val="18"/>
          <w:szCs w:val="18"/>
          <w:lang w:val="es-ES"/>
        </w:rPr>
        <w:t xml:space="preserve"> (35</w:t>
      </w:r>
      <w:r>
        <w:rPr>
          <w:sz w:val="18"/>
          <w:szCs w:val="18"/>
          <w:lang w:val="es-ES"/>
        </w:rPr>
        <w:t xml:space="preserve"> </w:t>
      </w:r>
      <w:r w:rsidRPr="00721C2E">
        <w:rPr>
          <w:sz w:val="18"/>
          <w:szCs w:val="18"/>
          <w:lang w:val="es-ES"/>
        </w:rPr>
        <w:t xml:space="preserve">a): 61 </w:t>
      </w:r>
      <w:r>
        <w:rPr>
          <w:sz w:val="18"/>
          <w:szCs w:val="18"/>
          <w:lang w:val="es-ES"/>
        </w:rPr>
        <w:t>respondieron</w:t>
      </w:r>
      <w:r w:rsidRPr="00721C2E">
        <w:rPr>
          <w:sz w:val="18"/>
          <w:szCs w:val="18"/>
          <w:lang w:val="es-ES"/>
        </w:rPr>
        <w:t xml:space="preserve"> </w:t>
      </w:r>
      <w:r>
        <w:rPr>
          <w:i/>
          <w:iCs/>
          <w:sz w:val="18"/>
          <w:szCs w:val="18"/>
          <w:lang w:val="es-ES"/>
        </w:rPr>
        <w:t>sí</w:t>
      </w:r>
      <w:r w:rsidRPr="00721C2E">
        <w:rPr>
          <w:sz w:val="18"/>
          <w:szCs w:val="18"/>
          <w:lang w:val="es-ES"/>
        </w:rPr>
        <w:t xml:space="preserve">, 46 </w:t>
      </w:r>
      <w:r>
        <w:rPr>
          <w:sz w:val="18"/>
          <w:szCs w:val="18"/>
          <w:lang w:val="es-ES"/>
        </w:rPr>
        <w:t>respondieron</w:t>
      </w:r>
      <w:r w:rsidRPr="00721C2E">
        <w:rPr>
          <w:sz w:val="18"/>
          <w:szCs w:val="18"/>
          <w:lang w:val="es-ES"/>
        </w:rPr>
        <w:t xml:space="preserve"> </w:t>
      </w:r>
      <w:r w:rsidRPr="00721C2E">
        <w:rPr>
          <w:i/>
          <w:iCs/>
          <w:sz w:val="18"/>
          <w:szCs w:val="18"/>
          <w:lang w:val="es-ES"/>
        </w:rPr>
        <w:t>no</w:t>
      </w:r>
      <w:r w:rsidRPr="00721C2E">
        <w:rPr>
          <w:sz w:val="18"/>
          <w:szCs w:val="18"/>
          <w:lang w:val="es-ES"/>
        </w:rPr>
        <w:t>.</w:t>
      </w:r>
      <w:r>
        <w:rPr>
          <w:sz w:val="18"/>
          <w:szCs w:val="18"/>
          <w:lang w:val="es-ES"/>
        </w:rPr>
        <w:t xml:space="preserve"> </w:t>
      </w:r>
      <w:r w:rsidRPr="000930C7">
        <w:rPr>
          <w:sz w:val="18"/>
          <w:szCs w:val="18"/>
          <w:lang w:val="es-ES"/>
        </w:rPr>
        <w:t xml:space="preserve">P35 b): 58 respondieron </w:t>
      </w:r>
      <w:r w:rsidRPr="000930C7">
        <w:rPr>
          <w:i/>
          <w:iCs/>
          <w:sz w:val="18"/>
          <w:szCs w:val="18"/>
          <w:lang w:val="es-ES"/>
        </w:rPr>
        <w:t>sí</w:t>
      </w:r>
      <w:r w:rsidRPr="000930C7">
        <w:rPr>
          <w:sz w:val="18"/>
          <w:szCs w:val="18"/>
          <w:lang w:val="es-ES"/>
        </w:rPr>
        <w:t xml:space="preserve">, 46 respondieron </w:t>
      </w:r>
      <w:r w:rsidRPr="000930C7">
        <w:rPr>
          <w:i/>
          <w:iCs/>
          <w:sz w:val="18"/>
          <w:szCs w:val="18"/>
          <w:lang w:val="es-ES"/>
        </w:rPr>
        <w:t>no</w:t>
      </w:r>
      <w:r w:rsidRPr="000930C7">
        <w:rPr>
          <w:sz w:val="18"/>
          <w:szCs w:val="18"/>
          <w:lang w:val="es-ES"/>
        </w:rPr>
        <w:t>).</w:t>
      </w:r>
    </w:p>
  </w:footnote>
  <w:footnote w:id="54">
    <w:p w:rsidR="002E21F4" w:rsidRPr="0095007E" w:rsidRDefault="002E21F4">
      <w:pPr>
        <w:pStyle w:val="FootnoteText"/>
        <w:rPr>
          <w:lang w:val="es-ES"/>
        </w:rPr>
      </w:pPr>
      <w:r w:rsidRPr="0095007E">
        <w:rPr>
          <w:rStyle w:val="FootnoteReference"/>
          <w:sz w:val="18"/>
          <w:szCs w:val="18"/>
        </w:rPr>
        <w:footnoteRef/>
      </w:r>
      <w:r w:rsidRPr="00721C2E">
        <w:rPr>
          <w:sz w:val="18"/>
          <w:szCs w:val="18"/>
          <w:lang w:val="es-ES"/>
        </w:rPr>
        <w:t>Uzbekistán depositó su instrumento de adhesión al Protocolo el 25 de octubre de 2019, una vez vencido el plazo para la presentación de los cuartos informes nacionales y no figura en el n</w:t>
      </w:r>
      <w:r>
        <w:rPr>
          <w:sz w:val="18"/>
          <w:szCs w:val="18"/>
          <w:lang w:val="es-ES"/>
        </w:rPr>
        <w:t>úmero total de Partes a los efectos del presente documento</w:t>
      </w:r>
      <w:r w:rsidRPr="00721C2E">
        <w:rPr>
          <w:sz w:val="18"/>
          <w:szCs w:val="18"/>
          <w:lang w:val="es-ES"/>
        </w:rPr>
        <w:t>.</w:t>
      </w:r>
    </w:p>
  </w:footnote>
  <w:footnote w:id="55">
    <w:p w:rsidR="002E21F4" w:rsidRPr="0095007E" w:rsidRDefault="002E21F4">
      <w:pPr>
        <w:pStyle w:val="FootnoteText"/>
        <w:rPr>
          <w:lang w:val="es-ES"/>
        </w:rPr>
      </w:pPr>
      <w:r w:rsidRPr="0095007E">
        <w:rPr>
          <w:rStyle w:val="FootnoteReference"/>
          <w:sz w:val="18"/>
          <w:szCs w:val="18"/>
        </w:rPr>
        <w:footnoteRef/>
      </w:r>
      <w:r w:rsidRPr="00D537AB">
        <w:rPr>
          <w:sz w:val="18"/>
          <w:szCs w:val="18"/>
          <w:lang w:val="es-ES"/>
        </w:rPr>
        <w:t>La tasa de presentación de los terceros informes nacionales en un momento similar después del plazo de presentaci</w:t>
      </w:r>
      <w:r>
        <w:rPr>
          <w:sz w:val="18"/>
          <w:szCs w:val="18"/>
          <w:lang w:val="es-ES"/>
        </w:rPr>
        <w:t xml:space="preserve">ón fue del </w:t>
      </w:r>
      <w:r w:rsidRPr="00D537AB">
        <w:rPr>
          <w:sz w:val="18"/>
          <w:szCs w:val="18"/>
          <w:lang w:val="es-ES"/>
        </w:rPr>
        <w:t>62</w:t>
      </w:r>
      <w:r>
        <w:rPr>
          <w:sz w:val="18"/>
          <w:szCs w:val="18"/>
          <w:lang w:val="es-ES"/>
        </w:rPr>
        <w:t xml:space="preserve"> </w:t>
      </w:r>
      <w:r w:rsidRPr="00D537AB">
        <w:rPr>
          <w:sz w:val="18"/>
          <w:szCs w:val="18"/>
          <w:lang w:val="es-ES"/>
        </w:rPr>
        <w:t xml:space="preserve">% </w:t>
      </w:r>
      <w:r>
        <w:rPr>
          <w:sz w:val="18"/>
          <w:szCs w:val="18"/>
          <w:lang w:val="es-ES"/>
        </w:rPr>
        <w:t xml:space="preserve">y había aumentado hasta un </w:t>
      </w:r>
      <w:r w:rsidRPr="00D537AB">
        <w:rPr>
          <w:sz w:val="18"/>
          <w:szCs w:val="18"/>
          <w:lang w:val="es-ES"/>
        </w:rPr>
        <w:t>91</w:t>
      </w:r>
      <w:r>
        <w:rPr>
          <w:sz w:val="18"/>
          <w:szCs w:val="18"/>
          <w:lang w:val="es-ES"/>
        </w:rPr>
        <w:t xml:space="preserve"> </w:t>
      </w:r>
      <w:r w:rsidRPr="00D537AB">
        <w:rPr>
          <w:sz w:val="18"/>
          <w:szCs w:val="18"/>
          <w:lang w:val="es-ES"/>
        </w:rPr>
        <w:t xml:space="preserve">% </w:t>
      </w:r>
      <w:r>
        <w:rPr>
          <w:sz w:val="18"/>
          <w:szCs w:val="18"/>
          <w:lang w:val="es-ES"/>
        </w:rPr>
        <w:t>en la fecha de preparación de la presente nota</w:t>
      </w:r>
      <w:r w:rsidRPr="00D537AB">
        <w:rPr>
          <w:sz w:val="18"/>
          <w:szCs w:val="18"/>
          <w:lang w:val="es-ES"/>
        </w:rPr>
        <w:t>.</w:t>
      </w:r>
    </w:p>
  </w:footnote>
  <w:footnote w:id="56">
    <w:p w:rsidR="002E21F4" w:rsidRPr="0095007E" w:rsidRDefault="002E21F4">
      <w:pPr>
        <w:pStyle w:val="FootnoteText"/>
        <w:rPr>
          <w:lang w:val="es-ES"/>
        </w:rPr>
      </w:pPr>
      <w:r w:rsidRPr="0095007E">
        <w:rPr>
          <w:rStyle w:val="FootnoteReference"/>
          <w:sz w:val="18"/>
          <w:szCs w:val="18"/>
        </w:rPr>
        <w:footnoteRef/>
      </w:r>
      <w:r w:rsidRPr="00D537AB">
        <w:rPr>
          <w:sz w:val="18"/>
          <w:szCs w:val="18"/>
          <w:lang w:val="es-ES"/>
        </w:rPr>
        <w:t>La pregunta</w:t>
      </w:r>
      <w:r>
        <w:rPr>
          <w:sz w:val="18"/>
          <w:szCs w:val="18"/>
          <w:lang w:val="es-ES"/>
        </w:rPr>
        <w:t xml:space="preserve"> conexa </w:t>
      </w:r>
      <w:r w:rsidRPr="00D537AB">
        <w:rPr>
          <w:sz w:val="18"/>
          <w:szCs w:val="18"/>
          <w:lang w:val="es-ES"/>
        </w:rPr>
        <w:t>en la Encuesta no conten</w:t>
      </w:r>
      <w:r>
        <w:rPr>
          <w:sz w:val="18"/>
          <w:szCs w:val="18"/>
          <w:lang w:val="es-ES"/>
        </w:rPr>
        <w:t>ía la respuesta “sí, en cierta medida”</w:t>
      </w:r>
      <w:r w:rsidRPr="00D537AB">
        <w:rPr>
          <w:sz w:val="18"/>
          <w:szCs w:val="18"/>
          <w:lang w:val="es-ES"/>
        </w:rPr>
        <w:t>. Un total del 51 % de las Partes comunicaron que no tenían acceso a dicha financiaci</w:t>
      </w:r>
      <w:r>
        <w:rPr>
          <w:sz w:val="18"/>
          <w:szCs w:val="18"/>
          <w:lang w:val="es-ES"/>
        </w:rPr>
        <w:t>ón</w:t>
      </w:r>
      <w:r w:rsidRPr="00D537AB">
        <w:rPr>
          <w:sz w:val="18"/>
          <w:szCs w:val="18"/>
          <w:lang w:val="es-ES"/>
        </w:rPr>
        <w:t>.</w:t>
      </w:r>
    </w:p>
  </w:footnote>
  <w:footnote w:id="57">
    <w:p w:rsidR="002E21F4" w:rsidRPr="0095007E" w:rsidRDefault="002E21F4">
      <w:pPr>
        <w:pStyle w:val="FootnoteText"/>
        <w:rPr>
          <w:lang w:val="es-ES"/>
        </w:rPr>
      </w:pPr>
      <w:r w:rsidRPr="0095007E">
        <w:rPr>
          <w:rStyle w:val="FootnoteReference"/>
          <w:sz w:val="18"/>
          <w:szCs w:val="18"/>
        </w:rPr>
        <w:footnoteRef/>
      </w:r>
      <w:r w:rsidRPr="00461C97">
        <w:rPr>
          <w:sz w:val="18"/>
          <w:szCs w:val="18"/>
          <w:lang w:val="es-ES"/>
        </w:rPr>
        <w:t>La pregunta 167 del cuarto informe nacional permite a las Partes responder que no se obtuvo financiación adicional, mientras que la respuesta m</w:t>
      </w:r>
      <w:r>
        <w:rPr>
          <w:sz w:val="18"/>
          <w:szCs w:val="18"/>
          <w:lang w:val="es-ES"/>
        </w:rPr>
        <w:t xml:space="preserve">ás baja posible a la pregunta conexa 6 de la Encuesta era “menos de </w:t>
      </w:r>
      <w:r w:rsidRPr="00461C97">
        <w:rPr>
          <w:sz w:val="18"/>
          <w:szCs w:val="18"/>
          <w:lang w:val="es-ES"/>
        </w:rPr>
        <w:t>5000</w:t>
      </w:r>
      <w:r>
        <w:rPr>
          <w:sz w:val="18"/>
          <w:szCs w:val="18"/>
          <w:lang w:val="es-ES"/>
        </w:rPr>
        <w:t>”</w:t>
      </w:r>
      <w:r w:rsidRPr="00461C97">
        <w:rPr>
          <w:sz w:val="18"/>
          <w:szCs w:val="18"/>
          <w:lang w:val="es-ES"/>
        </w:rPr>
        <w:t>. El cambio en la redacción de las respuestas puede haber contribuido a esta diferencia.</w:t>
      </w:r>
    </w:p>
  </w:footnote>
  <w:footnote w:id="58">
    <w:p w:rsidR="002E21F4" w:rsidRPr="0095007E" w:rsidRDefault="002E21F4">
      <w:pPr>
        <w:pStyle w:val="FootnoteText"/>
        <w:rPr>
          <w:lang w:val="es-ES"/>
        </w:rPr>
      </w:pPr>
      <w:r w:rsidRPr="0095007E">
        <w:rPr>
          <w:rStyle w:val="FootnoteReference"/>
          <w:sz w:val="18"/>
          <w:szCs w:val="18"/>
        </w:rPr>
        <w:footnoteRef/>
      </w:r>
      <w:r w:rsidRPr="00052EF6">
        <w:rPr>
          <w:sz w:val="18"/>
          <w:szCs w:val="18"/>
          <w:lang w:val="es-ES"/>
        </w:rPr>
        <w:t>UNEP/CBD/BS/CC/9/4.</w:t>
      </w:r>
    </w:p>
  </w:footnote>
  <w:footnote w:id="59">
    <w:p w:rsidR="002E21F4" w:rsidRPr="0095007E" w:rsidRDefault="002E21F4">
      <w:pPr>
        <w:pStyle w:val="FootnoteText"/>
        <w:rPr>
          <w:lang w:val="es-ES"/>
        </w:rPr>
      </w:pPr>
      <w:r w:rsidRPr="0095007E">
        <w:rPr>
          <w:rStyle w:val="FootnoteReference"/>
          <w:sz w:val="18"/>
          <w:szCs w:val="18"/>
        </w:rPr>
        <w:footnoteRef/>
      </w:r>
      <w:r w:rsidRPr="00052EF6">
        <w:rPr>
          <w:sz w:val="18"/>
          <w:szCs w:val="18"/>
          <w:lang w:val="es-ES"/>
        </w:rPr>
        <w:t xml:space="preserve"> UNEP/CBD/BS/CC/13/6, párr.10 c).</w:t>
      </w:r>
    </w:p>
  </w:footnote>
  <w:footnote w:id="60">
    <w:p w:rsidR="002E21F4" w:rsidRPr="0095007E" w:rsidRDefault="002E21F4">
      <w:pPr>
        <w:pStyle w:val="FootnoteText"/>
        <w:rPr>
          <w:lang w:val="es-ES"/>
        </w:rPr>
      </w:pPr>
      <w:r w:rsidRPr="0095007E">
        <w:rPr>
          <w:rStyle w:val="FootnoteReference"/>
        </w:rPr>
        <w:footnoteRef/>
      </w:r>
      <w:r w:rsidRPr="00052EF6">
        <w:rPr>
          <w:lang w:val="es-ES"/>
        </w:rPr>
        <w:t>CBD/CP/CC/17/6.</w:t>
      </w:r>
    </w:p>
  </w:footnote>
  <w:footnote w:id="61">
    <w:p w:rsidR="002E21F4" w:rsidRPr="0095007E" w:rsidRDefault="002E21F4">
      <w:pPr>
        <w:pStyle w:val="FootnoteText"/>
        <w:rPr>
          <w:lang w:val="es-ES"/>
        </w:rPr>
      </w:pPr>
      <w:r w:rsidRPr="0095007E">
        <w:rPr>
          <w:rStyle w:val="FootnoteReference"/>
        </w:rPr>
        <w:footnoteRef/>
      </w:r>
      <w:hyperlink r:id="rId8" w:history="1">
        <w:r w:rsidRPr="00052EF6">
          <w:rPr>
            <w:rStyle w:val="Hyperlink"/>
            <w:sz w:val="18"/>
            <w:szCs w:val="18"/>
            <w:lang w:val="es-ES"/>
          </w:rPr>
          <w:t>http://bch.cbd.int/protocol/cpb_art23_pow_evaluation.shtml</w:t>
        </w:r>
      </w:hyperlink>
    </w:p>
  </w:footnote>
  <w:footnote w:id="62">
    <w:p w:rsidR="002E21F4" w:rsidRPr="0095007E" w:rsidRDefault="002E21F4">
      <w:pPr>
        <w:pStyle w:val="FootnoteText"/>
        <w:rPr>
          <w:lang w:val="es-ES"/>
        </w:rPr>
      </w:pPr>
      <w:r w:rsidRPr="0095007E">
        <w:rPr>
          <w:rStyle w:val="FootnoteReference"/>
        </w:rPr>
        <w:footnoteRef/>
      </w:r>
      <w:r w:rsidRPr="00CE1FD0">
        <w:rPr>
          <w:sz w:val="18"/>
          <w:szCs w:val="18"/>
          <w:lang w:val="es-ES"/>
        </w:rPr>
        <w:t>El format</w:t>
      </w:r>
      <w:r>
        <w:rPr>
          <w:sz w:val="18"/>
          <w:szCs w:val="18"/>
          <w:lang w:val="es-ES"/>
        </w:rPr>
        <w:t>o</w:t>
      </w:r>
      <w:r w:rsidRPr="00CE1FD0">
        <w:rPr>
          <w:sz w:val="18"/>
          <w:szCs w:val="18"/>
          <w:lang w:val="es-ES"/>
        </w:rPr>
        <w:t xml:space="preserve"> para la Encuesta no incluía la respuesta “S</w:t>
      </w:r>
      <w:r>
        <w:rPr>
          <w:sz w:val="18"/>
          <w:szCs w:val="18"/>
          <w:lang w:val="es-ES"/>
        </w:rPr>
        <w:t>í, en cierta medida</w:t>
      </w:r>
      <w:r w:rsidRPr="00CE1FD0">
        <w:rPr>
          <w:sz w:val="18"/>
          <w:szCs w:val="18"/>
          <w:lang w:val="es-ES"/>
        </w:rPr>
        <w:t>”.</w:t>
      </w:r>
    </w:p>
  </w:footnote>
  <w:footnote w:id="63">
    <w:p w:rsidR="002E21F4" w:rsidRPr="0095007E" w:rsidRDefault="002E21F4">
      <w:pPr>
        <w:pStyle w:val="FootnoteText"/>
        <w:rPr>
          <w:lang w:val="es-ES"/>
        </w:rPr>
      </w:pPr>
      <w:r w:rsidRPr="0095007E">
        <w:rPr>
          <w:rStyle w:val="FootnoteReference"/>
          <w:sz w:val="18"/>
          <w:szCs w:val="18"/>
        </w:rPr>
        <w:footnoteRef/>
      </w:r>
      <w:r w:rsidRPr="00AA0EF1">
        <w:rPr>
          <w:sz w:val="18"/>
          <w:szCs w:val="18"/>
          <w:lang w:val="es-ES"/>
        </w:rPr>
        <w:t>Esta información no se proporcionó en informes nacionales anteriores.</w:t>
      </w:r>
    </w:p>
  </w:footnote>
  <w:footnote w:id="64">
    <w:p w:rsidR="002E21F4" w:rsidRPr="0095007E" w:rsidRDefault="002E21F4">
      <w:pPr>
        <w:pStyle w:val="FootnoteText"/>
        <w:rPr>
          <w:lang w:val="es-ES"/>
        </w:rPr>
      </w:pPr>
      <w:r w:rsidRPr="0095007E">
        <w:rPr>
          <w:rStyle w:val="FootnoteReference"/>
          <w:sz w:val="18"/>
          <w:szCs w:val="18"/>
        </w:rPr>
        <w:footnoteRef/>
      </w:r>
      <w:r w:rsidRPr="004A41F5">
        <w:rPr>
          <w:sz w:val="18"/>
          <w:szCs w:val="18"/>
          <w:lang w:val="es-ES"/>
        </w:rPr>
        <w:t>De las 194 Partes en el Convenio en ese momento.</w:t>
      </w:r>
    </w:p>
  </w:footnote>
  <w:footnote w:id="65">
    <w:p w:rsidR="002E21F4" w:rsidRPr="0095007E" w:rsidRDefault="002E21F4">
      <w:pPr>
        <w:pStyle w:val="FootnoteText"/>
        <w:rPr>
          <w:lang w:val="es-ES"/>
        </w:rPr>
      </w:pPr>
      <w:r w:rsidRPr="0095007E">
        <w:rPr>
          <w:rStyle w:val="FootnoteReference"/>
          <w:sz w:val="18"/>
          <w:szCs w:val="18"/>
        </w:rPr>
        <w:footnoteRef/>
      </w:r>
      <w:r w:rsidRPr="004A41F5">
        <w:rPr>
          <w:sz w:val="18"/>
          <w:szCs w:val="18"/>
          <w:lang w:val="es-ES"/>
        </w:rPr>
        <w:t>De las 196 Partes en el Convenio en ese momento.</w:t>
      </w:r>
    </w:p>
  </w:footnote>
  <w:footnote w:id="66">
    <w:p w:rsidR="002E21F4" w:rsidRPr="0095007E" w:rsidRDefault="002E21F4">
      <w:pPr>
        <w:pStyle w:val="FootnoteText"/>
        <w:rPr>
          <w:lang w:val="es-ES"/>
        </w:rPr>
      </w:pPr>
      <w:r w:rsidRPr="0095007E">
        <w:rPr>
          <w:rStyle w:val="FootnoteReference"/>
        </w:rPr>
        <w:footnoteRef/>
      </w:r>
      <w:r w:rsidRPr="00906C62">
        <w:rPr>
          <w:sz w:val="18"/>
          <w:szCs w:val="18"/>
          <w:lang w:val="es-ES"/>
        </w:rPr>
        <w:t>La Iniciativa de Aduanas Verdes es una </w:t>
      </w:r>
      <w:hyperlink r:id="rId9" w:history="1">
        <w:r w:rsidRPr="00906C62">
          <w:rPr>
            <w:rStyle w:val="Hyperlink"/>
            <w:sz w:val="18"/>
            <w:szCs w:val="18"/>
            <w:lang w:val="es-ES"/>
          </w:rPr>
          <w:t>asociación de organizaciones internacionales</w:t>
        </w:r>
      </w:hyperlink>
      <w:r w:rsidRPr="0095007E">
        <w:rPr>
          <w:sz w:val="18"/>
          <w:szCs w:val="18"/>
          <w:lang w:val="es-ES"/>
        </w:rPr>
        <w:t> </w:t>
      </w:r>
      <w:r w:rsidRPr="00906C62">
        <w:rPr>
          <w:sz w:val="18"/>
          <w:szCs w:val="18"/>
          <w:lang w:val="es-ES"/>
        </w:rPr>
        <w:t>que cooperan para mejorar la capacidad de los funcionarios de aduanas y otros funcionarios responsables del control de las fronteras para vigilar y facilitar el comercio</w:t>
      </w:r>
      <w:r>
        <w:rPr>
          <w:sz w:val="18"/>
          <w:szCs w:val="18"/>
          <w:lang w:val="es-ES"/>
        </w:rPr>
        <w:t xml:space="preserve"> lícito y detectar el comercio ilegal de productos nocivos para el medio ambiente incluidos en determinados acuerdos ambientales multilaterales y organizaciones</w:t>
      </w:r>
      <w:r w:rsidRPr="00906C62">
        <w:rPr>
          <w:sz w:val="18"/>
          <w:szCs w:val="18"/>
          <w:lang w:val="es-ES"/>
        </w:rPr>
        <w:t xml:space="preserve">. </w:t>
      </w:r>
      <w:r w:rsidRPr="00794DD3">
        <w:rPr>
          <w:sz w:val="18"/>
          <w:szCs w:val="18"/>
          <w:lang w:val="es-ES"/>
        </w:rPr>
        <w:t>Los socios de la GCI son: las Secretarías de las Convenciones de Basilea, Estocolmo y Róterdam, el C</w:t>
      </w:r>
      <w:r>
        <w:rPr>
          <w:sz w:val="18"/>
          <w:szCs w:val="18"/>
          <w:lang w:val="es-ES"/>
        </w:rPr>
        <w:t>onvenio sobre la Diversidad Biológica</w:t>
      </w:r>
      <w:r w:rsidRPr="00794DD3">
        <w:rPr>
          <w:sz w:val="18"/>
          <w:szCs w:val="18"/>
          <w:lang w:val="es-ES"/>
        </w:rPr>
        <w:t xml:space="preserve">, la Convención sobre Comercio Internacional de </w:t>
      </w:r>
      <w:r>
        <w:rPr>
          <w:sz w:val="18"/>
          <w:szCs w:val="18"/>
          <w:lang w:val="es-ES"/>
        </w:rPr>
        <w:t>E</w:t>
      </w:r>
      <w:r w:rsidRPr="00794DD3">
        <w:rPr>
          <w:sz w:val="18"/>
          <w:szCs w:val="18"/>
          <w:lang w:val="es-ES"/>
        </w:rPr>
        <w:t xml:space="preserve">species </w:t>
      </w:r>
      <w:r>
        <w:rPr>
          <w:sz w:val="18"/>
          <w:szCs w:val="18"/>
          <w:lang w:val="es-ES"/>
        </w:rPr>
        <w:t>A</w:t>
      </w:r>
      <w:r w:rsidRPr="00794DD3">
        <w:rPr>
          <w:sz w:val="18"/>
          <w:szCs w:val="18"/>
          <w:lang w:val="es-ES"/>
        </w:rPr>
        <w:t xml:space="preserve">menazadas de </w:t>
      </w:r>
      <w:r>
        <w:rPr>
          <w:sz w:val="18"/>
          <w:szCs w:val="18"/>
          <w:lang w:val="es-ES"/>
        </w:rPr>
        <w:t>F</w:t>
      </w:r>
      <w:r w:rsidRPr="00794DD3">
        <w:rPr>
          <w:sz w:val="18"/>
          <w:szCs w:val="18"/>
          <w:lang w:val="es-ES"/>
        </w:rPr>
        <w:t xml:space="preserve">auna y </w:t>
      </w:r>
      <w:r>
        <w:rPr>
          <w:sz w:val="18"/>
          <w:szCs w:val="18"/>
          <w:lang w:val="es-ES"/>
        </w:rPr>
        <w:t>F</w:t>
      </w:r>
      <w:r w:rsidRPr="00794DD3">
        <w:rPr>
          <w:sz w:val="18"/>
          <w:szCs w:val="18"/>
          <w:lang w:val="es-ES"/>
        </w:rPr>
        <w:t xml:space="preserve">lora </w:t>
      </w:r>
      <w:r>
        <w:rPr>
          <w:sz w:val="18"/>
          <w:szCs w:val="18"/>
          <w:lang w:val="es-ES"/>
        </w:rPr>
        <w:t>S</w:t>
      </w:r>
      <w:r w:rsidRPr="00794DD3">
        <w:rPr>
          <w:sz w:val="18"/>
          <w:szCs w:val="18"/>
          <w:lang w:val="es-ES"/>
        </w:rPr>
        <w:t>ilvestres (CITES), la Convenci</w:t>
      </w:r>
      <w:r>
        <w:rPr>
          <w:sz w:val="18"/>
          <w:szCs w:val="18"/>
          <w:lang w:val="es-ES"/>
        </w:rPr>
        <w:t xml:space="preserve">ón de Viena para la protección de la capa de ozono y para el Protocolo de </w:t>
      </w:r>
      <w:r w:rsidRPr="00794DD3">
        <w:rPr>
          <w:sz w:val="18"/>
          <w:szCs w:val="18"/>
          <w:lang w:val="es-ES"/>
        </w:rPr>
        <w:t xml:space="preserve">Montreal </w:t>
      </w:r>
      <w:r>
        <w:rPr>
          <w:sz w:val="18"/>
          <w:szCs w:val="18"/>
          <w:lang w:val="es-ES"/>
        </w:rPr>
        <w:t xml:space="preserve">relativo a las sustancias que agotan la capa de ozono, la Convención de </w:t>
      </w:r>
      <w:r w:rsidRPr="00794DD3">
        <w:rPr>
          <w:sz w:val="18"/>
          <w:szCs w:val="18"/>
          <w:lang w:val="es-ES"/>
        </w:rPr>
        <w:t xml:space="preserve">Minamata </w:t>
      </w:r>
      <w:r>
        <w:rPr>
          <w:sz w:val="18"/>
          <w:szCs w:val="18"/>
          <w:lang w:val="es-ES"/>
        </w:rPr>
        <w:t>sobre el mercurio, así como</w:t>
      </w:r>
      <w:r w:rsidRPr="00794DD3">
        <w:rPr>
          <w:sz w:val="18"/>
          <w:szCs w:val="18"/>
          <w:lang w:val="es-ES"/>
        </w:rPr>
        <w:t xml:space="preserve"> </w:t>
      </w:r>
      <w:r>
        <w:rPr>
          <w:sz w:val="18"/>
          <w:szCs w:val="18"/>
          <w:lang w:val="es-ES"/>
        </w:rPr>
        <w:t xml:space="preserve">la </w:t>
      </w:r>
      <w:r w:rsidRPr="00794DD3">
        <w:rPr>
          <w:sz w:val="18"/>
          <w:szCs w:val="18"/>
          <w:lang w:val="es-ES"/>
        </w:rPr>
        <w:t>Interpol</w:t>
      </w:r>
      <w:r>
        <w:rPr>
          <w:sz w:val="18"/>
          <w:szCs w:val="18"/>
          <w:lang w:val="es-ES"/>
        </w:rPr>
        <w:t>, la Oficina de las Naciones Unidas contra la Droga y el Delito</w:t>
      </w:r>
      <w:r w:rsidRPr="00794DD3">
        <w:rPr>
          <w:sz w:val="18"/>
          <w:szCs w:val="18"/>
          <w:lang w:val="es-ES"/>
        </w:rPr>
        <w:t xml:space="preserve"> (</w:t>
      </w:r>
      <w:r>
        <w:rPr>
          <w:sz w:val="18"/>
          <w:szCs w:val="18"/>
          <w:lang w:val="es-ES"/>
        </w:rPr>
        <w:t>ONUDD</w:t>
      </w:r>
      <w:r w:rsidRPr="00794DD3">
        <w:rPr>
          <w:sz w:val="18"/>
          <w:szCs w:val="18"/>
          <w:lang w:val="es-ES"/>
        </w:rPr>
        <w:t>)</w:t>
      </w:r>
      <w:r>
        <w:rPr>
          <w:sz w:val="18"/>
          <w:szCs w:val="18"/>
          <w:lang w:val="es-ES"/>
        </w:rPr>
        <w:t>, la Organización Mundial de Aduanas</w:t>
      </w:r>
      <w:r w:rsidRPr="00794DD3">
        <w:rPr>
          <w:sz w:val="18"/>
          <w:szCs w:val="18"/>
          <w:lang w:val="es-ES"/>
        </w:rPr>
        <w:t xml:space="preserve"> (</w:t>
      </w:r>
      <w:r>
        <w:rPr>
          <w:sz w:val="18"/>
          <w:szCs w:val="18"/>
          <w:lang w:val="es-ES"/>
        </w:rPr>
        <w:t>OMA</w:t>
      </w:r>
      <w:r w:rsidRPr="00794DD3">
        <w:rPr>
          <w:sz w:val="18"/>
          <w:szCs w:val="18"/>
          <w:lang w:val="es-ES"/>
        </w:rPr>
        <w:t>)</w:t>
      </w:r>
      <w:r>
        <w:rPr>
          <w:sz w:val="18"/>
          <w:szCs w:val="18"/>
          <w:lang w:val="es-ES"/>
        </w:rPr>
        <w:t xml:space="preserve"> y </w:t>
      </w:r>
      <w:proofErr w:type="spellStart"/>
      <w:r>
        <w:rPr>
          <w:sz w:val="18"/>
          <w:szCs w:val="18"/>
          <w:lang w:val="es-ES"/>
        </w:rPr>
        <w:t>Ozon</w:t>
      </w:r>
      <w:r w:rsidRPr="00794DD3">
        <w:rPr>
          <w:sz w:val="18"/>
          <w:szCs w:val="18"/>
          <w:lang w:val="es-ES"/>
        </w:rPr>
        <w:t>Action</w:t>
      </w:r>
      <w:proofErr w:type="spellEnd"/>
      <w:r w:rsidRPr="00794DD3">
        <w:rPr>
          <w:sz w:val="18"/>
          <w:szCs w:val="18"/>
          <w:lang w:val="es-ES"/>
        </w:rPr>
        <w:t xml:space="preserve"> </w:t>
      </w:r>
      <w:r>
        <w:rPr>
          <w:sz w:val="18"/>
          <w:szCs w:val="18"/>
          <w:lang w:val="es-ES"/>
        </w:rPr>
        <w:t>del PNUMA</w:t>
      </w:r>
      <w:r w:rsidRPr="00794DD3">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1F4" w:rsidRPr="00030FC1" w:rsidRDefault="002E21F4">
    <w:pPr>
      <w:pStyle w:val="Header"/>
      <w:tabs>
        <w:tab w:val="clear" w:pos="4320"/>
        <w:tab w:val="clear" w:pos="8640"/>
      </w:tabs>
      <w:jc w:val="left"/>
      <w:rPr>
        <w:rFonts w:ascii="Times New Roman" w:hAnsi="Times New Roman" w:cs="Times New Roman"/>
        <w:noProof/>
        <w:sz w:val="22"/>
        <w:szCs w:val="22"/>
        <w:lang w:val="fr-FR"/>
      </w:rPr>
    </w:pPr>
    <w:r w:rsidRPr="00030FC1">
      <w:rPr>
        <w:rFonts w:ascii="Times New Roman" w:hAnsi="Times New Roman" w:cs="Times New Roman"/>
        <w:noProof/>
        <w:sz w:val="22"/>
        <w:szCs w:val="22"/>
        <w:lang w:val="fr-FR"/>
      </w:rPr>
      <w:t>CBD/SBI/3/3/Add.1</w:t>
    </w:r>
  </w:p>
  <w:p w:rsidR="002E21F4" w:rsidRPr="00030FC1" w:rsidRDefault="002E21F4">
    <w:pPr>
      <w:pStyle w:val="Header"/>
      <w:tabs>
        <w:tab w:val="clear" w:pos="4320"/>
        <w:tab w:val="clear" w:pos="8640"/>
      </w:tabs>
      <w:jc w:val="left"/>
      <w:rPr>
        <w:rFonts w:ascii="Times New Roman" w:hAnsi="Times New Roman" w:cs="Times New Roman"/>
        <w:noProof/>
        <w:sz w:val="22"/>
        <w:szCs w:val="22"/>
        <w:lang w:val="fr-FR"/>
      </w:rPr>
    </w:pPr>
    <w:r w:rsidRPr="00030FC1">
      <w:rPr>
        <w:rFonts w:ascii="Times New Roman" w:hAnsi="Times New Roman" w:cs="Times New Roman"/>
        <w:noProof/>
        <w:sz w:val="22"/>
        <w:szCs w:val="22"/>
        <w:lang w:val="fr-FR"/>
      </w:rPr>
      <w:t>P</w:t>
    </w:r>
    <w:r>
      <w:rPr>
        <w:rFonts w:ascii="Times New Roman" w:hAnsi="Times New Roman" w:cs="Times New Roman"/>
        <w:noProof/>
        <w:sz w:val="22"/>
        <w:szCs w:val="22"/>
        <w:lang w:val="fr-FR"/>
      </w:rPr>
      <w:t>ágina</w:t>
    </w:r>
    <w:r w:rsidRPr="00030FC1">
      <w:rPr>
        <w:rFonts w:ascii="Times New Roman" w:hAnsi="Times New Roman" w:cs="Times New Roman"/>
        <w:noProof/>
        <w:sz w:val="22"/>
        <w:szCs w:val="22"/>
        <w:lang w:val="fr-FR"/>
      </w:rPr>
      <w:t xml:space="preserve"> </w:t>
    </w:r>
    <w:r w:rsidRPr="00030FC1">
      <w:rPr>
        <w:rFonts w:ascii="Times New Roman" w:hAnsi="Times New Roman" w:cs="Times New Roman"/>
        <w:noProof/>
        <w:sz w:val="22"/>
        <w:szCs w:val="22"/>
        <w:lang w:val="fr-FR"/>
      </w:rPr>
      <w:fldChar w:fldCharType="begin"/>
    </w:r>
    <w:r w:rsidRPr="00030FC1">
      <w:rPr>
        <w:rFonts w:ascii="Times New Roman" w:hAnsi="Times New Roman" w:cs="Times New Roman"/>
        <w:noProof/>
        <w:sz w:val="22"/>
        <w:szCs w:val="22"/>
        <w:lang w:val="fr-FR"/>
      </w:rPr>
      <w:instrText xml:space="preserve"> PAGE   \* MERGEFORMAT </w:instrText>
    </w:r>
    <w:r w:rsidRPr="00030FC1">
      <w:rPr>
        <w:rFonts w:ascii="Times New Roman" w:hAnsi="Times New Roman" w:cs="Times New Roman"/>
        <w:noProof/>
        <w:sz w:val="22"/>
        <w:szCs w:val="22"/>
        <w:lang w:val="fr-FR"/>
      </w:rPr>
      <w:fldChar w:fldCharType="separate"/>
    </w:r>
    <w:r>
      <w:rPr>
        <w:rFonts w:ascii="Times New Roman" w:hAnsi="Times New Roman" w:cs="Times New Roman"/>
        <w:noProof/>
        <w:sz w:val="22"/>
        <w:szCs w:val="22"/>
        <w:lang w:val="fr-FR"/>
      </w:rPr>
      <w:t>2</w:t>
    </w:r>
    <w:r w:rsidRPr="00030FC1">
      <w:rPr>
        <w:rFonts w:ascii="Times New Roman" w:hAnsi="Times New Roman" w:cs="Times New Roman"/>
        <w:noProof/>
        <w:sz w:val="22"/>
        <w:szCs w:val="22"/>
        <w:lang w:val="fr-FR"/>
      </w:rPr>
      <w:fldChar w:fldCharType="end"/>
    </w:r>
  </w:p>
  <w:p w:rsidR="002E21F4" w:rsidRDefault="002E21F4">
    <w:pPr>
      <w:pStyle w:val="Header"/>
      <w:tabs>
        <w:tab w:val="clear" w:pos="4320"/>
        <w:tab w:val="clear" w:pos="8640"/>
      </w:tabs>
      <w:jc w:val="left"/>
      <w:rPr>
        <w:rFonts w:ascii="Times New Roman" w:hAnsi="Times New Roman" w:cs="Times New Roman"/>
        <w:noProo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1F4" w:rsidRPr="00030FC1" w:rsidRDefault="002E21F4">
    <w:pPr>
      <w:pStyle w:val="Header"/>
      <w:tabs>
        <w:tab w:val="clear" w:pos="4320"/>
        <w:tab w:val="clear" w:pos="8640"/>
      </w:tabs>
      <w:jc w:val="right"/>
      <w:rPr>
        <w:rFonts w:ascii="Times New Roman" w:hAnsi="Times New Roman" w:cs="Times New Roman"/>
        <w:noProof/>
        <w:sz w:val="22"/>
        <w:szCs w:val="22"/>
        <w:lang w:val="fr-FR"/>
      </w:rPr>
    </w:pPr>
    <w:r w:rsidRPr="00030FC1">
      <w:rPr>
        <w:rFonts w:ascii="Times New Roman" w:hAnsi="Times New Roman" w:cs="Times New Roman"/>
        <w:noProof/>
        <w:sz w:val="22"/>
        <w:szCs w:val="22"/>
        <w:lang w:val="fr-FR"/>
      </w:rPr>
      <w:t>CBD/SBI/3/3/Add.1</w:t>
    </w:r>
  </w:p>
  <w:p w:rsidR="002E21F4" w:rsidRDefault="002E21F4">
    <w:pPr>
      <w:pStyle w:val="Header"/>
      <w:tabs>
        <w:tab w:val="clear" w:pos="4320"/>
        <w:tab w:val="clear" w:pos="8640"/>
      </w:tabs>
      <w:jc w:val="right"/>
      <w:rPr>
        <w:rFonts w:ascii="Times New Roman" w:hAnsi="Times New Roman" w:cs="Times New Roman"/>
        <w:noProof/>
        <w:lang w:val="fr-FR"/>
      </w:rPr>
    </w:pPr>
    <w:r w:rsidRPr="00030FC1">
      <w:rPr>
        <w:rFonts w:ascii="Times New Roman" w:hAnsi="Times New Roman" w:cs="Times New Roman"/>
        <w:noProof/>
        <w:sz w:val="22"/>
        <w:szCs w:val="22"/>
        <w:lang w:val="fr-FR"/>
      </w:rPr>
      <w:t>P</w:t>
    </w:r>
    <w:r>
      <w:rPr>
        <w:rFonts w:ascii="Times New Roman" w:hAnsi="Times New Roman" w:cs="Times New Roman"/>
        <w:noProof/>
        <w:sz w:val="22"/>
        <w:szCs w:val="22"/>
        <w:lang w:val="fr-FR"/>
      </w:rPr>
      <w:t>ágina</w:t>
    </w:r>
    <w:r w:rsidRPr="00030FC1">
      <w:rPr>
        <w:rFonts w:ascii="Times New Roman" w:hAnsi="Times New Roman" w:cs="Times New Roman"/>
        <w:noProof/>
        <w:sz w:val="22"/>
        <w:szCs w:val="22"/>
        <w:lang w:val="fr-FR"/>
      </w:rPr>
      <w:t xml:space="preserve"> </w:t>
    </w:r>
    <w:r w:rsidRPr="00030FC1">
      <w:rPr>
        <w:rFonts w:ascii="Times New Roman" w:hAnsi="Times New Roman" w:cs="Times New Roman"/>
        <w:noProof/>
        <w:sz w:val="22"/>
        <w:szCs w:val="22"/>
        <w:lang w:val="fr-FR"/>
      </w:rPr>
      <w:fldChar w:fldCharType="begin"/>
    </w:r>
    <w:r w:rsidRPr="00030FC1">
      <w:rPr>
        <w:rFonts w:ascii="Times New Roman" w:hAnsi="Times New Roman" w:cs="Times New Roman"/>
        <w:noProof/>
        <w:sz w:val="22"/>
        <w:szCs w:val="22"/>
        <w:lang w:val="fr-FR"/>
      </w:rPr>
      <w:instrText xml:space="preserve"> PAGE   \* MERGEFORMAT </w:instrText>
    </w:r>
    <w:r w:rsidRPr="00030FC1">
      <w:rPr>
        <w:rFonts w:ascii="Times New Roman" w:hAnsi="Times New Roman" w:cs="Times New Roman"/>
        <w:noProof/>
        <w:sz w:val="22"/>
        <w:szCs w:val="22"/>
        <w:lang w:val="fr-FR"/>
      </w:rPr>
      <w:fldChar w:fldCharType="separate"/>
    </w:r>
    <w:r>
      <w:rPr>
        <w:rFonts w:ascii="Times New Roman" w:hAnsi="Times New Roman" w:cs="Times New Roman"/>
        <w:noProof/>
        <w:sz w:val="22"/>
        <w:szCs w:val="22"/>
        <w:lang w:val="fr-FR"/>
      </w:rPr>
      <w:t>7</w:t>
    </w:r>
    <w:r w:rsidRPr="00030FC1">
      <w:rPr>
        <w:rFonts w:ascii="Times New Roman" w:hAnsi="Times New Roman" w:cs="Times New Roman"/>
        <w:noProof/>
        <w:sz w:val="22"/>
        <w:szCs w:val="22"/>
        <w:lang w:val="fr-FR"/>
      </w:rPr>
      <w:fldChar w:fldCharType="end"/>
    </w:r>
  </w:p>
  <w:p w:rsidR="002E21F4" w:rsidRDefault="002E21F4">
    <w:pPr>
      <w:pStyle w:val="Header"/>
      <w:rPr>
        <w:rFonts w:ascii="Times New Roman" w:hAnsi="Times New Roman"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0F30"/>
    <w:multiLevelType w:val="multilevel"/>
    <w:tmpl w:val="4E18595C"/>
    <w:lvl w:ilvl="0">
      <w:start w:val="1"/>
      <w:numFmt w:val="decimal"/>
      <w:lvlText w:val="%1."/>
      <w:lvlJc w:val="left"/>
      <w:pPr>
        <w:tabs>
          <w:tab w:val="num" w:pos="3240"/>
        </w:tabs>
        <w:ind w:left="3240" w:hanging="360"/>
      </w:pPr>
      <w:rPr>
        <w:rFonts w:ascii="Times New Roman" w:hAnsi="Times New Roman" w:cs="Times New Roman"/>
        <w:b w:val="0"/>
        <w:bCs w:val="0"/>
        <w:i w:val="0"/>
        <w:iCs w:val="0"/>
      </w:rPr>
    </w:lvl>
    <w:lvl w:ilvl="1">
      <w:start w:val="1"/>
      <w:numFmt w:val="decimal"/>
      <w:lvlText w:val="%2."/>
      <w:lvlJc w:val="left"/>
      <w:pPr>
        <w:tabs>
          <w:tab w:val="num" w:pos="3960"/>
        </w:tabs>
        <w:ind w:left="3960" w:hanging="360"/>
      </w:pPr>
      <w:rPr>
        <w:rFonts w:ascii="Times New Roman" w:hAnsi="Times New Roman" w:cs="Times New Roman"/>
      </w:rPr>
    </w:lvl>
    <w:lvl w:ilvl="2">
      <w:start w:val="1"/>
      <w:numFmt w:val="upperLetter"/>
      <w:lvlText w:val="%3."/>
      <w:lvlJc w:val="left"/>
      <w:pPr>
        <w:ind w:left="4680" w:hanging="360"/>
      </w:pPr>
      <w:rPr>
        <w:rFonts w:ascii="Times New Roman" w:hAnsi="Times New Roman" w:cs="Times New Roman" w:hint="default"/>
      </w:rPr>
    </w:lvl>
    <w:lvl w:ilvl="3">
      <w:start w:val="1"/>
      <w:numFmt w:val="lowerLetter"/>
      <w:lvlText w:val="(%4)"/>
      <w:lvlJc w:val="left"/>
      <w:pPr>
        <w:ind w:left="5040"/>
      </w:pPr>
      <w:rPr>
        <w:rFonts w:ascii="Times New Roman" w:hAnsi="Times New Roman" w:cs="Times New Roman" w:hint="default"/>
      </w:rPr>
    </w:lvl>
    <w:lvl w:ilvl="4">
      <w:start w:val="1"/>
      <w:numFmt w:val="decimal"/>
      <w:lvlText w:val="%5."/>
      <w:lvlJc w:val="left"/>
      <w:pPr>
        <w:tabs>
          <w:tab w:val="num" w:pos="6120"/>
        </w:tabs>
        <w:ind w:left="6120" w:hanging="360"/>
      </w:pPr>
      <w:rPr>
        <w:rFonts w:ascii="Times New Roman" w:hAnsi="Times New Roman" w:cs="Times New Roman"/>
      </w:rPr>
    </w:lvl>
    <w:lvl w:ilvl="5">
      <w:start w:val="1"/>
      <w:numFmt w:val="decimal"/>
      <w:lvlText w:val="%6."/>
      <w:lvlJc w:val="left"/>
      <w:pPr>
        <w:tabs>
          <w:tab w:val="num" w:pos="6840"/>
        </w:tabs>
        <w:ind w:left="6840" w:hanging="360"/>
      </w:pPr>
      <w:rPr>
        <w:rFonts w:ascii="Times New Roman" w:hAnsi="Times New Roman" w:cs="Times New Roman"/>
      </w:rPr>
    </w:lvl>
    <w:lvl w:ilvl="6">
      <w:start w:val="1"/>
      <w:numFmt w:val="decimal"/>
      <w:lvlText w:val="%7."/>
      <w:lvlJc w:val="left"/>
      <w:pPr>
        <w:tabs>
          <w:tab w:val="num" w:pos="7560"/>
        </w:tabs>
        <w:ind w:left="7560" w:hanging="360"/>
      </w:pPr>
      <w:rPr>
        <w:rFonts w:ascii="Times New Roman" w:hAnsi="Times New Roman" w:cs="Times New Roman"/>
      </w:rPr>
    </w:lvl>
    <w:lvl w:ilvl="7">
      <w:start w:val="1"/>
      <w:numFmt w:val="decimal"/>
      <w:lvlText w:val="%8."/>
      <w:lvlJc w:val="left"/>
      <w:pPr>
        <w:tabs>
          <w:tab w:val="num" w:pos="8280"/>
        </w:tabs>
        <w:ind w:left="8280" w:hanging="360"/>
      </w:pPr>
      <w:rPr>
        <w:rFonts w:ascii="Times New Roman" w:hAnsi="Times New Roman" w:cs="Times New Roman"/>
      </w:rPr>
    </w:lvl>
    <w:lvl w:ilvl="8">
      <w:start w:val="1"/>
      <w:numFmt w:val="decimal"/>
      <w:lvlText w:val="%9."/>
      <w:lvlJc w:val="left"/>
      <w:pPr>
        <w:tabs>
          <w:tab w:val="num" w:pos="9000"/>
        </w:tabs>
        <w:ind w:left="9000" w:hanging="360"/>
      </w:pPr>
      <w:rPr>
        <w:rFonts w:ascii="Times New Roman" w:hAnsi="Times New Roman" w:cs="Times New Roman"/>
      </w:rPr>
    </w:lvl>
  </w:abstractNum>
  <w:abstractNum w:abstractNumId="1" w15:restartNumberingAfterBreak="0">
    <w:nsid w:val="128937AB"/>
    <w:multiLevelType w:val="hybridMultilevel"/>
    <w:tmpl w:val="C71884FA"/>
    <w:lvl w:ilvl="0" w:tplc="0C0A0017">
      <w:start w:val="1"/>
      <w:numFmt w:val="lowerLetter"/>
      <w:lvlText w:val="%1)"/>
      <w:lvlJc w:val="left"/>
      <w:pPr>
        <w:ind w:left="720" w:hanging="360"/>
      </w:pPr>
      <w:rPr>
        <w:rFonts w:hint="default"/>
        <w:lang w:val="es-E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7E03360"/>
    <w:multiLevelType w:val="hybridMultilevel"/>
    <w:tmpl w:val="0986D920"/>
    <w:lvl w:ilvl="0" w:tplc="0C0A0017">
      <w:start w:val="1"/>
      <w:numFmt w:val="lowerLetter"/>
      <w:lvlText w:val="%1)"/>
      <w:lvlJc w:val="left"/>
      <w:pPr>
        <w:ind w:left="720" w:hanging="360"/>
      </w:pPr>
      <w:rPr>
        <w:rFonts w:hint="default"/>
      </w:rPr>
    </w:lvl>
    <w:lvl w:ilvl="1" w:tplc="EEEED00A">
      <w:start w:val="1"/>
      <w:numFmt w:val="lowerRoman"/>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32EF46F3"/>
    <w:multiLevelType w:val="multilevel"/>
    <w:tmpl w:val="84E256DA"/>
    <w:lvl w:ilvl="0">
      <w:start w:val="1"/>
      <w:numFmt w:val="upperLetter"/>
      <w:lvlText w:val="%1."/>
      <w:lvlJc w:val="left"/>
      <w:pPr>
        <w:tabs>
          <w:tab w:val="num" w:pos="2070"/>
        </w:tabs>
        <w:ind w:left="2070" w:hanging="360"/>
      </w:pPr>
      <w:rPr>
        <w:rFonts w:ascii="Times New Roman" w:hAnsi="Times New Roman" w:cs="Times New Roman"/>
        <w:b/>
        <w:bCs/>
        <w:i w:val="0"/>
        <w:iCs w:val="0"/>
        <w:lang w:val="es-ES"/>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77CC316B"/>
    <w:multiLevelType w:val="multilevel"/>
    <w:tmpl w:val="462C6584"/>
    <w:lvl w:ilvl="0">
      <w:start w:val="1"/>
      <w:numFmt w:val="upperRoman"/>
      <w:lvlText w:val="%1."/>
      <w:lvlJc w:val="left"/>
      <w:pPr>
        <w:ind w:left="1080" w:firstLine="360"/>
      </w:pPr>
      <w:rPr>
        <w:rFonts w:ascii="Times New Roman" w:hAnsi="Times New Roman" w:cs="Times New Roman"/>
        <w:vertAlign w:val="baseline"/>
      </w:rPr>
    </w:lvl>
    <w:lvl w:ilvl="1">
      <w:start w:val="1"/>
      <w:numFmt w:val="lowerLetter"/>
      <w:lvlText w:val="%2."/>
      <w:lvlJc w:val="left"/>
      <w:pPr>
        <w:ind w:left="1440" w:firstLine="1080"/>
      </w:pPr>
      <w:rPr>
        <w:rFonts w:ascii="Times New Roman" w:hAnsi="Times New Roman" w:cs="Times New Roman"/>
        <w:vertAlign w:val="baseline"/>
      </w:rPr>
    </w:lvl>
    <w:lvl w:ilvl="2">
      <w:start w:val="1"/>
      <w:numFmt w:val="lowerRoman"/>
      <w:lvlText w:val="%3."/>
      <w:lvlJc w:val="right"/>
      <w:pPr>
        <w:ind w:left="2160" w:firstLine="1980"/>
      </w:pPr>
      <w:rPr>
        <w:rFonts w:ascii="Times New Roman" w:hAnsi="Times New Roman" w:cs="Times New Roman"/>
        <w:vertAlign w:val="baseline"/>
      </w:rPr>
    </w:lvl>
    <w:lvl w:ilvl="3">
      <w:start w:val="1"/>
      <w:numFmt w:val="decimal"/>
      <w:lvlText w:val="%4."/>
      <w:lvlJc w:val="left"/>
      <w:pPr>
        <w:ind w:left="2880" w:firstLine="2520"/>
      </w:pPr>
      <w:rPr>
        <w:rFonts w:ascii="Times New Roman" w:hAnsi="Times New Roman" w:cs="Times New Roman"/>
        <w:vertAlign w:val="baseline"/>
      </w:rPr>
    </w:lvl>
    <w:lvl w:ilvl="4">
      <w:start w:val="1"/>
      <w:numFmt w:val="lowerLetter"/>
      <w:lvlText w:val="%5."/>
      <w:lvlJc w:val="left"/>
      <w:pPr>
        <w:ind w:left="3600" w:firstLine="3240"/>
      </w:pPr>
      <w:rPr>
        <w:rFonts w:ascii="Times New Roman" w:hAnsi="Times New Roman" w:cs="Times New Roman"/>
        <w:vertAlign w:val="baseline"/>
      </w:rPr>
    </w:lvl>
    <w:lvl w:ilvl="5">
      <w:start w:val="1"/>
      <w:numFmt w:val="lowerRoman"/>
      <w:lvlText w:val="%6."/>
      <w:lvlJc w:val="right"/>
      <w:pPr>
        <w:ind w:left="4320" w:firstLine="4140"/>
      </w:pPr>
      <w:rPr>
        <w:rFonts w:ascii="Times New Roman" w:hAnsi="Times New Roman" w:cs="Times New Roman"/>
        <w:vertAlign w:val="baseline"/>
      </w:rPr>
    </w:lvl>
    <w:lvl w:ilvl="6">
      <w:start w:val="1"/>
      <w:numFmt w:val="decimal"/>
      <w:lvlText w:val="%7."/>
      <w:lvlJc w:val="left"/>
      <w:pPr>
        <w:ind w:left="5040" w:firstLine="4680"/>
      </w:pPr>
      <w:rPr>
        <w:rFonts w:ascii="Times New Roman" w:hAnsi="Times New Roman" w:cs="Times New Roman"/>
        <w:vertAlign w:val="baseline"/>
      </w:rPr>
    </w:lvl>
    <w:lvl w:ilvl="7">
      <w:start w:val="1"/>
      <w:numFmt w:val="lowerLetter"/>
      <w:lvlText w:val="%8."/>
      <w:lvlJc w:val="left"/>
      <w:pPr>
        <w:ind w:left="5760" w:firstLine="5400"/>
      </w:pPr>
      <w:rPr>
        <w:rFonts w:ascii="Times New Roman" w:hAnsi="Times New Roman" w:cs="Times New Roman"/>
        <w:vertAlign w:val="baseline"/>
      </w:rPr>
    </w:lvl>
    <w:lvl w:ilvl="8">
      <w:start w:val="1"/>
      <w:numFmt w:val="lowerRoman"/>
      <w:lvlText w:val="%9."/>
      <w:lvlJc w:val="right"/>
      <w:pPr>
        <w:ind w:left="6480" w:firstLine="6300"/>
      </w:pPr>
      <w:rPr>
        <w:rFonts w:ascii="Times New Roman" w:hAnsi="Times New Roman" w:cs="Times New Roman"/>
        <w:vertAlign w:val="baseline"/>
      </w:rPr>
    </w:lvl>
  </w:abstractNum>
  <w:abstractNum w:abstractNumId="5" w15:restartNumberingAfterBreak="0">
    <w:nsid w:val="7CAC1CC5"/>
    <w:multiLevelType w:val="hybridMultilevel"/>
    <w:tmpl w:val="2114883A"/>
    <w:lvl w:ilvl="0" w:tplc="B0320386">
      <w:start w:val="1"/>
      <w:numFmt w:val="lowerLetter"/>
      <w:lvlText w:val="%1)"/>
      <w:lvlJc w:val="left"/>
      <w:pPr>
        <w:ind w:left="1440" w:hanging="360"/>
      </w:pPr>
      <w:rPr>
        <w:rFonts w:ascii="Times New Roman" w:hAnsi="Times New Roman" w:cs="Times New Roman" w:hint="default"/>
        <w:b w:val="0"/>
        <w:bCs w:val="0"/>
        <w:i w:val="0"/>
        <w:iCs w:val="0"/>
        <w:sz w:val="22"/>
        <w:szCs w:val="22"/>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num w:numId="1">
    <w:abstractNumId w:val="4"/>
  </w:num>
  <w:num w:numId="2">
    <w:abstractNumId w:val="0"/>
  </w:num>
  <w:num w:numId="3">
    <w:abstractNumId w:val="3"/>
  </w:num>
  <w:num w:numId="4">
    <w:abstractNumId w:val="5"/>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oNotTrackMoves/>
  <w:defaultTabStop w:val="720"/>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5B5A"/>
    <w:rsid w:val="000052BD"/>
    <w:rsid w:val="000124C1"/>
    <w:rsid w:val="000143AD"/>
    <w:rsid w:val="00023280"/>
    <w:rsid w:val="00025A6A"/>
    <w:rsid w:val="00030FC1"/>
    <w:rsid w:val="000329E6"/>
    <w:rsid w:val="00052EF6"/>
    <w:rsid w:val="000600FD"/>
    <w:rsid w:val="00065A15"/>
    <w:rsid w:val="00072DFE"/>
    <w:rsid w:val="00081F30"/>
    <w:rsid w:val="00087FAF"/>
    <w:rsid w:val="000930C7"/>
    <w:rsid w:val="00093610"/>
    <w:rsid w:val="00096C1E"/>
    <w:rsid w:val="000976C3"/>
    <w:rsid w:val="000A3984"/>
    <w:rsid w:val="000A6128"/>
    <w:rsid w:val="000C3FA0"/>
    <w:rsid w:val="000C7E20"/>
    <w:rsid w:val="000D0847"/>
    <w:rsid w:val="000D5AFF"/>
    <w:rsid w:val="000E2546"/>
    <w:rsid w:val="00116011"/>
    <w:rsid w:val="00116F99"/>
    <w:rsid w:val="00124DDF"/>
    <w:rsid w:val="00130504"/>
    <w:rsid w:val="0013421E"/>
    <w:rsid w:val="001372FF"/>
    <w:rsid w:val="00155FDE"/>
    <w:rsid w:val="0018048E"/>
    <w:rsid w:val="001876C2"/>
    <w:rsid w:val="00197B16"/>
    <w:rsid w:val="001A34AF"/>
    <w:rsid w:val="001A75B2"/>
    <w:rsid w:val="001A7CBA"/>
    <w:rsid w:val="001B1D21"/>
    <w:rsid w:val="001B3CE6"/>
    <w:rsid w:val="001B4CD7"/>
    <w:rsid w:val="001C3BD3"/>
    <w:rsid w:val="001D280E"/>
    <w:rsid w:val="001D4EEE"/>
    <w:rsid w:val="001D5BD8"/>
    <w:rsid w:val="001E46A7"/>
    <w:rsid w:val="001E6BDE"/>
    <w:rsid w:val="001F53A5"/>
    <w:rsid w:val="001F6258"/>
    <w:rsid w:val="00210A39"/>
    <w:rsid w:val="00211401"/>
    <w:rsid w:val="00211F7F"/>
    <w:rsid w:val="00212001"/>
    <w:rsid w:val="00217D5C"/>
    <w:rsid w:val="00222A45"/>
    <w:rsid w:val="002333B3"/>
    <w:rsid w:val="00234360"/>
    <w:rsid w:val="002360E7"/>
    <w:rsid w:val="00240E18"/>
    <w:rsid w:val="00243A75"/>
    <w:rsid w:val="00244330"/>
    <w:rsid w:val="002544F2"/>
    <w:rsid w:val="00256EB2"/>
    <w:rsid w:val="00262E58"/>
    <w:rsid w:val="00265720"/>
    <w:rsid w:val="0027098D"/>
    <w:rsid w:val="00272B57"/>
    <w:rsid w:val="00273B7F"/>
    <w:rsid w:val="00276AA5"/>
    <w:rsid w:val="00280265"/>
    <w:rsid w:val="002844E2"/>
    <w:rsid w:val="002908AE"/>
    <w:rsid w:val="002A7550"/>
    <w:rsid w:val="002B6B17"/>
    <w:rsid w:val="002D0368"/>
    <w:rsid w:val="002D0A5F"/>
    <w:rsid w:val="002D1D0E"/>
    <w:rsid w:val="002D6E65"/>
    <w:rsid w:val="002E21F4"/>
    <w:rsid w:val="002E5B45"/>
    <w:rsid w:val="002F01AF"/>
    <w:rsid w:val="002F0B0A"/>
    <w:rsid w:val="002F1C8F"/>
    <w:rsid w:val="003005DA"/>
    <w:rsid w:val="003016D8"/>
    <w:rsid w:val="003122A1"/>
    <w:rsid w:val="00313E9D"/>
    <w:rsid w:val="003204B7"/>
    <w:rsid w:val="0032497A"/>
    <w:rsid w:val="0032737D"/>
    <w:rsid w:val="00330EAA"/>
    <w:rsid w:val="003438BB"/>
    <w:rsid w:val="003459E7"/>
    <w:rsid w:val="003501C0"/>
    <w:rsid w:val="003608C9"/>
    <w:rsid w:val="003621C4"/>
    <w:rsid w:val="00367C7E"/>
    <w:rsid w:val="00376B4B"/>
    <w:rsid w:val="00380FED"/>
    <w:rsid w:val="00391FB3"/>
    <w:rsid w:val="00392A95"/>
    <w:rsid w:val="003A3F51"/>
    <w:rsid w:val="003A506D"/>
    <w:rsid w:val="003A7E5A"/>
    <w:rsid w:val="003B02B8"/>
    <w:rsid w:val="003B1B6B"/>
    <w:rsid w:val="003B2C7E"/>
    <w:rsid w:val="003B3A14"/>
    <w:rsid w:val="003C2E04"/>
    <w:rsid w:val="003C4142"/>
    <w:rsid w:val="003D07F3"/>
    <w:rsid w:val="003D1104"/>
    <w:rsid w:val="003D557E"/>
    <w:rsid w:val="003E2359"/>
    <w:rsid w:val="003E46AF"/>
    <w:rsid w:val="003E655E"/>
    <w:rsid w:val="003E71B7"/>
    <w:rsid w:val="003F2747"/>
    <w:rsid w:val="003F53E0"/>
    <w:rsid w:val="0040011E"/>
    <w:rsid w:val="004010FE"/>
    <w:rsid w:val="004025E4"/>
    <w:rsid w:val="00417545"/>
    <w:rsid w:val="0042512B"/>
    <w:rsid w:val="00427E09"/>
    <w:rsid w:val="00430313"/>
    <w:rsid w:val="00430A6E"/>
    <w:rsid w:val="00442801"/>
    <w:rsid w:val="00450936"/>
    <w:rsid w:val="00451FAF"/>
    <w:rsid w:val="004520F8"/>
    <w:rsid w:val="004540A2"/>
    <w:rsid w:val="004612A9"/>
    <w:rsid w:val="00461C97"/>
    <w:rsid w:val="0046532E"/>
    <w:rsid w:val="00477624"/>
    <w:rsid w:val="00481045"/>
    <w:rsid w:val="004A0758"/>
    <w:rsid w:val="004A084B"/>
    <w:rsid w:val="004A1141"/>
    <w:rsid w:val="004A1C55"/>
    <w:rsid w:val="004A41F5"/>
    <w:rsid w:val="004B3154"/>
    <w:rsid w:val="004C4A7A"/>
    <w:rsid w:val="004D75F4"/>
    <w:rsid w:val="004E004F"/>
    <w:rsid w:val="004F1AF8"/>
    <w:rsid w:val="004F1FC0"/>
    <w:rsid w:val="004F5D94"/>
    <w:rsid w:val="004F758D"/>
    <w:rsid w:val="00503D59"/>
    <w:rsid w:val="00513520"/>
    <w:rsid w:val="00513913"/>
    <w:rsid w:val="00516B93"/>
    <w:rsid w:val="005211CC"/>
    <w:rsid w:val="00523CFF"/>
    <w:rsid w:val="00524090"/>
    <w:rsid w:val="005264DB"/>
    <w:rsid w:val="005300A7"/>
    <w:rsid w:val="00534834"/>
    <w:rsid w:val="0054018F"/>
    <w:rsid w:val="005412A8"/>
    <w:rsid w:val="00543777"/>
    <w:rsid w:val="00552697"/>
    <w:rsid w:val="00553E64"/>
    <w:rsid w:val="00584D52"/>
    <w:rsid w:val="00585883"/>
    <w:rsid w:val="00587DCB"/>
    <w:rsid w:val="00590CB1"/>
    <w:rsid w:val="005929A5"/>
    <w:rsid w:val="00594591"/>
    <w:rsid w:val="005A1A25"/>
    <w:rsid w:val="005A66B9"/>
    <w:rsid w:val="005B015D"/>
    <w:rsid w:val="005D5E71"/>
    <w:rsid w:val="005D6454"/>
    <w:rsid w:val="005D6825"/>
    <w:rsid w:val="005D6E6E"/>
    <w:rsid w:val="005D7267"/>
    <w:rsid w:val="005E44F7"/>
    <w:rsid w:val="005E5C1F"/>
    <w:rsid w:val="005F1B30"/>
    <w:rsid w:val="00602559"/>
    <w:rsid w:val="00605FA5"/>
    <w:rsid w:val="00617C12"/>
    <w:rsid w:val="00617D35"/>
    <w:rsid w:val="006275F6"/>
    <w:rsid w:val="00627AE2"/>
    <w:rsid w:val="00644667"/>
    <w:rsid w:val="00644D1D"/>
    <w:rsid w:val="00651FC4"/>
    <w:rsid w:val="00662052"/>
    <w:rsid w:val="00667D33"/>
    <w:rsid w:val="00675A7F"/>
    <w:rsid w:val="006767F9"/>
    <w:rsid w:val="0068447D"/>
    <w:rsid w:val="00685F9B"/>
    <w:rsid w:val="00693475"/>
    <w:rsid w:val="006A1249"/>
    <w:rsid w:val="006B6F9F"/>
    <w:rsid w:val="006B74CE"/>
    <w:rsid w:val="006C3425"/>
    <w:rsid w:val="006C4887"/>
    <w:rsid w:val="006C7349"/>
    <w:rsid w:val="006E3B15"/>
    <w:rsid w:val="006E3E5A"/>
    <w:rsid w:val="006E562C"/>
    <w:rsid w:val="006E5F99"/>
    <w:rsid w:val="006F4D43"/>
    <w:rsid w:val="006F7413"/>
    <w:rsid w:val="00702D83"/>
    <w:rsid w:val="00721C2E"/>
    <w:rsid w:val="00724356"/>
    <w:rsid w:val="007306B4"/>
    <w:rsid w:val="0073236F"/>
    <w:rsid w:val="007329A8"/>
    <w:rsid w:val="00733B29"/>
    <w:rsid w:val="00734F4A"/>
    <w:rsid w:val="00740C42"/>
    <w:rsid w:val="0074594D"/>
    <w:rsid w:val="0076012E"/>
    <w:rsid w:val="00775B5A"/>
    <w:rsid w:val="00793A01"/>
    <w:rsid w:val="00794DD3"/>
    <w:rsid w:val="007A67EE"/>
    <w:rsid w:val="007C2013"/>
    <w:rsid w:val="007D3F28"/>
    <w:rsid w:val="007D470E"/>
    <w:rsid w:val="007E030C"/>
    <w:rsid w:val="007E0FF8"/>
    <w:rsid w:val="007F7D6B"/>
    <w:rsid w:val="00804B83"/>
    <w:rsid w:val="00806A47"/>
    <w:rsid w:val="00811737"/>
    <w:rsid w:val="00816EE6"/>
    <w:rsid w:val="0082005E"/>
    <w:rsid w:val="00821149"/>
    <w:rsid w:val="008258ED"/>
    <w:rsid w:val="008315A4"/>
    <w:rsid w:val="00835E58"/>
    <w:rsid w:val="00845122"/>
    <w:rsid w:val="008711D7"/>
    <w:rsid w:val="0087255D"/>
    <w:rsid w:val="008818C7"/>
    <w:rsid w:val="0089088F"/>
    <w:rsid w:val="00895D07"/>
    <w:rsid w:val="008B0665"/>
    <w:rsid w:val="008B69AB"/>
    <w:rsid w:val="008B6BF8"/>
    <w:rsid w:val="008C1F8B"/>
    <w:rsid w:val="008C6498"/>
    <w:rsid w:val="008C6B1E"/>
    <w:rsid w:val="008C7D92"/>
    <w:rsid w:val="008D6832"/>
    <w:rsid w:val="008E1E64"/>
    <w:rsid w:val="008E6684"/>
    <w:rsid w:val="008F7441"/>
    <w:rsid w:val="00906C62"/>
    <w:rsid w:val="00906FD7"/>
    <w:rsid w:val="00911476"/>
    <w:rsid w:val="00913A4B"/>
    <w:rsid w:val="0091618F"/>
    <w:rsid w:val="009252C2"/>
    <w:rsid w:val="009327CB"/>
    <w:rsid w:val="00934505"/>
    <w:rsid w:val="009443E3"/>
    <w:rsid w:val="0095007E"/>
    <w:rsid w:val="00956B7B"/>
    <w:rsid w:val="00963C19"/>
    <w:rsid w:val="00974FC9"/>
    <w:rsid w:val="00976ECC"/>
    <w:rsid w:val="00980F0C"/>
    <w:rsid w:val="00981084"/>
    <w:rsid w:val="0098120E"/>
    <w:rsid w:val="00992E44"/>
    <w:rsid w:val="00997CCE"/>
    <w:rsid w:val="009C6772"/>
    <w:rsid w:val="009C6EFC"/>
    <w:rsid w:val="009D3EBD"/>
    <w:rsid w:val="009D66B1"/>
    <w:rsid w:val="009E2687"/>
    <w:rsid w:val="009E349C"/>
    <w:rsid w:val="009E3726"/>
    <w:rsid w:val="009E78D5"/>
    <w:rsid w:val="009E7A53"/>
    <w:rsid w:val="009F14C9"/>
    <w:rsid w:val="009F3414"/>
    <w:rsid w:val="009F363A"/>
    <w:rsid w:val="009F59C0"/>
    <w:rsid w:val="00A153D0"/>
    <w:rsid w:val="00A16722"/>
    <w:rsid w:val="00A20286"/>
    <w:rsid w:val="00A250CB"/>
    <w:rsid w:val="00A35961"/>
    <w:rsid w:val="00A47FC4"/>
    <w:rsid w:val="00A516BC"/>
    <w:rsid w:val="00A53625"/>
    <w:rsid w:val="00A60590"/>
    <w:rsid w:val="00A654E3"/>
    <w:rsid w:val="00A67F82"/>
    <w:rsid w:val="00A71B4A"/>
    <w:rsid w:val="00A7604A"/>
    <w:rsid w:val="00A76566"/>
    <w:rsid w:val="00A85D32"/>
    <w:rsid w:val="00A86571"/>
    <w:rsid w:val="00A87806"/>
    <w:rsid w:val="00A92613"/>
    <w:rsid w:val="00AA0EF1"/>
    <w:rsid w:val="00AC65D4"/>
    <w:rsid w:val="00AE2F08"/>
    <w:rsid w:val="00AE6683"/>
    <w:rsid w:val="00AE7773"/>
    <w:rsid w:val="00AF57CD"/>
    <w:rsid w:val="00AF61EF"/>
    <w:rsid w:val="00AF7A15"/>
    <w:rsid w:val="00B02BB9"/>
    <w:rsid w:val="00B05D67"/>
    <w:rsid w:val="00B05D68"/>
    <w:rsid w:val="00B12178"/>
    <w:rsid w:val="00B15090"/>
    <w:rsid w:val="00B24A32"/>
    <w:rsid w:val="00B41E8E"/>
    <w:rsid w:val="00B5060C"/>
    <w:rsid w:val="00B513B8"/>
    <w:rsid w:val="00B533AE"/>
    <w:rsid w:val="00B55CE3"/>
    <w:rsid w:val="00B56F75"/>
    <w:rsid w:val="00B60C09"/>
    <w:rsid w:val="00B63CFC"/>
    <w:rsid w:val="00B73FFC"/>
    <w:rsid w:val="00B77342"/>
    <w:rsid w:val="00B848BA"/>
    <w:rsid w:val="00B87127"/>
    <w:rsid w:val="00B87583"/>
    <w:rsid w:val="00B91145"/>
    <w:rsid w:val="00B9493D"/>
    <w:rsid w:val="00B94FD3"/>
    <w:rsid w:val="00BA29C9"/>
    <w:rsid w:val="00BC1C54"/>
    <w:rsid w:val="00BD43A8"/>
    <w:rsid w:val="00BD5011"/>
    <w:rsid w:val="00BD5AF4"/>
    <w:rsid w:val="00BD6762"/>
    <w:rsid w:val="00BD750C"/>
    <w:rsid w:val="00BE3119"/>
    <w:rsid w:val="00BE6EAE"/>
    <w:rsid w:val="00C06B6D"/>
    <w:rsid w:val="00C11986"/>
    <w:rsid w:val="00C12FB2"/>
    <w:rsid w:val="00C140DD"/>
    <w:rsid w:val="00C204A7"/>
    <w:rsid w:val="00C236BF"/>
    <w:rsid w:val="00C334B6"/>
    <w:rsid w:val="00C43609"/>
    <w:rsid w:val="00C45641"/>
    <w:rsid w:val="00C578DF"/>
    <w:rsid w:val="00C8591A"/>
    <w:rsid w:val="00C91416"/>
    <w:rsid w:val="00C97D71"/>
    <w:rsid w:val="00CC4DF1"/>
    <w:rsid w:val="00CC6E71"/>
    <w:rsid w:val="00CD3B4E"/>
    <w:rsid w:val="00CD3E82"/>
    <w:rsid w:val="00CE1399"/>
    <w:rsid w:val="00CE1FD0"/>
    <w:rsid w:val="00CF3125"/>
    <w:rsid w:val="00D04214"/>
    <w:rsid w:val="00D04ED4"/>
    <w:rsid w:val="00D06DBD"/>
    <w:rsid w:val="00D270FC"/>
    <w:rsid w:val="00D3352F"/>
    <w:rsid w:val="00D4569F"/>
    <w:rsid w:val="00D537AB"/>
    <w:rsid w:val="00D56388"/>
    <w:rsid w:val="00D65246"/>
    <w:rsid w:val="00D74010"/>
    <w:rsid w:val="00D7589C"/>
    <w:rsid w:val="00D92038"/>
    <w:rsid w:val="00D926B6"/>
    <w:rsid w:val="00DA32AD"/>
    <w:rsid w:val="00DA4AE9"/>
    <w:rsid w:val="00DB4274"/>
    <w:rsid w:val="00DD5226"/>
    <w:rsid w:val="00DD5E36"/>
    <w:rsid w:val="00DE55EB"/>
    <w:rsid w:val="00DF02C9"/>
    <w:rsid w:val="00E04531"/>
    <w:rsid w:val="00E240D0"/>
    <w:rsid w:val="00E24FED"/>
    <w:rsid w:val="00E2601C"/>
    <w:rsid w:val="00E300C4"/>
    <w:rsid w:val="00E320C7"/>
    <w:rsid w:val="00E330CD"/>
    <w:rsid w:val="00E33695"/>
    <w:rsid w:val="00E35A64"/>
    <w:rsid w:val="00E55D66"/>
    <w:rsid w:val="00E64738"/>
    <w:rsid w:val="00E67A3B"/>
    <w:rsid w:val="00E67A3D"/>
    <w:rsid w:val="00E700D9"/>
    <w:rsid w:val="00E717F8"/>
    <w:rsid w:val="00E8798F"/>
    <w:rsid w:val="00EA78DC"/>
    <w:rsid w:val="00EB1C5D"/>
    <w:rsid w:val="00EB34FA"/>
    <w:rsid w:val="00EC2231"/>
    <w:rsid w:val="00ED4A07"/>
    <w:rsid w:val="00EE6B4D"/>
    <w:rsid w:val="00EE6F0C"/>
    <w:rsid w:val="00F00560"/>
    <w:rsid w:val="00F0192E"/>
    <w:rsid w:val="00F01BD8"/>
    <w:rsid w:val="00F027F7"/>
    <w:rsid w:val="00F02937"/>
    <w:rsid w:val="00F06703"/>
    <w:rsid w:val="00F077D3"/>
    <w:rsid w:val="00F12322"/>
    <w:rsid w:val="00F124FE"/>
    <w:rsid w:val="00F1525F"/>
    <w:rsid w:val="00F30837"/>
    <w:rsid w:val="00F45BD1"/>
    <w:rsid w:val="00F50518"/>
    <w:rsid w:val="00F546D1"/>
    <w:rsid w:val="00F56DEB"/>
    <w:rsid w:val="00F61B50"/>
    <w:rsid w:val="00F646CC"/>
    <w:rsid w:val="00F70349"/>
    <w:rsid w:val="00F70ECC"/>
    <w:rsid w:val="00F8524F"/>
    <w:rsid w:val="00F857E5"/>
    <w:rsid w:val="00F871F0"/>
    <w:rsid w:val="00F87BFC"/>
    <w:rsid w:val="00F96AF4"/>
    <w:rsid w:val="00FA71FC"/>
    <w:rsid w:val="00FB0C66"/>
    <w:rsid w:val="00FC1B85"/>
    <w:rsid w:val="00FC65B0"/>
    <w:rsid w:val="00FD5BFE"/>
    <w:rsid w:val="00FD6528"/>
    <w:rsid w:val="00FE0D89"/>
    <w:rsid w:val="00FE111B"/>
    <w:rsid w:val="00FE1D11"/>
    <w:rsid w:val="00FE3D03"/>
    <w:rsid w:val="00FE63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CF98EA"/>
  <w15:docId w15:val="{AA955149-DE58-42AC-A5B9-49E42831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DF1"/>
    <w:pPr>
      <w:jc w:val="both"/>
    </w:pPr>
    <w:rPr>
      <w:rFonts w:ascii="Times New Roman" w:eastAsia="MS Mincho" w:hAnsi="Times New Roman"/>
      <w:sz w:val="22"/>
      <w:szCs w:val="22"/>
      <w:lang w:val="en-GB" w:eastAsia="en-US"/>
    </w:rPr>
  </w:style>
  <w:style w:type="paragraph" w:styleId="Heading1">
    <w:name w:val="heading 1"/>
    <w:basedOn w:val="Normal"/>
    <w:next w:val="Normal"/>
    <w:link w:val="Heading1Char"/>
    <w:uiPriority w:val="99"/>
    <w:qFormat/>
    <w:rsid w:val="00CC4DF1"/>
    <w:pPr>
      <w:keepNext/>
      <w:keepLines/>
      <w:spacing w:before="480"/>
      <w:outlineLvl w:val="0"/>
    </w:pPr>
    <w:rPr>
      <w:rFonts w:ascii="Cambria" w:hAnsi="Cambria" w:cs="Cambria"/>
      <w:b/>
      <w:bCs/>
      <w:sz w:val="28"/>
      <w:szCs w:val="28"/>
      <w:lang w:eastAsia="es-ES"/>
    </w:rPr>
  </w:style>
  <w:style w:type="paragraph" w:styleId="Heading2">
    <w:name w:val="heading 2"/>
    <w:basedOn w:val="Normal"/>
    <w:link w:val="Heading2Char"/>
    <w:uiPriority w:val="99"/>
    <w:qFormat/>
    <w:rsid w:val="00CC4DF1"/>
    <w:pPr>
      <w:keepNext/>
      <w:tabs>
        <w:tab w:val="left" w:pos="720"/>
      </w:tabs>
      <w:spacing w:before="120" w:after="120"/>
      <w:jc w:val="center"/>
      <w:outlineLvl w:val="1"/>
    </w:pPr>
    <w:rPr>
      <w:b/>
      <w:bCs/>
      <w:i/>
      <w:iCs/>
      <w:sz w:val="20"/>
      <w:szCs w:val="20"/>
      <w:lang w:eastAsia="es-ES"/>
    </w:rPr>
  </w:style>
  <w:style w:type="paragraph" w:styleId="Heading3">
    <w:name w:val="heading 3"/>
    <w:basedOn w:val="Normal"/>
    <w:next w:val="Normal"/>
    <w:link w:val="Heading3Char"/>
    <w:uiPriority w:val="99"/>
    <w:qFormat/>
    <w:rsid w:val="00CC4DF1"/>
    <w:pPr>
      <w:keepNext/>
      <w:keepLines/>
      <w:spacing w:before="120" w:after="120"/>
      <w:jc w:val="center"/>
      <w:outlineLvl w:val="2"/>
    </w:pPr>
    <w:rPr>
      <w:rFonts w:ascii="MS Mincho" w:hAnsi="Calibri" w:cs="MS Mincho"/>
      <w:i/>
      <w:iCs/>
      <w:sz w:val="24"/>
      <w:szCs w:val="24"/>
      <w:lang w:val="en-CA" w:eastAsia="ja-JP"/>
    </w:rPr>
  </w:style>
  <w:style w:type="paragraph" w:styleId="Heading4">
    <w:name w:val="heading 4"/>
    <w:basedOn w:val="Normal"/>
    <w:next w:val="Normal"/>
    <w:link w:val="Heading4Char"/>
    <w:uiPriority w:val="99"/>
    <w:qFormat/>
    <w:rsid w:val="00CC4DF1"/>
    <w:pPr>
      <w:keepNext/>
      <w:keepLines/>
      <w:spacing w:before="120" w:after="120"/>
      <w:jc w:val="left"/>
      <w:outlineLvl w:val="3"/>
    </w:pPr>
    <w:rPr>
      <w:rFonts w:ascii="MS Mincho" w:hAnsi="Calibri" w:cs="MS Mincho"/>
      <w:b/>
      <w:bCs/>
      <w:i/>
      <w:iCs/>
      <w:sz w:val="24"/>
      <w:szCs w:val="24"/>
      <w:lang w:val="en-CA" w:eastAsia="ja-JP"/>
    </w:rPr>
  </w:style>
  <w:style w:type="paragraph" w:styleId="Heading5">
    <w:name w:val="heading 5"/>
    <w:basedOn w:val="Normal"/>
    <w:next w:val="Normal"/>
    <w:link w:val="Heading5Char"/>
    <w:uiPriority w:val="99"/>
    <w:qFormat/>
    <w:rsid w:val="00CC4DF1"/>
    <w:pPr>
      <w:keepNext/>
      <w:keepLines/>
      <w:spacing w:before="120" w:after="120"/>
      <w:jc w:val="left"/>
      <w:outlineLvl w:val="4"/>
    </w:pPr>
    <w:rPr>
      <w:rFonts w:ascii="MS Mincho" w:hAnsi="Calibri" w:cs="MS Mincho"/>
      <w:i/>
      <w:iCs/>
      <w:sz w:val="24"/>
      <w:szCs w:val="24"/>
      <w:lang w:val="en-CA" w:eastAsia="ja-JP"/>
    </w:rPr>
  </w:style>
  <w:style w:type="paragraph" w:styleId="Heading6">
    <w:name w:val="heading 6"/>
    <w:basedOn w:val="Normal"/>
    <w:next w:val="Normal"/>
    <w:link w:val="Heading6Char"/>
    <w:uiPriority w:val="99"/>
    <w:qFormat/>
    <w:rsid w:val="00CC4DF1"/>
    <w:pPr>
      <w:keepNext/>
      <w:keepLines/>
      <w:spacing w:after="240"/>
      <w:ind w:left="720"/>
      <w:jc w:val="left"/>
      <w:outlineLvl w:val="5"/>
    </w:pPr>
    <w:rPr>
      <w:rFonts w:ascii="MS Mincho" w:hAnsi="Calibri" w:cs="MS Mincho"/>
      <w:sz w:val="24"/>
      <w:szCs w:val="24"/>
      <w:u w:val="single"/>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C4DF1"/>
    <w:rPr>
      <w:rFonts w:ascii="Cambria" w:hAnsi="Cambria" w:cs="Cambria"/>
      <w:b/>
      <w:bCs/>
      <w:color w:val="auto"/>
      <w:sz w:val="28"/>
      <w:szCs w:val="28"/>
      <w:lang w:val="en-GB"/>
    </w:rPr>
  </w:style>
  <w:style w:type="character" w:customStyle="1" w:styleId="Heading2Char">
    <w:name w:val="Heading 2 Char"/>
    <w:link w:val="Heading2"/>
    <w:uiPriority w:val="99"/>
    <w:rsid w:val="00CC4DF1"/>
    <w:rPr>
      <w:rFonts w:ascii="Times New Roman" w:eastAsia="MS Mincho" w:hAnsi="Times New Roman" w:cs="Times New Roman"/>
      <w:b/>
      <w:bCs/>
      <w:i/>
      <w:iCs/>
      <w:sz w:val="24"/>
      <w:szCs w:val="24"/>
      <w:lang w:val="en-GB"/>
    </w:rPr>
  </w:style>
  <w:style w:type="character" w:customStyle="1" w:styleId="Heading3Char">
    <w:name w:val="Heading 3 Char"/>
    <w:link w:val="Heading3"/>
    <w:uiPriority w:val="99"/>
    <w:rsid w:val="00CC4DF1"/>
    <w:rPr>
      <w:rFonts w:ascii="Times New Roman" w:hAnsi="Times New Roman" w:cs="Times New Roman"/>
      <w:i/>
      <w:iCs/>
      <w:sz w:val="24"/>
      <w:szCs w:val="24"/>
      <w:lang w:val="en-CA" w:eastAsia="ja-JP"/>
    </w:rPr>
  </w:style>
  <w:style w:type="character" w:customStyle="1" w:styleId="Heading4Char">
    <w:name w:val="Heading 4 Char"/>
    <w:link w:val="Heading4"/>
    <w:uiPriority w:val="99"/>
    <w:rsid w:val="00CC4DF1"/>
    <w:rPr>
      <w:rFonts w:ascii="Times New Roman" w:hAnsi="Times New Roman" w:cs="Times New Roman"/>
      <w:b/>
      <w:bCs/>
      <w:i/>
      <w:iCs/>
      <w:sz w:val="24"/>
      <w:szCs w:val="24"/>
      <w:lang w:val="en-CA" w:eastAsia="ja-JP"/>
    </w:rPr>
  </w:style>
  <w:style w:type="character" w:customStyle="1" w:styleId="Heading5Char">
    <w:name w:val="Heading 5 Char"/>
    <w:link w:val="Heading5"/>
    <w:uiPriority w:val="99"/>
    <w:rsid w:val="00CC4DF1"/>
    <w:rPr>
      <w:rFonts w:ascii="Times New Roman" w:hAnsi="Times New Roman" w:cs="Times New Roman"/>
      <w:i/>
      <w:iCs/>
      <w:sz w:val="24"/>
      <w:szCs w:val="24"/>
      <w:lang w:val="en-CA" w:eastAsia="ja-JP"/>
    </w:rPr>
  </w:style>
  <w:style w:type="character" w:customStyle="1" w:styleId="Heading6Char">
    <w:name w:val="Heading 6 Char"/>
    <w:link w:val="Heading6"/>
    <w:uiPriority w:val="99"/>
    <w:rsid w:val="00CC4DF1"/>
    <w:rPr>
      <w:rFonts w:ascii="Times New Roman" w:hAnsi="Times New Roman" w:cs="Times New Roman"/>
      <w:sz w:val="24"/>
      <w:szCs w:val="24"/>
      <w:u w:val="single"/>
      <w:lang w:val="en-CA" w:eastAsia="ja-JP"/>
    </w:rPr>
  </w:style>
  <w:style w:type="paragraph" w:customStyle="1" w:styleId="HEADINGNOTFORTOC">
    <w:name w:val="HEADING (NOT FOR TOC)"/>
    <w:basedOn w:val="Heading1"/>
    <w:next w:val="Heading2"/>
    <w:uiPriority w:val="99"/>
    <w:rsid w:val="00CC4DF1"/>
    <w:pPr>
      <w:keepLines w:val="0"/>
      <w:tabs>
        <w:tab w:val="left" w:pos="720"/>
      </w:tabs>
      <w:spacing w:before="240" w:after="120"/>
      <w:jc w:val="center"/>
    </w:pPr>
    <w:rPr>
      <w:rFonts w:ascii="Times New Roman" w:hAnsi="Times New Roman" w:cs="Times New Roman"/>
      <w:caps/>
      <w:sz w:val="22"/>
      <w:szCs w:val="22"/>
    </w:rPr>
  </w:style>
  <w:style w:type="paragraph" w:styleId="ListParagraph">
    <w:name w:val="List Paragraph"/>
    <w:basedOn w:val="Normal"/>
    <w:uiPriority w:val="34"/>
    <w:qFormat/>
    <w:rsid w:val="00CC4DF1"/>
    <w:pPr>
      <w:ind w:left="720"/>
    </w:pPr>
  </w:style>
  <w:style w:type="paragraph" w:styleId="Header">
    <w:name w:val="header"/>
    <w:basedOn w:val="Normal"/>
    <w:link w:val="HeaderChar"/>
    <w:uiPriority w:val="99"/>
    <w:rsid w:val="00CC4DF1"/>
    <w:pPr>
      <w:tabs>
        <w:tab w:val="center" w:pos="4320"/>
        <w:tab w:val="right" w:pos="8640"/>
      </w:tabs>
    </w:pPr>
    <w:rPr>
      <w:rFonts w:ascii="MS Mincho" w:hAnsi="Calibri" w:cs="MS Mincho"/>
      <w:sz w:val="20"/>
      <w:szCs w:val="20"/>
      <w:lang w:eastAsia="es-ES"/>
    </w:rPr>
  </w:style>
  <w:style w:type="character" w:customStyle="1" w:styleId="HeaderChar">
    <w:name w:val="Header Char"/>
    <w:link w:val="Header"/>
    <w:uiPriority w:val="99"/>
    <w:rsid w:val="00CC4DF1"/>
    <w:rPr>
      <w:rFonts w:ascii="Times New Roman" w:hAnsi="Times New Roman" w:cs="Times New Roman"/>
      <w:sz w:val="24"/>
      <w:szCs w:val="24"/>
      <w:lang w:val="en-GB"/>
    </w:rPr>
  </w:style>
  <w:style w:type="paragraph" w:customStyle="1" w:styleId="meetingname">
    <w:name w:val="meeting name"/>
    <w:basedOn w:val="Normal"/>
    <w:uiPriority w:val="99"/>
    <w:rsid w:val="00CC4DF1"/>
    <w:pPr>
      <w:ind w:left="170" w:right="3119" w:hanging="170"/>
      <w:jc w:val="left"/>
    </w:pPr>
    <w:rPr>
      <w:rFonts w:eastAsia="Malgun Gothic"/>
      <w:caps/>
    </w:rPr>
  </w:style>
  <w:style w:type="paragraph" w:styleId="BalloonText">
    <w:name w:val="Balloon Text"/>
    <w:basedOn w:val="Normal"/>
    <w:link w:val="BalloonTextChar"/>
    <w:uiPriority w:val="99"/>
    <w:rsid w:val="00CC4DF1"/>
    <w:rPr>
      <w:rFonts w:ascii="Tahoma" w:hAnsi="Tahoma" w:cs="Tahoma"/>
      <w:sz w:val="16"/>
      <w:szCs w:val="16"/>
      <w:lang w:eastAsia="es-ES"/>
    </w:rPr>
  </w:style>
  <w:style w:type="character" w:customStyle="1" w:styleId="BalloonTextChar">
    <w:name w:val="Balloon Text Char"/>
    <w:link w:val="BalloonText"/>
    <w:uiPriority w:val="99"/>
    <w:rsid w:val="00CC4DF1"/>
    <w:rPr>
      <w:rFonts w:ascii="Tahoma" w:eastAsia="MS Mincho" w:hAnsi="Tahoma" w:cs="Tahoma"/>
      <w:sz w:val="16"/>
      <w:szCs w:val="16"/>
      <w:lang w:val="en-GB"/>
    </w:rPr>
  </w:style>
  <w:style w:type="paragraph" w:styleId="BodyText2">
    <w:name w:val="Body Text 2"/>
    <w:basedOn w:val="Normal"/>
    <w:link w:val="BodyText2Char"/>
    <w:uiPriority w:val="99"/>
    <w:rsid w:val="00CC4DF1"/>
    <w:pPr>
      <w:spacing w:after="120" w:line="480" w:lineRule="auto"/>
    </w:pPr>
    <w:rPr>
      <w:rFonts w:ascii="MS Mincho" w:hAnsi="Calibri" w:cs="MS Mincho"/>
      <w:sz w:val="20"/>
      <w:szCs w:val="20"/>
      <w:lang w:eastAsia="es-ES"/>
    </w:rPr>
  </w:style>
  <w:style w:type="character" w:customStyle="1" w:styleId="BodyText2Char">
    <w:name w:val="Body Text 2 Char"/>
    <w:link w:val="BodyText2"/>
    <w:uiPriority w:val="99"/>
    <w:rsid w:val="00CC4DF1"/>
    <w:rPr>
      <w:rFonts w:ascii="Times New Roman" w:hAnsi="Times New Roman" w:cs="Times New Roman"/>
      <w:sz w:val="24"/>
      <w:szCs w:val="24"/>
      <w:lang w:val="en-GB"/>
    </w:rPr>
  </w:style>
  <w:style w:type="paragraph" w:customStyle="1" w:styleId="Para1">
    <w:name w:val="Para1"/>
    <w:basedOn w:val="Normal"/>
    <w:uiPriority w:val="99"/>
    <w:rsid w:val="00CC4DF1"/>
    <w:pPr>
      <w:spacing w:after="120"/>
    </w:pPr>
    <w:rPr>
      <w:lang w:val="es-ES"/>
    </w:rPr>
  </w:style>
  <w:style w:type="paragraph" w:styleId="Footer">
    <w:name w:val="footer"/>
    <w:basedOn w:val="Normal"/>
    <w:link w:val="FooterChar"/>
    <w:uiPriority w:val="99"/>
    <w:rsid w:val="00CC4DF1"/>
    <w:pPr>
      <w:tabs>
        <w:tab w:val="center" w:pos="4680"/>
        <w:tab w:val="right" w:pos="9360"/>
      </w:tabs>
    </w:pPr>
    <w:rPr>
      <w:lang w:eastAsia="es-ES"/>
    </w:rPr>
  </w:style>
  <w:style w:type="character" w:customStyle="1" w:styleId="FooterChar">
    <w:name w:val="Footer Char"/>
    <w:link w:val="Footer"/>
    <w:uiPriority w:val="99"/>
    <w:rsid w:val="00CC4DF1"/>
    <w:rPr>
      <w:rFonts w:ascii="Times New Roman" w:eastAsia="MS Mincho" w:hAnsi="Times New Roman" w:cs="Times New Roman"/>
      <w:sz w:val="24"/>
      <w:szCs w:val="24"/>
      <w:lang w:val="en-GB"/>
    </w:rPr>
  </w:style>
  <w:style w:type="paragraph" w:styleId="FootnoteText">
    <w:name w:val="footnote text"/>
    <w:aliases w:val="fn,Geneva 9,Font: Geneva 9,Boston 10,f,ft,Fotnotstext Char,ft Char,single space,FOOTNOTES,ADB,single space1,footnote text1,FOOTNOTES1,fn1,ADB1,single space2,footnote text2,FOOTNOTES2,fn2,ADB2,single space3,fn3,footnote text3"/>
    <w:basedOn w:val="Normal"/>
    <w:link w:val="FootnoteTextChar"/>
    <w:uiPriority w:val="99"/>
    <w:rsid w:val="00CC4DF1"/>
    <w:rPr>
      <w:sz w:val="20"/>
      <w:szCs w:val="20"/>
      <w:lang w:eastAsia="es-ES"/>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link w:val="FootnoteText"/>
    <w:uiPriority w:val="99"/>
    <w:rsid w:val="00CC4DF1"/>
    <w:rPr>
      <w:rFonts w:ascii="Times New Roman" w:eastAsia="MS Mincho" w:hAnsi="Times New Roman" w:cs="Times New Roman"/>
      <w:sz w:val="20"/>
      <w:szCs w:val="20"/>
      <w:lang w:val="en-GB" w:eastAsia="en-US"/>
    </w:rPr>
  </w:style>
  <w:style w:type="character" w:customStyle="1" w:styleId="FootnoteTextChar1">
    <w:name w:val="Footnote Text Char1"/>
    <w:aliases w:val="fn Char1,Geneva 9 Char1,Font: Geneva 9 Char1,Boston 10 Char1,f Char1,ft Char11,Fotnotstext Char Char1,ft Char Char1,single space Char1,footnote text Char,FOOTNOTES Char1,ADB Char1,single space1 Char1,footnote text1 Char1,fn1 Char1"/>
    <w:uiPriority w:val="99"/>
    <w:rsid w:val="00CC4DF1"/>
    <w:rPr>
      <w:rFonts w:ascii="Times New Roman" w:eastAsia="MS Mincho" w:hAnsi="Times New Roman" w:cs="Times New Roman"/>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rsid w:val="00CC4DF1"/>
    <w:rPr>
      <w:rFonts w:ascii="Times New Roman" w:hAnsi="Times New Roman" w:cs="Times New Roman"/>
      <w:vertAlign w:val="superscript"/>
    </w:rPr>
  </w:style>
  <w:style w:type="character" w:styleId="CommentReference">
    <w:name w:val="annotation reference"/>
    <w:uiPriority w:val="99"/>
    <w:rsid w:val="00CC4DF1"/>
    <w:rPr>
      <w:rFonts w:ascii="Times New Roman" w:hAnsi="Times New Roman" w:cs="Times New Roman"/>
      <w:sz w:val="16"/>
      <w:szCs w:val="16"/>
    </w:rPr>
  </w:style>
  <w:style w:type="paragraph" w:styleId="CommentText">
    <w:name w:val="annotation text"/>
    <w:basedOn w:val="Normal"/>
    <w:link w:val="CommentTextChar"/>
    <w:uiPriority w:val="99"/>
    <w:rsid w:val="00CC4DF1"/>
    <w:rPr>
      <w:sz w:val="20"/>
      <w:szCs w:val="20"/>
      <w:lang w:eastAsia="es-ES"/>
    </w:rPr>
  </w:style>
  <w:style w:type="character" w:customStyle="1" w:styleId="CommentTextChar">
    <w:name w:val="Comment Text Char"/>
    <w:link w:val="CommentText"/>
    <w:uiPriority w:val="99"/>
    <w:rsid w:val="00CC4DF1"/>
    <w:rPr>
      <w:rFonts w:ascii="Times New Roman" w:eastAsia="MS Mincho" w:hAnsi="Times New Roman" w:cs="Times New Roman"/>
      <w:lang w:val="en-GB"/>
    </w:rPr>
  </w:style>
  <w:style w:type="paragraph" w:styleId="CommentSubject">
    <w:name w:val="annotation subject"/>
    <w:basedOn w:val="CommentText"/>
    <w:next w:val="CommentText"/>
    <w:link w:val="CommentSubjectChar"/>
    <w:uiPriority w:val="99"/>
    <w:rsid w:val="00CC4DF1"/>
    <w:rPr>
      <w:b/>
      <w:bCs/>
    </w:rPr>
  </w:style>
  <w:style w:type="character" w:customStyle="1" w:styleId="CommentSubjectChar">
    <w:name w:val="Comment Subject Char"/>
    <w:link w:val="CommentSubject"/>
    <w:uiPriority w:val="99"/>
    <w:rsid w:val="00CC4DF1"/>
    <w:rPr>
      <w:rFonts w:ascii="Times New Roman" w:eastAsia="MS Mincho" w:hAnsi="Times New Roman" w:cs="Times New Roman"/>
      <w:b/>
      <w:bCs/>
      <w:lang w:val="en-GB"/>
    </w:rPr>
  </w:style>
  <w:style w:type="paragraph" w:customStyle="1" w:styleId="bodytextnoindent">
    <w:name w:val="body text (no indent)"/>
    <w:basedOn w:val="Normal"/>
    <w:uiPriority w:val="99"/>
    <w:rsid w:val="00CC4DF1"/>
    <w:pPr>
      <w:spacing w:before="140" w:after="140"/>
      <w:ind w:left="720" w:hanging="720"/>
    </w:pPr>
    <w:rPr>
      <w:rFonts w:ascii="MS Mincho" w:hAnsi="Calibri" w:cs="MS Mincho"/>
    </w:rPr>
  </w:style>
  <w:style w:type="paragraph" w:styleId="Title">
    <w:name w:val="Title"/>
    <w:basedOn w:val="Normal"/>
    <w:next w:val="Normal"/>
    <w:link w:val="TitleChar"/>
    <w:uiPriority w:val="99"/>
    <w:qFormat/>
    <w:rsid w:val="00CC4DF1"/>
    <w:pPr>
      <w:keepNext/>
      <w:keepLines/>
      <w:spacing w:before="480" w:after="120"/>
      <w:jc w:val="left"/>
    </w:pPr>
    <w:rPr>
      <w:rFonts w:ascii="MS Mincho" w:hAnsi="Calibri" w:cs="MS Mincho"/>
      <w:b/>
      <w:bCs/>
      <w:sz w:val="72"/>
      <w:szCs w:val="72"/>
      <w:lang w:val="en-CA" w:eastAsia="ja-JP"/>
    </w:rPr>
  </w:style>
  <w:style w:type="character" w:customStyle="1" w:styleId="TitleChar">
    <w:name w:val="Title Char"/>
    <w:link w:val="Title"/>
    <w:uiPriority w:val="99"/>
    <w:rsid w:val="00CC4DF1"/>
    <w:rPr>
      <w:rFonts w:ascii="Times New Roman" w:hAnsi="Times New Roman" w:cs="Times New Roman"/>
      <w:b/>
      <w:bCs/>
      <w:sz w:val="72"/>
      <w:szCs w:val="72"/>
      <w:lang w:val="en-CA" w:eastAsia="ja-JP"/>
    </w:rPr>
  </w:style>
  <w:style w:type="paragraph" w:styleId="Subtitle">
    <w:name w:val="Subtitle"/>
    <w:basedOn w:val="Normal"/>
    <w:next w:val="Normal"/>
    <w:link w:val="SubtitleChar"/>
    <w:uiPriority w:val="99"/>
    <w:qFormat/>
    <w:rsid w:val="00CC4DF1"/>
    <w:pPr>
      <w:keepNext/>
      <w:keepLines/>
      <w:spacing w:before="360" w:after="80"/>
      <w:jc w:val="left"/>
    </w:pPr>
    <w:rPr>
      <w:rFonts w:ascii="Georgia" w:hAnsi="Georgia" w:cs="Georgia"/>
      <w:i/>
      <w:iCs/>
      <w:sz w:val="48"/>
      <w:szCs w:val="48"/>
      <w:lang w:val="en-CA" w:eastAsia="ja-JP"/>
    </w:rPr>
  </w:style>
  <w:style w:type="character" w:customStyle="1" w:styleId="SubtitleChar">
    <w:name w:val="Subtitle Char"/>
    <w:link w:val="Subtitle"/>
    <w:uiPriority w:val="99"/>
    <w:rsid w:val="00CC4DF1"/>
    <w:rPr>
      <w:rFonts w:ascii="Georgia" w:hAnsi="Georgia" w:cs="Georgia"/>
      <w:i/>
      <w:iCs/>
      <w:color w:val="auto"/>
      <w:sz w:val="48"/>
      <w:szCs w:val="48"/>
      <w:lang w:val="en-CA" w:eastAsia="ja-JP"/>
    </w:rPr>
  </w:style>
  <w:style w:type="character" w:styleId="Hyperlink">
    <w:name w:val="Hyperlink"/>
    <w:uiPriority w:val="99"/>
    <w:rsid w:val="00CC4DF1"/>
    <w:rPr>
      <w:rFonts w:ascii="Times New Roman" w:hAnsi="Times New Roman" w:cs="Times New Roman"/>
      <w:color w:val="0000FF"/>
      <w:u w:val="single"/>
    </w:rPr>
  </w:style>
  <w:style w:type="character" w:styleId="FollowedHyperlink">
    <w:name w:val="FollowedHyperlink"/>
    <w:uiPriority w:val="99"/>
    <w:rsid w:val="00CC4DF1"/>
    <w:rPr>
      <w:rFonts w:ascii="Times New Roman" w:hAnsi="Times New Roman" w:cs="Times New Roman"/>
      <w:color w:val="800080"/>
      <w:u w:val="single"/>
    </w:rPr>
  </w:style>
  <w:style w:type="paragraph" w:styleId="Revision">
    <w:name w:val="Revision"/>
    <w:hidden/>
    <w:uiPriority w:val="99"/>
    <w:rsid w:val="00CC4DF1"/>
    <w:rPr>
      <w:rFonts w:ascii="MS Mincho" w:eastAsia="MS Mincho" w:cs="MS Mincho"/>
      <w:color w:val="000000"/>
      <w:sz w:val="22"/>
      <w:szCs w:val="22"/>
      <w:lang w:val="en-US" w:eastAsia="en-US"/>
    </w:rPr>
  </w:style>
  <w:style w:type="character" w:customStyle="1" w:styleId="Para1Char1">
    <w:name w:val="Para1 Char1"/>
    <w:uiPriority w:val="99"/>
    <w:rsid w:val="00CC4DF1"/>
    <w:rPr>
      <w:rFonts w:ascii="Times New Roman" w:eastAsia="MS Mincho" w:hAnsi="Times New Roman" w:cs="Times New Roman"/>
      <w:snapToGrid w:val="0"/>
      <w:sz w:val="18"/>
      <w:szCs w:val="18"/>
      <w:lang w:eastAsia="en-US"/>
    </w:rPr>
  </w:style>
  <w:style w:type="paragraph" w:styleId="Caption">
    <w:name w:val="caption"/>
    <w:basedOn w:val="Normal"/>
    <w:next w:val="Normal"/>
    <w:uiPriority w:val="99"/>
    <w:qFormat/>
    <w:rsid w:val="00CC4DF1"/>
    <w:pPr>
      <w:spacing w:after="200"/>
      <w:jc w:val="left"/>
    </w:pPr>
    <w:rPr>
      <w:rFonts w:ascii="MS Mincho" w:hAnsi="Calibri" w:cs="MS Mincho"/>
      <w:b/>
      <w:bCs/>
      <w:sz w:val="18"/>
      <w:szCs w:val="18"/>
      <w:lang w:val="en-CA" w:eastAsia="ja-JP"/>
    </w:rPr>
  </w:style>
  <w:style w:type="paragraph" w:customStyle="1" w:styleId="Para3">
    <w:name w:val="Para3"/>
    <w:basedOn w:val="Normal"/>
    <w:uiPriority w:val="99"/>
    <w:rsid w:val="00CC4DF1"/>
    <w:pPr>
      <w:tabs>
        <w:tab w:val="num" w:pos="1440"/>
        <w:tab w:val="left" w:pos="1980"/>
      </w:tabs>
      <w:spacing w:before="80" w:after="80"/>
      <w:ind w:left="1440" w:hanging="360"/>
      <w:jc w:val="left"/>
    </w:pPr>
    <w:rPr>
      <w:rFonts w:ascii="MS Mincho" w:hAnsi="Calibri" w:cs="MS Mincho"/>
      <w:sz w:val="24"/>
      <w:szCs w:val="24"/>
      <w:lang w:eastAsia="ja-JP"/>
    </w:rPr>
  </w:style>
  <w:style w:type="paragraph" w:customStyle="1" w:styleId="Para4">
    <w:name w:val="Para4"/>
    <w:basedOn w:val="Para3"/>
    <w:uiPriority w:val="99"/>
    <w:rsid w:val="00CC4DF1"/>
    <w:pPr>
      <w:tabs>
        <w:tab w:val="clear" w:pos="1440"/>
        <w:tab w:val="clear" w:pos="1980"/>
        <w:tab w:val="left" w:pos="2552"/>
        <w:tab w:val="num" w:pos="2880"/>
      </w:tabs>
      <w:ind w:left="2880"/>
    </w:pPr>
  </w:style>
  <w:style w:type="character" w:customStyle="1" w:styleId="Para1Char">
    <w:name w:val="Para1 Char"/>
    <w:uiPriority w:val="99"/>
    <w:rsid w:val="00CC4DF1"/>
    <w:rPr>
      <w:rFonts w:ascii="Times New Roman" w:hAnsi="Times New Roman" w:cs="Times New Roman"/>
      <w:snapToGrid w:val="0"/>
      <w:sz w:val="18"/>
      <w:szCs w:val="18"/>
      <w:lang w:val="en-GB"/>
    </w:rPr>
  </w:style>
  <w:style w:type="paragraph" w:styleId="HTMLAddress">
    <w:name w:val="HTML Address"/>
    <w:basedOn w:val="Normal"/>
    <w:link w:val="HTMLAddressChar"/>
    <w:uiPriority w:val="99"/>
    <w:rsid w:val="00CC4DF1"/>
    <w:pPr>
      <w:jc w:val="left"/>
    </w:pPr>
    <w:rPr>
      <w:rFonts w:ascii="MS Mincho" w:hAnsi="Calibri" w:cs="MS Mincho"/>
      <w:i/>
      <w:iCs/>
      <w:sz w:val="24"/>
      <w:szCs w:val="24"/>
      <w:lang w:val="en-CA" w:eastAsia="ja-JP"/>
    </w:rPr>
  </w:style>
  <w:style w:type="character" w:customStyle="1" w:styleId="HTMLAddressChar">
    <w:name w:val="HTML Address Char"/>
    <w:link w:val="HTMLAddress"/>
    <w:uiPriority w:val="99"/>
    <w:rsid w:val="00CC4DF1"/>
    <w:rPr>
      <w:rFonts w:ascii="Times New Roman" w:hAnsi="Times New Roman" w:cs="Times New Roman"/>
      <w:i/>
      <w:iCs/>
      <w:sz w:val="24"/>
      <w:szCs w:val="24"/>
      <w:lang w:val="en-CA" w:eastAsia="ja-JP"/>
    </w:rPr>
  </w:style>
  <w:style w:type="paragraph" w:customStyle="1" w:styleId="Cornernotation">
    <w:name w:val="Corner notation"/>
    <w:basedOn w:val="Normal"/>
    <w:uiPriority w:val="99"/>
    <w:rsid w:val="00CC4DF1"/>
    <w:pPr>
      <w:ind w:left="170" w:right="3119" w:hanging="170"/>
      <w:jc w:val="left"/>
    </w:pPr>
    <w:rPr>
      <w:rFonts w:ascii="MS Mincho" w:hAnsi="Calibri" w:cs="MS Mincho"/>
      <w:sz w:val="24"/>
      <w:szCs w:val="24"/>
      <w:lang w:eastAsia="ja-JP"/>
    </w:rPr>
  </w:style>
  <w:style w:type="character" w:customStyle="1" w:styleId="UnresolvedMention1">
    <w:name w:val="Unresolved Mention1"/>
    <w:uiPriority w:val="99"/>
    <w:rsid w:val="00CC4DF1"/>
    <w:rPr>
      <w:color w:val="auto"/>
      <w:shd w:val="clear" w:color="auto" w:fill="auto"/>
    </w:rPr>
  </w:style>
  <w:style w:type="paragraph" w:styleId="TOC9">
    <w:name w:val="toc 9"/>
    <w:basedOn w:val="Normal"/>
    <w:next w:val="Normal"/>
    <w:autoRedefine/>
    <w:uiPriority w:val="99"/>
    <w:rsid w:val="00CC4DF1"/>
    <w:pPr>
      <w:tabs>
        <w:tab w:val="num" w:pos="2171"/>
      </w:tabs>
      <w:spacing w:before="120" w:after="120"/>
      <w:ind w:left="2171" w:hanging="360"/>
      <w:jc w:val="left"/>
    </w:pPr>
    <w:rPr>
      <w:rFonts w:ascii="MS Mincho" w:hAnsi="Calibri" w:cs="MS Mincho"/>
    </w:rPr>
  </w:style>
  <w:style w:type="paragraph" w:customStyle="1" w:styleId="heading2notforTOC">
    <w:name w:val="heading 2 not for TOC"/>
    <w:basedOn w:val="Heading3"/>
    <w:uiPriority w:val="99"/>
    <w:rsid w:val="00CC4DF1"/>
    <w:pPr>
      <w:keepLines w:val="0"/>
      <w:tabs>
        <w:tab w:val="left" w:pos="567"/>
        <w:tab w:val="num" w:pos="644"/>
      </w:tabs>
      <w:ind w:left="284"/>
    </w:pPr>
    <w:rPr>
      <w:sz w:val="22"/>
      <w:szCs w:val="22"/>
      <w:lang w:val="en-GB" w:eastAsia="es-ES"/>
    </w:rPr>
  </w:style>
  <w:style w:type="character" w:customStyle="1" w:styleId="UnresolvedMention2">
    <w:name w:val="Unresolved Mention2"/>
    <w:uiPriority w:val="99"/>
    <w:rsid w:val="00CC4DF1"/>
    <w:rPr>
      <w:rFonts w:ascii="Times New Roman" w:hAnsi="Times New Roman" w:cs="Times New Roman"/>
      <w:color w:val="auto"/>
      <w:shd w:val="clear" w:color="auto" w:fill="auto"/>
    </w:rPr>
  </w:style>
  <w:style w:type="character" w:styleId="PlaceholderText">
    <w:name w:val="Placeholder Text"/>
    <w:uiPriority w:val="99"/>
    <w:rsid w:val="00CC4DF1"/>
    <w:rPr>
      <w:rFonts w:ascii="Times New Roman" w:hAnsi="Times New Roman" w:cs="Times New Roman"/>
      <w:color w:val="808080"/>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rsid w:val="00CC4DF1"/>
    <w:pPr>
      <w:spacing w:after="160" w:line="240" w:lineRule="exact"/>
      <w:jc w:val="left"/>
    </w:pPr>
    <w:rPr>
      <w:rFonts w:ascii="Calibri" w:hAnsi="Calibri" w:cs="Calibri"/>
      <w:sz w:val="20"/>
      <w:szCs w:val="20"/>
      <w:vertAlign w:val="superscript"/>
      <w:lang w:val="es-ES" w:eastAsia="es-ES"/>
    </w:rPr>
  </w:style>
  <w:style w:type="character" w:customStyle="1" w:styleId="apple-converted-space">
    <w:name w:val="apple-converted-space"/>
    <w:uiPriority w:val="99"/>
    <w:rsid w:val="00CC4DF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p-mop-09/cp-mop-09-dec-06-es.pdf" TargetMode="Externa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www.cbd.int/doc/decisions/mop-08/mop-08-dec-15-es.pdf"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ch.cbd.int/protocol/decisions/?decisionID=1232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bch.cbd.int/protocol/cpb_art23_pow_evaluation.shtml" TargetMode="External"/><Relationship Id="rId3" Type="http://schemas.openxmlformats.org/officeDocument/2006/relationships/hyperlink" Target="http://bch.cbd.int/database/reports/surveyonindicators.shtml" TargetMode="External"/><Relationship Id="rId7" Type="http://schemas.openxmlformats.org/officeDocument/2006/relationships/hyperlink" Target="http://bch.cbd.int/about/news/" TargetMode="External"/><Relationship Id="rId2" Type="http://schemas.openxmlformats.org/officeDocument/2006/relationships/hyperlink" Target="https://www.cbd.int/doc/notifications/2019/ntf-2019-019-bs-en.pdf" TargetMode="External"/><Relationship Id="rId1" Type="http://schemas.openxmlformats.org/officeDocument/2006/relationships/hyperlink" Target="https://beta.bch.cbd.int/register/NR4" TargetMode="External"/><Relationship Id="rId6" Type="http://schemas.openxmlformats.org/officeDocument/2006/relationships/hyperlink" Target="http://bch.cbd.int/protocol/issues/cpb_stplan_txt.shtml" TargetMode="External"/><Relationship Id="rId5" Type="http://schemas.openxmlformats.org/officeDocument/2006/relationships/hyperlink" Target="http://bch.cbd.int/protocol/issues/final_evaluation.shtml" TargetMode="External"/><Relationship Id="rId4" Type="http://schemas.openxmlformats.org/officeDocument/2006/relationships/hyperlink" Target="http://bch.cbd.int/database/reports/analyzer" TargetMode="External"/><Relationship Id="rId9" Type="http://schemas.openxmlformats.org/officeDocument/2006/relationships/hyperlink" Target="https://www.greencustoms.org/our-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88B3F-1B73-4DC9-829D-918DC7E4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19786</Words>
  <Characters>112782</Characters>
  <Application>Microsoft Office Word</Application>
  <DocSecurity>0</DocSecurity>
  <Lines>939</Lines>
  <Paragraphs>264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analysis of information for the assessment and review of the effectiveness of the cartagena protocol on biosafety and final evaluation of the strategic plan for the cartagena protocol for the period 2011-2020</vt:lpstr>
      <vt:lpstr>analysis of information for the assessment and review of the effectiveness of the cartagena protocol on biosafety and final evaluation of the strategic plan for the cartagena protocol for the period 2011-2020</vt:lpstr>
    </vt:vector>
  </TitlesOfParts>
  <Company>SCBD</Company>
  <LinksUpToDate>false</LinksUpToDate>
  <CharactersWithSpaces>132304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information for the assessment and review of the effectiveness of the cartagena protocol on biosafety and final evaluation of the strategic plan for the cartagena protocol for the period 2011-2020</dc:title>
  <dc:subject>CBD/SBI/3/3/Add.1</dc:subject>
  <dc:creator>SCBD</dc:creator>
  <cp:keywords>Subsidiary Body on Implementation, third meeting, Convention on Biological Diversity</cp:keywords>
  <cp:lastModifiedBy>Paola Scarone</cp:lastModifiedBy>
  <cp:revision>2</cp:revision>
  <cp:lastPrinted>2019-03-05T16:56:00Z</cp:lastPrinted>
  <dcterms:created xsi:type="dcterms:W3CDTF">2020-09-29T03:13:00Z</dcterms:created>
  <dcterms:modified xsi:type="dcterms:W3CDTF">2020-09-29T03:13:00Z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